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69C117CC" w:rsidR="000A03B2" w:rsidRPr="00B57B36" w:rsidRDefault="00727783" w:rsidP="00DE264A">
            <w:pPr>
              <w:tabs>
                <w:tab w:val="left" w:pos="-108"/>
              </w:tabs>
              <w:ind w:left="-108"/>
              <w:jc w:val="left"/>
              <w:rPr>
                <w:rFonts w:cs="Arial"/>
                <w:b/>
                <w:bCs/>
                <w:i/>
                <w:iCs/>
                <w:color w:val="000066"/>
                <w:sz w:val="12"/>
                <w:szCs w:val="12"/>
                <w:lang w:eastAsia="it-IT"/>
              </w:rPr>
            </w:pPr>
            <w:bookmarkStart w:id="0" w:name="_Hlk145068772"/>
            <w:r>
              <w:rPr>
                <w:rFonts w:ascii="AdvP6960" w:hAnsi="AdvP6960" w:cs="AdvP6960"/>
                <w:color w:val="241F20"/>
                <w:szCs w:val="18"/>
                <w:lang w:eastAsia="it-IT"/>
              </w:rPr>
              <w:t xml:space="preserve"> </w:t>
            </w:r>
            <w:r w:rsidR="000A03B2"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6F168A0E"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 xml:space="preserve">lerio Cozzani, </w:t>
            </w:r>
            <w:r w:rsidR="00F27EE4" w:rsidRPr="00F27EE4">
              <w:rPr>
                <w:rFonts w:ascii="Tahoma" w:hAnsi="Tahoma" w:cs="Tahoma"/>
                <w:color w:val="000000"/>
                <w:sz w:val="14"/>
                <w:szCs w:val="14"/>
                <w:shd w:val="clear" w:color="auto" w:fill="FFFFFF"/>
                <w:lang w:val="it-IT"/>
              </w:rPr>
              <w:t>Ales Bernatik</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53C875E" w:rsidR="00E978D0" w:rsidRPr="00B57B36" w:rsidRDefault="00377AA8" w:rsidP="008414EF">
      <w:pPr>
        <w:pStyle w:val="CETTitle"/>
        <w:outlineLvl w:val="9"/>
      </w:pPr>
      <w:r w:rsidRPr="00377AA8">
        <w:t xml:space="preserve">An Innovative Approach to the Identification of Reference </w:t>
      </w:r>
      <w:r w:rsidR="008928D3">
        <w:t xml:space="preserve">Safety and Security </w:t>
      </w:r>
      <w:r w:rsidRPr="00377AA8">
        <w:t xml:space="preserve">Scenarios in </w:t>
      </w:r>
      <w:r w:rsidR="00316B3C">
        <w:t>the Process Industry</w:t>
      </w:r>
    </w:p>
    <w:p w14:paraId="0488FED2" w14:textId="14E91513" w:rsidR="00B57E6F" w:rsidRPr="00F86B2C" w:rsidRDefault="006E11F0" w:rsidP="00B57E6F">
      <w:pPr>
        <w:pStyle w:val="CETAuthors"/>
        <w:rPr>
          <w:lang w:val="it-IT"/>
        </w:rPr>
      </w:pPr>
      <w:r w:rsidRPr="00F86B2C">
        <w:rPr>
          <w:lang w:val="it-IT"/>
        </w:rPr>
        <w:t>Matteo Iaiani</w:t>
      </w:r>
      <w:r w:rsidR="00B57E6F" w:rsidRPr="00F86B2C">
        <w:rPr>
          <w:vertAlign w:val="superscript"/>
          <w:lang w:val="it-IT"/>
        </w:rPr>
        <w:t>a</w:t>
      </w:r>
      <w:r w:rsidR="00C71013" w:rsidRPr="00F86B2C">
        <w:rPr>
          <w:vertAlign w:val="superscript"/>
          <w:lang w:val="it-IT"/>
        </w:rPr>
        <w:t>,</w:t>
      </w:r>
      <w:r w:rsidR="00C71013" w:rsidRPr="00F86B2C">
        <w:rPr>
          <w:lang w:val="it-IT"/>
        </w:rPr>
        <w:t>*</w:t>
      </w:r>
      <w:r w:rsidR="00B57E6F" w:rsidRPr="00F86B2C">
        <w:rPr>
          <w:lang w:val="it-IT"/>
        </w:rPr>
        <w:t xml:space="preserve">, </w:t>
      </w:r>
      <w:r w:rsidR="00C71013" w:rsidRPr="00F86B2C">
        <w:rPr>
          <w:lang w:val="it-IT"/>
        </w:rPr>
        <w:t>Alessandro Tugnoli</w:t>
      </w:r>
      <w:r w:rsidR="00C71013" w:rsidRPr="00F86B2C">
        <w:rPr>
          <w:vertAlign w:val="superscript"/>
          <w:lang w:val="it-IT"/>
        </w:rPr>
        <w:t>a</w:t>
      </w:r>
      <w:r w:rsidR="00F86B2C" w:rsidRPr="00F86B2C">
        <w:rPr>
          <w:lang w:val="it-IT"/>
        </w:rPr>
        <w:t xml:space="preserve">, </w:t>
      </w:r>
      <w:r w:rsidR="00F86B2C">
        <w:rPr>
          <w:lang w:val="it-IT"/>
        </w:rPr>
        <w:t>Valerio Cozzani</w:t>
      </w:r>
      <w:r w:rsidR="00F86B2C" w:rsidRPr="00F86B2C">
        <w:rPr>
          <w:vertAlign w:val="superscript"/>
          <w:lang w:val="it-IT"/>
        </w:rPr>
        <w:t>a</w:t>
      </w:r>
    </w:p>
    <w:p w14:paraId="6B2D21B3" w14:textId="4EC2011A" w:rsidR="00B57E6F" w:rsidRPr="00B57B36" w:rsidRDefault="00B57E6F" w:rsidP="00B57E6F">
      <w:pPr>
        <w:pStyle w:val="CETAddress"/>
      </w:pPr>
      <w:r w:rsidRPr="00B57B36">
        <w:rPr>
          <w:vertAlign w:val="superscript"/>
        </w:rPr>
        <w:t>a</w:t>
      </w:r>
      <w:r w:rsidR="004C02D3" w:rsidRPr="004C02D3">
        <w:t>LISES – Department of Civil, Chemical, Environmental, and Materials Engineering, Alma Mater Studiorum – University of Bologna, via Terracini n.28, 40131 Bologna (Italy)</w:t>
      </w:r>
      <w:r w:rsidRPr="00B57B36">
        <w:t xml:space="preserve"> </w:t>
      </w:r>
    </w:p>
    <w:p w14:paraId="3D72B0B0" w14:textId="03B12C23" w:rsidR="00B57E6F" w:rsidRPr="00B57B36" w:rsidRDefault="00B57E6F" w:rsidP="00B57E6F">
      <w:pPr>
        <w:pStyle w:val="CETAddress"/>
      </w:pPr>
    </w:p>
    <w:p w14:paraId="73F1267A" w14:textId="0EA44BBE" w:rsidR="00B57E6F" w:rsidRPr="00B57B36" w:rsidRDefault="004C02D3" w:rsidP="00B57E6F">
      <w:pPr>
        <w:pStyle w:val="CETemail"/>
      </w:pPr>
      <w:r>
        <w:t>*matteo.iaiani@unibo.it</w:t>
      </w:r>
    </w:p>
    <w:p w14:paraId="38F76186" w14:textId="01FF889F" w:rsidR="006A6DE5" w:rsidRPr="00250F21" w:rsidRDefault="00DA32FF" w:rsidP="00004EEF">
      <w:pPr>
        <w:pStyle w:val="CETBodytext"/>
        <w:rPr>
          <w:lang w:val="en-GB"/>
        </w:rPr>
      </w:pPr>
      <w:r w:rsidRPr="00DA32FF">
        <w:rPr>
          <w:lang w:val="en-GB"/>
        </w:rPr>
        <w:t>Hazard identification is a critical step in both safety and security risk assessments. Traditional approaches predominantly rely on historical data and Exploratory Data Analysis (EDA) to define reference scenarios. However, EDA lacks standardized methods for identifying and ranking incident chains. To overcome this limitation, the BAS</w:t>
      </w:r>
      <w:r w:rsidRPr="00DA32FF">
        <w:rPr>
          <w:vertAlign w:val="superscript"/>
          <w:lang w:val="en-GB"/>
        </w:rPr>
        <w:t>2</w:t>
      </w:r>
      <w:r w:rsidRPr="00DA32FF">
        <w:rPr>
          <w:lang w:val="en-GB"/>
        </w:rPr>
        <w:t>E (Bayesian network Analysis of Safety and Security Events) methodology was developed to systematically derive reference scenarios from historical event data using Bayesian Networks</w:t>
      </w:r>
      <w:r w:rsidR="005711CF">
        <w:rPr>
          <w:lang w:val="en-GB"/>
        </w:rPr>
        <w:t xml:space="preserve"> (BN)</w:t>
      </w:r>
      <w:r w:rsidRPr="00DA32FF">
        <w:rPr>
          <w:lang w:val="en-GB"/>
        </w:rPr>
        <w:t>.</w:t>
      </w:r>
      <w:r w:rsidR="00ED03EC">
        <w:rPr>
          <w:lang w:val="en-GB"/>
        </w:rPr>
        <w:t xml:space="preserve"> </w:t>
      </w:r>
      <w:r w:rsidR="008B3FD9">
        <w:rPr>
          <w:lang w:val="en-GB"/>
        </w:rPr>
        <w:t>The methodology</w:t>
      </w:r>
      <w:r w:rsidR="00BC7344" w:rsidRPr="00BC7344">
        <w:rPr>
          <w:lang w:val="en-GB"/>
        </w:rPr>
        <w:t xml:space="preserve"> uses statistical data from </w:t>
      </w:r>
      <w:r w:rsidR="00C7576F">
        <w:rPr>
          <w:lang w:val="en-GB"/>
        </w:rPr>
        <w:t>accident</w:t>
      </w:r>
      <w:r w:rsidR="00BC7344" w:rsidRPr="00BC7344">
        <w:rPr>
          <w:lang w:val="en-GB"/>
        </w:rPr>
        <w:t xml:space="preserve"> records and applies the Noisy-OR gate model to manage uncertainties in the </w:t>
      </w:r>
      <w:r w:rsidR="00855602">
        <w:rPr>
          <w:lang w:val="en-GB"/>
        </w:rPr>
        <w:t xml:space="preserve">specification of </w:t>
      </w:r>
      <w:r w:rsidR="00BC7344" w:rsidRPr="00BC7344">
        <w:rPr>
          <w:lang w:val="en-GB"/>
        </w:rPr>
        <w:t xml:space="preserve">conditional probability tables (CPTs). Sensitivity analysis </w:t>
      </w:r>
      <w:r w:rsidR="00ED03EC">
        <w:rPr>
          <w:lang w:val="en-GB"/>
        </w:rPr>
        <w:t xml:space="preserve">is used to </w:t>
      </w:r>
      <w:r w:rsidR="00BC7344" w:rsidRPr="00BC7344">
        <w:rPr>
          <w:lang w:val="en-GB"/>
        </w:rPr>
        <w:t>quantif</w:t>
      </w:r>
      <w:r w:rsidR="00ED03EC">
        <w:rPr>
          <w:lang w:val="en-GB"/>
        </w:rPr>
        <w:t>y</w:t>
      </w:r>
      <w:r w:rsidR="00BC7344" w:rsidRPr="00BC7344">
        <w:rPr>
          <w:lang w:val="en-GB"/>
        </w:rPr>
        <w:t xml:space="preserve"> the influence between nodes</w:t>
      </w:r>
      <w:r w:rsidR="005711CF">
        <w:rPr>
          <w:lang w:val="en-GB"/>
        </w:rPr>
        <w:t xml:space="preserve"> in the BN</w:t>
      </w:r>
      <w:r w:rsidR="00BC7344" w:rsidRPr="00BC7344">
        <w:rPr>
          <w:lang w:val="en-GB"/>
        </w:rPr>
        <w:t xml:space="preserve">, enabling a ranked selection of the most critical incident chains for inclusion in </w:t>
      </w:r>
      <w:r w:rsidR="00C7576F">
        <w:rPr>
          <w:lang w:val="en-GB"/>
        </w:rPr>
        <w:t>risk assessment</w:t>
      </w:r>
      <w:r w:rsidR="00BC7344" w:rsidRPr="00BC7344">
        <w:rPr>
          <w:lang w:val="en-GB"/>
        </w:rPr>
        <w:t>.</w:t>
      </w:r>
      <w:r w:rsidR="00C7576F">
        <w:rPr>
          <w:lang w:val="en-GB"/>
        </w:rPr>
        <w:t xml:space="preserve"> </w:t>
      </w:r>
      <w:r w:rsidR="00BC7344" w:rsidRPr="00BC7344">
        <w:rPr>
          <w:lang w:val="en-GB"/>
        </w:rPr>
        <w:t xml:space="preserve">The methodology is demonstrated using a dataset of 109 security incidents </w:t>
      </w:r>
      <w:r w:rsidR="00C7576F">
        <w:rPr>
          <w:lang w:val="en-GB"/>
        </w:rPr>
        <w:t xml:space="preserve">occurred </w:t>
      </w:r>
      <w:r w:rsidR="00BC7344" w:rsidRPr="00BC7344">
        <w:rPr>
          <w:lang w:val="en-GB"/>
        </w:rPr>
        <w:t xml:space="preserve">in the offshore </w:t>
      </w:r>
      <w:proofErr w:type="spellStart"/>
      <w:r w:rsidR="005E298E" w:rsidRPr="00D30987">
        <w:rPr>
          <w:lang w:val="en-GB"/>
        </w:rPr>
        <w:t>Oil&amp;Gas</w:t>
      </w:r>
      <w:proofErr w:type="spellEnd"/>
      <w:r w:rsidR="00BC7344" w:rsidRPr="00BC7344">
        <w:rPr>
          <w:lang w:val="en-GB"/>
        </w:rPr>
        <w:t xml:space="preserve"> industry.</w:t>
      </w:r>
    </w:p>
    <w:p w14:paraId="476B2F2E" w14:textId="52B36035" w:rsidR="00600535" w:rsidRPr="00B57B36" w:rsidRDefault="00600535" w:rsidP="006F3EED">
      <w:pPr>
        <w:pStyle w:val="CETHeading1"/>
        <w:outlineLvl w:val="0"/>
        <w:rPr>
          <w:lang w:val="en-GB"/>
        </w:rPr>
      </w:pPr>
      <w:r w:rsidRPr="00B57B36">
        <w:rPr>
          <w:lang w:val="en-GB"/>
        </w:rPr>
        <w:t>Introduction</w:t>
      </w:r>
    </w:p>
    <w:p w14:paraId="3E15FCED" w14:textId="2C510CFC" w:rsidR="00D30987" w:rsidRPr="00D30987" w:rsidRDefault="00D30987" w:rsidP="00D30987">
      <w:pPr>
        <w:pStyle w:val="CETBodytext"/>
        <w:rPr>
          <w:lang w:val="en-GB"/>
        </w:rPr>
      </w:pPr>
      <w:r w:rsidRPr="00D30987">
        <w:rPr>
          <w:lang w:val="en-GB"/>
        </w:rPr>
        <w:t xml:space="preserve">The storage and processing of large quantities of hazardous materials in chemical, process, and </w:t>
      </w:r>
      <w:proofErr w:type="spellStart"/>
      <w:r w:rsidRPr="00D30987">
        <w:rPr>
          <w:lang w:val="en-GB"/>
        </w:rPr>
        <w:t>Oil&amp;Gas</w:t>
      </w:r>
      <w:proofErr w:type="spellEnd"/>
      <w:r w:rsidRPr="00D30987">
        <w:rPr>
          <w:lang w:val="en-GB"/>
        </w:rPr>
        <w:t xml:space="preserve"> industries (offshore and onshore) can lead to significant incidents such as releases, explosions, and fires, resulting in severe consequences for human life, the environment, and the assets. These events can be triggered by internal system-related factors (safety) </w:t>
      </w:r>
      <w:sdt>
        <w:sdtPr>
          <w:rPr>
            <w:color w:val="000000"/>
            <w:lang w:val="en-GB"/>
          </w:rPr>
          <w:tag w:val="MENDELEY_CITATION_v3_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"/>
          <w:id w:val="926463787"/>
          <w:placeholder>
            <w:docPart w:val="DefaultPlaceholder_-1854013440"/>
          </w:placeholder>
        </w:sdtPr>
        <w:sdtContent>
          <w:r w:rsidR="002751B1" w:rsidRPr="002751B1">
            <w:rPr>
              <w:color w:val="000000"/>
              <w:lang w:val="en-GB"/>
            </w:rPr>
            <w:t>(Mannan, 2012)</w:t>
          </w:r>
        </w:sdtContent>
      </w:sdt>
      <w:r w:rsidR="00155ED6">
        <w:rPr>
          <w:lang w:val="en-GB"/>
        </w:rPr>
        <w:t xml:space="preserve"> </w:t>
      </w:r>
      <w:r w:rsidRPr="00D30987">
        <w:rPr>
          <w:lang w:val="en-GB"/>
        </w:rPr>
        <w:t>or intentional attacks (security)</w:t>
      </w:r>
      <w:r w:rsidR="00155ED6">
        <w:rPr>
          <w:lang w:val="en-GB"/>
        </w:rPr>
        <w:t xml:space="preserve"> </w:t>
      </w:r>
      <w:sdt>
        <w:sdtPr>
          <w:rPr>
            <w:color w:val="000000"/>
            <w:lang w:val="en-GB"/>
          </w:rPr>
          <w:tag w:val="MENDELEY_CITATION_v3_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"/>
          <w:id w:val="-1391269268"/>
          <w:placeholder>
            <w:docPart w:val="DefaultPlaceholder_-1854013440"/>
          </w:placeholder>
        </w:sdtPr>
        <w:sdtContent>
          <w:r w:rsidR="002751B1" w:rsidRPr="002751B1">
            <w:rPr>
              <w:color w:val="000000"/>
              <w:lang w:val="en-GB"/>
            </w:rPr>
            <w:t>(Iaiani et al., 2024)</w:t>
          </w:r>
        </w:sdtContent>
      </w:sdt>
      <w:r w:rsidRPr="00D30987">
        <w:rPr>
          <w:lang w:val="en-GB"/>
        </w:rPr>
        <w:t>, and their proper identification and quantitative assessment is of paramount importance to enhance safety and security and to prevent potential disasters.</w:t>
      </w:r>
    </w:p>
    <w:p w14:paraId="6C94DFBE" w14:textId="4AE3480B" w:rsidR="00D30987" w:rsidRPr="00D30987" w:rsidRDefault="00D30987" w:rsidP="00D30987">
      <w:pPr>
        <w:pStyle w:val="CETBodytext"/>
        <w:rPr>
          <w:lang w:val="en-GB"/>
        </w:rPr>
      </w:pPr>
      <w:r w:rsidRPr="00D30987">
        <w:rPr>
          <w:lang w:val="en-GB"/>
        </w:rPr>
        <w:t>A common high-level approach to gather valuable insights supporting existing qualitative and quantitative risk analysis procedures (e.g., safety QRA studies, security vulnerability</w:t>
      </w:r>
      <w:r w:rsidR="000E511F">
        <w:rPr>
          <w:lang w:val="en-GB"/>
        </w:rPr>
        <w:t>/risk</w:t>
      </w:r>
      <w:r w:rsidRPr="00D30987">
        <w:rPr>
          <w:lang w:val="en-GB"/>
        </w:rPr>
        <w:t xml:space="preserve"> assessment (SVA</w:t>
      </w:r>
      <w:r w:rsidR="000E511F">
        <w:rPr>
          <w:lang w:val="en-GB"/>
        </w:rPr>
        <w:t>/SRA</w:t>
      </w:r>
      <w:r w:rsidRPr="00D30987">
        <w:rPr>
          <w:lang w:val="en-GB"/>
        </w:rPr>
        <w:t xml:space="preserve">) methodologies) is the analysis of past </w:t>
      </w:r>
      <w:r w:rsidR="00DE33F2">
        <w:rPr>
          <w:lang w:val="en-GB"/>
        </w:rPr>
        <w:t>events</w:t>
      </w:r>
      <w:r w:rsidRPr="00D30987">
        <w:rPr>
          <w:lang w:val="en-GB"/>
        </w:rPr>
        <w:t xml:space="preserve"> that occurred in similar facilities (e.g., belonging to the same industrial sector)</w:t>
      </w:r>
      <w:r w:rsidR="009D27E5">
        <w:rPr>
          <w:lang w:val="en-GB"/>
        </w:rPr>
        <w:t xml:space="preserve"> </w:t>
      </w:r>
      <w:sdt>
        <w:sdtPr>
          <w:rPr>
            <w:color w:val="000000"/>
            <w:lang w:val="en-GB"/>
          </w:rPr>
          <w:tag w:val="MENDELEY_CITATION_v3_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"/>
          <w:id w:val="1603985418"/>
          <w:placeholder>
            <w:docPart w:val="DefaultPlaceholder_-1854013440"/>
          </w:placeholder>
        </w:sdtPr>
        <w:sdtContent>
          <w:r w:rsidR="002751B1" w:rsidRPr="002751B1">
            <w:rPr>
              <w:color w:val="000000"/>
              <w:lang w:val="en-GB"/>
            </w:rPr>
            <w:t>(Iaiani et al., 2023)</w:t>
          </w:r>
        </w:sdtContent>
      </w:sdt>
      <w:r w:rsidRPr="00D30987">
        <w:rPr>
          <w:lang w:val="en-GB"/>
        </w:rPr>
        <w:t xml:space="preserve">. In fact, </w:t>
      </w:r>
      <w:r w:rsidR="003725C5">
        <w:rPr>
          <w:lang w:val="en-GB"/>
        </w:rPr>
        <w:t>this analysis</w:t>
      </w:r>
      <w:r w:rsidRPr="00D30987">
        <w:rPr>
          <w:lang w:val="en-GB"/>
        </w:rPr>
        <w:t xml:space="preserve"> can provide reference scenarios (chain of events from the origin of the risk to the final outcomes suffered by the affected facilities) that can be used by practitioners and authorities as the basis to undertake case-specific assessments. The detailed examination of past </w:t>
      </w:r>
      <w:r w:rsidR="00267B99">
        <w:rPr>
          <w:lang w:val="en-GB"/>
        </w:rPr>
        <w:t>events</w:t>
      </w:r>
      <w:r w:rsidRPr="00D30987">
        <w:rPr>
          <w:lang w:val="en-GB"/>
        </w:rPr>
        <w:t xml:space="preserve"> plays a crucial role in understanding the multifaceted nature of these events, identifying, e.g., common causes, systemic vulnerabilities of the systems, and potential consequences.</w:t>
      </w:r>
    </w:p>
    <w:p w14:paraId="26587F73" w14:textId="002FB33D" w:rsidR="00D30987" w:rsidRPr="00D30987" w:rsidRDefault="00D30987" w:rsidP="00D30987">
      <w:pPr>
        <w:pStyle w:val="CETBodytext"/>
        <w:rPr>
          <w:lang w:val="en-GB"/>
        </w:rPr>
      </w:pPr>
      <w:r w:rsidRPr="00D30987">
        <w:rPr>
          <w:lang w:val="en-GB"/>
        </w:rPr>
        <w:t xml:space="preserve">Exploratory Data Analysis (EDA) is conventionally employed in </w:t>
      </w:r>
      <w:r w:rsidR="00407DA3">
        <w:rPr>
          <w:lang w:val="en-GB"/>
        </w:rPr>
        <w:t>past event analysis</w:t>
      </w:r>
      <w:r w:rsidRPr="00D30987">
        <w:rPr>
          <w:lang w:val="en-GB"/>
        </w:rPr>
        <w:t xml:space="preserve">; however, it shows limitations in systematically </w:t>
      </w:r>
      <w:r w:rsidR="007215F6" w:rsidRPr="00D30987">
        <w:rPr>
          <w:lang w:val="en-GB"/>
        </w:rPr>
        <w:t>analysing</w:t>
      </w:r>
      <w:r w:rsidRPr="00D30987">
        <w:rPr>
          <w:lang w:val="en-GB"/>
        </w:rPr>
        <w:t xml:space="preserve"> incident datasets and prioritizing relevant incidental chains of events</w:t>
      </w:r>
      <w:r w:rsidR="00952371">
        <w:rPr>
          <w:lang w:val="en-GB"/>
        </w:rPr>
        <w:t xml:space="preserve"> </w:t>
      </w:r>
      <w:sdt>
        <w:sdtPr>
          <w:rPr>
            <w:color w:val="000000"/>
            <w:lang w:val="en-GB"/>
          </w:rPr>
          <w:tag w:val="MENDELEY_CITATION_v3_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"/>
          <w:id w:val="-997877314"/>
          <w:placeholder>
            <w:docPart w:val="DefaultPlaceholder_-1854013440"/>
          </w:placeholder>
        </w:sdtPr>
        <w:sdtContent>
          <w:r w:rsidR="002751B1" w:rsidRPr="002751B1">
            <w:rPr>
              <w:color w:val="000000"/>
              <w:lang w:val="en-GB"/>
            </w:rPr>
            <w:t>(Sales et al., 2007)</w:t>
          </w:r>
        </w:sdtContent>
      </w:sdt>
      <w:r w:rsidRPr="00D30987">
        <w:rPr>
          <w:lang w:val="en-GB"/>
        </w:rPr>
        <w:t>. Specifically, traditional EDA approaches may struggle to capture the complex interdependencies between various factors contributing to</w:t>
      </w:r>
      <w:r w:rsidR="004412D4">
        <w:rPr>
          <w:lang w:val="en-GB"/>
        </w:rPr>
        <w:t xml:space="preserve"> safety and security</w:t>
      </w:r>
      <w:r w:rsidRPr="00D30987">
        <w:rPr>
          <w:lang w:val="en-GB"/>
        </w:rPr>
        <w:t xml:space="preserve"> incidents, not allowing to properly represent incident causation and evolution. Moreover, EDA often faces challenges related to data availability, quality, and consistency</w:t>
      </w:r>
      <w:r w:rsidR="003F4A48">
        <w:rPr>
          <w:lang w:val="en-GB"/>
        </w:rPr>
        <w:t xml:space="preserve"> </w:t>
      </w:r>
      <w:sdt>
        <w:sdtPr>
          <w:rPr>
            <w:color w:val="000000"/>
            <w:lang w:val="en-GB"/>
          </w:rPr>
          <w:tag w:val="MENDELEY_CITATION_v3_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"/>
          <w:id w:val="1902252957"/>
          <w:placeholder>
            <w:docPart w:val="DefaultPlaceholder_-1854013440"/>
          </w:placeholder>
        </w:sdtPr>
        <w:sdtContent>
          <w:r w:rsidR="002751B1" w:rsidRPr="002751B1">
            <w:rPr>
              <w:color w:val="000000"/>
              <w:lang w:val="en-GB"/>
            </w:rPr>
            <w:t>(</w:t>
          </w:r>
          <w:proofErr w:type="spellStart"/>
          <w:r w:rsidR="002751B1" w:rsidRPr="002751B1">
            <w:rPr>
              <w:color w:val="000000"/>
              <w:lang w:val="en-GB"/>
            </w:rPr>
            <w:t>Konstandinidou</w:t>
          </w:r>
          <w:proofErr w:type="spellEnd"/>
          <w:r w:rsidR="002751B1" w:rsidRPr="002751B1">
            <w:rPr>
              <w:color w:val="000000"/>
              <w:lang w:val="en-GB"/>
            </w:rPr>
            <w:t xml:space="preserve"> et al., 2011)</w:t>
          </w:r>
        </w:sdtContent>
      </w:sdt>
      <w:r w:rsidRPr="00D30987">
        <w:rPr>
          <w:lang w:val="en-GB"/>
        </w:rPr>
        <w:t>.</w:t>
      </w:r>
    </w:p>
    <w:p w14:paraId="558976B6" w14:textId="19858EF9" w:rsidR="00775EDD" w:rsidRDefault="00D30987" w:rsidP="00D30987">
      <w:pPr>
        <w:pStyle w:val="CETBodytext"/>
        <w:rPr>
          <w:lang w:val="en-GB"/>
        </w:rPr>
      </w:pPr>
      <w:r w:rsidRPr="00D30987">
        <w:rPr>
          <w:lang w:val="en-GB"/>
        </w:rPr>
        <w:t>To overcome these limitations, the present study proposes a Bayesian Network modelling-based methodology, alternative to canonical EDA, for the systematic identification of the most relevant incidental chains, that serves as reference scenarios, from safety/security incident datasets. This methodology</w:t>
      </w:r>
      <w:r w:rsidR="00E64F73">
        <w:rPr>
          <w:lang w:val="en-GB"/>
        </w:rPr>
        <w:t>, called BAS</w:t>
      </w:r>
      <w:r w:rsidR="00E64F73" w:rsidRPr="00E64F73">
        <w:rPr>
          <w:vertAlign w:val="superscript"/>
          <w:lang w:val="en-GB"/>
        </w:rPr>
        <w:t>2</w:t>
      </w:r>
      <w:r w:rsidR="00E64F73">
        <w:rPr>
          <w:lang w:val="en-GB"/>
        </w:rPr>
        <w:t>E (</w:t>
      </w:r>
      <w:r w:rsidR="00E64F73" w:rsidRPr="00DA32FF">
        <w:rPr>
          <w:lang w:val="en-GB"/>
        </w:rPr>
        <w:t>Bayesian network Analysis of Safety and Security Events</w:t>
      </w:r>
      <w:r w:rsidR="00E64F73">
        <w:rPr>
          <w:lang w:val="en-GB"/>
        </w:rPr>
        <w:t>)</w:t>
      </w:r>
      <w:r w:rsidRPr="00D30987">
        <w:rPr>
          <w:lang w:val="en-GB"/>
        </w:rPr>
        <w:t xml:space="preserve"> leverages probabilistic models to explicitly represent and quantify the uncertainties and causal relationships between different variables involved in incidents. The use of </w:t>
      </w:r>
      <w:r w:rsidRPr="00D30987">
        <w:rPr>
          <w:lang w:val="en-GB"/>
        </w:rPr>
        <w:lastRenderedPageBreak/>
        <w:t xml:space="preserve">the Bayesian Network modelling allows for the integration of both quantitative data and qualitative expert judgments, enhancing the robustness and relevance of the analysis in the face of data limitations. The proposed innovative approach is illustratively applied to a case study concerning a dataset of security-related incidents occurred in offshore </w:t>
      </w:r>
      <w:r w:rsidR="000D2435">
        <w:rPr>
          <w:lang w:val="en-GB"/>
        </w:rPr>
        <w:t>oil and gas</w:t>
      </w:r>
      <w:r w:rsidRPr="00D30987">
        <w:rPr>
          <w:lang w:val="en-GB"/>
        </w:rPr>
        <w:t xml:space="preserve"> fluid production facilities, providing reference security scenarios to be used in the context of security studies of offshore critical infrastructures.</w:t>
      </w:r>
    </w:p>
    <w:p w14:paraId="34DF851B" w14:textId="5905F8E3" w:rsidR="001554C6" w:rsidRDefault="001554C6" w:rsidP="006F3EED">
      <w:pPr>
        <w:pStyle w:val="CETHeading1"/>
        <w:outlineLvl w:val="0"/>
      </w:pPr>
      <w:r>
        <w:t>Mathematical models</w:t>
      </w:r>
    </w:p>
    <w:p w14:paraId="3F11AC95" w14:textId="5FBCD80A" w:rsidR="00FF549E" w:rsidRDefault="00FF549E" w:rsidP="006F3EED">
      <w:pPr>
        <w:pStyle w:val="CETheadingx"/>
      </w:pPr>
      <w:r>
        <w:t>Bayesian Network</w:t>
      </w:r>
    </w:p>
    <w:p w14:paraId="3CA9448B" w14:textId="0F86DB8E" w:rsidR="001554C6" w:rsidRDefault="00782A49" w:rsidP="001554C6">
      <w:pPr>
        <w:pStyle w:val="CETBodytext"/>
        <w:rPr>
          <w:bCs/>
        </w:rPr>
      </w:pPr>
      <w:r w:rsidRPr="00782A49">
        <w:rPr>
          <w:lang w:val="en-GB"/>
        </w:rPr>
        <w:t>Bayesian Networks (BNs) are probabilistic models that represent uncertain relationships among variables using a directed acyclic graph (DAG). Each node represents a variable, and directed edges between nodes signify conditional dependencies. The strength of these dependencies is quantified through Conditional Probability Tables (CPTs). The joint probability distribution of the set of variables</w:t>
      </w:r>
      <w:r w:rsidR="00A14BEC">
        <w:rPr>
          <w:lang w:val="en-GB"/>
        </w:rPr>
        <w:t xml:space="preserve"> </w:t>
      </w:r>
      <m:oMath>
        <m:r>
          <w:rPr>
            <w:rFonts w:ascii="Cambria Math" w:hAnsi="Cambria Math"/>
          </w:rPr>
          <m:t>U=</m:t>
        </m:r>
        <m:d>
          <m:dPr>
            <m:begChr m:val="{"/>
            <m:endChr m:val="}"/>
            <m:ctrlPr>
              <w:rPr>
                <w:rFonts w:ascii="Cambria Math" w:hAnsi="Cambria Math"/>
                <w:bCs/>
                <w:i/>
              </w:rPr>
            </m:ctrlPr>
          </m:dPr>
          <m:e>
            <m:sSub>
              <m:sSubPr>
                <m:ctrlPr>
                  <w:rPr>
                    <w:rFonts w:ascii="Cambria Math" w:hAnsi="Cambria Math"/>
                    <w:bCs/>
                    <w:i/>
                  </w:rPr>
                </m:ctrlPr>
              </m:sSubPr>
              <m:e>
                <m:r>
                  <w:rPr>
                    <w:rFonts w:ascii="Cambria Math" w:hAnsi="Cambria Math"/>
                  </w:rPr>
                  <m:t>F</m:t>
                </m:r>
              </m:e>
              <m:sub>
                <m:r>
                  <w:rPr>
                    <w:rFonts w:ascii="Cambria Math" w:hAnsi="Cambria Math"/>
                  </w:rPr>
                  <m:t>1</m:t>
                </m:r>
              </m:sub>
            </m:sSub>
            <m:r>
              <w:rPr>
                <w:rFonts w:ascii="Cambria Math" w:hAnsi="Cambria Math"/>
              </w:rPr>
              <m:t xml:space="preserve">, …, </m:t>
            </m:r>
            <m:sSub>
              <m:sSubPr>
                <m:ctrlPr>
                  <w:rPr>
                    <w:rFonts w:ascii="Cambria Math" w:hAnsi="Cambria Math"/>
                    <w:bCs/>
                    <w:i/>
                  </w:rPr>
                </m:ctrlPr>
              </m:sSubPr>
              <m:e>
                <m:r>
                  <w:rPr>
                    <w:rFonts w:ascii="Cambria Math" w:hAnsi="Cambria Math"/>
                  </w:rPr>
                  <m:t>F</m:t>
                </m:r>
              </m:e>
              <m:sub>
                <m:r>
                  <w:rPr>
                    <w:rFonts w:ascii="Cambria Math" w:hAnsi="Cambria Math"/>
                  </w:rPr>
                  <m:t>n</m:t>
                </m:r>
              </m:sub>
            </m:sSub>
          </m:e>
        </m:d>
      </m:oMath>
      <w:r w:rsidR="007600F6">
        <w:rPr>
          <w:bCs/>
        </w:rPr>
        <w:t xml:space="preserve"> in a BN is given by</w:t>
      </w:r>
      <w:r w:rsidR="0019726C">
        <w:rPr>
          <w:bCs/>
        </w:rPr>
        <w:t xml:space="preserve"> </w:t>
      </w:r>
      <w:sdt>
        <w:sdtPr>
          <w:rPr>
            <w:bCs/>
            <w:color w:val="000000"/>
          </w:rPr>
          <w:tag w:val="MENDELEY_CITATION_v3_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"/>
          <w:id w:val="-485551227"/>
          <w:placeholder>
            <w:docPart w:val="DefaultPlaceholder_-1854013440"/>
          </w:placeholder>
        </w:sdtPr>
        <w:sdtContent>
          <w:r w:rsidR="002751B1" w:rsidRPr="002751B1">
            <w:rPr>
              <w:bCs/>
              <w:color w:val="000000"/>
            </w:rPr>
            <w:t>(Jensen and Nielsen, 2007)</w:t>
          </w:r>
        </w:sdtContent>
      </w:sdt>
      <w:r w:rsidR="007600F6">
        <w:rPr>
          <w:bCs/>
        </w:rPr>
        <w:t>:</w:t>
      </w:r>
    </w:p>
    <w:tbl>
      <w:tblPr>
        <w:tblW w:w="5000" w:type="pct"/>
        <w:tblLook w:val="04A0" w:firstRow="1" w:lastRow="0" w:firstColumn="1" w:lastColumn="0" w:noHBand="0" w:noVBand="1"/>
      </w:tblPr>
      <w:tblGrid>
        <w:gridCol w:w="7986"/>
        <w:gridCol w:w="801"/>
      </w:tblGrid>
      <w:tr w:rsidR="007600F6" w:rsidRPr="00B57B36" w14:paraId="1892F8CE" w14:textId="77777777" w:rsidTr="00BD77FB">
        <w:tc>
          <w:tcPr>
            <w:tcW w:w="7986" w:type="dxa"/>
            <w:shd w:val="clear" w:color="auto" w:fill="auto"/>
            <w:vAlign w:val="center"/>
          </w:tcPr>
          <w:p w14:paraId="63741CF7" w14:textId="2AC3B707" w:rsidR="007600F6" w:rsidRPr="005650C6" w:rsidRDefault="00E94E55" w:rsidP="00895F9F">
            <w:pPr>
              <w:pStyle w:val="CETEquation"/>
            </w:pPr>
            <m:oMathPara>
              <m:oMathParaPr>
                <m:jc m:val="left"/>
              </m:oMathParaPr>
              <m:oMath>
                <m:r>
                  <w:rPr>
                    <w:rFonts w:ascii="Cambria Math" w:hAnsi="Cambria Math"/>
                  </w:rPr>
                  <m:t>Pr</m:t>
                </m:r>
                <m:d>
                  <m:dPr>
                    <m:ctrlPr>
                      <w:rPr>
                        <w:rFonts w:ascii="Cambria Math" w:hAnsi="Cambria Math"/>
                        <w:bCs/>
                        <w:i/>
                      </w:rPr>
                    </m:ctrlPr>
                  </m:dPr>
                  <m:e>
                    <m:r>
                      <w:rPr>
                        <w:rFonts w:ascii="Cambria Math" w:hAnsi="Cambria Math"/>
                      </w:rPr>
                      <m:t>U</m:t>
                    </m:r>
                  </m:e>
                </m:d>
                <m:r>
                  <w:rPr>
                    <w:rFonts w:ascii="Cambria Math" w:hAnsi="Cambria Math"/>
                  </w:rPr>
                  <m:t>=</m:t>
                </m:r>
                <m:nary>
                  <m:naryPr>
                    <m:chr m:val="∏"/>
                    <m:limLoc m:val="undOvr"/>
                    <m:ctrlPr>
                      <w:rPr>
                        <w:rFonts w:ascii="Cambria Math" w:hAnsi="Cambria Math"/>
                        <w:bCs/>
                        <w:i/>
                      </w:rPr>
                    </m:ctrlPr>
                  </m:naryPr>
                  <m:sub>
                    <m:r>
                      <w:rPr>
                        <w:rFonts w:ascii="Cambria Math" w:hAnsi="Cambria Math"/>
                      </w:rPr>
                      <m:t>i=1</m:t>
                    </m:r>
                  </m:sub>
                  <m:sup>
                    <m:r>
                      <w:rPr>
                        <w:rFonts w:ascii="Cambria Math" w:hAnsi="Cambria Math"/>
                      </w:rPr>
                      <m:t>n</m:t>
                    </m:r>
                  </m:sup>
                  <m:e>
                    <m:r>
                      <w:rPr>
                        <w:rFonts w:ascii="Cambria Math" w:hAnsi="Cambria Math"/>
                      </w:rPr>
                      <m:t>p(</m:t>
                    </m:r>
                    <m:sSub>
                      <m:sSubPr>
                        <m:ctrlPr>
                          <w:rPr>
                            <w:rFonts w:ascii="Cambria Math" w:hAnsi="Cambria Math"/>
                            <w:bCs/>
                            <w:i/>
                          </w:rPr>
                        </m:ctrlPr>
                      </m:sSubPr>
                      <m:e>
                        <m:r>
                          <w:rPr>
                            <w:rFonts w:ascii="Cambria Math" w:hAnsi="Cambria Math"/>
                          </w:rPr>
                          <m:t>F</m:t>
                        </m:r>
                      </m:e>
                      <m:sub>
                        <m:r>
                          <w:rPr>
                            <w:rFonts w:ascii="Cambria Math" w:hAnsi="Cambria Math"/>
                          </w:rPr>
                          <m:t>i</m:t>
                        </m:r>
                      </m:sub>
                    </m:sSub>
                    <m:sSub>
                      <m:sSubPr>
                        <m:ctrlPr>
                          <w:rPr>
                            <w:rFonts w:ascii="Cambria Math" w:hAnsi="Cambria Math"/>
                            <w:bCs/>
                            <w:i/>
                          </w:rPr>
                        </m:ctrlPr>
                      </m:sSubPr>
                      <m:e>
                        <m:d>
                          <m:dPr>
                            <m:begChr m:val="|"/>
                            <m:endChr m:val=""/>
                            <m:ctrlPr>
                              <w:rPr>
                                <w:rFonts w:ascii="Cambria Math" w:hAnsi="Cambria Math"/>
                                <w:bCs/>
                                <w:i/>
                              </w:rPr>
                            </m:ctrlPr>
                          </m:dPr>
                          <m:e>
                            <m:r>
                              <w:rPr>
                                <w:rFonts w:ascii="Cambria Math" w:hAnsi="Cambria Math"/>
                              </w:rPr>
                              <m:t>Pa(F</m:t>
                            </m:r>
                          </m:e>
                        </m:d>
                      </m:e>
                      <m:sub>
                        <m:r>
                          <w:rPr>
                            <w:rFonts w:ascii="Cambria Math" w:hAnsi="Cambria Math"/>
                          </w:rPr>
                          <m:t>i</m:t>
                        </m:r>
                      </m:sub>
                    </m:sSub>
                    <m:r>
                      <w:rPr>
                        <w:rFonts w:ascii="Cambria Math" w:hAnsi="Cambria Math"/>
                      </w:rPr>
                      <m:t>))</m:t>
                    </m:r>
                  </m:e>
                </m:nary>
              </m:oMath>
            </m:oMathPara>
          </w:p>
        </w:tc>
        <w:tc>
          <w:tcPr>
            <w:tcW w:w="801" w:type="dxa"/>
            <w:shd w:val="clear" w:color="auto" w:fill="auto"/>
            <w:vAlign w:val="center"/>
          </w:tcPr>
          <w:p w14:paraId="78881B79" w14:textId="77777777" w:rsidR="007600F6" w:rsidRPr="00B57B36" w:rsidRDefault="007600F6" w:rsidP="00895F9F">
            <w:pPr>
              <w:pStyle w:val="CETEquation"/>
              <w:jc w:val="right"/>
            </w:pPr>
            <w:r w:rsidRPr="00B57B36">
              <w:t>(1)</w:t>
            </w:r>
          </w:p>
        </w:tc>
      </w:tr>
    </w:tbl>
    <w:p w14:paraId="1CAFDBB2" w14:textId="77777777" w:rsidR="00DA6776" w:rsidRDefault="00BD77FB" w:rsidP="001554C6">
      <w:pPr>
        <w:pStyle w:val="CETBodytext"/>
        <w:rPr>
          <w:lang w:val="en-GB"/>
        </w:rPr>
      </w:pPr>
      <w:r w:rsidRPr="00BD77FB">
        <w:rPr>
          <w:lang w:val="en-GB"/>
        </w:rPr>
        <w:t xml:space="preserve">where </w:t>
      </w:r>
      <m:oMath>
        <m:r>
          <w:rPr>
            <w:rFonts w:ascii="Cambria Math" w:hAnsi="Cambria Math"/>
          </w:rPr>
          <m:t>Pa(</m:t>
        </m:r>
        <m:sSub>
          <m:sSubPr>
            <m:ctrlPr>
              <w:rPr>
                <w:rFonts w:ascii="Cambria Math" w:hAnsi="Cambria Math"/>
                <w:bCs/>
                <w:i/>
              </w:rPr>
            </m:ctrlPr>
          </m:sSubPr>
          <m:e>
            <m:r>
              <w:rPr>
                <w:rFonts w:ascii="Cambria Math" w:hAnsi="Cambria Math"/>
              </w:rPr>
              <m:t>F</m:t>
            </m:r>
          </m:e>
          <m:sub>
            <m:r>
              <w:rPr>
                <w:rFonts w:ascii="Cambria Math" w:hAnsi="Cambria Math"/>
              </w:rPr>
              <m:t>i</m:t>
            </m:r>
          </m:sub>
        </m:sSub>
        <m:r>
          <w:rPr>
            <w:rFonts w:ascii="Cambria Math" w:hAnsi="Cambria Math"/>
          </w:rPr>
          <m:t>)</m:t>
        </m:r>
      </m:oMath>
      <w:r w:rsidR="00927A2E">
        <w:t xml:space="preserve"> </w:t>
      </w:r>
      <w:r w:rsidRPr="00BD77FB">
        <w:rPr>
          <w:lang w:val="en-GB"/>
        </w:rPr>
        <w:t xml:space="preserve">represents the parent nodes of the variable </w:t>
      </w:r>
      <m:oMath>
        <m:sSub>
          <m:sSubPr>
            <m:ctrlPr>
              <w:rPr>
                <w:rFonts w:ascii="Cambria Math" w:hAnsi="Cambria Math"/>
                <w:bCs/>
                <w:i/>
              </w:rPr>
            </m:ctrlPr>
          </m:sSubPr>
          <m:e>
            <m:r>
              <w:rPr>
                <w:rFonts w:ascii="Cambria Math" w:hAnsi="Cambria Math"/>
              </w:rPr>
              <m:t>F</m:t>
            </m:r>
          </m:e>
          <m:sub>
            <m:r>
              <w:rPr>
                <w:rFonts w:ascii="Cambria Math" w:hAnsi="Cambria Math"/>
              </w:rPr>
              <m:t>i</m:t>
            </m:r>
          </m:sub>
        </m:sSub>
      </m:oMath>
      <w:r w:rsidRPr="00BD77FB">
        <w:rPr>
          <w:lang w:val="en-GB"/>
        </w:rPr>
        <w:t xml:space="preserve">​. </w:t>
      </w:r>
    </w:p>
    <w:p w14:paraId="37C7551C" w14:textId="4EF1F6E8" w:rsidR="007600F6" w:rsidRDefault="00BD77FB" w:rsidP="001554C6">
      <w:pPr>
        <w:pStyle w:val="CETBodytext"/>
        <w:rPr>
          <w:lang w:val="en-GB"/>
        </w:rPr>
      </w:pPr>
      <w:r w:rsidRPr="00BD77FB">
        <w:rPr>
          <w:lang w:val="en-GB"/>
        </w:rPr>
        <w:t xml:space="preserve">BN </w:t>
      </w:r>
      <w:r w:rsidR="00DA6776" w:rsidRPr="00BD77FB">
        <w:rPr>
          <w:lang w:val="en-GB"/>
        </w:rPr>
        <w:t>modelling</w:t>
      </w:r>
      <w:r w:rsidRPr="00BD77FB">
        <w:rPr>
          <w:lang w:val="en-GB"/>
        </w:rPr>
        <w:t xml:space="preserve"> uses Bayes' theorem to update probabilities dynamically when new evidence becomes available, providing the posterior probabilities as</w:t>
      </w:r>
      <w:r w:rsidR="00DD100A">
        <w:rPr>
          <w:lang w:val="en-GB"/>
        </w:rPr>
        <w:t xml:space="preserve"> </w:t>
      </w:r>
      <w:sdt>
        <w:sdtPr>
          <w:rPr>
            <w:color w:val="000000"/>
            <w:lang w:val="en-GB"/>
          </w:rPr>
          <w:tag w:val="MENDELEY_CITATION_v3_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"/>
          <w:id w:val="584033021"/>
          <w:placeholder>
            <w:docPart w:val="DefaultPlaceholder_-1854013440"/>
          </w:placeholder>
        </w:sdtPr>
        <w:sdtEndPr>
          <w:rPr>
            <w:bCs/>
            <w:lang w:val="en-US"/>
          </w:rPr>
        </w:sdtEndPr>
        <w:sdtContent>
          <w:r w:rsidR="002751B1" w:rsidRPr="002751B1">
            <w:rPr>
              <w:bCs/>
              <w:color w:val="000000"/>
            </w:rPr>
            <w:t>(Jensen and Nielsen, 2007)</w:t>
          </w:r>
        </w:sdtContent>
      </w:sdt>
      <w:r w:rsidRPr="00BD77FB">
        <w:rPr>
          <w:lang w:val="en-GB"/>
        </w:rPr>
        <w:t>:</w:t>
      </w:r>
    </w:p>
    <w:tbl>
      <w:tblPr>
        <w:tblW w:w="5000" w:type="pct"/>
        <w:tblLook w:val="04A0" w:firstRow="1" w:lastRow="0" w:firstColumn="1" w:lastColumn="0" w:noHBand="0" w:noVBand="1"/>
      </w:tblPr>
      <w:tblGrid>
        <w:gridCol w:w="7986"/>
        <w:gridCol w:w="801"/>
      </w:tblGrid>
      <w:tr w:rsidR="00B12F6F" w:rsidRPr="00B57B36" w14:paraId="35643BF0" w14:textId="77777777" w:rsidTr="00895F9F">
        <w:tc>
          <w:tcPr>
            <w:tcW w:w="7986" w:type="dxa"/>
            <w:shd w:val="clear" w:color="auto" w:fill="auto"/>
            <w:vAlign w:val="center"/>
          </w:tcPr>
          <w:p w14:paraId="71CF7C50" w14:textId="4D11F9E2" w:rsidR="00B12F6F" w:rsidRPr="005650C6" w:rsidRDefault="003E60C7" w:rsidP="00895F9F">
            <w:pPr>
              <w:pStyle w:val="CETEquation"/>
            </w:pPr>
            <m:oMathPara>
              <m:oMathParaPr>
                <m:jc m:val="left"/>
              </m:oMathParaPr>
              <m:oMath>
                <m:r>
                  <w:rPr>
                    <w:rFonts w:ascii="Cambria Math" w:hAnsi="Cambria Math"/>
                  </w:rPr>
                  <m:t>Pr</m:t>
                </m:r>
                <m:d>
                  <m:dPr>
                    <m:ctrlPr>
                      <w:rPr>
                        <w:rFonts w:ascii="Cambria Math" w:hAnsi="Cambria Math"/>
                        <w:bCs/>
                        <w:i/>
                      </w:rPr>
                    </m:ctrlPr>
                  </m:dPr>
                  <m:e>
                    <m:r>
                      <w:rPr>
                        <w:rFonts w:ascii="Cambria Math" w:hAnsi="Cambria Math"/>
                      </w:rPr>
                      <m:t>U</m:t>
                    </m:r>
                    <m:d>
                      <m:dPr>
                        <m:begChr m:val="|"/>
                        <m:endChr m:val=""/>
                        <m:ctrlPr>
                          <w:rPr>
                            <w:rFonts w:ascii="Cambria Math" w:hAnsi="Cambria Math"/>
                            <w:bCs/>
                            <w:i/>
                          </w:rPr>
                        </m:ctrlPr>
                      </m:dPr>
                      <m:e>
                        <m:r>
                          <w:rPr>
                            <w:rFonts w:ascii="Cambria Math" w:hAnsi="Cambria Math"/>
                          </w:rPr>
                          <m:t>E</m:t>
                        </m:r>
                      </m:e>
                    </m:d>
                  </m:e>
                </m:d>
                <m:r>
                  <w:rPr>
                    <w:rFonts w:ascii="Cambria Math" w:hAnsi="Cambria Math"/>
                  </w:rPr>
                  <m:t>=</m:t>
                </m:r>
                <m:f>
                  <m:fPr>
                    <m:ctrlPr>
                      <w:rPr>
                        <w:rFonts w:ascii="Cambria Math" w:hAnsi="Cambria Math"/>
                        <w:bCs/>
                        <w:i/>
                      </w:rPr>
                    </m:ctrlPr>
                  </m:fPr>
                  <m:num>
                    <m:r>
                      <w:rPr>
                        <w:rFonts w:ascii="Cambria Math" w:hAnsi="Cambria Math"/>
                      </w:rPr>
                      <m:t>Pr</m:t>
                    </m:r>
                    <m:d>
                      <m:dPr>
                        <m:ctrlPr>
                          <w:rPr>
                            <w:rFonts w:ascii="Cambria Math" w:hAnsi="Cambria Math"/>
                            <w:bCs/>
                            <w:i/>
                          </w:rPr>
                        </m:ctrlPr>
                      </m:dPr>
                      <m:e>
                        <m:r>
                          <w:rPr>
                            <w:rFonts w:ascii="Cambria Math" w:hAnsi="Cambria Math"/>
                          </w:rPr>
                          <m:t>U∧E</m:t>
                        </m:r>
                      </m:e>
                    </m:d>
                  </m:num>
                  <m:den>
                    <m:r>
                      <w:rPr>
                        <w:rFonts w:ascii="Cambria Math" w:hAnsi="Cambria Math"/>
                      </w:rPr>
                      <m:t>Pr(E)</m:t>
                    </m:r>
                  </m:den>
                </m:f>
                <m:r>
                  <w:rPr>
                    <w:rFonts w:ascii="Cambria Math" w:hAnsi="Cambria Math"/>
                  </w:rPr>
                  <m:t>=</m:t>
                </m:r>
                <m:f>
                  <m:fPr>
                    <m:ctrlPr>
                      <w:rPr>
                        <w:rFonts w:ascii="Cambria Math" w:hAnsi="Cambria Math"/>
                        <w:bCs/>
                        <w:i/>
                      </w:rPr>
                    </m:ctrlPr>
                  </m:fPr>
                  <m:num>
                    <m:r>
                      <w:rPr>
                        <w:rFonts w:ascii="Cambria Math" w:hAnsi="Cambria Math"/>
                      </w:rPr>
                      <m:t>Pr</m:t>
                    </m:r>
                    <m:d>
                      <m:dPr>
                        <m:ctrlPr>
                          <w:rPr>
                            <w:rFonts w:ascii="Cambria Math" w:hAnsi="Cambria Math"/>
                            <w:bCs/>
                            <w:i/>
                          </w:rPr>
                        </m:ctrlPr>
                      </m:dPr>
                      <m:e>
                        <m:r>
                          <w:rPr>
                            <w:rFonts w:ascii="Cambria Math" w:hAnsi="Cambria Math"/>
                          </w:rPr>
                          <m:t>U∧E</m:t>
                        </m:r>
                      </m:e>
                    </m:d>
                  </m:num>
                  <m:den>
                    <m:nary>
                      <m:naryPr>
                        <m:chr m:val="∑"/>
                        <m:limLoc m:val="subSup"/>
                        <m:supHide m:val="1"/>
                        <m:ctrlPr>
                          <w:rPr>
                            <w:rFonts w:ascii="Cambria Math" w:hAnsi="Cambria Math"/>
                            <w:bCs/>
                            <w:i/>
                          </w:rPr>
                        </m:ctrlPr>
                      </m:naryPr>
                      <m:sub>
                        <m:r>
                          <w:rPr>
                            <w:rFonts w:ascii="Cambria Math" w:hAnsi="Cambria Math"/>
                          </w:rPr>
                          <m:t>U</m:t>
                        </m:r>
                      </m:sub>
                      <m:sup/>
                      <m:e>
                        <m:r>
                          <w:rPr>
                            <w:rFonts w:ascii="Cambria Math" w:hAnsi="Cambria Math"/>
                          </w:rPr>
                          <m:t>Pr(U∧E)</m:t>
                        </m:r>
                      </m:e>
                    </m:nary>
                  </m:den>
                </m:f>
              </m:oMath>
            </m:oMathPara>
          </w:p>
        </w:tc>
        <w:tc>
          <w:tcPr>
            <w:tcW w:w="801" w:type="dxa"/>
            <w:shd w:val="clear" w:color="auto" w:fill="auto"/>
            <w:vAlign w:val="center"/>
          </w:tcPr>
          <w:p w14:paraId="3FE0FD5A" w14:textId="2B75B9B1" w:rsidR="00B12F6F" w:rsidRPr="00B57B36" w:rsidRDefault="00B12F6F" w:rsidP="00895F9F">
            <w:pPr>
              <w:pStyle w:val="CETEquation"/>
              <w:jc w:val="right"/>
            </w:pPr>
            <w:r w:rsidRPr="00B57B36">
              <w:t>(</w:t>
            </w:r>
            <w:r>
              <w:t>2</w:t>
            </w:r>
            <w:r w:rsidRPr="00B57B36">
              <w:t>)</w:t>
            </w:r>
          </w:p>
        </w:tc>
      </w:tr>
    </w:tbl>
    <w:p w14:paraId="2EFBC14D" w14:textId="4AFCAFE2" w:rsidR="007463DE" w:rsidRDefault="00CA20AC" w:rsidP="001554C6">
      <w:pPr>
        <w:pStyle w:val="CETBodytext"/>
        <w:rPr>
          <w:lang w:val="en-GB"/>
        </w:rPr>
      </w:pPr>
      <w:r w:rsidRPr="00CA20AC">
        <w:rPr>
          <w:lang w:val="en-GB"/>
        </w:rPr>
        <w:t xml:space="preserve">This dynamic updating makes BNs a powerful tool for accident </w:t>
      </w:r>
      <w:r w:rsidR="00925844" w:rsidRPr="00CA20AC">
        <w:rPr>
          <w:lang w:val="en-GB"/>
        </w:rPr>
        <w:t>modelling</w:t>
      </w:r>
      <w:r w:rsidRPr="00CA20AC">
        <w:rPr>
          <w:lang w:val="en-GB"/>
        </w:rPr>
        <w:t xml:space="preserve"> and risk assessments. Compared to traditional methods like </w:t>
      </w:r>
      <w:proofErr w:type="gramStart"/>
      <w:r w:rsidRPr="00CA20AC">
        <w:rPr>
          <w:lang w:val="en-GB"/>
        </w:rPr>
        <w:t>Bow-Tie</w:t>
      </w:r>
      <w:proofErr w:type="gramEnd"/>
      <w:r w:rsidRPr="00CA20AC">
        <w:rPr>
          <w:lang w:val="en-GB"/>
        </w:rPr>
        <w:t xml:space="preserve"> (BT) analysis, BNs are better suited for handling conditional dependencies and dynamically updating risk probabilities as system conditions evolve.</w:t>
      </w:r>
      <w:r w:rsidR="00B83A64">
        <w:rPr>
          <w:lang w:val="en-GB"/>
        </w:rPr>
        <w:t xml:space="preserve"> </w:t>
      </w:r>
      <w:r w:rsidR="00F36467">
        <w:rPr>
          <w:lang w:val="en-GB"/>
        </w:rPr>
        <w:t xml:space="preserve">For this reason, </w:t>
      </w:r>
      <w:r w:rsidR="00B83A64">
        <w:rPr>
          <w:lang w:val="en-GB"/>
        </w:rPr>
        <w:t>t</w:t>
      </w:r>
      <w:r w:rsidR="007463DE">
        <w:rPr>
          <w:lang w:val="en-GB"/>
        </w:rPr>
        <w:t>he BN modelling is used in the BAS</w:t>
      </w:r>
      <w:r w:rsidR="007463DE" w:rsidRPr="00AF79CE">
        <w:rPr>
          <w:vertAlign w:val="superscript"/>
          <w:lang w:val="en-GB"/>
        </w:rPr>
        <w:t>2</w:t>
      </w:r>
      <w:r w:rsidR="00AF79CE">
        <w:rPr>
          <w:lang w:val="en-GB"/>
        </w:rPr>
        <w:t>E methodology as core mathematical model.</w:t>
      </w:r>
    </w:p>
    <w:p w14:paraId="1E3EBC85" w14:textId="7880FEB4" w:rsidR="00E50DC3" w:rsidRDefault="003375DB" w:rsidP="006F3EED">
      <w:pPr>
        <w:pStyle w:val="CETheadingx"/>
      </w:pPr>
      <w:r>
        <w:t>Noisy-OR gate model</w:t>
      </w:r>
    </w:p>
    <w:p w14:paraId="34EFCAAC" w14:textId="03028D68" w:rsidR="00CA20AC" w:rsidRPr="00226E07" w:rsidRDefault="00CA20AC" w:rsidP="005F57C0">
      <w:pPr>
        <w:pStyle w:val="CETBodytext"/>
        <w:rPr>
          <w:lang w:val="en-GB" w:eastAsia="it-IT"/>
        </w:rPr>
      </w:pPr>
      <w:r w:rsidRPr="00CA20AC">
        <w:rPr>
          <w:lang w:val="en-GB" w:eastAsia="it-IT"/>
        </w:rPr>
        <w:t xml:space="preserve">A significant challenge in BN </w:t>
      </w:r>
      <w:r w:rsidR="00925844" w:rsidRPr="00CA20AC">
        <w:rPr>
          <w:lang w:val="en-GB" w:eastAsia="it-IT"/>
        </w:rPr>
        <w:t>modelling</w:t>
      </w:r>
      <w:r w:rsidRPr="00CA20AC">
        <w:rPr>
          <w:lang w:val="en-GB" w:eastAsia="it-IT"/>
        </w:rPr>
        <w:t xml:space="preserve"> is determining the CPTs, </w:t>
      </w:r>
      <w:r w:rsidR="00D7492D" w:rsidRPr="00D7492D">
        <w:rPr>
          <w:lang w:val="en-GB" w:eastAsia="it-IT"/>
        </w:rPr>
        <w:t>especially when dealing with limited data availability</w:t>
      </w:r>
      <w:r w:rsidRPr="00CA20AC">
        <w:rPr>
          <w:lang w:val="en-GB" w:eastAsia="it-IT"/>
        </w:rPr>
        <w:t xml:space="preserve">. The Noisy-OR gate model offers a solution by simplifying the CPT through reduced parameter requirements. In this model, each parent node </w:t>
      </w:r>
      <m:oMath>
        <m:sSub>
          <m:sSubPr>
            <m:ctrlPr>
              <w:rPr>
                <w:rFonts w:ascii="Cambria Math" w:hAnsi="Cambria Math"/>
                <w:i/>
                <w:lang w:val="en-GB" w:eastAsia="it-IT"/>
              </w:rPr>
            </m:ctrlPr>
          </m:sSubPr>
          <m:e>
            <m:r>
              <w:rPr>
                <w:rFonts w:ascii="Cambria Math" w:hAnsi="Cambria Math"/>
                <w:lang w:val="en-GB" w:eastAsia="it-IT"/>
              </w:rPr>
              <m:t>X</m:t>
            </m:r>
          </m:e>
          <m:sub>
            <m:r>
              <w:rPr>
                <w:rFonts w:ascii="Cambria Math" w:hAnsi="Cambria Math"/>
                <w:lang w:val="en-GB" w:eastAsia="it-IT"/>
              </w:rPr>
              <m:t>i</m:t>
            </m:r>
          </m:sub>
        </m:sSub>
      </m:oMath>
      <w:r w:rsidR="00925844">
        <w:rPr>
          <w:lang w:val="en-GB" w:eastAsia="it-IT"/>
        </w:rPr>
        <w:t xml:space="preserve"> </w:t>
      </w:r>
      <w:r w:rsidRPr="00CA20AC">
        <w:rPr>
          <w:lang w:val="en-GB" w:eastAsia="it-IT"/>
        </w:rPr>
        <w:t xml:space="preserve">has a known probability </w:t>
      </w:r>
      <m:oMath>
        <m:sSub>
          <m:sSubPr>
            <m:ctrlPr>
              <w:rPr>
                <w:rFonts w:ascii="Cambria Math" w:hAnsi="Cambria Math"/>
                <w:i/>
                <w:lang w:val="en-GB" w:eastAsia="it-IT"/>
              </w:rPr>
            </m:ctrlPr>
          </m:sSubPr>
          <m:e>
            <m:r>
              <w:rPr>
                <w:rFonts w:ascii="Cambria Math" w:hAnsi="Cambria Math"/>
                <w:lang w:val="en-GB" w:eastAsia="it-IT"/>
              </w:rPr>
              <m:t>p</m:t>
            </m:r>
          </m:e>
          <m:sub>
            <m:r>
              <w:rPr>
                <w:rFonts w:ascii="Cambria Math" w:hAnsi="Cambria Math"/>
                <w:lang w:val="en-GB" w:eastAsia="it-IT"/>
              </w:rPr>
              <m:t>i</m:t>
            </m:r>
          </m:sub>
        </m:sSub>
      </m:oMath>
      <w:r w:rsidR="00925844">
        <w:rPr>
          <w:lang w:val="en-GB" w:eastAsia="it-IT"/>
        </w:rPr>
        <w:t xml:space="preserve"> </w:t>
      </w:r>
      <w:r w:rsidRPr="00CA20AC">
        <w:rPr>
          <w:lang w:val="en-GB" w:eastAsia="it-IT"/>
        </w:rPr>
        <w:t xml:space="preserve">of causing a child node </w:t>
      </w:r>
      <m:oMath>
        <m:r>
          <w:rPr>
            <w:rFonts w:ascii="Cambria Math" w:hAnsi="Cambria Math"/>
            <w:lang w:val="en-GB" w:eastAsia="it-IT"/>
          </w:rPr>
          <m:t>Y</m:t>
        </m:r>
      </m:oMath>
      <w:r w:rsidRPr="00CA20AC">
        <w:rPr>
          <w:lang w:val="en-GB" w:eastAsia="it-IT"/>
        </w:rPr>
        <w:t xml:space="preserve"> to be in state “YES,” independently of other parent nodes. This reduces the number of parameters from </w:t>
      </w:r>
      <w:r w:rsidR="001D3DEA">
        <w:rPr>
          <w:lang w:val="en-GB" w:eastAsia="it-IT"/>
        </w:rPr>
        <w:t>2</w:t>
      </w:r>
      <w:r w:rsidR="001D3DEA" w:rsidRPr="00226E07">
        <w:rPr>
          <w:vertAlign w:val="superscript"/>
          <w:lang w:val="en-GB" w:eastAsia="it-IT"/>
        </w:rPr>
        <w:t>n</w:t>
      </w:r>
      <w:r w:rsidRPr="00CA20AC">
        <w:rPr>
          <w:lang w:val="en-GB" w:eastAsia="it-IT"/>
        </w:rPr>
        <w:t xml:space="preserve"> to </w:t>
      </w:r>
      <m:oMath>
        <m:r>
          <w:rPr>
            <w:rFonts w:ascii="Cambria Math" w:hAnsi="Cambria Math"/>
            <w:lang w:val="en-GB" w:eastAsia="it-IT"/>
          </w:rPr>
          <m:t>n</m:t>
        </m:r>
      </m:oMath>
      <w:r w:rsidRPr="00CA20AC">
        <w:rPr>
          <w:lang w:val="en-GB" w:eastAsia="it-IT"/>
        </w:rPr>
        <w:t xml:space="preserve"> for </w:t>
      </w:r>
      <m:oMath>
        <m:r>
          <w:rPr>
            <w:rFonts w:ascii="Cambria Math" w:hAnsi="Cambria Math"/>
            <w:lang w:val="en-GB" w:eastAsia="it-IT"/>
          </w:rPr>
          <m:t>n</m:t>
        </m:r>
      </m:oMath>
      <w:r w:rsidRPr="00CA20AC">
        <w:rPr>
          <w:lang w:val="en-GB" w:eastAsia="it-IT"/>
        </w:rPr>
        <w:t xml:space="preserve"> parent nodes. The probability that </w:t>
      </w:r>
      <m:oMath>
        <m:r>
          <w:rPr>
            <w:rFonts w:ascii="Cambria Math" w:hAnsi="Cambria Math"/>
            <w:lang w:val="en-GB" w:eastAsia="it-IT"/>
          </w:rPr>
          <m:t>Y</m:t>
        </m:r>
      </m:oMath>
      <w:r w:rsidRPr="00CA20AC">
        <w:rPr>
          <w:lang w:val="en-GB" w:eastAsia="it-IT"/>
        </w:rPr>
        <w:t xml:space="preserve"> is in state “YES” when several parent nodes are “YES” is given by</w:t>
      </w:r>
      <w:r w:rsidR="002377F4">
        <w:rPr>
          <w:lang w:val="en-GB" w:eastAsia="it-IT"/>
        </w:rPr>
        <w:t xml:space="preserve"> </w:t>
      </w:r>
      <w:sdt>
        <w:sdtPr>
          <w:rPr>
            <w:color w:val="000000"/>
            <w:lang w:val="en-GB" w:eastAsia="it-IT"/>
          </w:rPr>
          <w:tag w:val="MENDELEY_CITATION_v3_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"/>
          <w:id w:val="-709725625"/>
          <w:placeholder>
            <w:docPart w:val="DefaultPlaceholder_-1854013440"/>
          </w:placeholder>
        </w:sdtPr>
        <w:sdtContent>
          <w:r w:rsidR="002751B1" w:rsidRPr="002751B1">
            <w:rPr>
              <w:color w:val="000000"/>
              <w:lang w:val="en-GB" w:eastAsia="it-IT"/>
            </w:rPr>
            <w:t>(</w:t>
          </w:r>
          <w:proofErr w:type="spellStart"/>
          <w:r w:rsidR="002751B1" w:rsidRPr="002751B1">
            <w:rPr>
              <w:color w:val="000000"/>
              <w:lang w:val="en-GB" w:eastAsia="it-IT"/>
            </w:rPr>
            <w:t>Oniśko</w:t>
          </w:r>
          <w:proofErr w:type="spellEnd"/>
          <w:r w:rsidR="002751B1" w:rsidRPr="002751B1">
            <w:rPr>
              <w:color w:val="000000"/>
              <w:lang w:val="en-GB" w:eastAsia="it-IT"/>
            </w:rPr>
            <w:t xml:space="preserve"> et al., 2001)</w:t>
          </w:r>
        </w:sdtContent>
      </w:sdt>
      <w:r w:rsidRPr="00CA20AC">
        <w:rPr>
          <w:lang w:val="en-GB" w:eastAsia="it-IT"/>
        </w:rPr>
        <w:t>:</w:t>
      </w:r>
    </w:p>
    <w:tbl>
      <w:tblPr>
        <w:tblW w:w="5000" w:type="pct"/>
        <w:tblLook w:val="04A0" w:firstRow="1" w:lastRow="0" w:firstColumn="1" w:lastColumn="0" w:noHBand="0" w:noVBand="1"/>
      </w:tblPr>
      <w:tblGrid>
        <w:gridCol w:w="7986"/>
        <w:gridCol w:w="801"/>
      </w:tblGrid>
      <w:tr w:rsidR="00CA20AC" w:rsidRPr="00B57B36" w14:paraId="3AEE4698" w14:textId="77777777" w:rsidTr="00895F9F">
        <w:tc>
          <w:tcPr>
            <w:tcW w:w="7986" w:type="dxa"/>
            <w:shd w:val="clear" w:color="auto" w:fill="auto"/>
            <w:vAlign w:val="center"/>
          </w:tcPr>
          <w:p w14:paraId="20F25C15" w14:textId="2F8AE7C3" w:rsidR="00CA20AC" w:rsidRPr="005650C6" w:rsidRDefault="00000000" w:rsidP="00895F9F">
            <w:pPr>
              <w:pStyle w:val="CETEquation"/>
            </w:pPr>
            <m:oMathPara>
              <m:oMathParaPr>
                <m:jc m:val="left"/>
              </m:oMathParaPr>
              <m:oMath>
                <m:func>
                  <m:funcPr>
                    <m:ctrlPr>
                      <w:rPr>
                        <w:rFonts w:ascii="Cambria Math" w:hAnsi="Cambria Math"/>
                        <w:bCs/>
                        <w:color w:val="000000"/>
                      </w:rPr>
                    </m:ctrlPr>
                  </m:funcPr>
                  <m:fName>
                    <m:r>
                      <m:rPr>
                        <m:sty m:val="p"/>
                      </m:rPr>
                      <w:rPr>
                        <w:rFonts w:ascii="Cambria Math" w:hAnsi="Cambria Math"/>
                        <w:color w:val="000000"/>
                      </w:rPr>
                      <m:t>Pr</m:t>
                    </m:r>
                  </m:fName>
                  <m:e>
                    <m:d>
                      <m:dPr>
                        <m:ctrlPr>
                          <w:rPr>
                            <w:rFonts w:ascii="Cambria Math" w:hAnsi="Cambria Math"/>
                            <w:bCs/>
                            <w:i/>
                            <w:color w:val="000000"/>
                          </w:rPr>
                        </m:ctrlPr>
                      </m:dPr>
                      <m:e>
                        <m:r>
                          <w:rPr>
                            <w:rFonts w:ascii="Cambria Math" w:hAnsi="Cambria Math"/>
                            <w:color w:val="000000"/>
                          </w:rPr>
                          <m:t>Y=YES</m:t>
                        </m:r>
                      </m:e>
                      <m:e>
                        <m:sSub>
                          <m:sSubPr>
                            <m:ctrlPr>
                              <w:rPr>
                                <w:rFonts w:ascii="Cambria Math" w:hAnsi="Cambria Math"/>
                                <w:bCs/>
                                <w:i/>
                                <w:color w:val="000000"/>
                              </w:rPr>
                            </m:ctrlPr>
                          </m:sSubPr>
                          <m:e>
                            <m:acc>
                              <m:accPr>
                                <m:chr m:val="̅"/>
                                <m:ctrlPr>
                                  <w:rPr>
                                    <w:rFonts w:ascii="Cambria Math" w:eastAsia="SimSun" w:hAnsi="Cambria Math" w:cstheme="minorBidi"/>
                                    <w:bCs/>
                                    <w:i/>
                                    <w:color w:val="000000"/>
                                    <w:sz w:val="22"/>
                                    <w:szCs w:val="22"/>
                                  </w:rPr>
                                </m:ctrlPr>
                              </m:accPr>
                              <m:e>
                                <m:r>
                                  <w:rPr>
                                    <w:rFonts w:ascii="Cambria Math" w:hAnsi="Cambria Math"/>
                                    <w:color w:val="000000"/>
                                  </w:rPr>
                                  <m:t>X</m:t>
                                </m:r>
                              </m:e>
                            </m:acc>
                          </m:e>
                          <m:sub>
                            <m:r>
                              <w:rPr>
                                <w:rFonts w:ascii="Cambria Math" w:hAnsi="Cambria Math"/>
                                <w:color w:val="000000"/>
                              </w:rPr>
                              <m:t>p</m:t>
                            </m:r>
                          </m:sub>
                        </m:sSub>
                      </m:e>
                    </m:d>
                  </m:e>
                </m:func>
                <m:r>
                  <w:rPr>
                    <w:rFonts w:ascii="Cambria Math" w:hAnsi="Cambria Math"/>
                    <w:color w:val="000000"/>
                  </w:rPr>
                  <m:t>=1-</m:t>
                </m:r>
                <m:nary>
                  <m:naryPr>
                    <m:chr m:val="∏"/>
                    <m:limLoc m:val="undOvr"/>
                    <m:supHide m:val="1"/>
                    <m:ctrlPr>
                      <w:rPr>
                        <w:rFonts w:ascii="Cambria Math" w:hAnsi="Cambria Math"/>
                        <w:bCs/>
                        <w:i/>
                        <w:color w:val="000000"/>
                      </w:rPr>
                    </m:ctrlPr>
                  </m:naryPr>
                  <m:sub>
                    <m:r>
                      <w:rPr>
                        <w:rFonts w:ascii="Cambria Math" w:hAnsi="Cambria Math"/>
                        <w:color w:val="000000"/>
                      </w:rPr>
                      <m:t>i:</m:t>
                    </m:r>
                    <m:sSub>
                      <m:sSubPr>
                        <m:ctrlPr>
                          <w:rPr>
                            <w:rFonts w:ascii="Cambria Math" w:hAnsi="Cambria Math"/>
                            <w:bCs/>
                            <w:i/>
                            <w:color w:val="000000"/>
                          </w:rPr>
                        </m:ctrlPr>
                      </m:sSubPr>
                      <m:e>
                        <m:r>
                          <w:rPr>
                            <w:rFonts w:ascii="Cambria Math" w:hAnsi="Cambria Math"/>
                            <w:color w:val="000000"/>
                          </w:rPr>
                          <m:t>X</m:t>
                        </m:r>
                      </m:e>
                      <m:sub>
                        <m:r>
                          <w:rPr>
                            <w:rFonts w:ascii="Cambria Math" w:hAnsi="Cambria Math"/>
                            <w:color w:val="000000"/>
                          </w:rPr>
                          <m:t>i</m:t>
                        </m:r>
                      </m:sub>
                    </m:sSub>
                    <m:r>
                      <w:rPr>
                        <w:rFonts w:ascii="Cambria Math" w:hAnsi="Cambria Math"/>
                        <w:color w:val="000000"/>
                      </w:rPr>
                      <m:t>∈</m:t>
                    </m:r>
                    <m:sSub>
                      <m:sSubPr>
                        <m:ctrlPr>
                          <w:rPr>
                            <w:rFonts w:ascii="Cambria Math" w:hAnsi="Cambria Math"/>
                            <w:bCs/>
                            <w:i/>
                            <w:color w:val="000000"/>
                          </w:rPr>
                        </m:ctrlPr>
                      </m:sSubPr>
                      <m:e>
                        <m:acc>
                          <m:accPr>
                            <m:chr m:val="̅"/>
                            <m:ctrlPr>
                              <w:rPr>
                                <w:rFonts w:ascii="Cambria Math" w:eastAsia="SimSun" w:hAnsi="Cambria Math" w:cstheme="minorBidi"/>
                                <w:bCs/>
                                <w:i/>
                                <w:color w:val="000000"/>
                                <w:sz w:val="22"/>
                                <w:szCs w:val="22"/>
                              </w:rPr>
                            </m:ctrlPr>
                          </m:accPr>
                          <m:e>
                            <m:r>
                              <w:rPr>
                                <w:rFonts w:ascii="Cambria Math" w:hAnsi="Cambria Math"/>
                                <w:color w:val="000000"/>
                              </w:rPr>
                              <m:t>X</m:t>
                            </m:r>
                          </m:e>
                        </m:acc>
                      </m:e>
                      <m:sub>
                        <m:r>
                          <w:rPr>
                            <w:rFonts w:ascii="Cambria Math" w:hAnsi="Cambria Math"/>
                            <w:color w:val="000000"/>
                          </w:rPr>
                          <m:t>p</m:t>
                        </m:r>
                      </m:sub>
                    </m:sSub>
                  </m:sub>
                  <m:sup/>
                  <m:e>
                    <m:r>
                      <w:rPr>
                        <w:rFonts w:ascii="Cambria Math" w:hAnsi="Cambria Math"/>
                        <w:color w:val="000000"/>
                      </w:rPr>
                      <m:t>(1-</m:t>
                    </m:r>
                    <m:sSub>
                      <m:sSubPr>
                        <m:ctrlPr>
                          <w:rPr>
                            <w:rFonts w:ascii="Cambria Math" w:hAnsi="Cambria Math"/>
                            <w:bCs/>
                            <w:i/>
                            <w:color w:val="000000"/>
                          </w:rPr>
                        </m:ctrlPr>
                      </m:sSubPr>
                      <m:e>
                        <m:r>
                          <w:rPr>
                            <w:rFonts w:ascii="Cambria Math" w:hAnsi="Cambria Math"/>
                            <w:color w:val="000000"/>
                          </w:rPr>
                          <m:t>p</m:t>
                        </m:r>
                      </m:e>
                      <m:sub>
                        <m:r>
                          <w:rPr>
                            <w:rFonts w:ascii="Cambria Math" w:hAnsi="Cambria Math"/>
                            <w:color w:val="000000"/>
                          </w:rPr>
                          <m:t>i</m:t>
                        </m:r>
                      </m:sub>
                    </m:sSub>
                    <m:r>
                      <w:rPr>
                        <w:rFonts w:ascii="Cambria Math" w:hAnsi="Cambria Math"/>
                        <w:color w:val="000000"/>
                      </w:rPr>
                      <m:t>)</m:t>
                    </m:r>
                  </m:e>
                </m:nary>
              </m:oMath>
            </m:oMathPara>
          </w:p>
        </w:tc>
        <w:tc>
          <w:tcPr>
            <w:tcW w:w="801" w:type="dxa"/>
            <w:shd w:val="clear" w:color="auto" w:fill="auto"/>
            <w:vAlign w:val="center"/>
          </w:tcPr>
          <w:p w14:paraId="0CC349AE" w14:textId="266AC980" w:rsidR="00CA20AC" w:rsidRPr="00B57B36" w:rsidRDefault="00CA20AC" w:rsidP="00895F9F">
            <w:pPr>
              <w:pStyle w:val="CETEquation"/>
              <w:jc w:val="right"/>
            </w:pPr>
            <w:r w:rsidRPr="00B57B36">
              <w:t>(</w:t>
            </w:r>
            <w:r>
              <w:t>3</w:t>
            </w:r>
            <w:r w:rsidRPr="00B57B36">
              <w:t>)</w:t>
            </w:r>
          </w:p>
        </w:tc>
      </w:tr>
    </w:tbl>
    <w:p w14:paraId="2933190F" w14:textId="3FAF9AA1" w:rsidR="00176A05" w:rsidRDefault="006535BC" w:rsidP="00A77436">
      <w:pPr>
        <w:pStyle w:val="CETBodytext"/>
        <w:rPr>
          <w:lang w:val="en-GB"/>
        </w:rPr>
      </w:pPr>
      <w:r w:rsidRPr="00A25259">
        <w:rPr>
          <w:bCs/>
          <w:color w:val="000000"/>
        </w:rPr>
        <w:t xml:space="preserve">In the present study, the Noisy-OR gate model is adopted within </w:t>
      </w:r>
      <w:r w:rsidRPr="00A25259">
        <w:rPr>
          <w:bCs/>
        </w:rPr>
        <w:t>BAS</w:t>
      </w:r>
      <w:r w:rsidRPr="00A25259">
        <w:rPr>
          <w:bCs/>
          <w:vertAlign w:val="superscript"/>
        </w:rPr>
        <w:t>2</w:t>
      </w:r>
      <w:r w:rsidRPr="00A25259">
        <w:rPr>
          <w:bCs/>
        </w:rPr>
        <w:t xml:space="preserve">E methodology </w:t>
      </w:r>
      <w:r w:rsidRPr="00A25259">
        <w:rPr>
          <w:bCs/>
          <w:color w:val="000000"/>
        </w:rPr>
        <w:t>as the mathematical</w:t>
      </w:r>
      <w:r w:rsidRPr="001E55C0">
        <w:rPr>
          <w:bCs/>
          <w:color w:val="000000"/>
        </w:rPr>
        <w:t xml:space="preserve"> model to calculate the conditional probabilities referred to multiple parent nodes in state “YES” under specific conditions </w:t>
      </w:r>
      <w:r w:rsidRPr="000D46CA">
        <w:rPr>
          <w:bCs/>
          <w:color w:val="000000"/>
        </w:rPr>
        <w:t xml:space="preserve">(see Section 3.2 in the following). </w:t>
      </w:r>
      <w:r w:rsidR="0008397F" w:rsidRPr="000D46CA">
        <w:rPr>
          <w:lang w:val="en-GB"/>
        </w:rPr>
        <w:t>This</w:t>
      </w:r>
      <w:r w:rsidR="0008397F" w:rsidRPr="0008397F">
        <w:rPr>
          <w:lang w:val="en-GB"/>
        </w:rPr>
        <w:t xml:space="preserve"> model reduces the number of parameters required to define conditional probabilities, making it feasible to handle </w:t>
      </w:r>
      <w:r w:rsidR="00234091">
        <w:rPr>
          <w:lang w:val="en-GB"/>
        </w:rPr>
        <w:t>cases</w:t>
      </w:r>
      <w:r w:rsidR="0008397F" w:rsidRPr="0008397F">
        <w:rPr>
          <w:lang w:val="en-GB"/>
        </w:rPr>
        <w:t xml:space="preserve"> where empirical data is limited, while still ensuring that the probabilistic relationships in the system are adequately represented.</w:t>
      </w:r>
    </w:p>
    <w:p w14:paraId="5666F0C8" w14:textId="2434D370" w:rsidR="001513EB" w:rsidRDefault="001513EB" w:rsidP="006F3EED">
      <w:pPr>
        <w:pStyle w:val="CETheadingx"/>
      </w:pPr>
      <w:r>
        <w:t>Sensitivity Analysis</w:t>
      </w:r>
    </w:p>
    <w:p w14:paraId="3AF4A4E6" w14:textId="045AD06A" w:rsidR="001513EB" w:rsidRDefault="009B4C72" w:rsidP="00585475">
      <w:pPr>
        <w:pStyle w:val="CETBodytext"/>
      </w:pPr>
      <w:r w:rsidRPr="009B4C72">
        <w:t>Sensitivity analysis in Bayesian Networks identifies which variables most influence the probability of a target node being in a specific state. This is done by analysing how changes in the conditional probabilities of parent</w:t>
      </w:r>
      <w:r w:rsidR="00500CF7">
        <w:t>-child</w:t>
      </w:r>
      <w:r w:rsidRPr="009B4C72">
        <w:t xml:space="preserve"> nodes affect the "probability of interest" of the target node. Mathematically, this probability is expressed as </w:t>
      </w: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e>
                <m:r>
                  <w:rPr>
                    <w:rFonts w:ascii="Cambria Math" w:hAnsi="Cambria Math"/>
                  </w:rPr>
                  <m:t>e</m:t>
                </m:r>
              </m:e>
            </m:d>
          </m:e>
        </m:func>
      </m:oMath>
      <w:r w:rsidR="000C1B3D">
        <w:t xml:space="preserve">, where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0C1B3D">
        <w:t xml:space="preserve"> </w:t>
      </w:r>
      <w:r w:rsidR="000C1B3D" w:rsidRPr="000C1B3D">
        <w:t>represents the state of the target node</w:t>
      </w:r>
      <w:r w:rsidR="00500CF7">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0C1B3D" w:rsidRPr="000C1B3D">
        <w:t xml:space="preserve">, and </w:t>
      </w:r>
      <m:oMath>
        <m:r>
          <w:rPr>
            <w:rFonts w:ascii="Cambria Math" w:hAnsi="Cambria Math"/>
          </w:rPr>
          <m:t>e</m:t>
        </m:r>
      </m:oMath>
      <w:r w:rsidR="000C1B3D">
        <w:t xml:space="preserve"> </w:t>
      </w:r>
      <w:r w:rsidR="000C1B3D" w:rsidRPr="000C1B3D">
        <w:t>denotes the evidence observed in the network. The sensitivity of the probability of interest</w:t>
      </w:r>
      <w:r w:rsidR="000C1B3D">
        <w:t xml:space="preserve"> </w:t>
      </w:r>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e>
              <m:e>
                <m:r>
                  <w:rPr>
                    <w:rFonts w:ascii="Cambria Math" w:hAnsi="Cambria Math"/>
                  </w:rPr>
                  <m:t>e</m:t>
                </m:r>
              </m:e>
            </m:d>
          </m:e>
        </m:func>
      </m:oMath>
      <w:r w:rsidR="000C1B3D">
        <w:t xml:space="preserve"> </w:t>
      </w:r>
      <w:r w:rsidR="00AD69E1" w:rsidRPr="00AD69E1">
        <w:t>to changes in the conditional probability</w:t>
      </w:r>
      <w:r w:rsidR="00AD69E1">
        <w:t xml:space="preserve"> </w:t>
      </w:r>
      <w:r w:rsidR="000A7FAD" w:rsidRPr="000A7FAD">
        <w:rPr>
          <w:rFonts w:ascii="Cambria Math" w:hAnsi="Cambria Math"/>
          <w:bCs/>
          <w:i/>
        </w:rPr>
        <w:br/>
      </w:r>
      <m:oMath>
        <m:sSub>
          <m:sSubPr>
            <m:ctrlPr>
              <w:rPr>
                <w:rFonts w:ascii="Cambria Math" w:hAnsi="Cambria Math"/>
                <w:bCs/>
                <w:i/>
              </w:rPr>
            </m:ctrlPr>
          </m:sSubPr>
          <m:e>
            <m:r>
              <w:rPr>
                <w:rFonts w:ascii="Cambria Math" w:hAnsi="Cambria Math"/>
              </w:rPr>
              <m:t>x</m:t>
            </m:r>
          </m:e>
          <m:sub>
            <m:r>
              <w:rPr>
                <w:rFonts w:ascii="Cambria Math" w:hAnsi="Cambria Math"/>
              </w:rPr>
              <m:t>j,z</m:t>
            </m:r>
          </m:sub>
        </m:sSub>
        <m:r>
          <w:rPr>
            <w:rFonts w:ascii="Cambria Math" w:hAnsi="Cambria Math"/>
          </w:rPr>
          <m:t>=p</m:t>
        </m:r>
        <m:d>
          <m:dPr>
            <m:ctrlPr>
              <w:rPr>
                <w:rFonts w:ascii="Cambria Math" w:hAnsi="Cambria Math"/>
                <w:bCs/>
                <w:i/>
              </w:rPr>
            </m:ctrlPr>
          </m:dPr>
          <m:e>
            <m:sSub>
              <m:sSubPr>
                <m:ctrlPr>
                  <w:rPr>
                    <w:rFonts w:ascii="Cambria Math" w:hAnsi="Cambria Math"/>
                    <w:bCs/>
                    <w:i/>
                  </w:rPr>
                </m:ctrlPr>
              </m:sSubPr>
              <m:e>
                <m:r>
                  <w:rPr>
                    <w:rFonts w:ascii="Cambria Math" w:hAnsi="Cambria Math"/>
                  </w:rPr>
                  <m:t>f</m:t>
                </m:r>
              </m:e>
              <m:sub>
                <m:r>
                  <w:rPr>
                    <w:rFonts w:ascii="Cambria Math" w:hAnsi="Cambria Math"/>
                  </w:rPr>
                  <m:t>j</m:t>
                </m:r>
              </m:sub>
            </m:sSub>
          </m:e>
          <m:e>
            <m:sSub>
              <m:sSubPr>
                <m:ctrlPr>
                  <w:rPr>
                    <w:rFonts w:ascii="Cambria Math" w:hAnsi="Cambria Math"/>
                    <w:bCs/>
                    <w:i/>
                  </w:rPr>
                </m:ctrlPr>
              </m:sSubPr>
              <m:e>
                <m:r>
                  <w:rPr>
                    <w:rFonts w:ascii="Cambria Math" w:hAnsi="Cambria Math"/>
                  </w:rPr>
                  <m:t>f</m:t>
                </m:r>
              </m:e>
              <m:sub>
                <m:r>
                  <w:rPr>
                    <w:rFonts w:ascii="Cambria Math" w:hAnsi="Cambria Math"/>
                  </w:rPr>
                  <m:t>z</m:t>
                </m:r>
              </m:sub>
            </m:sSub>
          </m:e>
        </m:d>
      </m:oMath>
      <w:r w:rsidR="000A7FAD">
        <w:rPr>
          <w:rFonts w:ascii="Cambria Math" w:hAnsi="Cambria Math"/>
          <w:bCs/>
          <w:i/>
        </w:rPr>
        <w:t xml:space="preserve"> </w:t>
      </w:r>
      <w:r w:rsidR="00585475">
        <w:rPr>
          <w:rStyle w:val="CETBodytextCarattere"/>
        </w:rPr>
        <w:t>(where</w:t>
      </w:r>
      <w:r w:rsidR="00FD79C2">
        <w:rPr>
          <w:rStyle w:val="CETBodytextCarattere"/>
        </w:rPr>
        <w:t xml:space="preserve"> </w:t>
      </w:r>
      <m:oMath>
        <m:sSub>
          <m:sSubPr>
            <m:ctrlPr>
              <w:rPr>
                <w:rStyle w:val="CETBodytextCarattere"/>
                <w:rFonts w:ascii="Cambria Math" w:hAnsi="Cambria Math"/>
                <w:i/>
              </w:rPr>
            </m:ctrlPr>
          </m:sSubPr>
          <m:e>
            <m:r>
              <w:rPr>
                <w:rStyle w:val="CETBodytextCarattere"/>
                <w:rFonts w:ascii="Cambria Math" w:hAnsi="Cambria Math"/>
              </w:rPr>
              <m:t>f</m:t>
            </m:r>
          </m:e>
          <m:sub>
            <m:r>
              <w:rPr>
                <w:rStyle w:val="CETBodytextCarattere"/>
                <w:rFonts w:ascii="Cambria Math" w:hAnsi="Cambria Math"/>
              </w:rPr>
              <m:t>j</m:t>
            </m:r>
          </m:sub>
        </m:sSub>
      </m:oMath>
      <w:r w:rsidR="00FD79C2">
        <w:rPr>
          <w:rStyle w:val="CETBodytextCarattere"/>
        </w:rPr>
        <w:t xml:space="preserve"> is </w:t>
      </w:r>
      <w:r w:rsidR="00DC24B8">
        <w:rPr>
          <w:rStyle w:val="CETBodytextCarattere"/>
        </w:rPr>
        <w:t xml:space="preserve">a state of node </w:t>
      </w:r>
      <m:oMath>
        <m:sSub>
          <m:sSubPr>
            <m:ctrlPr>
              <w:rPr>
                <w:rStyle w:val="CETBodytextCarattere"/>
                <w:rFonts w:ascii="Cambria Math" w:hAnsi="Cambria Math"/>
                <w:i/>
              </w:rPr>
            </m:ctrlPr>
          </m:sSubPr>
          <m:e>
            <m:r>
              <w:rPr>
                <w:rStyle w:val="CETBodytextCarattere"/>
                <w:rFonts w:ascii="Cambria Math" w:hAnsi="Cambria Math"/>
              </w:rPr>
              <m:t>F</m:t>
            </m:r>
          </m:e>
          <m:sub>
            <m:r>
              <w:rPr>
                <w:rStyle w:val="CETBodytextCarattere"/>
                <w:rFonts w:ascii="Cambria Math" w:hAnsi="Cambria Math"/>
              </w:rPr>
              <m:t>j</m:t>
            </m:r>
          </m:sub>
        </m:sSub>
      </m:oMath>
      <w:r w:rsidR="00DC24B8">
        <w:rPr>
          <w:rStyle w:val="CETBodytextCarattere"/>
        </w:rPr>
        <w:t xml:space="preserve"> and </w:t>
      </w:r>
      <m:oMath>
        <m:sSub>
          <m:sSubPr>
            <m:ctrlPr>
              <w:rPr>
                <w:rStyle w:val="CETBodytextCarattere"/>
                <w:rFonts w:ascii="Cambria Math" w:hAnsi="Cambria Math"/>
                <w:i/>
              </w:rPr>
            </m:ctrlPr>
          </m:sSubPr>
          <m:e>
            <m:r>
              <w:rPr>
                <w:rStyle w:val="CETBodytextCarattere"/>
                <w:rFonts w:ascii="Cambria Math" w:hAnsi="Cambria Math"/>
              </w:rPr>
              <m:t>f</m:t>
            </m:r>
          </m:e>
          <m:sub>
            <m:r>
              <w:rPr>
                <w:rStyle w:val="CETBodytextCarattere"/>
                <w:rFonts w:ascii="Cambria Math" w:hAnsi="Cambria Math"/>
              </w:rPr>
              <m:t>z</m:t>
            </m:r>
          </m:sub>
        </m:sSub>
      </m:oMath>
      <w:r w:rsidR="0079014F">
        <w:rPr>
          <w:rStyle w:val="CETBodytextCarattere"/>
        </w:rPr>
        <w:t xml:space="preserve"> a state of node </w:t>
      </w:r>
      <m:oMath>
        <m:sSub>
          <m:sSubPr>
            <m:ctrlPr>
              <w:rPr>
                <w:rStyle w:val="CETBodytextCarattere"/>
                <w:rFonts w:ascii="Cambria Math" w:hAnsi="Cambria Math"/>
                <w:i/>
              </w:rPr>
            </m:ctrlPr>
          </m:sSubPr>
          <m:e>
            <m:r>
              <w:rPr>
                <w:rStyle w:val="CETBodytextCarattere"/>
                <w:rFonts w:ascii="Cambria Math" w:hAnsi="Cambria Math"/>
              </w:rPr>
              <m:t>F</m:t>
            </m:r>
          </m:e>
          <m:sub>
            <m:r>
              <w:rPr>
                <w:rStyle w:val="CETBodytextCarattere"/>
                <w:rFonts w:ascii="Cambria Math" w:hAnsi="Cambria Math"/>
              </w:rPr>
              <m:t>z</m:t>
            </m:r>
          </m:sub>
        </m:sSub>
      </m:oMath>
      <w:r w:rsidR="0079014F">
        <w:rPr>
          <w:rStyle w:val="CETBodytextCarattere"/>
        </w:rPr>
        <w:t xml:space="preserve"> which is parent of </w:t>
      </w:r>
      <m:oMath>
        <m:sSub>
          <m:sSubPr>
            <m:ctrlPr>
              <w:rPr>
                <w:rStyle w:val="CETBodytextCarattere"/>
                <w:rFonts w:ascii="Cambria Math" w:hAnsi="Cambria Math"/>
                <w:i/>
              </w:rPr>
            </m:ctrlPr>
          </m:sSubPr>
          <m:e>
            <m:r>
              <w:rPr>
                <w:rStyle w:val="CETBodytextCarattere"/>
                <w:rFonts w:ascii="Cambria Math" w:hAnsi="Cambria Math"/>
              </w:rPr>
              <m:t>F</m:t>
            </m:r>
          </m:e>
          <m:sub>
            <m:r>
              <w:rPr>
                <w:rStyle w:val="CETBodytextCarattere"/>
                <w:rFonts w:ascii="Cambria Math" w:hAnsi="Cambria Math"/>
              </w:rPr>
              <m:t>j</m:t>
            </m:r>
          </m:sub>
        </m:sSub>
      </m:oMath>
      <w:r w:rsidR="0079014F">
        <w:rPr>
          <w:rStyle w:val="CETBodytextCarattere"/>
        </w:rPr>
        <w:t>) is</w:t>
      </w:r>
      <w:r w:rsidR="00F43A5D" w:rsidRPr="00F43A5D">
        <w:rPr>
          <w:rStyle w:val="CETBodytextCarattere"/>
        </w:rPr>
        <w:t xml:space="preserve"> measured by the derivative</w:t>
      </w:r>
      <w:r w:rsidR="00F93EB0">
        <w:rPr>
          <w:rStyle w:val="CETBodytextCarattere"/>
        </w:rPr>
        <w:t xml:space="preserve"> </w:t>
      </w:r>
      <w:sdt>
        <w:sdtPr>
          <w:rPr>
            <w:rStyle w:val="CETBodytextCarattere"/>
            <w:color w:val="000000"/>
          </w:rPr>
          <w:tag w:val="MENDELEY_CITATION_v3_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"/>
          <w:id w:val="-82301803"/>
          <w:placeholder>
            <w:docPart w:val="DefaultPlaceholder_-1854013440"/>
          </w:placeholder>
        </w:sdtPr>
        <w:sdtContent>
          <w:r w:rsidR="002751B1" w:rsidRPr="002751B1">
            <w:rPr>
              <w:rStyle w:val="CETBodytextCarattere"/>
              <w:color w:val="000000"/>
            </w:rPr>
            <w:t>(Kjærulff and van der Gaag, 2000)</w:t>
          </w:r>
        </w:sdtContent>
      </w:sdt>
      <w:r w:rsidR="00F43A5D" w:rsidRPr="00F43A5D">
        <w:rPr>
          <w:rStyle w:val="CETBodytextCarattere"/>
        </w:rPr>
        <w:t>:</w:t>
      </w:r>
    </w:p>
    <w:tbl>
      <w:tblPr>
        <w:tblW w:w="5000" w:type="pct"/>
        <w:tblLook w:val="04A0" w:firstRow="1" w:lastRow="0" w:firstColumn="1" w:lastColumn="0" w:noHBand="0" w:noVBand="1"/>
      </w:tblPr>
      <w:tblGrid>
        <w:gridCol w:w="7986"/>
        <w:gridCol w:w="801"/>
      </w:tblGrid>
      <w:tr w:rsidR="00323470" w:rsidRPr="00B57B36" w14:paraId="3D9AD07D" w14:textId="77777777" w:rsidTr="00552040">
        <w:tc>
          <w:tcPr>
            <w:tcW w:w="7986" w:type="dxa"/>
            <w:shd w:val="clear" w:color="auto" w:fill="auto"/>
            <w:vAlign w:val="center"/>
          </w:tcPr>
          <w:p w14:paraId="07A66A15" w14:textId="6E515854" w:rsidR="00323470" w:rsidRPr="005650C6" w:rsidRDefault="00000000" w:rsidP="00323470">
            <w:pPr>
              <w:pStyle w:val="CETEquation"/>
            </w:pPr>
            <m:oMathPara>
              <m:oMathParaPr>
                <m:jc m:val="left"/>
              </m:oMathParaPr>
              <m:oMath>
                <m:sSub>
                  <m:sSubPr>
                    <m:ctrlPr>
                      <w:rPr>
                        <w:rFonts w:ascii="Cambria Math" w:hAnsi="Cambria Math"/>
                        <w:bCs/>
                        <w:i/>
                      </w:rPr>
                    </m:ctrlPr>
                  </m:sSubPr>
                  <m:e>
                    <m:r>
                      <w:rPr>
                        <w:rFonts w:ascii="Cambria Math" w:hAnsi="Cambria Math"/>
                      </w:rPr>
                      <m:t>D</m:t>
                    </m:r>
                  </m:e>
                  <m:sub>
                    <m:r>
                      <w:rPr>
                        <w:rFonts w:ascii="Cambria Math" w:hAnsi="Cambria Math"/>
                      </w:rPr>
                      <m:t>i,j,z</m:t>
                    </m:r>
                  </m:sub>
                </m:sSub>
                <m:r>
                  <w:rPr>
                    <w:rFonts w:ascii="Cambria Math" w:hAnsi="Cambria Math"/>
                  </w:rPr>
                  <m:t>=</m:t>
                </m:r>
                <m:f>
                  <m:fPr>
                    <m:ctrlPr>
                      <w:rPr>
                        <w:rFonts w:ascii="Cambria Math" w:hAnsi="Cambria Math"/>
                        <w:bCs/>
                        <w:i/>
                      </w:rPr>
                    </m:ctrlPr>
                  </m:fPr>
                  <m:num>
                    <m:r>
                      <w:rPr>
                        <w:rFonts w:ascii="Cambria Math" w:hAnsi="Cambria Math"/>
                      </w:rPr>
                      <m:t>d</m:t>
                    </m:r>
                  </m:num>
                  <m:den>
                    <m:r>
                      <w:rPr>
                        <w:rFonts w:ascii="Cambria Math" w:hAnsi="Cambria Math"/>
                      </w:rPr>
                      <m:t>d</m:t>
                    </m:r>
                    <m:sSub>
                      <m:sSubPr>
                        <m:ctrlPr>
                          <w:rPr>
                            <w:rFonts w:ascii="Cambria Math" w:hAnsi="Cambria Math"/>
                            <w:bCs/>
                            <w:i/>
                          </w:rPr>
                        </m:ctrlPr>
                      </m:sSubPr>
                      <m:e>
                        <m:r>
                          <w:rPr>
                            <w:rFonts w:ascii="Cambria Math" w:hAnsi="Cambria Math"/>
                          </w:rPr>
                          <m:t>x</m:t>
                        </m:r>
                      </m:e>
                      <m:sub>
                        <m:r>
                          <w:rPr>
                            <w:rFonts w:ascii="Cambria Math" w:hAnsi="Cambria Math"/>
                          </w:rPr>
                          <m:t>j,z</m:t>
                        </m:r>
                      </m:sub>
                    </m:sSub>
                  </m:den>
                </m:f>
                <m:d>
                  <m:dPr>
                    <m:ctrlPr>
                      <w:rPr>
                        <w:rFonts w:ascii="Cambria Math" w:hAnsi="Cambria Math"/>
                        <w:bCs/>
                        <w:i/>
                      </w:rPr>
                    </m:ctrlPr>
                  </m:dPr>
                  <m:e>
                    <m:r>
                      <m:rPr>
                        <m:sty m:val="p"/>
                      </m:rPr>
                      <w:rPr>
                        <w:rFonts w:ascii="Cambria Math" w:hAnsi="Cambria Math"/>
                      </w:rPr>
                      <m:t>Pr</m:t>
                    </m:r>
                    <m:d>
                      <m:dPr>
                        <m:ctrlPr>
                          <w:rPr>
                            <w:rFonts w:ascii="Cambria Math" w:hAnsi="Cambria Math"/>
                            <w:bCs/>
                            <w:i/>
                          </w:rPr>
                        </m:ctrlPr>
                      </m:dPr>
                      <m:e>
                        <m:sSub>
                          <m:sSubPr>
                            <m:ctrlPr>
                              <w:rPr>
                                <w:rFonts w:ascii="Cambria Math" w:hAnsi="Cambria Math"/>
                                <w:bCs/>
                                <w:i/>
                              </w:rPr>
                            </m:ctrlPr>
                          </m:sSubPr>
                          <m:e>
                            <m:r>
                              <w:rPr>
                                <w:rFonts w:ascii="Cambria Math" w:hAnsi="Cambria Math"/>
                              </w:rPr>
                              <m:t>f</m:t>
                            </m:r>
                          </m:e>
                          <m:sub>
                            <m:r>
                              <w:rPr>
                                <w:rFonts w:ascii="Cambria Math" w:hAnsi="Cambria Math"/>
                              </w:rPr>
                              <m:t>i</m:t>
                            </m:r>
                          </m:sub>
                        </m:sSub>
                      </m:e>
                      <m:e>
                        <m:r>
                          <w:rPr>
                            <w:rFonts w:ascii="Cambria Math" w:hAnsi="Cambria Math"/>
                          </w:rPr>
                          <m:t>e</m:t>
                        </m:r>
                      </m:e>
                    </m:d>
                  </m:e>
                </m:d>
              </m:oMath>
            </m:oMathPara>
          </w:p>
        </w:tc>
        <w:tc>
          <w:tcPr>
            <w:tcW w:w="801" w:type="dxa"/>
            <w:shd w:val="clear" w:color="auto" w:fill="auto"/>
            <w:vAlign w:val="center"/>
          </w:tcPr>
          <w:p w14:paraId="164058C9" w14:textId="019F64D9" w:rsidR="00323470" w:rsidRPr="00B57B36" w:rsidRDefault="00323470" w:rsidP="00552040">
            <w:pPr>
              <w:pStyle w:val="CETEquation"/>
              <w:jc w:val="right"/>
            </w:pPr>
            <w:r w:rsidRPr="00B57B36">
              <w:t>(</w:t>
            </w:r>
            <w:r>
              <w:t>4</w:t>
            </w:r>
            <w:r w:rsidRPr="00B57B36">
              <w:t>)</w:t>
            </w:r>
          </w:p>
        </w:tc>
      </w:tr>
    </w:tbl>
    <w:p w14:paraId="7D4A3154" w14:textId="14943D3A" w:rsidR="00EF4CCE" w:rsidRDefault="00F81587" w:rsidP="001513EB">
      <w:pPr>
        <w:pStyle w:val="CETBodytext"/>
        <w:rPr>
          <w:lang w:val="en-GB"/>
        </w:rPr>
      </w:pPr>
      <w:r w:rsidRPr="00F81587">
        <w:rPr>
          <w:lang w:val="en-GB"/>
        </w:rPr>
        <w:t xml:space="preserve">High values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i,j,z</m:t>
            </m:r>
          </m:sub>
        </m:sSub>
      </m:oMath>
      <w:r w:rsidRPr="00F81587">
        <w:rPr>
          <w:lang w:val="en-GB"/>
        </w:rPr>
        <w:t xml:space="preserve">​ indicate a strong influence, while low values suggest a weaker influence. A zero value for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i,j,z</m:t>
            </m:r>
          </m:sub>
        </m:sSub>
      </m:oMath>
      <w:r w:rsidRPr="00F81587">
        <w:rPr>
          <w:lang w:val="en-GB"/>
        </w:rPr>
        <w:t>​implies no influence</w:t>
      </w:r>
      <w:r w:rsidR="00EF4CCE">
        <w:rPr>
          <w:lang w:val="en-GB"/>
        </w:rPr>
        <w:t>.</w:t>
      </w:r>
    </w:p>
    <w:p w14:paraId="3472F947" w14:textId="1CCBDFAA" w:rsidR="00323470" w:rsidRDefault="00F81587" w:rsidP="001513EB">
      <w:pPr>
        <w:pStyle w:val="CETBodytext"/>
        <w:rPr>
          <w:lang w:val="en-GB"/>
        </w:rPr>
      </w:pPr>
      <w:r w:rsidRPr="00F81587">
        <w:rPr>
          <w:lang w:val="en-GB"/>
        </w:rPr>
        <w:lastRenderedPageBreak/>
        <w:t xml:space="preserve">Based on this formulation, sensitivity analysis is used in the BAS²E methodology to identify the most </w:t>
      </w:r>
      <w:r w:rsidR="001629F6">
        <w:rPr>
          <w:lang w:val="en-GB"/>
        </w:rPr>
        <w:t>relevant</w:t>
      </w:r>
      <w:r w:rsidRPr="00F81587">
        <w:rPr>
          <w:lang w:val="en-GB"/>
        </w:rPr>
        <w:t xml:space="preserve"> incident chains in the system.</w:t>
      </w:r>
    </w:p>
    <w:p w14:paraId="5741900F" w14:textId="02FE70BC" w:rsidR="00453E24" w:rsidRDefault="00D77520" w:rsidP="00453E24">
      <w:pPr>
        <w:pStyle w:val="CETHeading1"/>
      </w:pPr>
      <w:r>
        <w:t>The BAS</w:t>
      </w:r>
      <w:r w:rsidRPr="00AD2B3B">
        <w:rPr>
          <w:vertAlign w:val="superscript"/>
        </w:rPr>
        <w:t>2</w:t>
      </w:r>
      <w:r>
        <w:t>E methodology</w:t>
      </w:r>
    </w:p>
    <w:p w14:paraId="0636B784" w14:textId="203B1750" w:rsidR="00453E24" w:rsidRDefault="00AD2B3B" w:rsidP="006F3EED">
      <w:pPr>
        <w:pStyle w:val="CETheadingx"/>
      </w:pPr>
      <w:r>
        <w:t>General information</w:t>
      </w:r>
    </w:p>
    <w:p w14:paraId="44E478E5" w14:textId="563BC4A7" w:rsidR="0042631D" w:rsidRDefault="00F758E5" w:rsidP="00453E24">
      <w:pPr>
        <w:pStyle w:val="CETBodytext"/>
        <w:rPr>
          <w:lang w:val="en-GB"/>
        </w:rPr>
      </w:pPr>
      <w:r w:rsidRPr="00F758E5">
        <w:rPr>
          <w:lang w:val="en-GB"/>
        </w:rPr>
        <w:t xml:space="preserve">The BAS²E (Bayesian </w:t>
      </w:r>
      <w:r w:rsidR="009A2D83">
        <w:rPr>
          <w:lang w:val="en-GB"/>
        </w:rPr>
        <w:t>n</w:t>
      </w:r>
      <w:r w:rsidRPr="00F758E5">
        <w:rPr>
          <w:lang w:val="en-GB"/>
        </w:rPr>
        <w:t xml:space="preserve">etwork Analysis of Safety and Security Events) methodology presented in this study is a structured four-step process </w:t>
      </w:r>
      <w:r w:rsidR="0042631D">
        <w:rPr>
          <w:lang w:val="en-GB"/>
        </w:rPr>
        <w:t xml:space="preserve">aimed at identifying </w:t>
      </w:r>
      <w:r w:rsidRPr="00F758E5">
        <w:rPr>
          <w:lang w:val="en-GB"/>
        </w:rPr>
        <w:t>the most significant incident chains (</w:t>
      </w:r>
      <w:r w:rsidR="005728FF">
        <w:rPr>
          <w:lang w:val="en-GB"/>
        </w:rPr>
        <w:t>the incidental scenarios</w:t>
      </w:r>
      <w:r w:rsidR="0042631D">
        <w:rPr>
          <w:lang w:val="en-GB"/>
        </w:rPr>
        <w:t xml:space="preserve"> of concern</w:t>
      </w:r>
      <w:r w:rsidRPr="00F758E5">
        <w:rPr>
          <w:lang w:val="en-GB"/>
        </w:rPr>
        <w:t xml:space="preserve">) using Bayesian Network analysis </w:t>
      </w:r>
      <w:r w:rsidR="00671599">
        <w:rPr>
          <w:lang w:val="en-GB"/>
        </w:rPr>
        <w:t>of</w:t>
      </w:r>
      <w:r w:rsidRPr="00F758E5">
        <w:rPr>
          <w:lang w:val="en-GB"/>
        </w:rPr>
        <w:t xml:space="preserve"> past event datasets. These identified </w:t>
      </w:r>
      <w:r w:rsidR="005C3A96">
        <w:rPr>
          <w:lang w:val="en-GB"/>
        </w:rPr>
        <w:t>chains</w:t>
      </w:r>
      <w:r w:rsidRPr="00F758E5">
        <w:rPr>
          <w:lang w:val="en-GB"/>
        </w:rPr>
        <w:t xml:space="preserve"> can be </w:t>
      </w:r>
      <w:r w:rsidR="005C3A96">
        <w:rPr>
          <w:lang w:val="en-GB"/>
        </w:rPr>
        <w:t>used as reference scenarios</w:t>
      </w:r>
      <w:r w:rsidRPr="00F758E5">
        <w:rPr>
          <w:lang w:val="en-GB"/>
        </w:rPr>
        <w:t xml:space="preserve"> in both safety and security risk assessments</w:t>
      </w:r>
      <w:r w:rsidR="00C23453">
        <w:rPr>
          <w:lang w:val="en-GB"/>
        </w:rPr>
        <w:t xml:space="preserve"> (see Figure 1)</w:t>
      </w:r>
      <w:r w:rsidRPr="00F758E5">
        <w:rPr>
          <w:lang w:val="en-GB"/>
        </w:rPr>
        <w:t xml:space="preserve">. </w:t>
      </w:r>
      <w:proofErr w:type="gramStart"/>
      <w:r w:rsidR="0042631D">
        <w:rPr>
          <w:lang w:val="en-GB"/>
        </w:rPr>
        <w:t xml:space="preserve">In particular, </w:t>
      </w:r>
      <w:r w:rsidR="00A55F38">
        <w:rPr>
          <w:lang w:val="en-GB"/>
        </w:rPr>
        <w:t>in</w:t>
      </w:r>
      <w:proofErr w:type="gramEnd"/>
      <w:r w:rsidR="00A55F38">
        <w:rPr>
          <w:lang w:val="en-GB"/>
        </w:rPr>
        <w:t xml:space="preserve"> the safety domain</w:t>
      </w:r>
      <w:r w:rsidR="00185114">
        <w:rPr>
          <w:lang w:val="en-GB"/>
        </w:rPr>
        <w:t xml:space="preserve"> (ref. to ISO 31000 framework)</w:t>
      </w:r>
      <w:r w:rsidR="00A55F38">
        <w:rPr>
          <w:lang w:val="en-GB"/>
        </w:rPr>
        <w:t xml:space="preserve">, support can be provided to the “Risk Identification” </w:t>
      </w:r>
      <w:r w:rsidR="00581549">
        <w:rPr>
          <w:lang w:val="en-GB"/>
        </w:rPr>
        <w:t>phase</w:t>
      </w:r>
      <w:r w:rsidR="006D364B">
        <w:rPr>
          <w:lang w:val="en-GB"/>
        </w:rPr>
        <w:t xml:space="preserve">, while in the security domain (ref. to API Recommended Practice </w:t>
      </w:r>
      <w:r w:rsidR="00AB4A7B">
        <w:rPr>
          <w:lang w:val="en-GB"/>
        </w:rPr>
        <w:t>7807) to the “Threat Identification &amp; Assessment” and “Vulnerability Identification &amp; Assessment” phases.</w:t>
      </w:r>
    </w:p>
    <w:p w14:paraId="3FF7740B" w14:textId="3AB781E9" w:rsidR="00D65ECA" w:rsidRDefault="00D65ECA" w:rsidP="00453E24">
      <w:pPr>
        <w:pStyle w:val="CETBodytext"/>
        <w:rPr>
          <w:lang w:val="en-GB"/>
        </w:rPr>
      </w:pPr>
      <w:r>
        <w:rPr>
          <w:lang w:val="en-GB"/>
        </w:rPr>
        <w:t>In the next paragraph, each step of the BAS</w:t>
      </w:r>
      <w:r w:rsidRPr="00D65ECA">
        <w:rPr>
          <w:vertAlign w:val="superscript"/>
          <w:lang w:val="en-GB"/>
        </w:rPr>
        <w:t>2</w:t>
      </w:r>
      <w:r>
        <w:rPr>
          <w:lang w:val="en-GB"/>
        </w:rPr>
        <w:t>E methodology is detailed.</w:t>
      </w:r>
    </w:p>
    <w:p w14:paraId="7D68EA74" w14:textId="77777777" w:rsidR="00F758E5" w:rsidRDefault="00F758E5" w:rsidP="00453E24">
      <w:pPr>
        <w:pStyle w:val="CETBodytext"/>
      </w:pPr>
    </w:p>
    <w:p w14:paraId="1F1C1577" w14:textId="77777777" w:rsidR="00B83A64" w:rsidRDefault="00B83A64" w:rsidP="00B83A64">
      <w:pPr>
        <w:pStyle w:val="CETBodytext"/>
        <w:jc w:val="center"/>
        <w:rPr>
          <w:lang w:val="en-GB"/>
        </w:rPr>
      </w:pPr>
      <w:r w:rsidRPr="005F2234">
        <w:rPr>
          <w:noProof/>
        </w:rPr>
        <w:drawing>
          <wp:inline distT="0" distB="0" distL="0" distR="0" wp14:anchorId="51086CE9" wp14:editId="59BA37A6">
            <wp:extent cx="3629551" cy="2006642"/>
            <wp:effectExtent l="0" t="0" r="9525" b="0"/>
            <wp:docPr id="138869026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9562" cy="2023234"/>
                    </a:xfrm>
                    <a:prstGeom prst="rect">
                      <a:avLst/>
                    </a:prstGeom>
                    <a:noFill/>
                    <a:ln>
                      <a:noFill/>
                    </a:ln>
                  </pic:spPr>
                </pic:pic>
              </a:graphicData>
            </a:graphic>
          </wp:inline>
        </w:drawing>
      </w:r>
    </w:p>
    <w:p w14:paraId="13702A03" w14:textId="205DD4A8" w:rsidR="00B83A64" w:rsidRPr="00BD077D" w:rsidRDefault="00B83A64" w:rsidP="00B83A64">
      <w:pPr>
        <w:pStyle w:val="CETCaption"/>
      </w:pPr>
      <w:r w:rsidRPr="00BD077D">
        <w:rPr>
          <w:rStyle w:val="CETCaptionCarattere"/>
          <w:i/>
        </w:rPr>
        <w:t xml:space="preserve">Figure 1: </w:t>
      </w:r>
      <w:r w:rsidR="00DA0931">
        <w:rPr>
          <w:rStyle w:val="CETCaptionCarattere"/>
          <w:i/>
        </w:rPr>
        <w:t>I</w:t>
      </w:r>
      <w:r w:rsidR="00DA0931" w:rsidRPr="00DA0931">
        <w:t>ntegration of the BAS²E methodology with established frameworks for safety (ISO 31000) and security (API RP 780) risk assessments</w:t>
      </w:r>
      <w:r w:rsidR="00D820DE">
        <w:t>.</w:t>
      </w:r>
    </w:p>
    <w:p w14:paraId="18BAFA6F" w14:textId="0E9FE977" w:rsidR="00453E24" w:rsidRDefault="00D65ECA" w:rsidP="006F3EED">
      <w:pPr>
        <w:pStyle w:val="CETheadingx"/>
      </w:pPr>
      <w:r>
        <w:t>Detailed description</w:t>
      </w:r>
    </w:p>
    <w:p w14:paraId="5A63A9DE" w14:textId="10C3A763" w:rsidR="00E03B37" w:rsidRDefault="00E03B37" w:rsidP="00E03B37">
      <w:pPr>
        <w:pStyle w:val="CETBodytext"/>
      </w:pPr>
      <w:r>
        <w:t>The flowchart of the BAS</w:t>
      </w:r>
      <w:r w:rsidRPr="00B547DE">
        <w:rPr>
          <w:vertAlign w:val="superscript"/>
        </w:rPr>
        <w:t>2</w:t>
      </w:r>
      <w:r>
        <w:t xml:space="preserve">E methodology is </w:t>
      </w:r>
      <w:r w:rsidR="008756EC">
        <w:t>reported in Figure 2-a.</w:t>
      </w:r>
    </w:p>
    <w:p w14:paraId="27D56A96" w14:textId="51080423" w:rsidR="00667550" w:rsidRDefault="00783484" w:rsidP="00E03B37">
      <w:pPr>
        <w:pStyle w:val="CETBodytext"/>
        <w:rPr>
          <w:lang w:val="en-GB"/>
        </w:rPr>
      </w:pPr>
      <w:r w:rsidRPr="00783484">
        <w:rPr>
          <w:lang w:val="en-GB"/>
        </w:rPr>
        <w:t>The first step involves creating the directed acyclic graph (DAG) that models the</w:t>
      </w:r>
      <w:r w:rsidR="001A333E">
        <w:rPr>
          <w:lang w:val="en-GB"/>
        </w:rPr>
        <w:t xml:space="preserve"> structure of the incident chain of interest</w:t>
      </w:r>
      <w:r w:rsidRPr="00783484">
        <w:rPr>
          <w:lang w:val="en-GB"/>
        </w:rPr>
        <w:t>.</w:t>
      </w:r>
      <w:r w:rsidR="00C77902">
        <w:rPr>
          <w:lang w:val="en-GB"/>
        </w:rPr>
        <w:t xml:space="preserve"> Figure 2-b shows a generic DAG </w:t>
      </w:r>
      <w:r w:rsidR="00D83B95">
        <w:rPr>
          <w:lang w:val="en-GB"/>
        </w:rPr>
        <w:t>related to a 3-layer incident chain</w:t>
      </w:r>
      <w:r w:rsidR="00E239A7">
        <w:rPr>
          <w:lang w:val="en-GB"/>
        </w:rPr>
        <w:t xml:space="preserve"> (e.g., faults, </w:t>
      </w:r>
      <w:r w:rsidR="00A56DB0">
        <w:rPr>
          <w:lang w:val="en-GB"/>
        </w:rPr>
        <w:t xml:space="preserve">release scenarios and consequences in the safety domain, or threats, attacks, and physical damage scenarios in the security domain). </w:t>
      </w:r>
      <w:r w:rsidR="003F0EBD" w:rsidRPr="003F0EBD">
        <w:rPr>
          <w:lang w:val="en-GB"/>
        </w:rPr>
        <w:t xml:space="preserve">The determination of the </w:t>
      </w:r>
      <w:r w:rsidR="00495CC3">
        <w:rPr>
          <w:lang w:val="en-GB"/>
        </w:rPr>
        <w:t>type and number of layers</w:t>
      </w:r>
      <w:r w:rsidR="003F0EBD" w:rsidRPr="003F0EBD">
        <w:rPr>
          <w:lang w:val="en-GB"/>
        </w:rPr>
        <w:t xml:space="preserve"> within the chain structure depends on the quality of information present in the dataset entries for the specific case under analysis.</w:t>
      </w:r>
      <w:r w:rsidR="00A72168">
        <w:rPr>
          <w:lang w:val="en-GB"/>
        </w:rPr>
        <w:t xml:space="preserve"> </w:t>
      </w:r>
      <w:r w:rsidR="00A72168" w:rsidRPr="00A72168">
        <w:rPr>
          <w:lang w:val="en-GB"/>
        </w:rPr>
        <w:t xml:space="preserve">The information for each </w:t>
      </w:r>
      <w:r w:rsidR="00A72168">
        <w:rPr>
          <w:lang w:val="en-GB"/>
        </w:rPr>
        <w:t>layer category</w:t>
      </w:r>
      <w:r w:rsidR="00A72168" w:rsidRPr="00A72168">
        <w:rPr>
          <w:lang w:val="en-GB"/>
        </w:rPr>
        <w:t xml:space="preserve"> is organized into finite classes</w:t>
      </w:r>
      <w:r w:rsidR="007654BA">
        <w:rPr>
          <w:lang w:val="en-GB"/>
        </w:rPr>
        <w:t xml:space="preserve"> (e.g., in Figure 2-b, layer 1 has 3 classes</w:t>
      </w:r>
      <w:r w:rsidR="00DC2454">
        <w:rPr>
          <w:lang w:val="en-GB"/>
        </w:rPr>
        <w:t xml:space="preserve"> that could be “</w:t>
      </w:r>
      <w:r w:rsidR="00F45EB6">
        <w:rPr>
          <w:lang w:val="en-GB"/>
        </w:rPr>
        <w:t>random failure</w:t>
      </w:r>
      <w:r w:rsidR="00DC2454">
        <w:rPr>
          <w:lang w:val="en-GB"/>
        </w:rPr>
        <w:t>”, “</w:t>
      </w:r>
      <w:r w:rsidR="00F45EB6">
        <w:rPr>
          <w:lang w:val="en-GB"/>
        </w:rPr>
        <w:t>human error</w:t>
      </w:r>
      <w:r w:rsidR="00DC2454">
        <w:rPr>
          <w:lang w:val="en-GB"/>
        </w:rPr>
        <w:t>”, “</w:t>
      </w:r>
      <w:r w:rsidR="00F45EB6">
        <w:rPr>
          <w:lang w:val="en-GB"/>
        </w:rPr>
        <w:t>natural hazard</w:t>
      </w:r>
      <w:r w:rsidR="00DC2454">
        <w:rPr>
          <w:lang w:val="en-GB"/>
        </w:rPr>
        <w:t>” for the layer “</w:t>
      </w:r>
      <w:r w:rsidR="00F45EB6">
        <w:rPr>
          <w:lang w:val="en-GB"/>
        </w:rPr>
        <w:t>faults</w:t>
      </w:r>
      <w:r w:rsidR="00DC2454">
        <w:rPr>
          <w:lang w:val="en-GB"/>
        </w:rPr>
        <w:t>” in the s</w:t>
      </w:r>
      <w:r w:rsidR="00F45EB6">
        <w:rPr>
          <w:lang w:val="en-GB"/>
        </w:rPr>
        <w:t>afety</w:t>
      </w:r>
      <w:r w:rsidR="00DC2454">
        <w:rPr>
          <w:lang w:val="en-GB"/>
        </w:rPr>
        <w:t xml:space="preserve"> domain)</w:t>
      </w:r>
      <w:r w:rsidR="00A72168" w:rsidRPr="00A72168">
        <w:rPr>
          <w:lang w:val="en-GB"/>
        </w:rPr>
        <w:t>. In cases where data is incomplete, an “unknown” class is included. The</w:t>
      </w:r>
      <w:r w:rsidR="00667550">
        <w:rPr>
          <w:lang w:val="en-GB"/>
        </w:rPr>
        <w:t xml:space="preserve">se classes are represented in the DAG as </w:t>
      </w:r>
      <w:r w:rsidR="00E94C49">
        <w:rPr>
          <w:lang w:val="en-GB"/>
        </w:rPr>
        <w:t xml:space="preserve">binary </w:t>
      </w:r>
      <w:r w:rsidR="00667550">
        <w:rPr>
          <w:lang w:val="en-GB"/>
        </w:rPr>
        <w:t>nodes</w:t>
      </w:r>
      <w:r w:rsidR="00E94C49">
        <w:rPr>
          <w:lang w:val="en-GB"/>
        </w:rPr>
        <w:t xml:space="preserve"> (states “YES” and “NO”) if they are not mutually exclusive, or as a single node with the classes as states </w:t>
      </w:r>
      <w:r w:rsidR="00415CF0">
        <w:rPr>
          <w:lang w:val="en-GB"/>
        </w:rPr>
        <w:t>if they are mutually exclusive. The</w:t>
      </w:r>
      <w:r w:rsidR="00667550">
        <w:rPr>
          <w:lang w:val="en-GB"/>
        </w:rPr>
        <w:t xml:space="preserve"> </w:t>
      </w:r>
      <w:r w:rsidR="00667550" w:rsidRPr="00A72168">
        <w:rPr>
          <w:lang w:val="en-GB"/>
        </w:rPr>
        <w:t>causal relationships between</w:t>
      </w:r>
      <w:r w:rsidR="00667550">
        <w:rPr>
          <w:lang w:val="en-GB"/>
        </w:rPr>
        <w:t xml:space="preserve"> nodes of two subsequent layers are </w:t>
      </w:r>
      <w:r w:rsidR="00667550" w:rsidRPr="00A72168">
        <w:rPr>
          <w:lang w:val="en-GB"/>
        </w:rPr>
        <w:t>depicted using arcs</w:t>
      </w:r>
      <w:r w:rsidR="00667550">
        <w:rPr>
          <w:lang w:val="en-GB"/>
        </w:rPr>
        <w:t xml:space="preserve"> (see Figure 2-b).</w:t>
      </w:r>
    </w:p>
    <w:p w14:paraId="1C37463C" w14:textId="28090BA0" w:rsidR="00667550" w:rsidRDefault="00B633BA" w:rsidP="00E03B37">
      <w:pPr>
        <w:pStyle w:val="CETBodytext"/>
        <w:rPr>
          <w:lang w:val="en-GB"/>
        </w:rPr>
      </w:pPr>
      <w:r w:rsidRPr="00B633BA">
        <w:rPr>
          <w:lang w:val="en-GB"/>
        </w:rPr>
        <w:t>Th</w:t>
      </w:r>
      <w:r w:rsidR="00D95A8E">
        <w:rPr>
          <w:lang w:val="en-GB"/>
        </w:rPr>
        <w:t xml:space="preserve">e second </w:t>
      </w:r>
      <w:r w:rsidRPr="00B633BA">
        <w:rPr>
          <w:lang w:val="en-GB"/>
        </w:rPr>
        <w:t xml:space="preserve">step involves </w:t>
      </w:r>
      <w:r w:rsidR="000C5437">
        <w:rPr>
          <w:lang w:val="en-GB"/>
        </w:rPr>
        <w:t>the specification of the conditional probability tables (CPT) for each node</w:t>
      </w:r>
      <w:r w:rsidRPr="00B633BA">
        <w:rPr>
          <w:lang w:val="en-GB"/>
        </w:rPr>
        <w:t>. For nodes without parent nodes</w:t>
      </w:r>
      <w:r w:rsidR="00A26D4E">
        <w:rPr>
          <w:lang w:val="en-GB"/>
        </w:rPr>
        <w:t xml:space="preserve"> (</w:t>
      </w:r>
      <w:r w:rsidR="004E038D">
        <w:rPr>
          <w:lang w:val="en-GB"/>
        </w:rPr>
        <w:t>i.e., nodes of layer 1</w:t>
      </w:r>
      <w:r w:rsidR="00A26D4E">
        <w:rPr>
          <w:lang w:val="en-GB"/>
        </w:rPr>
        <w:t>)</w:t>
      </w:r>
      <w:r w:rsidRPr="00B633BA">
        <w:rPr>
          <w:lang w:val="en-GB"/>
        </w:rPr>
        <w:t>, the marginal probabilit</w:t>
      </w:r>
      <w:r w:rsidR="00427608">
        <w:rPr>
          <w:lang w:val="en-GB"/>
        </w:rPr>
        <w:t>ies</w:t>
      </w:r>
      <w:r w:rsidRPr="00B633BA">
        <w:rPr>
          <w:lang w:val="en-GB"/>
        </w:rPr>
        <w:t xml:space="preserve"> </w:t>
      </w:r>
      <w:r w:rsidR="00427608">
        <w:rPr>
          <w:lang w:val="en-GB"/>
        </w:rPr>
        <w:t>are</w:t>
      </w:r>
      <w:r w:rsidRPr="00B633BA">
        <w:rPr>
          <w:lang w:val="en-GB"/>
        </w:rPr>
        <w:t xml:space="preserve"> calculated as:</w:t>
      </w:r>
    </w:p>
    <w:tbl>
      <w:tblPr>
        <w:tblW w:w="5000" w:type="pct"/>
        <w:tblLook w:val="04A0" w:firstRow="1" w:lastRow="0" w:firstColumn="1" w:lastColumn="0" w:noHBand="0" w:noVBand="1"/>
      </w:tblPr>
      <w:tblGrid>
        <w:gridCol w:w="7986"/>
        <w:gridCol w:w="801"/>
      </w:tblGrid>
      <w:tr w:rsidR="00096D5E" w:rsidRPr="00B57B36" w14:paraId="7D3E2C5A" w14:textId="77777777" w:rsidTr="00895F9F">
        <w:tc>
          <w:tcPr>
            <w:tcW w:w="7986" w:type="dxa"/>
            <w:shd w:val="clear" w:color="auto" w:fill="auto"/>
            <w:vAlign w:val="center"/>
          </w:tcPr>
          <w:p w14:paraId="498C2325" w14:textId="69E5D65E" w:rsidR="00096D5E" w:rsidRPr="005650C6" w:rsidRDefault="00000000" w:rsidP="00895F9F">
            <w:pPr>
              <w:pStyle w:val="CETEquation"/>
            </w:pPr>
            <m:oMathPara>
              <m:oMathParaPr>
                <m:jc m:val="left"/>
              </m:oMathParaPr>
              <m:oMath>
                <m:sSub>
                  <m:sSubPr>
                    <m:ctrlPr>
                      <w:rPr>
                        <w:rFonts w:ascii="Cambria Math" w:hAnsi="Cambria Math"/>
                        <w:bCs/>
                        <w:i/>
                      </w:rPr>
                    </m:ctrlPr>
                  </m:sSubPr>
                  <m:e>
                    <m:r>
                      <w:rPr>
                        <w:rFonts w:ascii="Cambria Math" w:hAnsi="Cambria Math"/>
                      </w:rPr>
                      <m:t>p</m:t>
                    </m:r>
                  </m:e>
                  <m:sub>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1,j</m:t>
                        </m:r>
                      </m:sub>
                    </m:sSub>
                  </m:sub>
                </m:sSub>
                <m:r>
                  <w:rPr>
                    <w:rFonts w:ascii="Cambria Math" w:hAnsi="Cambria Math"/>
                  </w:rPr>
                  <m:t>=</m:t>
                </m:r>
                <m:f>
                  <m:fPr>
                    <m:ctrlPr>
                      <w:rPr>
                        <w:rFonts w:ascii="Cambria Math" w:eastAsia="SimSun" w:hAnsi="Cambria Math" w:cstheme="minorBidi"/>
                        <w:bCs/>
                        <w:i/>
                      </w:rPr>
                    </m:ctrlPr>
                  </m:fPr>
                  <m:num>
                    <m:r>
                      <m:rPr>
                        <m:sty m:val="p"/>
                      </m:rPr>
                      <w:rPr>
                        <w:rFonts w:ascii="Cambria Math" w:hAnsi="Cambria Math"/>
                      </w:rPr>
                      <m:t>n° events categorized as</m:t>
                    </m:r>
                    <m:r>
                      <w:rPr>
                        <w:rFonts w:ascii="Cambria Math" w:hAnsi="Cambria Math"/>
                      </w:rPr>
                      <m:t xml:space="preserve"> C</m:t>
                    </m:r>
                    <m:sSub>
                      <m:sSubPr>
                        <m:ctrlPr>
                          <w:rPr>
                            <w:rFonts w:ascii="Cambria Math" w:hAnsi="Cambria Math"/>
                            <w:bCs/>
                            <w:i/>
                          </w:rPr>
                        </m:ctrlPr>
                      </m:sSubPr>
                      <m:e>
                        <m:r>
                          <w:rPr>
                            <w:rFonts w:ascii="Cambria Math" w:hAnsi="Cambria Math"/>
                          </w:rPr>
                          <m:t>L</m:t>
                        </m:r>
                      </m:e>
                      <m:sub>
                        <m:r>
                          <w:rPr>
                            <w:rFonts w:ascii="Cambria Math" w:hAnsi="Cambria Math"/>
                          </w:rPr>
                          <m:t>1,j</m:t>
                        </m:r>
                      </m:sub>
                    </m:sSub>
                  </m:num>
                  <m:den>
                    <m:nary>
                      <m:naryPr>
                        <m:chr m:val="∑"/>
                        <m:limLoc m:val="subSup"/>
                        <m:supHide m:val="1"/>
                        <m:ctrlPr>
                          <w:rPr>
                            <w:rFonts w:ascii="Cambria Math" w:eastAsia="SimSun" w:hAnsi="Cambria Math" w:cstheme="minorBidi"/>
                            <w:bCs/>
                            <w:i/>
                          </w:rPr>
                        </m:ctrlPr>
                      </m:naryPr>
                      <m:sub>
                        <m:r>
                          <w:rPr>
                            <w:rFonts w:ascii="Cambria Math" w:eastAsia="SimSun" w:hAnsi="Cambria Math" w:cstheme="minorBidi"/>
                          </w:rPr>
                          <m:t>j</m:t>
                        </m:r>
                      </m:sub>
                      <m:sup/>
                      <m:e>
                        <m:r>
                          <m:rPr>
                            <m:sty m:val="p"/>
                          </m:rPr>
                          <w:rPr>
                            <w:rFonts w:ascii="Cambria Math" w:hAnsi="Cambria Math"/>
                          </w:rPr>
                          <m:t>n° events categorized as</m:t>
                        </m:r>
                        <m:r>
                          <w:rPr>
                            <w:rFonts w:ascii="Cambria Math" w:hAnsi="Cambria Math"/>
                          </w:rPr>
                          <m:t xml:space="preserve"> C</m:t>
                        </m:r>
                        <m:sSub>
                          <m:sSubPr>
                            <m:ctrlPr>
                              <w:rPr>
                                <w:rFonts w:ascii="Cambria Math" w:hAnsi="Cambria Math"/>
                                <w:bCs/>
                                <w:i/>
                              </w:rPr>
                            </m:ctrlPr>
                          </m:sSubPr>
                          <m:e>
                            <m:r>
                              <w:rPr>
                                <w:rFonts w:ascii="Cambria Math" w:hAnsi="Cambria Math"/>
                              </w:rPr>
                              <m:t>L</m:t>
                            </m:r>
                          </m:e>
                          <m:sub>
                            <m:r>
                              <w:rPr>
                                <w:rFonts w:ascii="Cambria Math" w:hAnsi="Cambria Math"/>
                              </w:rPr>
                              <m:t>1,j</m:t>
                            </m:r>
                          </m:sub>
                        </m:sSub>
                      </m:e>
                    </m:nary>
                  </m:den>
                </m:f>
              </m:oMath>
            </m:oMathPara>
          </w:p>
        </w:tc>
        <w:tc>
          <w:tcPr>
            <w:tcW w:w="801" w:type="dxa"/>
            <w:shd w:val="clear" w:color="auto" w:fill="auto"/>
            <w:vAlign w:val="center"/>
          </w:tcPr>
          <w:p w14:paraId="202D19A9" w14:textId="44A061A6" w:rsidR="00096D5E" w:rsidRPr="00B57B36" w:rsidRDefault="00096D5E" w:rsidP="00895F9F">
            <w:pPr>
              <w:pStyle w:val="CETEquation"/>
              <w:jc w:val="right"/>
            </w:pPr>
            <w:r w:rsidRPr="00B57B36">
              <w:t>(</w:t>
            </w:r>
            <w:r w:rsidR="00CA5736">
              <w:t>5</w:t>
            </w:r>
            <w:r w:rsidRPr="00B57B36">
              <w:t>)</w:t>
            </w:r>
          </w:p>
        </w:tc>
      </w:tr>
    </w:tbl>
    <w:p w14:paraId="537113DD" w14:textId="7A0A9F66" w:rsidR="00D15BAC" w:rsidRDefault="00CA5736" w:rsidP="00E03B37">
      <w:pPr>
        <w:pStyle w:val="CETBodytext"/>
      </w:pPr>
      <w:r>
        <w:t xml:space="preserve">where </w:t>
      </w:r>
      <m:oMath>
        <m:r>
          <w:rPr>
            <w:rFonts w:ascii="Cambria Math" w:hAnsi="Cambria Math"/>
          </w:rPr>
          <m:t>j</m:t>
        </m:r>
      </m:oMath>
      <w:r w:rsidR="00DC0C63">
        <w:t xml:space="preserve"> indexes the classes of layer </w:t>
      </w:r>
      <m:oMath>
        <m:r>
          <w:rPr>
            <w:rFonts w:ascii="Cambria Math" w:hAnsi="Cambria Math"/>
          </w:rPr>
          <m:t>i=1</m:t>
        </m:r>
      </m:oMath>
      <w:r w:rsidR="0051704A">
        <w:t>.</w:t>
      </w:r>
    </w:p>
    <w:p w14:paraId="66645A8E" w14:textId="453C419A" w:rsidR="0051704A" w:rsidRDefault="00E06440" w:rsidP="00E03B37">
      <w:pPr>
        <w:pStyle w:val="CETBodytext"/>
      </w:pPr>
      <w:r>
        <w:t xml:space="preserve">For nodes with </w:t>
      </w:r>
      <w:r w:rsidR="00423BE5">
        <w:t xml:space="preserve">a single parent or with multiple parents but only one in state “YES”, </w:t>
      </w:r>
      <w:r>
        <w:t xml:space="preserve">the conditional probabilities </w:t>
      </w:r>
      <w:r w:rsidR="00423BE5">
        <w:t>are determined as:</w:t>
      </w:r>
    </w:p>
    <w:tbl>
      <w:tblPr>
        <w:tblW w:w="5000" w:type="pct"/>
        <w:tblLook w:val="04A0" w:firstRow="1" w:lastRow="0" w:firstColumn="1" w:lastColumn="0" w:noHBand="0" w:noVBand="1"/>
      </w:tblPr>
      <w:tblGrid>
        <w:gridCol w:w="7986"/>
        <w:gridCol w:w="801"/>
      </w:tblGrid>
      <w:tr w:rsidR="00423BE5" w:rsidRPr="00B57B36" w14:paraId="6904FEF9" w14:textId="77777777" w:rsidTr="00895F9F">
        <w:tc>
          <w:tcPr>
            <w:tcW w:w="7986" w:type="dxa"/>
            <w:shd w:val="clear" w:color="auto" w:fill="auto"/>
            <w:vAlign w:val="center"/>
          </w:tcPr>
          <w:p w14:paraId="7CF2427F" w14:textId="6ED38F55" w:rsidR="00423BE5" w:rsidRPr="005650C6" w:rsidRDefault="00000000" w:rsidP="00DB7AE0">
            <w:pPr>
              <w:rPr>
                <w:bCs/>
              </w:rPr>
            </w:pPr>
            <m:oMathPara>
              <m:oMathParaPr>
                <m:jc m:val="left"/>
              </m:oMathParaPr>
              <m:oMath>
                <m:sSub>
                  <m:sSubPr>
                    <m:ctrlPr>
                      <w:rPr>
                        <w:rFonts w:ascii="Cambria Math" w:hAnsi="Cambria Math"/>
                        <w:bCs/>
                        <w:i/>
                      </w:rPr>
                    </m:ctrlPr>
                  </m:sSubPr>
                  <m:e>
                    <m:r>
                      <w:rPr>
                        <w:rFonts w:ascii="Cambria Math" w:hAnsi="Cambria Math"/>
                      </w:rPr>
                      <m:t>p</m:t>
                    </m:r>
                  </m:e>
                  <m:sub>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i,j</m:t>
                        </m:r>
                      </m:sub>
                    </m:sSub>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i-1,z</m:t>
                        </m:r>
                      </m:sub>
                    </m:sSub>
                  </m:sub>
                </m:sSub>
                <m:r>
                  <w:rPr>
                    <w:rFonts w:ascii="Cambria Math" w:hAnsi="Cambria Math"/>
                  </w:rPr>
                  <m:t>=</m:t>
                </m:r>
                <m:f>
                  <m:fPr>
                    <m:ctrlPr>
                      <w:rPr>
                        <w:rFonts w:ascii="Cambria Math" w:eastAsia="SimSun" w:hAnsi="Cambria Math" w:cstheme="minorBidi"/>
                        <w:bCs/>
                        <w:i/>
                      </w:rPr>
                    </m:ctrlPr>
                  </m:fPr>
                  <m:num>
                    <m:r>
                      <m:rPr>
                        <m:sty m:val="p"/>
                      </m:rPr>
                      <w:rPr>
                        <w:rFonts w:ascii="Cambria Math" w:hAnsi="Cambria Math"/>
                      </w:rPr>
                      <m:t>n° events categorized as</m:t>
                    </m:r>
                    <m:r>
                      <w:rPr>
                        <w:rFonts w:ascii="Cambria Math" w:hAnsi="Cambria Math"/>
                      </w:rPr>
                      <m:t xml:space="preserve"> </m:t>
                    </m:r>
                    <m:d>
                      <m:dPr>
                        <m:ctrlPr>
                          <w:rPr>
                            <w:rFonts w:ascii="Cambria Math" w:hAnsi="Cambria Math"/>
                            <w:bCs/>
                            <w:i/>
                          </w:rPr>
                        </m:ctrlPr>
                      </m:dPr>
                      <m:e>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i,j</m:t>
                            </m:r>
                          </m:sub>
                        </m:sSub>
                        <m:ctrlPr>
                          <w:rPr>
                            <w:rFonts w:ascii="Cambria Math" w:hAnsi="Cambria Math"/>
                            <w:bCs/>
                          </w:rPr>
                        </m:ctrlPr>
                      </m:e>
                    </m:d>
                    <m:r>
                      <w:rPr>
                        <w:rFonts w:ascii="Cambria Math" w:hAnsi="Cambria Math" w:hint="eastAsia"/>
                      </w:rPr>
                      <m:t>∧</m:t>
                    </m:r>
                    <m:d>
                      <m:dPr>
                        <m:ctrlPr>
                          <w:rPr>
                            <w:rFonts w:ascii="Cambria Math" w:hAnsi="Cambria Math"/>
                            <w:bCs/>
                          </w:rPr>
                        </m:ctrlPr>
                      </m:dPr>
                      <m:e>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i-1,z</m:t>
                            </m:r>
                          </m:sub>
                        </m:sSub>
                        <m:ctrlPr>
                          <w:rPr>
                            <w:rFonts w:ascii="Cambria Math" w:hAnsi="Cambria Math"/>
                            <w:bCs/>
                            <w:i/>
                          </w:rPr>
                        </m:ctrlPr>
                      </m:e>
                    </m:d>
                    <m:r>
                      <w:rPr>
                        <w:rFonts w:ascii="Cambria Math" w:hAnsi="Cambria Math"/>
                      </w:rPr>
                      <m:t xml:space="preserve"> </m:t>
                    </m:r>
                  </m:num>
                  <m:den>
                    <m:r>
                      <m:rPr>
                        <m:sty m:val="p"/>
                      </m:rPr>
                      <w:rPr>
                        <w:rFonts w:ascii="Cambria Math" w:hAnsi="Cambria Math"/>
                      </w:rPr>
                      <m:t>n° events categorized as</m:t>
                    </m:r>
                    <m:r>
                      <w:rPr>
                        <w:rFonts w:ascii="Cambria Math" w:hAnsi="Cambria Math"/>
                      </w:rPr>
                      <m:t xml:space="preserve"> C</m:t>
                    </m:r>
                    <m:sSub>
                      <m:sSubPr>
                        <m:ctrlPr>
                          <w:rPr>
                            <w:rFonts w:ascii="Cambria Math" w:hAnsi="Cambria Math"/>
                            <w:bCs/>
                            <w:i/>
                          </w:rPr>
                        </m:ctrlPr>
                      </m:sSubPr>
                      <m:e>
                        <m:r>
                          <w:rPr>
                            <w:rFonts w:ascii="Cambria Math" w:hAnsi="Cambria Math"/>
                          </w:rPr>
                          <m:t>L</m:t>
                        </m:r>
                      </m:e>
                      <m:sub>
                        <m:r>
                          <w:rPr>
                            <w:rFonts w:ascii="Cambria Math" w:hAnsi="Cambria Math"/>
                          </w:rPr>
                          <m:t>i-1,z</m:t>
                        </m:r>
                      </m:sub>
                    </m:sSub>
                  </m:den>
                </m:f>
              </m:oMath>
            </m:oMathPara>
          </w:p>
        </w:tc>
        <w:tc>
          <w:tcPr>
            <w:tcW w:w="801" w:type="dxa"/>
            <w:shd w:val="clear" w:color="auto" w:fill="auto"/>
            <w:vAlign w:val="center"/>
          </w:tcPr>
          <w:p w14:paraId="74EDFCB7" w14:textId="220F3434" w:rsidR="00423BE5" w:rsidRPr="00B57B36" w:rsidRDefault="00423BE5" w:rsidP="00895F9F">
            <w:pPr>
              <w:pStyle w:val="CETEquation"/>
              <w:jc w:val="right"/>
            </w:pPr>
            <w:r w:rsidRPr="00B57B36">
              <w:t>(</w:t>
            </w:r>
            <w:r w:rsidR="003623AA">
              <w:t>6</w:t>
            </w:r>
            <w:r w:rsidRPr="00B57B36">
              <w:t>)</w:t>
            </w:r>
          </w:p>
        </w:tc>
      </w:tr>
    </w:tbl>
    <w:p w14:paraId="281AEA5A" w14:textId="7EE4690B" w:rsidR="00DB7AE0" w:rsidRDefault="00DB7AE0" w:rsidP="00E03B37">
      <w:pPr>
        <w:pStyle w:val="CETBodytext"/>
      </w:pPr>
      <w:r>
        <w:t xml:space="preserve">where </w:t>
      </w:r>
      <m:oMath>
        <m:r>
          <w:rPr>
            <w:rFonts w:ascii="Cambria Math" w:hAnsi="Cambria Math"/>
          </w:rPr>
          <m:t>j</m:t>
        </m:r>
      </m:oMath>
      <w:r w:rsidR="005E5985">
        <w:t xml:space="preserve"> indexes the </w:t>
      </w:r>
      <w:r w:rsidR="00A56892">
        <w:t xml:space="preserve">classes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A56892">
        <w:t xml:space="preserve"> layer</w:t>
      </w:r>
      <w:r w:rsidR="003E6F21">
        <w:t xml:space="preserve">, and </w:t>
      </w:r>
      <m:oMath>
        <m:r>
          <w:rPr>
            <w:rFonts w:ascii="Cambria Math" w:hAnsi="Cambria Math"/>
          </w:rPr>
          <m:t>z</m:t>
        </m:r>
      </m:oMath>
      <w:r w:rsidR="003E6F21">
        <w:t xml:space="preserve"> the classes of </w:t>
      </w:r>
      <m:oMath>
        <m:sSup>
          <m:sSupPr>
            <m:ctrlPr>
              <w:rPr>
                <w:rFonts w:ascii="Cambria Math" w:hAnsi="Cambria Math"/>
                <w:i/>
              </w:rPr>
            </m:ctrlPr>
          </m:sSupPr>
          <m:e>
            <m:d>
              <m:dPr>
                <m:ctrlPr>
                  <w:rPr>
                    <w:rFonts w:ascii="Cambria Math" w:hAnsi="Cambria Math"/>
                    <w:i/>
                  </w:rPr>
                </m:ctrlPr>
              </m:dPr>
              <m:e>
                <m:r>
                  <w:rPr>
                    <w:rFonts w:ascii="Cambria Math" w:hAnsi="Cambria Math"/>
                  </w:rPr>
                  <m:t>i-1</m:t>
                </m:r>
              </m:e>
            </m:d>
          </m:e>
          <m:sup>
            <m:r>
              <w:rPr>
                <w:rFonts w:ascii="Cambria Math" w:hAnsi="Cambria Math"/>
              </w:rPr>
              <m:t>th</m:t>
            </m:r>
          </m:sup>
        </m:sSup>
      </m:oMath>
      <w:r w:rsidR="00D76AF8">
        <w:t xml:space="preserve"> layer.</w:t>
      </w:r>
    </w:p>
    <w:p w14:paraId="1C923383" w14:textId="196ECABB" w:rsidR="00C13310" w:rsidRDefault="00395206" w:rsidP="00E03B37">
      <w:pPr>
        <w:pStyle w:val="CETBodytext"/>
        <w:rPr>
          <w:lang w:val="en-GB"/>
        </w:rPr>
      </w:pPr>
      <w:r>
        <w:lastRenderedPageBreak/>
        <w:t xml:space="preserve">For nodes </w:t>
      </w:r>
      <w:r w:rsidR="00246954">
        <w:t>with multiple parents in state “YES”</w:t>
      </w:r>
      <w:r w:rsidR="005B32A0">
        <w:t>,</w:t>
      </w:r>
      <w:r w:rsidR="00246954">
        <w:t xml:space="preserve"> </w:t>
      </w:r>
      <w:r w:rsidR="00C13310" w:rsidRPr="00C13310">
        <w:rPr>
          <w:lang w:val="en-GB"/>
        </w:rPr>
        <w:t>conditional probabilities are calculated using either equation (</w:t>
      </w:r>
      <w:r w:rsidR="003623AA">
        <w:rPr>
          <w:lang w:val="en-GB"/>
        </w:rPr>
        <w:t>7</w:t>
      </w:r>
      <w:r w:rsidR="00C13310" w:rsidRPr="00C13310">
        <w:rPr>
          <w:lang w:val="en-GB"/>
        </w:rPr>
        <w:t>) or the Noisy-OR gate model (refer to eq</w:t>
      </w:r>
      <w:r w:rsidR="000A6B28">
        <w:rPr>
          <w:lang w:val="en-GB"/>
        </w:rPr>
        <w:t>uation</w:t>
      </w:r>
      <w:r w:rsidR="00C13310" w:rsidRPr="00C13310">
        <w:rPr>
          <w:lang w:val="en-GB"/>
        </w:rPr>
        <w:t xml:space="preserve"> (3) above), depending on the results of a statistical significance test (test of proportion </w:t>
      </w:r>
      <w:sdt>
        <w:sdtPr>
          <w:rPr>
            <w:color w:val="000000"/>
            <w:lang w:val="en-GB"/>
          </w:rPr>
          <w:tag w:val="MENDELEY_CITATION_v3_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"/>
          <w:id w:val="1658647340"/>
          <w:placeholder>
            <w:docPart w:val="DefaultPlaceholder_-1854013440"/>
          </w:placeholder>
        </w:sdtPr>
        <w:sdtContent>
          <w:r w:rsidR="002751B1" w:rsidRPr="002751B1">
            <w:rPr>
              <w:color w:val="000000"/>
              <w:lang w:val="en-GB"/>
            </w:rPr>
            <w:t>(Lane et al., 2003)</w:t>
          </w:r>
        </w:sdtContent>
      </w:sdt>
      <w:r w:rsidR="00C13310" w:rsidRPr="00C13310">
        <w:rPr>
          <w:lang w:val="en-GB"/>
        </w:rPr>
        <w:t>). If the test provides sufficient evidence to reject the independence hypothesis (null hypothesis), the dataset information is utilized in equation (</w:t>
      </w:r>
      <w:r w:rsidR="003623AA">
        <w:rPr>
          <w:lang w:val="en-GB"/>
        </w:rPr>
        <w:t>7</w:t>
      </w:r>
      <w:r w:rsidR="00C13310" w:rsidRPr="00C13310">
        <w:rPr>
          <w:lang w:val="en-GB"/>
        </w:rPr>
        <w:t>) to determine the conditional probabilities</w:t>
      </w:r>
      <w:r w:rsidR="00C13310">
        <w:rPr>
          <w:lang w:val="en-GB"/>
        </w:rPr>
        <w:t>:</w:t>
      </w:r>
    </w:p>
    <w:p w14:paraId="31F84DE3" w14:textId="1ABB3FFB" w:rsidR="00395206" w:rsidRDefault="00130220" w:rsidP="00E03B37">
      <w:pPr>
        <w:pStyle w:val="CETBodytext"/>
      </w:pPr>
      <w:r>
        <w:t xml:space="preserve"> </w:t>
      </w:r>
    </w:p>
    <w:tbl>
      <w:tblPr>
        <w:tblW w:w="5000" w:type="pct"/>
        <w:tblLook w:val="04A0" w:firstRow="1" w:lastRow="0" w:firstColumn="1" w:lastColumn="0" w:noHBand="0" w:noVBand="1"/>
      </w:tblPr>
      <w:tblGrid>
        <w:gridCol w:w="7986"/>
        <w:gridCol w:w="801"/>
      </w:tblGrid>
      <w:tr w:rsidR="00C13310" w:rsidRPr="00B57B36" w14:paraId="1F40376D" w14:textId="77777777" w:rsidTr="00895F9F">
        <w:tc>
          <w:tcPr>
            <w:tcW w:w="7986" w:type="dxa"/>
            <w:shd w:val="clear" w:color="auto" w:fill="auto"/>
            <w:vAlign w:val="center"/>
          </w:tcPr>
          <w:p w14:paraId="0058736E" w14:textId="77777777" w:rsidR="005B32A0" w:rsidRPr="005650C6" w:rsidRDefault="00000000" w:rsidP="005B32A0">
            <w:pPr>
              <w:rPr>
                <w:bCs/>
              </w:rPr>
            </w:pPr>
            <m:oMathPara>
              <m:oMathParaPr>
                <m:jc m:val="left"/>
              </m:oMathParaPr>
              <m:oMath>
                <m:sSub>
                  <m:sSubPr>
                    <m:ctrlPr>
                      <w:rPr>
                        <w:rFonts w:ascii="Cambria Math" w:hAnsi="Cambria Math"/>
                        <w:bCs/>
                        <w:i/>
                      </w:rPr>
                    </m:ctrlPr>
                  </m:sSubPr>
                  <m:e>
                    <m:r>
                      <w:rPr>
                        <w:rFonts w:ascii="Cambria Math" w:hAnsi="Cambria Math"/>
                      </w:rPr>
                      <m:t>p</m:t>
                    </m:r>
                  </m:e>
                  <m:sub>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i,j</m:t>
                        </m:r>
                      </m:sub>
                    </m:sSub>
                    <m:r>
                      <w:rPr>
                        <w:rFonts w:ascii="Cambria Math" w:hAnsi="Cambria Math"/>
                      </w:rPr>
                      <m:t>,</m:t>
                    </m:r>
                    <m:d>
                      <m:dPr>
                        <m:ctrlPr>
                          <w:rPr>
                            <w:rFonts w:ascii="Cambria Math" w:hAnsi="Cambria Math"/>
                            <w:bCs/>
                          </w:rPr>
                        </m:ctrlPr>
                      </m:dPr>
                      <m:e>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i-1,z</m:t>
                            </m:r>
                          </m:sub>
                        </m:sSub>
                        <m:ctrlPr>
                          <w:rPr>
                            <w:rFonts w:ascii="Cambria Math" w:hAnsi="Cambria Math"/>
                            <w:bCs/>
                            <w:i/>
                          </w:rPr>
                        </m:ctrlPr>
                      </m:e>
                    </m:d>
                    <m:r>
                      <w:rPr>
                        <w:rFonts w:ascii="Cambria Math" w:hAnsi="Cambria Math" w:hint="eastAsia"/>
                      </w:rPr>
                      <m:t>∧… ∧</m:t>
                    </m:r>
                    <m:d>
                      <m:dPr>
                        <m:ctrlPr>
                          <w:rPr>
                            <w:rFonts w:ascii="Cambria Math" w:hAnsi="Cambria Math"/>
                            <w:bCs/>
                            <w:i/>
                          </w:rPr>
                        </m:ctrlPr>
                      </m:dPr>
                      <m:e>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i-1,k</m:t>
                            </m:r>
                            <m:r>
                              <w:rPr>
                                <w:rFonts w:ascii="Cambria Math" w:hAnsi="Cambria Math" w:hint="eastAsia"/>
                              </w:rPr>
                              <m:t>≠</m:t>
                            </m:r>
                            <m:r>
                              <w:rPr>
                                <w:rFonts w:ascii="Cambria Math" w:hAnsi="Cambria Math"/>
                              </w:rPr>
                              <m:t>z</m:t>
                            </m:r>
                          </m:sub>
                        </m:sSub>
                        <m:ctrlPr>
                          <w:rPr>
                            <w:rFonts w:ascii="Cambria Math" w:hAnsi="Cambria Math"/>
                            <w:bCs/>
                          </w:rPr>
                        </m:ctrlPr>
                      </m:e>
                    </m:d>
                  </m:sub>
                </m:sSub>
                <m:r>
                  <w:rPr>
                    <w:rFonts w:ascii="Cambria Math" w:hAnsi="Cambria Math"/>
                  </w:rPr>
                  <m:t>=</m:t>
                </m:r>
                <m:f>
                  <m:fPr>
                    <m:ctrlPr>
                      <w:rPr>
                        <w:rFonts w:ascii="Cambria Math" w:eastAsia="SimSun" w:hAnsi="Cambria Math" w:cstheme="minorBidi"/>
                        <w:bCs/>
                        <w:i/>
                      </w:rPr>
                    </m:ctrlPr>
                  </m:fPr>
                  <m:num>
                    <m:r>
                      <m:rPr>
                        <m:sty m:val="p"/>
                      </m:rPr>
                      <w:rPr>
                        <w:rFonts w:ascii="Cambria Math" w:hAnsi="Cambria Math"/>
                      </w:rPr>
                      <m:t>n° events categorized as</m:t>
                    </m:r>
                    <m:r>
                      <w:rPr>
                        <w:rFonts w:ascii="Cambria Math" w:hAnsi="Cambria Math"/>
                      </w:rPr>
                      <m:t xml:space="preserve"> </m:t>
                    </m:r>
                    <m:d>
                      <m:dPr>
                        <m:ctrlPr>
                          <w:rPr>
                            <w:rFonts w:ascii="Cambria Math" w:hAnsi="Cambria Math"/>
                            <w:bCs/>
                            <w:i/>
                          </w:rPr>
                        </m:ctrlPr>
                      </m:dPr>
                      <m:e>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i,j</m:t>
                            </m:r>
                          </m:sub>
                        </m:sSub>
                        <m:ctrlPr>
                          <w:rPr>
                            <w:rFonts w:ascii="Cambria Math" w:hAnsi="Cambria Math"/>
                            <w:bCs/>
                          </w:rPr>
                        </m:ctrlPr>
                      </m:e>
                    </m:d>
                    <m:r>
                      <w:rPr>
                        <w:rFonts w:ascii="Cambria Math" w:hAnsi="Cambria Math" w:hint="eastAsia"/>
                      </w:rPr>
                      <m:t>∧</m:t>
                    </m:r>
                    <m:d>
                      <m:dPr>
                        <m:begChr m:val="["/>
                        <m:endChr m:val="]"/>
                        <m:ctrlPr>
                          <w:rPr>
                            <w:rFonts w:ascii="Cambria Math" w:hAnsi="Cambria Math"/>
                            <w:bCs/>
                            <w:i/>
                          </w:rPr>
                        </m:ctrlPr>
                      </m:dPr>
                      <m:e>
                        <m:d>
                          <m:dPr>
                            <m:ctrlPr>
                              <w:rPr>
                                <w:rFonts w:ascii="Cambria Math" w:hAnsi="Cambria Math"/>
                                <w:bCs/>
                              </w:rPr>
                            </m:ctrlPr>
                          </m:dPr>
                          <m:e>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i-1,z</m:t>
                                </m:r>
                              </m:sub>
                            </m:sSub>
                            <m:ctrlPr>
                              <w:rPr>
                                <w:rFonts w:ascii="Cambria Math" w:hAnsi="Cambria Math"/>
                                <w:bCs/>
                                <w:i/>
                              </w:rPr>
                            </m:ctrlPr>
                          </m:e>
                        </m:d>
                        <m:r>
                          <w:rPr>
                            <w:rFonts w:ascii="Cambria Math" w:hAnsi="Cambria Math" w:hint="eastAsia"/>
                          </w:rPr>
                          <m:t>∧… ∧</m:t>
                        </m:r>
                        <m:d>
                          <m:dPr>
                            <m:ctrlPr>
                              <w:rPr>
                                <w:rFonts w:ascii="Cambria Math" w:hAnsi="Cambria Math"/>
                                <w:bCs/>
                                <w:i/>
                              </w:rPr>
                            </m:ctrlPr>
                          </m:dPr>
                          <m:e>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i-1,k</m:t>
                                </m:r>
                                <m:r>
                                  <w:rPr>
                                    <w:rFonts w:ascii="Cambria Math" w:hAnsi="Cambria Math" w:hint="eastAsia"/>
                                  </w:rPr>
                                  <m:t>≠</m:t>
                                </m:r>
                                <m:r>
                                  <w:rPr>
                                    <w:rFonts w:ascii="Cambria Math" w:hAnsi="Cambria Math"/>
                                  </w:rPr>
                                  <m:t>z</m:t>
                                </m:r>
                              </m:sub>
                            </m:sSub>
                            <m:ctrlPr>
                              <w:rPr>
                                <w:rFonts w:ascii="Cambria Math" w:hAnsi="Cambria Math"/>
                                <w:bCs/>
                              </w:rPr>
                            </m:ctrlPr>
                          </m:e>
                        </m:d>
                      </m:e>
                    </m:d>
                    <m:r>
                      <w:rPr>
                        <w:rFonts w:ascii="Cambria Math" w:hAnsi="Cambria Math"/>
                      </w:rPr>
                      <m:t xml:space="preserve"> </m:t>
                    </m:r>
                  </m:num>
                  <m:den>
                    <m:r>
                      <m:rPr>
                        <m:sty m:val="p"/>
                      </m:rPr>
                      <w:rPr>
                        <w:rFonts w:ascii="Cambria Math" w:hAnsi="Cambria Math"/>
                      </w:rPr>
                      <m:t>n° events categorized as</m:t>
                    </m:r>
                    <m:r>
                      <w:rPr>
                        <w:rFonts w:ascii="Cambria Math" w:hAnsi="Cambria Math"/>
                      </w:rPr>
                      <m:t xml:space="preserve"> </m:t>
                    </m:r>
                    <m:d>
                      <m:dPr>
                        <m:ctrlPr>
                          <w:rPr>
                            <w:rFonts w:ascii="Cambria Math" w:hAnsi="Cambria Math"/>
                            <w:bCs/>
                          </w:rPr>
                        </m:ctrlPr>
                      </m:dPr>
                      <m:e>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i-1,z</m:t>
                            </m:r>
                          </m:sub>
                        </m:sSub>
                        <m:ctrlPr>
                          <w:rPr>
                            <w:rFonts w:ascii="Cambria Math" w:hAnsi="Cambria Math"/>
                            <w:bCs/>
                            <w:i/>
                          </w:rPr>
                        </m:ctrlPr>
                      </m:e>
                    </m:d>
                    <m:r>
                      <w:rPr>
                        <w:rFonts w:ascii="Cambria Math" w:hAnsi="Cambria Math" w:hint="eastAsia"/>
                      </w:rPr>
                      <m:t>∧… ∧</m:t>
                    </m:r>
                    <m:d>
                      <m:dPr>
                        <m:ctrlPr>
                          <w:rPr>
                            <w:rFonts w:ascii="Cambria Math" w:hAnsi="Cambria Math"/>
                            <w:bCs/>
                            <w:i/>
                          </w:rPr>
                        </m:ctrlPr>
                      </m:dPr>
                      <m:e>
                        <m:r>
                          <w:rPr>
                            <w:rFonts w:ascii="Cambria Math" w:hAnsi="Cambria Math"/>
                          </w:rPr>
                          <m:t>C</m:t>
                        </m:r>
                        <m:sSub>
                          <m:sSubPr>
                            <m:ctrlPr>
                              <w:rPr>
                                <w:rFonts w:ascii="Cambria Math" w:hAnsi="Cambria Math"/>
                                <w:bCs/>
                                <w:i/>
                              </w:rPr>
                            </m:ctrlPr>
                          </m:sSubPr>
                          <m:e>
                            <m:r>
                              <w:rPr>
                                <w:rFonts w:ascii="Cambria Math" w:hAnsi="Cambria Math"/>
                              </w:rPr>
                              <m:t>L</m:t>
                            </m:r>
                          </m:e>
                          <m:sub>
                            <m:r>
                              <w:rPr>
                                <w:rFonts w:ascii="Cambria Math" w:hAnsi="Cambria Math"/>
                              </w:rPr>
                              <m:t>i-1,k</m:t>
                            </m:r>
                            <m:r>
                              <w:rPr>
                                <w:rFonts w:ascii="Cambria Math" w:hAnsi="Cambria Math" w:hint="eastAsia"/>
                              </w:rPr>
                              <m:t>≠</m:t>
                            </m:r>
                            <m:r>
                              <w:rPr>
                                <w:rFonts w:ascii="Cambria Math" w:hAnsi="Cambria Math"/>
                              </w:rPr>
                              <m:t>z</m:t>
                            </m:r>
                          </m:sub>
                        </m:sSub>
                        <m:ctrlPr>
                          <w:rPr>
                            <w:rFonts w:ascii="Cambria Math" w:hAnsi="Cambria Math"/>
                            <w:bCs/>
                          </w:rPr>
                        </m:ctrlPr>
                      </m:e>
                    </m:d>
                  </m:den>
                </m:f>
              </m:oMath>
            </m:oMathPara>
          </w:p>
          <w:p w14:paraId="23B75EA7" w14:textId="2EE41DD0" w:rsidR="00C13310" w:rsidRPr="00DB7AE0" w:rsidRDefault="00C13310" w:rsidP="00895F9F">
            <w:pPr>
              <w:rPr>
                <w:bCs/>
              </w:rPr>
            </w:pPr>
          </w:p>
        </w:tc>
        <w:tc>
          <w:tcPr>
            <w:tcW w:w="801" w:type="dxa"/>
            <w:shd w:val="clear" w:color="auto" w:fill="auto"/>
            <w:vAlign w:val="center"/>
          </w:tcPr>
          <w:p w14:paraId="4CB6E371" w14:textId="447F892D" w:rsidR="00C13310" w:rsidRPr="00B57B36" w:rsidRDefault="00C13310" w:rsidP="00895F9F">
            <w:pPr>
              <w:pStyle w:val="CETEquation"/>
              <w:jc w:val="right"/>
            </w:pPr>
            <w:r w:rsidRPr="00B57B36">
              <w:t>(</w:t>
            </w:r>
            <w:r w:rsidR="003623AA">
              <w:t>7</w:t>
            </w:r>
            <w:r w:rsidRPr="00B57B36">
              <w:t>)</w:t>
            </w:r>
          </w:p>
        </w:tc>
      </w:tr>
    </w:tbl>
    <w:p w14:paraId="01EDBB33" w14:textId="6B331F02" w:rsidR="00802FDB" w:rsidRDefault="00802FDB" w:rsidP="00802FDB">
      <w:pPr>
        <w:pStyle w:val="CETBodytext"/>
      </w:pPr>
      <w:r>
        <w:t xml:space="preserve">where </w:t>
      </w:r>
      <m:oMath>
        <m:r>
          <w:rPr>
            <w:rFonts w:ascii="Cambria Math" w:hAnsi="Cambria Math"/>
          </w:rPr>
          <m:t>j</m:t>
        </m:r>
      </m:oMath>
      <w:r>
        <w:t xml:space="preserve"> indexes the classes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t xml:space="preserve"> layer, </w:t>
      </w:r>
      <m:oMath>
        <m:r>
          <w:rPr>
            <w:rFonts w:ascii="Cambria Math" w:hAnsi="Cambria Math"/>
          </w:rPr>
          <m:t>z</m:t>
        </m:r>
      </m:oMath>
      <w:r>
        <w:t xml:space="preserve"> </w:t>
      </w:r>
      <w:r w:rsidR="00097764">
        <w:t xml:space="preserve">and </w:t>
      </w:r>
      <m:oMath>
        <m:r>
          <w:rPr>
            <w:rFonts w:ascii="Cambria Math" w:hAnsi="Cambria Math"/>
          </w:rPr>
          <m:t>k</m:t>
        </m:r>
      </m:oMath>
      <w:r w:rsidR="00097764">
        <w:t xml:space="preserve"> (</w:t>
      </w:r>
      <m:oMath>
        <m:r>
          <w:rPr>
            <w:rFonts w:ascii="Cambria Math" w:hAnsi="Cambria Math"/>
          </w:rPr>
          <m:t>k≠z</m:t>
        </m:r>
      </m:oMath>
      <w:r w:rsidR="00097764">
        <w:t xml:space="preserve">) </w:t>
      </w:r>
      <w:r>
        <w:t xml:space="preserve">the classes of </w:t>
      </w:r>
      <m:oMath>
        <m:sSup>
          <m:sSupPr>
            <m:ctrlPr>
              <w:rPr>
                <w:rFonts w:ascii="Cambria Math" w:hAnsi="Cambria Math"/>
                <w:i/>
              </w:rPr>
            </m:ctrlPr>
          </m:sSupPr>
          <m:e>
            <m:d>
              <m:dPr>
                <m:ctrlPr>
                  <w:rPr>
                    <w:rFonts w:ascii="Cambria Math" w:hAnsi="Cambria Math"/>
                    <w:i/>
                  </w:rPr>
                </m:ctrlPr>
              </m:dPr>
              <m:e>
                <m:r>
                  <w:rPr>
                    <w:rFonts w:ascii="Cambria Math" w:hAnsi="Cambria Math"/>
                  </w:rPr>
                  <m:t>i-1</m:t>
                </m:r>
              </m:e>
            </m:d>
          </m:e>
          <m:sup>
            <m:r>
              <w:rPr>
                <w:rFonts w:ascii="Cambria Math" w:hAnsi="Cambria Math"/>
              </w:rPr>
              <m:t>th</m:t>
            </m:r>
          </m:sup>
        </m:sSup>
      </m:oMath>
      <w:r>
        <w:t xml:space="preserve"> layer.</w:t>
      </w:r>
    </w:p>
    <w:p w14:paraId="0B798FA3" w14:textId="039EBBA8" w:rsidR="00D76AF8" w:rsidRDefault="00E032E8" w:rsidP="00E03B37">
      <w:pPr>
        <w:pStyle w:val="CETBodytext"/>
        <w:rPr>
          <w:lang w:val="en-GB"/>
        </w:rPr>
      </w:pPr>
      <w:r w:rsidRPr="00E032E8">
        <w:rPr>
          <w:lang w:val="en-GB"/>
        </w:rPr>
        <w:t>Otherwise, equation (3) is applied.</w:t>
      </w:r>
      <w:r w:rsidR="00E0014B">
        <w:rPr>
          <w:lang w:val="en-GB"/>
        </w:rPr>
        <w:t xml:space="preserve"> </w:t>
      </w:r>
      <w:r w:rsidR="00E0014B" w:rsidRPr="00E0014B">
        <w:rPr>
          <w:lang w:val="en-GB"/>
        </w:rPr>
        <w:t>By this approach, a more accurate probability estimation is achieved, avoiding unreliable zero values in CPTs</w:t>
      </w:r>
      <w:r w:rsidR="0077136D">
        <w:rPr>
          <w:lang w:val="en-GB"/>
        </w:rPr>
        <w:t xml:space="preserve">, and thus addressing </w:t>
      </w:r>
      <w:r w:rsidR="003623AA">
        <w:rPr>
          <w:lang w:val="en-GB"/>
        </w:rPr>
        <w:t>the</w:t>
      </w:r>
      <w:r w:rsidR="0077136D">
        <w:rPr>
          <w:lang w:val="en-GB"/>
        </w:rPr>
        <w:t xml:space="preserve"> critical issue in EDA application related to data availability for multiple </w:t>
      </w:r>
      <w:r w:rsidR="003623AA">
        <w:rPr>
          <w:lang w:val="en-GB"/>
        </w:rPr>
        <w:t>events occurring simultaneously.</w:t>
      </w:r>
    </w:p>
    <w:p w14:paraId="6CB2FB9C" w14:textId="12E44646" w:rsidR="00D76AF8" w:rsidRDefault="000633ED" w:rsidP="00E03B37">
      <w:pPr>
        <w:pStyle w:val="CETBodytext"/>
        <w:rPr>
          <w:lang w:val="en-GB"/>
        </w:rPr>
      </w:pPr>
      <w:r w:rsidRPr="000633ED">
        <w:rPr>
          <w:lang w:val="en-GB"/>
        </w:rPr>
        <w:t xml:space="preserve">The third step involves performing </w:t>
      </w:r>
      <w:r w:rsidR="00697DFB">
        <w:rPr>
          <w:lang w:val="en-GB"/>
        </w:rPr>
        <w:t xml:space="preserve">BN </w:t>
      </w:r>
      <w:r w:rsidRPr="000633ED">
        <w:rPr>
          <w:lang w:val="en-GB"/>
        </w:rPr>
        <w:t>sensitivity analysis</w:t>
      </w:r>
      <w:r w:rsidR="00697DFB">
        <w:rPr>
          <w:lang w:val="en-GB"/>
        </w:rPr>
        <w:t xml:space="preserve"> (see Section </w:t>
      </w:r>
      <w:r w:rsidR="00E25002">
        <w:rPr>
          <w:lang w:val="en-GB"/>
        </w:rPr>
        <w:t>2.3)</w:t>
      </w:r>
      <w:r w:rsidRPr="000633ED">
        <w:rPr>
          <w:lang w:val="en-GB"/>
        </w:rPr>
        <w:t xml:space="preserve">. Specifically, the analysis examines combinations of three nodes (triplets) </w:t>
      </w:r>
      <w:r w:rsidR="0002314E">
        <w:rPr>
          <w:lang w:val="en-GB"/>
        </w:rPr>
        <w:t xml:space="preserve">at a time </w:t>
      </w:r>
      <w:r w:rsidRPr="000633ED">
        <w:rPr>
          <w:lang w:val="en-GB"/>
        </w:rPr>
        <w:t xml:space="preserve">from sequential </w:t>
      </w:r>
      <w:r w:rsidR="00AF554B">
        <w:rPr>
          <w:lang w:val="en-GB"/>
        </w:rPr>
        <w:t>layers</w:t>
      </w:r>
      <w:r w:rsidRPr="000633ED">
        <w:rPr>
          <w:lang w:val="en-GB"/>
        </w:rPr>
        <w:t>. The target node is the one in the highest l</w:t>
      </w:r>
      <w:r w:rsidR="0002314E">
        <w:rPr>
          <w:lang w:val="en-GB"/>
        </w:rPr>
        <w:t>ayer</w:t>
      </w:r>
      <w:r w:rsidRPr="000633ED">
        <w:rPr>
          <w:lang w:val="en-GB"/>
        </w:rPr>
        <w:t xml:space="preserve"> of the triplet, while the other two nodes are from the immediately lower levels.</w:t>
      </w:r>
      <w:r w:rsidR="00AA1BEE">
        <w:rPr>
          <w:lang w:val="en-GB"/>
        </w:rPr>
        <w:t xml:space="preserve"> With reference to the generic DAG shown in Figure 2-b, </w:t>
      </w:r>
      <w:r w:rsidR="007F00AA">
        <w:rPr>
          <w:lang w:val="en-GB"/>
        </w:rPr>
        <w:t xml:space="preserve">since the incident chain is formed by 3 layers, </w:t>
      </w:r>
      <w:r w:rsidR="004B433A">
        <w:rPr>
          <w:lang w:val="en-GB"/>
        </w:rPr>
        <w:t xml:space="preserve">a single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i,j,z</m:t>
            </m:r>
          </m:sub>
        </m:sSub>
      </m:oMath>
      <w:r w:rsidR="00D91CA9">
        <w:rPr>
          <w:lang w:val="en-GB"/>
        </w:rPr>
        <w:t xml:space="preserve"> is calculated for each node of layer 3 </w:t>
      </w:r>
      <w:r w:rsidR="006B3317">
        <w:rPr>
          <w:lang w:val="en-GB"/>
        </w:rPr>
        <w:t xml:space="preserve">set </w:t>
      </w:r>
      <w:r w:rsidR="00D91CA9">
        <w:rPr>
          <w:lang w:val="en-GB"/>
        </w:rPr>
        <w:t>as target</w:t>
      </w:r>
      <w:r w:rsidR="0021164A">
        <w:rPr>
          <w:lang w:val="en-GB"/>
        </w:rPr>
        <w:t>:</w:t>
      </w:r>
    </w:p>
    <w:tbl>
      <w:tblPr>
        <w:tblW w:w="5000" w:type="pct"/>
        <w:tblLook w:val="04A0" w:firstRow="1" w:lastRow="0" w:firstColumn="1" w:lastColumn="0" w:noHBand="0" w:noVBand="1"/>
      </w:tblPr>
      <w:tblGrid>
        <w:gridCol w:w="7986"/>
        <w:gridCol w:w="801"/>
      </w:tblGrid>
      <w:tr w:rsidR="0021164A" w:rsidRPr="00B57B36" w14:paraId="5D339E97" w14:textId="77777777" w:rsidTr="00895F9F">
        <w:tc>
          <w:tcPr>
            <w:tcW w:w="7986" w:type="dxa"/>
            <w:shd w:val="clear" w:color="auto" w:fill="auto"/>
            <w:vAlign w:val="center"/>
          </w:tcPr>
          <w:p w14:paraId="21E7D40C" w14:textId="2DC1EEBB" w:rsidR="00685114" w:rsidRPr="005650C6" w:rsidRDefault="00000000" w:rsidP="00685114">
            <w:pPr>
              <w:jc w:val="center"/>
              <w:rPr>
                <w:rFonts w:eastAsiaTheme="minorEastAsia"/>
                <w:bCs/>
              </w:rPr>
            </w:pPr>
            <m:oMathPara>
              <m:oMathParaPr>
                <m:jc m:val="left"/>
              </m:oMathParaPr>
              <m:oMath>
                <m:sSub>
                  <m:sSubPr>
                    <m:ctrlPr>
                      <w:rPr>
                        <w:rFonts w:ascii="Cambria Math" w:hAnsi="Cambria Math" w:cs="Calibri"/>
                        <w:bCs/>
                        <w:i/>
                      </w:rPr>
                    </m:ctrlPr>
                  </m:sSubPr>
                  <m:e>
                    <m:r>
                      <w:rPr>
                        <w:rFonts w:ascii="Cambria Math" w:hAnsi="Cambria Math" w:cs="Calibri"/>
                      </w:rPr>
                      <m:t>D</m:t>
                    </m:r>
                  </m:e>
                  <m:sub>
                    <m:r>
                      <w:rPr>
                        <w:rFonts w:ascii="Cambria Math" w:hAnsi="Cambria Math" w:cs="Calibri"/>
                      </w:rPr>
                      <m:t>C</m:t>
                    </m:r>
                    <m:sSub>
                      <m:sSubPr>
                        <m:ctrlPr>
                          <w:rPr>
                            <w:rFonts w:ascii="Cambria Math" w:hAnsi="Cambria Math" w:cs="Calibri"/>
                            <w:bCs/>
                            <w:i/>
                          </w:rPr>
                        </m:ctrlPr>
                      </m:sSubPr>
                      <m:e>
                        <m:r>
                          <w:rPr>
                            <w:rFonts w:ascii="Cambria Math" w:hAnsi="Cambria Math" w:cs="Calibri"/>
                          </w:rPr>
                          <m:t>L</m:t>
                        </m:r>
                      </m:e>
                      <m:sub>
                        <m:r>
                          <w:rPr>
                            <w:rFonts w:ascii="Cambria Math" w:hAnsi="Cambria Math" w:cs="Calibri"/>
                          </w:rPr>
                          <m:t>3,j</m:t>
                        </m:r>
                      </m:sub>
                    </m:sSub>
                    <m:r>
                      <w:rPr>
                        <w:rFonts w:ascii="Cambria Math" w:hAnsi="Cambria Math" w:cs="Calibri"/>
                      </w:rPr>
                      <m:t>,C</m:t>
                    </m:r>
                    <m:sSub>
                      <m:sSubPr>
                        <m:ctrlPr>
                          <w:rPr>
                            <w:rFonts w:ascii="Cambria Math" w:hAnsi="Cambria Math" w:cs="Calibri"/>
                            <w:bCs/>
                            <w:i/>
                          </w:rPr>
                        </m:ctrlPr>
                      </m:sSubPr>
                      <m:e>
                        <m:r>
                          <w:rPr>
                            <w:rFonts w:ascii="Cambria Math" w:hAnsi="Cambria Math" w:cs="Calibri"/>
                          </w:rPr>
                          <m:t>L</m:t>
                        </m:r>
                      </m:e>
                      <m:sub>
                        <m:r>
                          <w:rPr>
                            <w:rFonts w:ascii="Cambria Math" w:hAnsi="Cambria Math" w:cs="Calibri"/>
                          </w:rPr>
                          <m:t>2,z</m:t>
                        </m:r>
                      </m:sub>
                    </m:sSub>
                    <m:r>
                      <w:rPr>
                        <w:rFonts w:ascii="Cambria Math" w:hAnsi="Cambria Math" w:cs="Calibri"/>
                      </w:rPr>
                      <m:t>,C</m:t>
                    </m:r>
                    <m:sSub>
                      <m:sSubPr>
                        <m:ctrlPr>
                          <w:rPr>
                            <w:rFonts w:ascii="Cambria Math" w:hAnsi="Cambria Math" w:cs="Calibri"/>
                            <w:bCs/>
                            <w:i/>
                          </w:rPr>
                        </m:ctrlPr>
                      </m:sSubPr>
                      <m:e>
                        <m:r>
                          <w:rPr>
                            <w:rFonts w:ascii="Cambria Math" w:hAnsi="Cambria Math" w:cs="Calibri"/>
                          </w:rPr>
                          <m:t>L</m:t>
                        </m:r>
                      </m:e>
                      <m:sub>
                        <m:r>
                          <w:rPr>
                            <w:rFonts w:ascii="Cambria Math" w:hAnsi="Cambria Math" w:cs="Calibri"/>
                          </w:rPr>
                          <m:t>1,t</m:t>
                        </m:r>
                      </m:sub>
                    </m:sSub>
                  </m:sub>
                </m:sSub>
                <m:r>
                  <w:rPr>
                    <w:rFonts w:ascii="Cambria Math" w:hAnsi="Cambria Math" w:cs="Calibri"/>
                  </w:rPr>
                  <m:t>=</m:t>
                </m:r>
                <m:f>
                  <m:fPr>
                    <m:ctrlPr>
                      <w:rPr>
                        <w:rFonts w:ascii="Cambria Math" w:hAnsi="Cambria Math" w:cs="Calibri"/>
                        <w:bCs/>
                        <w:i/>
                      </w:rPr>
                    </m:ctrlPr>
                  </m:fPr>
                  <m:num>
                    <m:r>
                      <w:rPr>
                        <w:rFonts w:ascii="Cambria Math" w:eastAsiaTheme="minorEastAsia" w:hAnsi="Cambria Math"/>
                      </w:rPr>
                      <m:t>d</m:t>
                    </m:r>
                    <m:d>
                      <m:dPr>
                        <m:ctrlPr>
                          <w:rPr>
                            <w:rFonts w:ascii="Cambria Math" w:eastAsiaTheme="minorEastAsia" w:hAnsi="Cambria Math"/>
                            <w:bCs/>
                            <w:i/>
                          </w:rPr>
                        </m:ctrlPr>
                      </m:dPr>
                      <m:e>
                        <m:r>
                          <m:rPr>
                            <m:sty m:val="p"/>
                          </m:rPr>
                          <w:rPr>
                            <w:rFonts w:ascii="Cambria Math" w:hAnsi="Cambria Math" w:cs="Calibri"/>
                          </w:rPr>
                          <m:t>Pr</m:t>
                        </m:r>
                        <m:d>
                          <m:dPr>
                            <m:ctrlPr>
                              <w:rPr>
                                <w:rFonts w:ascii="Cambria Math" w:hAnsi="Cambria Math" w:cs="Calibri"/>
                                <w:bCs/>
                                <w:i/>
                              </w:rPr>
                            </m:ctrlPr>
                          </m:dPr>
                          <m:e>
                            <m:r>
                              <w:rPr>
                                <w:rFonts w:ascii="Cambria Math" w:hAnsi="Cambria Math" w:cs="Calibri"/>
                              </w:rPr>
                              <m:t>C</m:t>
                            </m:r>
                            <m:sSub>
                              <m:sSubPr>
                                <m:ctrlPr>
                                  <w:rPr>
                                    <w:rFonts w:ascii="Cambria Math" w:hAnsi="Cambria Math" w:cs="Calibri"/>
                                    <w:bCs/>
                                    <w:i/>
                                  </w:rPr>
                                </m:ctrlPr>
                              </m:sSubPr>
                              <m:e>
                                <m:r>
                                  <w:rPr>
                                    <w:rFonts w:ascii="Cambria Math" w:hAnsi="Cambria Math" w:cs="Calibri"/>
                                  </w:rPr>
                                  <m:t>L</m:t>
                                </m:r>
                              </m:e>
                              <m:sub>
                                <m:r>
                                  <w:rPr>
                                    <w:rFonts w:ascii="Cambria Math" w:hAnsi="Cambria Math" w:cs="Calibri"/>
                                  </w:rPr>
                                  <m:t>3,j</m:t>
                                </m:r>
                              </m:sub>
                            </m:sSub>
                          </m:e>
                          <m:e>
                            <m:r>
                              <w:rPr>
                                <w:rFonts w:ascii="Cambria Math" w:hAnsi="Cambria Math" w:cs="Calibri"/>
                              </w:rPr>
                              <m:t>e</m:t>
                            </m:r>
                          </m:e>
                        </m:d>
                        <m:ctrlPr>
                          <w:rPr>
                            <w:rFonts w:ascii="Cambria Math" w:hAnsi="Cambria Math" w:cs="Calibri"/>
                            <w:bCs/>
                            <w:i/>
                          </w:rPr>
                        </m:ctrlPr>
                      </m:e>
                    </m:d>
                    <m:ctrlPr>
                      <w:rPr>
                        <w:rFonts w:ascii="Cambria Math" w:eastAsiaTheme="minorEastAsia" w:hAnsi="Cambria Math"/>
                        <w:bCs/>
                        <w:i/>
                      </w:rPr>
                    </m:ctrlPr>
                  </m:num>
                  <m:den>
                    <m:r>
                      <w:rPr>
                        <w:rFonts w:ascii="Cambria Math" w:eastAsiaTheme="minorEastAsia" w:hAnsi="Cambria Math"/>
                      </w:rPr>
                      <m:t>d</m:t>
                    </m:r>
                    <m:d>
                      <m:dPr>
                        <m:ctrlPr>
                          <w:rPr>
                            <w:rFonts w:ascii="Cambria Math" w:eastAsiaTheme="minorEastAsia" w:hAnsi="Cambria Math"/>
                            <w:bCs/>
                            <w:i/>
                          </w:rPr>
                        </m:ctrlPr>
                      </m:dPr>
                      <m:e>
                        <m:r>
                          <w:rPr>
                            <w:rFonts w:ascii="Cambria Math" w:hAnsi="Cambria Math" w:cs="Calibri"/>
                          </w:rPr>
                          <m:t>p</m:t>
                        </m:r>
                        <m:d>
                          <m:dPr>
                            <m:ctrlPr>
                              <w:rPr>
                                <w:rFonts w:ascii="Cambria Math" w:hAnsi="Cambria Math" w:cs="Calibri"/>
                                <w:bCs/>
                                <w:i/>
                              </w:rPr>
                            </m:ctrlPr>
                          </m:dPr>
                          <m:e>
                            <m:r>
                              <w:rPr>
                                <w:rFonts w:ascii="Cambria Math" w:hAnsi="Cambria Math" w:cs="Calibri"/>
                              </w:rPr>
                              <m:t>C</m:t>
                            </m:r>
                            <m:sSub>
                              <m:sSubPr>
                                <m:ctrlPr>
                                  <w:rPr>
                                    <w:rFonts w:ascii="Cambria Math" w:hAnsi="Cambria Math" w:cs="Calibri"/>
                                    <w:bCs/>
                                    <w:i/>
                                  </w:rPr>
                                </m:ctrlPr>
                              </m:sSubPr>
                              <m:e>
                                <m:r>
                                  <w:rPr>
                                    <w:rFonts w:ascii="Cambria Math" w:hAnsi="Cambria Math" w:cs="Calibri"/>
                                  </w:rPr>
                                  <m:t>L</m:t>
                                </m:r>
                              </m:e>
                              <m:sub>
                                <m:r>
                                  <w:rPr>
                                    <w:rFonts w:ascii="Cambria Math" w:hAnsi="Cambria Math" w:cs="Calibri"/>
                                  </w:rPr>
                                  <m:t>2,z</m:t>
                                </m:r>
                              </m:sub>
                            </m:sSub>
                          </m:e>
                          <m:e>
                            <m:r>
                              <w:rPr>
                                <w:rFonts w:ascii="Cambria Math" w:hAnsi="Cambria Math" w:cs="Calibri"/>
                              </w:rPr>
                              <m:t>C</m:t>
                            </m:r>
                            <m:sSub>
                              <m:sSubPr>
                                <m:ctrlPr>
                                  <w:rPr>
                                    <w:rFonts w:ascii="Cambria Math" w:hAnsi="Cambria Math" w:cs="Calibri"/>
                                    <w:bCs/>
                                    <w:i/>
                                  </w:rPr>
                                </m:ctrlPr>
                              </m:sSubPr>
                              <m:e>
                                <m:r>
                                  <w:rPr>
                                    <w:rFonts w:ascii="Cambria Math" w:hAnsi="Cambria Math" w:cs="Calibri"/>
                                  </w:rPr>
                                  <m:t>L</m:t>
                                </m:r>
                              </m:e>
                              <m:sub>
                                <m:r>
                                  <w:rPr>
                                    <w:rFonts w:ascii="Cambria Math" w:hAnsi="Cambria Math" w:cs="Calibri"/>
                                  </w:rPr>
                                  <m:t>1,t</m:t>
                                </m:r>
                              </m:sub>
                            </m:sSub>
                          </m:e>
                        </m:d>
                        <m:ctrlPr>
                          <w:rPr>
                            <w:rFonts w:ascii="Cambria Math" w:hAnsi="Cambria Math" w:cs="Calibri"/>
                            <w:bCs/>
                            <w:i/>
                          </w:rPr>
                        </m:ctrlPr>
                      </m:e>
                    </m:d>
                  </m:den>
                </m:f>
                <m:r>
                  <w:rPr>
                    <w:rFonts w:ascii="Cambria Math" w:hAnsi="Cambria Math" w:cs="Calibri"/>
                  </w:rPr>
                  <m:t>,∀j=1,2,3; ∀z=1,2; ∀t=1,2,</m:t>
                </m:r>
                <m:r>
                  <w:rPr>
                    <w:rFonts w:ascii="Cambria Math" w:hAnsi="Cambria Math" w:cs="Calibri"/>
                  </w:rPr>
                  <m:t>3</m:t>
                </m:r>
              </m:oMath>
            </m:oMathPara>
          </w:p>
          <w:p w14:paraId="1F2E0E1B" w14:textId="77777777" w:rsidR="0021164A" w:rsidRPr="00DB7AE0" w:rsidRDefault="0021164A" w:rsidP="00895F9F">
            <w:pPr>
              <w:rPr>
                <w:bCs/>
              </w:rPr>
            </w:pPr>
          </w:p>
        </w:tc>
        <w:tc>
          <w:tcPr>
            <w:tcW w:w="801" w:type="dxa"/>
            <w:shd w:val="clear" w:color="auto" w:fill="auto"/>
            <w:vAlign w:val="center"/>
          </w:tcPr>
          <w:p w14:paraId="44DFEA7D" w14:textId="69B51768" w:rsidR="0021164A" w:rsidRPr="00B57B36" w:rsidRDefault="0021164A" w:rsidP="00895F9F">
            <w:pPr>
              <w:pStyle w:val="CETEquation"/>
              <w:jc w:val="right"/>
            </w:pPr>
            <w:r w:rsidRPr="00B57B36">
              <w:t>(</w:t>
            </w:r>
            <w:r>
              <w:t>8</w:t>
            </w:r>
            <w:r w:rsidRPr="00B57B36">
              <w:t>)</w:t>
            </w:r>
          </w:p>
        </w:tc>
      </w:tr>
    </w:tbl>
    <w:p w14:paraId="62644E19" w14:textId="7192D52C" w:rsidR="0021164A" w:rsidRDefault="0023021B" w:rsidP="00E03B37">
      <w:pPr>
        <w:pStyle w:val="CETBodytext"/>
        <w:rPr>
          <w:lang w:val="en-GB"/>
        </w:rPr>
      </w:pPr>
      <w:r w:rsidRPr="0023021B">
        <w:rPr>
          <w:lang w:val="en-GB"/>
        </w:rPr>
        <w:t xml:space="preserve">These derivatives rank the most significant dependencies in the DAG, helping to pinpoint </w:t>
      </w:r>
      <w:r w:rsidR="001A271C">
        <w:rPr>
          <w:lang w:val="en-GB"/>
        </w:rPr>
        <w:t>the most relevant incidents chains</w:t>
      </w:r>
      <w:r>
        <w:rPr>
          <w:lang w:val="en-GB"/>
        </w:rPr>
        <w:t>.</w:t>
      </w:r>
    </w:p>
    <w:p w14:paraId="6B0F9803" w14:textId="7908A680" w:rsidR="0021164A" w:rsidRDefault="00EC5B18" w:rsidP="00E03B37">
      <w:pPr>
        <w:pStyle w:val="CETBodytext"/>
        <w:rPr>
          <w:lang w:val="en-GB"/>
        </w:rPr>
      </w:pPr>
      <w:r w:rsidRPr="00EC5B18">
        <w:rPr>
          <w:lang w:val="en-GB"/>
        </w:rPr>
        <w:t xml:space="preserve">The final step </w:t>
      </w:r>
      <w:r w:rsidR="00BC567F">
        <w:rPr>
          <w:lang w:val="en-GB"/>
        </w:rPr>
        <w:t xml:space="preserve">(step 4) </w:t>
      </w:r>
      <w:r w:rsidRPr="00EC5B18">
        <w:rPr>
          <w:lang w:val="en-GB"/>
        </w:rPr>
        <w:t xml:space="preserve">involves selecting incident chains based on the calculated derivatives and a defined threshold </w:t>
      </w:r>
      <w:r w:rsidR="000105D5">
        <w:rPr>
          <w:lang w:val="en-GB"/>
        </w:rPr>
        <w:t>(TS, e.g., TS=0.01)</w:t>
      </w:r>
      <w:r w:rsidRPr="00EC5B18">
        <w:rPr>
          <w:lang w:val="en-GB"/>
        </w:rPr>
        <w:t xml:space="preserve">. This threshold acts as a cutoff, </w:t>
      </w:r>
      <w:r w:rsidR="000105D5">
        <w:rPr>
          <w:lang w:val="en-GB"/>
        </w:rPr>
        <w:t>as incident c</w:t>
      </w:r>
      <w:r w:rsidRPr="00EC5B18">
        <w:rPr>
          <w:lang w:val="en-GB"/>
        </w:rPr>
        <w:t>hains that meet or exceed the threshold are considered relevant</w:t>
      </w:r>
      <w:r w:rsidR="004A194B">
        <w:rPr>
          <w:lang w:val="en-GB"/>
        </w:rPr>
        <w:t xml:space="preserve"> and the other are </w:t>
      </w:r>
      <w:r w:rsidR="00736CBB">
        <w:rPr>
          <w:lang w:val="en-GB"/>
        </w:rPr>
        <w:t>discarded.</w:t>
      </w:r>
      <w:r w:rsidR="008115F2">
        <w:rPr>
          <w:lang w:val="en-GB"/>
        </w:rPr>
        <w:t xml:space="preserve"> </w:t>
      </w:r>
      <w:r w:rsidR="00AD7B5B" w:rsidRPr="00AD7B5B">
        <w:rPr>
          <w:bCs/>
          <w:lang w:val="en-GB"/>
        </w:rPr>
        <w:t xml:space="preserve">The </w:t>
      </w:r>
      <w:r w:rsidR="00AD7B5B">
        <w:rPr>
          <w:bCs/>
          <w:lang w:val="en-GB"/>
        </w:rPr>
        <w:t>selected</w:t>
      </w:r>
      <w:r w:rsidR="00AD7B5B" w:rsidRPr="00AD7B5B">
        <w:rPr>
          <w:bCs/>
          <w:lang w:val="en-GB"/>
        </w:rPr>
        <w:t xml:space="preserve"> chains are </w:t>
      </w:r>
      <w:r w:rsidR="00736CBB">
        <w:rPr>
          <w:bCs/>
          <w:lang w:val="en-GB"/>
        </w:rPr>
        <w:t>then</w:t>
      </w:r>
      <w:r w:rsidR="00AD7B5B" w:rsidRPr="00AD7B5B">
        <w:rPr>
          <w:bCs/>
          <w:lang w:val="en-GB"/>
        </w:rPr>
        <w:t xml:space="preserve"> arranged into tables, which collectively form the final output of the methodology</w:t>
      </w:r>
      <w:r w:rsidR="00736CBB">
        <w:rPr>
          <w:bCs/>
          <w:lang w:val="en-GB"/>
        </w:rPr>
        <w:t>.</w:t>
      </w:r>
    </w:p>
    <w:p w14:paraId="64643D61" w14:textId="77777777" w:rsidR="0021164A" w:rsidRPr="00E03B37" w:rsidRDefault="0021164A" w:rsidP="00E03B37">
      <w:pPr>
        <w:pStyle w:val="CETBodytext"/>
      </w:pPr>
    </w:p>
    <w:p w14:paraId="542ECE07" w14:textId="4379F438" w:rsidR="00E07757" w:rsidRDefault="001A3BED" w:rsidP="00832384">
      <w:pPr>
        <w:pStyle w:val="CETBodytext"/>
        <w:jc w:val="center"/>
      </w:pPr>
      <w:r w:rsidRPr="001A3BED">
        <w:rPr>
          <w:noProof/>
        </w:rPr>
        <w:drawing>
          <wp:inline distT="0" distB="0" distL="0" distR="0" wp14:anchorId="6B032E6B" wp14:editId="0C5D2788">
            <wp:extent cx="5127372" cy="2324735"/>
            <wp:effectExtent l="0" t="0" r="0" b="0"/>
            <wp:docPr id="496756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0090" cy="2325967"/>
                    </a:xfrm>
                    <a:prstGeom prst="rect">
                      <a:avLst/>
                    </a:prstGeom>
                    <a:noFill/>
                    <a:ln>
                      <a:noFill/>
                    </a:ln>
                  </pic:spPr>
                </pic:pic>
              </a:graphicData>
            </a:graphic>
          </wp:inline>
        </w:drawing>
      </w:r>
    </w:p>
    <w:p w14:paraId="2EE43BF9" w14:textId="2746E3BC" w:rsidR="008756EC" w:rsidRPr="00BD077D" w:rsidRDefault="008756EC" w:rsidP="008756EC">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 xml:space="preserve">a) </w:t>
      </w:r>
      <w:r w:rsidR="00592D0A">
        <w:rPr>
          <w:rStyle w:val="CETCaptionCarattere"/>
          <w:i/>
        </w:rPr>
        <w:t>Flowchart of BAS</w:t>
      </w:r>
      <w:r w:rsidR="00592D0A" w:rsidRPr="00592D0A">
        <w:rPr>
          <w:rStyle w:val="CETCaptionCarattere"/>
          <w:i/>
          <w:vertAlign w:val="superscript"/>
        </w:rPr>
        <w:t>2</w:t>
      </w:r>
      <w:r w:rsidR="00592D0A">
        <w:rPr>
          <w:rStyle w:val="CETCaptionCarattere"/>
          <w:i/>
        </w:rPr>
        <w:t>E methodology; b)</w:t>
      </w:r>
      <w:r w:rsidR="00871C5F">
        <w:rPr>
          <w:rStyle w:val="CETCaptionCarattere"/>
          <w:i/>
        </w:rPr>
        <w:t xml:space="preserve"> Generic DAG </w:t>
      </w:r>
      <w:r w:rsidR="00706345">
        <w:rPr>
          <w:rStyle w:val="CETCaptionCarattere"/>
          <w:i/>
        </w:rPr>
        <w:t>referred to 4-layer incident chain</w:t>
      </w:r>
      <w:r w:rsidR="001A3BED">
        <w:t xml:space="preserve">; c) DAG </w:t>
      </w:r>
      <w:r w:rsidR="00DC598F">
        <w:t>obtained in Case Study (step 1)</w:t>
      </w:r>
      <w:r w:rsidR="006A4EC4">
        <w:t xml:space="preserve">. TR-codes, AM-codes, and </w:t>
      </w:r>
      <w:r w:rsidR="00D35A16">
        <w:t xml:space="preserve">UE-codes are defined in Section </w:t>
      </w:r>
      <w:r w:rsidR="00413905">
        <w:t>4.2.</w:t>
      </w:r>
    </w:p>
    <w:p w14:paraId="4D084B0F" w14:textId="409806CE" w:rsidR="002A4B00" w:rsidRDefault="002A4B00" w:rsidP="006F3EED">
      <w:pPr>
        <w:pStyle w:val="CETHeading1"/>
        <w:outlineLvl w:val="0"/>
      </w:pPr>
      <w:r>
        <w:t xml:space="preserve">Case </w:t>
      </w:r>
      <w:r w:rsidR="00DC598F">
        <w:t>S</w:t>
      </w:r>
      <w:r>
        <w:t>tudy</w:t>
      </w:r>
    </w:p>
    <w:p w14:paraId="52345A4F" w14:textId="5AA920A0" w:rsidR="002A4B00" w:rsidRDefault="00B27711" w:rsidP="006F3EED">
      <w:pPr>
        <w:pStyle w:val="CETheadingx"/>
      </w:pPr>
      <w:proofErr w:type="spellStart"/>
      <w:r>
        <w:t>Dateset</w:t>
      </w:r>
      <w:proofErr w:type="spellEnd"/>
      <w:r>
        <w:t xml:space="preserve"> d</w:t>
      </w:r>
      <w:r w:rsidR="00CC4F05">
        <w:t>efinition</w:t>
      </w:r>
    </w:p>
    <w:p w14:paraId="704C23DB" w14:textId="51E65EF0" w:rsidR="00843707" w:rsidRDefault="002A4B00" w:rsidP="002A4B00">
      <w:pPr>
        <w:pStyle w:val="CETBodytext"/>
      </w:pPr>
      <w:r w:rsidRPr="002A4B00">
        <w:t xml:space="preserve">This case study </w:t>
      </w:r>
      <w:r w:rsidR="007F2E03">
        <w:t>shows</w:t>
      </w:r>
      <w:r w:rsidRPr="002A4B00">
        <w:t xml:space="preserve"> the application of the BAS²E methodology to a dataset </w:t>
      </w:r>
      <w:r w:rsidR="006E79BB">
        <w:t>of</w:t>
      </w:r>
      <w:r w:rsidRPr="002A4B00">
        <w:t xml:space="preserve"> 109 security incidents</w:t>
      </w:r>
      <w:r w:rsidR="006E79BB">
        <w:t xml:space="preserve"> occurred</w:t>
      </w:r>
      <w:r w:rsidRPr="002A4B00">
        <w:t xml:space="preserve"> in offshore </w:t>
      </w:r>
      <w:proofErr w:type="spellStart"/>
      <w:r w:rsidR="00157268">
        <w:t>Oil&amp;Gas</w:t>
      </w:r>
      <w:proofErr w:type="spellEnd"/>
      <w:r w:rsidRPr="002A4B00">
        <w:t xml:space="preserve"> production facilities, all caused by intentional malicious attacks. The primary aim is to identify a set of reference security scenarios </w:t>
      </w:r>
      <w:r w:rsidR="00B442BC">
        <w:t xml:space="preserve">to be used </w:t>
      </w:r>
      <w:r w:rsidR="000261E4">
        <w:t xml:space="preserve">in the context of </w:t>
      </w:r>
      <w:r w:rsidR="001B723D">
        <w:t xml:space="preserve">security risk assessment of </w:t>
      </w:r>
      <w:r w:rsidR="00E00826">
        <w:t xml:space="preserve">offshore </w:t>
      </w:r>
      <w:proofErr w:type="spellStart"/>
      <w:r w:rsidR="00AC0210">
        <w:t>Oil&amp;Gas</w:t>
      </w:r>
      <w:proofErr w:type="spellEnd"/>
      <w:r w:rsidR="00AC0210">
        <w:t xml:space="preserve"> installations</w:t>
      </w:r>
      <w:r w:rsidR="002B3076">
        <w:t xml:space="preserve"> (e.g., the workflow proposed by API RP </w:t>
      </w:r>
      <w:r w:rsidR="00C30243">
        <w:t>70/70I</w:t>
      </w:r>
      <w:r w:rsidR="004C0466">
        <w:t xml:space="preserve"> </w:t>
      </w:r>
      <w:sdt>
        <w:sdtPr>
          <w:rPr>
            <w:color w:val="000000"/>
          </w:rPr>
          <w:tag w:val="MENDELEY_CITATION_v3_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"/>
          <w:id w:val="-542823466"/>
          <w:placeholder>
            <w:docPart w:val="DefaultPlaceholder_-1854013440"/>
          </w:placeholder>
        </w:sdtPr>
        <w:sdtContent>
          <w:r w:rsidR="002751B1" w:rsidRPr="002751B1">
            <w:rPr>
              <w:color w:val="000000"/>
            </w:rPr>
            <w:t>(API, 2010)</w:t>
          </w:r>
        </w:sdtContent>
      </w:sdt>
      <w:r w:rsidR="004C0466">
        <w:t>.</w:t>
      </w:r>
    </w:p>
    <w:p w14:paraId="5BCF7D1C" w14:textId="03674FB2" w:rsidR="00CC35A9" w:rsidRDefault="001A263B" w:rsidP="002A4B00">
      <w:pPr>
        <w:pStyle w:val="CETBodytext"/>
      </w:pPr>
      <w:r>
        <w:t xml:space="preserve">The dataset, developed from </w:t>
      </w:r>
      <w:r w:rsidR="004C2E1F">
        <w:t xml:space="preserve">a broad set of </w:t>
      </w:r>
      <w:r w:rsidR="00835E9F">
        <w:t xml:space="preserve">open databanks </w:t>
      </w:r>
      <w:r w:rsidR="003019A7">
        <w:t xml:space="preserve">and </w:t>
      </w:r>
      <w:r w:rsidR="00060F1B">
        <w:t>scientific articles</w:t>
      </w:r>
      <w:r w:rsidR="003019A7">
        <w:t xml:space="preserve">, is provided in </w:t>
      </w:r>
      <w:r w:rsidR="00CB641C">
        <w:t xml:space="preserve">a summarized version in the supplementary material of </w:t>
      </w:r>
      <w:r w:rsidR="00DB542B">
        <w:t>Iaiani et al.</w:t>
      </w:r>
      <w:r w:rsidR="00085F7E">
        <w:t xml:space="preserve"> (2025)</w:t>
      </w:r>
      <w:r w:rsidR="00985306">
        <w:t>.</w:t>
      </w:r>
    </w:p>
    <w:p w14:paraId="429D6F7E" w14:textId="593F3614" w:rsidR="00F87E18" w:rsidRDefault="00FB300D" w:rsidP="00F87E18">
      <w:pPr>
        <w:pStyle w:val="CETheadingx"/>
      </w:pPr>
      <w:r>
        <w:lastRenderedPageBreak/>
        <w:t>Application of BAS</w:t>
      </w:r>
      <w:r w:rsidRPr="00FB300D">
        <w:rPr>
          <w:vertAlign w:val="superscript"/>
        </w:rPr>
        <w:t>2</w:t>
      </w:r>
      <w:r>
        <w:t>E methodology</w:t>
      </w:r>
    </w:p>
    <w:p w14:paraId="7FEC3C7B" w14:textId="4CA19EC5" w:rsidR="00EA247B" w:rsidRDefault="00A27746" w:rsidP="002A4B00">
      <w:pPr>
        <w:pStyle w:val="CETBodytext"/>
      </w:pPr>
      <w:r>
        <w:t>The first</w:t>
      </w:r>
      <w:r w:rsidR="00EA247B">
        <w:t xml:space="preserve"> step of the BAS</w:t>
      </w:r>
      <w:r w:rsidR="00EA247B" w:rsidRPr="00A27746">
        <w:rPr>
          <w:vertAlign w:val="superscript"/>
        </w:rPr>
        <w:t>2</w:t>
      </w:r>
      <w:r w:rsidR="00EA247B">
        <w:t xml:space="preserve">E methodology involves the </w:t>
      </w:r>
      <w:r w:rsidR="000E28A3">
        <w:t xml:space="preserve">definition of the chain structure and the </w:t>
      </w:r>
      <w:r w:rsidR="002F6F0E">
        <w:t>development of the DAG</w:t>
      </w:r>
      <w:r w:rsidR="00FA5461">
        <w:t xml:space="preserve">. </w:t>
      </w:r>
      <w:r w:rsidR="00DA2800">
        <w:t>Three layers were considered, named “Threat</w:t>
      </w:r>
      <w:r w:rsidR="002A4B00" w:rsidRPr="002A4B00">
        <w:t xml:space="preserve"> </w:t>
      </w:r>
      <w:r w:rsidR="00A40F41">
        <w:t>types</w:t>
      </w:r>
      <w:r w:rsidR="00BC0E2E">
        <w:t xml:space="preserve">”, </w:t>
      </w:r>
      <w:r w:rsidR="00D45CED">
        <w:t xml:space="preserve">“Attack </w:t>
      </w:r>
      <w:r w:rsidR="00AB5F21">
        <w:t>methods”, and “Undesirable events”.</w:t>
      </w:r>
      <w:r w:rsidR="00B44F88">
        <w:t xml:space="preserve"> Information in the dataset was arranged to allow classification of the incidents </w:t>
      </w:r>
      <w:r w:rsidR="009D1B68">
        <w:t>into classes for each layer. In particular</w:t>
      </w:r>
      <w:r w:rsidR="000141E5">
        <w:t xml:space="preserve">, </w:t>
      </w:r>
      <w:r w:rsidR="00747FF1">
        <w:t>the following classes were considered for “Threat types</w:t>
      </w:r>
      <w:r w:rsidR="00617E06">
        <w:t xml:space="preserve">”: </w:t>
      </w:r>
      <w:r w:rsidR="003B3625" w:rsidRPr="003B3625">
        <w:t>Terrorism/Guerrilla (TR1), Operations of military/paramilitary organization (TR2), Civil protest (TR3), Insurrection/Piracy (TR4), Cyber criminality (TR5), Insider threat (TR6), Unknown (TR7</w:t>
      </w:r>
      <w:r w:rsidR="003B3625">
        <w:t>)</w:t>
      </w:r>
      <w:r w:rsidR="00CA527F">
        <w:t xml:space="preserve">. </w:t>
      </w:r>
      <w:r w:rsidR="00BC321C">
        <w:t xml:space="preserve">Similarly, </w:t>
      </w:r>
      <w:r w:rsidR="00112ED6">
        <w:t>the classes considered for</w:t>
      </w:r>
      <w:r w:rsidR="00BC321C">
        <w:t xml:space="preserve"> “At</w:t>
      </w:r>
      <w:r w:rsidR="00B746F1">
        <w:t>tack methods”</w:t>
      </w:r>
      <w:r w:rsidR="00112ED6">
        <w:t xml:space="preserve"> </w:t>
      </w:r>
      <w:proofErr w:type="gramStart"/>
      <w:r w:rsidR="00112ED6">
        <w:t>are</w:t>
      </w:r>
      <w:r w:rsidR="00B746F1">
        <w:t>:</w:t>
      </w:r>
      <w:proofErr w:type="gramEnd"/>
      <w:r w:rsidR="00B746F1">
        <w:t xml:space="preserve"> </w:t>
      </w:r>
      <w:r w:rsidR="00BC0352" w:rsidRPr="00BC0352">
        <w:t>Aircraft impact (AM1), Arson using incendiary means (AM2), Deliberate interference w/o aids (AM3), Shooting 1 (AM4), Shooting 2 (AM5), Use of explosives (AM6), Use of vessel bomb (AM7), Vessel impact (AM8), Unauthorized access (AM9), Robbery/Kidnapping (AM10), Cyber-attack (AM11), Unknown (AM12)</w:t>
      </w:r>
      <w:r w:rsidR="00BC0352">
        <w:t xml:space="preserve">. Finally, </w:t>
      </w:r>
      <w:r w:rsidR="00112ED6">
        <w:t>those</w:t>
      </w:r>
      <w:r w:rsidR="00DE73C8">
        <w:t xml:space="preserve"> considered for “Undesirable events” </w:t>
      </w:r>
      <w:proofErr w:type="gramStart"/>
      <w:r w:rsidR="00DE73C8">
        <w:t>are:</w:t>
      </w:r>
      <w:proofErr w:type="gramEnd"/>
      <w:r w:rsidR="00DE73C8">
        <w:t xml:space="preserve"> </w:t>
      </w:r>
      <w:r w:rsidR="0061356C" w:rsidRPr="0061356C">
        <w:t>Release (UE1), Explosion (UE2), Fire (UE3), Shootout (UE4), Operation shutdown (UE5), Pacific occupation (UE6), Seizing of workers (UE7), Near miss (UE8), Stolen goods (UE9), Loss of process (UE10), Other (UE11), Unknown (UE12)</w:t>
      </w:r>
      <w:r w:rsidR="0061356C">
        <w:t>.</w:t>
      </w:r>
      <w:r w:rsidR="00862705">
        <w:t xml:space="preserve"> The developed DAG is shown in Figure </w:t>
      </w:r>
      <w:r w:rsidR="00FB1944">
        <w:t>2-c</w:t>
      </w:r>
      <w:r w:rsidR="006F477A">
        <w:t xml:space="preserve">: since the security threats are mutually exclusive, they have been represented </w:t>
      </w:r>
      <w:r w:rsidR="00884C21">
        <w:t xml:space="preserve">as </w:t>
      </w:r>
      <w:r w:rsidR="006F477A">
        <w:t xml:space="preserve">a single node (node “TR” in the DAG) </w:t>
      </w:r>
      <w:r w:rsidR="007A5FC9">
        <w:t>with the classes as states, while AM-classes and UE-classes have been represented as single binary nodes (states “YES” and “NO”).</w:t>
      </w:r>
    </w:p>
    <w:p w14:paraId="70B9B89C" w14:textId="61580002" w:rsidR="00D46682" w:rsidRDefault="00E15DA5" w:rsidP="002A4B00">
      <w:pPr>
        <w:pStyle w:val="CETBodytext"/>
      </w:pPr>
      <w:r>
        <w:t>The second step of the BAS</w:t>
      </w:r>
      <w:r w:rsidRPr="00A27746">
        <w:rPr>
          <w:vertAlign w:val="superscript"/>
        </w:rPr>
        <w:t>2</w:t>
      </w:r>
      <w:r>
        <w:t xml:space="preserve">E methodology involves the </w:t>
      </w:r>
      <w:r w:rsidR="00F93476">
        <w:t xml:space="preserve">specification of the conditional probability table (CPT) for each node. </w:t>
      </w:r>
      <w:proofErr w:type="gramStart"/>
      <w:r w:rsidR="003005BD">
        <w:t>In particular, CPT</w:t>
      </w:r>
      <w:proofErr w:type="gramEnd"/>
      <w:r w:rsidR="003005BD">
        <w:t xml:space="preserve"> </w:t>
      </w:r>
      <w:r w:rsidR="00223876">
        <w:t>of TR-node (see</w:t>
      </w:r>
      <w:r w:rsidR="003F0C38">
        <w:t xml:space="preserve"> DAG in Figure 2-c) w</w:t>
      </w:r>
      <w:r w:rsidR="00D95C68">
        <w:t>as</w:t>
      </w:r>
      <w:r w:rsidR="003F0C38">
        <w:t xml:space="preserve"> </w:t>
      </w:r>
      <w:r w:rsidR="004A022E">
        <w:t xml:space="preserve">specified </w:t>
      </w:r>
      <w:r w:rsidR="0063030C">
        <w:t>by applying</w:t>
      </w:r>
      <w:r w:rsidR="004A022E">
        <w:t xml:space="preserve"> eq. (5) </w:t>
      </w:r>
      <w:r w:rsidR="0063030C">
        <w:t xml:space="preserve">using </w:t>
      </w:r>
      <w:r w:rsidR="00922201">
        <w:t>incident count</w:t>
      </w:r>
      <w:r w:rsidR="00DB4B88">
        <w:t xml:space="preserve"> from dataset</w:t>
      </w:r>
      <w:r w:rsidR="00AE6EFF">
        <w:t xml:space="preserve">. For all the other CPTs, </w:t>
      </w:r>
      <w:r w:rsidR="00112544">
        <w:t xml:space="preserve">conditional probabilities referred to </w:t>
      </w:r>
      <w:r w:rsidR="008F4346">
        <w:t xml:space="preserve">a single parent in state “YES” were calculated by applying eq. (6) </w:t>
      </w:r>
      <w:r w:rsidR="005C55E6">
        <w:t>using data</w:t>
      </w:r>
      <w:r w:rsidR="001457E7">
        <w:t>set data, while in case of multiple parents in state “YES”, whenever a non-zero number of events was collected in the dataset, the test of proportion was applied and</w:t>
      </w:r>
      <w:r w:rsidR="004F3C31">
        <w:t xml:space="preserve">, based on the outcome, the </w:t>
      </w:r>
      <w:r w:rsidR="00286759">
        <w:t>Noisy-OR gate model</w:t>
      </w:r>
      <w:r w:rsidR="004F3C31">
        <w:t xml:space="preserve"> (</w:t>
      </w:r>
      <w:r w:rsidR="00286759">
        <w:t>eq. (3)</w:t>
      </w:r>
      <w:r w:rsidR="004F3C31">
        <w:t>) or eq. (7) were adopted</w:t>
      </w:r>
      <w:r w:rsidR="00A452E4">
        <w:t xml:space="preserve"> (an example of this approach is </w:t>
      </w:r>
      <w:r w:rsidR="00852610">
        <w:t>provided in Table 1 for the UE-node “Explosion (UE2)”</w:t>
      </w:r>
      <w:r w:rsidR="006C67B7">
        <w:t>)</w:t>
      </w:r>
      <w:r w:rsidR="00852610">
        <w:t xml:space="preserve">. </w:t>
      </w:r>
      <w:r w:rsidR="008F5565">
        <w:t>For all the other cases, the Noisy-OR gate model was directly a</w:t>
      </w:r>
      <w:r w:rsidR="00F21F78">
        <w:t>pplied</w:t>
      </w:r>
      <w:r w:rsidR="008F5565">
        <w:t xml:space="preserve"> to estimate conditional probabilities.</w:t>
      </w:r>
    </w:p>
    <w:p w14:paraId="68E138FF" w14:textId="1F4B2ED6" w:rsidR="00F57BAD" w:rsidRPr="00B57B36" w:rsidRDefault="00F57BAD" w:rsidP="00F57BAD">
      <w:pPr>
        <w:pStyle w:val="CETTabletitle"/>
      </w:pPr>
      <w:r w:rsidRPr="00B57B36">
        <w:t xml:space="preserve">Table 1: </w:t>
      </w:r>
      <w:r w:rsidRPr="00357C51">
        <w:t xml:space="preserve">Example of the approach adopted for quantification of </w:t>
      </w:r>
      <w:r w:rsidR="009040DF">
        <w:t xml:space="preserve">a sub matrix of CPT of </w:t>
      </w:r>
      <w:r w:rsidRPr="00357C51">
        <w:t>node “Explosion (UE2)”</w:t>
      </w:r>
      <w:r>
        <w:t>.</w:t>
      </w:r>
      <w:r w:rsidR="00DB6C95">
        <w:t xml:space="preserve">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22"/>
        <w:gridCol w:w="1550"/>
        <w:gridCol w:w="1550"/>
        <w:gridCol w:w="1182"/>
        <w:gridCol w:w="995"/>
        <w:gridCol w:w="988"/>
      </w:tblGrid>
      <w:tr w:rsidR="00F57BAD" w:rsidRPr="00B57B36" w14:paraId="06855612" w14:textId="77777777" w:rsidTr="00D54681">
        <w:tc>
          <w:tcPr>
            <w:tcW w:w="2522" w:type="dxa"/>
            <w:tcBorders>
              <w:top w:val="single" w:sz="12" w:space="0" w:color="008000"/>
              <w:bottom w:val="single" w:sz="6" w:space="0" w:color="008000"/>
            </w:tcBorders>
            <w:shd w:val="clear" w:color="auto" w:fill="FFFFFF"/>
          </w:tcPr>
          <w:p w14:paraId="23547CB5" w14:textId="77777777" w:rsidR="00F57BAD" w:rsidRPr="00B57B36" w:rsidRDefault="00F57BAD">
            <w:pPr>
              <w:pStyle w:val="CETBodytext"/>
              <w:jc w:val="left"/>
              <w:rPr>
                <w:lang w:val="en-GB"/>
              </w:rPr>
            </w:pPr>
            <w:r>
              <w:rPr>
                <w:lang w:val="en-GB"/>
              </w:rPr>
              <w:t>AM in state YES</w:t>
            </w:r>
          </w:p>
        </w:tc>
        <w:tc>
          <w:tcPr>
            <w:tcW w:w="1550" w:type="dxa"/>
            <w:tcBorders>
              <w:top w:val="single" w:sz="12" w:space="0" w:color="008000"/>
              <w:bottom w:val="single" w:sz="6" w:space="0" w:color="008000"/>
            </w:tcBorders>
            <w:shd w:val="clear" w:color="auto" w:fill="FFFFFF"/>
          </w:tcPr>
          <w:p w14:paraId="7B40FF12" w14:textId="77777777" w:rsidR="00F57BAD" w:rsidRPr="00B57B36" w:rsidRDefault="00F57BAD">
            <w:pPr>
              <w:pStyle w:val="CETBodytext"/>
              <w:jc w:val="left"/>
              <w:rPr>
                <w:lang w:val="en-GB"/>
              </w:rPr>
            </w:pPr>
            <w:r>
              <w:rPr>
                <w:lang w:val="en-GB"/>
              </w:rPr>
              <w:t>Observed UE2 events given AM combinations</w:t>
            </w:r>
          </w:p>
        </w:tc>
        <w:tc>
          <w:tcPr>
            <w:tcW w:w="1550" w:type="dxa"/>
            <w:tcBorders>
              <w:top w:val="single" w:sz="12" w:space="0" w:color="008000"/>
              <w:bottom w:val="single" w:sz="6" w:space="0" w:color="008000"/>
            </w:tcBorders>
            <w:shd w:val="clear" w:color="auto" w:fill="FFFFFF"/>
          </w:tcPr>
          <w:p w14:paraId="07865525" w14:textId="77777777" w:rsidR="00F57BAD" w:rsidRPr="00B57B36" w:rsidRDefault="00F57BAD">
            <w:pPr>
              <w:pStyle w:val="CETBodytext"/>
              <w:jc w:val="left"/>
              <w:rPr>
                <w:lang w:val="en-GB"/>
              </w:rPr>
            </w:pPr>
            <w:r>
              <w:rPr>
                <w:lang w:val="en-GB"/>
              </w:rPr>
              <w:t>Expected UE2 events given AM combinations</w:t>
            </w:r>
          </w:p>
        </w:tc>
        <w:tc>
          <w:tcPr>
            <w:tcW w:w="1182" w:type="dxa"/>
            <w:tcBorders>
              <w:top w:val="single" w:sz="12" w:space="0" w:color="008000"/>
              <w:bottom w:val="single" w:sz="6" w:space="0" w:color="008000"/>
            </w:tcBorders>
            <w:shd w:val="clear" w:color="auto" w:fill="FFFFFF"/>
          </w:tcPr>
          <w:p w14:paraId="477D2CCE" w14:textId="77777777" w:rsidR="00F57BAD" w:rsidRPr="00B57B36" w:rsidRDefault="00F57BAD">
            <w:pPr>
              <w:pStyle w:val="CETBodytext"/>
              <w:ind w:right="-1"/>
              <w:jc w:val="left"/>
              <w:rPr>
                <w:rFonts w:cs="Arial"/>
                <w:szCs w:val="18"/>
                <w:lang w:val="en-GB"/>
              </w:rPr>
            </w:pPr>
            <w:r>
              <w:rPr>
                <w:rFonts w:cs="Arial"/>
                <w:szCs w:val="18"/>
                <w:lang w:val="en-GB"/>
              </w:rPr>
              <w:t>p-value</w:t>
            </w:r>
          </w:p>
        </w:tc>
        <w:tc>
          <w:tcPr>
            <w:tcW w:w="995" w:type="dxa"/>
            <w:tcBorders>
              <w:top w:val="single" w:sz="12" w:space="0" w:color="008000"/>
              <w:bottom w:val="single" w:sz="6" w:space="0" w:color="008000"/>
            </w:tcBorders>
            <w:shd w:val="clear" w:color="auto" w:fill="FFFFFF"/>
          </w:tcPr>
          <w:p w14:paraId="282CB5CD" w14:textId="77777777" w:rsidR="00F57BAD" w:rsidRPr="00B57B36" w:rsidRDefault="00F57BAD">
            <w:pPr>
              <w:pStyle w:val="CETBodytext"/>
              <w:ind w:right="-1"/>
              <w:jc w:val="left"/>
              <w:rPr>
                <w:rFonts w:cs="Arial"/>
                <w:szCs w:val="18"/>
                <w:lang w:val="en-GB"/>
              </w:rPr>
            </w:pPr>
            <w:r>
              <w:rPr>
                <w:rFonts w:cs="Arial"/>
                <w:szCs w:val="18"/>
                <w:lang w:val="en-GB"/>
              </w:rPr>
              <w:t>Model to use</w:t>
            </w:r>
          </w:p>
        </w:tc>
        <w:tc>
          <w:tcPr>
            <w:tcW w:w="988" w:type="dxa"/>
            <w:tcBorders>
              <w:top w:val="single" w:sz="12" w:space="0" w:color="008000"/>
              <w:bottom w:val="single" w:sz="6" w:space="0" w:color="008000"/>
            </w:tcBorders>
            <w:shd w:val="clear" w:color="auto" w:fill="FFFFFF"/>
          </w:tcPr>
          <w:p w14:paraId="56474094" w14:textId="77777777" w:rsidR="00F57BAD" w:rsidRPr="00B57B36" w:rsidRDefault="00F57BAD">
            <w:pPr>
              <w:pStyle w:val="CETBodytext"/>
              <w:ind w:right="-1"/>
              <w:jc w:val="left"/>
              <w:rPr>
                <w:rFonts w:cs="Arial"/>
                <w:szCs w:val="18"/>
                <w:lang w:val="en-GB"/>
              </w:rPr>
            </w:pPr>
            <w:r>
              <w:rPr>
                <w:rFonts w:cs="Arial"/>
                <w:szCs w:val="18"/>
                <w:lang w:val="en-GB"/>
              </w:rPr>
              <w:t>Calculated conditional probability</w:t>
            </w:r>
          </w:p>
        </w:tc>
      </w:tr>
      <w:tr w:rsidR="00D256C4" w:rsidRPr="00B57B36" w14:paraId="3E95907C" w14:textId="77777777" w:rsidTr="00D54681">
        <w:tc>
          <w:tcPr>
            <w:tcW w:w="2522" w:type="dxa"/>
            <w:shd w:val="clear" w:color="auto" w:fill="FFFFFF"/>
          </w:tcPr>
          <w:p w14:paraId="44439E05" w14:textId="77777777" w:rsidR="00D256C4" w:rsidRPr="00B57B36" w:rsidRDefault="00D256C4" w:rsidP="00D256C4">
            <w:pPr>
              <w:pStyle w:val="CETBodytext"/>
              <w:jc w:val="left"/>
              <w:rPr>
                <w:lang w:val="en-GB"/>
              </w:rPr>
            </w:pPr>
            <w:r>
              <w:rPr>
                <w:lang w:val="en-GB"/>
              </w:rPr>
              <w:t>Shooting 2 (AM5) only</w:t>
            </w:r>
          </w:p>
        </w:tc>
        <w:tc>
          <w:tcPr>
            <w:tcW w:w="1550" w:type="dxa"/>
            <w:shd w:val="clear" w:color="auto" w:fill="FFFFFF"/>
          </w:tcPr>
          <w:p w14:paraId="71120978" w14:textId="1733B2BD" w:rsidR="00D256C4" w:rsidRPr="00085F7E" w:rsidRDefault="00D256C4" w:rsidP="00D256C4">
            <w:pPr>
              <w:pStyle w:val="CETBodytext"/>
              <w:jc w:val="left"/>
              <w:rPr>
                <w:lang w:val="en-GB"/>
              </w:rPr>
            </w:pPr>
            <w:r>
              <w:rPr>
                <w:lang w:val="en-GB"/>
              </w:rPr>
              <w:t>2</w:t>
            </w:r>
          </w:p>
        </w:tc>
        <w:tc>
          <w:tcPr>
            <w:tcW w:w="1550" w:type="dxa"/>
            <w:shd w:val="clear" w:color="auto" w:fill="FFFFFF"/>
          </w:tcPr>
          <w:p w14:paraId="5C0230C3" w14:textId="508D1293" w:rsidR="00D256C4" w:rsidRPr="00085F7E" w:rsidRDefault="00D256C4" w:rsidP="00D256C4">
            <w:pPr>
              <w:pStyle w:val="CETBodytext"/>
              <w:jc w:val="left"/>
              <w:rPr>
                <w:lang w:val="en-GB"/>
              </w:rPr>
            </w:pPr>
            <w:r>
              <w:rPr>
                <w:lang w:val="en-GB"/>
              </w:rPr>
              <w:t>N.A.</w:t>
            </w:r>
          </w:p>
        </w:tc>
        <w:tc>
          <w:tcPr>
            <w:tcW w:w="1182" w:type="dxa"/>
            <w:shd w:val="clear" w:color="auto" w:fill="FFFFFF"/>
          </w:tcPr>
          <w:p w14:paraId="5B157F88" w14:textId="51F544DC" w:rsidR="00D256C4" w:rsidRPr="00085F7E" w:rsidRDefault="00D256C4" w:rsidP="00D256C4">
            <w:pPr>
              <w:pStyle w:val="CETBodytext"/>
              <w:ind w:right="-1"/>
              <w:jc w:val="left"/>
              <w:rPr>
                <w:rFonts w:cs="Arial"/>
                <w:szCs w:val="18"/>
                <w:lang w:val="en-GB"/>
              </w:rPr>
            </w:pPr>
            <w:r>
              <w:rPr>
                <w:lang w:val="en-GB"/>
              </w:rPr>
              <w:t>N.A.</w:t>
            </w:r>
          </w:p>
        </w:tc>
        <w:tc>
          <w:tcPr>
            <w:tcW w:w="995" w:type="dxa"/>
            <w:shd w:val="clear" w:color="auto" w:fill="FFFFFF"/>
          </w:tcPr>
          <w:p w14:paraId="62CA6450" w14:textId="76A3E565" w:rsidR="00D256C4" w:rsidRPr="00085F7E" w:rsidRDefault="00DB6C95" w:rsidP="00D256C4">
            <w:pPr>
              <w:pStyle w:val="CETBodytext"/>
              <w:ind w:right="-1"/>
              <w:jc w:val="left"/>
              <w:rPr>
                <w:rFonts w:cs="Arial"/>
                <w:szCs w:val="18"/>
                <w:lang w:val="en-GB"/>
              </w:rPr>
            </w:pPr>
            <w:r>
              <w:rPr>
                <w:rFonts w:cs="Arial"/>
                <w:szCs w:val="18"/>
                <w:lang w:val="en-GB"/>
              </w:rPr>
              <w:t>Eq. (6)</w:t>
            </w:r>
          </w:p>
        </w:tc>
        <w:tc>
          <w:tcPr>
            <w:tcW w:w="988" w:type="dxa"/>
            <w:shd w:val="clear" w:color="auto" w:fill="FFFFFF"/>
          </w:tcPr>
          <w:p w14:paraId="09773E16" w14:textId="4E92E872" w:rsidR="00D256C4" w:rsidRPr="00085F7E" w:rsidRDefault="00417F78" w:rsidP="00D256C4">
            <w:pPr>
              <w:pStyle w:val="CETBodytext"/>
              <w:ind w:right="-1"/>
              <w:jc w:val="left"/>
              <w:rPr>
                <w:rFonts w:cs="Arial"/>
                <w:szCs w:val="18"/>
                <w:lang w:val="en-GB"/>
              </w:rPr>
            </w:pPr>
            <w:r>
              <w:rPr>
                <w:rFonts w:cs="Arial"/>
                <w:szCs w:val="18"/>
                <w:lang w:val="en-GB"/>
              </w:rPr>
              <w:t>0.222</w:t>
            </w:r>
          </w:p>
        </w:tc>
      </w:tr>
      <w:tr w:rsidR="009040DF" w:rsidRPr="00B57B36" w14:paraId="2E6473F2" w14:textId="77777777" w:rsidTr="00D54681">
        <w:tc>
          <w:tcPr>
            <w:tcW w:w="2522" w:type="dxa"/>
            <w:shd w:val="clear" w:color="auto" w:fill="FFFFFF"/>
          </w:tcPr>
          <w:p w14:paraId="0AD4AB42" w14:textId="77777777" w:rsidR="009040DF" w:rsidRPr="00B57B36" w:rsidRDefault="009040DF" w:rsidP="009040DF">
            <w:pPr>
              <w:pStyle w:val="CETBodytext"/>
              <w:ind w:right="-1"/>
              <w:jc w:val="left"/>
              <w:rPr>
                <w:rFonts w:cs="Arial"/>
                <w:szCs w:val="18"/>
                <w:lang w:val="en-GB"/>
              </w:rPr>
            </w:pPr>
            <w:r>
              <w:rPr>
                <w:rFonts w:cs="Arial"/>
                <w:szCs w:val="18"/>
                <w:lang w:val="en-GB"/>
              </w:rPr>
              <w:t>Use of explosives (AM6) only</w:t>
            </w:r>
          </w:p>
        </w:tc>
        <w:tc>
          <w:tcPr>
            <w:tcW w:w="1550" w:type="dxa"/>
            <w:shd w:val="clear" w:color="auto" w:fill="FFFFFF"/>
          </w:tcPr>
          <w:p w14:paraId="1BBABE06" w14:textId="21561F69" w:rsidR="009040DF" w:rsidRPr="00085F7E" w:rsidRDefault="009040DF" w:rsidP="009040DF">
            <w:pPr>
              <w:pStyle w:val="CETBodytext"/>
              <w:ind w:right="-1"/>
              <w:jc w:val="left"/>
              <w:rPr>
                <w:rFonts w:cs="Arial"/>
                <w:szCs w:val="18"/>
                <w:lang w:val="en-GB"/>
              </w:rPr>
            </w:pPr>
            <w:r>
              <w:rPr>
                <w:rFonts w:cs="Arial"/>
                <w:szCs w:val="18"/>
                <w:lang w:val="en-GB"/>
              </w:rPr>
              <w:t>12</w:t>
            </w:r>
          </w:p>
        </w:tc>
        <w:tc>
          <w:tcPr>
            <w:tcW w:w="1550" w:type="dxa"/>
            <w:shd w:val="clear" w:color="auto" w:fill="FFFFFF"/>
          </w:tcPr>
          <w:p w14:paraId="6618A4C0" w14:textId="1D88AD68" w:rsidR="009040DF" w:rsidRPr="00085F7E" w:rsidRDefault="009040DF" w:rsidP="009040DF">
            <w:pPr>
              <w:pStyle w:val="CETBodytext"/>
              <w:ind w:right="-1"/>
              <w:jc w:val="left"/>
              <w:rPr>
                <w:rFonts w:cs="Arial"/>
                <w:szCs w:val="18"/>
                <w:lang w:val="en-GB"/>
              </w:rPr>
            </w:pPr>
            <w:r>
              <w:rPr>
                <w:lang w:val="en-GB"/>
              </w:rPr>
              <w:t>N.A.</w:t>
            </w:r>
          </w:p>
        </w:tc>
        <w:tc>
          <w:tcPr>
            <w:tcW w:w="1182" w:type="dxa"/>
            <w:shd w:val="clear" w:color="auto" w:fill="FFFFFF"/>
          </w:tcPr>
          <w:p w14:paraId="5A7538E8" w14:textId="1F71396A" w:rsidR="009040DF" w:rsidRPr="00085F7E" w:rsidRDefault="009040DF" w:rsidP="009040DF">
            <w:pPr>
              <w:pStyle w:val="CETBodytext"/>
              <w:ind w:right="-1"/>
              <w:jc w:val="left"/>
              <w:rPr>
                <w:rFonts w:cs="Arial"/>
                <w:szCs w:val="18"/>
                <w:lang w:val="en-GB"/>
              </w:rPr>
            </w:pPr>
            <w:r>
              <w:rPr>
                <w:lang w:val="en-GB"/>
              </w:rPr>
              <w:t>N.A.</w:t>
            </w:r>
          </w:p>
        </w:tc>
        <w:tc>
          <w:tcPr>
            <w:tcW w:w="995" w:type="dxa"/>
            <w:shd w:val="clear" w:color="auto" w:fill="FFFFFF"/>
          </w:tcPr>
          <w:p w14:paraId="5E151058" w14:textId="55B447B0" w:rsidR="009040DF" w:rsidRPr="00085F7E" w:rsidRDefault="009040DF" w:rsidP="009040DF">
            <w:pPr>
              <w:pStyle w:val="CETBodytext"/>
              <w:ind w:right="-1"/>
              <w:jc w:val="left"/>
              <w:rPr>
                <w:rFonts w:cs="Arial"/>
                <w:szCs w:val="18"/>
                <w:lang w:val="en-GB"/>
              </w:rPr>
            </w:pPr>
            <w:r>
              <w:rPr>
                <w:rFonts w:cs="Arial"/>
                <w:szCs w:val="18"/>
                <w:lang w:val="en-GB"/>
              </w:rPr>
              <w:t>Eq. (6)</w:t>
            </w:r>
          </w:p>
        </w:tc>
        <w:tc>
          <w:tcPr>
            <w:tcW w:w="988" w:type="dxa"/>
            <w:shd w:val="clear" w:color="auto" w:fill="FFFFFF"/>
          </w:tcPr>
          <w:p w14:paraId="6920E7AB" w14:textId="204FAB23" w:rsidR="009040DF" w:rsidRPr="00085F7E" w:rsidRDefault="00417F78" w:rsidP="009040DF">
            <w:pPr>
              <w:pStyle w:val="CETBodytext"/>
              <w:ind w:right="-1"/>
              <w:jc w:val="left"/>
              <w:rPr>
                <w:rFonts w:cs="Arial"/>
                <w:szCs w:val="18"/>
                <w:lang w:val="en-GB"/>
              </w:rPr>
            </w:pPr>
            <w:r>
              <w:rPr>
                <w:rFonts w:cs="Arial"/>
                <w:szCs w:val="18"/>
                <w:lang w:val="en-GB"/>
              </w:rPr>
              <w:t>0.923</w:t>
            </w:r>
          </w:p>
        </w:tc>
      </w:tr>
      <w:tr w:rsidR="009040DF" w:rsidRPr="00B57B36" w14:paraId="16D9E21A" w14:textId="77777777" w:rsidTr="00D54681">
        <w:tc>
          <w:tcPr>
            <w:tcW w:w="2522" w:type="dxa"/>
            <w:shd w:val="clear" w:color="auto" w:fill="FFFFFF"/>
          </w:tcPr>
          <w:p w14:paraId="5EC0E92C" w14:textId="77777777" w:rsidR="009040DF" w:rsidRPr="00F90C6E" w:rsidRDefault="009040DF" w:rsidP="009040DF">
            <w:pPr>
              <w:pStyle w:val="CETBodytext"/>
              <w:ind w:right="-1"/>
              <w:jc w:val="left"/>
              <w:rPr>
                <w:rFonts w:cs="Arial"/>
                <w:szCs w:val="18"/>
              </w:rPr>
            </w:pPr>
            <w:r>
              <w:rPr>
                <w:rFonts w:cs="Arial"/>
                <w:szCs w:val="18"/>
              </w:rPr>
              <w:t>Both AM5 and AM6</w:t>
            </w:r>
          </w:p>
        </w:tc>
        <w:tc>
          <w:tcPr>
            <w:tcW w:w="1550" w:type="dxa"/>
            <w:shd w:val="clear" w:color="auto" w:fill="FFFFFF"/>
          </w:tcPr>
          <w:p w14:paraId="29BE2A28" w14:textId="2B651384" w:rsidR="009040DF" w:rsidRPr="00085F7E" w:rsidRDefault="00417F78" w:rsidP="009040DF">
            <w:pPr>
              <w:pStyle w:val="CETBodytext"/>
              <w:ind w:right="-1"/>
              <w:jc w:val="left"/>
              <w:rPr>
                <w:rFonts w:cs="Arial"/>
                <w:szCs w:val="18"/>
                <w:lang w:val="en-GB"/>
              </w:rPr>
            </w:pPr>
            <w:r>
              <w:rPr>
                <w:rFonts w:cs="Arial"/>
                <w:szCs w:val="18"/>
                <w:lang w:val="en-GB"/>
              </w:rPr>
              <w:t>2</w:t>
            </w:r>
          </w:p>
        </w:tc>
        <w:tc>
          <w:tcPr>
            <w:tcW w:w="1550" w:type="dxa"/>
            <w:shd w:val="clear" w:color="auto" w:fill="FFFFFF"/>
          </w:tcPr>
          <w:p w14:paraId="7F640CF4" w14:textId="5BDC2324" w:rsidR="009040DF" w:rsidRPr="00085F7E" w:rsidRDefault="00417F78" w:rsidP="009040DF">
            <w:pPr>
              <w:pStyle w:val="CETBodytext"/>
              <w:ind w:right="-1"/>
              <w:jc w:val="left"/>
              <w:rPr>
                <w:rFonts w:cs="Arial"/>
                <w:szCs w:val="18"/>
                <w:lang w:val="en-GB"/>
              </w:rPr>
            </w:pPr>
            <w:r>
              <w:rPr>
                <w:rFonts w:cs="Arial"/>
                <w:szCs w:val="18"/>
                <w:lang w:val="en-GB"/>
              </w:rPr>
              <w:t>2.55</w:t>
            </w:r>
          </w:p>
        </w:tc>
        <w:tc>
          <w:tcPr>
            <w:tcW w:w="1182" w:type="dxa"/>
            <w:shd w:val="clear" w:color="auto" w:fill="FFFFFF"/>
          </w:tcPr>
          <w:p w14:paraId="3C51F755" w14:textId="2DD07EDB" w:rsidR="009040DF" w:rsidRPr="00085F7E" w:rsidRDefault="00417F78" w:rsidP="009040DF">
            <w:pPr>
              <w:pStyle w:val="CETBodytext"/>
              <w:ind w:right="-1"/>
              <w:jc w:val="left"/>
              <w:rPr>
                <w:rFonts w:cs="Arial"/>
                <w:szCs w:val="18"/>
                <w:lang w:val="en-GB"/>
              </w:rPr>
            </w:pPr>
            <w:r>
              <w:rPr>
                <w:rFonts w:cs="Arial"/>
                <w:szCs w:val="18"/>
                <w:lang w:val="en-GB"/>
              </w:rPr>
              <w:t>0.36</w:t>
            </w:r>
            <w:r w:rsidR="00D54681">
              <w:rPr>
                <w:rFonts w:cs="Arial"/>
                <w:szCs w:val="18"/>
                <w:lang w:val="en-GB"/>
              </w:rPr>
              <w:t xml:space="preserve"> &lt; </w:t>
            </w:r>
            <w:r w:rsidR="001C05F3">
              <w:rPr>
                <w:rFonts w:cs="Arial"/>
                <w:szCs w:val="18"/>
                <w:lang w:val="en-GB"/>
              </w:rPr>
              <w:t>α</w:t>
            </w:r>
            <w:r w:rsidR="00762643">
              <w:rPr>
                <w:rFonts w:cs="Arial"/>
                <w:szCs w:val="18"/>
                <w:lang w:val="en-GB"/>
              </w:rPr>
              <w:t>=</w:t>
            </w:r>
            <w:r w:rsidR="00D54681">
              <w:rPr>
                <w:rFonts w:cs="Arial"/>
                <w:szCs w:val="18"/>
                <w:lang w:val="en-GB"/>
              </w:rPr>
              <w:t>0.9</w:t>
            </w:r>
          </w:p>
        </w:tc>
        <w:tc>
          <w:tcPr>
            <w:tcW w:w="995" w:type="dxa"/>
            <w:shd w:val="clear" w:color="auto" w:fill="FFFFFF"/>
          </w:tcPr>
          <w:p w14:paraId="2F8A5A1C" w14:textId="43A40B0D" w:rsidR="009040DF" w:rsidRPr="00085F7E" w:rsidRDefault="00DD5991" w:rsidP="009040DF">
            <w:pPr>
              <w:pStyle w:val="CETBodytext"/>
              <w:ind w:right="-1"/>
              <w:jc w:val="left"/>
              <w:rPr>
                <w:rFonts w:cs="Arial"/>
                <w:szCs w:val="18"/>
                <w:lang w:val="en-GB"/>
              </w:rPr>
            </w:pPr>
            <w:r>
              <w:rPr>
                <w:rFonts w:cs="Arial"/>
                <w:szCs w:val="18"/>
                <w:lang w:val="en-GB"/>
              </w:rPr>
              <w:t>Eq. (3)</w:t>
            </w:r>
          </w:p>
        </w:tc>
        <w:tc>
          <w:tcPr>
            <w:tcW w:w="988" w:type="dxa"/>
            <w:shd w:val="clear" w:color="auto" w:fill="FFFFFF"/>
          </w:tcPr>
          <w:p w14:paraId="69AFC307" w14:textId="7036C540" w:rsidR="009040DF" w:rsidRPr="00085F7E" w:rsidRDefault="00DD5991" w:rsidP="009040DF">
            <w:pPr>
              <w:pStyle w:val="CETBodytext"/>
              <w:ind w:right="-1"/>
              <w:jc w:val="left"/>
              <w:rPr>
                <w:rFonts w:cs="Arial"/>
                <w:szCs w:val="18"/>
                <w:lang w:val="en-GB"/>
              </w:rPr>
            </w:pPr>
            <w:r>
              <w:rPr>
                <w:rFonts w:cs="Arial"/>
                <w:szCs w:val="18"/>
                <w:lang w:val="en-GB"/>
              </w:rPr>
              <w:t>0.940</w:t>
            </w:r>
          </w:p>
        </w:tc>
      </w:tr>
    </w:tbl>
    <w:p w14:paraId="50585C7E" w14:textId="77777777" w:rsidR="00F57BAD" w:rsidRDefault="00F57BAD" w:rsidP="002A4B00">
      <w:pPr>
        <w:pStyle w:val="CETBodytext"/>
      </w:pPr>
    </w:p>
    <w:p w14:paraId="4AE4407B" w14:textId="3C518F6B" w:rsidR="00F21F78" w:rsidRDefault="00DF0EC1" w:rsidP="002A4B00">
      <w:pPr>
        <w:pStyle w:val="CETBodytext"/>
      </w:pPr>
      <w:r>
        <w:t>The third step of the BAS</w:t>
      </w:r>
      <w:r w:rsidRPr="00A27746">
        <w:rPr>
          <w:vertAlign w:val="superscript"/>
        </w:rPr>
        <w:t>2</w:t>
      </w:r>
      <w:r>
        <w:t xml:space="preserve">E methodology involves the application of sensitivity analysis as </w:t>
      </w:r>
      <w:r w:rsidR="00F51686">
        <w:t xml:space="preserve">described in Section 2.3. </w:t>
      </w:r>
      <w:r w:rsidR="00F53A14">
        <w:t xml:space="preserve">Since the incident chain </w:t>
      </w:r>
      <w:r w:rsidR="00A1736E">
        <w:t xml:space="preserve">structure </w:t>
      </w:r>
      <w:r w:rsidR="00B56773">
        <w:t>of interest has</w:t>
      </w:r>
      <w:r w:rsidR="009019D6">
        <w:t xml:space="preserve"> 3 layers, a single </w:t>
      </w:r>
      <m:oMath>
        <m:sSub>
          <m:sSubPr>
            <m:ctrlPr>
              <w:rPr>
                <w:rFonts w:ascii="Cambria Math" w:hAnsi="Cambria Math"/>
                <w:i/>
              </w:rPr>
            </m:ctrlPr>
          </m:sSubPr>
          <m:e>
            <m:r>
              <w:rPr>
                <w:rFonts w:ascii="Cambria Math" w:hAnsi="Cambria Math"/>
              </w:rPr>
              <m:t>D</m:t>
            </m:r>
          </m:e>
          <m:sub>
            <m:r>
              <w:rPr>
                <w:rFonts w:ascii="Cambria Math" w:hAnsi="Cambria Math"/>
              </w:rPr>
              <m:t>U</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,A</m:t>
            </m:r>
            <m:sSub>
              <m:sSubPr>
                <m:ctrlPr>
                  <w:rPr>
                    <w:rFonts w:ascii="Cambria Math" w:hAnsi="Cambria Math"/>
                    <w:i/>
                  </w:rPr>
                </m:ctrlPr>
              </m:sSubPr>
              <m:e>
                <m:r>
                  <w:rPr>
                    <w:rFonts w:ascii="Cambria Math" w:hAnsi="Cambria Math"/>
                  </w:rPr>
                  <m:t>M</m:t>
                </m:r>
              </m:e>
              <m:sub>
                <m:r>
                  <w:rPr>
                    <w:rFonts w:ascii="Cambria Math" w:hAnsi="Cambria Math"/>
                  </w:rPr>
                  <m:t>j</m:t>
                </m:r>
              </m:sub>
            </m:sSub>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z</m:t>
                </m:r>
              </m:sub>
            </m:sSub>
          </m:sub>
        </m:sSub>
      </m:oMath>
      <w:r w:rsidR="008D3EA3">
        <w:t xml:space="preserve"> is calculated for each possible incident chain</w:t>
      </w:r>
      <w:r w:rsidR="00226C98">
        <w:t>, taking the UE-nodes in their state “YES” as targets.</w:t>
      </w:r>
      <w:r w:rsidR="008443F4">
        <w:t xml:space="preserve"> For illustr</w:t>
      </w:r>
      <w:r w:rsidR="00483EF2">
        <w:t xml:space="preserve">ative purposes, in Table 2 are </w:t>
      </w:r>
      <w:r w:rsidR="004A2DDD">
        <w:t xml:space="preserve">reported the results for </w:t>
      </w:r>
      <w:r w:rsidR="00AD0215">
        <w:t xml:space="preserve">UE-node “Fire (UE3)” </w:t>
      </w:r>
      <w:r w:rsidR="00C60412">
        <w:t>set as target.</w:t>
      </w:r>
    </w:p>
    <w:p w14:paraId="2AFD5F99" w14:textId="3FE6714C" w:rsidR="00A16451" w:rsidRPr="003E0CCC" w:rsidRDefault="00A16451" w:rsidP="002A4B00">
      <w:pPr>
        <w:pStyle w:val="CETBodytext"/>
      </w:pPr>
      <w:r>
        <w:t xml:space="preserve">The fourth step </w:t>
      </w:r>
      <w:r w:rsidR="00CC49B5">
        <w:t>of the BAS</w:t>
      </w:r>
      <w:r w:rsidR="00CC49B5" w:rsidRPr="00A27746">
        <w:rPr>
          <w:vertAlign w:val="superscript"/>
        </w:rPr>
        <w:t>2</w:t>
      </w:r>
      <w:r w:rsidR="00CC49B5">
        <w:t>E methodology</w:t>
      </w:r>
      <w:r w:rsidR="00730A8A">
        <w:t xml:space="preserve"> involves the selection of the </w:t>
      </w:r>
      <w:r w:rsidR="00C97A01">
        <w:t>most relevant incident chains</w:t>
      </w:r>
      <w:r w:rsidR="00831A7B">
        <w:t xml:space="preserve"> through a cut-off criterion based on a</w:t>
      </w:r>
      <w:r w:rsidR="004F1255">
        <w:t>n absolute</w:t>
      </w:r>
      <w:r w:rsidR="00831A7B">
        <w:t xml:space="preserve"> thre</w:t>
      </w:r>
      <w:r w:rsidR="004F1255">
        <w:t>shold value</w:t>
      </w:r>
      <w:r w:rsidR="00122A0D">
        <w:t xml:space="preserve"> (TS)</w:t>
      </w:r>
      <w:r w:rsidR="004F1255">
        <w:t xml:space="preserve"> for the derivative </w:t>
      </w:r>
      <m:oMath>
        <m:sSub>
          <m:sSubPr>
            <m:ctrlPr>
              <w:rPr>
                <w:rFonts w:ascii="Cambria Math" w:hAnsi="Cambria Math"/>
                <w:i/>
              </w:rPr>
            </m:ctrlPr>
          </m:sSubPr>
          <m:e>
            <m:r>
              <w:rPr>
                <w:rFonts w:ascii="Cambria Math" w:hAnsi="Cambria Math"/>
              </w:rPr>
              <m:t>D</m:t>
            </m:r>
          </m:e>
          <m:sub>
            <m:r>
              <w:rPr>
                <w:rFonts w:ascii="Cambria Math" w:hAnsi="Cambria Math"/>
              </w:rPr>
              <m:t>U</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,A</m:t>
            </m:r>
            <m:sSub>
              <m:sSubPr>
                <m:ctrlPr>
                  <w:rPr>
                    <w:rFonts w:ascii="Cambria Math" w:hAnsi="Cambria Math"/>
                    <w:i/>
                  </w:rPr>
                </m:ctrlPr>
              </m:sSubPr>
              <m:e>
                <m:r>
                  <w:rPr>
                    <w:rFonts w:ascii="Cambria Math" w:hAnsi="Cambria Math"/>
                  </w:rPr>
                  <m:t>M</m:t>
                </m:r>
              </m:e>
              <m:sub>
                <m:r>
                  <w:rPr>
                    <w:rFonts w:ascii="Cambria Math" w:hAnsi="Cambria Math"/>
                  </w:rPr>
                  <m:t>j</m:t>
                </m:r>
              </m:sub>
            </m:sSub>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z</m:t>
                </m:r>
              </m:sub>
            </m:sSub>
          </m:sub>
        </m:sSub>
      </m:oMath>
      <w:r w:rsidR="004F1255">
        <w:t xml:space="preserve">. In the present study, </w:t>
      </w:r>
      <w:r w:rsidR="004D5851">
        <w:rPr>
          <w:bCs/>
        </w:rPr>
        <w:t>TS</w:t>
      </w:r>
      <w:r w:rsidR="004D5851" w:rsidRPr="001E55C0">
        <w:rPr>
          <w:bCs/>
        </w:rPr>
        <w:t xml:space="preserve"> was assumed </w:t>
      </w:r>
      <w:r w:rsidR="0021722A" w:rsidRPr="001E55C0">
        <w:rPr>
          <w:bCs/>
        </w:rPr>
        <w:t>to be equal</w:t>
      </w:r>
      <w:r w:rsidR="004D5851" w:rsidRPr="001E55C0">
        <w:rPr>
          <w:bCs/>
        </w:rPr>
        <w:t xml:space="preserve"> to the minimum change in the proportion among the observed data, i.e.</w:t>
      </w:r>
      <w:r w:rsidR="004D5851">
        <w:rPr>
          <w:bCs/>
        </w:rPr>
        <w:t xml:space="preserve"> </w:t>
      </w:r>
      <w:r w:rsidR="0019080D">
        <w:rPr>
          <w:bCs/>
        </w:rPr>
        <w:t>1</w:t>
      </w:r>
      <w:proofErr w:type="gramStart"/>
      <w:r w:rsidR="0019080D">
        <w:rPr>
          <w:bCs/>
        </w:rPr>
        <w:t>/(</w:t>
      </w:r>
      <w:proofErr w:type="gramEnd"/>
      <w:r w:rsidR="0019080D">
        <w:rPr>
          <w:bCs/>
        </w:rPr>
        <w:t>109-1)</w:t>
      </w:r>
      <w:r w:rsidR="00122A0D">
        <w:rPr>
          <w:bCs/>
        </w:rPr>
        <w:t>=</w:t>
      </w:r>
      <w:r w:rsidR="000E4183">
        <w:rPr>
          <w:bCs/>
        </w:rPr>
        <w:t>0.00</w:t>
      </w:r>
      <w:r w:rsidR="00122A0D">
        <w:rPr>
          <w:bCs/>
        </w:rPr>
        <w:t>9.</w:t>
      </w:r>
      <w:r w:rsidR="00D62882">
        <w:rPr>
          <w:bCs/>
        </w:rPr>
        <w:t xml:space="preserve"> For example, with</w:t>
      </w:r>
      <w:r w:rsidR="00F348AC">
        <w:rPr>
          <w:bCs/>
        </w:rPr>
        <w:t xml:space="preserve"> reference to Table 2</w:t>
      </w:r>
      <w:r w:rsidR="00A169B3">
        <w:rPr>
          <w:bCs/>
        </w:rPr>
        <w:t xml:space="preserve"> (see the fifth column), </w:t>
      </w:r>
      <w:r w:rsidR="00D13CB5">
        <w:rPr>
          <w:bCs/>
        </w:rPr>
        <w:t xml:space="preserve">the </w:t>
      </w:r>
      <w:r w:rsidR="00CC165E">
        <w:rPr>
          <w:bCs/>
        </w:rPr>
        <w:t xml:space="preserve">chains </w:t>
      </w:r>
      <w:r w:rsidR="000E746D">
        <w:rPr>
          <w:bCs/>
        </w:rPr>
        <w:t>“Terrorism/Guerrilla (TR1)</w:t>
      </w:r>
      <w:r w:rsidR="000E746D" w:rsidRPr="00BB5887">
        <w:rPr>
          <w:bCs/>
        </w:rPr>
        <w:sym w:font="Wingdings" w:char="F0E0"/>
      </w:r>
      <w:r w:rsidR="000E746D">
        <w:rPr>
          <w:bCs/>
        </w:rPr>
        <w:t>”Arson using incendiary means (AM2)”</w:t>
      </w:r>
      <w:r w:rsidR="000E746D" w:rsidRPr="006E42C9">
        <w:rPr>
          <w:bCs/>
        </w:rPr>
        <w:sym w:font="Wingdings" w:char="F0E0"/>
      </w:r>
      <w:r w:rsidR="000E746D">
        <w:rPr>
          <w:bCs/>
        </w:rPr>
        <w:t>”Fire (UE3)”</w:t>
      </w:r>
      <w:r w:rsidR="00D13CB5">
        <w:rPr>
          <w:bCs/>
        </w:rPr>
        <w:t xml:space="preserve"> and </w:t>
      </w:r>
      <w:r w:rsidR="000E746D">
        <w:rPr>
          <w:bCs/>
        </w:rPr>
        <w:t>“</w:t>
      </w:r>
      <w:r w:rsidR="00462C94">
        <w:rPr>
          <w:bCs/>
        </w:rPr>
        <w:t>Operation of military/paramilitary organization</w:t>
      </w:r>
      <w:r w:rsidR="000E746D">
        <w:rPr>
          <w:bCs/>
        </w:rPr>
        <w:t xml:space="preserve"> (TR</w:t>
      </w:r>
      <w:r w:rsidR="0072094A">
        <w:rPr>
          <w:bCs/>
        </w:rPr>
        <w:t>2</w:t>
      </w:r>
      <w:r w:rsidR="000E746D">
        <w:rPr>
          <w:bCs/>
        </w:rPr>
        <w:t>)</w:t>
      </w:r>
      <w:r w:rsidR="000E746D" w:rsidRPr="00BB5887">
        <w:rPr>
          <w:bCs/>
        </w:rPr>
        <w:sym w:font="Wingdings" w:char="F0E0"/>
      </w:r>
      <w:r w:rsidR="000E746D">
        <w:rPr>
          <w:bCs/>
        </w:rPr>
        <w:t>”</w:t>
      </w:r>
      <w:r w:rsidR="00076F7A">
        <w:rPr>
          <w:bCs/>
        </w:rPr>
        <w:t>Shooting 2</w:t>
      </w:r>
      <w:r w:rsidR="000E746D">
        <w:rPr>
          <w:bCs/>
        </w:rPr>
        <w:t xml:space="preserve"> (AM</w:t>
      </w:r>
      <w:r w:rsidR="00815B58">
        <w:rPr>
          <w:bCs/>
        </w:rPr>
        <w:t>5</w:t>
      </w:r>
      <w:r w:rsidR="000E746D">
        <w:rPr>
          <w:bCs/>
        </w:rPr>
        <w:t>)”</w:t>
      </w:r>
      <w:r w:rsidR="000E746D" w:rsidRPr="006E42C9">
        <w:rPr>
          <w:bCs/>
        </w:rPr>
        <w:sym w:font="Wingdings" w:char="F0E0"/>
      </w:r>
      <w:r w:rsidR="000E746D">
        <w:rPr>
          <w:bCs/>
        </w:rPr>
        <w:t>”Fire (UE3)”</w:t>
      </w:r>
      <w:r w:rsidR="00442FD1">
        <w:rPr>
          <w:bCs/>
        </w:rPr>
        <w:t xml:space="preserve"> were selected as relevant </w:t>
      </w:r>
      <w:r w:rsidR="006C7423">
        <w:rPr>
          <w:bCs/>
        </w:rPr>
        <w:t xml:space="preserve">(D </w:t>
      </w:r>
      <w:r w:rsidR="00575148">
        <w:rPr>
          <w:bCs/>
        </w:rPr>
        <w:t xml:space="preserve">equal to </w:t>
      </w:r>
      <w:r w:rsidR="006C59B2">
        <w:rPr>
          <w:bCs/>
        </w:rPr>
        <w:t>0.42 and 0.08 respectively)</w:t>
      </w:r>
      <w:r w:rsidR="00FE69E3">
        <w:rPr>
          <w:bCs/>
        </w:rPr>
        <w:t xml:space="preserve">. On the contrary, the chains </w:t>
      </w:r>
      <w:r w:rsidR="00831CC0">
        <w:rPr>
          <w:bCs/>
        </w:rPr>
        <w:t>“Operation of military/paramilitary organization (TR2)</w:t>
      </w:r>
      <w:r w:rsidR="00831CC0" w:rsidRPr="00BB5887">
        <w:rPr>
          <w:bCs/>
        </w:rPr>
        <w:sym w:font="Wingdings" w:char="F0E0"/>
      </w:r>
      <w:r w:rsidR="00831CC0">
        <w:rPr>
          <w:bCs/>
        </w:rPr>
        <w:t>”</w:t>
      </w:r>
      <w:r w:rsidR="00861955">
        <w:rPr>
          <w:bCs/>
        </w:rPr>
        <w:t>Use of explosives</w:t>
      </w:r>
      <w:r w:rsidR="00831CC0">
        <w:rPr>
          <w:bCs/>
        </w:rPr>
        <w:t xml:space="preserve"> (AM</w:t>
      </w:r>
      <w:r w:rsidR="00731AD4">
        <w:rPr>
          <w:bCs/>
        </w:rPr>
        <w:t>6</w:t>
      </w:r>
      <w:r w:rsidR="00831CC0">
        <w:rPr>
          <w:bCs/>
        </w:rPr>
        <w:t>)”</w:t>
      </w:r>
      <w:r w:rsidR="00831CC0" w:rsidRPr="006E42C9">
        <w:rPr>
          <w:bCs/>
        </w:rPr>
        <w:sym w:font="Wingdings" w:char="F0E0"/>
      </w:r>
      <w:r w:rsidR="00831CC0">
        <w:rPr>
          <w:bCs/>
        </w:rPr>
        <w:t>”Fire (UE3)”</w:t>
      </w:r>
      <w:r w:rsidR="004664C4">
        <w:rPr>
          <w:bCs/>
        </w:rPr>
        <w:t xml:space="preserve"> and “Terrorism/Guerrilla (TR1)</w:t>
      </w:r>
      <w:r w:rsidR="004664C4" w:rsidRPr="00BB5887">
        <w:rPr>
          <w:bCs/>
        </w:rPr>
        <w:sym w:font="Wingdings" w:char="F0E0"/>
      </w:r>
      <w:r w:rsidR="004664C4">
        <w:rPr>
          <w:bCs/>
        </w:rPr>
        <w:t>”Use of vessel bomb (AM7)”</w:t>
      </w:r>
      <w:r w:rsidR="004664C4" w:rsidRPr="006E42C9">
        <w:rPr>
          <w:bCs/>
        </w:rPr>
        <w:sym w:font="Wingdings" w:char="F0E0"/>
      </w:r>
      <w:r w:rsidR="004664C4">
        <w:rPr>
          <w:bCs/>
        </w:rPr>
        <w:t>”Fire (UE3)”</w:t>
      </w:r>
      <w:r w:rsidR="005F54CD">
        <w:rPr>
          <w:bCs/>
        </w:rPr>
        <w:t xml:space="preserve"> were </w:t>
      </w:r>
      <w:r w:rsidR="002A41E5">
        <w:rPr>
          <w:bCs/>
        </w:rPr>
        <w:t xml:space="preserve">not selected as the </w:t>
      </w:r>
      <w:r w:rsidR="009C694E">
        <w:rPr>
          <w:bCs/>
        </w:rPr>
        <w:t xml:space="preserve">respective derivative values </w:t>
      </w:r>
      <w:r w:rsidR="00A06F3B">
        <w:rPr>
          <w:bCs/>
        </w:rPr>
        <w:t xml:space="preserve">is lower than the </w:t>
      </w:r>
      <w:r w:rsidR="008F70C3">
        <w:rPr>
          <w:bCs/>
        </w:rPr>
        <w:t xml:space="preserve">defined TS (D equal to </w:t>
      </w:r>
      <w:r w:rsidR="003E0CCC">
        <w:rPr>
          <w:bCs/>
        </w:rPr>
        <w:t xml:space="preserve">0.0029 and </w:t>
      </w:r>
      <w:r w:rsidR="003E0CCC" w:rsidRPr="00126755">
        <w:rPr>
          <w:rFonts w:cs="Arial"/>
          <w:bCs/>
        </w:rPr>
        <w:t>4.76∙10</w:t>
      </w:r>
      <w:r w:rsidR="003E0CCC" w:rsidRPr="00126755">
        <w:rPr>
          <w:rFonts w:cs="Arial"/>
          <w:bCs/>
          <w:vertAlign w:val="superscript"/>
        </w:rPr>
        <w:t>-18</w:t>
      </w:r>
      <w:r w:rsidR="003E0CCC">
        <w:rPr>
          <w:rFonts w:cs="Arial"/>
          <w:bCs/>
        </w:rPr>
        <w:t xml:space="preserve"> respectively).</w:t>
      </w:r>
    </w:p>
    <w:p w14:paraId="51BBDB98" w14:textId="2361FEE9" w:rsidR="008756EC" w:rsidRPr="002A4B00" w:rsidRDefault="00830878" w:rsidP="00610F24">
      <w:pPr>
        <w:pStyle w:val="CETBodytext"/>
      </w:pPr>
      <w:r>
        <w:t>Overall, t</w:t>
      </w:r>
      <w:r w:rsidR="002A4B00" w:rsidRPr="002A4B00">
        <w:t>he analysis reveals that the most critical attack methods</w:t>
      </w:r>
      <w:r w:rsidR="005F2153">
        <w:t xml:space="preserve"> (</w:t>
      </w:r>
      <w:r w:rsidR="005F2153" w:rsidRPr="002A4B00">
        <w:t>potential to cause severe events like explosions and fires</w:t>
      </w:r>
      <w:r w:rsidR="005F2153">
        <w:t>)</w:t>
      </w:r>
      <w:r w:rsidR="002A4B00" w:rsidRPr="002A4B00">
        <w:t xml:space="preserve">, such as the use of explosives, </w:t>
      </w:r>
      <w:r w:rsidR="005F2153">
        <w:t xml:space="preserve">use of </w:t>
      </w:r>
      <w:r w:rsidR="002A4B00" w:rsidRPr="002A4B00">
        <w:t xml:space="preserve">vessel bombs, and arson, </w:t>
      </w:r>
      <w:r w:rsidR="00351286">
        <w:t>are part of relevant incident chains</w:t>
      </w:r>
      <w:r w:rsidR="003E5E48">
        <w:t xml:space="preserve"> of </w:t>
      </w:r>
      <w:r w:rsidR="00241695">
        <w:t>“Terrorism/Guerrilla</w:t>
      </w:r>
      <w:r w:rsidR="002F21C6">
        <w:t xml:space="preserve"> (TR1)</w:t>
      </w:r>
      <w:r w:rsidR="00961803">
        <w:t>”</w:t>
      </w:r>
      <w:r w:rsidR="009163C1">
        <w:t xml:space="preserve"> and</w:t>
      </w:r>
      <w:r w:rsidR="00961803">
        <w:t xml:space="preserve"> “</w:t>
      </w:r>
      <w:r w:rsidR="008441EA">
        <w:rPr>
          <w:bCs/>
        </w:rPr>
        <w:t>Operation of military/paramilitary organization (TR2)”</w:t>
      </w:r>
      <w:r w:rsidR="00AB4F47">
        <w:rPr>
          <w:bCs/>
        </w:rPr>
        <w:t xml:space="preserve"> </w:t>
      </w:r>
      <w:r w:rsidR="004B14DE">
        <w:rPr>
          <w:bCs/>
        </w:rPr>
        <w:t>security threats</w:t>
      </w:r>
      <w:r w:rsidR="00FF5410">
        <w:rPr>
          <w:bCs/>
        </w:rPr>
        <w:t xml:space="preserve">, which thus pose significant threat to offshore facility that could be subjected by these </w:t>
      </w:r>
      <w:r w:rsidR="00E42452">
        <w:rPr>
          <w:bCs/>
        </w:rPr>
        <w:t xml:space="preserve">adversaries. </w:t>
      </w:r>
      <w:r w:rsidR="00E42452">
        <w:t xml:space="preserve"> </w:t>
      </w:r>
      <w:r w:rsidR="002A4B00" w:rsidRPr="002A4B00">
        <w:t xml:space="preserve">Conversely, civil protest </w:t>
      </w:r>
      <w:r w:rsidR="00AE36C0">
        <w:rPr>
          <w:bCs/>
        </w:rPr>
        <w:t>events</w:t>
      </w:r>
      <w:r w:rsidR="00AE36C0" w:rsidRPr="001E55C0">
        <w:rPr>
          <w:bCs/>
        </w:rPr>
        <w:t xml:space="preserve"> </w:t>
      </w:r>
      <w:r w:rsidR="007D335B" w:rsidRPr="001E55C0">
        <w:rPr>
          <w:bCs/>
        </w:rPr>
        <w:t xml:space="preserve">resulted </w:t>
      </w:r>
      <w:r w:rsidR="00073774">
        <w:rPr>
          <w:bCs/>
        </w:rPr>
        <w:t>less critical</w:t>
      </w:r>
      <w:r w:rsidR="00AE36C0" w:rsidRPr="001E55C0">
        <w:rPr>
          <w:bCs/>
        </w:rPr>
        <w:t>, as all the relevant incident chains identified end with events having consequences of limited severity</w:t>
      </w:r>
      <w:r w:rsidR="00073774">
        <w:rPr>
          <w:bCs/>
        </w:rPr>
        <w:t xml:space="preserve">. </w:t>
      </w:r>
      <w:r w:rsidR="00073774" w:rsidRPr="001E55C0">
        <w:rPr>
          <w:bCs/>
        </w:rPr>
        <w:t>In particular, the most probable attack method for this threat is “Unauthorized access (AM9)” followed by “Occupation (UE6)” of the asset</w:t>
      </w:r>
      <w:r w:rsidR="00073774">
        <w:rPr>
          <w:bCs/>
        </w:rPr>
        <w:t>.</w:t>
      </w:r>
      <w:r w:rsidR="007C1114">
        <w:rPr>
          <w:bCs/>
        </w:rPr>
        <w:t xml:space="preserve"> </w:t>
      </w:r>
      <w:r w:rsidR="00DC3191">
        <w:rPr>
          <w:bCs/>
        </w:rPr>
        <w:t xml:space="preserve">All the identified incident chains can be adopted as reference scenarios in the </w:t>
      </w:r>
      <w:r w:rsidR="009E7F48">
        <w:rPr>
          <w:bCs/>
        </w:rPr>
        <w:t xml:space="preserve">context of a SVA study for an offshore </w:t>
      </w:r>
      <w:proofErr w:type="spellStart"/>
      <w:r w:rsidR="009E7F48">
        <w:rPr>
          <w:bCs/>
        </w:rPr>
        <w:t>Oil&amp;Gas</w:t>
      </w:r>
      <w:proofErr w:type="spellEnd"/>
      <w:r w:rsidR="009E7F48">
        <w:rPr>
          <w:bCs/>
        </w:rPr>
        <w:t xml:space="preserve"> fluid production facility.</w:t>
      </w:r>
      <w:r w:rsidR="0086518B">
        <w:rPr>
          <w:bCs/>
        </w:rPr>
        <w:t xml:space="preserve"> Moreover, this application proved the ability of the BAS</w:t>
      </w:r>
      <w:r w:rsidR="0086518B" w:rsidRPr="0086518B">
        <w:rPr>
          <w:bCs/>
          <w:vertAlign w:val="superscript"/>
        </w:rPr>
        <w:t>2</w:t>
      </w:r>
      <w:r w:rsidR="0086518B">
        <w:rPr>
          <w:bCs/>
        </w:rPr>
        <w:t>E methodology in overcoming most of the EDA limitations outlined above</w:t>
      </w:r>
      <w:r w:rsidR="00D21CB5">
        <w:rPr>
          <w:bCs/>
        </w:rPr>
        <w:t xml:space="preserve">, specifically as regards </w:t>
      </w:r>
      <w:r w:rsidR="00610F24">
        <w:rPr>
          <w:bCs/>
        </w:rPr>
        <w:t>data availability, chain prioritization</w:t>
      </w:r>
      <w:r w:rsidR="00403020">
        <w:rPr>
          <w:bCs/>
        </w:rPr>
        <w:t>,</w:t>
      </w:r>
      <w:r w:rsidR="00610F24">
        <w:rPr>
          <w:bCs/>
        </w:rPr>
        <w:t xml:space="preserve"> and systematization. </w:t>
      </w:r>
    </w:p>
    <w:p w14:paraId="6A5167CF" w14:textId="4019EB02" w:rsidR="00600535" w:rsidRPr="00B57B36" w:rsidRDefault="00600535" w:rsidP="00600535">
      <w:pPr>
        <w:pStyle w:val="CETTabletitle"/>
      </w:pPr>
      <w:r w:rsidRPr="00B57B36">
        <w:lastRenderedPageBreak/>
        <w:t xml:space="preserve">Table </w:t>
      </w:r>
      <w:r w:rsidR="009E3518">
        <w:t>2</w:t>
      </w:r>
      <w:r w:rsidRPr="00B57B36">
        <w:t xml:space="preserve">: </w:t>
      </w:r>
      <w:r w:rsidR="004056BF" w:rsidRPr="001E55C0">
        <w:rPr>
          <w:bCs/>
        </w:rPr>
        <w:t xml:space="preserve">Derivatives </w:t>
      </w:r>
      <m:oMath>
        <m:sSub>
          <m:sSubPr>
            <m:ctrlPr>
              <w:rPr>
                <w:rFonts w:ascii="Cambria Math" w:hAnsi="Cambria Math"/>
                <w:bCs/>
              </w:rPr>
            </m:ctrlPr>
          </m:sSubPr>
          <m:e>
            <m:r>
              <w:rPr>
                <w:rFonts w:ascii="Cambria Math" w:hAnsi="Cambria Math"/>
              </w:rPr>
              <m:t>D</m:t>
            </m:r>
          </m:e>
          <m:sub>
            <m:r>
              <w:rPr>
                <w:rFonts w:ascii="Cambria Math" w:hAnsi="Cambria Math"/>
              </w:rPr>
              <m:t>i,j,z</m:t>
            </m:r>
          </m:sub>
        </m:sSub>
      </m:oMath>
      <w:r w:rsidR="004056BF" w:rsidRPr="001E55C0">
        <w:rPr>
          <w:bCs/>
        </w:rPr>
        <w:t xml:space="preserve"> calculated in sensitivity analysis for node “Fire (UE3)” set as target</w:t>
      </w:r>
      <w:r w:rsidR="0042641B">
        <w:rPr>
          <w:bCs/>
        </w:rP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2268"/>
        <w:gridCol w:w="1276"/>
        <w:gridCol w:w="1418"/>
        <w:gridCol w:w="990"/>
      </w:tblGrid>
      <w:tr w:rsidR="00600535" w:rsidRPr="00B57B36" w14:paraId="4B29AA51" w14:textId="77777777" w:rsidTr="00D003B0">
        <w:tc>
          <w:tcPr>
            <w:tcW w:w="2835" w:type="dxa"/>
            <w:tcBorders>
              <w:top w:val="single" w:sz="12" w:space="0" w:color="008000"/>
              <w:bottom w:val="single" w:sz="6" w:space="0" w:color="008000"/>
            </w:tcBorders>
            <w:shd w:val="clear" w:color="auto" w:fill="FFFFFF"/>
          </w:tcPr>
          <w:p w14:paraId="500859EC" w14:textId="1853F5DF" w:rsidR="00600535" w:rsidRPr="00E503EC" w:rsidRDefault="00E503EC" w:rsidP="00E503EC">
            <w:pPr>
              <w:pStyle w:val="CETBodytext"/>
              <w:jc w:val="left"/>
              <w:rPr>
                <w:rFonts w:cs="Arial"/>
                <w:lang w:val="en-GB"/>
              </w:rPr>
            </w:pPr>
            <w:r w:rsidRPr="00E503EC">
              <w:rPr>
                <w:rFonts w:cs="Arial"/>
                <w:bCs/>
              </w:rPr>
              <w:t>Threat type (</w:t>
            </w:r>
            <m:oMath>
              <m:r>
                <w:rPr>
                  <w:rFonts w:ascii="Cambria Math" w:hAnsi="Cambria Math" w:cs="Arial"/>
                </w:rPr>
                <m:t>E</m:t>
              </m:r>
              <m:sSub>
                <m:sSubPr>
                  <m:ctrlPr>
                    <w:rPr>
                      <w:rFonts w:ascii="Cambria Math" w:hAnsi="Cambria Math" w:cs="Arial"/>
                      <w:bCs/>
                      <w:i/>
                    </w:rPr>
                  </m:ctrlPr>
                </m:sSubPr>
                <m:e>
                  <m:r>
                    <w:rPr>
                      <w:rFonts w:ascii="Cambria Math" w:hAnsi="Cambria Math" w:cs="Arial"/>
                    </w:rPr>
                    <m:t>L</m:t>
                  </m:r>
                </m:e>
                <m:sub>
                  <m:r>
                    <w:rPr>
                      <w:rFonts w:ascii="Cambria Math" w:hAnsi="Cambria Math" w:cs="Arial"/>
                    </w:rPr>
                    <m:t>1</m:t>
                  </m:r>
                </m:sub>
              </m:sSub>
            </m:oMath>
            <w:r w:rsidRPr="00E503EC">
              <w:rPr>
                <w:rFonts w:cs="Arial"/>
                <w:bCs/>
              </w:rPr>
              <w:t>)</w:t>
            </w:r>
          </w:p>
        </w:tc>
        <w:tc>
          <w:tcPr>
            <w:tcW w:w="2268" w:type="dxa"/>
            <w:tcBorders>
              <w:top w:val="single" w:sz="12" w:space="0" w:color="008000"/>
              <w:bottom w:val="single" w:sz="6" w:space="0" w:color="008000"/>
            </w:tcBorders>
            <w:shd w:val="clear" w:color="auto" w:fill="FFFFFF"/>
          </w:tcPr>
          <w:p w14:paraId="6B6E97E3" w14:textId="7DF4BE73" w:rsidR="00600535" w:rsidRPr="00E503EC" w:rsidRDefault="00E503EC" w:rsidP="00E503EC">
            <w:pPr>
              <w:pStyle w:val="CETBodytext"/>
              <w:jc w:val="left"/>
              <w:rPr>
                <w:rFonts w:cs="Arial"/>
                <w:lang w:val="en-GB"/>
              </w:rPr>
            </w:pPr>
            <w:r w:rsidRPr="00E503EC">
              <w:rPr>
                <w:rFonts w:cs="Arial"/>
                <w:bCs/>
              </w:rPr>
              <w:t>Attack method (</w:t>
            </w:r>
            <m:oMath>
              <m:r>
                <w:rPr>
                  <w:rFonts w:ascii="Cambria Math" w:hAnsi="Cambria Math" w:cs="Arial"/>
                </w:rPr>
                <m:t>E</m:t>
              </m:r>
              <m:sSub>
                <m:sSubPr>
                  <m:ctrlPr>
                    <w:rPr>
                      <w:rFonts w:ascii="Cambria Math" w:hAnsi="Cambria Math" w:cs="Arial"/>
                      <w:bCs/>
                      <w:i/>
                    </w:rPr>
                  </m:ctrlPr>
                </m:sSubPr>
                <m:e>
                  <m:r>
                    <w:rPr>
                      <w:rFonts w:ascii="Cambria Math" w:hAnsi="Cambria Math" w:cs="Arial"/>
                    </w:rPr>
                    <m:t>L</m:t>
                  </m:r>
                </m:e>
                <m:sub>
                  <m:r>
                    <w:rPr>
                      <w:rFonts w:ascii="Cambria Math" w:hAnsi="Cambria Math" w:cs="Arial"/>
                    </w:rPr>
                    <m:t>2</m:t>
                  </m:r>
                </m:sub>
              </m:sSub>
            </m:oMath>
            <w:r w:rsidRPr="00E503EC">
              <w:rPr>
                <w:rFonts w:cs="Arial"/>
                <w:bCs/>
              </w:rPr>
              <w:t>)</w:t>
            </w:r>
          </w:p>
        </w:tc>
        <w:tc>
          <w:tcPr>
            <w:tcW w:w="1276" w:type="dxa"/>
            <w:tcBorders>
              <w:top w:val="single" w:sz="12" w:space="0" w:color="008000"/>
              <w:bottom w:val="single" w:sz="6" w:space="0" w:color="008000"/>
            </w:tcBorders>
            <w:shd w:val="clear" w:color="auto" w:fill="FFFFFF"/>
          </w:tcPr>
          <w:p w14:paraId="0CC5C18D" w14:textId="216F9E25" w:rsidR="00600535" w:rsidRPr="00E503EC" w:rsidRDefault="00E503EC" w:rsidP="00E503EC">
            <w:pPr>
              <w:pStyle w:val="CETBodytext"/>
              <w:jc w:val="left"/>
              <w:rPr>
                <w:rFonts w:cs="Arial"/>
                <w:lang w:val="en-GB"/>
              </w:rPr>
            </w:pPr>
            <w:r w:rsidRPr="00E503EC">
              <w:rPr>
                <w:rFonts w:cs="Arial"/>
                <w:bCs/>
              </w:rPr>
              <w:t>Undesirable event (</w:t>
            </w:r>
            <m:oMath>
              <m:r>
                <w:rPr>
                  <w:rFonts w:ascii="Cambria Math" w:hAnsi="Cambria Math" w:cs="Arial"/>
                </w:rPr>
                <m:t>E</m:t>
              </m:r>
              <m:sSub>
                <m:sSubPr>
                  <m:ctrlPr>
                    <w:rPr>
                      <w:rFonts w:ascii="Cambria Math" w:hAnsi="Cambria Math" w:cs="Arial"/>
                      <w:bCs/>
                      <w:i/>
                    </w:rPr>
                  </m:ctrlPr>
                </m:sSubPr>
                <m:e>
                  <m:r>
                    <w:rPr>
                      <w:rFonts w:ascii="Cambria Math" w:hAnsi="Cambria Math" w:cs="Arial"/>
                    </w:rPr>
                    <m:t>L</m:t>
                  </m:r>
                </m:e>
                <m:sub>
                  <m:r>
                    <w:rPr>
                      <w:rFonts w:ascii="Cambria Math" w:hAnsi="Cambria Math" w:cs="Arial"/>
                    </w:rPr>
                    <m:t>3</m:t>
                  </m:r>
                </m:sub>
              </m:sSub>
            </m:oMath>
            <w:r w:rsidRPr="00E503EC">
              <w:rPr>
                <w:rFonts w:cs="Arial"/>
                <w:bCs/>
              </w:rPr>
              <w:t>)</w:t>
            </w:r>
          </w:p>
        </w:tc>
        <w:tc>
          <w:tcPr>
            <w:tcW w:w="1418" w:type="dxa"/>
            <w:tcBorders>
              <w:top w:val="single" w:sz="12" w:space="0" w:color="008000"/>
              <w:bottom w:val="single" w:sz="6" w:space="0" w:color="008000"/>
            </w:tcBorders>
            <w:shd w:val="clear" w:color="auto" w:fill="FFFFFF"/>
          </w:tcPr>
          <w:p w14:paraId="199EE8DC" w14:textId="460F4F93" w:rsidR="00600535" w:rsidRPr="00B57B36" w:rsidRDefault="00E503EC" w:rsidP="00E503EC">
            <w:pPr>
              <w:pStyle w:val="CETBodytext"/>
              <w:ind w:right="-1"/>
              <w:jc w:val="left"/>
              <w:rPr>
                <w:rFonts w:cs="Arial"/>
                <w:szCs w:val="18"/>
                <w:lang w:val="en-GB"/>
              </w:rPr>
            </w:pPr>
            <w:r w:rsidRPr="00E503EC">
              <w:rPr>
                <w:rFonts w:cs="Arial"/>
                <w:bCs/>
              </w:rPr>
              <w:t>Calculated</w:t>
            </w:r>
            <m:oMath>
              <m:r>
                <w:rPr>
                  <w:rFonts w:ascii="Cambria Math" w:hAnsi="Cambria Math" w:cs="Arial"/>
                </w:rPr>
                <m:t xml:space="preserve"> </m:t>
              </m:r>
              <m:sSub>
                <m:sSubPr>
                  <m:ctrlPr>
                    <w:rPr>
                      <w:rFonts w:ascii="Cambria Math" w:hAnsi="Cambria Math" w:cs="Arial"/>
                      <w:bCs/>
                      <w:i/>
                    </w:rPr>
                  </m:ctrlPr>
                </m:sSubPr>
                <m:e>
                  <m:r>
                    <w:rPr>
                      <w:rFonts w:ascii="Cambria Math" w:hAnsi="Cambria Math" w:cs="Arial"/>
                    </w:rPr>
                    <m:t>D</m:t>
                  </m:r>
                </m:e>
                <m:sub>
                  <m:r>
                    <w:rPr>
                      <w:rFonts w:ascii="Cambria Math" w:hAnsi="Cambria Math" w:cs="Arial"/>
                    </w:rPr>
                    <m:t>i,j,z</m:t>
                  </m:r>
                </m:sub>
              </m:sSub>
            </m:oMath>
          </w:p>
        </w:tc>
        <w:tc>
          <w:tcPr>
            <w:tcW w:w="990" w:type="dxa"/>
            <w:tcBorders>
              <w:top w:val="single" w:sz="12" w:space="0" w:color="008000"/>
              <w:bottom w:val="single" w:sz="6" w:space="0" w:color="008000"/>
            </w:tcBorders>
            <w:shd w:val="clear" w:color="auto" w:fill="FFFFFF"/>
          </w:tcPr>
          <w:p w14:paraId="005800F7" w14:textId="66EFC4B3" w:rsidR="00600535" w:rsidRPr="00B57B36" w:rsidRDefault="00E503EC" w:rsidP="00E503EC">
            <w:pPr>
              <w:pStyle w:val="CETBodytext"/>
              <w:ind w:right="-1"/>
              <w:jc w:val="left"/>
              <w:rPr>
                <w:rFonts w:cs="Arial"/>
                <w:szCs w:val="18"/>
                <w:lang w:val="en-GB"/>
              </w:rPr>
            </w:pPr>
            <w:r w:rsidRPr="00E503EC">
              <w:rPr>
                <w:rFonts w:cs="Arial"/>
                <w:bCs/>
              </w:rPr>
              <w:t>Selected</w:t>
            </w:r>
          </w:p>
        </w:tc>
      </w:tr>
      <w:tr w:rsidR="00600535" w:rsidRPr="00B57B36" w14:paraId="18FA68DB" w14:textId="77777777" w:rsidTr="00D003B0">
        <w:tc>
          <w:tcPr>
            <w:tcW w:w="2835" w:type="dxa"/>
            <w:shd w:val="clear" w:color="auto" w:fill="FFFFFF"/>
          </w:tcPr>
          <w:p w14:paraId="1877D42D" w14:textId="096FE276" w:rsidR="00600535" w:rsidRPr="00B57B36" w:rsidRDefault="00E503EC" w:rsidP="00E503EC">
            <w:pPr>
              <w:pStyle w:val="CETBodytext"/>
              <w:jc w:val="left"/>
              <w:rPr>
                <w:lang w:val="en-GB"/>
              </w:rPr>
            </w:pPr>
            <w:r w:rsidRPr="00096EC3">
              <w:t>Terrorism/Guerrilla (TR1)</w:t>
            </w:r>
          </w:p>
        </w:tc>
        <w:tc>
          <w:tcPr>
            <w:tcW w:w="2268" w:type="dxa"/>
            <w:shd w:val="clear" w:color="auto" w:fill="FFFFFF"/>
          </w:tcPr>
          <w:p w14:paraId="48136FAE" w14:textId="244F7407" w:rsidR="00600535" w:rsidRPr="00B57B36" w:rsidRDefault="00E503EC" w:rsidP="00E503EC">
            <w:pPr>
              <w:pStyle w:val="CETBodytext"/>
              <w:jc w:val="left"/>
              <w:rPr>
                <w:lang w:val="en-GB"/>
              </w:rPr>
            </w:pPr>
            <w:r w:rsidRPr="00096EC3">
              <w:t>Arson using incendiary means (AM2)</w:t>
            </w:r>
          </w:p>
        </w:tc>
        <w:tc>
          <w:tcPr>
            <w:tcW w:w="1276" w:type="dxa"/>
            <w:shd w:val="clear" w:color="auto" w:fill="FFFFFF"/>
          </w:tcPr>
          <w:p w14:paraId="2CB03BEE" w14:textId="1722FC00" w:rsidR="00600535" w:rsidRPr="00B57B36" w:rsidRDefault="00E503EC" w:rsidP="00E503EC">
            <w:pPr>
              <w:pStyle w:val="CETBodytext"/>
              <w:jc w:val="left"/>
              <w:rPr>
                <w:lang w:val="en-GB"/>
              </w:rPr>
            </w:pPr>
            <w:r w:rsidRPr="00096EC3">
              <w:t>Fire (UE3)</w:t>
            </w:r>
          </w:p>
        </w:tc>
        <w:tc>
          <w:tcPr>
            <w:tcW w:w="1418" w:type="dxa"/>
            <w:shd w:val="clear" w:color="auto" w:fill="FFFFFF"/>
          </w:tcPr>
          <w:p w14:paraId="7FF7EB81" w14:textId="342A3C1B" w:rsidR="00600535" w:rsidRPr="00B57B36" w:rsidRDefault="00E503EC" w:rsidP="00E503EC">
            <w:pPr>
              <w:pStyle w:val="CETBodytext"/>
              <w:ind w:right="-1"/>
              <w:jc w:val="left"/>
              <w:rPr>
                <w:rFonts w:cs="Arial"/>
                <w:szCs w:val="18"/>
                <w:lang w:val="en-GB"/>
              </w:rPr>
            </w:pPr>
            <w:r w:rsidRPr="00096EC3">
              <w:t>0.42</w:t>
            </w:r>
          </w:p>
        </w:tc>
        <w:tc>
          <w:tcPr>
            <w:tcW w:w="990" w:type="dxa"/>
            <w:shd w:val="clear" w:color="auto" w:fill="FFFFFF"/>
          </w:tcPr>
          <w:p w14:paraId="6512B018" w14:textId="5350A2D0" w:rsidR="00600535" w:rsidRPr="00B57B36" w:rsidRDefault="00E503EC" w:rsidP="00E503EC">
            <w:pPr>
              <w:pStyle w:val="CETBodytext"/>
              <w:ind w:right="-1"/>
              <w:jc w:val="left"/>
              <w:rPr>
                <w:rFonts w:cs="Arial"/>
                <w:szCs w:val="18"/>
                <w:lang w:val="en-GB"/>
              </w:rPr>
            </w:pPr>
            <w:r w:rsidRPr="00096EC3">
              <w:t>Yes</w:t>
            </w:r>
          </w:p>
        </w:tc>
      </w:tr>
      <w:tr w:rsidR="00600535" w:rsidRPr="00B57B36" w14:paraId="1777C522" w14:textId="77777777" w:rsidTr="00D003B0">
        <w:tc>
          <w:tcPr>
            <w:tcW w:w="2835" w:type="dxa"/>
            <w:shd w:val="clear" w:color="auto" w:fill="FFFFFF"/>
          </w:tcPr>
          <w:p w14:paraId="59954EC2" w14:textId="5782D895" w:rsidR="00600535" w:rsidRPr="00B57B36" w:rsidRDefault="007D6433" w:rsidP="007D6433">
            <w:pPr>
              <w:pStyle w:val="CETBodytext"/>
              <w:ind w:right="-1"/>
              <w:jc w:val="left"/>
              <w:rPr>
                <w:rFonts w:cs="Arial"/>
                <w:szCs w:val="18"/>
                <w:lang w:val="en-GB"/>
              </w:rPr>
            </w:pPr>
            <w:r w:rsidRPr="00096EC3">
              <w:t>Terrorism/Guerrilla (TR1)</w:t>
            </w:r>
          </w:p>
        </w:tc>
        <w:tc>
          <w:tcPr>
            <w:tcW w:w="2268" w:type="dxa"/>
            <w:shd w:val="clear" w:color="auto" w:fill="FFFFFF"/>
          </w:tcPr>
          <w:p w14:paraId="4FFB40F7" w14:textId="51BBAFDC" w:rsidR="00600535" w:rsidRPr="00B57B36" w:rsidRDefault="007D6433" w:rsidP="007D6433">
            <w:pPr>
              <w:pStyle w:val="CETBodytext"/>
              <w:ind w:right="-1"/>
              <w:jc w:val="left"/>
              <w:rPr>
                <w:rFonts w:cs="Arial"/>
                <w:szCs w:val="18"/>
                <w:lang w:val="en-GB"/>
              </w:rPr>
            </w:pPr>
            <w:r w:rsidRPr="00096EC3">
              <w:t>Shooting 2 (AM5)</w:t>
            </w:r>
          </w:p>
        </w:tc>
        <w:tc>
          <w:tcPr>
            <w:tcW w:w="1276" w:type="dxa"/>
            <w:shd w:val="clear" w:color="auto" w:fill="FFFFFF"/>
          </w:tcPr>
          <w:p w14:paraId="74F8316C" w14:textId="2E023B96" w:rsidR="00600535" w:rsidRPr="00B57B36" w:rsidRDefault="007D6433" w:rsidP="007D6433">
            <w:pPr>
              <w:pStyle w:val="CETBodytext"/>
              <w:ind w:right="-1"/>
              <w:jc w:val="left"/>
              <w:rPr>
                <w:rFonts w:cs="Arial"/>
                <w:szCs w:val="18"/>
                <w:lang w:val="en-GB"/>
              </w:rPr>
            </w:pPr>
            <w:r w:rsidRPr="00D563B3">
              <w:t>Fire (UE3)</w:t>
            </w:r>
          </w:p>
        </w:tc>
        <w:tc>
          <w:tcPr>
            <w:tcW w:w="1418" w:type="dxa"/>
            <w:shd w:val="clear" w:color="auto" w:fill="FFFFFF"/>
          </w:tcPr>
          <w:p w14:paraId="708CF970" w14:textId="7C43D48F" w:rsidR="00600535" w:rsidRPr="00B57B36" w:rsidRDefault="007D6433" w:rsidP="007D6433">
            <w:pPr>
              <w:pStyle w:val="CETBodytext"/>
              <w:ind w:right="-1"/>
              <w:jc w:val="left"/>
              <w:rPr>
                <w:rFonts w:cs="Arial"/>
                <w:szCs w:val="18"/>
                <w:lang w:val="en-GB"/>
              </w:rPr>
            </w:pPr>
            <w:r w:rsidRPr="007D6433">
              <w:rPr>
                <w:rFonts w:cs="Arial"/>
                <w:bCs/>
              </w:rPr>
              <w:t>0.32</w:t>
            </w:r>
          </w:p>
        </w:tc>
        <w:tc>
          <w:tcPr>
            <w:tcW w:w="990" w:type="dxa"/>
            <w:shd w:val="clear" w:color="auto" w:fill="FFFFFF"/>
          </w:tcPr>
          <w:p w14:paraId="6B4A2B9B" w14:textId="513E5EAB" w:rsidR="00600535" w:rsidRPr="00B57B36" w:rsidRDefault="007D6433" w:rsidP="007D6433">
            <w:pPr>
              <w:pStyle w:val="CETBodytext"/>
              <w:ind w:right="-1"/>
              <w:jc w:val="left"/>
              <w:rPr>
                <w:rFonts w:cs="Arial"/>
                <w:szCs w:val="18"/>
                <w:lang w:val="en-GB"/>
              </w:rPr>
            </w:pPr>
            <w:r w:rsidRPr="007D6433">
              <w:rPr>
                <w:rFonts w:cs="Arial"/>
                <w:bCs/>
              </w:rPr>
              <w:t>Yes</w:t>
            </w:r>
          </w:p>
        </w:tc>
      </w:tr>
      <w:tr w:rsidR="007D6433" w:rsidRPr="00B57B36" w14:paraId="379F057F" w14:textId="77777777" w:rsidTr="00D003B0">
        <w:tc>
          <w:tcPr>
            <w:tcW w:w="2835" w:type="dxa"/>
            <w:shd w:val="clear" w:color="auto" w:fill="FFFFFF"/>
          </w:tcPr>
          <w:p w14:paraId="56487306" w14:textId="5FF86721" w:rsidR="007D6433" w:rsidRPr="00B57B36" w:rsidRDefault="007D6433" w:rsidP="007D6433">
            <w:pPr>
              <w:pStyle w:val="CETBodytext"/>
              <w:ind w:right="-1"/>
              <w:jc w:val="left"/>
              <w:rPr>
                <w:rFonts w:cs="Arial"/>
                <w:szCs w:val="18"/>
                <w:lang w:val="en-GB"/>
              </w:rPr>
            </w:pPr>
            <w:r w:rsidRPr="00D563B3">
              <w:t>Insurrection/Piracy (TR4)</w:t>
            </w:r>
          </w:p>
        </w:tc>
        <w:tc>
          <w:tcPr>
            <w:tcW w:w="2268" w:type="dxa"/>
            <w:shd w:val="clear" w:color="auto" w:fill="FFFFFF"/>
          </w:tcPr>
          <w:p w14:paraId="34718A9E" w14:textId="57993D58" w:rsidR="007D6433" w:rsidRPr="00B57B36" w:rsidRDefault="007D6433" w:rsidP="007D6433">
            <w:pPr>
              <w:pStyle w:val="CETBodytext"/>
              <w:ind w:right="-1"/>
              <w:jc w:val="left"/>
              <w:rPr>
                <w:rFonts w:cs="Arial"/>
                <w:szCs w:val="18"/>
                <w:lang w:val="en-GB"/>
              </w:rPr>
            </w:pPr>
            <w:r w:rsidRPr="00D563B3">
              <w:t>Arson using incendiary means (AM2)</w:t>
            </w:r>
          </w:p>
        </w:tc>
        <w:tc>
          <w:tcPr>
            <w:tcW w:w="1276" w:type="dxa"/>
            <w:shd w:val="clear" w:color="auto" w:fill="FFFFFF"/>
          </w:tcPr>
          <w:p w14:paraId="02DF9649" w14:textId="40B9ABD7" w:rsidR="007D6433" w:rsidRPr="00B57B36" w:rsidRDefault="007D6433" w:rsidP="007D6433">
            <w:pPr>
              <w:pStyle w:val="CETBodytext"/>
              <w:ind w:right="-1"/>
              <w:jc w:val="left"/>
              <w:rPr>
                <w:rFonts w:cs="Arial"/>
                <w:szCs w:val="18"/>
                <w:lang w:val="en-GB"/>
              </w:rPr>
            </w:pPr>
            <w:r w:rsidRPr="00D563B3">
              <w:t>Fire (UE3)</w:t>
            </w:r>
          </w:p>
        </w:tc>
        <w:tc>
          <w:tcPr>
            <w:tcW w:w="1418" w:type="dxa"/>
            <w:shd w:val="clear" w:color="auto" w:fill="FFFFFF"/>
          </w:tcPr>
          <w:p w14:paraId="56951B8D" w14:textId="40B519D1" w:rsidR="007D6433" w:rsidRPr="00B57B36" w:rsidRDefault="007D6433" w:rsidP="007D6433">
            <w:pPr>
              <w:pStyle w:val="CETBodytext"/>
              <w:ind w:right="-1"/>
              <w:jc w:val="left"/>
              <w:rPr>
                <w:rFonts w:cs="Arial"/>
                <w:szCs w:val="18"/>
                <w:lang w:val="en-GB"/>
              </w:rPr>
            </w:pPr>
            <w:r w:rsidRPr="00D563B3">
              <w:t>0.32</w:t>
            </w:r>
          </w:p>
        </w:tc>
        <w:tc>
          <w:tcPr>
            <w:tcW w:w="990" w:type="dxa"/>
            <w:shd w:val="clear" w:color="auto" w:fill="FFFFFF"/>
          </w:tcPr>
          <w:p w14:paraId="314ED06F" w14:textId="7EAC2F61" w:rsidR="007D6433" w:rsidRPr="00B57B36" w:rsidRDefault="007D6433" w:rsidP="007D6433">
            <w:pPr>
              <w:pStyle w:val="CETBodytext"/>
              <w:ind w:right="-1"/>
              <w:jc w:val="left"/>
              <w:rPr>
                <w:rFonts w:cs="Arial"/>
                <w:szCs w:val="18"/>
                <w:lang w:val="en-GB"/>
              </w:rPr>
            </w:pPr>
            <w:r w:rsidRPr="00D563B3">
              <w:t>Yes</w:t>
            </w:r>
          </w:p>
        </w:tc>
      </w:tr>
      <w:tr w:rsidR="007D6433" w:rsidRPr="00B57B36" w14:paraId="207BF259" w14:textId="77777777" w:rsidTr="00D003B0">
        <w:tc>
          <w:tcPr>
            <w:tcW w:w="2835" w:type="dxa"/>
            <w:shd w:val="clear" w:color="auto" w:fill="FFFFFF"/>
          </w:tcPr>
          <w:p w14:paraId="421EF47E" w14:textId="2EA28EE1" w:rsidR="007D6433" w:rsidRPr="00B57B36" w:rsidRDefault="007D6433" w:rsidP="007D6433">
            <w:pPr>
              <w:pStyle w:val="CETBodytext"/>
              <w:ind w:right="-1"/>
              <w:jc w:val="left"/>
              <w:rPr>
                <w:rFonts w:cs="Arial"/>
                <w:szCs w:val="18"/>
                <w:lang w:val="en-GB"/>
              </w:rPr>
            </w:pPr>
            <w:r w:rsidRPr="00D563B3">
              <w:t>Operation of military/paramilitary organization (TR2)</w:t>
            </w:r>
          </w:p>
        </w:tc>
        <w:tc>
          <w:tcPr>
            <w:tcW w:w="2268" w:type="dxa"/>
            <w:shd w:val="clear" w:color="auto" w:fill="FFFFFF"/>
          </w:tcPr>
          <w:p w14:paraId="389654F9" w14:textId="2D502448" w:rsidR="007D6433" w:rsidRPr="00B57B36" w:rsidRDefault="007D6433" w:rsidP="007D6433">
            <w:pPr>
              <w:pStyle w:val="CETBodytext"/>
              <w:ind w:right="-1"/>
              <w:jc w:val="left"/>
              <w:rPr>
                <w:rFonts w:cs="Arial"/>
                <w:szCs w:val="18"/>
                <w:lang w:val="en-GB"/>
              </w:rPr>
            </w:pPr>
            <w:r w:rsidRPr="00D563B3">
              <w:t>Shooting 2 (AM5)</w:t>
            </w:r>
          </w:p>
        </w:tc>
        <w:tc>
          <w:tcPr>
            <w:tcW w:w="1276" w:type="dxa"/>
            <w:shd w:val="clear" w:color="auto" w:fill="FFFFFF"/>
          </w:tcPr>
          <w:p w14:paraId="7A46AE11" w14:textId="26B4B339" w:rsidR="007D6433" w:rsidRPr="00B57B36" w:rsidRDefault="007D6433" w:rsidP="007D6433">
            <w:pPr>
              <w:pStyle w:val="CETBodytext"/>
              <w:ind w:right="-1"/>
              <w:jc w:val="left"/>
              <w:rPr>
                <w:rFonts w:cs="Arial"/>
                <w:szCs w:val="18"/>
                <w:lang w:val="en-GB"/>
              </w:rPr>
            </w:pPr>
            <w:r w:rsidRPr="00D563B3">
              <w:t>Fire (UE3)</w:t>
            </w:r>
          </w:p>
        </w:tc>
        <w:tc>
          <w:tcPr>
            <w:tcW w:w="1418" w:type="dxa"/>
            <w:shd w:val="clear" w:color="auto" w:fill="FFFFFF"/>
          </w:tcPr>
          <w:p w14:paraId="0490CBAC" w14:textId="33D6B578" w:rsidR="007D6433" w:rsidRPr="00B57B36" w:rsidRDefault="00C00075" w:rsidP="007D6433">
            <w:pPr>
              <w:pStyle w:val="CETBodytext"/>
              <w:ind w:right="-1"/>
              <w:jc w:val="left"/>
              <w:rPr>
                <w:rFonts w:cs="Arial"/>
                <w:szCs w:val="18"/>
                <w:lang w:val="en-GB"/>
              </w:rPr>
            </w:pPr>
            <w:r>
              <w:rPr>
                <w:rFonts w:cs="Arial"/>
                <w:szCs w:val="18"/>
                <w:lang w:val="en-GB"/>
              </w:rPr>
              <w:t>0.08</w:t>
            </w:r>
          </w:p>
        </w:tc>
        <w:tc>
          <w:tcPr>
            <w:tcW w:w="990" w:type="dxa"/>
            <w:shd w:val="clear" w:color="auto" w:fill="FFFFFF"/>
          </w:tcPr>
          <w:p w14:paraId="41E244F3" w14:textId="15C6A8AF" w:rsidR="007D6433" w:rsidRPr="00B57B36" w:rsidRDefault="00C00075" w:rsidP="007D6433">
            <w:pPr>
              <w:pStyle w:val="CETBodytext"/>
              <w:ind w:right="-1"/>
              <w:jc w:val="left"/>
              <w:rPr>
                <w:rFonts w:cs="Arial"/>
                <w:szCs w:val="18"/>
                <w:lang w:val="en-GB"/>
              </w:rPr>
            </w:pPr>
            <w:r>
              <w:rPr>
                <w:rFonts w:cs="Arial"/>
                <w:szCs w:val="18"/>
                <w:lang w:val="en-GB"/>
              </w:rPr>
              <w:t>Yes</w:t>
            </w:r>
          </w:p>
        </w:tc>
      </w:tr>
      <w:tr w:rsidR="007D6433" w:rsidRPr="00B57B36" w14:paraId="2F855442" w14:textId="77777777" w:rsidTr="00D003B0">
        <w:tc>
          <w:tcPr>
            <w:tcW w:w="2835" w:type="dxa"/>
            <w:shd w:val="clear" w:color="auto" w:fill="FFFFFF"/>
          </w:tcPr>
          <w:p w14:paraId="5BDED748" w14:textId="57F4601A" w:rsidR="007D6433" w:rsidRPr="00B57B36" w:rsidRDefault="007D6433" w:rsidP="007D6433">
            <w:pPr>
              <w:pStyle w:val="CETBodytext"/>
              <w:ind w:right="-1"/>
              <w:jc w:val="left"/>
              <w:rPr>
                <w:rFonts w:cs="Arial"/>
                <w:szCs w:val="18"/>
                <w:lang w:val="en-GB"/>
              </w:rPr>
            </w:pPr>
            <w:r w:rsidRPr="00276B27">
              <w:t>Operation of military/paramilitary organization (TR2)</w:t>
            </w:r>
          </w:p>
        </w:tc>
        <w:tc>
          <w:tcPr>
            <w:tcW w:w="2268" w:type="dxa"/>
            <w:shd w:val="clear" w:color="auto" w:fill="FFFFFF"/>
          </w:tcPr>
          <w:p w14:paraId="0EF5C6CB" w14:textId="5517ABCC" w:rsidR="007D6433" w:rsidRPr="00B57B36" w:rsidRDefault="007D6433" w:rsidP="007D6433">
            <w:pPr>
              <w:pStyle w:val="CETBodytext"/>
              <w:ind w:right="-1"/>
              <w:jc w:val="left"/>
              <w:rPr>
                <w:rFonts w:cs="Arial"/>
                <w:szCs w:val="18"/>
                <w:lang w:val="en-GB"/>
              </w:rPr>
            </w:pPr>
            <w:r w:rsidRPr="00276B27">
              <w:t>Use of explosives (AM6)</w:t>
            </w:r>
          </w:p>
        </w:tc>
        <w:tc>
          <w:tcPr>
            <w:tcW w:w="1276" w:type="dxa"/>
            <w:shd w:val="clear" w:color="auto" w:fill="FFFFFF"/>
          </w:tcPr>
          <w:p w14:paraId="05D800DD" w14:textId="08268F99" w:rsidR="007D6433" w:rsidRPr="00B57B36" w:rsidRDefault="007D6433" w:rsidP="007D6433">
            <w:pPr>
              <w:pStyle w:val="CETBodytext"/>
              <w:ind w:right="-1"/>
              <w:jc w:val="left"/>
              <w:rPr>
                <w:rFonts w:cs="Arial"/>
                <w:szCs w:val="18"/>
                <w:lang w:val="en-GB"/>
              </w:rPr>
            </w:pPr>
            <w:r w:rsidRPr="00276B27">
              <w:t>Fire (UE3)</w:t>
            </w:r>
          </w:p>
        </w:tc>
        <w:tc>
          <w:tcPr>
            <w:tcW w:w="1418" w:type="dxa"/>
            <w:shd w:val="clear" w:color="auto" w:fill="FFFFFF"/>
          </w:tcPr>
          <w:p w14:paraId="4AA5CAB8" w14:textId="4A5F95EE" w:rsidR="007D6433" w:rsidRPr="00B57B36" w:rsidRDefault="007D6433" w:rsidP="007D6433">
            <w:pPr>
              <w:pStyle w:val="CETBodytext"/>
              <w:ind w:right="-1"/>
              <w:jc w:val="left"/>
              <w:rPr>
                <w:rFonts w:cs="Arial"/>
                <w:szCs w:val="18"/>
                <w:lang w:val="en-GB"/>
              </w:rPr>
            </w:pPr>
            <w:r w:rsidRPr="00276B27">
              <w:t>0.0029</w:t>
            </w:r>
          </w:p>
        </w:tc>
        <w:tc>
          <w:tcPr>
            <w:tcW w:w="990" w:type="dxa"/>
            <w:shd w:val="clear" w:color="auto" w:fill="FFFFFF"/>
          </w:tcPr>
          <w:p w14:paraId="555EC3AB" w14:textId="5007B1E3" w:rsidR="007D6433" w:rsidRPr="00B57B36" w:rsidRDefault="007D6433" w:rsidP="007D6433">
            <w:pPr>
              <w:pStyle w:val="CETBodytext"/>
              <w:ind w:right="-1"/>
              <w:jc w:val="left"/>
              <w:rPr>
                <w:rFonts w:cs="Arial"/>
                <w:szCs w:val="18"/>
                <w:lang w:val="en-GB"/>
              </w:rPr>
            </w:pPr>
            <w:r w:rsidRPr="00276B27">
              <w:t>No</w:t>
            </w:r>
          </w:p>
        </w:tc>
      </w:tr>
      <w:tr w:rsidR="007D6433" w:rsidRPr="00B57B36" w14:paraId="538A9655" w14:textId="77777777" w:rsidTr="00D003B0">
        <w:tc>
          <w:tcPr>
            <w:tcW w:w="2835" w:type="dxa"/>
            <w:shd w:val="clear" w:color="auto" w:fill="FFFFFF"/>
          </w:tcPr>
          <w:p w14:paraId="05E22129" w14:textId="524036EB" w:rsidR="007D6433" w:rsidRPr="00F90C6E" w:rsidRDefault="007D6433" w:rsidP="007D6433">
            <w:pPr>
              <w:pStyle w:val="CETBodytext"/>
              <w:ind w:right="-1"/>
              <w:jc w:val="left"/>
              <w:rPr>
                <w:rFonts w:cs="Arial"/>
                <w:szCs w:val="18"/>
              </w:rPr>
            </w:pPr>
            <w:r w:rsidRPr="00276B27">
              <w:t>Terrorism/Guerrilla (TR1)</w:t>
            </w:r>
          </w:p>
        </w:tc>
        <w:tc>
          <w:tcPr>
            <w:tcW w:w="2268" w:type="dxa"/>
            <w:shd w:val="clear" w:color="auto" w:fill="FFFFFF"/>
          </w:tcPr>
          <w:p w14:paraId="4F1ED931" w14:textId="0487ACF7" w:rsidR="007D6433" w:rsidRPr="00B57B36" w:rsidRDefault="007D6433" w:rsidP="007D6433">
            <w:pPr>
              <w:pStyle w:val="CETBodytext"/>
              <w:ind w:right="-1"/>
              <w:jc w:val="left"/>
              <w:rPr>
                <w:rFonts w:cs="Arial"/>
                <w:szCs w:val="18"/>
                <w:lang w:val="en-GB"/>
              </w:rPr>
            </w:pPr>
            <w:r w:rsidRPr="00276B27">
              <w:t>Use of vessel bomb (AM7)</w:t>
            </w:r>
          </w:p>
        </w:tc>
        <w:tc>
          <w:tcPr>
            <w:tcW w:w="1276" w:type="dxa"/>
            <w:shd w:val="clear" w:color="auto" w:fill="FFFFFF"/>
          </w:tcPr>
          <w:p w14:paraId="6D7F0896" w14:textId="6464D1FA" w:rsidR="007D6433" w:rsidRPr="00126755" w:rsidRDefault="007D6433" w:rsidP="007D6433">
            <w:pPr>
              <w:pStyle w:val="CETBodytext"/>
              <w:ind w:right="-1"/>
              <w:jc w:val="left"/>
              <w:rPr>
                <w:rFonts w:cs="Arial"/>
                <w:szCs w:val="18"/>
                <w:lang w:val="en-GB"/>
              </w:rPr>
            </w:pPr>
            <w:r w:rsidRPr="00126755">
              <w:rPr>
                <w:rFonts w:cs="Arial"/>
                <w:bCs/>
              </w:rPr>
              <w:t>Fire (UE3)</w:t>
            </w:r>
          </w:p>
        </w:tc>
        <w:tc>
          <w:tcPr>
            <w:tcW w:w="1418" w:type="dxa"/>
            <w:shd w:val="clear" w:color="auto" w:fill="FFFFFF"/>
          </w:tcPr>
          <w:p w14:paraId="3D794FE3" w14:textId="0AD85C15" w:rsidR="007D6433" w:rsidRPr="00B57B36" w:rsidRDefault="007D6433" w:rsidP="007D6433">
            <w:pPr>
              <w:pStyle w:val="CETBodytext"/>
              <w:ind w:right="-1"/>
              <w:jc w:val="left"/>
              <w:rPr>
                <w:rFonts w:cs="Arial"/>
                <w:szCs w:val="18"/>
                <w:lang w:val="en-GB"/>
              </w:rPr>
            </w:pPr>
            <w:proofErr w:type="gramStart"/>
            <w:r w:rsidRPr="00126755">
              <w:rPr>
                <w:rFonts w:cs="Arial"/>
                <w:bCs/>
              </w:rPr>
              <w:t>4.76∙10</w:t>
            </w:r>
            <w:proofErr w:type="gramEnd"/>
            <w:r w:rsidRPr="00126755">
              <w:rPr>
                <w:rFonts w:cs="Arial"/>
                <w:bCs/>
                <w:vertAlign w:val="superscript"/>
              </w:rPr>
              <w:t>-18</w:t>
            </w:r>
          </w:p>
        </w:tc>
        <w:tc>
          <w:tcPr>
            <w:tcW w:w="990" w:type="dxa"/>
            <w:shd w:val="clear" w:color="auto" w:fill="FFFFFF"/>
          </w:tcPr>
          <w:p w14:paraId="71FA98CB" w14:textId="29515990" w:rsidR="007D6433" w:rsidRPr="00126755" w:rsidRDefault="007D6433" w:rsidP="007D6433">
            <w:pPr>
              <w:pStyle w:val="CETBodytext"/>
              <w:ind w:right="-1"/>
              <w:jc w:val="left"/>
              <w:rPr>
                <w:rFonts w:cs="Arial"/>
                <w:szCs w:val="18"/>
                <w:lang w:val="en-GB"/>
              </w:rPr>
            </w:pPr>
            <w:r w:rsidRPr="00126755">
              <w:rPr>
                <w:rFonts w:cs="Arial"/>
                <w:bCs/>
              </w:rPr>
              <w:t>No</w:t>
            </w:r>
          </w:p>
        </w:tc>
      </w:tr>
    </w:tbl>
    <w:p w14:paraId="68D26B83" w14:textId="77777777" w:rsidR="00600535" w:rsidRPr="00B57B36" w:rsidRDefault="00600535" w:rsidP="006F3EED">
      <w:pPr>
        <w:pStyle w:val="CETHeading1"/>
        <w:outlineLvl w:val="0"/>
        <w:rPr>
          <w:lang w:val="en-GB"/>
        </w:rPr>
      </w:pPr>
      <w:r w:rsidRPr="00B57B36">
        <w:rPr>
          <w:lang w:val="en-GB"/>
        </w:rPr>
        <w:t>Conclusions</w:t>
      </w:r>
    </w:p>
    <w:p w14:paraId="1017E39B" w14:textId="488D1CA8" w:rsidR="003B5C65" w:rsidRPr="00B23C7F" w:rsidRDefault="003B5C65" w:rsidP="007B74B1">
      <w:pPr>
        <w:pStyle w:val="CETAcknowledgementstitle"/>
        <w:jc w:val="both"/>
        <w:rPr>
          <w:b w:val="0"/>
          <w:highlight w:val="yellow"/>
        </w:rPr>
      </w:pPr>
      <w:r w:rsidRPr="003B5C65">
        <w:rPr>
          <w:b w:val="0"/>
        </w:rPr>
        <w:t xml:space="preserve">The </w:t>
      </w:r>
      <w:r w:rsidR="00DF3785">
        <w:rPr>
          <w:b w:val="0"/>
        </w:rPr>
        <w:t>BAS</w:t>
      </w:r>
      <w:r w:rsidR="00DF3785" w:rsidRPr="00DF3785">
        <w:rPr>
          <w:b w:val="0"/>
          <w:vertAlign w:val="superscript"/>
        </w:rPr>
        <w:t>2</w:t>
      </w:r>
      <w:r w:rsidR="00DF3785">
        <w:rPr>
          <w:b w:val="0"/>
        </w:rPr>
        <w:t xml:space="preserve">E </w:t>
      </w:r>
      <w:r w:rsidRPr="003B5C65">
        <w:rPr>
          <w:b w:val="0"/>
        </w:rPr>
        <w:t xml:space="preserve">methodology enables the derivation of reference scenarios from </w:t>
      </w:r>
      <w:r w:rsidR="002C203B">
        <w:rPr>
          <w:b w:val="0"/>
        </w:rPr>
        <w:t xml:space="preserve">the </w:t>
      </w:r>
      <w:r w:rsidR="0005543A">
        <w:rPr>
          <w:b w:val="0"/>
        </w:rPr>
        <w:t>Bayesian</w:t>
      </w:r>
      <w:r w:rsidR="002C203B">
        <w:rPr>
          <w:b w:val="0"/>
        </w:rPr>
        <w:t xml:space="preserve"> Network </w:t>
      </w:r>
      <w:r w:rsidR="00F315F5">
        <w:rPr>
          <w:b w:val="0"/>
        </w:rPr>
        <w:t xml:space="preserve">(BN) </w:t>
      </w:r>
      <w:r w:rsidR="002C203B">
        <w:rPr>
          <w:b w:val="0"/>
        </w:rPr>
        <w:t xml:space="preserve">analysis of </w:t>
      </w:r>
      <w:r w:rsidRPr="003B5C65">
        <w:rPr>
          <w:b w:val="0"/>
        </w:rPr>
        <w:t xml:space="preserve">historical </w:t>
      </w:r>
      <w:r w:rsidR="00C53C38">
        <w:rPr>
          <w:b w:val="0"/>
        </w:rPr>
        <w:t xml:space="preserve">safety or security </w:t>
      </w:r>
      <w:r w:rsidRPr="003B5C65">
        <w:rPr>
          <w:b w:val="0"/>
        </w:rPr>
        <w:t>event datasets</w:t>
      </w:r>
      <w:r w:rsidR="00C53C38">
        <w:rPr>
          <w:b w:val="0"/>
        </w:rPr>
        <w:t xml:space="preserve"> that allow for a</w:t>
      </w:r>
      <w:r w:rsidRPr="003B5C65">
        <w:rPr>
          <w:b w:val="0"/>
        </w:rPr>
        <w:t xml:space="preserve"> structured classification of</w:t>
      </w:r>
      <w:r w:rsidR="000F1641">
        <w:rPr>
          <w:b w:val="0"/>
        </w:rPr>
        <w:t xml:space="preserve"> the </w:t>
      </w:r>
      <w:r w:rsidR="000A3DB9">
        <w:rPr>
          <w:b w:val="0"/>
        </w:rPr>
        <w:t xml:space="preserve">sequence of </w:t>
      </w:r>
      <w:r w:rsidR="000F1641">
        <w:rPr>
          <w:b w:val="0"/>
        </w:rPr>
        <w:t>events occurring during</w:t>
      </w:r>
      <w:r w:rsidRPr="003B5C65">
        <w:rPr>
          <w:b w:val="0"/>
        </w:rPr>
        <w:t xml:space="preserve"> </w:t>
      </w:r>
      <w:r w:rsidRPr="0034753D">
        <w:rPr>
          <w:b w:val="0"/>
        </w:rPr>
        <w:t>incidents. The Noisy-OR gate model</w:t>
      </w:r>
      <w:r w:rsidR="00B23C7F" w:rsidRPr="0034753D">
        <w:rPr>
          <w:b w:val="0"/>
        </w:rPr>
        <w:t xml:space="preserve"> is proposed</w:t>
      </w:r>
      <w:r w:rsidRPr="0034753D">
        <w:rPr>
          <w:b w:val="0"/>
        </w:rPr>
        <w:t xml:space="preserve"> </w:t>
      </w:r>
      <w:r w:rsidR="00F315F5" w:rsidRPr="0034753D">
        <w:rPr>
          <w:b w:val="0"/>
        </w:rPr>
        <w:t xml:space="preserve">in BN quantification </w:t>
      </w:r>
      <w:r w:rsidR="00B23C7F" w:rsidRPr="0034753D">
        <w:rPr>
          <w:b w:val="0"/>
        </w:rPr>
        <w:t xml:space="preserve">to </w:t>
      </w:r>
      <w:r w:rsidRPr="0034753D">
        <w:rPr>
          <w:b w:val="0"/>
        </w:rPr>
        <w:t>effectively address data limitations</w:t>
      </w:r>
      <w:r w:rsidR="00B23C7F" w:rsidRPr="0034753D">
        <w:rPr>
          <w:b w:val="0"/>
        </w:rPr>
        <w:t xml:space="preserve"> </w:t>
      </w:r>
      <w:r w:rsidRPr="0034753D">
        <w:rPr>
          <w:b w:val="0"/>
        </w:rPr>
        <w:t xml:space="preserve">when observed data are </w:t>
      </w:r>
      <w:r w:rsidR="001A482E" w:rsidRPr="0034753D">
        <w:rPr>
          <w:b w:val="0"/>
        </w:rPr>
        <w:t>not statistically significant</w:t>
      </w:r>
      <w:r w:rsidR="00B23C7F" w:rsidRPr="0034753D">
        <w:rPr>
          <w:b w:val="0"/>
        </w:rPr>
        <w:t>, which is common in small datasets</w:t>
      </w:r>
      <w:r w:rsidRPr="0034753D">
        <w:rPr>
          <w:b w:val="0"/>
        </w:rPr>
        <w:t xml:space="preserve">. </w:t>
      </w:r>
      <w:r w:rsidR="000A47FB" w:rsidRPr="0034753D">
        <w:rPr>
          <w:b w:val="0"/>
        </w:rPr>
        <w:t xml:space="preserve">The application of the methodology to a case study </w:t>
      </w:r>
      <w:r w:rsidRPr="0034753D">
        <w:rPr>
          <w:b w:val="0"/>
        </w:rPr>
        <w:t xml:space="preserve">involving 109 </w:t>
      </w:r>
      <w:r w:rsidR="000A47FB" w:rsidRPr="0034753D">
        <w:rPr>
          <w:b w:val="0"/>
        </w:rPr>
        <w:t xml:space="preserve">security-related </w:t>
      </w:r>
      <w:r w:rsidRPr="0034753D">
        <w:rPr>
          <w:b w:val="0"/>
        </w:rPr>
        <w:t xml:space="preserve">incidents </w:t>
      </w:r>
      <w:r w:rsidR="000A47FB" w:rsidRPr="0034753D">
        <w:rPr>
          <w:b w:val="0"/>
        </w:rPr>
        <w:t xml:space="preserve">occurred </w:t>
      </w:r>
      <w:r w:rsidRPr="0034753D">
        <w:rPr>
          <w:b w:val="0"/>
        </w:rPr>
        <w:t xml:space="preserve">in the offshore </w:t>
      </w:r>
      <w:proofErr w:type="spellStart"/>
      <w:r w:rsidR="000A47FB" w:rsidRPr="0034753D">
        <w:rPr>
          <w:b w:val="0"/>
        </w:rPr>
        <w:t>Oil&amp;Gas</w:t>
      </w:r>
      <w:proofErr w:type="spellEnd"/>
      <w:r w:rsidRPr="0034753D">
        <w:rPr>
          <w:b w:val="0"/>
        </w:rPr>
        <w:t xml:space="preserve"> sector, demonstrated its capability to overcome the limitations of traditional statistical analyses </w:t>
      </w:r>
      <w:r w:rsidR="000A47FB" w:rsidRPr="0034753D">
        <w:rPr>
          <w:b w:val="0"/>
        </w:rPr>
        <w:t>such as</w:t>
      </w:r>
      <w:r w:rsidRPr="0034753D">
        <w:rPr>
          <w:b w:val="0"/>
        </w:rPr>
        <w:t xml:space="preserve"> Exploratory Data Analysis (EDA), which </w:t>
      </w:r>
      <w:r w:rsidR="00AE5D13" w:rsidRPr="0034753D">
        <w:rPr>
          <w:b w:val="0"/>
        </w:rPr>
        <w:t xml:space="preserve">typically </w:t>
      </w:r>
      <w:r w:rsidRPr="0034753D">
        <w:rPr>
          <w:b w:val="0"/>
        </w:rPr>
        <w:t xml:space="preserve">rely on filtering and counting techniques. </w:t>
      </w:r>
      <w:r w:rsidR="00E71E41" w:rsidRPr="0034753D">
        <w:rPr>
          <w:b w:val="0"/>
        </w:rPr>
        <w:t xml:space="preserve">The use of a derivative-based parameter in chain ranking was demonstrated to effectively capture changes in causal relationships between variables in the BN, offering a robust criterion for chain prioritization and selection. </w:t>
      </w:r>
      <w:r w:rsidRPr="0034753D">
        <w:rPr>
          <w:b w:val="0"/>
        </w:rPr>
        <w:t>The identified incident chains can serve as reference scenarios in SVA studies (e.g., API RP 70) for offshore production platforms.</w:t>
      </w:r>
    </w:p>
    <w:p w14:paraId="459D05E6" w14:textId="0832634B" w:rsidR="00600535" w:rsidRPr="00B57B36" w:rsidRDefault="00600535" w:rsidP="008414EF">
      <w:pPr>
        <w:pStyle w:val="CETAcknowledgementstitle"/>
        <w:outlineLvl w:val="0"/>
      </w:pPr>
      <w:r w:rsidRPr="00B57B36">
        <w:t>Acknowledgments</w:t>
      </w:r>
    </w:p>
    <w:p w14:paraId="33F8138F" w14:textId="4F4541D6" w:rsidR="00600535" w:rsidRPr="00B57B36" w:rsidRDefault="00FA14DB" w:rsidP="00600535">
      <w:pPr>
        <w:pStyle w:val="CETBodytext"/>
        <w:rPr>
          <w:lang w:val="en-GB"/>
        </w:rPr>
      </w:pPr>
      <w:r w:rsidRPr="001E55C0">
        <w:rPr>
          <w:bCs/>
        </w:rPr>
        <w:t xml:space="preserve">This work was supported by project SERICS (PE00000014) under the MUR National Recovery and Resilience Plan funded by the European Union – </w:t>
      </w:r>
      <w:proofErr w:type="spellStart"/>
      <w:r w:rsidRPr="001E55C0">
        <w:rPr>
          <w:bCs/>
        </w:rPr>
        <w:t>NextGenerationEU</w:t>
      </w:r>
      <w:proofErr w:type="spellEnd"/>
      <w:r>
        <w:rPr>
          <w:bCs/>
        </w:rPr>
        <w:t>.</w:t>
      </w:r>
    </w:p>
    <w:p w14:paraId="4F1327F8" w14:textId="77777777" w:rsidR="00600535" w:rsidRPr="00985306" w:rsidRDefault="00600535" w:rsidP="008414EF">
      <w:pPr>
        <w:pStyle w:val="CETReference"/>
        <w:outlineLvl w:val="0"/>
        <w:rPr>
          <w:lang w:val="en-US"/>
        </w:rPr>
      </w:pPr>
      <w:r w:rsidRPr="00985306">
        <w:rPr>
          <w:lang w:val="en-US"/>
        </w:rPr>
        <w:t>References</w:t>
      </w:r>
    </w:p>
    <w:p w14:paraId="12225426" w14:textId="77777777" w:rsidR="00CA4AC6" w:rsidRPr="00CA4AC6" w:rsidRDefault="00CA4AC6" w:rsidP="00CA4AC6">
      <w:pPr>
        <w:pStyle w:val="CETReferencetext"/>
        <w:rPr>
          <w:lang w:val="en-US"/>
        </w:rPr>
      </w:pPr>
      <w:r w:rsidRPr="00CA4AC6">
        <w:rPr>
          <w:lang w:val="en-US"/>
        </w:rPr>
        <w:t>American Petroleum Institute (API), 2010, API RP 70: Security for Offshore Oil and Natural Gas Operations.</w:t>
      </w:r>
    </w:p>
    <w:p w14:paraId="78A78643" w14:textId="71B9ABE0" w:rsidR="005844B2" w:rsidRPr="005844B2" w:rsidRDefault="005844B2" w:rsidP="005844B2">
      <w:pPr>
        <w:ind w:left="284" w:hanging="284"/>
        <w:rPr>
          <w:lang w:val="en-US"/>
        </w:rPr>
      </w:pPr>
      <w:r w:rsidRPr="005844B2">
        <w:rPr>
          <w:lang w:val="en-US"/>
        </w:rPr>
        <w:t xml:space="preserve">Iaiani M., </w:t>
      </w:r>
      <w:proofErr w:type="spellStart"/>
      <w:r w:rsidRPr="005844B2">
        <w:rPr>
          <w:lang w:val="en-US"/>
        </w:rPr>
        <w:t>Fazari</w:t>
      </w:r>
      <w:proofErr w:type="spellEnd"/>
      <w:r w:rsidRPr="005844B2">
        <w:rPr>
          <w:lang w:val="en-US"/>
        </w:rPr>
        <w:t xml:space="preserve"> G., </w:t>
      </w:r>
      <w:proofErr w:type="spellStart"/>
      <w:r w:rsidRPr="005844B2">
        <w:rPr>
          <w:lang w:val="en-US"/>
        </w:rPr>
        <w:t>Tugnoli</w:t>
      </w:r>
      <w:proofErr w:type="spellEnd"/>
      <w:r w:rsidRPr="005844B2">
        <w:rPr>
          <w:lang w:val="en-US"/>
        </w:rPr>
        <w:t xml:space="preserve"> A., </w:t>
      </w:r>
      <w:proofErr w:type="spellStart"/>
      <w:r w:rsidRPr="005844B2">
        <w:rPr>
          <w:lang w:val="en-US"/>
        </w:rPr>
        <w:t>Cozzani</w:t>
      </w:r>
      <w:proofErr w:type="spellEnd"/>
      <w:r w:rsidRPr="005844B2">
        <w:rPr>
          <w:lang w:val="en-US"/>
        </w:rPr>
        <w:t xml:space="preserve"> V.</w:t>
      </w:r>
      <w:r w:rsidRPr="005844B2">
        <w:rPr>
          <w:lang w:val="en-US"/>
        </w:rPr>
        <w:t xml:space="preserve">, </w:t>
      </w:r>
      <w:r w:rsidRPr="005844B2">
        <w:rPr>
          <w:lang w:val="en-US"/>
        </w:rPr>
        <w:t>2025</w:t>
      </w:r>
      <w:r>
        <w:rPr>
          <w:lang w:val="en-US"/>
        </w:rPr>
        <w:t>,</w:t>
      </w:r>
      <w:r w:rsidRPr="005844B2">
        <w:rPr>
          <w:lang w:val="en-US"/>
        </w:rPr>
        <w:t xml:space="preserve"> Identification of reference security scenarios from past event datasets by Bayesian Network analysis</w:t>
      </w:r>
      <w:r>
        <w:rPr>
          <w:lang w:val="en-US"/>
        </w:rPr>
        <w:t>,</w:t>
      </w:r>
      <w:r w:rsidRPr="005844B2">
        <w:rPr>
          <w:lang w:val="en-US"/>
        </w:rPr>
        <w:t xml:space="preserve"> Reliability Engineering &amp; System Safety, 254, 110615. </w:t>
      </w:r>
    </w:p>
    <w:p w14:paraId="4A02E65C" w14:textId="54B730D3" w:rsidR="00CA4AC6" w:rsidRPr="00CA4AC6" w:rsidRDefault="00CA4AC6" w:rsidP="00CA4AC6">
      <w:pPr>
        <w:pStyle w:val="CETReferencetext"/>
        <w:rPr>
          <w:lang w:val="en-US"/>
        </w:rPr>
      </w:pPr>
      <w:r w:rsidRPr="00CA4AC6">
        <w:rPr>
          <w:lang w:val="en-US"/>
        </w:rPr>
        <w:t xml:space="preserve">Iaiani M., </w:t>
      </w:r>
      <w:proofErr w:type="spellStart"/>
      <w:r w:rsidRPr="00CA4AC6">
        <w:rPr>
          <w:lang w:val="en-US"/>
        </w:rPr>
        <w:t>Sorichetti</w:t>
      </w:r>
      <w:proofErr w:type="spellEnd"/>
      <w:r w:rsidRPr="00CA4AC6">
        <w:rPr>
          <w:lang w:val="en-US"/>
        </w:rPr>
        <w:t xml:space="preserve"> R., </w:t>
      </w:r>
      <w:proofErr w:type="spellStart"/>
      <w:r w:rsidRPr="00CA4AC6">
        <w:rPr>
          <w:lang w:val="en-US"/>
        </w:rPr>
        <w:t>Tugnoli</w:t>
      </w:r>
      <w:proofErr w:type="spellEnd"/>
      <w:r w:rsidRPr="00CA4AC6">
        <w:rPr>
          <w:lang w:val="en-US"/>
        </w:rPr>
        <w:t xml:space="preserve"> A., </w:t>
      </w:r>
      <w:proofErr w:type="spellStart"/>
      <w:r w:rsidRPr="00CA4AC6">
        <w:rPr>
          <w:lang w:val="en-US"/>
        </w:rPr>
        <w:t>Cozzani</w:t>
      </w:r>
      <w:proofErr w:type="spellEnd"/>
      <w:r w:rsidRPr="00CA4AC6">
        <w:rPr>
          <w:lang w:val="en-US"/>
        </w:rPr>
        <w:t xml:space="preserve"> V., 2024, Modelling standoff distances to prevent escalation in shooting attacks to tanks storing hazardous materials, Reliability Engineering </w:t>
      </w:r>
      <w:r w:rsidR="005844B2">
        <w:rPr>
          <w:lang w:val="en-US"/>
        </w:rPr>
        <w:t>&amp;</w:t>
      </w:r>
      <w:r w:rsidR="00CD3062">
        <w:rPr>
          <w:lang w:val="en-US"/>
        </w:rPr>
        <w:t xml:space="preserve"> </w:t>
      </w:r>
      <w:r w:rsidRPr="00CA4AC6">
        <w:rPr>
          <w:lang w:val="en-US"/>
        </w:rPr>
        <w:t xml:space="preserve">System Safety, 241, 109689. </w:t>
      </w:r>
    </w:p>
    <w:p w14:paraId="6C4C25DF" w14:textId="77777777" w:rsidR="00CA4AC6" w:rsidRPr="00CA4AC6" w:rsidRDefault="00CA4AC6" w:rsidP="00CA4AC6">
      <w:pPr>
        <w:pStyle w:val="CETReferencetext"/>
        <w:rPr>
          <w:lang w:val="en-US"/>
        </w:rPr>
      </w:pPr>
      <w:r w:rsidRPr="00CA4AC6">
        <w:rPr>
          <w:lang w:val="en-US"/>
        </w:rPr>
        <w:t xml:space="preserve">Iaiani M., </w:t>
      </w:r>
      <w:proofErr w:type="spellStart"/>
      <w:r w:rsidRPr="00CA4AC6">
        <w:rPr>
          <w:lang w:val="en-US"/>
        </w:rPr>
        <w:t>Tugnoli</w:t>
      </w:r>
      <w:proofErr w:type="spellEnd"/>
      <w:r w:rsidRPr="00CA4AC6">
        <w:rPr>
          <w:lang w:val="en-US"/>
        </w:rPr>
        <w:t xml:space="preserve"> A., </w:t>
      </w:r>
      <w:proofErr w:type="spellStart"/>
      <w:r w:rsidRPr="00CA4AC6">
        <w:rPr>
          <w:lang w:val="en-US"/>
        </w:rPr>
        <w:t>Cozzani</w:t>
      </w:r>
      <w:proofErr w:type="spellEnd"/>
      <w:r w:rsidRPr="00CA4AC6">
        <w:rPr>
          <w:lang w:val="en-US"/>
        </w:rPr>
        <w:t xml:space="preserve"> V., 2023, Identification of cyber-risks for the control and safety instrumented systems: a synergic framework for the process industry, Process Safety and Environmental Protection, 172, 69–82. </w:t>
      </w:r>
    </w:p>
    <w:p w14:paraId="4055BCAB" w14:textId="77777777" w:rsidR="00CA4AC6" w:rsidRPr="00CA4AC6" w:rsidRDefault="00CA4AC6" w:rsidP="00CA4AC6">
      <w:pPr>
        <w:pStyle w:val="CETReferencetext"/>
        <w:rPr>
          <w:lang w:val="en-US"/>
        </w:rPr>
      </w:pPr>
      <w:r w:rsidRPr="00CA4AC6">
        <w:rPr>
          <w:lang w:val="en-US"/>
        </w:rPr>
        <w:t>Jensen F.V., Nielsen T.D., 2007, Bayesian networks and decision graphs, 2nd ed., Springer, New York.</w:t>
      </w:r>
    </w:p>
    <w:p w14:paraId="3433D240" w14:textId="77777777" w:rsidR="00CA4AC6" w:rsidRPr="00CA4AC6" w:rsidRDefault="00CA4AC6" w:rsidP="00CA4AC6">
      <w:pPr>
        <w:pStyle w:val="CETReferencetext"/>
        <w:rPr>
          <w:lang w:val="en-US"/>
        </w:rPr>
      </w:pPr>
      <w:r w:rsidRPr="00CA4AC6">
        <w:rPr>
          <w:lang w:val="en-US"/>
        </w:rPr>
        <w:t>Kjærulff U., van der Gaag L.C., 2000, Making Sensitivity Analysis Computationally Efficient, in: Sixteenth Annual Conference on Uncertainty in Artificial Intelligence, 317–325.</w:t>
      </w:r>
    </w:p>
    <w:p w14:paraId="4315AAD4" w14:textId="34106CF9" w:rsidR="00CA4AC6" w:rsidRPr="00CA4AC6" w:rsidRDefault="00CA4AC6" w:rsidP="00CA4AC6">
      <w:pPr>
        <w:pStyle w:val="CETReferencetext"/>
        <w:rPr>
          <w:lang w:val="en-US"/>
        </w:rPr>
      </w:pPr>
      <w:proofErr w:type="spellStart"/>
      <w:r w:rsidRPr="00767257">
        <w:rPr>
          <w:lang w:val="en-US"/>
        </w:rPr>
        <w:t>Konstandinidou</w:t>
      </w:r>
      <w:proofErr w:type="spellEnd"/>
      <w:r w:rsidRPr="00767257">
        <w:rPr>
          <w:lang w:val="en-US"/>
        </w:rPr>
        <w:t xml:space="preserve"> M., </w:t>
      </w:r>
      <w:proofErr w:type="spellStart"/>
      <w:r w:rsidRPr="00767257">
        <w:rPr>
          <w:lang w:val="en-US"/>
        </w:rPr>
        <w:t>Nivolianitou</w:t>
      </w:r>
      <w:proofErr w:type="spellEnd"/>
      <w:r w:rsidRPr="00767257">
        <w:rPr>
          <w:lang w:val="en-US"/>
        </w:rPr>
        <w:t xml:space="preserve"> Z., </w:t>
      </w:r>
      <w:proofErr w:type="spellStart"/>
      <w:r w:rsidRPr="00767257">
        <w:rPr>
          <w:lang w:val="en-US"/>
        </w:rPr>
        <w:t>Kefalogianni</w:t>
      </w:r>
      <w:proofErr w:type="spellEnd"/>
      <w:r w:rsidR="00767257" w:rsidRPr="00767257">
        <w:rPr>
          <w:lang w:val="en-US"/>
        </w:rPr>
        <w:t xml:space="preserve"> </w:t>
      </w:r>
      <w:r w:rsidRPr="00767257">
        <w:rPr>
          <w:lang w:val="en-US"/>
        </w:rPr>
        <w:t>E., Caroni C., 2011</w:t>
      </w:r>
      <w:r w:rsidR="00767257">
        <w:rPr>
          <w:lang w:val="en-US"/>
        </w:rPr>
        <w:t>,</w:t>
      </w:r>
      <w:r w:rsidRPr="00767257">
        <w:rPr>
          <w:lang w:val="en-US"/>
        </w:rPr>
        <w:t xml:space="preserve"> </w:t>
      </w:r>
      <w:r w:rsidRPr="00CA4AC6">
        <w:rPr>
          <w:lang w:val="en-US"/>
        </w:rPr>
        <w:t>In-depth analysis of the causal factors of incidents reported in the Greek petrochemical industry. Reliab</w:t>
      </w:r>
      <w:r w:rsidR="00D6122D">
        <w:rPr>
          <w:lang w:val="en-US"/>
        </w:rPr>
        <w:t>ility</w:t>
      </w:r>
      <w:r w:rsidRPr="00CA4AC6">
        <w:rPr>
          <w:lang w:val="en-US"/>
        </w:rPr>
        <w:t xml:space="preserve"> Eng</w:t>
      </w:r>
      <w:r w:rsidR="00D6122D">
        <w:rPr>
          <w:lang w:val="en-US"/>
        </w:rPr>
        <w:t>ineering</w:t>
      </w:r>
      <w:r w:rsidR="00CD3062">
        <w:rPr>
          <w:lang w:val="en-US"/>
        </w:rPr>
        <w:t xml:space="preserve"> and</w:t>
      </w:r>
      <w:r w:rsidRPr="00CA4AC6">
        <w:rPr>
          <w:lang w:val="en-US"/>
        </w:rPr>
        <w:t xml:space="preserve"> Syst</w:t>
      </w:r>
      <w:r w:rsidR="00D6122D">
        <w:rPr>
          <w:lang w:val="en-US"/>
        </w:rPr>
        <w:t>em</w:t>
      </w:r>
      <w:r w:rsidRPr="00CA4AC6">
        <w:rPr>
          <w:lang w:val="en-US"/>
        </w:rPr>
        <w:t xml:space="preserve"> Saf</w:t>
      </w:r>
      <w:r w:rsidR="00D6122D">
        <w:rPr>
          <w:lang w:val="en-US"/>
        </w:rPr>
        <w:t>ety</w:t>
      </w:r>
      <w:r w:rsidR="00767257">
        <w:rPr>
          <w:lang w:val="en-US"/>
        </w:rPr>
        <w:t>,</w:t>
      </w:r>
      <w:r w:rsidRPr="00CA4AC6">
        <w:rPr>
          <w:lang w:val="en-US"/>
        </w:rPr>
        <w:t xml:space="preserve"> 96, 1448–1455.</w:t>
      </w:r>
    </w:p>
    <w:p w14:paraId="31476F18" w14:textId="77777777" w:rsidR="00CA4AC6" w:rsidRPr="00CA4AC6" w:rsidRDefault="00CA4AC6" w:rsidP="00CA4AC6">
      <w:pPr>
        <w:pStyle w:val="CETReferencetext"/>
        <w:rPr>
          <w:lang w:val="en-US"/>
        </w:rPr>
      </w:pPr>
      <w:r w:rsidRPr="00CA4AC6">
        <w:rPr>
          <w:lang w:val="en-US"/>
        </w:rPr>
        <w:t xml:space="preserve">Lane D.M., Scott D., Hebl M., Guerra R., </w:t>
      </w:r>
      <w:proofErr w:type="spellStart"/>
      <w:r w:rsidRPr="00CA4AC6">
        <w:rPr>
          <w:lang w:val="en-US"/>
        </w:rPr>
        <w:t>Osherson</w:t>
      </w:r>
      <w:proofErr w:type="spellEnd"/>
      <w:r w:rsidRPr="00CA4AC6">
        <w:rPr>
          <w:lang w:val="en-US"/>
        </w:rPr>
        <w:t xml:space="preserve"> D., Zimmer H., 2003, Introduction to Statistics, Rice University.</w:t>
      </w:r>
    </w:p>
    <w:p w14:paraId="1C7DAAA9" w14:textId="77777777" w:rsidR="00CA4AC6" w:rsidRPr="00CA4AC6" w:rsidRDefault="00CA4AC6" w:rsidP="00CA4AC6">
      <w:pPr>
        <w:pStyle w:val="CETReferencetext"/>
        <w:rPr>
          <w:lang w:val="en-US"/>
        </w:rPr>
      </w:pPr>
      <w:r w:rsidRPr="00CA4AC6">
        <w:rPr>
          <w:lang w:val="en-US"/>
        </w:rPr>
        <w:t>Mannan S., 2012, Lees’ Loss Prevention in the Process Industries: Hazard Identification, Assessment and Control, 4th ed., Elsevier, UK: Butterworth-Heinemann.</w:t>
      </w:r>
    </w:p>
    <w:p w14:paraId="1C08DF0D" w14:textId="77777777" w:rsidR="00CA4AC6" w:rsidRPr="00CA4AC6" w:rsidRDefault="00CA4AC6" w:rsidP="00CA4AC6">
      <w:pPr>
        <w:pStyle w:val="CETReferencetext"/>
        <w:rPr>
          <w:lang w:val="en-US"/>
        </w:rPr>
      </w:pPr>
      <w:proofErr w:type="spellStart"/>
      <w:r w:rsidRPr="00CA4AC6">
        <w:rPr>
          <w:lang w:val="en-US"/>
        </w:rPr>
        <w:t>Oniśko</w:t>
      </w:r>
      <w:proofErr w:type="spellEnd"/>
      <w:r w:rsidRPr="00CA4AC6">
        <w:rPr>
          <w:lang w:val="en-US"/>
        </w:rPr>
        <w:t xml:space="preserve"> A., </w:t>
      </w:r>
      <w:proofErr w:type="spellStart"/>
      <w:r w:rsidRPr="00CA4AC6">
        <w:rPr>
          <w:lang w:val="en-US"/>
        </w:rPr>
        <w:t>Druzdzel</w:t>
      </w:r>
      <w:proofErr w:type="spellEnd"/>
      <w:r w:rsidRPr="00CA4AC6">
        <w:rPr>
          <w:lang w:val="en-US"/>
        </w:rPr>
        <w:t xml:space="preserve"> M.J., </w:t>
      </w:r>
      <w:proofErr w:type="spellStart"/>
      <w:r w:rsidRPr="00CA4AC6">
        <w:rPr>
          <w:lang w:val="en-US"/>
        </w:rPr>
        <w:t>Wasyluk</w:t>
      </w:r>
      <w:proofErr w:type="spellEnd"/>
      <w:r w:rsidRPr="00CA4AC6">
        <w:rPr>
          <w:lang w:val="en-US"/>
        </w:rPr>
        <w:t xml:space="preserve"> H., 2001, Learning Bayesian network parameters from small data sets: application of Noisy-OR gates, International Journal of Approximate Reasoning, 27, 165–182.</w:t>
      </w:r>
    </w:p>
    <w:p w14:paraId="19C4FC68" w14:textId="423DDFF8" w:rsidR="004628D2" w:rsidRPr="007C1114" w:rsidRDefault="00CA4AC6" w:rsidP="007C1114">
      <w:pPr>
        <w:pStyle w:val="CETReferencetext"/>
        <w:rPr>
          <w:lang w:val="en-US"/>
        </w:rPr>
      </w:pPr>
      <w:r w:rsidRPr="00CA4AC6">
        <w:rPr>
          <w:lang w:val="en-US"/>
        </w:rPr>
        <w:t>Sales J., Mushtaq F., Christou M.D., Nomen R., 2007, Study of major accidents involving chemical reactive substances analysis and lessons learned, Process Safety and Environmental Protection, 85, 117–124.</w:t>
      </w:r>
    </w:p>
    <w:sectPr w:rsidR="004628D2" w:rsidRPr="007C111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2A3EB" w14:textId="77777777" w:rsidR="00A4606F" w:rsidRDefault="00A4606F" w:rsidP="004F5E36">
      <w:r>
        <w:separator/>
      </w:r>
    </w:p>
  </w:endnote>
  <w:endnote w:type="continuationSeparator" w:id="0">
    <w:p w14:paraId="71B9A576" w14:textId="77777777" w:rsidR="00A4606F" w:rsidRDefault="00A4606F" w:rsidP="004F5E36">
      <w:r>
        <w:continuationSeparator/>
      </w:r>
    </w:p>
  </w:endnote>
  <w:endnote w:type="continuationNotice" w:id="1">
    <w:p w14:paraId="764CF518" w14:textId="77777777" w:rsidR="00A4606F" w:rsidRDefault="00A460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83FD0" w14:textId="77777777" w:rsidR="00A4606F" w:rsidRDefault="00A4606F" w:rsidP="004F5E36">
      <w:r>
        <w:separator/>
      </w:r>
    </w:p>
  </w:footnote>
  <w:footnote w:type="continuationSeparator" w:id="0">
    <w:p w14:paraId="5F8BB7D1" w14:textId="77777777" w:rsidR="00A4606F" w:rsidRDefault="00A4606F" w:rsidP="004F5E36">
      <w:r>
        <w:continuationSeparator/>
      </w:r>
    </w:p>
  </w:footnote>
  <w:footnote w:type="continuationNotice" w:id="1">
    <w:p w14:paraId="3CC17ABD" w14:textId="77777777" w:rsidR="00A4606F" w:rsidRDefault="00A4606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46408E2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EEF"/>
    <w:rsid w:val="000052FB"/>
    <w:rsid w:val="00005A19"/>
    <w:rsid w:val="000105D5"/>
    <w:rsid w:val="000117CB"/>
    <w:rsid w:val="000141E5"/>
    <w:rsid w:val="0002314E"/>
    <w:rsid w:val="00023825"/>
    <w:rsid w:val="000261E4"/>
    <w:rsid w:val="0003148D"/>
    <w:rsid w:val="00031EEC"/>
    <w:rsid w:val="00044165"/>
    <w:rsid w:val="00051566"/>
    <w:rsid w:val="0005543A"/>
    <w:rsid w:val="000562A9"/>
    <w:rsid w:val="00060F1B"/>
    <w:rsid w:val="00062A9A"/>
    <w:rsid w:val="000633ED"/>
    <w:rsid w:val="00065058"/>
    <w:rsid w:val="000711D0"/>
    <w:rsid w:val="00073774"/>
    <w:rsid w:val="00075C13"/>
    <w:rsid w:val="00076F7A"/>
    <w:rsid w:val="0007794D"/>
    <w:rsid w:val="0008397F"/>
    <w:rsid w:val="00085F7E"/>
    <w:rsid w:val="00086C39"/>
    <w:rsid w:val="00096D5E"/>
    <w:rsid w:val="00097764"/>
    <w:rsid w:val="000A03B2"/>
    <w:rsid w:val="000A3DB9"/>
    <w:rsid w:val="000A47FB"/>
    <w:rsid w:val="000A54E4"/>
    <w:rsid w:val="000A6B28"/>
    <w:rsid w:val="000A714E"/>
    <w:rsid w:val="000A7FAD"/>
    <w:rsid w:val="000B51D0"/>
    <w:rsid w:val="000C1B3D"/>
    <w:rsid w:val="000C5437"/>
    <w:rsid w:val="000D0268"/>
    <w:rsid w:val="000D2435"/>
    <w:rsid w:val="000D2E4F"/>
    <w:rsid w:val="000D34BE"/>
    <w:rsid w:val="000D46CA"/>
    <w:rsid w:val="000D52B9"/>
    <w:rsid w:val="000E0B3C"/>
    <w:rsid w:val="000E102F"/>
    <w:rsid w:val="000E28A3"/>
    <w:rsid w:val="000E36F1"/>
    <w:rsid w:val="000E3A73"/>
    <w:rsid w:val="000E414A"/>
    <w:rsid w:val="000E4183"/>
    <w:rsid w:val="000E511F"/>
    <w:rsid w:val="000E7444"/>
    <w:rsid w:val="000E746D"/>
    <w:rsid w:val="000E75FD"/>
    <w:rsid w:val="000F093C"/>
    <w:rsid w:val="000F1641"/>
    <w:rsid w:val="000F4031"/>
    <w:rsid w:val="000F48ED"/>
    <w:rsid w:val="000F787B"/>
    <w:rsid w:val="00112544"/>
    <w:rsid w:val="00112ED6"/>
    <w:rsid w:val="0012091F"/>
    <w:rsid w:val="00122A0D"/>
    <w:rsid w:val="00126755"/>
    <w:rsid w:val="00126BC2"/>
    <w:rsid w:val="00130220"/>
    <w:rsid w:val="001308B6"/>
    <w:rsid w:val="0013121F"/>
    <w:rsid w:val="00131FE6"/>
    <w:rsid w:val="0013263F"/>
    <w:rsid w:val="001331DF"/>
    <w:rsid w:val="00134DE4"/>
    <w:rsid w:val="0014034D"/>
    <w:rsid w:val="00140FE3"/>
    <w:rsid w:val="00144D16"/>
    <w:rsid w:val="001457E7"/>
    <w:rsid w:val="00150E59"/>
    <w:rsid w:val="001513EB"/>
    <w:rsid w:val="00152DE3"/>
    <w:rsid w:val="001554C6"/>
    <w:rsid w:val="00155ED6"/>
    <w:rsid w:val="00155F1C"/>
    <w:rsid w:val="001568AB"/>
    <w:rsid w:val="00157268"/>
    <w:rsid w:val="00160A58"/>
    <w:rsid w:val="001629F6"/>
    <w:rsid w:val="00163749"/>
    <w:rsid w:val="00164CF9"/>
    <w:rsid w:val="001667A6"/>
    <w:rsid w:val="00176A05"/>
    <w:rsid w:val="0018171E"/>
    <w:rsid w:val="00184AD6"/>
    <w:rsid w:val="00185114"/>
    <w:rsid w:val="0019080D"/>
    <w:rsid w:val="0019726C"/>
    <w:rsid w:val="001A23E4"/>
    <w:rsid w:val="001A263B"/>
    <w:rsid w:val="001A271C"/>
    <w:rsid w:val="001A333E"/>
    <w:rsid w:val="001A3BED"/>
    <w:rsid w:val="001A482E"/>
    <w:rsid w:val="001A4AF7"/>
    <w:rsid w:val="001B0349"/>
    <w:rsid w:val="001B1E93"/>
    <w:rsid w:val="001B2D17"/>
    <w:rsid w:val="001B65C1"/>
    <w:rsid w:val="001B723D"/>
    <w:rsid w:val="001C05F3"/>
    <w:rsid w:val="001C09B5"/>
    <w:rsid w:val="001C260F"/>
    <w:rsid w:val="001C40E4"/>
    <w:rsid w:val="001C5C3A"/>
    <w:rsid w:val="001C684B"/>
    <w:rsid w:val="001D0CFB"/>
    <w:rsid w:val="001D21AF"/>
    <w:rsid w:val="001D3DEA"/>
    <w:rsid w:val="001D53FC"/>
    <w:rsid w:val="001F42A5"/>
    <w:rsid w:val="001F7B9D"/>
    <w:rsid w:val="00201C93"/>
    <w:rsid w:val="002067F0"/>
    <w:rsid w:val="0021164A"/>
    <w:rsid w:val="00215BF4"/>
    <w:rsid w:val="0021722A"/>
    <w:rsid w:val="002224B4"/>
    <w:rsid w:val="00223876"/>
    <w:rsid w:val="00226C98"/>
    <w:rsid w:val="00226E07"/>
    <w:rsid w:val="0023021B"/>
    <w:rsid w:val="00234091"/>
    <w:rsid w:val="002367FF"/>
    <w:rsid w:val="002377F4"/>
    <w:rsid w:val="00241695"/>
    <w:rsid w:val="002447EF"/>
    <w:rsid w:val="00246954"/>
    <w:rsid w:val="00250F21"/>
    <w:rsid w:val="00251550"/>
    <w:rsid w:val="00263B05"/>
    <w:rsid w:val="00267B99"/>
    <w:rsid w:val="0027221A"/>
    <w:rsid w:val="00272E3B"/>
    <w:rsid w:val="002751B1"/>
    <w:rsid w:val="00275B61"/>
    <w:rsid w:val="00280FAF"/>
    <w:rsid w:val="00282656"/>
    <w:rsid w:val="00286759"/>
    <w:rsid w:val="00296B83"/>
    <w:rsid w:val="002A1903"/>
    <w:rsid w:val="002A41E5"/>
    <w:rsid w:val="002A4B00"/>
    <w:rsid w:val="002B3076"/>
    <w:rsid w:val="002B4015"/>
    <w:rsid w:val="002B78CE"/>
    <w:rsid w:val="002C203B"/>
    <w:rsid w:val="002C2FB6"/>
    <w:rsid w:val="002E5FA7"/>
    <w:rsid w:val="002E7A30"/>
    <w:rsid w:val="002F21C6"/>
    <w:rsid w:val="002F3309"/>
    <w:rsid w:val="002F6F0E"/>
    <w:rsid w:val="003005BD"/>
    <w:rsid w:val="003008CE"/>
    <w:rsid w:val="003008D2"/>
    <w:rsid w:val="003009B7"/>
    <w:rsid w:val="00300E56"/>
    <w:rsid w:val="0030152C"/>
    <w:rsid w:val="003019A7"/>
    <w:rsid w:val="0030469C"/>
    <w:rsid w:val="00316B3C"/>
    <w:rsid w:val="00321CA6"/>
    <w:rsid w:val="00323470"/>
    <w:rsid w:val="00323763"/>
    <w:rsid w:val="00323C5F"/>
    <w:rsid w:val="00334C09"/>
    <w:rsid w:val="00334D9D"/>
    <w:rsid w:val="003375DB"/>
    <w:rsid w:val="0034753D"/>
    <w:rsid w:val="00351286"/>
    <w:rsid w:val="003537A0"/>
    <w:rsid w:val="00357C51"/>
    <w:rsid w:val="00361293"/>
    <w:rsid w:val="003623AA"/>
    <w:rsid w:val="003723D4"/>
    <w:rsid w:val="003725C5"/>
    <w:rsid w:val="00377AA8"/>
    <w:rsid w:val="00381905"/>
    <w:rsid w:val="003820CE"/>
    <w:rsid w:val="00384CC8"/>
    <w:rsid w:val="003871FD"/>
    <w:rsid w:val="00390C80"/>
    <w:rsid w:val="00395206"/>
    <w:rsid w:val="003A1E30"/>
    <w:rsid w:val="003A2829"/>
    <w:rsid w:val="003A7D1C"/>
    <w:rsid w:val="003B304B"/>
    <w:rsid w:val="003B3146"/>
    <w:rsid w:val="003B3625"/>
    <w:rsid w:val="003B49CD"/>
    <w:rsid w:val="003B5C65"/>
    <w:rsid w:val="003C5572"/>
    <w:rsid w:val="003D1E02"/>
    <w:rsid w:val="003D5AE3"/>
    <w:rsid w:val="003E0CCC"/>
    <w:rsid w:val="003E4BA1"/>
    <w:rsid w:val="003E5E48"/>
    <w:rsid w:val="003E60C7"/>
    <w:rsid w:val="003E6F21"/>
    <w:rsid w:val="003F015E"/>
    <w:rsid w:val="003F0C38"/>
    <w:rsid w:val="003F0EBD"/>
    <w:rsid w:val="003F4A48"/>
    <w:rsid w:val="00400414"/>
    <w:rsid w:val="00403020"/>
    <w:rsid w:val="004056BF"/>
    <w:rsid w:val="00407DA3"/>
    <w:rsid w:val="00413905"/>
    <w:rsid w:val="0041446B"/>
    <w:rsid w:val="00415CF0"/>
    <w:rsid w:val="00417F78"/>
    <w:rsid w:val="00423BE5"/>
    <w:rsid w:val="0042512D"/>
    <w:rsid w:val="0042631D"/>
    <w:rsid w:val="0042641B"/>
    <w:rsid w:val="00427267"/>
    <w:rsid w:val="00427608"/>
    <w:rsid w:val="0044071E"/>
    <w:rsid w:val="004412D4"/>
    <w:rsid w:val="00442FD1"/>
    <w:rsid w:val="0044329C"/>
    <w:rsid w:val="004437A2"/>
    <w:rsid w:val="00453E24"/>
    <w:rsid w:val="00457456"/>
    <w:rsid w:val="004577FE"/>
    <w:rsid w:val="00457B9C"/>
    <w:rsid w:val="0046164A"/>
    <w:rsid w:val="004628D2"/>
    <w:rsid w:val="00462C94"/>
    <w:rsid w:val="00462DCD"/>
    <w:rsid w:val="004648AD"/>
    <w:rsid w:val="00465299"/>
    <w:rsid w:val="004664C4"/>
    <w:rsid w:val="00466C42"/>
    <w:rsid w:val="004703A9"/>
    <w:rsid w:val="004705DC"/>
    <w:rsid w:val="004760DE"/>
    <w:rsid w:val="004763D7"/>
    <w:rsid w:val="00483EF2"/>
    <w:rsid w:val="00495CC3"/>
    <w:rsid w:val="004A004E"/>
    <w:rsid w:val="004A022E"/>
    <w:rsid w:val="004A194B"/>
    <w:rsid w:val="004A24CF"/>
    <w:rsid w:val="004A2DDD"/>
    <w:rsid w:val="004B14DE"/>
    <w:rsid w:val="004B433A"/>
    <w:rsid w:val="004C02D3"/>
    <w:rsid w:val="004C0466"/>
    <w:rsid w:val="004C05BD"/>
    <w:rsid w:val="004C2E1F"/>
    <w:rsid w:val="004C3D1D"/>
    <w:rsid w:val="004C3D84"/>
    <w:rsid w:val="004C7913"/>
    <w:rsid w:val="004D5851"/>
    <w:rsid w:val="004E038D"/>
    <w:rsid w:val="004E4DD6"/>
    <w:rsid w:val="004F1255"/>
    <w:rsid w:val="004F3C31"/>
    <w:rsid w:val="004F4A5B"/>
    <w:rsid w:val="004F5E36"/>
    <w:rsid w:val="00500CF7"/>
    <w:rsid w:val="00507B47"/>
    <w:rsid w:val="00507BEF"/>
    <w:rsid w:val="00507CC9"/>
    <w:rsid w:val="00510D15"/>
    <w:rsid w:val="005119A5"/>
    <w:rsid w:val="0051704A"/>
    <w:rsid w:val="005278B7"/>
    <w:rsid w:val="00532016"/>
    <w:rsid w:val="005346C8"/>
    <w:rsid w:val="005424FC"/>
    <w:rsid w:val="00543E7D"/>
    <w:rsid w:val="005453D7"/>
    <w:rsid w:val="00547A68"/>
    <w:rsid w:val="00552040"/>
    <w:rsid w:val="005531C9"/>
    <w:rsid w:val="00554879"/>
    <w:rsid w:val="005650C6"/>
    <w:rsid w:val="005673A6"/>
    <w:rsid w:val="00570C43"/>
    <w:rsid w:val="005711CF"/>
    <w:rsid w:val="005728FF"/>
    <w:rsid w:val="00575148"/>
    <w:rsid w:val="00581549"/>
    <w:rsid w:val="005844B2"/>
    <w:rsid w:val="00585475"/>
    <w:rsid w:val="00592274"/>
    <w:rsid w:val="00592D0A"/>
    <w:rsid w:val="005B20DE"/>
    <w:rsid w:val="005B2110"/>
    <w:rsid w:val="005B32A0"/>
    <w:rsid w:val="005B350B"/>
    <w:rsid w:val="005B61E6"/>
    <w:rsid w:val="005C3A96"/>
    <w:rsid w:val="005C55E6"/>
    <w:rsid w:val="005C77E1"/>
    <w:rsid w:val="005D595C"/>
    <w:rsid w:val="005D668A"/>
    <w:rsid w:val="005D6A2F"/>
    <w:rsid w:val="005E0592"/>
    <w:rsid w:val="005E1A82"/>
    <w:rsid w:val="005E298E"/>
    <w:rsid w:val="005E5985"/>
    <w:rsid w:val="005E6C62"/>
    <w:rsid w:val="005E794C"/>
    <w:rsid w:val="005F0A28"/>
    <w:rsid w:val="005F0E5E"/>
    <w:rsid w:val="005F2153"/>
    <w:rsid w:val="005F2234"/>
    <w:rsid w:val="005F54CD"/>
    <w:rsid w:val="005F57C0"/>
    <w:rsid w:val="00600535"/>
    <w:rsid w:val="006011E7"/>
    <w:rsid w:val="006042B0"/>
    <w:rsid w:val="00610CD6"/>
    <w:rsid w:val="00610F24"/>
    <w:rsid w:val="0061356C"/>
    <w:rsid w:val="00617E06"/>
    <w:rsid w:val="00620DEE"/>
    <w:rsid w:val="00621F92"/>
    <w:rsid w:val="0062280A"/>
    <w:rsid w:val="006231E1"/>
    <w:rsid w:val="00623252"/>
    <w:rsid w:val="00625639"/>
    <w:rsid w:val="0062776C"/>
    <w:rsid w:val="0063030C"/>
    <w:rsid w:val="00631B33"/>
    <w:rsid w:val="006336FC"/>
    <w:rsid w:val="00633770"/>
    <w:rsid w:val="0064184D"/>
    <w:rsid w:val="006422CC"/>
    <w:rsid w:val="00646C63"/>
    <w:rsid w:val="00651D18"/>
    <w:rsid w:val="006535BC"/>
    <w:rsid w:val="00660E3E"/>
    <w:rsid w:val="00662E74"/>
    <w:rsid w:val="00665336"/>
    <w:rsid w:val="00667550"/>
    <w:rsid w:val="00671599"/>
    <w:rsid w:val="00672AE1"/>
    <w:rsid w:val="00680C23"/>
    <w:rsid w:val="00683E23"/>
    <w:rsid w:val="00685114"/>
    <w:rsid w:val="00687552"/>
    <w:rsid w:val="00692137"/>
    <w:rsid w:val="00693766"/>
    <w:rsid w:val="00697DFB"/>
    <w:rsid w:val="006A1513"/>
    <w:rsid w:val="006A3281"/>
    <w:rsid w:val="006A4EC4"/>
    <w:rsid w:val="006A6DE5"/>
    <w:rsid w:val="006B042D"/>
    <w:rsid w:val="006B3317"/>
    <w:rsid w:val="006B4888"/>
    <w:rsid w:val="006C2E45"/>
    <w:rsid w:val="006C359C"/>
    <w:rsid w:val="006C5579"/>
    <w:rsid w:val="006C59B2"/>
    <w:rsid w:val="006C67B7"/>
    <w:rsid w:val="006C7423"/>
    <w:rsid w:val="006D364B"/>
    <w:rsid w:val="006D6E8B"/>
    <w:rsid w:val="006D7209"/>
    <w:rsid w:val="006E0547"/>
    <w:rsid w:val="006E11F0"/>
    <w:rsid w:val="006E42C9"/>
    <w:rsid w:val="006E737D"/>
    <w:rsid w:val="006E79BB"/>
    <w:rsid w:val="006F3EED"/>
    <w:rsid w:val="006F477A"/>
    <w:rsid w:val="006F4BE6"/>
    <w:rsid w:val="00706345"/>
    <w:rsid w:val="00707DD1"/>
    <w:rsid w:val="00713973"/>
    <w:rsid w:val="0072094A"/>
    <w:rsid w:val="00720A24"/>
    <w:rsid w:val="007215F6"/>
    <w:rsid w:val="00727783"/>
    <w:rsid w:val="00730A8A"/>
    <w:rsid w:val="00731AD4"/>
    <w:rsid w:val="00732386"/>
    <w:rsid w:val="0073514D"/>
    <w:rsid w:val="00736CBB"/>
    <w:rsid w:val="00742CF1"/>
    <w:rsid w:val="007447F3"/>
    <w:rsid w:val="00745050"/>
    <w:rsid w:val="007463DE"/>
    <w:rsid w:val="00747D22"/>
    <w:rsid w:val="00747ED0"/>
    <w:rsid w:val="00747FF1"/>
    <w:rsid w:val="00752D9D"/>
    <w:rsid w:val="0075499F"/>
    <w:rsid w:val="007600F6"/>
    <w:rsid w:val="00762643"/>
    <w:rsid w:val="00763E33"/>
    <w:rsid w:val="007654BA"/>
    <w:rsid w:val="007661C8"/>
    <w:rsid w:val="00767257"/>
    <w:rsid w:val="0077098D"/>
    <w:rsid w:val="0077136D"/>
    <w:rsid w:val="00775EDD"/>
    <w:rsid w:val="00780C61"/>
    <w:rsid w:val="00782A49"/>
    <w:rsid w:val="00783484"/>
    <w:rsid w:val="00785BF9"/>
    <w:rsid w:val="0079014F"/>
    <w:rsid w:val="007931FA"/>
    <w:rsid w:val="00794ECD"/>
    <w:rsid w:val="007A2398"/>
    <w:rsid w:val="007A2E00"/>
    <w:rsid w:val="007A4861"/>
    <w:rsid w:val="007A5FC9"/>
    <w:rsid w:val="007A7BBA"/>
    <w:rsid w:val="007B0C50"/>
    <w:rsid w:val="007B3B8C"/>
    <w:rsid w:val="007B3FF4"/>
    <w:rsid w:val="007B48F9"/>
    <w:rsid w:val="007B74B1"/>
    <w:rsid w:val="007C1114"/>
    <w:rsid w:val="007C1A43"/>
    <w:rsid w:val="007D025D"/>
    <w:rsid w:val="007D0951"/>
    <w:rsid w:val="007D335B"/>
    <w:rsid w:val="007D610D"/>
    <w:rsid w:val="007D6433"/>
    <w:rsid w:val="007D7262"/>
    <w:rsid w:val="007E16CF"/>
    <w:rsid w:val="007E3899"/>
    <w:rsid w:val="007E604F"/>
    <w:rsid w:val="007E7B41"/>
    <w:rsid w:val="007F00AA"/>
    <w:rsid w:val="007F2E03"/>
    <w:rsid w:val="0080013E"/>
    <w:rsid w:val="00801759"/>
    <w:rsid w:val="00802FDB"/>
    <w:rsid w:val="008115F2"/>
    <w:rsid w:val="00813288"/>
    <w:rsid w:val="00815823"/>
    <w:rsid w:val="00815B58"/>
    <w:rsid w:val="008168FC"/>
    <w:rsid w:val="00821E9B"/>
    <w:rsid w:val="00830878"/>
    <w:rsid w:val="00830996"/>
    <w:rsid w:val="00831A7B"/>
    <w:rsid w:val="00831CC0"/>
    <w:rsid w:val="00832384"/>
    <w:rsid w:val="008345F1"/>
    <w:rsid w:val="00835E9F"/>
    <w:rsid w:val="008414EF"/>
    <w:rsid w:val="00843707"/>
    <w:rsid w:val="008441EA"/>
    <w:rsid w:val="008443F4"/>
    <w:rsid w:val="00852610"/>
    <w:rsid w:val="00855602"/>
    <w:rsid w:val="00861955"/>
    <w:rsid w:val="00862705"/>
    <w:rsid w:val="00864F03"/>
    <w:rsid w:val="0086518B"/>
    <w:rsid w:val="00865B07"/>
    <w:rsid w:val="008667EA"/>
    <w:rsid w:val="00871C5F"/>
    <w:rsid w:val="008756EC"/>
    <w:rsid w:val="0087637F"/>
    <w:rsid w:val="00884C21"/>
    <w:rsid w:val="008928D3"/>
    <w:rsid w:val="00892AD5"/>
    <w:rsid w:val="008A1512"/>
    <w:rsid w:val="008B3FD9"/>
    <w:rsid w:val="008B7932"/>
    <w:rsid w:val="008D2B1E"/>
    <w:rsid w:val="008D32B9"/>
    <w:rsid w:val="008D3EA3"/>
    <w:rsid w:val="008D433B"/>
    <w:rsid w:val="008D4A16"/>
    <w:rsid w:val="008E5401"/>
    <w:rsid w:val="008E566E"/>
    <w:rsid w:val="008F4346"/>
    <w:rsid w:val="008F5565"/>
    <w:rsid w:val="008F70C3"/>
    <w:rsid w:val="00900F0F"/>
    <w:rsid w:val="0090161A"/>
    <w:rsid w:val="009019D6"/>
    <w:rsid w:val="00901EB6"/>
    <w:rsid w:val="009040DF"/>
    <w:rsid w:val="009041F8"/>
    <w:rsid w:val="00904C62"/>
    <w:rsid w:val="00907008"/>
    <w:rsid w:val="009113E2"/>
    <w:rsid w:val="009163C1"/>
    <w:rsid w:val="00922201"/>
    <w:rsid w:val="00922BA8"/>
    <w:rsid w:val="00924DAC"/>
    <w:rsid w:val="00925844"/>
    <w:rsid w:val="00927058"/>
    <w:rsid w:val="00927A2E"/>
    <w:rsid w:val="009373BD"/>
    <w:rsid w:val="00942750"/>
    <w:rsid w:val="009450CE"/>
    <w:rsid w:val="009459BB"/>
    <w:rsid w:val="00947179"/>
    <w:rsid w:val="00950435"/>
    <w:rsid w:val="0095164B"/>
    <w:rsid w:val="00952371"/>
    <w:rsid w:val="00954090"/>
    <w:rsid w:val="009573E7"/>
    <w:rsid w:val="00961803"/>
    <w:rsid w:val="00963E05"/>
    <w:rsid w:val="00964A45"/>
    <w:rsid w:val="00967843"/>
    <w:rsid w:val="00967D54"/>
    <w:rsid w:val="009709F8"/>
    <w:rsid w:val="00971028"/>
    <w:rsid w:val="00985306"/>
    <w:rsid w:val="00993B84"/>
    <w:rsid w:val="00994C6A"/>
    <w:rsid w:val="00996483"/>
    <w:rsid w:val="00996F5A"/>
    <w:rsid w:val="009A2D83"/>
    <w:rsid w:val="009B041A"/>
    <w:rsid w:val="009B4C72"/>
    <w:rsid w:val="009B76AE"/>
    <w:rsid w:val="009C2537"/>
    <w:rsid w:val="009C319F"/>
    <w:rsid w:val="009C37C3"/>
    <w:rsid w:val="009C606A"/>
    <w:rsid w:val="009C694E"/>
    <w:rsid w:val="009C7C86"/>
    <w:rsid w:val="009D1B68"/>
    <w:rsid w:val="009D27E5"/>
    <w:rsid w:val="009D2FF7"/>
    <w:rsid w:val="009E16D5"/>
    <w:rsid w:val="009E1765"/>
    <w:rsid w:val="009E3518"/>
    <w:rsid w:val="009E7884"/>
    <w:rsid w:val="009E788A"/>
    <w:rsid w:val="009E7A81"/>
    <w:rsid w:val="009E7F48"/>
    <w:rsid w:val="009F0E08"/>
    <w:rsid w:val="009F2DCB"/>
    <w:rsid w:val="009F6AD8"/>
    <w:rsid w:val="00A06F3B"/>
    <w:rsid w:val="00A079AE"/>
    <w:rsid w:val="00A07DE8"/>
    <w:rsid w:val="00A14BEC"/>
    <w:rsid w:val="00A16451"/>
    <w:rsid w:val="00A169B3"/>
    <w:rsid w:val="00A1736E"/>
    <w:rsid w:val="00A1763D"/>
    <w:rsid w:val="00A17CEC"/>
    <w:rsid w:val="00A26D4E"/>
    <w:rsid w:val="00A27746"/>
    <w:rsid w:val="00A27EF0"/>
    <w:rsid w:val="00A33BF6"/>
    <w:rsid w:val="00A34FA2"/>
    <w:rsid w:val="00A37E5A"/>
    <w:rsid w:val="00A40F41"/>
    <w:rsid w:val="00A42361"/>
    <w:rsid w:val="00A452E4"/>
    <w:rsid w:val="00A4606F"/>
    <w:rsid w:val="00A50B20"/>
    <w:rsid w:val="00A51390"/>
    <w:rsid w:val="00A54B91"/>
    <w:rsid w:val="00A55A88"/>
    <w:rsid w:val="00A55F38"/>
    <w:rsid w:val="00A56892"/>
    <w:rsid w:val="00A56DB0"/>
    <w:rsid w:val="00A60AF5"/>
    <w:rsid w:val="00A60D13"/>
    <w:rsid w:val="00A715C4"/>
    <w:rsid w:val="00A72168"/>
    <w:rsid w:val="00A7223D"/>
    <w:rsid w:val="00A72745"/>
    <w:rsid w:val="00A76EFC"/>
    <w:rsid w:val="00A77436"/>
    <w:rsid w:val="00A87D50"/>
    <w:rsid w:val="00A91010"/>
    <w:rsid w:val="00A92083"/>
    <w:rsid w:val="00A97F29"/>
    <w:rsid w:val="00AA1BEE"/>
    <w:rsid w:val="00AA702E"/>
    <w:rsid w:val="00AA7D26"/>
    <w:rsid w:val="00AB0964"/>
    <w:rsid w:val="00AB3F7E"/>
    <w:rsid w:val="00AB4A7B"/>
    <w:rsid w:val="00AB4F47"/>
    <w:rsid w:val="00AB5011"/>
    <w:rsid w:val="00AB5F21"/>
    <w:rsid w:val="00AC0210"/>
    <w:rsid w:val="00AC1CAB"/>
    <w:rsid w:val="00AC7368"/>
    <w:rsid w:val="00AD0215"/>
    <w:rsid w:val="00AD16B9"/>
    <w:rsid w:val="00AD2B3B"/>
    <w:rsid w:val="00AD69E1"/>
    <w:rsid w:val="00AD7B5B"/>
    <w:rsid w:val="00AE36C0"/>
    <w:rsid w:val="00AE377D"/>
    <w:rsid w:val="00AE5D13"/>
    <w:rsid w:val="00AE6EFF"/>
    <w:rsid w:val="00AF0EBA"/>
    <w:rsid w:val="00AF2463"/>
    <w:rsid w:val="00AF554B"/>
    <w:rsid w:val="00AF79CE"/>
    <w:rsid w:val="00B02C8A"/>
    <w:rsid w:val="00B0764C"/>
    <w:rsid w:val="00B12F6F"/>
    <w:rsid w:val="00B17FBD"/>
    <w:rsid w:val="00B23C7F"/>
    <w:rsid w:val="00B27711"/>
    <w:rsid w:val="00B315A6"/>
    <w:rsid w:val="00B31813"/>
    <w:rsid w:val="00B33365"/>
    <w:rsid w:val="00B36733"/>
    <w:rsid w:val="00B442BC"/>
    <w:rsid w:val="00B44F88"/>
    <w:rsid w:val="00B547DE"/>
    <w:rsid w:val="00B56773"/>
    <w:rsid w:val="00B57B36"/>
    <w:rsid w:val="00B57E6F"/>
    <w:rsid w:val="00B60572"/>
    <w:rsid w:val="00B633BA"/>
    <w:rsid w:val="00B74651"/>
    <w:rsid w:val="00B746F1"/>
    <w:rsid w:val="00B819D8"/>
    <w:rsid w:val="00B83A64"/>
    <w:rsid w:val="00B8686D"/>
    <w:rsid w:val="00B93F69"/>
    <w:rsid w:val="00BB1DDC"/>
    <w:rsid w:val="00BB5887"/>
    <w:rsid w:val="00BC0352"/>
    <w:rsid w:val="00BC0E2E"/>
    <w:rsid w:val="00BC30C9"/>
    <w:rsid w:val="00BC321C"/>
    <w:rsid w:val="00BC567F"/>
    <w:rsid w:val="00BC7344"/>
    <w:rsid w:val="00BD077D"/>
    <w:rsid w:val="00BD2E93"/>
    <w:rsid w:val="00BD77FB"/>
    <w:rsid w:val="00BE136C"/>
    <w:rsid w:val="00BE3E58"/>
    <w:rsid w:val="00BF13CE"/>
    <w:rsid w:val="00C00075"/>
    <w:rsid w:val="00C01616"/>
    <w:rsid w:val="00C0162B"/>
    <w:rsid w:val="00C068ED"/>
    <w:rsid w:val="00C13310"/>
    <w:rsid w:val="00C22E0C"/>
    <w:rsid w:val="00C23453"/>
    <w:rsid w:val="00C2460B"/>
    <w:rsid w:val="00C30243"/>
    <w:rsid w:val="00C345B1"/>
    <w:rsid w:val="00C40142"/>
    <w:rsid w:val="00C52C3C"/>
    <w:rsid w:val="00C53C38"/>
    <w:rsid w:val="00C57182"/>
    <w:rsid w:val="00C57377"/>
    <w:rsid w:val="00C57863"/>
    <w:rsid w:val="00C60412"/>
    <w:rsid w:val="00C61FB1"/>
    <w:rsid w:val="00C640AF"/>
    <w:rsid w:val="00C655FD"/>
    <w:rsid w:val="00C71013"/>
    <w:rsid w:val="00C75407"/>
    <w:rsid w:val="00C7576F"/>
    <w:rsid w:val="00C77902"/>
    <w:rsid w:val="00C841C6"/>
    <w:rsid w:val="00C870A8"/>
    <w:rsid w:val="00C9242E"/>
    <w:rsid w:val="00C94434"/>
    <w:rsid w:val="00C97A01"/>
    <w:rsid w:val="00CA0D75"/>
    <w:rsid w:val="00CA1C95"/>
    <w:rsid w:val="00CA20AC"/>
    <w:rsid w:val="00CA4AC6"/>
    <w:rsid w:val="00CA527F"/>
    <w:rsid w:val="00CA5736"/>
    <w:rsid w:val="00CA5A9C"/>
    <w:rsid w:val="00CB4D26"/>
    <w:rsid w:val="00CB641C"/>
    <w:rsid w:val="00CC165E"/>
    <w:rsid w:val="00CC35A9"/>
    <w:rsid w:val="00CC49B5"/>
    <w:rsid w:val="00CC4C20"/>
    <w:rsid w:val="00CC4F05"/>
    <w:rsid w:val="00CD3062"/>
    <w:rsid w:val="00CD3517"/>
    <w:rsid w:val="00CD5FE2"/>
    <w:rsid w:val="00CE1425"/>
    <w:rsid w:val="00CE7C68"/>
    <w:rsid w:val="00D003B0"/>
    <w:rsid w:val="00D02B4C"/>
    <w:rsid w:val="00D040C4"/>
    <w:rsid w:val="00D10E7A"/>
    <w:rsid w:val="00D12AD6"/>
    <w:rsid w:val="00D13CB5"/>
    <w:rsid w:val="00D15BAC"/>
    <w:rsid w:val="00D20AD1"/>
    <w:rsid w:val="00D21CB5"/>
    <w:rsid w:val="00D256C4"/>
    <w:rsid w:val="00D2582C"/>
    <w:rsid w:val="00D30987"/>
    <w:rsid w:val="00D35A16"/>
    <w:rsid w:val="00D40D35"/>
    <w:rsid w:val="00D45CED"/>
    <w:rsid w:val="00D46682"/>
    <w:rsid w:val="00D46B7E"/>
    <w:rsid w:val="00D54681"/>
    <w:rsid w:val="00D57C84"/>
    <w:rsid w:val="00D6057D"/>
    <w:rsid w:val="00D6122D"/>
    <w:rsid w:val="00D62882"/>
    <w:rsid w:val="00D6517D"/>
    <w:rsid w:val="00D65ECA"/>
    <w:rsid w:val="00D71640"/>
    <w:rsid w:val="00D73DF5"/>
    <w:rsid w:val="00D7492D"/>
    <w:rsid w:val="00D76AF8"/>
    <w:rsid w:val="00D77520"/>
    <w:rsid w:val="00D820DE"/>
    <w:rsid w:val="00D836C5"/>
    <w:rsid w:val="00D83B95"/>
    <w:rsid w:val="00D84576"/>
    <w:rsid w:val="00D91687"/>
    <w:rsid w:val="00D91CA9"/>
    <w:rsid w:val="00D95A8E"/>
    <w:rsid w:val="00D95C68"/>
    <w:rsid w:val="00D976D3"/>
    <w:rsid w:val="00DA0931"/>
    <w:rsid w:val="00DA1399"/>
    <w:rsid w:val="00DA24C6"/>
    <w:rsid w:val="00DA2800"/>
    <w:rsid w:val="00DA32FF"/>
    <w:rsid w:val="00DA4D7B"/>
    <w:rsid w:val="00DA6776"/>
    <w:rsid w:val="00DB4B88"/>
    <w:rsid w:val="00DB542B"/>
    <w:rsid w:val="00DB6C95"/>
    <w:rsid w:val="00DB7AE0"/>
    <w:rsid w:val="00DC0C63"/>
    <w:rsid w:val="00DC2454"/>
    <w:rsid w:val="00DC24B8"/>
    <w:rsid w:val="00DC2840"/>
    <w:rsid w:val="00DC3191"/>
    <w:rsid w:val="00DC598F"/>
    <w:rsid w:val="00DC73EE"/>
    <w:rsid w:val="00DD0D59"/>
    <w:rsid w:val="00DD100A"/>
    <w:rsid w:val="00DD271C"/>
    <w:rsid w:val="00DD3A1F"/>
    <w:rsid w:val="00DD5991"/>
    <w:rsid w:val="00DE24D6"/>
    <w:rsid w:val="00DE264A"/>
    <w:rsid w:val="00DE33F2"/>
    <w:rsid w:val="00DE73C8"/>
    <w:rsid w:val="00DF0EC1"/>
    <w:rsid w:val="00DF3785"/>
    <w:rsid w:val="00DF3AE8"/>
    <w:rsid w:val="00DF46B8"/>
    <w:rsid w:val="00DF5072"/>
    <w:rsid w:val="00E0014B"/>
    <w:rsid w:val="00E00826"/>
    <w:rsid w:val="00E02D18"/>
    <w:rsid w:val="00E032E8"/>
    <w:rsid w:val="00E03B37"/>
    <w:rsid w:val="00E041E7"/>
    <w:rsid w:val="00E06440"/>
    <w:rsid w:val="00E07757"/>
    <w:rsid w:val="00E154F1"/>
    <w:rsid w:val="00E15DA5"/>
    <w:rsid w:val="00E239A7"/>
    <w:rsid w:val="00E23CA1"/>
    <w:rsid w:val="00E25002"/>
    <w:rsid w:val="00E40001"/>
    <w:rsid w:val="00E409A8"/>
    <w:rsid w:val="00E42452"/>
    <w:rsid w:val="00E503EC"/>
    <w:rsid w:val="00E50C12"/>
    <w:rsid w:val="00E50DC3"/>
    <w:rsid w:val="00E61251"/>
    <w:rsid w:val="00E64F73"/>
    <w:rsid w:val="00E653FD"/>
    <w:rsid w:val="00E65B91"/>
    <w:rsid w:val="00E71E41"/>
    <w:rsid w:val="00E7209D"/>
    <w:rsid w:val="00E727DE"/>
    <w:rsid w:val="00E72EAD"/>
    <w:rsid w:val="00E73652"/>
    <w:rsid w:val="00E77223"/>
    <w:rsid w:val="00E83019"/>
    <w:rsid w:val="00E8528B"/>
    <w:rsid w:val="00E85B94"/>
    <w:rsid w:val="00E94C49"/>
    <w:rsid w:val="00E94E55"/>
    <w:rsid w:val="00E978D0"/>
    <w:rsid w:val="00EA247B"/>
    <w:rsid w:val="00EA4613"/>
    <w:rsid w:val="00EA7F91"/>
    <w:rsid w:val="00EB1523"/>
    <w:rsid w:val="00EB6C5A"/>
    <w:rsid w:val="00EC0E49"/>
    <w:rsid w:val="00EC101F"/>
    <w:rsid w:val="00EC1D9F"/>
    <w:rsid w:val="00EC5B18"/>
    <w:rsid w:val="00ED03EC"/>
    <w:rsid w:val="00EE0131"/>
    <w:rsid w:val="00EE17B0"/>
    <w:rsid w:val="00EE182C"/>
    <w:rsid w:val="00EF06D9"/>
    <w:rsid w:val="00EF4CCE"/>
    <w:rsid w:val="00F104BC"/>
    <w:rsid w:val="00F21F78"/>
    <w:rsid w:val="00F27EE4"/>
    <w:rsid w:val="00F3049E"/>
    <w:rsid w:val="00F30C64"/>
    <w:rsid w:val="00F315F5"/>
    <w:rsid w:val="00F32BA2"/>
    <w:rsid w:val="00F32CDB"/>
    <w:rsid w:val="00F348AC"/>
    <w:rsid w:val="00F36467"/>
    <w:rsid w:val="00F41766"/>
    <w:rsid w:val="00F41EE4"/>
    <w:rsid w:val="00F43A5D"/>
    <w:rsid w:val="00F45EB6"/>
    <w:rsid w:val="00F51686"/>
    <w:rsid w:val="00F52052"/>
    <w:rsid w:val="00F532C3"/>
    <w:rsid w:val="00F53A14"/>
    <w:rsid w:val="00F565FE"/>
    <w:rsid w:val="00F57BAD"/>
    <w:rsid w:val="00F60E69"/>
    <w:rsid w:val="00F63A70"/>
    <w:rsid w:val="00F63D8C"/>
    <w:rsid w:val="00F7534E"/>
    <w:rsid w:val="00F758E5"/>
    <w:rsid w:val="00F81587"/>
    <w:rsid w:val="00F86B2C"/>
    <w:rsid w:val="00F87E18"/>
    <w:rsid w:val="00F90C6E"/>
    <w:rsid w:val="00F926AD"/>
    <w:rsid w:val="00F93476"/>
    <w:rsid w:val="00F93EB0"/>
    <w:rsid w:val="00F93EDF"/>
    <w:rsid w:val="00FA14DB"/>
    <w:rsid w:val="00FA1802"/>
    <w:rsid w:val="00FA1A63"/>
    <w:rsid w:val="00FA21D0"/>
    <w:rsid w:val="00FA5461"/>
    <w:rsid w:val="00FA5F5F"/>
    <w:rsid w:val="00FB1944"/>
    <w:rsid w:val="00FB300D"/>
    <w:rsid w:val="00FB730C"/>
    <w:rsid w:val="00FC2695"/>
    <w:rsid w:val="00FC3E03"/>
    <w:rsid w:val="00FC3FC1"/>
    <w:rsid w:val="00FD4970"/>
    <w:rsid w:val="00FD50B9"/>
    <w:rsid w:val="00FD79C2"/>
    <w:rsid w:val="00FE69E3"/>
    <w:rsid w:val="00FF5410"/>
    <w:rsid w:val="00FF549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F3EED"/>
    <w:pPr>
      <w:keepNext/>
      <w:numPr>
        <w:ilvl w:val="2"/>
        <w:numId w:val="1"/>
      </w:numPr>
      <w:suppressAutoHyphens/>
      <w:spacing w:before="120" w:after="120" w:line="240" w:lineRule="auto"/>
      <w:outlineLvl w:val="1"/>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F3EE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katex-mathml">
    <w:name w:val="katex-mathml"/>
    <w:basedOn w:val="Carpredefinitoparagrafo"/>
    <w:rsid w:val="005F57C0"/>
  </w:style>
  <w:style w:type="character" w:customStyle="1" w:styleId="mord">
    <w:name w:val="mord"/>
    <w:basedOn w:val="Carpredefinitoparagrafo"/>
    <w:rsid w:val="005F57C0"/>
  </w:style>
  <w:style w:type="character" w:customStyle="1" w:styleId="vlist-s">
    <w:name w:val="vlist-s"/>
    <w:basedOn w:val="Carpredefinitoparagrafo"/>
    <w:rsid w:val="005F57C0"/>
  </w:style>
  <w:style w:type="character" w:customStyle="1" w:styleId="mop">
    <w:name w:val="mop"/>
    <w:basedOn w:val="Carpredefinitoparagrafo"/>
    <w:rsid w:val="005F57C0"/>
  </w:style>
  <w:style w:type="character" w:customStyle="1" w:styleId="mopen">
    <w:name w:val="mopen"/>
    <w:basedOn w:val="Carpredefinitoparagrafo"/>
    <w:rsid w:val="005F57C0"/>
  </w:style>
  <w:style w:type="character" w:customStyle="1" w:styleId="mrel">
    <w:name w:val="mrel"/>
    <w:basedOn w:val="Carpredefinitoparagrafo"/>
    <w:rsid w:val="005F57C0"/>
  </w:style>
  <w:style w:type="character" w:customStyle="1" w:styleId="mclose">
    <w:name w:val="mclose"/>
    <w:basedOn w:val="Carpredefinitoparagrafo"/>
    <w:rsid w:val="005F57C0"/>
  </w:style>
  <w:style w:type="character" w:customStyle="1" w:styleId="mbin">
    <w:name w:val="mbin"/>
    <w:basedOn w:val="Carpredefinitoparagrafo"/>
    <w:rsid w:val="005F57C0"/>
  </w:style>
  <w:style w:type="character" w:styleId="Testosegnaposto">
    <w:name w:val="Placeholder Text"/>
    <w:basedOn w:val="Carpredefinitoparagrafo"/>
    <w:uiPriority w:val="99"/>
    <w:semiHidden/>
    <w:rsid w:val="009258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205297">
      <w:bodyDiv w:val="1"/>
      <w:marLeft w:val="0"/>
      <w:marRight w:val="0"/>
      <w:marTop w:val="0"/>
      <w:marBottom w:val="0"/>
      <w:divBdr>
        <w:top w:val="none" w:sz="0" w:space="0" w:color="auto"/>
        <w:left w:val="none" w:sz="0" w:space="0" w:color="auto"/>
        <w:bottom w:val="none" w:sz="0" w:space="0" w:color="auto"/>
        <w:right w:val="none" w:sz="0" w:space="0" w:color="auto"/>
      </w:divBdr>
      <w:divsChild>
        <w:div w:id="382405799">
          <w:marLeft w:val="480"/>
          <w:marRight w:val="0"/>
          <w:marTop w:val="0"/>
          <w:marBottom w:val="0"/>
          <w:divBdr>
            <w:top w:val="none" w:sz="0" w:space="0" w:color="auto"/>
            <w:left w:val="none" w:sz="0" w:space="0" w:color="auto"/>
            <w:bottom w:val="none" w:sz="0" w:space="0" w:color="auto"/>
            <w:right w:val="none" w:sz="0" w:space="0" w:color="auto"/>
          </w:divBdr>
        </w:div>
        <w:div w:id="664936157">
          <w:marLeft w:val="480"/>
          <w:marRight w:val="0"/>
          <w:marTop w:val="0"/>
          <w:marBottom w:val="0"/>
          <w:divBdr>
            <w:top w:val="none" w:sz="0" w:space="0" w:color="auto"/>
            <w:left w:val="none" w:sz="0" w:space="0" w:color="auto"/>
            <w:bottom w:val="none" w:sz="0" w:space="0" w:color="auto"/>
            <w:right w:val="none" w:sz="0" w:space="0" w:color="auto"/>
          </w:divBdr>
        </w:div>
        <w:div w:id="291250376">
          <w:marLeft w:val="480"/>
          <w:marRight w:val="0"/>
          <w:marTop w:val="0"/>
          <w:marBottom w:val="0"/>
          <w:divBdr>
            <w:top w:val="none" w:sz="0" w:space="0" w:color="auto"/>
            <w:left w:val="none" w:sz="0" w:space="0" w:color="auto"/>
            <w:bottom w:val="none" w:sz="0" w:space="0" w:color="auto"/>
            <w:right w:val="none" w:sz="0" w:space="0" w:color="auto"/>
          </w:divBdr>
        </w:div>
        <w:div w:id="5521240">
          <w:marLeft w:val="480"/>
          <w:marRight w:val="0"/>
          <w:marTop w:val="0"/>
          <w:marBottom w:val="0"/>
          <w:divBdr>
            <w:top w:val="none" w:sz="0" w:space="0" w:color="auto"/>
            <w:left w:val="none" w:sz="0" w:space="0" w:color="auto"/>
            <w:bottom w:val="none" w:sz="0" w:space="0" w:color="auto"/>
            <w:right w:val="none" w:sz="0" w:space="0" w:color="auto"/>
          </w:divBdr>
        </w:div>
        <w:div w:id="1293747245">
          <w:marLeft w:val="480"/>
          <w:marRight w:val="0"/>
          <w:marTop w:val="0"/>
          <w:marBottom w:val="0"/>
          <w:divBdr>
            <w:top w:val="none" w:sz="0" w:space="0" w:color="auto"/>
            <w:left w:val="none" w:sz="0" w:space="0" w:color="auto"/>
            <w:bottom w:val="none" w:sz="0" w:space="0" w:color="auto"/>
            <w:right w:val="none" w:sz="0" w:space="0" w:color="auto"/>
          </w:divBdr>
        </w:div>
        <w:div w:id="1205559632">
          <w:marLeft w:val="480"/>
          <w:marRight w:val="0"/>
          <w:marTop w:val="0"/>
          <w:marBottom w:val="0"/>
          <w:divBdr>
            <w:top w:val="none" w:sz="0" w:space="0" w:color="auto"/>
            <w:left w:val="none" w:sz="0" w:space="0" w:color="auto"/>
            <w:bottom w:val="none" w:sz="0" w:space="0" w:color="auto"/>
            <w:right w:val="none" w:sz="0" w:space="0" w:color="auto"/>
          </w:divBdr>
        </w:div>
        <w:div w:id="1558739918">
          <w:marLeft w:val="480"/>
          <w:marRight w:val="0"/>
          <w:marTop w:val="0"/>
          <w:marBottom w:val="0"/>
          <w:divBdr>
            <w:top w:val="none" w:sz="0" w:space="0" w:color="auto"/>
            <w:left w:val="none" w:sz="0" w:space="0" w:color="auto"/>
            <w:bottom w:val="none" w:sz="0" w:space="0" w:color="auto"/>
            <w:right w:val="none" w:sz="0" w:space="0" w:color="auto"/>
          </w:divBdr>
        </w:div>
        <w:div w:id="1829402917">
          <w:marLeft w:val="480"/>
          <w:marRight w:val="0"/>
          <w:marTop w:val="0"/>
          <w:marBottom w:val="0"/>
          <w:divBdr>
            <w:top w:val="none" w:sz="0" w:space="0" w:color="auto"/>
            <w:left w:val="none" w:sz="0" w:space="0" w:color="auto"/>
            <w:bottom w:val="none" w:sz="0" w:space="0" w:color="auto"/>
            <w:right w:val="none" w:sz="0" w:space="0" w:color="auto"/>
          </w:divBdr>
        </w:div>
      </w:divsChild>
    </w:div>
    <w:div w:id="152600053">
      <w:bodyDiv w:val="1"/>
      <w:marLeft w:val="0"/>
      <w:marRight w:val="0"/>
      <w:marTop w:val="0"/>
      <w:marBottom w:val="0"/>
      <w:divBdr>
        <w:top w:val="none" w:sz="0" w:space="0" w:color="auto"/>
        <w:left w:val="none" w:sz="0" w:space="0" w:color="auto"/>
        <w:bottom w:val="none" w:sz="0" w:space="0" w:color="auto"/>
        <w:right w:val="none" w:sz="0" w:space="0" w:color="auto"/>
      </w:divBdr>
      <w:divsChild>
        <w:div w:id="1108893962">
          <w:marLeft w:val="480"/>
          <w:marRight w:val="0"/>
          <w:marTop w:val="0"/>
          <w:marBottom w:val="0"/>
          <w:divBdr>
            <w:top w:val="none" w:sz="0" w:space="0" w:color="auto"/>
            <w:left w:val="none" w:sz="0" w:space="0" w:color="auto"/>
            <w:bottom w:val="none" w:sz="0" w:space="0" w:color="auto"/>
            <w:right w:val="none" w:sz="0" w:space="0" w:color="auto"/>
          </w:divBdr>
        </w:div>
        <w:div w:id="1701390341">
          <w:marLeft w:val="480"/>
          <w:marRight w:val="0"/>
          <w:marTop w:val="0"/>
          <w:marBottom w:val="0"/>
          <w:divBdr>
            <w:top w:val="none" w:sz="0" w:space="0" w:color="auto"/>
            <w:left w:val="none" w:sz="0" w:space="0" w:color="auto"/>
            <w:bottom w:val="none" w:sz="0" w:space="0" w:color="auto"/>
            <w:right w:val="none" w:sz="0" w:space="0" w:color="auto"/>
          </w:divBdr>
        </w:div>
        <w:div w:id="1286230707">
          <w:marLeft w:val="480"/>
          <w:marRight w:val="0"/>
          <w:marTop w:val="0"/>
          <w:marBottom w:val="0"/>
          <w:divBdr>
            <w:top w:val="none" w:sz="0" w:space="0" w:color="auto"/>
            <w:left w:val="none" w:sz="0" w:space="0" w:color="auto"/>
            <w:bottom w:val="none" w:sz="0" w:space="0" w:color="auto"/>
            <w:right w:val="none" w:sz="0" w:space="0" w:color="auto"/>
          </w:divBdr>
        </w:div>
        <w:div w:id="1947734843">
          <w:marLeft w:val="480"/>
          <w:marRight w:val="0"/>
          <w:marTop w:val="0"/>
          <w:marBottom w:val="0"/>
          <w:divBdr>
            <w:top w:val="none" w:sz="0" w:space="0" w:color="auto"/>
            <w:left w:val="none" w:sz="0" w:space="0" w:color="auto"/>
            <w:bottom w:val="none" w:sz="0" w:space="0" w:color="auto"/>
            <w:right w:val="none" w:sz="0" w:space="0" w:color="auto"/>
          </w:divBdr>
        </w:div>
        <w:div w:id="529925642">
          <w:marLeft w:val="480"/>
          <w:marRight w:val="0"/>
          <w:marTop w:val="0"/>
          <w:marBottom w:val="0"/>
          <w:divBdr>
            <w:top w:val="none" w:sz="0" w:space="0" w:color="auto"/>
            <w:left w:val="none" w:sz="0" w:space="0" w:color="auto"/>
            <w:bottom w:val="none" w:sz="0" w:space="0" w:color="auto"/>
            <w:right w:val="none" w:sz="0" w:space="0" w:color="auto"/>
          </w:divBdr>
        </w:div>
        <w:div w:id="1132283180">
          <w:marLeft w:val="480"/>
          <w:marRight w:val="0"/>
          <w:marTop w:val="0"/>
          <w:marBottom w:val="0"/>
          <w:divBdr>
            <w:top w:val="none" w:sz="0" w:space="0" w:color="auto"/>
            <w:left w:val="none" w:sz="0" w:space="0" w:color="auto"/>
            <w:bottom w:val="none" w:sz="0" w:space="0" w:color="auto"/>
            <w:right w:val="none" w:sz="0" w:space="0" w:color="auto"/>
          </w:divBdr>
        </w:div>
        <w:div w:id="830827481">
          <w:marLeft w:val="480"/>
          <w:marRight w:val="0"/>
          <w:marTop w:val="0"/>
          <w:marBottom w:val="0"/>
          <w:divBdr>
            <w:top w:val="none" w:sz="0" w:space="0" w:color="auto"/>
            <w:left w:val="none" w:sz="0" w:space="0" w:color="auto"/>
            <w:bottom w:val="none" w:sz="0" w:space="0" w:color="auto"/>
            <w:right w:val="none" w:sz="0" w:space="0" w:color="auto"/>
          </w:divBdr>
        </w:div>
        <w:div w:id="390275832">
          <w:marLeft w:val="480"/>
          <w:marRight w:val="0"/>
          <w:marTop w:val="0"/>
          <w:marBottom w:val="0"/>
          <w:divBdr>
            <w:top w:val="none" w:sz="0" w:space="0" w:color="auto"/>
            <w:left w:val="none" w:sz="0" w:space="0" w:color="auto"/>
            <w:bottom w:val="none" w:sz="0" w:space="0" w:color="auto"/>
            <w:right w:val="none" w:sz="0" w:space="0" w:color="auto"/>
          </w:divBdr>
        </w:div>
      </w:divsChild>
    </w:div>
    <w:div w:id="371004347">
      <w:bodyDiv w:val="1"/>
      <w:marLeft w:val="0"/>
      <w:marRight w:val="0"/>
      <w:marTop w:val="0"/>
      <w:marBottom w:val="0"/>
      <w:divBdr>
        <w:top w:val="none" w:sz="0" w:space="0" w:color="auto"/>
        <w:left w:val="none" w:sz="0" w:space="0" w:color="auto"/>
        <w:bottom w:val="none" w:sz="0" w:space="0" w:color="auto"/>
        <w:right w:val="none" w:sz="0" w:space="0" w:color="auto"/>
      </w:divBdr>
      <w:divsChild>
        <w:div w:id="2083212895">
          <w:marLeft w:val="480"/>
          <w:marRight w:val="0"/>
          <w:marTop w:val="0"/>
          <w:marBottom w:val="0"/>
          <w:divBdr>
            <w:top w:val="none" w:sz="0" w:space="0" w:color="auto"/>
            <w:left w:val="none" w:sz="0" w:space="0" w:color="auto"/>
            <w:bottom w:val="none" w:sz="0" w:space="0" w:color="auto"/>
            <w:right w:val="none" w:sz="0" w:space="0" w:color="auto"/>
          </w:divBdr>
        </w:div>
        <w:div w:id="180508372">
          <w:marLeft w:val="480"/>
          <w:marRight w:val="0"/>
          <w:marTop w:val="0"/>
          <w:marBottom w:val="0"/>
          <w:divBdr>
            <w:top w:val="none" w:sz="0" w:space="0" w:color="auto"/>
            <w:left w:val="none" w:sz="0" w:space="0" w:color="auto"/>
            <w:bottom w:val="none" w:sz="0" w:space="0" w:color="auto"/>
            <w:right w:val="none" w:sz="0" w:space="0" w:color="auto"/>
          </w:divBdr>
        </w:div>
        <w:div w:id="333265687">
          <w:marLeft w:val="480"/>
          <w:marRight w:val="0"/>
          <w:marTop w:val="0"/>
          <w:marBottom w:val="0"/>
          <w:divBdr>
            <w:top w:val="none" w:sz="0" w:space="0" w:color="auto"/>
            <w:left w:val="none" w:sz="0" w:space="0" w:color="auto"/>
            <w:bottom w:val="none" w:sz="0" w:space="0" w:color="auto"/>
            <w:right w:val="none" w:sz="0" w:space="0" w:color="auto"/>
          </w:divBdr>
        </w:div>
        <w:div w:id="1426996788">
          <w:marLeft w:val="480"/>
          <w:marRight w:val="0"/>
          <w:marTop w:val="0"/>
          <w:marBottom w:val="0"/>
          <w:divBdr>
            <w:top w:val="none" w:sz="0" w:space="0" w:color="auto"/>
            <w:left w:val="none" w:sz="0" w:space="0" w:color="auto"/>
            <w:bottom w:val="none" w:sz="0" w:space="0" w:color="auto"/>
            <w:right w:val="none" w:sz="0" w:space="0" w:color="auto"/>
          </w:divBdr>
        </w:div>
        <w:div w:id="1355882167">
          <w:marLeft w:val="480"/>
          <w:marRight w:val="0"/>
          <w:marTop w:val="0"/>
          <w:marBottom w:val="0"/>
          <w:divBdr>
            <w:top w:val="none" w:sz="0" w:space="0" w:color="auto"/>
            <w:left w:val="none" w:sz="0" w:space="0" w:color="auto"/>
            <w:bottom w:val="none" w:sz="0" w:space="0" w:color="auto"/>
            <w:right w:val="none" w:sz="0" w:space="0" w:color="auto"/>
          </w:divBdr>
        </w:div>
        <w:div w:id="237253155">
          <w:marLeft w:val="480"/>
          <w:marRight w:val="0"/>
          <w:marTop w:val="0"/>
          <w:marBottom w:val="0"/>
          <w:divBdr>
            <w:top w:val="none" w:sz="0" w:space="0" w:color="auto"/>
            <w:left w:val="none" w:sz="0" w:space="0" w:color="auto"/>
            <w:bottom w:val="none" w:sz="0" w:space="0" w:color="auto"/>
            <w:right w:val="none" w:sz="0" w:space="0" w:color="auto"/>
          </w:divBdr>
        </w:div>
        <w:div w:id="1913850231">
          <w:marLeft w:val="480"/>
          <w:marRight w:val="0"/>
          <w:marTop w:val="0"/>
          <w:marBottom w:val="0"/>
          <w:divBdr>
            <w:top w:val="none" w:sz="0" w:space="0" w:color="auto"/>
            <w:left w:val="none" w:sz="0" w:space="0" w:color="auto"/>
            <w:bottom w:val="none" w:sz="0" w:space="0" w:color="auto"/>
            <w:right w:val="none" w:sz="0" w:space="0" w:color="auto"/>
          </w:divBdr>
        </w:div>
        <w:div w:id="2078741766">
          <w:marLeft w:val="480"/>
          <w:marRight w:val="0"/>
          <w:marTop w:val="0"/>
          <w:marBottom w:val="0"/>
          <w:divBdr>
            <w:top w:val="none" w:sz="0" w:space="0" w:color="auto"/>
            <w:left w:val="none" w:sz="0" w:space="0" w:color="auto"/>
            <w:bottom w:val="none" w:sz="0" w:space="0" w:color="auto"/>
            <w:right w:val="none" w:sz="0" w:space="0" w:color="auto"/>
          </w:divBdr>
        </w:div>
        <w:div w:id="1499149752">
          <w:marLeft w:val="480"/>
          <w:marRight w:val="0"/>
          <w:marTop w:val="0"/>
          <w:marBottom w:val="0"/>
          <w:divBdr>
            <w:top w:val="none" w:sz="0" w:space="0" w:color="auto"/>
            <w:left w:val="none" w:sz="0" w:space="0" w:color="auto"/>
            <w:bottom w:val="none" w:sz="0" w:space="0" w:color="auto"/>
            <w:right w:val="none" w:sz="0" w:space="0" w:color="auto"/>
          </w:divBdr>
        </w:div>
        <w:div w:id="851456714">
          <w:marLeft w:val="480"/>
          <w:marRight w:val="0"/>
          <w:marTop w:val="0"/>
          <w:marBottom w:val="0"/>
          <w:divBdr>
            <w:top w:val="none" w:sz="0" w:space="0" w:color="auto"/>
            <w:left w:val="none" w:sz="0" w:space="0" w:color="auto"/>
            <w:bottom w:val="none" w:sz="0" w:space="0" w:color="auto"/>
            <w:right w:val="none" w:sz="0" w:space="0" w:color="auto"/>
          </w:divBdr>
        </w:div>
      </w:divsChild>
    </w:div>
    <w:div w:id="434253401">
      <w:bodyDiv w:val="1"/>
      <w:marLeft w:val="0"/>
      <w:marRight w:val="0"/>
      <w:marTop w:val="0"/>
      <w:marBottom w:val="0"/>
      <w:divBdr>
        <w:top w:val="none" w:sz="0" w:space="0" w:color="auto"/>
        <w:left w:val="none" w:sz="0" w:space="0" w:color="auto"/>
        <w:bottom w:val="none" w:sz="0" w:space="0" w:color="auto"/>
        <w:right w:val="none" w:sz="0" w:space="0" w:color="auto"/>
      </w:divBdr>
      <w:divsChild>
        <w:div w:id="624315933">
          <w:marLeft w:val="480"/>
          <w:marRight w:val="0"/>
          <w:marTop w:val="0"/>
          <w:marBottom w:val="0"/>
          <w:divBdr>
            <w:top w:val="none" w:sz="0" w:space="0" w:color="auto"/>
            <w:left w:val="none" w:sz="0" w:space="0" w:color="auto"/>
            <w:bottom w:val="none" w:sz="0" w:space="0" w:color="auto"/>
            <w:right w:val="none" w:sz="0" w:space="0" w:color="auto"/>
          </w:divBdr>
        </w:div>
        <w:div w:id="639656440">
          <w:marLeft w:val="480"/>
          <w:marRight w:val="0"/>
          <w:marTop w:val="0"/>
          <w:marBottom w:val="0"/>
          <w:divBdr>
            <w:top w:val="none" w:sz="0" w:space="0" w:color="auto"/>
            <w:left w:val="none" w:sz="0" w:space="0" w:color="auto"/>
            <w:bottom w:val="none" w:sz="0" w:space="0" w:color="auto"/>
            <w:right w:val="none" w:sz="0" w:space="0" w:color="auto"/>
          </w:divBdr>
        </w:div>
        <w:div w:id="1390348120">
          <w:marLeft w:val="480"/>
          <w:marRight w:val="0"/>
          <w:marTop w:val="0"/>
          <w:marBottom w:val="0"/>
          <w:divBdr>
            <w:top w:val="none" w:sz="0" w:space="0" w:color="auto"/>
            <w:left w:val="none" w:sz="0" w:space="0" w:color="auto"/>
            <w:bottom w:val="none" w:sz="0" w:space="0" w:color="auto"/>
            <w:right w:val="none" w:sz="0" w:space="0" w:color="auto"/>
          </w:divBdr>
        </w:div>
        <w:div w:id="1089934462">
          <w:marLeft w:val="480"/>
          <w:marRight w:val="0"/>
          <w:marTop w:val="0"/>
          <w:marBottom w:val="0"/>
          <w:divBdr>
            <w:top w:val="none" w:sz="0" w:space="0" w:color="auto"/>
            <w:left w:val="none" w:sz="0" w:space="0" w:color="auto"/>
            <w:bottom w:val="none" w:sz="0" w:space="0" w:color="auto"/>
            <w:right w:val="none" w:sz="0" w:space="0" w:color="auto"/>
          </w:divBdr>
        </w:div>
        <w:div w:id="601227627">
          <w:marLeft w:val="480"/>
          <w:marRight w:val="0"/>
          <w:marTop w:val="0"/>
          <w:marBottom w:val="0"/>
          <w:divBdr>
            <w:top w:val="none" w:sz="0" w:space="0" w:color="auto"/>
            <w:left w:val="none" w:sz="0" w:space="0" w:color="auto"/>
            <w:bottom w:val="none" w:sz="0" w:space="0" w:color="auto"/>
            <w:right w:val="none" w:sz="0" w:space="0" w:color="auto"/>
          </w:divBdr>
        </w:div>
      </w:divsChild>
    </w:div>
    <w:div w:id="458766611">
      <w:bodyDiv w:val="1"/>
      <w:marLeft w:val="0"/>
      <w:marRight w:val="0"/>
      <w:marTop w:val="0"/>
      <w:marBottom w:val="0"/>
      <w:divBdr>
        <w:top w:val="none" w:sz="0" w:space="0" w:color="auto"/>
        <w:left w:val="none" w:sz="0" w:space="0" w:color="auto"/>
        <w:bottom w:val="none" w:sz="0" w:space="0" w:color="auto"/>
        <w:right w:val="none" w:sz="0" w:space="0" w:color="auto"/>
      </w:divBdr>
      <w:divsChild>
        <w:div w:id="742416237">
          <w:marLeft w:val="480"/>
          <w:marRight w:val="0"/>
          <w:marTop w:val="0"/>
          <w:marBottom w:val="0"/>
          <w:divBdr>
            <w:top w:val="none" w:sz="0" w:space="0" w:color="auto"/>
            <w:left w:val="none" w:sz="0" w:space="0" w:color="auto"/>
            <w:bottom w:val="none" w:sz="0" w:space="0" w:color="auto"/>
            <w:right w:val="none" w:sz="0" w:space="0" w:color="auto"/>
          </w:divBdr>
        </w:div>
        <w:div w:id="1487891514">
          <w:marLeft w:val="480"/>
          <w:marRight w:val="0"/>
          <w:marTop w:val="0"/>
          <w:marBottom w:val="0"/>
          <w:divBdr>
            <w:top w:val="none" w:sz="0" w:space="0" w:color="auto"/>
            <w:left w:val="none" w:sz="0" w:space="0" w:color="auto"/>
            <w:bottom w:val="none" w:sz="0" w:space="0" w:color="auto"/>
            <w:right w:val="none" w:sz="0" w:space="0" w:color="auto"/>
          </w:divBdr>
        </w:div>
        <w:div w:id="893858825">
          <w:marLeft w:val="480"/>
          <w:marRight w:val="0"/>
          <w:marTop w:val="0"/>
          <w:marBottom w:val="0"/>
          <w:divBdr>
            <w:top w:val="none" w:sz="0" w:space="0" w:color="auto"/>
            <w:left w:val="none" w:sz="0" w:space="0" w:color="auto"/>
            <w:bottom w:val="none" w:sz="0" w:space="0" w:color="auto"/>
            <w:right w:val="none" w:sz="0" w:space="0" w:color="auto"/>
          </w:divBdr>
        </w:div>
        <w:div w:id="2129160504">
          <w:marLeft w:val="480"/>
          <w:marRight w:val="0"/>
          <w:marTop w:val="0"/>
          <w:marBottom w:val="0"/>
          <w:divBdr>
            <w:top w:val="none" w:sz="0" w:space="0" w:color="auto"/>
            <w:left w:val="none" w:sz="0" w:space="0" w:color="auto"/>
            <w:bottom w:val="none" w:sz="0" w:space="0" w:color="auto"/>
            <w:right w:val="none" w:sz="0" w:space="0" w:color="auto"/>
          </w:divBdr>
        </w:div>
        <w:div w:id="1813668524">
          <w:marLeft w:val="480"/>
          <w:marRight w:val="0"/>
          <w:marTop w:val="0"/>
          <w:marBottom w:val="0"/>
          <w:divBdr>
            <w:top w:val="none" w:sz="0" w:space="0" w:color="auto"/>
            <w:left w:val="none" w:sz="0" w:space="0" w:color="auto"/>
            <w:bottom w:val="none" w:sz="0" w:space="0" w:color="auto"/>
            <w:right w:val="none" w:sz="0" w:space="0" w:color="auto"/>
          </w:divBdr>
        </w:div>
        <w:div w:id="1034504815">
          <w:marLeft w:val="480"/>
          <w:marRight w:val="0"/>
          <w:marTop w:val="0"/>
          <w:marBottom w:val="0"/>
          <w:divBdr>
            <w:top w:val="none" w:sz="0" w:space="0" w:color="auto"/>
            <w:left w:val="none" w:sz="0" w:space="0" w:color="auto"/>
            <w:bottom w:val="none" w:sz="0" w:space="0" w:color="auto"/>
            <w:right w:val="none" w:sz="0" w:space="0" w:color="auto"/>
          </w:divBdr>
        </w:div>
        <w:div w:id="1244487803">
          <w:marLeft w:val="480"/>
          <w:marRight w:val="0"/>
          <w:marTop w:val="0"/>
          <w:marBottom w:val="0"/>
          <w:divBdr>
            <w:top w:val="none" w:sz="0" w:space="0" w:color="auto"/>
            <w:left w:val="none" w:sz="0" w:space="0" w:color="auto"/>
            <w:bottom w:val="none" w:sz="0" w:space="0" w:color="auto"/>
            <w:right w:val="none" w:sz="0" w:space="0" w:color="auto"/>
          </w:divBdr>
        </w:div>
        <w:div w:id="145049547">
          <w:marLeft w:val="480"/>
          <w:marRight w:val="0"/>
          <w:marTop w:val="0"/>
          <w:marBottom w:val="0"/>
          <w:divBdr>
            <w:top w:val="none" w:sz="0" w:space="0" w:color="auto"/>
            <w:left w:val="none" w:sz="0" w:space="0" w:color="auto"/>
            <w:bottom w:val="none" w:sz="0" w:space="0" w:color="auto"/>
            <w:right w:val="none" w:sz="0" w:space="0" w:color="auto"/>
          </w:divBdr>
        </w:div>
        <w:div w:id="1141115108">
          <w:marLeft w:val="480"/>
          <w:marRight w:val="0"/>
          <w:marTop w:val="0"/>
          <w:marBottom w:val="0"/>
          <w:divBdr>
            <w:top w:val="none" w:sz="0" w:space="0" w:color="auto"/>
            <w:left w:val="none" w:sz="0" w:space="0" w:color="auto"/>
            <w:bottom w:val="none" w:sz="0" w:space="0" w:color="auto"/>
            <w:right w:val="none" w:sz="0" w:space="0" w:color="auto"/>
          </w:divBdr>
        </w:div>
        <w:div w:id="1257861180">
          <w:marLeft w:val="480"/>
          <w:marRight w:val="0"/>
          <w:marTop w:val="0"/>
          <w:marBottom w:val="0"/>
          <w:divBdr>
            <w:top w:val="none" w:sz="0" w:space="0" w:color="auto"/>
            <w:left w:val="none" w:sz="0" w:space="0" w:color="auto"/>
            <w:bottom w:val="none" w:sz="0" w:space="0" w:color="auto"/>
            <w:right w:val="none" w:sz="0" w:space="0" w:color="auto"/>
          </w:divBdr>
        </w:div>
      </w:divsChild>
    </w:div>
    <w:div w:id="66336385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0148">
      <w:bodyDiv w:val="1"/>
      <w:marLeft w:val="0"/>
      <w:marRight w:val="0"/>
      <w:marTop w:val="0"/>
      <w:marBottom w:val="0"/>
      <w:divBdr>
        <w:top w:val="none" w:sz="0" w:space="0" w:color="auto"/>
        <w:left w:val="none" w:sz="0" w:space="0" w:color="auto"/>
        <w:bottom w:val="none" w:sz="0" w:space="0" w:color="auto"/>
        <w:right w:val="none" w:sz="0" w:space="0" w:color="auto"/>
      </w:divBdr>
      <w:divsChild>
        <w:div w:id="1287470155">
          <w:marLeft w:val="480"/>
          <w:marRight w:val="0"/>
          <w:marTop w:val="0"/>
          <w:marBottom w:val="0"/>
          <w:divBdr>
            <w:top w:val="none" w:sz="0" w:space="0" w:color="auto"/>
            <w:left w:val="none" w:sz="0" w:space="0" w:color="auto"/>
            <w:bottom w:val="none" w:sz="0" w:space="0" w:color="auto"/>
            <w:right w:val="none" w:sz="0" w:space="0" w:color="auto"/>
          </w:divBdr>
        </w:div>
        <w:div w:id="429356578">
          <w:marLeft w:val="480"/>
          <w:marRight w:val="0"/>
          <w:marTop w:val="0"/>
          <w:marBottom w:val="0"/>
          <w:divBdr>
            <w:top w:val="none" w:sz="0" w:space="0" w:color="auto"/>
            <w:left w:val="none" w:sz="0" w:space="0" w:color="auto"/>
            <w:bottom w:val="none" w:sz="0" w:space="0" w:color="auto"/>
            <w:right w:val="none" w:sz="0" w:space="0" w:color="auto"/>
          </w:divBdr>
        </w:div>
        <w:div w:id="474219780">
          <w:marLeft w:val="480"/>
          <w:marRight w:val="0"/>
          <w:marTop w:val="0"/>
          <w:marBottom w:val="0"/>
          <w:divBdr>
            <w:top w:val="none" w:sz="0" w:space="0" w:color="auto"/>
            <w:left w:val="none" w:sz="0" w:space="0" w:color="auto"/>
            <w:bottom w:val="none" w:sz="0" w:space="0" w:color="auto"/>
            <w:right w:val="none" w:sz="0" w:space="0" w:color="auto"/>
          </w:divBdr>
        </w:div>
        <w:div w:id="1149126180">
          <w:marLeft w:val="480"/>
          <w:marRight w:val="0"/>
          <w:marTop w:val="0"/>
          <w:marBottom w:val="0"/>
          <w:divBdr>
            <w:top w:val="none" w:sz="0" w:space="0" w:color="auto"/>
            <w:left w:val="none" w:sz="0" w:space="0" w:color="auto"/>
            <w:bottom w:val="none" w:sz="0" w:space="0" w:color="auto"/>
            <w:right w:val="none" w:sz="0" w:space="0" w:color="auto"/>
          </w:divBdr>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7796">
      <w:bodyDiv w:val="1"/>
      <w:marLeft w:val="0"/>
      <w:marRight w:val="0"/>
      <w:marTop w:val="0"/>
      <w:marBottom w:val="0"/>
      <w:divBdr>
        <w:top w:val="none" w:sz="0" w:space="0" w:color="auto"/>
        <w:left w:val="none" w:sz="0" w:space="0" w:color="auto"/>
        <w:bottom w:val="none" w:sz="0" w:space="0" w:color="auto"/>
        <w:right w:val="none" w:sz="0" w:space="0" w:color="auto"/>
      </w:divBdr>
    </w:div>
    <w:div w:id="1020161034">
      <w:bodyDiv w:val="1"/>
      <w:marLeft w:val="0"/>
      <w:marRight w:val="0"/>
      <w:marTop w:val="0"/>
      <w:marBottom w:val="0"/>
      <w:divBdr>
        <w:top w:val="none" w:sz="0" w:space="0" w:color="auto"/>
        <w:left w:val="none" w:sz="0" w:space="0" w:color="auto"/>
        <w:bottom w:val="none" w:sz="0" w:space="0" w:color="auto"/>
        <w:right w:val="none" w:sz="0" w:space="0" w:color="auto"/>
      </w:divBdr>
      <w:divsChild>
        <w:div w:id="847987412">
          <w:marLeft w:val="480"/>
          <w:marRight w:val="0"/>
          <w:marTop w:val="0"/>
          <w:marBottom w:val="0"/>
          <w:divBdr>
            <w:top w:val="none" w:sz="0" w:space="0" w:color="auto"/>
            <w:left w:val="none" w:sz="0" w:space="0" w:color="auto"/>
            <w:bottom w:val="none" w:sz="0" w:space="0" w:color="auto"/>
            <w:right w:val="none" w:sz="0" w:space="0" w:color="auto"/>
          </w:divBdr>
        </w:div>
        <w:div w:id="284972040">
          <w:marLeft w:val="480"/>
          <w:marRight w:val="0"/>
          <w:marTop w:val="0"/>
          <w:marBottom w:val="0"/>
          <w:divBdr>
            <w:top w:val="none" w:sz="0" w:space="0" w:color="auto"/>
            <w:left w:val="none" w:sz="0" w:space="0" w:color="auto"/>
            <w:bottom w:val="none" w:sz="0" w:space="0" w:color="auto"/>
            <w:right w:val="none" w:sz="0" w:space="0" w:color="auto"/>
          </w:divBdr>
        </w:div>
        <w:div w:id="1098914963">
          <w:marLeft w:val="480"/>
          <w:marRight w:val="0"/>
          <w:marTop w:val="0"/>
          <w:marBottom w:val="0"/>
          <w:divBdr>
            <w:top w:val="none" w:sz="0" w:space="0" w:color="auto"/>
            <w:left w:val="none" w:sz="0" w:space="0" w:color="auto"/>
            <w:bottom w:val="none" w:sz="0" w:space="0" w:color="auto"/>
            <w:right w:val="none" w:sz="0" w:space="0" w:color="auto"/>
          </w:divBdr>
        </w:div>
        <w:div w:id="1633242778">
          <w:marLeft w:val="480"/>
          <w:marRight w:val="0"/>
          <w:marTop w:val="0"/>
          <w:marBottom w:val="0"/>
          <w:divBdr>
            <w:top w:val="none" w:sz="0" w:space="0" w:color="auto"/>
            <w:left w:val="none" w:sz="0" w:space="0" w:color="auto"/>
            <w:bottom w:val="none" w:sz="0" w:space="0" w:color="auto"/>
            <w:right w:val="none" w:sz="0" w:space="0" w:color="auto"/>
          </w:divBdr>
        </w:div>
        <w:div w:id="427194370">
          <w:marLeft w:val="480"/>
          <w:marRight w:val="0"/>
          <w:marTop w:val="0"/>
          <w:marBottom w:val="0"/>
          <w:divBdr>
            <w:top w:val="none" w:sz="0" w:space="0" w:color="auto"/>
            <w:left w:val="none" w:sz="0" w:space="0" w:color="auto"/>
            <w:bottom w:val="none" w:sz="0" w:space="0" w:color="auto"/>
            <w:right w:val="none" w:sz="0" w:space="0" w:color="auto"/>
          </w:divBdr>
        </w:div>
        <w:div w:id="259029053">
          <w:marLeft w:val="480"/>
          <w:marRight w:val="0"/>
          <w:marTop w:val="0"/>
          <w:marBottom w:val="0"/>
          <w:divBdr>
            <w:top w:val="none" w:sz="0" w:space="0" w:color="auto"/>
            <w:left w:val="none" w:sz="0" w:space="0" w:color="auto"/>
            <w:bottom w:val="none" w:sz="0" w:space="0" w:color="auto"/>
            <w:right w:val="none" w:sz="0" w:space="0" w:color="auto"/>
          </w:divBdr>
        </w:div>
        <w:div w:id="1749960737">
          <w:marLeft w:val="480"/>
          <w:marRight w:val="0"/>
          <w:marTop w:val="0"/>
          <w:marBottom w:val="0"/>
          <w:divBdr>
            <w:top w:val="none" w:sz="0" w:space="0" w:color="auto"/>
            <w:left w:val="none" w:sz="0" w:space="0" w:color="auto"/>
            <w:bottom w:val="none" w:sz="0" w:space="0" w:color="auto"/>
            <w:right w:val="none" w:sz="0" w:space="0" w:color="auto"/>
          </w:divBdr>
        </w:div>
      </w:divsChild>
    </w:div>
    <w:div w:id="1184977973">
      <w:bodyDiv w:val="1"/>
      <w:marLeft w:val="0"/>
      <w:marRight w:val="0"/>
      <w:marTop w:val="0"/>
      <w:marBottom w:val="0"/>
      <w:divBdr>
        <w:top w:val="none" w:sz="0" w:space="0" w:color="auto"/>
        <w:left w:val="none" w:sz="0" w:space="0" w:color="auto"/>
        <w:bottom w:val="none" w:sz="0" w:space="0" w:color="auto"/>
        <w:right w:val="none" w:sz="0" w:space="0" w:color="auto"/>
      </w:divBdr>
      <w:divsChild>
        <w:div w:id="1910725967">
          <w:marLeft w:val="480"/>
          <w:marRight w:val="0"/>
          <w:marTop w:val="0"/>
          <w:marBottom w:val="0"/>
          <w:divBdr>
            <w:top w:val="none" w:sz="0" w:space="0" w:color="auto"/>
            <w:left w:val="none" w:sz="0" w:space="0" w:color="auto"/>
            <w:bottom w:val="none" w:sz="0" w:space="0" w:color="auto"/>
            <w:right w:val="none" w:sz="0" w:space="0" w:color="auto"/>
          </w:divBdr>
        </w:div>
        <w:div w:id="1263878461">
          <w:marLeft w:val="480"/>
          <w:marRight w:val="0"/>
          <w:marTop w:val="0"/>
          <w:marBottom w:val="0"/>
          <w:divBdr>
            <w:top w:val="none" w:sz="0" w:space="0" w:color="auto"/>
            <w:left w:val="none" w:sz="0" w:space="0" w:color="auto"/>
            <w:bottom w:val="none" w:sz="0" w:space="0" w:color="auto"/>
            <w:right w:val="none" w:sz="0" w:space="0" w:color="auto"/>
          </w:divBdr>
        </w:div>
        <w:div w:id="867059304">
          <w:marLeft w:val="480"/>
          <w:marRight w:val="0"/>
          <w:marTop w:val="0"/>
          <w:marBottom w:val="0"/>
          <w:divBdr>
            <w:top w:val="none" w:sz="0" w:space="0" w:color="auto"/>
            <w:left w:val="none" w:sz="0" w:space="0" w:color="auto"/>
            <w:bottom w:val="none" w:sz="0" w:space="0" w:color="auto"/>
            <w:right w:val="none" w:sz="0" w:space="0" w:color="auto"/>
          </w:divBdr>
        </w:div>
        <w:div w:id="607352934">
          <w:marLeft w:val="480"/>
          <w:marRight w:val="0"/>
          <w:marTop w:val="0"/>
          <w:marBottom w:val="0"/>
          <w:divBdr>
            <w:top w:val="none" w:sz="0" w:space="0" w:color="auto"/>
            <w:left w:val="none" w:sz="0" w:space="0" w:color="auto"/>
            <w:bottom w:val="none" w:sz="0" w:space="0" w:color="auto"/>
            <w:right w:val="none" w:sz="0" w:space="0" w:color="auto"/>
          </w:divBdr>
        </w:div>
        <w:div w:id="976376178">
          <w:marLeft w:val="480"/>
          <w:marRight w:val="0"/>
          <w:marTop w:val="0"/>
          <w:marBottom w:val="0"/>
          <w:divBdr>
            <w:top w:val="none" w:sz="0" w:space="0" w:color="auto"/>
            <w:left w:val="none" w:sz="0" w:space="0" w:color="auto"/>
            <w:bottom w:val="none" w:sz="0" w:space="0" w:color="auto"/>
            <w:right w:val="none" w:sz="0" w:space="0" w:color="auto"/>
          </w:divBdr>
        </w:div>
        <w:div w:id="231161853">
          <w:marLeft w:val="480"/>
          <w:marRight w:val="0"/>
          <w:marTop w:val="0"/>
          <w:marBottom w:val="0"/>
          <w:divBdr>
            <w:top w:val="none" w:sz="0" w:space="0" w:color="auto"/>
            <w:left w:val="none" w:sz="0" w:space="0" w:color="auto"/>
            <w:bottom w:val="none" w:sz="0" w:space="0" w:color="auto"/>
            <w:right w:val="none" w:sz="0" w:space="0" w:color="auto"/>
          </w:divBdr>
        </w:div>
        <w:div w:id="1361280426">
          <w:marLeft w:val="480"/>
          <w:marRight w:val="0"/>
          <w:marTop w:val="0"/>
          <w:marBottom w:val="0"/>
          <w:divBdr>
            <w:top w:val="none" w:sz="0" w:space="0" w:color="auto"/>
            <w:left w:val="none" w:sz="0" w:space="0" w:color="auto"/>
            <w:bottom w:val="none" w:sz="0" w:space="0" w:color="auto"/>
            <w:right w:val="none" w:sz="0" w:space="0" w:color="auto"/>
          </w:divBdr>
        </w:div>
        <w:div w:id="1122769303">
          <w:marLeft w:val="480"/>
          <w:marRight w:val="0"/>
          <w:marTop w:val="0"/>
          <w:marBottom w:val="0"/>
          <w:divBdr>
            <w:top w:val="none" w:sz="0" w:space="0" w:color="auto"/>
            <w:left w:val="none" w:sz="0" w:space="0" w:color="auto"/>
            <w:bottom w:val="none" w:sz="0" w:space="0" w:color="auto"/>
            <w:right w:val="none" w:sz="0" w:space="0" w:color="auto"/>
          </w:divBdr>
        </w:div>
      </w:divsChild>
    </w:div>
    <w:div w:id="1200046251">
      <w:bodyDiv w:val="1"/>
      <w:marLeft w:val="0"/>
      <w:marRight w:val="0"/>
      <w:marTop w:val="0"/>
      <w:marBottom w:val="0"/>
      <w:divBdr>
        <w:top w:val="none" w:sz="0" w:space="0" w:color="auto"/>
        <w:left w:val="none" w:sz="0" w:space="0" w:color="auto"/>
        <w:bottom w:val="none" w:sz="0" w:space="0" w:color="auto"/>
        <w:right w:val="none" w:sz="0" w:space="0" w:color="auto"/>
      </w:divBdr>
    </w:div>
    <w:div w:id="1222134740">
      <w:bodyDiv w:val="1"/>
      <w:marLeft w:val="0"/>
      <w:marRight w:val="0"/>
      <w:marTop w:val="0"/>
      <w:marBottom w:val="0"/>
      <w:divBdr>
        <w:top w:val="none" w:sz="0" w:space="0" w:color="auto"/>
        <w:left w:val="none" w:sz="0" w:space="0" w:color="auto"/>
        <w:bottom w:val="none" w:sz="0" w:space="0" w:color="auto"/>
        <w:right w:val="none" w:sz="0" w:space="0" w:color="auto"/>
      </w:divBdr>
      <w:divsChild>
        <w:div w:id="209348657">
          <w:marLeft w:val="480"/>
          <w:marRight w:val="0"/>
          <w:marTop w:val="0"/>
          <w:marBottom w:val="0"/>
          <w:divBdr>
            <w:top w:val="none" w:sz="0" w:space="0" w:color="auto"/>
            <w:left w:val="none" w:sz="0" w:space="0" w:color="auto"/>
            <w:bottom w:val="none" w:sz="0" w:space="0" w:color="auto"/>
            <w:right w:val="none" w:sz="0" w:space="0" w:color="auto"/>
          </w:divBdr>
        </w:div>
        <w:div w:id="1919364411">
          <w:marLeft w:val="480"/>
          <w:marRight w:val="0"/>
          <w:marTop w:val="0"/>
          <w:marBottom w:val="0"/>
          <w:divBdr>
            <w:top w:val="none" w:sz="0" w:space="0" w:color="auto"/>
            <w:left w:val="none" w:sz="0" w:space="0" w:color="auto"/>
            <w:bottom w:val="none" w:sz="0" w:space="0" w:color="auto"/>
            <w:right w:val="none" w:sz="0" w:space="0" w:color="auto"/>
          </w:divBdr>
        </w:div>
        <w:div w:id="46611092">
          <w:marLeft w:val="480"/>
          <w:marRight w:val="0"/>
          <w:marTop w:val="0"/>
          <w:marBottom w:val="0"/>
          <w:divBdr>
            <w:top w:val="none" w:sz="0" w:space="0" w:color="auto"/>
            <w:left w:val="none" w:sz="0" w:space="0" w:color="auto"/>
            <w:bottom w:val="none" w:sz="0" w:space="0" w:color="auto"/>
            <w:right w:val="none" w:sz="0" w:space="0" w:color="auto"/>
          </w:divBdr>
        </w:div>
        <w:div w:id="1887377794">
          <w:marLeft w:val="480"/>
          <w:marRight w:val="0"/>
          <w:marTop w:val="0"/>
          <w:marBottom w:val="0"/>
          <w:divBdr>
            <w:top w:val="none" w:sz="0" w:space="0" w:color="auto"/>
            <w:left w:val="none" w:sz="0" w:space="0" w:color="auto"/>
            <w:bottom w:val="none" w:sz="0" w:space="0" w:color="auto"/>
            <w:right w:val="none" w:sz="0" w:space="0" w:color="auto"/>
          </w:divBdr>
        </w:div>
        <w:div w:id="113866008">
          <w:marLeft w:val="480"/>
          <w:marRight w:val="0"/>
          <w:marTop w:val="0"/>
          <w:marBottom w:val="0"/>
          <w:divBdr>
            <w:top w:val="none" w:sz="0" w:space="0" w:color="auto"/>
            <w:left w:val="none" w:sz="0" w:space="0" w:color="auto"/>
            <w:bottom w:val="none" w:sz="0" w:space="0" w:color="auto"/>
            <w:right w:val="none" w:sz="0" w:space="0" w:color="auto"/>
          </w:divBdr>
        </w:div>
        <w:div w:id="386149064">
          <w:marLeft w:val="480"/>
          <w:marRight w:val="0"/>
          <w:marTop w:val="0"/>
          <w:marBottom w:val="0"/>
          <w:divBdr>
            <w:top w:val="none" w:sz="0" w:space="0" w:color="auto"/>
            <w:left w:val="none" w:sz="0" w:space="0" w:color="auto"/>
            <w:bottom w:val="none" w:sz="0" w:space="0" w:color="auto"/>
            <w:right w:val="none" w:sz="0" w:space="0" w:color="auto"/>
          </w:divBdr>
        </w:div>
      </w:divsChild>
    </w:div>
    <w:div w:id="1229532239">
      <w:bodyDiv w:val="1"/>
      <w:marLeft w:val="0"/>
      <w:marRight w:val="0"/>
      <w:marTop w:val="0"/>
      <w:marBottom w:val="0"/>
      <w:divBdr>
        <w:top w:val="none" w:sz="0" w:space="0" w:color="auto"/>
        <w:left w:val="none" w:sz="0" w:space="0" w:color="auto"/>
        <w:bottom w:val="none" w:sz="0" w:space="0" w:color="auto"/>
        <w:right w:val="none" w:sz="0" w:space="0" w:color="auto"/>
      </w:divBdr>
      <w:divsChild>
        <w:div w:id="51585508">
          <w:marLeft w:val="480"/>
          <w:marRight w:val="0"/>
          <w:marTop w:val="0"/>
          <w:marBottom w:val="0"/>
          <w:divBdr>
            <w:top w:val="none" w:sz="0" w:space="0" w:color="auto"/>
            <w:left w:val="none" w:sz="0" w:space="0" w:color="auto"/>
            <w:bottom w:val="none" w:sz="0" w:space="0" w:color="auto"/>
            <w:right w:val="none" w:sz="0" w:space="0" w:color="auto"/>
          </w:divBdr>
        </w:div>
        <w:div w:id="1164971161">
          <w:marLeft w:val="480"/>
          <w:marRight w:val="0"/>
          <w:marTop w:val="0"/>
          <w:marBottom w:val="0"/>
          <w:divBdr>
            <w:top w:val="none" w:sz="0" w:space="0" w:color="auto"/>
            <w:left w:val="none" w:sz="0" w:space="0" w:color="auto"/>
            <w:bottom w:val="none" w:sz="0" w:space="0" w:color="auto"/>
            <w:right w:val="none" w:sz="0" w:space="0" w:color="auto"/>
          </w:divBdr>
        </w:div>
        <w:div w:id="1913082998">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96855827">
      <w:bodyDiv w:val="1"/>
      <w:marLeft w:val="0"/>
      <w:marRight w:val="0"/>
      <w:marTop w:val="0"/>
      <w:marBottom w:val="0"/>
      <w:divBdr>
        <w:top w:val="none" w:sz="0" w:space="0" w:color="auto"/>
        <w:left w:val="none" w:sz="0" w:space="0" w:color="auto"/>
        <w:bottom w:val="none" w:sz="0" w:space="0" w:color="auto"/>
        <w:right w:val="none" w:sz="0" w:space="0" w:color="auto"/>
      </w:divBdr>
      <w:divsChild>
        <w:div w:id="924994617">
          <w:marLeft w:val="480"/>
          <w:marRight w:val="0"/>
          <w:marTop w:val="0"/>
          <w:marBottom w:val="0"/>
          <w:divBdr>
            <w:top w:val="none" w:sz="0" w:space="0" w:color="auto"/>
            <w:left w:val="none" w:sz="0" w:space="0" w:color="auto"/>
            <w:bottom w:val="none" w:sz="0" w:space="0" w:color="auto"/>
            <w:right w:val="none" w:sz="0" w:space="0" w:color="auto"/>
          </w:divBdr>
        </w:div>
        <w:div w:id="962927869">
          <w:marLeft w:val="480"/>
          <w:marRight w:val="0"/>
          <w:marTop w:val="0"/>
          <w:marBottom w:val="0"/>
          <w:divBdr>
            <w:top w:val="none" w:sz="0" w:space="0" w:color="auto"/>
            <w:left w:val="none" w:sz="0" w:space="0" w:color="auto"/>
            <w:bottom w:val="none" w:sz="0" w:space="0" w:color="auto"/>
            <w:right w:val="none" w:sz="0" w:space="0" w:color="auto"/>
          </w:divBdr>
        </w:div>
        <w:div w:id="1284996831">
          <w:marLeft w:val="480"/>
          <w:marRight w:val="0"/>
          <w:marTop w:val="0"/>
          <w:marBottom w:val="0"/>
          <w:divBdr>
            <w:top w:val="none" w:sz="0" w:space="0" w:color="auto"/>
            <w:left w:val="none" w:sz="0" w:space="0" w:color="auto"/>
            <w:bottom w:val="none" w:sz="0" w:space="0" w:color="auto"/>
            <w:right w:val="none" w:sz="0" w:space="0" w:color="auto"/>
          </w:divBdr>
        </w:div>
        <w:div w:id="291643467">
          <w:marLeft w:val="480"/>
          <w:marRight w:val="0"/>
          <w:marTop w:val="0"/>
          <w:marBottom w:val="0"/>
          <w:divBdr>
            <w:top w:val="none" w:sz="0" w:space="0" w:color="auto"/>
            <w:left w:val="none" w:sz="0" w:space="0" w:color="auto"/>
            <w:bottom w:val="none" w:sz="0" w:space="0" w:color="auto"/>
            <w:right w:val="none" w:sz="0" w:space="0" w:color="auto"/>
          </w:divBdr>
        </w:div>
        <w:div w:id="279147658">
          <w:marLeft w:val="480"/>
          <w:marRight w:val="0"/>
          <w:marTop w:val="0"/>
          <w:marBottom w:val="0"/>
          <w:divBdr>
            <w:top w:val="none" w:sz="0" w:space="0" w:color="auto"/>
            <w:left w:val="none" w:sz="0" w:space="0" w:color="auto"/>
            <w:bottom w:val="none" w:sz="0" w:space="0" w:color="auto"/>
            <w:right w:val="none" w:sz="0" w:space="0" w:color="auto"/>
          </w:divBdr>
        </w:div>
        <w:div w:id="2117676615">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6477491">
      <w:bodyDiv w:val="1"/>
      <w:marLeft w:val="0"/>
      <w:marRight w:val="0"/>
      <w:marTop w:val="0"/>
      <w:marBottom w:val="0"/>
      <w:divBdr>
        <w:top w:val="none" w:sz="0" w:space="0" w:color="auto"/>
        <w:left w:val="none" w:sz="0" w:space="0" w:color="auto"/>
        <w:bottom w:val="none" w:sz="0" w:space="0" w:color="auto"/>
        <w:right w:val="none" w:sz="0" w:space="0" w:color="auto"/>
      </w:divBdr>
    </w:div>
    <w:div w:id="1588422375">
      <w:bodyDiv w:val="1"/>
      <w:marLeft w:val="0"/>
      <w:marRight w:val="0"/>
      <w:marTop w:val="0"/>
      <w:marBottom w:val="0"/>
      <w:divBdr>
        <w:top w:val="none" w:sz="0" w:space="0" w:color="auto"/>
        <w:left w:val="none" w:sz="0" w:space="0" w:color="auto"/>
        <w:bottom w:val="none" w:sz="0" w:space="0" w:color="auto"/>
        <w:right w:val="none" w:sz="0" w:space="0" w:color="auto"/>
      </w:divBdr>
      <w:divsChild>
        <w:div w:id="124280528">
          <w:marLeft w:val="480"/>
          <w:marRight w:val="0"/>
          <w:marTop w:val="0"/>
          <w:marBottom w:val="0"/>
          <w:divBdr>
            <w:top w:val="none" w:sz="0" w:space="0" w:color="auto"/>
            <w:left w:val="none" w:sz="0" w:space="0" w:color="auto"/>
            <w:bottom w:val="none" w:sz="0" w:space="0" w:color="auto"/>
            <w:right w:val="none" w:sz="0" w:space="0" w:color="auto"/>
          </w:divBdr>
        </w:div>
        <w:div w:id="754521790">
          <w:marLeft w:val="480"/>
          <w:marRight w:val="0"/>
          <w:marTop w:val="0"/>
          <w:marBottom w:val="0"/>
          <w:divBdr>
            <w:top w:val="none" w:sz="0" w:space="0" w:color="auto"/>
            <w:left w:val="none" w:sz="0" w:space="0" w:color="auto"/>
            <w:bottom w:val="none" w:sz="0" w:space="0" w:color="auto"/>
            <w:right w:val="none" w:sz="0" w:space="0" w:color="auto"/>
          </w:divBdr>
        </w:div>
        <w:div w:id="1881282817">
          <w:marLeft w:val="480"/>
          <w:marRight w:val="0"/>
          <w:marTop w:val="0"/>
          <w:marBottom w:val="0"/>
          <w:divBdr>
            <w:top w:val="none" w:sz="0" w:space="0" w:color="auto"/>
            <w:left w:val="none" w:sz="0" w:space="0" w:color="auto"/>
            <w:bottom w:val="none" w:sz="0" w:space="0" w:color="auto"/>
            <w:right w:val="none" w:sz="0" w:space="0" w:color="auto"/>
          </w:divBdr>
        </w:div>
        <w:div w:id="52043190">
          <w:marLeft w:val="480"/>
          <w:marRight w:val="0"/>
          <w:marTop w:val="0"/>
          <w:marBottom w:val="0"/>
          <w:divBdr>
            <w:top w:val="none" w:sz="0" w:space="0" w:color="auto"/>
            <w:left w:val="none" w:sz="0" w:space="0" w:color="auto"/>
            <w:bottom w:val="none" w:sz="0" w:space="0" w:color="auto"/>
            <w:right w:val="none" w:sz="0" w:space="0" w:color="auto"/>
          </w:divBdr>
        </w:div>
        <w:div w:id="992833357">
          <w:marLeft w:val="480"/>
          <w:marRight w:val="0"/>
          <w:marTop w:val="0"/>
          <w:marBottom w:val="0"/>
          <w:divBdr>
            <w:top w:val="none" w:sz="0" w:space="0" w:color="auto"/>
            <w:left w:val="none" w:sz="0" w:space="0" w:color="auto"/>
            <w:bottom w:val="none" w:sz="0" w:space="0" w:color="auto"/>
            <w:right w:val="none" w:sz="0" w:space="0" w:color="auto"/>
          </w:divBdr>
        </w:div>
        <w:div w:id="608588370">
          <w:marLeft w:val="480"/>
          <w:marRight w:val="0"/>
          <w:marTop w:val="0"/>
          <w:marBottom w:val="0"/>
          <w:divBdr>
            <w:top w:val="none" w:sz="0" w:space="0" w:color="auto"/>
            <w:left w:val="none" w:sz="0" w:space="0" w:color="auto"/>
            <w:bottom w:val="none" w:sz="0" w:space="0" w:color="auto"/>
            <w:right w:val="none" w:sz="0" w:space="0" w:color="auto"/>
          </w:divBdr>
        </w:div>
        <w:div w:id="640036989">
          <w:marLeft w:val="480"/>
          <w:marRight w:val="0"/>
          <w:marTop w:val="0"/>
          <w:marBottom w:val="0"/>
          <w:divBdr>
            <w:top w:val="none" w:sz="0" w:space="0" w:color="auto"/>
            <w:left w:val="none" w:sz="0" w:space="0" w:color="auto"/>
            <w:bottom w:val="none" w:sz="0" w:space="0" w:color="auto"/>
            <w:right w:val="none" w:sz="0" w:space="0" w:color="auto"/>
          </w:divBdr>
        </w:div>
        <w:div w:id="740447841">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04036221">
      <w:bodyDiv w:val="1"/>
      <w:marLeft w:val="0"/>
      <w:marRight w:val="0"/>
      <w:marTop w:val="0"/>
      <w:marBottom w:val="0"/>
      <w:divBdr>
        <w:top w:val="none" w:sz="0" w:space="0" w:color="auto"/>
        <w:left w:val="none" w:sz="0" w:space="0" w:color="auto"/>
        <w:bottom w:val="none" w:sz="0" w:space="0" w:color="auto"/>
        <w:right w:val="none" w:sz="0" w:space="0" w:color="auto"/>
      </w:divBdr>
      <w:divsChild>
        <w:div w:id="1952129554">
          <w:marLeft w:val="480"/>
          <w:marRight w:val="0"/>
          <w:marTop w:val="0"/>
          <w:marBottom w:val="0"/>
          <w:divBdr>
            <w:top w:val="none" w:sz="0" w:space="0" w:color="auto"/>
            <w:left w:val="none" w:sz="0" w:space="0" w:color="auto"/>
            <w:bottom w:val="none" w:sz="0" w:space="0" w:color="auto"/>
            <w:right w:val="none" w:sz="0" w:space="0" w:color="auto"/>
          </w:divBdr>
        </w:div>
        <w:div w:id="1607734704">
          <w:marLeft w:val="480"/>
          <w:marRight w:val="0"/>
          <w:marTop w:val="0"/>
          <w:marBottom w:val="0"/>
          <w:divBdr>
            <w:top w:val="none" w:sz="0" w:space="0" w:color="auto"/>
            <w:left w:val="none" w:sz="0" w:space="0" w:color="auto"/>
            <w:bottom w:val="none" w:sz="0" w:space="0" w:color="auto"/>
            <w:right w:val="none" w:sz="0" w:space="0" w:color="auto"/>
          </w:divBdr>
        </w:div>
        <w:div w:id="488903146">
          <w:marLeft w:val="480"/>
          <w:marRight w:val="0"/>
          <w:marTop w:val="0"/>
          <w:marBottom w:val="0"/>
          <w:divBdr>
            <w:top w:val="none" w:sz="0" w:space="0" w:color="auto"/>
            <w:left w:val="none" w:sz="0" w:space="0" w:color="auto"/>
            <w:bottom w:val="none" w:sz="0" w:space="0" w:color="auto"/>
            <w:right w:val="none" w:sz="0" w:space="0" w:color="auto"/>
          </w:divBdr>
        </w:div>
        <w:div w:id="398208252">
          <w:marLeft w:val="480"/>
          <w:marRight w:val="0"/>
          <w:marTop w:val="0"/>
          <w:marBottom w:val="0"/>
          <w:divBdr>
            <w:top w:val="none" w:sz="0" w:space="0" w:color="auto"/>
            <w:left w:val="none" w:sz="0" w:space="0" w:color="auto"/>
            <w:bottom w:val="none" w:sz="0" w:space="0" w:color="auto"/>
            <w:right w:val="none" w:sz="0" w:space="0" w:color="auto"/>
          </w:divBdr>
        </w:div>
        <w:div w:id="496459054">
          <w:marLeft w:val="480"/>
          <w:marRight w:val="0"/>
          <w:marTop w:val="0"/>
          <w:marBottom w:val="0"/>
          <w:divBdr>
            <w:top w:val="none" w:sz="0" w:space="0" w:color="auto"/>
            <w:left w:val="none" w:sz="0" w:space="0" w:color="auto"/>
            <w:bottom w:val="none" w:sz="0" w:space="0" w:color="auto"/>
            <w:right w:val="none" w:sz="0" w:space="0" w:color="auto"/>
          </w:divBdr>
        </w:div>
        <w:div w:id="488909760">
          <w:marLeft w:val="480"/>
          <w:marRight w:val="0"/>
          <w:marTop w:val="0"/>
          <w:marBottom w:val="0"/>
          <w:divBdr>
            <w:top w:val="none" w:sz="0" w:space="0" w:color="auto"/>
            <w:left w:val="none" w:sz="0" w:space="0" w:color="auto"/>
            <w:bottom w:val="none" w:sz="0" w:space="0" w:color="auto"/>
            <w:right w:val="none" w:sz="0" w:space="0" w:color="auto"/>
          </w:divBdr>
        </w:div>
        <w:div w:id="1942837884">
          <w:marLeft w:val="480"/>
          <w:marRight w:val="0"/>
          <w:marTop w:val="0"/>
          <w:marBottom w:val="0"/>
          <w:divBdr>
            <w:top w:val="none" w:sz="0" w:space="0" w:color="auto"/>
            <w:left w:val="none" w:sz="0" w:space="0" w:color="auto"/>
            <w:bottom w:val="none" w:sz="0" w:space="0" w:color="auto"/>
            <w:right w:val="none" w:sz="0" w:space="0" w:color="auto"/>
          </w:divBdr>
        </w:div>
        <w:div w:id="1979607270">
          <w:marLeft w:val="480"/>
          <w:marRight w:val="0"/>
          <w:marTop w:val="0"/>
          <w:marBottom w:val="0"/>
          <w:divBdr>
            <w:top w:val="none" w:sz="0" w:space="0" w:color="auto"/>
            <w:left w:val="none" w:sz="0" w:space="0" w:color="auto"/>
            <w:bottom w:val="none" w:sz="0" w:space="0" w:color="auto"/>
            <w:right w:val="none" w:sz="0" w:space="0" w:color="auto"/>
          </w:divBdr>
        </w:div>
        <w:div w:id="1786340999">
          <w:marLeft w:val="480"/>
          <w:marRight w:val="0"/>
          <w:marTop w:val="0"/>
          <w:marBottom w:val="0"/>
          <w:divBdr>
            <w:top w:val="none" w:sz="0" w:space="0" w:color="auto"/>
            <w:left w:val="none" w:sz="0" w:space="0" w:color="auto"/>
            <w:bottom w:val="none" w:sz="0" w:space="0" w:color="auto"/>
            <w:right w:val="none" w:sz="0" w:space="0" w:color="auto"/>
          </w:divBdr>
        </w:div>
      </w:divsChild>
    </w:div>
    <w:div w:id="202971823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CA7B82D9-BAC8-4848-AE00-C56A2A533FAB}"/>
      </w:docPartPr>
      <w:docPartBody>
        <w:p w:rsidR="0097365E" w:rsidRDefault="00CC33F1">
          <w:r w:rsidRPr="004349D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F1"/>
    <w:rsid w:val="00585306"/>
    <w:rsid w:val="006B042D"/>
    <w:rsid w:val="0097365E"/>
    <w:rsid w:val="009B76AE"/>
    <w:rsid w:val="00A15747"/>
    <w:rsid w:val="00A715C4"/>
    <w:rsid w:val="00AB4145"/>
    <w:rsid w:val="00CC33F1"/>
    <w:rsid w:val="00DD1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B4145"/>
    <w:rPr>
      <w:color w:val="666666"/>
    </w:rPr>
  </w:style>
  <w:style w:type="paragraph" w:customStyle="1" w:styleId="83EF82AFBB454D61B9E45EAA52D8CC03">
    <w:name w:val="83EF82AFBB454D61B9E45EAA52D8CC03"/>
    <w:rsid w:val="00AB4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8E0F4A-DEAC-41B0-A8DA-3FEF1B15A398}">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e6854a56-3a97-42f7-9740-f7742c663e54&quot;,&quot;properties&quot;:{&quot;noteIndex&quot;:0},&quot;isEdited&quot;:false,&quot;manualOverride&quot;:{&quot;isManuallyOverridden&quot;:false,&quot;citeprocText&quot;:&quot;(Mannan, 2012)&quot;,&quot;manualOverrideText&quot;:&quot;&quot;},&quot;citationTag&quot;:&quot;MENDELEY_CITATION_v3_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&quot;,&quot;citationItems&quot;:[{&quot;id&quot;:&quot;93fffab0-f7a2-385b-adbf-999abebc860c&quot;,&quot;itemData&quot;:{&quot;type&quot;:&quot;book&quot;,&quot;id&quot;:&quot;93fffab0-f7a2-385b-adbf-999abebc860c&quot;,&quot;title&quot;:&quot;Lees' Loss Prevention in the Process Industries: Hazard Identification, Assessment and Control&quot;,&quot;author&quot;:[{&quot;family&quot;:&quot;Mannan&quot;,&quot;given&quot;:&quot;Sam&quot;,&quot;parse-names&quot;:false,&quot;dropping-particle&quot;:&quot;&quot;,&quot;non-dropping-particle&quot;:&quot;&quot;}],&quot;issued&quot;:{&quot;date-parts&quot;:[[2012]]},&quot;publisher-place&quot;:&quot;UK: Butterworth-Heinemann&quot;,&quot;edition&quot;:&quot;4th&quot;,&quot;publisher&quot;:&quot;Elsevier&quot;,&quot;container-title-short&quot;:&quot;&quot;},&quot;isTemporary&quot;:false}]},{&quot;citationID&quot;:&quot;MENDELEY_CITATION_b35ebe31-eb43-4ed7-b850-5f765cda7147&quot;,&quot;properties&quot;:{&quot;noteIndex&quot;:0},&quot;isEdited&quot;:false,&quot;manualOverride&quot;:{&quot;isManuallyOverridden&quot;:false,&quot;citeprocText&quot;:&quot;(Iaiani et al., 2024)&quot;,&quot;manualOverrideText&quot;:&quot;&quot;},&quot;citationTag&quot;:&quot;MENDELEY_CITATION_v3_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&quot;,&quot;citationItems&quot;:[{&quot;id&quot;:&quot;a4edf172-2180-38cc-8290-e18f2f83f494&quot;,&quot;itemData&quot;:{&quot;type&quot;:&quot;article-journal&quot;,&quot;id&quot;:&quot;a4edf172-2180-38cc-8290-e18f2f83f494&quot;,&quot;title&quot;:&quot;Modelling standoff distances to prevent escalation in shooting attacks to tanks storing hazardous materials&quot;,&quot;author&quot;:[{&quot;family&quot;:&quot;Iaiani&quot;,&quot;given&quot;:&quot;Matteo&quot;,&quot;parse-names&quot;:false,&quot;dropping-particle&quot;:&quot;&quot;,&quot;non-dropping-particle&quot;:&quot;&quot;},{&quot;family&quot;:&quot;Sorichetti&quot;,&quot;given&quot;:&quot;Riccardo&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container-title&quot;:&quot;Reliability Engineering &amp; System Safety&quot;,&quot;container-title-short&quot;:&quot;Reliab Eng Syst Saf&quot;,&quot;DOI&quot;:&quot;10.1016/j.ress.2023.109689&quot;,&quot;ISSN&quot;:&quot;09518320&quot;,&quot;URL&quot;:&quot;https://linkinghub.elsevier.com/retrieve/pii/S0951832023006038&quot;,&quot;issued&quot;:{&quot;date-parts&quot;:[[2024,1]]},&quot;page&quot;:&quot;109689&quot;,&quot;volume&quot;:&quot;241&quot;},&quot;isTemporary&quot;:false}]},{&quot;citationID&quot;:&quot;MENDELEY_CITATION_cbe43595-46d2-4a15-a163-57d6c7777145&quot;,&quot;properties&quot;:{&quot;noteIndex&quot;:0},&quot;isEdited&quot;:false,&quot;manualOverride&quot;:{&quot;isManuallyOverridden&quot;:false,&quot;citeprocText&quot;:&quot;(Iaiani et al., 2023)&quot;,&quot;manualOverrideText&quot;:&quot;&quot;},&quot;citationTag&quot;:&quot;MENDELEY_CITATION_v3_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&quot;,&quot;citationItems&quot;:[{&quot;id&quot;:&quot;94dbfd9c-891b-374c-b82c-dbd187c8d279&quot;,&quot;itemData&quot;:{&quot;type&quot;:&quot;article-journal&quot;,&quot;id&quot;:&quot;94dbfd9c-891b-374c-b82c-dbd187c8d279&quot;,&quot;title&quot;:&quot;Identification of cyber-risks for the control and safety instrumented systems: a synergic framework for the process industry&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container-title&quot;:&quot;Process Safety and Environmental Protection&quot;,&quot;DOI&quot;:&quot;10.1016/j.psep.2023.01.078&quot;,&quot;ISSN&quot;:&quot;09575820&quot;,&quot;URL&quot;:&quot;https://linkinghub.elsevier.com/retrieve/pii/S0957582023000885&quot;,&quot;issued&quot;:{&quot;date-parts&quot;:[[2023,2]]},&quot;page&quot;:&quot;69-82&quot;,&quot;volume&quot;:&quot;172&quot;,&quot;container-title-short&quot;:&quot;&quot;},&quot;isTemporary&quot;:false}]},{&quot;citationID&quot;:&quot;MENDELEY_CITATION_b9774b1a-9261-4be4-b58f-3178df82d04f&quot;,&quot;properties&quot;:{&quot;noteIndex&quot;:0},&quot;isEdited&quot;:false,&quot;manualOverride&quot;:{&quot;isManuallyOverridden&quot;:false,&quot;citeprocText&quot;:&quot;(Sales et al., 2007)&quot;,&quot;manualOverrideText&quot;:&quot;&quot;},&quot;citationTag&quot;:&quot;MENDELEY_CITATION_v3_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&quot;,&quot;citationItems&quot;:[{&quot;id&quot;:&quot;895bc10e-6e33-305d-ae89-27ea2d5a5082&quot;,&quot;itemData&quot;:{&quot;type&quot;:&quot;article-journal&quot;,&quot;id&quot;:&quot;895bc10e-6e33-305d-ae89-27ea2d5a5082&quot;,&quot;title&quot;:&quot;Study of major accidents involving chemical reactive substances analysis and lessons learned&quot;,&quot;author&quot;:[{&quot;family&quot;:&quot;Sales&quot;,&quot;given&quot;:&quot;J.&quot;,&quot;parse-names&quot;:false,&quot;dropping-particle&quot;:&quot;&quot;,&quot;non-dropping-particle&quot;:&quot;&quot;},{&quot;family&quot;:&quot;Mushtaq&quot;,&quot;given&quot;:&quot;F.&quot;,&quot;parse-names&quot;:false,&quot;dropping-particle&quot;:&quot;&quot;,&quot;non-dropping-particle&quot;:&quot;&quot;},{&quot;family&quot;:&quot;Christou&quot;,&quot;given&quot;:&quot;M. D.&quot;,&quot;parse-names&quot;:false,&quot;dropping-particle&quot;:&quot;&quot;,&quot;non-dropping-particle&quot;:&quot;&quot;},{&quot;family&quot;:&quot;Nomen&quot;,&quot;given&quot;:&quot;R.&quot;,&quot;parse-names&quot;:false,&quot;dropping-particle&quot;:&quot;&quot;,&quot;non-dropping-particle&quot;:&quot;&quot;}],&quot;container-title&quot;:&quot;Process Safety and Environmental Protection&quot;,&quot;DOI&quot;:&quot;10.1205/psep06012&quot;,&quot;ISSN&quot;:&quot;09575820&quot;,&quot;issued&quot;:{&quot;date-parts&quot;:[[2007,1]]},&quot;page&quot;:&quot;117-124&quot;,&quot;abstract&quot;:&quot;The objective of this paper is to present the results of the analysis performed on a selection of accidents included in the MARS database. This is a database of past accidents that occurred in Europe maintained by the European Commission, in order to help the Member States to meet the requirements of the Seveso and Seveso II directives. The study is focused on those accidents that involve reactions between chemical substances, whether wanted or unwanted, that generated a hazardous situation by loss of control of such reactions. Runaway reactions are known to be especially dangerous, given that many times they are unexpected, or their possible consequences underestimated, so sometimes chemical industries are not ready to cope with the effects of loss of control of reactive processes. The aim of the analysis is to obtain lessons learned from past accidents in order to prevent similar situations in the future, or to reduce their consequences. Understanding the causes of past accidents, including equipment failures, deviations in the expected course of a reaction, or deficiencies in process operations performed, can help to a better understanding of similar processes. Industries working with potentially dangerous chemicals should consider introducing lessons learned into their safety management systems. © 2007 Institution of Chemical Engineers.&quot;,&quot;publisher&quot;:&quot;Institution of Chemical Engineers&quot;,&quot;issue&quot;:&quot;2 B&quot;,&quot;volume&quot;:&quot;85&quot;,&quot;container-title-short&quot;:&quot;&quot;},&quot;isTemporary&quot;:false}]},{&quot;citationID&quot;:&quot;MENDELEY_CITATION_8fd64620-5986-4706-9072-c80bbb013ba7&quot;,&quot;properties&quot;:{&quot;noteIndex&quot;:0},&quot;isEdited&quot;:false,&quot;manualOverride&quot;:{&quot;isManuallyOverridden&quot;:false,&quot;citeprocText&quot;:&quot;(Konstandinidou et al., 2011)&quot;,&quot;manualOverrideText&quot;:&quot;&quot;},&quot;citationTag&quot;:&quot;MENDELEY_CITATION_v3_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&quot;,&quot;citationItems&quot;:[{&quot;id&quot;:&quot;c5b77cf5-2bac-36eb-8990-5897b9e9357d&quot;,&quot;itemData&quot;:{&quot;type&quot;:&quot;article-journal&quot;,&quot;id&quot;:&quot;c5b77cf5-2bac-36eb-8990-5897b9e9357d&quot;,&quot;title&quot;:&quot;In-depth analysis of the causal factors of incidents reported in the Greek petrochemical industry&quot;,&quot;author&quot;:[{&quot;family&quot;:&quot;Konstandinidou&quot;,&quot;given&quot;:&quot;Myrto&quot;,&quot;parse-names&quot;:false,&quot;dropping-particle&quot;:&quot;&quot;,&quot;non-dropping-particle&quot;:&quot;&quot;},{&quot;family&quot;:&quot;Nivolianitou&quot;,&quot;given&quot;:&quot;Zoe&quot;,&quot;parse-names&quot;:false,&quot;dropping-particle&quot;:&quot;&quot;,&quot;non-dropping-particle&quot;:&quot;&quot;},{&quot;family&quot;:&quot;Kefalogianni&quot;,&quot;given&quot;:&quot;Eirini&quot;,&quot;parse-names&quot;:false,&quot;dropping-particle&quot;:&quot;&quot;,&quot;non-dropping-particle&quot;:&quot;&quot;},{&quot;family&quot;:&quot;Caroni&quot;,&quot;given&quot;:&quot;Chrys&quot;,&quot;parse-names&quot;:false,&quot;dropping-particle&quot;:&quot;&quot;,&quot;non-dropping-particle&quot;:&quot;&quot;}],&quot;container-title&quot;:&quot;Reliability Engineering and System Safety&quot;,&quot;container-title-short&quot;:&quot;Reliab Eng Syst Saf&quot;,&quot;DOI&quot;:&quot;10.1016/j.ress.2011.07.010&quot;,&quot;ISSN&quot;:&quot;09518320&quot;,&quot;issued&quot;:{&quot;date-parts&quot;:[[2011,11]]},&quot;page&quot;:&quot;1448-1455&quot;,&quot;abstract&quot;:&quot;This paper presents a statistical analysis of all reported incidents in the Greek petrochemical industry from 1997 to 2003. A comprehensive database has been developed to include industrial accidents (fires, explosions and substance releases), occupational accidents, incidents without significant consequences and near misses. The study concentrates on identifying and analyzing the causal factors related to different consequences of incidents, in particular, injury, absence from work and material damage. Methods of analysis include logistic regression with one of these consequences as dependent variable. The causal factors that are considered cover four major categories related to organizational issues, equipment malfunctions, human errors (of commission or omission) and external causes. Further analyses aim to confirm the value of recording near misses by comparing their causal factors with those of more serious incidents. The statistical analysis highlights the connection between the human factor and the underlying causes of accidents or incidents. © 2011 Elsevier Ltd. All rights reserved.&quot;,&quot;publisher&quot;:&quot;Elsevier&quot;,&quot;issue&quot;:&quot;11&quot;,&quot;volume&quot;:&quot;96&quot;},&quot;isTemporary&quot;:false}]},{&quot;citationID&quot;:&quot;MENDELEY_CITATION_869dcbc4-61fd-45c6-89c9-e8c8a9b26490&quot;,&quot;properties&quot;:{&quot;noteIndex&quot;:0},&quot;isEdited&quot;:false,&quot;manualOverride&quot;:{&quot;isManuallyOverridden&quot;:false,&quot;citeprocText&quot;:&quot;(Jensen and Nielsen, 2007)&quot;,&quot;manualOverrideText&quot;:&quot;&quot;},&quot;citationTag&quot;:&quot;MENDELEY_CITATION_v3_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&quot;,&quot;citationItems&quot;:[{&quot;id&quot;:&quot;91b54cc4-bb19-3f68-854e-67c8af25be5b&quot;,&quot;itemData&quot;:{&quot;type&quot;:&quot;book&quot;,&quot;id&quot;:&quot;91b54cc4-bb19-3f68-854e-67c8af25be5b&quot;,&quot;title&quot;:&quot;Bayesian networks and decision graphs&quot;,&quot;author&quot;:[{&quot;family&quot;:&quot;Jensen&quot;,&quot;given&quot;:&quot;F.V.&quot;,&quot;parse-names&quot;:false,&quot;dropping-particle&quot;:&quot;&quot;,&quot;non-dropping-particle&quot;:&quot;&quot;},{&quot;family&quot;:&quot;Nielsen&quot;,&quot;given&quot;:&quot;T.D.&quot;,&quot;parse-names&quot;:false,&quot;dropping-particle&quot;:&quot;&quot;,&quot;non-dropping-particle&quot;:&quot;&quot;}],&quot;issued&quot;:{&quot;date-parts&quot;:[[2007]]},&quot;publisher-place&quot;:&quot;New York&quot;,&quot;edition&quot;:&quot;2nd&quot;,&quot;publisher&quot;:&quot;Springer&quot;,&quot;container-title-short&quot;:&quot;&quot;},&quot;isTemporary&quot;:false}]},{&quot;citationID&quot;:&quot;MENDELEY_CITATION_5be268ec-1232-4a72-9bc0-71ffe585f980&quot;,&quot;properties&quot;:{&quot;noteIndex&quot;:0},&quot;isEdited&quot;:false,&quot;manualOverride&quot;:{&quot;isManuallyOverridden&quot;:false,&quot;citeprocText&quot;:&quot;(Jensen and Nielsen, 2007)&quot;,&quot;manualOverrideText&quot;:&quot;&quot;},&quot;citationTag&quot;:&quot;MENDELEY_CITATION_v3_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&quot;,&quot;citationItems&quot;:[{&quot;id&quot;:&quot;91b54cc4-bb19-3f68-854e-67c8af25be5b&quot;,&quot;itemData&quot;:{&quot;type&quot;:&quot;book&quot;,&quot;id&quot;:&quot;91b54cc4-bb19-3f68-854e-67c8af25be5b&quot;,&quot;title&quot;:&quot;Bayesian networks and decision graphs&quot;,&quot;author&quot;:[{&quot;family&quot;:&quot;Jensen&quot;,&quot;given&quot;:&quot;F.V.&quot;,&quot;parse-names&quot;:false,&quot;dropping-particle&quot;:&quot;&quot;,&quot;non-dropping-particle&quot;:&quot;&quot;},{&quot;family&quot;:&quot;Nielsen&quot;,&quot;given&quot;:&quot;T.D.&quot;,&quot;parse-names&quot;:false,&quot;dropping-particle&quot;:&quot;&quot;,&quot;non-dropping-particle&quot;:&quot;&quot;}],&quot;issued&quot;:{&quot;date-parts&quot;:[[2007]]},&quot;publisher-place&quot;:&quot;New York&quot;,&quot;edition&quot;:&quot;2nd&quot;,&quot;publisher&quot;:&quot;Springer&quot;,&quot;container-title-short&quot;:&quot;&quot;},&quot;isTemporary&quot;:false}]},{&quot;citationID&quot;:&quot;MENDELEY_CITATION_081f2380-25fe-466f-8636-44769c9e2dfb&quot;,&quot;properties&quot;:{&quot;noteIndex&quot;:0},&quot;isEdited&quot;:false,&quot;manualOverride&quot;:{&quot;isManuallyOverridden&quot;:false,&quot;citeprocText&quot;:&quot;(Oniśko et al., 2001)&quot;,&quot;manualOverrideText&quot;:&quot;&quot;},&quot;citationTag&quot;:&quot;MENDELEY_CITATION_v3_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&quot;,&quot;citationItems&quot;:[{&quot;id&quot;:&quot;6de918ed-1e76-3ebf-81ee-34f35cfaa85e&quot;,&quot;itemData&quot;:{&quot;type&quot;:&quot;article-journal&quot;,&quot;id&quot;:&quot;6de918ed-1e76-3ebf-81ee-34f35cfaa85e&quot;,&quot;title&quot;:&quot;Learning Bayesian network parameters from small data sets: application of Noisy-OR gates&quot;,&quot;author&quot;:[{&quot;family&quot;:&quot;Oniśko&quot;,&quot;given&quot;:&quot;Agnieszka&quot;,&quot;parse-names&quot;:false,&quot;dropping-particle&quot;:&quot;&quot;,&quot;non-dropping-particle&quot;:&quot;&quot;},{&quot;family&quot;:&quot;Druzdzel&quot;,&quot;given&quot;:&quot;Marek J.&quot;,&quot;parse-names&quot;:false,&quot;dropping-particle&quot;:&quot;&quot;,&quot;non-dropping-particle&quot;:&quot;&quot;},{&quot;family&quot;:&quot;Wasyluk&quot;,&quot;given&quot;:&quot;Hanna&quot;,&quot;parse-names&quot;:false,&quot;dropping-particle&quot;:&quot;&quot;,&quot;non-dropping-particle&quot;:&quot;&quot;}],&quot;container-title&quot;:&quot;International Journal of Approximate Reasoning&quot;,&quot;DOI&quot;:&quot;10.1016/S0888-613X(01)00039-1&quot;,&quot;ISSN&quot;:&quot;0888613X&quot;,&quot;issued&quot;:{&quot;date-parts&quot;:[[2001,8]]},&quot;page&quot;:&quot;165-182&quot;,&quot;issue&quot;:&quot;2&quot;,&quot;volume&quot;:&quot;27&quot;,&quot;container-title-short&quot;:&quot;&quot;},&quot;isTemporary&quot;:false}]},{&quot;citationID&quot;:&quot;MENDELEY_CITATION_14ece00b-5aeb-42c1-bda4-fc6fb05bd88c&quot;,&quot;properties&quot;:{&quot;noteIndex&quot;:0},&quot;isEdited&quot;:false,&quot;manualOverride&quot;:{&quot;isManuallyOverridden&quot;:false,&quot;citeprocText&quot;:&quot;(Kjærulff and van der Gaag, 2000)&quot;,&quot;manualOverrideText&quot;:&quot;&quot;},&quot;citationTag&quot;:&quot;MENDELEY_CITATION_v3_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&quot;,&quot;citationItems&quot;:[{&quot;id&quot;:&quot;fe247727-49d1-3ae0-822e-305cc5a2a5c3&quot;,&quot;itemData&quot;:{&quot;type&quot;:&quot;paper-conference&quot;,&quot;id&quot;:&quot;fe247727-49d1-3ae0-822e-305cc5a2a5c3&quot;,&quot;title&quot;:&quot;Making Sensitivity Analysis Computationally Efficient&quot;,&quot;author&quot;:[{&quot;family&quot;:&quot;Kjærulff&quot;,&quot;given&quot;:&quot;Uffe&quot;,&quot;parse-names&quot;:false,&quot;dropping-particle&quot;:&quot;&quot;,&quot;non-dropping-particle&quot;:&quot;&quot;},{&quot;family&quot;:&quot;Gaag&quot;,&quot;given&quot;:&quot;Linda C.&quot;,&quot;parse-names&quot;:false,&quot;dropping-particle&quot;:&quot;&quot;,&quot;non-dropping-particle&quot;:&quot;van der&quot;}],&quot;container-title&quot;:&quot;Sixteenth Annual Conference on Uncertainty in Artificial Intelligence (UAI 2000)&quot;,&quot;issued&quot;:{&quot;date-parts&quot;:[[2000]]},&quot;page&quot;:&quot;317-325&quot;,&quot;container-title-short&quot;:&quot;&quot;},&quot;isTemporary&quot;:false}]},{&quot;citationID&quot;:&quot;MENDELEY_CITATION_33a41a01-e2a0-40a7-bc78-2c6981d97de6&quot;,&quot;properties&quot;:{&quot;noteIndex&quot;:0},&quot;isEdited&quot;:false,&quot;manualOverride&quot;:{&quot;isManuallyOverridden&quot;:false,&quot;citeprocText&quot;:&quot;(Lane et al., 2003)&quot;,&quot;manualOverrideText&quot;:&quot;&quot;},&quot;citationTag&quot;:&quot;MENDELEY_CITATION_v3_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&quot;,&quot;citationItems&quot;:[{&quot;id&quot;:&quot;0a0a14dc-8aca-332c-a62b-56540a45e0b3&quot;,&quot;itemData&quot;:{&quot;type&quot;:&quot;book&quot;,&quot;id&quot;:&quot;0a0a14dc-8aca-332c-a62b-56540a45e0b3&quot;,&quot;title&quot;:&quot;Introduction to Statistics&quot;,&quot;author&quot;:[{&quot;family&quot;:&quot;Lane&quot;,&quot;given&quot;:&quot;David M&quot;,&quot;parse-names&quot;:false,&quot;dropping-particle&quot;:&quot;&quot;,&quot;non-dropping-particle&quot;:&quot;&quot;},{&quot;family&quot;:&quot;Scott&quot;,&quot;given&quot;:&quot;David&quot;,&quot;parse-names&quot;:false,&quot;dropping-particle&quot;:&quot;&quot;,&quot;non-dropping-particle&quot;:&quot;&quot;},{&quot;family&quot;:&quot;Hebl&quot;,&quot;given&quot;:&quot;Mikki&quot;,&quot;parse-names&quot;:false,&quot;dropping-particle&quot;:&quot;&quot;,&quot;non-dropping-particle&quot;:&quot;&quot;},{&quot;family&quot;:&quot;Guerra&quot;,&quot;given&quot;:&quot;Rudy&quot;,&quot;parse-names&quot;:false,&quot;dropping-particle&quot;:&quot;&quot;,&quot;non-dropping-particle&quot;:&quot;&quot;},{&quot;family&quot;:&quot;Osherson&quot;,&quot;given&quot;:&quot;Dan&quot;,&quot;parse-names&quot;:false,&quot;dropping-particle&quot;:&quot;&quot;,&quot;non-dropping-particle&quot;:&quot;&quot;},{&quot;family&quot;:&quot;Zimmer&quot;,&quot;given&quot;:&quot;Heidi&quot;,&quot;parse-names&quot;:false,&quot;dropping-particle&quot;:&quot;&quot;,&quot;non-dropping-particle&quot;:&quot;&quot;}],&quot;issued&quot;:{&quot;date-parts&quot;:[[2003]]},&quot;publisher&quot;:&quot;Rice University&quot;,&quot;container-title-short&quot;:&quot;&quot;},&quot;isTemporary&quot;:false}]},{&quot;citationID&quot;:&quot;MENDELEY_CITATION_ba1ba384-8901-4821-b9cd-ab626dba86c4&quot;,&quot;properties&quot;:{&quot;noteIndex&quot;:0},&quot;isEdited&quot;:false,&quot;manualOverride&quot;:{&quot;isManuallyOverridden&quot;:true,&quot;citeprocText&quot;:&quot;(American Petroleum Institute (API), 2010)&quot;,&quot;manualOverrideText&quot;:&quot;(API, 2010)&quot;},&quot;citationTag&quot;:&quot;MENDELEY_CITATION_v3_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&quot;,&quot;citationItems&quot;:[{&quot;id&quot;:&quot;2126a87c-56cd-3786-8b0e-007ec7277326&quot;,&quot;itemData&quot;:{&quot;type&quot;:&quot;article&quot;,&quot;id&quot;:&quot;2126a87c-56cd-3786-8b0e-007ec7277326&quot;,&quot;title&quot;:&quot;API RP 70: Security for Offshore Oil and Natural Gas Operations&quot;,&quot;author&quot;:[{&quot;family&quot;:&quot;American Petroleum Institute (API)&quot;,&quot;given&quot;:&quot;&quot;,&quot;parse-names&quot;:false,&quot;dropping-particle&quot;:&quot;&quot;,&quot;non-dropping-particle&quot;:&quot;&quot;}],&quot;issued&quot;:{&quot;date-parts&quot;:[[2010]]},&quot;publisher&quot;:&quot;American Petroleum Institute (API)&quot;,&quot;container-title-short&quot;:&quot;&quot;},&quot;isTemporary&quot;:false}]}]"/>
    <we:property name="MENDELEY_CITATIONS_LOCALE_CODE" value="&quot;en-US&quot;"/>
    <we:property name="MENDELEY_CITATIONS_STYLE" value="{&quot;id&quot;:&quot;https://www.zotero.org/styles/process-safety-and-environmental-protection&quot;,&quot;title&quot;:&quot;Process Safety and Environmental Prote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6</Pages>
  <Words>3527</Words>
  <Characters>20109</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Matteo Iaiani</cp:lastModifiedBy>
  <cp:revision>335</cp:revision>
  <cp:lastPrinted>2024-11-20T10:14:00Z</cp:lastPrinted>
  <dcterms:created xsi:type="dcterms:W3CDTF">2024-02-20T10:29:00Z</dcterms:created>
  <dcterms:modified xsi:type="dcterms:W3CDTF">2024-11-20T12:58:00Z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