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bookmarkStart w:id="0" w:name="_Hlk145068772"/>
            <w:r w:rsidRPr="00B57B36">
              <w:rPr>
                <w:rFonts w:ascii="AdvP6960" w:hAnsi="AdvP6960" w:cs="AdvP6960"/>
                <w:noProof/>
                <w:color w:val="241F20"/>
                <w:szCs w:val="18"/>
                <w:lang w:eastAsia="en-GB"/>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47EF826C"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VOL.</w:t>
            </w:r>
            <w:r w:rsidR="00785BF9">
              <w:rPr>
                <w:rFonts w:cs="Arial"/>
                <w:b/>
                <w:bCs/>
                <w:i/>
                <w:iCs/>
                <w:color w:val="000066"/>
                <w:sz w:val="22"/>
                <w:szCs w:val="22"/>
                <w:lang w:eastAsia="it-IT"/>
              </w:rPr>
              <w:t xml:space="preserve"> </w:t>
            </w:r>
            <w:r w:rsidR="00994C6A">
              <w:rPr>
                <w:rFonts w:cs="Arial"/>
                <w:b/>
                <w:bCs/>
                <w:i/>
                <w:iCs/>
                <w:color w:val="000066"/>
                <w:sz w:val="22"/>
                <w:szCs w:val="22"/>
                <w:lang w:eastAsia="it-IT"/>
              </w:rPr>
              <w:t>xxx</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994C6A">
              <w:rPr>
                <w:rFonts w:cs="Arial"/>
                <w:b/>
                <w:bCs/>
                <w:i/>
                <w:iCs/>
                <w:color w:val="000066"/>
                <w:sz w:val="22"/>
                <w:szCs w:val="22"/>
                <w:lang w:eastAsia="it-IT"/>
              </w:rPr>
              <w:t>5</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eastAsia="en-GB"/>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934971"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8E17F6" w:rsidRDefault="000D0268" w:rsidP="00CD5FE2">
            <w:pPr>
              <w:spacing w:line="140" w:lineRule="atLeast"/>
              <w:jc w:val="right"/>
              <w:rPr>
                <w:rFonts w:cs="Arial"/>
                <w:sz w:val="13"/>
                <w:szCs w:val="13"/>
                <w:lang w:val="nb-NO"/>
              </w:rPr>
            </w:pPr>
            <w:r w:rsidRPr="008E17F6">
              <w:rPr>
                <w:rFonts w:cs="Arial"/>
                <w:sz w:val="13"/>
                <w:szCs w:val="13"/>
                <w:lang w:val="nb-NO"/>
              </w:rPr>
              <w:t>Online at www.cetjournal.it</w:t>
            </w:r>
          </w:p>
        </w:tc>
      </w:tr>
      <w:tr w:rsidR="000A03B2" w:rsidRPr="00B57B36" w14:paraId="2D1B7169" w14:textId="77777777" w:rsidTr="00DE264A">
        <w:trPr>
          <w:trHeight w:val="68"/>
          <w:jc w:val="center"/>
        </w:trPr>
        <w:tc>
          <w:tcPr>
            <w:tcW w:w="8789" w:type="dxa"/>
            <w:gridSpan w:val="2"/>
          </w:tcPr>
          <w:p w14:paraId="30F07041" w14:textId="4A883A24" w:rsidR="00F27EE4" w:rsidRPr="00F27EE4" w:rsidRDefault="00AA7D26" w:rsidP="00F27EE4">
            <w:pPr>
              <w:ind w:left="-107"/>
              <w:rPr>
                <w:rFonts w:ascii="Tahoma" w:hAnsi="Tahoma" w:cs="Tahoma"/>
                <w:b/>
                <w:bCs/>
                <w:color w:val="000000"/>
                <w:sz w:val="14"/>
                <w:szCs w:val="14"/>
                <w:shd w:val="clear" w:color="auto" w:fill="FFFFFF"/>
                <w:lang w:val="it-IT"/>
              </w:rPr>
            </w:pPr>
            <w:r w:rsidRPr="00F27EE4">
              <w:rPr>
                <w:rFonts w:ascii="Tahoma" w:hAnsi="Tahoma" w:cs="Tahoma"/>
                <w:iCs/>
                <w:color w:val="333333"/>
                <w:sz w:val="14"/>
                <w:szCs w:val="14"/>
                <w:lang w:val="it-IT" w:eastAsia="it-IT"/>
              </w:rPr>
              <w:t>Guest Editors:</w:t>
            </w:r>
            <w:r w:rsidR="007D610D" w:rsidRPr="00F27EE4">
              <w:rPr>
                <w:rFonts w:ascii="Aptos" w:eastAsiaTheme="minorHAnsi" w:hAnsi="Aptos" w:cs="Aptos"/>
                <w:sz w:val="22"/>
                <w:szCs w:val="22"/>
                <w:lang w:val="it-IT"/>
                <w14:ligatures w14:val="standardContextual"/>
              </w:rPr>
              <w:t xml:space="preserve"> </w:t>
            </w:r>
            <w:r w:rsidR="00F27EE4" w:rsidRPr="00F27EE4">
              <w:rPr>
                <w:rFonts w:ascii="Tahoma" w:hAnsi="Tahoma" w:cs="Tahoma"/>
                <w:color w:val="000000"/>
                <w:sz w:val="14"/>
                <w:szCs w:val="14"/>
                <w:shd w:val="clear" w:color="auto" w:fill="FFFFFF"/>
                <w:lang w:val="it-IT"/>
              </w:rPr>
              <w:t>Bruno Fabiano, Va</w:t>
            </w:r>
            <w:r w:rsidR="00F27EE4">
              <w:rPr>
                <w:rFonts w:ascii="Tahoma" w:hAnsi="Tahoma" w:cs="Tahoma"/>
                <w:color w:val="000000"/>
                <w:sz w:val="14"/>
                <w:szCs w:val="14"/>
                <w:shd w:val="clear" w:color="auto" w:fill="FFFFFF"/>
                <w:lang w:val="it-IT"/>
              </w:rPr>
              <w:t>lerio Cozzani</w:t>
            </w:r>
          </w:p>
          <w:p w14:paraId="1B0F1814" w14:textId="2DB8A072"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994C6A">
              <w:rPr>
                <w:rFonts w:ascii="Tahoma" w:hAnsi="Tahoma" w:cs="Tahoma"/>
                <w:iCs/>
                <w:color w:val="333333"/>
                <w:sz w:val="14"/>
                <w:szCs w:val="14"/>
                <w:lang w:eastAsia="it-IT"/>
              </w:rPr>
              <w:t>5</w:t>
            </w:r>
            <w:r w:rsidRPr="00B57B36">
              <w:rPr>
                <w:rFonts w:ascii="Tahoma" w:hAnsi="Tahoma" w:cs="Tahoma"/>
                <w:iCs/>
                <w:color w:val="333333"/>
                <w:sz w:val="14"/>
                <w:szCs w:val="14"/>
                <w:lang w:eastAsia="it-IT"/>
              </w:rPr>
              <w:t>, AIDIC Servizi S.r.l.</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3B49CD" w:rsidRPr="000562A9">
              <w:rPr>
                <w:rFonts w:ascii="Tahoma" w:hAnsi="Tahoma" w:cs="Tahoma"/>
                <w:sz w:val="14"/>
                <w:szCs w:val="14"/>
              </w:rPr>
              <w:t>97</w:t>
            </w:r>
            <w:r w:rsidR="003B49CD">
              <w:rPr>
                <w:rFonts w:ascii="Tahoma" w:hAnsi="Tahoma" w:cs="Tahoma"/>
                <w:sz w:val="14"/>
                <w:szCs w:val="14"/>
              </w:rPr>
              <w:t>9</w:t>
            </w:r>
            <w:r w:rsidR="003B49CD" w:rsidRPr="000562A9">
              <w:rPr>
                <w:rFonts w:ascii="Tahoma" w:hAnsi="Tahoma" w:cs="Tahoma"/>
                <w:sz w:val="14"/>
                <w:szCs w:val="14"/>
              </w:rPr>
              <w:t>-</w:t>
            </w:r>
            <w:r w:rsidR="003B49CD">
              <w:rPr>
                <w:rFonts w:ascii="Tahoma" w:hAnsi="Tahoma" w:cs="Tahoma"/>
                <w:sz w:val="14"/>
                <w:szCs w:val="14"/>
              </w:rPr>
              <w:t>12</w:t>
            </w:r>
            <w:r w:rsidR="003B49CD" w:rsidRPr="000562A9">
              <w:rPr>
                <w:rFonts w:ascii="Tahoma" w:hAnsi="Tahoma" w:cs="Tahoma"/>
                <w:sz w:val="14"/>
                <w:szCs w:val="14"/>
              </w:rPr>
              <w:t>-</w:t>
            </w:r>
            <w:r w:rsidR="003B49CD">
              <w:rPr>
                <w:rFonts w:ascii="Tahoma" w:hAnsi="Tahoma" w:cs="Tahoma"/>
                <w:sz w:val="14"/>
                <w:szCs w:val="14"/>
              </w:rPr>
              <w:t>81206-</w:t>
            </w:r>
            <w:r w:rsidR="00F27EE4">
              <w:rPr>
                <w:rFonts w:ascii="Tahoma" w:hAnsi="Tahoma" w:cs="Tahoma"/>
                <w:sz w:val="14"/>
                <w:szCs w:val="14"/>
              </w:rPr>
              <w:t>xx-y</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bookmarkEnd w:id="0"/>
    <w:p w14:paraId="2E667253" w14:textId="6C398619" w:rsidR="00E978D0" w:rsidRPr="00B57B36" w:rsidRDefault="002B6188" w:rsidP="00E978D0">
      <w:pPr>
        <w:pStyle w:val="CETTitle"/>
      </w:pPr>
      <w:r>
        <w:t xml:space="preserve">Advanced </w:t>
      </w:r>
      <w:r w:rsidR="002842A5">
        <w:t>B</w:t>
      </w:r>
      <w:r>
        <w:t xml:space="preserve">oundary </w:t>
      </w:r>
      <w:r w:rsidR="002842A5">
        <w:t>C</w:t>
      </w:r>
      <w:r>
        <w:t xml:space="preserve">onditions </w:t>
      </w:r>
      <w:r w:rsidR="000B5B51">
        <w:t>F</w:t>
      </w:r>
      <w:r>
        <w:t xml:space="preserve">or </w:t>
      </w:r>
      <w:r w:rsidR="000B5B51">
        <w:t>T</w:t>
      </w:r>
      <w:r>
        <w:t xml:space="preserve">he </w:t>
      </w:r>
      <w:r w:rsidR="000B5B51">
        <w:t>S</w:t>
      </w:r>
      <w:r>
        <w:t xml:space="preserve">imulation </w:t>
      </w:r>
      <w:r w:rsidR="000B5B51">
        <w:t>O</w:t>
      </w:r>
      <w:r>
        <w:t xml:space="preserve">f </w:t>
      </w:r>
      <w:r w:rsidR="000B5B51">
        <w:t>F</w:t>
      </w:r>
      <w:r>
        <w:t xml:space="preserve">ire </w:t>
      </w:r>
      <w:r w:rsidR="000B5B51">
        <w:t>E</w:t>
      </w:r>
      <w:r>
        <w:t xml:space="preserve">ngulfment </w:t>
      </w:r>
      <w:r w:rsidR="000B5B51">
        <w:t>T</w:t>
      </w:r>
      <w:r>
        <w:t xml:space="preserve">ests </w:t>
      </w:r>
      <w:r w:rsidR="000B5B51">
        <w:t>O</w:t>
      </w:r>
      <w:r>
        <w:t xml:space="preserve">f </w:t>
      </w:r>
      <w:r w:rsidR="000B5B51">
        <w:t>C</w:t>
      </w:r>
      <w:r>
        <w:t xml:space="preserve">ryogenic </w:t>
      </w:r>
      <w:r w:rsidR="000B5B51">
        <w:t>S</w:t>
      </w:r>
      <w:r>
        <w:t xml:space="preserve">torage </w:t>
      </w:r>
      <w:r w:rsidR="000B5B51">
        <w:t>T</w:t>
      </w:r>
      <w:r>
        <w:t>anks</w:t>
      </w:r>
    </w:p>
    <w:p w14:paraId="0488FED2" w14:textId="3C77CE86" w:rsidR="00B57E6F" w:rsidRPr="00C10DA6" w:rsidRDefault="002B6188" w:rsidP="00B57E6F">
      <w:pPr>
        <w:pStyle w:val="CETAuthors"/>
        <w:rPr>
          <w:lang w:val="it-IT"/>
        </w:rPr>
      </w:pPr>
      <w:r w:rsidRPr="00C10DA6">
        <w:rPr>
          <w:lang w:val="it-IT"/>
        </w:rPr>
        <w:t>Alice Schiaroli</w:t>
      </w:r>
      <w:r w:rsidR="00B57E6F" w:rsidRPr="00C10DA6">
        <w:rPr>
          <w:vertAlign w:val="superscript"/>
          <w:lang w:val="it-IT"/>
        </w:rPr>
        <w:t>a</w:t>
      </w:r>
      <w:r w:rsidRPr="00C10DA6">
        <w:rPr>
          <w:vertAlign w:val="superscript"/>
          <w:lang w:val="it-IT"/>
        </w:rPr>
        <w:t>,b *</w:t>
      </w:r>
      <w:r w:rsidR="00B57E6F" w:rsidRPr="00C10DA6">
        <w:rPr>
          <w:lang w:val="it-IT"/>
        </w:rPr>
        <w:t xml:space="preserve">, </w:t>
      </w:r>
      <w:r w:rsidRPr="00C10DA6">
        <w:rPr>
          <w:lang w:val="it-IT"/>
        </w:rPr>
        <w:t>Giordano E. Scarponi</w:t>
      </w:r>
      <w:r w:rsidRPr="00C10DA6">
        <w:rPr>
          <w:vertAlign w:val="superscript"/>
          <w:lang w:val="it-IT"/>
        </w:rPr>
        <w:t>a</w:t>
      </w:r>
      <w:r w:rsidRPr="00C10DA6">
        <w:rPr>
          <w:lang w:val="it-IT"/>
        </w:rPr>
        <w:t>, Christian Mata</w:t>
      </w:r>
      <w:r w:rsidRPr="00C10DA6">
        <w:rPr>
          <w:vertAlign w:val="superscript"/>
          <w:lang w:val="it-IT"/>
        </w:rPr>
        <w:t>c</w:t>
      </w:r>
      <w:r w:rsidRPr="00C10DA6">
        <w:rPr>
          <w:lang w:val="it-IT"/>
        </w:rPr>
        <w:t>, Federico Ustolin</w:t>
      </w:r>
      <w:r w:rsidRPr="00C10DA6">
        <w:rPr>
          <w:vertAlign w:val="superscript"/>
          <w:lang w:val="it-IT"/>
        </w:rPr>
        <w:t>b</w:t>
      </w:r>
      <w:r w:rsidRPr="00C10DA6">
        <w:rPr>
          <w:lang w:val="it-IT"/>
        </w:rPr>
        <w:t>, Valerio Cozzani</w:t>
      </w:r>
      <w:r w:rsidRPr="00C10DA6">
        <w:rPr>
          <w:vertAlign w:val="superscript"/>
          <w:lang w:val="it-IT"/>
        </w:rPr>
        <w:t>a</w:t>
      </w:r>
    </w:p>
    <w:p w14:paraId="6B2D21B3" w14:textId="06C39A1C" w:rsidR="00B57E6F" w:rsidRPr="00B57B36" w:rsidRDefault="00B57E6F" w:rsidP="00B57E6F">
      <w:pPr>
        <w:pStyle w:val="CETAddress"/>
      </w:pPr>
      <w:r w:rsidRPr="00B57B36">
        <w:rPr>
          <w:vertAlign w:val="superscript"/>
        </w:rPr>
        <w:t>a</w:t>
      </w:r>
      <w:r w:rsidR="002B6188">
        <w:rPr>
          <w:vertAlign w:val="superscript"/>
        </w:rPr>
        <w:t xml:space="preserve"> </w:t>
      </w:r>
      <w:r w:rsidR="002B6188">
        <w:t>LISES</w:t>
      </w:r>
      <w:r w:rsidRPr="00B57B36">
        <w:t xml:space="preserve"> </w:t>
      </w:r>
      <w:r w:rsidR="002B6188">
        <w:t>– Laboratory of Industrial Safety and Environmental Sustainability – Department of Civil, Chemical, Environmental and Materials Engineering – University of Bologna, via Terracini 28, 40131, Bologna, Italy</w:t>
      </w:r>
    </w:p>
    <w:p w14:paraId="3D72B0B0" w14:textId="48711BCC" w:rsidR="00B57E6F" w:rsidRDefault="00B57E6F" w:rsidP="00B57E6F">
      <w:pPr>
        <w:pStyle w:val="CETAddress"/>
      </w:pPr>
      <w:r w:rsidRPr="00B57B36">
        <w:rPr>
          <w:vertAlign w:val="superscript"/>
        </w:rPr>
        <w:t>b</w:t>
      </w:r>
      <w:r w:rsidR="002B6188">
        <w:rPr>
          <w:vertAlign w:val="superscript"/>
        </w:rPr>
        <w:t xml:space="preserve"> </w:t>
      </w:r>
      <w:r w:rsidR="00F30F42">
        <w:t>Norweg</w:t>
      </w:r>
      <w:r w:rsidR="002B6188">
        <w:t>ian University of Science and Technology – NTNU – Department of Mehcanical and Industrial Engineering. Richard Birkelands vei 2, 7034, Trondheim, Norway</w:t>
      </w:r>
      <w:r w:rsidRPr="00B57B36">
        <w:t xml:space="preserve"> </w:t>
      </w:r>
    </w:p>
    <w:p w14:paraId="39F6966D" w14:textId="3635CEC3" w:rsidR="002B6188" w:rsidRPr="00B57B36" w:rsidRDefault="002B6188" w:rsidP="00B57E6F">
      <w:pPr>
        <w:pStyle w:val="CETAddress"/>
      </w:pPr>
      <w:r>
        <w:rPr>
          <w:vertAlign w:val="superscript"/>
        </w:rPr>
        <w:t xml:space="preserve">c </w:t>
      </w:r>
      <w:r>
        <w:t>Research Centre for Biochemical Engineering (CREB), Universitat Politècninca de Catalunya, 08028, Barcelona, Spain</w:t>
      </w:r>
    </w:p>
    <w:p w14:paraId="46B47D7C" w14:textId="225F2F9C" w:rsidR="009C4446" w:rsidRDefault="002B6188" w:rsidP="009C4446">
      <w:pPr>
        <w:pStyle w:val="CETemail"/>
      </w:pPr>
      <w:hyperlink r:id="rId10" w:history="1">
        <w:r w:rsidRPr="006345C6">
          <w:rPr>
            <w:rStyle w:val="Collegamentoipertestuale"/>
          </w:rPr>
          <w:t>alice.schiaroli@unibo.it</w:t>
        </w:r>
      </w:hyperlink>
      <w:r>
        <w:t xml:space="preserve"> </w:t>
      </w:r>
    </w:p>
    <w:p w14:paraId="273D0BC3" w14:textId="3BF0188E" w:rsidR="004B7575" w:rsidRDefault="004B7575" w:rsidP="00DA64A3">
      <w:pPr>
        <w:pStyle w:val="CETBodytext"/>
        <w:rPr>
          <w:lang w:val="en-GB"/>
        </w:rPr>
      </w:pPr>
      <w:r w:rsidRPr="004B7575">
        <w:rPr>
          <w:lang w:val="en-GB"/>
        </w:rPr>
        <w:t xml:space="preserve">The fire engulfment of a cryogenic </w:t>
      </w:r>
      <w:r w:rsidR="00BB7114">
        <w:rPr>
          <w:lang w:val="en-GB"/>
        </w:rPr>
        <w:t xml:space="preserve">storage </w:t>
      </w:r>
      <w:r w:rsidRPr="004B7575">
        <w:rPr>
          <w:lang w:val="en-GB"/>
        </w:rPr>
        <w:t xml:space="preserve">tank can be simulated using mathematical models. Currently, the available approaches reproduce the real case scenario considering a static full engulfment of the component. Unfortunately, given the dynamic nature of the fire, this simplification is often far from reality, primarily for fires in open environments where wind strongly affects the flame distribution on the tank surface. This study applies a digital image processing technique to replicate the time-varying partial engulfment of a cryogenic storage tank tested in external fire conditions. The obtained results are used to define dynamic boundary conditions implemented in a lumped model to estimate the pressurization </w:t>
      </w:r>
      <w:r w:rsidR="00052793">
        <w:rPr>
          <w:lang w:val="en-GB"/>
        </w:rPr>
        <w:t xml:space="preserve">and heating </w:t>
      </w:r>
      <w:r w:rsidRPr="004B7575">
        <w:rPr>
          <w:lang w:val="en-GB"/>
        </w:rPr>
        <w:t>of the component during the fire attack. The study highlights the improved accuracy in the characterization of the fire obtainable with the present approach and emphasizes the need for a precise characterization of the system to correctly replicate the experimental data.</w:t>
      </w:r>
    </w:p>
    <w:p w14:paraId="1AED3853" w14:textId="40B343FE" w:rsidR="00600535" w:rsidRDefault="00600535" w:rsidP="00B021C1">
      <w:pPr>
        <w:pStyle w:val="CETHeading1"/>
        <w:rPr>
          <w:lang w:val="en-GB"/>
        </w:rPr>
      </w:pPr>
      <w:r w:rsidRPr="00B57B36">
        <w:rPr>
          <w:lang w:val="en-GB"/>
        </w:rPr>
        <w:t>Introduction</w:t>
      </w:r>
    </w:p>
    <w:p w14:paraId="34E4E2EE" w14:textId="326CC1AA" w:rsidR="00D16DEC" w:rsidRPr="00D16DEC" w:rsidRDefault="00D16DEC" w:rsidP="00D16DEC">
      <w:pPr>
        <w:pStyle w:val="CETBodytext"/>
        <w:rPr>
          <w:lang w:val="en-GB"/>
        </w:rPr>
      </w:pPr>
      <w:r w:rsidRPr="00D16DEC">
        <w:rPr>
          <w:lang w:val="en-GB"/>
        </w:rPr>
        <w:t xml:space="preserve">In formulating mathematical models to predict the response of storage tanks engulfed in fires, defining boundary conditions representative of the fire engulfment poses significant challenges. Currently, most available approaches assume a complete </w:t>
      </w:r>
      <w:r w:rsidR="00BC19F8">
        <w:rPr>
          <w:lang w:val="en-GB"/>
        </w:rPr>
        <w:t xml:space="preserve">fire </w:t>
      </w:r>
      <w:r w:rsidRPr="00D16DEC">
        <w:rPr>
          <w:lang w:val="en-GB"/>
        </w:rPr>
        <w:t xml:space="preserve">engulfment of the </w:t>
      </w:r>
      <w:r w:rsidR="002F2A21">
        <w:rPr>
          <w:lang w:val="en-GB"/>
        </w:rPr>
        <w:t>target</w:t>
      </w:r>
      <w:r w:rsidRPr="00D16DEC">
        <w:rPr>
          <w:lang w:val="en-GB"/>
        </w:rPr>
        <w:t>, defining a uniform flame temperature</w:t>
      </w:r>
      <w:r w:rsidR="00BC19F8">
        <w:rPr>
          <w:lang w:val="en-GB"/>
        </w:rPr>
        <w:t xml:space="preserve"> all over </w:t>
      </w:r>
      <w:r w:rsidR="00052793">
        <w:rPr>
          <w:lang w:val="en-GB"/>
        </w:rPr>
        <w:t>its</w:t>
      </w:r>
      <w:r w:rsidR="005057F5">
        <w:rPr>
          <w:lang w:val="en-GB"/>
        </w:rPr>
        <w:t xml:space="preserve"> outer surface</w:t>
      </w:r>
      <w:r w:rsidRPr="00D16DEC">
        <w:rPr>
          <w:lang w:val="en-GB"/>
        </w:rPr>
        <w:t>. However, this assumption neglects fundamental aspects and does not represent real fire accident scenarios</w:t>
      </w:r>
      <w:r w:rsidR="00BC19F8">
        <w:rPr>
          <w:lang w:val="en-GB"/>
        </w:rPr>
        <w:t xml:space="preserve"> that typically involve a partial inhomogeneous fire engulfment, varying with time</w:t>
      </w:r>
      <w:r w:rsidR="00536103">
        <w:rPr>
          <w:lang w:val="en-GB"/>
        </w:rPr>
        <w:t xml:space="preserve"> </w:t>
      </w:r>
      <w:r w:rsidR="00536103">
        <w:rPr>
          <w:lang w:val="en-GB"/>
        </w:rPr>
        <w:fldChar w:fldCharType="begin" w:fldLock="1"/>
      </w:r>
      <w:r w:rsidR="00536103">
        <w:rPr>
          <w:lang w:val="en-GB"/>
        </w:rPr>
        <w:instrText>ADDIN CSL_CITATION {"citationItems":[{"id":"ITEM-1","itemData":{"DOI":"https://doi.org/10.1016/j.psep.2023.12.048","ISSN":"0957-5820","abstract":"Accident scenarios leading to full or partial fire engulfment represent a serious threat to tanks used for the transportation and storage of dangerous goods. The present study focuses on the impact of partial engulfing fire scenarios on an LPG tank. An experimentally validated CFD modeling approach was further developed and applied to perform a parametric study by varying the exposure mode and the filling degree. The results of the simulations show that both these factors have a strong influence on the pressurization rate, the energy accumulation, and the high-temperature mechanical weakening of the tank structure. Fire scenarios where the flame zone is at the top or at the end of the tank are particularly critical when the liquid filling degree is low or medium. Liquid thermal stratification is evident in all the case studies analyzed and, in most of them, it strongly affects the vessel pressurization curve. The comparison to the results obtained using a lumped model showed that this provides non-conservative pressurization results for high filling levels (80%). The results show that a validated CFD approach can be used as a virtual workbench to support tank design within a digital twinning approach.","author":[{"dropping-particle":"","family":"Scarponi","given":"Giordano Emrys","non-dropping-particle":"","parse-names":false,"suffix":""},{"dropping-particle":"","family":"Cozzani","given":"Valerio","non-dropping-particle":"","parse-names":false,"suffix":""},{"dropping-particle":"","family":"Antonioni","given":"Giacomo","non-dropping-particle":"","parse-names":false,"suffix":""},{"dropping-particle":"","family":"Doghieri","given":"Ferruccio","non-dropping-particle":"","parse-names":false,"suffix":""}],"container-title":"Process Safety and Environmental Protection","id":"ITEM-1","issued":{"date-parts":[["2024"]]},"page":"1072-1085","title":"Modeling the behavior of LPG tanks exposed to partially engulfing pool fires","type":"article-journal","volume":"182"},"uris":["http://www.mendeley.com/documents/?uuid=6ec77a1a-9512-43c1-9cca-07485ed97194"]}],"mendeley":{"formattedCitation":"(Scarponi et al., 2024)","plainTextFormattedCitation":"(Scarponi et al., 2024)","previouslyFormattedCitation":"(Scarponi et al., 2024)"},"properties":{"noteIndex":0},"schema":"https://github.com/citation-style-language/schema/raw/master/csl-citation.json"}</w:instrText>
      </w:r>
      <w:r w:rsidR="00536103">
        <w:rPr>
          <w:lang w:val="en-GB"/>
        </w:rPr>
        <w:fldChar w:fldCharType="separate"/>
      </w:r>
      <w:r w:rsidR="00536103" w:rsidRPr="00536103">
        <w:rPr>
          <w:noProof/>
          <w:lang w:val="en-GB"/>
        </w:rPr>
        <w:t>(Scarponi et al., 2024)</w:t>
      </w:r>
      <w:r w:rsidR="00536103">
        <w:rPr>
          <w:lang w:val="en-GB"/>
        </w:rPr>
        <w:fldChar w:fldCharType="end"/>
      </w:r>
      <w:r w:rsidRPr="00D16DEC">
        <w:rPr>
          <w:lang w:val="en-GB"/>
        </w:rPr>
        <w:t>.. Furthermore, when considering fires in</w:t>
      </w:r>
      <w:r w:rsidR="000F7CB6">
        <w:rPr>
          <w:lang w:val="en-GB"/>
        </w:rPr>
        <w:t xml:space="preserve"> the</w:t>
      </w:r>
      <w:r w:rsidRPr="00D16DEC">
        <w:rPr>
          <w:lang w:val="en-GB"/>
        </w:rPr>
        <w:t xml:space="preserve"> open</w:t>
      </w:r>
      <w:r w:rsidR="000F7CB6">
        <w:rPr>
          <w:lang w:val="en-GB"/>
        </w:rPr>
        <w:t xml:space="preserve"> </w:t>
      </w:r>
      <w:r w:rsidRPr="00D16DEC">
        <w:rPr>
          <w:lang w:val="en-GB"/>
        </w:rPr>
        <w:t>air, the</w:t>
      </w:r>
      <w:r w:rsidR="00BC19F8">
        <w:rPr>
          <w:lang w:val="en-GB"/>
        </w:rPr>
        <w:t xml:space="preserve"> approach </w:t>
      </w:r>
      <w:r w:rsidRPr="00D16DEC">
        <w:rPr>
          <w:lang w:val="en-GB"/>
        </w:rPr>
        <w:t xml:space="preserve">becomes even less realistic as it disregards the effect of the wind speed </w:t>
      </w:r>
      <w:r w:rsidR="009A55D1">
        <w:rPr>
          <w:lang w:val="en-GB"/>
        </w:rPr>
        <w:fldChar w:fldCharType="begin" w:fldLock="1"/>
      </w:r>
      <w:r w:rsidR="009A55D1">
        <w:rPr>
          <w:lang w:val="en-GB"/>
        </w:rPr>
        <w:instrText>ADDIN CSL_CITATION {"citationItems":[{"id":"ITEM-1","itemData":{"DOI":"10.3801/IAFSS.FSS.7-915","ISBN":"0954534808","ISSN":"18174299","abstract":"Experiments with a single fire source were carried out in an unconfined space to characterise the effects of cross-winds on apparent flame heights and flame tilt angles. Three sets of propane burners were used as model fire sources. One was a small circular burner, the other was large square burners, and the other was rectangular burners, having the aspect ratio ranging from 1 to 6. A refined empirical model on the apparent flame heights of the inclined flames modified by heat release rate and aspect ratio of fire source was presented. We also developed an empirical model of the flame tilt angles based on the balance of mass between the fluxes given by the upward hot current and the cross-winds. These models are correlations with respect to dimensionless heat release rates, Froude numbers and aspect ratios of fire sources. The values of empirical coefficients and exponents of the correlations were derived from the experimental results. Copyright © International Association for Fire Safety Science.","author":[{"dropping-particle":"","family":"Oka","given":"Yasushi","non-dropping-particle":"","parse-names":false,"suffix":""},{"dropping-particle":"","family":"Sugawa","given":"Osami","non-dropping-particle":"","parse-names":false,"suffix":""},{"dropping-particle":"","family":"Imamura","given":"Tomohiko","non-dropping-particle":"","parse-names":false,"suffix":""},{"dropping-particle":"","family":"Matsubara","given":"Yoshiyuki","non-dropping-particle":"","parse-names":false,"suffix":""}],"container-title":"Fire Safety Science","id":"ITEM-1","issued":{"date-parts":[["2003"]]},"page":"915-926","title":"Effect of cross-winds to apparent flame height and tilt angle from several kinds of fire source","type":"article-journal"},"uris":["http://www.mendeley.com/documents/?uuid=03ac4285-296a-4e9a-b64b-71705635a0ef"]}],"mendeley":{"formattedCitation":"(Oka et al., 2003)","plainTextFormattedCitation":"(Oka et al., 2003)","previouslyFormattedCitation":"(Oka et al., 2003)"},"properties":{"noteIndex":0},"schema":"https://github.com/citation-style-language/schema/raw/master/csl-citation.json"}</w:instrText>
      </w:r>
      <w:r w:rsidR="009A55D1">
        <w:rPr>
          <w:lang w:val="en-GB"/>
        </w:rPr>
        <w:fldChar w:fldCharType="separate"/>
      </w:r>
      <w:r w:rsidR="009A55D1" w:rsidRPr="009A55D1">
        <w:rPr>
          <w:noProof/>
          <w:lang w:val="en-GB"/>
        </w:rPr>
        <w:t>(Oka et al., 2003)</w:t>
      </w:r>
      <w:r w:rsidR="009A55D1">
        <w:rPr>
          <w:lang w:val="en-GB"/>
        </w:rPr>
        <w:fldChar w:fldCharType="end"/>
      </w:r>
      <w:r w:rsidR="009A55D1">
        <w:rPr>
          <w:lang w:val="en-GB"/>
        </w:rPr>
        <w:t xml:space="preserve"> </w:t>
      </w:r>
      <w:r w:rsidRPr="00D16DEC">
        <w:rPr>
          <w:lang w:val="en-GB"/>
        </w:rPr>
        <w:t>and direction on the flame distribution around the component</w:t>
      </w:r>
      <w:r w:rsidR="009A55D1">
        <w:rPr>
          <w:lang w:val="en-GB"/>
        </w:rPr>
        <w:t xml:space="preserve"> </w:t>
      </w:r>
      <w:r w:rsidR="009A55D1">
        <w:rPr>
          <w:lang w:val="en-GB"/>
        </w:rPr>
        <w:fldChar w:fldCharType="begin" w:fldLock="1"/>
      </w:r>
      <w:r w:rsidR="00577E02">
        <w:rPr>
          <w:lang w:val="en-GB"/>
        </w:rPr>
        <w:instrText>ADDIN CSL_CITATION {"citationItems":[{"id":"ITEM-1","itemData":{"DOI":"https://doi.org/10.1016/j.jlp.2019.103990","ISSN":"0950-4230","abstract":"This work presents numerical modeling and quantitative results of the heat transfer process from a burning tank to an adjacent tank. The flame is represented by a solid flame model in which two zones are identified: a lower clear flame layer with high temperatures and a darker upper layer in which the flame carries soot and smoke. Semi-empirical models are used to estimate the geometry of the flame; other models were also adopted to account for wind effects. The emissive power of each layer of the flame was locally evaluated as a function of temperature. A heat transfer process was followed from the flame to the target tank, at which an energy balance is carried out to include radiation from the flame, radiation from target tank surfaces, and convection to air and to fuel stored in the target tank. The results are presented in the form of temperature distributions on the target tank, which are an ingredient to perform structural analysis. Parametric studies are carried out to investigate the influence of the vertical location of the flame, wind speed, level and temperature of the fuel stored in the target tank, size and distance between tanks. Flame location at ground level, wind speed, higher temperatures of stored fluids, and short separation between tanks are identified as crucial elements increasing thermal effects on the target tank, but the results are not so much influenced by tank size.","author":[{"dropping-particle":"","family":"Espinosa","given":"Susana N","non-dropping-particle":"","parse-names":false,"suffix":""},{"dropping-particle":"","family":"Jaca","given":"Rossana C","non-dropping-particle":"","parse-names":false,"suffix":""},{"dropping-particle":"","family":"Godoy","given":"Luis A","non-dropping-particle":"","parse-names":false,"suffix":""}],"container-title":"Journal of Loss Prevention in the Process Industries","id":"ITEM-1","issued":{"date-parts":[["2019"]]},"page":"103990","title":"Thermal effects of fire on a nearby fuel storage tank","type":"article-journal","volume":"62"},"uris":["http://www.mendeley.com/documents/?uuid=13281d52-2da2-4805-afe1-b11861f72168"]}],"mendeley":{"formattedCitation":"(Espinosa et al., 2019)","plainTextFormattedCitation":"(Espinosa et al., 2019)","previouslyFormattedCitation":"(Espinosa et al., 2019)"},"properties":{"noteIndex":0},"schema":"https://github.com/citation-style-language/schema/raw/master/csl-citation.json"}</w:instrText>
      </w:r>
      <w:r w:rsidR="009A55D1">
        <w:rPr>
          <w:lang w:val="en-GB"/>
        </w:rPr>
        <w:fldChar w:fldCharType="separate"/>
      </w:r>
      <w:r w:rsidR="009A55D1" w:rsidRPr="009A55D1">
        <w:rPr>
          <w:noProof/>
          <w:lang w:val="en-GB"/>
        </w:rPr>
        <w:t>(Espinosa et al., 2019)</w:t>
      </w:r>
      <w:r w:rsidR="009A55D1">
        <w:rPr>
          <w:lang w:val="en-GB"/>
        </w:rPr>
        <w:fldChar w:fldCharType="end"/>
      </w:r>
      <w:r w:rsidR="00536103">
        <w:rPr>
          <w:lang w:val="en-GB"/>
        </w:rPr>
        <w:t>.</w:t>
      </w:r>
      <w:r w:rsidRPr="00D16DEC">
        <w:rPr>
          <w:lang w:val="en-GB"/>
        </w:rPr>
        <w:t xml:space="preserve"> As demonstrated in previous studies, the engulfment mode, including the engulfment level and the position of the flame, strongly affects the tank thermal response, especially in terms of self-pressurization</w:t>
      </w:r>
      <w:r w:rsidR="0018665C">
        <w:rPr>
          <w:lang w:val="en-GB"/>
        </w:rPr>
        <w:t xml:space="preserve"> </w:t>
      </w:r>
      <w:r w:rsidR="0018665C">
        <w:rPr>
          <w:lang w:val="en-GB"/>
        </w:rPr>
        <w:fldChar w:fldCharType="begin" w:fldLock="1"/>
      </w:r>
      <w:r w:rsidR="00286560">
        <w:rPr>
          <w:lang w:val="en-GB"/>
        </w:rPr>
        <w:instrText>ADDIN CSL_CITATION {"citationItems":[{"id":"ITEM-1","itemData":{"DOI":"https://doi.org/10.1016/j.psep.2023.12.048","ISSN":"0957-5820","abstract":"Accident scenarios leading to full or partial fire engulfment represent a serious threat to tanks used for the transportation and storage of dangerous goods. The present study focuses on the impact of partial engulfing fire scenarios on an LPG tank. An experimentally validated CFD modeling approach was further developed and applied to perform a parametric study by varying the exposure mode and the filling degree. The results of the simulations show that both these factors have a strong influence on the pressurization rate, the energy accumulation, and the high-temperature mechanical weakening of the tank structure. Fire scenarios where the flame zone is at the top or at the end of the tank are particularly critical when the liquid filling degree is low or medium. Liquid thermal stratification is evident in all the case studies analyzed and, in most of them, it strongly affects the vessel pressurization curve. The comparison to the results obtained using a lumped model showed that this provides non-conservative pressurization results for high filling levels (80%). The results show that a validated CFD approach can be used as a virtual workbench to support tank design within a digital twinning approach.","author":[{"dropping-particle":"","family":"Scarponi","given":"Giordano Emrys","non-dropping-particle":"","parse-names":false,"suffix":""},{"dropping-particle":"","family":"Cozzani","given":"Valerio","non-dropping-particle":"","parse-names":false,"suffix":""},{"dropping-particle":"","family":"Antonioni","given":"Giacomo","non-dropping-particle":"","parse-names":false,"suffix":""},{"dropping-particle":"","family":"Doghieri","given":"Ferruccio","non-dropping-particle":"","parse-names":false,"suffix":""}],"container-title":"Process Safety and Environmental Protection","id":"ITEM-1","issued":{"date-parts":[["2024"]]},"page":"1072-1085","title":"Modeling the behavior of LPG tanks exposed to partially engulfing pool fires","type":"article-journal","volume":"182"},"uris":["http://www.mendeley.com/documents/?uuid=6ec77a1a-9512-43c1-9cca-07485ed97194"]}],"mendeley":{"formattedCitation":"(Scarponi et al., 2024)","plainTextFormattedCitation":"(Scarponi et al., 2024)","previouslyFormattedCitation":"(Scarponi et al., 2024)"},"properties":{"noteIndex":0},"schema":"https://github.com/citation-style-language/schema/raw/master/csl-citation.json"}</w:instrText>
      </w:r>
      <w:r w:rsidR="0018665C">
        <w:rPr>
          <w:lang w:val="en-GB"/>
        </w:rPr>
        <w:fldChar w:fldCharType="separate"/>
      </w:r>
      <w:r w:rsidR="0018665C" w:rsidRPr="0018665C">
        <w:rPr>
          <w:noProof/>
          <w:lang w:val="en-GB"/>
        </w:rPr>
        <w:t>(Scarponi et al., 2024)</w:t>
      </w:r>
      <w:r w:rsidR="0018665C">
        <w:rPr>
          <w:lang w:val="en-GB"/>
        </w:rPr>
        <w:fldChar w:fldCharType="end"/>
      </w:r>
      <w:r w:rsidRPr="00D16DEC">
        <w:rPr>
          <w:lang w:val="en-GB"/>
        </w:rPr>
        <w:t>. Thus, the definition of realistic boundary conditions is crucial</w:t>
      </w:r>
      <w:r w:rsidR="003F424F">
        <w:rPr>
          <w:lang w:val="en-GB"/>
        </w:rPr>
        <w:t xml:space="preserve"> for a correct modelling</w:t>
      </w:r>
      <w:r w:rsidRPr="00D16DEC">
        <w:rPr>
          <w:lang w:val="en-GB"/>
        </w:rPr>
        <w:t>. To address the existing abovementioned limitations, Digital Image Processing (DIP) can be used. The method involv</w:t>
      </w:r>
      <w:r w:rsidR="00BC19F8">
        <w:rPr>
          <w:lang w:val="en-GB"/>
        </w:rPr>
        <w:t xml:space="preserve">es </w:t>
      </w:r>
      <w:r w:rsidRPr="00D16DEC">
        <w:rPr>
          <w:lang w:val="en-GB"/>
        </w:rPr>
        <w:t>a series of consecutive image manipulations</w:t>
      </w:r>
      <w:r w:rsidR="00BC19F8">
        <w:rPr>
          <w:lang w:val="en-GB"/>
        </w:rPr>
        <w:t xml:space="preserve"> </w:t>
      </w:r>
      <w:r w:rsidR="00C40C14">
        <w:rPr>
          <w:lang w:val="en-GB"/>
        </w:rPr>
        <w:t>to extract</w:t>
      </w:r>
      <w:r w:rsidR="00BC19F8">
        <w:rPr>
          <w:lang w:val="en-GB"/>
        </w:rPr>
        <w:t xml:space="preserve"> data from a digital image </w:t>
      </w:r>
      <w:r w:rsidR="00BC19F8">
        <w:rPr>
          <w:lang w:val="en-GB"/>
        </w:rPr>
        <w:fldChar w:fldCharType="begin" w:fldLock="1"/>
      </w:r>
      <w:r w:rsidR="00797FFB">
        <w:rPr>
          <w:lang w:val="en-GB"/>
        </w:rPr>
        <w:instrText>ADDIN CSL_CITATION {"citationItems":[{"id":"ITEM-1","itemData":{"author":[{"dropping-particle":"","family":"Seeram","given":"E","non-dropping-particle":"","parse-names":false,"suffix":""}],"container-title":"Digital Radiography","edition":"Second Edition","id":"ITEM-1","issued":{"date-parts":[["2019"]]},"page":"21-39","publisher":"Springer","publisher-place":"Singapore","title":"Digital Image Processing Concepts","type":"chapter"},"uris":["http://www.mendeley.com/documents/?uuid=d01589af-8dfc-393f-8a1f-dbda398da8c2"]}],"mendeley":{"formattedCitation":"(Seeram, 2019)","plainTextFormattedCitation":"(Seeram, 2019)","previouslyFormattedCitation":"(Seeram, 2019)"},"properties":{"noteIndex":0},"schema":"https://github.com/citation-style-language/schema/raw/master/csl-citation.json"}</w:instrText>
      </w:r>
      <w:r w:rsidR="00BC19F8">
        <w:rPr>
          <w:lang w:val="en-GB"/>
        </w:rPr>
        <w:fldChar w:fldCharType="separate"/>
      </w:r>
      <w:r w:rsidR="00BC19F8" w:rsidRPr="00BC19F8">
        <w:rPr>
          <w:noProof/>
          <w:lang w:val="en-GB"/>
        </w:rPr>
        <w:t>(Seeram, 2019)</w:t>
      </w:r>
      <w:r w:rsidR="00BC19F8">
        <w:rPr>
          <w:lang w:val="en-GB"/>
        </w:rPr>
        <w:fldChar w:fldCharType="end"/>
      </w:r>
      <w:r w:rsidR="00824E37">
        <w:rPr>
          <w:lang w:val="en-GB"/>
        </w:rPr>
        <w:t xml:space="preserve"> and </w:t>
      </w:r>
      <w:r w:rsidRPr="00D16DEC">
        <w:rPr>
          <w:lang w:val="en-GB"/>
        </w:rPr>
        <w:t xml:space="preserve">has already been used </w:t>
      </w:r>
      <w:r w:rsidR="008B63A2">
        <w:rPr>
          <w:lang w:val="en-GB"/>
        </w:rPr>
        <w:t xml:space="preserve">in the context of fire safety </w:t>
      </w:r>
      <w:r w:rsidRPr="00D16DEC">
        <w:rPr>
          <w:lang w:val="en-GB"/>
        </w:rPr>
        <w:t xml:space="preserve">to investigate various fire scenarios, including fire detection in </w:t>
      </w:r>
      <w:r w:rsidR="00577E02">
        <w:rPr>
          <w:lang w:val="en-GB"/>
        </w:rPr>
        <w:t xml:space="preserve">forests </w:t>
      </w:r>
      <w:r w:rsidR="00577E02">
        <w:rPr>
          <w:lang w:val="en-GB"/>
        </w:rPr>
        <w:fldChar w:fldCharType="begin" w:fldLock="1"/>
      </w:r>
      <w:r w:rsidR="005E53E9">
        <w:rPr>
          <w:lang w:val="en-GB"/>
        </w:rPr>
        <w:instrText>ADDIN CSL_CITATION {"citationItems":[{"id":"ITEM-1","itemData":{"ISBN":"9781479960095","author":[{"dropping-particle":"","family":"Chi","given":"Yuan","non-dropping-particle":"","parse-names":false,"suffix":""},{"dropping-particle":"","family":"Liu","given":"Zhixiang","non-dropping-particle":"","parse-names":false,"suffix":""},{"dropping-particle":"","family":"Zhang","given":"Youmin","non-dropping-particle":"","parse-names":false,"suffix":""}],"container-title":"International Conference on Unmanned Aircraft Systems (ICUAS)","id":"ITEM-1","issued":{"date-parts":[["2015"]]},"page":"639-643","title":"UAV-based Forest Fire Detection and Tracking Using Digital Processing Techniques","type":"article-journal"},"uris":["http://www.mendeley.com/documents/?uuid=c803e8f4-8600-3263-80b3-2f90eae6f301"]}],"mendeley":{"formattedCitation":"(Chi et al., 2015)","plainTextFormattedCitation":"(Chi et al., 2015)","previouslyFormattedCitation":"(Chi et al., 2015)"},"properties":{"noteIndex":0},"schema":"https://github.com/citation-style-language/schema/raw/master/csl-citation.json"}</w:instrText>
      </w:r>
      <w:r w:rsidR="00577E02">
        <w:rPr>
          <w:lang w:val="en-GB"/>
        </w:rPr>
        <w:fldChar w:fldCharType="separate"/>
      </w:r>
      <w:r w:rsidR="00577E02" w:rsidRPr="00577E02">
        <w:rPr>
          <w:noProof/>
          <w:lang w:val="en-GB"/>
        </w:rPr>
        <w:t>(Chi et al., 2015)</w:t>
      </w:r>
      <w:r w:rsidR="00577E02">
        <w:rPr>
          <w:lang w:val="en-GB"/>
        </w:rPr>
        <w:fldChar w:fldCharType="end"/>
      </w:r>
      <w:r w:rsidR="005E53E9">
        <w:rPr>
          <w:lang w:val="en-GB"/>
        </w:rPr>
        <w:t xml:space="preserve"> and cities </w:t>
      </w:r>
      <w:r w:rsidR="005E53E9">
        <w:rPr>
          <w:lang w:val="en-GB"/>
        </w:rPr>
        <w:fldChar w:fldCharType="begin" w:fldLock="1"/>
      </w:r>
      <w:r w:rsidR="005E53E9">
        <w:rPr>
          <w:lang w:val="en-GB"/>
        </w:rPr>
        <w:instrText>ADDIN CSL_CITATION {"citationItems":[{"id":"ITEM-1","itemData":{"DOI":"https://doi.org/10.1016/j.scs.2020.102332","ISSN":"2210-6707","abstract":"In the current scenario, the concept of Smart Cities is one of the emerging and challenging research areas. The cities are surrounded by forests, agricultural land, or open areas, where fire incidence can occur threatening human life and causing many resources to become extinct. This article aims to design an early fire detection system to get rid of fire events using the concept of senor network and UAV’s technology. The architecture proposal is based on sensors for monitoring environmental parameters and to process the information through sensors and IoT application. The proposed fire detection system is the combination of wireless sensor technologies, UAVs, and cloud computing. Some image processing techniques are also integrated into the proposed fire detection system to identify the fire event with better accuracy and used as an integrated solution. To improve the true detection rate, rules are also designed. The simulation results of the proposed fire detection system are compared with several existing methods. It is observed that the proposed system has a higher fire detection rate to improve the true detection of forest fire from 95 to 98 percent.","author":[{"dropping-particle":"","family":"Sharma","given":"Amit","non-dropping-particle":"","parse-names":false,"suffix":""},{"dropping-particle":"","family":"Singh","given":"Pradeep Kumar","non-dropping-particle":"","parse-names":false,"suffix":""},{"dropping-particle":"","family":"Kumar","given":"Yugal","non-dropping-particle":"","parse-names":false,"suffix":""}],"container-title":"Sustainable Cities and Society","id":"ITEM-1","issued":{"date-parts":[["2020"]]},"page":"102332","title":"An integrated fire detection system using IoT and image processing technique for smart cities","type":"article-journal","volume":"61"},"uris":["http://www.mendeley.com/documents/?uuid=c8d946c6-fe12-3103-8e57-d596ce4e8b54"]}],"mendeley":{"formattedCitation":"(Sharma et al., 2020)","plainTextFormattedCitation":"(Sharma et al., 2020)"},"properties":{"noteIndex":0},"schema":"https://github.com/citation-style-language/schema/raw/master/csl-citation.json"}</w:instrText>
      </w:r>
      <w:r w:rsidR="005E53E9">
        <w:rPr>
          <w:lang w:val="en-GB"/>
        </w:rPr>
        <w:fldChar w:fldCharType="separate"/>
      </w:r>
      <w:r w:rsidR="005E53E9" w:rsidRPr="005E53E9">
        <w:rPr>
          <w:noProof/>
          <w:lang w:val="en-GB"/>
        </w:rPr>
        <w:t>(Sharma et al., 2020)</w:t>
      </w:r>
      <w:r w:rsidR="005E53E9">
        <w:rPr>
          <w:lang w:val="en-GB"/>
        </w:rPr>
        <w:fldChar w:fldCharType="end"/>
      </w:r>
      <w:r w:rsidR="005E53E9">
        <w:rPr>
          <w:lang w:val="en-GB"/>
        </w:rPr>
        <w:t xml:space="preserve">, </w:t>
      </w:r>
      <w:r w:rsidRPr="00D16DEC">
        <w:rPr>
          <w:lang w:val="en-GB"/>
        </w:rPr>
        <w:t>and the characterization of the flame in terms of brightness and velocity</w:t>
      </w:r>
      <w:r w:rsidR="00286560">
        <w:rPr>
          <w:lang w:val="en-GB"/>
        </w:rPr>
        <w:t xml:space="preserve"> </w:t>
      </w:r>
      <w:r w:rsidR="00286560">
        <w:rPr>
          <w:lang w:val="en-GB"/>
        </w:rPr>
        <w:fldChar w:fldCharType="begin" w:fldLock="1"/>
      </w:r>
      <w:r w:rsidR="00286560">
        <w:rPr>
          <w:lang w:val="en-GB"/>
        </w:rPr>
        <w:instrText>ADDIN CSL_CITATION {"citationItems":[{"id":"ITEM-1","itemData":{"DOI":"10.15224/978-1-63248-072-9-50","author":[{"dropping-particle":"","family":"Rashidi","given":"AHMAD","non-dropping-particle":"","parse-names":false,"suffix":""},{"dropping-particle":"","family":"Ahmad","given":"AZMI","non-dropping-particle":"","parse-names":false,"suffix":""},{"dropping-particle":"","family":"Lou","given":"CHUN","non-dropping-particle":"","parse-names":false,"suffix":""},{"dropping-particle":"","family":"Hassan","given":"HAMDAN","non-dropping-particle":"","parse-names":false,"suffix":""},{"dropping-particle":"","family":"Hariffin","given":"MOHD","non-dropping-particle":"","parse-names":false,"suffix":""},{"dropping-particle":"","family":"Tzeng","given":"MOOK","non-dropping-particle":"","parse-names":false,"suffix":""},{"dropping-particle":"","family":"Akma","given":"NOOR","non-dropping-particle":"","parse-names":false,"suffix":""},{"dropping-particle":"","family":"Der","given":"SOONG","non-dropping-particle":"","parse-names":false,"suffix":""}],"id":"ITEM-1","issued":{"date-parts":[["2015","9","27"]]},"page":"1-5","publisher":"Institute of Research Engineers and Doctors, LLC","title":"Preliminary determination of flame speeds from infrared images using image processing techniques in a 150 kWth coal fired combustion test rig","type":"paper-conference"},"uris":["http://www.mendeley.com/documents/?uuid=4aced985-66e6-3ffe-84e9-234ec0d8b9a9"]}],"mendeley":{"formattedCitation":"(Rashidi et al., 2015)","plainTextFormattedCitation":"(Rashidi et al., 2015)","previouslyFormattedCitation":"(Rashidi et al., 2015)"},"properties":{"noteIndex":0},"schema":"https://github.com/citation-style-language/schema/raw/master/csl-citation.json"}</w:instrText>
      </w:r>
      <w:r w:rsidR="00286560">
        <w:rPr>
          <w:lang w:val="en-GB"/>
        </w:rPr>
        <w:fldChar w:fldCharType="separate"/>
      </w:r>
      <w:r w:rsidR="00286560" w:rsidRPr="00286560">
        <w:rPr>
          <w:noProof/>
          <w:lang w:val="en-GB"/>
        </w:rPr>
        <w:t>(Rashidi et al., 2015)</w:t>
      </w:r>
      <w:r w:rsidR="00286560">
        <w:rPr>
          <w:lang w:val="en-GB"/>
        </w:rPr>
        <w:fldChar w:fldCharType="end"/>
      </w:r>
      <w:r w:rsidRPr="00D16DEC">
        <w:rPr>
          <w:lang w:val="en-GB"/>
        </w:rPr>
        <w:t xml:space="preserve">. A preliminary application of this method on the recordings of an experimental fire test </w:t>
      </w:r>
      <w:r w:rsidR="008B63A2">
        <w:rPr>
          <w:lang w:val="en-GB"/>
        </w:rPr>
        <w:t xml:space="preserve">involving cryogenic storage tanks </w:t>
      </w:r>
      <w:r w:rsidRPr="00D16DEC">
        <w:rPr>
          <w:lang w:val="en-GB"/>
        </w:rPr>
        <w:t xml:space="preserve">demonstrated the </w:t>
      </w:r>
      <w:r w:rsidR="006E12CB">
        <w:rPr>
          <w:lang w:val="en-GB"/>
        </w:rPr>
        <w:t>capability of the</w:t>
      </w:r>
      <w:r w:rsidRPr="00D16DEC">
        <w:rPr>
          <w:lang w:val="en-GB"/>
        </w:rPr>
        <w:t xml:space="preserve"> </w:t>
      </w:r>
      <w:r w:rsidR="009F7A63">
        <w:rPr>
          <w:lang w:val="en-GB"/>
        </w:rPr>
        <w:t xml:space="preserve">technique to extract </w:t>
      </w:r>
      <w:r w:rsidRPr="00D16DEC">
        <w:rPr>
          <w:lang w:val="en-GB"/>
        </w:rPr>
        <w:t xml:space="preserve">time and space-dependent flame coverage </w:t>
      </w:r>
      <w:r w:rsidR="00286560">
        <w:rPr>
          <w:lang w:val="en-GB"/>
        </w:rPr>
        <w:fldChar w:fldCharType="begin" w:fldLock="1"/>
      </w:r>
      <w:r w:rsidR="00286560">
        <w:rPr>
          <w:lang w:val="en-GB"/>
        </w:rPr>
        <w:instrText>ADDIN CSL_CITATION {"citationItems":[{"id":"ITEM-1","itemData":{"ISSN":"03070492","abstract":"Hydrogen is expected to play a significant role in the energy transition. The use of liquid hydrogen (LH2) as a fuel in large-scale applications, such as maritime, aviation and road transport, is regarded as a promising strategy to enhance the decarbonization of the current economic system. However, drawbacks of various nature prevent the fast development of hydrogen applications, and safety is one of the main barriers. The knowledge of hydrogen safety-related aspects still has relevant gaps and filling this void is crucial to speed up the advent of the hydrogen economy. The application of already well-known technique of image processing can be applied in this sense to analyse the data collected from hydrogen experimental tests. Until now, the SH2IFT project has been one of the few experimental campaigns focusing on the safety of liquid hydrogen. During the project, the worst-case scenario involving LH2 tanks (i.e., fire engulfment of the storage tank in a fire) was reproduced. In this study, the recordings of the tests are analysed through a digital image processing technique (DIP) to extract information relative to the thermal power transferred from the fire to the tank. The study demonstrates the potential application of the DIP as a safety tool and points out the importance of the quality of the data in this type of analysis, suggesting precautions for the recordings of the tests in future experimental campaigns.","author":[{"dropping-particle":"","family":"Schiaroli","given":"Alice","non-dropping-particle":"","parse-names":false,"suffix":""},{"dropping-particle":"","family":"Mata","given":"Christian","non-dropping-particle":"","parse-names":false,"suffix":""},{"dropping-particle":"","family":"Scarponi","given":"Giordano Emrys","non-dropping-particle":"","parse-names":false,"suffix":""},{"dropping-particle":"","family":"Cozzani","given":"Valerio","non-dropping-particle":"","parse-names":false,"suffix":""},{"dropping-particle":"","family":"Ustolin","given":"Federico","non-dropping-particle":"","parse-names":false,"suffix":""}],"container-title":"Institution of Chemical Engineers Symposium Series","id":"ITEM-1","issue":"170","issued":{"date-parts":[["2023"]]},"title":"Digital image processing for the estimation of the thermal power entering a liquid hydrogen tank exposed to a fire","type":"article-journal","volume":"2023-Novem"},"uris":["http://www.mendeley.com/documents/?uuid=a2d146cf-f156-44a5-9f40-99c80d66f00d"]}],"mendeley":{"formattedCitation":"(Schiaroli et al., 2023)","plainTextFormattedCitation":"(Schiaroli et al., 2023)","previouslyFormattedCitation":"(Schiaroli et al., 2023)"},"properties":{"noteIndex":0},"schema":"https://github.com/citation-style-language/schema/raw/master/csl-citation.json"}</w:instrText>
      </w:r>
      <w:r w:rsidR="00286560">
        <w:rPr>
          <w:lang w:val="en-GB"/>
        </w:rPr>
        <w:fldChar w:fldCharType="separate"/>
      </w:r>
      <w:r w:rsidR="00286560" w:rsidRPr="00286560">
        <w:rPr>
          <w:noProof/>
          <w:lang w:val="en-GB"/>
        </w:rPr>
        <w:t>(Schiaroli et al., 2023)</w:t>
      </w:r>
      <w:r w:rsidR="00286560">
        <w:rPr>
          <w:lang w:val="en-GB"/>
        </w:rPr>
        <w:fldChar w:fldCharType="end"/>
      </w:r>
      <w:r w:rsidRPr="00D16DEC">
        <w:rPr>
          <w:lang w:val="en-GB"/>
        </w:rPr>
        <w:t>. In th</w:t>
      </w:r>
      <w:r w:rsidR="008B63A2">
        <w:rPr>
          <w:lang w:val="en-GB"/>
        </w:rPr>
        <w:t>e present</w:t>
      </w:r>
      <w:r w:rsidRPr="00D16DEC">
        <w:rPr>
          <w:lang w:val="en-GB"/>
        </w:rPr>
        <w:t xml:space="preserve"> study, the preliminary analysis </w:t>
      </w:r>
      <w:r w:rsidR="00F57020">
        <w:rPr>
          <w:lang w:val="en-GB"/>
        </w:rPr>
        <w:t>i</w:t>
      </w:r>
      <w:r w:rsidRPr="00D16DEC">
        <w:rPr>
          <w:lang w:val="en-GB"/>
        </w:rPr>
        <w:t>s refined to obtain a dynamic partial fire engulfment</w:t>
      </w:r>
      <w:r w:rsidR="008A2549">
        <w:rPr>
          <w:lang w:val="en-GB"/>
        </w:rPr>
        <w:t xml:space="preserve"> condition,</w:t>
      </w:r>
      <w:r w:rsidRPr="00D16DEC">
        <w:rPr>
          <w:lang w:val="en-GB"/>
        </w:rPr>
        <w:t xml:space="preserve"> reproducing </w:t>
      </w:r>
      <w:r w:rsidR="001D467A">
        <w:rPr>
          <w:lang w:val="en-GB"/>
        </w:rPr>
        <w:t xml:space="preserve">with high fidelity </w:t>
      </w:r>
      <w:r w:rsidRPr="00D16DEC">
        <w:rPr>
          <w:lang w:val="en-GB"/>
        </w:rPr>
        <w:t xml:space="preserve">the actual test. Then, the retrieved information </w:t>
      </w:r>
      <w:r w:rsidR="00F57020">
        <w:rPr>
          <w:lang w:val="en-GB"/>
        </w:rPr>
        <w:t>i</w:t>
      </w:r>
      <w:r w:rsidRPr="00D16DEC">
        <w:rPr>
          <w:lang w:val="en-GB"/>
        </w:rPr>
        <w:t xml:space="preserve">s used to investigate how the definition of </w:t>
      </w:r>
      <w:r w:rsidR="000300BC">
        <w:rPr>
          <w:lang w:val="en-GB"/>
        </w:rPr>
        <w:t>dynamic</w:t>
      </w:r>
      <w:r w:rsidRPr="00D16DEC">
        <w:rPr>
          <w:lang w:val="en-GB"/>
        </w:rPr>
        <w:t xml:space="preserve"> boundary conditions reflects on the modelling of the tank behaviour during the fire attack. For this purpose, a lumped </w:t>
      </w:r>
      <w:r w:rsidRPr="00D16DEC">
        <w:rPr>
          <w:lang w:val="en-GB"/>
        </w:rPr>
        <w:lastRenderedPageBreak/>
        <w:t xml:space="preserve">model </w:t>
      </w:r>
      <w:r w:rsidR="00F57020">
        <w:rPr>
          <w:lang w:val="en-GB"/>
        </w:rPr>
        <w:t>i</w:t>
      </w:r>
      <w:r w:rsidRPr="00D16DEC">
        <w:rPr>
          <w:lang w:val="en-GB"/>
        </w:rPr>
        <w:t xml:space="preserve">s used. The boundary conditions in the model </w:t>
      </w:r>
      <w:r w:rsidR="00F57020">
        <w:rPr>
          <w:lang w:val="en-GB"/>
        </w:rPr>
        <w:t>a</w:t>
      </w:r>
      <w:r w:rsidRPr="00D16DEC">
        <w:rPr>
          <w:lang w:val="en-GB"/>
        </w:rPr>
        <w:t>re defined based on the results of the DIP</w:t>
      </w:r>
      <w:r w:rsidR="000F7CB6">
        <w:rPr>
          <w:lang w:val="en-GB"/>
        </w:rPr>
        <w:t>,</w:t>
      </w:r>
      <w:r w:rsidRPr="00D16DEC">
        <w:rPr>
          <w:lang w:val="en-GB"/>
        </w:rPr>
        <w:t xml:space="preserve"> and the </w:t>
      </w:r>
      <w:r w:rsidR="00D603E1">
        <w:rPr>
          <w:lang w:val="en-GB"/>
        </w:rPr>
        <w:t>outcomes</w:t>
      </w:r>
      <w:r w:rsidRPr="00D16DEC">
        <w:rPr>
          <w:lang w:val="en-GB"/>
        </w:rPr>
        <w:t xml:space="preserve"> </w:t>
      </w:r>
      <w:r w:rsidR="00F57020">
        <w:rPr>
          <w:lang w:val="en-GB"/>
        </w:rPr>
        <w:t>a</w:t>
      </w:r>
      <w:r w:rsidRPr="00D16DEC">
        <w:rPr>
          <w:lang w:val="en-GB"/>
        </w:rPr>
        <w:t xml:space="preserve">re compared with the ones obtained under the assumption of </w:t>
      </w:r>
      <w:r w:rsidR="0026152A">
        <w:rPr>
          <w:lang w:val="en-GB"/>
        </w:rPr>
        <w:t xml:space="preserve">static </w:t>
      </w:r>
      <w:r w:rsidRPr="00D16DEC">
        <w:rPr>
          <w:lang w:val="en-GB"/>
        </w:rPr>
        <w:t>full engulfment.</w:t>
      </w:r>
    </w:p>
    <w:p w14:paraId="5741900F" w14:textId="24EA31EE" w:rsidR="00453E24" w:rsidRDefault="001C6B91" w:rsidP="00453E24">
      <w:pPr>
        <w:pStyle w:val="CETHeading1"/>
      </w:pPr>
      <w:r>
        <w:t>Methodology</w:t>
      </w:r>
    </w:p>
    <w:p w14:paraId="369B8B7A" w14:textId="069F5BBB" w:rsidR="008B63A2" w:rsidRDefault="00F618D1" w:rsidP="00FA7100">
      <w:pPr>
        <w:pStyle w:val="CETBodytext"/>
      </w:pPr>
      <w:r>
        <w:t>The definition of dynamic boundary conditions aims at reproduc</w:t>
      </w:r>
      <w:r w:rsidR="00E72E5D">
        <w:t>ing</w:t>
      </w:r>
      <w:r>
        <w:t xml:space="preserve"> </w:t>
      </w:r>
      <w:r w:rsidR="006F4FD6">
        <w:t xml:space="preserve">closely </w:t>
      </w:r>
      <w:r>
        <w:t xml:space="preserve">the </w:t>
      </w:r>
      <w:r w:rsidR="003F3D45">
        <w:t xml:space="preserve">fire engulfment of the </w:t>
      </w:r>
      <w:r w:rsidR="00E10868">
        <w:t>storage</w:t>
      </w:r>
      <w:r w:rsidR="003F3D45">
        <w:t xml:space="preserve"> tank and provid</w:t>
      </w:r>
      <w:r w:rsidR="00AD7082">
        <w:t>ing</w:t>
      </w:r>
      <w:r w:rsidR="003F3D45">
        <w:t xml:space="preserve"> an accurate estimation of its </w:t>
      </w:r>
      <w:r w:rsidR="008B63A2">
        <w:t>behavior</w:t>
      </w:r>
      <w:r w:rsidR="003F3D45">
        <w:t>.</w:t>
      </w:r>
      <w:r w:rsidR="00D660DF">
        <w:t xml:space="preserve"> </w:t>
      </w:r>
      <w:r w:rsidR="008B63A2">
        <w:t>In the present analysis</w:t>
      </w:r>
      <w:r w:rsidR="003F3D45">
        <w:t xml:space="preserve">, a </w:t>
      </w:r>
      <w:r w:rsidR="00286560">
        <w:t xml:space="preserve">simplified </w:t>
      </w:r>
      <w:r w:rsidR="003F3D45">
        <w:t xml:space="preserve">digital image processing </w:t>
      </w:r>
      <w:r w:rsidR="003440DD">
        <w:t>i</w:t>
      </w:r>
      <w:r w:rsidR="003F3D45">
        <w:t xml:space="preserve">s </w:t>
      </w:r>
      <w:r w:rsidR="00035D5A">
        <w:t>performed</w:t>
      </w:r>
      <w:r w:rsidR="003F3D45">
        <w:t xml:space="preserve"> </w:t>
      </w:r>
      <w:r w:rsidR="00772F85">
        <w:t xml:space="preserve">to calculate the </w:t>
      </w:r>
      <w:r w:rsidR="00E10868">
        <w:t xml:space="preserve">tank </w:t>
      </w:r>
      <w:r w:rsidR="00772F85">
        <w:t xml:space="preserve">flame coverage (i.e., the fraction of the </w:t>
      </w:r>
      <w:r w:rsidR="00E01DB8">
        <w:t xml:space="preserve">total </w:t>
      </w:r>
      <w:r w:rsidR="00772F85">
        <w:t xml:space="preserve">tank surface </w:t>
      </w:r>
      <w:r w:rsidR="00230E8F">
        <w:t>covered by the flames)</w:t>
      </w:r>
      <w:r w:rsidR="0060273C">
        <w:t xml:space="preserve"> </w:t>
      </w:r>
      <w:r w:rsidR="00035D5A">
        <w:t xml:space="preserve">during the fire exposure. Then, the results </w:t>
      </w:r>
      <w:r w:rsidR="003440DD">
        <w:t>a</w:t>
      </w:r>
      <w:r w:rsidR="00035D5A">
        <w:t>re implemented in</w:t>
      </w:r>
      <w:r w:rsidR="00630574">
        <w:t xml:space="preserve"> a mathematical model able to quantify the </w:t>
      </w:r>
      <w:r w:rsidR="008B63A2">
        <w:t xml:space="preserve">pressure build-up </w:t>
      </w:r>
      <w:r w:rsidR="00C17129">
        <w:t xml:space="preserve">and outer temperature </w:t>
      </w:r>
      <w:r w:rsidR="008B63A2">
        <w:t xml:space="preserve">of the </w:t>
      </w:r>
      <w:r w:rsidR="00BC6377">
        <w:t>target tank</w:t>
      </w:r>
      <w:r w:rsidR="00630574">
        <w:t xml:space="preserve">. </w:t>
      </w:r>
      <w:r w:rsidR="008A4F2D">
        <w:t xml:space="preserve">The scheme of the methodology is shown in </w:t>
      </w:r>
      <w:r w:rsidR="008A4F2D">
        <w:fldChar w:fldCharType="begin"/>
      </w:r>
      <w:r w:rsidR="008A4F2D">
        <w:instrText xml:space="preserve"> REF _Ref182060404 \h </w:instrText>
      </w:r>
      <w:r w:rsidR="008A4F2D">
        <w:fldChar w:fldCharType="separate"/>
      </w:r>
      <w:r w:rsidR="008A4F2D" w:rsidRPr="005B134B">
        <w:t xml:space="preserve">Figure </w:t>
      </w:r>
      <w:r w:rsidR="008A4F2D" w:rsidRPr="005B134B">
        <w:rPr>
          <w:noProof/>
        </w:rPr>
        <w:t>1</w:t>
      </w:r>
      <w:r w:rsidR="008A4F2D">
        <w:fldChar w:fldCharType="end"/>
      </w:r>
      <w:r w:rsidR="008B63A2">
        <w:t>, where the steps highlighted in blue (from 1 to 4) refer to the simplified DIP.</w:t>
      </w:r>
      <w:r w:rsidR="008F1561">
        <w:t xml:space="preserve"> The method is intended to be applied </w:t>
      </w:r>
      <w:r w:rsidR="00141799">
        <w:t>to</w:t>
      </w:r>
      <w:r w:rsidR="008F1561">
        <w:t xml:space="preserve"> images extracted </w:t>
      </w:r>
      <w:r w:rsidR="008C2869">
        <w:t xml:space="preserve">at different times </w:t>
      </w:r>
      <w:r w:rsidR="008F1561">
        <w:t xml:space="preserve">from the </w:t>
      </w:r>
      <w:r w:rsidR="006B3442">
        <w:t xml:space="preserve">video </w:t>
      </w:r>
      <w:r w:rsidR="008F1561">
        <w:t>recording</w:t>
      </w:r>
      <w:r w:rsidR="008B63A2">
        <w:t>s</w:t>
      </w:r>
      <w:r w:rsidR="008F1561">
        <w:t xml:space="preserve"> of a fire test involving a storage tank and showing the compon</w:t>
      </w:r>
      <w:r w:rsidR="00A11738">
        <w:t>ent from different views (e.g., North, South, West,</w:t>
      </w:r>
      <w:r w:rsidR="008F1561">
        <w:t xml:space="preserve"> East</w:t>
      </w:r>
      <w:r w:rsidR="00A11738">
        <w:t>, Up and Down)</w:t>
      </w:r>
      <w:r w:rsidR="008F1561">
        <w:t>.</w:t>
      </w:r>
      <w:r w:rsidR="006B3442">
        <w:t xml:space="preserve"> </w:t>
      </w:r>
      <w:r w:rsidR="008C2869">
        <w:t>T</w:t>
      </w:r>
      <w:r w:rsidR="008F1561">
        <w:t xml:space="preserve">he procedure described in the following must be repeated for each </w:t>
      </w:r>
      <w:r w:rsidR="0042723C">
        <w:t xml:space="preserve">tank </w:t>
      </w:r>
      <w:r w:rsidR="008F1561">
        <w:t xml:space="preserve">view and for </w:t>
      </w:r>
      <w:r w:rsidR="008B63A2">
        <w:t xml:space="preserve">the </w:t>
      </w:r>
      <w:r w:rsidR="00F51698">
        <w:t>different</w:t>
      </w:r>
      <w:r w:rsidR="008F1561">
        <w:t xml:space="preserve"> times</w:t>
      </w:r>
      <w:r w:rsidR="008B63A2">
        <w:t xml:space="preserve"> selected for the frame extraction</w:t>
      </w:r>
      <w:r w:rsidR="008F1561">
        <w:t>.</w:t>
      </w:r>
    </w:p>
    <w:p w14:paraId="37578634" w14:textId="707E4149" w:rsidR="00460DA2" w:rsidRPr="00F51698" w:rsidRDefault="008F1561" w:rsidP="00FA7100">
      <w:pPr>
        <w:pStyle w:val="CETBodytext"/>
        <w:rPr>
          <w:lang w:val="en-GB"/>
        </w:rPr>
      </w:pPr>
      <w:r>
        <w:t xml:space="preserve"> </w:t>
      </w:r>
    </w:p>
    <w:p w14:paraId="77A14D2B" w14:textId="77777777" w:rsidR="00460DA2" w:rsidRDefault="00460DA2" w:rsidP="00D5026B">
      <w:pPr>
        <w:pStyle w:val="CETBodytext"/>
        <w:keepNext/>
        <w:jc w:val="center"/>
      </w:pPr>
      <w:r w:rsidRPr="00663271">
        <w:rPr>
          <w:noProof/>
          <w:lang w:val="en-GB" w:eastAsia="en-GB"/>
        </w:rPr>
        <w:drawing>
          <wp:inline distT="0" distB="0" distL="0" distR="0" wp14:anchorId="4AFC8CEA" wp14:editId="18240C77">
            <wp:extent cx="5356860" cy="1276907"/>
            <wp:effectExtent l="0" t="0" r="2540" b="9525"/>
            <wp:docPr id="9321824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56860" cy="1276907"/>
                    </a:xfrm>
                    <a:prstGeom prst="rect">
                      <a:avLst/>
                    </a:prstGeom>
                    <a:noFill/>
                    <a:ln>
                      <a:noFill/>
                    </a:ln>
                  </pic:spPr>
                </pic:pic>
              </a:graphicData>
            </a:graphic>
          </wp:inline>
        </w:drawing>
      </w:r>
    </w:p>
    <w:p w14:paraId="021A6E0D" w14:textId="7DAE71AD" w:rsidR="00460DA2" w:rsidRPr="005B134B" w:rsidRDefault="00460DA2" w:rsidP="00460DA2">
      <w:pPr>
        <w:pStyle w:val="CETCaption"/>
      </w:pPr>
      <w:bookmarkStart w:id="1" w:name="_Ref182060404"/>
      <w:r w:rsidRPr="005B134B">
        <w:t xml:space="preserve">Figure </w:t>
      </w:r>
      <w:r w:rsidRPr="005B134B">
        <w:fldChar w:fldCharType="begin"/>
      </w:r>
      <w:r w:rsidRPr="005B134B">
        <w:instrText xml:space="preserve"> SEQ Figure \* ARABIC </w:instrText>
      </w:r>
      <w:r w:rsidRPr="005B134B">
        <w:fldChar w:fldCharType="separate"/>
      </w:r>
      <w:r w:rsidR="00321AEE">
        <w:rPr>
          <w:noProof/>
        </w:rPr>
        <w:t>1</w:t>
      </w:r>
      <w:r w:rsidRPr="005B134B">
        <w:fldChar w:fldCharType="end"/>
      </w:r>
      <w:bookmarkEnd w:id="1"/>
      <w:r w:rsidRPr="005B134B">
        <w:t>: Scheme of the methodology used in the present study;</w:t>
      </w:r>
      <w:r>
        <w:t xml:space="preserve"> </w:t>
      </w:r>
      <w:r w:rsidR="008B63A2">
        <w:t>steps from 1 to 4 (in blue) are part of the simplified Digital Image Processing.</w:t>
      </w:r>
    </w:p>
    <w:p w14:paraId="6033C3FF" w14:textId="504C9001" w:rsidR="00FA7100" w:rsidRDefault="008743A6" w:rsidP="00FA7100">
      <w:pPr>
        <w:pStyle w:val="CETBodytext"/>
      </w:pPr>
      <w:r>
        <w:t>First, the</w:t>
      </w:r>
      <w:r w:rsidR="000A4CD0">
        <w:t xml:space="preserve"> </w:t>
      </w:r>
      <w:r w:rsidR="008B63A2">
        <w:t xml:space="preserve">input </w:t>
      </w:r>
      <w:r w:rsidR="000A4CD0">
        <w:t xml:space="preserve">images </w:t>
      </w:r>
      <w:r w:rsidR="008B63A2">
        <w:t xml:space="preserve">extracted from the </w:t>
      </w:r>
      <w:r w:rsidR="00855FC1">
        <w:t xml:space="preserve">video </w:t>
      </w:r>
      <w:r w:rsidR="008B63A2">
        <w:t xml:space="preserve">recordings </w:t>
      </w:r>
      <w:r w:rsidR="000A4CD0">
        <w:t>are acquired in a computer and converted into a</w:t>
      </w:r>
      <w:r w:rsidR="00A13F86">
        <w:t xml:space="preserve"> 2D numerical matrix I(m,n)</w:t>
      </w:r>
      <w:r w:rsidR="008B63A2">
        <w:t xml:space="preserve"> (STEP 1)</w:t>
      </w:r>
      <w:r>
        <w:t xml:space="preserve">. Then, </w:t>
      </w:r>
      <w:r w:rsidR="007569B0">
        <w:t xml:space="preserve">the reference image </w:t>
      </w:r>
      <w:r w:rsidR="00367EF4">
        <w:t>i</w:t>
      </w:r>
      <w:r w:rsidR="007569B0">
        <w:t xml:space="preserve">s created from a pre-fire image (i.e., an image showing the tank not covered by the flames) isolating the tank surface (STEP 2). Then, combining grayscale conversion, edge detection and morphological operations, the reference image is segmented and converted into the tank mask, where the object of interest (i.e., the tank section) is depicted as white and the rest is included in the background and shown as black (STEP 3). </w:t>
      </w:r>
      <w:r w:rsidR="003948D8">
        <w:t xml:space="preserve">At this point, the tank mask is used to locate and isolate the tank section in the images extracted during the fire </w:t>
      </w:r>
      <w:r w:rsidR="00A70C43">
        <w:t xml:space="preserve">exposure. Then, the segmentation is repeated to isolate the flame from the tank </w:t>
      </w:r>
      <w:r w:rsidR="00C10661">
        <w:t xml:space="preserve">by thresholding high-intensity values in the red channel </w:t>
      </w:r>
      <w:r w:rsidR="000E371B">
        <w:t xml:space="preserve">and obtain the flame mask (STEP 4). </w:t>
      </w:r>
      <w:r w:rsidR="008B0B68">
        <w:t>The output of this step is a black image where the flame is depicted in white.</w:t>
      </w:r>
      <w:r w:rsidR="004B6035">
        <w:t xml:space="preserve"> </w:t>
      </w:r>
      <w:r w:rsidR="00341757">
        <w:t>After that, t</w:t>
      </w:r>
      <w:r w:rsidR="00FA7100">
        <w:t xml:space="preserve">he </w:t>
      </w:r>
      <w:r w:rsidR="00482A31">
        <w:t xml:space="preserve">average </w:t>
      </w:r>
      <w:r w:rsidR="002832BD">
        <w:t xml:space="preserve">flame coverage </w:t>
      </w:r>
      <w:r w:rsidR="00665FFE">
        <w:t>(FC)</w:t>
      </w:r>
      <w:r w:rsidR="00FA7100">
        <w:t xml:space="preserve"> of the tank </w:t>
      </w:r>
      <w:r w:rsidR="00460DA2">
        <w:t>at a fixed time interval</w:t>
      </w:r>
      <w:r w:rsidR="00FA7100">
        <w:t xml:space="preserve"> is obtai</w:t>
      </w:r>
      <w:r w:rsidR="00DF4BDD">
        <w:t xml:space="preserve">ned </w:t>
      </w:r>
      <w:r w:rsidR="00FA7100">
        <w:t>as:</w:t>
      </w:r>
    </w:p>
    <w:p w14:paraId="3CF2FD95" w14:textId="77777777" w:rsidR="00FA7100" w:rsidRDefault="00FA7100" w:rsidP="00FA7100">
      <w:pPr>
        <w:pStyle w:val="CETBodytext"/>
      </w:pPr>
    </w:p>
    <w:tbl>
      <w:tblPr>
        <w:tblW w:w="5000" w:type="pct"/>
        <w:tblLook w:val="04A0" w:firstRow="1" w:lastRow="0" w:firstColumn="1" w:lastColumn="0" w:noHBand="0" w:noVBand="1"/>
      </w:tblPr>
      <w:tblGrid>
        <w:gridCol w:w="7984"/>
        <w:gridCol w:w="803"/>
      </w:tblGrid>
      <w:tr w:rsidR="00FA7100" w:rsidRPr="00B57B36" w14:paraId="5D5D8D27" w14:textId="77777777" w:rsidTr="00341757">
        <w:tc>
          <w:tcPr>
            <w:tcW w:w="7975" w:type="dxa"/>
            <w:shd w:val="clear" w:color="auto" w:fill="auto"/>
            <w:vAlign w:val="center"/>
          </w:tcPr>
          <w:p w14:paraId="2E9B6369" w14:textId="3AC15AF1" w:rsidR="00DF4BDD" w:rsidRPr="00460DA2" w:rsidRDefault="00460DA2" w:rsidP="0077302A">
            <w:pPr>
              <w:pStyle w:val="CETBodytext"/>
            </w:pPr>
            <m:oMathPara>
              <m:oMathParaPr>
                <m:jc m:val="left"/>
              </m:oMathParaPr>
              <m:oMath>
                <m:r>
                  <w:rPr>
                    <w:rFonts w:ascii="Cambria Math" w:hAnsi="Cambria Math"/>
                  </w:rPr>
                  <m:t>FC(t)</m:t>
                </m:r>
                <m:r>
                  <m:rPr>
                    <m:sty m:val="p"/>
                  </m:rPr>
                  <w:rPr>
                    <w:rFonts w:ascii="Cambria Math" w:hAnsi="Cambria Math"/>
                  </w:rPr>
                  <m:t>=</m:t>
                </m:r>
                <m:r>
                  <w:rPr>
                    <w:rFonts w:ascii="Cambria Math" w:hAnsi="Cambria Math"/>
                  </w:rPr>
                  <m:t xml:space="preserve"> </m:t>
                </m:r>
                <m:nary>
                  <m:naryPr>
                    <m:chr m:val="∑"/>
                    <m:limLoc m:val="undOvr"/>
                    <m:ctrlPr>
                      <w:rPr>
                        <w:rFonts w:ascii="Cambria Math" w:hAnsi="Cambria Math"/>
                        <w:i/>
                        <w:lang w:val="en-GB"/>
                      </w:rPr>
                    </m:ctrlPr>
                  </m:naryPr>
                  <m:sub>
                    <m:r>
                      <w:rPr>
                        <w:rFonts w:ascii="Cambria Math" w:hAnsi="Cambria Math"/>
                      </w:rPr>
                      <m:t>i</m:t>
                    </m:r>
                  </m:sub>
                  <m:sup>
                    <m:r>
                      <w:rPr>
                        <w:rFonts w:ascii="Cambria Math" w:hAnsi="Cambria Math"/>
                      </w:rPr>
                      <m:t>n</m:t>
                    </m:r>
                  </m:sup>
                  <m:e>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i</m:t>
                            </m:r>
                          </m:sub>
                        </m:sSub>
                      </m:num>
                      <m:den>
                        <m:sSub>
                          <m:sSubPr>
                            <m:ctrlPr>
                              <w:rPr>
                                <w:rFonts w:ascii="Cambria Math" w:hAnsi="Cambria Math"/>
                                <w:i/>
                              </w:rPr>
                            </m:ctrlPr>
                          </m:sSubPr>
                          <m:e>
                            <m:r>
                              <w:rPr>
                                <w:rFonts w:ascii="Cambria Math" w:hAnsi="Cambria Math"/>
                              </w:rPr>
                              <m:t>A</m:t>
                            </m:r>
                          </m:e>
                          <m:sub>
                            <m:r>
                              <w:rPr>
                                <w:rFonts w:ascii="Cambria Math" w:hAnsi="Cambria Math"/>
                              </w:rPr>
                              <m:t>TOT</m:t>
                            </m:r>
                          </m:sub>
                        </m:sSub>
                      </m:den>
                    </m:f>
                    <m:r>
                      <w:rPr>
                        <w:rFonts w:ascii="Cambria Math" w:hAnsi="Cambria Math"/>
                      </w:rPr>
                      <m:t>×</m:t>
                    </m:r>
                  </m:e>
                </m:nary>
                <m:f>
                  <m:fPr>
                    <m:ctrlPr>
                      <w:rPr>
                        <w:rFonts w:ascii="Cambria Math" w:hAnsi="Cambria Math"/>
                      </w:rPr>
                    </m:ctrlPr>
                  </m:fPr>
                  <m:num>
                    <m:r>
                      <w:rPr>
                        <w:rFonts w:ascii="Cambria Math" w:hAnsi="Cambria Math"/>
                      </w:rPr>
                      <m:t>N</m:t>
                    </m:r>
                    <m:r>
                      <m:rPr>
                        <m:sty m:val="p"/>
                      </m:rPr>
                      <w:rPr>
                        <w:rFonts w:ascii="Cambria Math" w:hAnsi="Cambria Math"/>
                      </w:rPr>
                      <m:t xml:space="preserve">° </m:t>
                    </m:r>
                    <m:r>
                      <w:rPr>
                        <w:rFonts w:ascii="Cambria Math" w:hAnsi="Cambria Math"/>
                      </w:rPr>
                      <m:t>of pixels in the flame</m:t>
                    </m:r>
                    <m:r>
                      <m:rPr>
                        <m:sty m:val="p"/>
                      </m:rPr>
                      <w:rPr>
                        <w:rFonts w:ascii="Cambria Math" w:hAnsi="Cambria Math"/>
                      </w:rPr>
                      <m:t xml:space="preserve"> </m:t>
                    </m:r>
                    <m:r>
                      <w:rPr>
                        <w:rFonts w:ascii="Cambria Math" w:hAnsi="Cambria Math"/>
                      </w:rPr>
                      <m:t>mas</m:t>
                    </m:r>
                    <m:sSub>
                      <m:sSubPr>
                        <m:ctrlPr>
                          <w:rPr>
                            <w:rFonts w:ascii="Cambria Math" w:hAnsi="Cambria Math"/>
                            <w:i/>
                          </w:rPr>
                        </m:ctrlPr>
                      </m:sSubPr>
                      <m:e>
                        <m:r>
                          <w:rPr>
                            <w:rFonts w:ascii="Cambria Math" w:hAnsi="Cambria Math"/>
                          </w:rPr>
                          <m:t>k</m:t>
                        </m:r>
                      </m:e>
                      <m:sub>
                        <m:r>
                          <w:rPr>
                            <w:rFonts w:ascii="Cambria Math" w:hAnsi="Cambria Math"/>
                          </w:rPr>
                          <m:t>i</m:t>
                        </m:r>
                      </m:sub>
                    </m:sSub>
                    <m:r>
                      <w:rPr>
                        <w:rFonts w:ascii="Cambria Math" w:hAnsi="Cambria Math"/>
                      </w:rPr>
                      <m:t>(t)</m:t>
                    </m:r>
                  </m:num>
                  <m:den>
                    <m:r>
                      <w:rPr>
                        <w:rFonts w:ascii="Cambria Math" w:hAnsi="Cambria Math"/>
                      </w:rPr>
                      <m:t>N</m:t>
                    </m:r>
                    <m:r>
                      <m:rPr>
                        <m:sty m:val="p"/>
                      </m:rPr>
                      <w:rPr>
                        <w:rFonts w:ascii="Cambria Math" w:hAnsi="Cambria Math"/>
                      </w:rPr>
                      <m:t xml:space="preserve">° </m:t>
                    </m:r>
                    <m:r>
                      <w:rPr>
                        <w:rFonts w:ascii="Cambria Math" w:hAnsi="Cambria Math"/>
                      </w:rPr>
                      <m:t>of pixels in the tank mas</m:t>
                    </m:r>
                    <m:sSub>
                      <m:sSubPr>
                        <m:ctrlPr>
                          <w:rPr>
                            <w:rFonts w:ascii="Cambria Math" w:hAnsi="Cambria Math"/>
                            <w:i/>
                          </w:rPr>
                        </m:ctrlPr>
                      </m:sSubPr>
                      <m:e>
                        <m:r>
                          <w:rPr>
                            <w:rFonts w:ascii="Cambria Math" w:hAnsi="Cambria Math"/>
                          </w:rPr>
                          <m:t>k</m:t>
                        </m:r>
                      </m:e>
                      <m:sub>
                        <m:r>
                          <w:rPr>
                            <w:rFonts w:ascii="Cambria Math" w:hAnsi="Cambria Math"/>
                          </w:rPr>
                          <m:t>i</m:t>
                        </m:r>
                      </m:sub>
                    </m:sSub>
                  </m:den>
                </m:f>
              </m:oMath>
            </m:oMathPara>
          </w:p>
        </w:tc>
        <w:tc>
          <w:tcPr>
            <w:tcW w:w="802" w:type="dxa"/>
            <w:shd w:val="clear" w:color="auto" w:fill="auto"/>
            <w:vAlign w:val="center"/>
          </w:tcPr>
          <w:p w14:paraId="1A417CCD" w14:textId="77777777" w:rsidR="00FA7100" w:rsidRPr="00B57B36" w:rsidRDefault="00FA7100" w:rsidP="00A03C34">
            <w:pPr>
              <w:pStyle w:val="CETEquation"/>
              <w:jc w:val="right"/>
            </w:pPr>
            <w:r w:rsidRPr="00B57B36">
              <w:t>(1)</w:t>
            </w:r>
          </w:p>
        </w:tc>
      </w:tr>
    </w:tbl>
    <w:p w14:paraId="3AF10E7D" w14:textId="77777777" w:rsidR="0077302A" w:rsidRDefault="0077302A" w:rsidP="0077302A">
      <w:pPr>
        <w:pStyle w:val="CETBodytext"/>
      </w:pPr>
    </w:p>
    <w:p w14:paraId="601C705E" w14:textId="2560F2A3" w:rsidR="00D33914" w:rsidRDefault="0077302A" w:rsidP="00D33914">
      <w:pPr>
        <w:pStyle w:val="CETBodytext"/>
      </w:pPr>
      <w:r>
        <w:t>Where</w:t>
      </w:r>
      <w:r w:rsidR="006E787F">
        <w:t xml:space="preserve"> </w:t>
      </w:r>
      <m:oMath>
        <m:sSub>
          <m:sSubPr>
            <m:ctrlPr>
              <w:rPr>
                <w:rFonts w:ascii="Cambria Math" w:hAnsi="Cambria Math"/>
                <w:i/>
              </w:rPr>
            </m:ctrlPr>
          </m:sSubPr>
          <m:e>
            <m:r>
              <w:rPr>
                <w:rFonts w:ascii="Cambria Math" w:hAnsi="Cambria Math"/>
              </w:rPr>
              <m:t>A</m:t>
            </m:r>
          </m:e>
          <m:sub>
            <m:r>
              <w:rPr>
                <w:rFonts w:ascii="Cambria Math" w:hAnsi="Cambria Math"/>
              </w:rPr>
              <m:t>i</m:t>
            </m:r>
          </m:sub>
        </m:sSub>
      </m:oMath>
      <w:r>
        <w:t xml:space="preserve"> is the area of the i</w:t>
      </w:r>
      <w:r w:rsidRPr="00D22A77">
        <w:rPr>
          <w:vertAlign w:val="superscript"/>
        </w:rPr>
        <w:t>th</w:t>
      </w:r>
      <w:r>
        <w:t xml:space="preserve"> view of the tank (i.e., North, South, West, and East), </w:t>
      </w:r>
      <m:oMath>
        <m:sSub>
          <m:sSubPr>
            <m:ctrlPr>
              <w:rPr>
                <w:rFonts w:ascii="Cambria Math" w:hAnsi="Cambria Math"/>
                <w:i/>
              </w:rPr>
            </m:ctrlPr>
          </m:sSubPr>
          <m:e>
            <m:r>
              <w:rPr>
                <w:rFonts w:ascii="Cambria Math" w:hAnsi="Cambria Math"/>
              </w:rPr>
              <m:t>A</m:t>
            </m:r>
          </m:e>
          <m:sub>
            <m:r>
              <w:rPr>
                <w:rFonts w:ascii="Cambria Math" w:hAnsi="Cambria Math"/>
              </w:rPr>
              <m:t>TOT</m:t>
            </m:r>
          </m:sub>
        </m:sSub>
      </m:oMath>
      <w:r>
        <w:t xml:space="preserve"> is the total outer surface of the tank</w:t>
      </w:r>
      <w:r w:rsidR="00981EC7">
        <w:t xml:space="preserve">, t is the time at which the frames </w:t>
      </w:r>
      <w:r w:rsidR="00F93817">
        <w:t>a</w:t>
      </w:r>
      <w:r w:rsidR="00981EC7">
        <w:t>re extracted, and n is the number of tank views.</w:t>
      </w:r>
      <w:r w:rsidR="00460DA2">
        <w:t xml:space="preserve"> </w:t>
      </w:r>
      <w:r w:rsidR="00C17129">
        <w:t xml:space="preserve">The resulting </w:t>
      </w:r>
      <w:r w:rsidR="00981EC7">
        <w:t xml:space="preserve">time-varying </w:t>
      </w:r>
      <w:r w:rsidR="00F552F9">
        <w:t xml:space="preserve">flame coverage of the component </w:t>
      </w:r>
      <w:r w:rsidR="00341757">
        <w:t>i</w:t>
      </w:r>
      <w:r w:rsidR="00DD6B6F">
        <w:t xml:space="preserve">s </w:t>
      </w:r>
      <w:r w:rsidR="00E4436D">
        <w:t xml:space="preserve">used to </w:t>
      </w:r>
      <w:r w:rsidR="00F47EBF">
        <w:t xml:space="preserve">reproduce the dynamic partial engulfment in a </w:t>
      </w:r>
      <w:r w:rsidR="00A34E89">
        <w:t xml:space="preserve">mathematical model. Since the goal of the study is to demonstrate the </w:t>
      </w:r>
      <w:r w:rsidR="00937F65">
        <w:t>importance of accurate</w:t>
      </w:r>
      <w:r w:rsidR="00B269AF">
        <w:t>ly</w:t>
      </w:r>
      <w:r w:rsidR="00937F65">
        <w:t xml:space="preserve"> </w:t>
      </w:r>
      <w:r w:rsidR="00B269AF">
        <w:t xml:space="preserve">defining </w:t>
      </w:r>
      <w:r w:rsidR="00937F65">
        <w:t>boundary conditions</w:t>
      </w:r>
      <w:r w:rsidR="00111B92">
        <w:t xml:space="preserve"> rather than precisely reproduce the thermodynamic phenomena inside the tank, a lumped </w:t>
      </w:r>
      <w:r w:rsidR="001A7585">
        <w:t>model</w:t>
      </w:r>
      <w:r w:rsidR="00336270">
        <w:t xml:space="preserve"> is </w:t>
      </w:r>
      <w:r w:rsidR="00520088">
        <w:t>preferred</w:t>
      </w:r>
      <w:r w:rsidR="00966B8A">
        <w:t xml:space="preserve"> over computational fluid dynamic ones </w:t>
      </w:r>
      <w:r w:rsidR="00520088">
        <w:t>due to the lower computational effort required.</w:t>
      </w:r>
      <w:r w:rsidR="007D6D62">
        <w:t xml:space="preserve"> </w:t>
      </w:r>
      <w:r w:rsidR="00A445A4">
        <w:t xml:space="preserve">In the model, the domain </w:t>
      </w:r>
      <w:r w:rsidR="00341757">
        <w:t>i</w:t>
      </w:r>
      <w:r w:rsidR="00A445A4">
        <w:t xml:space="preserve">s divided into three thermal nodes, as </w:t>
      </w:r>
      <w:r w:rsidR="001770E3">
        <w:t xml:space="preserve">shown in </w:t>
      </w:r>
      <w:r w:rsidR="001770E3">
        <w:fldChar w:fldCharType="begin"/>
      </w:r>
      <w:r w:rsidR="001770E3">
        <w:instrText xml:space="preserve"> REF _Ref178159644 \h </w:instrText>
      </w:r>
      <w:r w:rsidR="001770E3">
        <w:fldChar w:fldCharType="separate"/>
      </w:r>
      <w:r w:rsidR="00A445A4" w:rsidRPr="00D33914">
        <w:t xml:space="preserve">Figure </w:t>
      </w:r>
      <w:r w:rsidR="00A445A4">
        <w:rPr>
          <w:noProof/>
        </w:rPr>
        <w:t>2</w:t>
      </w:r>
      <w:r w:rsidR="001770E3">
        <w:fldChar w:fldCharType="end"/>
      </w:r>
      <w:r w:rsidR="001770E3">
        <w:t xml:space="preserve">. </w:t>
      </w:r>
    </w:p>
    <w:p w14:paraId="72211536" w14:textId="77777777" w:rsidR="00A445A4" w:rsidRPr="00D33914" w:rsidRDefault="00A445A4" w:rsidP="00D33914">
      <w:pPr>
        <w:pStyle w:val="CETBodytext"/>
      </w:pPr>
    </w:p>
    <w:p w14:paraId="4EF87BC3" w14:textId="4243DF5E" w:rsidR="00D33914" w:rsidRDefault="00341757" w:rsidP="000E0AFE">
      <w:pPr>
        <w:pStyle w:val="CETBodytext"/>
        <w:keepNext/>
        <w:jc w:val="left"/>
      </w:pPr>
      <w:r w:rsidRPr="00341757">
        <w:rPr>
          <w:noProof/>
          <w:lang w:val="en-GB" w:eastAsia="en-GB"/>
        </w:rPr>
        <w:lastRenderedPageBreak/>
        <w:drawing>
          <wp:inline distT="0" distB="0" distL="0" distR="0" wp14:anchorId="5C5F5072" wp14:editId="4CF63816">
            <wp:extent cx="4601633" cy="1528642"/>
            <wp:effectExtent l="0" t="0" r="8890" b="0"/>
            <wp:docPr id="87080399"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11945" cy="1532068"/>
                    </a:xfrm>
                    <a:prstGeom prst="rect">
                      <a:avLst/>
                    </a:prstGeom>
                    <a:noFill/>
                    <a:ln>
                      <a:noFill/>
                    </a:ln>
                  </pic:spPr>
                </pic:pic>
              </a:graphicData>
            </a:graphic>
          </wp:inline>
        </w:drawing>
      </w:r>
    </w:p>
    <w:p w14:paraId="2690AED3" w14:textId="3C902296" w:rsidR="00823D8C" w:rsidRDefault="00D33914" w:rsidP="00D33914">
      <w:pPr>
        <w:pStyle w:val="CETCaption"/>
        <w:jc w:val="left"/>
      </w:pPr>
      <w:bookmarkStart w:id="2" w:name="_Ref178159644"/>
      <w:r w:rsidRPr="00D33914">
        <w:t xml:space="preserve">Figure </w:t>
      </w:r>
      <w:r w:rsidRPr="00D33914">
        <w:fldChar w:fldCharType="begin"/>
      </w:r>
      <w:r w:rsidRPr="00D33914">
        <w:instrText xml:space="preserve"> SEQ Figure \* ARABIC </w:instrText>
      </w:r>
      <w:r w:rsidRPr="00D33914">
        <w:fldChar w:fldCharType="separate"/>
      </w:r>
      <w:r w:rsidR="00321AEE">
        <w:rPr>
          <w:noProof/>
        </w:rPr>
        <w:t>2</w:t>
      </w:r>
      <w:r w:rsidRPr="00D33914">
        <w:fldChar w:fldCharType="end"/>
      </w:r>
      <w:bookmarkEnd w:id="2"/>
      <w:r w:rsidRPr="00D33914">
        <w:t xml:space="preserve">. </w:t>
      </w:r>
      <w:r w:rsidR="00C17129">
        <w:t>D</w:t>
      </w:r>
      <w:r w:rsidRPr="00D33914">
        <w:t>iscretization of the domain</w:t>
      </w:r>
      <w:r w:rsidR="00AC5337">
        <w:t xml:space="preserve"> in the lumped model</w:t>
      </w:r>
      <w:r w:rsidR="00981EC7">
        <w:t>; F = fluid; I = insulation; J = jacket.</w:t>
      </w:r>
    </w:p>
    <w:p w14:paraId="64686FA0" w14:textId="2C103D8D" w:rsidR="00286560" w:rsidRPr="00D83F07" w:rsidRDefault="00755B46" w:rsidP="00D33914">
      <w:pPr>
        <w:pStyle w:val="CETCaption"/>
        <w:jc w:val="left"/>
        <w:rPr>
          <w:i w:val="0"/>
        </w:rPr>
      </w:pPr>
      <w:r>
        <w:rPr>
          <w:i w:val="0"/>
        </w:rPr>
        <w:t>The equation</w:t>
      </w:r>
      <w:r w:rsidR="004640D8">
        <w:rPr>
          <w:i w:val="0"/>
        </w:rPr>
        <w:t>s</w:t>
      </w:r>
      <w:r>
        <w:rPr>
          <w:i w:val="0"/>
        </w:rPr>
        <w:t xml:space="preserve"> solved in the model are summarized in</w:t>
      </w:r>
      <w:r w:rsidR="00286560">
        <w:rPr>
          <w:i w:val="0"/>
        </w:rPr>
        <w:t xml:space="preserve"> </w:t>
      </w:r>
      <w:r w:rsidR="00286560" w:rsidRPr="00341757">
        <w:rPr>
          <w:i w:val="0"/>
          <w:highlight w:val="yellow"/>
        </w:rPr>
        <w:fldChar w:fldCharType="begin"/>
      </w:r>
      <w:r w:rsidR="00286560" w:rsidRPr="00341757">
        <w:rPr>
          <w:i w:val="0"/>
        </w:rPr>
        <w:instrText xml:space="preserve"> REF _Ref182393577 \h </w:instrText>
      </w:r>
      <w:r w:rsidR="00341757" w:rsidRPr="00341757">
        <w:rPr>
          <w:i w:val="0"/>
          <w:highlight w:val="yellow"/>
        </w:rPr>
        <w:instrText xml:space="preserve"> \* MERGEFORMAT </w:instrText>
      </w:r>
      <w:r w:rsidR="00286560" w:rsidRPr="00341757">
        <w:rPr>
          <w:i w:val="0"/>
          <w:highlight w:val="yellow"/>
        </w:rPr>
      </w:r>
      <w:r w:rsidR="00286560" w:rsidRPr="00341757">
        <w:rPr>
          <w:i w:val="0"/>
          <w:highlight w:val="yellow"/>
        </w:rPr>
        <w:fldChar w:fldCharType="separate"/>
      </w:r>
      <w:r w:rsidR="00CA394D" w:rsidRPr="00CA394D">
        <w:rPr>
          <w:i w:val="0"/>
        </w:rPr>
        <w:t xml:space="preserve">Table </w:t>
      </w:r>
      <w:r w:rsidR="00CA394D" w:rsidRPr="00CA394D">
        <w:rPr>
          <w:i w:val="0"/>
          <w:noProof/>
        </w:rPr>
        <w:t>1</w:t>
      </w:r>
      <w:r w:rsidR="00286560" w:rsidRPr="00341757">
        <w:rPr>
          <w:i w:val="0"/>
          <w:highlight w:val="yellow"/>
        </w:rPr>
        <w:fldChar w:fldCharType="end"/>
      </w:r>
      <w:r w:rsidR="002827E9">
        <w:rPr>
          <w:i w:val="0"/>
        </w:rPr>
        <w:t>, where the subscript</w:t>
      </w:r>
      <w:r w:rsidR="00F40648">
        <w:rPr>
          <w:i w:val="0"/>
        </w:rPr>
        <w:t>s</w:t>
      </w:r>
      <w:r w:rsidR="002827E9">
        <w:rPr>
          <w:i w:val="0"/>
        </w:rPr>
        <w:t xml:space="preserve"> </w:t>
      </w:r>
      <w:r w:rsidR="00981EC7">
        <w:rPr>
          <w:i w:val="0"/>
        </w:rPr>
        <w:t>f</w:t>
      </w:r>
      <w:r w:rsidR="00EB3B89">
        <w:rPr>
          <w:i w:val="0"/>
        </w:rPr>
        <w:t xml:space="preserve">, </w:t>
      </w:r>
      <w:r w:rsidR="00981EC7">
        <w:rPr>
          <w:i w:val="0"/>
        </w:rPr>
        <w:t>i</w:t>
      </w:r>
      <w:r w:rsidR="00EB3B89">
        <w:rPr>
          <w:i w:val="0"/>
        </w:rPr>
        <w:t xml:space="preserve">, and </w:t>
      </w:r>
      <w:r w:rsidR="00981EC7">
        <w:rPr>
          <w:i w:val="0"/>
        </w:rPr>
        <w:t>j</w:t>
      </w:r>
      <w:r w:rsidR="002827E9">
        <w:rPr>
          <w:i w:val="0"/>
        </w:rPr>
        <w:t xml:space="preserve"> refer to the </w:t>
      </w:r>
      <w:r w:rsidR="00981EC7">
        <w:rPr>
          <w:i w:val="0"/>
        </w:rPr>
        <w:t xml:space="preserve">fluid, the </w:t>
      </w:r>
      <w:r w:rsidR="002827E9">
        <w:rPr>
          <w:i w:val="0"/>
        </w:rPr>
        <w:t>insulation</w:t>
      </w:r>
      <w:r w:rsidR="00EB3B89">
        <w:rPr>
          <w:i w:val="0"/>
        </w:rPr>
        <w:t xml:space="preserve">, </w:t>
      </w:r>
      <w:r w:rsidR="00981EC7">
        <w:rPr>
          <w:i w:val="0"/>
        </w:rPr>
        <w:t xml:space="preserve">and </w:t>
      </w:r>
      <w:r w:rsidR="00EB3B89">
        <w:rPr>
          <w:i w:val="0"/>
        </w:rPr>
        <w:t xml:space="preserve">the </w:t>
      </w:r>
      <w:r w:rsidR="002827E9">
        <w:rPr>
          <w:i w:val="0"/>
        </w:rPr>
        <w:t xml:space="preserve">jacket, respectively. </w:t>
      </w:r>
      <w:r w:rsidR="00D83F07">
        <w:rPr>
          <w:i w:val="0"/>
        </w:rPr>
        <w:t>In the first equation, A</w:t>
      </w:r>
      <w:r w:rsidR="00D83F07" w:rsidRPr="00D83F07">
        <w:rPr>
          <w:i w:val="0"/>
          <w:vertAlign w:val="subscript"/>
        </w:rPr>
        <w:t>f</w:t>
      </w:r>
      <w:r w:rsidR="00D83F07">
        <w:rPr>
          <w:i w:val="0"/>
        </w:rPr>
        <w:t xml:space="preserve"> is the surface of the tank in contact with the fluid in m</w:t>
      </w:r>
      <w:r w:rsidR="00D83F07" w:rsidRPr="00D83F07">
        <w:rPr>
          <w:i w:val="0"/>
          <w:vertAlign w:val="superscript"/>
        </w:rPr>
        <w:t>2</w:t>
      </w:r>
      <w:r w:rsidR="00D83F07">
        <w:rPr>
          <w:i w:val="0"/>
        </w:rPr>
        <w:t>.</w:t>
      </w:r>
    </w:p>
    <w:p w14:paraId="48556AAB" w14:textId="2CA16097" w:rsidR="004640D8" w:rsidRPr="00895DD1" w:rsidRDefault="004640D8" w:rsidP="00895DD1">
      <w:pPr>
        <w:pStyle w:val="CETTabletitle"/>
      </w:pPr>
      <w:bookmarkStart w:id="3" w:name="_Ref182393577"/>
      <w:r w:rsidRPr="00895DD1">
        <w:t>T</w:t>
      </w:r>
      <w:r w:rsidR="00CA394D" w:rsidRPr="00895DD1">
        <w:t>able</w:t>
      </w:r>
      <w:r w:rsidRPr="00895DD1">
        <w:t xml:space="preserve"> </w:t>
      </w:r>
      <w:r w:rsidR="00286560" w:rsidRPr="00895DD1">
        <w:fldChar w:fldCharType="begin"/>
      </w:r>
      <w:r w:rsidR="00286560" w:rsidRPr="00895DD1">
        <w:instrText xml:space="preserve"> SEQ Table \* ARABIC </w:instrText>
      </w:r>
      <w:r w:rsidR="00286560" w:rsidRPr="00895DD1">
        <w:fldChar w:fldCharType="separate"/>
      </w:r>
      <w:r w:rsidR="00286560" w:rsidRPr="00895DD1">
        <w:t>1</w:t>
      </w:r>
      <w:r w:rsidR="00286560" w:rsidRPr="00895DD1">
        <w:fldChar w:fldCharType="end"/>
      </w:r>
      <w:bookmarkEnd w:id="3"/>
      <w:r w:rsidR="009D5976" w:rsidRPr="00895DD1">
        <w:t xml:space="preserve">: Equations solved </w:t>
      </w:r>
      <w:r w:rsidR="00981EC7" w:rsidRPr="00895DD1">
        <w:t>for the three nodes in</w:t>
      </w:r>
      <w:r w:rsidR="009D5976" w:rsidRPr="00895DD1">
        <w:t xml:space="preserve"> the </w:t>
      </w:r>
      <w:r w:rsidR="00BF69C1" w:rsidRPr="00895DD1">
        <w:t>lumped model</w:t>
      </w:r>
      <w:r w:rsidR="00981EC7" w:rsidRPr="00895DD1">
        <w:t>; F = fluid; I = insulation; J = jacket</w:t>
      </w:r>
      <w:r w:rsidR="00DC2734" w:rsidRPr="00895DD1">
        <w:t xml:space="preserve">; m=mass (kg), U=internal energy (J), </w:t>
      </w:r>
      <w:r w:rsidR="00845938" w:rsidRPr="00895DD1">
        <w:t>t=time (s), k=thermal conductivity (</w:t>
      </w:r>
      <w:r w:rsidR="00310D03" w:rsidRPr="00895DD1">
        <w:rPr>
          <w:rFonts w:eastAsia="SimSun"/>
        </w:rPr>
        <w:t>W m</w:t>
      </w:r>
      <w:r w:rsidR="00310D03" w:rsidRPr="007D6D62">
        <w:rPr>
          <w:rFonts w:eastAsia="SimSun"/>
          <w:vertAlign w:val="superscript"/>
        </w:rPr>
        <w:t xml:space="preserve">-1 </w:t>
      </w:r>
      <w:r w:rsidR="00310D03" w:rsidRPr="00895DD1">
        <w:rPr>
          <w:rFonts w:eastAsia="SimSun"/>
        </w:rPr>
        <w:t>K</w:t>
      </w:r>
      <w:r w:rsidR="00310D03" w:rsidRPr="007D6D62">
        <w:rPr>
          <w:rFonts w:eastAsia="SimSun"/>
          <w:vertAlign w:val="superscript"/>
        </w:rPr>
        <w:t>-1</w:t>
      </w:r>
      <w:r w:rsidR="00310D03" w:rsidRPr="00895DD1">
        <w:rPr>
          <w:rFonts w:eastAsia="SimSun"/>
        </w:rPr>
        <w:t xml:space="preserve">), </w:t>
      </w:r>
      <m:oMath>
        <m:r>
          <w:rPr>
            <w:rFonts w:ascii="Cambria Math" w:eastAsia="SimSun" w:hAnsi="Cambria Math"/>
          </w:rPr>
          <m:t>δ</m:t>
        </m:r>
      </m:oMath>
      <w:r w:rsidR="005F4300" w:rsidRPr="00895DD1">
        <w:rPr>
          <w:rFonts w:eastAsia="SimSun"/>
        </w:rPr>
        <w:t xml:space="preserve">=thickness (m), </w:t>
      </w:r>
      <w:r w:rsidR="00AD3086" w:rsidRPr="00895DD1">
        <w:rPr>
          <w:rFonts w:eastAsia="SimSun"/>
        </w:rPr>
        <w:t>T=temperature (K), cp=specific heat (</w:t>
      </w:r>
      <w:r w:rsidR="003C06E2" w:rsidRPr="00895DD1">
        <w:rPr>
          <w:rFonts w:eastAsia="SimSun"/>
        </w:rPr>
        <w:t>J kg</w:t>
      </w:r>
      <w:r w:rsidR="003C06E2" w:rsidRPr="007D6D62">
        <w:rPr>
          <w:rFonts w:eastAsia="SimSun"/>
          <w:vertAlign w:val="superscript"/>
        </w:rPr>
        <w:t>-1</w:t>
      </w:r>
      <w:r w:rsidR="003C06E2" w:rsidRPr="00895DD1">
        <w:rPr>
          <w:rFonts w:eastAsia="SimSun"/>
        </w:rPr>
        <w:t xml:space="preserve"> K</w:t>
      </w:r>
      <w:r w:rsidR="003C06E2" w:rsidRPr="007D6D62">
        <w:rPr>
          <w:rFonts w:eastAsia="SimSun"/>
          <w:vertAlign w:val="superscript"/>
        </w:rPr>
        <w:t>-1</w:t>
      </w:r>
      <w:r w:rsidR="003C06E2" w:rsidRPr="00895DD1">
        <w:rPr>
          <w:rFonts w:eastAsia="SimSun"/>
        </w:rPr>
        <w:t xml:space="preserve">), </w:t>
      </w:r>
      <m:oMath>
        <m:r>
          <w:rPr>
            <w:rFonts w:ascii="Cambria Math" w:eastAsia="SimSun" w:hAnsi="Cambria Math"/>
          </w:rPr>
          <m:t>ρ</m:t>
        </m:r>
      </m:oMath>
      <w:r w:rsidR="00895DD1" w:rsidRPr="00895DD1">
        <w:rPr>
          <w:rFonts w:eastAsia="SimSun"/>
        </w:rPr>
        <w:t>=density (kg m</w:t>
      </w:r>
      <w:r w:rsidR="00895DD1" w:rsidRPr="00643519">
        <w:rPr>
          <w:rFonts w:eastAsia="SimSun"/>
          <w:vertAlign w:val="superscript"/>
        </w:rPr>
        <w:t>-3</w:t>
      </w:r>
      <w:r w:rsidR="00895DD1" w:rsidRPr="00895DD1">
        <w:rPr>
          <w:rFonts w:eastAsia="SimSun"/>
        </w:rPr>
        <w:t>).</w:t>
      </w:r>
    </w:p>
    <w:tbl>
      <w:tblPr>
        <w:tblW w:w="4521"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552"/>
        <w:gridCol w:w="2287"/>
        <w:gridCol w:w="1633"/>
        <w:gridCol w:w="3467"/>
        <w:gridCol w:w="6"/>
      </w:tblGrid>
      <w:tr w:rsidR="0087359A" w:rsidRPr="00B57B36" w14:paraId="4E66AC2A" w14:textId="77777777" w:rsidTr="0087359A">
        <w:tc>
          <w:tcPr>
            <w:tcW w:w="347" w:type="pct"/>
            <w:tcBorders>
              <w:top w:val="single" w:sz="12" w:space="0" w:color="008000"/>
              <w:bottom w:val="single" w:sz="6" w:space="0" w:color="008000"/>
            </w:tcBorders>
            <w:shd w:val="clear" w:color="auto" w:fill="FFFFFF"/>
          </w:tcPr>
          <w:p w14:paraId="383D7ACE" w14:textId="0E9A1C65" w:rsidR="0087359A" w:rsidRPr="00B57B36" w:rsidRDefault="0087359A" w:rsidP="0087359A">
            <w:pPr>
              <w:pStyle w:val="CETBodytext"/>
              <w:jc w:val="left"/>
              <w:rPr>
                <w:lang w:val="en-GB"/>
              </w:rPr>
            </w:pPr>
            <w:r>
              <w:rPr>
                <w:lang w:val="en-GB"/>
              </w:rPr>
              <w:t>Node</w:t>
            </w:r>
          </w:p>
        </w:tc>
        <w:tc>
          <w:tcPr>
            <w:tcW w:w="1439" w:type="pct"/>
            <w:tcBorders>
              <w:top w:val="single" w:sz="12" w:space="0" w:color="008000"/>
              <w:bottom w:val="single" w:sz="6" w:space="0" w:color="008000"/>
            </w:tcBorders>
            <w:shd w:val="clear" w:color="auto" w:fill="FFFFFF"/>
          </w:tcPr>
          <w:p w14:paraId="299CF83F" w14:textId="3C4FF568" w:rsidR="0087359A" w:rsidRPr="00B57B36" w:rsidRDefault="0087359A" w:rsidP="0087359A">
            <w:pPr>
              <w:pStyle w:val="CETBodytext"/>
              <w:jc w:val="left"/>
              <w:rPr>
                <w:lang w:val="en-GB"/>
              </w:rPr>
            </w:pPr>
            <w:r>
              <w:rPr>
                <w:lang w:val="en-GB"/>
              </w:rPr>
              <w:t>Variable</w:t>
            </w:r>
          </w:p>
        </w:tc>
        <w:tc>
          <w:tcPr>
            <w:tcW w:w="1028" w:type="pct"/>
            <w:tcBorders>
              <w:top w:val="single" w:sz="12" w:space="0" w:color="008000"/>
              <w:bottom w:val="single" w:sz="6" w:space="0" w:color="008000"/>
            </w:tcBorders>
            <w:shd w:val="clear" w:color="auto" w:fill="FFFFFF"/>
          </w:tcPr>
          <w:p w14:paraId="01E6C41C" w14:textId="79CA0B10" w:rsidR="0087359A" w:rsidRDefault="0087359A" w:rsidP="0087359A">
            <w:pPr>
              <w:pStyle w:val="CETBodytext"/>
              <w:jc w:val="left"/>
              <w:rPr>
                <w:lang w:val="en-GB"/>
              </w:rPr>
            </w:pPr>
            <w:r>
              <w:rPr>
                <w:lang w:val="en-GB"/>
              </w:rPr>
              <w:t>Variable symbol</w:t>
            </w:r>
          </w:p>
        </w:tc>
        <w:tc>
          <w:tcPr>
            <w:tcW w:w="2182" w:type="pct"/>
            <w:tcBorders>
              <w:top w:val="single" w:sz="12" w:space="0" w:color="008000"/>
              <w:bottom w:val="single" w:sz="6" w:space="0" w:color="008000"/>
            </w:tcBorders>
            <w:shd w:val="clear" w:color="auto" w:fill="FFFFFF"/>
          </w:tcPr>
          <w:p w14:paraId="05EC4056" w14:textId="5852F751" w:rsidR="0087359A" w:rsidRPr="00B57B36" w:rsidRDefault="0087359A" w:rsidP="0087359A">
            <w:pPr>
              <w:pStyle w:val="CETBodytext"/>
              <w:jc w:val="left"/>
              <w:rPr>
                <w:lang w:val="en-GB"/>
              </w:rPr>
            </w:pPr>
            <w:r>
              <w:rPr>
                <w:lang w:val="en-GB"/>
              </w:rPr>
              <w:t>Equation</w:t>
            </w:r>
          </w:p>
        </w:tc>
        <w:tc>
          <w:tcPr>
            <w:tcW w:w="4" w:type="pct"/>
            <w:tcBorders>
              <w:top w:val="single" w:sz="12" w:space="0" w:color="008000"/>
              <w:bottom w:val="single" w:sz="6" w:space="0" w:color="008000"/>
            </w:tcBorders>
            <w:shd w:val="clear" w:color="auto" w:fill="FFFFFF"/>
          </w:tcPr>
          <w:p w14:paraId="13D7871A" w14:textId="77777777" w:rsidR="0087359A" w:rsidRPr="00B57B36" w:rsidRDefault="0087359A" w:rsidP="0087359A">
            <w:pPr>
              <w:pStyle w:val="CETBodytext"/>
              <w:ind w:right="-1"/>
              <w:jc w:val="left"/>
              <w:rPr>
                <w:rFonts w:cs="Arial"/>
                <w:szCs w:val="18"/>
                <w:lang w:val="en-GB"/>
              </w:rPr>
            </w:pPr>
          </w:p>
        </w:tc>
      </w:tr>
      <w:tr w:rsidR="0087359A" w:rsidRPr="00B57B36" w14:paraId="321C2F11" w14:textId="77777777" w:rsidTr="0087359A">
        <w:tc>
          <w:tcPr>
            <w:tcW w:w="347" w:type="pct"/>
            <w:shd w:val="clear" w:color="auto" w:fill="FFFFFF"/>
          </w:tcPr>
          <w:p w14:paraId="53E7982E" w14:textId="70B81D1A" w:rsidR="0087359A" w:rsidRPr="00B57B36" w:rsidRDefault="0087359A" w:rsidP="0087359A">
            <w:pPr>
              <w:pStyle w:val="CETBodytext"/>
              <w:jc w:val="left"/>
              <w:rPr>
                <w:lang w:val="en-GB"/>
              </w:rPr>
            </w:pPr>
            <w:r>
              <w:rPr>
                <w:lang w:val="en-GB"/>
              </w:rPr>
              <w:t>F</w:t>
            </w:r>
          </w:p>
        </w:tc>
        <w:tc>
          <w:tcPr>
            <w:tcW w:w="1439" w:type="pct"/>
            <w:shd w:val="clear" w:color="auto" w:fill="FFFFFF"/>
          </w:tcPr>
          <w:p w14:paraId="76C5FD24" w14:textId="33AD9A92" w:rsidR="0087359A" w:rsidRPr="00B57B36" w:rsidRDefault="0087359A" w:rsidP="0087359A">
            <w:pPr>
              <w:pStyle w:val="CETBodytext"/>
              <w:jc w:val="left"/>
              <w:rPr>
                <w:lang w:val="en-GB"/>
              </w:rPr>
            </w:pPr>
            <w:r>
              <w:rPr>
                <w:lang w:val="en-GB"/>
              </w:rPr>
              <w:t xml:space="preserve">Fluid Internal energy </w:t>
            </w:r>
          </w:p>
        </w:tc>
        <w:tc>
          <w:tcPr>
            <w:tcW w:w="1028" w:type="pct"/>
            <w:shd w:val="clear" w:color="auto" w:fill="FFFFFF"/>
          </w:tcPr>
          <w:p w14:paraId="270B22D4" w14:textId="20362B17" w:rsidR="0087359A" w:rsidRPr="00811B1E" w:rsidRDefault="0087359A" w:rsidP="0087359A">
            <w:pPr>
              <w:pStyle w:val="CETBodytext"/>
              <w:jc w:val="left"/>
              <w:rPr>
                <w:rFonts w:cs="Arial"/>
                <w:iCs/>
                <w:lang w:val="en-GB"/>
              </w:rPr>
            </w:pPr>
            <w:r>
              <w:rPr>
                <w:rFonts w:cs="Arial"/>
                <w:iCs/>
                <w:lang w:val="en-GB"/>
              </w:rPr>
              <w:t>U</w:t>
            </w:r>
          </w:p>
        </w:tc>
        <w:tc>
          <w:tcPr>
            <w:tcW w:w="2182" w:type="pct"/>
            <w:shd w:val="clear" w:color="auto" w:fill="FFFFFF"/>
          </w:tcPr>
          <w:p w14:paraId="248D4584" w14:textId="711E819A" w:rsidR="0087359A" w:rsidRPr="0061040E" w:rsidRDefault="00000000" w:rsidP="0087359A">
            <w:pPr>
              <w:pStyle w:val="CETBodytext"/>
              <w:jc w:val="left"/>
              <w:rPr>
                <w:lang w:val="en-GB"/>
              </w:rPr>
            </w:pPr>
            <m:oMathPara>
              <m:oMathParaPr>
                <m:jc m:val="left"/>
              </m:oMathParaPr>
              <m:oMath>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f</m:t>
                    </m:r>
                  </m:sub>
                </m:sSub>
                <m:f>
                  <m:fPr>
                    <m:ctrlPr>
                      <w:rPr>
                        <w:rFonts w:ascii="Cambria Math" w:hAnsi="Cambria Math"/>
                        <w:i/>
                        <w:lang w:val="en-GB"/>
                      </w:rPr>
                    </m:ctrlPr>
                  </m:fPr>
                  <m:num>
                    <m:r>
                      <w:rPr>
                        <w:rFonts w:ascii="Cambria Math" w:hAnsi="Cambria Math"/>
                      </w:rPr>
                      <m:t>d</m:t>
                    </m:r>
                    <m:sSub>
                      <m:sSubPr>
                        <m:ctrlPr>
                          <w:rPr>
                            <w:rFonts w:ascii="Cambria Math" w:hAnsi="Cambria Math"/>
                            <w:i/>
                          </w:rPr>
                        </m:ctrlPr>
                      </m:sSubPr>
                      <m:e>
                        <m:r>
                          <w:rPr>
                            <w:rFonts w:ascii="Cambria Math" w:hAnsi="Cambria Math"/>
                          </w:rPr>
                          <m:t>U</m:t>
                        </m:r>
                      </m:e>
                      <m:sub>
                        <m:r>
                          <w:rPr>
                            <w:rFonts w:ascii="Cambria Math" w:hAnsi="Cambria Math"/>
                          </w:rPr>
                          <m:t>f</m:t>
                        </m:r>
                      </m:sub>
                    </m:sSub>
                  </m:num>
                  <m:den>
                    <m:r>
                      <w:rPr>
                        <w:rFonts w:ascii="Cambria Math" w:hAnsi="Cambria Math"/>
                      </w:rPr>
                      <m:t>dt</m:t>
                    </m:r>
                  </m:den>
                </m:f>
                <m:r>
                  <w:rPr>
                    <w:rFonts w:ascii="Cambria Math" w:hAnsi="Cambria Math"/>
                    <w:lang w:val="en-GB"/>
                  </w:rPr>
                  <m:t>=</m:t>
                </m:r>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f</m:t>
                    </m:r>
                  </m:sub>
                </m:sSub>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i</m:t>
                        </m:r>
                      </m:sub>
                    </m:sSub>
                  </m:num>
                  <m:den>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δ</m:t>
                            </m:r>
                          </m:e>
                          <m:sub>
                            <m:r>
                              <w:rPr>
                                <w:rFonts w:ascii="Cambria Math" w:hAnsi="Cambria Math"/>
                                <w:lang w:val="en-GB"/>
                              </w:rPr>
                              <m:t>i</m:t>
                            </m:r>
                          </m:sub>
                        </m:sSub>
                      </m:num>
                      <m:den>
                        <m:r>
                          <w:rPr>
                            <w:rFonts w:ascii="Cambria Math" w:hAnsi="Cambria Math"/>
                            <w:lang w:val="en-GB"/>
                          </w:rPr>
                          <m:t>2</m:t>
                        </m:r>
                      </m:den>
                    </m:f>
                  </m:den>
                </m:f>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f</m:t>
                    </m:r>
                  </m:sub>
                </m:sSub>
                <m:r>
                  <w:rPr>
                    <w:rFonts w:ascii="Cambria Math" w:hAnsi="Cambria Math"/>
                    <w:lang w:val="en-GB"/>
                  </w:rPr>
                  <m:t>)</m:t>
                </m:r>
              </m:oMath>
            </m:oMathPara>
          </w:p>
        </w:tc>
        <w:tc>
          <w:tcPr>
            <w:tcW w:w="4" w:type="pct"/>
            <w:shd w:val="clear" w:color="auto" w:fill="FFFFFF"/>
          </w:tcPr>
          <w:p w14:paraId="452185F0" w14:textId="77777777" w:rsidR="0087359A" w:rsidRPr="00B57B36" w:rsidRDefault="0087359A" w:rsidP="0087359A">
            <w:pPr>
              <w:pStyle w:val="CETBodytext"/>
              <w:ind w:right="-1"/>
              <w:jc w:val="left"/>
              <w:rPr>
                <w:rFonts w:cs="Arial"/>
                <w:szCs w:val="18"/>
                <w:lang w:val="en-GB"/>
              </w:rPr>
            </w:pPr>
          </w:p>
        </w:tc>
      </w:tr>
      <w:tr w:rsidR="0087359A" w:rsidRPr="00B57B36" w14:paraId="47885FE6" w14:textId="77777777" w:rsidTr="0087359A">
        <w:tc>
          <w:tcPr>
            <w:tcW w:w="347" w:type="pct"/>
            <w:shd w:val="clear" w:color="auto" w:fill="FFFFFF"/>
          </w:tcPr>
          <w:p w14:paraId="7E4661B5" w14:textId="497D87D2" w:rsidR="0087359A" w:rsidRPr="00B57B36" w:rsidRDefault="0087359A" w:rsidP="0087359A">
            <w:pPr>
              <w:pStyle w:val="CETBodytext"/>
              <w:ind w:right="-1"/>
              <w:jc w:val="left"/>
              <w:rPr>
                <w:rFonts w:cs="Arial"/>
                <w:szCs w:val="18"/>
                <w:lang w:val="en-GB"/>
              </w:rPr>
            </w:pPr>
            <w:r>
              <w:rPr>
                <w:rFonts w:cs="Arial"/>
                <w:szCs w:val="18"/>
                <w:lang w:val="en-GB"/>
              </w:rPr>
              <w:t>I</w:t>
            </w:r>
          </w:p>
        </w:tc>
        <w:tc>
          <w:tcPr>
            <w:tcW w:w="1439" w:type="pct"/>
            <w:shd w:val="clear" w:color="auto" w:fill="FFFFFF"/>
          </w:tcPr>
          <w:p w14:paraId="6D1F6858" w14:textId="6FC713AE" w:rsidR="0087359A" w:rsidRPr="00B57B36" w:rsidRDefault="0087359A" w:rsidP="0087359A">
            <w:pPr>
              <w:pStyle w:val="CETBodytext"/>
              <w:ind w:right="-1"/>
              <w:jc w:val="left"/>
              <w:rPr>
                <w:rFonts w:cs="Arial"/>
                <w:szCs w:val="18"/>
                <w:lang w:val="en-GB"/>
              </w:rPr>
            </w:pPr>
            <w:r>
              <w:rPr>
                <w:rFonts w:cs="Arial"/>
                <w:szCs w:val="18"/>
                <w:lang w:val="en-GB"/>
              </w:rPr>
              <w:t>Insulation temperature</w:t>
            </w:r>
          </w:p>
        </w:tc>
        <w:tc>
          <w:tcPr>
            <w:tcW w:w="1028" w:type="pct"/>
            <w:shd w:val="clear" w:color="auto" w:fill="FFFFFF"/>
          </w:tcPr>
          <w:p w14:paraId="1A99B90F" w14:textId="2C871C80" w:rsidR="0087359A" w:rsidRDefault="0087359A" w:rsidP="0087359A">
            <w:pPr>
              <w:pStyle w:val="CETBodytext"/>
              <w:ind w:right="-1"/>
              <w:jc w:val="left"/>
              <w:rPr>
                <w:rFonts w:cs="Arial"/>
                <w:szCs w:val="18"/>
                <w:lang w:val="en-GB"/>
              </w:rPr>
            </w:pPr>
            <w:r>
              <w:rPr>
                <w:rFonts w:cs="Arial"/>
                <w:szCs w:val="18"/>
                <w:lang w:val="en-GB"/>
              </w:rPr>
              <w:t>Ti</w:t>
            </w:r>
          </w:p>
        </w:tc>
        <w:tc>
          <w:tcPr>
            <w:tcW w:w="2182" w:type="pct"/>
            <w:shd w:val="clear" w:color="auto" w:fill="FFFFFF"/>
            <w:vAlign w:val="center"/>
          </w:tcPr>
          <w:p w14:paraId="68F2E117" w14:textId="3933F9F9" w:rsidR="0087359A" w:rsidRPr="0087359A" w:rsidRDefault="00000000" w:rsidP="0087359A">
            <w:pPr>
              <w:pStyle w:val="CETBodytext"/>
              <w:ind w:right="-1"/>
              <w:jc w:val="left"/>
              <w:rPr>
                <w:rFonts w:cs="Arial"/>
                <w:szCs w:val="18"/>
                <w:lang w:val="en-GB"/>
              </w:rPr>
            </w:pPr>
            <m:oMathPara>
              <m:oMathParaPr>
                <m:jc m:val="left"/>
              </m:oMathParaPr>
              <m:oMath>
                <m:sSub>
                  <m:sSubPr>
                    <m:ctrlPr>
                      <w:rPr>
                        <w:rFonts w:ascii="Cambria Math" w:hAnsi="Cambria Math" w:cs="Arial"/>
                        <w:i/>
                        <w:szCs w:val="18"/>
                        <w:lang w:val="en-GB"/>
                      </w:rPr>
                    </m:ctrlPr>
                  </m:sSubPr>
                  <m:e>
                    <m:r>
                      <w:rPr>
                        <w:rFonts w:ascii="Cambria Math" w:hAnsi="Cambria Math" w:cs="Arial"/>
                        <w:szCs w:val="18"/>
                        <w:lang w:val="en-GB"/>
                      </w:rPr>
                      <m:t>ρ</m:t>
                    </m:r>
                  </m:e>
                  <m:sub>
                    <m:r>
                      <w:rPr>
                        <w:rFonts w:ascii="Cambria Math" w:hAnsi="Cambria Math" w:cs="Arial"/>
                        <w:szCs w:val="18"/>
                        <w:lang w:val="en-GB"/>
                      </w:rPr>
                      <m:t>i</m:t>
                    </m:r>
                  </m:sub>
                </m:sSub>
                <m:r>
                  <w:rPr>
                    <w:rFonts w:ascii="Cambria Math" w:hAnsi="Cambria Math" w:cs="Arial"/>
                    <w:szCs w:val="18"/>
                    <w:lang w:val="en-GB"/>
                  </w:rPr>
                  <m:t>c</m:t>
                </m:r>
                <m:sSub>
                  <m:sSubPr>
                    <m:ctrlPr>
                      <w:rPr>
                        <w:rFonts w:ascii="Cambria Math" w:hAnsi="Cambria Math" w:cs="Arial"/>
                        <w:i/>
                        <w:szCs w:val="18"/>
                        <w:lang w:val="en-GB"/>
                      </w:rPr>
                    </m:ctrlPr>
                  </m:sSubPr>
                  <m:e>
                    <m:r>
                      <w:rPr>
                        <w:rFonts w:ascii="Cambria Math" w:hAnsi="Cambria Math" w:cs="Arial"/>
                        <w:szCs w:val="18"/>
                        <w:lang w:val="en-GB"/>
                      </w:rPr>
                      <m:t>p</m:t>
                    </m:r>
                  </m:e>
                  <m:sub>
                    <m:r>
                      <w:rPr>
                        <w:rFonts w:ascii="Cambria Math" w:hAnsi="Cambria Math" w:cs="Arial"/>
                        <w:szCs w:val="18"/>
                        <w:lang w:val="en-GB"/>
                      </w:rPr>
                      <m:t>i</m:t>
                    </m:r>
                  </m:sub>
                </m:sSub>
                <m:sSub>
                  <m:sSubPr>
                    <m:ctrlPr>
                      <w:rPr>
                        <w:rFonts w:ascii="Cambria Math" w:hAnsi="Cambria Math" w:cs="Arial"/>
                        <w:i/>
                        <w:szCs w:val="18"/>
                        <w:lang w:val="en-GB"/>
                      </w:rPr>
                    </m:ctrlPr>
                  </m:sSubPr>
                  <m:e>
                    <m:r>
                      <w:rPr>
                        <w:rFonts w:ascii="Cambria Math" w:hAnsi="Cambria Math" w:cs="Arial"/>
                        <w:szCs w:val="18"/>
                        <w:lang w:val="en-GB"/>
                      </w:rPr>
                      <m:t>δ</m:t>
                    </m:r>
                  </m:e>
                  <m:sub>
                    <m:r>
                      <w:rPr>
                        <w:rFonts w:ascii="Cambria Math" w:hAnsi="Cambria Math" w:cs="Arial"/>
                        <w:szCs w:val="18"/>
                        <w:lang w:val="en-GB"/>
                      </w:rPr>
                      <m:t>i</m:t>
                    </m:r>
                  </m:sub>
                </m:sSub>
                <m:f>
                  <m:fPr>
                    <m:ctrlPr>
                      <w:rPr>
                        <w:rFonts w:ascii="Cambria Math" w:hAnsi="Cambria Math" w:cs="Arial"/>
                        <w:i/>
                        <w:szCs w:val="18"/>
                        <w:lang w:val="en-GB"/>
                      </w:rPr>
                    </m:ctrlPr>
                  </m:fPr>
                  <m:num>
                    <m:r>
                      <w:rPr>
                        <w:rFonts w:ascii="Cambria Math" w:hAnsi="Cambria Math" w:cs="Arial"/>
                        <w:szCs w:val="18"/>
                      </w:rPr>
                      <m:t>d</m:t>
                    </m:r>
                    <m:sSub>
                      <m:sSubPr>
                        <m:ctrlPr>
                          <w:rPr>
                            <w:rFonts w:ascii="Cambria Math" w:hAnsi="Cambria Math" w:cs="Arial"/>
                            <w:i/>
                            <w:szCs w:val="18"/>
                          </w:rPr>
                        </m:ctrlPr>
                      </m:sSubPr>
                      <m:e>
                        <m:r>
                          <w:rPr>
                            <w:rFonts w:ascii="Cambria Math" w:hAnsi="Cambria Math" w:cs="Arial"/>
                            <w:szCs w:val="18"/>
                          </w:rPr>
                          <m:t>T</m:t>
                        </m:r>
                      </m:e>
                      <m:sub>
                        <m:r>
                          <w:rPr>
                            <w:rFonts w:ascii="Cambria Math" w:hAnsi="Cambria Math" w:cs="Arial"/>
                            <w:szCs w:val="18"/>
                          </w:rPr>
                          <m:t>i</m:t>
                        </m:r>
                      </m:sub>
                    </m:sSub>
                  </m:num>
                  <m:den>
                    <m:r>
                      <w:rPr>
                        <w:rFonts w:ascii="Cambria Math" w:hAnsi="Cambria Math" w:cs="Arial"/>
                        <w:szCs w:val="18"/>
                      </w:rPr>
                      <m:t>dt</m:t>
                    </m:r>
                  </m:den>
                </m:f>
                <m:r>
                  <w:rPr>
                    <w:rFonts w:ascii="Cambria Math" w:hAnsi="Cambria Math" w:cs="Arial"/>
                    <w:szCs w:val="18"/>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i</m:t>
                        </m:r>
                      </m:sub>
                    </m:sSub>
                  </m:num>
                  <m:den>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δ</m:t>
                            </m:r>
                          </m:e>
                          <m:sub>
                            <m:r>
                              <w:rPr>
                                <w:rFonts w:ascii="Cambria Math" w:hAnsi="Cambria Math"/>
                                <w:lang w:val="en-GB"/>
                              </w:rPr>
                              <m:t>i</m:t>
                            </m:r>
                          </m:sub>
                        </m:sSub>
                      </m:num>
                      <m:den>
                        <m:r>
                          <w:rPr>
                            <w:rFonts w:ascii="Cambria Math" w:hAnsi="Cambria Math"/>
                            <w:lang w:val="en-GB"/>
                          </w:rPr>
                          <m:t>2</m:t>
                        </m:r>
                      </m:den>
                    </m:f>
                  </m:den>
                </m:f>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j</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i</m:t>
                    </m:r>
                  </m:sub>
                </m:sSub>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i</m:t>
                        </m:r>
                      </m:sub>
                    </m:sSub>
                  </m:num>
                  <m:den>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δ</m:t>
                            </m:r>
                          </m:e>
                          <m:sub>
                            <m:r>
                              <w:rPr>
                                <w:rFonts w:ascii="Cambria Math" w:hAnsi="Cambria Math"/>
                                <w:lang w:val="en-GB"/>
                              </w:rPr>
                              <m:t>i</m:t>
                            </m:r>
                          </m:sub>
                        </m:sSub>
                      </m:num>
                      <m:den>
                        <m:r>
                          <w:rPr>
                            <w:rFonts w:ascii="Cambria Math" w:hAnsi="Cambria Math"/>
                            <w:lang w:val="en-GB"/>
                          </w:rPr>
                          <m:t>2</m:t>
                        </m:r>
                      </m:den>
                    </m:f>
                  </m:den>
                </m:f>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f</m:t>
                    </m:r>
                  </m:sub>
                </m:sSub>
                <m:r>
                  <w:rPr>
                    <w:rFonts w:ascii="Cambria Math" w:hAnsi="Cambria Math"/>
                    <w:lang w:val="en-GB"/>
                  </w:rPr>
                  <m:t>)</m:t>
                </m:r>
              </m:oMath>
            </m:oMathPara>
          </w:p>
        </w:tc>
        <w:tc>
          <w:tcPr>
            <w:tcW w:w="4" w:type="pct"/>
            <w:shd w:val="clear" w:color="auto" w:fill="FFFFFF"/>
          </w:tcPr>
          <w:p w14:paraId="75F15CF7" w14:textId="77777777" w:rsidR="0087359A" w:rsidRPr="00B57B36" w:rsidRDefault="0087359A" w:rsidP="0087359A">
            <w:pPr>
              <w:pStyle w:val="CETBodytext"/>
              <w:ind w:right="-1"/>
              <w:jc w:val="left"/>
              <w:rPr>
                <w:rFonts w:cs="Arial"/>
                <w:szCs w:val="18"/>
                <w:lang w:val="en-GB"/>
              </w:rPr>
            </w:pPr>
          </w:p>
        </w:tc>
      </w:tr>
      <w:tr w:rsidR="0087359A" w:rsidRPr="00B57B36" w14:paraId="6628E246" w14:textId="77777777" w:rsidTr="0087359A">
        <w:tc>
          <w:tcPr>
            <w:tcW w:w="347" w:type="pct"/>
            <w:shd w:val="clear" w:color="auto" w:fill="FFFFFF"/>
          </w:tcPr>
          <w:p w14:paraId="62F19C95" w14:textId="6FD06ECF" w:rsidR="0087359A" w:rsidRPr="00B57B36" w:rsidRDefault="0087359A" w:rsidP="0087359A">
            <w:pPr>
              <w:pStyle w:val="CETBodytext"/>
              <w:ind w:right="-1"/>
              <w:jc w:val="left"/>
              <w:rPr>
                <w:rFonts w:cs="Arial"/>
                <w:szCs w:val="18"/>
                <w:lang w:val="en-GB"/>
              </w:rPr>
            </w:pPr>
            <w:r>
              <w:rPr>
                <w:rFonts w:cs="Arial"/>
                <w:szCs w:val="18"/>
                <w:lang w:val="en-GB"/>
              </w:rPr>
              <w:t>J</w:t>
            </w:r>
          </w:p>
        </w:tc>
        <w:tc>
          <w:tcPr>
            <w:tcW w:w="1439" w:type="pct"/>
            <w:shd w:val="clear" w:color="auto" w:fill="FFFFFF"/>
          </w:tcPr>
          <w:p w14:paraId="6A10E834" w14:textId="6C7C7E70" w:rsidR="0087359A" w:rsidRPr="00B57B36" w:rsidRDefault="0087359A" w:rsidP="0087359A">
            <w:pPr>
              <w:pStyle w:val="CETBodytext"/>
              <w:ind w:right="-1"/>
              <w:jc w:val="left"/>
              <w:rPr>
                <w:rFonts w:cs="Arial"/>
                <w:szCs w:val="18"/>
                <w:lang w:val="en-GB"/>
              </w:rPr>
            </w:pPr>
            <w:r>
              <w:rPr>
                <w:rFonts w:cs="Arial"/>
                <w:szCs w:val="18"/>
                <w:lang w:val="en-GB"/>
              </w:rPr>
              <w:t>Jacket temperature</w:t>
            </w:r>
          </w:p>
        </w:tc>
        <w:tc>
          <w:tcPr>
            <w:tcW w:w="1028" w:type="pct"/>
            <w:shd w:val="clear" w:color="auto" w:fill="FFFFFF"/>
          </w:tcPr>
          <w:p w14:paraId="3A3024D1" w14:textId="4EA576AF" w:rsidR="0087359A" w:rsidRDefault="0087359A" w:rsidP="0087359A">
            <w:pPr>
              <w:pStyle w:val="CETBodytext"/>
              <w:ind w:right="-1"/>
              <w:jc w:val="left"/>
              <w:rPr>
                <w:rFonts w:ascii="Tahoma" w:hAnsi="Tahoma" w:cs="Tahoma"/>
                <w:szCs w:val="18"/>
                <w:lang w:val="en-GB"/>
              </w:rPr>
            </w:pPr>
            <w:r>
              <w:rPr>
                <w:rFonts w:ascii="Tahoma" w:hAnsi="Tahoma" w:cs="Tahoma"/>
                <w:szCs w:val="18"/>
                <w:lang w:val="en-GB"/>
              </w:rPr>
              <w:t>Tj</w:t>
            </w:r>
          </w:p>
        </w:tc>
        <w:tc>
          <w:tcPr>
            <w:tcW w:w="2182" w:type="pct"/>
            <w:shd w:val="clear" w:color="auto" w:fill="FFFFFF"/>
          </w:tcPr>
          <w:p w14:paraId="25A8F832" w14:textId="6C6357E7" w:rsidR="0087359A" w:rsidRPr="0087359A" w:rsidRDefault="00000000" w:rsidP="0087359A">
            <w:pPr>
              <w:pStyle w:val="CETBodytext"/>
              <w:ind w:right="-1"/>
              <w:jc w:val="left"/>
              <w:rPr>
                <w:rFonts w:cs="Arial"/>
                <w:szCs w:val="18"/>
                <w:lang w:val="en-GB"/>
              </w:rPr>
            </w:pPr>
            <m:oMathPara>
              <m:oMathParaPr>
                <m:jc m:val="left"/>
              </m:oMathParaPr>
              <m:oMath>
                <m:sSub>
                  <m:sSubPr>
                    <m:ctrlPr>
                      <w:rPr>
                        <w:rFonts w:ascii="Cambria Math" w:hAnsi="Cambria Math" w:cs="Arial"/>
                        <w:i/>
                        <w:szCs w:val="18"/>
                        <w:lang w:val="en-GB"/>
                      </w:rPr>
                    </m:ctrlPr>
                  </m:sSubPr>
                  <m:e>
                    <m:r>
                      <w:rPr>
                        <w:rFonts w:ascii="Cambria Math" w:hAnsi="Cambria Math" w:cs="Arial"/>
                        <w:szCs w:val="18"/>
                        <w:lang w:val="en-GB"/>
                      </w:rPr>
                      <m:t>ρ</m:t>
                    </m:r>
                  </m:e>
                  <m:sub>
                    <m:r>
                      <w:rPr>
                        <w:rFonts w:ascii="Cambria Math" w:hAnsi="Cambria Math" w:cs="Arial"/>
                        <w:szCs w:val="18"/>
                        <w:lang w:val="en-GB"/>
                      </w:rPr>
                      <m:t>j</m:t>
                    </m:r>
                  </m:sub>
                </m:sSub>
                <m:r>
                  <w:rPr>
                    <w:rFonts w:ascii="Cambria Math" w:hAnsi="Cambria Math" w:cs="Arial"/>
                    <w:szCs w:val="18"/>
                    <w:lang w:val="en-GB"/>
                  </w:rPr>
                  <m:t>c</m:t>
                </m:r>
                <m:sSub>
                  <m:sSubPr>
                    <m:ctrlPr>
                      <w:rPr>
                        <w:rFonts w:ascii="Cambria Math" w:hAnsi="Cambria Math" w:cs="Arial"/>
                        <w:i/>
                        <w:szCs w:val="18"/>
                        <w:lang w:val="en-GB"/>
                      </w:rPr>
                    </m:ctrlPr>
                  </m:sSubPr>
                  <m:e>
                    <m:r>
                      <w:rPr>
                        <w:rFonts w:ascii="Cambria Math" w:hAnsi="Cambria Math" w:cs="Arial"/>
                        <w:szCs w:val="18"/>
                        <w:lang w:val="en-GB"/>
                      </w:rPr>
                      <m:t>p</m:t>
                    </m:r>
                  </m:e>
                  <m:sub>
                    <m:r>
                      <w:rPr>
                        <w:rFonts w:ascii="Cambria Math" w:hAnsi="Cambria Math" w:cs="Arial"/>
                        <w:szCs w:val="18"/>
                        <w:lang w:val="en-GB"/>
                      </w:rPr>
                      <m:t>j</m:t>
                    </m:r>
                  </m:sub>
                </m:sSub>
                <m:sSub>
                  <m:sSubPr>
                    <m:ctrlPr>
                      <w:rPr>
                        <w:rFonts w:ascii="Cambria Math" w:hAnsi="Cambria Math" w:cs="Arial"/>
                        <w:i/>
                        <w:szCs w:val="18"/>
                        <w:lang w:val="en-GB"/>
                      </w:rPr>
                    </m:ctrlPr>
                  </m:sSubPr>
                  <m:e>
                    <m:r>
                      <w:rPr>
                        <w:rFonts w:ascii="Cambria Math" w:hAnsi="Cambria Math" w:cs="Arial"/>
                        <w:szCs w:val="18"/>
                        <w:lang w:val="en-GB"/>
                      </w:rPr>
                      <m:t>δ</m:t>
                    </m:r>
                  </m:e>
                  <m:sub>
                    <m:r>
                      <w:rPr>
                        <w:rFonts w:ascii="Cambria Math" w:hAnsi="Cambria Math" w:cs="Arial"/>
                        <w:szCs w:val="18"/>
                        <w:lang w:val="en-GB"/>
                      </w:rPr>
                      <m:t>j</m:t>
                    </m:r>
                  </m:sub>
                </m:sSub>
                <m:f>
                  <m:fPr>
                    <m:ctrlPr>
                      <w:rPr>
                        <w:rFonts w:ascii="Cambria Math" w:hAnsi="Cambria Math" w:cs="Arial"/>
                        <w:i/>
                        <w:szCs w:val="18"/>
                        <w:lang w:val="en-GB"/>
                      </w:rPr>
                    </m:ctrlPr>
                  </m:fPr>
                  <m:num>
                    <m:r>
                      <w:rPr>
                        <w:rFonts w:ascii="Cambria Math" w:hAnsi="Cambria Math" w:cs="Arial"/>
                        <w:szCs w:val="18"/>
                      </w:rPr>
                      <m:t>d</m:t>
                    </m:r>
                    <m:sSub>
                      <m:sSubPr>
                        <m:ctrlPr>
                          <w:rPr>
                            <w:rFonts w:ascii="Cambria Math" w:hAnsi="Cambria Math" w:cs="Arial"/>
                            <w:i/>
                            <w:szCs w:val="18"/>
                          </w:rPr>
                        </m:ctrlPr>
                      </m:sSubPr>
                      <m:e>
                        <m:r>
                          <w:rPr>
                            <w:rFonts w:ascii="Cambria Math" w:hAnsi="Cambria Math" w:cs="Arial"/>
                            <w:szCs w:val="18"/>
                          </w:rPr>
                          <m:t>T</m:t>
                        </m:r>
                      </m:e>
                      <m:sub>
                        <m:r>
                          <w:rPr>
                            <w:rFonts w:ascii="Cambria Math" w:hAnsi="Cambria Math" w:cs="Arial"/>
                            <w:szCs w:val="18"/>
                          </w:rPr>
                          <m:t>j</m:t>
                        </m:r>
                      </m:sub>
                    </m:sSub>
                  </m:num>
                  <m:den>
                    <m:r>
                      <w:rPr>
                        <w:rFonts w:ascii="Cambria Math" w:hAnsi="Cambria Math" w:cs="Arial"/>
                        <w:szCs w:val="18"/>
                      </w:rPr>
                      <m:t>dt</m:t>
                    </m:r>
                  </m:den>
                </m:f>
                <m:r>
                  <w:rPr>
                    <w:rFonts w:ascii="Cambria Math" w:hAnsi="Cambria Math" w:cs="Arial"/>
                    <w:szCs w:val="18"/>
                    <w:lang w:val="en-GB"/>
                  </w:rPr>
                  <m:t>=Irr-</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i</m:t>
                        </m:r>
                      </m:sub>
                    </m:sSub>
                  </m:num>
                  <m:den>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δ</m:t>
                            </m:r>
                          </m:e>
                          <m:sub>
                            <m:r>
                              <w:rPr>
                                <w:rFonts w:ascii="Cambria Math" w:hAnsi="Cambria Math"/>
                                <w:lang w:val="en-GB"/>
                              </w:rPr>
                              <m:t>i</m:t>
                            </m:r>
                          </m:sub>
                        </m:sSub>
                      </m:num>
                      <m:den>
                        <m:r>
                          <w:rPr>
                            <w:rFonts w:ascii="Cambria Math" w:hAnsi="Cambria Math"/>
                            <w:lang w:val="en-GB"/>
                          </w:rPr>
                          <m:t>2</m:t>
                        </m:r>
                      </m:den>
                    </m:f>
                  </m:den>
                </m:f>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j</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i</m:t>
                    </m:r>
                  </m:sub>
                </m:sSub>
                <m:r>
                  <w:rPr>
                    <w:rFonts w:ascii="Cambria Math" w:hAnsi="Cambria Math"/>
                    <w:lang w:val="en-GB"/>
                  </w:rPr>
                  <m:t>)</m:t>
                </m:r>
              </m:oMath>
            </m:oMathPara>
          </w:p>
        </w:tc>
        <w:tc>
          <w:tcPr>
            <w:tcW w:w="4" w:type="pct"/>
            <w:shd w:val="clear" w:color="auto" w:fill="FFFFFF"/>
          </w:tcPr>
          <w:p w14:paraId="4CD6C3F8" w14:textId="77777777" w:rsidR="0087359A" w:rsidRPr="00B57B36" w:rsidRDefault="0087359A" w:rsidP="0087359A">
            <w:pPr>
              <w:pStyle w:val="CETBodytext"/>
              <w:ind w:right="-1"/>
              <w:jc w:val="left"/>
              <w:rPr>
                <w:rFonts w:cs="Arial"/>
                <w:szCs w:val="18"/>
                <w:lang w:val="en-GB"/>
              </w:rPr>
            </w:pPr>
          </w:p>
        </w:tc>
      </w:tr>
    </w:tbl>
    <w:p w14:paraId="5172A205" w14:textId="3EE3C67B" w:rsidR="00151B47" w:rsidRDefault="00151B47" w:rsidP="00981EC7">
      <w:pPr>
        <w:pStyle w:val="CETCaption"/>
        <w:rPr>
          <w:i w:val="0"/>
        </w:rPr>
      </w:pPr>
      <w:r>
        <w:rPr>
          <w:i w:val="0"/>
        </w:rPr>
        <w:t xml:space="preserve">The data relative to the flame coverage </w:t>
      </w:r>
      <w:r w:rsidR="007201BE">
        <w:rPr>
          <w:i w:val="0"/>
        </w:rPr>
        <w:t>a</w:t>
      </w:r>
      <w:r>
        <w:rPr>
          <w:i w:val="0"/>
        </w:rPr>
        <w:t>re implemented in the model to define the radiative heat flux received from the tank due to the fire engulfment:</w:t>
      </w:r>
    </w:p>
    <w:tbl>
      <w:tblPr>
        <w:tblW w:w="5000" w:type="pct"/>
        <w:tblLook w:val="04A0" w:firstRow="1" w:lastRow="0" w:firstColumn="1" w:lastColumn="0" w:noHBand="0" w:noVBand="1"/>
      </w:tblPr>
      <w:tblGrid>
        <w:gridCol w:w="7984"/>
        <w:gridCol w:w="803"/>
      </w:tblGrid>
      <w:tr w:rsidR="00151B47" w:rsidRPr="00B57B36" w14:paraId="43E8928F" w14:textId="77777777" w:rsidTr="00286560">
        <w:tc>
          <w:tcPr>
            <w:tcW w:w="7975" w:type="dxa"/>
            <w:shd w:val="clear" w:color="auto" w:fill="auto"/>
            <w:vAlign w:val="center"/>
          </w:tcPr>
          <w:p w14:paraId="4507E771" w14:textId="2240D7B9" w:rsidR="008E6245" w:rsidRPr="00F51698" w:rsidRDefault="00DB1054" w:rsidP="00F51698">
            <w:pPr>
              <w:pStyle w:val="CETEquation"/>
            </w:pPr>
            <m:oMathPara>
              <m:oMathParaPr>
                <m:jc m:val="left"/>
              </m:oMathParaPr>
              <m:oMath>
                <m:r>
                  <w:rPr>
                    <w:rFonts w:ascii="Cambria Math" w:hAnsi="Cambria Math"/>
                  </w:rPr>
                  <m:t>Irr=σ</m:t>
                </m:r>
                <m:sSub>
                  <m:sSubPr>
                    <m:ctrlPr>
                      <w:rPr>
                        <w:rFonts w:ascii="Cambria Math" w:hAnsi="Cambria Math"/>
                        <w:i/>
                        <w:iCs/>
                      </w:rPr>
                    </m:ctrlPr>
                  </m:sSubPr>
                  <m:e>
                    <m:r>
                      <w:rPr>
                        <w:rFonts w:ascii="Cambria Math" w:hAnsi="Cambria Math"/>
                      </w:rPr>
                      <m:t>ε</m:t>
                    </m:r>
                  </m:e>
                  <m:sub>
                    <m:r>
                      <w:rPr>
                        <w:rFonts w:ascii="Cambria Math" w:hAnsi="Cambria Math"/>
                      </w:rPr>
                      <m:t>j</m:t>
                    </m:r>
                  </m:sub>
                </m:sSub>
                <m:d>
                  <m:dPr>
                    <m:ctrlPr>
                      <w:rPr>
                        <w:rFonts w:ascii="Cambria Math" w:hAnsi="Cambria Math"/>
                        <w:i/>
                        <w:iCs/>
                      </w:rPr>
                    </m:ctrlPr>
                  </m:dPr>
                  <m:e>
                    <m:sSub>
                      <m:sSubPr>
                        <m:ctrlPr>
                          <w:rPr>
                            <w:rFonts w:ascii="Cambria Math" w:hAnsi="Cambria Math"/>
                            <w:i/>
                            <w:iCs/>
                          </w:rPr>
                        </m:ctrlPr>
                      </m:sSubPr>
                      <m:e>
                        <m:r>
                          <w:rPr>
                            <w:rFonts w:ascii="Cambria Math" w:hAnsi="Cambria Math"/>
                          </w:rPr>
                          <m:t>ε</m:t>
                        </m:r>
                      </m:e>
                      <m:sub>
                        <m:r>
                          <w:rPr>
                            <w:rFonts w:ascii="Cambria Math" w:hAnsi="Cambria Math"/>
                          </w:rPr>
                          <m:t>flame</m:t>
                        </m:r>
                      </m:sub>
                    </m:sSub>
                    <m:sSubSup>
                      <m:sSubSupPr>
                        <m:ctrlPr>
                          <w:rPr>
                            <w:rFonts w:ascii="Cambria Math" w:hAnsi="Cambria Math"/>
                            <w:i/>
                            <w:iCs/>
                          </w:rPr>
                        </m:ctrlPr>
                      </m:sSubSupPr>
                      <m:e>
                        <m:r>
                          <w:rPr>
                            <w:rFonts w:ascii="Cambria Math" w:hAnsi="Cambria Math"/>
                          </w:rPr>
                          <m:t>T</m:t>
                        </m:r>
                      </m:e>
                      <m:sub>
                        <m:r>
                          <w:rPr>
                            <w:rFonts w:ascii="Cambria Math" w:hAnsi="Cambria Math"/>
                          </w:rPr>
                          <m:t>flame</m:t>
                        </m:r>
                      </m:sub>
                      <m:sup>
                        <m:r>
                          <w:rPr>
                            <w:rFonts w:ascii="Cambria Math" w:hAnsi="Cambria Math"/>
                          </w:rPr>
                          <m:t>4</m:t>
                        </m:r>
                      </m:sup>
                    </m:sSubSup>
                    <m:r>
                      <w:rPr>
                        <w:rFonts w:ascii="Cambria Math" w:hAnsi="Cambria Math"/>
                      </w:rPr>
                      <m:t>×FC+</m:t>
                    </m:r>
                    <m:d>
                      <m:dPr>
                        <m:ctrlPr>
                          <w:rPr>
                            <w:rFonts w:ascii="Cambria Math" w:hAnsi="Cambria Math"/>
                            <w:i/>
                            <w:iCs/>
                          </w:rPr>
                        </m:ctrlPr>
                      </m:dPr>
                      <m:e>
                        <m:r>
                          <w:rPr>
                            <w:rFonts w:ascii="Cambria Math" w:hAnsi="Cambria Math"/>
                          </w:rPr>
                          <m:t>1</m:t>
                        </m:r>
                        <m:r>
                          <m:rPr>
                            <m:lit/>
                          </m:rPr>
                          <w:rPr>
                            <w:rFonts w:ascii="Cambria Math" w:hAnsi="Cambria Math"/>
                          </w:rPr>
                          <m:t>-</m:t>
                        </m:r>
                        <m:r>
                          <w:rPr>
                            <w:rFonts w:ascii="Cambria Math" w:hAnsi="Cambria Math"/>
                          </w:rPr>
                          <m:t>FC</m:t>
                        </m:r>
                      </m:e>
                    </m:d>
                    <m:sSubSup>
                      <m:sSubSupPr>
                        <m:ctrlPr>
                          <w:rPr>
                            <w:rFonts w:ascii="Cambria Math" w:hAnsi="Cambria Math"/>
                            <w:i/>
                            <w:iCs/>
                          </w:rPr>
                        </m:ctrlPr>
                      </m:sSubSupPr>
                      <m:e>
                        <m:r>
                          <w:rPr>
                            <w:rFonts w:ascii="Cambria Math" w:hAnsi="Cambria Math"/>
                          </w:rPr>
                          <m:t>T</m:t>
                        </m:r>
                      </m:e>
                      <m:sub>
                        <m:r>
                          <w:rPr>
                            <w:rFonts w:ascii="Cambria Math" w:hAnsi="Cambria Math"/>
                          </w:rPr>
                          <m:t>ambient</m:t>
                        </m:r>
                      </m:sub>
                      <m:sup>
                        <m:r>
                          <w:rPr>
                            <w:rFonts w:ascii="Cambria Math" w:hAnsi="Cambria Math"/>
                          </w:rPr>
                          <m:t>4</m:t>
                        </m:r>
                      </m:sup>
                    </m:sSubSup>
                  </m:e>
                </m:d>
                <m:r>
                  <w:rPr>
                    <w:rFonts w:ascii="Cambria Math" w:hAnsi="Cambria Math"/>
                  </w:rPr>
                  <m:t>-</m:t>
                </m:r>
                <m:d>
                  <m:dPr>
                    <m:ctrlPr>
                      <w:rPr>
                        <w:rFonts w:ascii="Cambria Math" w:hAnsi="Cambria Math"/>
                        <w:i/>
                        <w:iCs/>
                      </w:rPr>
                    </m:ctrlPr>
                  </m:dPr>
                  <m:e>
                    <m:r>
                      <w:rPr>
                        <w:rFonts w:ascii="Cambria Math" w:hAnsi="Cambria Math"/>
                      </w:rPr>
                      <m:t>σ</m:t>
                    </m:r>
                    <m:sSub>
                      <m:sSubPr>
                        <m:ctrlPr>
                          <w:rPr>
                            <w:rFonts w:ascii="Cambria Math" w:hAnsi="Cambria Math"/>
                            <w:i/>
                            <w:iCs/>
                          </w:rPr>
                        </m:ctrlPr>
                      </m:sSubPr>
                      <m:e>
                        <m:r>
                          <w:rPr>
                            <w:rFonts w:ascii="Cambria Math" w:hAnsi="Cambria Math"/>
                          </w:rPr>
                          <m:t>ε</m:t>
                        </m:r>
                      </m:e>
                      <m:sub>
                        <m:r>
                          <w:rPr>
                            <w:rFonts w:ascii="Cambria Math" w:hAnsi="Cambria Math"/>
                          </w:rPr>
                          <m:t>j</m:t>
                        </m:r>
                      </m:sub>
                    </m:sSub>
                    <m:sSubSup>
                      <m:sSubSupPr>
                        <m:ctrlPr>
                          <w:rPr>
                            <w:rFonts w:ascii="Cambria Math" w:hAnsi="Cambria Math"/>
                            <w:i/>
                            <w:iCs/>
                          </w:rPr>
                        </m:ctrlPr>
                      </m:sSubSupPr>
                      <m:e>
                        <m:r>
                          <w:rPr>
                            <w:rFonts w:ascii="Cambria Math" w:hAnsi="Cambria Math"/>
                          </w:rPr>
                          <m:t>T</m:t>
                        </m:r>
                      </m:e>
                      <m:sub>
                        <m:r>
                          <w:rPr>
                            <w:rFonts w:ascii="Cambria Math" w:hAnsi="Cambria Math"/>
                          </w:rPr>
                          <m:t>j</m:t>
                        </m:r>
                      </m:sub>
                      <m:sup>
                        <m:r>
                          <w:rPr>
                            <w:rFonts w:ascii="Cambria Math" w:hAnsi="Cambria Math"/>
                          </w:rPr>
                          <m:t>4</m:t>
                        </m:r>
                      </m:sup>
                    </m:sSubSup>
                  </m:e>
                </m:d>
              </m:oMath>
            </m:oMathPara>
          </w:p>
        </w:tc>
        <w:tc>
          <w:tcPr>
            <w:tcW w:w="802" w:type="dxa"/>
            <w:shd w:val="clear" w:color="auto" w:fill="auto"/>
            <w:vAlign w:val="center"/>
          </w:tcPr>
          <w:p w14:paraId="5B46BDB4" w14:textId="295F60D1" w:rsidR="00151B47" w:rsidRPr="00B57B36" w:rsidRDefault="00151B47" w:rsidP="00A03C34">
            <w:pPr>
              <w:pStyle w:val="CETEquation"/>
              <w:jc w:val="right"/>
            </w:pPr>
            <w:r>
              <w:t>(2</w:t>
            </w:r>
            <w:r w:rsidRPr="00B57B36">
              <w:t>)</w:t>
            </w:r>
          </w:p>
        </w:tc>
      </w:tr>
    </w:tbl>
    <w:p w14:paraId="50E8CD73" w14:textId="77777777" w:rsidR="00561F81" w:rsidRDefault="00561F81" w:rsidP="00561F81">
      <w:pPr>
        <w:pStyle w:val="CETBodytext"/>
        <w:rPr>
          <w:lang w:val="en-GB"/>
        </w:rPr>
      </w:pPr>
    </w:p>
    <w:p w14:paraId="068808B6" w14:textId="77D456A6" w:rsidR="00561F81" w:rsidRDefault="00561F81" w:rsidP="00561F81">
      <w:pPr>
        <w:pStyle w:val="CETBodytext"/>
      </w:pPr>
      <w:r>
        <w:rPr>
          <w:lang w:val="en-GB"/>
        </w:rPr>
        <w:t xml:space="preserve">Where </w:t>
      </w:r>
      <m:oMath>
        <m:r>
          <w:rPr>
            <w:rFonts w:ascii="Cambria Math" w:hAnsi="Cambria Math"/>
            <w:lang w:val="en-GB"/>
          </w:rPr>
          <m:t>σ</m:t>
        </m:r>
      </m:oMath>
      <w:r>
        <w:rPr>
          <w:lang w:val="en-GB"/>
        </w:rPr>
        <w:t xml:space="preserve"> is the Stefan-Boltzmann constant, </w:t>
      </w:r>
      <m:oMath>
        <m:sSub>
          <m:sSubPr>
            <m:ctrlPr>
              <w:rPr>
                <w:rFonts w:ascii="Cambria Math" w:hAnsi="Cambria Math"/>
                <w:i/>
                <w:lang w:val="en-GB"/>
              </w:rPr>
            </m:ctrlPr>
          </m:sSubPr>
          <m:e>
            <m:r>
              <w:rPr>
                <w:rFonts w:ascii="Cambria Math" w:hAnsi="Cambria Math"/>
                <w:lang w:val="en-GB"/>
              </w:rPr>
              <m:t>ε</m:t>
            </m:r>
          </m:e>
          <m:sub>
            <m:r>
              <w:rPr>
                <w:rFonts w:ascii="Cambria Math" w:hAnsi="Cambria Math"/>
                <w:lang w:val="en-GB"/>
              </w:rPr>
              <m:t>flame</m:t>
            </m:r>
          </m:sub>
        </m:sSub>
      </m:oMath>
      <w:r>
        <w:rPr>
          <w:lang w:val="en-GB"/>
        </w:rPr>
        <w:t xml:space="preserve"> is the </w:t>
      </w:r>
      <w:r w:rsidR="00981EC7">
        <w:rPr>
          <w:lang w:val="en-GB"/>
        </w:rPr>
        <w:t xml:space="preserve">flame </w:t>
      </w:r>
      <w:r>
        <w:rPr>
          <w:lang w:val="en-GB"/>
        </w:rPr>
        <w:t>emissivit</w:t>
      </w:r>
      <w:r w:rsidR="00981EC7">
        <w:rPr>
          <w:lang w:val="en-GB"/>
        </w:rPr>
        <w:t>y,</w:t>
      </w:r>
      <w:r w:rsidR="00981EC7" w:rsidRPr="00981EC7">
        <w:rPr>
          <w:rFonts w:ascii="Cambria Math" w:hAnsi="Cambria Math"/>
          <w:i/>
          <w:lang w:val="en-GB"/>
        </w:rPr>
        <w:t xml:space="preserve"> </w:t>
      </w:r>
      <m:oMath>
        <m:sSub>
          <m:sSubPr>
            <m:ctrlPr>
              <w:rPr>
                <w:rFonts w:ascii="Cambria Math" w:hAnsi="Cambria Math"/>
                <w:i/>
                <w:lang w:val="en-GB"/>
              </w:rPr>
            </m:ctrlPr>
          </m:sSubPr>
          <m:e>
            <m:r>
              <w:rPr>
                <w:rFonts w:ascii="Cambria Math" w:hAnsi="Cambria Math"/>
                <w:lang w:val="en-GB"/>
              </w:rPr>
              <m:t>ε</m:t>
            </m:r>
          </m:e>
          <m:sub>
            <m:r>
              <w:rPr>
                <w:rFonts w:ascii="Cambria Math" w:hAnsi="Cambria Math"/>
                <w:lang w:val="en-GB"/>
              </w:rPr>
              <m:t>j</m:t>
            </m:r>
          </m:sub>
        </m:sSub>
      </m:oMath>
      <w:r w:rsidR="00981EC7" w:rsidRPr="00981EC7">
        <w:rPr>
          <w:rFonts w:cs="Arial"/>
          <w:i/>
          <w:lang w:val="en-GB"/>
        </w:rPr>
        <w:t xml:space="preserve"> </w:t>
      </w:r>
      <w:r w:rsidR="00981EC7" w:rsidRPr="00981EC7">
        <w:rPr>
          <w:rFonts w:cs="Arial"/>
          <w:iCs/>
          <w:lang w:val="en-GB"/>
        </w:rPr>
        <w:t>is</w:t>
      </w:r>
      <w:r w:rsidR="00981EC7" w:rsidRPr="00981EC7">
        <w:rPr>
          <w:rFonts w:ascii="Cambria Math" w:hAnsi="Cambria Math"/>
          <w:iCs/>
          <w:lang w:val="en-GB"/>
        </w:rPr>
        <w:t xml:space="preserve"> </w:t>
      </w:r>
      <w:r w:rsidR="00981EC7" w:rsidRPr="00981EC7">
        <w:rPr>
          <w:rFonts w:cs="Arial"/>
          <w:iCs/>
          <w:lang w:val="en-GB"/>
        </w:rPr>
        <w:t>the jacket emissivity,</w:t>
      </w:r>
      <w:r w:rsidR="00981EC7">
        <w:rPr>
          <w:lang w:val="en-GB"/>
        </w:rPr>
        <w:t xml:space="preserve"> and T</w:t>
      </w:r>
      <w:r w:rsidR="00981EC7" w:rsidRPr="00981EC7">
        <w:rPr>
          <w:vertAlign w:val="subscript"/>
          <w:lang w:val="en-GB"/>
        </w:rPr>
        <w:t>flame</w:t>
      </w:r>
      <w:r w:rsidR="00981EC7">
        <w:rPr>
          <w:lang w:val="en-GB"/>
        </w:rPr>
        <w:t xml:space="preserve"> and T</w:t>
      </w:r>
      <w:r w:rsidR="00981EC7" w:rsidRPr="00981EC7">
        <w:rPr>
          <w:vertAlign w:val="subscript"/>
          <w:lang w:val="en-GB"/>
        </w:rPr>
        <w:t>ambient</w:t>
      </w:r>
      <w:r w:rsidR="00981EC7">
        <w:rPr>
          <w:lang w:val="en-GB"/>
        </w:rPr>
        <w:t xml:space="preserve"> </w:t>
      </w:r>
      <w:r w:rsidR="00A550BB">
        <w:rPr>
          <w:lang w:val="en-GB"/>
        </w:rPr>
        <w:t xml:space="preserve">(293.15 K) </w:t>
      </w:r>
      <w:r w:rsidR="00981EC7">
        <w:rPr>
          <w:lang w:val="en-GB"/>
        </w:rPr>
        <w:t>are the flame and ambient temperature in K, respectively.</w:t>
      </w:r>
    </w:p>
    <w:p w14:paraId="677EBFF0" w14:textId="4CA8F365" w:rsidR="00600535" w:rsidRDefault="006334A7" w:rsidP="00600535">
      <w:pPr>
        <w:pStyle w:val="CETHeading1"/>
        <w:tabs>
          <w:tab w:val="clear" w:pos="360"/>
          <w:tab w:val="right" w:pos="7100"/>
        </w:tabs>
        <w:jc w:val="both"/>
        <w:rPr>
          <w:lang w:val="en-GB"/>
        </w:rPr>
      </w:pPr>
      <w:r>
        <w:rPr>
          <w:lang w:val="en-GB"/>
        </w:rPr>
        <w:t>Case stud</w:t>
      </w:r>
      <w:r w:rsidR="00F80B26">
        <w:rPr>
          <w:lang w:val="en-GB"/>
        </w:rPr>
        <w:t>y</w:t>
      </w:r>
    </w:p>
    <w:p w14:paraId="346430F1" w14:textId="410FD747" w:rsidR="00A11738" w:rsidRDefault="004736A4" w:rsidP="004736A4">
      <w:pPr>
        <w:pStyle w:val="CETBodytext"/>
        <w:rPr>
          <w:lang w:val="en-GB"/>
        </w:rPr>
      </w:pPr>
      <w:r>
        <w:rPr>
          <w:lang w:val="en-GB"/>
        </w:rPr>
        <w:t>In this study</w:t>
      </w:r>
      <w:r w:rsidR="00DA34E7">
        <w:rPr>
          <w:lang w:val="en-GB"/>
        </w:rPr>
        <w:t>, one of the three fire tests carried out during the Safe Hydrogen Fuel Handling and Use for Efficient Implementation (SH2IFT) project at the Federal Institute for Materials Resea</w:t>
      </w:r>
      <w:r>
        <w:rPr>
          <w:lang w:val="en-GB"/>
        </w:rPr>
        <w:t xml:space="preserve">rch and Testing (BAM) in Berlin </w:t>
      </w:r>
      <w:r w:rsidR="00A01093">
        <w:rPr>
          <w:lang w:val="en-GB"/>
        </w:rPr>
        <w:t>i</w:t>
      </w:r>
      <w:r>
        <w:rPr>
          <w:lang w:val="en-GB"/>
        </w:rPr>
        <w:t>s simulated</w:t>
      </w:r>
      <w:r w:rsidR="00286560">
        <w:rPr>
          <w:lang w:val="en-GB"/>
        </w:rPr>
        <w:t xml:space="preserve"> </w:t>
      </w:r>
      <w:r w:rsidR="00286560">
        <w:rPr>
          <w:lang w:val="en-GB"/>
        </w:rPr>
        <w:fldChar w:fldCharType="begin" w:fldLock="1"/>
      </w:r>
      <w:r w:rsidR="00286560">
        <w:rPr>
          <w:lang w:val="en-GB"/>
        </w:rPr>
        <w:instrText>ADDIN CSL_CITATION {"citationItems":[{"id":"ITEM-1","itemData":{"author":[{"dropping-particle":"","family":"Ødegård","given":"Anders","non-dropping-particle":"","parse-names":false,"suffix":""},{"dropping-particle":"","family":"Sommerseth","given":"Camilla","non-dropping-particle":"","parse-names":false,"suffix":""},{"dropping-particle":"","family":"Odsæter","given":"Lars H.","non-dropping-particle":"","parse-names":false,"suffix":""},{"dropping-particle":"","family":"Skarsvåg","given":"Hans L.","non-dropping-particle":"","parse-names":false,"suffix":""},{"dropping-particle":"","family":"Nekså","given":"Petter","non-dropping-particle":"","parse-names":false,"suffix":""},{"dropping-particle":"","family":"Meraner","given":"Christoph","non-dropping-particle":"","parse-names":false,"suffix":""},{"dropping-particle":"","family":"Stølen","given":"Reidar","non-dropping-particle":"","parse-names":false,"suffix":""},{"dropping-particle":"","family":"Li","given":"Tian","non-dropping-particle":"","parse-names":false,"suffix":""},{"dropping-particle":"","family":"Muthusamy Deiveegan","given":"","non-dropping-particle":"","parse-names":false,"suffix":""},{"dropping-particle":"","family":"Wingerden","given":"Kees","non-dropping-particle":"Van","parse-names":false,"suffix":""},{"dropping-particle":"","family":"Siccama","given":"Djurre","non-dropping-particle":"","parse-names":false,"suffix":""},{"dropping-particle":"","family":"Gawas","given":"Yogesh","non-dropping-particle":"","parse-names":false,"suffix":""},{"dropping-particle":"","family":"Ustolin","given":"Federico","non-dropping-particle":"","parse-names":false,"suffix":""},{"dropping-particle":"","family":"George","given":"Cyriac","non-dropping-particle":"","parse-names":false,"suffix":""}],"id":"ITEM-1","issued":{"date-parts":[["2022"]]},"title":"D5.4: SH2IFT final project report","type":"report"},"uris":["http://www.mendeley.com/documents/?uuid=fa0eda42-e6a3-4643-84a4-f6def354f229"]}],"mendeley":{"formattedCitation":"(Ødegård et al., 2022)","plainTextFormattedCitation":"(Ødegård et al., 2022)","previouslyFormattedCitation":"(Ødegård et al., 2022)"},"properties":{"noteIndex":0},"schema":"https://github.com/citation-style-language/schema/raw/master/csl-citation.json"}</w:instrText>
      </w:r>
      <w:r w:rsidR="00286560">
        <w:rPr>
          <w:lang w:val="en-GB"/>
        </w:rPr>
        <w:fldChar w:fldCharType="separate"/>
      </w:r>
      <w:r w:rsidR="00286560" w:rsidRPr="00286560">
        <w:rPr>
          <w:noProof/>
          <w:lang w:val="en-GB"/>
        </w:rPr>
        <w:t>(Ødegård et al., 2022)</w:t>
      </w:r>
      <w:r w:rsidR="00286560">
        <w:rPr>
          <w:lang w:val="en-GB"/>
        </w:rPr>
        <w:fldChar w:fldCharType="end"/>
      </w:r>
      <w:r>
        <w:rPr>
          <w:lang w:val="en-GB"/>
        </w:rPr>
        <w:t>.</w:t>
      </w:r>
      <w:r w:rsidR="00DA34E7">
        <w:rPr>
          <w:lang w:val="en-GB"/>
        </w:rPr>
        <w:t xml:space="preserve"> The fire test involved a horizontal double-</w:t>
      </w:r>
      <w:r w:rsidR="00356576">
        <w:rPr>
          <w:lang w:val="en-GB"/>
        </w:rPr>
        <w:t>walled</w:t>
      </w:r>
      <w:r w:rsidR="00DA34E7">
        <w:rPr>
          <w:lang w:val="en-GB"/>
        </w:rPr>
        <w:t xml:space="preserve"> cryogenic storage tank</w:t>
      </w:r>
      <w:r w:rsidR="00356576">
        <w:rPr>
          <w:lang w:val="en-GB"/>
        </w:rPr>
        <w:t xml:space="preserve"> </w:t>
      </w:r>
      <w:r w:rsidR="00DA34E7">
        <w:rPr>
          <w:lang w:val="en-GB"/>
        </w:rPr>
        <w:t xml:space="preserve">insulated with </w:t>
      </w:r>
      <w:r w:rsidR="00421024">
        <w:rPr>
          <w:lang w:val="en-GB"/>
        </w:rPr>
        <w:t>perlite</w:t>
      </w:r>
      <w:r w:rsidR="0007080C">
        <w:rPr>
          <w:lang w:val="en-GB"/>
        </w:rPr>
        <w:t xml:space="preserve"> under </w:t>
      </w:r>
      <w:r w:rsidR="00724FFA">
        <w:rPr>
          <w:lang w:val="en-GB"/>
        </w:rPr>
        <w:t xml:space="preserve">a </w:t>
      </w:r>
      <w:r w:rsidR="0007080C">
        <w:rPr>
          <w:lang w:val="en-GB"/>
        </w:rPr>
        <w:t>high vacuum (0.3 mbar)</w:t>
      </w:r>
      <w:r w:rsidR="00356576">
        <w:rPr>
          <w:lang w:val="en-GB"/>
        </w:rPr>
        <w:t>. The inner and outer shells of the tank were made of low</w:t>
      </w:r>
      <w:r w:rsidR="00DC606A">
        <w:rPr>
          <w:lang w:val="en-GB"/>
        </w:rPr>
        <w:t>-</w:t>
      </w:r>
      <w:r w:rsidR="00356576">
        <w:rPr>
          <w:lang w:val="en-GB"/>
        </w:rPr>
        <w:t>temperature resistant stainless steel and ha</w:t>
      </w:r>
      <w:r w:rsidR="002B4BE3">
        <w:rPr>
          <w:lang w:val="en-GB"/>
        </w:rPr>
        <w:t>d</w:t>
      </w:r>
      <w:r w:rsidR="00356576">
        <w:rPr>
          <w:lang w:val="en-GB"/>
        </w:rPr>
        <w:t xml:space="preserve"> a thickness of 3 mm and 4 mm, respectively</w:t>
      </w:r>
      <w:r w:rsidR="00823D8C">
        <w:rPr>
          <w:lang w:val="en-GB"/>
        </w:rPr>
        <w:t>; the insulation</w:t>
      </w:r>
      <w:r w:rsidR="00A937A8">
        <w:rPr>
          <w:lang w:val="en-GB"/>
        </w:rPr>
        <w:t xml:space="preserve"> space between the </w:t>
      </w:r>
      <w:r w:rsidR="00122F92">
        <w:rPr>
          <w:lang w:val="en-GB"/>
        </w:rPr>
        <w:t>shells</w:t>
      </w:r>
      <w:r w:rsidR="00823D8C">
        <w:rPr>
          <w:lang w:val="en-GB"/>
        </w:rPr>
        <w:t xml:space="preserve"> was 217.4 mm thick.</w:t>
      </w:r>
      <w:r w:rsidR="00356576">
        <w:rPr>
          <w:lang w:val="en-GB"/>
        </w:rPr>
        <w:t xml:space="preserve"> The amount of liquid hydrogen stored was around 30 kg, corresponding to a filling degree of 40%. </w:t>
      </w:r>
      <w:r w:rsidR="0007080C">
        <w:rPr>
          <w:lang w:val="en-GB"/>
        </w:rPr>
        <w:t>The fire engulfment was reproduced by 36 propane burners (flame temperature of 1,193 K</w:t>
      </w:r>
      <w:r w:rsidR="00286560">
        <w:rPr>
          <w:lang w:val="en-GB"/>
        </w:rPr>
        <w:t xml:space="preserve"> </w:t>
      </w:r>
      <w:r w:rsidR="00286560">
        <w:rPr>
          <w:lang w:val="en-GB"/>
        </w:rPr>
        <w:fldChar w:fldCharType="begin" w:fldLock="1"/>
      </w:r>
      <w:r w:rsidR="00286560">
        <w:rPr>
          <w:lang w:val="en-GB"/>
        </w:rPr>
        <w:instrText>ADDIN CSL_CITATION {"citationItems":[{"id":"ITEM-1","itemData":{"author":[{"dropping-particle":"","family":"Pehr","given":"Klaus","non-dropping-particle":"","parse-names":false,"suffix":""}],"id":"ITEM-1","issued":{"date-parts":[["1996"]]},"title":"EXPERIMENTAL EXAMINATIONS ON THE WORST CASE BEHAVIOUR OF LH2/LNG TANKS FOR PASSENGER CARS","type":"report"},"uris":["http://www.mendeley.com/documents/?uuid=853472f5-67fd-3caf-932d-49703290e937"]}],"mendeley":{"formattedCitation":"(Pehr, 1996)","plainTextFormattedCitation":"(Pehr, 1996)","previouslyFormattedCitation":"(Pehr, 1996)"},"properties":{"noteIndex":0},"schema":"https://github.com/citation-style-language/schema/raw/master/csl-citation.json"}</w:instrText>
      </w:r>
      <w:r w:rsidR="00286560">
        <w:rPr>
          <w:lang w:val="en-GB"/>
        </w:rPr>
        <w:fldChar w:fldCharType="separate"/>
      </w:r>
      <w:r w:rsidR="00286560" w:rsidRPr="00286560">
        <w:rPr>
          <w:noProof/>
          <w:lang w:val="en-GB"/>
        </w:rPr>
        <w:t>(Pehr, 1996)</w:t>
      </w:r>
      <w:r w:rsidR="00286560">
        <w:rPr>
          <w:lang w:val="en-GB"/>
        </w:rPr>
        <w:fldChar w:fldCharType="end"/>
      </w:r>
      <w:r w:rsidR="0007080C">
        <w:rPr>
          <w:lang w:val="en-GB"/>
        </w:rPr>
        <w:t>) placed below the vessel</w:t>
      </w:r>
      <w:r w:rsidR="00286560">
        <w:rPr>
          <w:lang w:val="en-GB"/>
        </w:rPr>
        <w:t xml:space="preserve">. </w:t>
      </w:r>
      <w:r w:rsidR="00A87B2A">
        <w:rPr>
          <w:lang w:val="en-GB"/>
        </w:rPr>
        <w:t xml:space="preserve">The maximum pressure inside the tank was observed </w:t>
      </w:r>
      <w:r w:rsidR="00AB3BE4">
        <w:rPr>
          <w:lang w:val="en-GB"/>
        </w:rPr>
        <w:t xml:space="preserve">at around </w:t>
      </w:r>
      <w:r w:rsidR="00A87B2A">
        <w:rPr>
          <w:lang w:val="en-GB"/>
        </w:rPr>
        <w:t>4</w:t>
      </w:r>
      <w:r w:rsidR="009A2E68">
        <w:rPr>
          <w:lang w:val="en-GB"/>
        </w:rPr>
        <w:t>,</w:t>
      </w:r>
      <w:r w:rsidR="00A87B2A">
        <w:rPr>
          <w:lang w:val="en-GB"/>
        </w:rPr>
        <w:t xml:space="preserve">500 seconds from the beginning of the test, before a </w:t>
      </w:r>
      <w:r w:rsidR="006770D8">
        <w:rPr>
          <w:lang w:val="en-GB"/>
        </w:rPr>
        <w:t>quick drop was measured due to an unexpected leak in the system</w:t>
      </w:r>
      <w:r w:rsidR="00D16DEC">
        <w:rPr>
          <w:lang w:val="en-GB"/>
        </w:rPr>
        <w:t>; at that time, the measure</w:t>
      </w:r>
      <w:r w:rsidR="00DC606A">
        <w:rPr>
          <w:lang w:val="en-GB"/>
        </w:rPr>
        <w:t>d</w:t>
      </w:r>
      <w:r w:rsidR="00D16DEC">
        <w:rPr>
          <w:lang w:val="en-GB"/>
        </w:rPr>
        <w:t xml:space="preserve"> vacuum pressure in the insulation space</w:t>
      </w:r>
      <w:r w:rsidR="00356576">
        <w:rPr>
          <w:lang w:val="en-GB"/>
        </w:rPr>
        <w:t xml:space="preserve"> </w:t>
      </w:r>
      <w:r w:rsidR="00D16DEC">
        <w:rPr>
          <w:lang w:val="en-GB"/>
        </w:rPr>
        <w:t xml:space="preserve">was 0.06 mbar. </w:t>
      </w:r>
      <w:r w:rsidR="00A11738">
        <w:rPr>
          <w:lang w:val="en-GB"/>
        </w:rPr>
        <w:t xml:space="preserve">For the fire test, the </w:t>
      </w:r>
      <w:r w:rsidR="00242575">
        <w:rPr>
          <w:lang w:val="en-GB"/>
        </w:rPr>
        <w:t xml:space="preserve">video </w:t>
      </w:r>
      <w:r w:rsidR="00A11738">
        <w:rPr>
          <w:lang w:val="en-GB"/>
        </w:rPr>
        <w:t xml:space="preserve">recordings were available for the North, South, East and West views of the tank (n=4 in Eq. (1)). </w:t>
      </w:r>
    </w:p>
    <w:p w14:paraId="3A614378" w14:textId="0DA53E7D" w:rsidR="004862C1" w:rsidRDefault="005461A0" w:rsidP="004736A4">
      <w:pPr>
        <w:pStyle w:val="CETBodytext"/>
        <w:rPr>
          <w:lang w:val="en-GB"/>
        </w:rPr>
      </w:pPr>
      <w:r>
        <w:rPr>
          <w:lang w:val="en-GB"/>
        </w:rPr>
        <w:t>A</w:t>
      </w:r>
      <w:r w:rsidR="00356576">
        <w:rPr>
          <w:lang w:val="en-GB"/>
        </w:rPr>
        <w:t xml:space="preserve">ssumptions </w:t>
      </w:r>
      <w:r w:rsidR="002B7ED1">
        <w:rPr>
          <w:lang w:val="en-GB"/>
        </w:rPr>
        <w:t>a</w:t>
      </w:r>
      <w:r w:rsidR="00356576">
        <w:rPr>
          <w:lang w:val="en-GB"/>
        </w:rPr>
        <w:t>re introduced to obtain the missing input data necessary for the model</w:t>
      </w:r>
      <w:r w:rsidR="00823D8C">
        <w:rPr>
          <w:lang w:val="en-GB"/>
        </w:rPr>
        <w:t xml:space="preserve">. The insulation </w:t>
      </w:r>
      <w:r w:rsidR="002B7ED1">
        <w:rPr>
          <w:lang w:val="en-GB"/>
        </w:rPr>
        <w:t>i</w:t>
      </w:r>
      <w:r w:rsidR="00823D8C">
        <w:rPr>
          <w:lang w:val="en-GB"/>
        </w:rPr>
        <w:t xml:space="preserve">s characterized </w:t>
      </w:r>
      <w:r w:rsidR="00DC606A">
        <w:rPr>
          <w:lang w:val="en-GB"/>
        </w:rPr>
        <w:t>by</w:t>
      </w:r>
      <w:r w:rsidR="00823D8C">
        <w:rPr>
          <w:lang w:val="en-GB"/>
        </w:rPr>
        <w:t xml:space="preserve"> a density of 100 kg m</w:t>
      </w:r>
      <w:r w:rsidR="00823D8C" w:rsidRPr="00823D8C">
        <w:rPr>
          <w:vertAlign w:val="superscript"/>
          <w:lang w:val="en-GB"/>
        </w:rPr>
        <w:t>-3</w:t>
      </w:r>
      <w:r w:rsidR="00DC606A">
        <w:rPr>
          <w:lang w:val="en-GB"/>
        </w:rPr>
        <w:t xml:space="preserve"> and </w:t>
      </w:r>
      <w:r w:rsidR="008C2865">
        <w:rPr>
          <w:lang w:val="en-GB"/>
        </w:rPr>
        <w:t>a specific heat of 840 J kg</w:t>
      </w:r>
      <w:r w:rsidR="008C2865" w:rsidRPr="00823D8C">
        <w:rPr>
          <w:vertAlign w:val="superscript"/>
          <w:lang w:val="en-GB"/>
        </w:rPr>
        <w:t>-1</w:t>
      </w:r>
      <w:r w:rsidR="008C2865">
        <w:rPr>
          <w:lang w:val="en-GB"/>
        </w:rPr>
        <w:t xml:space="preserve"> K</w:t>
      </w:r>
      <w:r w:rsidR="008C2865" w:rsidRPr="00823D8C">
        <w:rPr>
          <w:vertAlign w:val="superscript"/>
          <w:lang w:val="en-GB"/>
        </w:rPr>
        <w:t>-</w:t>
      </w:r>
      <w:r w:rsidR="008C2865" w:rsidRPr="00B83A62">
        <w:rPr>
          <w:vertAlign w:val="superscript"/>
          <w:lang w:val="en-GB"/>
        </w:rPr>
        <w:t>1</w:t>
      </w:r>
      <w:r w:rsidR="008C2865">
        <w:rPr>
          <w:lang w:val="en-GB"/>
        </w:rPr>
        <w:t>. D</w:t>
      </w:r>
      <w:r w:rsidR="00EF71EC" w:rsidRPr="008C2865">
        <w:rPr>
          <w:lang w:val="en-GB"/>
        </w:rPr>
        <w:t>ifferent</w:t>
      </w:r>
      <w:r w:rsidR="00421024">
        <w:rPr>
          <w:lang w:val="en-GB"/>
        </w:rPr>
        <w:t xml:space="preserve"> values for the perlite thermal conductivity</w:t>
      </w:r>
      <w:r w:rsidR="00B45B57">
        <w:rPr>
          <w:lang w:val="en-GB"/>
        </w:rPr>
        <w:t xml:space="preserve">, </w:t>
      </w:r>
      <w:r w:rsidR="005346F7">
        <w:rPr>
          <w:lang w:val="en-GB"/>
        </w:rPr>
        <w:t xml:space="preserve">calculated following the procedure provided </w:t>
      </w:r>
      <w:r w:rsidR="00286560">
        <w:rPr>
          <w:lang w:val="en-GB"/>
        </w:rPr>
        <w:t xml:space="preserve">by </w:t>
      </w:r>
      <w:r w:rsidR="00286560">
        <w:rPr>
          <w:lang w:val="en-GB"/>
        </w:rPr>
        <w:fldChar w:fldCharType="begin" w:fldLock="1"/>
      </w:r>
      <w:r w:rsidR="005C24C2">
        <w:rPr>
          <w:lang w:val="en-GB"/>
        </w:rPr>
        <w:instrText>ADDIN CSL_CITATION {"citationItems":[{"id":"ITEM-1","itemData":{"DOI":"https://doi.org/10.1016/S0065-2717(08)70132-1","ISBN":"0065-2717","abstract":"Publisher Summary This chapter summarizes some of the available information relating specifically to heat transfer phenomena at low temperatures. The technical presentation includes conduction, insulation, and interfacial processes. Interfacial processes include forced-convection and natural convection processes; pressurized-discharge processes; stratification phenomena in vessels; multiphase processes, including two-phase flow and frost formation, among others ; and radiation and transport phenomena in the superfluid helium. Although most of the material to be presented may be applied to noncryogenic behavior, the chapter emphasizes on applications valid for the cryogens. The use of cryogenic substances has introduced several unique problems in heat transfer. The handling and transporting of these fluids at very low temperatures in the presence of an atmospheric ambient has necessitated the development of specialized insulating methods and design techniques. Where possible or available, cryogenic data has been cited and the uniqueness of low-temperature application has been highlighted.","author":[{"dropping-particle":"","family":"Clark","given":"John A","non-dropping-particle":"","parse-names":false,"suffix":""}],"editor":[{"dropping-particle":"","family":"Irvine","given":"Thomas F","non-dropping-particle":"","parse-names":false,"suffix":""},{"dropping-particle":"","family":"Hartnett","given":"James P B T - Advances in Heat Transfer","non-dropping-particle":"","parse-names":false,"suffix":""}],"id":"ITEM-1","issued":{"date-parts":[["1969"]]},"page":"325-517","publisher":"Elsevier","title":"Cryogenic Heat Transfer","type":"chapter","volume":"5"},"uris":["http://www.mendeley.com/documents/?uuid=da652633-beb5-4f50-b183-94fbd94bfc7c"]}],"mendeley":{"formattedCitation":"(Clark, 1969)","manualFormatting":"Clark (1969)","plainTextFormattedCitation":"(Clark, 1969)","previouslyFormattedCitation":"(Clark, 1969)"},"properties":{"noteIndex":0},"schema":"https://github.com/citation-style-language/schema/raw/master/csl-citation.json"}</w:instrText>
      </w:r>
      <w:r w:rsidR="00286560">
        <w:rPr>
          <w:lang w:val="en-GB"/>
        </w:rPr>
        <w:fldChar w:fldCharType="separate"/>
      </w:r>
      <w:r w:rsidR="00286560" w:rsidRPr="00286560">
        <w:rPr>
          <w:noProof/>
          <w:lang w:val="en-GB"/>
        </w:rPr>
        <w:t xml:space="preserve">Clark </w:t>
      </w:r>
      <w:r w:rsidR="00286560">
        <w:rPr>
          <w:noProof/>
          <w:lang w:val="en-GB"/>
        </w:rPr>
        <w:t>(</w:t>
      </w:r>
      <w:r w:rsidR="00286560" w:rsidRPr="00286560">
        <w:rPr>
          <w:noProof/>
          <w:lang w:val="en-GB"/>
        </w:rPr>
        <w:t>1969)</w:t>
      </w:r>
      <w:r w:rsidR="00286560">
        <w:rPr>
          <w:lang w:val="en-GB"/>
        </w:rPr>
        <w:fldChar w:fldCharType="end"/>
      </w:r>
      <w:r w:rsidR="00B45B57">
        <w:rPr>
          <w:lang w:val="en-GB"/>
        </w:rPr>
        <w:t xml:space="preserve">, </w:t>
      </w:r>
      <w:r w:rsidR="002B7ED1">
        <w:rPr>
          <w:lang w:val="en-GB"/>
        </w:rPr>
        <w:t>a</w:t>
      </w:r>
      <w:r w:rsidR="00B45B57">
        <w:rPr>
          <w:lang w:val="en-GB"/>
        </w:rPr>
        <w:t>re tested</w:t>
      </w:r>
      <w:r w:rsidR="00446917">
        <w:rPr>
          <w:lang w:val="en-GB"/>
        </w:rPr>
        <w:t xml:space="preserve"> </w:t>
      </w:r>
      <w:r w:rsidR="00143405">
        <w:rPr>
          <w:lang w:val="en-GB"/>
        </w:rPr>
        <w:t>to assess how the variation in the boundary conditions reflects on the tank pressurization</w:t>
      </w:r>
      <w:r w:rsidR="00543846">
        <w:rPr>
          <w:lang w:val="en-GB"/>
        </w:rPr>
        <w:t xml:space="preserve"> and how </w:t>
      </w:r>
      <w:r w:rsidR="007F7A81">
        <w:rPr>
          <w:lang w:val="en-GB"/>
        </w:rPr>
        <w:t xml:space="preserve">this </w:t>
      </w:r>
      <w:r w:rsidR="004C6A1A">
        <w:rPr>
          <w:lang w:val="en-GB"/>
        </w:rPr>
        <w:t>impac</w:t>
      </w:r>
      <w:r w:rsidR="0086210C">
        <w:rPr>
          <w:lang w:val="en-GB"/>
        </w:rPr>
        <w:t>t is</w:t>
      </w:r>
      <w:r w:rsidR="007F7A81">
        <w:rPr>
          <w:lang w:val="en-GB"/>
        </w:rPr>
        <w:t xml:space="preserve"> related to the insulation performance</w:t>
      </w:r>
      <w:r w:rsidR="00143405">
        <w:rPr>
          <w:lang w:val="en-GB"/>
        </w:rPr>
        <w:t>.</w:t>
      </w:r>
      <w:r w:rsidR="00D91CD2">
        <w:rPr>
          <w:lang w:val="en-GB"/>
        </w:rPr>
        <w:t xml:space="preserve"> </w:t>
      </w:r>
      <w:r w:rsidR="006E787F">
        <w:rPr>
          <w:lang w:val="en-GB"/>
        </w:rPr>
        <w:t xml:space="preserve">The values are summarized in </w:t>
      </w:r>
      <w:r w:rsidR="006E787F">
        <w:rPr>
          <w:lang w:val="en-GB"/>
        </w:rPr>
        <w:fldChar w:fldCharType="begin"/>
      </w:r>
      <w:r w:rsidR="006E787F">
        <w:rPr>
          <w:lang w:val="en-GB"/>
        </w:rPr>
        <w:instrText xml:space="preserve"> REF _Ref182401514 \h </w:instrText>
      </w:r>
      <w:r w:rsidR="006E787F">
        <w:rPr>
          <w:lang w:val="en-GB"/>
        </w:rPr>
      </w:r>
      <w:r w:rsidR="006E787F">
        <w:rPr>
          <w:lang w:val="en-GB"/>
        </w:rPr>
        <w:fldChar w:fldCharType="separate"/>
      </w:r>
      <w:r w:rsidR="006E787F">
        <w:t xml:space="preserve">Table </w:t>
      </w:r>
      <w:r w:rsidR="006E787F">
        <w:rPr>
          <w:noProof/>
        </w:rPr>
        <w:t>2</w:t>
      </w:r>
      <w:r w:rsidR="006E787F">
        <w:rPr>
          <w:lang w:val="en-GB"/>
        </w:rPr>
        <w:fldChar w:fldCharType="end"/>
      </w:r>
      <w:r w:rsidR="00165D30">
        <w:rPr>
          <w:lang w:val="en-GB"/>
        </w:rPr>
        <w:t xml:space="preserve">, where P1 and P3 </w:t>
      </w:r>
      <w:r w:rsidR="00B4254B">
        <w:rPr>
          <w:lang w:val="en-GB"/>
        </w:rPr>
        <w:t xml:space="preserve">represent perfectly working </w:t>
      </w:r>
      <w:r w:rsidR="00B4254B">
        <w:rPr>
          <w:lang w:val="en-GB"/>
        </w:rPr>
        <w:lastRenderedPageBreak/>
        <w:t xml:space="preserve">systems (i.e., vacuum pressure unchanged), while P2 and P4 represent degraded systems (i.e., </w:t>
      </w:r>
      <w:r w:rsidR="00EE1B24">
        <w:rPr>
          <w:lang w:val="en-GB"/>
        </w:rPr>
        <w:t>increased vacuum pressure</w:t>
      </w:r>
      <w:r w:rsidR="006C2767">
        <w:rPr>
          <w:lang w:val="en-GB"/>
        </w:rPr>
        <w:t xml:space="preserve"> in the insulation annular space</w:t>
      </w:r>
      <w:r w:rsidR="00EE1B24">
        <w:rPr>
          <w:lang w:val="en-GB"/>
        </w:rPr>
        <w:t xml:space="preserve">). </w:t>
      </w:r>
      <w:r w:rsidR="004C6A1A">
        <w:rPr>
          <w:lang w:val="en-GB"/>
        </w:rPr>
        <w:t>The pressure relief valve is not simulated</w:t>
      </w:r>
      <w:r w:rsidR="0063473B">
        <w:rPr>
          <w:lang w:val="en-GB"/>
        </w:rPr>
        <w:t xml:space="preserve"> to replicate the worst-case scenario.</w:t>
      </w:r>
    </w:p>
    <w:p w14:paraId="4E46E608" w14:textId="0BD06108" w:rsidR="005C24C2" w:rsidRPr="005C24C2" w:rsidRDefault="00286560" w:rsidP="005C24C2">
      <w:pPr>
        <w:pStyle w:val="CETTabletitle"/>
      </w:pPr>
      <w:bookmarkStart w:id="4" w:name="_Ref182401514"/>
      <w:r>
        <w:t xml:space="preserve">Table </w:t>
      </w:r>
      <w:r>
        <w:fldChar w:fldCharType="begin"/>
      </w:r>
      <w:r>
        <w:instrText xml:space="preserve"> SEQ Table \* ARABIC </w:instrText>
      </w:r>
      <w:r>
        <w:fldChar w:fldCharType="separate"/>
      </w:r>
      <w:r>
        <w:rPr>
          <w:noProof/>
        </w:rPr>
        <w:t>2</w:t>
      </w:r>
      <w:r>
        <w:fldChar w:fldCharType="end"/>
      </w:r>
      <w:bookmarkEnd w:id="4"/>
      <w:r>
        <w:t>: Properties of the perlite insulation considered in the present study</w:t>
      </w:r>
      <w:r w:rsidR="006E787F">
        <w:t xml:space="preserve"> in the lumped model.</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3341"/>
        <w:gridCol w:w="585"/>
        <w:gridCol w:w="585"/>
        <w:gridCol w:w="585"/>
        <w:gridCol w:w="585"/>
        <w:gridCol w:w="698"/>
        <w:gridCol w:w="2401"/>
        <w:gridCol w:w="7"/>
      </w:tblGrid>
      <w:tr w:rsidR="005C24C2" w:rsidRPr="00B57B36" w14:paraId="165A5DBD" w14:textId="77777777" w:rsidTr="005C24C2">
        <w:tc>
          <w:tcPr>
            <w:tcW w:w="1901" w:type="pct"/>
            <w:tcBorders>
              <w:top w:val="single" w:sz="12" w:space="0" w:color="008000"/>
              <w:bottom w:val="single" w:sz="6" w:space="0" w:color="008000"/>
            </w:tcBorders>
            <w:shd w:val="clear" w:color="auto" w:fill="FFFFFF"/>
            <w:vAlign w:val="center"/>
          </w:tcPr>
          <w:p w14:paraId="371D49F2" w14:textId="77777777" w:rsidR="005C24C2" w:rsidRPr="00B57B36" w:rsidRDefault="005C24C2" w:rsidP="00A03C34">
            <w:pPr>
              <w:pStyle w:val="CETBodytext"/>
              <w:jc w:val="left"/>
              <w:rPr>
                <w:lang w:val="en-GB"/>
              </w:rPr>
            </w:pPr>
            <w:r>
              <w:rPr>
                <w:lang w:val="en-GB"/>
              </w:rPr>
              <w:t>Case ID</w:t>
            </w:r>
          </w:p>
        </w:tc>
        <w:tc>
          <w:tcPr>
            <w:tcW w:w="333" w:type="pct"/>
            <w:tcBorders>
              <w:top w:val="single" w:sz="12" w:space="0" w:color="008000"/>
              <w:bottom w:val="single" w:sz="6" w:space="0" w:color="008000"/>
            </w:tcBorders>
            <w:shd w:val="clear" w:color="auto" w:fill="FFFFFF"/>
          </w:tcPr>
          <w:p w14:paraId="20A029E5" w14:textId="5C841D71" w:rsidR="006E787F" w:rsidRDefault="005C24C2" w:rsidP="00A03C34">
            <w:pPr>
              <w:pStyle w:val="CETBodytext"/>
              <w:jc w:val="left"/>
              <w:rPr>
                <w:lang w:val="en-GB"/>
              </w:rPr>
            </w:pPr>
            <w:r>
              <w:rPr>
                <w:lang w:val="en-GB"/>
              </w:rPr>
              <w:t>P1</w:t>
            </w:r>
          </w:p>
        </w:tc>
        <w:tc>
          <w:tcPr>
            <w:tcW w:w="333" w:type="pct"/>
            <w:tcBorders>
              <w:top w:val="single" w:sz="12" w:space="0" w:color="008000"/>
              <w:bottom w:val="single" w:sz="6" w:space="0" w:color="008000"/>
            </w:tcBorders>
            <w:shd w:val="clear" w:color="auto" w:fill="FFFFFF"/>
            <w:vAlign w:val="center"/>
          </w:tcPr>
          <w:p w14:paraId="690614B9" w14:textId="16EB90C5" w:rsidR="005C24C2" w:rsidRPr="006E787F" w:rsidRDefault="005C24C2" w:rsidP="00A03C34">
            <w:pPr>
              <w:pStyle w:val="CETBodytext"/>
              <w:jc w:val="left"/>
              <w:rPr>
                <w:lang w:val="en-GB"/>
              </w:rPr>
            </w:pPr>
            <w:r w:rsidRPr="006E787F">
              <w:rPr>
                <w:lang w:val="en-GB"/>
              </w:rPr>
              <w:t>P2</w:t>
            </w:r>
          </w:p>
        </w:tc>
        <w:tc>
          <w:tcPr>
            <w:tcW w:w="333" w:type="pct"/>
            <w:tcBorders>
              <w:top w:val="single" w:sz="12" w:space="0" w:color="008000"/>
              <w:bottom w:val="single" w:sz="6" w:space="0" w:color="008000"/>
            </w:tcBorders>
            <w:shd w:val="clear" w:color="auto" w:fill="FFFFFF"/>
            <w:vAlign w:val="center"/>
          </w:tcPr>
          <w:p w14:paraId="5EB4672F" w14:textId="14D5482D" w:rsidR="005C24C2" w:rsidRDefault="005C24C2" w:rsidP="00A03C34">
            <w:pPr>
              <w:pStyle w:val="CETBodytext"/>
              <w:jc w:val="left"/>
              <w:rPr>
                <w:lang w:val="en-GB"/>
              </w:rPr>
            </w:pPr>
            <w:r>
              <w:rPr>
                <w:lang w:val="en-GB"/>
              </w:rPr>
              <w:t>P3</w:t>
            </w:r>
          </w:p>
        </w:tc>
        <w:tc>
          <w:tcPr>
            <w:tcW w:w="333" w:type="pct"/>
            <w:tcBorders>
              <w:top w:val="single" w:sz="12" w:space="0" w:color="008000"/>
              <w:bottom w:val="single" w:sz="6" w:space="0" w:color="008000"/>
            </w:tcBorders>
            <w:shd w:val="clear" w:color="auto" w:fill="FFFFFF"/>
            <w:vAlign w:val="center"/>
          </w:tcPr>
          <w:p w14:paraId="4AE30AD1" w14:textId="5BBBE105" w:rsidR="005C24C2" w:rsidRPr="00B57B36" w:rsidRDefault="005C24C2" w:rsidP="00A03C34">
            <w:pPr>
              <w:pStyle w:val="CETBodytext"/>
              <w:jc w:val="left"/>
              <w:rPr>
                <w:lang w:val="en-GB"/>
              </w:rPr>
            </w:pPr>
            <w:r>
              <w:rPr>
                <w:lang w:val="en-GB"/>
              </w:rPr>
              <w:t>P4</w:t>
            </w:r>
          </w:p>
        </w:tc>
        <w:tc>
          <w:tcPr>
            <w:tcW w:w="397" w:type="pct"/>
            <w:tcBorders>
              <w:top w:val="single" w:sz="12" w:space="0" w:color="008000"/>
              <w:bottom w:val="single" w:sz="6" w:space="0" w:color="008000"/>
            </w:tcBorders>
            <w:shd w:val="clear" w:color="auto" w:fill="FFFFFF"/>
            <w:vAlign w:val="center"/>
          </w:tcPr>
          <w:p w14:paraId="0322CC6C" w14:textId="77777777" w:rsidR="005C24C2" w:rsidRPr="00B57B36" w:rsidRDefault="005C24C2" w:rsidP="00A03C34">
            <w:pPr>
              <w:pStyle w:val="CETBodytext"/>
              <w:ind w:right="-1"/>
              <w:jc w:val="left"/>
              <w:rPr>
                <w:rFonts w:cs="Arial"/>
                <w:szCs w:val="18"/>
                <w:lang w:val="en-GB"/>
              </w:rPr>
            </w:pPr>
          </w:p>
        </w:tc>
        <w:tc>
          <w:tcPr>
            <w:tcW w:w="1366" w:type="pct"/>
            <w:tcBorders>
              <w:top w:val="single" w:sz="12" w:space="0" w:color="008000"/>
              <w:bottom w:val="single" w:sz="6" w:space="0" w:color="008000"/>
            </w:tcBorders>
            <w:shd w:val="clear" w:color="auto" w:fill="FFFFFF"/>
          </w:tcPr>
          <w:p w14:paraId="2FF18FC5" w14:textId="344F872D" w:rsidR="005C24C2" w:rsidRPr="00B57B36" w:rsidRDefault="005C24C2" w:rsidP="00A03C34">
            <w:pPr>
              <w:pStyle w:val="CETBodytext"/>
              <w:ind w:right="-1"/>
              <w:jc w:val="left"/>
              <w:rPr>
                <w:rFonts w:cs="Arial"/>
                <w:szCs w:val="18"/>
                <w:lang w:val="en-GB"/>
              </w:rPr>
            </w:pPr>
            <w:r>
              <w:rPr>
                <w:rFonts w:cs="Arial"/>
                <w:szCs w:val="18"/>
                <w:lang w:val="en-GB"/>
              </w:rPr>
              <w:t>Reference</w:t>
            </w:r>
          </w:p>
        </w:tc>
        <w:tc>
          <w:tcPr>
            <w:tcW w:w="4" w:type="pct"/>
            <w:tcBorders>
              <w:top w:val="single" w:sz="12" w:space="0" w:color="008000"/>
              <w:bottom w:val="single" w:sz="6" w:space="0" w:color="008000"/>
            </w:tcBorders>
            <w:shd w:val="clear" w:color="auto" w:fill="FFFFFF"/>
            <w:vAlign w:val="center"/>
          </w:tcPr>
          <w:p w14:paraId="6908EC33" w14:textId="3007A27E" w:rsidR="005C24C2" w:rsidRPr="00B57B36" w:rsidRDefault="005C24C2" w:rsidP="00A03C34">
            <w:pPr>
              <w:pStyle w:val="CETBodytext"/>
              <w:ind w:right="-1"/>
              <w:jc w:val="left"/>
              <w:rPr>
                <w:rFonts w:cs="Arial"/>
                <w:szCs w:val="18"/>
                <w:lang w:val="en-GB"/>
              </w:rPr>
            </w:pPr>
          </w:p>
        </w:tc>
      </w:tr>
      <w:tr w:rsidR="005C24C2" w:rsidRPr="00B57B36" w14:paraId="39CAD983" w14:textId="77777777" w:rsidTr="005C24C2">
        <w:tc>
          <w:tcPr>
            <w:tcW w:w="1901" w:type="pct"/>
            <w:shd w:val="clear" w:color="auto" w:fill="FFFFFF"/>
            <w:vAlign w:val="center"/>
          </w:tcPr>
          <w:p w14:paraId="23CAD3C9" w14:textId="51B45F59" w:rsidR="005C24C2" w:rsidRPr="00B57B36" w:rsidRDefault="005C24C2" w:rsidP="005C24C2">
            <w:pPr>
              <w:pStyle w:val="CETBodytext"/>
              <w:jc w:val="left"/>
              <w:rPr>
                <w:lang w:val="en-GB"/>
              </w:rPr>
            </w:pPr>
            <w:r>
              <w:rPr>
                <w:lang w:val="en-GB"/>
              </w:rPr>
              <w:t>Vacuum pressure (mbar)</w:t>
            </w:r>
          </w:p>
        </w:tc>
        <w:tc>
          <w:tcPr>
            <w:tcW w:w="333" w:type="pct"/>
            <w:shd w:val="clear" w:color="auto" w:fill="FFFFFF"/>
          </w:tcPr>
          <w:p w14:paraId="372B7B5F" w14:textId="77777777" w:rsidR="005C24C2" w:rsidRPr="00B57B36" w:rsidRDefault="005C24C2" w:rsidP="00A03C34">
            <w:pPr>
              <w:pStyle w:val="CETBodytext"/>
              <w:jc w:val="left"/>
              <w:rPr>
                <w:lang w:val="en-GB"/>
              </w:rPr>
            </w:pPr>
            <w:r>
              <w:rPr>
                <w:lang w:val="en-GB"/>
              </w:rPr>
              <w:t>0.03</w:t>
            </w:r>
          </w:p>
        </w:tc>
        <w:tc>
          <w:tcPr>
            <w:tcW w:w="333" w:type="pct"/>
            <w:shd w:val="clear" w:color="auto" w:fill="FFFFFF"/>
            <w:vAlign w:val="center"/>
          </w:tcPr>
          <w:p w14:paraId="1A28AB94" w14:textId="46DA75F3" w:rsidR="005C24C2" w:rsidRPr="00B57B36" w:rsidRDefault="005C24C2" w:rsidP="00A03C34">
            <w:pPr>
              <w:pStyle w:val="CETBodytext"/>
              <w:jc w:val="left"/>
              <w:rPr>
                <w:lang w:val="en-GB"/>
              </w:rPr>
            </w:pPr>
            <w:r>
              <w:rPr>
                <w:lang w:val="en-GB"/>
              </w:rPr>
              <w:t>0.06</w:t>
            </w:r>
          </w:p>
        </w:tc>
        <w:tc>
          <w:tcPr>
            <w:tcW w:w="333" w:type="pct"/>
            <w:shd w:val="clear" w:color="auto" w:fill="FFFFFF"/>
            <w:vAlign w:val="center"/>
          </w:tcPr>
          <w:p w14:paraId="254B0BDB" w14:textId="117F6A0F" w:rsidR="005C24C2" w:rsidRPr="00811B1E" w:rsidRDefault="005C24C2" w:rsidP="00A03C34">
            <w:pPr>
              <w:pStyle w:val="CETBodytext"/>
              <w:jc w:val="left"/>
              <w:rPr>
                <w:rFonts w:cs="Arial"/>
                <w:iCs/>
                <w:lang w:val="en-GB"/>
              </w:rPr>
            </w:pPr>
            <w:r>
              <w:rPr>
                <w:rFonts w:cs="Arial"/>
                <w:iCs/>
                <w:lang w:val="en-GB"/>
              </w:rPr>
              <w:t>0.03</w:t>
            </w:r>
          </w:p>
        </w:tc>
        <w:tc>
          <w:tcPr>
            <w:tcW w:w="333" w:type="pct"/>
            <w:shd w:val="clear" w:color="auto" w:fill="FFFFFF"/>
            <w:vAlign w:val="center"/>
          </w:tcPr>
          <w:p w14:paraId="4B12A826" w14:textId="5BDAC27E" w:rsidR="005C24C2" w:rsidRPr="00B57B36" w:rsidRDefault="005C24C2" w:rsidP="00A03C34">
            <w:pPr>
              <w:pStyle w:val="CETBodytext"/>
              <w:jc w:val="left"/>
              <w:rPr>
                <w:lang w:val="en-GB"/>
              </w:rPr>
            </w:pPr>
            <w:r>
              <w:rPr>
                <w:lang w:val="en-GB"/>
              </w:rPr>
              <w:t>0.06</w:t>
            </w:r>
          </w:p>
        </w:tc>
        <w:tc>
          <w:tcPr>
            <w:tcW w:w="397" w:type="pct"/>
            <w:shd w:val="clear" w:color="auto" w:fill="FFFFFF"/>
            <w:vAlign w:val="center"/>
          </w:tcPr>
          <w:p w14:paraId="25C9A09C" w14:textId="77777777" w:rsidR="005C24C2" w:rsidRPr="00B57B36" w:rsidRDefault="005C24C2" w:rsidP="00A03C34">
            <w:pPr>
              <w:pStyle w:val="CETBodytext"/>
              <w:ind w:right="-1"/>
              <w:jc w:val="left"/>
              <w:rPr>
                <w:rFonts w:cs="Arial"/>
                <w:szCs w:val="18"/>
                <w:lang w:val="en-GB"/>
              </w:rPr>
            </w:pPr>
          </w:p>
        </w:tc>
        <w:tc>
          <w:tcPr>
            <w:tcW w:w="1366" w:type="pct"/>
            <w:shd w:val="clear" w:color="auto" w:fill="FFFFFF"/>
          </w:tcPr>
          <w:p w14:paraId="6DA6AAAB" w14:textId="7AD74038" w:rsidR="005C24C2" w:rsidRPr="005C24C2" w:rsidRDefault="005C24C2" w:rsidP="005C24C2">
            <w:pPr>
              <w:pStyle w:val="CETBodytext"/>
              <w:rPr>
                <w:sz w:val="16"/>
                <w:szCs w:val="18"/>
                <w:lang w:val="en-GB"/>
              </w:rPr>
            </w:pPr>
            <w:r w:rsidRPr="005C24C2">
              <w:rPr>
                <w:sz w:val="16"/>
                <w:szCs w:val="18"/>
                <w:lang w:val="en-GB"/>
              </w:rPr>
              <w:fldChar w:fldCharType="begin" w:fldLock="1"/>
            </w:r>
            <w:r w:rsidRPr="005C24C2">
              <w:rPr>
                <w:sz w:val="16"/>
                <w:szCs w:val="18"/>
                <w:lang w:val="en-GB"/>
              </w:rPr>
              <w:instrText>ADDIN CSL_CITATION {"citationItems":[{"id":"ITEM-1","itemData":{"author":[{"dropping-particle":"","family":"Ødegård","given":"Anders","non-dropping-particle":"","parse-names":false,"suffix":""},{"dropping-particle":"","family":"Sommerseth","given":"Camilla","non-dropping-particle":"","parse-names":false,"suffix":""},{"dropping-particle":"","family":"Odsæter","given":"Lars H.","non-dropping-particle":"","parse-names":false,"suffix":""},{"dropping-particle":"","family":"Skarsvåg","given":"Hans L.","non-dropping-particle":"","parse-names":false,"suffix":""},{"dropping-particle":"","family":"Nekså","given":"Petter","non-dropping-particle":"","parse-names":false,"suffix":""},{"dropping-particle":"","family":"Meraner","given":"Christoph","non-dropping-particle":"","parse-names":false,"suffix":""},{"dropping-particle":"","family":"Stølen","given":"Reidar","non-dropping-particle":"","parse-names":false,"suffix":""},{"dropping-particle":"","family":"Li","given":"Tian","non-dropping-particle":"","parse-names":false,"suffix":""},{"dropping-particle":"","family":"Muthusamy Deiveegan","given":"","non-dropping-particle":"","parse-names":false,"suffix":""},{"dropping-particle":"","family":"Wingerden","given":"Kees","non-dropping-particle":"Van","parse-names":false,"suffix":""},{"dropping-particle":"","family":"Siccama","given":"Djurre","non-dropping-particle":"","parse-names":false,"suffix":""},{"dropping-particle":"","family":"Gawas","given":"Yogesh","non-dropping-particle":"","parse-names":false,"suffix":""},{"dropping-particle":"","family":"Ustolin","given":"Federico","non-dropping-particle":"","parse-names":false,"suffix":""},{"dropping-particle":"","family":"George","given":"Cyriac","non-dropping-particle":"","parse-names":false,"suffix":""}],"id":"ITEM-1","issued":{"date-parts":[["2022"]]},"title":"D5.4: SH2IFT final project report","type":"report"},"uris":["http://www.mendeley.com/documents/?uuid=fa0eda42-e6a3-4643-84a4-f6def354f229"]}],"mendeley":{"formattedCitation":"(Ødegård et al., 2022)","plainTextFormattedCitation":"(Ødegård et al., 2022)","previouslyFormattedCitation":"(Ødegård et al., 2022)"},"properties":{"noteIndex":0},"schema":"https://github.com/citation-style-language/schema/raw/master/csl-citation.json"}</w:instrText>
            </w:r>
            <w:r w:rsidRPr="005C24C2">
              <w:rPr>
                <w:sz w:val="16"/>
                <w:szCs w:val="18"/>
                <w:lang w:val="en-GB"/>
              </w:rPr>
              <w:fldChar w:fldCharType="separate"/>
            </w:r>
            <w:r w:rsidRPr="005C24C2">
              <w:rPr>
                <w:noProof/>
                <w:sz w:val="16"/>
                <w:szCs w:val="18"/>
                <w:lang w:val="en-GB"/>
              </w:rPr>
              <w:t>(Ødegård et al., 2022)</w:t>
            </w:r>
            <w:r w:rsidRPr="005C24C2">
              <w:rPr>
                <w:sz w:val="16"/>
                <w:szCs w:val="18"/>
                <w:lang w:val="en-GB"/>
              </w:rPr>
              <w:fldChar w:fldCharType="end"/>
            </w:r>
          </w:p>
        </w:tc>
        <w:tc>
          <w:tcPr>
            <w:tcW w:w="4" w:type="pct"/>
            <w:shd w:val="clear" w:color="auto" w:fill="FFFFFF"/>
            <w:vAlign w:val="center"/>
          </w:tcPr>
          <w:p w14:paraId="43233C3D" w14:textId="612543CB" w:rsidR="005C24C2" w:rsidRPr="00B57B36" w:rsidRDefault="005C24C2" w:rsidP="00A03C34">
            <w:pPr>
              <w:pStyle w:val="CETBodytext"/>
              <w:ind w:right="-1"/>
              <w:jc w:val="left"/>
              <w:rPr>
                <w:rFonts w:cs="Arial"/>
                <w:szCs w:val="18"/>
                <w:lang w:val="en-GB"/>
              </w:rPr>
            </w:pPr>
          </w:p>
        </w:tc>
      </w:tr>
      <w:tr w:rsidR="005C24C2" w:rsidRPr="00B57B36" w14:paraId="519416DF" w14:textId="77777777" w:rsidTr="005C24C2">
        <w:tc>
          <w:tcPr>
            <w:tcW w:w="1901" w:type="pct"/>
            <w:shd w:val="clear" w:color="auto" w:fill="FFFFFF"/>
            <w:vAlign w:val="center"/>
          </w:tcPr>
          <w:p w14:paraId="360738E7" w14:textId="3F48A72F" w:rsidR="005C24C2" w:rsidRPr="005C24C2" w:rsidRDefault="005C24C2" w:rsidP="005C24C2">
            <w:pPr>
              <w:pStyle w:val="CETBodytext"/>
              <w:jc w:val="left"/>
              <w:rPr>
                <w:lang w:val="it-IT"/>
              </w:rPr>
            </w:pPr>
            <w:r>
              <w:rPr>
                <w:lang w:val="it-IT"/>
              </w:rPr>
              <w:t>P</w:t>
            </w:r>
            <w:r w:rsidRPr="00D16DEC">
              <w:rPr>
                <w:lang w:val="it-IT"/>
              </w:rPr>
              <w:t>article</w:t>
            </w:r>
            <w:r>
              <w:rPr>
                <w:lang w:val="it-IT"/>
              </w:rPr>
              <w:t>s</w:t>
            </w:r>
            <w:r w:rsidRPr="00D16DEC">
              <w:rPr>
                <w:lang w:val="it-IT"/>
              </w:rPr>
              <w:t xml:space="preserve"> diam</w:t>
            </w:r>
            <w:r>
              <w:rPr>
                <w:lang w:val="it-IT"/>
              </w:rPr>
              <w:t xml:space="preserve">eter </w:t>
            </w:r>
            <w:r w:rsidRPr="00D16DEC">
              <w:rPr>
                <w:lang w:val="it-IT"/>
              </w:rPr>
              <w:t>(</w:t>
            </w:r>
            <w:r>
              <w:rPr>
                <w:lang w:val="it-IT"/>
              </w:rPr>
              <w:t>mm</w:t>
            </w:r>
            <w:r w:rsidRPr="00D16DEC">
              <w:rPr>
                <w:lang w:val="it-IT"/>
              </w:rPr>
              <w:t>)</w:t>
            </w:r>
          </w:p>
        </w:tc>
        <w:tc>
          <w:tcPr>
            <w:tcW w:w="333" w:type="pct"/>
            <w:shd w:val="clear" w:color="auto" w:fill="FFFFFF"/>
          </w:tcPr>
          <w:p w14:paraId="4E1EC63E" w14:textId="088C86A6" w:rsidR="005C24C2" w:rsidRPr="00B57B36" w:rsidRDefault="005C24C2" w:rsidP="00A03C34">
            <w:pPr>
              <w:pStyle w:val="CETBodytext"/>
              <w:jc w:val="left"/>
              <w:rPr>
                <w:lang w:val="en-GB"/>
              </w:rPr>
            </w:pPr>
            <w:r>
              <w:rPr>
                <w:lang w:val="en-GB"/>
              </w:rPr>
              <w:t>0.08</w:t>
            </w:r>
          </w:p>
        </w:tc>
        <w:tc>
          <w:tcPr>
            <w:tcW w:w="333" w:type="pct"/>
            <w:shd w:val="clear" w:color="auto" w:fill="FFFFFF"/>
            <w:vAlign w:val="center"/>
          </w:tcPr>
          <w:p w14:paraId="0DA80794" w14:textId="77777777" w:rsidR="005C24C2" w:rsidRPr="00B57B36" w:rsidRDefault="005C24C2" w:rsidP="00A03C34">
            <w:pPr>
              <w:pStyle w:val="CETBodytext"/>
              <w:jc w:val="left"/>
              <w:rPr>
                <w:lang w:val="en-GB"/>
              </w:rPr>
            </w:pPr>
            <w:r>
              <w:rPr>
                <w:lang w:val="en-GB"/>
              </w:rPr>
              <w:t>0.08</w:t>
            </w:r>
          </w:p>
        </w:tc>
        <w:tc>
          <w:tcPr>
            <w:tcW w:w="333" w:type="pct"/>
            <w:shd w:val="clear" w:color="auto" w:fill="FFFFFF"/>
            <w:vAlign w:val="center"/>
          </w:tcPr>
          <w:p w14:paraId="02375E16" w14:textId="737C0C36" w:rsidR="005C24C2" w:rsidRPr="00811B1E" w:rsidRDefault="005C24C2" w:rsidP="00A03C34">
            <w:pPr>
              <w:pStyle w:val="CETBodytext"/>
              <w:jc w:val="left"/>
              <w:rPr>
                <w:rFonts w:cs="Arial"/>
                <w:iCs/>
                <w:lang w:val="en-GB"/>
              </w:rPr>
            </w:pPr>
            <w:r>
              <w:rPr>
                <w:rFonts w:cs="Arial"/>
                <w:iCs/>
                <w:lang w:val="en-GB"/>
              </w:rPr>
              <w:t>0.1</w:t>
            </w:r>
          </w:p>
        </w:tc>
        <w:tc>
          <w:tcPr>
            <w:tcW w:w="333" w:type="pct"/>
            <w:shd w:val="clear" w:color="auto" w:fill="FFFFFF"/>
            <w:vAlign w:val="center"/>
          </w:tcPr>
          <w:p w14:paraId="212110A4" w14:textId="6135F739" w:rsidR="005C24C2" w:rsidRDefault="005C24C2" w:rsidP="00A03C34">
            <w:pPr>
              <w:pStyle w:val="CETBodytext"/>
              <w:jc w:val="left"/>
              <w:rPr>
                <w:lang w:val="en-GB"/>
              </w:rPr>
            </w:pPr>
            <w:r>
              <w:rPr>
                <w:lang w:val="en-GB"/>
              </w:rPr>
              <w:t>0.1</w:t>
            </w:r>
          </w:p>
        </w:tc>
        <w:tc>
          <w:tcPr>
            <w:tcW w:w="397" w:type="pct"/>
            <w:shd w:val="clear" w:color="auto" w:fill="FFFFFF"/>
            <w:vAlign w:val="center"/>
          </w:tcPr>
          <w:p w14:paraId="0C882239" w14:textId="77777777" w:rsidR="005C24C2" w:rsidRPr="00B57B36" w:rsidRDefault="005C24C2" w:rsidP="00A03C34">
            <w:pPr>
              <w:pStyle w:val="CETBodytext"/>
              <w:ind w:right="-1"/>
              <w:jc w:val="left"/>
              <w:rPr>
                <w:rFonts w:cs="Arial"/>
                <w:szCs w:val="18"/>
                <w:lang w:val="en-GB"/>
              </w:rPr>
            </w:pPr>
          </w:p>
        </w:tc>
        <w:tc>
          <w:tcPr>
            <w:tcW w:w="1366" w:type="pct"/>
            <w:shd w:val="clear" w:color="auto" w:fill="FFFFFF"/>
          </w:tcPr>
          <w:p w14:paraId="2CE0003E" w14:textId="2EC79D81" w:rsidR="005C24C2" w:rsidRPr="00B57B36" w:rsidRDefault="005C24C2" w:rsidP="00A03C34">
            <w:pPr>
              <w:pStyle w:val="CETBodytext"/>
              <w:ind w:right="-1"/>
              <w:jc w:val="left"/>
              <w:rPr>
                <w:rFonts w:cs="Arial"/>
                <w:szCs w:val="18"/>
                <w:lang w:val="en-GB"/>
              </w:rPr>
            </w:pPr>
            <w:r w:rsidRPr="005C24C2">
              <w:rPr>
                <w:sz w:val="16"/>
                <w:szCs w:val="18"/>
                <w:lang w:val="it-IT"/>
              </w:rPr>
              <w:fldChar w:fldCharType="begin" w:fldLock="1"/>
            </w:r>
            <w:r w:rsidRPr="005C24C2">
              <w:rPr>
                <w:sz w:val="16"/>
                <w:szCs w:val="18"/>
                <w:lang w:val="it-IT"/>
              </w:rPr>
              <w:instrText>ADDIN CSL_CITATION {"citationItems":[{"id":"ITEM-1","itemData":{"DOI":"10.1016/j.ijthermalsci.2022.107652","ISSN":"12900729","abstract":"The effective thermal conductivity of pure and opacified expanded perlite is investigated at gas pressures between 10−4 hPa and 103 hPa and temperatures between 293 K and 1073 K by guarded hot plate and transient hot wire measurements. The examined materials are a low-density (ρ = 56 kg m−3) and a high-density (ρ = 180 kg m−3) commercial expanded perlite powder, denoted as P1.5 and P0.14, respectively, as well as a mixture of P0.14 with 40 weight-% SiC as opacifier, denoted as P0.14_O (ρ = 263 kg m−3). To obtain the gas pressure dependent contribution of the measured total effective thermal conductivity, the thermal conductivity in the fully evacuated state is determined experimentally and subtracted. A model for the gas pressure dependent contribution is developed, which takes into account all temperature dependencies of the occurring gas-kinetic parameters and successfully reproduces all measurement data within the experimental uncertainty (ca. 5%). The model includes four structural parameters determined by fitting, which are the effective pore diameters both inside and between the grains as well as the respective porosities. The obtained values agree well with the results of structural analysis by SEM and optical microscopy. Furthermore, the model contains an improved description of the coupling effect between solid-body and gas heat conduction by means of a single novel coupling parameter, which expresses the exceedance of the gas pressure dependent contribution of the effective thermal conductivity relative to the thermal conductivity of the gas inside the pores. At ambient pressure and 673 K mean temperature, the effective thermal conductivity of the opacified powder mixture amounts to 0.087 W m−1 K−1, thus being competitive with commercial high temperature insulation materials like calcium silicate, but at a lower price (ca. 2–3 € kg−1). Experiments with the transient hot wire method at ambient pressure yield a temperature dependent overestimation of the effective thermal conductivity by 4–22% compared to the guarded hot plate method, which is traced back to the pressure dependent contribution and discussed in appropriate terms of the difference between the coupling parameters obtained from both methods.","author":[{"dropping-particle":"","family":"Rottmann","given":"Matthias","non-dropping-particle":"","parse-names":false,"suffix":""},{"dropping-particle":"","family":"Beikircher","given":"Thomas","non-dropping-particle":"","parse-names":false,"suffix":""}],"container-title":"International Journal of Thermal Sciences","id":"ITEM-1","issued":{"date-parts":[["2022","9","1"]]},"publisher":"Elsevier Masson s.r.l.","title":"Pressure dependent effective thermal conductivity of pure and SiC-opacified expanded perlite between 293 K and 1073 K","type":"article-journal","volume":"179"},"uris":["http://www.mendeley.com/documents/?uuid=eb919372-c8e4-37ce-80b5-050586e60f56"]}],"mendeley":{"formattedCitation":"(Rottmann and Beikircher, 2022)","plainTextFormattedCitation":"(Rottmann and Beikircher, 2022)","previouslyFormattedCitation":"(Rottmann and Beikircher, 2022)"},"properties":{"noteIndex":0},"schema":"https://github.com/citation-style-language/schema/raw/master/csl-citation.json"}</w:instrText>
            </w:r>
            <w:r w:rsidRPr="005C24C2">
              <w:rPr>
                <w:sz w:val="16"/>
                <w:szCs w:val="18"/>
                <w:lang w:val="it-IT"/>
              </w:rPr>
              <w:fldChar w:fldCharType="separate"/>
            </w:r>
            <w:r w:rsidRPr="005C24C2">
              <w:rPr>
                <w:noProof/>
                <w:sz w:val="16"/>
                <w:szCs w:val="18"/>
                <w:lang w:val="it-IT"/>
              </w:rPr>
              <w:t>(Rottmann and Beikircher, 2022)</w:t>
            </w:r>
            <w:r w:rsidRPr="005C24C2">
              <w:rPr>
                <w:sz w:val="16"/>
                <w:szCs w:val="18"/>
                <w:lang w:val="it-IT"/>
              </w:rPr>
              <w:fldChar w:fldCharType="end"/>
            </w:r>
          </w:p>
        </w:tc>
        <w:tc>
          <w:tcPr>
            <w:tcW w:w="4" w:type="pct"/>
            <w:shd w:val="clear" w:color="auto" w:fill="FFFFFF"/>
            <w:vAlign w:val="center"/>
          </w:tcPr>
          <w:p w14:paraId="5D95A97D" w14:textId="2DEE5FDA" w:rsidR="005C24C2" w:rsidRPr="00B57B36" w:rsidRDefault="005C24C2" w:rsidP="00A03C34">
            <w:pPr>
              <w:pStyle w:val="CETBodytext"/>
              <w:ind w:right="-1"/>
              <w:jc w:val="left"/>
              <w:rPr>
                <w:rFonts w:cs="Arial"/>
                <w:szCs w:val="18"/>
                <w:lang w:val="en-GB"/>
              </w:rPr>
            </w:pPr>
          </w:p>
        </w:tc>
      </w:tr>
      <w:tr w:rsidR="005C24C2" w:rsidRPr="00B57B36" w14:paraId="3222ED51" w14:textId="77777777" w:rsidTr="005C24C2">
        <w:tc>
          <w:tcPr>
            <w:tcW w:w="1901" w:type="pct"/>
            <w:shd w:val="clear" w:color="auto" w:fill="FFFFFF"/>
            <w:vAlign w:val="center"/>
          </w:tcPr>
          <w:p w14:paraId="393E4985" w14:textId="2077D1A6" w:rsidR="005C24C2" w:rsidRDefault="005C24C2" w:rsidP="00A03C34">
            <w:pPr>
              <w:pStyle w:val="CETBodytext"/>
              <w:jc w:val="left"/>
              <w:rPr>
                <w:lang w:val="en-GB"/>
              </w:rPr>
            </w:pPr>
            <w:r>
              <w:rPr>
                <w:lang w:val="en-GB"/>
              </w:rPr>
              <w:t>Porosity</w:t>
            </w:r>
          </w:p>
        </w:tc>
        <w:tc>
          <w:tcPr>
            <w:tcW w:w="333" w:type="pct"/>
            <w:shd w:val="clear" w:color="auto" w:fill="FFFFFF"/>
          </w:tcPr>
          <w:p w14:paraId="25974B5C" w14:textId="66C1690F" w:rsidR="005C24C2" w:rsidRPr="00B57B36" w:rsidRDefault="005C24C2" w:rsidP="00A03C34">
            <w:pPr>
              <w:pStyle w:val="CETBodytext"/>
              <w:jc w:val="left"/>
              <w:rPr>
                <w:lang w:val="en-GB"/>
              </w:rPr>
            </w:pPr>
            <w:r>
              <w:rPr>
                <w:lang w:val="en-GB"/>
              </w:rPr>
              <w:t>0.93</w:t>
            </w:r>
          </w:p>
        </w:tc>
        <w:tc>
          <w:tcPr>
            <w:tcW w:w="333" w:type="pct"/>
            <w:shd w:val="clear" w:color="auto" w:fill="FFFFFF"/>
            <w:vAlign w:val="center"/>
          </w:tcPr>
          <w:p w14:paraId="3832CC4F" w14:textId="77C85CA9" w:rsidR="005C24C2" w:rsidRPr="00B57B36" w:rsidRDefault="005C24C2" w:rsidP="00A03C34">
            <w:pPr>
              <w:pStyle w:val="CETBodytext"/>
              <w:jc w:val="left"/>
              <w:rPr>
                <w:lang w:val="en-GB"/>
              </w:rPr>
            </w:pPr>
            <w:r>
              <w:rPr>
                <w:lang w:val="en-GB"/>
              </w:rPr>
              <w:t>0.93</w:t>
            </w:r>
          </w:p>
        </w:tc>
        <w:tc>
          <w:tcPr>
            <w:tcW w:w="333" w:type="pct"/>
            <w:shd w:val="clear" w:color="auto" w:fill="FFFFFF"/>
            <w:vAlign w:val="center"/>
          </w:tcPr>
          <w:p w14:paraId="0FD4BBE8" w14:textId="78ED79D0" w:rsidR="005C24C2" w:rsidRPr="00811B1E" w:rsidRDefault="005C24C2" w:rsidP="00A03C34">
            <w:pPr>
              <w:pStyle w:val="CETBodytext"/>
              <w:jc w:val="left"/>
              <w:rPr>
                <w:rFonts w:cs="Arial"/>
                <w:iCs/>
                <w:lang w:val="en-GB"/>
              </w:rPr>
            </w:pPr>
            <w:r>
              <w:rPr>
                <w:rFonts w:cs="Arial"/>
                <w:iCs/>
                <w:lang w:val="en-GB"/>
              </w:rPr>
              <w:t>0.99</w:t>
            </w:r>
          </w:p>
        </w:tc>
        <w:tc>
          <w:tcPr>
            <w:tcW w:w="333" w:type="pct"/>
            <w:shd w:val="clear" w:color="auto" w:fill="FFFFFF"/>
            <w:vAlign w:val="center"/>
          </w:tcPr>
          <w:p w14:paraId="6F397883" w14:textId="03A2BA64" w:rsidR="005C24C2" w:rsidRDefault="005C24C2" w:rsidP="00A03C34">
            <w:pPr>
              <w:pStyle w:val="CETBodytext"/>
              <w:jc w:val="left"/>
              <w:rPr>
                <w:lang w:val="en-GB"/>
              </w:rPr>
            </w:pPr>
            <w:r>
              <w:rPr>
                <w:lang w:val="en-GB"/>
              </w:rPr>
              <w:t>0.99</w:t>
            </w:r>
          </w:p>
        </w:tc>
        <w:tc>
          <w:tcPr>
            <w:tcW w:w="397" w:type="pct"/>
            <w:shd w:val="clear" w:color="auto" w:fill="FFFFFF"/>
            <w:vAlign w:val="center"/>
          </w:tcPr>
          <w:p w14:paraId="0AD13380" w14:textId="77777777" w:rsidR="005C24C2" w:rsidRPr="00B57B36" w:rsidRDefault="005C24C2" w:rsidP="00A03C34">
            <w:pPr>
              <w:pStyle w:val="CETBodytext"/>
              <w:ind w:right="-1"/>
              <w:jc w:val="left"/>
              <w:rPr>
                <w:rFonts w:cs="Arial"/>
                <w:szCs w:val="18"/>
                <w:lang w:val="en-GB"/>
              </w:rPr>
            </w:pPr>
          </w:p>
        </w:tc>
        <w:tc>
          <w:tcPr>
            <w:tcW w:w="1366" w:type="pct"/>
            <w:shd w:val="clear" w:color="auto" w:fill="FFFFFF"/>
          </w:tcPr>
          <w:p w14:paraId="56C57C4F" w14:textId="0610DA57" w:rsidR="005C24C2" w:rsidRPr="00CA394D" w:rsidRDefault="005C24C2" w:rsidP="00A03C34">
            <w:pPr>
              <w:pStyle w:val="CETBodytext"/>
              <w:ind w:right="-1"/>
              <w:jc w:val="left"/>
              <w:rPr>
                <w:lang w:val="en-GB"/>
              </w:rPr>
            </w:pPr>
            <w:r w:rsidRPr="005C24C2">
              <w:rPr>
                <w:sz w:val="16"/>
                <w:szCs w:val="18"/>
                <w:lang w:val="it-IT"/>
              </w:rPr>
              <w:fldChar w:fldCharType="begin" w:fldLock="1"/>
            </w:r>
            <w:r w:rsidRPr="005C24C2">
              <w:rPr>
                <w:sz w:val="16"/>
                <w:szCs w:val="18"/>
                <w:lang w:val="it-IT"/>
              </w:rPr>
              <w:instrText>ADDIN CSL_CITATION {"citationItems":[{"id":"ITEM-1","itemData":{"DOI":"10.1016/j.ijthermalsci.2022.107652","ISSN":"12900729","abstract":"The effective thermal conductivity of pure and opacified expanded perlite is investigated at gas pressures between 10−4 hPa and 103 hPa and temperatures between 293 K and 1073 K by guarded hot plate and transient hot wire measurements. The examined materials are a low-density (ρ = 56 kg m−3) and a high-density (ρ = 180 kg m−3) commercial expanded perlite powder, denoted as P1.5 and P0.14, respectively, as well as a mixture of P0.14 with 40 weight-% SiC as opacifier, denoted as P0.14_O (ρ = 263 kg m−3). To obtain the gas pressure dependent contribution of the measured total effective thermal conductivity, the thermal conductivity in the fully evacuated state is determined experimentally and subtracted. A model for the gas pressure dependent contribution is developed, which takes into account all temperature dependencies of the occurring gas-kinetic parameters and successfully reproduces all measurement data within the experimental uncertainty (ca. 5%). The model includes four structural parameters determined by fitting, which are the effective pore diameters both inside and between the grains as well as the respective porosities. The obtained values agree well with the results of structural analysis by SEM and optical microscopy. Furthermore, the model contains an improved description of the coupling effect between solid-body and gas heat conduction by means of a single novel coupling parameter, which expresses the exceedance of the gas pressure dependent contribution of the effective thermal conductivity relative to the thermal conductivity of the gas inside the pores. At ambient pressure and 673 K mean temperature, the effective thermal conductivity of the opacified powder mixture amounts to 0.087 W m−1 K−1, thus being competitive with commercial high temperature insulation materials like calcium silicate, but at a lower price (ca. 2–3 € kg−1). Experiments with the transient hot wire method at ambient pressure yield a temperature dependent overestimation of the effective thermal conductivity by 4–22% compared to the guarded hot plate method, which is traced back to the pressure dependent contribution and discussed in appropriate terms of the difference between the coupling parameters obtained from both methods.","author":[{"dropping-particle":"","family":"Rottmann","given":"Matthias","non-dropping-particle":"","parse-names":false,"suffix":""},{"dropping-particle":"","family":"Beikircher","given":"Thomas","non-dropping-particle":"","parse-names":false,"suffix":""}],"container-title":"International Journal of Thermal Sciences","id":"ITEM-1","issued":{"date-parts":[["2022","9","1"]]},"publisher":"Elsevier Masson s.r.l.","title":"Pressure dependent effective thermal conductivity of pure and SiC-opacified expanded perlite between 293 K and 1073 K","type":"article-journal","volume":"179"},"uris":["http://www.mendeley.com/documents/?uuid=eb919372-c8e4-37ce-80b5-050586e60f56"]}],"mendeley":{"formattedCitation":"(Rottmann and Beikircher, 2022)","plainTextFormattedCitation":"(Rottmann and Beikircher, 2022)","previouslyFormattedCitation":"(Rottmann and Beikircher, 2022)"},"properties":{"noteIndex":0},"schema":"https://github.com/citation-style-language/schema/raw/master/csl-citation.json"}</w:instrText>
            </w:r>
            <w:r w:rsidRPr="005C24C2">
              <w:rPr>
                <w:sz w:val="16"/>
                <w:szCs w:val="18"/>
                <w:lang w:val="it-IT"/>
              </w:rPr>
              <w:fldChar w:fldCharType="separate"/>
            </w:r>
            <w:r w:rsidRPr="005C24C2">
              <w:rPr>
                <w:noProof/>
                <w:sz w:val="16"/>
                <w:szCs w:val="18"/>
                <w:lang w:val="it-IT"/>
              </w:rPr>
              <w:t>(Rottmann and Beikircher, 2022)</w:t>
            </w:r>
            <w:r w:rsidRPr="005C24C2">
              <w:rPr>
                <w:sz w:val="16"/>
                <w:szCs w:val="18"/>
                <w:lang w:val="it-IT"/>
              </w:rPr>
              <w:fldChar w:fldCharType="end"/>
            </w:r>
          </w:p>
        </w:tc>
        <w:tc>
          <w:tcPr>
            <w:tcW w:w="4" w:type="pct"/>
            <w:shd w:val="clear" w:color="auto" w:fill="FFFFFF"/>
            <w:vAlign w:val="center"/>
          </w:tcPr>
          <w:p w14:paraId="16B17D5C" w14:textId="28762065" w:rsidR="005C24C2" w:rsidRPr="00B57B36" w:rsidRDefault="005C24C2" w:rsidP="00A03C34">
            <w:pPr>
              <w:pStyle w:val="CETBodytext"/>
              <w:ind w:right="-1"/>
              <w:jc w:val="left"/>
              <w:rPr>
                <w:rFonts w:cs="Arial"/>
                <w:szCs w:val="18"/>
                <w:lang w:val="en-GB"/>
              </w:rPr>
            </w:pPr>
          </w:p>
        </w:tc>
      </w:tr>
      <w:tr w:rsidR="005C24C2" w:rsidRPr="00B57B36" w14:paraId="4B6EA025" w14:textId="77777777" w:rsidTr="005C24C2">
        <w:tc>
          <w:tcPr>
            <w:tcW w:w="1901" w:type="pct"/>
            <w:shd w:val="clear" w:color="auto" w:fill="FFFFFF"/>
            <w:vAlign w:val="center"/>
          </w:tcPr>
          <w:p w14:paraId="00F70D6D" w14:textId="1BB7536D" w:rsidR="005C24C2" w:rsidRPr="006E787F" w:rsidRDefault="005C24C2" w:rsidP="00A03C34">
            <w:pPr>
              <w:pStyle w:val="CETBodytext"/>
              <w:jc w:val="left"/>
              <w:rPr>
                <w:b/>
                <w:bCs/>
                <w:lang w:val="en-GB"/>
              </w:rPr>
            </w:pPr>
            <w:r w:rsidRPr="006E787F">
              <w:rPr>
                <w:b/>
                <w:bCs/>
                <w:lang w:val="en-GB"/>
              </w:rPr>
              <w:t>Thermal conductivity (W m</w:t>
            </w:r>
            <w:r w:rsidRPr="006E787F">
              <w:rPr>
                <w:b/>
                <w:bCs/>
                <w:vertAlign w:val="superscript"/>
                <w:lang w:val="en-GB"/>
              </w:rPr>
              <w:t>-1</w:t>
            </w:r>
            <w:r w:rsidRPr="006E787F">
              <w:rPr>
                <w:b/>
                <w:bCs/>
                <w:lang w:val="en-GB"/>
              </w:rPr>
              <w:t xml:space="preserve"> K</w:t>
            </w:r>
            <w:r w:rsidRPr="006E787F">
              <w:rPr>
                <w:b/>
                <w:bCs/>
                <w:vertAlign w:val="superscript"/>
                <w:lang w:val="en-GB"/>
              </w:rPr>
              <w:t>-1</w:t>
            </w:r>
            <w:r w:rsidRPr="006E787F">
              <w:rPr>
                <w:b/>
                <w:bCs/>
                <w:lang w:val="en-GB"/>
              </w:rPr>
              <w:t>)</w:t>
            </w:r>
          </w:p>
        </w:tc>
        <w:tc>
          <w:tcPr>
            <w:tcW w:w="333" w:type="pct"/>
            <w:shd w:val="clear" w:color="auto" w:fill="FFFFFF"/>
          </w:tcPr>
          <w:p w14:paraId="20CACFA3" w14:textId="3A8533FA" w:rsidR="005C24C2" w:rsidRPr="006E787F" w:rsidRDefault="005C24C2" w:rsidP="00A03C34">
            <w:pPr>
              <w:pStyle w:val="CETBodytext"/>
              <w:jc w:val="left"/>
              <w:rPr>
                <w:b/>
                <w:bCs/>
                <w:lang w:val="en-GB"/>
              </w:rPr>
            </w:pPr>
            <w:r w:rsidRPr="006E787F">
              <w:rPr>
                <w:b/>
                <w:bCs/>
                <w:lang w:val="en-GB"/>
              </w:rPr>
              <w:t>0.016</w:t>
            </w:r>
          </w:p>
        </w:tc>
        <w:tc>
          <w:tcPr>
            <w:tcW w:w="333" w:type="pct"/>
            <w:shd w:val="clear" w:color="auto" w:fill="FFFFFF"/>
            <w:vAlign w:val="center"/>
          </w:tcPr>
          <w:p w14:paraId="1F8C6D2B" w14:textId="6DACDD6B" w:rsidR="005C24C2" w:rsidRPr="006E787F" w:rsidRDefault="005C24C2" w:rsidP="00A03C34">
            <w:pPr>
              <w:pStyle w:val="CETBodytext"/>
              <w:jc w:val="left"/>
              <w:rPr>
                <w:b/>
                <w:bCs/>
                <w:lang w:val="en-GB"/>
              </w:rPr>
            </w:pPr>
            <w:r w:rsidRPr="006E787F">
              <w:rPr>
                <w:b/>
                <w:bCs/>
                <w:lang w:val="en-GB"/>
              </w:rPr>
              <w:t>0.091</w:t>
            </w:r>
          </w:p>
        </w:tc>
        <w:tc>
          <w:tcPr>
            <w:tcW w:w="333" w:type="pct"/>
            <w:shd w:val="clear" w:color="auto" w:fill="FFFFFF"/>
            <w:vAlign w:val="center"/>
          </w:tcPr>
          <w:p w14:paraId="6944DE80" w14:textId="66DC7694" w:rsidR="005C24C2" w:rsidRPr="006E787F" w:rsidRDefault="005C24C2" w:rsidP="00A03C34">
            <w:pPr>
              <w:pStyle w:val="CETBodytext"/>
              <w:jc w:val="left"/>
              <w:rPr>
                <w:rFonts w:cs="Arial"/>
                <w:b/>
                <w:bCs/>
                <w:iCs/>
                <w:lang w:val="en-GB"/>
              </w:rPr>
            </w:pPr>
            <w:r w:rsidRPr="006E787F">
              <w:rPr>
                <w:rFonts w:cs="Arial"/>
                <w:b/>
                <w:bCs/>
                <w:iCs/>
                <w:lang w:val="en-GB"/>
              </w:rPr>
              <w:t>0.024</w:t>
            </w:r>
          </w:p>
        </w:tc>
        <w:tc>
          <w:tcPr>
            <w:tcW w:w="333" w:type="pct"/>
            <w:shd w:val="clear" w:color="auto" w:fill="FFFFFF"/>
            <w:vAlign w:val="center"/>
          </w:tcPr>
          <w:p w14:paraId="1218CED3" w14:textId="77777777" w:rsidR="005C24C2" w:rsidRPr="006E787F" w:rsidRDefault="005C24C2" w:rsidP="00A03C34">
            <w:pPr>
              <w:pStyle w:val="CETBodytext"/>
              <w:jc w:val="left"/>
              <w:rPr>
                <w:b/>
                <w:bCs/>
                <w:lang w:val="en-GB"/>
              </w:rPr>
            </w:pPr>
            <w:r w:rsidRPr="006E787F">
              <w:rPr>
                <w:b/>
                <w:bCs/>
                <w:lang w:val="en-GB"/>
              </w:rPr>
              <w:t>0.495</w:t>
            </w:r>
          </w:p>
        </w:tc>
        <w:tc>
          <w:tcPr>
            <w:tcW w:w="397" w:type="pct"/>
            <w:shd w:val="clear" w:color="auto" w:fill="FFFFFF"/>
            <w:vAlign w:val="center"/>
          </w:tcPr>
          <w:p w14:paraId="5CC32940" w14:textId="77777777" w:rsidR="005C24C2" w:rsidRPr="006E787F" w:rsidRDefault="005C24C2" w:rsidP="00A03C34">
            <w:pPr>
              <w:pStyle w:val="CETBodytext"/>
              <w:ind w:right="-1"/>
              <w:jc w:val="left"/>
              <w:rPr>
                <w:rFonts w:cs="Arial"/>
                <w:b/>
                <w:bCs/>
                <w:szCs w:val="18"/>
                <w:lang w:val="en-GB"/>
              </w:rPr>
            </w:pPr>
          </w:p>
        </w:tc>
        <w:tc>
          <w:tcPr>
            <w:tcW w:w="1366" w:type="pct"/>
            <w:shd w:val="clear" w:color="auto" w:fill="FFFFFF"/>
          </w:tcPr>
          <w:p w14:paraId="12BEFEAC" w14:textId="4F94FB25" w:rsidR="005C24C2" w:rsidRPr="00B57B36" w:rsidRDefault="005C24C2" w:rsidP="00A03C34">
            <w:pPr>
              <w:pStyle w:val="CETBodytext"/>
              <w:ind w:right="-1"/>
              <w:jc w:val="left"/>
              <w:rPr>
                <w:rFonts w:cs="Arial"/>
                <w:szCs w:val="18"/>
                <w:lang w:val="en-GB"/>
              </w:rPr>
            </w:pPr>
            <w:r w:rsidRPr="005C24C2">
              <w:rPr>
                <w:sz w:val="16"/>
                <w:szCs w:val="18"/>
                <w:lang w:val="en-GB"/>
              </w:rPr>
              <w:fldChar w:fldCharType="begin" w:fldLock="1"/>
            </w:r>
            <w:r w:rsidR="00BC19F8">
              <w:rPr>
                <w:sz w:val="16"/>
                <w:szCs w:val="18"/>
                <w:lang w:val="en-GB"/>
              </w:rPr>
              <w:instrText>ADDIN CSL_CITATION {"citationItems":[{"id":"ITEM-1","itemData":{"DOI":"https://doi.org/10.1016/S0065-2717(08)70132-1","ISBN":"0065-2717","abstract":"Publisher Summary This chapter summarizes some of the available information relating specifically to heat transfer phenomena at low temperatures. The technical presentation includes conduction, insulation, and interfacial processes. Interfacial processes include forced-convection and natural convection processes; pressurized-discharge processes; stratification phenomena in vessels; multiphase processes, including two-phase flow and frost formation, among others ; and radiation and transport phenomena in the superfluid helium. Although most of the material to be presented may be applied to noncryogenic behavior, the chapter emphasizes on applications valid for the cryogens. The use of cryogenic substances has introduced several unique problems in heat transfer. The handling and transporting of these fluids at very low temperatures in the presence of an atmospheric ambient has necessitated the development of specialized insulating methods and design techniques. Where possible or available, cryogenic data has been cited and the uniqueness of low-temperature application has been highlighted.","author":[{"dropping-particle":"","family":"Clark","given":"John A","non-dropping-particle":"","parse-names":false,"suffix":""}],"editor":[{"dropping-particle":"","family":"Irvine","given":"Thomas F","non-dropping-particle":"","parse-names":false,"suffix":""},{"dropping-particle":"","family":"Hartnett","given":"James P B T - Advances in Heat Transfer","non-dropping-particle":"","parse-names":false,"suffix":""}],"id":"ITEM-1","issued":{"date-parts":[["1969"]]},"page":"325-517","publisher":"Elsevier","title":"Cryogenic Heat Transfer","type":"chapter","volume":"5"},"uris":["http://www.mendeley.com/documents/?uuid=da652633-beb5-4f50-b183-94fbd94bfc7c"]}],"mendeley":{"formattedCitation":"(Clark, 1969)","plainTextFormattedCitation":"(Clark, 1969)","previouslyFormattedCitation":"(Clark, 1969)"},"properties":{"noteIndex":0},"schema":"https://github.com/citation-style-language/schema/raw/master/csl-citation.json"}</w:instrText>
            </w:r>
            <w:r w:rsidRPr="005C24C2">
              <w:rPr>
                <w:sz w:val="16"/>
                <w:szCs w:val="18"/>
                <w:lang w:val="en-GB"/>
              </w:rPr>
              <w:fldChar w:fldCharType="separate"/>
            </w:r>
            <w:r w:rsidRPr="005C24C2">
              <w:rPr>
                <w:noProof/>
                <w:sz w:val="16"/>
                <w:szCs w:val="18"/>
                <w:lang w:val="en-GB"/>
              </w:rPr>
              <w:t>(Clark, 1969)</w:t>
            </w:r>
            <w:r w:rsidRPr="005C24C2">
              <w:rPr>
                <w:sz w:val="16"/>
                <w:szCs w:val="18"/>
                <w:lang w:val="en-GB"/>
              </w:rPr>
              <w:fldChar w:fldCharType="end"/>
            </w:r>
          </w:p>
        </w:tc>
        <w:tc>
          <w:tcPr>
            <w:tcW w:w="4" w:type="pct"/>
            <w:shd w:val="clear" w:color="auto" w:fill="FFFFFF"/>
            <w:vAlign w:val="center"/>
          </w:tcPr>
          <w:p w14:paraId="461269B8" w14:textId="713ED6AF" w:rsidR="005C24C2" w:rsidRPr="00B57B36" w:rsidRDefault="005C24C2" w:rsidP="00A03C34">
            <w:pPr>
              <w:pStyle w:val="CETBodytext"/>
              <w:ind w:right="-1"/>
              <w:jc w:val="left"/>
              <w:rPr>
                <w:rFonts w:cs="Arial"/>
                <w:szCs w:val="18"/>
                <w:lang w:val="en-GB"/>
              </w:rPr>
            </w:pPr>
          </w:p>
        </w:tc>
      </w:tr>
    </w:tbl>
    <w:p w14:paraId="6FFF7AF7" w14:textId="77777777" w:rsidR="005C24C2" w:rsidRDefault="005C24C2" w:rsidP="004736A4">
      <w:pPr>
        <w:pStyle w:val="CETBodytext"/>
        <w:rPr>
          <w:lang w:val="en-GB"/>
        </w:rPr>
      </w:pPr>
    </w:p>
    <w:p w14:paraId="37C936C2" w14:textId="776C152D" w:rsidR="001C6B91" w:rsidRDefault="001C6B91" w:rsidP="001C6B91">
      <w:pPr>
        <w:pStyle w:val="CETHeading1"/>
      </w:pPr>
      <w:r>
        <w:t>Results and discussion</w:t>
      </w:r>
    </w:p>
    <w:p w14:paraId="7B1CE1F3" w14:textId="215B439D" w:rsidR="00936374" w:rsidRDefault="004D785E" w:rsidP="008A1D9F">
      <w:pPr>
        <w:pStyle w:val="CETBodytext"/>
      </w:pPr>
      <w:r>
        <w:t xml:space="preserve">In this study, the images for the DIP application </w:t>
      </w:r>
      <w:r w:rsidR="00500D57">
        <w:t>a</w:t>
      </w:r>
      <w:r>
        <w:t>re extracted from the recordings of the</w:t>
      </w:r>
      <w:r w:rsidR="006E787F">
        <w:t xml:space="preserve"> experimental</w:t>
      </w:r>
      <w:r>
        <w:t xml:space="preserve"> fire test with an inter</w:t>
      </w:r>
      <w:r w:rsidR="006E787F">
        <w:t>v</w:t>
      </w:r>
      <w:r>
        <w:t xml:space="preserve">al of 20 seconds. </w:t>
      </w:r>
      <w:r w:rsidR="006E787F">
        <w:t xml:space="preserve">An example of the </w:t>
      </w:r>
      <w:r>
        <w:t xml:space="preserve">results of the DIP </w:t>
      </w:r>
      <w:r w:rsidR="006E787F">
        <w:t>is</w:t>
      </w:r>
      <w:r w:rsidR="00C10661">
        <w:t xml:space="preserve"> presented</w:t>
      </w:r>
      <w:r>
        <w:t xml:space="preserve"> in </w:t>
      </w:r>
      <w:r w:rsidR="00321AEE">
        <w:fldChar w:fldCharType="begin"/>
      </w:r>
      <w:r w:rsidR="00321AEE">
        <w:instrText xml:space="preserve"> REF _Ref182386982 \h </w:instrText>
      </w:r>
      <w:r w:rsidR="00321AEE">
        <w:fldChar w:fldCharType="separate"/>
      </w:r>
      <w:r w:rsidR="00321AEE">
        <w:t xml:space="preserve">Figure </w:t>
      </w:r>
      <w:r w:rsidR="00321AEE">
        <w:rPr>
          <w:noProof/>
        </w:rPr>
        <w:t>3</w:t>
      </w:r>
      <w:r w:rsidR="00321AEE">
        <w:fldChar w:fldCharType="end"/>
      </w:r>
      <w:r>
        <w:t>. A</w:t>
      </w:r>
      <w:r w:rsidR="00C10661">
        <w:t>s shown for the East view</w:t>
      </w:r>
      <w:r>
        <w:t xml:space="preserve">, </w:t>
      </w:r>
      <w:r w:rsidR="00DF74AA">
        <w:t>applying the method</w:t>
      </w:r>
      <w:r>
        <w:t xml:space="preserve"> on </w:t>
      </w:r>
      <w:r w:rsidR="00C10661">
        <w:t>pre-fire images</w:t>
      </w:r>
      <w:r>
        <w:t xml:space="preserve"> allows t</w:t>
      </w:r>
      <w:r w:rsidR="00787616">
        <w:t>he</w:t>
      </w:r>
      <w:r>
        <w:t xml:space="preserve"> isolat</w:t>
      </w:r>
      <w:r w:rsidR="00787616">
        <w:t>ion of</w:t>
      </w:r>
      <w:r>
        <w:t xml:space="preserve"> the tank surface </w:t>
      </w:r>
      <w:r w:rsidR="006E787F">
        <w:t xml:space="preserve">and </w:t>
      </w:r>
      <w:r w:rsidR="003A4C39">
        <w:t xml:space="preserve">the following </w:t>
      </w:r>
      <w:r w:rsidR="006E787F">
        <w:t>creat</w:t>
      </w:r>
      <w:r w:rsidR="003A4C39">
        <w:t>ion of</w:t>
      </w:r>
      <w:r w:rsidR="006E787F">
        <w:t xml:space="preserve"> the tank mask</w:t>
      </w:r>
      <w:r w:rsidR="00567ED9">
        <w:t xml:space="preserve"> </w:t>
      </w:r>
      <w:r>
        <w:t xml:space="preserve">while the flame is detected and distinguished from the rest </w:t>
      </w:r>
      <w:r w:rsidR="006E787F">
        <w:t xml:space="preserve">of the image </w:t>
      </w:r>
      <w:r>
        <w:t xml:space="preserve">starting from </w:t>
      </w:r>
      <w:r w:rsidR="006E787F">
        <w:t xml:space="preserve">a frame </w:t>
      </w:r>
      <w:r>
        <w:t xml:space="preserve">obtained during the fire engulfment. </w:t>
      </w:r>
      <w:r w:rsidR="00936374">
        <w:t xml:space="preserve">The number of pixels in the tank and flame </w:t>
      </w:r>
      <w:r w:rsidR="00C10661">
        <w:t>regions</w:t>
      </w:r>
      <w:r w:rsidR="00936374">
        <w:t xml:space="preserve"> is </w:t>
      </w:r>
      <w:r w:rsidR="00C10661">
        <w:t>calculated summing the white pixels in their respective masks, providing quantitative area measurements</w:t>
      </w:r>
      <w:r w:rsidR="00936374">
        <w:t xml:space="preserve">. </w:t>
      </w:r>
    </w:p>
    <w:p w14:paraId="299CAB3C" w14:textId="77777777" w:rsidR="006E787F" w:rsidRDefault="006E787F" w:rsidP="00321AEE">
      <w:pPr>
        <w:pStyle w:val="CETBodytext"/>
      </w:pPr>
    </w:p>
    <w:p w14:paraId="03A8687B" w14:textId="6C865C63" w:rsidR="00321AEE" w:rsidRDefault="00B314EF" w:rsidP="00643519">
      <w:pPr>
        <w:pStyle w:val="CETBodytext"/>
        <w:jc w:val="left"/>
      </w:pPr>
      <w:r w:rsidRPr="00B314EF">
        <w:rPr>
          <w:noProof/>
        </w:rPr>
        <w:drawing>
          <wp:inline distT="0" distB="0" distL="0" distR="0" wp14:anchorId="5993FBC3" wp14:editId="741B1907">
            <wp:extent cx="5505450" cy="4273035"/>
            <wp:effectExtent l="0" t="0" r="0" b="0"/>
            <wp:docPr id="940115197"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8964" cy="4275762"/>
                    </a:xfrm>
                    <a:prstGeom prst="rect">
                      <a:avLst/>
                    </a:prstGeom>
                    <a:noFill/>
                    <a:ln>
                      <a:noFill/>
                    </a:ln>
                  </pic:spPr>
                </pic:pic>
              </a:graphicData>
            </a:graphic>
          </wp:inline>
        </w:drawing>
      </w:r>
    </w:p>
    <w:p w14:paraId="6F3A6600" w14:textId="02DAF64F" w:rsidR="005346F7" w:rsidRDefault="00321AEE" w:rsidP="00F80B26">
      <w:pPr>
        <w:pStyle w:val="CETCaption"/>
      </w:pPr>
      <w:bookmarkStart w:id="5" w:name="_Ref182386982"/>
      <w:r>
        <w:t xml:space="preserve">Figure </w:t>
      </w:r>
      <w:r>
        <w:fldChar w:fldCharType="begin"/>
      </w:r>
      <w:r>
        <w:instrText xml:space="preserve"> SEQ Figure \* ARABIC </w:instrText>
      </w:r>
      <w:r>
        <w:fldChar w:fldCharType="separate"/>
      </w:r>
      <w:r>
        <w:rPr>
          <w:noProof/>
        </w:rPr>
        <w:t>3</w:t>
      </w:r>
      <w:r>
        <w:fldChar w:fldCharType="end"/>
      </w:r>
      <w:bookmarkEnd w:id="5"/>
      <w:r>
        <w:t xml:space="preserve">: Results of the digital image processing applied on the images extracted from the </w:t>
      </w:r>
      <w:r w:rsidR="0071163B">
        <w:t xml:space="preserve">video </w:t>
      </w:r>
      <w:r>
        <w:t>recordings of the experimental fire test BLEVE01</w:t>
      </w:r>
      <w:r w:rsidR="004469AE">
        <w:t>;</w:t>
      </w:r>
      <w:r w:rsidR="005E7856">
        <w:t xml:space="preserve"> the frames with the fire are extracted after 80 s from the test start</w:t>
      </w:r>
      <w:r>
        <w:t>.</w:t>
      </w:r>
    </w:p>
    <w:p w14:paraId="1A1F3D92" w14:textId="77777777" w:rsidR="002753A8" w:rsidRDefault="009815D0" w:rsidP="00C95AC0">
      <w:pPr>
        <w:pStyle w:val="CETBodytext"/>
      </w:pPr>
      <w:r>
        <w:t xml:space="preserve">The flame mask in </w:t>
      </w:r>
      <w:r>
        <w:fldChar w:fldCharType="begin"/>
      </w:r>
      <w:r>
        <w:instrText xml:space="preserve"> REF _Ref182386982 \h </w:instrText>
      </w:r>
      <w:r>
        <w:fldChar w:fldCharType="separate"/>
      </w:r>
      <w:r>
        <w:t xml:space="preserve">Figure </w:t>
      </w:r>
      <w:r>
        <w:rPr>
          <w:noProof/>
        </w:rPr>
        <w:t>3</w:t>
      </w:r>
      <w:r>
        <w:fldChar w:fldCharType="end"/>
      </w:r>
      <w:r>
        <w:t xml:space="preserve"> shows that the fire does not completely cover the tank in any of the views and demonstrates that the flame distribution around the component is strongly inhomogeneous. Moreover, even if the results are shown for a specific time (80 seconds from the beginning of the test), the effect of the wind on </w:t>
      </w:r>
      <w:r>
        <w:lastRenderedPageBreak/>
        <w:t xml:space="preserve">the flame coverage can be observed. In fact, in the input image for the North and South view, the fire is clearly shifted to West. Therefore, the West surface of the tank is more covered by the flames than the East one. With data obtained from the DIP, an average flame coverage of 0.67 </w:t>
      </w:r>
      <w:r w:rsidR="009F3200">
        <w:t>i</w:t>
      </w:r>
      <w:r>
        <w:t>s calculated for the test. Considering that a value of 1 indicates a complete fire engulfment, the result confirms that the assumption of a full and static engulfment is inaccurate to reproduce the experiment and significantly overestimates the actual tank surface covered by the flame.</w:t>
      </w:r>
      <w:r w:rsidR="00366903">
        <w:t xml:space="preserve"> </w:t>
      </w:r>
    </w:p>
    <w:p w14:paraId="320996A8" w14:textId="77777777" w:rsidR="002753A8" w:rsidRDefault="002753A8" w:rsidP="00C95AC0">
      <w:pPr>
        <w:pStyle w:val="CETBodytext"/>
      </w:pPr>
    </w:p>
    <w:p w14:paraId="48C4EB82" w14:textId="3B89D6FE" w:rsidR="0042093C" w:rsidRDefault="004009A0" w:rsidP="00C95AC0">
      <w:pPr>
        <w:pStyle w:val="CETBodytext"/>
      </w:pPr>
      <w:r>
        <w:fldChar w:fldCharType="begin"/>
      </w:r>
      <w:r>
        <w:instrText xml:space="preserve"> REF _Ref182322046 \h </w:instrText>
      </w:r>
      <w:r>
        <w:fldChar w:fldCharType="separate"/>
      </w:r>
      <w:r w:rsidR="00CD4B1B">
        <w:t xml:space="preserve">Figure </w:t>
      </w:r>
      <w:r w:rsidR="00CD4B1B">
        <w:rPr>
          <w:noProof/>
        </w:rPr>
        <w:t>4</w:t>
      </w:r>
      <w:r>
        <w:fldChar w:fldCharType="end"/>
      </w:r>
      <w:r w:rsidR="00911FBD">
        <w:t>a</w:t>
      </w:r>
      <w:r>
        <w:t xml:space="preserve"> shows</w:t>
      </w:r>
      <w:r w:rsidR="006334A7">
        <w:t xml:space="preserve"> the pressurization of the storage tank calculated with the lumped model for the four case studies. </w:t>
      </w:r>
    </w:p>
    <w:p w14:paraId="435C2F1B" w14:textId="77777777" w:rsidR="00366903" w:rsidRPr="00366903" w:rsidRDefault="00366903" w:rsidP="00C95AC0">
      <w:pPr>
        <w:pStyle w:val="CETBodytext"/>
      </w:pPr>
    </w:p>
    <w:p w14:paraId="714C5C1B" w14:textId="35B338F9" w:rsidR="00347733" w:rsidRDefault="00F611B9" w:rsidP="00643519">
      <w:pPr>
        <w:pStyle w:val="CETBodytext"/>
        <w:keepNext/>
        <w:jc w:val="left"/>
      </w:pPr>
      <w:r w:rsidRPr="00F611B9">
        <w:rPr>
          <w:noProof/>
        </w:rPr>
        <w:drawing>
          <wp:inline distT="0" distB="0" distL="0" distR="0" wp14:anchorId="0805840C" wp14:editId="34C058CB">
            <wp:extent cx="5328557" cy="2795721"/>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33748" cy="2798444"/>
                    </a:xfrm>
                    <a:prstGeom prst="rect">
                      <a:avLst/>
                    </a:prstGeom>
                    <a:noFill/>
                    <a:ln>
                      <a:noFill/>
                    </a:ln>
                  </pic:spPr>
                </pic:pic>
              </a:graphicData>
            </a:graphic>
          </wp:inline>
        </w:drawing>
      </w:r>
    </w:p>
    <w:p w14:paraId="265FD4A2" w14:textId="27FFB93C" w:rsidR="000A7DA9" w:rsidRDefault="00347733" w:rsidP="00347733">
      <w:pPr>
        <w:pStyle w:val="CETCaption"/>
      </w:pPr>
      <w:bookmarkStart w:id="6" w:name="_Ref182322046"/>
      <w:r>
        <w:t xml:space="preserve">Figure </w:t>
      </w:r>
      <w:r>
        <w:fldChar w:fldCharType="begin"/>
      </w:r>
      <w:r>
        <w:instrText xml:space="preserve"> SEQ Figure \* ARABIC </w:instrText>
      </w:r>
      <w:r>
        <w:fldChar w:fldCharType="separate"/>
      </w:r>
      <w:r w:rsidR="00321AEE">
        <w:rPr>
          <w:noProof/>
        </w:rPr>
        <w:t>4</w:t>
      </w:r>
      <w:r>
        <w:fldChar w:fldCharType="end"/>
      </w:r>
      <w:bookmarkEnd w:id="6"/>
      <w:r>
        <w:t>:</w:t>
      </w:r>
      <w:r w:rsidR="00B23701">
        <w:t xml:space="preserve"> </w:t>
      </w:r>
      <w:bookmarkStart w:id="7" w:name="_Ref182322043"/>
      <w:r w:rsidR="00C17549">
        <w:t xml:space="preserve">a) </w:t>
      </w:r>
      <w:r w:rsidR="002509ED">
        <w:t>Pressur</w:t>
      </w:r>
      <w:r w:rsidR="003607B9">
        <w:t>ization of the storage tank during the fire engulfment in the BLEVE01 test</w:t>
      </w:r>
      <w:bookmarkEnd w:id="7"/>
      <w:r w:rsidR="00C17549">
        <w:t xml:space="preserve">; b) Temperature of the tank jacket; exp=experimental. </w:t>
      </w:r>
    </w:p>
    <w:p w14:paraId="2E47C9CF" w14:textId="0B3A38DE" w:rsidR="00C95AC0" w:rsidRDefault="00C95AC0" w:rsidP="00C95AC0">
      <w:pPr>
        <w:pStyle w:val="CETBodytext"/>
        <w:rPr>
          <w:lang w:val="en-GB"/>
        </w:rPr>
      </w:pPr>
      <w:r>
        <w:t xml:space="preserve">For case studies P1, P2, and P3, the results obtained with the full engulfment and the variable flame coverage assumptions are very similar, while a more considerable difference is observed for case P4. This is explained by considering that in the case of well-performing insulation (i.e., low thermal conductivity as in cases P1, P2, and P3), the heat provided by the fire is effectively shielded, </w:t>
      </w:r>
      <w:r w:rsidR="00825B95">
        <w:t>leading to</w:t>
      </w:r>
      <w:r>
        <w:t xml:space="preserve"> negligible differences (in absolute terms) in the heat flux received by the fluid. In contrast, when the thermal performance of the insulation is compromised due to degradation (i.e., high thermal conductivity, as in case P4), the differences in the heat flux at the outer wall are not mitigated. Thus, the reduction in the engulfment level on the outer tank wall is clearly reflected in a lower heat flux to the inner fluid and in the consequent lower pressure build-up. Regardless of the insulation performance and the boundary conditions, the model predictions do not agree with the experimental data. Specifically, with the assumption of a perfectly working insulation (P1 and P3) the inner pressure is strongly underestimated. The same is true for case P2, although a certain degree of degradation was considered. On the other hand, the worst insulation performance selected in this study (P4) leads to a significant overestimation of the pressure build-up. These results show that none of the case study configurations selected in this study correctly characterize the perlite used in the experimental test. Therefore, in addition to the accurate characterization of the fire scenario, given the strong influence of the insulation performance on the tank response, a precise description of the relevant insulation features is fundamental to reproducing the fire test and providing a meaningful analysis of the tank </w:t>
      </w:r>
      <w:r w:rsidR="00140B02">
        <w:t>behavior</w:t>
      </w:r>
      <w:r>
        <w:t xml:space="preserve">. A first attempt </w:t>
      </w:r>
      <w:r w:rsidR="00F86E1D">
        <w:t>i</w:t>
      </w:r>
      <w:r>
        <w:t xml:space="preserve">s made in this study, investigating additional cases for the perlite thermal conductivity. A good agreement with the experimental data </w:t>
      </w:r>
      <w:r w:rsidR="00F86E1D">
        <w:t>i</w:t>
      </w:r>
      <w:r>
        <w:t xml:space="preserve">s found with a value of 0.2 </w:t>
      </w:r>
      <w:r>
        <w:rPr>
          <w:lang w:val="en-GB"/>
        </w:rPr>
        <w:t>W m</w:t>
      </w:r>
      <w:r w:rsidRPr="00367ED2">
        <w:rPr>
          <w:vertAlign w:val="superscript"/>
          <w:lang w:val="en-GB"/>
        </w:rPr>
        <w:t>-1</w:t>
      </w:r>
      <w:r>
        <w:rPr>
          <w:lang w:val="en-GB"/>
        </w:rPr>
        <w:t xml:space="preserve"> K</w:t>
      </w:r>
      <w:r w:rsidRPr="00367ED2">
        <w:rPr>
          <w:vertAlign w:val="superscript"/>
          <w:lang w:val="en-GB"/>
        </w:rPr>
        <w:t>-1</w:t>
      </w:r>
      <w:r>
        <w:rPr>
          <w:lang w:val="en-GB"/>
        </w:rPr>
        <w:t xml:space="preserve"> when the fluid is in subcritical condition. The deviation of the curves above the critical pressure could be a consequence of the fact that above the critical point the liquid phase is no longer considered in the model, and the entire fluid content is assumed to be in the gaseous phase. Despite that, this result indicates that during the test the insulation performance was intermediate among the ones considered in this study. </w:t>
      </w:r>
    </w:p>
    <w:p w14:paraId="4EDDCE7F" w14:textId="172B2E9D" w:rsidR="00C95AC0" w:rsidRPr="00C95AC0" w:rsidRDefault="00C95AC0" w:rsidP="00C95AC0">
      <w:pPr>
        <w:pStyle w:val="CETBodytext"/>
        <w:rPr>
          <w:lang w:val="en-GB"/>
        </w:rPr>
      </w:pPr>
      <w:r>
        <w:rPr>
          <w:lang w:val="en-GB"/>
        </w:rPr>
        <w:t xml:space="preserve">The results for the tank outer temperature are presented in </w:t>
      </w:r>
      <w:r>
        <w:rPr>
          <w:lang w:val="en-GB"/>
        </w:rPr>
        <w:fldChar w:fldCharType="begin"/>
      </w:r>
      <w:r>
        <w:rPr>
          <w:lang w:val="en-GB"/>
        </w:rPr>
        <w:instrText xml:space="preserve"> REF _Ref182322046 \h  \* MERGEFORMAT </w:instrText>
      </w:r>
      <w:r>
        <w:rPr>
          <w:lang w:val="en-GB"/>
        </w:rPr>
      </w:r>
      <w:r>
        <w:rPr>
          <w:lang w:val="en-GB"/>
        </w:rPr>
        <w:fldChar w:fldCharType="separate"/>
      </w:r>
      <w:r>
        <w:t xml:space="preserve">Figure </w:t>
      </w:r>
      <w:r>
        <w:rPr>
          <w:noProof/>
        </w:rPr>
        <w:t>4</w:t>
      </w:r>
      <w:r>
        <w:rPr>
          <w:lang w:val="en-GB"/>
        </w:rPr>
        <w:fldChar w:fldCharType="end"/>
      </w:r>
      <w:r>
        <w:rPr>
          <w:lang w:val="en-GB"/>
        </w:rPr>
        <w:t xml:space="preserve">b, where they compared with the experimental data. Unlike the full engulfment approach, the method proposed in this study captures temperature peaks and lows over time, better resembling the experimental trends. It must be remarked that the temperature </w:t>
      </w:r>
      <w:r>
        <w:rPr>
          <w:lang w:val="en-GB"/>
        </w:rPr>
        <w:lastRenderedPageBreak/>
        <w:t xml:space="preserve">calculated by the lumped model is the average value across the tank outer surface. Thus, the comparison with the experimental curves reveals that the different tank surfaces do not equally contribute to the average tank temperature. In this case, the red line approaches the values of the North and Down views following the increasing trend of the South view, suggesting that the average jacket temperature is predominantly influenced by these measurements and indicating that the average value is not sufficient to represent the tank heating due to the strong inhomogeneous temperature distribution. </w:t>
      </w:r>
    </w:p>
    <w:p w14:paraId="68D26B83" w14:textId="77777777" w:rsidR="00600535" w:rsidRDefault="00600535" w:rsidP="00600535">
      <w:pPr>
        <w:pStyle w:val="CETHeading1"/>
        <w:rPr>
          <w:lang w:val="en-GB"/>
        </w:rPr>
      </w:pPr>
      <w:r w:rsidRPr="00B57B36">
        <w:rPr>
          <w:lang w:val="en-GB"/>
        </w:rPr>
        <w:t>Conclusions</w:t>
      </w:r>
    </w:p>
    <w:p w14:paraId="6B9D83A4" w14:textId="2AA0189D" w:rsidR="00774E6E" w:rsidRDefault="00E87257" w:rsidP="00774E6E">
      <w:pPr>
        <w:pStyle w:val="CETReferencetext"/>
        <w:ind w:left="0" w:firstLine="0"/>
      </w:pPr>
      <w:r>
        <w:t xml:space="preserve">This study provides </w:t>
      </w:r>
      <w:r w:rsidR="00195511">
        <w:t>an advanced</w:t>
      </w:r>
      <w:r>
        <w:t xml:space="preserve"> method to define dynamic boundary conditions suitable to reproduce a realistic fire exposure of a storage tank in a mathematical model. </w:t>
      </w:r>
      <w:r w:rsidR="00A11738">
        <w:t>The use of</w:t>
      </w:r>
      <w:r>
        <w:t xml:space="preserve"> these cond</w:t>
      </w:r>
      <w:r w:rsidR="00A11738">
        <w:t xml:space="preserve">itions in a lumped model </w:t>
      </w:r>
      <w:r>
        <w:t>highlight</w:t>
      </w:r>
      <w:r w:rsidR="00A11738">
        <w:t>s</w:t>
      </w:r>
      <w:r>
        <w:t xml:space="preserve"> the importance of </w:t>
      </w:r>
      <w:r w:rsidR="00A32851">
        <w:t>a precise</w:t>
      </w:r>
      <w:r>
        <w:t xml:space="preserve"> fire characterization, especially in case of compromised insulation performance.</w:t>
      </w:r>
      <w:r w:rsidR="001A734D">
        <w:t xml:space="preserve"> </w:t>
      </w:r>
      <w:r w:rsidR="002B546D">
        <w:t>The analysis proposed in this study can be improved</w:t>
      </w:r>
      <w:r w:rsidR="0030570C">
        <w:t xml:space="preserve"> by reproducing the real flame mask obtained from the image processing </w:t>
      </w:r>
      <w:r w:rsidR="00492CA1">
        <w:t>on a three-dimensional geometry of the tank</w:t>
      </w:r>
      <w:r w:rsidR="00BF6FE2">
        <w:t xml:space="preserve">. The thermodynamic of the fluid can be </w:t>
      </w:r>
      <w:r w:rsidR="001A734D">
        <w:t>further</w:t>
      </w:r>
      <w:r w:rsidR="00BF6FE2">
        <w:t xml:space="preserve"> investigated adding nodes to the lumped mod</w:t>
      </w:r>
      <w:r w:rsidR="00EC708D">
        <w:t xml:space="preserve">el </w:t>
      </w:r>
      <w:r w:rsidR="00A01AD5">
        <w:t xml:space="preserve">to better capture the temperatures and heat flux and temperature variations in the system. Finally, </w:t>
      </w:r>
      <w:r w:rsidR="00B22177">
        <w:t xml:space="preserve">the same analysis could be performed considering a more complex and accurate mathematical approach, such as a computational fluid dynamic one. </w:t>
      </w:r>
      <w:r w:rsidR="00F2080B">
        <w:t xml:space="preserve"> </w:t>
      </w:r>
    </w:p>
    <w:p w14:paraId="6FB95D93" w14:textId="3547BCC0" w:rsidR="00341757" w:rsidRPr="00341757" w:rsidRDefault="00774E6E" w:rsidP="00341757">
      <w:pPr>
        <w:pStyle w:val="CETAcknowledgementstitle"/>
      </w:pPr>
      <w:r w:rsidRPr="00B57B36">
        <w:t>Acknowledgments</w:t>
      </w:r>
    </w:p>
    <w:p w14:paraId="510DCC46" w14:textId="48CC644B" w:rsidR="00341757" w:rsidRPr="002B1E80" w:rsidRDefault="002B1E80" w:rsidP="002B1E80">
      <w:pPr>
        <w:pStyle w:val="CETBodytext"/>
      </w:pPr>
      <w:r w:rsidRPr="002B1E80">
        <w:t>This work was undertaken as part of the research project Safe Hydrogen Fuel Handling and Use for Efficient Implementation 2 (SHIFT-2), and the authors would like to acknowledge the financial support of the Research Council of Norway under the ENERGIX programm (Grant No. 327009). This work was undertaken as part of the ELVHYS project No. 101101381 supported by the Clean Hydrogen Partnership and its members. UK participants in Horizon Europe Project ELVHYS are supported by UKRI gran numbers 10S063519 (University of Ulster) and 10070592 (Health and Safety Executive). Funded by the European Union Views and opinions expressed are however those of the author(s) only and do not necessarily reflect those of the European Union or Clean Hydrogen JU. Neither the European Union nor the granting authority can be held responsible for them.</w:t>
      </w:r>
    </w:p>
    <w:p w14:paraId="251A6842" w14:textId="77777777" w:rsidR="00774E6E" w:rsidRPr="00B57B36" w:rsidRDefault="00774E6E" w:rsidP="00774E6E">
      <w:pPr>
        <w:pStyle w:val="CETReference"/>
      </w:pPr>
      <w:r w:rsidRPr="00B57B36">
        <w:t>References</w:t>
      </w:r>
    </w:p>
    <w:p w14:paraId="7DBE9304" w14:textId="54FAFCED" w:rsidR="005E53E9" w:rsidRPr="005E53E9" w:rsidRDefault="0018665C" w:rsidP="005E53E9">
      <w:pPr>
        <w:widowControl w:val="0"/>
        <w:autoSpaceDE w:val="0"/>
        <w:autoSpaceDN w:val="0"/>
        <w:adjustRightInd w:val="0"/>
        <w:spacing w:line="240" w:lineRule="auto"/>
        <w:ind w:left="480" w:hanging="480"/>
        <w:rPr>
          <w:rFonts w:cs="Arial"/>
          <w:noProof/>
        </w:rPr>
      </w:pPr>
      <w:r>
        <w:fldChar w:fldCharType="begin" w:fldLock="1"/>
      </w:r>
      <w:r w:rsidRPr="0063473B">
        <w:rPr>
          <w:lang w:val="it-IT"/>
        </w:rPr>
        <w:instrText xml:space="preserve">ADDIN Mendeley Bibliography CSL_BIBLIOGRAPHY </w:instrText>
      </w:r>
      <w:r>
        <w:fldChar w:fldCharType="separate"/>
      </w:r>
      <w:r w:rsidR="005E53E9" w:rsidRPr="0063473B">
        <w:rPr>
          <w:rFonts w:cs="Arial"/>
          <w:noProof/>
          <w:lang w:val="it-IT"/>
        </w:rPr>
        <w:t xml:space="preserve">Chi, Y., Liu, Z., Zhang, Y., 2015. </w:t>
      </w:r>
      <w:r w:rsidR="005E53E9" w:rsidRPr="005E53E9">
        <w:rPr>
          <w:rFonts w:cs="Arial"/>
          <w:noProof/>
        </w:rPr>
        <w:t>UAV-based Forest Fire Detection and Tracking Using Digital Processing Techniques. Int. Conf. Unmanned Aircr. Syst. 639–643.</w:t>
      </w:r>
    </w:p>
    <w:p w14:paraId="131AF02D" w14:textId="77777777" w:rsidR="005E53E9" w:rsidRPr="005E53E9" w:rsidRDefault="005E53E9" w:rsidP="005E53E9">
      <w:pPr>
        <w:widowControl w:val="0"/>
        <w:autoSpaceDE w:val="0"/>
        <w:autoSpaceDN w:val="0"/>
        <w:adjustRightInd w:val="0"/>
        <w:spacing w:line="240" w:lineRule="auto"/>
        <w:ind w:left="480" w:hanging="480"/>
        <w:rPr>
          <w:rFonts w:cs="Arial"/>
          <w:noProof/>
        </w:rPr>
      </w:pPr>
      <w:r w:rsidRPr="005E53E9">
        <w:rPr>
          <w:rFonts w:cs="Arial"/>
          <w:noProof/>
        </w:rPr>
        <w:t>Clark, J.A., 1969. Cryogenic Heat Transfer, in: Irvine, T.F., Hartnett, J.P.B.T.-A. in H.T. (Eds.), . Elsevier, pp. 325–517. https://doi.org/https://doi.org/10.1016/S0065-2717(08)70132-1</w:t>
      </w:r>
    </w:p>
    <w:p w14:paraId="0B7C9B3C" w14:textId="77777777" w:rsidR="005E53E9" w:rsidRPr="005E53E9" w:rsidRDefault="005E53E9" w:rsidP="005E53E9">
      <w:pPr>
        <w:widowControl w:val="0"/>
        <w:autoSpaceDE w:val="0"/>
        <w:autoSpaceDN w:val="0"/>
        <w:adjustRightInd w:val="0"/>
        <w:spacing w:line="240" w:lineRule="auto"/>
        <w:ind w:left="480" w:hanging="480"/>
        <w:rPr>
          <w:rFonts w:cs="Arial"/>
          <w:noProof/>
        </w:rPr>
      </w:pPr>
      <w:r w:rsidRPr="005E53E9">
        <w:rPr>
          <w:rFonts w:cs="Arial"/>
          <w:noProof/>
        </w:rPr>
        <w:t>Espinosa, S.N., Jaca, R.C., Godoy, L.A., 2019. Thermal effects of fire on a nearby fuel storage tank. J. Loss Prev. Process Ind. 62, 103990. https://doi.org/https://doi.org/10.1016/j.jlp.2019.103990</w:t>
      </w:r>
    </w:p>
    <w:p w14:paraId="465BF8B4" w14:textId="77777777" w:rsidR="005E53E9" w:rsidRPr="005E53E9" w:rsidRDefault="005E53E9" w:rsidP="005E53E9">
      <w:pPr>
        <w:widowControl w:val="0"/>
        <w:autoSpaceDE w:val="0"/>
        <w:autoSpaceDN w:val="0"/>
        <w:adjustRightInd w:val="0"/>
        <w:spacing w:line="240" w:lineRule="auto"/>
        <w:ind w:left="480" w:hanging="480"/>
        <w:rPr>
          <w:rFonts w:cs="Arial"/>
          <w:noProof/>
        </w:rPr>
      </w:pPr>
      <w:r w:rsidRPr="005E53E9">
        <w:rPr>
          <w:rFonts w:cs="Arial"/>
          <w:noProof/>
        </w:rPr>
        <w:t>Ødegård, A., Sommerseth, C., Odsæter, L.H., Skarsvåg, H.L., Nekså, P., Meraner, C., Stølen, R., Li, T., Muthusamy Deiveegan, Van Wingerden, K., Siccama, D., Gawas, Y., Ustolin, F., George, C., 2022. D5.4: SH2IFT final project report.</w:t>
      </w:r>
    </w:p>
    <w:p w14:paraId="5160FC2A" w14:textId="77777777" w:rsidR="005E53E9" w:rsidRPr="005E53E9" w:rsidRDefault="005E53E9" w:rsidP="005E53E9">
      <w:pPr>
        <w:widowControl w:val="0"/>
        <w:autoSpaceDE w:val="0"/>
        <w:autoSpaceDN w:val="0"/>
        <w:adjustRightInd w:val="0"/>
        <w:spacing w:line="240" w:lineRule="auto"/>
        <w:ind w:left="480" w:hanging="480"/>
        <w:rPr>
          <w:rFonts w:cs="Arial"/>
          <w:noProof/>
        </w:rPr>
      </w:pPr>
      <w:r w:rsidRPr="005E53E9">
        <w:rPr>
          <w:rFonts w:cs="Arial"/>
          <w:noProof/>
        </w:rPr>
        <w:t>Oka, Y., Sugawa, O., Imamura, T., Matsubara, Y., 2003. Effect of cross-winds to apparent flame height and tilt angle from several kinds of fire source. Fire Saf. Sci. 915–926. https://doi.org/10.3801/IAFSS.FSS.7-915</w:t>
      </w:r>
    </w:p>
    <w:p w14:paraId="10B6AAE2" w14:textId="77777777" w:rsidR="005E53E9" w:rsidRPr="005E53E9" w:rsidRDefault="005E53E9" w:rsidP="005E53E9">
      <w:pPr>
        <w:widowControl w:val="0"/>
        <w:autoSpaceDE w:val="0"/>
        <w:autoSpaceDN w:val="0"/>
        <w:adjustRightInd w:val="0"/>
        <w:spacing w:line="240" w:lineRule="auto"/>
        <w:ind w:left="480" w:hanging="480"/>
        <w:rPr>
          <w:rFonts w:cs="Arial"/>
          <w:noProof/>
        </w:rPr>
      </w:pPr>
      <w:r w:rsidRPr="005E53E9">
        <w:rPr>
          <w:rFonts w:cs="Arial"/>
          <w:noProof/>
        </w:rPr>
        <w:t>Pehr, K., 1996. EXPERIMENTAL EXAMINATIONS ON THE WORST CASE BEHAVIOUR OF LH2/LNG TANKS FOR PASSENGER CARS.</w:t>
      </w:r>
    </w:p>
    <w:p w14:paraId="4AC6487D" w14:textId="77777777" w:rsidR="005E53E9" w:rsidRPr="005E53E9" w:rsidRDefault="005E53E9" w:rsidP="005E53E9">
      <w:pPr>
        <w:widowControl w:val="0"/>
        <w:autoSpaceDE w:val="0"/>
        <w:autoSpaceDN w:val="0"/>
        <w:adjustRightInd w:val="0"/>
        <w:spacing w:line="240" w:lineRule="auto"/>
        <w:ind w:left="480" w:hanging="480"/>
        <w:rPr>
          <w:rFonts w:cs="Arial"/>
          <w:noProof/>
        </w:rPr>
      </w:pPr>
      <w:r w:rsidRPr="005E53E9">
        <w:rPr>
          <w:rFonts w:cs="Arial"/>
          <w:noProof/>
        </w:rPr>
        <w:t>Rashidi, A., Ahmad, A., Lou, C., Hassan, H., Hariffin, M., Tzeng, M., Akma, N., Der, S., 2015. Preliminary determination of flame speeds from infrared images using image processing techniques in a 150 kWth coal fired combustion test rig. Institute of Research Engineers and Doctors, LLC, pp. 1–5. https://doi.org/10.15224/978-1-63248-072-9-50</w:t>
      </w:r>
    </w:p>
    <w:p w14:paraId="33D7B994" w14:textId="77777777" w:rsidR="005E53E9" w:rsidRPr="00187E9D" w:rsidRDefault="005E53E9" w:rsidP="005E53E9">
      <w:pPr>
        <w:widowControl w:val="0"/>
        <w:autoSpaceDE w:val="0"/>
        <w:autoSpaceDN w:val="0"/>
        <w:adjustRightInd w:val="0"/>
        <w:spacing w:line="240" w:lineRule="auto"/>
        <w:ind w:left="480" w:hanging="480"/>
        <w:rPr>
          <w:rFonts w:cs="Arial"/>
          <w:noProof/>
          <w:lang w:val="it-IT"/>
        </w:rPr>
      </w:pPr>
      <w:r w:rsidRPr="005E53E9">
        <w:rPr>
          <w:rFonts w:cs="Arial"/>
          <w:noProof/>
        </w:rPr>
        <w:t xml:space="preserve">Rottmann, M., Beikircher, T., 2022. Pressure dependent effective thermal conductivity of pure and SiC-opacified expanded perlite between 293 K and 1073 K. Int. J. Therm. </w:t>
      </w:r>
      <w:r w:rsidRPr="00187E9D">
        <w:rPr>
          <w:rFonts w:cs="Arial"/>
          <w:noProof/>
          <w:lang w:val="it-IT"/>
        </w:rPr>
        <w:t>Sci. 179. https://doi.org/10.1016/j.ijthermalsci.2022.107652</w:t>
      </w:r>
    </w:p>
    <w:p w14:paraId="75F73841" w14:textId="77777777" w:rsidR="005E53E9" w:rsidRPr="005E53E9" w:rsidRDefault="005E53E9" w:rsidP="005E53E9">
      <w:pPr>
        <w:widowControl w:val="0"/>
        <w:autoSpaceDE w:val="0"/>
        <w:autoSpaceDN w:val="0"/>
        <w:adjustRightInd w:val="0"/>
        <w:spacing w:line="240" w:lineRule="auto"/>
        <w:ind w:left="480" w:hanging="480"/>
        <w:rPr>
          <w:rFonts w:cs="Arial"/>
          <w:noProof/>
        </w:rPr>
      </w:pPr>
      <w:r w:rsidRPr="00187E9D">
        <w:rPr>
          <w:rFonts w:cs="Arial"/>
          <w:noProof/>
          <w:lang w:val="it-IT"/>
        </w:rPr>
        <w:t xml:space="preserve">Scarponi, G.E., Cozzani, V., Antonioni, G., Doghieri, F., 2024. </w:t>
      </w:r>
      <w:r w:rsidRPr="005E53E9">
        <w:rPr>
          <w:rFonts w:cs="Arial"/>
          <w:noProof/>
        </w:rPr>
        <w:t>Modeling the behavior of LPG tanks exposed to partially engulfing pool fires. Process Saf. Environ. Prot. 182, 1072–1085. https://doi.org/https://doi.org/10.1016/j.psep.2023.12.048</w:t>
      </w:r>
    </w:p>
    <w:p w14:paraId="28361F7C" w14:textId="77777777" w:rsidR="005E53E9" w:rsidRPr="005E53E9" w:rsidRDefault="005E53E9" w:rsidP="005E53E9">
      <w:pPr>
        <w:widowControl w:val="0"/>
        <w:autoSpaceDE w:val="0"/>
        <w:autoSpaceDN w:val="0"/>
        <w:adjustRightInd w:val="0"/>
        <w:spacing w:line="240" w:lineRule="auto"/>
        <w:ind w:left="480" w:hanging="480"/>
        <w:rPr>
          <w:rFonts w:cs="Arial"/>
          <w:noProof/>
        </w:rPr>
      </w:pPr>
      <w:r w:rsidRPr="00187E9D">
        <w:rPr>
          <w:rFonts w:cs="Arial"/>
          <w:noProof/>
          <w:lang w:val="it-IT"/>
        </w:rPr>
        <w:t xml:space="preserve">Schiaroli, A., Mata, C., Scarponi, G.E., Cozzani, V., Ustolin, F., 2023. </w:t>
      </w:r>
      <w:r w:rsidRPr="005E53E9">
        <w:rPr>
          <w:rFonts w:cs="Arial"/>
          <w:noProof/>
        </w:rPr>
        <w:t>Digital image processing for the estimation of the thermal power entering a liquid hydrogen tank exposed to a fire. Inst. Chem. Eng. Symp. Ser. 2023-Novem.</w:t>
      </w:r>
    </w:p>
    <w:p w14:paraId="3F6293EA" w14:textId="77777777" w:rsidR="005E53E9" w:rsidRPr="005E53E9" w:rsidRDefault="005E53E9" w:rsidP="005E53E9">
      <w:pPr>
        <w:widowControl w:val="0"/>
        <w:autoSpaceDE w:val="0"/>
        <w:autoSpaceDN w:val="0"/>
        <w:adjustRightInd w:val="0"/>
        <w:spacing w:line="240" w:lineRule="auto"/>
        <w:ind w:left="480" w:hanging="480"/>
        <w:rPr>
          <w:rFonts w:cs="Arial"/>
          <w:noProof/>
        </w:rPr>
      </w:pPr>
      <w:r w:rsidRPr="005E53E9">
        <w:rPr>
          <w:rFonts w:cs="Arial"/>
          <w:noProof/>
        </w:rPr>
        <w:t>Seeram, E., 2019. Digital Image Processing Concepts, in: Digital Radiography. Springer, Singapore, pp. 21–39.</w:t>
      </w:r>
    </w:p>
    <w:p w14:paraId="745A27D5" w14:textId="3E52CCAA" w:rsidR="00774E6E" w:rsidRDefault="005E53E9" w:rsidP="00A11738">
      <w:pPr>
        <w:widowControl w:val="0"/>
        <w:autoSpaceDE w:val="0"/>
        <w:autoSpaceDN w:val="0"/>
        <w:adjustRightInd w:val="0"/>
        <w:spacing w:line="240" w:lineRule="auto"/>
        <w:ind w:left="480" w:hanging="480"/>
      </w:pPr>
      <w:r w:rsidRPr="005E53E9">
        <w:rPr>
          <w:rFonts w:cs="Arial"/>
          <w:noProof/>
        </w:rPr>
        <w:t>Sharma, A., Singh, P.K., Kumar, Y., 2020. An integrated fire detection system using IoT and image processing technique for smart cities. Sustain. Cities Soc. 61, 102332. https://doi.org/https://doi.org/10.1016/j.scs.2020.102332</w:t>
      </w:r>
      <w:r w:rsidR="0018665C">
        <w:fldChar w:fldCharType="end"/>
      </w:r>
    </w:p>
    <w:sectPr w:rsidR="00774E6E" w:rsidSect="00DC73E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E65487" w14:textId="77777777" w:rsidR="00A36057" w:rsidRDefault="00A36057" w:rsidP="004F5E36">
      <w:r>
        <w:separator/>
      </w:r>
    </w:p>
  </w:endnote>
  <w:endnote w:type="continuationSeparator" w:id="0">
    <w:p w14:paraId="7A7A399E" w14:textId="77777777" w:rsidR="00A36057" w:rsidRDefault="00A36057" w:rsidP="004F5E36">
      <w:r>
        <w:continuationSeparator/>
      </w:r>
    </w:p>
  </w:endnote>
  <w:endnote w:type="continuationNotice" w:id="1">
    <w:p w14:paraId="551C8C1B" w14:textId="77777777" w:rsidR="00A36057" w:rsidRDefault="00A3605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32EF31" w14:textId="77777777" w:rsidR="00A36057" w:rsidRDefault="00A36057" w:rsidP="004F5E36">
      <w:r>
        <w:separator/>
      </w:r>
    </w:p>
  </w:footnote>
  <w:footnote w:type="continuationSeparator" w:id="0">
    <w:p w14:paraId="30DEFF88" w14:textId="77777777" w:rsidR="00A36057" w:rsidRDefault="00A36057" w:rsidP="004F5E36">
      <w:r>
        <w:continuationSeparator/>
      </w:r>
    </w:p>
  </w:footnote>
  <w:footnote w:type="continuationNotice" w:id="1">
    <w:p w14:paraId="2607B6C9" w14:textId="77777777" w:rsidR="00A36057" w:rsidRDefault="00A36057">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12266B64"/>
    <w:multiLevelType w:val="hybridMultilevel"/>
    <w:tmpl w:val="059214A0"/>
    <w:lvl w:ilvl="0" w:tplc="04100003">
      <w:start w:val="1"/>
      <w:numFmt w:val="bullet"/>
      <w:lvlText w:val="o"/>
      <w:lvlJc w:val="left"/>
      <w:pPr>
        <w:tabs>
          <w:tab w:val="num" w:pos="1080"/>
        </w:tabs>
        <w:ind w:left="1080" w:hanging="360"/>
      </w:pPr>
      <w:rPr>
        <w:rFonts w:ascii="Courier New" w:hAnsi="Courier New" w:cs="Courier New" w:hint="default"/>
      </w:rPr>
    </w:lvl>
    <w:lvl w:ilvl="1" w:tplc="04100003">
      <w:start w:val="1"/>
      <w:numFmt w:val="bullet"/>
      <w:lvlText w:val="o"/>
      <w:lvlJc w:val="left"/>
      <w:pPr>
        <w:tabs>
          <w:tab w:val="num" w:pos="1800"/>
        </w:tabs>
        <w:ind w:left="1800" w:hanging="360"/>
      </w:pPr>
      <w:rPr>
        <w:rFonts w:ascii="Courier New" w:hAnsi="Courier New" w:cs="Courier New" w:hint="default"/>
      </w:rPr>
    </w:lvl>
    <w:lvl w:ilvl="2" w:tplc="04100005">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cs="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cs="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510947628">
    <w:abstractNumId w:val="11"/>
  </w:num>
  <w:num w:numId="2" w16cid:durableId="1142623884">
    <w:abstractNumId w:val="8"/>
  </w:num>
  <w:num w:numId="3" w16cid:durableId="1668484546">
    <w:abstractNumId w:val="3"/>
  </w:num>
  <w:num w:numId="4" w16cid:durableId="27873638">
    <w:abstractNumId w:val="2"/>
  </w:num>
  <w:num w:numId="5" w16cid:durableId="154884743">
    <w:abstractNumId w:val="1"/>
  </w:num>
  <w:num w:numId="6" w16cid:durableId="1406682766">
    <w:abstractNumId w:val="0"/>
  </w:num>
  <w:num w:numId="7" w16cid:durableId="911507209">
    <w:abstractNumId w:val="9"/>
  </w:num>
  <w:num w:numId="8" w16cid:durableId="1070158072">
    <w:abstractNumId w:val="7"/>
  </w:num>
  <w:num w:numId="9" w16cid:durableId="1538664533">
    <w:abstractNumId w:val="6"/>
  </w:num>
  <w:num w:numId="10" w16cid:durableId="289214133">
    <w:abstractNumId w:val="5"/>
  </w:num>
  <w:num w:numId="11" w16cid:durableId="119541476">
    <w:abstractNumId w:val="4"/>
  </w:num>
  <w:num w:numId="12" w16cid:durableId="1617710552">
    <w:abstractNumId w:val="18"/>
  </w:num>
  <w:num w:numId="13" w16cid:durableId="179976270">
    <w:abstractNumId w:val="13"/>
  </w:num>
  <w:num w:numId="14" w16cid:durableId="36131851">
    <w:abstractNumId w:val="19"/>
  </w:num>
  <w:num w:numId="15" w16cid:durableId="519054580">
    <w:abstractNumId w:val="21"/>
  </w:num>
  <w:num w:numId="16" w16cid:durableId="1781678008">
    <w:abstractNumId w:val="20"/>
  </w:num>
  <w:num w:numId="17" w16cid:durableId="1130709737">
    <w:abstractNumId w:val="12"/>
  </w:num>
  <w:num w:numId="18" w16cid:durableId="2119834660">
    <w:abstractNumId w:val="13"/>
    <w:lvlOverride w:ilvl="0">
      <w:startOverride w:val="1"/>
    </w:lvlOverride>
  </w:num>
  <w:num w:numId="19" w16cid:durableId="1889295829">
    <w:abstractNumId w:val="17"/>
  </w:num>
  <w:num w:numId="20" w16cid:durableId="405616214">
    <w:abstractNumId w:val="16"/>
  </w:num>
  <w:num w:numId="21" w16cid:durableId="2042584333">
    <w:abstractNumId w:val="15"/>
  </w:num>
  <w:num w:numId="22" w16cid:durableId="354842832">
    <w:abstractNumId w:val="14"/>
  </w:num>
  <w:num w:numId="23" w16cid:durableId="7366595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kwNKgFAGpv5ZwtAAAA"/>
  </w:docVars>
  <w:rsids>
    <w:rsidRoot w:val="000E414A"/>
    <w:rsid w:val="000027C0"/>
    <w:rsid w:val="000052FB"/>
    <w:rsid w:val="00005A19"/>
    <w:rsid w:val="000117CB"/>
    <w:rsid w:val="00020ECE"/>
    <w:rsid w:val="00021354"/>
    <w:rsid w:val="000300BC"/>
    <w:rsid w:val="0003148D"/>
    <w:rsid w:val="00031EEC"/>
    <w:rsid w:val="00032365"/>
    <w:rsid w:val="00034F15"/>
    <w:rsid w:val="00035D5A"/>
    <w:rsid w:val="0003619C"/>
    <w:rsid w:val="000372D1"/>
    <w:rsid w:val="00051566"/>
    <w:rsid w:val="00052793"/>
    <w:rsid w:val="000562A9"/>
    <w:rsid w:val="00062A9A"/>
    <w:rsid w:val="00065058"/>
    <w:rsid w:val="0006557B"/>
    <w:rsid w:val="0007080C"/>
    <w:rsid w:val="00081422"/>
    <w:rsid w:val="00084F8C"/>
    <w:rsid w:val="00086C39"/>
    <w:rsid w:val="00095439"/>
    <w:rsid w:val="000972A0"/>
    <w:rsid w:val="000A03B2"/>
    <w:rsid w:val="000A2B9F"/>
    <w:rsid w:val="000A4CD0"/>
    <w:rsid w:val="000A7DA9"/>
    <w:rsid w:val="000B17C8"/>
    <w:rsid w:val="000B5ACC"/>
    <w:rsid w:val="000B5B51"/>
    <w:rsid w:val="000B741E"/>
    <w:rsid w:val="000D0268"/>
    <w:rsid w:val="000D0F17"/>
    <w:rsid w:val="000D1B30"/>
    <w:rsid w:val="000D34BE"/>
    <w:rsid w:val="000D4EDA"/>
    <w:rsid w:val="000D4FA3"/>
    <w:rsid w:val="000E0AFE"/>
    <w:rsid w:val="000E0B3C"/>
    <w:rsid w:val="000E102F"/>
    <w:rsid w:val="000E36F1"/>
    <w:rsid w:val="000E371B"/>
    <w:rsid w:val="000E3A73"/>
    <w:rsid w:val="000E3E6F"/>
    <w:rsid w:val="000E414A"/>
    <w:rsid w:val="000E75FD"/>
    <w:rsid w:val="000F093C"/>
    <w:rsid w:val="000F2AEF"/>
    <w:rsid w:val="000F787B"/>
    <w:rsid w:val="000F7CB6"/>
    <w:rsid w:val="00105289"/>
    <w:rsid w:val="00111B92"/>
    <w:rsid w:val="001120E7"/>
    <w:rsid w:val="0012091F"/>
    <w:rsid w:val="00122F92"/>
    <w:rsid w:val="00126BC2"/>
    <w:rsid w:val="0012780F"/>
    <w:rsid w:val="001308B6"/>
    <w:rsid w:val="0013121F"/>
    <w:rsid w:val="00131FE6"/>
    <w:rsid w:val="0013263F"/>
    <w:rsid w:val="001331DF"/>
    <w:rsid w:val="00134DE4"/>
    <w:rsid w:val="0014034D"/>
    <w:rsid w:val="00140B02"/>
    <w:rsid w:val="00140FE3"/>
    <w:rsid w:val="00141799"/>
    <w:rsid w:val="001428F0"/>
    <w:rsid w:val="00143405"/>
    <w:rsid w:val="001447D6"/>
    <w:rsid w:val="00144D16"/>
    <w:rsid w:val="00150E59"/>
    <w:rsid w:val="00151B47"/>
    <w:rsid w:val="00152DE3"/>
    <w:rsid w:val="001613E1"/>
    <w:rsid w:val="00161CF5"/>
    <w:rsid w:val="00164CF9"/>
    <w:rsid w:val="00165D30"/>
    <w:rsid w:val="001667A6"/>
    <w:rsid w:val="00167620"/>
    <w:rsid w:val="001709E0"/>
    <w:rsid w:val="001770E3"/>
    <w:rsid w:val="0018171E"/>
    <w:rsid w:val="00184AD6"/>
    <w:rsid w:val="0018665C"/>
    <w:rsid w:val="00187E9D"/>
    <w:rsid w:val="0019201A"/>
    <w:rsid w:val="00195308"/>
    <w:rsid w:val="00195511"/>
    <w:rsid w:val="00196503"/>
    <w:rsid w:val="001A12DD"/>
    <w:rsid w:val="001A4AF7"/>
    <w:rsid w:val="001A734D"/>
    <w:rsid w:val="001A7585"/>
    <w:rsid w:val="001B0349"/>
    <w:rsid w:val="001B1E93"/>
    <w:rsid w:val="001B26F0"/>
    <w:rsid w:val="001B59D4"/>
    <w:rsid w:val="001B65C1"/>
    <w:rsid w:val="001C260F"/>
    <w:rsid w:val="001C5C3A"/>
    <w:rsid w:val="001C684B"/>
    <w:rsid w:val="001C6B91"/>
    <w:rsid w:val="001D0CFB"/>
    <w:rsid w:val="001D21AF"/>
    <w:rsid w:val="001D467A"/>
    <w:rsid w:val="001D4725"/>
    <w:rsid w:val="001D53FC"/>
    <w:rsid w:val="001E2177"/>
    <w:rsid w:val="001E5EF5"/>
    <w:rsid w:val="001F31EB"/>
    <w:rsid w:val="001F42A5"/>
    <w:rsid w:val="001F7B9D"/>
    <w:rsid w:val="00201C93"/>
    <w:rsid w:val="002202C1"/>
    <w:rsid w:val="002224B4"/>
    <w:rsid w:val="00230E8F"/>
    <w:rsid w:val="002350E7"/>
    <w:rsid w:val="002362E0"/>
    <w:rsid w:val="00236CA9"/>
    <w:rsid w:val="00242575"/>
    <w:rsid w:val="00243EA5"/>
    <w:rsid w:val="002447EF"/>
    <w:rsid w:val="0024525B"/>
    <w:rsid w:val="002509ED"/>
    <w:rsid w:val="00251550"/>
    <w:rsid w:val="0026152A"/>
    <w:rsid w:val="00262089"/>
    <w:rsid w:val="00263B05"/>
    <w:rsid w:val="002663F1"/>
    <w:rsid w:val="0027220C"/>
    <w:rsid w:val="0027221A"/>
    <w:rsid w:val="002753A8"/>
    <w:rsid w:val="00275B61"/>
    <w:rsid w:val="00280FAF"/>
    <w:rsid w:val="00281468"/>
    <w:rsid w:val="00282656"/>
    <w:rsid w:val="002827E9"/>
    <w:rsid w:val="002832BD"/>
    <w:rsid w:val="002842A5"/>
    <w:rsid w:val="00286560"/>
    <w:rsid w:val="002939B1"/>
    <w:rsid w:val="00296B83"/>
    <w:rsid w:val="002A23D4"/>
    <w:rsid w:val="002B0743"/>
    <w:rsid w:val="002B1E80"/>
    <w:rsid w:val="002B238F"/>
    <w:rsid w:val="002B4015"/>
    <w:rsid w:val="002B4BE3"/>
    <w:rsid w:val="002B546D"/>
    <w:rsid w:val="002B6188"/>
    <w:rsid w:val="002B6D26"/>
    <w:rsid w:val="002B78CE"/>
    <w:rsid w:val="002B7ED1"/>
    <w:rsid w:val="002C034D"/>
    <w:rsid w:val="002C2564"/>
    <w:rsid w:val="002C2FB6"/>
    <w:rsid w:val="002C5C8F"/>
    <w:rsid w:val="002C781F"/>
    <w:rsid w:val="002C7892"/>
    <w:rsid w:val="002E5FA7"/>
    <w:rsid w:val="002F0366"/>
    <w:rsid w:val="002F2A21"/>
    <w:rsid w:val="002F3309"/>
    <w:rsid w:val="002F4EBD"/>
    <w:rsid w:val="003008CE"/>
    <w:rsid w:val="003009B7"/>
    <w:rsid w:val="00300E56"/>
    <w:rsid w:val="0030152C"/>
    <w:rsid w:val="0030469C"/>
    <w:rsid w:val="0030570C"/>
    <w:rsid w:val="00307F20"/>
    <w:rsid w:val="00310D03"/>
    <w:rsid w:val="00321AEE"/>
    <w:rsid w:val="00321CA6"/>
    <w:rsid w:val="00323763"/>
    <w:rsid w:val="00323C5F"/>
    <w:rsid w:val="00333AB7"/>
    <w:rsid w:val="00334C09"/>
    <w:rsid w:val="00335018"/>
    <w:rsid w:val="00336270"/>
    <w:rsid w:val="00337621"/>
    <w:rsid w:val="00341560"/>
    <w:rsid w:val="00341757"/>
    <w:rsid w:val="003440DD"/>
    <w:rsid w:val="00347733"/>
    <w:rsid w:val="0035611C"/>
    <w:rsid w:val="00356576"/>
    <w:rsid w:val="003607B9"/>
    <w:rsid w:val="00366903"/>
    <w:rsid w:val="00367ED2"/>
    <w:rsid w:val="00367EF4"/>
    <w:rsid w:val="003723D4"/>
    <w:rsid w:val="00373906"/>
    <w:rsid w:val="00381905"/>
    <w:rsid w:val="00384CC8"/>
    <w:rsid w:val="003871FD"/>
    <w:rsid w:val="00393772"/>
    <w:rsid w:val="003948D8"/>
    <w:rsid w:val="003A1E30"/>
    <w:rsid w:val="003A2829"/>
    <w:rsid w:val="003A4C39"/>
    <w:rsid w:val="003A7D1C"/>
    <w:rsid w:val="003B304B"/>
    <w:rsid w:val="003B3146"/>
    <w:rsid w:val="003B49CD"/>
    <w:rsid w:val="003C06E2"/>
    <w:rsid w:val="003C1073"/>
    <w:rsid w:val="003D1E02"/>
    <w:rsid w:val="003D52D4"/>
    <w:rsid w:val="003D5F41"/>
    <w:rsid w:val="003E12BF"/>
    <w:rsid w:val="003E4F2E"/>
    <w:rsid w:val="003F015E"/>
    <w:rsid w:val="003F205C"/>
    <w:rsid w:val="003F364B"/>
    <w:rsid w:val="003F3D45"/>
    <w:rsid w:val="003F424F"/>
    <w:rsid w:val="003F4333"/>
    <w:rsid w:val="00400414"/>
    <w:rsid w:val="004009A0"/>
    <w:rsid w:val="00401207"/>
    <w:rsid w:val="00401D77"/>
    <w:rsid w:val="00403CD7"/>
    <w:rsid w:val="004056B4"/>
    <w:rsid w:val="004069E9"/>
    <w:rsid w:val="0041446B"/>
    <w:rsid w:val="0042093C"/>
    <w:rsid w:val="00421024"/>
    <w:rsid w:val="00422172"/>
    <w:rsid w:val="004232B8"/>
    <w:rsid w:val="0042723C"/>
    <w:rsid w:val="004368CB"/>
    <w:rsid w:val="0044071E"/>
    <w:rsid w:val="00441C31"/>
    <w:rsid w:val="0044329C"/>
    <w:rsid w:val="00446917"/>
    <w:rsid w:val="004469AE"/>
    <w:rsid w:val="00452379"/>
    <w:rsid w:val="0045300A"/>
    <w:rsid w:val="00453E24"/>
    <w:rsid w:val="0045631A"/>
    <w:rsid w:val="00457456"/>
    <w:rsid w:val="004577FE"/>
    <w:rsid w:val="00457B9C"/>
    <w:rsid w:val="00460DA2"/>
    <w:rsid w:val="0046164A"/>
    <w:rsid w:val="004628D2"/>
    <w:rsid w:val="00462DCD"/>
    <w:rsid w:val="004640D8"/>
    <w:rsid w:val="00464352"/>
    <w:rsid w:val="004648AD"/>
    <w:rsid w:val="004703A9"/>
    <w:rsid w:val="004736A4"/>
    <w:rsid w:val="00474426"/>
    <w:rsid w:val="004759B8"/>
    <w:rsid w:val="004760DE"/>
    <w:rsid w:val="004763D7"/>
    <w:rsid w:val="00480C45"/>
    <w:rsid w:val="00481196"/>
    <w:rsid w:val="00482A31"/>
    <w:rsid w:val="004862C1"/>
    <w:rsid w:val="00492CA1"/>
    <w:rsid w:val="004A004E"/>
    <w:rsid w:val="004A0364"/>
    <w:rsid w:val="004A2137"/>
    <w:rsid w:val="004A24CF"/>
    <w:rsid w:val="004B6035"/>
    <w:rsid w:val="004B7575"/>
    <w:rsid w:val="004C27B7"/>
    <w:rsid w:val="004C3D1D"/>
    <w:rsid w:val="004C3D84"/>
    <w:rsid w:val="004C4DB6"/>
    <w:rsid w:val="004C6A1A"/>
    <w:rsid w:val="004C7913"/>
    <w:rsid w:val="004D14C6"/>
    <w:rsid w:val="004D785E"/>
    <w:rsid w:val="004E2B15"/>
    <w:rsid w:val="004E4DD6"/>
    <w:rsid w:val="004F5E36"/>
    <w:rsid w:val="00500D57"/>
    <w:rsid w:val="00503FF5"/>
    <w:rsid w:val="005057F5"/>
    <w:rsid w:val="00507B47"/>
    <w:rsid w:val="00507BEF"/>
    <w:rsid w:val="00507CC9"/>
    <w:rsid w:val="00510578"/>
    <w:rsid w:val="005119A5"/>
    <w:rsid w:val="005171E3"/>
    <w:rsid w:val="00520088"/>
    <w:rsid w:val="00520E9E"/>
    <w:rsid w:val="00524D65"/>
    <w:rsid w:val="0052678C"/>
    <w:rsid w:val="005278B7"/>
    <w:rsid w:val="00532016"/>
    <w:rsid w:val="005346C8"/>
    <w:rsid w:val="005346F7"/>
    <w:rsid w:val="00536103"/>
    <w:rsid w:val="005424FC"/>
    <w:rsid w:val="00543846"/>
    <w:rsid w:val="00543E7D"/>
    <w:rsid w:val="005461A0"/>
    <w:rsid w:val="00547A68"/>
    <w:rsid w:val="005531C9"/>
    <w:rsid w:val="00553532"/>
    <w:rsid w:val="00554274"/>
    <w:rsid w:val="00554879"/>
    <w:rsid w:val="00560928"/>
    <w:rsid w:val="00561F81"/>
    <w:rsid w:val="00567ED9"/>
    <w:rsid w:val="00570C43"/>
    <w:rsid w:val="00577E02"/>
    <w:rsid w:val="005803C8"/>
    <w:rsid w:val="00582045"/>
    <w:rsid w:val="005832D9"/>
    <w:rsid w:val="00586AE3"/>
    <w:rsid w:val="00592274"/>
    <w:rsid w:val="005A42A0"/>
    <w:rsid w:val="005A6794"/>
    <w:rsid w:val="005B134B"/>
    <w:rsid w:val="005B2110"/>
    <w:rsid w:val="005B2DD3"/>
    <w:rsid w:val="005B350B"/>
    <w:rsid w:val="005B61E6"/>
    <w:rsid w:val="005C24C2"/>
    <w:rsid w:val="005C77E1"/>
    <w:rsid w:val="005D668A"/>
    <w:rsid w:val="005D6A2F"/>
    <w:rsid w:val="005E0592"/>
    <w:rsid w:val="005E1A82"/>
    <w:rsid w:val="005E4129"/>
    <w:rsid w:val="005E53E9"/>
    <w:rsid w:val="005E57A5"/>
    <w:rsid w:val="005E7856"/>
    <w:rsid w:val="005E794C"/>
    <w:rsid w:val="005F0A28"/>
    <w:rsid w:val="005F0E5E"/>
    <w:rsid w:val="005F1255"/>
    <w:rsid w:val="005F4300"/>
    <w:rsid w:val="00600535"/>
    <w:rsid w:val="0060273C"/>
    <w:rsid w:val="006036B2"/>
    <w:rsid w:val="00603D5F"/>
    <w:rsid w:val="00604D7D"/>
    <w:rsid w:val="0061040E"/>
    <w:rsid w:val="00610CD6"/>
    <w:rsid w:val="00620DEE"/>
    <w:rsid w:val="00621F92"/>
    <w:rsid w:val="0062280A"/>
    <w:rsid w:val="006231E1"/>
    <w:rsid w:val="00625639"/>
    <w:rsid w:val="00630574"/>
    <w:rsid w:val="006307B0"/>
    <w:rsid w:val="00631B33"/>
    <w:rsid w:val="006334A7"/>
    <w:rsid w:val="0063473B"/>
    <w:rsid w:val="0063725B"/>
    <w:rsid w:val="0064184D"/>
    <w:rsid w:val="006422CC"/>
    <w:rsid w:val="00643519"/>
    <w:rsid w:val="00645112"/>
    <w:rsid w:val="00647D58"/>
    <w:rsid w:val="00651D18"/>
    <w:rsid w:val="00660E3E"/>
    <w:rsid w:val="00662E74"/>
    <w:rsid w:val="006631FC"/>
    <w:rsid w:val="00663271"/>
    <w:rsid w:val="00663B47"/>
    <w:rsid w:val="00665457"/>
    <w:rsid w:val="00665FFE"/>
    <w:rsid w:val="00675F07"/>
    <w:rsid w:val="006770D8"/>
    <w:rsid w:val="00680C23"/>
    <w:rsid w:val="006827CF"/>
    <w:rsid w:val="00683E23"/>
    <w:rsid w:val="00690014"/>
    <w:rsid w:val="00693766"/>
    <w:rsid w:val="0069759E"/>
    <w:rsid w:val="006A18FD"/>
    <w:rsid w:val="006A3281"/>
    <w:rsid w:val="006A3FCE"/>
    <w:rsid w:val="006A595F"/>
    <w:rsid w:val="006A6DE5"/>
    <w:rsid w:val="006B3442"/>
    <w:rsid w:val="006B3BE9"/>
    <w:rsid w:val="006B4888"/>
    <w:rsid w:val="006B728F"/>
    <w:rsid w:val="006C2767"/>
    <w:rsid w:val="006C2E45"/>
    <w:rsid w:val="006C359C"/>
    <w:rsid w:val="006C5579"/>
    <w:rsid w:val="006D0824"/>
    <w:rsid w:val="006D6655"/>
    <w:rsid w:val="006D6E8B"/>
    <w:rsid w:val="006D7209"/>
    <w:rsid w:val="006E0A5B"/>
    <w:rsid w:val="006E12CB"/>
    <w:rsid w:val="006E737D"/>
    <w:rsid w:val="006E7560"/>
    <w:rsid w:val="006E787F"/>
    <w:rsid w:val="006E79FB"/>
    <w:rsid w:val="006F08B5"/>
    <w:rsid w:val="006F4FD6"/>
    <w:rsid w:val="006F5F1F"/>
    <w:rsid w:val="007054F7"/>
    <w:rsid w:val="00706E53"/>
    <w:rsid w:val="00707DD1"/>
    <w:rsid w:val="0071163B"/>
    <w:rsid w:val="00713973"/>
    <w:rsid w:val="00715BCD"/>
    <w:rsid w:val="00716508"/>
    <w:rsid w:val="0071661E"/>
    <w:rsid w:val="007201BE"/>
    <w:rsid w:val="00720A24"/>
    <w:rsid w:val="00724FFA"/>
    <w:rsid w:val="00726103"/>
    <w:rsid w:val="00732386"/>
    <w:rsid w:val="0073514D"/>
    <w:rsid w:val="007367F3"/>
    <w:rsid w:val="00742CF1"/>
    <w:rsid w:val="007447F3"/>
    <w:rsid w:val="0074654D"/>
    <w:rsid w:val="0075499F"/>
    <w:rsid w:val="00755B46"/>
    <w:rsid w:val="007569B0"/>
    <w:rsid w:val="00760C89"/>
    <w:rsid w:val="007661C8"/>
    <w:rsid w:val="0077098D"/>
    <w:rsid w:val="00771DC1"/>
    <w:rsid w:val="00772F85"/>
    <w:rsid w:val="0077302A"/>
    <w:rsid w:val="00774E6E"/>
    <w:rsid w:val="007814BB"/>
    <w:rsid w:val="00785BF9"/>
    <w:rsid w:val="00787616"/>
    <w:rsid w:val="00791402"/>
    <w:rsid w:val="007931FA"/>
    <w:rsid w:val="00797FFB"/>
    <w:rsid w:val="007A4861"/>
    <w:rsid w:val="007A7BBA"/>
    <w:rsid w:val="007B0C50"/>
    <w:rsid w:val="007B48F9"/>
    <w:rsid w:val="007B7794"/>
    <w:rsid w:val="007C1A43"/>
    <w:rsid w:val="007C78A9"/>
    <w:rsid w:val="007D0951"/>
    <w:rsid w:val="007D1FD3"/>
    <w:rsid w:val="007D610D"/>
    <w:rsid w:val="007D6D62"/>
    <w:rsid w:val="007E157F"/>
    <w:rsid w:val="007F5211"/>
    <w:rsid w:val="007F7A81"/>
    <w:rsid w:val="0080013E"/>
    <w:rsid w:val="00801759"/>
    <w:rsid w:val="008106FA"/>
    <w:rsid w:val="00811B1E"/>
    <w:rsid w:val="00813288"/>
    <w:rsid w:val="008168FC"/>
    <w:rsid w:val="00823D8C"/>
    <w:rsid w:val="00824E37"/>
    <w:rsid w:val="00825B95"/>
    <w:rsid w:val="00827B2F"/>
    <w:rsid w:val="00830996"/>
    <w:rsid w:val="0083306E"/>
    <w:rsid w:val="008345F1"/>
    <w:rsid w:val="00835A81"/>
    <w:rsid w:val="008372D9"/>
    <w:rsid w:val="0084058A"/>
    <w:rsid w:val="00845938"/>
    <w:rsid w:val="00850352"/>
    <w:rsid w:val="00853B28"/>
    <w:rsid w:val="0085590B"/>
    <w:rsid w:val="00855FC1"/>
    <w:rsid w:val="00856A16"/>
    <w:rsid w:val="00856A67"/>
    <w:rsid w:val="0086210C"/>
    <w:rsid w:val="00865695"/>
    <w:rsid w:val="00865B07"/>
    <w:rsid w:val="008667EA"/>
    <w:rsid w:val="0087359A"/>
    <w:rsid w:val="008743A6"/>
    <w:rsid w:val="0087637F"/>
    <w:rsid w:val="0087778C"/>
    <w:rsid w:val="00887092"/>
    <w:rsid w:val="00892AD5"/>
    <w:rsid w:val="00895DD1"/>
    <w:rsid w:val="00897986"/>
    <w:rsid w:val="008A1512"/>
    <w:rsid w:val="008A1D9F"/>
    <w:rsid w:val="008A2549"/>
    <w:rsid w:val="008A3C68"/>
    <w:rsid w:val="008A4F2D"/>
    <w:rsid w:val="008B0B68"/>
    <w:rsid w:val="008B63A2"/>
    <w:rsid w:val="008C1FED"/>
    <w:rsid w:val="008C2865"/>
    <w:rsid w:val="008C2869"/>
    <w:rsid w:val="008D32B9"/>
    <w:rsid w:val="008D433B"/>
    <w:rsid w:val="008D4A16"/>
    <w:rsid w:val="008D5B4B"/>
    <w:rsid w:val="008E17F6"/>
    <w:rsid w:val="008E5401"/>
    <w:rsid w:val="008E566E"/>
    <w:rsid w:val="008E6245"/>
    <w:rsid w:val="008F1561"/>
    <w:rsid w:val="008F6068"/>
    <w:rsid w:val="0090161A"/>
    <w:rsid w:val="00901EB6"/>
    <w:rsid w:val="00902362"/>
    <w:rsid w:val="009041F8"/>
    <w:rsid w:val="00904C62"/>
    <w:rsid w:val="00906703"/>
    <w:rsid w:val="00906D75"/>
    <w:rsid w:val="00907ADC"/>
    <w:rsid w:val="00911FBD"/>
    <w:rsid w:val="0092029E"/>
    <w:rsid w:val="00922BA8"/>
    <w:rsid w:val="00924DAC"/>
    <w:rsid w:val="00927058"/>
    <w:rsid w:val="00931087"/>
    <w:rsid w:val="00934971"/>
    <w:rsid w:val="00936374"/>
    <w:rsid w:val="00937F65"/>
    <w:rsid w:val="0094145E"/>
    <w:rsid w:val="00941E8F"/>
    <w:rsid w:val="00942750"/>
    <w:rsid w:val="009450CE"/>
    <w:rsid w:val="009459BB"/>
    <w:rsid w:val="00947179"/>
    <w:rsid w:val="0095164B"/>
    <w:rsid w:val="00953574"/>
    <w:rsid w:val="00954090"/>
    <w:rsid w:val="009573E7"/>
    <w:rsid w:val="00962D93"/>
    <w:rsid w:val="00963299"/>
    <w:rsid w:val="00963E05"/>
    <w:rsid w:val="00964A45"/>
    <w:rsid w:val="00965B48"/>
    <w:rsid w:val="00966B8A"/>
    <w:rsid w:val="00967843"/>
    <w:rsid w:val="00967D54"/>
    <w:rsid w:val="00967E58"/>
    <w:rsid w:val="00971028"/>
    <w:rsid w:val="0097140C"/>
    <w:rsid w:val="009803F1"/>
    <w:rsid w:val="009815D0"/>
    <w:rsid w:val="00981EC7"/>
    <w:rsid w:val="00991D39"/>
    <w:rsid w:val="00993B84"/>
    <w:rsid w:val="00994C6A"/>
    <w:rsid w:val="00996483"/>
    <w:rsid w:val="00996F5A"/>
    <w:rsid w:val="009A2E68"/>
    <w:rsid w:val="009A55D1"/>
    <w:rsid w:val="009B041A"/>
    <w:rsid w:val="009C1448"/>
    <w:rsid w:val="009C37C3"/>
    <w:rsid w:val="009C4446"/>
    <w:rsid w:val="009C68CE"/>
    <w:rsid w:val="009C7C86"/>
    <w:rsid w:val="009D2FF7"/>
    <w:rsid w:val="009D3013"/>
    <w:rsid w:val="009D5976"/>
    <w:rsid w:val="009E1D1C"/>
    <w:rsid w:val="009E7884"/>
    <w:rsid w:val="009E788A"/>
    <w:rsid w:val="009F0E08"/>
    <w:rsid w:val="009F1DA2"/>
    <w:rsid w:val="009F2482"/>
    <w:rsid w:val="009F3200"/>
    <w:rsid w:val="009F4C16"/>
    <w:rsid w:val="009F7A63"/>
    <w:rsid w:val="00A01093"/>
    <w:rsid w:val="00A01A16"/>
    <w:rsid w:val="00A01AD5"/>
    <w:rsid w:val="00A02DAD"/>
    <w:rsid w:val="00A03C34"/>
    <w:rsid w:val="00A040E9"/>
    <w:rsid w:val="00A079AE"/>
    <w:rsid w:val="00A11738"/>
    <w:rsid w:val="00A13F86"/>
    <w:rsid w:val="00A14DAF"/>
    <w:rsid w:val="00A153BC"/>
    <w:rsid w:val="00A1763D"/>
    <w:rsid w:val="00A17CEC"/>
    <w:rsid w:val="00A17F71"/>
    <w:rsid w:val="00A22028"/>
    <w:rsid w:val="00A22092"/>
    <w:rsid w:val="00A26085"/>
    <w:rsid w:val="00A27EF0"/>
    <w:rsid w:val="00A32851"/>
    <w:rsid w:val="00A34E89"/>
    <w:rsid w:val="00A36057"/>
    <w:rsid w:val="00A42361"/>
    <w:rsid w:val="00A445A4"/>
    <w:rsid w:val="00A47706"/>
    <w:rsid w:val="00A47796"/>
    <w:rsid w:val="00A50B20"/>
    <w:rsid w:val="00A51390"/>
    <w:rsid w:val="00A54D21"/>
    <w:rsid w:val="00A550BB"/>
    <w:rsid w:val="00A60D13"/>
    <w:rsid w:val="00A70C43"/>
    <w:rsid w:val="00A7223D"/>
    <w:rsid w:val="00A725A9"/>
    <w:rsid w:val="00A72745"/>
    <w:rsid w:val="00A766B4"/>
    <w:rsid w:val="00A76EFC"/>
    <w:rsid w:val="00A77F21"/>
    <w:rsid w:val="00A86C3F"/>
    <w:rsid w:val="00A87B2A"/>
    <w:rsid w:val="00A87D50"/>
    <w:rsid w:val="00A91010"/>
    <w:rsid w:val="00A937A8"/>
    <w:rsid w:val="00A97F29"/>
    <w:rsid w:val="00AA1E86"/>
    <w:rsid w:val="00AA212B"/>
    <w:rsid w:val="00AA702E"/>
    <w:rsid w:val="00AA7704"/>
    <w:rsid w:val="00AA7D26"/>
    <w:rsid w:val="00AB0964"/>
    <w:rsid w:val="00AB3BE4"/>
    <w:rsid w:val="00AB3F7E"/>
    <w:rsid w:val="00AB491C"/>
    <w:rsid w:val="00AB5011"/>
    <w:rsid w:val="00AB5F51"/>
    <w:rsid w:val="00AB7E0D"/>
    <w:rsid w:val="00AC38E2"/>
    <w:rsid w:val="00AC5337"/>
    <w:rsid w:val="00AC7368"/>
    <w:rsid w:val="00AD16B9"/>
    <w:rsid w:val="00AD1D21"/>
    <w:rsid w:val="00AD2A92"/>
    <w:rsid w:val="00AD3086"/>
    <w:rsid w:val="00AD7082"/>
    <w:rsid w:val="00AE377D"/>
    <w:rsid w:val="00AE4D64"/>
    <w:rsid w:val="00AF0EBA"/>
    <w:rsid w:val="00AF2463"/>
    <w:rsid w:val="00AF678F"/>
    <w:rsid w:val="00AF6918"/>
    <w:rsid w:val="00B021C1"/>
    <w:rsid w:val="00B02C8A"/>
    <w:rsid w:val="00B04865"/>
    <w:rsid w:val="00B07345"/>
    <w:rsid w:val="00B158E6"/>
    <w:rsid w:val="00B17FBD"/>
    <w:rsid w:val="00B22177"/>
    <w:rsid w:val="00B23701"/>
    <w:rsid w:val="00B269AF"/>
    <w:rsid w:val="00B314EF"/>
    <w:rsid w:val="00B315A6"/>
    <w:rsid w:val="00B31813"/>
    <w:rsid w:val="00B33365"/>
    <w:rsid w:val="00B353BA"/>
    <w:rsid w:val="00B4254B"/>
    <w:rsid w:val="00B43FB0"/>
    <w:rsid w:val="00B45B57"/>
    <w:rsid w:val="00B474EA"/>
    <w:rsid w:val="00B52048"/>
    <w:rsid w:val="00B57B36"/>
    <w:rsid w:val="00B57E6F"/>
    <w:rsid w:val="00B639D4"/>
    <w:rsid w:val="00B733D0"/>
    <w:rsid w:val="00B7573D"/>
    <w:rsid w:val="00B76659"/>
    <w:rsid w:val="00B8382F"/>
    <w:rsid w:val="00B83A62"/>
    <w:rsid w:val="00B85CD4"/>
    <w:rsid w:val="00B8686D"/>
    <w:rsid w:val="00B87720"/>
    <w:rsid w:val="00B93F69"/>
    <w:rsid w:val="00BA0452"/>
    <w:rsid w:val="00BA3B18"/>
    <w:rsid w:val="00BA3EBA"/>
    <w:rsid w:val="00BA4A1B"/>
    <w:rsid w:val="00BA73ED"/>
    <w:rsid w:val="00BB1DDC"/>
    <w:rsid w:val="00BB7114"/>
    <w:rsid w:val="00BB7C31"/>
    <w:rsid w:val="00BC19F8"/>
    <w:rsid w:val="00BC30C9"/>
    <w:rsid w:val="00BC6377"/>
    <w:rsid w:val="00BD077D"/>
    <w:rsid w:val="00BE2E04"/>
    <w:rsid w:val="00BE3E58"/>
    <w:rsid w:val="00BE49F1"/>
    <w:rsid w:val="00BF13CE"/>
    <w:rsid w:val="00BF57C3"/>
    <w:rsid w:val="00BF69C1"/>
    <w:rsid w:val="00BF6FE2"/>
    <w:rsid w:val="00C01616"/>
    <w:rsid w:val="00C0162B"/>
    <w:rsid w:val="00C01D5F"/>
    <w:rsid w:val="00C05BF9"/>
    <w:rsid w:val="00C05CC2"/>
    <w:rsid w:val="00C068ED"/>
    <w:rsid w:val="00C10661"/>
    <w:rsid w:val="00C10DA6"/>
    <w:rsid w:val="00C11A1A"/>
    <w:rsid w:val="00C144DA"/>
    <w:rsid w:val="00C17129"/>
    <w:rsid w:val="00C17549"/>
    <w:rsid w:val="00C17599"/>
    <w:rsid w:val="00C20BA8"/>
    <w:rsid w:val="00C218D0"/>
    <w:rsid w:val="00C22E0C"/>
    <w:rsid w:val="00C25BB7"/>
    <w:rsid w:val="00C31C0C"/>
    <w:rsid w:val="00C345B1"/>
    <w:rsid w:val="00C40142"/>
    <w:rsid w:val="00C40C14"/>
    <w:rsid w:val="00C42887"/>
    <w:rsid w:val="00C431CE"/>
    <w:rsid w:val="00C51D88"/>
    <w:rsid w:val="00C52C3C"/>
    <w:rsid w:val="00C57182"/>
    <w:rsid w:val="00C57863"/>
    <w:rsid w:val="00C578B1"/>
    <w:rsid w:val="00C640AF"/>
    <w:rsid w:val="00C64751"/>
    <w:rsid w:val="00C655FD"/>
    <w:rsid w:val="00C75407"/>
    <w:rsid w:val="00C841C6"/>
    <w:rsid w:val="00C84BAC"/>
    <w:rsid w:val="00C870A8"/>
    <w:rsid w:val="00C92B43"/>
    <w:rsid w:val="00C942A3"/>
    <w:rsid w:val="00C94434"/>
    <w:rsid w:val="00C95AC0"/>
    <w:rsid w:val="00CA0D75"/>
    <w:rsid w:val="00CA1C95"/>
    <w:rsid w:val="00CA394D"/>
    <w:rsid w:val="00CA5A9C"/>
    <w:rsid w:val="00CB75AB"/>
    <w:rsid w:val="00CC38A8"/>
    <w:rsid w:val="00CC4C20"/>
    <w:rsid w:val="00CC59D9"/>
    <w:rsid w:val="00CD2D4B"/>
    <w:rsid w:val="00CD3517"/>
    <w:rsid w:val="00CD3F0D"/>
    <w:rsid w:val="00CD4B1B"/>
    <w:rsid w:val="00CD5FE2"/>
    <w:rsid w:val="00CE0572"/>
    <w:rsid w:val="00CE0FF8"/>
    <w:rsid w:val="00CE4D1F"/>
    <w:rsid w:val="00CE6E63"/>
    <w:rsid w:val="00CE7C68"/>
    <w:rsid w:val="00CF2034"/>
    <w:rsid w:val="00CF2D7E"/>
    <w:rsid w:val="00D00E5F"/>
    <w:rsid w:val="00D0260A"/>
    <w:rsid w:val="00D02692"/>
    <w:rsid w:val="00D02B4C"/>
    <w:rsid w:val="00D040C4"/>
    <w:rsid w:val="00D13DE9"/>
    <w:rsid w:val="00D14935"/>
    <w:rsid w:val="00D16DEC"/>
    <w:rsid w:val="00D175C7"/>
    <w:rsid w:val="00D20AD1"/>
    <w:rsid w:val="00D22A77"/>
    <w:rsid w:val="00D22A93"/>
    <w:rsid w:val="00D23198"/>
    <w:rsid w:val="00D24641"/>
    <w:rsid w:val="00D2582C"/>
    <w:rsid w:val="00D26E02"/>
    <w:rsid w:val="00D33914"/>
    <w:rsid w:val="00D40F2F"/>
    <w:rsid w:val="00D46B7E"/>
    <w:rsid w:val="00D47404"/>
    <w:rsid w:val="00D5026B"/>
    <w:rsid w:val="00D57C84"/>
    <w:rsid w:val="00D603E1"/>
    <w:rsid w:val="00D6057D"/>
    <w:rsid w:val="00D61037"/>
    <w:rsid w:val="00D61981"/>
    <w:rsid w:val="00D660DF"/>
    <w:rsid w:val="00D677CE"/>
    <w:rsid w:val="00D71625"/>
    <w:rsid w:val="00D71640"/>
    <w:rsid w:val="00D83513"/>
    <w:rsid w:val="00D836C5"/>
    <w:rsid w:val="00D83F07"/>
    <w:rsid w:val="00D84576"/>
    <w:rsid w:val="00D91CD2"/>
    <w:rsid w:val="00D9521F"/>
    <w:rsid w:val="00D96D47"/>
    <w:rsid w:val="00DA1399"/>
    <w:rsid w:val="00DA24C6"/>
    <w:rsid w:val="00DA34E7"/>
    <w:rsid w:val="00DA4D7B"/>
    <w:rsid w:val="00DA6465"/>
    <w:rsid w:val="00DA64A3"/>
    <w:rsid w:val="00DB1054"/>
    <w:rsid w:val="00DC2734"/>
    <w:rsid w:val="00DC2840"/>
    <w:rsid w:val="00DC390C"/>
    <w:rsid w:val="00DC5043"/>
    <w:rsid w:val="00DC606A"/>
    <w:rsid w:val="00DC73EE"/>
    <w:rsid w:val="00DC75E0"/>
    <w:rsid w:val="00DD271C"/>
    <w:rsid w:val="00DD2797"/>
    <w:rsid w:val="00DD6B6F"/>
    <w:rsid w:val="00DD7942"/>
    <w:rsid w:val="00DE264A"/>
    <w:rsid w:val="00DE3113"/>
    <w:rsid w:val="00DE6E88"/>
    <w:rsid w:val="00DF3585"/>
    <w:rsid w:val="00DF36A1"/>
    <w:rsid w:val="00DF4BDD"/>
    <w:rsid w:val="00DF5072"/>
    <w:rsid w:val="00DF74AA"/>
    <w:rsid w:val="00DF7A51"/>
    <w:rsid w:val="00E00246"/>
    <w:rsid w:val="00E01DB8"/>
    <w:rsid w:val="00E02D18"/>
    <w:rsid w:val="00E03344"/>
    <w:rsid w:val="00E041E7"/>
    <w:rsid w:val="00E10868"/>
    <w:rsid w:val="00E13218"/>
    <w:rsid w:val="00E14376"/>
    <w:rsid w:val="00E16380"/>
    <w:rsid w:val="00E23CA1"/>
    <w:rsid w:val="00E24B12"/>
    <w:rsid w:val="00E26FB1"/>
    <w:rsid w:val="00E34449"/>
    <w:rsid w:val="00E353DC"/>
    <w:rsid w:val="00E35AAC"/>
    <w:rsid w:val="00E409A8"/>
    <w:rsid w:val="00E4436D"/>
    <w:rsid w:val="00E50C12"/>
    <w:rsid w:val="00E54530"/>
    <w:rsid w:val="00E65929"/>
    <w:rsid w:val="00E65B91"/>
    <w:rsid w:val="00E7209D"/>
    <w:rsid w:val="00E72E5D"/>
    <w:rsid w:val="00E72EAD"/>
    <w:rsid w:val="00E77223"/>
    <w:rsid w:val="00E80057"/>
    <w:rsid w:val="00E8528B"/>
    <w:rsid w:val="00E85B94"/>
    <w:rsid w:val="00E87257"/>
    <w:rsid w:val="00E978C7"/>
    <w:rsid w:val="00E978D0"/>
    <w:rsid w:val="00EA4613"/>
    <w:rsid w:val="00EA7F91"/>
    <w:rsid w:val="00EB1523"/>
    <w:rsid w:val="00EB16BC"/>
    <w:rsid w:val="00EB3B89"/>
    <w:rsid w:val="00EC0E49"/>
    <w:rsid w:val="00EC101F"/>
    <w:rsid w:val="00EC1817"/>
    <w:rsid w:val="00EC1D9F"/>
    <w:rsid w:val="00EC3C6F"/>
    <w:rsid w:val="00EC708D"/>
    <w:rsid w:val="00ED0650"/>
    <w:rsid w:val="00ED6DB4"/>
    <w:rsid w:val="00EE0131"/>
    <w:rsid w:val="00EE0C60"/>
    <w:rsid w:val="00EE17B0"/>
    <w:rsid w:val="00EE1B24"/>
    <w:rsid w:val="00EE430D"/>
    <w:rsid w:val="00EF06D9"/>
    <w:rsid w:val="00EF2D94"/>
    <w:rsid w:val="00EF5844"/>
    <w:rsid w:val="00EF71EC"/>
    <w:rsid w:val="00F030E3"/>
    <w:rsid w:val="00F06F1D"/>
    <w:rsid w:val="00F172AC"/>
    <w:rsid w:val="00F2080B"/>
    <w:rsid w:val="00F213F6"/>
    <w:rsid w:val="00F25E11"/>
    <w:rsid w:val="00F27EE4"/>
    <w:rsid w:val="00F3049E"/>
    <w:rsid w:val="00F304B6"/>
    <w:rsid w:val="00F30C64"/>
    <w:rsid w:val="00F30F42"/>
    <w:rsid w:val="00F32BA2"/>
    <w:rsid w:val="00F32CDB"/>
    <w:rsid w:val="00F40648"/>
    <w:rsid w:val="00F41EE4"/>
    <w:rsid w:val="00F42637"/>
    <w:rsid w:val="00F47EBF"/>
    <w:rsid w:val="00F51698"/>
    <w:rsid w:val="00F54EA7"/>
    <w:rsid w:val="00F552F9"/>
    <w:rsid w:val="00F565FE"/>
    <w:rsid w:val="00F56922"/>
    <w:rsid w:val="00F57020"/>
    <w:rsid w:val="00F611B9"/>
    <w:rsid w:val="00F618D1"/>
    <w:rsid w:val="00F63137"/>
    <w:rsid w:val="00F63A70"/>
    <w:rsid w:val="00F63D8C"/>
    <w:rsid w:val="00F74705"/>
    <w:rsid w:val="00F7534E"/>
    <w:rsid w:val="00F80B26"/>
    <w:rsid w:val="00F81313"/>
    <w:rsid w:val="00F8353D"/>
    <w:rsid w:val="00F8368E"/>
    <w:rsid w:val="00F86E1D"/>
    <w:rsid w:val="00F93817"/>
    <w:rsid w:val="00F93BB1"/>
    <w:rsid w:val="00F93EDF"/>
    <w:rsid w:val="00FA1802"/>
    <w:rsid w:val="00FA21D0"/>
    <w:rsid w:val="00FA3D21"/>
    <w:rsid w:val="00FA56B9"/>
    <w:rsid w:val="00FA5F5F"/>
    <w:rsid w:val="00FA7100"/>
    <w:rsid w:val="00FB730C"/>
    <w:rsid w:val="00FB7734"/>
    <w:rsid w:val="00FC04BE"/>
    <w:rsid w:val="00FC2695"/>
    <w:rsid w:val="00FC3E03"/>
    <w:rsid w:val="00FC3FC1"/>
    <w:rsid w:val="00FC7582"/>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AE0CC22"/>
  <w14:defaultImageDpi w14:val="330"/>
  <w15:docId w15:val="{94528EA7-6251-4E1D-AA55-7FFAC7321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151B47"/>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customStyle="1" w:styleId="gmail-apple-converted-space">
    <w:name w:val="gmail-apple-converted-space"/>
    <w:basedOn w:val="Carpredefinitoparagrafo"/>
    <w:rsid w:val="00005A19"/>
  </w:style>
  <w:style w:type="character" w:styleId="Testosegnaposto">
    <w:name w:val="Placeholder Text"/>
    <w:basedOn w:val="Carpredefinitoparagrafo"/>
    <w:uiPriority w:val="99"/>
    <w:semiHidden/>
    <w:rsid w:val="000972A0"/>
    <w:rPr>
      <w:color w:val="808080"/>
    </w:rPr>
  </w:style>
  <w:style w:type="paragraph" w:styleId="Revisione">
    <w:name w:val="Revision"/>
    <w:hidden/>
    <w:uiPriority w:val="99"/>
    <w:semiHidden/>
    <w:rsid w:val="002F2A21"/>
    <w:pPr>
      <w:spacing w:after="0" w:line="240" w:lineRule="auto"/>
    </w:pPr>
    <w:rPr>
      <w:rFonts w:ascii="Arial" w:eastAsia="Times New Roman" w:hAnsi="Arial" w:cs="Times New Roman"/>
      <w:sz w:val="18"/>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580162">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867639">
      <w:bodyDiv w:val="1"/>
      <w:marLeft w:val="0"/>
      <w:marRight w:val="0"/>
      <w:marTop w:val="0"/>
      <w:marBottom w:val="0"/>
      <w:divBdr>
        <w:top w:val="none" w:sz="0" w:space="0" w:color="auto"/>
        <w:left w:val="none" w:sz="0" w:space="0" w:color="auto"/>
        <w:bottom w:val="none" w:sz="0" w:space="0" w:color="auto"/>
        <w:right w:val="none" w:sz="0" w:space="0" w:color="auto"/>
      </w:divBdr>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064460">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91600">
      <w:bodyDiv w:val="1"/>
      <w:marLeft w:val="0"/>
      <w:marRight w:val="0"/>
      <w:marTop w:val="0"/>
      <w:marBottom w:val="0"/>
      <w:divBdr>
        <w:top w:val="none" w:sz="0" w:space="0" w:color="auto"/>
        <w:left w:val="none" w:sz="0" w:space="0" w:color="auto"/>
        <w:bottom w:val="none" w:sz="0" w:space="0" w:color="auto"/>
        <w:right w:val="none" w:sz="0" w:space="0" w:color="auto"/>
      </w:divBdr>
    </w:div>
    <w:div w:id="2121797460">
      <w:bodyDiv w:val="1"/>
      <w:marLeft w:val="0"/>
      <w:marRight w:val="0"/>
      <w:marTop w:val="0"/>
      <w:marBottom w:val="0"/>
      <w:divBdr>
        <w:top w:val="none" w:sz="0" w:space="0" w:color="auto"/>
        <w:left w:val="none" w:sz="0" w:space="0" w:color="auto"/>
        <w:bottom w:val="none" w:sz="0" w:space="0" w:color="auto"/>
        <w:right w:val="none" w:sz="0" w:space="0" w:color="auto"/>
      </w:divBdr>
      <w:divsChild>
        <w:div w:id="16203950">
          <w:marLeft w:val="0"/>
          <w:marRight w:val="0"/>
          <w:marTop w:val="0"/>
          <w:marBottom w:val="0"/>
          <w:divBdr>
            <w:top w:val="none" w:sz="0" w:space="0" w:color="auto"/>
            <w:left w:val="none" w:sz="0" w:space="0" w:color="auto"/>
            <w:bottom w:val="none" w:sz="0" w:space="0" w:color="auto"/>
            <w:right w:val="none" w:sz="0" w:space="0" w:color="auto"/>
          </w:divBdr>
          <w:divsChild>
            <w:div w:id="395518828">
              <w:marLeft w:val="0"/>
              <w:marRight w:val="0"/>
              <w:marTop w:val="0"/>
              <w:marBottom w:val="0"/>
              <w:divBdr>
                <w:top w:val="none" w:sz="0" w:space="0" w:color="auto"/>
                <w:left w:val="none" w:sz="0" w:space="0" w:color="auto"/>
                <w:bottom w:val="none" w:sz="0" w:space="0" w:color="auto"/>
                <w:right w:val="none" w:sz="0" w:space="0" w:color="auto"/>
              </w:divBdr>
            </w:div>
            <w:div w:id="1405298204">
              <w:marLeft w:val="0"/>
              <w:marRight w:val="0"/>
              <w:marTop w:val="0"/>
              <w:marBottom w:val="0"/>
              <w:divBdr>
                <w:top w:val="none" w:sz="0" w:space="0" w:color="auto"/>
                <w:left w:val="none" w:sz="0" w:space="0" w:color="auto"/>
                <w:bottom w:val="none" w:sz="0" w:space="0" w:color="auto"/>
                <w:right w:val="none" w:sz="0" w:space="0" w:color="auto"/>
              </w:divBdr>
            </w:div>
            <w:div w:id="199795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mailto:alice.schiaroli@unibo.it"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2EA517-9959-4589-945F-7894B63CA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8447</Words>
  <Characters>48149</Characters>
  <Application>Microsoft Office Word</Application>
  <DocSecurity>0</DocSecurity>
  <Lines>401</Lines>
  <Paragraphs>112</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Dipartimento CMIC - Politecnico di Milano</Company>
  <LinksUpToDate>false</LinksUpToDate>
  <CharactersWithSpaces>56484</CharactersWithSpaces>
  <SharedDoc>false</SharedDoc>
  <HLinks>
    <vt:vector size="6" baseType="variant">
      <vt:variant>
        <vt:i4>6881309</vt:i4>
      </vt:variant>
      <vt:variant>
        <vt:i4>0</vt:i4>
      </vt:variant>
      <vt:variant>
        <vt:i4>0</vt:i4>
      </vt:variant>
      <vt:variant>
        <vt:i4>5</vt:i4>
      </vt:variant>
      <vt:variant>
        <vt:lpwstr>mailto:alice.schiaroli@unibo.it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raffaella</dc:creator>
  <cp:keywords/>
  <dc:description/>
  <cp:lastModifiedBy>Sauro Pierucci</cp:lastModifiedBy>
  <cp:revision>325</cp:revision>
  <cp:lastPrinted>2015-05-13T03:31:00Z</cp:lastPrinted>
  <dcterms:created xsi:type="dcterms:W3CDTF">2024-02-20T19:29:00Z</dcterms:created>
  <dcterms:modified xsi:type="dcterms:W3CDTF">2025-04-16T11:40:00Z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GrammarlyDocumentId">
    <vt:lpwstr>e8354998255a2033dfe60d49058530f5bb12facd7a3965a780a1cac57f8ed2df</vt:lpwstr>
  </property>
  <property fmtid="{D5CDD505-2E9C-101B-9397-08002B2CF9AE}" pid="5" name="Mendeley Document_1">
    <vt:lpwstr>True</vt:lpwstr>
  </property>
  <property fmtid="{D5CDD505-2E9C-101B-9397-08002B2CF9AE}" pid="6" name="Mendeley Citation Style_1">
    <vt:lpwstr>http://www.zotero.org/styles/process-safety-and-environmental-protection</vt:lpwstr>
  </property>
  <property fmtid="{D5CDD505-2E9C-101B-9397-08002B2CF9AE}" pid="7" name="Mendeley Unique User Id_1">
    <vt:lpwstr>0968e3dc-b8ba-3e37-9829-c2f28a9f68ee</vt:lpwstr>
  </property>
  <property fmtid="{D5CDD505-2E9C-101B-9397-08002B2CF9AE}" pid="8" name="Mendeley Recent Style Id 0_1">
    <vt:lpwstr>http://www.zotero.org/styles/american-medical-association</vt:lpwstr>
  </property>
  <property fmtid="{D5CDD505-2E9C-101B-9397-08002B2CF9AE}" pid="9" name="Mendeley Recent Style Name 0_1">
    <vt:lpwstr>American Medical Association 11th edition</vt:lpwstr>
  </property>
  <property fmtid="{D5CDD505-2E9C-101B-9397-08002B2CF9AE}" pid="10" name="Mendeley Recent Style Id 1_1">
    <vt:lpwstr>http://www.zotero.org/styles/american-political-science-association</vt:lpwstr>
  </property>
  <property fmtid="{D5CDD505-2E9C-101B-9397-08002B2CF9AE}" pid="11" name="Mendeley Recent Style Name 1_1">
    <vt:lpwstr>American Political Science Association</vt:lpwstr>
  </property>
  <property fmtid="{D5CDD505-2E9C-101B-9397-08002B2CF9AE}" pid="12" name="Mendeley Recent Style Id 2_1">
    <vt:lpwstr>http://www.zotero.org/styles/apa</vt:lpwstr>
  </property>
  <property fmtid="{D5CDD505-2E9C-101B-9397-08002B2CF9AE}" pid="13" name="Mendeley Recent Style Name 2_1">
    <vt:lpwstr>American Psychological Association 7th edition</vt:lpwstr>
  </property>
  <property fmtid="{D5CDD505-2E9C-101B-9397-08002B2CF9AE}" pid="14" name="Mendeley Recent Style Id 3_1">
    <vt:lpwstr>http://www.zotero.org/styles/american-sociological-association</vt:lpwstr>
  </property>
  <property fmtid="{D5CDD505-2E9C-101B-9397-08002B2CF9AE}" pid="15" name="Mendeley Recent Style Name 3_1">
    <vt:lpwstr>American Sociological Association 6th edition</vt:lpwstr>
  </property>
  <property fmtid="{D5CDD505-2E9C-101B-9397-08002B2CF9AE}" pid="16" name="Mendeley Recent Style Id 4_1">
    <vt:lpwstr>http://www.zotero.org/styles/chicago-author-date</vt:lpwstr>
  </property>
  <property fmtid="{D5CDD505-2E9C-101B-9397-08002B2CF9AE}" pid="17" name="Mendeley Recent Style Name 4_1">
    <vt:lpwstr>Chicago Manual of Style 17th edition (author-date)</vt:lpwstr>
  </property>
  <property fmtid="{D5CDD505-2E9C-101B-9397-08002B2CF9AE}" pid="18" name="Mendeley Recent Style Id 5_1">
    <vt:lpwstr>http://www.zotero.org/styles/harvard-cite-them-right</vt:lpwstr>
  </property>
  <property fmtid="{D5CDD505-2E9C-101B-9397-08002B2CF9AE}" pid="19" name="Mendeley Recent Style Name 5_1">
    <vt:lpwstr>Cite Them Right 12th edition - Harvard</vt:lpwstr>
  </property>
  <property fmtid="{D5CDD505-2E9C-101B-9397-08002B2CF9AE}" pid="20" name="Mendeley Recent Style Id 6_1">
    <vt:lpwstr>http://www.zotero.org/styles/ieee</vt:lpwstr>
  </property>
  <property fmtid="{D5CDD505-2E9C-101B-9397-08002B2CF9AE}" pid="21" name="Mendeley Recent Style Name 6_1">
    <vt:lpwstr>IEEE</vt:lpwstr>
  </property>
  <property fmtid="{D5CDD505-2E9C-101B-9397-08002B2CF9AE}" pid="22" name="Mendeley Recent Style Id 7_1">
    <vt:lpwstr>http://www.zotero.org/styles/journal-of-hazardous-materials</vt:lpwstr>
  </property>
  <property fmtid="{D5CDD505-2E9C-101B-9397-08002B2CF9AE}" pid="23" name="Mendeley Recent Style Name 7_1">
    <vt:lpwstr>Journal of Hazardous Materials</vt:lpwstr>
  </property>
  <property fmtid="{D5CDD505-2E9C-101B-9397-08002B2CF9AE}" pid="24" name="Mendeley Recent Style Id 8_1">
    <vt:lpwstr>http://www.zotero.org/styles/modern-humanities-research-association</vt:lpwstr>
  </property>
  <property fmtid="{D5CDD505-2E9C-101B-9397-08002B2CF9AE}" pid="25" name="Mendeley Recent Style Name 8_1">
    <vt:lpwstr>Modern Humanities Research Association 3rd edition (note with bibliography)</vt:lpwstr>
  </property>
  <property fmtid="{D5CDD505-2E9C-101B-9397-08002B2CF9AE}" pid="26" name="Mendeley Recent Style Id 9_1">
    <vt:lpwstr>http://www.zotero.org/styles/process-safety-and-environmental-protection</vt:lpwstr>
  </property>
  <property fmtid="{D5CDD505-2E9C-101B-9397-08002B2CF9AE}" pid="27" name="Mendeley Recent Style Name 9_1">
    <vt:lpwstr>Process Safety and Environmental Protection</vt:lpwstr>
  </property>
</Properties>
</file>