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9A13F3">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9A13F3">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9A13F3">
        <w:trPr>
          <w:trHeight w:val="68"/>
          <w:jc w:val="center"/>
        </w:trPr>
        <w:tc>
          <w:tcPr>
            <w:tcW w:w="8782" w:type="dxa"/>
            <w:gridSpan w:val="2"/>
          </w:tcPr>
          <w:p w14:paraId="30F07041" w14:textId="11182ABA"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bookmarkEnd w:id="0"/>
    </w:tbl>
    <w:p w14:paraId="2CB2B245" w14:textId="77777777" w:rsidR="009A13F3" w:rsidRDefault="009A13F3" w:rsidP="009A13F3">
      <w:pPr>
        <w:jc w:val="center"/>
        <w:rPr>
          <w:sz w:val="32"/>
        </w:rPr>
      </w:pPr>
    </w:p>
    <w:p w14:paraId="2E667253" w14:textId="7D5B254B" w:rsidR="00E978D0" w:rsidRDefault="009A13F3" w:rsidP="009A13F3">
      <w:pPr>
        <w:jc w:val="center"/>
        <w:rPr>
          <w:sz w:val="32"/>
        </w:rPr>
      </w:pPr>
      <w:r w:rsidRPr="009A13F3">
        <w:rPr>
          <w:sz w:val="32"/>
        </w:rPr>
        <w:t>Risk Analysis for Ethylene Oxide used for Sterilization - A Case Study</w:t>
      </w:r>
    </w:p>
    <w:p w14:paraId="37C44455" w14:textId="77777777" w:rsidR="009A13F3" w:rsidRPr="009A13F3" w:rsidRDefault="009A13F3" w:rsidP="009A13F3">
      <w:pPr>
        <w:jc w:val="center"/>
        <w:rPr>
          <w:sz w:val="28"/>
          <w:szCs w:val="28"/>
        </w:rPr>
      </w:pPr>
    </w:p>
    <w:p w14:paraId="0488FED2" w14:textId="5C4E090F" w:rsidR="00B57E6F" w:rsidRPr="00B57B36" w:rsidRDefault="009A13F3" w:rsidP="00B57E6F">
      <w:pPr>
        <w:pStyle w:val="CETAuthors"/>
      </w:pPr>
      <w:r>
        <w:t>Petra Roupcová</w:t>
      </w:r>
      <w:r w:rsidR="00B57E6F" w:rsidRPr="00B57B36">
        <w:rPr>
          <w:vertAlign w:val="superscript"/>
        </w:rPr>
        <w:t>a</w:t>
      </w:r>
      <w:r w:rsidRPr="00B57B36">
        <w:t>*</w:t>
      </w:r>
      <w:r w:rsidR="00B57E6F" w:rsidRPr="00B57B36">
        <w:t xml:space="preserve">, </w:t>
      </w:r>
      <w:r>
        <w:t>Petr Lepík</w:t>
      </w:r>
      <w:r>
        <w:rPr>
          <w:vertAlign w:val="superscript"/>
        </w:rPr>
        <w:t>b</w:t>
      </w:r>
      <w:r w:rsidR="00B57E6F" w:rsidRPr="00B57B36">
        <w:t xml:space="preserve">, </w:t>
      </w:r>
      <w:r>
        <w:t>Vojtěch Jankůj</w:t>
      </w:r>
      <w:r>
        <w:rPr>
          <w:vertAlign w:val="superscript"/>
        </w:rPr>
        <w:t>a</w:t>
      </w:r>
      <w:r>
        <w:t>, Aleš Bernatík</w:t>
      </w:r>
      <w:r>
        <w:rPr>
          <w:vertAlign w:val="superscript"/>
        </w:rPr>
        <w:t>a</w:t>
      </w:r>
    </w:p>
    <w:p w14:paraId="6B2D21B3" w14:textId="0953A13D" w:rsidR="00B57E6F" w:rsidRPr="00B57B36" w:rsidRDefault="00B57E6F" w:rsidP="00B57E6F">
      <w:pPr>
        <w:pStyle w:val="CETAddress"/>
      </w:pPr>
      <w:r w:rsidRPr="00B57B36">
        <w:rPr>
          <w:vertAlign w:val="superscript"/>
        </w:rPr>
        <w:t>a</w:t>
      </w:r>
      <w:r w:rsidR="009A13F3" w:rsidRPr="009A13F3">
        <w:t xml:space="preserve"> </w:t>
      </w:r>
      <w:r w:rsidR="009A13F3" w:rsidRPr="00722058">
        <w:t xml:space="preserve">VSB - Technical University of Ostrava, </w:t>
      </w:r>
      <w:r w:rsidR="009A13F3">
        <w:t xml:space="preserve">Faculty of Safety Engineering, Lumírova 630/13, </w:t>
      </w:r>
      <w:r w:rsidR="009A13F3" w:rsidRPr="00722058">
        <w:t>Ostrava,</w:t>
      </w:r>
      <w:r w:rsidR="009A13F3">
        <w:t xml:space="preserve"> 70030,</w:t>
      </w:r>
      <w:r w:rsidR="009A13F3" w:rsidRPr="00722058">
        <w:t xml:space="preserve"> Czech Republic</w:t>
      </w:r>
      <w:r w:rsidRPr="00B57B36">
        <w:t xml:space="preserve"> </w:t>
      </w:r>
    </w:p>
    <w:p w14:paraId="73F1267A" w14:textId="069E1141" w:rsidR="00B57E6F" w:rsidRPr="00B57B36" w:rsidRDefault="009A13F3" w:rsidP="00B57E6F">
      <w:pPr>
        <w:pStyle w:val="CETemail"/>
      </w:pPr>
      <w:r w:rsidRPr="00B57B36">
        <w:t>*</w:t>
      </w:r>
      <w:r>
        <w:t>petra.roupcova</w:t>
      </w:r>
      <w:r w:rsidR="00B57E6F" w:rsidRPr="00B57B36">
        <w:t>@</w:t>
      </w:r>
      <w:r>
        <w:t>vsb</w:t>
      </w:r>
      <w:r w:rsidR="00B57E6F" w:rsidRPr="00B57B36">
        <w:t>.c</w:t>
      </w:r>
      <w:r>
        <w:t>z</w:t>
      </w:r>
      <w:r w:rsidR="00B57E6F" w:rsidRPr="00B57B36">
        <w:t xml:space="preserve"> </w:t>
      </w:r>
    </w:p>
    <w:p w14:paraId="192E5A98" w14:textId="45D3813B" w:rsidR="00597E5D" w:rsidRDefault="00597E5D" w:rsidP="00597E5D">
      <w:pPr>
        <w:pStyle w:val="CETBodytext"/>
      </w:pPr>
      <w:r>
        <w:t>Ethylene oxide (ETO) constitutes a hazardous chemical entity, characterized as a colorless gas with properties of toxicity, carcinogenicity, and ecotoxicity. This chemical also presents a significant risk of forming explosive mixtures when combined with air or other oxidizing agents. The article delineates a selection of incidents and accidents occurring in companies where</w:t>
      </w:r>
      <w:r w:rsidR="0004486C">
        <w:t>+</w:t>
      </w:r>
      <w:r>
        <w:t xml:space="preserve"> ETO is operationally implemented. A case study is conducted to investigate the risks associated with an enterprise employing ETO as a sterilization technology, where storage and transportation of ETO also occur. The identification of primary accident risk sources is performed utilizing the Purple Book CPR 18E selection method. Human health impacts are evaluated using the dispersion model ALOHA 5.4.7. The objective of this contribution is to assess the risk of ETO within the company and to propose recommendations aimed at mitigating the risks associated with severe accidents.</w:t>
      </w:r>
    </w:p>
    <w:p w14:paraId="5763838C" w14:textId="77777777" w:rsidR="00204378" w:rsidRDefault="00600535" w:rsidP="00204378">
      <w:pPr>
        <w:pStyle w:val="CETHeading1"/>
      </w:pPr>
      <w:r w:rsidRPr="00B57B36">
        <w:t>Introduction</w:t>
      </w:r>
    </w:p>
    <w:p w14:paraId="2489B218" w14:textId="6DA576A1" w:rsidR="0073017F" w:rsidRPr="00FB3ACB" w:rsidRDefault="00B41AE2" w:rsidP="00FB3ACB">
      <w:pPr>
        <w:pStyle w:val="CETBodytext"/>
      </w:pPr>
      <w:r>
        <w:rPr>
          <w:rStyle w:val="CETBodytextCarattere"/>
        </w:rPr>
        <w:t>The issues of risk analysis of hazardous substances and industrial accidents are closely related.</w:t>
      </w:r>
      <w:r w:rsidR="00253019" w:rsidRPr="00204378">
        <w:rPr>
          <w:rStyle w:val="CETBodytextCarattere"/>
        </w:rPr>
        <w:t xml:space="preserve"> </w:t>
      </w:r>
      <w:r w:rsidR="00883F11" w:rsidRPr="00204378">
        <w:rPr>
          <w:rStyle w:val="CETBodytextCarattere"/>
        </w:rPr>
        <w:t>Chemicals have been identified and employed throughout history, and the chemical industry is indispensable to human existence. N</w:t>
      </w:r>
      <w:r w:rsidR="00F53E3B" w:rsidRPr="00204378">
        <w:rPr>
          <w:rStyle w:val="CETBodytextCarattere"/>
        </w:rPr>
        <w:t xml:space="preserve">umerous chemical substances are defined by hazardous properties, including explosivity, flammability, toxicity, and ecotoxicity. </w:t>
      </w:r>
      <w:r>
        <w:rPr>
          <w:rStyle w:val="CETBodytextCarattere"/>
        </w:rPr>
        <w:t>Throughout the entire life cycle of chemicals, which encompasses production, packaging, transport, storage, use, and disposal, the hazardous properties of these substances are linked to accidents and disasters.</w:t>
      </w:r>
      <w:r w:rsidR="00F53E3B" w:rsidRPr="0006096E">
        <w:rPr>
          <w:rStyle w:val="CETBodytextCarattere"/>
        </w:rPr>
        <w:t xml:space="preserve"> The severity of these consequences is exacerbated by both the intensity of the hazardous properties and the quantity of chemicals involved </w:t>
      </w:r>
      <w:r w:rsidR="00505509" w:rsidRPr="0006096E">
        <w:rPr>
          <w:rStyle w:val="CETBodytextCarattere"/>
        </w:rPr>
        <w:t>(Sikorova</w:t>
      </w:r>
      <w:r w:rsidR="00514304">
        <w:rPr>
          <w:rStyle w:val="CETBodytextCarattere"/>
        </w:rPr>
        <w:t xml:space="preserve"> et al.</w:t>
      </w:r>
      <w:r w:rsidR="00505509" w:rsidRPr="0006096E">
        <w:rPr>
          <w:rStyle w:val="CETBodytextCarattere"/>
        </w:rPr>
        <w:t xml:space="preserve">, </w:t>
      </w:r>
      <w:r w:rsidR="00883F11" w:rsidRPr="0006096E">
        <w:rPr>
          <w:rStyle w:val="CETBodytextCarattere"/>
        </w:rPr>
        <w:t>2019)</w:t>
      </w:r>
      <w:r w:rsidR="00163E40">
        <w:rPr>
          <w:rStyle w:val="CETBodytextCarattere"/>
        </w:rPr>
        <w:t>.</w:t>
      </w:r>
      <w:r w:rsidR="004B3BA0" w:rsidRPr="0006096E">
        <w:t xml:space="preserve"> </w:t>
      </w:r>
    </w:p>
    <w:p w14:paraId="7DA82232" w14:textId="7B8A27CF" w:rsidR="00132E12" w:rsidRDefault="0073017F" w:rsidP="00016575">
      <w:pPr>
        <w:rPr>
          <w:rFonts w:cs="Arial"/>
        </w:rPr>
      </w:pPr>
      <w:r>
        <w:rPr>
          <w:rFonts w:cs="Arial"/>
        </w:rPr>
        <w:t>Ethylene oxide is a compound with marked reactivity that is extensively employed within the chemical industry, particularly serving as an intermediate in the synthesis of chemicals, such as polyester and polyethylene terephthalate (PET) or chemicals, which might be directly produced from it, such as acrylonitrile, ethylene glycol, etc. (Dever et al., 2024)</w:t>
      </w:r>
      <w:r w:rsidR="003B5D0A">
        <w:rPr>
          <w:rFonts w:cs="Arial"/>
        </w:rPr>
        <w:t xml:space="preserve">. </w:t>
      </w:r>
      <w:r>
        <w:rPr>
          <w:rFonts w:cs="Arial"/>
        </w:rPr>
        <w:t>ETO is also used in the sterilization of materials such as food, spices, and medical equipment</w:t>
      </w:r>
      <w:r w:rsidR="00443959">
        <w:t xml:space="preserve"> </w:t>
      </w:r>
      <w:r>
        <w:t>(Kirman et al., 2020).</w:t>
      </w:r>
      <w:r w:rsidR="00016575" w:rsidRPr="78EE664F">
        <w:rPr>
          <w:rFonts w:cs="Arial"/>
        </w:rPr>
        <w:t xml:space="preserve"> It is predominantly introduced into the environment </w:t>
      </w:r>
      <w:r w:rsidR="00016575" w:rsidRPr="001D37D4">
        <w:rPr>
          <w:rFonts w:cs="Arial"/>
        </w:rPr>
        <w:t>via industrial activities. ETO demonstrates significant toxicity towards plant life, insects, and mammals</w:t>
      </w:r>
      <w:r w:rsidR="003B5D0A" w:rsidRPr="001D37D4">
        <w:rPr>
          <w:rFonts w:cs="Arial"/>
        </w:rPr>
        <w:t xml:space="preserve"> (Marsh et al.</w:t>
      </w:r>
      <w:r w:rsidR="001D37D4" w:rsidRPr="001D37D4">
        <w:rPr>
          <w:rFonts w:cs="Arial"/>
        </w:rPr>
        <w:t>,</w:t>
      </w:r>
      <w:r w:rsidR="003B5D0A" w:rsidRPr="001D37D4">
        <w:rPr>
          <w:rFonts w:cs="Arial"/>
        </w:rPr>
        <w:t> </w:t>
      </w:r>
      <w:r w:rsidR="001D37D4" w:rsidRPr="001D37D4">
        <w:rPr>
          <w:rFonts w:cs="Arial"/>
        </w:rPr>
        <w:t>2019).</w:t>
      </w:r>
      <w:r w:rsidR="003B5D0A" w:rsidRPr="001D37D4">
        <w:rPr>
          <w:rFonts w:cs="Arial"/>
        </w:rPr>
        <w:t xml:space="preserve"> </w:t>
      </w:r>
      <w:r w:rsidR="00132E12" w:rsidRPr="001D37D4">
        <w:rPr>
          <w:rFonts w:cs="Arial"/>
        </w:rPr>
        <w:br/>
        <w:t>The fact that ETO is a carcinogen for animals has been known for decades (Lynch et al</w:t>
      </w:r>
      <w:r w:rsidR="001D37D4" w:rsidRPr="001D37D4">
        <w:rPr>
          <w:rFonts w:cs="Arial"/>
        </w:rPr>
        <w:t>.,</w:t>
      </w:r>
      <w:r w:rsidR="00163E40">
        <w:rPr>
          <w:rFonts w:cs="Arial"/>
        </w:rPr>
        <w:t xml:space="preserve"> </w:t>
      </w:r>
      <w:r w:rsidR="00132E12" w:rsidRPr="001D37D4">
        <w:rPr>
          <w:rFonts w:cs="Arial"/>
        </w:rPr>
        <w:t>1984), its</w:t>
      </w:r>
      <w:r w:rsidR="00132E12">
        <w:rPr>
          <w:rFonts w:cs="Arial"/>
        </w:rPr>
        <w:t xml:space="preserve"> carcinogenicity for humans was confirmed in later studies and then in 2006 USEPA reassessed the cancer potency of ETO on its IRIS database, resulting in the derivation of a unit risk value that is approximately 50-fold higher than its preceding value.</w:t>
      </w:r>
      <w:r w:rsidR="00190837" w:rsidRPr="00190837">
        <w:rPr>
          <w:rFonts w:cs="Arial"/>
        </w:rPr>
        <w:t xml:space="preserve"> </w:t>
      </w:r>
      <w:r w:rsidR="00132E12">
        <w:rPr>
          <w:rFonts w:cs="Arial"/>
        </w:rPr>
        <w:t>This large change in cancer potency estimated for ETO has initiated changes in its regulation, such as the amount that can be released from facilities that produce or use ethylene oxide and the level of exposure considered acceptable (Kirman et al.</w:t>
      </w:r>
      <w:r w:rsidR="001D37D4">
        <w:rPr>
          <w:rFonts w:cs="Arial"/>
        </w:rPr>
        <w:t>,</w:t>
      </w:r>
      <w:r w:rsidR="00132E12">
        <w:rPr>
          <w:rFonts w:cs="Arial"/>
        </w:rPr>
        <w:t xml:space="preserve"> 2020).</w:t>
      </w:r>
    </w:p>
    <w:p w14:paraId="005F540F" w14:textId="5066E0BF" w:rsidR="00B41AE2" w:rsidRDefault="00132E12" w:rsidP="00016575">
      <w:pPr>
        <w:rPr>
          <w:rFonts w:cs="Arial"/>
        </w:rPr>
      </w:pPr>
      <w:r>
        <w:rPr>
          <w:rFonts w:cs="Arial"/>
        </w:rPr>
        <w:t>Human exposure to ethylene oxide transpires primarily through inhalation; however, more ways exist</w:t>
      </w:r>
      <w:r w:rsidR="00190837" w:rsidRPr="00190837">
        <w:rPr>
          <w:rFonts w:cs="Arial"/>
        </w:rPr>
        <w:t xml:space="preserve"> </w:t>
      </w:r>
      <w:r w:rsidR="00190837">
        <w:rPr>
          <w:rFonts w:cs="Arial"/>
        </w:rPr>
        <w:t xml:space="preserve">(Dever </w:t>
      </w:r>
      <w:r w:rsidR="001D37D4">
        <w:rPr>
          <w:rFonts w:cs="Arial"/>
        </w:rPr>
        <w:t xml:space="preserve">et </w:t>
      </w:r>
      <w:r w:rsidR="00190837">
        <w:rPr>
          <w:rFonts w:cs="Arial"/>
        </w:rPr>
        <w:t>al</w:t>
      </w:r>
      <w:r w:rsidR="001D37D4">
        <w:rPr>
          <w:rFonts w:cs="Arial"/>
        </w:rPr>
        <w:t>.</w:t>
      </w:r>
      <w:r w:rsidR="00190837">
        <w:rPr>
          <w:rFonts w:cs="Arial"/>
        </w:rPr>
        <w:t>, 2024).</w:t>
      </w:r>
      <w:r>
        <w:rPr>
          <w:rFonts w:cs="Arial"/>
        </w:rPr>
        <w:t xml:space="preserve"> First, ETO is produced in the body from endogenous ethylene via multiple pathways, such as bacterial production in the gastrointestinal tract or systemic formation in the liver</w:t>
      </w:r>
      <w:r w:rsidR="00163E40">
        <w:rPr>
          <w:rFonts w:cs="Arial"/>
        </w:rPr>
        <w:t xml:space="preserve"> </w:t>
      </w:r>
      <w:r w:rsidR="001D37D4">
        <w:t>(Kirman et al., 2020).</w:t>
      </w:r>
      <w:r w:rsidR="001D37D4" w:rsidRPr="78EE664F">
        <w:rPr>
          <w:rFonts w:cs="Arial"/>
        </w:rPr>
        <w:t xml:space="preserve"> </w:t>
      </w:r>
      <w:r w:rsidRPr="00132E12">
        <w:t>Second, ETO is metabolically generated in the body after exposures to exogenous ethylene from a variety of sources including incomplete combustion of cigarette smoke and vehicle fossil fuels, and natural processes including forest fires, ripening of fruits and vegetables, and volcanoes</w:t>
      </w:r>
      <w:r w:rsidR="00190837" w:rsidRPr="00132E12">
        <w:t xml:space="preserve"> </w:t>
      </w:r>
      <w:r w:rsidR="001D37D4">
        <w:t>(Kirman et al., 2020).</w:t>
      </w:r>
      <w:r w:rsidR="001D37D4" w:rsidRPr="78EE664F">
        <w:rPr>
          <w:rFonts w:cs="Arial"/>
        </w:rPr>
        <w:t xml:space="preserve"> </w:t>
      </w:r>
      <w:r w:rsidRPr="00132E12">
        <w:t>Third, ETO and ethylene are components of tobacco smoke and therefore smokers and non-smokers have different exposure profiles to ethylene oxide</w:t>
      </w:r>
      <w:r w:rsidR="001D37D4" w:rsidRPr="001D37D4">
        <w:t xml:space="preserve"> </w:t>
      </w:r>
      <w:r w:rsidR="001D37D4">
        <w:t>(Kirman et al., 2020)</w:t>
      </w:r>
      <w:r w:rsidR="00163E40">
        <w:rPr>
          <w:rFonts w:cs="Arial"/>
        </w:rPr>
        <w:t>.</w:t>
      </w:r>
      <w:r w:rsidR="00190837" w:rsidRPr="00132E12">
        <w:t xml:space="preserve"> </w:t>
      </w:r>
      <w:r w:rsidRPr="00132E12">
        <w:t xml:space="preserve">Fourth, some workers are exposed to elevated concentrations of ethylene oxide in the </w:t>
      </w:r>
      <w:r w:rsidRPr="00132E12">
        <w:lastRenderedPageBreak/>
        <w:t>workplace air</w:t>
      </w:r>
      <w:r w:rsidR="001D37D4" w:rsidRPr="001D37D4">
        <w:t xml:space="preserve"> </w:t>
      </w:r>
      <w:r w:rsidR="001D37D4">
        <w:t xml:space="preserve">(Kirman </w:t>
      </w:r>
      <w:r w:rsidR="001D37D4" w:rsidRPr="00514304">
        <w:t>et al., 2020).</w:t>
      </w:r>
      <w:r w:rsidR="001D37D4" w:rsidRPr="00514304">
        <w:rPr>
          <w:rFonts w:cs="Arial"/>
        </w:rPr>
        <w:t xml:space="preserve"> </w:t>
      </w:r>
      <w:r w:rsidRPr="00514304">
        <w:t>Fifth, some populations near industrial or sterilisation facilities are also exposed to elevated levels of ETO in the air as a result of emissions (Olaguer et al.</w:t>
      </w:r>
      <w:r w:rsidR="00514304" w:rsidRPr="00514304">
        <w:t>,</w:t>
      </w:r>
      <w:r w:rsidRPr="00514304">
        <w:t> 2019).</w:t>
      </w:r>
      <w:r w:rsidR="00190837" w:rsidRPr="00514304">
        <w:t xml:space="preserve"> </w:t>
      </w:r>
      <w:r w:rsidRPr="00514304">
        <w:t>Finally, additional pathways such as dietary exposures to ethylene (a plant hormone) present in fruits, vegetables, or grains are also possible (Yin et al.</w:t>
      </w:r>
      <w:r w:rsidR="00163E40">
        <w:t>,</w:t>
      </w:r>
      <w:r w:rsidRPr="00514304">
        <w:t xml:space="preserve"> 2017)</w:t>
      </w:r>
      <w:r w:rsidR="00651C86">
        <w:t>.</w:t>
      </w:r>
      <w:r w:rsidRPr="00514304">
        <w:t xml:space="preserve"> </w:t>
      </w:r>
      <w:r w:rsidR="00651C86">
        <w:t xml:space="preserve">All </w:t>
      </w:r>
      <w:r w:rsidRPr="00514304">
        <w:t xml:space="preserve">of these pathways contribute to total exposure to ETO, but their relative importance to human populations and individuals is variable and uncertain. </w:t>
      </w:r>
      <w:r w:rsidRPr="00514304">
        <w:rPr>
          <w:rFonts w:cs="Arial"/>
        </w:rPr>
        <w:t>This has also led to increased public attention and concern about the potential adverse health effects associated with exposures to or near facilities that use ETO</w:t>
      </w:r>
      <w:r w:rsidR="00B41AE2" w:rsidRPr="00514304">
        <w:rPr>
          <w:rFonts w:cs="Arial"/>
        </w:rPr>
        <w:t xml:space="preserve"> (Hogue 2019; Olaguer et al. 2019).</w:t>
      </w:r>
    </w:p>
    <w:p w14:paraId="541ED8F9" w14:textId="215AC5FD" w:rsidR="00BE61DB" w:rsidRPr="00132E12" w:rsidRDefault="00016575" w:rsidP="00132E12">
      <w:pPr>
        <w:rPr>
          <w:rFonts w:cs="Arial"/>
        </w:rPr>
      </w:pPr>
      <w:r w:rsidRPr="78EE664F">
        <w:rPr>
          <w:rFonts w:cs="Arial"/>
        </w:rPr>
        <w:t xml:space="preserve">Ethylene oxide is subject to regulation under the Registration, Evaluation, Authorisation, and Restriction of Chemicals (REACH) framework within the European Union and is prohibited as a plant protection product </w:t>
      </w:r>
      <w:r>
        <w:rPr>
          <w:rFonts w:cs="Arial"/>
        </w:rPr>
        <w:t>(Dever et al., 2024)</w:t>
      </w:r>
      <w:r w:rsidR="0004486C">
        <w:rPr>
          <w:rFonts w:cs="Arial"/>
        </w:rPr>
        <w:t>.</w:t>
      </w:r>
      <w:r>
        <w:rPr>
          <w:rFonts w:cs="Arial"/>
        </w:rPr>
        <w:t xml:space="preserve"> </w:t>
      </w:r>
      <w:r w:rsidRPr="78EE664F">
        <w:rPr>
          <w:rFonts w:cs="Arial"/>
        </w:rPr>
        <w:t xml:space="preserve">The utilization of ETO in domestic environments has been discontinued; however, </w:t>
      </w:r>
      <w:r w:rsidRPr="69AE5C82">
        <w:rPr>
          <w:rFonts w:cs="Arial"/>
        </w:rPr>
        <w:t>the</w:t>
      </w:r>
      <w:r w:rsidRPr="78EE664F">
        <w:rPr>
          <w:rFonts w:cs="Arial"/>
        </w:rPr>
        <w:t xml:space="preserve"> compound is extensively employed in industrial settings, primarily for the production of ethylene glycols (</w:t>
      </w:r>
      <w:r w:rsidRPr="0D1C27DA">
        <w:rPr>
          <w:rFonts w:cs="Arial"/>
        </w:rPr>
        <w:t>accounting for 75</w:t>
      </w:r>
      <w:r w:rsidRPr="78EE664F">
        <w:rPr>
          <w:rFonts w:cs="Arial"/>
        </w:rPr>
        <w:t>% of its</w:t>
      </w:r>
      <w:r w:rsidRPr="01F90D9C">
        <w:rPr>
          <w:rFonts w:cs="Arial"/>
        </w:rPr>
        <w:t xml:space="preserve"> total</w:t>
      </w:r>
      <w:r w:rsidRPr="78EE664F">
        <w:rPr>
          <w:rFonts w:cs="Arial"/>
        </w:rPr>
        <w:t xml:space="preserve"> production), which are subsequently utilized in the manufacture of antifreeze, polyester, PET, </w:t>
      </w:r>
      <w:r w:rsidRPr="0D1C27DA">
        <w:rPr>
          <w:rFonts w:cs="Arial"/>
        </w:rPr>
        <w:t>and other products.</w:t>
      </w:r>
      <w:r w:rsidRPr="78EE664F">
        <w:rPr>
          <w:rFonts w:cs="Arial"/>
        </w:rPr>
        <w:t xml:space="preserve"> ETO is also involved in the manufacturing of adhesives, lubricants, plasticizers, and thinners. In its pure form, ETO is utilized as a disinfectant for the sterilization of temperature-sensitive materials, serving as an alternative to steam and fungicides. As a volatile organic compound (VOC), it does not adhere to the surface of the sterilized object post-application, leaving no residue. In atmospheric conditions, it decomposes within days due to humidity and sunlight, and similarly, it degrades in water and soil within a brief period</w:t>
      </w:r>
      <w:r w:rsidRPr="0D1C27DA">
        <w:rPr>
          <w:rFonts w:cs="Arial"/>
        </w:rPr>
        <w:t>.</w:t>
      </w:r>
      <w:r>
        <w:rPr>
          <w:rFonts w:cs="Arial"/>
        </w:rPr>
        <w:t xml:space="preserve"> (Dever et al., 2024) </w:t>
      </w:r>
      <w:r w:rsidRPr="78EE664F">
        <w:rPr>
          <w:rFonts w:cs="Arial"/>
        </w:rPr>
        <w:t>Under standard conditions, ethylene oxide presents as a colorless gas characterized by a distinctive sweet odor, and it is highly flammable. At 0</w:t>
      </w:r>
      <w:r w:rsidR="008810B8">
        <w:rPr>
          <w:rFonts w:cs="Arial"/>
        </w:rPr>
        <w:t xml:space="preserve"> </w:t>
      </w:r>
      <w:r w:rsidRPr="78EE664F">
        <w:rPr>
          <w:rFonts w:cs="Arial"/>
        </w:rPr>
        <w:t>°C, it assumes a liquid state. Ethylene oxide exhibits solubility in both water and various organic solvents. Its notable reactivity renders it suitable for numerous industrial applications</w:t>
      </w:r>
      <w:r w:rsidR="00163E40">
        <w:rPr>
          <w:rFonts w:cs="Arial"/>
        </w:rPr>
        <w:t xml:space="preserve"> </w:t>
      </w:r>
      <w:r>
        <w:rPr>
          <w:rFonts w:cs="Arial"/>
        </w:rPr>
        <w:t>(Dever et al., 2024)</w:t>
      </w:r>
      <w:r w:rsidR="00163E40">
        <w:rPr>
          <w:rFonts w:cs="Arial"/>
        </w:rPr>
        <w:t>.</w:t>
      </w:r>
    </w:p>
    <w:p w14:paraId="42E94210" w14:textId="4C9EEBBE" w:rsidR="00DA5F4F" w:rsidRDefault="00DA5F4F" w:rsidP="00DA5F4F">
      <w:pPr>
        <w:pStyle w:val="CETheadingx"/>
      </w:pPr>
      <w:r w:rsidRPr="00DA5F4F">
        <w:t>Examples of significant crashed and accidents with ethylene oxide</w:t>
      </w:r>
    </w:p>
    <w:p w14:paraId="452DEF31" w14:textId="05243440" w:rsidR="3E45E9B8" w:rsidRDefault="3E45E9B8" w:rsidP="00A843D4">
      <w:pPr>
        <w:pStyle w:val="CETBodytext"/>
      </w:pPr>
      <w:r>
        <w:t xml:space="preserve"> </w:t>
      </w:r>
      <w:r w:rsidR="68018C7A">
        <w:t>Over the years, numerous industrial incidents involving ETO have been reported, underscoring the</w:t>
      </w:r>
      <w:r w:rsidR="26CECB6C">
        <w:t xml:space="preserve"> critical need for stringent safety measures, robust process control, and thorough risk assessment. This section highlights a series of notable ETO related </w:t>
      </w:r>
      <w:r w:rsidR="50C41EFF">
        <w:t>accidents</w:t>
      </w:r>
      <w:r w:rsidR="26CECB6C">
        <w:t xml:space="preserve"> from diffe</w:t>
      </w:r>
      <w:r w:rsidR="332FAC2F">
        <w:t>rent</w:t>
      </w:r>
      <w:r w:rsidR="58B8CAEB">
        <w:t xml:space="preserve"> industries and geographic regions, illustrating the diverse challenges associated with its handling, storage, and use. The described incidents provide insights into common </w:t>
      </w:r>
      <w:r w:rsidR="16CAD93B">
        <w:t xml:space="preserve">failure mechanisms, consequences, and the importance of preventive strategies in minimizing risks. </w:t>
      </w:r>
    </w:p>
    <w:p w14:paraId="06B37DA6" w14:textId="3AD4C185" w:rsidR="00DF6672" w:rsidRPr="00687BBE" w:rsidRDefault="00DA5F4F" w:rsidP="00537354">
      <w:pPr>
        <w:pStyle w:val="CETBodytext"/>
        <w:numPr>
          <w:ilvl w:val="0"/>
          <w:numId w:val="26"/>
        </w:numPr>
      </w:pPr>
      <w:r w:rsidRPr="00687BBE">
        <w:t>SLOVNAFT Raffinery</w:t>
      </w:r>
      <w:r w:rsidR="00537354" w:rsidRPr="00687BBE">
        <w:t xml:space="preserve"> </w:t>
      </w:r>
      <w:r w:rsidRPr="00687BBE">
        <w:t>(Bratislava, SK)</w:t>
      </w:r>
      <w:r w:rsidR="00760F0E" w:rsidRPr="00687BBE">
        <w:t>:</w:t>
      </w:r>
      <w:r w:rsidR="00DF6672" w:rsidRPr="00687BBE">
        <w:t xml:space="preserve"> </w:t>
      </w:r>
      <w:r w:rsidR="00537354" w:rsidRPr="00687BBE">
        <w:t>An explosion occurred in the reactor used for the synthesis of ETO through the oxidation of ethylene. This explosion was associated with the regeneration of the catalyst, which involved air oxidation. The oxygen content analyzer within the reactor's circulation system could be configured to operate within two different ranges. During the initiation of the process, the operator adjusted these ranges, inadvertently creating an explosive mixture within the circulation circuit. Although the accident did not impact the surrounding environment, the reactor sustained complete destruction</w:t>
      </w:r>
      <w:r w:rsidR="00A9168D" w:rsidRPr="00687BBE">
        <w:t xml:space="preserve"> (Skřehot et al., 2009)</w:t>
      </w:r>
      <w:r w:rsidR="00163E40" w:rsidRPr="00687BBE">
        <w:t>.</w:t>
      </w:r>
    </w:p>
    <w:p w14:paraId="3E2ED7D4" w14:textId="0222BCA6" w:rsidR="00760F0E" w:rsidRPr="00687BBE" w:rsidRDefault="00760F0E" w:rsidP="002341AB">
      <w:pPr>
        <w:pStyle w:val="CETBodytext"/>
        <w:numPr>
          <w:ilvl w:val="0"/>
          <w:numId w:val="26"/>
        </w:numPr>
      </w:pPr>
      <w:r w:rsidRPr="00687BBE">
        <w:t xml:space="preserve">Industrias Químicas del Óxido de Etileno (IQOXE) (Tarragona, Spain): </w:t>
      </w:r>
      <w:r w:rsidR="002341AB" w:rsidRPr="00687BBE">
        <w:t>An explosion at an ETO facility in Tarragona, Spain, resulted in the fatalities of three individuals and injuries to seven others. The incident originated in the reactor, subsequently causing ignition of an adjacent storage tank. Authorities reported that no toxic substances were released; however, a temporary shelter was established for residents</w:t>
      </w:r>
      <w:r w:rsidR="00163E40" w:rsidRPr="00687BBE">
        <w:t xml:space="preserve"> </w:t>
      </w:r>
      <w:r w:rsidR="00A9168D" w:rsidRPr="00687BBE">
        <w:t>(Doyle, 2020)</w:t>
      </w:r>
      <w:r w:rsidR="00163E40" w:rsidRPr="00687BBE">
        <w:t>.</w:t>
      </w:r>
    </w:p>
    <w:p w14:paraId="7612AF6A" w14:textId="480B8DA5" w:rsidR="00760F0E" w:rsidRPr="00687BBE" w:rsidRDefault="002341AB" w:rsidP="002341AB">
      <w:pPr>
        <w:pStyle w:val="CETBodytext"/>
        <w:numPr>
          <w:ilvl w:val="0"/>
          <w:numId w:val="26"/>
        </w:numPr>
      </w:pPr>
      <w:r w:rsidRPr="00687BBE">
        <w:t>Private company</w:t>
      </w:r>
      <w:r w:rsidR="008733DB" w:rsidRPr="00687BBE">
        <w:t xml:space="preserve"> (</w:t>
      </w:r>
      <w:r w:rsidR="00760F0E" w:rsidRPr="00687BBE">
        <w:t>Veverská B</w:t>
      </w:r>
      <w:r w:rsidRPr="00687BBE">
        <w:t>í</w:t>
      </w:r>
      <w:r w:rsidR="00760F0E" w:rsidRPr="00687BBE">
        <w:t>t</w:t>
      </w:r>
      <w:r w:rsidRPr="00687BBE">
        <w:t>ý</w:t>
      </w:r>
      <w:r w:rsidR="00760F0E" w:rsidRPr="00687BBE">
        <w:t>ška, SK</w:t>
      </w:r>
      <w:r w:rsidR="008733DB" w:rsidRPr="00687BBE">
        <w:t>)</w:t>
      </w:r>
      <w:r w:rsidR="00760F0E" w:rsidRPr="00687BBE">
        <w:t xml:space="preserve">: </w:t>
      </w:r>
      <w:r w:rsidRPr="00687BBE">
        <w:t>ETO escaped from a compromised pipe originating from a faulty flange connected to the incinerator. However, due to the prompt and professional intervention by the Fire Rescue Service during the mitigation of the incident, there was no harm to human health or environmental contamination</w:t>
      </w:r>
      <w:r w:rsidR="00163E40" w:rsidRPr="00687BBE">
        <w:t xml:space="preserve"> </w:t>
      </w:r>
      <w:r w:rsidR="00A9168D" w:rsidRPr="00687BBE">
        <w:rPr>
          <w:color w:val="000000" w:themeColor="text1"/>
        </w:rPr>
        <w:t>(</w:t>
      </w:r>
      <w:r w:rsidR="000D6846">
        <w:rPr>
          <w:color w:val="000000" w:themeColor="text1"/>
        </w:rPr>
        <w:t>Kolischova</w:t>
      </w:r>
      <w:r w:rsidR="00A9168D" w:rsidRPr="00687BBE">
        <w:rPr>
          <w:color w:val="000000" w:themeColor="text1"/>
        </w:rPr>
        <w:t>, 20</w:t>
      </w:r>
      <w:r w:rsidR="002B54FF" w:rsidRPr="00687BBE">
        <w:rPr>
          <w:color w:val="000000" w:themeColor="text1"/>
        </w:rPr>
        <w:t>14</w:t>
      </w:r>
      <w:r w:rsidR="00A9168D" w:rsidRPr="00687BBE">
        <w:rPr>
          <w:color w:val="000000" w:themeColor="text1"/>
        </w:rPr>
        <w:t>)</w:t>
      </w:r>
      <w:r w:rsidR="00163E40" w:rsidRPr="00687BBE">
        <w:rPr>
          <w:color w:val="000000" w:themeColor="text1"/>
        </w:rPr>
        <w:t>.</w:t>
      </w:r>
    </w:p>
    <w:p w14:paraId="4F54A3B0" w14:textId="19AF797D" w:rsidR="00DA5F4F" w:rsidRPr="002341AB" w:rsidRDefault="00760F0E" w:rsidP="002341AB">
      <w:pPr>
        <w:pStyle w:val="CETBodytext"/>
        <w:numPr>
          <w:ilvl w:val="0"/>
          <w:numId w:val="26"/>
        </w:numPr>
      </w:pPr>
      <w:r w:rsidRPr="002341AB">
        <w:t>ETO</w:t>
      </w:r>
      <w:r w:rsidR="002341AB" w:rsidRPr="002341AB">
        <w:t xml:space="preserve"> plant</w:t>
      </w:r>
      <w:r w:rsidRPr="002341AB">
        <w:t xml:space="preserve"> (Brandenburg, Kentucky USA): </w:t>
      </w:r>
      <w:r w:rsidR="002341AB" w:rsidRPr="002341AB">
        <w:t>The contamination of ETO with an ammonia solution resulted in a rapid chemical reaction, leading to an explosion. This incident resulted in one fatality, three individuals sustaining serious injuries, and eighteen individuals reporting minor injuries</w:t>
      </w:r>
      <w:r w:rsidR="00163E40">
        <w:t xml:space="preserve"> </w:t>
      </w:r>
      <w:r w:rsidR="00A9168D">
        <w:t>(ACC, 2007)</w:t>
      </w:r>
      <w:r w:rsidR="00163E40">
        <w:t>.</w:t>
      </w:r>
    </w:p>
    <w:p w14:paraId="16AD9B23" w14:textId="1DC3D03E" w:rsidR="00FB3ACB" w:rsidRDefault="002341AB" w:rsidP="00FB3ACB">
      <w:pPr>
        <w:pStyle w:val="CETBodytext"/>
        <w:numPr>
          <w:ilvl w:val="0"/>
          <w:numId w:val="26"/>
        </w:numPr>
      </w:pPr>
      <w:r w:rsidRPr="002341AB">
        <w:t xml:space="preserve">Detonation within a sterilization chamber during ETO sterilization </w:t>
      </w:r>
      <w:r w:rsidR="00E57A1C" w:rsidRPr="002341AB">
        <w:t>(Sterigenics International, Ontario, California</w:t>
      </w:r>
      <w:r w:rsidR="008240CB" w:rsidRPr="002341AB">
        <w:t xml:space="preserve"> USA</w:t>
      </w:r>
      <w:r w:rsidR="00E57A1C" w:rsidRPr="002341AB">
        <w:t>)</w:t>
      </w:r>
      <w:r w:rsidR="008240CB" w:rsidRPr="002341AB">
        <w:t xml:space="preserve">: </w:t>
      </w:r>
      <w:r w:rsidRPr="002341AB">
        <w:t>The explosion resulted in injuries to four workers and caused substantial damage to facilities encompassing an area of 66,000 square feet. The primary factors contributing to the explosion were the inadequacy of the technical equipment installed at the site in preventing the formation of an explosive (ETO atmosphere upon interaction with the oxidizing agent, along with the employees' insufficient comprehension of the risks associated with the process</w:t>
      </w:r>
      <w:r w:rsidR="00A9168D">
        <w:t xml:space="preserve"> (ACC, 2007)</w:t>
      </w:r>
      <w:r w:rsidR="00163E40">
        <w:t>.</w:t>
      </w:r>
    </w:p>
    <w:p w14:paraId="6A33DEE4" w14:textId="77777777" w:rsidR="00FB3ACB" w:rsidRPr="00DA5F4F" w:rsidRDefault="00FB3ACB" w:rsidP="00FB3ACB">
      <w:pPr>
        <w:pStyle w:val="CETBodytext"/>
        <w:rPr>
          <w:lang w:val="cs-CZ"/>
        </w:rPr>
      </w:pPr>
      <w:r>
        <w:rPr>
          <w:lang w:val="en"/>
        </w:rPr>
        <w:t>This article seeks to undertake a risk assessment pertaining to a case study of a product sterilization system employing ETO, a substance classified as hazardous under CLP regulations. The primary objective of this risk analysis is to safeguard the populace in the region potentially impacted by such a system, with a focus on averting significant accidents.</w:t>
      </w:r>
    </w:p>
    <w:p w14:paraId="27C275F4" w14:textId="77777777" w:rsidR="00FB3ACB" w:rsidRPr="00FB3ACB" w:rsidRDefault="00FB3ACB" w:rsidP="00FB3ACB">
      <w:pPr>
        <w:pStyle w:val="CETBodytext"/>
        <w:rPr>
          <w:lang w:val="cs-CZ"/>
        </w:rPr>
      </w:pPr>
    </w:p>
    <w:p w14:paraId="5741900F" w14:textId="75481F23" w:rsidR="00453E24" w:rsidRDefault="00F53E3B" w:rsidP="00453E24">
      <w:pPr>
        <w:pStyle w:val="CETHeading1"/>
      </w:pPr>
      <w:r>
        <w:t>Methodology</w:t>
      </w:r>
    </w:p>
    <w:p w14:paraId="6427BA47" w14:textId="78E647D2" w:rsidR="00AF7DDE" w:rsidRPr="00511741" w:rsidRDefault="00511741" w:rsidP="0074418E">
      <w:pPr>
        <w:pStyle w:val="CETheadingx"/>
        <w:numPr>
          <w:ilvl w:val="0"/>
          <w:numId w:val="0"/>
        </w:numPr>
        <w:jc w:val="both"/>
        <w:rPr>
          <w:b w:val="0"/>
          <w:lang w:val="en-GB"/>
        </w:rPr>
      </w:pPr>
      <w:r>
        <w:rPr>
          <w:b w:val="0"/>
          <w:lang w:val="en-GB"/>
        </w:rPr>
        <w:t xml:space="preserve">During the initial phase of the risk assessment, major accident risk sources were identified using the CPR 18E Purple Book selection model. This method for the identification and selection of risk sources was developed by the Netherlands Industrial Safety Institute (TNO) and is documented in the Guidelines for Quantitative Risk Assessment </w:t>
      </w:r>
      <w:r w:rsidR="00B93631" w:rsidRPr="008271BC">
        <w:rPr>
          <w:b w:val="0"/>
          <w:lang w:val="en-GB"/>
        </w:rPr>
        <w:t>(Purple Book, 2005)</w:t>
      </w:r>
      <w:r w:rsidR="00E64B52">
        <w:rPr>
          <w:b w:val="0"/>
          <w:lang w:val="en-GB"/>
        </w:rPr>
        <w:t>.</w:t>
      </w:r>
      <w:r w:rsidR="00B93631" w:rsidRPr="008271BC">
        <w:rPr>
          <w:b w:val="0"/>
          <w:lang w:val="en-GB"/>
        </w:rPr>
        <w:t xml:space="preserve"> </w:t>
      </w:r>
      <w:r w:rsidR="00DB723E" w:rsidRPr="008271BC">
        <w:rPr>
          <w:b w:val="0"/>
          <w:lang w:val="en-GB"/>
        </w:rPr>
        <w:t>The</w:t>
      </w:r>
      <w:r w:rsidR="00DB723E">
        <w:rPr>
          <w:b w:val="0"/>
          <w:lang w:val="en-GB"/>
        </w:rPr>
        <w:t xml:space="preserve"> ensuing methodology applied in a case study pertaining to the assessment of human health impacts was the dispersion model ALOHA 5.4.7. ALOHA (Areal Location of Hazardous Atmospheres) represents a structured framework devised by the EPA Chemical Preparedness and Prevention Office (CEPPO) in collaboration with the National Oceanic and Atmospheric Administration (NOAA) Response and Recovery Office. This approach assists in determining the range of impact caused by the release of a toxic substance</w:t>
      </w:r>
      <w:r>
        <w:rPr>
          <w:b w:val="0"/>
          <w:lang w:val="en-GB"/>
        </w:rPr>
        <w:t xml:space="preserve"> </w:t>
      </w:r>
      <w:r w:rsidR="00676C66">
        <w:rPr>
          <w:b w:val="0"/>
          <w:lang w:val="en-GB"/>
        </w:rPr>
        <w:t>(A</w:t>
      </w:r>
      <w:r w:rsidR="000B2560">
        <w:rPr>
          <w:b w:val="0"/>
          <w:lang w:val="en-GB"/>
        </w:rPr>
        <w:t>LOHA, 2016)</w:t>
      </w:r>
      <w:r w:rsidR="00E64B52">
        <w:rPr>
          <w:b w:val="0"/>
          <w:lang w:val="en-GB"/>
        </w:rPr>
        <w:t>.</w:t>
      </w:r>
    </w:p>
    <w:p w14:paraId="677EBFF0" w14:textId="477D55CC" w:rsidR="00600535" w:rsidRDefault="00550DDB" w:rsidP="00600535">
      <w:pPr>
        <w:pStyle w:val="CETHeading1"/>
        <w:tabs>
          <w:tab w:val="clear" w:pos="360"/>
          <w:tab w:val="right" w:pos="7100"/>
        </w:tabs>
        <w:jc w:val="both"/>
        <w:rPr>
          <w:lang w:val="en-GB"/>
        </w:rPr>
      </w:pPr>
      <w:r>
        <w:rPr>
          <w:lang w:val="en-GB"/>
        </w:rPr>
        <w:t>Case study</w:t>
      </w:r>
    </w:p>
    <w:p w14:paraId="4D39EF9A" w14:textId="4A4344F2" w:rsidR="001D3AD5" w:rsidRPr="001D3AD5" w:rsidRDefault="001D3AD5" w:rsidP="001D3AD5">
      <w:pPr>
        <w:pStyle w:val="CETBodytext"/>
      </w:pPr>
      <w:r w:rsidRPr="001D3AD5">
        <w:t xml:space="preserve">The facility will </w:t>
      </w:r>
      <w:r w:rsidR="73CCA5BD">
        <w:t xml:space="preserve">manage </w:t>
      </w:r>
      <w:r>
        <w:t>a</w:t>
      </w:r>
      <w:r w:rsidRPr="001D3AD5">
        <w:t xml:space="preserve"> hazardous substance, specifically ETO, within the sterilization chamber system and the ETO storage warehouse. The primary </w:t>
      </w:r>
      <w:r w:rsidR="0B016D3B">
        <w:t>risk sources include</w:t>
      </w:r>
      <w:r w:rsidRPr="001D3AD5">
        <w:t xml:space="preserve"> individual pressure vessels, specifically barrels </w:t>
      </w:r>
      <w:r w:rsidR="5E705349">
        <w:t xml:space="preserve">containing </w:t>
      </w:r>
      <w:r>
        <w:t>ETO</w:t>
      </w:r>
      <w:r w:rsidRPr="001D3AD5">
        <w:t xml:space="preserve">, </w:t>
      </w:r>
      <w:r w:rsidR="7AE39CB4">
        <w:t xml:space="preserve">which </w:t>
      </w:r>
      <w:r w:rsidRPr="001D3AD5">
        <w:t xml:space="preserve">will be transported to the site </w:t>
      </w:r>
      <w:r w:rsidR="02009956">
        <w:t xml:space="preserve">by </w:t>
      </w:r>
      <w:r w:rsidRPr="001D3AD5">
        <w:t>truck, stored in a warehouse, and</w:t>
      </w:r>
      <w:r w:rsidR="7F9BFBF3">
        <w:t xml:space="preserve"> later </w:t>
      </w:r>
      <w:r w:rsidR="4594CF54">
        <w:t xml:space="preserve">processed at the evaporation plant to extract </w:t>
      </w:r>
      <w:r>
        <w:t xml:space="preserve">the </w:t>
      </w:r>
      <w:r w:rsidRPr="001D3AD5">
        <w:t>gas</w:t>
      </w:r>
      <w:r w:rsidR="35C4FE69">
        <w:t xml:space="preserve">. </w:t>
      </w:r>
      <w:r w:rsidRPr="001D3AD5">
        <w:t xml:space="preserve">The </w:t>
      </w:r>
      <w:r w:rsidR="34F865E3">
        <w:t>facility’s location</w:t>
      </w:r>
      <w:r w:rsidRPr="001D3AD5">
        <w:t xml:space="preserve"> and its immediate surroundings </w:t>
      </w:r>
      <w:r w:rsidR="0D743487">
        <w:t xml:space="preserve">are </w:t>
      </w:r>
      <w:r w:rsidR="74ACE7B2">
        <w:t xml:space="preserve">illustrated </w:t>
      </w:r>
      <w:r w:rsidRPr="001D3AD5">
        <w:t xml:space="preserve">in the </w:t>
      </w:r>
      <w:r w:rsidR="21D6F10D">
        <w:t>following Figure 1</w:t>
      </w:r>
      <w:r w:rsidRPr="001D3AD5">
        <w:t>.</w:t>
      </w:r>
    </w:p>
    <w:p w14:paraId="143D0DA6" w14:textId="3FBE318B" w:rsidR="001D3AD5" w:rsidRPr="001D3AD5" w:rsidRDefault="001D3AD5" w:rsidP="001D3AD5">
      <w:pPr>
        <w:pStyle w:val="Odstavecseseznamem"/>
        <w:ind w:left="0"/>
        <w:rPr>
          <w:rFonts w:cs="Arial"/>
          <w:szCs w:val="22"/>
        </w:rPr>
      </w:pPr>
      <w:r>
        <w:rPr>
          <w:noProof/>
        </w:rPr>
        <mc:AlternateContent>
          <mc:Choice Requires="wps">
            <w:drawing>
              <wp:anchor distT="0" distB="0" distL="114300" distR="114300" simplePos="0" relativeHeight="251658240" behindDoc="0" locked="0" layoutInCell="1" allowOverlap="1" wp14:anchorId="7E7F884B" wp14:editId="12593553">
                <wp:simplePos x="0" y="0"/>
                <wp:positionH relativeFrom="column">
                  <wp:posOffset>875665</wp:posOffset>
                </wp:positionH>
                <wp:positionV relativeFrom="paragraph">
                  <wp:posOffset>977265</wp:posOffset>
                </wp:positionV>
                <wp:extent cx="844550" cy="666750"/>
                <wp:effectExtent l="0" t="0" r="12700" b="19050"/>
                <wp:wrapNone/>
                <wp:docPr id="23" name="Ovál 23"/>
                <wp:cNvGraphicFramePr/>
                <a:graphic xmlns:a="http://schemas.openxmlformats.org/drawingml/2006/main">
                  <a:graphicData uri="http://schemas.microsoft.com/office/word/2010/wordprocessingShape">
                    <wps:wsp>
                      <wps:cNvSpPr/>
                      <wps:spPr>
                        <a:xfrm>
                          <a:off x="0" y="0"/>
                          <a:ext cx="844550" cy="666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1F3F8" id="Ovál 23" o:spid="_x0000_s1026" style="position:absolute;margin-left:68.95pt;margin-top:76.95pt;width:66.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" filled="f" strokecolor="red" strokeweight="2pt"/>
            </w:pict>
          </mc:Fallback>
        </mc:AlternateContent>
      </w:r>
      <w:r w:rsidRPr="007703C5">
        <w:rPr>
          <w:noProof/>
        </w:rPr>
        <w:drawing>
          <wp:inline distT="0" distB="0" distL="0" distR="0" wp14:anchorId="2EC5CAA5" wp14:editId="524AC9A9">
            <wp:extent cx="2717800" cy="1777998"/>
            <wp:effectExtent l="0" t="0" r="6350" b="0"/>
            <wp:docPr id="22" name="Obrázek 22" descr="Obsah obrázku text, mapa, snímek obrazovky,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text, mapa, snímek obrazovky, software&#10;&#10;Popis byl vytvořen automaticky"/>
                    <pic:cNvPicPr/>
                  </pic:nvPicPr>
                  <pic:blipFill rotWithShape="1">
                    <a:blip r:embed="rId10"/>
                    <a:srcRect l="5937" t="17241" r="61344" b="14253"/>
                    <a:stretch/>
                  </pic:blipFill>
                  <pic:spPr bwMode="auto">
                    <a:xfrm>
                      <a:off x="0" y="0"/>
                      <a:ext cx="2745453" cy="1796089"/>
                    </a:xfrm>
                    <a:prstGeom prst="rect">
                      <a:avLst/>
                    </a:prstGeom>
                    <a:ln>
                      <a:noFill/>
                    </a:ln>
                    <a:extLst>
                      <a:ext uri="{53640926-AAD7-44D8-BBD7-CCE9431645EC}">
                        <a14:shadowObscured xmlns:a14="http://schemas.microsoft.com/office/drawing/2010/main"/>
                      </a:ext>
                    </a:extLst>
                  </pic:spPr>
                </pic:pic>
              </a:graphicData>
            </a:graphic>
          </wp:inline>
        </w:drawing>
      </w:r>
    </w:p>
    <w:p w14:paraId="0FFF8B71" w14:textId="77777777" w:rsidR="001D3AD5" w:rsidRPr="001D3AD5" w:rsidRDefault="001D3AD5" w:rsidP="001D3AD5">
      <w:pPr>
        <w:pStyle w:val="Odstavecseseznamem"/>
        <w:ind w:left="0"/>
        <w:rPr>
          <w:rFonts w:cs="Arial"/>
          <w:szCs w:val="22"/>
        </w:rPr>
      </w:pPr>
    </w:p>
    <w:p w14:paraId="59533F2E" w14:textId="6AB098D1" w:rsidR="00391ED4" w:rsidRPr="00C806D2" w:rsidRDefault="001D3AD5" w:rsidP="00C806D2">
      <w:pPr>
        <w:pStyle w:val="CETBodytext"/>
        <w:rPr>
          <w:i/>
          <w:lang w:val="en"/>
        </w:rPr>
      </w:pPr>
      <w:r w:rsidRPr="00BD077D">
        <w:rPr>
          <w:rStyle w:val="CETCaptionCarattere"/>
        </w:rPr>
        <w:t xml:space="preserve">Figure 1: </w:t>
      </w:r>
      <w:r>
        <w:rPr>
          <w:i/>
          <w:lang w:val="en"/>
        </w:rPr>
        <w:t>The site of the factory structure alongside its adjacent locality</w:t>
      </w:r>
    </w:p>
    <w:p w14:paraId="1F96CA21" w14:textId="3AA759C9" w:rsidR="00600535" w:rsidRDefault="001D3AD5" w:rsidP="00FA5F5F">
      <w:pPr>
        <w:pStyle w:val="CETheadingx"/>
      </w:pPr>
      <w:r>
        <w:t>Risk site identification</w:t>
      </w:r>
    </w:p>
    <w:p w14:paraId="5C0B370E" w14:textId="330885F1" w:rsidR="00CE6298" w:rsidRPr="00155009" w:rsidRDefault="00204378" w:rsidP="00155009">
      <w:pPr>
        <w:pStyle w:val="Odstavecseseznamem"/>
        <w:ind w:left="0"/>
        <w:rPr>
          <w:rFonts w:cs="Arial"/>
        </w:rPr>
      </w:pPr>
      <w:r w:rsidRPr="02490033">
        <w:rPr>
          <w:rFonts w:cs="Arial"/>
        </w:rPr>
        <w:t xml:space="preserve">The identification of the hazardous substance, ETO, in various segments of production necessitates risk assessment, as delineated in Table 1. Considering the aggregate intended quantity of approximately 4.8 tons of ETO, it is evident that the facility does not fall under the purview of the legislation </w:t>
      </w:r>
      <w:r w:rsidR="72E50D39" w:rsidRPr="1D31FC07">
        <w:rPr>
          <w:rFonts w:cs="Arial"/>
        </w:rPr>
        <w:t>regarding</w:t>
      </w:r>
      <w:r w:rsidRPr="02490033">
        <w:rPr>
          <w:rFonts w:cs="Arial"/>
        </w:rPr>
        <w:t xml:space="preserve"> the prevention of major accidents, given that the threshold for inclusion in Group A is set at 5 tons. However, verification of the actual quantity of ETO is required, as the precise </w:t>
      </w:r>
      <w:r w:rsidR="6E76A2BC" w:rsidRPr="056B9B7F">
        <w:rPr>
          <w:rFonts w:cs="Arial"/>
        </w:rPr>
        <w:t xml:space="preserve">number </w:t>
      </w:r>
      <w:r w:rsidRPr="02490033">
        <w:rPr>
          <w:rFonts w:cs="Arial"/>
        </w:rPr>
        <w:t xml:space="preserve">of barrels </w:t>
      </w:r>
      <w:r w:rsidR="58A78B22" w:rsidRPr="056B9B7F">
        <w:rPr>
          <w:rFonts w:cs="Arial"/>
        </w:rPr>
        <w:t>stored</w:t>
      </w:r>
      <w:r w:rsidRPr="02490033">
        <w:rPr>
          <w:rFonts w:cs="Arial"/>
        </w:rPr>
        <w:t xml:space="preserve">, </w:t>
      </w:r>
      <w:r w:rsidR="6DE5B69F" w:rsidRPr="45718BD4">
        <w:rPr>
          <w:rFonts w:cs="Arial"/>
        </w:rPr>
        <w:t xml:space="preserve">used </w:t>
      </w:r>
      <w:r w:rsidRPr="02490033">
        <w:rPr>
          <w:rFonts w:cs="Arial"/>
        </w:rPr>
        <w:t xml:space="preserve">in the sterilization process, and transported via truck cannot be conclusively ascertained from the existing project documentation. Additionally, the declaration that two sterilization chambers will initially be operational, with a third being constructed subsequently, suggests a potential increase in the quantity of ETO, thereby possibly necessitating the facility's inclusion under the Act on Prevention of Serious Accidents. Moreover, it is imperative to delineate the other technical gases present within the SO 06 Storage </w:t>
      </w:r>
      <w:r w:rsidR="665E48C1" w:rsidRPr="4A0EDCB4">
        <w:rPr>
          <w:rFonts w:cs="Arial"/>
        </w:rPr>
        <w:t xml:space="preserve">facility for </w:t>
      </w:r>
      <w:r w:rsidRPr="02490033">
        <w:rPr>
          <w:rFonts w:cs="Arial"/>
        </w:rPr>
        <w:t>technical gases, as the law mandates the aggregation of all hazardous substances with analogous properties in terms of flammability, toxicity, and environmental risk.</w:t>
      </w:r>
    </w:p>
    <w:p w14:paraId="70CD4380" w14:textId="77777777" w:rsidR="00155009" w:rsidRPr="00B57B36" w:rsidRDefault="00155009" w:rsidP="00155009">
      <w:pPr>
        <w:pStyle w:val="CETTabletitle"/>
      </w:pPr>
      <w:r w:rsidRPr="00B57B36">
        <w:t xml:space="preserve">Table 1: </w:t>
      </w:r>
      <w:r w:rsidRPr="00E12B99">
        <w:t>List of hazardous substances</w:t>
      </w:r>
      <w:r>
        <w:t xml:space="preserve"> </w:t>
      </w:r>
      <w:r w:rsidRPr="00E12B99">
        <w:t xml:space="preserve">placed in selected </w:t>
      </w:r>
      <w:r>
        <w:t>company</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418"/>
        <w:gridCol w:w="1134"/>
        <w:gridCol w:w="850"/>
        <w:gridCol w:w="1134"/>
      </w:tblGrid>
      <w:tr w:rsidR="00155009" w:rsidRPr="00B57B36" w14:paraId="1680A58C" w14:textId="77777777" w:rsidTr="00155009">
        <w:tc>
          <w:tcPr>
            <w:tcW w:w="1134" w:type="dxa"/>
            <w:tcBorders>
              <w:top w:val="single" w:sz="12" w:space="0" w:color="008000"/>
              <w:bottom w:val="single" w:sz="6" w:space="0" w:color="008000"/>
            </w:tcBorders>
            <w:shd w:val="clear" w:color="auto" w:fill="FFFFFF"/>
          </w:tcPr>
          <w:p w14:paraId="0DA38B66" w14:textId="581A8ED3" w:rsidR="00155009" w:rsidRPr="00B57B36" w:rsidRDefault="00155009" w:rsidP="00155009">
            <w:pPr>
              <w:pStyle w:val="CETBodytext"/>
              <w:jc w:val="center"/>
              <w:rPr>
                <w:lang w:val="en-GB"/>
              </w:rPr>
            </w:pPr>
            <w:r>
              <w:rPr>
                <w:lang w:val="en-GB"/>
              </w:rPr>
              <w:t>Storage No.</w:t>
            </w:r>
          </w:p>
        </w:tc>
        <w:tc>
          <w:tcPr>
            <w:tcW w:w="1134" w:type="dxa"/>
            <w:tcBorders>
              <w:top w:val="single" w:sz="12" w:space="0" w:color="008000"/>
              <w:bottom w:val="single" w:sz="6" w:space="0" w:color="008000"/>
            </w:tcBorders>
            <w:shd w:val="clear" w:color="auto" w:fill="FFFFFF"/>
          </w:tcPr>
          <w:p w14:paraId="5627924F" w14:textId="77777777" w:rsidR="00155009" w:rsidRPr="00B57B36" w:rsidRDefault="00155009" w:rsidP="00155009">
            <w:pPr>
              <w:pStyle w:val="CETBodytext"/>
              <w:jc w:val="center"/>
              <w:rPr>
                <w:lang w:val="en-GB"/>
              </w:rPr>
            </w:pPr>
            <w:r>
              <w:rPr>
                <w:lang w:val="en-GB"/>
              </w:rPr>
              <w:t>Facility No.</w:t>
            </w:r>
          </w:p>
        </w:tc>
        <w:tc>
          <w:tcPr>
            <w:tcW w:w="1418" w:type="dxa"/>
            <w:tcBorders>
              <w:top w:val="single" w:sz="12" w:space="0" w:color="008000"/>
              <w:bottom w:val="single" w:sz="6" w:space="0" w:color="008000"/>
            </w:tcBorders>
            <w:shd w:val="clear" w:color="auto" w:fill="FFFFFF"/>
          </w:tcPr>
          <w:p w14:paraId="4724BAC3" w14:textId="77777777" w:rsidR="00155009" w:rsidRPr="00B57B36" w:rsidRDefault="00155009" w:rsidP="00155009">
            <w:pPr>
              <w:pStyle w:val="CETBodytext"/>
              <w:jc w:val="center"/>
              <w:rPr>
                <w:lang w:val="en-GB"/>
              </w:rPr>
            </w:pPr>
            <w:r>
              <w:rPr>
                <w:lang w:val="en-GB"/>
              </w:rPr>
              <w:t>Facility</w:t>
            </w:r>
          </w:p>
        </w:tc>
        <w:tc>
          <w:tcPr>
            <w:tcW w:w="1134" w:type="dxa"/>
            <w:tcBorders>
              <w:top w:val="single" w:sz="12" w:space="0" w:color="008000"/>
              <w:bottom w:val="single" w:sz="6" w:space="0" w:color="008000"/>
            </w:tcBorders>
            <w:shd w:val="clear" w:color="auto" w:fill="FFFFFF"/>
          </w:tcPr>
          <w:p w14:paraId="671DB16A" w14:textId="77777777" w:rsidR="00155009" w:rsidRPr="00B57B36" w:rsidRDefault="00155009" w:rsidP="00155009">
            <w:pPr>
              <w:pStyle w:val="CETBodytext"/>
              <w:ind w:right="-1"/>
              <w:jc w:val="center"/>
              <w:rPr>
                <w:rFonts w:cs="Arial"/>
                <w:szCs w:val="18"/>
                <w:lang w:val="en-GB"/>
              </w:rPr>
            </w:pPr>
            <w:r>
              <w:rPr>
                <w:rFonts w:cs="Arial"/>
                <w:szCs w:val="18"/>
                <w:lang w:val="en-GB"/>
              </w:rPr>
              <w:t>Hazardous properties</w:t>
            </w:r>
          </w:p>
        </w:tc>
        <w:tc>
          <w:tcPr>
            <w:tcW w:w="850" w:type="dxa"/>
            <w:tcBorders>
              <w:top w:val="single" w:sz="12" w:space="0" w:color="008000"/>
              <w:bottom w:val="single" w:sz="6" w:space="0" w:color="008000"/>
            </w:tcBorders>
            <w:shd w:val="clear" w:color="auto" w:fill="FFFFFF"/>
          </w:tcPr>
          <w:p w14:paraId="792C22E5" w14:textId="203CDDB9" w:rsidR="00155009" w:rsidRPr="00B57B36" w:rsidRDefault="00155009" w:rsidP="00155009">
            <w:pPr>
              <w:pStyle w:val="CETBodytext"/>
              <w:ind w:right="-1"/>
              <w:jc w:val="center"/>
              <w:rPr>
                <w:rFonts w:cs="Arial"/>
                <w:szCs w:val="18"/>
                <w:lang w:val="en-GB"/>
              </w:rPr>
            </w:pPr>
            <w:r>
              <w:rPr>
                <w:rFonts w:cs="Arial"/>
                <w:szCs w:val="18"/>
                <w:lang w:val="en-GB"/>
              </w:rPr>
              <w:t xml:space="preserve">Quantity </w:t>
            </w:r>
            <w:r w:rsidR="005E5B65">
              <w:rPr>
                <w:rFonts w:cs="Arial"/>
                <w:szCs w:val="18"/>
                <w:lang w:val="en-GB"/>
              </w:rPr>
              <w:t>[</w:t>
            </w:r>
            <w:r>
              <w:rPr>
                <w:rFonts w:cs="Arial"/>
                <w:szCs w:val="18"/>
                <w:lang w:val="en-GB"/>
              </w:rPr>
              <w:t>tonnes</w:t>
            </w:r>
            <w:r w:rsidR="005E5B65">
              <w:rPr>
                <w:rFonts w:cs="Arial"/>
                <w:szCs w:val="18"/>
                <w:lang w:val="en-GB"/>
              </w:rPr>
              <w:t>]</w:t>
            </w:r>
          </w:p>
        </w:tc>
        <w:tc>
          <w:tcPr>
            <w:tcW w:w="1134" w:type="dxa"/>
            <w:tcBorders>
              <w:top w:val="single" w:sz="12" w:space="0" w:color="008000"/>
              <w:bottom w:val="single" w:sz="6" w:space="0" w:color="008000"/>
            </w:tcBorders>
            <w:shd w:val="clear" w:color="auto" w:fill="FFFFFF"/>
          </w:tcPr>
          <w:p w14:paraId="2D43A0E8" w14:textId="77777777" w:rsidR="00155009" w:rsidRDefault="00155009" w:rsidP="00155009">
            <w:pPr>
              <w:pStyle w:val="CETBodytext"/>
              <w:ind w:right="-1"/>
              <w:jc w:val="center"/>
              <w:rPr>
                <w:rFonts w:cs="Arial"/>
                <w:szCs w:val="18"/>
                <w:lang w:val="en-GB"/>
              </w:rPr>
            </w:pPr>
            <w:r>
              <w:rPr>
                <w:rFonts w:cs="Arial"/>
                <w:szCs w:val="18"/>
                <w:lang w:val="en-GB"/>
              </w:rPr>
              <w:t>State</w:t>
            </w:r>
          </w:p>
        </w:tc>
      </w:tr>
      <w:tr w:rsidR="00155009" w:rsidRPr="00B57B36" w14:paraId="582D103B" w14:textId="77777777" w:rsidTr="00155009">
        <w:tc>
          <w:tcPr>
            <w:tcW w:w="1134" w:type="dxa"/>
            <w:shd w:val="clear" w:color="auto" w:fill="FFFFFF"/>
          </w:tcPr>
          <w:p w14:paraId="605BA75A" w14:textId="77777777" w:rsidR="00155009" w:rsidRPr="00B57B36" w:rsidRDefault="00155009" w:rsidP="00155009">
            <w:pPr>
              <w:pStyle w:val="CETBodytext"/>
              <w:jc w:val="center"/>
              <w:rPr>
                <w:lang w:val="en-GB"/>
              </w:rPr>
            </w:pPr>
            <w:r>
              <w:rPr>
                <w:lang w:val="en-GB"/>
              </w:rPr>
              <w:t>Z1</w:t>
            </w:r>
          </w:p>
        </w:tc>
        <w:tc>
          <w:tcPr>
            <w:tcW w:w="1134" w:type="dxa"/>
            <w:shd w:val="clear" w:color="auto" w:fill="FFFFFF"/>
          </w:tcPr>
          <w:p w14:paraId="37300A14" w14:textId="77777777" w:rsidR="00155009" w:rsidRPr="00B57B36" w:rsidRDefault="00155009" w:rsidP="00155009">
            <w:pPr>
              <w:pStyle w:val="CETBodytext"/>
              <w:jc w:val="center"/>
              <w:rPr>
                <w:lang w:val="en-GB"/>
              </w:rPr>
            </w:pPr>
            <w:r>
              <w:rPr>
                <w:lang w:val="en-GB"/>
              </w:rPr>
              <w:t>SO 04</w:t>
            </w:r>
          </w:p>
        </w:tc>
        <w:tc>
          <w:tcPr>
            <w:tcW w:w="1418" w:type="dxa"/>
            <w:shd w:val="clear" w:color="auto" w:fill="FFFFFF"/>
          </w:tcPr>
          <w:p w14:paraId="48FF67B3" w14:textId="77777777" w:rsidR="00155009" w:rsidRPr="00B57B36" w:rsidRDefault="00155009" w:rsidP="00155009">
            <w:pPr>
              <w:pStyle w:val="CETBodytext"/>
              <w:jc w:val="center"/>
              <w:rPr>
                <w:lang w:val="en-GB"/>
              </w:rPr>
            </w:pPr>
            <w:r>
              <w:rPr>
                <w:lang w:val="en-GB"/>
              </w:rPr>
              <w:t>ETO warehouse</w:t>
            </w:r>
          </w:p>
        </w:tc>
        <w:tc>
          <w:tcPr>
            <w:tcW w:w="1134" w:type="dxa"/>
            <w:shd w:val="clear" w:color="auto" w:fill="FFFFFF"/>
          </w:tcPr>
          <w:p w14:paraId="093A0DFB" w14:textId="77777777" w:rsidR="00155009" w:rsidRPr="00B57B36" w:rsidRDefault="00155009" w:rsidP="00155009">
            <w:pPr>
              <w:pStyle w:val="CETBodytext"/>
              <w:ind w:right="-1"/>
              <w:jc w:val="center"/>
              <w:rPr>
                <w:rFonts w:cs="Arial"/>
                <w:szCs w:val="18"/>
                <w:lang w:val="en-GB"/>
              </w:rPr>
            </w:pPr>
            <w:r w:rsidRPr="00BC2FE3">
              <w:rPr>
                <w:lang w:val="en-GB"/>
              </w:rPr>
              <w:t>H331, H220</w:t>
            </w:r>
          </w:p>
        </w:tc>
        <w:tc>
          <w:tcPr>
            <w:tcW w:w="850" w:type="dxa"/>
            <w:shd w:val="clear" w:color="auto" w:fill="FFFFFF"/>
          </w:tcPr>
          <w:p w14:paraId="13370265" w14:textId="77777777" w:rsidR="00155009" w:rsidRPr="00B57B36" w:rsidRDefault="00155009" w:rsidP="00155009">
            <w:pPr>
              <w:pStyle w:val="CETBodytext"/>
              <w:ind w:right="-1"/>
              <w:jc w:val="center"/>
              <w:rPr>
                <w:rFonts w:cs="Arial"/>
                <w:szCs w:val="18"/>
                <w:lang w:val="en-GB"/>
              </w:rPr>
            </w:pPr>
            <w:r>
              <w:rPr>
                <w:rFonts w:cs="Arial"/>
                <w:szCs w:val="18"/>
                <w:lang w:val="en-GB"/>
              </w:rPr>
              <w:t>1.5</w:t>
            </w:r>
          </w:p>
        </w:tc>
        <w:tc>
          <w:tcPr>
            <w:tcW w:w="1134" w:type="dxa"/>
            <w:shd w:val="clear" w:color="auto" w:fill="FFFFFF"/>
          </w:tcPr>
          <w:p w14:paraId="4063969C" w14:textId="77777777" w:rsidR="00155009" w:rsidRPr="00155009" w:rsidRDefault="00155009" w:rsidP="00155009">
            <w:pPr>
              <w:pStyle w:val="CETBodytext"/>
              <w:ind w:right="-1"/>
              <w:jc w:val="center"/>
              <w:rPr>
                <w:rFonts w:cs="Arial"/>
                <w:szCs w:val="18"/>
                <w:lang w:val="cs-CZ"/>
              </w:rPr>
            </w:pPr>
            <w:r w:rsidRPr="00155009">
              <w:rPr>
                <w:rFonts w:cs="Arial"/>
                <w:szCs w:val="18"/>
                <w:lang w:val="en"/>
              </w:rPr>
              <w:t>liquefied gas</w:t>
            </w:r>
          </w:p>
          <w:p w14:paraId="4795C82C" w14:textId="77777777" w:rsidR="00155009" w:rsidRPr="00B57B36" w:rsidRDefault="00155009" w:rsidP="00155009">
            <w:pPr>
              <w:pStyle w:val="CETBodytext"/>
              <w:ind w:right="-1"/>
              <w:jc w:val="center"/>
              <w:rPr>
                <w:rFonts w:cs="Arial"/>
                <w:szCs w:val="18"/>
                <w:lang w:val="en-GB"/>
              </w:rPr>
            </w:pPr>
          </w:p>
        </w:tc>
      </w:tr>
      <w:tr w:rsidR="00155009" w:rsidRPr="00B57B36" w14:paraId="491A2400" w14:textId="77777777" w:rsidTr="00155009">
        <w:tc>
          <w:tcPr>
            <w:tcW w:w="1134" w:type="dxa"/>
            <w:shd w:val="clear" w:color="auto" w:fill="FFFFFF"/>
          </w:tcPr>
          <w:p w14:paraId="53D495E1" w14:textId="77777777" w:rsidR="00155009" w:rsidRPr="00B57B36" w:rsidRDefault="00155009" w:rsidP="00155009">
            <w:pPr>
              <w:pStyle w:val="CETBodytext"/>
              <w:jc w:val="center"/>
              <w:rPr>
                <w:lang w:val="en-GB"/>
              </w:rPr>
            </w:pPr>
            <w:r>
              <w:rPr>
                <w:lang w:val="en-GB"/>
              </w:rPr>
              <w:t>Z2</w:t>
            </w:r>
          </w:p>
        </w:tc>
        <w:tc>
          <w:tcPr>
            <w:tcW w:w="1134" w:type="dxa"/>
            <w:shd w:val="clear" w:color="auto" w:fill="FFFFFF"/>
          </w:tcPr>
          <w:p w14:paraId="1D86A88A" w14:textId="77777777" w:rsidR="00155009" w:rsidRPr="00B57B36" w:rsidRDefault="00155009" w:rsidP="00155009">
            <w:pPr>
              <w:pStyle w:val="CETBodytext"/>
              <w:jc w:val="center"/>
              <w:rPr>
                <w:lang w:val="en-GB"/>
              </w:rPr>
            </w:pPr>
            <w:r>
              <w:rPr>
                <w:lang w:val="en-GB"/>
              </w:rPr>
              <w:t>SO 03</w:t>
            </w:r>
          </w:p>
        </w:tc>
        <w:tc>
          <w:tcPr>
            <w:tcW w:w="1418" w:type="dxa"/>
            <w:shd w:val="clear" w:color="auto" w:fill="FFFFFF"/>
          </w:tcPr>
          <w:p w14:paraId="51FC7AC4" w14:textId="77777777" w:rsidR="00155009" w:rsidRPr="00B57B36" w:rsidRDefault="00155009" w:rsidP="00155009">
            <w:pPr>
              <w:pStyle w:val="CETBodytext"/>
              <w:jc w:val="center"/>
              <w:rPr>
                <w:lang w:val="en-GB"/>
              </w:rPr>
            </w:pPr>
            <w:r>
              <w:rPr>
                <w:lang w:val="en-GB"/>
              </w:rPr>
              <w:t>Sterilization process</w:t>
            </w:r>
          </w:p>
        </w:tc>
        <w:tc>
          <w:tcPr>
            <w:tcW w:w="1134" w:type="dxa"/>
            <w:shd w:val="clear" w:color="auto" w:fill="FFFFFF"/>
          </w:tcPr>
          <w:p w14:paraId="5DFE99BA" w14:textId="77777777" w:rsidR="00155009" w:rsidRPr="00B57B36" w:rsidRDefault="00155009" w:rsidP="00155009">
            <w:pPr>
              <w:pStyle w:val="CETBodytext"/>
              <w:ind w:right="-1"/>
              <w:jc w:val="center"/>
              <w:rPr>
                <w:rFonts w:cs="Arial"/>
                <w:szCs w:val="18"/>
                <w:lang w:val="en-GB"/>
              </w:rPr>
            </w:pPr>
            <w:r w:rsidRPr="00BC2FE3">
              <w:rPr>
                <w:lang w:val="en-GB"/>
              </w:rPr>
              <w:t>H331, H220</w:t>
            </w:r>
          </w:p>
        </w:tc>
        <w:tc>
          <w:tcPr>
            <w:tcW w:w="850" w:type="dxa"/>
            <w:shd w:val="clear" w:color="auto" w:fill="FFFFFF"/>
          </w:tcPr>
          <w:p w14:paraId="0B5C5D53" w14:textId="77777777" w:rsidR="00155009" w:rsidRPr="00B57B36" w:rsidRDefault="00155009" w:rsidP="00155009">
            <w:pPr>
              <w:pStyle w:val="CETBodytext"/>
              <w:ind w:right="-1"/>
              <w:jc w:val="center"/>
              <w:rPr>
                <w:rFonts w:cs="Arial"/>
                <w:szCs w:val="18"/>
                <w:lang w:val="en-GB"/>
              </w:rPr>
            </w:pPr>
            <w:r>
              <w:rPr>
                <w:rFonts w:cs="Arial"/>
                <w:szCs w:val="18"/>
                <w:lang w:val="en-GB"/>
              </w:rPr>
              <w:t>3</w:t>
            </w:r>
          </w:p>
        </w:tc>
        <w:tc>
          <w:tcPr>
            <w:tcW w:w="1134" w:type="dxa"/>
            <w:shd w:val="clear" w:color="auto" w:fill="FFFFFF"/>
          </w:tcPr>
          <w:p w14:paraId="7174EA14" w14:textId="77777777" w:rsidR="00155009" w:rsidRPr="00155009" w:rsidRDefault="00155009" w:rsidP="00155009">
            <w:pPr>
              <w:pStyle w:val="CETBodytext"/>
              <w:ind w:right="-1"/>
              <w:jc w:val="center"/>
              <w:rPr>
                <w:rFonts w:cs="Arial"/>
                <w:szCs w:val="18"/>
                <w:lang w:val="cs-CZ"/>
              </w:rPr>
            </w:pPr>
            <w:r w:rsidRPr="00155009">
              <w:rPr>
                <w:rFonts w:cs="Arial"/>
                <w:szCs w:val="18"/>
                <w:lang w:val="en"/>
              </w:rPr>
              <w:t>liquefied gas</w:t>
            </w:r>
          </w:p>
          <w:p w14:paraId="2D44F28F" w14:textId="77777777" w:rsidR="00155009" w:rsidRPr="00B57B36" w:rsidRDefault="00155009" w:rsidP="00155009">
            <w:pPr>
              <w:pStyle w:val="CETBodytext"/>
              <w:ind w:right="-1"/>
              <w:jc w:val="center"/>
              <w:rPr>
                <w:rFonts w:cs="Arial"/>
                <w:szCs w:val="18"/>
                <w:lang w:val="en-GB"/>
              </w:rPr>
            </w:pPr>
          </w:p>
        </w:tc>
      </w:tr>
      <w:tr w:rsidR="00155009" w:rsidRPr="00B57B36" w14:paraId="43FB59AA" w14:textId="77777777" w:rsidTr="00155009">
        <w:tc>
          <w:tcPr>
            <w:tcW w:w="1134" w:type="dxa"/>
            <w:shd w:val="clear" w:color="auto" w:fill="FFFFFF"/>
          </w:tcPr>
          <w:p w14:paraId="0AE3FBDB" w14:textId="77777777" w:rsidR="00155009" w:rsidRPr="00B57B36" w:rsidRDefault="00155009" w:rsidP="00155009">
            <w:pPr>
              <w:pStyle w:val="CETBodytext"/>
              <w:ind w:right="-1"/>
              <w:jc w:val="center"/>
              <w:rPr>
                <w:rFonts w:cs="Arial"/>
                <w:szCs w:val="18"/>
                <w:lang w:val="en-GB"/>
              </w:rPr>
            </w:pPr>
            <w:r>
              <w:rPr>
                <w:rFonts w:cs="Arial"/>
                <w:szCs w:val="18"/>
                <w:lang w:val="en-GB"/>
              </w:rPr>
              <w:t>Z3</w:t>
            </w:r>
          </w:p>
        </w:tc>
        <w:tc>
          <w:tcPr>
            <w:tcW w:w="1134" w:type="dxa"/>
            <w:shd w:val="clear" w:color="auto" w:fill="FFFFFF"/>
          </w:tcPr>
          <w:p w14:paraId="6741AA97" w14:textId="77777777" w:rsidR="00155009" w:rsidRPr="00B57B36" w:rsidRDefault="00155009" w:rsidP="00155009">
            <w:pPr>
              <w:pStyle w:val="CETBodytext"/>
              <w:ind w:right="-1"/>
              <w:jc w:val="center"/>
              <w:rPr>
                <w:rFonts w:cs="Arial"/>
                <w:szCs w:val="18"/>
                <w:lang w:val="en-GB"/>
              </w:rPr>
            </w:pPr>
          </w:p>
        </w:tc>
        <w:tc>
          <w:tcPr>
            <w:tcW w:w="1418" w:type="dxa"/>
            <w:shd w:val="clear" w:color="auto" w:fill="FFFFFF"/>
          </w:tcPr>
          <w:p w14:paraId="5D3A5F3C" w14:textId="23824840" w:rsidR="00155009" w:rsidRPr="00B57B36" w:rsidRDefault="00155009" w:rsidP="00155009">
            <w:pPr>
              <w:pStyle w:val="CETBodytext"/>
              <w:ind w:right="-1"/>
              <w:jc w:val="center"/>
              <w:rPr>
                <w:rFonts w:cs="Arial"/>
                <w:szCs w:val="18"/>
                <w:lang w:val="en-GB"/>
              </w:rPr>
            </w:pPr>
            <w:r>
              <w:rPr>
                <w:rFonts w:cs="Arial"/>
                <w:szCs w:val="18"/>
                <w:lang w:val="en-GB"/>
              </w:rPr>
              <w:t>ETO transport truck</w:t>
            </w:r>
          </w:p>
        </w:tc>
        <w:tc>
          <w:tcPr>
            <w:tcW w:w="1134" w:type="dxa"/>
            <w:shd w:val="clear" w:color="auto" w:fill="FFFFFF"/>
          </w:tcPr>
          <w:p w14:paraId="23646EB8" w14:textId="77777777" w:rsidR="00155009" w:rsidRPr="00B57B36" w:rsidRDefault="00155009" w:rsidP="00155009">
            <w:pPr>
              <w:pStyle w:val="CETBodytext"/>
              <w:ind w:right="-1"/>
              <w:jc w:val="center"/>
              <w:rPr>
                <w:rFonts w:cs="Arial"/>
                <w:szCs w:val="18"/>
                <w:lang w:val="en-GB"/>
              </w:rPr>
            </w:pPr>
            <w:r w:rsidRPr="00BC2FE3">
              <w:rPr>
                <w:lang w:val="en-GB"/>
              </w:rPr>
              <w:t>H331, H220</w:t>
            </w:r>
          </w:p>
        </w:tc>
        <w:tc>
          <w:tcPr>
            <w:tcW w:w="850" w:type="dxa"/>
            <w:shd w:val="clear" w:color="auto" w:fill="FFFFFF"/>
          </w:tcPr>
          <w:p w14:paraId="5EF84E3A" w14:textId="77777777" w:rsidR="00155009" w:rsidRPr="00B57B36" w:rsidRDefault="00155009" w:rsidP="00155009">
            <w:pPr>
              <w:pStyle w:val="CETBodytext"/>
              <w:ind w:right="-1"/>
              <w:jc w:val="center"/>
              <w:rPr>
                <w:rFonts w:cs="Arial"/>
                <w:szCs w:val="18"/>
                <w:lang w:val="en-GB"/>
              </w:rPr>
            </w:pPr>
            <w:r>
              <w:rPr>
                <w:rFonts w:cs="Arial"/>
                <w:szCs w:val="18"/>
                <w:lang w:val="en-GB"/>
              </w:rPr>
              <w:t>2.5</w:t>
            </w:r>
          </w:p>
        </w:tc>
        <w:tc>
          <w:tcPr>
            <w:tcW w:w="1134" w:type="dxa"/>
            <w:shd w:val="clear" w:color="auto" w:fill="FFFFFF"/>
          </w:tcPr>
          <w:p w14:paraId="76DDE88D" w14:textId="77777777" w:rsidR="00155009" w:rsidRPr="00155009" w:rsidRDefault="00155009" w:rsidP="00155009">
            <w:pPr>
              <w:pStyle w:val="CETBodytext"/>
              <w:ind w:right="-1"/>
              <w:jc w:val="center"/>
              <w:rPr>
                <w:rFonts w:cs="Arial"/>
                <w:szCs w:val="18"/>
                <w:lang w:val="cs-CZ"/>
              </w:rPr>
            </w:pPr>
            <w:r w:rsidRPr="00155009">
              <w:rPr>
                <w:rFonts w:cs="Arial"/>
                <w:szCs w:val="18"/>
                <w:lang w:val="en"/>
              </w:rPr>
              <w:t>liquefied gas</w:t>
            </w:r>
          </w:p>
          <w:p w14:paraId="3A2F4F20" w14:textId="77777777" w:rsidR="00155009" w:rsidRPr="00B57B36" w:rsidRDefault="00155009" w:rsidP="00155009">
            <w:pPr>
              <w:pStyle w:val="CETBodytext"/>
              <w:ind w:right="-1"/>
              <w:jc w:val="center"/>
              <w:rPr>
                <w:rFonts w:cs="Arial"/>
                <w:szCs w:val="18"/>
                <w:lang w:val="en-GB"/>
              </w:rPr>
            </w:pPr>
          </w:p>
        </w:tc>
      </w:tr>
    </w:tbl>
    <w:p w14:paraId="05D0E63A" w14:textId="77777777" w:rsidR="00CE6298" w:rsidRDefault="00CE6298" w:rsidP="00CE6298">
      <w:pPr>
        <w:pStyle w:val="CETBodytext"/>
      </w:pPr>
    </w:p>
    <w:p w14:paraId="770ED96A" w14:textId="1C76F65B" w:rsidR="00391ED4" w:rsidRDefault="00F84353" w:rsidP="00F84353">
      <w:pPr>
        <w:pStyle w:val="CETheadingx"/>
      </w:pPr>
      <w:r w:rsidRPr="00F84353">
        <w:t>Identification and selection of risk sources for detailed risk analysis</w:t>
      </w:r>
    </w:p>
    <w:p w14:paraId="1D1165AA" w14:textId="1D7FC354" w:rsidR="00312782" w:rsidRPr="00C806D2" w:rsidRDefault="40C8F9D5" w:rsidP="00312782">
      <w:pPr>
        <w:rPr>
          <w:rFonts w:eastAsia="Arial" w:cs="Arial"/>
        </w:rPr>
      </w:pPr>
      <w:r w:rsidRPr="5B7FB543">
        <w:rPr>
          <w:rFonts w:eastAsia="Arial" w:cs="Arial"/>
        </w:rPr>
        <w:t xml:space="preserve">In the initial phase of the risk assessment, a selection of sources of major accident risks was conducted using the selection method outlined in the CPR 18E Purple Book. To assess risks within the framework of major accident prevention, a total of three facilities located within the operation of the planned ETO sterilization technology were evaluated (see Table </w:t>
      </w:r>
      <w:r w:rsidR="00DC0E39">
        <w:rPr>
          <w:rFonts w:eastAsia="Arial" w:cs="Arial"/>
        </w:rPr>
        <w:t>2</w:t>
      </w:r>
      <w:r w:rsidRPr="5B7FB543">
        <w:rPr>
          <w:rFonts w:eastAsia="Arial" w:cs="Arial"/>
        </w:rPr>
        <w:t>).</w:t>
      </w:r>
      <w:r w:rsidR="0021459B">
        <w:rPr>
          <w:rFonts w:eastAsia="Arial" w:cs="Arial"/>
        </w:rPr>
        <w:t xml:space="preserve"> </w:t>
      </w:r>
      <w:r w:rsidRPr="5B7FB543">
        <w:rPr>
          <w:rFonts w:eastAsia="Arial" w:cs="Arial"/>
        </w:rPr>
        <w:t>Indicative numbers were determined, and due to the short distance to the boundary of the facility, the selective numbers at a distance of 100 meters were evaluated as identical to the indicative numbers. An overview of all units assessed using the selection method, including the calculated indicative numbers, is provided below.</w:t>
      </w:r>
    </w:p>
    <w:p w14:paraId="1F4D12D2" w14:textId="093ECFA6" w:rsidR="000E06B2" w:rsidRPr="00B57B36" w:rsidRDefault="0021044A" w:rsidP="000E06B2">
      <w:pPr>
        <w:pStyle w:val="CETTabletitle"/>
      </w:pPr>
      <w:r>
        <w:t>Table 2:</w:t>
      </w:r>
      <w:r w:rsidR="00E731A3" w:rsidRPr="00E731A3">
        <w:rPr>
          <w:rFonts w:ascii="Roboto" w:hAnsi="Roboto"/>
          <w:color w:val="3C4043"/>
          <w:sz w:val="36"/>
          <w:szCs w:val="36"/>
          <w:shd w:val="clear" w:color="auto" w:fill="F5F5F5"/>
        </w:rPr>
        <w:t xml:space="preserve"> </w:t>
      </w:r>
      <w:r w:rsidR="00E731A3" w:rsidRPr="00E731A3">
        <w:t>Determination of indicator numbers by selective method</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68"/>
        <w:gridCol w:w="1051"/>
        <w:gridCol w:w="1052"/>
        <w:gridCol w:w="936"/>
        <w:gridCol w:w="936"/>
        <w:gridCol w:w="936"/>
        <w:gridCol w:w="936"/>
        <w:gridCol w:w="936"/>
        <w:gridCol w:w="936"/>
      </w:tblGrid>
      <w:tr w:rsidR="005B404E" w:rsidRPr="00B57B36" w14:paraId="27974BD7" w14:textId="77777777" w:rsidTr="005B404E">
        <w:tc>
          <w:tcPr>
            <w:tcW w:w="1068" w:type="dxa"/>
            <w:tcBorders>
              <w:top w:val="single" w:sz="12" w:space="0" w:color="008000"/>
              <w:bottom w:val="single" w:sz="6" w:space="0" w:color="008000"/>
            </w:tcBorders>
            <w:shd w:val="clear" w:color="auto" w:fill="FFFFFF"/>
          </w:tcPr>
          <w:p w14:paraId="6AD7D755" w14:textId="0405E798" w:rsidR="005B404E" w:rsidRPr="00B57B36" w:rsidRDefault="009A59CA" w:rsidP="007B199B">
            <w:pPr>
              <w:pStyle w:val="CETBodytext"/>
              <w:rPr>
                <w:lang w:val="en-GB"/>
              </w:rPr>
            </w:pPr>
            <w:r>
              <w:rPr>
                <w:lang w:val="en-GB"/>
              </w:rPr>
              <w:t>Storage No</w:t>
            </w:r>
            <w:r w:rsidR="005B404E" w:rsidRPr="00B57B36">
              <w:rPr>
                <w:lang w:val="en-GB"/>
              </w:rPr>
              <w:t xml:space="preserve"> </w:t>
            </w:r>
          </w:p>
        </w:tc>
        <w:tc>
          <w:tcPr>
            <w:tcW w:w="1051" w:type="dxa"/>
            <w:tcBorders>
              <w:top w:val="single" w:sz="12" w:space="0" w:color="008000"/>
              <w:bottom w:val="single" w:sz="6" w:space="0" w:color="008000"/>
            </w:tcBorders>
            <w:shd w:val="clear" w:color="auto" w:fill="FFFFFF"/>
          </w:tcPr>
          <w:p w14:paraId="756CB7EF" w14:textId="26774836" w:rsidR="005B404E" w:rsidRPr="00B57B36" w:rsidRDefault="009A59CA" w:rsidP="007B199B">
            <w:pPr>
              <w:pStyle w:val="CETBodytext"/>
              <w:rPr>
                <w:lang w:val="en-GB"/>
              </w:rPr>
            </w:pPr>
            <w:r>
              <w:rPr>
                <w:lang w:val="en-GB"/>
              </w:rPr>
              <w:t>Facility</w:t>
            </w:r>
          </w:p>
        </w:tc>
        <w:tc>
          <w:tcPr>
            <w:tcW w:w="1052" w:type="dxa"/>
            <w:tcBorders>
              <w:top w:val="single" w:sz="12" w:space="0" w:color="008000"/>
              <w:bottom w:val="single" w:sz="6" w:space="0" w:color="008000"/>
            </w:tcBorders>
            <w:shd w:val="clear" w:color="auto" w:fill="FFFFFF"/>
          </w:tcPr>
          <w:p w14:paraId="66D946EE" w14:textId="35B265B4" w:rsidR="005B404E" w:rsidRPr="00B57B36" w:rsidRDefault="009A59CA" w:rsidP="007B199B">
            <w:pPr>
              <w:pStyle w:val="CETBodytext"/>
              <w:rPr>
                <w:lang w:val="en-GB"/>
              </w:rPr>
            </w:pPr>
            <w:r>
              <w:rPr>
                <w:lang w:val="en-GB"/>
              </w:rPr>
              <w:t>Hazardous properties</w:t>
            </w:r>
          </w:p>
        </w:tc>
        <w:tc>
          <w:tcPr>
            <w:tcW w:w="936" w:type="dxa"/>
            <w:tcBorders>
              <w:top w:val="single" w:sz="12" w:space="0" w:color="008000"/>
              <w:bottom w:val="single" w:sz="6" w:space="0" w:color="008000"/>
            </w:tcBorders>
            <w:shd w:val="clear" w:color="auto" w:fill="FFFFFF"/>
          </w:tcPr>
          <w:p w14:paraId="1CD223D1" w14:textId="46C06065" w:rsidR="005E0D14" w:rsidRDefault="009A59CA" w:rsidP="007B199B">
            <w:pPr>
              <w:pStyle w:val="CETBodytext"/>
              <w:ind w:right="-1"/>
              <w:rPr>
                <w:rFonts w:cs="Arial"/>
                <w:szCs w:val="18"/>
                <w:lang w:val="en-GB"/>
              </w:rPr>
            </w:pPr>
            <w:r>
              <w:rPr>
                <w:rFonts w:cs="Arial"/>
                <w:szCs w:val="18"/>
                <w:lang w:val="en-GB"/>
              </w:rPr>
              <w:t>Amount</w:t>
            </w:r>
            <w:r w:rsidR="005E0D14">
              <w:rPr>
                <w:rFonts w:cs="Arial"/>
                <w:szCs w:val="18"/>
                <w:lang w:val="en-GB"/>
              </w:rPr>
              <w:t xml:space="preserve"> Q</w:t>
            </w:r>
          </w:p>
          <w:p w14:paraId="4C9A2B7B" w14:textId="4FB639BF" w:rsidR="005B404E" w:rsidRPr="00B57B36" w:rsidRDefault="009A59CA" w:rsidP="007B199B">
            <w:pPr>
              <w:pStyle w:val="CETBodytext"/>
              <w:ind w:right="-1"/>
              <w:rPr>
                <w:rFonts w:cs="Arial"/>
                <w:szCs w:val="18"/>
                <w:lang w:val="en-GB"/>
              </w:rPr>
            </w:pPr>
            <w:r>
              <w:rPr>
                <w:rFonts w:cs="Arial"/>
                <w:szCs w:val="18"/>
                <w:lang w:val="en-GB"/>
              </w:rPr>
              <w:t>[kg]</w:t>
            </w:r>
          </w:p>
        </w:tc>
        <w:tc>
          <w:tcPr>
            <w:tcW w:w="936" w:type="dxa"/>
            <w:tcBorders>
              <w:top w:val="single" w:sz="12" w:space="0" w:color="008000"/>
              <w:bottom w:val="single" w:sz="6" w:space="0" w:color="008000"/>
            </w:tcBorders>
            <w:shd w:val="clear" w:color="auto" w:fill="FFFFFF"/>
          </w:tcPr>
          <w:p w14:paraId="6AF66D4C" w14:textId="77777777" w:rsidR="005B404E" w:rsidRDefault="009A59CA" w:rsidP="007B199B">
            <w:pPr>
              <w:pStyle w:val="CETBodytext"/>
              <w:ind w:right="-1"/>
              <w:rPr>
                <w:rFonts w:cs="Arial"/>
                <w:szCs w:val="18"/>
                <w:lang w:val="en-GB"/>
              </w:rPr>
            </w:pPr>
            <w:r>
              <w:rPr>
                <w:rFonts w:cs="Arial"/>
                <w:szCs w:val="18"/>
                <w:lang w:val="en-GB"/>
              </w:rPr>
              <w:t>Factors</w:t>
            </w:r>
          </w:p>
          <w:p w14:paraId="0B134694" w14:textId="2EAF1997" w:rsidR="006E54DD" w:rsidRPr="006E54DD" w:rsidRDefault="006E54DD" w:rsidP="007B199B">
            <w:pPr>
              <w:pStyle w:val="CETBodytext"/>
              <w:ind w:right="-1"/>
              <w:rPr>
                <w:rFonts w:cs="Arial"/>
                <w:szCs w:val="18"/>
                <w:vertAlign w:val="subscript"/>
                <w:lang w:val="en-GB"/>
              </w:rPr>
            </w:pPr>
            <w:r>
              <w:rPr>
                <w:rFonts w:cs="Arial"/>
                <w:szCs w:val="18"/>
                <w:lang w:val="en-GB"/>
              </w:rPr>
              <w:t>O</w:t>
            </w:r>
            <w:r>
              <w:rPr>
                <w:rFonts w:cs="Arial"/>
                <w:szCs w:val="18"/>
                <w:vertAlign w:val="subscript"/>
                <w:lang w:val="en-GB"/>
              </w:rPr>
              <w:t>1</w:t>
            </w:r>
          </w:p>
        </w:tc>
        <w:tc>
          <w:tcPr>
            <w:tcW w:w="936" w:type="dxa"/>
            <w:tcBorders>
              <w:top w:val="single" w:sz="12" w:space="0" w:color="008000"/>
              <w:bottom w:val="single" w:sz="6" w:space="0" w:color="008000"/>
            </w:tcBorders>
            <w:shd w:val="clear" w:color="auto" w:fill="FFFFFF"/>
          </w:tcPr>
          <w:p w14:paraId="3F8789E4" w14:textId="77777777" w:rsidR="005B404E" w:rsidRDefault="006E54DD" w:rsidP="007B199B">
            <w:pPr>
              <w:pStyle w:val="CETBodytext"/>
              <w:ind w:right="-1"/>
              <w:rPr>
                <w:rFonts w:cs="Arial"/>
                <w:szCs w:val="18"/>
                <w:lang w:val="en-GB"/>
              </w:rPr>
            </w:pPr>
            <w:r>
              <w:rPr>
                <w:rFonts w:cs="Arial"/>
                <w:szCs w:val="18"/>
                <w:lang w:val="en-GB"/>
              </w:rPr>
              <w:t>Factors</w:t>
            </w:r>
          </w:p>
          <w:p w14:paraId="755FD8F4" w14:textId="1008BCAB" w:rsidR="006E54DD" w:rsidRPr="006E54DD" w:rsidRDefault="006E54DD" w:rsidP="007B199B">
            <w:pPr>
              <w:pStyle w:val="CETBodytext"/>
              <w:ind w:right="-1"/>
              <w:rPr>
                <w:rFonts w:cs="Arial"/>
                <w:szCs w:val="18"/>
                <w:vertAlign w:val="subscript"/>
                <w:lang w:val="en-GB"/>
              </w:rPr>
            </w:pPr>
            <w:r>
              <w:rPr>
                <w:rFonts w:cs="Arial"/>
                <w:szCs w:val="18"/>
                <w:lang w:val="en-GB"/>
              </w:rPr>
              <w:t>O</w:t>
            </w:r>
            <w:r>
              <w:rPr>
                <w:rFonts w:cs="Arial"/>
                <w:szCs w:val="18"/>
                <w:vertAlign w:val="subscript"/>
                <w:lang w:val="en-GB"/>
              </w:rPr>
              <w:t>2</w:t>
            </w:r>
          </w:p>
        </w:tc>
        <w:tc>
          <w:tcPr>
            <w:tcW w:w="936" w:type="dxa"/>
            <w:tcBorders>
              <w:top w:val="single" w:sz="12" w:space="0" w:color="008000"/>
              <w:bottom w:val="single" w:sz="6" w:space="0" w:color="008000"/>
            </w:tcBorders>
            <w:shd w:val="clear" w:color="auto" w:fill="FFFFFF"/>
          </w:tcPr>
          <w:p w14:paraId="51706407" w14:textId="77777777" w:rsidR="005B404E" w:rsidRDefault="006E54DD" w:rsidP="007B199B">
            <w:pPr>
              <w:pStyle w:val="CETBodytext"/>
              <w:ind w:right="-1"/>
              <w:rPr>
                <w:rFonts w:cs="Arial"/>
                <w:szCs w:val="18"/>
                <w:lang w:val="en-GB"/>
              </w:rPr>
            </w:pPr>
            <w:r>
              <w:rPr>
                <w:rFonts w:cs="Arial"/>
                <w:szCs w:val="18"/>
                <w:lang w:val="en-GB"/>
              </w:rPr>
              <w:t>Factors</w:t>
            </w:r>
          </w:p>
          <w:p w14:paraId="6F4BED00" w14:textId="444B4560" w:rsidR="006E54DD" w:rsidRPr="00A875A3" w:rsidRDefault="006E54DD" w:rsidP="007B199B">
            <w:pPr>
              <w:pStyle w:val="CETBodytext"/>
              <w:ind w:right="-1"/>
              <w:rPr>
                <w:rFonts w:cs="Arial"/>
                <w:szCs w:val="18"/>
                <w:vertAlign w:val="subscript"/>
                <w:lang w:val="cs-CZ"/>
              </w:rPr>
            </w:pPr>
            <w:r>
              <w:rPr>
                <w:rFonts w:cs="Arial"/>
                <w:szCs w:val="18"/>
                <w:lang w:val="en-GB"/>
              </w:rPr>
              <w:t>O</w:t>
            </w:r>
            <w:r>
              <w:rPr>
                <w:rFonts w:cs="Arial"/>
                <w:szCs w:val="18"/>
                <w:vertAlign w:val="subscript"/>
                <w:lang w:val="en-GB"/>
              </w:rPr>
              <w:t>3</w:t>
            </w:r>
          </w:p>
        </w:tc>
        <w:tc>
          <w:tcPr>
            <w:tcW w:w="936" w:type="dxa"/>
            <w:tcBorders>
              <w:top w:val="single" w:sz="12" w:space="0" w:color="008000"/>
              <w:bottom w:val="single" w:sz="6" w:space="0" w:color="008000"/>
            </w:tcBorders>
            <w:shd w:val="clear" w:color="auto" w:fill="FFFFFF"/>
          </w:tcPr>
          <w:p w14:paraId="0C2953EA" w14:textId="77777777" w:rsidR="005B404E" w:rsidRDefault="00A875A3" w:rsidP="007B199B">
            <w:pPr>
              <w:pStyle w:val="CETBodytext"/>
              <w:ind w:right="-1"/>
              <w:rPr>
                <w:rFonts w:cs="Arial"/>
                <w:szCs w:val="18"/>
                <w:lang w:val="en-GB"/>
              </w:rPr>
            </w:pPr>
            <w:r>
              <w:rPr>
                <w:rFonts w:cs="Arial"/>
                <w:szCs w:val="18"/>
                <w:lang w:val="en-GB"/>
              </w:rPr>
              <w:t xml:space="preserve">Limit </w:t>
            </w:r>
          </w:p>
          <w:p w14:paraId="5DE6F936" w14:textId="77777777" w:rsidR="00314A94" w:rsidRDefault="005539C9" w:rsidP="007B199B">
            <w:pPr>
              <w:pStyle w:val="CETBodytext"/>
              <w:ind w:right="-1"/>
              <w:rPr>
                <w:rFonts w:cs="Arial"/>
                <w:szCs w:val="18"/>
                <w:lang w:val="en-GB"/>
              </w:rPr>
            </w:pPr>
            <w:r>
              <w:rPr>
                <w:rFonts w:cs="Arial"/>
                <w:szCs w:val="18"/>
                <w:lang w:val="en-GB"/>
              </w:rPr>
              <w:t>V</w:t>
            </w:r>
            <w:r w:rsidR="00A875A3">
              <w:rPr>
                <w:rFonts w:cs="Arial"/>
                <w:szCs w:val="18"/>
                <w:lang w:val="en-GB"/>
              </w:rPr>
              <w:t>alue</w:t>
            </w:r>
            <w:r>
              <w:rPr>
                <w:rFonts w:cs="Arial"/>
                <w:szCs w:val="18"/>
                <w:lang w:val="en-GB"/>
              </w:rPr>
              <w:t xml:space="preserve"> </w:t>
            </w:r>
            <w:r w:rsidR="00314A94">
              <w:rPr>
                <w:rFonts w:cs="Arial"/>
                <w:szCs w:val="18"/>
                <w:lang w:val="en-GB"/>
              </w:rPr>
              <w:t>G</w:t>
            </w:r>
          </w:p>
          <w:p w14:paraId="38830316" w14:textId="1798D9C4" w:rsidR="00A875A3" w:rsidRPr="00B57B36" w:rsidRDefault="00314A94" w:rsidP="007B199B">
            <w:pPr>
              <w:pStyle w:val="CETBodytext"/>
              <w:ind w:right="-1"/>
              <w:rPr>
                <w:rFonts w:cs="Arial"/>
                <w:szCs w:val="18"/>
                <w:lang w:val="en-GB"/>
              </w:rPr>
            </w:pPr>
            <w:r>
              <w:rPr>
                <w:rFonts w:cs="Arial"/>
                <w:szCs w:val="18"/>
                <w:lang w:val="en-GB"/>
              </w:rPr>
              <w:t>[kg]</w:t>
            </w:r>
          </w:p>
        </w:tc>
        <w:tc>
          <w:tcPr>
            <w:tcW w:w="936" w:type="dxa"/>
            <w:tcBorders>
              <w:top w:val="single" w:sz="12" w:space="0" w:color="008000"/>
              <w:bottom w:val="single" w:sz="6" w:space="0" w:color="008000"/>
            </w:tcBorders>
            <w:shd w:val="clear" w:color="auto" w:fill="FFFFFF"/>
          </w:tcPr>
          <w:p w14:paraId="15A77F86" w14:textId="77777777" w:rsidR="008F1119" w:rsidRDefault="00A875A3" w:rsidP="007B199B">
            <w:pPr>
              <w:pStyle w:val="CETBodytext"/>
              <w:ind w:right="-1"/>
              <w:rPr>
                <w:rFonts w:cs="Arial"/>
                <w:szCs w:val="18"/>
                <w:lang w:val="en-GB"/>
              </w:rPr>
            </w:pPr>
            <w:r>
              <w:rPr>
                <w:rFonts w:cs="Arial"/>
                <w:szCs w:val="18"/>
                <w:lang w:val="en-GB"/>
              </w:rPr>
              <w:t>Indicat</w:t>
            </w:r>
            <w:r w:rsidR="008F1119">
              <w:rPr>
                <w:rFonts w:cs="Arial"/>
                <w:szCs w:val="18"/>
                <w:lang w:val="en-GB"/>
              </w:rPr>
              <w:t>or</w:t>
            </w:r>
          </w:p>
          <w:p w14:paraId="151A28AE" w14:textId="0926C53D" w:rsidR="005B404E" w:rsidRPr="00B57B36" w:rsidRDefault="00A875A3" w:rsidP="007B199B">
            <w:pPr>
              <w:pStyle w:val="CETBodytext"/>
              <w:ind w:right="-1"/>
              <w:rPr>
                <w:rFonts w:cs="Arial"/>
                <w:szCs w:val="18"/>
                <w:lang w:val="en-GB"/>
              </w:rPr>
            </w:pPr>
            <w:r>
              <w:rPr>
                <w:rFonts w:cs="Arial"/>
                <w:szCs w:val="18"/>
                <w:lang w:val="en-GB"/>
              </w:rPr>
              <w:t>No</w:t>
            </w:r>
            <w:r w:rsidR="00314A94">
              <w:rPr>
                <w:rFonts w:cs="Arial"/>
                <w:szCs w:val="18"/>
                <w:lang w:val="en-GB"/>
              </w:rPr>
              <w:t xml:space="preserve"> A</w:t>
            </w:r>
          </w:p>
        </w:tc>
      </w:tr>
      <w:tr w:rsidR="005B404E" w:rsidRPr="00B57B36" w14:paraId="59364182" w14:textId="77777777" w:rsidTr="005B404E">
        <w:tc>
          <w:tcPr>
            <w:tcW w:w="1068" w:type="dxa"/>
            <w:shd w:val="clear" w:color="auto" w:fill="FFFFFF"/>
          </w:tcPr>
          <w:p w14:paraId="72454C85" w14:textId="1F72195C" w:rsidR="005B404E" w:rsidRPr="00B57B36" w:rsidRDefault="008F1119" w:rsidP="007B199B">
            <w:pPr>
              <w:pStyle w:val="CETBodytext"/>
              <w:rPr>
                <w:lang w:val="en-GB"/>
              </w:rPr>
            </w:pPr>
            <w:r>
              <w:rPr>
                <w:lang w:val="en-GB"/>
              </w:rPr>
              <w:t>Z1</w:t>
            </w:r>
          </w:p>
        </w:tc>
        <w:tc>
          <w:tcPr>
            <w:tcW w:w="1051" w:type="dxa"/>
            <w:shd w:val="clear" w:color="auto" w:fill="FFFFFF"/>
          </w:tcPr>
          <w:p w14:paraId="67958D37" w14:textId="56287AD6" w:rsidR="005B404E" w:rsidRPr="00B57B36" w:rsidRDefault="000B05DC" w:rsidP="007B199B">
            <w:pPr>
              <w:pStyle w:val="CETBodytext"/>
              <w:rPr>
                <w:lang w:val="en-GB"/>
              </w:rPr>
            </w:pPr>
            <w:r>
              <w:rPr>
                <w:lang w:val="en-GB"/>
              </w:rPr>
              <w:t>Warehouse</w:t>
            </w:r>
          </w:p>
        </w:tc>
        <w:tc>
          <w:tcPr>
            <w:tcW w:w="1052" w:type="dxa"/>
            <w:shd w:val="clear" w:color="auto" w:fill="FFFFFF"/>
          </w:tcPr>
          <w:p w14:paraId="6F575D68" w14:textId="03804558" w:rsidR="005B404E" w:rsidRPr="00B57B36" w:rsidRDefault="00397D1D" w:rsidP="007B199B">
            <w:pPr>
              <w:pStyle w:val="CETBodytext"/>
              <w:rPr>
                <w:lang w:val="en-GB"/>
              </w:rPr>
            </w:pPr>
            <w:r>
              <w:rPr>
                <w:lang w:val="en-GB"/>
              </w:rPr>
              <w:t>Tox.</w:t>
            </w:r>
          </w:p>
        </w:tc>
        <w:tc>
          <w:tcPr>
            <w:tcW w:w="936" w:type="dxa"/>
            <w:shd w:val="clear" w:color="auto" w:fill="FFFFFF"/>
          </w:tcPr>
          <w:p w14:paraId="3212D918" w14:textId="0B03FF20" w:rsidR="005B404E" w:rsidRPr="00B57B36" w:rsidRDefault="005E0D14" w:rsidP="007B199B">
            <w:pPr>
              <w:pStyle w:val="CETBodytext"/>
              <w:ind w:right="-1"/>
              <w:rPr>
                <w:rFonts w:cs="Arial"/>
                <w:szCs w:val="18"/>
                <w:lang w:val="en-GB"/>
              </w:rPr>
            </w:pPr>
            <w:r>
              <w:rPr>
                <w:rFonts w:cs="Arial"/>
                <w:szCs w:val="18"/>
                <w:lang w:val="en-GB"/>
              </w:rPr>
              <w:t>1</w:t>
            </w:r>
            <w:r w:rsidR="00EC7E3B">
              <w:rPr>
                <w:rFonts w:cs="Arial"/>
                <w:szCs w:val="18"/>
                <w:lang w:val="en-GB"/>
              </w:rPr>
              <w:t>,</w:t>
            </w:r>
            <w:r>
              <w:rPr>
                <w:rFonts w:cs="Arial"/>
                <w:szCs w:val="18"/>
                <w:lang w:val="en-GB"/>
              </w:rPr>
              <w:t>500</w:t>
            </w:r>
          </w:p>
        </w:tc>
        <w:tc>
          <w:tcPr>
            <w:tcW w:w="936" w:type="dxa"/>
            <w:shd w:val="clear" w:color="auto" w:fill="FFFFFF"/>
          </w:tcPr>
          <w:p w14:paraId="35F66FF6" w14:textId="11DDFC62" w:rsidR="005B404E" w:rsidRPr="00B57B36" w:rsidRDefault="002D591D" w:rsidP="007B199B">
            <w:pPr>
              <w:pStyle w:val="CETBodytext"/>
              <w:ind w:right="-1"/>
              <w:rPr>
                <w:rFonts w:cs="Arial"/>
                <w:szCs w:val="18"/>
                <w:lang w:val="en-GB"/>
              </w:rPr>
            </w:pPr>
            <w:r>
              <w:rPr>
                <w:rFonts w:cs="Arial"/>
                <w:szCs w:val="18"/>
                <w:lang w:val="en-GB"/>
              </w:rPr>
              <w:t>0.1</w:t>
            </w:r>
          </w:p>
        </w:tc>
        <w:tc>
          <w:tcPr>
            <w:tcW w:w="936" w:type="dxa"/>
            <w:shd w:val="clear" w:color="auto" w:fill="FFFFFF"/>
          </w:tcPr>
          <w:p w14:paraId="3C6A6B6F" w14:textId="4C272D20" w:rsidR="005B404E" w:rsidRPr="00B57B36" w:rsidRDefault="002D591D" w:rsidP="007B199B">
            <w:pPr>
              <w:pStyle w:val="CETBodytext"/>
              <w:ind w:right="-1"/>
              <w:rPr>
                <w:rFonts w:cs="Arial"/>
                <w:szCs w:val="18"/>
                <w:lang w:val="en-GB"/>
              </w:rPr>
            </w:pPr>
            <w:r>
              <w:rPr>
                <w:rFonts w:cs="Arial"/>
                <w:szCs w:val="18"/>
                <w:lang w:val="en-GB"/>
              </w:rPr>
              <w:t>0.1</w:t>
            </w:r>
          </w:p>
        </w:tc>
        <w:tc>
          <w:tcPr>
            <w:tcW w:w="936" w:type="dxa"/>
            <w:shd w:val="clear" w:color="auto" w:fill="FFFFFF"/>
          </w:tcPr>
          <w:p w14:paraId="44FCB688" w14:textId="78DB012F" w:rsidR="005B404E" w:rsidRPr="00B57B36" w:rsidRDefault="002D591D" w:rsidP="007B199B">
            <w:pPr>
              <w:pStyle w:val="CETBodytext"/>
              <w:ind w:right="-1"/>
              <w:rPr>
                <w:rFonts w:cs="Arial"/>
                <w:szCs w:val="18"/>
                <w:lang w:val="en-GB"/>
              </w:rPr>
            </w:pPr>
            <w:r>
              <w:rPr>
                <w:rFonts w:cs="Arial"/>
                <w:szCs w:val="18"/>
                <w:lang w:val="en-GB"/>
              </w:rPr>
              <w:t>10</w:t>
            </w:r>
          </w:p>
        </w:tc>
        <w:tc>
          <w:tcPr>
            <w:tcW w:w="936" w:type="dxa"/>
            <w:shd w:val="clear" w:color="auto" w:fill="FFFFFF"/>
          </w:tcPr>
          <w:p w14:paraId="05A7443D" w14:textId="163B8D69" w:rsidR="005B404E" w:rsidRPr="00B57B36" w:rsidRDefault="002D591D" w:rsidP="007B199B">
            <w:pPr>
              <w:pStyle w:val="CETBodytext"/>
              <w:ind w:right="-1"/>
              <w:rPr>
                <w:rFonts w:cs="Arial"/>
                <w:szCs w:val="18"/>
                <w:lang w:val="en-GB"/>
              </w:rPr>
            </w:pPr>
            <w:r>
              <w:rPr>
                <w:rFonts w:cs="Arial"/>
                <w:szCs w:val="18"/>
                <w:lang w:val="en-GB"/>
              </w:rPr>
              <w:t>300</w:t>
            </w:r>
          </w:p>
        </w:tc>
        <w:tc>
          <w:tcPr>
            <w:tcW w:w="936" w:type="dxa"/>
            <w:shd w:val="clear" w:color="auto" w:fill="FFFFFF"/>
          </w:tcPr>
          <w:p w14:paraId="7CF18989" w14:textId="2BA91D58" w:rsidR="005B404E" w:rsidRPr="00B57B36" w:rsidRDefault="007626A2" w:rsidP="007B199B">
            <w:pPr>
              <w:pStyle w:val="CETBodytext"/>
              <w:ind w:right="-1"/>
              <w:rPr>
                <w:rFonts w:cs="Arial"/>
                <w:szCs w:val="18"/>
                <w:lang w:val="en-GB"/>
              </w:rPr>
            </w:pPr>
            <w:r>
              <w:rPr>
                <w:rFonts w:cs="Arial"/>
                <w:szCs w:val="18"/>
                <w:lang w:val="en-GB"/>
              </w:rPr>
              <w:t>0.50</w:t>
            </w:r>
          </w:p>
        </w:tc>
      </w:tr>
      <w:tr w:rsidR="008F1119" w:rsidRPr="00B57B36" w14:paraId="408BAAAA" w14:textId="77777777" w:rsidTr="005B404E">
        <w:tc>
          <w:tcPr>
            <w:tcW w:w="1068" w:type="dxa"/>
            <w:shd w:val="clear" w:color="auto" w:fill="FFFFFF"/>
          </w:tcPr>
          <w:p w14:paraId="521529E7" w14:textId="75F91975" w:rsidR="008F1119" w:rsidRPr="00B57B36" w:rsidRDefault="008F1119" w:rsidP="007B199B">
            <w:pPr>
              <w:pStyle w:val="CETBodytext"/>
              <w:rPr>
                <w:lang w:val="en-GB"/>
              </w:rPr>
            </w:pPr>
            <w:r>
              <w:rPr>
                <w:lang w:val="en-GB"/>
              </w:rPr>
              <w:t>Z1</w:t>
            </w:r>
          </w:p>
        </w:tc>
        <w:tc>
          <w:tcPr>
            <w:tcW w:w="1051" w:type="dxa"/>
            <w:shd w:val="clear" w:color="auto" w:fill="FFFFFF"/>
          </w:tcPr>
          <w:p w14:paraId="10F5776F" w14:textId="042064FC" w:rsidR="008F1119" w:rsidRPr="00B57B36" w:rsidRDefault="000B05DC" w:rsidP="007B199B">
            <w:pPr>
              <w:pStyle w:val="CETBodytext"/>
              <w:rPr>
                <w:lang w:val="en-GB"/>
              </w:rPr>
            </w:pPr>
            <w:r>
              <w:rPr>
                <w:lang w:val="en-GB"/>
              </w:rPr>
              <w:t>Warehouse</w:t>
            </w:r>
          </w:p>
        </w:tc>
        <w:tc>
          <w:tcPr>
            <w:tcW w:w="1052" w:type="dxa"/>
            <w:shd w:val="clear" w:color="auto" w:fill="FFFFFF"/>
          </w:tcPr>
          <w:p w14:paraId="33F3A21C" w14:textId="31B73F59" w:rsidR="008F1119" w:rsidRPr="00B57B36" w:rsidRDefault="00397D1D" w:rsidP="007B199B">
            <w:pPr>
              <w:pStyle w:val="CETBodytext"/>
              <w:rPr>
                <w:lang w:val="en-GB"/>
              </w:rPr>
            </w:pPr>
            <w:r>
              <w:rPr>
                <w:lang w:val="en-GB"/>
              </w:rPr>
              <w:t>Flam.</w:t>
            </w:r>
          </w:p>
        </w:tc>
        <w:tc>
          <w:tcPr>
            <w:tcW w:w="936" w:type="dxa"/>
            <w:shd w:val="clear" w:color="auto" w:fill="FFFFFF"/>
          </w:tcPr>
          <w:p w14:paraId="249EDC46" w14:textId="335F30B6" w:rsidR="008F1119" w:rsidRPr="00B57B36" w:rsidRDefault="00233D64" w:rsidP="007B199B">
            <w:pPr>
              <w:pStyle w:val="CETBodytext"/>
              <w:ind w:right="-1"/>
              <w:rPr>
                <w:rFonts w:cs="Arial"/>
                <w:szCs w:val="18"/>
                <w:lang w:val="en-GB"/>
              </w:rPr>
            </w:pPr>
            <w:r>
              <w:rPr>
                <w:rFonts w:cs="Arial"/>
                <w:szCs w:val="18"/>
                <w:lang w:val="en-GB"/>
              </w:rPr>
              <w:t>1</w:t>
            </w:r>
            <w:r w:rsidR="00EC7E3B">
              <w:rPr>
                <w:rFonts w:cs="Arial"/>
                <w:szCs w:val="18"/>
                <w:lang w:val="en-GB"/>
              </w:rPr>
              <w:t>,</w:t>
            </w:r>
            <w:r>
              <w:rPr>
                <w:rFonts w:cs="Arial"/>
                <w:szCs w:val="18"/>
                <w:lang w:val="en-GB"/>
              </w:rPr>
              <w:t>500</w:t>
            </w:r>
          </w:p>
        </w:tc>
        <w:tc>
          <w:tcPr>
            <w:tcW w:w="936" w:type="dxa"/>
            <w:shd w:val="clear" w:color="auto" w:fill="FFFFFF"/>
          </w:tcPr>
          <w:p w14:paraId="7D752392" w14:textId="242C957E" w:rsidR="008F1119" w:rsidRPr="00B57B36" w:rsidRDefault="002D591D" w:rsidP="007B199B">
            <w:pPr>
              <w:pStyle w:val="CETBodytext"/>
              <w:ind w:right="-1"/>
              <w:rPr>
                <w:rFonts w:cs="Arial"/>
                <w:szCs w:val="18"/>
                <w:lang w:val="en-GB"/>
              </w:rPr>
            </w:pPr>
            <w:r>
              <w:rPr>
                <w:rFonts w:cs="Arial"/>
                <w:szCs w:val="18"/>
                <w:lang w:val="en-GB"/>
              </w:rPr>
              <w:t>0.1</w:t>
            </w:r>
          </w:p>
        </w:tc>
        <w:tc>
          <w:tcPr>
            <w:tcW w:w="936" w:type="dxa"/>
            <w:shd w:val="clear" w:color="auto" w:fill="FFFFFF"/>
          </w:tcPr>
          <w:p w14:paraId="11E29672" w14:textId="51FE2FBE" w:rsidR="008F1119" w:rsidRPr="00B57B36" w:rsidRDefault="002D591D" w:rsidP="007B199B">
            <w:pPr>
              <w:pStyle w:val="CETBodytext"/>
              <w:ind w:right="-1"/>
              <w:rPr>
                <w:rFonts w:cs="Arial"/>
                <w:szCs w:val="18"/>
                <w:lang w:val="en-GB"/>
              </w:rPr>
            </w:pPr>
            <w:r>
              <w:rPr>
                <w:rFonts w:cs="Arial"/>
                <w:szCs w:val="18"/>
                <w:lang w:val="en-GB"/>
              </w:rPr>
              <w:t>0.1</w:t>
            </w:r>
          </w:p>
        </w:tc>
        <w:tc>
          <w:tcPr>
            <w:tcW w:w="936" w:type="dxa"/>
            <w:shd w:val="clear" w:color="auto" w:fill="FFFFFF"/>
          </w:tcPr>
          <w:p w14:paraId="3CB25760" w14:textId="3E30B7DA" w:rsidR="008F1119" w:rsidRPr="00B57B36" w:rsidRDefault="002D591D" w:rsidP="007B199B">
            <w:pPr>
              <w:pStyle w:val="CETBodytext"/>
              <w:ind w:right="-1"/>
              <w:rPr>
                <w:rFonts w:cs="Arial"/>
                <w:szCs w:val="18"/>
                <w:lang w:val="en-GB"/>
              </w:rPr>
            </w:pPr>
            <w:r>
              <w:rPr>
                <w:rFonts w:cs="Arial"/>
                <w:szCs w:val="18"/>
                <w:lang w:val="en-GB"/>
              </w:rPr>
              <w:t>10</w:t>
            </w:r>
          </w:p>
        </w:tc>
        <w:tc>
          <w:tcPr>
            <w:tcW w:w="936" w:type="dxa"/>
            <w:shd w:val="clear" w:color="auto" w:fill="FFFFFF"/>
          </w:tcPr>
          <w:p w14:paraId="20CECE0D" w14:textId="6B4D75FF" w:rsidR="008F1119" w:rsidRPr="00B57B36" w:rsidRDefault="002D591D" w:rsidP="007B199B">
            <w:pPr>
              <w:pStyle w:val="CETBodytext"/>
              <w:ind w:right="-1"/>
              <w:rPr>
                <w:rFonts w:cs="Arial"/>
                <w:szCs w:val="18"/>
                <w:lang w:val="en-GB"/>
              </w:rPr>
            </w:pPr>
            <w:r>
              <w:rPr>
                <w:rFonts w:cs="Arial"/>
                <w:szCs w:val="18"/>
                <w:lang w:val="en-GB"/>
              </w:rPr>
              <w:t>10</w:t>
            </w:r>
            <w:r w:rsidR="00EC7E3B">
              <w:rPr>
                <w:rFonts w:cs="Arial"/>
                <w:szCs w:val="18"/>
                <w:lang w:val="en-GB"/>
              </w:rPr>
              <w:t>,</w:t>
            </w:r>
            <w:r w:rsidR="007626A2">
              <w:rPr>
                <w:rFonts w:cs="Arial"/>
                <w:szCs w:val="18"/>
                <w:lang w:val="en-GB"/>
              </w:rPr>
              <w:t>000</w:t>
            </w:r>
          </w:p>
        </w:tc>
        <w:tc>
          <w:tcPr>
            <w:tcW w:w="936" w:type="dxa"/>
            <w:shd w:val="clear" w:color="auto" w:fill="FFFFFF"/>
          </w:tcPr>
          <w:p w14:paraId="38C389D6" w14:textId="42354A64" w:rsidR="008F1119" w:rsidRPr="00B57B36" w:rsidRDefault="007626A2" w:rsidP="007B199B">
            <w:pPr>
              <w:pStyle w:val="CETBodytext"/>
              <w:ind w:right="-1"/>
              <w:rPr>
                <w:rFonts w:cs="Arial"/>
                <w:szCs w:val="18"/>
                <w:lang w:val="en-GB"/>
              </w:rPr>
            </w:pPr>
            <w:r>
              <w:rPr>
                <w:rFonts w:cs="Arial"/>
                <w:szCs w:val="18"/>
                <w:lang w:val="en-GB"/>
              </w:rPr>
              <w:t>0.02</w:t>
            </w:r>
          </w:p>
        </w:tc>
      </w:tr>
      <w:tr w:rsidR="008F1119" w:rsidRPr="00B57B36" w14:paraId="34DA0343" w14:textId="77777777" w:rsidTr="005B404E">
        <w:tc>
          <w:tcPr>
            <w:tcW w:w="1068" w:type="dxa"/>
            <w:shd w:val="clear" w:color="auto" w:fill="FFFFFF"/>
          </w:tcPr>
          <w:p w14:paraId="282850B4" w14:textId="6FC6AF72" w:rsidR="008F1119" w:rsidRPr="00B57B36" w:rsidRDefault="000B05DC" w:rsidP="007B199B">
            <w:pPr>
              <w:pStyle w:val="CETBodytext"/>
              <w:rPr>
                <w:lang w:val="en-GB"/>
              </w:rPr>
            </w:pPr>
            <w:r>
              <w:rPr>
                <w:lang w:val="en-GB"/>
              </w:rPr>
              <w:t>Z2</w:t>
            </w:r>
          </w:p>
        </w:tc>
        <w:tc>
          <w:tcPr>
            <w:tcW w:w="1051" w:type="dxa"/>
            <w:shd w:val="clear" w:color="auto" w:fill="FFFFFF"/>
          </w:tcPr>
          <w:p w14:paraId="2DACD7D8" w14:textId="54151F53" w:rsidR="008F1119" w:rsidRPr="00B57B36" w:rsidRDefault="000B05DC" w:rsidP="007B199B">
            <w:pPr>
              <w:pStyle w:val="CETBodytext"/>
              <w:rPr>
                <w:lang w:val="en-GB"/>
              </w:rPr>
            </w:pPr>
            <w:r>
              <w:rPr>
                <w:lang w:val="en-GB"/>
              </w:rPr>
              <w:t>Sterilization process</w:t>
            </w:r>
          </w:p>
        </w:tc>
        <w:tc>
          <w:tcPr>
            <w:tcW w:w="1052" w:type="dxa"/>
            <w:shd w:val="clear" w:color="auto" w:fill="FFFFFF"/>
          </w:tcPr>
          <w:p w14:paraId="5AE133C3" w14:textId="6A508E0E" w:rsidR="008F1119" w:rsidRPr="00B57B36" w:rsidRDefault="00397D1D" w:rsidP="007B199B">
            <w:pPr>
              <w:pStyle w:val="CETBodytext"/>
              <w:rPr>
                <w:lang w:val="en-GB"/>
              </w:rPr>
            </w:pPr>
            <w:r>
              <w:rPr>
                <w:lang w:val="en-GB"/>
              </w:rPr>
              <w:t>Tox.</w:t>
            </w:r>
          </w:p>
        </w:tc>
        <w:tc>
          <w:tcPr>
            <w:tcW w:w="936" w:type="dxa"/>
            <w:shd w:val="clear" w:color="auto" w:fill="FFFFFF"/>
          </w:tcPr>
          <w:p w14:paraId="0C8BA5D2" w14:textId="65DC97E6" w:rsidR="008F1119" w:rsidRPr="00B57B36" w:rsidRDefault="00233D64" w:rsidP="007B199B">
            <w:pPr>
              <w:pStyle w:val="CETBodytext"/>
              <w:ind w:right="-1"/>
              <w:rPr>
                <w:rFonts w:cs="Arial"/>
                <w:szCs w:val="18"/>
                <w:lang w:val="en-GB"/>
              </w:rPr>
            </w:pPr>
            <w:r>
              <w:rPr>
                <w:rFonts w:cs="Arial"/>
                <w:szCs w:val="18"/>
                <w:lang w:val="en-GB"/>
              </w:rPr>
              <w:t>3</w:t>
            </w:r>
            <w:r w:rsidR="00EC7E3B">
              <w:rPr>
                <w:rFonts w:cs="Arial"/>
                <w:szCs w:val="18"/>
                <w:lang w:val="en-GB"/>
              </w:rPr>
              <w:t>,</w:t>
            </w:r>
            <w:r>
              <w:rPr>
                <w:rFonts w:cs="Arial"/>
                <w:szCs w:val="18"/>
                <w:lang w:val="en-GB"/>
              </w:rPr>
              <w:t>000</w:t>
            </w:r>
          </w:p>
        </w:tc>
        <w:tc>
          <w:tcPr>
            <w:tcW w:w="936" w:type="dxa"/>
            <w:shd w:val="clear" w:color="auto" w:fill="FFFFFF"/>
          </w:tcPr>
          <w:p w14:paraId="646524EE" w14:textId="14762F84" w:rsidR="008F1119" w:rsidRPr="00B57B36" w:rsidRDefault="002D591D" w:rsidP="007B199B">
            <w:pPr>
              <w:pStyle w:val="CETBodytext"/>
              <w:ind w:right="-1"/>
              <w:rPr>
                <w:rFonts w:cs="Arial"/>
                <w:szCs w:val="18"/>
                <w:lang w:val="en-GB"/>
              </w:rPr>
            </w:pPr>
            <w:r>
              <w:rPr>
                <w:rFonts w:cs="Arial"/>
                <w:szCs w:val="18"/>
                <w:lang w:val="en-GB"/>
              </w:rPr>
              <w:t>0.1</w:t>
            </w:r>
          </w:p>
        </w:tc>
        <w:tc>
          <w:tcPr>
            <w:tcW w:w="936" w:type="dxa"/>
            <w:shd w:val="clear" w:color="auto" w:fill="FFFFFF"/>
          </w:tcPr>
          <w:p w14:paraId="1746AEC8" w14:textId="081D2974" w:rsidR="008F1119" w:rsidRPr="00B57B36" w:rsidRDefault="002D591D" w:rsidP="007B199B">
            <w:pPr>
              <w:pStyle w:val="CETBodytext"/>
              <w:ind w:right="-1"/>
              <w:rPr>
                <w:rFonts w:cs="Arial"/>
                <w:szCs w:val="18"/>
                <w:lang w:val="en-GB"/>
              </w:rPr>
            </w:pPr>
            <w:r>
              <w:rPr>
                <w:rFonts w:cs="Arial"/>
                <w:szCs w:val="18"/>
                <w:lang w:val="en-GB"/>
              </w:rPr>
              <w:t>0.1</w:t>
            </w:r>
          </w:p>
        </w:tc>
        <w:tc>
          <w:tcPr>
            <w:tcW w:w="936" w:type="dxa"/>
            <w:shd w:val="clear" w:color="auto" w:fill="FFFFFF"/>
          </w:tcPr>
          <w:p w14:paraId="0DABECDA" w14:textId="0D7CEFCD" w:rsidR="008F1119" w:rsidRPr="00B57B36" w:rsidRDefault="002D591D" w:rsidP="007B199B">
            <w:pPr>
              <w:pStyle w:val="CETBodytext"/>
              <w:ind w:right="-1"/>
              <w:rPr>
                <w:rFonts w:cs="Arial"/>
                <w:szCs w:val="18"/>
                <w:lang w:val="en-GB"/>
              </w:rPr>
            </w:pPr>
            <w:r>
              <w:rPr>
                <w:rFonts w:cs="Arial"/>
                <w:szCs w:val="18"/>
                <w:lang w:val="en-GB"/>
              </w:rPr>
              <w:t>10</w:t>
            </w:r>
          </w:p>
        </w:tc>
        <w:tc>
          <w:tcPr>
            <w:tcW w:w="936" w:type="dxa"/>
            <w:shd w:val="clear" w:color="auto" w:fill="FFFFFF"/>
          </w:tcPr>
          <w:p w14:paraId="17AA1188" w14:textId="694328AA" w:rsidR="008F1119" w:rsidRPr="00B57B36" w:rsidRDefault="007626A2" w:rsidP="007B199B">
            <w:pPr>
              <w:pStyle w:val="CETBodytext"/>
              <w:ind w:right="-1"/>
              <w:rPr>
                <w:rFonts w:cs="Arial"/>
                <w:szCs w:val="18"/>
                <w:lang w:val="en-GB"/>
              </w:rPr>
            </w:pPr>
            <w:r>
              <w:rPr>
                <w:rFonts w:cs="Arial"/>
                <w:szCs w:val="18"/>
                <w:lang w:val="en-GB"/>
              </w:rPr>
              <w:t>300</w:t>
            </w:r>
          </w:p>
        </w:tc>
        <w:tc>
          <w:tcPr>
            <w:tcW w:w="936" w:type="dxa"/>
            <w:shd w:val="clear" w:color="auto" w:fill="FFFFFF"/>
          </w:tcPr>
          <w:p w14:paraId="726F59EE" w14:textId="20BA8C4B" w:rsidR="008F1119" w:rsidRPr="00B57B36" w:rsidRDefault="007626A2" w:rsidP="007B199B">
            <w:pPr>
              <w:pStyle w:val="CETBodytext"/>
              <w:ind w:right="-1"/>
              <w:rPr>
                <w:rFonts w:cs="Arial"/>
                <w:szCs w:val="18"/>
                <w:lang w:val="en-GB"/>
              </w:rPr>
            </w:pPr>
            <w:r>
              <w:rPr>
                <w:rFonts w:cs="Arial"/>
                <w:szCs w:val="18"/>
                <w:lang w:val="en-GB"/>
              </w:rPr>
              <w:t>10</w:t>
            </w:r>
          </w:p>
        </w:tc>
      </w:tr>
      <w:tr w:rsidR="008F1119" w:rsidRPr="00B57B36" w14:paraId="6192788E" w14:textId="77777777" w:rsidTr="005B404E">
        <w:tc>
          <w:tcPr>
            <w:tcW w:w="1068" w:type="dxa"/>
            <w:shd w:val="clear" w:color="auto" w:fill="FFFFFF"/>
          </w:tcPr>
          <w:p w14:paraId="0B7D4488" w14:textId="6D0CA20B" w:rsidR="008F1119" w:rsidRPr="00B57B36" w:rsidRDefault="000B05DC" w:rsidP="007B199B">
            <w:pPr>
              <w:pStyle w:val="CETBodytext"/>
              <w:rPr>
                <w:lang w:val="en-GB"/>
              </w:rPr>
            </w:pPr>
            <w:r>
              <w:rPr>
                <w:lang w:val="en-GB"/>
              </w:rPr>
              <w:t>Z2</w:t>
            </w:r>
          </w:p>
        </w:tc>
        <w:tc>
          <w:tcPr>
            <w:tcW w:w="1051" w:type="dxa"/>
            <w:shd w:val="clear" w:color="auto" w:fill="FFFFFF"/>
          </w:tcPr>
          <w:p w14:paraId="5FBAD4A5" w14:textId="350C93C8" w:rsidR="008F1119" w:rsidRPr="00B57B36" w:rsidRDefault="000B05DC" w:rsidP="007B199B">
            <w:pPr>
              <w:pStyle w:val="CETBodytext"/>
              <w:rPr>
                <w:lang w:val="en-GB"/>
              </w:rPr>
            </w:pPr>
            <w:r>
              <w:rPr>
                <w:lang w:val="en-GB"/>
              </w:rPr>
              <w:t>Sterilization process</w:t>
            </w:r>
          </w:p>
        </w:tc>
        <w:tc>
          <w:tcPr>
            <w:tcW w:w="1052" w:type="dxa"/>
            <w:shd w:val="clear" w:color="auto" w:fill="FFFFFF"/>
          </w:tcPr>
          <w:p w14:paraId="1D7CA379" w14:textId="61B7CA69" w:rsidR="008F1119" w:rsidRPr="00B57B36" w:rsidRDefault="00397D1D" w:rsidP="007B199B">
            <w:pPr>
              <w:pStyle w:val="CETBodytext"/>
              <w:rPr>
                <w:lang w:val="en-GB"/>
              </w:rPr>
            </w:pPr>
            <w:r>
              <w:rPr>
                <w:lang w:val="en-GB"/>
              </w:rPr>
              <w:t>Flam.</w:t>
            </w:r>
          </w:p>
        </w:tc>
        <w:tc>
          <w:tcPr>
            <w:tcW w:w="936" w:type="dxa"/>
            <w:shd w:val="clear" w:color="auto" w:fill="FFFFFF"/>
          </w:tcPr>
          <w:p w14:paraId="51981127" w14:textId="5ABC2DF7" w:rsidR="008F1119" w:rsidRPr="00B57B36" w:rsidRDefault="00233D64" w:rsidP="007B199B">
            <w:pPr>
              <w:pStyle w:val="CETBodytext"/>
              <w:ind w:right="-1"/>
              <w:rPr>
                <w:rFonts w:cs="Arial"/>
                <w:szCs w:val="18"/>
                <w:lang w:val="en-GB"/>
              </w:rPr>
            </w:pPr>
            <w:r>
              <w:rPr>
                <w:rFonts w:cs="Arial"/>
                <w:szCs w:val="18"/>
                <w:lang w:val="en-GB"/>
              </w:rPr>
              <w:t>3</w:t>
            </w:r>
            <w:r w:rsidR="00EC7E3B">
              <w:rPr>
                <w:rFonts w:cs="Arial"/>
                <w:szCs w:val="18"/>
                <w:lang w:val="en-GB"/>
              </w:rPr>
              <w:t>,</w:t>
            </w:r>
            <w:r>
              <w:rPr>
                <w:rFonts w:cs="Arial"/>
                <w:szCs w:val="18"/>
                <w:lang w:val="en-GB"/>
              </w:rPr>
              <w:t>000</w:t>
            </w:r>
          </w:p>
        </w:tc>
        <w:tc>
          <w:tcPr>
            <w:tcW w:w="936" w:type="dxa"/>
            <w:shd w:val="clear" w:color="auto" w:fill="FFFFFF"/>
          </w:tcPr>
          <w:p w14:paraId="51D6E7D9" w14:textId="1509909B" w:rsidR="008F1119" w:rsidRPr="00B57B36" w:rsidRDefault="002D591D" w:rsidP="007B199B">
            <w:pPr>
              <w:pStyle w:val="CETBodytext"/>
              <w:ind w:right="-1"/>
              <w:rPr>
                <w:rFonts w:cs="Arial"/>
                <w:szCs w:val="18"/>
                <w:lang w:val="en-GB"/>
              </w:rPr>
            </w:pPr>
            <w:r>
              <w:rPr>
                <w:rFonts w:cs="Arial"/>
                <w:szCs w:val="18"/>
                <w:lang w:val="en-GB"/>
              </w:rPr>
              <w:t>1</w:t>
            </w:r>
          </w:p>
        </w:tc>
        <w:tc>
          <w:tcPr>
            <w:tcW w:w="936" w:type="dxa"/>
            <w:shd w:val="clear" w:color="auto" w:fill="FFFFFF"/>
          </w:tcPr>
          <w:p w14:paraId="3C895223" w14:textId="4A5C5B88" w:rsidR="008F1119" w:rsidRPr="00B57B36" w:rsidRDefault="002D591D" w:rsidP="007B199B">
            <w:pPr>
              <w:pStyle w:val="CETBodytext"/>
              <w:ind w:right="-1"/>
              <w:rPr>
                <w:rFonts w:cs="Arial"/>
                <w:szCs w:val="18"/>
                <w:lang w:val="en-GB"/>
              </w:rPr>
            </w:pPr>
            <w:r>
              <w:rPr>
                <w:rFonts w:cs="Arial"/>
                <w:szCs w:val="18"/>
                <w:lang w:val="en-GB"/>
              </w:rPr>
              <w:t>0.1</w:t>
            </w:r>
          </w:p>
        </w:tc>
        <w:tc>
          <w:tcPr>
            <w:tcW w:w="936" w:type="dxa"/>
            <w:shd w:val="clear" w:color="auto" w:fill="FFFFFF"/>
          </w:tcPr>
          <w:p w14:paraId="7B20EE8A" w14:textId="13DED9DC" w:rsidR="008F1119" w:rsidRPr="00B57B36" w:rsidRDefault="002D591D" w:rsidP="007B199B">
            <w:pPr>
              <w:pStyle w:val="CETBodytext"/>
              <w:ind w:right="-1"/>
              <w:rPr>
                <w:rFonts w:cs="Arial"/>
                <w:szCs w:val="18"/>
                <w:lang w:val="en-GB"/>
              </w:rPr>
            </w:pPr>
            <w:r>
              <w:rPr>
                <w:rFonts w:cs="Arial"/>
                <w:szCs w:val="18"/>
                <w:lang w:val="en-GB"/>
              </w:rPr>
              <w:t>10</w:t>
            </w:r>
          </w:p>
        </w:tc>
        <w:tc>
          <w:tcPr>
            <w:tcW w:w="936" w:type="dxa"/>
            <w:shd w:val="clear" w:color="auto" w:fill="FFFFFF"/>
          </w:tcPr>
          <w:p w14:paraId="396C1E91" w14:textId="4C407B6D" w:rsidR="008F1119" w:rsidRPr="00B57B36" w:rsidRDefault="007626A2" w:rsidP="007B199B">
            <w:pPr>
              <w:pStyle w:val="CETBodytext"/>
              <w:ind w:right="-1"/>
              <w:rPr>
                <w:rFonts w:cs="Arial"/>
                <w:szCs w:val="18"/>
                <w:lang w:val="en-GB"/>
              </w:rPr>
            </w:pPr>
            <w:r>
              <w:rPr>
                <w:rFonts w:cs="Arial"/>
                <w:szCs w:val="18"/>
                <w:lang w:val="en-GB"/>
              </w:rPr>
              <w:t>10</w:t>
            </w:r>
            <w:r w:rsidR="00EC7E3B">
              <w:rPr>
                <w:rFonts w:cs="Arial"/>
                <w:szCs w:val="18"/>
                <w:lang w:val="en-GB"/>
              </w:rPr>
              <w:t>,</w:t>
            </w:r>
            <w:r>
              <w:rPr>
                <w:rFonts w:cs="Arial"/>
                <w:szCs w:val="18"/>
                <w:lang w:val="en-GB"/>
              </w:rPr>
              <w:t>000</w:t>
            </w:r>
          </w:p>
        </w:tc>
        <w:tc>
          <w:tcPr>
            <w:tcW w:w="936" w:type="dxa"/>
            <w:shd w:val="clear" w:color="auto" w:fill="FFFFFF"/>
          </w:tcPr>
          <w:p w14:paraId="03DD7307" w14:textId="45DE489F" w:rsidR="008F1119" w:rsidRPr="00B57B36" w:rsidRDefault="005539C9" w:rsidP="007B199B">
            <w:pPr>
              <w:pStyle w:val="CETBodytext"/>
              <w:ind w:right="-1"/>
              <w:rPr>
                <w:rFonts w:cs="Arial"/>
                <w:szCs w:val="18"/>
                <w:lang w:val="en-GB"/>
              </w:rPr>
            </w:pPr>
            <w:r>
              <w:rPr>
                <w:rFonts w:cs="Arial"/>
                <w:szCs w:val="18"/>
                <w:lang w:val="en-GB"/>
              </w:rPr>
              <w:t>0.30</w:t>
            </w:r>
          </w:p>
        </w:tc>
      </w:tr>
      <w:tr w:rsidR="008F1119" w:rsidRPr="00B57B36" w14:paraId="4DAEA357" w14:textId="77777777" w:rsidTr="005B404E">
        <w:tc>
          <w:tcPr>
            <w:tcW w:w="1068" w:type="dxa"/>
            <w:shd w:val="clear" w:color="auto" w:fill="FFFFFF"/>
          </w:tcPr>
          <w:p w14:paraId="34C4211E" w14:textId="69C4368D" w:rsidR="008F1119" w:rsidRPr="00B57B36" w:rsidRDefault="000B05DC" w:rsidP="007B199B">
            <w:pPr>
              <w:pStyle w:val="CETBodytext"/>
              <w:rPr>
                <w:lang w:val="en-GB"/>
              </w:rPr>
            </w:pPr>
            <w:r>
              <w:rPr>
                <w:lang w:val="en-GB"/>
              </w:rPr>
              <w:t>Z3</w:t>
            </w:r>
          </w:p>
        </w:tc>
        <w:tc>
          <w:tcPr>
            <w:tcW w:w="1051" w:type="dxa"/>
            <w:shd w:val="clear" w:color="auto" w:fill="FFFFFF"/>
          </w:tcPr>
          <w:p w14:paraId="63374FBE" w14:textId="088E807D" w:rsidR="008F1119" w:rsidRPr="00B57B36" w:rsidRDefault="000B05DC" w:rsidP="007B199B">
            <w:pPr>
              <w:pStyle w:val="CETBodytext"/>
              <w:rPr>
                <w:lang w:val="en-GB"/>
              </w:rPr>
            </w:pPr>
            <w:r>
              <w:rPr>
                <w:lang w:val="en-GB"/>
              </w:rPr>
              <w:t>Transport truck</w:t>
            </w:r>
          </w:p>
        </w:tc>
        <w:tc>
          <w:tcPr>
            <w:tcW w:w="1052" w:type="dxa"/>
            <w:shd w:val="clear" w:color="auto" w:fill="FFFFFF"/>
          </w:tcPr>
          <w:p w14:paraId="4F4918C0" w14:textId="77777777" w:rsidR="008F1119" w:rsidRDefault="00397D1D" w:rsidP="007B199B">
            <w:pPr>
              <w:pStyle w:val="CETBodytext"/>
              <w:rPr>
                <w:lang w:val="en-GB"/>
              </w:rPr>
            </w:pPr>
            <w:r>
              <w:rPr>
                <w:lang w:val="en-GB"/>
              </w:rPr>
              <w:t>Tox.</w:t>
            </w:r>
          </w:p>
          <w:p w14:paraId="5BFB0FAD" w14:textId="05B969D5" w:rsidR="00397D1D" w:rsidRPr="00B57B36" w:rsidRDefault="00397D1D" w:rsidP="007B199B">
            <w:pPr>
              <w:pStyle w:val="CETBodytext"/>
              <w:rPr>
                <w:lang w:val="en-GB"/>
              </w:rPr>
            </w:pPr>
          </w:p>
        </w:tc>
        <w:tc>
          <w:tcPr>
            <w:tcW w:w="936" w:type="dxa"/>
            <w:shd w:val="clear" w:color="auto" w:fill="FFFFFF"/>
          </w:tcPr>
          <w:p w14:paraId="49955004" w14:textId="003C4DA7" w:rsidR="008F1119" w:rsidRPr="00B57B36" w:rsidRDefault="00233D64" w:rsidP="007B199B">
            <w:pPr>
              <w:pStyle w:val="CETBodytext"/>
              <w:ind w:right="-1"/>
              <w:rPr>
                <w:rFonts w:cs="Arial"/>
                <w:szCs w:val="18"/>
                <w:lang w:val="en-GB"/>
              </w:rPr>
            </w:pPr>
            <w:r>
              <w:rPr>
                <w:rFonts w:cs="Arial"/>
                <w:szCs w:val="18"/>
                <w:lang w:val="en-GB"/>
              </w:rPr>
              <w:t>2</w:t>
            </w:r>
            <w:r w:rsidR="00EC7E3B">
              <w:rPr>
                <w:rFonts w:cs="Arial"/>
                <w:szCs w:val="18"/>
                <w:lang w:val="en-GB"/>
              </w:rPr>
              <w:t>,</w:t>
            </w:r>
            <w:r>
              <w:rPr>
                <w:rFonts w:cs="Arial"/>
                <w:szCs w:val="18"/>
                <w:lang w:val="en-GB"/>
              </w:rPr>
              <w:t>500</w:t>
            </w:r>
          </w:p>
        </w:tc>
        <w:tc>
          <w:tcPr>
            <w:tcW w:w="936" w:type="dxa"/>
            <w:shd w:val="clear" w:color="auto" w:fill="FFFFFF"/>
          </w:tcPr>
          <w:p w14:paraId="002B8013" w14:textId="2AFD3FE2" w:rsidR="008F1119" w:rsidRPr="00B57B36" w:rsidRDefault="002D591D" w:rsidP="007B199B">
            <w:pPr>
              <w:pStyle w:val="CETBodytext"/>
              <w:ind w:right="-1"/>
              <w:rPr>
                <w:rFonts w:cs="Arial"/>
                <w:szCs w:val="18"/>
                <w:lang w:val="en-GB"/>
              </w:rPr>
            </w:pPr>
            <w:r>
              <w:rPr>
                <w:rFonts w:cs="Arial"/>
                <w:szCs w:val="18"/>
                <w:lang w:val="en-GB"/>
              </w:rPr>
              <w:t>1</w:t>
            </w:r>
          </w:p>
        </w:tc>
        <w:tc>
          <w:tcPr>
            <w:tcW w:w="936" w:type="dxa"/>
            <w:shd w:val="clear" w:color="auto" w:fill="FFFFFF"/>
          </w:tcPr>
          <w:p w14:paraId="1FDD0B7B" w14:textId="543043F3" w:rsidR="008F1119" w:rsidRPr="00B57B36" w:rsidRDefault="002D591D" w:rsidP="007B199B">
            <w:pPr>
              <w:pStyle w:val="CETBodytext"/>
              <w:ind w:right="-1"/>
              <w:rPr>
                <w:rFonts w:cs="Arial"/>
                <w:szCs w:val="18"/>
                <w:lang w:val="en-GB"/>
              </w:rPr>
            </w:pPr>
            <w:r>
              <w:rPr>
                <w:rFonts w:cs="Arial"/>
                <w:szCs w:val="18"/>
                <w:lang w:val="en-GB"/>
              </w:rPr>
              <w:t>1</w:t>
            </w:r>
          </w:p>
        </w:tc>
        <w:tc>
          <w:tcPr>
            <w:tcW w:w="936" w:type="dxa"/>
            <w:shd w:val="clear" w:color="auto" w:fill="FFFFFF"/>
          </w:tcPr>
          <w:p w14:paraId="7E0E3876" w14:textId="4D366D34" w:rsidR="008F1119" w:rsidRPr="00B57B36" w:rsidRDefault="002D591D" w:rsidP="007B199B">
            <w:pPr>
              <w:pStyle w:val="CETBodytext"/>
              <w:ind w:right="-1"/>
              <w:rPr>
                <w:rFonts w:cs="Arial"/>
                <w:szCs w:val="18"/>
                <w:lang w:val="en-GB"/>
              </w:rPr>
            </w:pPr>
            <w:r>
              <w:rPr>
                <w:rFonts w:cs="Arial"/>
                <w:szCs w:val="18"/>
                <w:lang w:val="en-GB"/>
              </w:rPr>
              <w:t>10</w:t>
            </w:r>
          </w:p>
        </w:tc>
        <w:tc>
          <w:tcPr>
            <w:tcW w:w="936" w:type="dxa"/>
            <w:shd w:val="clear" w:color="auto" w:fill="FFFFFF"/>
          </w:tcPr>
          <w:p w14:paraId="0298F9BD" w14:textId="64D2FABC" w:rsidR="008F1119" w:rsidRPr="00B57B36" w:rsidRDefault="007626A2" w:rsidP="007B199B">
            <w:pPr>
              <w:pStyle w:val="CETBodytext"/>
              <w:ind w:right="-1"/>
              <w:rPr>
                <w:rFonts w:cs="Arial"/>
                <w:szCs w:val="18"/>
                <w:lang w:val="en-GB"/>
              </w:rPr>
            </w:pPr>
            <w:r>
              <w:rPr>
                <w:rFonts w:cs="Arial"/>
                <w:szCs w:val="18"/>
                <w:lang w:val="en-GB"/>
              </w:rPr>
              <w:t>300</w:t>
            </w:r>
          </w:p>
        </w:tc>
        <w:tc>
          <w:tcPr>
            <w:tcW w:w="936" w:type="dxa"/>
            <w:shd w:val="clear" w:color="auto" w:fill="FFFFFF"/>
          </w:tcPr>
          <w:p w14:paraId="41B1664E" w14:textId="0C403A66" w:rsidR="008F1119" w:rsidRPr="00B57B36" w:rsidRDefault="005539C9" w:rsidP="007B199B">
            <w:pPr>
              <w:pStyle w:val="CETBodytext"/>
              <w:ind w:right="-1"/>
              <w:rPr>
                <w:rFonts w:cs="Arial"/>
                <w:szCs w:val="18"/>
                <w:lang w:val="en-GB"/>
              </w:rPr>
            </w:pPr>
            <w:r>
              <w:rPr>
                <w:rFonts w:cs="Arial"/>
                <w:szCs w:val="18"/>
                <w:lang w:val="en-GB"/>
              </w:rPr>
              <w:t>83.33</w:t>
            </w:r>
          </w:p>
        </w:tc>
      </w:tr>
      <w:tr w:rsidR="008F1119" w:rsidRPr="00B57B36" w14:paraId="4A196780" w14:textId="77777777" w:rsidTr="005B404E">
        <w:tc>
          <w:tcPr>
            <w:tcW w:w="1068" w:type="dxa"/>
            <w:shd w:val="clear" w:color="auto" w:fill="FFFFFF"/>
          </w:tcPr>
          <w:p w14:paraId="0F991E12" w14:textId="332865E4" w:rsidR="008F1119" w:rsidRPr="00B57B36" w:rsidRDefault="000B05DC" w:rsidP="007B199B">
            <w:pPr>
              <w:pStyle w:val="CETBodytext"/>
              <w:rPr>
                <w:lang w:val="en-GB"/>
              </w:rPr>
            </w:pPr>
            <w:r>
              <w:rPr>
                <w:lang w:val="en-GB"/>
              </w:rPr>
              <w:t>Z3</w:t>
            </w:r>
          </w:p>
        </w:tc>
        <w:tc>
          <w:tcPr>
            <w:tcW w:w="1051" w:type="dxa"/>
            <w:shd w:val="clear" w:color="auto" w:fill="FFFFFF"/>
          </w:tcPr>
          <w:p w14:paraId="0023547C" w14:textId="5D0BA315" w:rsidR="008F1119" w:rsidRPr="00B57B36" w:rsidRDefault="000B05DC" w:rsidP="007B199B">
            <w:pPr>
              <w:pStyle w:val="CETBodytext"/>
              <w:rPr>
                <w:lang w:val="en-GB"/>
              </w:rPr>
            </w:pPr>
            <w:r>
              <w:rPr>
                <w:lang w:val="en-GB"/>
              </w:rPr>
              <w:t>Transport truck</w:t>
            </w:r>
          </w:p>
        </w:tc>
        <w:tc>
          <w:tcPr>
            <w:tcW w:w="1052" w:type="dxa"/>
            <w:shd w:val="clear" w:color="auto" w:fill="FFFFFF"/>
          </w:tcPr>
          <w:p w14:paraId="666CD882" w14:textId="5B69F4B4" w:rsidR="008F1119" w:rsidRPr="00B57B36" w:rsidRDefault="005E0D14" w:rsidP="007B199B">
            <w:pPr>
              <w:pStyle w:val="CETBodytext"/>
              <w:rPr>
                <w:lang w:val="en-GB"/>
              </w:rPr>
            </w:pPr>
            <w:r>
              <w:rPr>
                <w:lang w:val="en-GB"/>
              </w:rPr>
              <w:t>Flam.</w:t>
            </w:r>
          </w:p>
        </w:tc>
        <w:tc>
          <w:tcPr>
            <w:tcW w:w="936" w:type="dxa"/>
            <w:shd w:val="clear" w:color="auto" w:fill="FFFFFF"/>
          </w:tcPr>
          <w:p w14:paraId="78BAEDA8" w14:textId="247BA8E1" w:rsidR="008F1119" w:rsidRPr="00B57B36" w:rsidRDefault="00233D64" w:rsidP="007B199B">
            <w:pPr>
              <w:pStyle w:val="CETBodytext"/>
              <w:ind w:right="-1"/>
              <w:rPr>
                <w:rFonts w:cs="Arial"/>
                <w:szCs w:val="18"/>
                <w:lang w:val="en-GB"/>
              </w:rPr>
            </w:pPr>
            <w:r>
              <w:rPr>
                <w:rFonts w:cs="Arial"/>
                <w:szCs w:val="18"/>
                <w:lang w:val="en-GB"/>
              </w:rPr>
              <w:t>2</w:t>
            </w:r>
            <w:r w:rsidR="00EC7E3B">
              <w:rPr>
                <w:rFonts w:cs="Arial"/>
                <w:szCs w:val="18"/>
                <w:lang w:val="en-GB"/>
              </w:rPr>
              <w:t>,</w:t>
            </w:r>
            <w:r>
              <w:rPr>
                <w:rFonts w:cs="Arial"/>
                <w:szCs w:val="18"/>
                <w:lang w:val="en-GB"/>
              </w:rPr>
              <w:t>500</w:t>
            </w:r>
          </w:p>
        </w:tc>
        <w:tc>
          <w:tcPr>
            <w:tcW w:w="936" w:type="dxa"/>
            <w:shd w:val="clear" w:color="auto" w:fill="FFFFFF"/>
          </w:tcPr>
          <w:p w14:paraId="363C4CFA" w14:textId="50889612" w:rsidR="008F1119" w:rsidRPr="00B57B36" w:rsidRDefault="002D591D" w:rsidP="007B199B">
            <w:pPr>
              <w:pStyle w:val="CETBodytext"/>
              <w:ind w:right="-1"/>
              <w:rPr>
                <w:rFonts w:cs="Arial"/>
                <w:szCs w:val="18"/>
                <w:lang w:val="en-GB"/>
              </w:rPr>
            </w:pPr>
            <w:r>
              <w:rPr>
                <w:rFonts w:cs="Arial"/>
                <w:szCs w:val="18"/>
                <w:lang w:val="en-GB"/>
              </w:rPr>
              <w:t>1</w:t>
            </w:r>
          </w:p>
        </w:tc>
        <w:tc>
          <w:tcPr>
            <w:tcW w:w="936" w:type="dxa"/>
            <w:shd w:val="clear" w:color="auto" w:fill="FFFFFF"/>
          </w:tcPr>
          <w:p w14:paraId="4261F1E8" w14:textId="460295CC" w:rsidR="008F1119" w:rsidRPr="00B57B36" w:rsidRDefault="002D591D" w:rsidP="007B199B">
            <w:pPr>
              <w:pStyle w:val="CETBodytext"/>
              <w:ind w:right="-1"/>
              <w:rPr>
                <w:rFonts w:cs="Arial"/>
                <w:szCs w:val="18"/>
                <w:lang w:val="en-GB"/>
              </w:rPr>
            </w:pPr>
            <w:r>
              <w:rPr>
                <w:rFonts w:cs="Arial"/>
                <w:szCs w:val="18"/>
                <w:lang w:val="en-GB"/>
              </w:rPr>
              <w:t>1</w:t>
            </w:r>
          </w:p>
        </w:tc>
        <w:tc>
          <w:tcPr>
            <w:tcW w:w="936" w:type="dxa"/>
            <w:shd w:val="clear" w:color="auto" w:fill="FFFFFF"/>
          </w:tcPr>
          <w:p w14:paraId="428A1804" w14:textId="2437B4F8" w:rsidR="008F1119" w:rsidRPr="00B57B36" w:rsidRDefault="002D591D" w:rsidP="007B199B">
            <w:pPr>
              <w:pStyle w:val="CETBodytext"/>
              <w:ind w:right="-1"/>
              <w:rPr>
                <w:rFonts w:cs="Arial"/>
                <w:szCs w:val="18"/>
                <w:lang w:val="en-GB"/>
              </w:rPr>
            </w:pPr>
            <w:r>
              <w:rPr>
                <w:rFonts w:cs="Arial"/>
                <w:szCs w:val="18"/>
                <w:lang w:val="en-GB"/>
              </w:rPr>
              <w:t>10</w:t>
            </w:r>
          </w:p>
        </w:tc>
        <w:tc>
          <w:tcPr>
            <w:tcW w:w="936" w:type="dxa"/>
            <w:shd w:val="clear" w:color="auto" w:fill="FFFFFF"/>
          </w:tcPr>
          <w:p w14:paraId="46C816E9" w14:textId="60CBF1B1" w:rsidR="008F1119" w:rsidRPr="00B57B36" w:rsidRDefault="007626A2" w:rsidP="007B199B">
            <w:pPr>
              <w:pStyle w:val="CETBodytext"/>
              <w:ind w:right="-1"/>
              <w:rPr>
                <w:rFonts w:cs="Arial"/>
                <w:szCs w:val="18"/>
                <w:lang w:val="en-GB"/>
              </w:rPr>
            </w:pPr>
            <w:r>
              <w:rPr>
                <w:rFonts w:cs="Arial"/>
                <w:szCs w:val="18"/>
                <w:lang w:val="en-GB"/>
              </w:rPr>
              <w:t>10</w:t>
            </w:r>
            <w:r w:rsidR="00EC7E3B">
              <w:rPr>
                <w:rFonts w:cs="Arial"/>
                <w:szCs w:val="18"/>
                <w:lang w:val="en-GB"/>
              </w:rPr>
              <w:t>,</w:t>
            </w:r>
            <w:r>
              <w:rPr>
                <w:rFonts w:cs="Arial"/>
                <w:szCs w:val="18"/>
                <w:lang w:val="en-GB"/>
              </w:rPr>
              <w:t>000</w:t>
            </w:r>
          </w:p>
        </w:tc>
        <w:tc>
          <w:tcPr>
            <w:tcW w:w="936" w:type="dxa"/>
            <w:shd w:val="clear" w:color="auto" w:fill="FFFFFF"/>
          </w:tcPr>
          <w:p w14:paraId="0523D119" w14:textId="0FBD8847" w:rsidR="008F1119" w:rsidRPr="00B57B36" w:rsidRDefault="005539C9" w:rsidP="007B199B">
            <w:pPr>
              <w:pStyle w:val="CETBodytext"/>
              <w:ind w:right="-1"/>
              <w:rPr>
                <w:rFonts w:cs="Arial"/>
                <w:szCs w:val="18"/>
                <w:lang w:val="en-GB"/>
              </w:rPr>
            </w:pPr>
            <w:r>
              <w:rPr>
                <w:rFonts w:cs="Arial"/>
                <w:szCs w:val="18"/>
                <w:lang w:val="en-GB"/>
              </w:rPr>
              <w:t>2.50</w:t>
            </w:r>
          </w:p>
        </w:tc>
      </w:tr>
    </w:tbl>
    <w:p w14:paraId="62338AE4" w14:textId="2C22E94B" w:rsidR="005539C9" w:rsidRPr="00FD0C02" w:rsidRDefault="005539C9" w:rsidP="005539C9">
      <w:pPr>
        <w:rPr>
          <w:rFonts w:cs="Arial"/>
          <w:iCs/>
          <w:szCs w:val="18"/>
        </w:rPr>
      </w:pPr>
      <w:r w:rsidRPr="00FD0C02">
        <w:rPr>
          <w:rFonts w:cs="Arial"/>
          <w:iCs/>
          <w:szCs w:val="18"/>
        </w:rPr>
        <w:t>comment:G for ETO - LC</w:t>
      </w:r>
      <w:r w:rsidRPr="00FD0C02">
        <w:rPr>
          <w:rFonts w:cs="Arial"/>
          <w:iCs/>
          <w:szCs w:val="18"/>
          <w:vertAlign w:val="subscript"/>
        </w:rPr>
        <w:t>50</w:t>
      </w:r>
      <w:r w:rsidRPr="00FD0C02">
        <w:rPr>
          <w:rFonts w:cs="Arial"/>
          <w:iCs/>
          <w:szCs w:val="18"/>
        </w:rPr>
        <w:t>(4h) (rat)= 1</w:t>
      </w:r>
      <w:r w:rsidR="00EC7E3B">
        <w:rPr>
          <w:rFonts w:cs="Arial"/>
          <w:iCs/>
          <w:szCs w:val="18"/>
        </w:rPr>
        <w:t>,</w:t>
      </w:r>
      <w:r w:rsidRPr="00FD0C02">
        <w:rPr>
          <w:rFonts w:cs="Arial"/>
          <w:iCs/>
          <w:szCs w:val="18"/>
        </w:rPr>
        <w:t>450 ppm, 500 &lt; LC &lt; 2</w:t>
      </w:r>
      <w:r w:rsidR="00EC7E3B">
        <w:rPr>
          <w:rFonts w:cs="Arial"/>
          <w:iCs/>
          <w:szCs w:val="18"/>
        </w:rPr>
        <w:t>,</w:t>
      </w:r>
      <w:r w:rsidRPr="00FD0C02">
        <w:rPr>
          <w:rFonts w:cs="Arial"/>
          <w:iCs/>
          <w:szCs w:val="18"/>
        </w:rPr>
        <w:t>000, for gas G = 300</w:t>
      </w:r>
    </w:p>
    <w:p w14:paraId="5BBAFD53" w14:textId="49751F45" w:rsidR="00F84353" w:rsidRPr="009A67CA" w:rsidRDefault="2DDE8238" w:rsidP="009A67CA">
      <w:pPr>
        <w:spacing w:before="240" w:after="240"/>
        <w:rPr>
          <w:rFonts w:eastAsia="Arial" w:cs="Arial"/>
        </w:rPr>
      </w:pPr>
      <w:r w:rsidRPr="5375E663">
        <w:rPr>
          <w:rFonts w:eastAsia="Arial" w:cs="Arial"/>
        </w:rPr>
        <w:t xml:space="preserve">As shown in Table </w:t>
      </w:r>
      <w:r w:rsidR="00CF1D79">
        <w:rPr>
          <w:rFonts w:eastAsia="Arial" w:cs="Arial"/>
        </w:rPr>
        <w:t>2</w:t>
      </w:r>
      <w:r w:rsidRPr="5375E663">
        <w:rPr>
          <w:rFonts w:eastAsia="Arial" w:cs="Arial"/>
        </w:rPr>
        <w:t xml:space="preserve">, the selection of assessed facilities using the selection method outlined in the </w:t>
      </w:r>
      <w:r w:rsidRPr="3E8F292C">
        <w:rPr>
          <w:rFonts w:eastAsia="Arial" w:cs="Arial"/>
        </w:rPr>
        <w:t>CPR 18E Purple Book</w:t>
      </w:r>
      <w:r w:rsidRPr="5375E663">
        <w:rPr>
          <w:rFonts w:eastAsia="Arial" w:cs="Arial"/>
        </w:rPr>
        <w:t xml:space="preserve"> identified </w:t>
      </w:r>
      <w:r w:rsidRPr="3E8F292C">
        <w:rPr>
          <w:rFonts w:eastAsia="Arial" w:cs="Arial"/>
        </w:rPr>
        <w:t>two units</w:t>
      </w:r>
      <w:r w:rsidRPr="5375E663">
        <w:rPr>
          <w:rFonts w:eastAsia="Arial" w:cs="Arial"/>
        </w:rPr>
        <w:t xml:space="preserve"> within the facility for quantitative risk analysis (QRA). The indicative numbers for the two selected units, </w:t>
      </w:r>
      <w:r w:rsidRPr="3E8F292C">
        <w:rPr>
          <w:rFonts w:eastAsia="Arial" w:cs="Arial"/>
        </w:rPr>
        <w:t>Z2 – ETO in process</w:t>
      </w:r>
      <w:r w:rsidRPr="5375E663">
        <w:rPr>
          <w:rFonts w:eastAsia="Arial" w:cs="Arial"/>
        </w:rPr>
        <w:t xml:space="preserve"> and </w:t>
      </w:r>
      <w:r w:rsidRPr="3E8F292C">
        <w:rPr>
          <w:rFonts w:eastAsia="Arial" w:cs="Arial"/>
        </w:rPr>
        <w:t>Z3 – ETO on a truck</w:t>
      </w:r>
      <w:r w:rsidRPr="5375E663">
        <w:rPr>
          <w:rFonts w:eastAsia="Arial" w:cs="Arial"/>
        </w:rPr>
        <w:t xml:space="preserve">, as well as the selective numbers at a distance of </w:t>
      </w:r>
      <w:r w:rsidRPr="00F22C0F">
        <w:rPr>
          <w:rFonts w:eastAsia="Arial" w:cs="Arial"/>
        </w:rPr>
        <w:t>100</w:t>
      </w:r>
      <w:r w:rsidRPr="3E8F292C">
        <w:rPr>
          <w:rFonts w:eastAsia="Arial" w:cs="Arial"/>
        </w:rPr>
        <w:t xml:space="preserve"> meters</w:t>
      </w:r>
      <w:r w:rsidRPr="5375E663">
        <w:rPr>
          <w:rFonts w:eastAsia="Arial" w:cs="Arial"/>
        </w:rPr>
        <w:t>, exceed the value of 1. Therefore, it is necessary to proceed with a detailed risk analysis.</w:t>
      </w:r>
      <w:r w:rsidR="00CF3248">
        <w:rPr>
          <w:rFonts w:eastAsia="Arial" w:cs="Arial"/>
        </w:rPr>
        <w:t xml:space="preserve"> </w:t>
      </w:r>
      <w:r w:rsidRPr="3E8F292C">
        <w:rPr>
          <w:rFonts w:eastAsia="Arial" w:cs="Arial"/>
        </w:rPr>
        <w:t>The detailed evaluation of the following parts of the ETO technology system was conducted due to the proximity of the population. The specific risk sources to be assessed in detail are:</w:t>
      </w:r>
      <w:r w:rsidR="008B574D">
        <w:rPr>
          <w:rFonts w:eastAsia="Arial" w:cs="Arial"/>
        </w:rPr>
        <w:t xml:space="preserve"> Z2</w:t>
      </w:r>
      <w:r w:rsidR="002C775D">
        <w:rPr>
          <w:rFonts w:eastAsia="Arial" w:cs="Arial"/>
        </w:rPr>
        <w:t xml:space="preserve"> (the process of extracting ETO from barrels); Z3 (the transport of barrels on a truck</w:t>
      </w:r>
      <w:r w:rsidR="006E51DD">
        <w:rPr>
          <w:rFonts w:eastAsia="Arial" w:cs="Arial"/>
        </w:rPr>
        <w:t>).</w:t>
      </w:r>
      <w:r w:rsidR="0021459B">
        <w:rPr>
          <w:rFonts w:eastAsia="Arial" w:cs="Arial"/>
        </w:rPr>
        <w:t xml:space="preserve"> </w:t>
      </w:r>
      <w:r w:rsidRPr="3E8F292C">
        <w:rPr>
          <w:rFonts w:eastAsia="Arial" w:cs="Arial"/>
        </w:rPr>
        <w:t>These two units were selected as representative parts of the sterilization technology where an ETO release could potentially occur. Since the simultaneous release of ETO from multiple barrels is highly unlikely, the representative scenarios to be evaluated include:</w:t>
      </w:r>
      <w:r w:rsidR="002A5F21">
        <w:rPr>
          <w:rFonts w:eastAsia="Arial" w:cs="Arial"/>
        </w:rPr>
        <w:t xml:space="preserve"> 1. </w:t>
      </w:r>
      <w:r w:rsidRPr="002A5F21">
        <w:rPr>
          <w:rFonts w:eastAsia="Arial" w:cs="Arial"/>
        </w:rPr>
        <w:t>Immediate release of ETO from a single barrel</w:t>
      </w:r>
      <w:r w:rsidR="002A5F21">
        <w:rPr>
          <w:rFonts w:eastAsia="Arial" w:cs="Arial"/>
        </w:rPr>
        <w:t xml:space="preserve">; 2. </w:t>
      </w:r>
      <w:r w:rsidRPr="002A5F21">
        <w:rPr>
          <w:rFonts w:eastAsia="Arial" w:cs="Arial"/>
        </w:rPr>
        <w:t>Continuous release of ETO from a single barrel through a small crack</w:t>
      </w:r>
      <w:r w:rsidR="002A5F21">
        <w:rPr>
          <w:rFonts w:eastAsia="Arial" w:cs="Arial"/>
        </w:rPr>
        <w:t>.</w:t>
      </w:r>
      <w:r w:rsidRPr="3E8F292C">
        <w:rPr>
          <w:rFonts w:eastAsia="Arial" w:cs="Arial"/>
        </w:rPr>
        <w:t xml:space="preserve">These scenarios will be analyzed with respect to the toxic dispersion of the hazardous substance and the potential </w:t>
      </w:r>
      <w:r w:rsidRPr="00F22C0F">
        <w:rPr>
          <w:rFonts w:eastAsia="Arial" w:cs="Arial"/>
        </w:rPr>
        <w:t xml:space="preserve">explosion of flammable </w:t>
      </w:r>
      <w:r w:rsidRPr="3E8F292C">
        <w:rPr>
          <w:rFonts w:eastAsia="Arial" w:cs="Arial"/>
        </w:rPr>
        <w:t>vapors.</w:t>
      </w:r>
    </w:p>
    <w:p w14:paraId="7382C781" w14:textId="49900D9D" w:rsidR="00600535" w:rsidRDefault="00204378" w:rsidP="00FA5F5F">
      <w:pPr>
        <w:pStyle w:val="CETheadingx"/>
      </w:pPr>
      <w:r>
        <w:t>Scenarios</w:t>
      </w:r>
    </w:p>
    <w:p w14:paraId="1F7FCD91" w14:textId="178B640A" w:rsidR="10DA587C" w:rsidRDefault="007F439A" w:rsidP="008F211C">
      <w:pPr>
        <w:pStyle w:val="CETBodytext"/>
      </w:pPr>
      <w:r w:rsidRPr="007F439A">
        <w:rPr>
          <w:lang w:val="en-GB"/>
        </w:rPr>
        <w:t>Emergency scenarios were determined for selected facilities representing the potentially most significant source of risk for the surrounding area.</w:t>
      </w:r>
      <w:r w:rsidR="002F5244">
        <w:rPr>
          <w:lang w:val="en-GB"/>
        </w:rPr>
        <w:t xml:space="preserve"> </w:t>
      </w:r>
      <w:r w:rsidR="5016622D" w:rsidRPr="002F5244">
        <w:t>Z2 – Process of Extracting ETO from Barrels – Continuous Release from One Barrel (500 kg ETO)</w:t>
      </w:r>
      <w:r w:rsidR="008F211C">
        <w:t xml:space="preserve">. </w:t>
      </w:r>
      <w:r w:rsidR="5016622D" w:rsidRPr="00E7785C">
        <w:t xml:space="preserve">Ethylene oxide release – A release of ETO could occur due to a loss of integrity in the connected piping to the barrel or a leak in the vessel itself. The primary causes may include a ruptured hose, pipe corrosion, or a leaking valve on the pressure vessel. For this assessment, a serious scenario was selected, involving a </w:t>
      </w:r>
      <w:r w:rsidR="5016622D" w:rsidRPr="54FF7FCB">
        <w:t>1 cm diameter hole representing</w:t>
      </w:r>
      <w:r w:rsidR="5016622D" w:rsidRPr="00E7785C">
        <w:t xml:space="preserve"> pipeline damage, leading to a continuous release. This corresponds to </w:t>
      </w:r>
      <w:r w:rsidR="5016622D" w:rsidRPr="54FF7FCB">
        <w:t xml:space="preserve">scenario G2 according to the methodology outlined in the </w:t>
      </w:r>
      <w:r w:rsidR="5016622D" w:rsidRPr="002F5244">
        <w:t>Purple Book.</w:t>
      </w:r>
      <w:r w:rsidR="002F5244">
        <w:t xml:space="preserve"> </w:t>
      </w:r>
      <w:r w:rsidR="5016622D" w:rsidRPr="002F5244">
        <w:t>Z3 – Transport of Barrels on a Truck – Instantaneous Release from One Barrel (500 kg ETO)</w:t>
      </w:r>
      <w:r w:rsidR="008F211C">
        <w:t xml:space="preserve">. </w:t>
      </w:r>
      <w:r w:rsidR="5016622D" w:rsidRPr="00E7785C">
        <w:t>Ethylene oxide release</w:t>
      </w:r>
      <w:r w:rsidR="5016622D" w:rsidRPr="2462C747">
        <w:t xml:space="preserve"> – A release of ETO could occur due to the rupture of a pressure vessel (barrel) during unloading with a forklift, caused by a drop due to improper handling, or in the event of a severe truck accident. For modeling purposes, a </w:t>
      </w:r>
      <w:r w:rsidR="5016622D" w:rsidRPr="00E7785C">
        <w:t>catastrophic scenario</w:t>
      </w:r>
      <w:r w:rsidR="5016622D" w:rsidRPr="2462C747">
        <w:t xml:space="preserve"> was selected, involving a </w:t>
      </w:r>
      <w:r w:rsidR="5016622D" w:rsidRPr="00E7785C">
        <w:t>10 cm length and 2 cm width hole</w:t>
      </w:r>
      <w:r w:rsidR="5016622D" w:rsidRPr="2462C747">
        <w:t xml:space="preserve">, representing vessel damage and leading to an instantaneous release. This corresponds to </w:t>
      </w:r>
      <w:r w:rsidR="5016622D" w:rsidRPr="00E7785C">
        <w:t>scenario G1</w:t>
      </w:r>
      <w:r w:rsidR="5016622D" w:rsidRPr="2462C747">
        <w:t xml:space="preserve"> according to the </w:t>
      </w:r>
      <w:r w:rsidR="5016622D" w:rsidRPr="009D2A8B">
        <w:t>Purple Book</w:t>
      </w:r>
      <w:r w:rsidR="5016622D" w:rsidRPr="2462C747">
        <w:t xml:space="preserve"> methodology.</w:t>
      </w:r>
    </w:p>
    <w:p w14:paraId="58F5AE5A" w14:textId="47F29FBE" w:rsidR="00F927C2" w:rsidRPr="00F927C2" w:rsidRDefault="003C63EA" w:rsidP="00F927C2">
      <w:pPr>
        <w:pStyle w:val="CETheadingx"/>
        <w:rPr>
          <w:lang w:val="en-GB"/>
        </w:rPr>
      </w:pPr>
      <w:r w:rsidRPr="003C63EA">
        <w:rPr>
          <w:lang w:val="en-GB"/>
        </w:rPr>
        <w:lastRenderedPageBreak/>
        <w:t>Assessment of impacts on human health</w:t>
      </w:r>
    </w:p>
    <w:p w14:paraId="374B45F3" w14:textId="409F6332" w:rsidR="000C22DD" w:rsidRPr="00B57B36" w:rsidRDefault="000C22DD" w:rsidP="000C22DD">
      <w:pPr>
        <w:pStyle w:val="CETTabletitle"/>
      </w:pPr>
      <w:r w:rsidRPr="00B57B36">
        <w:t xml:space="preserve">Table </w:t>
      </w:r>
      <w:r>
        <w:t>3</w:t>
      </w:r>
      <w:r w:rsidRPr="00B57B36">
        <w:t xml:space="preserve">: </w:t>
      </w:r>
      <w:r w:rsidR="00E172E4" w:rsidRPr="00E172E4">
        <w:t>List of hazardous substances located in the facility</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18"/>
        <w:gridCol w:w="1114"/>
        <w:gridCol w:w="1088"/>
        <w:gridCol w:w="1500"/>
        <w:gridCol w:w="703"/>
        <w:gridCol w:w="1088"/>
        <w:gridCol w:w="1088"/>
      </w:tblGrid>
      <w:tr w:rsidR="00C0656C" w:rsidRPr="00B57B36" w14:paraId="7D2FCAC8" w14:textId="77777777" w:rsidTr="00194422">
        <w:tc>
          <w:tcPr>
            <w:tcW w:w="1118" w:type="dxa"/>
            <w:tcBorders>
              <w:top w:val="single" w:sz="12" w:space="0" w:color="008000"/>
              <w:bottom w:val="single" w:sz="6" w:space="0" w:color="008000"/>
            </w:tcBorders>
            <w:shd w:val="clear" w:color="auto" w:fill="FFFFFF"/>
          </w:tcPr>
          <w:p w14:paraId="5DC73ABD" w14:textId="61252EB6" w:rsidR="00C0656C" w:rsidRPr="00B57B36" w:rsidRDefault="00C0656C" w:rsidP="00194422">
            <w:pPr>
              <w:pStyle w:val="CETBodytext"/>
              <w:jc w:val="center"/>
              <w:rPr>
                <w:lang w:val="en-GB"/>
              </w:rPr>
            </w:pPr>
            <w:r>
              <w:rPr>
                <w:lang w:val="en-GB"/>
              </w:rPr>
              <w:t>Scenario</w:t>
            </w:r>
          </w:p>
        </w:tc>
        <w:tc>
          <w:tcPr>
            <w:tcW w:w="1114" w:type="dxa"/>
            <w:tcBorders>
              <w:top w:val="single" w:sz="12" w:space="0" w:color="008000"/>
              <w:bottom w:val="single" w:sz="6" w:space="0" w:color="008000"/>
            </w:tcBorders>
            <w:shd w:val="clear" w:color="auto" w:fill="FFFFFF"/>
          </w:tcPr>
          <w:p w14:paraId="3F255F18" w14:textId="0A3C576E" w:rsidR="00C0656C" w:rsidRPr="00B57B36" w:rsidRDefault="00C0656C" w:rsidP="00194422">
            <w:pPr>
              <w:pStyle w:val="CETBodytext"/>
              <w:jc w:val="center"/>
              <w:rPr>
                <w:lang w:val="en-GB"/>
              </w:rPr>
            </w:pPr>
            <w:r>
              <w:rPr>
                <w:lang w:val="en-GB"/>
              </w:rPr>
              <w:t>Amount</w:t>
            </w:r>
          </w:p>
        </w:tc>
        <w:tc>
          <w:tcPr>
            <w:tcW w:w="1088" w:type="dxa"/>
            <w:tcBorders>
              <w:top w:val="single" w:sz="12" w:space="0" w:color="008000"/>
              <w:bottom w:val="single" w:sz="6" w:space="0" w:color="008000"/>
            </w:tcBorders>
            <w:shd w:val="clear" w:color="auto" w:fill="FFFFFF"/>
          </w:tcPr>
          <w:p w14:paraId="6D0C2FEC" w14:textId="07666851" w:rsidR="00C0656C" w:rsidRDefault="00C0656C" w:rsidP="00194422">
            <w:pPr>
              <w:pStyle w:val="CETBodytext"/>
              <w:jc w:val="center"/>
              <w:rPr>
                <w:lang w:val="en-GB"/>
              </w:rPr>
            </w:pPr>
            <w:r>
              <w:rPr>
                <w:lang w:val="en-GB"/>
              </w:rPr>
              <w:t>Max.of release amount</w:t>
            </w:r>
          </w:p>
          <w:p w14:paraId="735F816E" w14:textId="7E298B80" w:rsidR="00C0656C" w:rsidRPr="00B57B36" w:rsidRDefault="00C0656C" w:rsidP="00194422">
            <w:pPr>
              <w:pStyle w:val="CETBodytext"/>
              <w:jc w:val="center"/>
              <w:rPr>
                <w:lang w:val="en-GB"/>
              </w:rPr>
            </w:pPr>
            <w:r>
              <w:rPr>
                <w:lang w:val="en-GB"/>
              </w:rPr>
              <w:t>[kg/min]</w:t>
            </w:r>
          </w:p>
        </w:tc>
        <w:tc>
          <w:tcPr>
            <w:tcW w:w="1500" w:type="dxa"/>
            <w:tcBorders>
              <w:top w:val="single" w:sz="12" w:space="0" w:color="008000"/>
              <w:bottom w:val="single" w:sz="6" w:space="0" w:color="008000"/>
            </w:tcBorders>
            <w:shd w:val="clear" w:color="auto" w:fill="FFFFFF"/>
          </w:tcPr>
          <w:p w14:paraId="1E50785B" w14:textId="77777777" w:rsidR="00C0656C" w:rsidRDefault="00C0656C" w:rsidP="00194422">
            <w:pPr>
              <w:pStyle w:val="CETBodytext"/>
              <w:jc w:val="center"/>
              <w:rPr>
                <w:lang w:val="en-GB"/>
              </w:rPr>
            </w:pPr>
            <w:r>
              <w:rPr>
                <w:lang w:val="en-GB"/>
              </w:rPr>
              <w:t>Leakage time</w:t>
            </w:r>
          </w:p>
          <w:p w14:paraId="3F9812CA" w14:textId="1351189B" w:rsidR="00C0656C" w:rsidRPr="00B57B36" w:rsidRDefault="00C0656C" w:rsidP="00194422">
            <w:pPr>
              <w:pStyle w:val="CETBodytext"/>
              <w:jc w:val="center"/>
              <w:rPr>
                <w:lang w:val="en-GB"/>
              </w:rPr>
            </w:pPr>
            <w:r>
              <w:rPr>
                <w:lang w:val="en-GB"/>
              </w:rPr>
              <w:t>[min]</w:t>
            </w:r>
          </w:p>
        </w:tc>
        <w:tc>
          <w:tcPr>
            <w:tcW w:w="703" w:type="dxa"/>
            <w:tcBorders>
              <w:top w:val="single" w:sz="12" w:space="0" w:color="008000"/>
              <w:bottom w:val="single" w:sz="6" w:space="0" w:color="008000"/>
            </w:tcBorders>
            <w:shd w:val="clear" w:color="auto" w:fill="FFFFFF"/>
          </w:tcPr>
          <w:p w14:paraId="19D4D617" w14:textId="77777777" w:rsidR="00C0656C" w:rsidRDefault="00C0656C" w:rsidP="00194422">
            <w:pPr>
              <w:pStyle w:val="CETBodytext"/>
              <w:jc w:val="center"/>
              <w:rPr>
                <w:lang w:val="en-GB"/>
              </w:rPr>
            </w:pPr>
            <w:r>
              <w:rPr>
                <w:lang w:val="en-GB"/>
              </w:rPr>
              <w:t>Accident range</w:t>
            </w:r>
          </w:p>
          <w:p w14:paraId="17BDEDEB" w14:textId="5795F9EC" w:rsidR="00C0656C" w:rsidRPr="00B57B36" w:rsidRDefault="00C0656C" w:rsidP="00194422">
            <w:pPr>
              <w:pStyle w:val="CETBodytext"/>
              <w:jc w:val="center"/>
              <w:rPr>
                <w:lang w:val="en-GB"/>
              </w:rPr>
            </w:pPr>
            <w:r>
              <w:rPr>
                <w:lang w:val="en-GB"/>
              </w:rPr>
              <w:t>[m]</w:t>
            </w:r>
          </w:p>
        </w:tc>
        <w:tc>
          <w:tcPr>
            <w:tcW w:w="1088" w:type="dxa"/>
            <w:tcBorders>
              <w:top w:val="single" w:sz="12" w:space="0" w:color="008000"/>
              <w:bottom w:val="single" w:sz="6" w:space="0" w:color="008000"/>
            </w:tcBorders>
            <w:shd w:val="clear" w:color="auto" w:fill="FFFFFF"/>
          </w:tcPr>
          <w:p w14:paraId="6C5D0DCF" w14:textId="77777777" w:rsidR="00C0656C" w:rsidRPr="00B57B36" w:rsidRDefault="00C0656C" w:rsidP="007B199B">
            <w:pPr>
              <w:pStyle w:val="CETBodytext"/>
              <w:ind w:right="-1"/>
              <w:rPr>
                <w:rFonts w:cs="Arial"/>
                <w:szCs w:val="18"/>
                <w:lang w:val="en-GB"/>
              </w:rPr>
            </w:pPr>
          </w:p>
        </w:tc>
        <w:tc>
          <w:tcPr>
            <w:tcW w:w="1088" w:type="dxa"/>
            <w:tcBorders>
              <w:top w:val="single" w:sz="12" w:space="0" w:color="008000"/>
              <w:bottom w:val="single" w:sz="6" w:space="0" w:color="008000"/>
            </w:tcBorders>
            <w:shd w:val="clear" w:color="auto" w:fill="FFFFFF"/>
          </w:tcPr>
          <w:p w14:paraId="48E7BC4E" w14:textId="77777777" w:rsidR="00C0656C" w:rsidRPr="00B57B36" w:rsidRDefault="00C0656C" w:rsidP="007B199B">
            <w:pPr>
              <w:pStyle w:val="CETBodytext"/>
              <w:ind w:right="-1"/>
              <w:rPr>
                <w:rFonts w:cs="Arial"/>
                <w:szCs w:val="18"/>
                <w:lang w:val="en-GB"/>
              </w:rPr>
            </w:pPr>
          </w:p>
        </w:tc>
      </w:tr>
      <w:tr w:rsidR="00C0656C" w:rsidRPr="00B57B36" w14:paraId="5DD419E6" w14:textId="77777777" w:rsidTr="00194422">
        <w:tc>
          <w:tcPr>
            <w:tcW w:w="1118" w:type="dxa"/>
            <w:shd w:val="clear" w:color="auto" w:fill="FFFFFF"/>
          </w:tcPr>
          <w:p w14:paraId="7676654E" w14:textId="7FD461C7" w:rsidR="00C0656C" w:rsidRPr="00251D5B" w:rsidRDefault="00C0656C" w:rsidP="00194422">
            <w:pPr>
              <w:pStyle w:val="CETBodytext"/>
              <w:jc w:val="center"/>
              <w:rPr>
                <w:lang w:val="cs-CZ"/>
              </w:rPr>
            </w:pPr>
            <w:r>
              <w:rPr>
                <w:lang w:val="cs-CZ"/>
              </w:rPr>
              <w:t>Z2 a</w:t>
            </w:r>
          </w:p>
          <w:p w14:paraId="2D8361AE" w14:textId="11B81E8F" w:rsidR="00C0656C" w:rsidRPr="00B57B36" w:rsidRDefault="00C0656C" w:rsidP="00194422">
            <w:pPr>
              <w:pStyle w:val="CETBodytext"/>
              <w:jc w:val="center"/>
              <w:rPr>
                <w:lang w:val="en-GB"/>
              </w:rPr>
            </w:pPr>
            <w:r>
              <w:rPr>
                <w:lang w:val="en-GB"/>
              </w:rPr>
              <w:t>Z2 b</w:t>
            </w:r>
          </w:p>
        </w:tc>
        <w:tc>
          <w:tcPr>
            <w:tcW w:w="1114" w:type="dxa"/>
            <w:shd w:val="clear" w:color="auto" w:fill="FFFFFF"/>
          </w:tcPr>
          <w:p w14:paraId="0AF757CC" w14:textId="77777777" w:rsidR="00C0656C" w:rsidRDefault="00C0656C" w:rsidP="00194422">
            <w:pPr>
              <w:pStyle w:val="CETBodytext"/>
              <w:jc w:val="center"/>
              <w:rPr>
                <w:lang w:val="en-GB"/>
              </w:rPr>
            </w:pPr>
            <w:r>
              <w:rPr>
                <w:lang w:val="en-GB"/>
              </w:rPr>
              <w:t>500</w:t>
            </w:r>
          </w:p>
          <w:p w14:paraId="24470FFA" w14:textId="4F81D510" w:rsidR="00C0656C" w:rsidRPr="00B57B36" w:rsidRDefault="00C0656C" w:rsidP="00194422">
            <w:pPr>
              <w:pStyle w:val="CETBodytext"/>
              <w:jc w:val="center"/>
              <w:rPr>
                <w:lang w:val="en-GB"/>
              </w:rPr>
            </w:pPr>
            <w:r>
              <w:rPr>
                <w:lang w:val="en-GB"/>
              </w:rPr>
              <w:t>500</w:t>
            </w:r>
          </w:p>
        </w:tc>
        <w:tc>
          <w:tcPr>
            <w:tcW w:w="1088" w:type="dxa"/>
            <w:shd w:val="clear" w:color="auto" w:fill="FFFFFF"/>
          </w:tcPr>
          <w:p w14:paraId="352C43D8" w14:textId="77777777" w:rsidR="00C0656C" w:rsidRDefault="00C0656C" w:rsidP="00194422">
            <w:pPr>
              <w:pStyle w:val="CETBodytext"/>
              <w:jc w:val="center"/>
              <w:rPr>
                <w:lang w:val="en-GB"/>
              </w:rPr>
            </w:pPr>
            <w:r>
              <w:rPr>
                <w:lang w:val="en-GB"/>
              </w:rPr>
              <w:t>9</w:t>
            </w:r>
          </w:p>
          <w:p w14:paraId="10F205F8" w14:textId="035042FE" w:rsidR="00C0656C" w:rsidRPr="00B57B36" w:rsidRDefault="00C0656C" w:rsidP="00194422">
            <w:pPr>
              <w:pStyle w:val="CETBodytext"/>
              <w:jc w:val="center"/>
              <w:rPr>
                <w:lang w:val="en-GB"/>
              </w:rPr>
            </w:pPr>
            <w:r>
              <w:rPr>
                <w:lang w:val="en-GB"/>
              </w:rPr>
              <w:t>7.5</w:t>
            </w:r>
          </w:p>
        </w:tc>
        <w:tc>
          <w:tcPr>
            <w:tcW w:w="1500" w:type="dxa"/>
            <w:shd w:val="clear" w:color="auto" w:fill="FFFFFF"/>
          </w:tcPr>
          <w:p w14:paraId="7877283C" w14:textId="77777777" w:rsidR="00C0656C" w:rsidRDefault="00C0656C" w:rsidP="00194422">
            <w:pPr>
              <w:pStyle w:val="CETBodytext"/>
              <w:jc w:val="center"/>
              <w:rPr>
                <w:lang w:val="en-GB"/>
              </w:rPr>
            </w:pPr>
            <w:r>
              <w:rPr>
                <w:lang w:val="en-GB"/>
              </w:rPr>
              <w:t>57</w:t>
            </w:r>
          </w:p>
          <w:p w14:paraId="3CD3F7D6" w14:textId="005441A6" w:rsidR="00C0656C" w:rsidRPr="00B57B36" w:rsidRDefault="00C0656C" w:rsidP="00194422">
            <w:pPr>
              <w:pStyle w:val="CETBodytext"/>
              <w:jc w:val="center"/>
              <w:rPr>
                <w:lang w:val="en-GB"/>
              </w:rPr>
            </w:pPr>
            <w:r>
              <w:rPr>
                <w:lang w:val="en-GB"/>
              </w:rPr>
              <w:t>60</w:t>
            </w:r>
          </w:p>
        </w:tc>
        <w:tc>
          <w:tcPr>
            <w:tcW w:w="703" w:type="dxa"/>
            <w:shd w:val="clear" w:color="auto" w:fill="FFFFFF"/>
          </w:tcPr>
          <w:p w14:paraId="732457DA" w14:textId="77777777" w:rsidR="00C0656C" w:rsidRDefault="00194422" w:rsidP="00194422">
            <w:pPr>
              <w:pStyle w:val="CETBodytext"/>
              <w:jc w:val="center"/>
              <w:rPr>
                <w:lang w:val="en-GB"/>
              </w:rPr>
            </w:pPr>
            <w:r>
              <w:rPr>
                <w:lang w:val="en-GB"/>
              </w:rPr>
              <w:t>39</w:t>
            </w:r>
          </w:p>
          <w:p w14:paraId="553CB366" w14:textId="68249E41" w:rsidR="00194422" w:rsidRPr="00B57B36" w:rsidRDefault="00194422" w:rsidP="00194422">
            <w:pPr>
              <w:pStyle w:val="CETBodytext"/>
              <w:jc w:val="center"/>
              <w:rPr>
                <w:lang w:val="en-GB"/>
              </w:rPr>
            </w:pPr>
            <w:r>
              <w:rPr>
                <w:lang w:val="en-GB"/>
              </w:rPr>
              <w:t>43</w:t>
            </w:r>
          </w:p>
        </w:tc>
        <w:tc>
          <w:tcPr>
            <w:tcW w:w="1088" w:type="dxa"/>
            <w:shd w:val="clear" w:color="auto" w:fill="FFFFFF"/>
          </w:tcPr>
          <w:p w14:paraId="14BB3822" w14:textId="77777777" w:rsidR="00C0656C" w:rsidRPr="00B57B36" w:rsidRDefault="00C0656C" w:rsidP="007B199B">
            <w:pPr>
              <w:pStyle w:val="CETBodytext"/>
              <w:ind w:right="-1"/>
              <w:rPr>
                <w:rFonts w:cs="Arial"/>
                <w:szCs w:val="18"/>
                <w:lang w:val="en-GB"/>
              </w:rPr>
            </w:pPr>
          </w:p>
        </w:tc>
        <w:tc>
          <w:tcPr>
            <w:tcW w:w="1088" w:type="dxa"/>
            <w:shd w:val="clear" w:color="auto" w:fill="FFFFFF"/>
          </w:tcPr>
          <w:p w14:paraId="6D652F4A" w14:textId="77777777" w:rsidR="00C0656C" w:rsidRPr="00B57B36" w:rsidRDefault="00C0656C" w:rsidP="007B199B">
            <w:pPr>
              <w:pStyle w:val="CETBodytext"/>
              <w:ind w:right="-1"/>
              <w:rPr>
                <w:rFonts w:cs="Arial"/>
                <w:szCs w:val="18"/>
                <w:lang w:val="en-GB"/>
              </w:rPr>
            </w:pPr>
          </w:p>
        </w:tc>
      </w:tr>
      <w:tr w:rsidR="00C0656C" w:rsidRPr="00B57B36" w14:paraId="7A558FD3" w14:textId="77777777" w:rsidTr="00194422">
        <w:tc>
          <w:tcPr>
            <w:tcW w:w="1118" w:type="dxa"/>
            <w:shd w:val="clear" w:color="auto" w:fill="FFFFFF"/>
          </w:tcPr>
          <w:p w14:paraId="4B78B9D6" w14:textId="77777777" w:rsidR="00C0656C" w:rsidRDefault="00C0656C" w:rsidP="00194422">
            <w:pPr>
              <w:pStyle w:val="CETBodytext"/>
              <w:ind w:right="-1"/>
              <w:jc w:val="center"/>
              <w:rPr>
                <w:rFonts w:cs="Arial"/>
                <w:szCs w:val="18"/>
                <w:lang w:val="en-GB"/>
              </w:rPr>
            </w:pPr>
            <w:r>
              <w:rPr>
                <w:rFonts w:cs="Arial"/>
                <w:szCs w:val="18"/>
                <w:lang w:val="en-GB"/>
              </w:rPr>
              <w:t>Z3 a</w:t>
            </w:r>
          </w:p>
          <w:p w14:paraId="2CF27BAD" w14:textId="20A3493E" w:rsidR="00C0656C" w:rsidRPr="00B57B36" w:rsidRDefault="00C0656C" w:rsidP="00194422">
            <w:pPr>
              <w:pStyle w:val="CETBodytext"/>
              <w:ind w:right="-1"/>
              <w:jc w:val="center"/>
              <w:rPr>
                <w:rFonts w:cs="Arial"/>
                <w:szCs w:val="18"/>
                <w:lang w:val="en-GB"/>
              </w:rPr>
            </w:pPr>
            <w:r>
              <w:rPr>
                <w:rFonts w:cs="Arial"/>
                <w:szCs w:val="18"/>
                <w:lang w:val="en-GB"/>
              </w:rPr>
              <w:t>Z3 b</w:t>
            </w:r>
          </w:p>
        </w:tc>
        <w:tc>
          <w:tcPr>
            <w:tcW w:w="1114" w:type="dxa"/>
            <w:shd w:val="clear" w:color="auto" w:fill="FFFFFF"/>
          </w:tcPr>
          <w:p w14:paraId="637A8C83" w14:textId="77777777" w:rsidR="00C0656C" w:rsidRDefault="00C0656C" w:rsidP="00194422">
            <w:pPr>
              <w:pStyle w:val="CETBodytext"/>
              <w:ind w:right="-1"/>
              <w:jc w:val="center"/>
              <w:rPr>
                <w:rFonts w:cs="Arial"/>
                <w:szCs w:val="18"/>
                <w:lang w:val="en-GB"/>
              </w:rPr>
            </w:pPr>
            <w:r>
              <w:rPr>
                <w:rFonts w:cs="Arial"/>
                <w:szCs w:val="18"/>
                <w:lang w:val="en-GB"/>
              </w:rPr>
              <w:t>500</w:t>
            </w:r>
          </w:p>
          <w:p w14:paraId="6D7F5DA2" w14:textId="7A5E6A79" w:rsidR="00C0656C" w:rsidRPr="00B57B36" w:rsidRDefault="00C0656C" w:rsidP="00194422">
            <w:pPr>
              <w:pStyle w:val="CETBodytext"/>
              <w:ind w:right="-1"/>
              <w:jc w:val="center"/>
              <w:rPr>
                <w:rFonts w:cs="Arial"/>
                <w:szCs w:val="18"/>
                <w:lang w:val="en-GB"/>
              </w:rPr>
            </w:pPr>
            <w:r>
              <w:rPr>
                <w:rFonts w:cs="Arial"/>
                <w:szCs w:val="18"/>
                <w:lang w:val="en-GB"/>
              </w:rPr>
              <w:t>500</w:t>
            </w:r>
          </w:p>
        </w:tc>
        <w:tc>
          <w:tcPr>
            <w:tcW w:w="1088" w:type="dxa"/>
            <w:shd w:val="clear" w:color="auto" w:fill="FFFFFF"/>
          </w:tcPr>
          <w:p w14:paraId="5FFF8E1F" w14:textId="77777777" w:rsidR="00C0656C" w:rsidRDefault="00C0656C" w:rsidP="00194422">
            <w:pPr>
              <w:pStyle w:val="CETBodytext"/>
              <w:ind w:right="-1"/>
              <w:jc w:val="center"/>
              <w:rPr>
                <w:rFonts w:cs="Arial"/>
                <w:szCs w:val="18"/>
                <w:lang w:val="en-GB"/>
              </w:rPr>
            </w:pPr>
            <w:r>
              <w:rPr>
                <w:rFonts w:cs="Arial"/>
                <w:szCs w:val="18"/>
                <w:lang w:val="en-GB"/>
              </w:rPr>
              <w:t>500</w:t>
            </w:r>
          </w:p>
          <w:p w14:paraId="6D4B58EE" w14:textId="6E8F1995" w:rsidR="00C0656C" w:rsidRPr="00B57B36" w:rsidRDefault="00C0656C" w:rsidP="00194422">
            <w:pPr>
              <w:pStyle w:val="CETBodytext"/>
              <w:ind w:right="-1"/>
              <w:jc w:val="center"/>
              <w:rPr>
                <w:rFonts w:cs="Arial"/>
                <w:szCs w:val="18"/>
                <w:lang w:val="en-GB"/>
              </w:rPr>
            </w:pPr>
            <w:r>
              <w:rPr>
                <w:rFonts w:cs="Arial"/>
                <w:szCs w:val="18"/>
                <w:lang w:val="en-GB"/>
              </w:rPr>
              <w:t>449</w:t>
            </w:r>
          </w:p>
        </w:tc>
        <w:tc>
          <w:tcPr>
            <w:tcW w:w="1500" w:type="dxa"/>
            <w:shd w:val="clear" w:color="auto" w:fill="FFFFFF"/>
          </w:tcPr>
          <w:p w14:paraId="064599A9" w14:textId="77777777" w:rsidR="00C0656C" w:rsidRDefault="00C0656C" w:rsidP="00194422">
            <w:pPr>
              <w:pStyle w:val="CETBodytext"/>
              <w:ind w:right="-1"/>
              <w:jc w:val="center"/>
              <w:rPr>
                <w:rFonts w:cs="Arial"/>
                <w:szCs w:val="18"/>
                <w:lang w:val="en-GB"/>
              </w:rPr>
            </w:pPr>
            <w:r>
              <w:rPr>
                <w:rFonts w:cs="Arial"/>
                <w:szCs w:val="18"/>
                <w:lang w:val="en-GB"/>
              </w:rPr>
              <w:t>1</w:t>
            </w:r>
          </w:p>
          <w:p w14:paraId="4FF2A3A0" w14:textId="3724A7B6" w:rsidR="00C0656C" w:rsidRPr="00B57B36" w:rsidRDefault="00C0656C" w:rsidP="00194422">
            <w:pPr>
              <w:pStyle w:val="CETBodytext"/>
              <w:ind w:right="-1"/>
              <w:jc w:val="center"/>
              <w:rPr>
                <w:rFonts w:cs="Arial"/>
                <w:szCs w:val="18"/>
                <w:lang w:val="en-GB"/>
              </w:rPr>
            </w:pPr>
            <w:r>
              <w:rPr>
                <w:rFonts w:cs="Arial"/>
                <w:szCs w:val="18"/>
                <w:lang w:val="en-GB"/>
              </w:rPr>
              <w:t>2</w:t>
            </w:r>
          </w:p>
        </w:tc>
        <w:tc>
          <w:tcPr>
            <w:tcW w:w="703" w:type="dxa"/>
            <w:shd w:val="clear" w:color="auto" w:fill="FFFFFF"/>
          </w:tcPr>
          <w:p w14:paraId="7BD62F19" w14:textId="77777777" w:rsidR="00C0656C" w:rsidRDefault="00194422" w:rsidP="00194422">
            <w:pPr>
              <w:pStyle w:val="CETBodytext"/>
              <w:ind w:right="-1"/>
              <w:jc w:val="center"/>
              <w:rPr>
                <w:rFonts w:cs="Arial"/>
                <w:szCs w:val="18"/>
                <w:lang w:val="en-GB"/>
              </w:rPr>
            </w:pPr>
            <w:r>
              <w:rPr>
                <w:rFonts w:cs="Arial"/>
                <w:szCs w:val="18"/>
                <w:lang w:val="en-GB"/>
              </w:rPr>
              <w:t>313</w:t>
            </w:r>
          </w:p>
          <w:p w14:paraId="4A37FC1F" w14:textId="4DAE14A0" w:rsidR="00194422" w:rsidRPr="00B57B36" w:rsidRDefault="00194422" w:rsidP="00194422">
            <w:pPr>
              <w:pStyle w:val="CETBodytext"/>
              <w:ind w:right="-1"/>
              <w:jc w:val="center"/>
              <w:rPr>
                <w:rFonts w:cs="Arial"/>
                <w:szCs w:val="18"/>
                <w:lang w:val="en-GB"/>
              </w:rPr>
            </w:pPr>
            <w:r>
              <w:rPr>
                <w:rFonts w:cs="Arial"/>
                <w:szCs w:val="18"/>
                <w:lang w:val="en-GB"/>
              </w:rPr>
              <w:t>235</w:t>
            </w:r>
          </w:p>
        </w:tc>
        <w:tc>
          <w:tcPr>
            <w:tcW w:w="1088" w:type="dxa"/>
            <w:shd w:val="clear" w:color="auto" w:fill="FFFFFF"/>
          </w:tcPr>
          <w:p w14:paraId="60D01D3B" w14:textId="77777777" w:rsidR="00C0656C" w:rsidRPr="00B57B36" w:rsidRDefault="00C0656C" w:rsidP="007B199B">
            <w:pPr>
              <w:pStyle w:val="CETBodytext"/>
              <w:ind w:right="-1"/>
              <w:rPr>
                <w:rFonts w:cs="Arial"/>
                <w:szCs w:val="18"/>
                <w:lang w:val="en-GB"/>
              </w:rPr>
            </w:pPr>
          </w:p>
        </w:tc>
        <w:tc>
          <w:tcPr>
            <w:tcW w:w="1088" w:type="dxa"/>
            <w:shd w:val="clear" w:color="auto" w:fill="FFFFFF"/>
          </w:tcPr>
          <w:p w14:paraId="2AFE56D2" w14:textId="77777777" w:rsidR="00C0656C" w:rsidRPr="00B57B36" w:rsidRDefault="00C0656C" w:rsidP="007B199B">
            <w:pPr>
              <w:pStyle w:val="CETBodytext"/>
              <w:ind w:right="-1"/>
              <w:rPr>
                <w:rFonts w:cs="Arial"/>
                <w:szCs w:val="18"/>
                <w:lang w:val="en-GB"/>
              </w:rPr>
            </w:pPr>
          </w:p>
        </w:tc>
      </w:tr>
    </w:tbl>
    <w:p w14:paraId="7536990F" w14:textId="77777777" w:rsidR="00194422" w:rsidRDefault="00194422" w:rsidP="10DA587C">
      <w:pPr>
        <w:pStyle w:val="CETBodytext"/>
        <w:rPr>
          <w:lang w:val="en-GB"/>
        </w:rPr>
      </w:pPr>
    </w:p>
    <w:p w14:paraId="6541E1CB" w14:textId="74EE19E4" w:rsidR="00514304" w:rsidRPr="00514304" w:rsidRDefault="00416A29" w:rsidP="00514304">
      <w:pPr>
        <w:pStyle w:val="CETBodytext"/>
        <w:rPr>
          <w:lang w:val="en-GB"/>
        </w:rPr>
      </w:pPr>
      <w:r w:rsidRPr="00F927C2">
        <w:rPr>
          <w:lang w:val="en-GB"/>
        </w:rPr>
        <w:t>For the purposes of evaluating the potential ranges of the toxic ETO vapor cloud and the spread of flammable gas, neutral climatic conditions occurring most frequently throughout the year (wind speed 5 ms</w:t>
      </w:r>
      <w:r>
        <w:rPr>
          <w:vertAlign w:val="superscript"/>
          <w:lang w:val="en-GB"/>
        </w:rPr>
        <w:t>-1</w:t>
      </w:r>
      <w:r w:rsidRPr="00F927C2">
        <w:rPr>
          <w:lang w:val="en-GB"/>
        </w:rPr>
        <w:t>) and an inverse situation representing the worst meteorological conditions for dispersion (wind speed 1.7 ms</w:t>
      </w:r>
      <w:r>
        <w:rPr>
          <w:vertAlign w:val="superscript"/>
          <w:lang w:val="en-GB"/>
        </w:rPr>
        <w:t>-1</w:t>
      </w:r>
      <w:r w:rsidRPr="00F927C2">
        <w:rPr>
          <w:lang w:val="en-GB"/>
        </w:rPr>
        <w:t>) were taken into account, see wind rose.</w:t>
      </w:r>
      <w:r w:rsidR="002144D2">
        <w:rPr>
          <w:lang w:val="en-GB"/>
        </w:rPr>
        <w:t xml:space="preserve"> </w:t>
      </w:r>
      <w:r w:rsidR="0017273A">
        <w:rPr>
          <w:lang w:val="en-GB"/>
        </w:rPr>
        <w:t>The most critical outcomes pertain to the immediate emission of ETO from a compromised barrel (scenario Z3), in which the lethal concentration is projected to extend approximately 313 meters under neutral atmospheric conditions or 235 meters during an inversion layer event. In scenario Z2, whereby ETO is emitted within a building, the diffusion into the external environment is significantly curtailed, culminating in the formation of a noxious cloud that could endanger the operator. Considering the building's proximity to the civilian area, it is plausible that the dissemination of the toxic cloud might affect the adjacent population, located approximately 50 meters to the south. Individuals positioned in open areas within the impacted zone are exposed to a severe risk of fatality. Occupants within surrounding edifices receive partial protection; nonetheless, 10% of the total number of inhabitants in these buildings are still at a severe risk of fatality.</w:t>
      </w:r>
      <w:r w:rsidR="00332968">
        <w:rPr>
          <w:lang w:val="en-GB"/>
        </w:rPr>
        <w:t xml:space="preserve"> </w:t>
      </w:r>
      <w:r w:rsidR="001F75ED" w:rsidRPr="001F75ED">
        <w:rPr>
          <w:rFonts w:cs="Arial"/>
          <w:szCs w:val="22"/>
        </w:rPr>
        <w:t xml:space="preserve">Graphical representations of the worst-case consequences of toxic dispersion under neutral conditions are shown in </w:t>
      </w:r>
      <w:r w:rsidR="00F21BE6">
        <w:rPr>
          <w:rFonts w:cs="Arial"/>
          <w:szCs w:val="22"/>
        </w:rPr>
        <w:t xml:space="preserve">Figure </w:t>
      </w:r>
      <w:r w:rsidR="00970DDC">
        <w:rPr>
          <w:rFonts w:cs="Arial"/>
          <w:szCs w:val="22"/>
        </w:rPr>
        <w:t>2</w:t>
      </w:r>
      <w:r w:rsidR="00F21BE6">
        <w:rPr>
          <w:rFonts w:cs="Arial"/>
          <w:szCs w:val="22"/>
        </w:rPr>
        <w:t>.</w:t>
      </w:r>
    </w:p>
    <w:p w14:paraId="09BA4B68" w14:textId="5EEDD644" w:rsidR="00987915" w:rsidRPr="00A80760" w:rsidRDefault="00365F0C" w:rsidP="00365F0C">
      <w:pPr>
        <w:pStyle w:val="CETCaption"/>
      </w:pPr>
      <w:r>
        <w:rPr>
          <w:noProof/>
        </w:rPr>
        <w:drawing>
          <wp:inline distT="0" distB="0" distL="0" distR="0" wp14:anchorId="29928B99" wp14:editId="7E17D70D">
            <wp:extent cx="2973788" cy="1642743"/>
            <wp:effectExtent l="0" t="0" r="0" b="0"/>
            <wp:docPr id="95891658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5401" cy="1693351"/>
                    </a:xfrm>
                    <a:prstGeom prst="rect">
                      <a:avLst/>
                    </a:prstGeom>
                    <a:noFill/>
                    <a:ln>
                      <a:noFill/>
                    </a:ln>
                  </pic:spPr>
                </pic:pic>
              </a:graphicData>
            </a:graphic>
          </wp:inline>
        </w:drawing>
      </w:r>
    </w:p>
    <w:p w14:paraId="39C0B0D4" w14:textId="23C0BD63" w:rsidR="00830476" w:rsidRPr="00A80760" w:rsidRDefault="00970DDC" w:rsidP="00365F0C">
      <w:pPr>
        <w:pStyle w:val="CETCaption"/>
      </w:pPr>
      <w:r w:rsidRPr="00BD077D">
        <w:rPr>
          <w:rStyle w:val="CETCaptionCarattere"/>
          <w:i/>
        </w:rPr>
        <w:t xml:space="preserve">Figure </w:t>
      </w:r>
      <w:r>
        <w:rPr>
          <w:rStyle w:val="CETCaptionCarattere"/>
        </w:rPr>
        <w:t>2</w:t>
      </w:r>
      <w:r w:rsidRPr="00BD077D">
        <w:rPr>
          <w:rStyle w:val="CETCaptionCarattere"/>
          <w:i/>
        </w:rPr>
        <w:t xml:space="preserve">: </w:t>
      </w:r>
      <w:r w:rsidRPr="0056220B">
        <w:t>The extent of the most severe accident for the case of neutral air stability and the worst wind direction (red color - fatal zone, orange color - injury zone)</w:t>
      </w:r>
    </w:p>
    <w:p w14:paraId="6B7E4840" w14:textId="6E4EE0ED" w:rsidR="00987915" w:rsidRDefault="005F234D" w:rsidP="00830476">
      <w:pPr>
        <w:pStyle w:val="CETHeading1"/>
      </w:pPr>
      <w:r>
        <w:t>Results and Discussion</w:t>
      </w:r>
    </w:p>
    <w:p w14:paraId="3D9CF2B7" w14:textId="6A024BD5" w:rsidR="00934EA3" w:rsidRPr="00934EA3" w:rsidRDefault="00002B04" w:rsidP="00934EA3">
      <w:pPr>
        <w:pStyle w:val="CETheadingx"/>
      </w:pPr>
      <w:r w:rsidRPr="00002B04">
        <w:rPr>
          <w:lang w:val="en-GB"/>
        </w:rPr>
        <w:t>Assessment of the acceptability of the risk of major accidents</w:t>
      </w:r>
    </w:p>
    <w:p w14:paraId="537036A9" w14:textId="50ED27F8" w:rsidR="009E722B" w:rsidRDefault="00BE5DB2" w:rsidP="00E35AC9">
      <w:pPr>
        <w:rPr>
          <w:rFonts w:cs="Arial"/>
        </w:rPr>
      </w:pPr>
      <w:r>
        <w:rPr>
          <w:rFonts w:cs="Arial"/>
        </w:rPr>
        <w:t xml:space="preserve">Within the delineated area </w:t>
      </w:r>
      <w:r w:rsidR="393E1E8A" w:rsidRPr="19B15AC9">
        <w:rPr>
          <w:rFonts w:cs="Arial"/>
        </w:rPr>
        <w:t xml:space="preserve">affected </w:t>
      </w:r>
      <w:r w:rsidRPr="19B15AC9">
        <w:rPr>
          <w:rFonts w:cs="Arial"/>
        </w:rPr>
        <w:t>by</w:t>
      </w:r>
      <w:r>
        <w:rPr>
          <w:rFonts w:cs="Arial"/>
        </w:rPr>
        <w:t xml:space="preserve"> a lethal concentration of ETO, with a radius extending approximately 313 meters or 235 meters </w:t>
      </w:r>
      <w:r w:rsidR="47D2F211" w:rsidRPr="19B15AC9">
        <w:rPr>
          <w:rFonts w:cs="Arial"/>
        </w:rPr>
        <w:t xml:space="preserve">under inversion </w:t>
      </w:r>
      <w:r w:rsidR="47D2F211" w:rsidRPr="36950201">
        <w:rPr>
          <w:rFonts w:cs="Arial"/>
        </w:rPr>
        <w:t>conditions</w:t>
      </w:r>
      <w:r>
        <w:rPr>
          <w:rFonts w:cs="Arial"/>
        </w:rPr>
        <w:t>, the population at risk is estimated to be 70 individuals, residing in 20 houses located to the south. According to the methodology detailed in the Purple Book, 93</w:t>
      </w:r>
      <w:r w:rsidR="00664C9A">
        <w:rPr>
          <w:rFonts w:cs="Arial"/>
        </w:rPr>
        <w:t xml:space="preserve"> </w:t>
      </w:r>
      <w:r>
        <w:rPr>
          <w:rFonts w:cs="Arial"/>
        </w:rPr>
        <w:t xml:space="preserve">% of these residents are sheltered within buildings, </w:t>
      </w:r>
      <w:r w:rsidR="1FE27CF2" w:rsidRPr="36950201">
        <w:rPr>
          <w:rFonts w:cs="Arial"/>
        </w:rPr>
        <w:t>resulting in</w:t>
      </w:r>
      <w:r>
        <w:rPr>
          <w:rFonts w:cs="Arial"/>
        </w:rPr>
        <w:t xml:space="preserve"> a mortality rate of only 10</w:t>
      </w:r>
      <w:r w:rsidR="006A51BC">
        <w:rPr>
          <w:rFonts w:cs="Arial"/>
        </w:rPr>
        <w:t xml:space="preserve"> </w:t>
      </w:r>
      <w:r>
        <w:rPr>
          <w:rFonts w:cs="Arial"/>
        </w:rPr>
        <w:t>% for this group, whereas the remaining 7</w:t>
      </w:r>
      <w:r w:rsidR="006A51BC">
        <w:rPr>
          <w:rFonts w:cs="Arial"/>
        </w:rPr>
        <w:t xml:space="preserve"> </w:t>
      </w:r>
      <w:r>
        <w:rPr>
          <w:rFonts w:cs="Arial"/>
        </w:rPr>
        <w:t xml:space="preserve">% are </w:t>
      </w:r>
      <w:r w:rsidR="5E8B742B" w:rsidRPr="36950201">
        <w:rPr>
          <w:rFonts w:cs="Arial"/>
        </w:rPr>
        <w:t xml:space="preserve">externally </w:t>
      </w:r>
      <w:r>
        <w:rPr>
          <w:rFonts w:cs="Arial"/>
        </w:rPr>
        <w:t xml:space="preserve">exposed and consequently face a 100% mortality risk from the toxic cloud. </w:t>
      </w:r>
      <w:r w:rsidR="6D8500D7" w:rsidRPr="72044286">
        <w:rPr>
          <w:rFonts w:cs="Arial"/>
        </w:rPr>
        <w:t>As a result</w:t>
      </w:r>
      <w:r>
        <w:rPr>
          <w:rFonts w:cs="Arial"/>
        </w:rPr>
        <w:t>, it is projected that approximately 11 individuals may face mortal danger, approximately 6 residing indoors and 5 outdoors. In scenario Z2, the risk assessment indicates that two employees are also at risk of fatality. The social risk evaluation was conducted in alignment with Decree No. 227/2015 Coll., which stipulates the acceptability of risk based on the permissible frequency of events that could endanger multiple lives due to a major accident. The acceptable frequency, denoted as Fp, for newly constructed buildings is determined by the following relationship</w:t>
      </w:r>
      <w:r w:rsidR="00ED7394" w:rsidRPr="45718BD4">
        <w:rPr>
          <w:rFonts w:cs="Arial"/>
        </w:rPr>
        <w:t>:</w:t>
      </w:r>
    </w:p>
    <w:p w14:paraId="7FC05AF8" w14:textId="0562142C" w:rsidR="00E35AC9" w:rsidRPr="002B0455" w:rsidRDefault="00E35AC9" w:rsidP="008447CE">
      <w:pPr>
        <w:pStyle w:val="CETEquation"/>
      </w:pPr>
      <m:oMath>
        <m:r>
          <w:rPr>
            <w:rFonts w:ascii="Cambria Math" w:hAnsi="Cambria Math"/>
          </w:rPr>
          <m:t>Fp</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oMath>
      <w:r w:rsidR="008447CE">
        <w:t xml:space="preserve">                                                                                                                                                    (1)</w:t>
      </w:r>
    </w:p>
    <w:p w14:paraId="116ECDB0" w14:textId="100C9C8B" w:rsidR="00E35AC9" w:rsidRPr="0072609F" w:rsidRDefault="00D61E35" w:rsidP="00E35AC9">
      <w:pPr>
        <w:rPr>
          <w:rFonts w:cs="Arial"/>
          <w:szCs w:val="22"/>
        </w:rPr>
      </w:pPr>
      <w:r>
        <w:rPr>
          <w:rFonts w:cs="Arial"/>
          <w:szCs w:val="22"/>
        </w:rPr>
        <w:lastRenderedPageBreak/>
        <w:t>Where</w:t>
      </w:r>
      <w:r w:rsidR="00E35AC9" w:rsidRPr="0072609F">
        <w:rPr>
          <w:rFonts w:cs="Arial"/>
          <w:szCs w:val="22"/>
        </w:rPr>
        <w:t>:</w:t>
      </w:r>
    </w:p>
    <w:p w14:paraId="62D59A7F" w14:textId="03F7F2E1" w:rsidR="00E35AC9" w:rsidRPr="0072609F" w:rsidRDefault="00E35AC9" w:rsidP="00E35AC9">
      <w:pPr>
        <w:rPr>
          <w:rFonts w:cs="Arial"/>
          <w:szCs w:val="22"/>
        </w:rPr>
      </w:pPr>
      <w:r w:rsidRPr="0072609F">
        <w:rPr>
          <w:rFonts w:cs="Arial"/>
          <w:szCs w:val="22"/>
        </w:rPr>
        <w:t xml:space="preserve">Fp </w:t>
      </w:r>
      <w:r w:rsidRPr="0072609F">
        <w:rPr>
          <w:rFonts w:cs="Arial"/>
          <w:szCs w:val="22"/>
        </w:rPr>
        <w:tab/>
      </w:r>
      <w:r w:rsidR="00D775D0" w:rsidRPr="00D775D0">
        <w:rPr>
          <w:rFonts w:cs="Arial"/>
          <w:szCs w:val="22"/>
        </w:rPr>
        <w:t xml:space="preserve">acceptable accident frequency </w:t>
      </w:r>
      <w:r w:rsidRPr="0072609F">
        <w:rPr>
          <w:rFonts w:cs="Arial"/>
          <w:szCs w:val="22"/>
        </w:rPr>
        <w:t>[</w:t>
      </w:r>
      <w:r w:rsidR="00CB6B18">
        <w:rPr>
          <w:rFonts w:cs="Arial"/>
          <w:szCs w:val="22"/>
        </w:rPr>
        <w:t>year</w:t>
      </w:r>
      <w:r w:rsidRPr="0072609F">
        <w:rPr>
          <w:rFonts w:cs="Arial"/>
          <w:szCs w:val="22"/>
          <w:vertAlign w:val="superscript"/>
        </w:rPr>
        <w:t>-1</w:t>
      </w:r>
      <w:r w:rsidRPr="0072609F">
        <w:rPr>
          <w:rFonts w:cs="Arial"/>
          <w:szCs w:val="22"/>
        </w:rPr>
        <w:t>],</w:t>
      </w:r>
    </w:p>
    <w:p w14:paraId="3794F7DE" w14:textId="6238308B" w:rsidR="00E35AC9" w:rsidRPr="0072609F" w:rsidRDefault="00E35AC9" w:rsidP="00E35AC9">
      <w:pPr>
        <w:rPr>
          <w:rFonts w:cs="Arial"/>
          <w:szCs w:val="22"/>
        </w:rPr>
      </w:pPr>
      <w:r w:rsidRPr="0072609F">
        <w:rPr>
          <w:rFonts w:cs="Arial"/>
          <w:szCs w:val="22"/>
        </w:rPr>
        <w:t>N</w:t>
      </w:r>
      <w:r w:rsidRPr="0072609F">
        <w:rPr>
          <w:rFonts w:cs="Arial"/>
          <w:szCs w:val="22"/>
        </w:rPr>
        <w:tab/>
      </w:r>
      <w:r w:rsidR="0051253B" w:rsidRPr="0051253B">
        <w:rPr>
          <w:rFonts w:cs="Arial"/>
          <w:szCs w:val="22"/>
        </w:rPr>
        <w:t>number of fatal injuries due to accidents</w:t>
      </w:r>
      <w:r w:rsidRPr="0072609F">
        <w:rPr>
          <w:rFonts w:cs="Arial"/>
          <w:szCs w:val="22"/>
        </w:rPr>
        <w:t>.</w:t>
      </w:r>
    </w:p>
    <w:p w14:paraId="68F5D18B" w14:textId="77777777" w:rsidR="00E35AC9" w:rsidRPr="0072609F" w:rsidRDefault="00E35AC9" w:rsidP="00E35AC9">
      <w:pPr>
        <w:rPr>
          <w:rFonts w:cs="Arial"/>
          <w:szCs w:val="22"/>
        </w:rPr>
      </w:pPr>
    </w:p>
    <w:p w14:paraId="4C88C09C" w14:textId="70A372C4" w:rsidR="00E35AC9" w:rsidRPr="0072609F" w:rsidRDefault="005D6AFA" w:rsidP="00E35AC9">
      <w:pPr>
        <w:rPr>
          <w:rFonts w:cs="Arial"/>
          <w:szCs w:val="22"/>
        </w:rPr>
      </w:pPr>
      <w:r w:rsidRPr="005D6AFA">
        <w:rPr>
          <w:rFonts w:cs="Arial"/>
          <w:szCs w:val="22"/>
        </w:rPr>
        <w:t>The results of the risk assessment are presented in the following table, which takes into account the most serious scenarios (ETO leaks).</w:t>
      </w:r>
    </w:p>
    <w:p w14:paraId="3551ED8D" w14:textId="7BAEC509" w:rsidR="00E35AC9" w:rsidRPr="00EF19D7" w:rsidRDefault="00E35AC9" w:rsidP="00AC2528">
      <w:pPr>
        <w:pStyle w:val="CETTabletitle"/>
        <w:rPr>
          <w:lang w:val="en-US"/>
        </w:rPr>
      </w:pPr>
      <w:bookmarkStart w:id="1" w:name="_Toc367872622"/>
      <w:r w:rsidRPr="00EF19D7">
        <w:rPr>
          <w:lang w:val="en-US"/>
        </w:rPr>
        <w:t>Tab</w:t>
      </w:r>
      <w:r w:rsidR="008B66D0" w:rsidRPr="00EF19D7">
        <w:rPr>
          <w:lang w:val="en-US"/>
        </w:rPr>
        <w:t>le</w:t>
      </w:r>
      <w:r w:rsidRPr="00EF19D7">
        <w:rPr>
          <w:lang w:val="en-US"/>
        </w:rPr>
        <w:t xml:space="preserve"> </w:t>
      </w:r>
      <w:r w:rsidR="000C24EE">
        <w:rPr>
          <w:lang w:val="en-US"/>
        </w:rPr>
        <w:t>4</w:t>
      </w:r>
      <w:r w:rsidRPr="00EF19D7">
        <w:rPr>
          <w:lang w:val="en-US"/>
        </w:rPr>
        <w:t xml:space="preserve">: </w:t>
      </w:r>
      <w:bookmarkEnd w:id="1"/>
      <w:r w:rsidR="00A03B3E" w:rsidRPr="00EF19D7">
        <w:rPr>
          <w:lang w:val="en-US"/>
        </w:rPr>
        <w:t>Risk assessment of the analyzed scenarios</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276"/>
        <w:gridCol w:w="1134"/>
        <w:gridCol w:w="1701"/>
        <w:gridCol w:w="425"/>
        <w:gridCol w:w="709"/>
        <w:gridCol w:w="1276"/>
      </w:tblGrid>
      <w:tr w:rsidR="008E0A50" w:rsidRPr="00EF19D7" w14:paraId="0C176E97" w14:textId="77777777" w:rsidTr="00984E9A">
        <w:tc>
          <w:tcPr>
            <w:tcW w:w="1276" w:type="dxa"/>
            <w:tcBorders>
              <w:top w:val="single" w:sz="12" w:space="0" w:color="008000"/>
              <w:bottom w:val="single" w:sz="6" w:space="0" w:color="008000"/>
            </w:tcBorders>
            <w:shd w:val="clear" w:color="auto" w:fill="FFFFFF" w:themeFill="background1"/>
          </w:tcPr>
          <w:p w14:paraId="2391D1E3" w14:textId="36465A57" w:rsidR="00031368" w:rsidRPr="00EF19D7" w:rsidRDefault="009E6F6F" w:rsidP="00984E9A">
            <w:pPr>
              <w:pStyle w:val="CETBodytext"/>
              <w:jc w:val="left"/>
            </w:pPr>
            <w:r w:rsidRPr="00EF19D7">
              <w:t>Scenario</w:t>
            </w:r>
          </w:p>
        </w:tc>
        <w:tc>
          <w:tcPr>
            <w:tcW w:w="1134" w:type="dxa"/>
            <w:tcBorders>
              <w:top w:val="single" w:sz="12" w:space="0" w:color="008000"/>
              <w:bottom w:val="single" w:sz="6" w:space="0" w:color="008000"/>
            </w:tcBorders>
            <w:shd w:val="clear" w:color="auto" w:fill="FFFFFF" w:themeFill="background1"/>
          </w:tcPr>
          <w:p w14:paraId="538052AD" w14:textId="77777777" w:rsidR="00031368" w:rsidRPr="00EF19D7" w:rsidRDefault="00E435AC" w:rsidP="00984E9A">
            <w:pPr>
              <w:pStyle w:val="CETBodytext"/>
              <w:jc w:val="left"/>
              <w:rPr>
                <w:vertAlign w:val="subscript"/>
              </w:rPr>
            </w:pPr>
            <w:r w:rsidRPr="00EF19D7">
              <w:t>F</w:t>
            </w:r>
            <w:r w:rsidRPr="00EF19D7">
              <w:rPr>
                <w:vertAlign w:val="subscript"/>
              </w:rPr>
              <w:t>h</w:t>
            </w:r>
          </w:p>
          <w:p w14:paraId="2C2DC71C" w14:textId="3F238507" w:rsidR="00E435AC" w:rsidRPr="00EF19D7" w:rsidRDefault="00E435AC" w:rsidP="00984E9A">
            <w:pPr>
              <w:pStyle w:val="CETBodytext"/>
              <w:jc w:val="left"/>
            </w:pPr>
            <w:r w:rsidRPr="00EF19D7">
              <w:t xml:space="preserve">(Year </w:t>
            </w:r>
            <w:r w:rsidRPr="00EF19D7">
              <w:rPr>
                <w:vertAlign w:val="superscript"/>
              </w:rPr>
              <w:t>-1</w:t>
            </w:r>
            <w:r w:rsidRPr="00EF19D7">
              <w:t>)</w:t>
            </w:r>
          </w:p>
        </w:tc>
        <w:tc>
          <w:tcPr>
            <w:tcW w:w="2126" w:type="dxa"/>
            <w:gridSpan w:val="2"/>
            <w:tcBorders>
              <w:top w:val="single" w:sz="12" w:space="0" w:color="008000"/>
              <w:bottom w:val="single" w:sz="6" w:space="0" w:color="008000"/>
            </w:tcBorders>
            <w:shd w:val="clear" w:color="auto" w:fill="FFFFFF" w:themeFill="background1"/>
          </w:tcPr>
          <w:p w14:paraId="5EAB71D5" w14:textId="77777777" w:rsidR="006A363D" w:rsidRPr="00EF19D7" w:rsidRDefault="00676253" w:rsidP="00984E9A">
            <w:pPr>
              <w:pStyle w:val="CETBodytext"/>
              <w:jc w:val="left"/>
            </w:pPr>
            <w:r w:rsidRPr="00EF19D7">
              <w:t xml:space="preserve">Human endangerment </w:t>
            </w:r>
          </w:p>
          <w:p w14:paraId="733C483F" w14:textId="6E26B99B" w:rsidR="00031368" w:rsidRPr="00EF19D7" w:rsidRDefault="00676253" w:rsidP="00984E9A">
            <w:pPr>
              <w:pStyle w:val="CETBodytext"/>
              <w:jc w:val="left"/>
            </w:pPr>
            <w:r w:rsidRPr="00EF19D7">
              <w:t>(No of deaths)</w:t>
            </w:r>
          </w:p>
        </w:tc>
        <w:tc>
          <w:tcPr>
            <w:tcW w:w="709" w:type="dxa"/>
            <w:tcBorders>
              <w:top w:val="single" w:sz="12" w:space="0" w:color="008000"/>
              <w:bottom w:val="single" w:sz="6" w:space="0" w:color="008000"/>
            </w:tcBorders>
            <w:shd w:val="clear" w:color="auto" w:fill="FFFFFF" w:themeFill="background1"/>
          </w:tcPr>
          <w:p w14:paraId="2675D62E" w14:textId="77777777" w:rsidR="00031368" w:rsidRPr="00EF19D7" w:rsidRDefault="006D650B" w:rsidP="00984E9A">
            <w:pPr>
              <w:pStyle w:val="CETBodytext"/>
              <w:ind w:right="-1"/>
              <w:jc w:val="left"/>
            </w:pPr>
            <w:r w:rsidRPr="00EF19D7">
              <w:t xml:space="preserve">Fp </w:t>
            </w:r>
          </w:p>
          <w:p w14:paraId="6AAC993D" w14:textId="3B23AF4D" w:rsidR="006D650B" w:rsidRPr="00EF19D7" w:rsidRDefault="006D650B" w:rsidP="00984E9A">
            <w:pPr>
              <w:pStyle w:val="CETBodytext"/>
              <w:ind w:right="-1"/>
              <w:jc w:val="left"/>
              <w:rPr>
                <w:rFonts w:cs="Arial"/>
                <w:szCs w:val="18"/>
              </w:rPr>
            </w:pPr>
            <w:r w:rsidRPr="00EF19D7">
              <w:t xml:space="preserve">(Year </w:t>
            </w:r>
            <w:r w:rsidRPr="00EF19D7">
              <w:rPr>
                <w:vertAlign w:val="superscript"/>
              </w:rPr>
              <w:t>-1</w:t>
            </w:r>
            <w:r w:rsidRPr="00EF19D7">
              <w:t>)</w:t>
            </w:r>
          </w:p>
        </w:tc>
        <w:tc>
          <w:tcPr>
            <w:tcW w:w="1276" w:type="dxa"/>
            <w:tcBorders>
              <w:top w:val="single" w:sz="12" w:space="0" w:color="008000"/>
              <w:bottom w:val="single" w:sz="6" w:space="0" w:color="008000"/>
            </w:tcBorders>
            <w:shd w:val="clear" w:color="auto" w:fill="FFFFFF" w:themeFill="background1"/>
          </w:tcPr>
          <w:p w14:paraId="7A7F98D7" w14:textId="7213E232" w:rsidR="00031368" w:rsidRPr="00EF19D7" w:rsidRDefault="006D650B" w:rsidP="00984E9A">
            <w:pPr>
              <w:pStyle w:val="CETBodytext"/>
              <w:ind w:right="-1"/>
              <w:jc w:val="left"/>
              <w:rPr>
                <w:rFonts w:cs="Arial"/>
                <w:szCs w:val="18"/>
              </w:rPr>
            </w:pPr>
            <w:r w:rsidRPr="00EF19D7">
              <w:t>Risk</w:t>
            </w:r>
          </w:p>
        </w:tc>
      </w:tr>
      <w:tr w:rsidR="00706CC9" w:rsidRPr="00EF19D7" w14:paraId="2A238CE4" w14:textId="77777777" w:rsidTr="00984E9A">
        <w:trPr>
          <w:trHeight w:val="305"/>
        </w:trPr>
        <w:tc>
          <w:tcPr>
            <w:tcW w:w="1276" w:type="dxa"/>
            <w:shd w:val="clear" w:color="auto" w:fill="FFFFFF" w:themeFill="background1"/>
          </w:tcPr>
          <w:p w14:paraId="79FA3B58" w14:textId="654CD445" w:rsidR="00706CC9" w:rsidRPr="00EF19D7" w:rsidRDefault="00706CC9" w:rsidP="00984E9A">
            <w:pPr>
              <w:pStyle w:val="CETBodytext"/>
              <w:jc w:val="left"/>
            </w:pPr>
            <w:r w:rsidRPr="00EF19D7">
              <w:t xml:space="preserve">ETO leak </w:t>
            </w:r>
            <w:r w:rsidRPr="00EF19D7">
              <w:rPr>
                <w:szCs w:val="18"/>
              </w:rPr>
              <w:t>(</w:t>
            </w:r>
            <w:r w:rsidRPr="00EF19D7">
              <w:t>Z2</w:t>
            </w:r>
            <w:r w:rsidRPr="00EF19D7">
              <w:rPr>
                <w:szCs w:val="18"/>
              </w:rPr>
              <w:t>)</w:t>
            </w:r>
          </w:p>
        </w:tc>
        <w:tc>
          <w:tcPr>
            <w:tcW w:w="1134" w:type="dxa"/>
            <w:shd w:val="clear" w:color="auto" w:fill="FFFFFF" w:themeFill="background1"/>
          </w:tcPr>
          <w:p w14:paraId="0FC38A6B" w14:textId="3021BC96" w:rsidR="00706CC9" w:rsidRPr="00EF19D7" w:rsidRDefault="00706CC9" w:rsidP="00984E9A">
            <w:pPr>
              <w:pStyle w:val="CETBodytext"/>
              <w:jc w:val="left"/>
              <w:rPr>
                <w:szCs w:val="18"/>
              </w:rPr>
            </w:pPr>
            <w:r w:rsidRPr="00EF19D7">
              <w:rPr>
                <w:szCs w:val="18"/>
              </w:rPr>
              <w:t>5 x 10</w:t>
            </w:r>
            <w:r w:rsidRPr="00EF19D7">
              <w:rPr>
                <w:szCs w:val="18"/>
                <w:vertAlign w:val="superscript"/>
              </w:rPr>
              <w:t>-5</w:t>
            </w:r>
          </w:p>
        </w:tc>
        <w:tc>
          <w:tcPr>
            <w:tcW w:w="1701" w:type="dxa"/>
            <w:shd w:val="clear" w:color="auto" w:fill="FFFFFF" w:themeFill="background1"/>
          </w:tcPr>
          <w:p w14:paraId="5BA1F0A1" w14:textId="33F329E3" w:rsidR="00706CC9" w:rsidRPr="00EF19D7" w:rsidRDefault="00706CC9" w:rsidP="00984E9A">
            <w:pPr>
              <w:pStyle w:val="CETBodytext"/>
              <w:jc w:val="left"/>
            </w:pPr>
            <w:r w:rsidRPr="00EF19D7">
              <w:t>2</w:t>
            </w:r>
          </w:p>
        </w:tc>
        <w:tc>
          <w:tcPr>
            <w:tcW w:w="1134" w:type="dxa"/>
            <w:gridSpan w:val="2"/>
            <w:shd w:val="clear" w:color="auto" w:fill="FFFFFF" w:themeFill="background1"/>
          </w:tcPr>
          <w:p w14:paraId="6E992E72" w14:textId="3911C5AD" w:rsidR="00706CC9" w:rsidRPr="00EF19D7" w:rsidRDefault="00706CC9" w:rsidP="00984E9A">
            <w:pPr>
              <w:pStyle w:val="CETBodytext"/>
              <w:jc w:val="left"/>
              <w:rPr>
                <w:rFonts w:cs="Arial"/>
              </w:rPr>
            </w:pPr>
            <w:r w:rsidRPr="00EF19D7">
              <w:t>2,5 x 10</w:t>
            </w:r>
            <w:r w:rsidRPr="00EF19D7">
              <w:rPr>
                <w:vertAlign w:val="superscript"/>
              </w:rPr>
              <w:t>-5</w:t>
            </w:r>
          </w:p>
        </w:tc>
        <w:tc>
          <w:tcPr>
            <w:tcW w:w="1276" w:type="dxa"/>
            <w:shd w:val="clear" w:color="auto" w:fill="FFFFFF" w:themeFill="background1"/>
          </w:tcPr>
          <w:p w14:paraId="0597C314" w14:textId="261C320F" w:rsidR="00706CC9" w:rsidRPr="00EF19D7" w:rsidRDefault="0018044C" w:rsidP="00984E9A">
            <w:pPr>
              <w:pStyle w:val="CETBodytext"/>
              <w:ind w:right="-1"/>
              <w:jc w:val="left"/>
              <w:rPr>
                <w:rFonts w:cs="Arial"/>
                <w:szCs w:val="18"/>
              </w:rPr>
            </w:pPr>
            <w:r w:rsidRPr="00EF19D7">
              <w:rPr>
                <w:rFonts w:cs="Arial"/>
                <w:szCs w:val="18"/>
              </w:rPr>
              <w:t>una</w:t>
            </w:r>
            <w:r w:rsidR="001B01F9" w:rsidRPr="00EF19D7">
              <w:rPr>
                <w:rFonts w:cs="Arial"/>
                <w:szCs w:val="18"/>
              </w:rPr>
              <w:t>cceptable</w:t>
            </w:r>
          </w:p>
        </w:tc>
      </w:tr>
      <w:tr w:rsidR="00706CC9" w:rsidRPr="00EF19D7" w14:paraId="52536249" w14:textId="77777777" w:rsidTr="00984E9A">
        <w:tc>
          <w:tcPr>
            <w:tcW w:w="1276" w:type="dxa"/>
            <w:shd w:val="clear" w:color="auto" w:fill="FFFFFF" w:themeFill="background1"/>
          </w:tcPr>
          <w:p w14:paraId="30E0CA44" w14:textId="25D99E26" w:rsidR="00706CC9" w:rsidRPr="00EF19D7" w:rsidRDefault="002358F0" w:rsidP="00984E9A">
            <w:pPr>
              <w:pStyle w:val="CETBodytext"/>
              <w:ind w:right="-1"/>
              <w:jc w:val="left"/>
              <w:rPr>
                <w:rFonts w:cs="Arial"/>
                <w:szCs w:val="18"/>
              </w:rPr>
            </w:pPr>
            <w:r w:rsidRPr="00EF19D7">
              <w:rPr>
                <w:rFonts w:cs="Arial"/>
                <w:szCs w:val="18"/>
              </w:rPr>
              <w:t>ETO leak (Z3)</w:t>
            </w:r>
          </w:p>
        </w:tc>
        <w:tc>
          <w:tcPr>
            <w:tcW w:w="1134" w:type="dxa"/>
            <w:shd w:val="clear" w:color="auto" w:fill="FFFFFF" w:themeFill="background1"/>
          </w:tcPr>
          <w:p w14:paraId="3ABC5876" w14:textId="6FA076D1" w:rsidR="00706CC9" w:rsidRPr="00EF19D7" w:rsidRDefault="002358F0" w:rsidP="00984E9A">
            <w:pPr>
              <w:pStyle w:val="CETBodytext"/>
              <w:ind w:right="-1"/>
              <w:jc w:val="left"/>
              <w:rPr>
                <w:rFonts w:cs="Arial"/>
                <w:szCs w:val="18"/>
              </w:rPr>
            </w:pPr>
            <w:r w:rsidRPr="00EF19D7">
              <w:rPr>
                <w:rFonts w:cs="Arial"/>
                <w:szCs w:val="18"/>
              </w:rPr>
              <w:t>2.5 x 10</w:t>
            </w:r>
            <w:r w:rsidRPr="00EF19D7">
              <w:rPr>
                <w:rFonts w:cs="Arial"/>
                <w:szCs w:val="18"/>
                <w:vertAlign w:val="superscript"/>
              </w:rPr>
              <w:t>-6</w:t>
            </w:r>
          </w:p>
        </w:tc>
        <w:tc>
          <w:tcPr>
            <w:tcW w:w="1701" w:type="dxa"/>
            <w:shd w:val="clear" w:color="auto" w:fill="FFFFFF" w:themeFill="background1"/>
          </w:tcPr>
          <w:p w14:paraId="669A84D3" w14:textId="3A1250FE" w:rsidR="00706CC9" w:rsidRPr="00EF19D7" w:rsidRDefault="002358F0" w:rsidP="00984E9A">
            <w:pPr>
              <w:pStyle w:val="CETBodytext"/>
              <w:ind w:right="-1"/>
              <w:jc w:val="left"/>
              <w:rPr>
                <w:rFonts w:cs="Arial"/>
                <w:szCs w:val="18"/>
              </w:rPr>
            </w:pPr>
            <w:r w:rsidRPr="00EF19D7">
              <w:t>11</w:t>
            </w:r>
          </w:p>
        </w:tc>
        <w:tc>
          <w:tcPr>
            <w:tcW w:w="1134" w:type="dxa"/>
            <w:gridSpan w:val="2"/>
            <w:shd w:val="clear" w:color="auto" w:fill="FFFFFF" w:themeFill="background1"/>
          </w:tcPr>
          <w:p w14:paraId="50E68A50" w14:textId="79D9530A" w:rsidR="00706CC9" w:rsidRPr="00EF19D7" w:rsidRDefault="00706CC9" w:rsidP="00984E9A">
            <w:pPr>
              <w:pStyle w:val="CETBodytext"/>
              <w:jc w:val="left"/>
              <w:rPr>
                <w:rFonts w:cs="Arial"/>
                <w:szCs w:val="18"/>
              </w:rPr>
            </w:pPr>
            <w:r w:rsidRPr="00EF19D7">
              <w:t>8,2 x 10</w:t>
            </w:r>
            <w:r w:rsidRPr="00EF19D7">
              <w:rPr>
                <w:vertAlign w:val="superscript"/>
              </w:rPr>
              <w:t>-7</w:t>
            </w:r>
          </w:p>
        </w:tc>
        <w:tc>
          <w:tcPr>
            <w:tcW w:w="1276" w:type="dxa"/>
            <w:shd w:val="clear" w:color="auto" w:fill="FFFFFF" w:themeFill="background1"/>
          </w:tcPr>
          <w:p w14:paraId="3754FBF9" w14:textId="1256F9FE" w:rsidR="00706CC9" w:rsidRPr="00EF19D7" w:rsidRDefault="001B01F9" w:rsidP="00984E9A">
            <w:pPr>
              <w:pStyle w:val="CETBodytext"/>
              <w:ind w:right="-1"/>
              <w:jc w:val="left"/>
              <w:rPr>
                <w:rFonts w:cs="Arial"/>
                <w:szCs w:val="18"/>
              </w:rPr>
            </w:pPr>
            <w:r w:rsidRPr="00EF19D7">
              <w:rPr>
                <w:rFonts w:cs="Arial"/>
                <w:szCs w:val="18"/>
              </w:rPr>
              <w:t>unacceptable</w:t>
            </w:r>
          </w:p>
        </w:tc>
      </w:tr>
    </w:tbl>
    <w:p w14:paraId="68D26B83" w14:textId="1AFBF13B" w:rsidR="00600535" w:rsidRDefault="000A5A6E" w:rsidP="00600535">
      <w:pPr>
        <w:pStyle w:val="CETHeading1"/>
        <w:rPr>
          <w:lang w:val="en-GB"/>
        </w:rPr>
      </w:pPr>
      <w:r>
        <w:rPr>
          <w:lang w:val="en-GB"/>
        </w:rPr>
        <w:t>Conclusions</w:t>
      </w:r>
    </w:p>
    <w:p w14:paraId="3CC98AE8" w14:textId="67D21D90" w:rsidR="00204378" w:rsidRPr="004A6DCF" w:rsidRDefault="005B2DF7" w:rsidP="001D3AD5">
      <w:pPr>
        <w:pStyle w:val="CETBodytext"/>
      </w:pPr>
      <w:r>
        <w:t xml:space="preserve">The potential risks associated with the proposed </w:t>
      </w:r>
      <w:r w:rsidRPr="003A3370">
        <w:t xml:space="preserve">construction of the company's production, storage, and administrative facilities must be evaluated as socially unacceptable. The selected site, located in </w:t>
      </w:r>
      <w:r w:rsidR="15F4F386" w:rsidRPr="003A3370">
        <w:t xml:space="preserve">close </w:t>
      </w:r>
      <w:r w:rsidRPr="003A3370">
        <w:t xml:space="preserve">proximity to </w:t>
      </w:r>
      <w:r w:rsidR="00694BCC" w:rsidRPr="003A3370">
        <w:t>residential</w:t>
      </w:r>
      <w:r w:rsidR="5573F648" w:rsidRPr="003A3370">
        <w:t xml:space="preserve"> </w:t>
      </w:r>
      <w:r w:rsidRPr="003A3370">
        <w:t>areas, is deemed inappropriate.</w:t>
      </w:r>
      <w:r w:rsidR="0050281E">
        <w:t xml:space="preserve"> </w:t>
      </w:r>
      <w:r w:rsidR="64BDAD34">
        <w:t>As a result</w:t>
      </w:r>
      <w:r w:rsidR="00204378">
        <w:t>, it is recommended that the investor explore</w:t>
      </w:r>
      <w:r w:rsidR="009A4605">
        <w:t>s</w:t>
      </w:r>
      <w:r w:rsidR="00204378">
        <w:t xml:space="preserve"> alternative sites that maintain a sufficient separation from residential areas. </w:t>
      </w:r>
      <w:r w:rsidR="00391ED4">
        <w:t xml:space="preserve">Regarding the proposed construction of a production plant in Prostřední Bludovice, it is </w:t>
      </w:r>
      <w:r w:rsidR="2A122CCD">
        <w:t xml:space="preserve">essential </w:t>
      </w:r>
      <w:r w:rsidR="00391ED4">
        <w:t xml:space="preserve">to maintain a buffer zone with a radius of 200 meters from existing residential sectors. Should adherence to this buffer zone prove to be unfeasible, an alternative site </w:t>
      </w:r>
      <w:r w:rsidR="3D700D16">
        <w:t>that offers greater suitability</w:t>
      </w:r>
      <w:r w:rsidR="00391ED4">
        <w:t xml:space="preserve"> for such construction must be considered.</w:t>
      </w:r>
    </w:p>
    <w:p w14:paraId="4F1327F8" w14:textId="77777777" w:rsidR="00600535" w:rsidRDefault="00600535" w:rsidP="00600535">
      <w:pPr>
        <w:pStyle w:val="CETReference"/>
      </w:pPr>
      <w:r w:rsidRPr="00606034">
        <w:t>References</w:t>
      </w:r>
    </w:p>
    <w:p w14:paraId="7374908C" w14:textId="35A50636" w:rsidR="00CB2B7B" w:rsidRDefault="00CB1B9B" w:rsidP="00D05149">
      <w:pPr>
        <w:pStyle w:val="CETReferencetext"/>
      </w:pPr>
      <w:r w:rsidRPr="00C337FA">
        <w:rPr>
          <w:rFonts w:eastAsia="Calibri" w:cs="Arial"/>
          <w:szCs w:val="18"/>
          <w:shd w:val="clear" w:color="auto" w:fill="FFFFFF"/>
        </w:rPr>
        <w:t>American chemistry council, 2007, Ethylene Oxide Product Stewardship Guidance Manual </w:t>
      </w:r>
      <w:r w:rsidR="00F373E5" w:rsidRPr="006B4888">
        <w:t>&lt;</w:t>
      </w:r>
      <w:r w:rsidR="00D05149" w:rsidRPr="00040AEE">
        <w:rPr>
          <w:rFonts w:eastAsia="Calibri" w:cs="Arial"/>
          <w:szCs w:val="18"/>
          <w:shd w:val="clear" w:color="auto" w:fill="FFFFFF"/>
        </w:rPr>
        <w:t>www.americanchemistry.com/ProductsTechnology/Ethylene-Oxide/EO-Product-Stewardship-Manual-3rd-edition/EO-Product-Stewardship-Manual-Hazards-of-Ethylene-Oxide.pdf</w:t>
      </w:r>
      <w:r w:rsidR="00F373E5" w:rsidRPr="006B4888">
        <w:t>&gt;</w:t>
      </w:r>
      <w:r w:rsidR="00D05149">
        <w:t xml:space="preserve"> accessed 18. 09. 2023.</w:t>
      </w:r>
    </w:p>
    <w:p w14:paraId="01B02AB0" w14:textId="7112278F" w:rsidR="00260F78" w:rsidRPr="00D05149" w:rsidRDefault="00260F78" w:rsidP="00D05149">
      <w:pPr>
        <w:pStyle w:val="CETReferencetext"/>
        <w:rPr>
          <w:rFonts w:eastAsia="Calibri" w:cs="Arial"/>
          <w:szCs w:val="18"/>
          <w:shd w:val="clear" w:color="auto" w:fill="FFFFFF"/>
        </w:rPr>
      </w:pPr>
      <w:r w:rsidRPr="00C337FA">
        <w:rPr>
          <w:rFonts w:cs="Arial"/>
          <w:szCs w:val="18"/>
        </w:rPr>
        <w:t>Committee for the Prevention of Disasters</w:t>
      </w:r>
      <w:r>
        <w:rPr>
          <w:rFonts w:cs="Arial"/>
          <w:szCs w:val="18"/>
        </w:rPr>
        <w:t xml:space="preserve">, 2005, </w:t>
      </w:r>
      <w:r w:rsidRPr="00C337FA">
        <w:rPr>
          <w:rFonts w:cs="Arial"/>
          <w:szCs w:val="18"/>
        </w:rPr>
        <w:t>Purple Book</w:t>
      </w:r>
      <w:r>
        <w:rPr>
          <w:rFonts w:cs="Arial"/>
          <w:szCs w:val="18"/>
        </w:rPr>
        <w:t xml:space="preserve">: </w:t>
      </w:r>
      <w:r w:rsidRPr="00C337FA">
        <w:rPr>
          <w:rFonts w:cs="Arial"/>
          <w:szCs w:val="18"/>
        </w:rPr>
        <w:t>Guidelines for Quantitative Risk Assessment</w:t>
      </w:r>
      <w:r>
        <w:rPr>
          <w:rFonts w:cs="Arial"/>
          <w:szCs w:val="18"/>
        </w:rPr>
        <w:t>, CPE 18E, Hague, Netherlands</w:t>
      </w:r>
    </w:p>
    <w:p w14:paraId="06B1438E" w14:textId="0174B64D" w:rsidR="006A5EF1" w:rsidRPr="00C337FA" w:rsidRDefault="006274F3" w:rsidP="00F32B1F">
      <w:pPr>
        <w:pStyle w:val="CETReferencetext"/>
        <w:rPr>
          <w:rFonts w:cs="Arial"/>
          <w:szCs w:val="18"/>
        </w:rPr>
      </w:pPr>
      <w:r w:rsidRPr="00C337FA">
        <w:rPr>
          <w:rFonts w:eastAsia="Calibri" w:cs="Arial"/>
          <w:szCs w:val="18"/>
          <w:shd w:val="clear" w:color="auto" w:fill="FFFFFF"/>
        </w:rPr>
        <w:t xml:space="preserve">Doyle A., 2020, </w:t>
      </w:r>
      <w:r w:rsidR="00CB5854" w:rsidRPr="00C337FA">
        <w:rPr>
          <w:rFonts w:eastAsia="Calibri" w:cs="Arial"/>
          <w:szCs w:val="18"/>
          <w:shd w:val="clear" w:color="auto" w:fill="FFFFFF"/>
        </w:rPr>
        <w:t>Explosion at Spanish ethylene oxide plant</w:t>
      </w:r>
      <w:r w:rsidR="00F373E5">
        <w:rPr>
          <w:rFonts w:eastAsia="Calibri" w:cs="Arial"/>
          <w:szCs w:val="18"/>
          <w:shd w:val="clear" w:color="auto" w:fill="FFFFFF"/>
        </w:rPr>
        <w:t xml:space="preserve">, </w:t>
      </w:r>
      <w:r w:rsidR="00F373E5" w:rsidRPr="006B4888">
        <w:t>&lt;</w:t>
      </w:r>
      <w:r w:rsidR="00F373E5" w:rsidRPr="00F373E5">
        <w:rPr>
          <w:rFonts w:eastAsia="Calibri" w:cs="Arial"/>
          <w:szCs w:val="18"/>
          <w:shd w:val="clear" w:color="auto" w:fill="FFFFFF"/>
        </w:rPr>
        <w:t>www.thechemicalengineer.com/news/explosion-at-spanish-ethylene-oxide-plant</w:t>
      </w:r>
      <w:r w:rsidR="00F373E5" w:rsidRPr="006B4888">
        <w:t>&gt;</w:t>
      </w:r>
      <w:r w:rsidR="00F373E5">
        <w:rPr>
          <w:rFonts w:eastAsia="Calibri" w:cs="Arial"/>
          <w:szCs w:val="18"/>
          <w:shd w:val="clear" w:color="auto" w:fill="FFFFFF"/>
        </w:rPr>
        <w:t xml:space="preserve"> </w:t>
      </w:r>
      <w:r w:rsidR="00F373E5">
        <w:t>accessed 18. 09. 2023.</w:t>
      </w:r>
    </w:p>
    <w:p w14:paraId="7C3C5C4F" w14:textId="215507CD" w:rsidR="00CC1BA6" w:rsidRPr="00C337FA" w:rsidRDefault="007B1561" w:rsidP="00F32B1F">
      <w:pPr>
        <w:pStyle w:val="CETReferencetext"/>
        <w:rPr>
          <w:rFonts w:cs="Arial"/>
          <w:szCs w:val="18"/>
        </w:rPr>
      </w:pPr>
      <w:r w:rsidRPr="00C337FA">
        <w:rPr>
          <w:rFonts w:cs="Arial"/>
          <w:szCs w:val="18"/>
        </w:rPr>
        <w:t>Dever J.P., Nunley M.A., Rader J.R.</w:t>
      </w:r>
      <w:r w:rsidR="00514304" w:rsidRPr="00C337FA">
        <w:rPr>
          <w:rFonts w:cs="Arial"/>
          <w:szCs w:val="18"/>
        </w:rPr>
        <w:t xml:space="preserve">, </w:t>
      </w:r>
      <w:r w:rsidRPr="00C337FA">
        <w:rPr>
          <w:rFonts w:cs="Arial"/>
          <w:szCs w:val="18"/>
        </w:rPr>
        <w:t>Proulx G.</w:t>
      </w:r>
      <w:r w:rsidR="00514304" w:rsidRPr="00C337FA">
        <w:rPr>
          <w:rFonts w:cs="Arial"/>
          <w:szCs w:val="18"/>
        </w:rPr>
        <w:t>,</w:t>
      </w:r>
      <w:r w:rsidRPr="00C337FA">
        <w:rPr>
          <w:rFonts w:cs="Arial"/>
          <w:szCs w:val="18"/>
        </w:rPr>
        <w:t xml:space="preserve"> 2024</w:t>
      </w:r>
      <w:r w:rsidR="00514304" w:rsidRPr="00C337FA">
        <w:rPr>
          <w:rFonts w:cs="Arial"/>
          <w:szCs w:val="18"/>
        </w:rPr>
        <w:t>,</w:t>
      </w:r>
      <w:r w:rsidRPr="00C337FA">
        <w:rPr>
          <w:rFonts w:cs="Arial"/>
          <w:szCs w:val="18"/>
        </w:rPr>
        <w:t xml:space="preserve"> Ethylene Oxide. In Kirk-Othmer Encyclopedia of Chemical Technology, (Ed.).</w:t>
      </w:r>
      <w:r w:rsidR="002B54FF">
        <w:rPr>
          <w:rFonts w:cs="Arial"/>
          <w:szCs w:val="18"/>
        </w:rPr>
        <w:t xml:space="preserve"> </w:t>
      </w:r>
      <w:r w:rsidR="001D37D4" w:rsidRPr="000B559A">
        <w:rPr>
          <w:rFonts w:cs="Arial"/>
          <w:szCs w:val="18"/>
        </w:rPr>
        <w:t>doi.org/10.1002/0471238961.0520082504052205.a01.pub3</w:t>
      </w:r>
    </w:p>
    <w:p w14:paraId="42450F93" w14:textId="606C4FD8" w:rsidR="001D37D4" w:rsidRPr="00C337FA" w:rsidRDefault="001D37D4" w:rsidP="00F32B1F">
      <w:pPr>
        <w:pStyle w:val="CETReferencetext"/>
        <w:rPr>
          <w:rFonts w:cs="Arial"/>
          <w:szCs w:val="18"/>
        </w:rPr>
      </w:pPr>
      <w:r w:rsidRPr="00C337FA">
        <w:rPr>
          <w:rFonts w:cs="Arial"/>
          <w:szCs w:val="18"/>
        </w:rPr>
        <w:t>Hogue</w:t>
      </w:r>
      <w:r w:rsidR="00FB3ACB" w:rsidRPr="00C337FA">
        <w:rPr>
          <w:rFonts w:cs="Arial"/>
          <w:szCs w:val="18"/>
        </w:rPr>
        <w:t xml:space="preserve"> </w:t>
      </w:r>
      <w:r w:rsidRPr="00C337FA">
        <w:rPr>
          <w:rFonts w:cs="Arial"/>
          <w:szCs w:val="18"/>
        </w:rPr>
        <w:t>C.</w:t>
      </w:r>
      <w:r w:rsidR="00FB3ACB" w:rsidRPr="00C337FA">
        <w:rPr>
          <w:rFonts w:cs="Arial"/>
          <w:szCs w:val="18"/>
        </w:rPr>
        <w:t>,</w:t>
      </w:r>
      <w:r w:rsidR="00984E9A">
        <w:rPr>
          <w:rFonts w:cs="Arial"/>
          <w:szCs w:val="18"/>
        </w:rPr>
        <w:t xml:space="preserve"> </w:t>
      </w:r>
      <w:r w:rsidRPr="00C337FA">
        <w:rPr>
          <w:rFonts w:cs="Arial"/>
          <w:szCs w:val="18"/>
        </w:rPr>
        <w:t>2019</w:t>
      </w:r>
      <w:r w:rsidR="00FB3ACB" w:rsidRPr="00C337FA">
        <w:rPr>
          <w:rFonts w:cs="Arial"/>
          <w:szCs w:val="18"/>
        </w:rPr>
        <w:t>,</w:t>
      </w:r>
      <w:r w:rsidR="00984E9A">
        <w:rPr>
          <w:rFonts w:cs="Arial"/>
          <w:szCs w:val="18"/>
        </w:rPr>
        <w:t xml:space="preserve"> </w:t>
      </w:r>
      <w:r w:rsidRPr="00C337FA">
        <w:rPr>
          <w:rFonts w:cs="Arial"/>
          <w:szCs w:val="18"/>
        </w:rPr>
        <w:t>Is it time to crack down on ethylene oxide emissions? Chemical makers push back on possible tighter controls of carcinogen in the US</w:t>
      </w:r>
      <w:r w:rsidR="00FB3ACB" w:rsidRPr="00C337FA">
        <w:rPr>
          <w:rFonts w:cs="Arial"/>
          <w:szCs w:val="18"/>
        </w:rPr>
        <w:t xml:space="preserve">, </w:t>
      </w:r>
      <w:r w:rsidRPr="00C337FA">
        <w:rPr>
          <w:rFonts w:cs="Arial"/>
          <w:szCs w:val="18"/>
        </w:rPr>
        <w:t>Chem Eng News</w:t>
      </w:r>
      <w:r w:rsidR="00FB3ACB" w:rsidRPr="00C337FA">
        <w:rPr>
          <w:rFonts w:cs="Arial"/>
          <w:szCs w:val="18"/>
        </w:rPr>
        <w:t>,</w:t>
      </w:r>
      <w:r w:rsidR="00FA7DF8">
        <w:rPr>
          <w:rFonts w:cs="Arial"/>
          <w:szCs w:val="18"/>
        </w:rPr>
        <w:t xml:space="preserve"> </w:t>
      </w:r>
      <w:r w:rsidRPr="00C337FA">
        <w:rPr>
          <w:rFonts w:cs="Arial"/>
          <w:szCs w:val="18"/>
        </w:rPr>
        <w:t>97:38.</w:t>
      </w:r>
    </w:p>
    <w:p w14:paraId="42F0C671" w14:textId="27C5E073" w:rsidR="00514304" w:rsidRDefault="00514304" w:rsidP="00F32B1F">
      <w:pPr>
        <w:pStyle w:val="CETReferencetext"/>
        <w:rPr>
          <w:rFonts w:cs="Arial"/>
          <w:szCs w:val="18"/>
        </w:rPr>
      </w:pPr>
      <w:r w:rsidRPr="00C337FA">
        <w:rPr>
          <w:rFonts w:cs="Arial"/>
          <w:szCs w:val="18"/>
        </w:rPr>
        <w:t xml:space="preserve">Kirman </w:t>
      </w:r>
      <w:r w:rsidR="00CB1B9B" w:rsidRPr="00C337FA">
        <w:rPr>
          <w:rFonts w:cs="Arial"/>
          <w:szCs w:val="18"/>
        </w:rPr>
        <w:t>C.</w:t>
      </w:r>
      <w:r w:rsidRPr="00C337FA">
        <w:rPr>
          <w:rFonts w:cs="Arial"/>
          <w:szCs w:val="18"/>
        </w:rPr>
        <w:t>,</w:t>
      </w:r>
      <w:r w:rsidR="00CB1B9B" w:rsidRPr="00C337FA">
        <w:rPr>
          <w:rFonts w:cs="Arial"/>
          <w:szCs w:val="18"/>
        </w:rPr>
        <w:t xml:space="preserve"> Li A., Sheehan P., Bus J., Lewis R., Hays S., 2020, Ethylene oxide review: characterization of total exposure via endogenous and exogenous pathways and their implications to risk assessment and risk management, Journal of Toxicology and Environmental Health, 24(1), 1–29.</w:t>
      </w:r>
    </w:p>
    <w:p w14:paraId="19021B7A" w14:textId="1B21969D" w:rsidR="00554ACD" w:rsidRPr="00C337FA" w:rsidRDefault="00554ACD" w:rsidP="00F32B1F">
      <w:pPr>
        <w:pStyle w:val="CETReferencetext"/>
        <w:rPr>
          <w:rFonts w:cs="Arial"/>
          <w:szCs w:val="18"/>
        </w:rPr>
      </w:pPr>
      <w:r>
        <w:rPr>
          <w:rFonts w:cs="Arial"/>
          <w:szCs w:val="18"/>
        </w:rPr>
        <w:t xml:space="preserve">Kolischova, L., 2014, </w:t>
      </w:r>
      <w:r w:rsidRPr="00554ACD">
        <w:rPr>
          <w:rFonts w:cs="Arial"/>
          <w:szCs w:val="18"/>
        </w:rPr>
        <w:t>Toxic gas was leaking in Veverská Bítýška. Firefighters intervened for six hours</w:t>
      </w:r>
      <w:r>
        <w:rPr>
          <w:rFonts w:cs="Arial"/>
          <w:szCs w:val="18"/>
        </w:rPr>
        <w:t xml:space="preserve">, Idnes </w:t>
      </w:r>
      <w:r w:rsidRPr="006B4888">
        <w:t>&lt;</w:t>
      </w:r>
      <w:r w:rsidRPr="00554ACD">
        <w:t>www.idnes.cz/brno/zpravy/veverska-bityska-plyn-ethylenoxid-unik.A140802_134104_brno-zpravy_kol</w:t>
      </w:r>
      <w:r w:rsidRPr="006B4888">
        <w:t>&gt;</w:t>
      </w:r>
      <w:r>
        <w:t xml:space="preserve"> accessed </w:t>
      </w:r>
      <w:r w:rsidR="00963848">
        <w:t>18</w:t>
      </w:r>
      <w:r>
        <w:t>.0</w:t>
      </w:r>
      <w:r w:rsidR="00963848">
        <w:t>9</w:t>
      </w:r>
      <w:r>
        <w:t>.202</w:t>
      </w:r>
      <w:r w:rsidR="00963848">
        <w:t>3</w:t>
      </w:r>
      <w:r w:rsidR="000D6846">
        <w:t xml:space="preserve"> (in Czech)</w:t>
      </w:r>
    </w:p>
    <w:p w14:paraId="68117CC5" w14:textId="2DB2D5CB" w:rsidR="00CB1B9B" w:rsidRPr="00C337FA" w:rsidRDefault="00CB1B9B" w:rsidP="00F32B1F">
      <w:pPr>
        <w:pStyle w:val="CETReferencetext"/>
        <w:rPr>
          <w:rFonts w:cs="Arial"/>
          <w:szCs w:val="18"/>
        </w:rPr>
      </w:pPr>
      <w:r w:rsidRPr="00C337FA">
        <w:rPr>
          <w:rFonts w:cs="Arial"/>
          <w:szCs w:val="18"/>
        </w:rPr>
        <w:t>Lynch D.W, Lewis T.R., Moorman W.J., Burg J.R., Growth D.H., Khan A., Ackerman L.J., Cockrell B.Y., 1984, Carcinogenic and toxicologic effects of inhaled ethylene oxide and propylene oxide in F344 rats, Toxicol. Appl. Pharmacol,76, 69–84.</w:t>
      </w:r>
    </w:p>
    <w:p w14:paraId="4701C1D1" w14:textId="6A9F453D" w:rsidR="00FB3ACB" w:rsidRPr="00C337FA" w:rsidRDefault="00FB3ACB" w:rsidP="00C337FA">
      <w:pPr>
        <w:pStyle w:val="CETReferencetext"/>
      </w:pPr>
      <w:r w:rsidRPr="00C337FA">
        <w:t>Marsh G. M., Keeton K.A., Riordan A.S, Best E.A., Benson S.M., 2019, Ethylene oxide and risk of lympho-hematopoietic cancer and breast cancer: A systematic literature review and meta-analysis, Int. Arch. Occup. Environ. Health, 92, 919–39.</w:t>
      </w:r>
    </w:p>
    <w:p w14:paraId="7B2CBE80" w14:textId="6A1F4BF6" w:rsidR="00FB3ACB" w:rsidRPr="00C337FA" w:rsidRDefault="00FB3ACB" w:rsidP="00C337FA">
      <w:pPr>
        <w:pStyle w:val="CETReferencetext"/>
      </w:pPr>
      <w:r w:rsidRPr="00C337FA">
        <w:t>Olaguer E. P., Robinson A., Kilmer S., Haywood J., Lehner D., 2019, Ethylene oxide exposure attribution and emissions quantification based on ambient air measurements near a sterilization facility, Int. J. Environ. Res. Public Health, 17:42.</w:t>
      </w:r>
    </w:p>
    <w:p w14:paraId="48E9E40C" w14:textId="77777777" w:rsidR="00CC1BA6" w:rsidRPr="00C337FA" w:rsidRDefault="00CC1BA6" w:rsidP="00F32B1F">
      <w:pPr>
        <w:pStyle w:val="CETReferencetext"/>
        <w:rPr>
          <w:rFonts w:cs="Arial"/>
          <w:szCs w:val="18"/>
        </w:rPr>
      </w:pPr>
      <w:r w:rsidRPr="00C337FA">
        <w:rPr>
          <w:rFonts w:cs="Arial"/>
          <w:szCs w:val="18"/>
        </w:rPr>
        <w:t>Sikorova K., Bernatik A., Veznikova H., 2019, Waste risk assessment in SEVESO establishment - “case study”, Chemical Engineering Transactions, 77, 529-534 DOI:10.3303/CET1977089</w:t>
      </w:r>
    </w:p>
    <w:p w14:paraId="0B01DC26" w14:textId="49A59CAD" w:rsidR="004D72E4" w:rsidRDefault="004D72E4" w:rsidP="00F32B1F">
      <w:pPr>
        <w:pStyle w:val="CETReferencetext"/>
        <w:rPr>
          <w:rFonts w:eastAsia="Calibri" w:cs="Arial"/>
          <w:szCs w:val="18"/>
        </w:rPr>
      </w:pPr>
      <w:r w:rsidRPr="00C337FA">
        <w:rPr>
          <w:rFonts w:eastAsia="Calibri" w:cs="Arial"/>
          <w:szCs w:val="18"/>
        </w:rPr>
        <w:t>S</w:t>
      </w:r>
      <w:r w:rsidR="007E1390" w:rsidRPr="00C337FA">
        <w:rPr>
          <w:rFonts w:eastAsia="Calibri" w:cs="Arial"/>
          <w:szCs w:val="18"/>
        </w:rPr>
        <w:t>křehot P.</w:t>
      </w:r>
      <w:r w:rsidR="00615EC2" w:rsidRPr="00C337FA">
        <w:rPr>
          <w:rFonts w:eastAsia="Calibri" w:cs="Arial"/>
          <w:szCs w:val="18"/>
        </w:rPr>
        <w:t xml:space="preserve"> </w:t>
      </w:r>
      <w:r w:rsidRPr="00C337FA">
        <w:rPr>
          <w:rFonts w:eastAsia="Calibri" w:cs="Arial"/>
          <w:szCs w:val="18"/>
        </w:rPr>
        <w:t>et al</w:t>
      </w:r>
      <w:r w:rsidR="007E1390" w:rsidRPr="00C337FA">
        <w:rPr>
          <w:rFonts w:eastAsia="Calibri" w:cs="Arial"/>
          <w:szCs w:val="18"/>
        </w:rPr>
        <w:t>,</w:t>
      </w:r>
      <w:r w:rsidRPr="00C337FA">
        <w:rPr>
          <w:rFonts w:eastAsia="Calibri" w:cs="Arial"/>
          <w:szCs w:val="18"/>
        </w:rPr>
        <w:t xml:space="preserve">. 2009. </w:t>
      </w:r>
      <w:r w:rsidR="00560732" w:rsidRPr="00C337FA">
        <w:rPr>
          <w:rFonts w:eastAsia="Calibri" w:cs="Arial"/>
          <w:szCs w:val="18"/>
        </w:rPr>
        <w:t xml:space="preserve">Prevention of accidents and incidents; Part 2: Extraordinary events and prevention of undesirable consequences. Prague: Research Institute for Occupational Safety and T-SOFT, </w:t>
      </w:r>
      <w:r w:rsidRPr="00C337FA">
        <w:rPr>
          <w:rFonts w:eastAsia="Calibri" w:cs="Arial"/>
          <w:szCs w:val="18"/>
        </w:rPr>
        <w:t xml:space="preserve">595 </w:t>
      </w:r>
      <w:r w:rsidR="007E1390" w:rsidRPr="00C337FA">
        <w:rPr>
          <w:rFonts w:eastAsia="Calibri" w:cs="Arial"/>
          <w:szCs w:val="18"/>
        </w:rPr>
        <w:t>p</w:t>
      </w:r>
      <w:r w:rsidRPr="00C337FA">
        <w:rPr>
          <w:rFonts w:eastAsia="Calibri" w:cs="Arial"/>
          <w:szCs w:val="18"/>
        </w:rPr>
        <w:t>.</w:t>
      </w:r>
    </w:p>
    <w:p w14:paraId="5DE8B73A" w14:textId="29C240EF" w:rsidR="00D05149" w:rsidRPr="00C337FA" w:rsidRDefault="00D05149" w:rsidP="00F32B1F">
      <w:pPr>
        <w:pStyle w:val="CETReferencetext"/>
        <w:rPr>
          <w:rFonts w:eastAsia="Calibri" w:cs="Arial"/>
          <w:szCs w:val="18"/>
        </w:rPr>
      </w:pPr>
      <w:r>
        <w:rPr>
          <w:rFonts w:cs="Arial"/>
          <w:szCs w:val="18"/>
        </w:rPr>
        <w:t xml:space="preserve">US EPA, 2016, </w:t>
      </w:r>
      <w:r w:rsidRPr="00C337FA">
        <w:rPr>
          <w:rFonts w:cs="Arial"/>
          <w:szCs w:val="18"/>
        </w:rPr>
        <w:t>ALOHA Software</w:t>
      </w:r>
      <w:r>
        <w:rPr>
          <w:rFonts w:cs="Arial"/>
          <w:szCs w:val="18"/>
        </w:rPr>
        <w:t xml:space="preserve">, </w:t>
      </w:r>
      <w:r w:rsidRPr="006B4888">
        <w:t>&lt;</w:t>
      </w:r>
      <w:r w:rsidRPr="003F263C">
        <w:rPr>
          <w:rFonts w:cs="Arial"/>
          <w:szCs w:val="18"/>
        </w:rPr>
        <w:t>www.epa.gov/cameo/aloha-software</w:t>
      </w:r>
      <w:r w:rsidRPr="006B4888">
        <w:t>&gt;</w:t>
      </w:r>
      <w:r w:rsidRPr="003F263C">
        <w:t xml:space="preserve"> accessed 18</w:t>
      </w:r>
      <w:r>
        <w:t>.09.2023.</w:t>
      </w:r>
    </w:p>
    <w:p w14:paraId="4E3B2E5A" w14:textId="5B19069B" w:rsidR="00514304" w:rsidRPr="001D37D4" w:rsidRDefault="00FB3ACB" w:rsidP="00C337FA">
      <w:pPr>
        <w:pStyle w:val="CETReferencetext"/>
      </w:pPr>
      <w:r w:rsidRPr="00C337FA">
        <w:t>Yin C.C., Zhao H., Ma B., Chen S.Y., Zhang J. S., 2017, Diverse roles of ethylene in regulating agronomic traits in rice, Front Plant Sci, 8:1676.</w:t>
      </w:r>
    </w:p>
    <w:sectPr w:rsidR="00514304" w:rsidRPr="001D37D4"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0FABE" w14:textId="77777777" w:rsidR="006B5D61" w:rsidRDefault="006B5D61" w:rsidP="004F5E36">
      <w:r>
        <w:separator/>
      </w:r>
    </w:p>
  </w:endnote>
  <w:endnote w:type="continuationSeparator" w:id="0">
    <w:p w14:paraId="7980664C" w14:textId="77777777" w:rsidR="006B5D61" w:rsidRDefault="006B5D61" w:rsidP="004F5E36">
      <w:r>
        <w:continuationSeparator/>
      </w:r>
    </w:p>
  </w:endnote>
  <w:endnote w:type="continuationNotice" w:id="1">
    <w:p w14:paraId="5D64E3E5" w14:textId="77777777" w:rsidR="006B5D61" w:rsidRDefault="006B5D6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B7D58" w14:textId="77777777" w:rsidR="006B5D61" w:rsidRDefault="006B5D61" w:rsidP="004F5E36">
      <w:r>
        <w:separator/>
      </w:r>
    </w:p>
  </w:footnote>
  <w:footnote w:type="continuationSeparator" w:id="0">
    <w:p w14:paraId="18074918" w14:textId="77777777" w:rsidR="006B5D61" w:rsidRDefault="006B5D61" w:rsidP="004F5E36">
      <w:r>
        <w:continuationSeparator/>
      </w:r>
    </w:p>
  </w:footnote>
  <w:footnote w:type="continuationNotice" w:id="1">
    <w:p w14:paraId="132CC296" w14:textId="77777777" w:rsidR="006B5D61" w:rsidRDefault="006B5D6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5443C0D"/>
    <w:multiLevelType w:val="hybridMultilevel"/>
    <w:tmpl w:val="796A50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B592891"/>
    <w:multiLevelType w:val="hybridMultilevel"/>
    <w:tmpl w:val="FFFFFFFF"/>
    <w:lvl w:ilvl="0" w:tplc="F40CF55E">
      <w:start w:val="1"/>
      <w:numFmt w:val="decimal"/>
      <w:lvlText w:val="%1."/>
      <w:lvlJc w:val="left"/>
      <w:pPr>
        <w:ind w:left="720" w:hanging="360"/>
      </w:pPr>
    </w:lvl>
    <w:lvl w:ilvl="1" w:tplc="B2C6DAC8">
      <w:start w:val="1"/>
      <w:numFmt w:val="lowerLetter"/>
      <w:lvlText w:val="%2."/>
      <w:lvlJc w:val="left"/>
      <w:pPr>
        <w:ind w:left="1440" w:hanging="360"/>
      </w:pPr>
    </w:lvl>
    <w:lvl w:ilvl="2" w:tplc="C322A180">
      <w:start w:val="1"/>
      <w:numFmt w:val="lowerRoman"/>
      <w:lvlText w:val="%3."/>
      <w:lvlJc w:val="right"/>
      <w:pPr>
        <w:ind w:left="2160" w:hanging="180"/>
      </w:pPr>
    </w:lvl>
    <w:lvl w:ilvl="3" w:tplc="2B943084">
      <w:start w:val="1"/>
      <w:numFmt w:val="decimal"/>
      <w:lvlText w:val="%4."/>
      <w:lvlJc w:val="left"/>
      <w:pPr>
        <w:ind w:left="2880" w:hanging="360"/>
      </w:pPr>
    </w:lvl>
    <w:lvl w:ilvl="4" w:tplc="A874F170">
      <w:start w:val="1"/>
      <w:numFmt w:val="lowerLetter"/>
      <w:lvlText w:val="%5."/>
      <w:lvlJc w:val="left"/>
      <w:pPr>
        <w:ind w:left="3600" w:hanging="360"/>
      </w:pPr>
    </w:lvl>
    <w:lvl w:ilvl="5" w:tplc="F310578A">
      <w:start w:val="1"/>
      <w:numFmt w:val="lowerRoman"/>
      <w:lvlText w:val="%6."/>
      <w:lvlJc w:val="right"/>
      <w:pPr>
        <w:ind w:left="4320" w:hanging="180"/>
      </w:pPr>
    </w:lvl>
    <w:lvl w:ilvl="6" w:tplc="D9F87B4E">
      <w:start w:val="1"/>
      <w:numFmt w:val="decimal"/>
      <w:lvlText w:val="%7."/>
      <w:lvlJc w:val="left"/>
      <w:pPr>
        <w:ind w:left="5040" w:hanging="360"/>
      </w:pPr>
    </w:lvl>
    <w:lvl w:ilvl="7" w:tplc="D4CE775E">
      <w:start w:val="1"/>
      <w:numFmt w:val="lowerLetter"/>
      <w:lvlText w:val="%8."/>
      <w:lvlJc w:val="left"/>
      <w:pPr>
        <w:ind w:left="5760" w:hanging="360"/>
      </w:pPr>
    </w:lvl>
    <w:lvl w:ilvl="8" w:tplc="CF6625F4">
      <w:start w:val="1"/>
      <w:numFmt w:val="lowerRoman"/>
      <w:lvlText w:val="%9."/>
      <w:lvlJc w:val="right"/>
      <w:pPr>
        <w:ind w:left="6480" w:hanging="180"/>
      </w:pPr>
    </w:lvl>
  </w:abstractNum>
  <w:abstractNum w:abstractNumId="12"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6F911FA"/>
    <w:multiLevelType w:val="multilevel"/>
    <w:tmpl w:val="B6C08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280F8A"/>
    <w:multiLevelType w:val="multilevel"/>
    <w:tmpl w:val="A224C24C"/>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440" w:hanging="360"/>
      </w:pPr>
      <w:rPr>
        <w:rFonts w:ascii="Arial" w:eastAsia="Times New Roman" w:hAnsi="Arial" w:cs="Arial" w:hint="default"/>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DD4F84"/>
    <w:multiLevelType w:val="hybridMultilevel"/>
    <w:tmpl w:val="51F6A0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438217E"/>
    <w:multiLevelType w:val="multilevel"/>
    <w:tmpl w:val="FCD8838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Jednoduchtabulk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72953EB"/>
    <w:multiLevelType w:val="hybridMultilevel"/>
    <w:tmpl w:val="193C5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D0251CD"/>
    <w:multiLevelType w:val="hybridMultilevel"/>
    <w:tmpl w:val="FFFFFFFF"/>
    <w:lvl w:ilvl="0" w:tplc="A03A4806">
      <w:start w:val="1"/>
      <w:numFmt w:val="bullet"/>
      <w:lvlText w:val=""/>
      <w:lvlJc w:val="left"/>
      <w:pPr>
        <w:ind w:left="720" w:hanging="360"/>
      </w:pPr>
      <w:rPr>
        <w:rFonts w:ascii="Symbol" w:hAnsi="Symbol" w:hint="default"/>
      </w:rPr>
    </w:lvl>
    <w:lvl w:ilvl="1" w:tplc="73CCD6B0">
      <w:start w:val="1"/>
      <w:numFmt w:val="bullet"/>
      <w:lvlText w:val="o"/>
      <w:lvlJc w:val="left"/>
      <w:pPr>
        <w:ind w:left="1440" w:hanging="360"/>
      </w:pPr>
      <w:rPr>
        <w:rFonts w:ascii="Courier New" w:hAnsi="Courier New" w:hint="default"/>
      </w:rPr>
    </w:lvl>
    <w:lvl w:ilvl="2" w:tplc="C7360D02">
      <w:start w:val="1"/>
      <w:numFmt w:val="bullet"/>
      <w:lvlText w:val=""/>
      <w:lvlJc w:val="left"/>
      <w:pPr>
        <w:ind w:left="2160" w:hanging="360"/>
      </w:pPr>
      <w:rPr>
        <w:rFonts w:ascii="Wingdings" w:hAnsi="Wingdings" w:hint="default"/>
      </w:rPr>
    </w:lvl>
    <w:lvl w:ilvl="3" w:tplc="455A207E">
      <w:start w:val="1"/>
      <w:numFmt w:val="bullet"/>
      <w:lvlText w:val=""/>
      <w:lvlJc w:val="left"/>
      <w:pPr>
        <w:ind w:left="2880" w:hanging="360"/>
      </w:pPr>
      <w:rPr>
        <w:rFonts w:ascii="Symbol" w:hAnsi="Symbol" w:hint="default"/>
      </w:rPr>
    </w:lvl>
    <w:lvl w:ilvl="4" w:tplc="D7A8C80A">
      <w:start w:val="1"/>
      <w:numFmt w:val="bullet"/>
      <w:lvlText w:val="o"/>
      <w:lvlJc w:val="left"/>
      <w:pPr>
        <w:ind w:left="3600" w:hanging="360"/>
      </w:pPr>
      <w:rPr>
        <w:rFonts w:ascii="Courier New" w:hAnsi="Courier New" w:hint="default"/>
      </w:rPr>
    </w:lvl>
    <w:lvl w:ilvl="5" w:tplc="BBCE6A10">
      <w:start w:val="1"/>
      <w:numFmt w:val="bullet"/>
      <w:lvlText w:val=""/>
      <w:lvlJc w:val="left"/>
      <w:pPr>
        <w:ind w:left="4320" w:hanging="360"/>
      </w:pPr>
      <w:rPr>
        <w:rFonts w:ascii="Wingdings" w:hAnsi="Wingdings" w:hint="default"/>
      </w:rPr>
    </w:lvl>
    <w:lvl w:ilvl="6" w:tplc="5F92D784">
      <w:start w:val="1"/>
      <w:numFmt w:val="bullet"/>
      <w:lvlText w:val=""/>
      <w:lvlJc w:val="left"/>
      <w:pPr>
        <w:ind w:left="5040" w:hanging="360"/>
      </w:pPr>
      <w:rPr>
        <w:rFonts w:ascii="Symbol" w:hAnsi="Symbol" w:hint="default"/>
      </w:rPr>
    </w:lvl>
    <w:lvl w:ilvl="7" w:tplc="634602AE">
      <w:start w:val="1"/>
      <w:numFmt w:val="bullet"/>
      <w:lvlText w:val="o"/>
      <w:lvlJc w:val="left"/>
      <w:pPr>
        <w:ind w:left="5760" w:hanging="360"/>
      </w:pPr>
      <w:rPr>
        <w:rFonts w:ascii="Courier New" w:hAnsi="Courier New" w:hint="default"/>
      </w:rPr>
    </w:lvl>
    <w:lvl w:ilvl="8" w:tplc="23E44F88">
      <w:start w:val="1"/>
      <w:numFmt w:val="bullet"/>
      <w:lvlText w:val=""/>
      <w:lvlJc w:val="left"/>
      <w:pPr>
        <w:ind w:left="6480" w:hanging="360"/>
      </w:pPr>
      <w:rPr>
        <w:rFonts w:ascii="Wingdings" w:hAnsi="Wingdings" w:hint="default"/>
      </w:rPr>
    </w:lvl>
  </w:abstractNum>
  <w:abstractNum w:abstractNumId="23"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6"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C1E1334"/>
    <w:multiLevelType w:val="hybridMultilevel"/>
    <w:tmpl w:val="E4D8F60C"/>
    <w:lvl w:ilvl="0" w:tplc="90B87470">
      <w:start w:val="1"/>
      <w:numFmt w:val="bullet"/>
      <w:lvlText w:val=""/>
      <w:lvlJc w:val="left"/>
      <w:pPr>
        <w:tabs>
          <w:tab w:val="num" w:pos="1004"/>
        </w:tabs>
        <w:ind w:left="1004" w:hanging="360"/>
      </w:pPr>
      <w:rPr>
        <w:rFonts w:ascii="Symbol" w:hAnsi="Symbol" w:hint="default"/>
      </w:rPr>
    </w:lvl>
    <w:lvl w:ilvl="1" w:tplc="04050019" w:tentative="1">
      <w:start w:val="1"/>
      <w:numFmt w:val="bullet"/>
      <w:lvlText w:val="o"/>
      <w:lvlJc w:val="left"/>
      <w:pPr>
        <w:tabs>
          <w:tab w:val="num" w:pos="1724"/>
        </w:tabs>
        <w:ind w:left="1724" w:hanging="360"/>
      </w:pPr>
      <w:rPr>
        <w:rFonts w:ascii="Courier New" w:hAnsi="Courier New" w:cs="Courier New" w:hint="default"/>
      </w:rPr>
    </w:lvl>
    <w:lvl w:ilvl="2" w:tplc="0405001B" w:tentative="1">
      <w:start w:val="1"/>
      <w:numFmt w:val="bullet"/>
      <w:lvlText w:val=""/>
      <w:lvlJc w:val="left"/>
      <w:pPr>
        <w:tabs>
          <w:tab w:val="num" w:pos="2444"/>
        </w:tabs>
        <w:ind w:left="2444" w:hanging="360"/>
      </w:pPr>
      <w:rPr>
        <w:rFonts w:ascii="Wingdings" w:hAnsi="Wingdings" w:hint="default"/>
      </w:rPr>
    </w:lvl>
    <w:lvl w:ilvl="3" w:tplc="0405000F" w:tentative="1">
      <w:start w:val="1"/>
      <w:numFmt w:val="bullet"/>
      <w:lvlText w:val=""/>
      <w:lvlJc w:val="left"/>
      <w:pPr>
        <w:tabs>
          <w:tab w:val="num" w:pos="3164"/>
        </w:tabs>
        <w:ind w:left="3164" w:hanging="360"/>
      </w:pPr>
      <w:rPr>
        <w:rFonts w:ascii="Symbol" w:hAnsi="Symbol" w:hint="default"/>
      </w:rPr>
    </w:lvl>
    <w:lvl w:ilvl="4" w:tplc="04050019" w:tentative="1">
      <w:start w:val="1"/>
      <w:numFmt w:val="bullet"/>
      <w:lvlText w:val="o"/>
      <w:lvlJc w:val="left"/>
      <w:pPr>
        <w:tabs>
          <w:tab w:val="num" w:pos="3884"/>
        </w:tabs>
        <w:ind w:left="3884" w:hanging="360"/>
      </w:pPr>
      <w:rPr>
        <w:rFonts w:ascii="Courier New" w:hAnsi="Courier New" w:cs="Courier New" w:hint="default"/>
      </w:rPr>
    </w:lvl>
    <w:lvl w:ilvl="5" w:tplc="0405001B" w:tentative="1">
      <w:start w:val="1"/>
      <w:numFmt w:val="bullet"/>
      <w:lvlText w:val=""/>
      <w:lvlJc w:val="left"/>
      <w:pPr>
        <w:tabs>
          <w:tab w:val="num" w:pos="4604"/>
        </w:tabs>
        <w:ind w:left="4604" w:hanging="360"/>
      </w:pPr>
      <w:rPr>
        <w:rFonts w:ascii="Wingdings" w:hAnsi="Wingdings" w:hint="default"/>
      </w:rPr>
    </w:lvl>
    <w:lvl w:ilvl="6" w:tplc="0405000F" w:tentative="1">
      <w:start w:val="1"/>
      <w:numFmt w:val="bullet"/>
      <w:lvlText w:val=""/>
      <w:lvlJc w:val="left"/>
      <w:pPr>
        <w:tabs>
          <w:tab w:val="num" w:pos="5324"/>
        </w:tabs>
        <w:ind w:left="5324" w:hanging="360"/>
      </w:pPr>
      <w:rPr>
        <w:rFonts w:ascii="Symbol" w:hAnsi="Symbol" w:hint="default"/>
      </w:rPr>
    </w:lvl>
    <w:lvl w:ilvl="7" w:tplc="04050019" w:tentative="1">
      <w:start w:val="1"/>
      <w:numFmt w:val="bullet"/>
      <w:lvlText w:val="o"/>
      <w:lvlJc w:val="left"/>
      <w:pPr>
        <w:tabs>
          <w:tab w:val="num" w:pos="6044"/>
        </w:tabs>
        <w:ind w:left="6044" w:hanging="360"/>
      </w:pPr>
      <w:rPr>
        <w:rFonts w:ascii="Courier New" w:hAnsi="Courier New" w:cs="Courier New" w:hint="default"/>
      </w:rPr>
    </w:lvl>
    <w:lvl w:ilvl="8" w:tplc="0405001B" w:tentative="1">
      <w:start w:val="1"/>
      <w:numFmt w:val="bullet"/>
      <w:lvlText w:val=""/>
      <w:lvlJc w:val="left"/>
      <w:pPr>
        <w:tabs>
          <w:tab w:val="num" w:pos="6764"/>
        </w:tabs>
        <w:ind w:left="6764" w:hanging="360"/>
      </w:pPr>
      <w:rPr>
        <w:rFonts w:ascii="Wingdings" w:hAnsi="Wingdings" w:hint="default"/>
      </w:rPr>
    </w:lvl>
  </w:abstractNum>
  <w:num w:numId="1" w16cid:durableId="1316882765">
    <w:abstractNumId w:val="16"/>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5"/>
  </w:num>
  <w:num w:numId="13" w16cid:durableId="695733619">
    <w:abstractNumId w:val="18"/>
  </w:num>
  <w:num w:numId="14" w16cid:durableId="145903400">
    <w:abstractNumId w:val="26"/>
  </w:num>
  <w:num w:numId="15" w16cid:durableId="19162326">
    <w:abstractNumId w:val="28"/>
  </w:num>
  <w:num w:numId="16" w16cid:durableId="1977102699">
    <w:abstractNumId w:val="27"/>
  </w:num>
  <w:num w:numId="17" w16cid:durableId="860774865">
    <w:abstractNumId w:val="17"/>
  </w:num>
  <w:num w:numId="18" w16cid:durableId="313221457">
    <w:abstractNumId w:val="18"/>
    <w:lvlOverride w:ilvl="0">
      <w:startOverride w:val="1"/>
    </w:lvlOverride>
  </w:num>
  <w:num w:numId="19" w16cid:durableId="534971577">
    <w:abstractNumId w:val="24"/>
  </w:num>
  <w:num w:numId="20" w16cid:durableId="1150947773">
    <w:abstractNumId w:val="23"/>
  </w:num>
  <w:num w:numId="21" w16cid:durableId="124660497">
    <w:abstractNumId w:val="21"/>
  </w:num>
  <w:num w:numId="22" w16cid:durableId="2099861471">
    <w:abstractNumId w:val="20"/>
  </w:num>
  <w:num w:numId="23" w16cid:durableId="84351335">
    <w:abstractNumId w:val="12"/>
  </w:num>
  <w:num w:numId="24" w16cid:durableId="1194223066">
    <w:abstractNumId w:val="16"/>
  </w:num>
  <w:num w:numId="25" w16cid:durableId="734354336">
    <w:abstractNumId w:val="13"/>
  </w:num>
  <w:num w:numId="26" w16cid:durableId="1973169973">
    <w:abstractNumId w:val="19"/>
  </w:num>
  <w:num w:numId="27" w16cid:durableId="826945859">
    <w:abstractNumId w:val="15"/>
  </w:num>
  <w:num w:numId="28" w16cid:durableId="1381976423">
    <w:abstractNumId w:val="29"/>
  </w:num>
  <w:num w:numId="29" w16cid:durableId="447314963">
    <w:abstractNumId w:val="14"/>
  </w:num>
  <w:num w:numId="30" w16cid:durableId="821000233">
    <w:abstractNumId w:val="11"/>
  </w:num>
  <w:num w:numId="31" w16cid:durableId="299657811">
    <w:abstractNumId w:val="22"/>
  </w:num>
  <w:num w:numId="32" w16cid:durableId="9601878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87B"/>
    <w:rsid w:val="00002133"/>
    <w:rsid w:val="000027C0"/>
    <w:rsid w:val="00002B04"/>
    <w:rsid w:val="000052FB"/>
    <w:rsid w:val="000058D9"/>
    <w:rsid w:val="00005A19"/>
    <w:rsid w:val="000117CB"/>
    <w:rsid w:val="00016575"/>
    <w:rsid w:val="000229C2"/>
    <w:rsid w:val="00031368"/>
    <w:rsid w:val="0003148D"/>
    <w:rsid w:val="00031EEC"/>
    <w:rsid w:val="00032A6B"/>
    <w:rsid w:val="00032AB1"/>
    <w:rsid w:val="0003358E"/>
    <w:rsid w:val="000347DA"/>
    <w:rsid w:val="00037661"/>
    <w:rsid w:val="00040AEE"/>
    <w:rsid w:val="00043076"/>
    <w:rsid w:val="000446EA"/>
    <w:rsid w:val="0004486C"/>
    <w:rsid w:val="00045BBA"/>
    <w:rsid w:val="00051566"/>
    <w:rsid w:val="00053912"/>
    <w:rsid w:val="00054149"/>
    <w:rsid w:val="00055A5D"/>
    <w:rsid w:val="000562A9"/>
    <w:rsid w:val="0006096E"/>
    <w:rsid w:val="00062A9A"/>
    <w:rsid w:val="00062E51"/>
    <w:rsid w:val="000631EC"/>
    <w:rsid w:val="00065058"/>
    <w:rsid w:val="00074FB3"/>
    <w:rsid w:val="00086C39"/>
    <w:rsid w:val="000956FD"/>
    <w:rsid w:val="000A03B2"/>
    <w:rsid w:val="000A182C"/>
    <w:rsid w:val="000A54ED"/>
    <w:rsid w:val="000A5A6E"/>
    <w:rsid w:val="000A728B"/>
    <w:rsid w:val="000B05DC"/>
    <w:rsid w:val="000B2560"/>
    <w:rsid w:val="000B559A"/>
    <w:rsid w:val="000B6653"/>
    <w:rsid w:val="000C2071"/>
    <w:rsid w:val="000C22DD"/>
    <w:rsid w:val="000C24EE"/>
    <w:rsid w:val="000C63AF"/>
    <w:rsid w:val="000D0268"/>
    <w:rsid w:val="000D107B"/>
    <w:rsid w:val="000D34BE"/>
    <w:rsid w:val="000D4461"/>
    <w:rsid w:val="000D6846"/>
    <w:rsid w:val="000E06B2"/>
    <w:rsid w:val="000E0B3C"/>
    <w:rsid w:val="000E102F"/>
    <w:rsid w:val="000E36F1"/>
    <w:rsid w:val="000E3A73"/>
    <w:rsid w:val="000E414A"/>
    <w:rsid w:val="000E75FD"/>
    <w:rsid w:val="000F093C"/>
    <w:rsid w:val="000F787B"/>
    <w:rsid w:val="00100ED8"/>
    <w:rsid w:val="001102CA"/>
    <w:rsid w:val="00111730"/>
    <w:rsid w:val="00111B77"/>
    <w:rsid w:val="00112806"/>
    <w:rsid w:val="0012091F"/>
    <w:rsid w:val="00125882"/>
    <w:rsid w:val="00126BC2"/>
    <w:rsid w:val="001308B6"/>
    <w:rsid w:val="0013121F"/>
    <w:rsid w:val="00131C4D"/>
    <w:rsid w:val="00131FE6"/>
    <w:rsid w:val="0013263F"/>
    <w:rsid w:val="00132E12"/>
    <w:rsid w:val="001331DF"/>
    <w:rsid w:val="00134410"/>
    <w:rsid w:val="00134963"/>
    <w:rsid w:val="00134DE4"/>
    <w:rsid w:val="00135CE7"/>
    <w:rsid w:val="00140164"/>
    <w:rsid w:val="0014034D"/>
    <w:rsid w:val="00140FE3"/>
    <w:rsid w:val="00144D16"/>
    <w:rsid w:val="00150E59"/>
    <w:rsid w:val="00152DE3"/>
    <w:rsid w:val="00155009"/>
    <w:rsid w:val="00157787"/>
    <w:rsid w:val="00162351"/>
    <w:rsid w:val="00163E40"/>
    <w:rsid w:val="00164CF9"/>
    <w:rsid w:val="00165C58"/>
    <w:rsid w:val="00165F15"/>
    <w:rsid w:val="001667A6"/>
    <w:rsid w:val="00170152"/>
    <w:rsid w:val="001701FC"/>
    <w:rsid w:val="0017273A"/>
    <w:rsid w:val="00177A00"/>
    <w:rsid w:val="0018044C"/>
    <w:rsid w:val="0018076D"/>
    <w:rsid w:val="0018171E"/>
    <w:rsid w:val="00184AD6"/>
    <w:rsid w:val="00190837"/>
    <w:rsid w:val="001914FF"/>
    <w:rsid w:val="001922EE"/>
    <w:rsid w:val="00194422"/>
    <w:rsid w:val="001A4AF7"/>
    <w:rsid w:val="001B01F9"/>
    <w:rsid w:val="001B0349"/>
    <w:rsid w:val="001B1E93"/>
    <w:rsid w:val="001B2867"/>
    <w:rsid w:val="001B65C1"/>
    <w:rsid w:val="001B67FE"/>
    <w:rsid w:val="001C260F"/>
    <w:rsid w:val="001C5406"/>
    <w:rsid w:val="001C5C3A"/>
    <w:rsid w:val="001C684B"/>
    <w:rsid w:val="001C798F"/>
    <w:rsid w:val="001D0CFB"/>
    <w:rsid w:val="001D21AF"/>
    <w:rsid w:val="001D37D4"/>
    <w:rsid w:val="001D3AD5"/>
    <w:rsid w:val="001D53FC"/>
    <w:rsid w:val="001F23F2"/>
    <w:rsid w:val="001F42A5"/>
    <w:rsid w:val="001F75ED"/>
    <w:rsid w:val="001F7B9D"/>
    <w:rsid w:val="002000F9"/>
    <w:rsid w:val="00201C93"/>
    <w:rsid w:val="00201CCE"/>
    <w:rsid w:val="00204378"/>
    <w:rsid w:val="00206518"/>
    <w:rsid w:val="0021044A"/>
    <w:rsid w:val="002144D2"/>
    <w:rsid w:val="0021459B"/>
    <w:rsid w:val="002224B4"/>
    <w:rsid w:val="0022285C"/>
    <w:rsid w:val="002233BD"/>
    <w:rsid w:val="002245AC"/>
    <w:rsid w:val="00232EA3"/>
    <w:rsid w:val="00233D64"/>
    <w:rsid w:val="002341AB"/>
    <w:rsid w:val="0023589C"/>
    <w:rsid w:val="002358F0"/>
    <w:rsid w:val="00242D1B"/>
    <w:rsid w:val="00243359"/>
    <w:rsid w:val="00243CDA"/>
    <w:rsid w:val="002447EF"/>
    <w:rsid w:val="00246A87"/>
    <w:rsid w:val="00251550"/>
    <w:rsid w:val="00251D5B"/>
    <w:rsid w:val="00253019"/>
    <w:rsid w:val="002564C4"/>
    <w:rsid w:val="00260F78"/>
    <w:rsid w:val="0026135D"/>
    <w:rsid w:val="00263B05"/>
    <w:rsid w:val="00265A05"/>
    <w:rsid w:val="002668C6"/>
    <w:rsid w:val="0027221A"/>
    <w:rsid w:val="00273374"/>
    <w:rsid w:val="00273F4E"/>
    <w:rsid w:val="00275B61"/>
    <w:rsid w:val="00276603"/>
    <w:rsid w:val="00280FAF"/>
    <w:rsid w:val="00282656"/>
    <w:rsid w:val="00285741"/>
    <w:rsid w:val="0028618D"/>
    <w:rsid w:val="002969A7"/>
    <w:rsid w:val="00296B83"/>
    <w:rsid w:val="002A0624"/>
    <w:rsid w:val="002A1B21"/>
    <w:rsid w:val="002A5F21"/>
    <w:rsid w:val="002B0455"/>
    <w:rsid w:val="002B4015"/>
    <w:rsid w:val="002B54FF"/>
    <w:rsid w:val="002B78CE"/>
    <w:rsid w:val="002C2580"/>
    <w:rsid w:val="002C2FB6"/>
    <w:rsid w:val="002C775D"/>
    <w:rsid w:val="002D04E8"/>
    <w:rsid w:val="002D0FE0"/>
    <w:rsid w:val="002D27B3"/>
    <w:rsid w:val="002D591D"/>
    <w:rsid w:val="002D5ABC"/>
    <w:rsid w:val="002D7153"/>
    <w:rsid w:val="002D71B2"/>
    <w:rsid w:val="002E108D"/>
    <w:rsid w:val="002E468D"/>
    <w:rsid w:val="002E5FA7"/>
    <w:rsid w:val="002E7B68"/>
    <w:rsid w:val="002E7CB3"/>
    <w:rsid w:val="002F017F"/>
    <w:rsid w:val="002F1972"/>
    <w:rsid w:val="002F3309"/>
    <w:rsid w:val="002F5244"/>
    <w:rsid w:val="003004BD"/>
    <w:rsid w:val="003008CE"/>
    <w:rsid w:val="003009B7"/>
    <w:rsid w:val="00300BFB"/>
    <w:rsid w:val="00300E56"/>
    <w:rsid w:val="0030152C"/>
    <w:rsid w:val="0030469C"/>
    <w:rsid w:val="003126E3"/>
    <w:rsid w:val="00312782"/>
    <w:rsid w:val="00314A94"/>
    <w:rsid w:val="00315AB1"/>
    <w:rsid w:val="00316DF3"/>
    <w:rsid w:val="0032156A"/>
    <w:rsid w:val="00321CA6"/>
    <w:rsid w:val="00323763"/>
    <w:rsid w:val="00323C5F"/>
    <w:rsid w:val="00332968"/>
    <w:rsid w:val="00333EDA"/>
    <w:rsid w:val="00334C09"/>
    <w:rsid w:val="00337055"/>
    <w:rsid w:val="003407E7"/>
    <w:rsid w:val="003414D6"/>
    <w:rsid w:val="00342054"/>
    <w:rsid w:val="00352422"/>
    <w:rsid w:val="00355839"/>
    <w:rsid w:val="00362537"/>
    <w:rsid w:val="0036480E"/>
    <w:rsid w:val="00365F0C"/>
    <w:rsid w:val="003723D4"/>
    <w:rsid w:val="0037663D"/>
    <w:rsid w:val="003772D3"/>
    <w:rsid w:val="00380810"/>
    <w:rsid w:val="00381905"/>
    <w:rsid w:val="00384CC8"/>
    <w:rsid w:val="003871FD"/>
    <w:rsid w:val="00391ED4"/>
    <w:rsid w:val="003934FE"/>
    <w:rsid w:val="003939A4"/>
    <w:rsid w:val="00393F0A"/>
    <w:rsid w:val="00397D1D"/>
    <w:rsid w:val="003A0674"/>
    <w:rsid w:val="003A1E30"/>
    <w:rsid w:val="003A2829"/>
    <w:rsid w:val="003A3370"/>
    <w:rsid w:val="003A4188"/>
    <w:rsid w:val="003A4888"/>
    <w:rsid w:val="003A7D1C"/>
    <w:rsid w:val="003B1FB7"/>
    <w:rsid w:val="003B304B"/>
    <w:rsid w:val="003B311C"/>
    <w:rsid w:val="003B3146"/>
    <w:rsid w:val="003B3326"/>
    <w:rsid w:val="003B49CD"/>
    <w:rsid w:val="003B5D0A"/>
    <w:rsid w:val="003C1104"/>
    <w:rsid w:val="003C2E45"/>
    <w:rsid w:val="003C63EA"/>
    <w:rsid w:val="003C6E7F"/>
    <w:rsid w:val="003C713C"/>
    <w:rsid w:val="003D1E02"/>
    <w:rsid w:val="003D272F"/>
    <w:rsid w:val="003D500C"/>
    <w:rsid w:val="003F015E"/>
    <w:rsid w:val="003F066C"/>
    <w:rsid w:val="003F263C"/>
    <w:rsid w:val="003F4AA8"/>
    <w:rsid w:val="003F625F"/>
    <w:rsid w:val="00400414"/>
    <w:rsid w:val="00402E60"/>
    <w:rsid w:val="00403DF2"/>
    <w:rsid w:val="00413A3E"/>
    <w:rsid w:val="0041446B"/>
    <w:rsid w:val="00416A29"/>
    <w:rsid w:val="00424E16"/>
    <w:rsid w:val="00432F48"/>
    <w:rsid w:val="00434100"/>
    <w:rsid w:val="0044071E"/>
    <w:rsid w:val="0044329C"/>
    <w:rsid w:val="00443959"/>
    <w:rsid w:val="00444429"/>
    <w:rsid w:val="00453E24"/>
    <w:rsid w:val="00454713"/>
    <w:rsid w:val="00457456"/>
    <w:rsid w:val="004577FE"/>
    <w:rsid w:val="00457B9C"/>
    <w:rsid w:val="00457DDD"/>
    <w:rsid w:val="0046164A"/>
    <w:rsid w:val="004628D2"/>
    <w:rsid w:val="00462DCD"/>
    <w:rsid w:val="00463DD8"/>
    <w:rsid w:val="004648AD"/>
    <w:rsid w:val="00466BB5"/>
    <w:rsid w:val="004703A9"/>
    <w:rsid w:val="00473E05"/>
    <w:rsid w:val="004760DE"/>
    <w:rsid w:val="004763D7"/>
    <w:rsid w:val="00486364"/>
    <w:rsid w:val="004A004E"/>
    <w:rsid w:val="004A08A9"/>
    <w:rsid w:val="004A24CF"/>
    <w:rsid w:val="004A359C"/>
    <w:rsid w:val="004A6DCF"/>
    <w:rsid w:val="004B3BA0"/>
    <w:rsid w:val="004B3E46"/>
    <w:rsid w:val="004B432D"/>
    <w:rsid w:val="004C19EE"/>
    <w:rsid w:val="004C3D1D"/>
    <w:rsid w:val="004C3D84"/>
    <w:rsid w:val="004C5676"/>
    <w:rsid w:val="004C76E4"/>
    <w:rsid w:val="004C7913"/>
    <w:rsid w:val="004C7E05"/>
    <w:rsid w:val="004C7F9C"/>
    <w:rsid w:val="004D15FA"/>
    <w:rsid w:val="004D4FEA"/>
    <w:rsid w:val="004D60DE"/>
    <w:rsid w:val="004D72E4"/>
    <w:rsid w:val="004D7F7E"/>
    <w:rsid w:val="004E2894"/>
    <w:rsid w:val="004E4DD6"/>
    <w:rsid w:val="004F5898"/>
    <w:rsid w:val="004F5E36"/>
    <w:rsid w:val="00500BF5"/>
    <w:rsid w:val="00501159"/>
    <w:rsid w:val="0050281E"/>
    <w:rsid w:val="00505239"/>
    <w:rsid w:val="00505509"/>
    <w:rsid w:val="005079B1"/>
    <w:rsid w:val="00507B47"/>
    <w:rsid w:val="00507BEF"/>
    <w:rsid w:val="00507CC9"/>
    <w:rsid w:val="00511741"/>
    <w:rsid w:val="005119A5"/>
    <w:rsid w:val="0051253B"/>
    <w:rsid w:val="005131B4"/>
    <w:rsid w:val="00514304"/>
    <w:rsid w:val="005143D1"/>
    <w:rsid w:val="005164C3"/>
    <w:rsid w:val="00524648"/>
    <w:rsid w:val="005278B7"/>
    <w:rsid w:val="00531090"/>
    <w:rsid w:val="00532016"/>
    <w:rsid w:val="00534186"/>
    <w:rsid w:val="005346C8"/>
    <w:rsid w:val="0053562B"/>
    <w:rsid w:val="00537354"/>
    <w:rsid w:val="005424FC"/>
    <w:rsid w:val="00542B57"/>
    <w:rsid w:val="005433D1"/>
    <w:rsid w:val="00543E7D"/>
    <w:rsid w:val="005453AB"/>
    <w:rsid w:val="00545929"/>
    <w:rsid w:val="00547A68"/>
    <w:rsid w:val="00550DDB"/>
    <w:rsid w:val="005531C9"/>
    <w:rsid w:val="005539C9"/>
    <w:rsid w:val="00554879"/>
    <w:rsid w:val="00554ACD"/>
    <w:rsid w:val="0055644E"/>
    <w:rsid w:val="0056046E"/>
    <w:rsid w:val="00560732"/>
    <w:rsid w:val="00560805"/>
    <w:rsid w:val="00560F37"/>
    <w:rsid w:val="00561BED"/>
    <w:rsid w:val="0056220B"/>
    <w:rsid w:val="00570C43"/>
    <w:rsid w:val="00571684"/>
    <w:rsid w:val="00571966"/>
    <w:rsid w:val="00574D6E"/>
    <w:rsid w:val="005855B7"/>
    <w:rsid w:val="00592274"/>
    <w:rsid w:val="00592308"/>
    <w:rsid w:val="00597E5D"/>
    <w:rsid w:val="005A0BCC"/>
    <w:rsid w:val="005A0EED"/>
    <w:rsid w:val="005A53DF"/>
    <w:rsid w:val="005A5723"/>
    <w:rsid w:val="005A63E3"/>
    <w:rsid w:val="005B0439"/>
    <w:rsid w:val="005B2110"/>
    <w:rsid w:val="005B2DF7"/>
    <w:rsid w:val="005B350B"/>
    <w:rsid w:val="005B3E43"/>
    <w:rsid w:val="005B404E"/>
    <w:rsid w:val="005B490E"/>
    <w:rsid w:val="005B61E6"/>
    <w:rsid w:val="005C45B3"/>
    <w:rsid w:val="005C6CB9"/>
    <w:rsid w:val="005C6EFB"/>
    <w:rsid w:val="005C77E1"/>
    <w:rsid w:val="005D20B1"/>
    <w:rsid w:val="005D3BF1"/>
    <w:rsid w:val="005D4A2A"/>
    <w:rsid w:val="005D668A"/>
    <w:rsid w:val="005D6A2F"/>
    <w:rsid w:val="005D6AFA"/>
    <w:rsid w:val="005E0592"/>
    <w:rsid w:val="005E0D14"/>
    <w:rsid w:val="005E1A82"/>
    <w:rsid w:val="005E5B65"/>
    <w:rsid w:val="005E794C"/>
    <w:rsid w:val="005E7DC0"/>
    <w:rsid w:val="005F03CA"/>
    <w:rsid w:val="005F0A28"/>
    <w:rsid w:val="005F0E5E"/>
    <w:rsid w:val="005F234D"/>
    <w:rsid w:val="005F2600"/>
    <w:rsid w:val="005F2BD3"/>
    <w:rsid w:val="00600535"/>
    <w:rsid w:val="00605BA3"/>
    <w:rsid w:val="00606034"/>
    <w:rsid w:val="00610CD6"/>
    <w:rsid w:val="00612B3B"/>
    <w:rsid w:val="006133E6"/>
    <w:rsid w:val="00613C38"/>
    <w:rsid w:val="006153C3"/>
    <w:rsid w:val="00615CDD"/>
    <w:rsid w:val="00615EC2"/>
    <w:rsid w:val="00620DEE"/>
    <w:rsid w:val="00621F92"/>
    <w:rsid w:val="0062280A"/>
    <w:rsid w:val="006231E1"/>
    <w:rsid w:val="00624B26"/>
    <w:rsid w:val="00625639"/>
    <w:rsid w:val="006274F3"/>
    <w:rsid w:val="00630213"/>
    <w:rsid w:val="00631B33"/>
    <w:rsid w:val="00637AED"/>
    <w:rsid w:val="00637CFB"/>
    <w:rsid w:val="00637F60"/>
    <w:rsid w:val="00637F72"/>
    <w:rsid w:val="006400CD"/>
    <w:rsid w:val="0064184D"/>
    <w:rsid w:val="006422CC"/>
    <w:rsid w:val="00645FA9"/>
    <w:rsid w:val="00651C86"/>
    <w:rsid w:val="00651D18"/>
    <w:rsid w:val="00655150"/>
    <w:rsid w:val="006554AA"/>
    <w:rsid w:val="00655BF8"/>
    <w:rsid w:val="006606E7"/>
    <w:rsid w:val="00660E3E"/>
    <w:rsid w:val="00662E74"/>
    <w:rsid w:val="00664C9A"/>
    <w:rsid w:val="00670BB8"/>
    <w:rsid w:val="00672BDB"/>
    <w:rsid w:val="00674F59"/>
    <w:rsid w:val="00676253"/>
    <w:rsid w:val="00676C66"/>
    <w:rsid w:val="006803CD"/>
    <w:rsid w:val="00680C23"/>
    <w:rsid w:val="00683E23"/>
    <w:rsid w:val="006847EA"/>
    <w:rsid w:val="00687BBE"/>
    <w:rsid w:val="00693766"/>
    <w:rsid w:val="006938D5"/>
    <w:rsid w:val="00693F95"/>
    <w:rsid w:val="00694BCC"/>
    <w:rsid w:val="00694DC4"/>
    <w:rsid w:val="006A3281"/>
    <w:rsid w:val="006A363D"/>
    <w:rsid w:val="006A51BC"/>
    <w:rsid w:val="006A5EF1"/>
    <w:rsid w:val="006A6DE5"/>
    <w:rsid w:val="006B2CA4"/>
    <w:rsid w:val="006B4888"/>
    <w:rsid w:val="006B5D61"/>
    <w:rsid w:val="006B5FF5"/>
    <w:rsid w:val="006B61BD"/>
    <w:rsid w:val="006B7EBF"/>
    <w:rsid w:val="006C0009"/>
    <w:rsid w:val="006C0860"/>
    <w:rsid w:val="006C2E45"/>
    <w:rsid w:val="006C359C"/>
    <w:rsid w:val="006C455A"/>
    <w:rsid w:val="006C5085"/>
    <w:rsid w:val="006C5579"/>
    <w:rsid w:val="006C5D1B"/>
    <w:rsid w:val="006D1B60"/>
    <w:rsid w:val="006D27B8"/>
    <w:rsid w:val="006D368E"/>
    <w:rsid w:val="006D44D7"/>
    <w:rsid w:val="006D650B"/>
    <w:rsid w:val="006D6E8B"/>
    <w:rsid w:val="006D7209"/>
    <w:rsid w:val="006E0AFE"/>
    <w:rsid w:val="006E33AB"/>
    <w:rsid w:val="006E51DD"/>
    <w:rsid w:val="006E54DD"/>
    <w:rsid w:val="006E737D"/>
    <w:rsid w:val="006F5BB6"/>
    <w:rsid w:val="006F6D09"/>
    <w:rsid w:val="00706CC9"/>
    <w:rsid w:val="00707DD1"/>
    <w:rsid w:val="00713973"/>
    <w:rsid w:val="00720A24"/>
    <w:rsid w:val="0073017F"/>
    <w:rsid w:val="00732386"/>
    <w:rsid w:val="00733F47"/>
    <w:rsid w:val="0073514D"/>
    <w:rsid w:val="00742CF1"/>
    <w:rsid w:val="00743DCE"/>
    <w:rsid w:val="0074418E"/>
    <w:rsid w:val="007447F3"/>
    <w:rsid w:val="007458B9"/>
    <w:rsid w:val="007462A4"/>
    <w:rsid w:val="007502AB"/>
    <w:rsid w:val="00750E2C"/>
    <w:rsid w:val="00752728"/>
    <w:rsid w:val="00754209"/>
    <w:rsid w:val="0075499F"/>
    <w:rsid w:val="00755B56"/>
    <w:rsid w:val="00760F0E"/>
    <w:rsid w:val="0076109E"/>
    <w:rsid w:val="007626A2"/>
    <w:rsid w:val="007661C8"/>
    <w:rsid w:val="0077098D"/>
    <w:rsid w:val="007779B8"/>
    <w:rsid w:val="00777A0C"/>
    <w:rsid w:val="007801D8"/>
    <w:rsid w:val="0078073A"/>
    <w:rsid w:val="00781C52"/>
    <w:rsid w:val="00785BF9"/>
    <w:rsid w:val="00786E7C"/>
    <w:rsid w:val="007931FA"/>
    <w:rsid w:val="007A4861"/>
    <w:rsid w:val="007A7BBA"/>
    <w:rsid w:val="007B0C50"/>
    <w:rsid w:val="007B1561"/>
    <w:rsid w:val="007B48F9"/>
    <w:rsid w:val="007C00F3"/>
    <w:rsid w:val="007C1628"/>
    <w:rsid w:val="007C1A43"/>
    <w:rsid w:val="007C30AA"/>
    <w:rsid w:val="007D0951"/>
    <w:rsid w:val="007D3567"/>
    <w:rsid w:val="007D610D"/>
    <w:rsid w:val="007D6D90"/>
    <w:rsid w:val="007D77C3"/>
    <w:rsid w:val="007E1390"/>
    <w:rsid w:val="007E4FCD"/>
    <w:rsid w:val="007F033C"/>
    <w:rsid w:val="007F3B74"/>
    <w:rsid w:val="007F439A"/>
    <w:rsid w:val="0080013E"/>
    <w:rsid w:val="00800F64"/>
    <w:rsid w:val="00801759"/>
    <w:rsid w:val="0080348C"/>
    <w:rsid w:val="00811766"/>
    <w:rsid w:val="0081194C"/>
    <w:rsid w:val="00813288"/>
    <w:rsid w:val="008168FC"/>
    <w:rsid w:val="008209B3"/>
    <w:rsid w:val="008223C7"/>
    <w:rsid w:val="008240CB"/>
    <w:rsid w:val="00824BB8"/>
    <w:rsid w:val="008271BC"/>
    <w:rsid w:val="00830476"/>
    <w:rsid w:val="00830996"/>
    <w:rsid w:val="00830EB6"/>
    <w:rsid w:val="008328FE"/>
    <w:rsid w:val="008345F1"/>
    <w:rsid w:val="0084210D"/>
    <w:rsid w:val="008447CE"/>
    <w:rsid w:val="00844E8F"/>
    <w:rsid w:val="00864FD8"/>
    <w:rsid w:val="00865B07"/>
    <w:rsid w:val="008667EA"/>
    <w:rsid w:val="00867A7A"/>
    <w:rsid w:val="00872235"/>
    <w:rsid w:val="00873171"/>
    <w:rsid w:val="008733DB"/>
    <w:rsid w:val="00875FC3"/>
    <w:rsid w:val="0087637F"/>
    <w:rsid w:val="008810B8"/>
    <w:rsid w:val="00883F11"/>
    <w:rsid w:val="00885238"/>
    <w:rsid w:val="00892AD5"/>
    <w:rsid w:val="0089453E"/>
    <w:rsid w:val="008A1512"/>
    <w:rsid w:val="008A34D9"/>
    <w:rsid w:val="008A6E3B"/>
    <w:rsid w:val="008B439F"/>
    <w:rsid w:val="008B574D"/>
    <w:rsid w:val="008B66D0"/>
    <w:rsid w:val="008C03CD"/>
    <w:rsid w:val="008D32B9"/>
    <w:rsid w:val="008D433B"/>
    <w:rsid w:val="008D4A16"/>
    <w:rsid w:val="008E0A50"/>
    <w:rsid w:val="008E2F1B"/>
    <w:rsid w:val="008E4FEC"/>
    <w:rsid w:val="008E5401"/>
    <w:rsid w:val="008E566E"/>
    <w:rsid w:val="008F1119"/>
    <w:rsid w:val="008F211C"/>
    <w:rsid w:val="008F3236"/>
    <w:rsid w:val="0090161A"/>
    <w:rsid w:val="00901813"/>
    <w:rsid w:val="00901EB6"/>
    <w:rsid w:val="009041F8"/>
    <w:rsid w:val="00904C62"/>
    <w:rsid w:val="00922BA8"/>
    <w:rsid w:val="00924DAC"/>
    <w:rsid w:val="00925B00"/>
    <w:rsid w:val="00927058"/>
    <w:rsid w:val="00932D28"/>
    <w:rsid w:val="00934EA3"/>
    <w:rsid w:val="00937CF8"/>
    <w:rsid w:val="00942750"/>
    <w:rsid w:val="009450CE"/>
    <w:rsid w:val="009459BB"/>
    <w:rsid w:val="00947179"/>
    <w:rsid w:val="00950137"/>
    <w:rsid w:val="0095164B"/>
    <w:rsid w:val="00954090"/>
    <w:rsid w:val="009541B6"/>
    <w:rsid w:val="009544EE"/>
    <w:rsid w:val="009573E7"/>
    <w:rsid w:val="00963848"/>
    <w:rsid w:val="00963A07"/>
    <w:rsid w:val="00963E05"/>
    <w:rsid w:val="00964A45"/>
    <w:rsid w:val="009674E8"/>
    <w:rsid w:val="00967843"/>
    <w:rsid w:val="00967D54"/>
    <w:rsid w:val="00970DDC"/>
    <w:rsid w:val="00971028"/>
    <w:rsid w:val="00972385"/>
    <w:rsid w:val="00977583"/>
    <w:rsid w:val="00984E9A"/>
    <w:rsid w:val="00985658"/>
    <w:rsid w:val="009868A4"/>
    <w:rsid w:val="009878A7"/>
    <w:rsid w:val="00987915"/>
    <w:rsid w:val="00993B84"/>
    <w:rsid w:val="00994C6A"/>
    <w:rsid w:val="00996483"/>
    <w:rsid w:val="00996F5A"/>
    <w:rsid w:val="0099713D"/>
    <w:rsid w:val="009A13F3"/>
    <w:rsid w:val="009A426E"/>
    <w:rsid w:val="009A42B0"/>
    <w:rsid w:val="009A4605"/>
    <w:rsid w:val="009A59CA"/>
    <w:rsid w:val="009A67CA"/>
    <w:rsid w:val="009B041A"/>
    <w:rsid w:val="009B0704"/>
    <w:rsid w:val="009B29EB"/>
    <w:rsid w:val="009B5235"/>
    <w:rsid w:val="009C1EC5"/>
    <w:rsid w:val="009C37C3"/>
    <w:rsid w:val="009C4E58"/>
    <w:rsid w:val="009C7C86"/>
    <w:rsid w:val="009D2A8B"/>
    <w:rsid w:val="009D2FF7"/>
    <w:rsid w:val="009D5AF3"/>
    <w:rsid w:val="009D5D8E"/>
    <w:rsid w:val="009E1D1F"/>
    <w:rsid w:val="009E31A6"/>
    <w:rsid w:val="009E5D6F"/>
    <w:rsid w:val="009E61EB"/>
    <w:rsid w:val="009E6F6F"/>
    <w:rsid w:val="009E722B"/>
    <w:rsid w:val="009E7398"/>
    <w:rsid w:val="009E7884"/>
    <w:rsid w:val="009E788A"/>
    <w:rsid w:val="009F0E08"/>
    <w:rsid w:val="009F14E6"/>
    <w:rsid w:val="009F3B8A"/>
    <w:rsid w:val="00A007DE"/>
    <w:rsid w:val="00A03B3E"/>
    <w:rsid w:val="00A079AE"/>
    <w:rsid w:val="00A13C76"/>
    <w:rsid w:val="00A1763D"/>
    <w:rsid w:val="00A17CEC"/>
    <w:rsid w:val="00A2165C"/>
    <w:rsid w:val="00A221E7"/>
    <w:rsid w:val="00A24D9F"/>
    <w:rsid w:val="00A26554"/>
    <w:rsid w:val="00A26CD7"/>
    <w:rsid w:val="00A27EF0"/>
    <w:rsid w:val="00A35F90"/>
    <w:rsid w:val="00A4010E"/>
    <w:rsid w:val="00A42361"/>
    <w:rsid w:val="00A44536"/>
    <w:rsid w:val="00A45B16"/>
    <w:rsid w:val="00A50B0C"/>
    <w:rsid w:val="00A50B20"/>
    <w:rsid w:val="00A51390"/>
    <w:rsid w:val="00A5379B"/>
    <w:rsid w:val="00A5728E"/>
    <w:rsid w:val="00A60D13"/>
    <w:rsid w:val="00A62276"/>
    <w:rsid w:val="00A7223D"/>
    <w:rsid w:val="00A72745"/>
    <w:rsid w:val="00A76EFC"/>
    <w:rsid w:val="00A80760"/>
    <w:rsid w:val="00A843D4"/>
    <w:rsid w:val="00A875A3"/>
    <w:rsid w:val="00A87D50"/>
    <w:rsid w:val="00A91010"/>
    <w:rsid w:val="00A9168D"/>
    <w:rsid w:val="00A919D8"/>
    <w:rsid w:val="00A97F29"/>
    <w:rsid w:val="00AA1BB2"/>
    <w:rsid w:val="00AA4FAE"/>
    <w:rsid w:val="00AA702E"/>
    <w:rsid w:val="00AA7D26"/>
    <w:rsid w:val="00AB0964"/>
    <w:rsid w:val="00AB23AD"/>
    <w:rsid w:val="00AB3F7E"/>
    <w:rsid w:val="00AB4508"/>
    <w:rsid w:val="00AB5011"/>
    <w:rsid w:val="00AC10F1"/>
    <w:rsid w:val="00AC19B7"/>
    <w:rsid w:val="00AC2528"/>
    <w:rsid w:val="00AC2B5E"/>
    <w:rsid w:val="00AC5424"/>
    <w:rsid w:val="00AC7368"/>
    <w:rsid w:val="00AD16B9"/>
    <w:rsid w:val="00AE377D"/>
    <w:rsid w:val="00AE6F2E"/>
    <w:rsid w:val="00AF0EBA"/>
    <w:rsid w:val="00AF2463"/>
    <w:rsid w:val="00AF7DDE"/>
    <w:rsid w:val="00B02B15"/>
    <w:rsid w:val="00B02C8A"/>
    <w:rsid w:val="00B039FF"/>
    <w:rsid w:val="00B1295C"/>
    <w:rsid w:val="00B14B1B"/>
    <w:rsid w:val="00B17FBD"/>
    <w:rsid w:val="00B20CBE"/>
    <w:rsid w:val="00B2705B"/>
    <w:rsid w:val="00B2744C"/>
    <w:rsid w:val="00B315A6"/>
    <w:rsid w:val="00B31813"/>
    <w:rsid w:val="00B33365"/>
    <w:rsid w:val="00B41AE2"/>
    <w:rsid w:val="00B43268"/>
    <w:rsid w:val="00B51949"/>
    <w:rsid w:val="00B57B36"/>
    <w:rsid w:val="00B57E6F"/>
    <w:rsid w:val="00B61D7F"/>
    <w:rsid w:val="00B71D0C"/>
    <w:rsid w:val="00B75D95"/>
    <w:rsid w:val="00B82891"/>
    <w:rsid w:val="00B837F4"/>
    <w:rsid w:val="00B8686D"/>
    <w:rsid w:val="00B87F8A"/>
    <w:rsid w:val="00B93631"/>
    <w:rsid w:val="00B93F69"/>
    <w:rsid w:val="00BA1775"/>
    <w:rsid w:val="00BA1D52"/>
    <w:rsid w:val="00BB1DDC"/>
    <w:rsid w:val="00BB797D"/>
    <w:rsid w:val="00BC2FE3"/>
    <w:rsid w:val="00BC30C9"/>
    <w:rsid w:val="00BC4774"/>
    <w:rsid w:val="00BD077D"/>
    <w:rsid w:val="00BE3E58"/>
    <w:rsid w:val="00BE5DB2"/>
    <w:rsid w:val="00BE61DB"/>
    <w:rsid w:val="00BF0CBE"/>
    <w:rsid w:val="00BF13CE"/>
    <w:rsid w:val="00BF1B9D"/>
    <w:rsid w:val="00BF3EEF"/>
    <w:rsid w:val="00C0077A"/>
    <w:rsid w:val="00C01616"/>
    <w:rsid w:val="00C0162B"/>
    <w:rsid w:val="00C020F4"/>
    <w:rsid w:val="00C0656C"/>
    <w:rsid w:val="00C068ED"/>
    <w:rsid w:val="00C120C5"/>
    <w:rsid w:val="00C164AF"/>
    <w:rsid w:val="00C213A3"/>
    <w:rsid w:val="00C22E0C"/>
    <w:rsid w:val="00C25E6A"/>
    <w:rsid w:val="00C26FBC"/>
    <w:rsid w:val="00C32914"/>
    <w:rsid w:val="00C337FA"/>
    <w:rsid w:val="00C345B1"/>
    <w:rsid w:val="00C40142"/>
    <w:rsid w:val="00C433DD"/>
    <w:rsid w:val="00C50BCF"/>
    <w:rsid w:val="00C52C3C"/>
    <w:rsid w:val="00C57182"/>
    <w:rsid w:val="00C57863"/>
    <w:rsid w:val="00C640AF"/>
    <w:rsid w:val="00C64B63"/>
    <w:rsid w:val="00C655FD"/>
    <w:rsid w:val="00C65B6E"/>
    <w:rsid w:val="00C75407"/>
    <w:rsid w:val="00C806D2"/>
    <w:rsid w:val="00C841C6"/>
    <w:rsid w:val="00C870A8"/>
    <w:rsid w:val="00C87E62"/>
    <w:rsid w:val="00C901B1"/>
    <w:rsid w:val="00C93989"/>
    <w:rsid w:val="00C94434"/>
    <w:rsid w:val="00C977CE"/>
    <w:rsid w:val="00CA0D75"/>
    <w:rsid w:val="00CA1C95"/>
    <w:rsid w:val="00CA5A9C"/>
    <w:rsid w:val="00CB075A"/>
    <w:rsid w:val="00CB1B9B"/>
    <w:rsid w:val="00CB2B7B"/>
    <w:rsid w:val="00CB3A51"/>
    <w:rsid w:val="00CB426C"/>
    <w:rsid w:val="00CB5854"/>
    <w:rsid w:val="00CB6B18"/>
    <w:rsid w:val="00CB6C0E"/>
    <w:rsid w:val="00CC1BA6"/>
    <w:rsid w:val="00CC4C20"/>
    <w:rsid w:val="00CD3517"/>
    <w:rsid w:val="00CD5FE2"/>
    <w:rsid w:val="00CE6298"/>
    <w:rsid w:val="00CE7C68"/>
    <w:rsid w:val="00CF16E4"/>
    <w:rsid w:val="00CF1D79"/>
    <w:rsid w:val="00CF3248"/>
    <w:rsid w:val="00D0004E"/>
    <w:rsid w:val="00D026F0"/>
    <w:rsid w:val="00D02B4C"/>
    <w:rsid w:val="00D040C4"/>
    <w:rsid w:val="00D05149"/>
    <w:rsid w:val="00D15464"/>
    <w:rsid w:val="00D20843"/>
    <w:rsid w:val="00D20A09"/>
    <w:rsid w:val="00D20AD1"/>
    <w:rsid w:val="00D2582C"/>
    <w:rsid w:val="00D42033"/>
    <w:rsid w:val="00D4426D"/>
    <w:rsid w:val="00D46B7E"/>
    <w:rsid w:val="00D52233"/>
    <w:rsid w:val="00D52BC9"/>
    <w:rsid w:val="00D57C84"/>
    <w:rsid w:val="00D6057D"/>
    <w:rsid w:val="00D61E35"/>
    <w:rsid w:val="00D66BB7"/>
    <w:rsid w:val="00D71096"/>
    <w:rsid w:val="00D71223"/>
    <w:rsid w:val="00D71640"/>
    <w:rsid w:val="00D725CD"/>
    <w:rsid w:val="00D72F60"/>
    <w:rsid w:val="00D775D0"/>
    <w:rsid w:val="00D836C5"/>
    <w:rsid w:val="00D84576"/>
    <w:rsid w:val="00D86470"/>
    <w:rsid w:val="00D87F7A"/>
    <w:rsid w:val="00D950C4"/>
    <w:rsid w:val="00D95FCD"/>
    <w:rsid w:val="00DA1399"/>
    <w:rsid w:val="00DA24C6"/>
    <w:rsid w:val="00DA2A65"/>
    <w:rsid w:val="00DA3ED4"/>
    <w:rsid w:val="00DA4D7B"/>
    <w:rsid w:val="00DA5D2D"/>
    <w:rsid w:val="00DA5F4F"/>
    <w:rsid w:val="00DA644D"/>
    <w:rsid w:val="00DB723E"/>
    <w:rsid w:val="00DB7DF7"/>
    <w:rsid w:val="00DC06F4"/>
    <w:rsid w:val="00DC0E39"/>
    <w:rsid w:val="00DC2840"/>
    <w:rsid w:val="00DC6B44"/>
    <w:rsid w:val="00DC73EE"/>
    <w:rsid w:val="00DD271C"/>
    <w:rsid w:val="00DE0B47"/>
    <w:rsid w:val="00DE264A"/>
    <w:rsid w:val="00DE3ABC"/>
    <w:rsid w:val="00DE3D92"/>
    <w:rsid w:val="00DE520A"/>
    <w:rsid w:val="00DE7B63"/>
    <w:rsid w:val="00DF5072"/>
    <w:rsid w:val="00DF5D29"/>
    <w:rsid w:val="00DF6672"/>
    <w:rsid w:val="00DF7AFD"/>
    <w:rsid w:val="00E008AF"/>
    <w:rsid w:val="00E0244C"/>
    <w:rsid w:val="00E02D18"/>
    <w:rsid w:val="00E03249"/>
    <w:rsid w:val="00E041E7"/>
    <w:rsid w:val="00E06AB4"/>
    <w:rsid w:val="00E07F7C"/>
    <w:rsid w:val="00E12B99"/>
    <w:rsid w:val="00E1697E"/>
    <w:rsid w:val="00E172E4"/>
    <w:rsid w:val="00E17C32"/>
    <w:rsid w:val="00E20278"/>
    <w:rsid w:val="00E22B6E"/>
    <w:rsid w:val="00E23CA1"/>
    <w:rsid w:val="00E2503F"/>
    <w:rsid w:val="00E35AC9"/>
    <w:rsid w:val="00E409A8"/>
    <w:rsid w:val="00E435AC"/>
    <w:rsid w:val="00E44DDF"/>
    <w:rsid w:val="00E508DD"/>
    <w:rsid w:val="00E508F9"/>
    <w:rsid w:val="00E50C12"/>
    <w:rsid w:val="00E571CE"/>
    <w:rsid w:val="00E57A1C"/>
    <w:rsid w:val="00E62E4C"/>
    <w:rsid w:val="00E63B73"/>
    <w:rsid w:val="00E64B52"/>
    <w:rsid w:val="00E65B91"/>
    <w:rsid w:val="00E677BD"/>
    <w:rsid w:val="00E7013D"/>
    <w:rsid w:val="00E70758"/>
    <w:rsid w:val="00E7209D"/>
    <w:rsid w:val="00E72C80"/>
    <w:rsid w:val="00E72EAD"/>
    <w:rsid w:val="00E731A3"/>
    <w:rsid w:val="00E74ADD"/>
    <w:rsid w:val="00E7638E"/>
    <w:rsid w:val="00E77223"/>
    <w:rsid w:val="00E7785C"/>
    <w:rsid w:val="00E80523"/>
    <w:rsid w:val="00E81622"/>
    <w:rsid w:val="00E827A2"/>
    <w:rsid w:val="00E8528B"/>
    <w:rsid w:val="00E85B94"/>
    <w:rsid w:val="00E87F12"/>
    <w:rsid w:val="00E915A1"/>
    <w:rsid w:val="00E94F69"/>
    <w:rsid w:val="00E978D0"/>
    <w:rsid w:val="00EA29E8"/>
    <w:rsid w:val="00EA3376"/>
    <w:rsid w:val="00EA4613"/>
    <w:rsid w:val="00EA63A1"/>
    <w:rsid w:val="00EA7F91"/>
    <w:rsid w:val="00EB1523"/>
    <w:rsid w:val="00EB3324"/>
    <w:rsid w:val="00EB3961"/>
    <w:rsid w:val="00EB4093"/>
    <w:rsid w:val="00EC0461"/>
    <w:rsid w:val="00EC0E49"/>
    <w:rsid w:val="00EC101F"/>
    <w:rsid w:val="00EC1D9F"/>
    <w:rsid w:val="00EC5BE2"/>
    <w:rsid w:val="00EC7E3B"/>
    <w:rsid w:val="00ED257B"/>
    <w:rsid w:val="00ED378A"/>
    <w:rsid w:val="00ED7394"/>
    <w:rsid w:val="00EE0131"/>
    <w:rsid w:val="00EE17B0"/>
    <w:rsid w:val="00EE480D"/>
    <w:rsid w:val="00EF06D9"/>
    <w:rsid w:val="00EF19D7"/>
    <w:rsid w:val="00EF1DC5"/>
    <w:rsid w:val="00EF589F"/>
    <w:rsid w:val="00EF7153"/>
    <w:rsid w:val="00F1687B"/>
    <w:rsid w:val="00F21BE6"/>
    <w:rsid w:val="00F22C0F"/>
    <w:rsid w:val="00F26022"/>
    <w:rsid w:val="00F264D1"/>
    <w:rsid w:val="00F27EE4"/>
    <w:rsid w:val="00F3049E"/>
    <w:rsid w:val="00F30AF2"/>
    <w:rsid w:val="00F30C64"/>
    <w:rsid w:val="00F3132C"/>
    <w:rsid w:val="00F31C40"/>
    <w:rsid w:val="00F32B1F"/>
    <w:rsid w:val="00F32BA2"/>
    <w:rsid w:val="00F32CDB"/>
    <w:rsid w:val="00F373E5"/>
    <w:rsid w:val="00F41EE4"/>
    <w:rsid w:val="00F53E3B"/>
    <w:rsid w:val="00F54559"/>
    <w:rsid w:val="00F565FE"/>
    <w:rsid w:val="00F6238D"/>
    <w:rsid w:val="00F63A70"/>
    <w:rsid w:val="00F63B86"/>
    <w:rsid w:val="00F63D8C"/>
    <w:rsid w:val="00F66EA2"/>
    <w:rsid w:val="00F6721D"/>
    <w:rsid w:val="00F7534E"/>
    <w:rsid w:val="00F82181"/>
    <w:rsid w:val="00F84353"/>
    <w:rsid w:val="00F927C2"/>
    <w:rsid w:val="00F93EDF"/>
    <w:rsid w:val="00F95A60"/>
    <w:rsid w:val="00F96755"/>
    <w:rsid w:val="00F97142"/>
    <w:rsid w:val="00FA1802"/>
    <w:rsid w:val="00FA2085"/>
    <w:rsid w:val="00FA21D0"/>
    <w:rsid w:val="00FA5F5F"/>
    <w:rsid w:val="00FA7DF8"/>
    <w:rsid w:val="00FB3ACB"/>
    <w:rsid w:val="00FB498D"/>
    <w:rsid w:val="00FB5F4D"/>
    <w:rsid w:val="00FB6CA2"/>
    <w:rsid w:val="00FB730C"/>
    <w:rsid w:val="00FC2695"/>
    <w:rsid w:val="00FC3E03"/>
    <w:rsid w:val="00FC3FC1"/>
    <w:rsid w:val="00FC6DB8"/>
    <w:rsid w:val="00FC7AD7"/>
    <w:rsid w:val="00FD0C02"/>
    <w:rsid w:val="00FD14CF"/>
    <w:rsid w:val="00FD723F"/>
    <w:rsid w:val="00FE129E"/>
    <w:rsid w:val="01534D20"/>
    <w:rsid w:val="01598AF6"/>
    <w:rsid w:val="01836A20"/>
    <w:rsid w:val="01F90D9C"/>
    <w:rsid w:val="02009956"/>
    <w:rsid w:val="02490033"/>
    <w:rsid w:val="02BA1048"/>
    <w:rsid w:val="032905D4"/>
    <w:rsid w:val="03FBB21A"/>
    <w:rsid w:val="0501625B"/>
    <w:rsid w:val="056B9B7F"/>
    <w:rsid w:val="063AC257"/>
    <w:rsid w:val="07225CAC"/>
    <w:rsid w:val="077EE523"/>
    <w:rsid w:val="07C4BBA2"/>
    <w:rsid w:val="08ED2E44"/>
    <w:rsid w:val="093DDA57"/>
    <w:rsid w:val="094DEC5E"/>
    <w:rsid w:val="0B016D3B"/>
    <w:rsid w:val="0B1EC8B8"/>
    <w:rsid w:val="0D1C27DA"/>
    <w:rsid w:val="0D23F5AF"/>
    <w:rsid w:val="0D431E97"/>
    <w:rsid w:val="0D743487"/>
    <w:rsid w:val="0EF110B7"/>
    <w:rsid w:val="10718539"/>
    <w:rsid w:val="10DA587C"/>
    <w:rsid w:val="125FB1EC"/>
    <w:rsid w:val="14095756"/>
    <w:rsid w:val="14B2CFFC"/>
    <w:rsid w:val="15F4F386"/>
    <w:rsid w:val="16CAD93B"/>
    <w:rsid w:val="175020D7"/>
    <w:rsid w:val="17BD8AC3"/>
    <w:rsid w:val="1935C2B1"/>
    <w:rsid w:val="19B15AC9"/>
    <w:rsid w:val="19CE0E00"/>
    <w:rsid w:val="1B3D46EA"/>
    <w:rsid w:val="1CF4A5E5"/>
    <w:rsid w:val="1D31FC07"/>
    <w:rsid w:val="1E3953EF"/>
    <w:rsid w:val="1FE27CF2"/>
    <w:rsid w:val="1FEB75B2"/>
    <w:rsid w:val="1FF8573D"/>
    <w:rsid w:val="1FFECB3C"/>
    <w:rsid w:val="20B19964"/>
    <w:rsid w:val="21D6F10D"/>
    <w:rsid w:val="2334AA5D"/>
    <w:rsid w:val="2462C747"/>
    <w:rsid w:val="26CECB6C"/>
    <w:rsid w:val="2A122CCD"/>
    <w:rsid w:val="2A6ACD09"/>
    <w:rsid w:val="2B075932"/>
    <w:rsid w:val="2CC5931D"/>
    <w:rsid w:val="2DDE8238"/>
    <w:rsid w:val="2F25107E"/>
    <w:rsid w:val="3266BE45"/>
    <w:rsid w:val="332FAC2F"/>
    <w:rsid w:val="34F865E3"/>
    <w:rsid w:val="35C4FE69"/>
    <w:rsid w:val="36950201"/>
    <w:rsid w:val="3872696B"/>
    <w:rsid w:val="393E1E8A"/>
    <w:rsid w:val="3A0F3978"/>
    <w:rsid w:val="3AAE6788"/>
    <w:rsid w:val="3B9E4ACE"/>
    <w:rsid w:val="3D700D16"/>
    <w:rsid w:val="3E2A3B95"/>
    <w:rsid w:val="3E2D707A"/>
    <w:rsid w:val="3E45E9B8"/>
    <w:rsid w:val="3E8F292C"/>
    <w:rsid w:val="3F2A41F2"/>
    <w:rsid w:val="3FC6F9B9"/>
    <w:rsid w:val="40765ADC"/>
    <w:rsid w:val="40C8F9D5"/>
    <w:rsid w:val="41DFEF39"/>
    <w:rsid w:val="42489126"/>
    <w:rsid w:val="45718BD4"/>
    <w:rsid w:val="4594CF54"/>
    <w:rsid w:val="47D2F211"/>
    <w:rsid w:val="489E6355"/>
    <w:rsid w:val="4A0EDCB4"/>
    <w:rsid w:val="4A17E2F6"/>
    <w:rsid w:val="4A2DF2F5"/>
    <w:rsid w:val="4B5AC110"/>
    <w:rsid w:val="4BA19AAC"/>
    <w:rsid w:val="4C26F059"/>
    <w:rsid w:val="4C75032C"/>
    <w:rsid w:val="4E6C223C"/>
    <w:rsid w:val="4EFD3AC6"/>
    <w:rsid w:val="5016622D"/>
    <w:rsid w:val="50C41EFF"/>
    <w:rsid w:val="52D495BE"/>
    <w:rsid w:val="5375E663"/>
    <w:rsid w:val="54FF7FCB"/>
    <w:rsid w:val="5573F648"/>
    <w:rsid w:val="56027FA2"/>
    <w:rsid w:val="587740DC"/>
    <w:rsid w:val="58A78B22"/>
    <w:rsid w:val="58B8CAEB"/>
    <w:rsid w:val="593B8DBF"/>
    <w:rsid w:val="5B7FB543"/>
    <w:rsid w:val="5E705349"/>
    <w:rsid w:val="5E8B742B"/>
    <w:rsid w:val="5F28A425"/>
    <w:rsid w:val="62745211"/>
    <w:rsid w:val="64AB4D3D"/>
    <w:rsid w:val="64BDAD34"/>
    <w:rsid w:val="665E48C1"/>
    <w:rsid w:val="68018C7A"/>
    <w:rsid w:val="69AE5C82"/>
    <w:rsid w:val="6D8500D7"/>
    <w:rsid w:val="6DE5B69F"/>
    <w:rsid w:val="6E3F4337"/>
    <w:rsid w:val="6E76A2BC"/>
    <w:rsid w:val="6F36A357"/>
    <w:rsid w:val="72044286"/>
    <w:rsid w:val="7216AB1D"/>
    <w:rsid w:val="729FE2FF"/>
    <w:rsid w:val="72E50D39"/>
    <w:rsid w:val="73CCA5BD"/>
    <w:rsid w:val="74ACE7B2"/>
    <w:rsid w:val="76432673"/>
    <w:rsid w:val="76E904BA"/>
    <w:rsid w:val="772D2AFB"/>
    <w:rsid w:val="78EE664F"/>
    <w:rsid w:val="79E1659E"/>
    <w:rsid w:val="7A6A203B"/>
    <w:rsid w:val="7A959811"/>
    <w:rsid w:val="7AE39CB4"/>
    <w:rsid w:val="7D9FBE4A"/>
    <w:rsid w:val="7F9BFBF3"/>
    <w:rsid w:val="7FB1099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CFFE4EF5-A92E-416C-9AFE-94672C6BF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Nadpis1">
    <w:name w:val="heading 1"/>
    <w:basedOn w:val="CETHeading1"/>
    <w:next w:val="Normln"/>
    <w:link w:val="Nadpis1Char"/>
    <w:uiPriority w:val="9"/>
    <w:rsid w:val="004F5E36"/>
    <w:pPr>
      <w:tabs>
        <w:tab w:val="clear" w:pos="360"/>
        <w:tab w:val="right" w:pos="7100"/>
      </w:tabs>
      <w:jc w:val="both"/>
      <w:outlineLvl w:val="0"/>
    </w:pPr>
    <w:rPr>
      <w:lang w:val="en-GB"/>
    </w:rPr>
  </w:style>
  <w:style w:type="paragraph" w:styleId="Nadpis2">
    <w:name w:val="heading 2"/>
    <w:basedOn w:val="Normln"/>
    <w:next w:val="Normln"/>
    <w:link w:val="Nadpis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Nadpis9">
    <w:name w:val="heading 9"/>
    <w:basedOn w:val="Normln"/>
    <w:next w:val="Normln"/>
    <w:link w:val="Nadpis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DA5F4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Jednoduchtabulka1">
    <w:name w:val="Table Simple 1"/>
    <w:basedOn w:val="Normlntabulka"/>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DA5F4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Odkaznakoment">
    <w:name w:val="annotation reference"/>
    <w:basedOn w:val="Standardnpsmoodstavce"/>
    <w:uiPriority w:val="99"/>
    <w:semiHidden/>
    <w:unhideWhenUsed/>
    <w:rsid w:val="004577FE"/>
    <w:rPr>
      <w:sz w:val="16"/>
      <w:szCs w:val="16"/>
    </w:rPr>
  </w:style>
  <w:style w:type="paragraph" w:styleId="Textbubliny">
    <w:name w:val="Balloon Text"/>
    <w:basedOn w:val="Normln"/>
    <w:link w:val="TextbublinyChar"/>
    <w:uiPriority w:val="99"/>
    <w:semiHidden/>
    <w:unhideWhenUsed/>
    <w:rsid w:val="000D34BE"/>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D34BE"/>
    <w:rPr>
      <w:rFonts w:ascii="Tahoma" w:hAnsi="Tahoma" w:cs="Tahoma"/>
      <w:sz w:val="16"/>
      <w:szCs w:val="16"/>
    </w:rPr>
  </w:style>
  <w:style w:type="paragraph" w:styleId="Bibliografie">
    <w:name w:val="Bibliography"/>
    <w:basedOn w:val="CETReferencetext"/>
    <w:uiPriority w:val="37"/>
    <w:unhideWhenUsed/>
    <w:rsid w:val="00631B33"/>
    <w:pPr>
      <w:spacing w:line="240" w:lineRule="auto"/>
      <w:ind w:left="720" w:hanging="720"/>
    </w:pPr>
  </w:style>
  <w:style w:type="paragraph" w:styleId="Zkladntext2">
    <w:name w:val="Body Text 2"/>
    <w:basedOn w:val="Normln"/>
    <w:link w:val="Zkladntext2Char"/>
    <w:uiPriority w:val="99"/>
    <w:semiHidden/>
    <w:unhideWhenUsed/>
    <w:rsid w:val="0003148D"/>
    <w:pPr>
      <w:spacing w:after="120" w:line="480" w:lineRule="auto"/>
    </w:pPr>
  </w:style>
  <w:style w:type="character" w:customStyle="1" w:styleId="Zkladntext2Char">
    <w:name w:val="Základní text 2 Char"/>
    <w:basedOn w:val="Standardnpsmoodstavce"/>
    <w:link w:val="Zkladntext2"/>
    <w:uiPriority w:val="99"/>
    <w:semiHidden/>
    <w:rsid w:val="0003148D"/>
  </w:style>
  <w:style w:type="paragraph" w:styleId="Zkladntext3">
    <w:name w:val="Body Text 3"/>
    <w:basedOn w:val="Normln"/>
    <w:link w:val="Zkladntext3Char"/>
    <w:uiPriority w:val="99"/>
    <w:semiHidden/>
    <w:unhideWhenUsed/>
    <w:rsid w:val="0003148D"/>
    <w:pPr>
      <w:spacing w:after="120"/>
    </w:pPr>
    <w:rPr>
      <w:sz w:val="16"/>
      <w:szCs w:val="16"/>
    </w:rPr>
  </w:style>
  <w:style w:type="character" w:customStyle="1" w:styleId="Zkladntext3Char">
    <w:name w:val="Základní text 3 Char"/>
    <w:basedOn w:val="Standardnpsmoodstavce"/>
    <w:link w:val="Zkladntext3"/>
    <w:uiPriority w:val="99"/>
    <w:semiHidden/>
    <w:rsid w:val="0003148D"/>
    <w:rPr>
      <w:sz w:val="16"/>
      <w:szCs w:val="16"/>
    </w:rPr>
  </w:style>
  <w:style w:type="paragraph" w:styleId="Zkladntext">
    <w:name w:val="Body Text"/>
    <w:basedOn w:val="Normln"/>
    <w:link w:val="ZkladntextChar"/>
    <w:uiPriority w:val="99"/>
    <w:semiHidden/>
    <w:unhideWhenUsed/>
    <w:rsid w:val="0003148D"/>
    <w:pPr>
      <w:spacing w:after="120"/>
    </w:pPr>
  </w:style>
  <w:style w:type="character" w:customStyle="1" w:styleId="ZkladntextChar">
    <w:name w:val="Základní text Char"/>
    <w:basedOn w:val="Standardnpsmoodstavce"/>
    <w:link w:val="Zkladntext"/>
    <w:uiPriority w:val="99"/>
    <w:semiHidden/>
    <w:rsid w:val="0003148D"/>
  </w:style>
  <w:style w:type="paragraph" w:styleId="Datum">
    <w:name w:val="Date"/>
    <w:basedOn w:val="Normln"/>
    <w:next w:val="Normln"/>
    <w:link w:val="DatumChar"/>
    <w:uiPriority w:val="99"/>
    <w:semiHidden/>
    <w:unhideWhenUsed/>
    <w:rsid w:val="0003148D"/>
  </w:style>
  <w:style w:type="character" w:customStyle="1" w:styleId="DatumChar">
    <w:name w:val="Datum Char"/>
    <w:basedOn w:val="Standardnpsmoodstavce"/>
    <w:link w:val="Datum"/>
    <w:uiPriority w:val="99"/>
    <w:semiHidden/>
    <w:rsid w:val="0003148D"/>
  </w:style>
  <w:style w:type="paragraph" w:styleId="Titulek">
    <w:name w:val="caption"/>
    <w:basedOn w:val="Normln"/>
    <w:next w:val="Normln"/>
    <w:uiPriority w:val="35"/>
    <w:semiHidden/>
    <w:unhideWhenUsed/>
    <w:qFormat/>
    <w:rsid w:val="0003148D"/>
    <w:pPr>
      <w:spacing w:line="240" w:lineRule="auto"/>
    </w:pPr>
    <w:rPr>
      <w:b/>
      <w:bCs/>
      <w:color w:val="4F81BD" w:themeColor="accent1"/>
      <w:szCs w:val="18"/>
    </w:rPr>
  </w:style>
  <w:style w:type="paragraph" w:styleId="Seznam">
    <w:name w:val="List"/>
    <w:basedOn w:val="Normln"/>
    <w:uiPriority w:val="99"/>
    <w:semiHidden/>
    <w:unhideWhenUsed/>
    <w:rsid w:val="0003148D"/>
    <w:pPr>
      <w:ind w:left="283" w:hanging="283"/>
      <w:contextualSpacing/>
    </w:pPr>
  </w:style>
  <w:style w:type="paragraph" w:styleId="Seznam2">
    <w:name w:val="List 2"/>
    <w:basedOn w:val="Normln"/>
    <w:uiPriority w:val="99"/>
    <w:semiHidden/>
    <w:unhideWhenUsed/>
    <w:rsid w:val="0003148D"/>
    <w:pPr>
      <w:ind w:left="566" w:hanging="283"/>
      <w:contextualSpacing/>
    </w:pPr>
  </w:style>
  <w:style w:type="paragraph" w:styleId="Seznam3">
    <w:name w:val="List 3"/>
    <w:basedOn w:val="Normln"/>
    <w:uiPriority w:val="99"/>
    <w:semiHidden/>
    <w:unhideWhenUsed/>
    <w:rsid w:val="0003148D"/>
    <w:pPr>
      <w:ind w:left="849" w:hanging="283"/>
      <w:contextualSpacing/>
    </w:pPr>
  </w:style>
  <w:style w:type="paragraph" w:styleId="Seznam4">
    <w:name w:val="List 4"/>
    <w:basedOn w:val="Normln"/>
    <w:uiPriority w:val="99"/>
    <w:semiHidden/>
    <w:unhideWhenUsed/>
    <w:rsid w:val="0003148D"/>
    <w:pPr>
      <w:ind w:left="1132" w:hanging="283"/>
      <w:contextualSpacing/>
    </w:pPr>
  </w:style>
  <w:style w:type="paragraph" w:styleId="Seznam5">
    <w:name w:val="List 5"/>
    <w:basedOn w:val="Normln"/>
    <w:uiPriority w:val="99"/>
    <w:semiHidden/>
    <w:unhideWhenUsed/>
    <w:rsid w:val="0003148D"/>
    <w:pPr>
      <w:ind w:left="1415" w:hanging="283"/>
      <w:contextualSpacing/>
    </w:pPr>
  </w:style>
  <w:style w:type="paragraph" w:styleId="Pokraovnseznamu">
    <w:name w:val="List Continue"/>
    <w:basedOn w:val="Normln"/>
    <w:uiPriority w:val="99"/>
    <w:semiHidden/>
    <w:unhideWhenUsed/>
    <w:rsid w:val="0003148D"/>
    <w:pPr>
      <w:spacing w:after="120"/>
      <w:ind w:left="283"/>
      <w:contextualSpacing/>
    </w:pPr>
  </w:style>
  <w:style w:type="paragraph" w:styleId="Pokraovnseznamu2">
    <w:name w:val="List Continue 2"/>
    <w:basedOn w:val="Normln"/>
    <w:uiPriority w:val="99"/>
    <w:semiHidden/>
    <w:unhideWhenUsed/>
    <w:rsid w:val="0003148D"/>
    <w:pPr>
      <w:spacing w:after="120"/>
      <w:ind w:left="566"/>
      <w:contextualSpacing/>
    </w:pPr>
  </w:style>
  <w:style w:type="paragraph" w:styleId="Pokraovnseznamu3">
    <w:name w:val="List Continue 3"/>
    <w:basedOn w:val="Normln"/>
    <w:uiPriority w:val="99"/>
    <w:semiHidden/>
    <w:unhideWhenUsed/>
    <w:rsid w:val="0003148D"/>
    <w:pPr>
      <w:spacing w:after="120"/>
      <w:ind w:left="849"/>
      <w:contextualSpacing/>
    </w:pPr>
  </w:style>
  <w:style w:type="paragraph" w:styleId="Pokraovnseznamu4">
    <w:name w:val="List Continue 4"/>
    <w:basedOn w:val="Normln"/>
    <w:uiPriority w:val="99"/>
    <w:semiHidden/>
    <w:unhideWhenUsed/>
    <w:rsid w:val="0003148D"/>
    <w:pPr>
      <w:spacing w:after="120"/>
      <w:ind w:left="1132"/>
      <w:contextualSpacing/>
    </w:pPr>
  </w:style>
  <w:style w:type="paragraph" w:styleId="Pokraovnseznamu5">
    <w:name w:val="List Continue 5"/>
    <w:basedOn w:val="Normln"/>
    <w:uiPriority w:val="99"/>
    <w:semiHidden/>
    <w:unhideWhenUsed/>
    <w:rsid w:val="0003148D"/>
    <w:pPr>
      <w:spacing w:after="120"/>
      <w:ind w:left="1415"/>
      <w:contextualSpacing/>
    </w:pPr>
  </w:style>
  <w:style w:type="paragraph" w:styleId="Podpis">
    <w:name w:val="Signature"/>
    <w:basedOn w:val="Normln"/>
    <w:link w:val="PodpisChar"/>
    <w:uiPriority w:val="99"/>
    <w:semiHidden/>
    <w:unhideWhenUsed/>
    <w:rsid w:val="0003148D"/>
    <w:pPr>
      <w:spacing w:line="240" w:lineRule="auto"/>
      <w:ind w:left="4252"/>
    </w:pPr>
  </w:style>
  <w:style w:type="character" w:customStyle="1" w:styleId="PodpisChar">
    <w:name w:val="Podpis Char"/>
    <w:basedOn w:val="Standardnpsmoodstavce"/>
    <w:link w:val="Podpis"/>
    <w:uiPriority w:val="99"/>
    <w:semiHidden/>
    <w:rsid w:val="0003148D"/>
  </w:style>
  <w:style w:type="paragraph" w:styleId="Podpise-mailu">
    <w:name w:val="E-mail Signature"/>
    <w:basedOn w:val="Normln"/>
    <w:link w:val="Podpise-mailuChar"/>
    <w:uiPriority w:val="99"/>
    <w:semiHidden/>
    <w:unhideWhenUsed/>
    <w:rsid w:val="0003148D"/>
    <w:pPr>
      <w:spacing w:line="240" w:lineRule="auto"/>
    </w:pPr>
  </w:style>
  <w:style w:type="character" w:customStyle="1" w:styleId="Podpise-mailuChar">
    <w:name w:val="Podpis e-mailu Char"/>
    <w:basedOn w:val="Standardnpsmoodstavce"/>
    <w:link w:val="Podpise-mailu"/>
    <w:uiPriority w:val="99"/>
    <w:semiHidden/>
    <w:rsid w:val="0003148D"/>
  </w:style>
  <w:style w:type="paragraph" w:styleId="Osloven">
    <w:name w:val="Salutation"/>
    <w:basedOn w:val="Normln"/>
    <w:next w:val="Normln"/>
    <w:link w:val="OslovenChar"/>
    <w:uiPriority w:val="99"/>
    <w:semiHidden/>
    <w:unhideWhenUsed/>
    <w:rsid w:val="0003148D"/>
  </w:style>
  <w:style w:type="character" w:customStyle="1" w:styleId="OslovenChar">
    <w:name w:val="Oslovení Char"/>
    <w:basedOn w:val="Standardnpsmoodstavce"/>
    <w:link w:val="Osloven"/>
    <w:uiPriority w:val="99"/>
    <w:semiHidden/>
    <w:rsid w:val="0003148D"/>
  </w:style>
  <w:style w:type="paragraph" w:styleId="Zvr">
    <w:name w:val="Closing"/>
    <w:basedOn w:val="Normln"/>
    <w:link w:val="ZvrChar"/>
    <w:uiPriority w:val="99"/>
    <w:semiHidden/>
    <w:unhideWhenUsed/>
    <w:rsid w:val="0003148D"/>
    <w:pPr>
      <w:spacing w:line="240" w:lineRule="auto"/>
      <w:ind w:left="4252"/>
    </w:pPr>
  </w:style>
  <w:style w:type="character" w:customStyle="1" w:styleId="ZvrChar">
    <w:name w:val="Závěr Char"/>
    <w:basedOn w:val="Standardnpsmoodstavce"/>
    <w:link w:val="Zvr"/>
    <w:uiPriority w:val="99"/>
    <w:semiHidden/>
    <w:rsid w:val="0003148D"/>
  </w:style>
  <w:style w:type="paragraph" w:styleId="Rejstk1">
    <w:name w:val="index 1"/>
    <w:basedOn w:val="Normln"/>
    <w:next w:val="Normln"/>
    <w:autoRedefine/>
    <w:uiPriority w:val="99"/>
    <w:semiHidden/>
    <w:unhideWhenUsed/>
    <w:rsid w:val="0003148D"/>
    <w:pPr>
      <w:spacing w:line="240" w:lineRule="auto"/>
      <w:ind w:left="220" w:hanging="220"/>
    </w:pPr>
  </w:style>
  <w:style w:type="paragraph" w:styleId="Rejstk2">
    <w:name w:val="index 2"/>
    <w:basedOn w:val="Normln"/>
    <w:next w:val="Normln"/>
    <w:autoRedefine/>
    <w:uiPriority w:val="99"/>
    <w:semiHidden/>
    <w:unhideWhenUsed/>
    <w:rsid w:val="0003148D"/>
    <w:pPr>
      <w:spacing w:line="240" w:lineRule="auto"/>
      <w:ind w:left="440" w:hanging="220"/>
    </w:pPr>
  </w:style>
  <w:style w:type="paragraph" w:styleId="Rejstk3">
    <w:name w:val="index 3"/>
    <w:basedOn w:val="Normln"/>
    <w:next w:val="Normln"/>
    <w:autoRedefine/>
    <w:uiPriority w:val="99"/>
    <w:semiHidden/>
    <w:unhideWhenUsed/>
    <w:rsid w:val="0003148D"/>
    <w:pPr>
      <w:spacing w:line="240" w:lineRule="auto"/>
      <w:ind w:left="660" w:hanging="220"/>
    </w:pPr>
  </w:style>
  <w:style w:type="paragraph" w:styleId="Rejstk4">
    <w:name w:val="index 4"/>
    <w:basedOn w:val="Normln"/>
    <w:next w:val="Normln"/>
    <w:autoRedefine/>
    <w:uiPriority w:val="99"/>
    <w:semiHidden/>
    <w:unhideWhenUsed/>
    <w:rsid w:val="0003148D"/>
    <w:pPr>
      <w:spacing w:line="240" w:lineRule="auto"/>
      <w:ind w:left="880" w:hanging="220"/>
    </w:pPr>
  </w:style>
  <w:style w:type="paragraph" w:styleId="Rejstk5">
    <w:name w:val="index 5"/>
    <w:basedOn w:val="Normln"/>
    <w:next w:val="Normln"/>
    <w:autoRedefine/>
    <w:uiPriority w:val="99"/>
    <w:semiHidden/>
    <w:unhideWhenUsed/>
    <w:rsid w:val="0003148D"/>
    <w:pPr>
      <w:spacing w:line="240" w:lineRule="auto"/>
      <w:ind w:left="1100" w:hanging="220"/>
    </w:pPr>
  </w:style>
  <w:style w:type="paragraph" w:styleId="Rejstk6">
    <w:name w:val="index 6"/>
    <w:basedOn w:val="Normln"/>
    <w:next w:val="Normln"/>
    <w:autoRedefine/>
    <w:uiPriority w:val="99"/>
    <w:semiHidden/>
    <w:unhideWhenUsed/>
    <w:rsid w:val="0003148D"/>
    <w:pPr>
      <w:spacing w:line="240" w:lineRule="auto"/>
      <w:ind w:left="1320" w:hanging="220"/>
    </w:pPr>
  </w:style>
  <w:style w:type="paragraph" w:styleId="Rejstk7">
    <w:name w:val="index 7"/>
    <w:basedOn w:val="Normln"/>
    <w:next w:val="Normln"/>
    <w:autoRedefine/>
    <w:uiPriority w:val="99"/>
    <w:semiHidden/>
    <w:unhideWhenUsed/>
    <w:rsid w:val="0003148D"/>
    <w:pPr>
      <w:spacing w:line="240" w:lineRule="auto"/>
      <w:ind w:left="1540" w:hanging="220"/>
    </w:pPr>
  </w:style>
  <w:style w:type="paragraph" w:styleId="Rejstk8">
    <w:name w:val="index 8"/>
    <w:basedOn w:val="Normln"/>
    <w:next w:val="Normln"/>
    <w:autoRedefine/>
    <w:uiPriority w:val="99"/>
    <w:semiHidden/>
    <w:unhideWhenUsed/>
    <w:rsid w:val="0003148D"/>
    <w:pPr>
      <w:spacing w:line="240" w:lineRule="auto"/>
      <w:ind w:left="1760" w:hanging="220"/>
    </w:pPr>
  </w:style>
  <w:style w:type="paragraph" w:styleId="Rejstk9">
    <w:name w:val="index 9"/>
    <w:basedOn w:val="Normln"/>
    <w:next w:val="Normln"/>
    <w:autoRedefine/>
    <w:uiPriority w:val="99"/>
    <w:semiHidden/>
    <w:unhideWhenUsed/>
    <w:rsid w:val="0003148D"/>
    <w:pPr>
      <w:spacing w:line="240" w:lineRule="auto"/>
      <w:ind w:left="1980" w:hanging="220"/>
    </w:pPr>
  </w:style>
  <w:style w:type="paragraph" w:styleId="Seznamobrzk">
    <w:name w:val="table of figures"/>
    <w:basedOn w:val="Normln"/>
    <w:next w:val="Normln"/>
    <w:uiPriority w:val="99"/>
    <w:semiHidden/>
    <w:unhideWhenUsed/>
    <w:rsid w:val="0003148D"/>
  </w:style>
  <w:style w:type="paragraph" w:styleId="Seznamcitac">
    <w:name w:val="table of authorities"/>
    <w:basedOn w:val="Normln"/>
    <w:next w:val="Normln"/>
    <w:uiPriority w:val="99"/>
    <w:semiHidden/>
    <w:unhideWhenUsed/>
    <w:rsid w:val="0003148D"/>
    <w:pPr>
      <w:ind w:left="220" w:hanging="220"/>
    </w:pPr>
  </w:style>
  <w:style w:type="paragraph" w:styleId="Adresanaoblku">
    <w:name w:val="envelope address"/>
    <w:basedOn w:val="Normln"/>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aHTML">
    <w:name w:val="HTML Address"/>
    <w:basedOn w:val="Normln"/>
    <w:link w:val="AdresaHTMLChar"/>
    <w:uiPriority w:val="99"/>
    <w:semiHidden/>
    <w:unhideWhenUsed/>
    <w:rsid w:val="0003148D"/>
    <w:pPr>
      <w:spacing w:line="240" w:lineRule="auto"/>
    </w:pPr>
    <w:rPr>
      <w:i/>
      <w:iCs/>
    </w:rPr>
  </w:style>
  <w:style w:type="character" w:customStyle="1" w:styleId="AdresaHTMLChar">
    <w:name w:val="Adresa HTML Char"/>
    <w:basedOn w:val="Standardnpsmoodstavce"/>
    <w:link w:val="AdresaHTML"/>
    <w:uiPriority w:val="99"/>
    <w:semiHidden/>
    <w:rsid w:val="0003148D"/>
    <w:rPr>
      <w:i/>
      <w:iCs/>
    </w:rPr>
  </w:style>
  <w:style w:type="paragraph" w:styleId="Zptenadresanaoblku">
    <w:name w:val="envelope return"/>
    <w:basedOn w:val="Normln"/>
    <w:uiPriority w:val="99"/>
    <w:semiHidden/>
    <w:unhideWhenUsed/>
    <w:rsid w:val="0003148D"/>
    <w:pPr>
      <w:spacing w:line="240" w:lineRule="auto"/>
    </w:pPr>
    <w:rPr>
      <w:rFonts w:asciiTheme="majorHAnsi" w:eastAsiaTheme="majorEastAsia" w:hAnsiTheme="majorHAnsi" w:cstheme="majorBidi"/>
    </w:rPr>
  </w:style>
  <w:style w:type="paragraph" w:styleId="Zhlavzprvy">
    <w:name w:val="Message Header"/>
    <w:basedOn w:val="Normln"/>
    <w:link w:val="Zhlavzprvy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ZhlavzprvyChar">
    <w:name w:val="Záhlaví zprávy Char"/>
    <w:basedOn w:val="Standardnpsmoodstavce"/>
    <w:link w:val="Zhlavzprvy"/>
    <w:uiPriority w:val="99"/>
    <w:semiHidden/>
    <w:rsid w:val="0003148D"/>
    <w:rPr>
      <w:rFonts w:asciiTheme="majorHAnsi" w:eastAsiaTheme="majorEastAsia" w:hAnsiTheme="majorHAnsi" w:cstheme="majorBidi"/>
      <w:sz w:val="24"/>
      <w:szCs w:val="24"/>
      <w:shd w:val="pct20" w:color="auto" w:fill="auto"/>
    </w:rPr>
  </w:style>
  <w:style w:type="paragraph" w:styleId="Nadpispoznmky">
    <w:name w:val="Note Heading"/>
    <w:basedOn w:val="Normln"/>
    <w:next w:val="Normln"/>
    <w:link w:val="NadpispoznmkyChar"/>
    <w:uiPriority w:val="99"/>
    <w:semiHidden/>
    <w:unhideWhenUsed/>
    <w:rsid w:val="0003148D"/>
    <w:pPr>
      <w:spacing w:line="240" w:lineRule="auto"/>
    </w:pPr>
  </w:style>
  <w:style w:type="character" w:customStyle="1" w:styleId="NadpispoznmkyChar">
    <w:name w:val="Nadpis poznámky Char"/>
    <w:basedOn w:val="Standardnpsmoodstavce"/>
    <w:link w:val="Nadpispoznmky"/>
    <w:uiPriority w:val="99"/>
    <w:semiHidden/>
    <w:rsid w:val="0003148D"/>
  </w:style>
  <w:style w:type="paragraph" w:styleId="Rozloendokumentu">
    <w:name w:val="Document Map"/>
    <w:basedOn w:val="Normln"/>
    <w:link w:val="RozloendokumentuChar"/>
    <w:uiPriority w:val="99"/>
    <w:semiHidden/>
    <w:unhideWhenUsed/>
    <w:rsid w:val="0003148D"/>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03148D"/>
    <w:rPr>
      <w:rFonts w:ascii="Tahoma" w:hAnsi="Tahoma" w:cs="Tahoma"/>
      <w:sz w:val="16"/>
      <w:szCs w:val="16"/>
    </w:rPr>
  </w:style>
  <w:style w:type="paragraph" w:styleId="Normlnweb">
    <w:name w:val="Normal (Web)"/>
    <w:basedOn w:val="Normln"/>
    <w:uiPriority w:val="99"/>
    <w:semiHidden/>
    <w:unhideWhenUsed/>
    <w:rsid w:val="0003148D"/>
    <w:rPr>
      <w:sz w:val="24"/>
      <w:szCs w:val="24"/>
    </w:rPr>
  </w:style>
  <w:style w:type="paragraph" w:styleId="slovanseznam">
    <w:name w:val="List Number"/>
    <w:basedOn w:val="Normln"/>
    <w:uiPriority w:val="99"/>
    <w:semiHidden/>
    <w:unhideWhenUsed/>
    <w:rsid w:val="0003148D"/>
    <w:pPr>
      <w:numPr>
        <w:numId w:val="2"/>
      </w:numPr>
      <w:contextualSpacing/>
    </w:pPr>
  </w:style>
  <w:style w:type="paragraph" w:styleId="slovanseznam2">
    <w:name w:val="List Number 2"/>
    <w:basedOn w:val="Normln"/>
    <w:uiPriority w:val="99"/>
    <w:semiHidden/>
    <w:unhideWhenUsed/>
    <w:rsid w:val="0003148D"/>
    <w:pPr>
      <w:numPr>
        <w:numId w:val="3"/>
      </w:numPr>
      <w:contextualSpacing/>
    </w:pPr>
  </w:style>
  <w:style w:type="paragraph" w:styleId="slovanseznam3">
    <w:name w:val="List Number 3"/>
    <w:basedOn w:val="Normln"/>
    <w:uiPriority w:val="99"/>
    <w:semiHidden/>
    <w:unhideWhenUsed/>
    <w:rsid w:val="0003148D"/>
    <w:pPr>
      <w:numPr>
        <w:numId w:val="4"/>
      </w:numPr>
      <w:contextualSpacing/>
    </w:pPr>
  </w:style>
  <w:style w:type="paragraph" w:styleId="slovanseznam4">
    <w:name w:val="List Number 4"/>
    <w:basedOn w:val="Normln"/>
    <w:uiPriority w:val="99"/>
    <w:semiHidden/>
    <w:unhideWhenUsed/>
    <w:rsid w:val="0003148D"/>
    <w:pPr>
      <w:numPr>
        <w:numId w:val="5"/>
      </w:numPr>
      <w:contextualSpacing/>
    </w:pPr>
  </w:style>
  <w:style w:type="paragraph" w:styleId="slovanseznam5">
    <w:name w:val="List Number 5"/>
    <w:basedOn w:val="Normln"/>
    <w:uiPriority w:val="99"/>
    <w:semiHidden/>
    <w:unhideWhenUsed/>
    <w:rsid w:val="0003148D"/>
    <w:pPr>
      <w:numPr>
        <w:numId w:val="6"/>
      </w:numPr>
      <w:contextualSpacing/>
    </w:pPr>
  </w:style>
  <w:style w:type="paragraph" w:styleId="FormtovanvHTML">
    <w:name w:val="HTML Preformatted"/>
    <w:basedOn w:val="Normln"/>
    <w:link w:val="FormtovanvHTMLChar"/>
    <w:uiPriority w:val="99"/>
    <w:semiHidden/>
    <w:unhideWhenUsed/>
    <w:rsid w:val="0003148D"/>
    <w:pPr>
      <w:spacing w:line="240" w:lineRule="auto"/>
    </w:pPr>
    <w:rPr>
      <w:rFonts w:ascii="Consolas" w:hAnsi="Consolas" w:cs="Consolas"/>
    </w:rPr>
  </w:style>
  <w:style w:type="character" w:customStyle="1" w:styleId="FormtovanvHTMLChar">
    <w:name w:val="Formátovaný v HTML Char"/>
    <w:basedOn w:val="Standardnpsmoodstavce"/>
    <w:link w:val="FormtovanvHTML"/>
    <w:uiPriority w:val="99"/>
    <w:semiHidden/>
    <w:rsid w:val="0003148D"/>
    <w:rPr>
      <w:rFonts w:ascii="Consolas" w:hAnsi="Consolas" w:cs="Consolas"/>
      <w:sz w:val="20"/>
      <w:szCs w:val="20"/>
    </w:rPr>
  </w:style>
  <w:style w:type="paragraph" w:styleId="Zkladntext-prvnodsazen">
    <w:name w:val="Body Text First Indent"/>
    <w:basedOn w:val="Zkladntext"/>
    <w:link w:val="Zkladntext-prvnodsazenChar"/>
    <w:uiPriority w:val="99"/>
    <w:semiHidden/>
    <w:unhideWhenUsed/>
    <w:rsid w:val="0003148D"/>
    <w:pPr>
      <w:spacing w:after="200"/>
      <w:ind w:firstLine="360"/>
    </w:pPr>
  </w:style>
  <w:style w:type="character" w:customStyle="1" w:styleId="Zkladntext-prvnodsazenChar">
    <w:name w:val="Základní text - první odsazený Char"/>
    <w:basedOn w:val="ZkladntextChar"/>
    <w:link w:val="Zkladntext-prvnodsazen"/>
    <w:uiPriority w:val="99"/>
    <w:semiHidden/>
    <w:rsid w:val="0003148D"/>
  </w:style>
  <w:style w:type="paragraph" w:styleId="Zkladntextodsazen">
    <w:name w:val="Body Text Indent"/>
    <w:basedOn w:val="Normln"/>
    <w:link w:val="ZkladntextodsazenChar"/>
    <w:uiPriority w:val="99"/>
    <w:semiHidden/>
    <w:unhideWhenUsed/>
    <w:rsid w:val="0003148D"/>
    <w:pPr>
      <w:spacing w:after="120"/>
      <w:ind w:left="283"/>
    </w:pPr>
  </w:style>
  <w:style w:type="character" w:customStyle="1" w:styleId="ZkladntextodsazenChar">
    <w:name w:val="Základní text odsazený Char"/>
    <w:basedOn w:val="Standardnpsmoodstavce"/>
    <w:link w:val="Zkladntextodsazen"/>
    <w:uiPriority w:val="99"/>
    <w:semiHidden/>
    <w:rsid w:val="0003148D"/>
  </w:style>
  <w:style w:type="paragraph" w:styleId="Zkladntext-prvnodsazen2">
    <w:name w:val="Body Text First Indent 2"/>
    <w:basedOn w:val="Zkladntextodsazen"/>
    <w:link w:val="Zkladntext-prvnodsazen2Char"/>
    <w:uiPriority w:val="99"/>
    <w:semiHidden/>
    <w:unhideWhenUsed/>
    <w:rsid w:val="0003148D"/>
    <w:pPr>
      <w:spacing w:after="200"/>
      <w:ind w:left="360" w:firstLine="360"/>
    </w:pPr>
  </w:style>
  <w:style w:type="character" w:customStyle="1" w:styleId="Zkladntext-prvnodsazen2Char">
    <w:name w:val="Základní text - první odsazený 2 Char"/>
    <w:basedOn w:val="ZkladntextodsazenChar"/>
    <w:link w:val="Zkladntext-prvnodsazen2"/>
    <w:uiPriority w:val="99"/>
    <w:semiHidden/>
    <w:rsid w:val="0003148D"/>
  </w:style>
  <w:style w:type="paragraph" w:styleId="Seznamsodrkami">
    <w:name w:val="List Bullet"/>
    <w:basedOn w:val="Normln"/>
    <w:uiPriority w:val="99"/>
    <w:semiHidden/>
    <w:unhideWhenUsed/>
    <w:rsid w:val="0003148D"/>
    <w:pPr>
      <w:numPr>
        <w:numId w:val="7"/>
      </w:numPr>
      <w:contextualSpacing/>
    </w:pPr>
  </w:style>
  <w:style w:type="paragraph" w:styleId="Seznamsodrkami2">
    <w:name w:val="List Bullet 2"/>
    <w:basedOn w:val="Normln"/>
    <w:uiPriority w:val="99"/>
    <w:semiHidden/>
    <w:unhideWhenUsed/>
    <w:rsid w:val="0003148D"/>
    <w:pPr>
      <w:numPr>
        <w:numId w:val="8"/>
      </w:numPr>
      <w:contextualSpacing/>
    </w:pPr>
  </w:style>
  <w:style w:type="paragraph" w:styleId="Seznamsodrkami3">
    <w:name w:val="List Bullet 3"/>
    <w:basedOn w:val="Normln"/>
    <w:uiPriority w:val="99"/>
    <w:semiHidden/>
    <w:unhideWhenUsed/>
    <w:rsid w:val="0003148D"/>
    <w:pPr>
      <w:numPr>
        <w:numId w:val="9"/>
      </w:numPr>
      <w:contextualSpacing/>
    </w:pPr>
  </w:style>
  <w:style w:type="paragraph" w:styleId="Seznamsodrkami4">
    <w:name w:val="List Bullet 4"/>
    <w:basedOn w:val="Normln"/>
    <w:uiPriority w:val="99"/>
    <w:semiHidden/>
    <w:unhideWhenUsed/>
    <w:rsid w:val="0003148D"/>
    <w:pPr>
      <w:numPr>
        <w:numId w:val="10"/>
      </w:numPr>
      <w:contextualSpacing/>
    </w:pPr>
  </w:style>
  <w:style w:type="paragraph" w:styleId="Seznamsodrkami5">
    <w:name w:val="List Bullet 5"/>
    <w:basedOn w:val="Normln"/>
    <w:uiPriority w:val="99"/>
    <w:semiHidden/>
    <w:unhideWhenUsed/>
    <w:rsid w:val="0003148D"/>
    <w:pPr>
      <w:numPr>
        <w:numId w:val="11"/>
      </w:numPr>
      <w:contextualSpacing/>
    </w:pPr>
  </w:style>
  <w:style w:type="paragraph" w:styleId="Zkladntextodsazen2">
    <w:name w:val="Body Text Indent 2"/>
    <w:basedOn w:val="Normln"/>
    <w:link w:val="Zkladntextodsazen2Char"/>
    <w:uiPriority w:val="99"/>
    <w:semiHidden/>
    <w:unhideWhenUsed/>
    <w:rsid w:val="0003148D"/>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03148D"/>
  </w:style>
  <w:style w:type="paragraph" w:styleId="Zkladntextodsazen3">
    <w:name w:val="Body Text Indent 3"/>
    <w:basedOn w:val="Normln"/>
    <w:link w:val="Zkladntextodsazen3Char"/>
    <w:uiPriority w:val="99"/>
    <w:semiHidden/>
    <w:unhideWhenUsed/>
    <w:rsid w:val="0003148D"/>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03148D"/>
    <w:rPr>
      <w:sz w:val="16"/>
      <w:szCs w:val="16"/>
    </w:rPr>
  </w:style>
  <w:style w:type="paragraph" w:styleId="Normlnodsazen">
    <w:name w:val="Normal Indent"/>
    <w:basedOn w:val="Normln"/>
    <w:uiPriority w:val="99"/>
    <w:semiHidden/>
    <w:unhideWhenUsed/>
    <w:rsid w:val="0003148D"/>
    <w:pPr>
      <w:ind w:left="720"/>
    </w:pPr>
  </w:style>
  <w:style w:type="paragraph" w:styleId="Textkomente">
    <w:name w:val="annotation text"/>
    <w:basedOn w:val="Normln"/>
    <w:link w:val="TextkomenteChar"/>
    <w:uiPriority w:val="99"/>
    <w:unhideWhenUsed/>
    <w:rsid w:val="0003148D"/>
    <w:pPr>
      <w:spacing w:line="240" w:lineRule="auto"/>
    </w:pPr>
  </w:style>
  <w:style w:type="character" w:customStyle="1" w:styleId="TextkomenteChar">
    <w:name w:val="Text komentáře Char"/>
    <w:basedOn w:val="Standardnpsmoodstavce"/>
    <w:link w:val="Textkomente"/>
    <w:uiPriority w:val="99"/>
    <w:rsid w:val="0003148D"/>
    <w:rPr>
      <w:sz w:val="20"/>
      <w:szCs w:val="20"/>
    </w:rPr>
  </w:style>
  <w:style w:type="paragraph" w:styleId="Pedmtkomente">
    <w:name w:val="annotation subject"/>
    <w:basedOn w:val="Textkomente"/>
    <w:next w:val="Textkomente"/>
    <w:link w:val="PedmtkomenteChar"/>
    <w:uiPriority w:val="99"/>
    <w:semiHidden/>
    <w:unhideWhenUsed/>
    <w:rsid w:val="0003148D"/>
    <w:rPr>
      <w:b/>
      <w:bCs/>
    </w:rPr>
  </w:style>
  <w:style w:type="character" w:customStyle="1" w:styleId="PedmtkomenteChar">
    <w:name w:val="Předmět komentáře Char"/>
    <w:basedOn w:val="TextkomenteChar"/>
    <w:link w:val="Pedmtkomente"/>
    <w:uiPriority w:val="99"/>
    <w:semiHidden/>
    <w:rsid w:val="0003148D"/>
    <w:rPr>
      <w:b/>
      <w:bCs/>
      <w:sz w:val="20"/>
      <w:szCs w:val="20"/>
    </w:rPr>
  </w:style>
  <w:style w:type="paragraph" w:styleId="Obsah1">
    <w:name w:val="toc 1"/>
    <w:basedOn w:val="Normln"/>
    <w:next w:val="Normln"/>
    <w:autoRedefine/>
    <w:uiPriority w:val="39"/>
    <w:semiHidden/>
    <w:unhideWhenUsed/>
    <w:rsid w:val="0003148D"/>
    <w:pPr>
      <w:spacing w:after="100"/>
    </w:pPr>
  </w:style>
  <w:style w:type="paragraph" w:styleId="Obsah2">
    <w:name w:val="toc 2"/>
    <w:basedOn w:val="Normln"/>
    <w:next w:val="Normln"/>
    <w:autoRedefine/>
    <w:uiPriority w:val="39"/>
    <w:semiHidden/>
    <w:unhideWhenUsed/>
    <w:rsid w:val="0003148D"/>
    <w:pPr>
      <w:spacing w:after="100"/>
      <w:ind w:left="220"/>
    </w:pPr>
  </w:style>
  <w:style w:type="paragraph" w:styleId="Obsah3">
    <w:name w:val="toc 3"/>
    <w:basedOn w:val="Normln"/>
    <w:next w:val="Normln"/>
    <w:autoRedefine/>
    <w:uiPriority w:val="39"/>
    <w:semiHidden/>
    <w:unhideWhenUsed/>
    <w:rsid w:val="0003148D"/>
    <w:pPr>
      <w:spacing w:after="100"/>
      <w:ind w:left="440"/>
    </w:pPr>
  </w:style>
  <w:style w:type="paragraph" w:styleId="Obsah4">
    <w:name w:val="toc 4"/>
    <w:basedOn w:val="Normln"/>
    <w:next w:val="Normln"/>
    <w:autoRedefine/>
    <w:uiPriority w:val="39"/>
    <w:semiHidden/>
    <w:unhideWhenUsed/>
    <w:rsid w:val="0003148D"/>
    <w:pPr>
      <w:spacing w:after="100"/>
      <w:ind w:left="660"/>
    </w:pPr>
  </w:style>
  <w:style w:type="paragraph" w:styleId="Obsah5">
    <w:name w:val="toc 5"/>
    <w:basedOn w:val="Normln"/>
    <w:next w:val="Normln"/>
    <w:autoRedefine/>
    <w:uiPriority w:val="39"/>
    <w:semiHidden/>
    <w:unhideWhenUsed/>
    <w:rsid w:val="0003148D"/>
    <w:pPr>
      <w:spacing w:after="100"/>
      <w:ind w:left="880"/>
    </w:pPr>
  </w:style>
  <w:style w:type="paragraph" w:styleId="Obsah6">
    <w:name w:val="toc 6"/>
    <w:basedOn w:val="Normln"/>
    <w:next w:val="Normln"/>
    <w:autoRedefine/>
    <w:uiPriority w:val="39"/>
    <w:semiHidden/>
    <w:unhideWhenUsed/>
    <w:rsid w:val="0003148D"/>
    <w:pPr>
      <w:spacing w:after="100"/>
      <w:ind w:left="1100"/>
    </w:pPr>
  </w:style>
  <w:style w:type="paragraph" w:styleId="Obsah7">
    <w:name w:val="toc 7"/>
    <w:basedOn w:val="Normln"/>
    <w:next w:val="Normln"/>
    <w:autoRedefine/>
    <w:uiPriority w:val="39"/>
    <w:semiHidden/>
    <w:unhideWhenUsed/>
    <w:rsid w:val="0003148D"/>
    <w:pPr>
      <w:spacing w:after="100"/>
      <w:ind w:left="1320"/>
    </w:pPr>
  </w:style>
  <w:style w:type="paragraph" w:styleId="Obsah8">
    <w:name w:val="toc 8"/>
    <w:basedOn w:val="Normln"/>
    <w:next w:val="Normln"/>
    <w:autoRedefine/>
    <w:uiPriority w:val="39"/>
    <w:semiHidden/>
    <w:unhideWhenUsed/>
    <w:rsid w:val="0003148D"/>
    <w:pPr>
      <w:spacing w:after="100"/>
      <w:ind w:left="1540"/>
    </w:pPr>
  </w:style>
  <w:style w:type="paragraph" w:styleId="Obsah9">
    <w:name w:val="toc 9"/>
    <w:basedOn w:val="Normln"/>
    <w:next w:val="Normln"/>
    <w:autoRedefine/>
    <w:uiPriority w:val="39"/>
    <w:semiHidden/>
    <w:unhideWhenUsed/>
    <w:rsid w:val="0003148D"/>
    <w:pPr>
      <w:spacing w:after="100"/>
      <w:ind w:left="1760"/>
    </w:pPr>
  </w:style>
  <w:style w:type="paragraph" w:styleId="Textvbloku">
    <w:name w:val="Block Text"/>
    <w:basedOn w:val="Normln"/>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makra">
    <w:name w:val="macro"/>
    <w:link w:val="Textmakra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makraChar">
    <w:name w:val="Text makra Char"/>
    <w:basedOn w:val="Standardnpsmoodstavce"/>
    <w:link w:val="Textmakra"/>
    <w:uiPriority w:val="99"/>
    <w:semiHidden/>
    <w:rsid w:val="0003148D"/>
    <w:rPr>
      <w:rFonts w:ascii="Consolas" w:hAnsi="Consolas" w:cs="Consolas"/>
      <w:sz w:val="20"/>
      <w:szCs w:val="20"/>
    </w:rPr>
  </w:style>
  <w:style w:type="paragraph" w:styleId="Prosttext">
    <w:name w:val="Plain Text"/>
    <w:basedOn w:val="Normln"/>
    <w:link w:val="ProsttextChar"/>
    <w:uiPriority w:val="99"/>
    <w:semiHidden/>
    <w:unhideWhenUsed/>
    <w:rsid w:val="0003148D"/>
    <w:pPr>
      <w:spacing w:line="240" w:lineRule="auto"/>
    </w:pPr>
    <w:rPr>
      <w:rFonts w:ascii="Consolas" w:hAnsi="Consolas" w:cs="Consolas"/>
      <w:sz w:val="21"/>
      <w:szCs w:val="21"/>
    </w:rPr>
  </w:style>
  <w:style w:type="character" w:customStyle="1" w:styleId="ProsttextChar">
    <w:name w:val="Prostý text Char"/>
    <w:basedOn w:val="Standardnpsmoodstavce"/>
    <w:link w:val="Prosttext"/>
    <w:uiPriority w:val="99"/>
    <w:semiHidden/>
    <w:rsid w:val="0003148D"/>
    <w:rPr>
      <w:rFonts w:ascii="Consolas" w:hAnsi="Consolas" w:cs="Consolas"/>
      <w:sz w:val="21"/>
      <w:szCs w:val="21"/>
    </w:rPr>
  </w:style>
  <w:style w:type="paragraph" w:styleId="Textpoznpodarou">
    <w:name w:val="footnote text"/>
    <w:basedOn w:val="Normln"/>
    <w:link w:val="TextpoznpodarouChar"/>
    <w:uiPriority w:val="99"/>
    <w:semiHidden/>
    <w:unhideWhenUsed/>
    <w:rsid w:val="0003148D"/>
    <w:pPr>
      <w:spacing w:line="240" w:lineRule="auto"/>
    </w:pPr>
  </w:style>
  <w:style w:type="character" w:customStyle="1" w:styleId="TextpoznpodarouChar">
    <w:name w:val="Text pozn. pod čarou Char"/>
    <w:basedOn w:val="Standardnpsmoodstavce"/>
    <w:link w:val="Textpoznpodarou"/>
    <w:uiPriority w:val="99"/>
    <w:semiHidden/>
    <w:rsid w:val="0003148D"/>
    <w:rPr>
      <w:sz w:val="20"/>
      <w:szCs w:val="20"/>
    </w:rPr>
  </w:style>
  <w:style w:type="paragraph" w:styleId="Textvysvtlivek">
    <w:name w:val="endnote text"/>
    <w:basedOn w:val="Normln"/>
    <w:link w:val="TextvysvtlivekChar"/>
    <w:uiPriority w:val="99"/>
    <w:semiHidden/>
    <w:unhideWhenUsed/>
    <w:rsid w:val="0003148D"/>
    <w:pPr>
      <w:spacing w:line="240" w:lineRule="auto"/>
    </w:pPr>
  </w:style>
  <w:style w:type="character" w:customStyle="1" w:styleId="TextvysvtlivekChar">
    <w:name w:val="Text vysvětlivek Char"/>
    <w:basedOn w:val="Standardnpsmoodstavce"/>
    <w:link w:val="Textvysvtlivek"/>
    <w:uiPriority w:val="99"/>
    <w:semiHidden/>
    <w:rsid w:val="0003148D"/>
    <w:rPr>
      <w:sz w:val="20"/>
      <w:szCs w:val="20"/>
    </w:rPr>
  </w:style>
  <w:style w:type="character" w:customStyle="1" w:styleId="Nadpis1Char">
    <w:name w:val="Nadpis 1 Char"/>
    <w:basedOn w:val="Standardnpsmoodstavce"/>
    <w:link w:val="Nadpis1"/>
    <w:uiPriority w:val="9"/>
    <w:rsid w:val="004F5E36"/>
    <w:rPr>
      <w:rFonts w:ascii="Arial" w:eastAsia="Times New Roman" w:hAnsi="Arial" w:cs="Times New Roman"/>
      <w:b/>
      <w:sz w:val="20"/>
      <w:szCs w:val="20"/>
      <w:lang w:val="en-GB"/>
    </w:rPr>
  </w:style>
  <w:style w:type="character" w:customStyle="1" w:styleId="Nadpis2Char">
    <w:name w:val="Nadpis 2 Char"/>
    <w:basedOn w:val="Standardnpsmoodstavce"/>
    <w:link w:val="Nadpis2"/>
    <w:uiPriority w:val="9"/>
    <w:semiHidden/>
    <w:rsid w:val="0003148D"/>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03148D"/>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03148D"/>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03148D"/>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03148D"/>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03148D"/>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03148D"/>
    <w:rPr>
      <w:rFonts w:asciiTheme="majorHAnsi" w:eastAsiaTheme="majorEastAsia" w:hAnsiTheme="majorHAnsi" w:cstheme="majorBidi"/>
      <w:i/>
      <w:iCs/>
      <w:color w:val="404040" w:themeColor="text1" w:themeTint="BF"/>
      <w:sz w:val="20"/>
      <w:szCs w:val="20"/>
    </w:rPr>
  </w:style>
  <w:style w:type="paragraph" w:styleId="Hlavikarejstku">
    <w:name w:val="index heading"/>
    <w:basedOn w:val="Normln"/>
    <w:next w:val="Rejstk1"/>
    <w:uiPriority w:val="99"/>
    <w:semiHidden/>
    <w:unhideWhenUsed/>
    <w:rsid w:val="0003148D"/>
    <w:rPr>
      <w:rFonts w:asciiTheme="majorHAnsi" w:eastAsiaTheme="majorEastAsia" w:hAnsiTheme="majorHAnsi" w:cstheme="majorBidi"/>
      <w:b/>
      <w:bCs/>
    </w:rPr>
  </w:style>
  <w:style w:type="paragraph" w:styleId="Hlavikaobsahu">
    <w:name w:val="toa heading"/>
    <w:basedOn w:val="Normln"/>
    <w:next w:val="Normln"/>
    <w:uiPriority w:val="99"/>
    <w:semiHidden/>
    <w:unhideWhenUsed/>
    <w:rsid w:val="0003148D"/>
    <w:pPr>
      <w:spacing w:before="120"/>
    </w:pPr>
    <w:rPr>
      <w:rFonts w:asciiTheme="majorHAnsi" w:eastAsiaTheme="majorEastAsia" w:hAnsiTheme="majorHAnsi" w:cstheme="majorBidi"/>
      <w:b/>
      <w:bCs/>
      <w:sz w:val="24"/>
      <w:szCs w:val="24"/>
    </w:rPr>
  </w:style>
  <w:style w:type="paragraph" w:styleId="Nadpisobsahu">
    <w:name w:val="TOC Heading"/>
    <w:basedOn w:val="Nadpis1"/>
    <w:next w:val="Normln"/>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Standardnpsmoodstavce"/>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Zhlav">
    <w:name w:val="header"/>
    <w:basedOn w:val="Normln"/>
    <w:link w:val="ZhlavChar"/>
    <w:uiPriority w:val="99"/>
    <w:unhideWhenUsed/>
    <w:rsid w:val="005278B7"/>
    <w:pPr>
      <w:tabs>
        <w:tab w:val="clear" w:pos="7100"/>
        <w:tab w:val="center" w:pos="4819"/>
        <w:tab w:val="right" w:pos="9638"/>
      </w:tabs>
      <w:spacing w:line="240" w:lineRule="auto"/>
    </w:pPr>
  </w:style>
  <w:style w:type="character" w:customStyle="1" w:styleId="ZhlavChar">
    <w:name w:val="Záhlaví Char"/>
    <w:basedOn w:val="Standardnpsmoodstavce"/>
    <w:link w:val="Zhlav"/>
    <w:uiPriority w:val="99"/>
    <w:rsid w:val="005278B7"/>
    <w:rPr>
      <w:rFonts w:ascii="Arial" w:eastAsia="Times New Roman" w:hAnsi="Arial" w:cs="Times New Roman"/>
      <w:sz w:val="18"/>
      <w:szCs w:val="20"/>
      <w:lang w:val="en-GB"/>
    </w:rPr>
  </w:style>
  <w:style w:type="paragraph" w:styleId="Zpat">
    <w:name w:val="footer"/>
    <w:basedOn w:val="Normln"/>
    <w:link w:val="ZpatChar"/>
    <w:uiPriority w:val="99"/>
    <w:unhideWhenUsed/>
    <w:rsid w:val="005278B7"/>
    <w:pPr>
      <w:tabs>
        <w:tab w:val="clear" w:pos="7100"/>
        <w:tab w:val="center" w:pos="4819"/>
        <w:tab w:val="right" w:pos="9638"/>
      </w:tabs>
      <w:spacing w:line="240" w:lineRule="auto"/>
    </w:pPr>
  </w:style>
  <w:style w:type="character" w:customStyle="1" w:styleId="ZpatChar">
    <w:name w:val="Zápatí Char"/>
    <w:basedOn w:val="Standardnpsmoodstavce"/>
    <w:link w:val="Zpat"/>
    <w:uiPriority w:val="99"/>
    <w:rsid w:val="005278B7"/>
    <w:rPr>
      <w:rFonts w:ascii="Arial" w:eastAsia="Times New Roman" w:hAnsi="Arial" w:cs="Times New Roman"/>
      <w:sz w:val="18"/>
      <w:szCs w:val="20"/>
      <w:lang w:val="en-GB"/>
    </w:rPr>
  </w:style>
  <w:style w:type="table" w:styleId="Mkatabulky">
    <w:name w:val="Table Grid"/>
    <w:basedOn w:val="Normlntabulka"/>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904C62"/>
    <w:rPr>
      <w:color w:val="0000FF" w:themeColor="hyperlink"/>
      <w:u w:val="single"/>
    </w:rPr>
  </w:style>
  <w:style w:type="character" w:customStyle="1" w:styleId="eudoraheader">
    <w:name w:val="eudoraheader"/>
    <w:basedOn w:val="Standardnpsmoodstavce"/>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Odstavecseseznamem">
    <w:name w:val="List Paragraph"/>
    <w:basedOn w:val="Normln"/>
    <w:uiPriority w:val="34"/>
    <w:rsid w:val="00280FAF"/>
    <w:pPr>
      <w:ind w:left="720"/>
      <w:contextualSpacing/>
    </w:pPr>
  </w:style>
  <w:style w:type="character" w:customStyle="1" w:styleId="gmail-apple-converted-space">
    <w:name w:val="gmail-apple-converted-space"/>
    <w:basedOn w:val="Standardnpsmoodstavce"/>
    <w:rsid w:val="00005A19"/>
  </w:style>
  <w:style w:type="character" w:styleId="Nevyeenzmnka">
    <w:name w:val="Unresolved Mention"/>
    <w:basedOn w:val="Standardnpsmoodstavce"/>
    <w:uiPriority w:val="99"/>
    <w:semiHidden/>
    <w:unhideWhenUsed/>
    <w:rsid w:val="00637F72"/>
    <w:rPr>
      <w:color w:val="605E5C"/>
      <w:shd w:val="clear" w:color="auto" w:fill="E1DFDD"/>
    </w:rPr>
  </w:style>
  <w:style w:type="character" w:styleId="Sledovanodkaz">
    <w:name w:val="FollowedHyperlink"/>
    <w:basedOn w:val="Standardnpsmoodstavce"/>
    <w:uiPriority w:val="99"/>
    <w:semiHidden/>
    <w:unhideWhenUsed/>
    <w:rsid w:val="00CB1B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3763">
      <w:bodyDiv w:val="1"/>
      <w:marLeft w:val="0"/>
      <w:marRight w:val="0"/>
      <w:marTop w:val="0"/>
      <w:marBottom w:val="0"/>
      <w:divBdr>
        <w:top w:val="none" w:sz="0" w:space="0" w:color="auto"/>
        <w:left w:val="none" w:sz="0" w:space="0" w:color="auto"/>
        <w:bottom w:val="none" w:sz="0" w:space="0" w:color="auto"/>
        <w:right w:val="none" w:sz="0" w:space="0" w:color="auto"/>
      </w:divBdr>
    </w:div>
    <w:div w:id="10377980">
      <w:bodyDiv w:val="1"/>
      <w:marLeft w:val="0"/>
      <w:marRight w:val="0"/>
      <w:marTop w:val="0"/>
      <w:marBottom w:val="0"/>
      <w:divBdr>
        <w:top w:val="none" w:sz="0" w:space="0" w:color="auto"/>
        <w:left w:val="none" w:sz="0" w:space="0" w:color="auto"/>
        <w:bottom w:val="none" w:sz="0" w:space="0" w:color="auto"/>
        <w:right w:val="none" w:sz="0" w:space="0" w:color="auto"/>
      </w:divBdr>
    </w:div>
    <w:div w:id="44378673">
      <w:bodyDiv w:val="1"/>
      <w:marLeft w:val="0"/>
      <w:marRight w:val="0"/>
      <w:marTop w:val="0"/>
      <w:marBottom w:val="0"/>
      <w:divBdr>
        <w:top w:val="none" w:sz="0" w:space="0" w:color="auto"/>
        <w:left w:val="none" w:sz="0" w:space="0" w:color="auto"/>
        <w:bottom w:val="none" w:sz="0" w:space="0" w:color="auto"/>
        <w:right w:val="none" w:sz="0" w:space="0" w:color="auto"/>
      </w:divBdr>
      <w:divsChild>
        <w:div w:id="1434520768">
          <w:marLeft w:val="0"/>
          <w:marRight w:val="0"/>
          <w:marTop w:val="0"/>
          <w:marBottom w:val="0"/>
          <w:divBdr>
            <w:top w:val="none" w:sz="0" w:space="0" w:color="auto"/>
            <w:left w:val="none" w:sz="0" w:space="0" w:color="auto"/>
            <w:bottom w:val="none" w:sz="0" w:space="0" w:color="auto"/>
            <w:right w:val="none" w:sz="0" w:space="0" w:color="auto"/>
          </w:divBdr>
        </w:div>
        <w:div w:id="1918589992">
          <w:marLeft w:val="0"/>
          <w:marRight w:val="0"/>
          <w:marTop w:val="0"/>
          <w:marBottom w:val="0"/>
          <w:divBdr>
            <w:top w:val="none" w:sz="0" w:space="0" w:color="auto"/>
            <w:left w:val="none" w:sz="0" w:space="0" w:color="auto"/>
            <w:bottom w:val="none" w:sz="0" w:space="0" w:color="auto"/>
            <w:right w:val="none" w:sz="0" w:space="0" w:color="auto"/>
          </w:divBdr>
          <w:divsChild>
            <w:div w:id="1140532306">
              <w:marLeft w:val="0"/>
              <w:marRight w:val="165"/>
              <w:marTop w:val="150"/>
              <w:marBottom w:val="0"/>
              <w:divBdr>
                <w:top w:val="none" w:sz="0" w:space="0" w:color="auto"/>
                <w:left w:val="none" w:sz="0" w:space="0" w:color="auto"/>
                <w:bottom w:val="none" w:sz="0" w:space="0" w:color="auto"/>
                <w:right w:val="none" w:sz="0" w:space="0" w:color="auto"/>
              </w:divBdr>
              <w:divsChild>
                <w:div w:id="530342407">
                  <w:marLeft w:val="0"/>
                  <w:marRight w:val="0"/>
                  <w:marTop w:val="0"/>
                  <w:marBottom w:val="0"/>
                  <w:divBdr>
                    <w:top w:val="none" w:sz="0" w:space="0" w:color="auto"/>
                    <w:left w:val="none" w:sz="0" w:space="0" w:color="auto"/>
                    <w:bottom w:val="none" w:sz="0" w:space="0" w:color="auto"/>
                    <w:right w:val="none" w:sz="0" w:space="0" w:color="auto"/>
                  </w:divBdr>
                  <w:divsChild>
                    <w:div w:id="87955927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114064052">
      <w:bodyDiv w:val="1"/>
      <w:marLeft w:val="0"/>
      <w:marRight w:val="0"/>
      <w:marTop w:val="0"/>
      <w:marBottom w:val="0"/>
      <w:divBdr>
        <w:top w:val="none" w:sz="0" w:space="0" w:color="auto"/>
        <w:left w:val="none" w:sz="0" w:space="0" w:color="auto"/>
        <w:bottom w:val="none" w:sz="0" w:space="0" w:color="auto"/>
        <w:right w:val="none" w:sz="0" w:space="0" w:color="auto"/>
      </w:divBdr>
    </w:div>
    <w:div w:id="154928747">
      <w:bodyDiv w:val="1"/>
      <w:marLeft w:val="0"/>
      <w:marRight w:val="0"/>
      <w:marTop w:val="0"/>
      <w:marBottom w:val="0"/>
      <w:divBdr>
        <w:top w:val="none" w:sz="0" w:space="0" w:color="auto"/>
        <w:left w:val="none" w:sz="0" w:space="0" w:color="auto"/>
        <w:bottom w:val="none" w:sz="0" w:space="0" w:color="auto"/>
        <w:right w:val="none" w:sz="0" w:space="0" w:color="auto"/>
      </w:divBdr>
    </w:div>
    <w:div w:id="326709163">
      <w:bodyDiv w:val="1"/>
      <w:marLeft w:val="0"/>
      <w:marRight w:val="0"/>
      <w:marTop w:val="0"/>
      <w:marBottom w:val="0"/>
      <w:divBdr>
        <w:top w:val="none" w:sz="0" w:space="0" w:color="auto"/>
        <w:left w:val="none" w:sz="0" w:space="0" w:color="auto"/>
        <w:bottom w:val="none" w:sz="0" w:space="0" w:color="auto"/>
        <w:right w:val="none" w:sz="0" w:space="0" w:color="auto"/>
      </w:divBdr>
    </w:div>
    <w:div w:id="336736828">
      <w:bodyDiv w:val="1"/>
      <w:marLeft w:val="0"/>
      <w:marRight w:val="0"/>
      <w:marTop w:val="0"/>
      <w:marBottom w:val="0"/>
      <w:divBdr>
        <w:top w:val="none" w:sz="0" w:space="0" w:color="auto"/>
        <w:left w:val="none" w:sz="0" w:space="0" w:color="auto"/>
        <w:bottom w:val="none" w:sz="0" w:space="0" w:color="auto"/>
        <w:right w:val="none" w:sz="0" w:space="0" w:color="auto"/>
      </w:divBdr>
      <w:divsChild>
        <w:div w:id="707804885">
          <w:marLeft w:val="0"/>
          <w:marRight w:val="0"/>
          <w:marTop w:val="0"/>
          <w:marBottom w:val="0"/>
          <w:divBdr>
            <w:top w:val="none" w:sz="0" w:space="0" w:color="auto"/>
            <w:left w:val="none" w:sz="0" w:space="0" w:color="auto"/>
            <w:bottom w:val="none" w:sz="0" w:space="0" w:color="auto"/>
            <w:right w:val="none" w:sz="0" w:space="0" w:color="auto"/>
          </w:divBdr>
        </w:div>
        <w:div w:id="1849325274">
          <w:marLeft w:val="0"/>
          <w:marRight w:val="0"/>
          <w:marTop w:val="0"/>
          <w:marBottom w:val="0"/>
          <w:divBdr>
            <w:top w:val="none" w:sz="0" w:space="0" w:color="auto"/>
            <w:left w:val="none" w:sz="0" w:space="0" w:color="auto"/>
            <w:bottom w:val="none" w:sz="0" w:space="0" w:color="auto"/>
            <w:right w:val="none" w:sz="0" w:space="0" w:color="auto"/>
          </w:divBdr>
        </w:div>
        <w:div w:id="1954435497">
          <w:marLeft w:val="0"/>
          <w:marRight w:val="0"/>
          <w:marTop w:val="0"/>
          <w:marBottom w:val="0"/>
          <w:divBdr>
            <w:top w:val="none" w:sz="0" w:space="0" w:color="auto"/>
            <w:left w:val="none" w:sz="0" w:space="0" w:color="auto"/>
            <w:bottom w:val="none" w:sz="0" w:space="0" w:color="auto"/>
            <w:right w:val="none" w:sz="0" w:space="0" w:color="auto"/>
          </w:divBdr>
          <w:divsChild>
            <w:div w:id="1251743391">
              <w:marLeft w:val="0"/>
              <w:marRight w:val="0"/>
              <w:marTop w:val="0"/>
              <w:marBottom w:val="0"/>
              <w:divBdr>
                <w:top w:val="none" w:sz="0" w:space="0" w:color="auto"/>
                <w:left w:val="none" w:sz="0" w:space="0" w:color="auto"/>
                <w:bottom w:val="none" w:sz="0" w:space="0" w:color="auto"/>
                <w:right w:val="none" w:sz="0" w:space="0" w:color="auto"/>
              </w:divBdr>
            </w:div>
            <w:div w:id="17135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9876">
      <w:bodyDiv w:val="1"/>
      <w:marLeft w:val="0"/>
      <w:marRight w:val="0"/>
      <w:marTop w:val="0"/>
      <w:marBottom w:val="0"/>
      <w:divBdr>
        <w:top w:val="none" w:sz="0" w:space="0" w:color="auto"/>
        <w:left w:val="none" w:sz="0" w:space="0" w:color="auto"/>
        <w:bottom w:val="none" w:sz="0" w:space="0" w:color="auto"/>
        <w:right w:val="none" w:sz="0" w:space="0" w:color="auto"/>
      </w:divBdr>
    </w:div>
    <w:div w:id="391928648">
      <w:bodyDiv w:val="1"/>
      <w:marLeft w:val="0"/>
      <w:marRight w:val="0"/>
      <w:marTop w:val="0"/>
      <w:marBottom w:val="0"/>
      <w:divBdr>
        <w:top w:val="none" w:sz="0" w:space="0" w:color="auto"/>
        <w:left w:val="none" w:sz="0" w:space="0" w:color="auto"/>
        <w:bottom w:val="none" w:sz="0" w:space="0" w:color="auto"/>
        <w:right w:val="none" w:sz="0" w:space="0" w:color="auto"/>
      </w:divBdr>
    </w:div>
    <w:div w:id="412164748">
      <w:bodyDiv w:val="1"/>
      <w:marLeft w:val="0"/>
      <w:marRight w:val="0"/>
      <w:marTop w:val="0"/>
      <w:marBottom w:val="0"/>
      <w:divBdr>
        <w:top w:val="none" w:sz="0" w:space="0" w:color="auto"/>
        <w:left w:val="none" w:sz="0" w:space="0" w:color="auto"/>
        <w:bottom w:val="none" w:sz="0" w:space="0" w:color="auto"/>
        <w:right w:val="none" w:sz="0" w:space="0" w:color="auto"/>
      </w:divBdr>
      <w:divsChild>
        <w:div w:id="534269474">
          <w:marLeft w:val="0"/>
          <w:marRight w:val="0"/>
          <w:marTop w:val="0"/>
          <w:marBottom w:val="0"/>
          <w:divBdr>
            <w:top w:val="none" w:sz="0" w:space="0" w:color="auto"/>
            <w:left w:val="none" w:sz="0" w:space="0" w:color="auto"/>
            <w:bottom w:val="none" w:sz="0" w:space="0" w:color="auto"/>
            <w:right w:val="none" w:sz="0" w:space="0" w:color="auto"/>
          </w:divBdr>
        </w:div>
        <w:div w:id="719786842">
          <w:marLeft w:val="0"/>
          <w:marRight w:val="0"/>
          <w:marTop w:val="0"/>
          <w:marBottom w:val="0"/>
          <w:divBdr>
            <w:top w:val="none" w:sz="0" w:space="0" w:color="auto"/>
            <w:left w:val="none" w:sz="0" w:space="0" w:color="auto"/>
            <w:bottom w:val="none" w:sz="0" w:space="0" w:color="auto"/>
            <w:right w:val="none" w:sz="0" w:space="0" w:color="auto"/>
          </w:divBdr>
          <w:divsChild>
            <w:div w:id="963581785">
              <w:marLeft w:val="0"/>
              <w:marRight w:val="0"/>
              <w:marTop w:val="0"/>
              <w:marBottom w:val="0"/>
              <w:divBdr>
                <w:top w:val="none" w:sz="0" w:space="0" w:color="auto"/>
                <w:left w:val="none" w:sz="0" w:space="0" w:color="auto"/>
                <w:bottom w:val="none" w:sz="0" w:space="0" w:color="auto"/>
                <w:right w:val="none" w:sz="0" w:space="0" w:color="auto"/>
              </w:divBdr>
            </w:div>
            <w:div w:id="1275287683">
              <w:marLeft w:val="0"/>
              <w:marRight w:val="0"/>
              <w:marTop w:val="0"/>
              <w:marBottom w:val="0"/>
              <w:divBdr>
                <w:top w:val="none" w:sz="0" w:space="0" w:color="auto"/>
                <w:left w:val="none" w:sz="0" w:space="0" w:color="auto"/>
                <w:bottom w:val="none" w:sz="0" w:space="0" w:color="auto"/>
                <w:right w:val="none" w:sz="0" w:space="0" w:color="auto"/>
              </w:divBdr>
            </w:div>
          </w:divsChild>
        </w:div>
        <w:div w:id="1027103690">
          <w:marLeft w:val="0"/>
          <w:marRight w:val="0"/>
          <w:marTop w:val="0"/>
          <w:marBottom w:val="0"/>
          <w:divBdr>
            <w:top w:val="none" w:sz="0" w:space="0" w:color="auto"/>
            <w:left w:val="none" w:sz="0" w:space="0" w:color="auto"/>
            <w:bottom w:val="none" w:sz="0" w:space="0" w:color="auto"/>
            <w:right w:val="none" w:sz="0" w:space="0" w:color="auto"/>
          </w:divBdr>
          <w:divsChild>
            <w:div w:id="1160385480">
              <w:marLeft w:val="0"/>
              <w:marRight w:val="0"/>
              <w:marTop w:val="0"/>
              <w:marBottom w:val="0"/>
              <w:divBdr>
                <w:top w:val="none" w:sz="0" w:space="0" w:color="auto"/>
                <w:left w:val="none" w:sz="0" w:space="0" w:color="auto"/>
                <w:bottom w:val="none" w:sz="0" w:space="0" w:color="auto"/>
                <w:right w:val="none" w:sz="0" w:space="0" w:color="auto"/>
              </w:divBdr>
            </w:div>
            <w:div w:id="2011254628">
              <w:marLeft w:val="0"/>
              <w:marRight w:val="0"/>
              <w:marTop w:val="0"/>
              <w:marBottom w:val="0"/>
              <w:divBdr>
                <w:top w:val="none" w:sz="0" w:space="0" w:color="auto"/>
                <w:left w:val="none" w:sz="0" w:space="0" w:color="auto"/>
                <w:bottom w:val="none" w:sz="0" w:space="0" w:color="auto"/>
                <w:right w:val="none" w:sz="0" w:space="0" w:color="auto"/>
              </w:divBdr>
            </w:div>
          </w:divsChild>
        </w:div>
        <w:div w:id="1754549538">
          <w:marLeft w:val="0"/>
          <w:marRight w:val="0"/>
          <w:marTop w:val="0"/>
          <w:marBottom w:val="0"/>
          <w:divBdr>
            <w:top w:val="none" w:sz="0" w:space="0" w:color="auto"/>
            <w:left w:val="none" w:sz="0" w:space="0" w:color="auto"/>
            <w:bottom w:val="none" w:sz="0" w:space="0" w:color="auto"/>
            <w:right w:val="none" w:sz="0" w:space="0" w:color="auto"/>
          </w:divBdr>
        </w:div>
        <w:div w:id="1984575140">
          <w:marLeft w:val="0"/>
          <w:marRight w:val="0"/>
          <w:marTop w:val="0"/>
          <w:marBottom w:val="0"/>
          <w:divBdr>
            <w:top w:val="none" w:sz="0" w:space="0" w:color="auto"/>
            <w:left w:val="none" w:sz="0" w:space="0" w:color="auto"/>
            <w:bottom w:val="none" w:sz="0" w:space="0" w:color="auto"/>
            <w:right w:val="none" w:sz="0" w:space="0" w:color="auto"/>
          </w:divBdr>
        </w:div>
      </w:divsChild>
    </w:div>
    <w:div w:id="423066150">
      <w:bodyDiv w:val="1"/>
      <w:marLeft w:val="0"/>
      <w:marRight w:val="0"/>
      <w:marTop w:val="0"/>
      <w:marBottom w:val="0"/>
      <w:divBdr>
        <w:top w:val="none" w:sz="0" w:space="0" w:color="auto"/>
        <w:left w:val="none" w:sz="0" w:space="0" w:color="auto"/>
        <w:bottom w:val="none" w:sz="0" w:space="0" w:color="auto"/>
        <w:right w:val="none" w:sz="0" w:space="0" w:color="auto"/>
      </w:divBdr>
    </w:div>
    <w:div w:id="565382486">
      <w:bodyDiv w:val="1"/>
      <w:marLeft w:val="0"/>
      <w:marRight w:val="0"/>
      <w:marTop w:val="0"/>
      <w:marBottom w:val="0"/>
      <w:divBdr>
        <w:top w:val="none" w:sz="0" w:space="0" w:color="auto"/>
        <w:left w:val="none" w:sz="0" w:space="0" w:color="auto"/>
        <w:bottom w:val="none" w:sz="0" w:space="0" w:color="auto"/>
        <w:right w:val="none" w:sz="0" w:space="0" w:color="auto"/>
      </w:divBdr>
    </w:div>
    <w:div w:id="637228723">
      <w:bodyDiv w:val="1"/>
      <w:marLeft w:val="0"/>
      <w:marRight w:val="0"/>
      <w:marTop w:val="0"/>
      <w:marBottom w:val="0"/>
      <w:divBdr>
        <w:top w:val="none" w:sz="0" w:space="0" w:color="auto"/>
        <w:left w:val="none" w:sz="0" w:space="0" w:color="auto"/>
        <w:bottom w:val="none" w:sz="0" w:space="0" w:color="auto"/>
        <w:right w:val="none" w:sz="0" w:space="0" w:color="auto"/>
      </w:divBdr>
    </w:div>
    <w:div w:id="639920302">
      <w:bodyDiv w:val="1"/>
      <w:marLeft w:val="0"/>
      <w:marRight w:val="0"/>
      <w:marTop w:val="0"/>
      <w:marBottom w:val="0"/>
      <w:divBdr>
        <w:top w:val="none" w:sz="0" w:space="0" w:color="auto"/>
        <w:left w:val="none" w:sz="0" w:space="0" w:color="auto"/>
        <w:bottom w:val="none" w:sz="0" w:space="0" w:color="auto"/>
        <w:right w:val="none" w:sz="0" w:space="0" w:color="auto"/>
      </w:divBdr>
    </w:div>
    <w:div w:id="664743518">
      <w:bodyDiv w:val="1"/>
      <w:marLeft w:val="0"/>
      <w:marRight w:val="0"/>
      <w:marTop w:val="0"/>
      <w:marBottom w:val="0"/>
      <w:divBdr>
        <w:top w:val="none" w:sz="0" w:space="0" w:color="auto"/>
        <w:left w:val="none" w:sz="0" w:space="0" w:color="auto"/>
        <w:bottom w:val="none" w:sz="0" w:space="0" w:color="auto"/>
        <w:right w:val="none" w:sz="0" w:space="0" w:color="auto"/>
      </w:divBdr>
    </w:div>
    <w:div w:id="75250993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64887">
      <w:bodyDiv w:val="1"/>
      <w:marLeft w:val="0"/>
      <w:marRight w:val="0"/>
      <w:marTop w:val="0"/>
      <w:marBottom w:val="0"/>
      <w:divBdr>
        <w:top w:val="none" w:sz="0" w:space="0" w:color="auto"/>
        <w:left w:val="none" w:sz="0" w:space="0" w:color="auto"/>
        <w:bottom w:val="none" w:sz="0" w:space="0" w:color="auto"/>
        <w:right w:val="none" w:sz="0" w:space="0" w:color="auto"/>
      </w:divBdr>
    </w:div>
    <w:div w:id="857237032">
      <w:bodyDiv w:val="1"/>
      <w:marLeft w:val="0"/>
      <w:marRight w:val="0"/>
      <w:marTop w:val="0"/>
      <w:marBottom w:val="0"/>
      <w:divBdr>
        <w:top w:val="none" w:sz="0" w:space="0" w:color="auto"/>
        <w:left w:val="none" w:sz="0" w:space="0" w:color="auto"/>
        <w:bottom w:val="none" w:sz="0" w:space="0" w:color="auto"/>
        <w:right w:val="none" w:sz="0" w:space="0" w:color="auto"/>
      </w:divBdr>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3584">
      <w:bodyDiv w:val="1"/>
      <w:marLeft w:val="0"/>
      <w:marRight w:val="0"/>
      <w:marTop w:val="0"/>
      <w:marBottom w:val="0"/>
      <w:divBdr>
        <w:top w:val="none" w:sz="0" w:space="0" w:color="auto"/>
        <w:left w:val="none" w:sz="0" w:space="0" w:color="auto"/>
        <w:bottom w:val="none" w:sz="0" w:space="0" w:color="auto"/>
        <w:right w:val="none" w:sz="0" w:space="0" w:color="auto"/>
      </w:divBdr>
    </w:div>
    <w:div w:id="950746267">
      <w:bodyDiv w:val="1"/>
      <w:marLeft w:val="0"/>
      <w:marRight w:val="0"/>
      <w:marTop w:val="0"/>
      <w:marBottom w:val="0"/>
      <w:divBdr>
        <w:top w:val="none" w:sz="0" w:space="0" w:color="auto"/>
        <w:left w:val="none" w:sz="0" w:space="0" w:color="auto"/>
        <w:bottom w:val="none" w:sz="0" w:space="0" w:color="auto"/>
        <w:right w:val="none" w:sz="0" w:space="0" w:color="auto"/>
      </w:divBdr>
      <w:divsChild>
        <w:div w:id="588202542">
          <w:marLeft w:val="0"/>
          <w:marRight w:val="0"/>
          <w:marTop w:val="0"/>
          <w:marBottom w:val="0"/>
          <w:divBdr>
            <w:top w:val="none" w:sz="0" w:space="0" w:color="auto"/>
            <w:left w:val="none" w:sz="0" w:space="0" w:color="auto"/>
            <w:bottom w:val="none" w:sz="0" w:space="0" w:color="auto"/>
            <w:right w:val="none" w:sz="0" w:space="0" w:color="auto"/>
          </w:divBdr>
        </w:div>
        <w:div w:id="1576164579">
          <w:marLeft w:val="0"/>
          <w:marRight w:val="0"/>
          <w:marTop w:val="0"/>
          <w:marBottom w:val="0"/>
          <w:divBdr>
            <w:top w:val="none" w:sz="0" w:space="0" w:color="auto"/>
            <w:left w:val="none" w:sz="0" w:space="0" w:color="auto"/>
            <w:bottom w:val="none" w:sz="0" w:space="0" w:color="auto"/>
            <w:right w:val="none" w:sz="0" w:space="0" w:color="auto"/>
          </w:divBdr>
          <w:divsChild>
            <w:div w:id="400979766">
              <w:marLeft w:val="0"/>
              <w:marRight w:val="0"/>
              <w:marTop w:val="0"/>
              <w:marBottom w:val="0"/>
              <w:divBdr>
                <w:top w:val="none" w:sz="0" w:space="0" w:color="auto"/>
                <w:left w:val="none" w:sz="0" w:space="0" w:color="auto"/>
                <w:bottom w:val="none" w:sz="0" w:space="0" w:color="auto"/>
                <w:right w:val="none" w:sz="0" w:space="0" w:color="auto"/>
              </w:divBdr>
            </w:div>
            <w:div w:id="1928492336">
              <w:marLeft w:val="0"/>
              <w:marRight w:val="0"/>
              <w:marTop w:val="0"/>
              <w:marBottom w:val="0"/>
              <w:divBdr>
                <w:top w:val="none" w:sz="0" w:space="0" w:color="auto"/>
                <w:left w:val="none" w:sz="0" w:space="0" w:color="auto"/>
                <w:bottom w:val="none" w:sz="0" w:space="0" w:color="auto"/>
                <w:right w:val="none" w:sz="0" w:space="0" w:color="auto"/>
              </w:divBdr>
            </w:div>
          </w:divsChild>
        </w:div>
        <w:div w:id="2025980199">
          <w:marLeft w:val="0"/>
          <w:marRight w:val="0"/>
          <w:marTop w:val="0"/>
          <w:marBottom w:val="0"/>
          <w:divBdr>
            <w:top w:val="none" w:sz="0" w:space="0" w:color="auto"/>
            <w:left w:val="none" w:sz="0" w:space="0" w:color="auto"/>
            <w:bottom w:val="none" w:sz="0" w:space="0" w:color="auto"/>
            <w:right w:val="none" w:sz="0" w:space="0" w:color="auto"/>
          </w:divBdr>
        </w:div>
      </w:divsChild>
    </w:div>
    <w:div w:id="962729918">
      <w:bodyDiv w:val="1"/>
      <w:marLeft w:val="0"/>
      <w:marRight w:val="0"/>
      <w:marTop w:val="0"/>
      <w:marBottom w:val="0"/>
      <w:divBdr>
        <w:top w:val="none" w:sz="0" w:space="0" w:color="auto"/>
        <w:left w:val="none" w:sz="0" w:space="0" w:color="auto"/>
        <w:bottom w:val="none" w:sz="0" w:space="0" w:color="auto"/>
        <w:right w:val="none" w:sz="0" w:space="0" w:color="auto"/>
      </w:divBdr>
      <w:divsChild>
        <w:div w:id="538663134">
          <w:marLeft w:val="0"/>
          <w:marRight w:val="0"/>
          <w:marTop w:val="0"/>
          <w:marBottom w:val="0"/>
          <w:divBdr>
            <w:top w:val="none" w:sz="0" w:space="0" w:color="auto"/>
            <w:left w:val="none" w:sz="0" w:space="0" w:color="auto"/>
            <w:bottom w:val="none" w:sz="0" w:space="0" w:color="auto"/>
            <w:right w:val="none" w:sz="0" w:space="0" w:color="auto"/>
          </w:divBdr>
        </w:div>
        <w:div w:id="633827244">
          <w:marLeft w:val="0"/>
          <w:marRight w:val="0"/>
          <w:marTop w:val="0"/>
          <w:marBottom w:val="0"/>
          <w:divBdr>
            <w:top w:val="none" w:sz="0" w:space="0" w:color="auto"/>
            <w:left w:val="none" w:sz="0" w:space="0" w:color="auto"/>
            <w:bottom w:val="none" w:sz="0" w:space="0" w:color="auto"/>
            <w:right w:val="none" w:sz="0" w:space="0" w:color="auto"/>
          </w:divBdr>
          <w:divsChild>
            <w:div w:id="1002899741">
              <w:marLeft w:val="0"/>
              <w:marRight w:val="0"/>
              <w:marTop w:val="0"/>
              <w:marBottom w:val="0"/>
              <w:divBdr>
                <w:top w:val="none" w:sz="0" w:space="0" w:color="auto"/>
                <w:left w:val="none" w:sz="0" w:space="0" w:color="auto"/>
                <w:bottom w:val="none" w:sz="0" w:space="0" w:color="auto"/>
                <w:right w:val="none" w:sz="0" w:space="0" w:color="auto"/>
              </w:divBdr>
            </w:div>
            <w:div w:id="1295604187">
              <w:marLeft w:val="0"/>
              <w:marRight w:val="0"/>
              <w:marTop w:val="0"/>
              <w:marBottom w:val="0"/>
              <w:divBdr>
                <w:top w:val="none" w:sz="0" w:space="0" w:color="auto"/>
                <w:left w:val="none" w:sz="0" w:space="0" w:color="auto"/>
                <w:bottom w:val="none" w:sz="0" w:space="0" w:color="auto"/>
                <w:right w:val="none" w:sz="0" w:space="0" w:color="auto"/>
              </w:divBdr>
            </w:div>
          </w:divsChild>
        </w:div>
        <w:div w:id="1042709184">
          <w:marLeft w:val="0"/>
          <w:marRight w:val="0"/>
          <w:marTop w:val="0"/>
          <w:marBottom w:val="0"/>
          <w:divBdr>
            <w:top w:val="none" w:sz="0" w:space="0" w:color="auto"/>
            <w:left w:val="none" w:sz="0" w:space="0" w:color="auto"/>
            <w:bottom w:val="none" w:sz="0" w:space="0" w:color="auto"/>
            <w:right w:val="none" w:sz="0" w:space="0" w:color="auto"/>
          </w:divBdr>
        </w:div>
        <w:div w:id="1465392408">
          <w:marLeft w:val="0"/>
          <w:marRight w:val="0"/>
          <w:marTop w:val="0"/>
          <w:marBottom w:val="0"/>
          <w:divBdr>
            <w:top w:val="none" w:sz="0" w:space="0" w:color="auto"/>
            <w:left w:val="none" w:sz="0" w:space="0" w:color="auto"/>
            <w:bottom w:val="none" w:sz="0" w:space="0" w:color="auto"/>
            <w:right w:val="none" w:sz="0" w:space="0" w:color="auto"/>
          </w:divBdr>
          <w:divsChild>
            <w:div w:id="1266573004">
              <w:marLeft w:val="0"/>
              <w:marRight w:val="0"/>
              <w:marTop w:val="0"/>
              <w:marBottom w:val="0"/>
              <w:divBdr>
                <w:top w:val="none" w:sz="0" w:space="0" w:color="auto"/>
                <w:left w:val="none" w:sz="0" w:space="0" w:color="auto"/>
                <w:bottom w:val="none" w:sz="0" w:space="0" w:color="auto"/>
                <w:right w:val="none" w:sz="0" w:space="0" w:color="auto"/>
              </w:divBdr>
            </w:div>
            <w:div w:id="1812552889">
              <w:marLeft w:val="0"/>
              <w:marRight w:val="0"/>
              <w:marTop w:val="0"/>
              <w:marBottom w:val="0"/>
              <w:divBdr>
                <w:top w:val="none" w:sz="0" w:space="0" w:color="auto"/>
                <w:left w:val="none" w:sz="0" w:space="0" w:color="auto"/>
                <w:bottom w:val="none" w:sz="0" w:space="0" w:color="auto"/>
                <w:right w:val="none" w:sz="0" w:space="0" w:color="auto"/>
              </w:divBdr>
            </w:div>
          </w:divsChild>
        </w:div>
        <w:div w:id="1893618555">
          <w:marLeft w:val="0"/>
          <w:marRight w:val="0"/>
          <w:marTop w:val="0"/>
          <w:marBottom w:val="0"/>
          <w:divBdr>
            <w:top w:val="none" w:sz="0" w:space="0" w:color="auto"/>
            <w:left w:val="none" w:sz="0" w:space="0" w:color="auto"/>
            <w:bottom w:val="none" w:sz="0" w:space="0" w:color="auto"/>
            <w:right w:val="none" w:sz="0" w:space="0" w:color="auto"/>
          </w:divBdr>
        </w:div>
      </w:divsChild>
    </w:div>
    <w:div w:id="967780166">
      <w:bodyDiv w:val="1"/>
      <w:marLeft w:val="0"/>
      <w:marRight w:val="0"/>
      <w:marTop w:val="0"/>
      <w:marBottom w:val="0"/>
      <w:divBdr>
        <w:top w:val="none" w:sz="0" w:space="0" w:color="auto"/>
        <w:left w:val="none" w:sz="0" w:space="0" w:color="auto"/>
        <w:bottom w:val="none" w:sz="0" w:space="0" w:color="auto"/>
        <w:right w:val="none" w:sz="0" w:space="0" w:color="auto"/>
      </w:divBdr>
      <w:divsChild>
        <w:div w:id="349263082">
          <w:marLeft w:val="0"/>
          <w:marRight w:val="0"/>
          <w:marTop w:val="0"/>
          <w:marBottom w:val="0"/>
          <w:divBdr>
            <w:top w:val="none" w:sz="0" w:space="0" w:color="auto"/>
            <w:left w:val="none" w:sz="0" w:space="0" w:color="auto"/>
            <w:bottom w:val="none" w:sz="0" w:space="0" w:color="auto"/>
            <w:right w:val="none" w:sz="0" w:space="0" w:color="auto"/>
          </w:divBdr>
        </w:div>
        <w:div w:id="875654494">
          <w:marLeft w:val="0"/>
          <w:marRight w:val="0"/>
          <w:marTop w:val="0"/>
          <w:marBottom w:val="0"/>
          <w:divBdr>
            <w:top w:val="none" w:sz="0" w:space="0" w:color="auto"/>
            <w:left w:val="none" w:sz="0" w:space="0" w:color="auto"/>
            <w:bottom w:val="none" w:sz="0" w:space="0" w:color="auto"/>
            <w:right w:val="none" w:sz="0" w:space="0" w:color="auto"/>
          </w:divBdr>
          <w:divsChild>
            <w:div w:id="927886518">
              <w:marLeft w:val="0"/>
              <w:marRight w:val="0"/>
              <w:marTop w:val="0"/>
              <w:marBottom w:val="0"/>
              <w:divBdr>
                <w:top w:val="none" w:sz="0" w:space="0" w:color="auto"/>
                <w:left w:val="none" w:sz="0" w:space="0" w:color="auto"/>
                <w:bottom w:val="none" w:sz="0" w:space="0" w:color="auto"/>
                <w:right w:val="none" w:sz="0" w:space="0" w:color="auto"/>
              </w:divBdr>
            </w:div>
            <w:div w:id="934090765">
              <w:marLeft w:val="0"/>
              <w:marRight w:val="0"/>
              <w:marTop w:val="0"/>
              <w:marBottom w:val="0"/>
              <w:divBdr>
                <w:top w:val="none" w:sz="0" w:space="0" w:color="auto"/>
                <w:left w:val="none" w:sz="0" w:space="0" w:color="auto"/>
                <w:bottom w:val="none" w:sz="0" w:space="0" w:color="auto"/>
                <w:right w:val="none" w:sz="0" w:space="0" w:color="auto"/>
              </w:divBdr>
            </w:div>
          </w:divsChild>
        </w:div>
        <w:div w:id="1218056797">
          <w:marLeft w:val="0"/>
          <w:marRight w:val="0"/>
          <w:marTop w:val="0"/>
          <w:marBottom w:val="0"/>
          <w:divBdr>
            <w:top w:val="none" w:sz="0" w:space="0" w:color="auto"/>
            <w:left w:val="none" w:sz="0" w:space="0" w:color="auto"/>
            <w:bottom w:val="none" w:sz="0" w:space="0" w:color="auto"/>
            <w:right w:val="none" w:sz="0" w:space="0" w:color="auto"/>
          </w:divBdr>
        </w:div>
      </w:divsChild>
    </w:div>
    <w:div w:id="1088116981">
      <w:bodyDiv w:val="1"/>
      <w:marLeft w:val="0"/>
      <w:marRight w:val="0"/>
      <w:marTop w:val="0"/>
      <w:marBottom w:val="0"/>
      <w:divBdr>
        <w:top w:val="none" w:sz="0" w:space="0" w:color="auto"/>
        <w:left w:val="none" w:sz="0" w:space="0" w:color="auto"/>
        <w:bottom w:val="none" w:sz="0" w:space="0" w:color="auto"/>
        <w:right w:val="none" w:sz="0" w:space="0" w:color="auto"/>
      </w:divBdr>
    </w:div>
    <w:div w:id="1117723011">
      <w:bodyDiv w:val="1"/>
      <w:marLeft w:val="0"/>
      <w:marRight w:val="0"/>
      <w:marTop w:val="0"/>
      <w:marBottom w:val="0"/>
      <w:divBdr>
        <w:top w:val="none" w:sz="0" w:space="0" w:color="auto"/>
        <w:left w:val="none" w:sz="0" w:space="0" w:color="auto"/>
        <w:bottom w:val="none" w:sz="0" w:space="0" w:color="auto"/>
        <w:right w:val="none" w:sz="0" w:space="0" w:color="auto"/>
      </w:divBdr>
    </w:div>
    <w:div w:id="1129666622">
      <w:bodyDiv w:val="1"/>
      <w:marLeft w:val="0"/>
      <w:marRight w:val="0"/>
      <w:marTop w:val="0"/>
      <w:marBottom w:val="0"/>
      <w:divBdr>
        <w:top w:val="none" w:sz="0" w:space="0" w:color="auto"/>
        <w:left w:val="none" w:sz="0" w:space="0" w:color="auto"/>
        <w:bottom w:val="none" w:sz="0" w:space="0" w:color="auto"/>
        <w:right w:val="none" w:sz="0" w:space="0" w:color="auto"/>
      </w:divBdr>
    </w:div>
    <w:div w:id="1130248125">
      <w:bodyDiv w:val="1"/>
      <w:marLeft w:val="0"/>
      <w:marRight w:val="0"/>
      <w:marTop w:val="0"/>
      <w:marBottom w:val="0"/>
      <w:divBdr>
        <w:top w:val="none" w:sz="0" w:space="0" w:color="auto"/>
        <w:left w:val="none" w:sz="0" w:space="0" w:color="auto"/>
        <w:bottom w:val="none" w:sz="0" w:space="0" w:color="auto"/>
        <w:right w:val="none" w:sz="0" w:space="0" w:color="auto"/>
      </w:divBdr>
    </w:div>
    <w:div w:id="1134978821">
      <w:bodyDiv w:val="1"/>
      <w:marLeft w:val="0"/>
      <w:marRight w:val="0"/>
      <w:marTop w:val="0"/>
      <w:marBottom w:val="0"/>
      <w:divBdr>
        <w:top w:val="none" w:sz="0" w:space="0" w:color="auto"/>
        <w:left w:val="none" w:sz="0" w:space="0" w:color="auto"/>
        <w:bottom w:val="none" w:sz="0" w:space="0" w:color="auto"/>
        <w:right w:val="none" w:sz="0" w:space="0" w:color="auto"/>
      </w:divBdr>
    </w:div>
    <w:div w:id="1147479495">
      <w:bodyDiv w:val="1"/>
      <w:marLeft w:val="0"/>
      <w:marRight w:val="0"/>
      <w:marTop w:val="0"/>
      <w:marBottom w:val="0"/>
      <w:divBdr>
        <w:top w:val="none" w:sz="0" w:space="0" w:color="auto"/>
        <w:left w:val="none" w:sz="0" w:space="0" w:color="auto"/>
        <w:bottom w:val="none" w:sz="0" w:space="0" w:color="auto"/>
        <w:right w:val="none" w:sz="0" w:space="0" w:color="auto"/>
      </w:divBdr>
    </w:div>
    <w:div w:id="1188325074">
      <w:bodyDiv w:val="1"/>
      <w:marLeft w:val="0"/>
      <w:marRight w:val="0"/>
      <w:marTop w:val="0"/>
      <w:marBottom w:val="0"/>
      <w:divBdr>
        <w:top w:val="none" w:sz="0" w:space="0" w:color="auto"/>
        <w:left w:val="none" w:sz="0" w:space="0" w:color="auto"/>
        <w:bottom w:val="none" w:sz="0" w:space="0" w:color="auto"/>
        <w:right w:val="none" w:sz="0" w:space="0" w:color="auto"/>
      </w:divBdr>
    </w:div>
    <w:div w:id="1238244791">
      <w:bodyDiv w:val="1"/>
      <w:marLeft w:val="0"/>
      <w:marRight w:val="0"/>
      <w:marTop w:val="0"/>
      <w:marBottom w:val="0"/>
      <w:divBdr>
        <w:top w:val="none" w:sz="0" w:space="0" w:color="auto"/>
        <w:left w:val="none" w:sz="0" w:space="0" w:color="auto"/>
        <w:bottom w:val="none" w:sz="0" w:space="0" w:color="auto"/>
        <w:right w:val="none" w:sz="0" w:space="0" w:color="auto"/>
      </w:divBdr>
    </w:div>
    <w:div w:id="1304119035">
      <w:bodyDiv w:val="1"/>
      <w:marLeft w:val="0"/>
      <w:marRight w:val="0"/>
      <w:marTop w:val="0"/>
      <w:marBottom w:val="0"/>
      <w:divBdr>
        <w:top w:val="none" w:sz="0" w:space="0" w:color="auto"/>
        <w:left w:val="none" w:sz="0" w:space="0" w:color="auto"/>
        <w:bottom w:val="none" w:sz="0" w:space="0" w:color="auto"/>
        <w:right w:val="none" w:sz="0" w:space="0" w:color="auto"/>
      </w:divBdr>
    </w:div>
    <w:div w:id="1315336168">
      <w:bodyDiv w:val="1"/>
      <w:marLeft w:val="0"/>
      <w:marRight w:val="0"/>
      <w:marTop w:val="0"/>
      <w:marBottom w:val="0"/>
      <w:divBdr>
        <w:top w:val="none" w:sz="0" w:space="0" w:color="auto"/>
        <w:left w:val="none" w:sz="0" w:space="0" w:color="auto"/>
        <w:bottom w:val="none" w:sz="0" w:space="0" w:color="auto"/>
        <w:right w:val="none" w:sz="0" w:space="0" w:color="auto"/>
      </w:divBdr>
    </w:div>
    <w:div w:id="1332873218">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82824545">
      <w:bodyDiv w:val="1"/>
      <w:marLeft w:val="0"/>
      <w:marRight w:val="0"/>
      <w:marTop w:val="0"/>
      <w:marBottom w:val="0"/>
      <w:divBdr>
        <w:top w:val="none" w:sz="0" w:space="0" w:color="auto"/>
        <w:left w:val="none" w:sz="0" w:space="0" w:color="auto"/>
        <w:bottom w:val="none" w:sz="0" w:space="0" w:color="auto"/>
        <w:right w:val="none" w:sz="0" w:space="0" w:color="auto"/>
      </w:divBdr>
      <w:divsChild>
        <w:div w:id="238903056">
          <w:marLeft w:val="0"/>
          <w:marRight w:val="0"/>
          <w:marTop w:val="0"/>
          <w:marBottom w:val="0"/>
          <w:divBdr>
            <w:top w:val="none" w:sz="0" w:space="0" w:color="auto"/>
            <w:left w:val="none" w:sz="0" w:space="0" w:color="auto"/>
            <w:bottom w:val="none" w:sz="0" w:space="0" w:color="auto"/>
            <w:right w:val="none" w:sz="0" w:space="0" w:color="auto"/>
          </w:divBdr>
        </w:div>
        <w:div w:id="2117864254">
          <w:marLeft w:val="0"/>
          <w:marRight w:val="0"/>
          <w:marTop w:val="0"/>
          <w:marBottom w:val="0"/>
          <w:divBdr>
            <w:top w:val="none" w:sz="0" w:space="0" w:color="auto"/>
            <w:left w:val="none" w:sz="0" w:space="0" w:color="auto"/>
            <w:bottom w:val="none" w:sz="0" w:space="0" w:color="auto"/>
            <w:right w:val="none" w:sz="0" w:space="0" w:color="auto"/>
          </w:divBdr>
          <w:divsChild>
            <w:div w:id="1397125902">
              <w:marLeft w:val="0"/>
              <w:marRight w:val="165"/>
              <w:marTop w:val="150"/>
              <w:marBottom w:val="0"/>
              <w:divBdr>
                <w:top w:val="none" w:sz="0" w:space="0" w:color="auto"/>
                <w:left w:val="none" w:sz="0" w:space="0" w:color="auto"/>
                <w:bottom w:val="none" w:sz="0" w:space="0" w:color="auto"/>
                <w:right w:val="none" w:sz="0" w:space="0" w:color="auto"/>
              </w:divBdr>
              <w:divsChild>
                <w:div w:id="1659262334">
                  <w:marLeft w:val="0"/>
                  <w:marRight w:val="0"/>
                  <w:marTop w:val="0"/>
                  <w:marBottom w:val="0"/>
                  <w:divBdr>
                    <w:top w:val="none" w:sz="0" w:space="0" w:color="auto"/>
                    <w:left w:val="none" w:sz="0" w:space="0" w:color="auto"/>
                    <w:bottom w:val="none" w:sz="0" w:space="0" w:color="auto"/>
                    <w:right w:val="none" w:sz="0" w:space="0" w:color="auto"/>
                  </w:divBdr>
                  <w:divsChild>
                    <w:div w:id="30470447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603198">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2244319">
      <w:bodyDiv w:val="1"/>
      <w:marLeft w:val="0"/>
      <w:marRight w:val="0"/>
      <w:marTop w:val="0"/>
      <w:marBottom w:val="0"/>
      <w:divBdr>
        <w:top w:val="none" w:sz="0" w:space="0" w:color="auto"/>
        <w:left w:val="none" w:sz="0" w:space="0" w:color="auto"/>
        <w:bottom w:val="none" w:sz="0" w:space="0" w:color="auto"/>
        <w:right w:val="none" w:sz="0" w:space="0" w:color="auto"/>
      </w:divBdr>
    </w:div>
    <w:div w:id="1461533830">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09851561">
      <w:bodyDiv w:val="1"/>
      <w:marLeft w:val="0"/>
      <w:marRight w:val="0"/>
      <w:marTop w:val="0"/>
      <w:marBottom w:val="0"/>
      <w:divBdr>
        <w:top w:val="none" w:sz="0" w:space="0" w:color="auto"/>
        <w:left w:val="none" w:sz="0" w:space="0" w:color="auto"/>
        <w:bottom w:val="none" w:sz="0" w:space="0" w:color="auto"/>
        <w:right w:val="none" w:sz="0" w:space="0" w:color="auto"/>
      </w:divBdr>
    </w:div>
    <w:div w:id="1614821350">
      <w:bodyDiv w:val="1"/>
      <w:marLeft w:val="0"/>
      <w:marRight w:val="0"/>
      <w:marTop w:val="0"/>
      <w:marBottom w:val="0"/>
      <w:divBdr>
        <w:top w:val="none" w:sz="0" w:space="0" w:color="auto"/>
        <w:left w:val="none" w:sz="0" w:space="0" w:color="auto"/>
        <w:bottom w:val="none" w:sz="0" w:space="0" w:color="auto"/>
        <w:right w:val="none" w:sz="0" w:space="0" w:color="auto"/>
      </w:divBdr>
    </w:div>
    <w:div w:id="1628511382">
      <w:bodyDiv w:val="1"/>
      <w:marLeft w:val="0"/>
      <w:marRight w:val="0"/>
      <w:marTop w:val="0"/>
      <w:marBottom w:val="0"/>
      <w:divBdr>
        <w:top w:val="none" w:sz="0" w:space="0" w:color="auto"/>
        <w:left w:val="none" w:sz="0" w:space="0" w:color="auto"/>
        <w:bottom w:val="none" w:sz="0" w:space="0" w:color="auto"/>
        <w:right w:val="none" w:sz="0" w:space="0" w:color="auto"/>
      </w:divBdr>
    </w:div>
    <w:div w:id="1650137100">
      <w:bodyDiv w:val="1"/>
      <w:marLeft w:val="0"/>
      <w:marRight w:val="0"/>
      <w:marTop w:val="0"/>
      <w:marBottom w:val="0"/>
      <w:divBdr>
        <w:top w:val="none" w:sz="0" w:space="0" w:color="auto"/>
        <w:left w:val="none" w:sz="0" w:space="0" w:color="auto"/>
        <w:bottom w:val="none" w:sz="0" w:space="0" w:color="auto"/>
        <w:right w:val="none" w:sz="0" w:space="0" w:color="auto"/>
      </w:divBdr>
    </w:div>
    <w:div w:id="1669363460">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7537">
      <w:bodyDiv w:val="1"/>
      <w:marLeft w:val="0"/>
      <w:marRight w:val="0"/>
      <w:marTop w:val="0"/>
      <w:marBottom w:val="0"/>
      <w:divBdr>
        <w:top w:val="none" w:sz="0" w:space="0" w:color="auto"/>
        <w:left w:val="none" w:sz="0" w:space="0" w:color="auto"/>
        <w:bottom w:val="none" w:sz="0" w:space="0" w:color="auto"/>
        <w:right w:val="none" w:sz="0" w:space="0" w:color="auto"/>
      </w:divBdr>
    </w:div>
    <w:div w:id="1694988385">
      <w:bodyDiv w:val="1"/>
      <w:marLeft w:val="0"/>
      <w:marRight w:val="0"/>
      <w:marTop w:val="0"/>
      <w:marBottom w:val="0"/>
      <w:divBdr>
        <w:top w:val="none" w:sz="0" w:space="0" w:color="auto"/>
        <w:left w:val="none" w:sz="0" w:space="0" w:color="auto"/>
        <w:bottom w:val="none" w:sz="0" w:space="0" w:color="auto"/>
        <w:right w:val="none" w:sz="0" w:space="0" w:color="auto"/>
      </w:divBdr>
      <w:divsChild>
        <w:div w:id="1177229169">
          <w:marLeft w:val="0"/>
          <w:marRight w:val="0"/>
          <w:marTop w:val="0"/>
          <w:marBottom w:val="0"/>
          <w:divBdr>
            <w:top w:val="none" w:sz="0" w:space="0" w:color="auto"/>
            <w:left w:val="none" w:sz="0" w:space="0" w:color="auto"/>
            <w:bottom w:val="none" w:sz="0" w:space="0" w:color="auto"/>
            <w:right w:val="none" w:sz="0" w:space="0" w:color="auto"/>
          </w:divBdr>
          <w:divsChild>
            <w:div w:id="2097289063">
              <w:marLeft w:val="0"/>
              <w:marRight w:val="0"/>
              <w:marTop w:val="0"/>
              <w:marBottom w:val="0"/>
              <w:divBdr>
                <w:top w:val="none" w:sz="0" w:space="0" w:color="auto"/>
                <w:left w:val="none" w:sz="0" w:space="0" w:color="auto"/>
                <w:bottom w:val="none" w:sz="0" w:space="0" w:color="auto"/>
                <w:right w:val="none" w:sz="0" w:space="0" w:color="auto"/>
              </w:divBdr>
            </w:div>
            <w:div w:id="1681465851">
              <w:marLeft w:val="0"/>
              <w:marRight w:val="0"/>
              <w:marTop w:val="0"/>
              <w:marBottom w:val="0"/>
              <w:divBdr>
                <w:top w:val="none" w:sz="0" w:space="0" w:color="auto"/>
                <w:left w:val="none" w:sz="0" w:space="0" w:color="auto"/>
                <w:bottom w:val="none" w:sz="0" w:space="0" w:color="auto"/>
                <w:right w:val="none" w:sz="0" w:space="0" w:color="auto"/>
              </w:divBdr>
            </w:div>
            <w:div w:id="577983202">
              <w:marLeft w:val="0"/>
              <w:marRight w:val="0"/>
              <w:marTop w:val="0"/>
              <w:marBottom w:val="0"/>
              <w:divBdr>
                <w:top w:val="none" w:sz="0" w:space="0" w:color="auto"/>
                <w:left w:val="none" w:sz="0" w:space="0" w:color="auto"/>
                <w:bottom w:val="none" w:sz="0" w:space="0" w:color="auto"/>
                <w:right w:val="none" w:sz="0" w:space="0" w:color="auto"/>
              </w:divBdr>
              <w:divsChild>
                <w:div w:id="82597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70645">
          <w:marLeft w:val="0"/>
          <w:marRight w:val="0"/>
          <w:marTop w:val="0"/>
          <w:marBottom w:val="0"/>
          <w:divBdr>
            <w:top w:val="none" w:sz="0" w:space="0" w:color="auto"/>
            <w:left w:val="none" w:sz="0" w:space="0" w:color="auto"/>
            <w:bottom w:val="none" w:sz="0" w:space="0" w:color="auto"/>
            <w:right w:val="none" w:sz="0" w:space="0" w:color="auto"/>
          </w:divBdr>
          <w:divsChild>
            <w:div w:id="2140608592">
              <w:marLeft w:val="0"/>
              <w:marRight w:val="0"/>
              <w:marTop w:val="0"/>
              <w:marBottom w:val="0"/>
              <w:divBdr>
                <w:top w:val="none" w:sz="0" w:space="0" w:color="auto"/>
                <w:left w:val="none" w:sz="0" w:space="0" w:color="auto"/>
                <w:bottom w:val="none" w:sz="0" w:space="0" w:color="auto"/>
                <w:right w:val="none" w:sz="0" w:space="0" w:color="auto"/>
              </w:divBdr>
              <w:divsChild>
                <w:div w:id="1618177041">
                  <w:marLeft w:val="0"/>
                  <w:marRight w:val="0"/>
                  <w:marTop w:val="0"/>
                  <w:marBottom w:val="0"/>
                  <w:divBdr>
                    <w:top w:val="none" w:sz="0" w:space="0" w:color="auto"/>
                    <w:left w:val="none" w:sz="0" w:space="0" w:color="auto"/>
                    <w:bottom w:val="none" w:sz="0" w:space="0" w:color="auto"/>
                    <w:right w:val="none" w:sz="0" w:space="0" w:color="auto"/>
                  </w:divBdr>
                  <w:divsChild>
                    <w:div w:id="168015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53889953">
      <w:bodyDiv w:val="1"/>
      <w:marLeft w:val="0"/>
      <w:marRight w:val="0"/>
      <w:marTop w:val="0"/>
      <w:marBottom w:val="0"/>
      <w:divBdr>
        <w:top w:val="none" w:sz="0" w:space="0" w:color="auto"/>
        <w:left w:val="none" w:sz="0" w:space="0" w:color="auto"/>
        <w:bottom w:val="none" w:sz="0" w:space="0" w:color="auto"/>
        <w:right w:val="none" w:sz="0" w:space="0" w:color="auto"/>
      </w:divBdr>
    </w:div>
    <w:div w:id="1766992681">
      <w:bodyDiv w:val="1"/>
      <w:marLeft w:val="0"/>
      <w:marRight w:val="0"/>
      <w:marTop w:val="0"/>
      <w:marBottom w:val="0"/>
      <w:divBdr>
        <w:top w:val="none" w:sz="0" w:space="0" w:color="auto"/>
        <w:left w:val="none" w:sz="0" w:space="0" w:color="auto"/>
        <w:bottom w:val="none" w:sz="0" w:space="0" w:color="auto"/>
        <w:right w:val="none" w:sz="0" w:space="0" w:color="auto"/>
      </w:divBdr>
    </w:div>
    <w:div w:id="1801146148">
      <w:bodyDiv w:val="1"/>
      <w:marLeft w:val="0"/>
      <w:marRight w:val="0"/>
      <w:marTop w:val="0"/>
      <w:marBottom w:val="0"/>
      <w:divBdr>
        <w:top w:val="none" w:sz="0" w:space="0" w:color="auto"/>
        <w:left w:val="none" w:sz="0" w:space="0" w:color="auto"/>
        <w:bottom w:val="none" w:sz="0" w:space="0" w:color="auto"/>
        <w:right w:val="none" w:sz="0" w:space="0" w:color="auto"/>
      </w:divBdr>
    </w:div>
    <w:div w:id="1903517930">
      <w:bodyDiv w:val="1"/>
      <w:marLeft w:val="0"/>
      <w:marRight w:val="0"/>
      <w:marTop w:val="0"/>
      <w:marBottom w:val="0"/>
      <w:divBdr>
        <w:top w:val="none" w:sz="0" w:space="0" w:color="auto"/>
        <w:left w:val="none" w:sz="0" w:space="0" w:color="auto"/>
        <w:bottom w:val="none" w:sz="0" w:space="0" w:color="auto"/>
        <w:right w:val="none" w:sz="0" w:space="0" w:color="auto"/>
      </w:divBdr>
    </w:div>
    <w:div w:id="1960453194">
      <w:bodyDiv w:val="1"/>
      <w:marLeft w:val="0"/>
      <w:marRight w:val="0"/>
      <w:marTop w:val="0"/>
      <w:marBottom w:val="0"/>
      <w:divBdr>
        <w:top w:val="none" w:sz="0" w:space="0" w:color="auto"/>
        <w:left w:val="none" w:sz="0" w:space="0" w:color="auto"/>
        <w:bottom w:val="none" w:sz="0" w:space="0" w:color="auto"/>
        <w:right w:val="none" w:sz="0" w:space="0" w:color="auto"/>
      </w:divBdr>
    </w:div>
    <w:div w:id="206336138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541DA8F-E895-46CD-AED2-414C33F2220C}">
  <we:reference id="74296acf-ff86-450c-9340-d30ee71775ae" version="1.0.5.0" store="EXCatalog" storeType="EXCatalog"/>
  <we:alternateReferences>
    <we:reference id="WA200001482" version="1.0.5.0" store="cs-CZ"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Pages>
  <Words>3504</Words>
  <Characters>20674</Characters>
  <Application>Microsoft Office Word</Application>
  <DocSecurity>0</DocSecurity>
  <Lines>172</Lines>
  <Paragraphs>48</Paragraphs>
  <ScaleCrop>false</ScaleCrop>
  <HeadingPairs>
    <vt:vector size="6" baseType="variant">
      <vt:variant>
        <vt:lpstr>Název</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24130</CharactersWithSpaces>
  <SharedDoc>false</SharedDoc>
  <HLinks>
    <vt:vector size="24" baseType="variant">
      <vt:variant>
        <vt:i4>5636096</vt:i4>
      </vt:variant>
      <vt:variant>
        <vt:i4>9</vt:i4>
      </vt:variant>
      <vt:variant>
        <vt:i4>0</vt:i4>
      </vt:variant>
      <vt:variant>
        <vt:i4>5</vt:i4>
      </vt:variant>
      <vt:variant>
        <vt:lpwstr>https://doi.org/10.1016/j.jlp.2017.01.017</vt:lpwstr>
      </vt:variant>
      <vt:variant>
        <vt:lpwstr/>
      </vt:variant>
      <vt:variant>
        <vt:i4>3211388</vt:i4>
      </vt:variant>
      <vt:variant>
        <vt:i4>6</vt:i4>
      </vt:variant>
      <vt:variant>
        <vt:i4>0</vt:i4>
      </vt:variant>
      <vt:variant>
        <vt:i4>5</vt:i4>
      </vt:variant>
      <vt:variant>
        <vt:lpwstr>http://www.epa.gov/osweroe1/content/cameo/aloha.htm</vt:lpwstr>
      </vt:variant>
      <vt:variant>
        <vt:lpwstr/>
      </vt:variant>
      <vt:variant>
        <vt:i4>6029388</vt:i4>
      </vt:variant>
      <vt:variant>
        <vt:i4>3</vt:i4>
      </vt:variant>
      <vt:variant>
        <vt:i4>0</vt:i4>
      </vt:variant>
      <vt:variant>
        <vt:i4>5</vt:i4>
      </vt:variant>
      <vt:variant>
        <vt:lpwstr>https://www.sciencedirect.com/science/article/pii/S0950423017300670</vt:lpwstr>
      </vt:variant>
      <vt:variant>
        <vt:lpwstr>bbib29</vt:lpwstr>
      </vt:variant>
      <vt:variant>
        <vt:i4>5570639</vt:i4>
      </vt:variant>
      <vt:variant>
        <vt:i4>0</vt:i4>
      </vt:variant>
      <vt:variant>
        <vt:i4>0</vt:i4>
      </vt:variant>
      <vt:variant>
        <vt:i4>5</vt:i4>
      </vt:variant>
      <vt:variant>
        <vt:lpwstr>https://www.sciencedirect.com/science/article/pii/S0950423017300670</vt:lpwstr>
      </vt:variant>
      <vt:variant>
        <vt:lpwstr>bbib10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Klouda Karel</cp:lastModifiedBy>
  <cp:revision>49</cp:revision>
  <cp:lastPrinted>2015-05-12T18:31:00Z</cp:lastPrinted>
  <dcterms:created xsi:type="dcterms:W3CDTF">2025-05-09T12:09:00Z</dcterms:created>
  <dcterms:modified xsi:type="dcterms:W3CDTF">2025-05-09T17:00:00Z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