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005" w:rsidRDefault="00B52553">
      <w:pPr>
        <w:pStyle w:val="CETTitle"/>
      </w:pPr>
      <w:r>
        <w:t>Study of corrosion rate and protection efficiency of locally synthesized composite inhibitors for steel 20 using the gravimetric method</w:t>
      </w:r>
    </w:p>
    <w:p w:rsidR="00E60005" w:rsidRDefault="00D627BC">
      <w:pPr>
        <w:pStyle w:val="CETAuthors"/>
      </w:pPr>
      <w:r>
        <w:t>Jahongir Sharopov</w:t>
      </w:r>
      <w:r>
        <w:rPr>
          <w:vertAlign w:val="superscript"/>
        </w:rPr>
        <w:t>a,</w:t>
      </w:r>
      <w:r>
        <w:t>*, Oybek Makhammadiyev</w:t>
      </w:r>
      <w:r>
        <w:rPr>
          <w:vertAlign w:val="superscript"/>
        </w:rPr>
        <w:t>a</w:t>
      </w:r>
      <w:r>
        <w:t xml:space="preserve">, Qunduz </w:t>
      </w:r>
      <w:r>
        <w:t>Soqiyeva</w:t>
      </w:r>
      <w:r>
        <w:rPr>
          <w:vertAlign w:val="superscript"/>
        </w:rPr>
        <w:t>b</w:t>
      </w:r>
      <w:r>
        <w:t>, Zumrad Abzalova</w:t>
      </w:r>
      <w:r>
        <w:rPr>
          <w:vertAlign w:val="superscript"/>
        </w:rPr>
        <w:t>c</w:t>
      </w:r>
      <w:r>
        <w:t>, Zarina Arabova</w:t>
      </w:r>
      <w:r>
        <w:rPr>
          <w:vertAlign w:val="superscript"/>
        </w:rPr>
        <w:t>d</w:t>
      </w:r>
      <w:r>
        <w:t>, Chimri Begimqulova</w:t>
      </w:r>
      <w:r>
        <w:rPr>
          <w:vertAlign w:val="superscript"/>
        </w:rPr>
        <w:t>d</w:t>
      </w:r>
    </w:p>
    <w:p w:rsidR="00E60005" w:rsidRDefault="00D627BC">
      <w:pPr>
        <w:pStyle w:val="CETAddress"/>
      </w:pPr>
      <w:r>
        <w:rPr>
          <w:vertAlign w:val="superscript"/>
        </w:rPr>
        <w:t>a</w:t>
      </w:r>
      <w:r>
        <w:t>Tashkent State Technical University, Tashkent, Uzbekistan</w:t>
      </w:r>
    </w:p>
    <w:p w:rsidR="00E60005" w:rsidRDefault="00D627BC">
      <w:pPr>
        <w:pStyle w:val="CETAddress"/>
      </w:pPr>
      <w:r>
        <w:rPr>
          <w:vertAlign w:val="superscript"/>
        </w:rPr>
        <w:t>b</w:t>
      </w:r>
      <w:r>
        <w:t>Tashkent Institute of Chemical Technology, Tashkent, Uzbekistan</w:t>
      </w:r>
    </w:p>
    <w:p w:rsidR="00E60005" w:rsidRDefault="00D627BC">
      <w:pPr>
        <w:pStyle w:val="CETAddress"/>
      </w:pPr>
      <w:r>
        <w:rPr>
          <w:vertAlign w:val="superscript"/>
        </w:rPr>
        <w:t>c</w:t>
      </w:r>
      <w:r>
        <w:t>Tashkent Pharmaceutical Institute, Tashkent, Uzbekistan</w:t>
      </w:r>
    </w:p>
    <w:p w:rsidR="00E60005" w:rsidRDefault="00D627BC">
      <w:pPr>
        <w:pStyle w:val="CETAddress"/>
      </w:pPr>
      <w:r>
        <w:rPr>
          <w:vertAlign w:val="superscript"/>
        </w:rPr>
        <w:t>d</w:t>
      </w:r>
      <w:r>
        <w:t>Qarshi S</w:t>
      </w:r>
      <w:r>
        <w:t>tate University, Qarshi, Uzbekistan</w:t>
      </w:r>
    </w:p>
    <w:p w:rsidR="00E60005" w:rsidRDefault="00D627BC">
      <w:pPr>
        <w:pStyle w:val="CETemail"/>
      </w:pPr>
      <w:r>
        <w:t>jahongir.user@gmail.com</w:t>
      </w:r>
    </w:p>
    <w:p w:rsidR="00E60005" w:rsidRDefault="00D627BC">
      <w:pPr>
        <w:pStyle w:val="CETBodytext"/>
      </w:pPr>
      <w:r>
        <w:t>Steel 20 is widely used in industrial pipelines, acid cleaning and chemical processing equipment, where hydrochloric and sulfuric acid media can cause rapid metal dissolution. This study evaluates</w:t>
      </w:r>
      <w:r>
        <w:t xml:space="preserve"> locally synthesized water-soluble composite inhibitors as alternatives to imported commercial products. The protective performance of the EFGK, EFGT-1, EFGT-2, DFGT and EFGK-1 formulations was determined by the gravimetric weight-loss method in 0.5 M HCl,</w:t>
      </w:r>
      <w:r>
        <w:t xml:space="preserve"> 0.5 M H</w:t>
      </w:r>
      <w:r>
        <w:rPr>
          <w:vertAlign w:val="subscript"/>
        </w:rPr>
        <w:t>2</w:t>
      </w:r>
      <w:r>
        <w:t>SO</w:t>
      </w:r>
      <w:r>
        <w:rPr>
          <w:vertAlign w:val="subscript"/>
        </w:rPr>
        <w:t>4</w:t>
      </w:r>
      <w:r>
        <w:t xml:space="preserve"> and 0.5 M HCl + 200 mg L</w:t>
      </w:r>
      <w:r>
        <w:rPr>
          <w:vertAlign w:val="superscript"/>
        </w:rPr>
        <w:t>−1</w:t>
      </w:r>
      <w:r>
        <w:t xml:space="preserve"> NaCl solutions at 30–70 °C and inhibitor concentrations of 50–250 mg L</w:t>
      </w:r>
      <w:r>
        <w:rPr>
          <w:vertAlign w:val="superscript"/>
        </w:rPr>
        <w:t>−1</w:t>
      </w:r>
      <w:r>
        <w:t>. In 0.5 M HCl, EFGT-1 reached 94.75 % protection at 250 mg L</w:t>
      </w:r>
      <w:r>
        <w:rPr>
          <w:vertAlign w:val="superscript"/>
        </w:rPr>
        <w:t>−1</w:t>
      </w:r>
      <w:r>
        <w:t xml:space="preserve"> and 70 °C, while EFGT-2 and EFGK reached 93.62 % and 90.84 %. In 0.5 M H</w:t>
      </w:r>
      <w:r>
        <w:rPr>
          <w:vertAlign w:val="subscript"/>
        </w:rPr>
        <w:t>2</w:t>
      </w:r>
      <w:r>
        <w:t>SO</w:t>
      </w:r>
      <w:r>
        <w:rPr>
          <w:vertAlign w:val="subscript"/>
        </w:rPr>
        <w:t>4</w:t>
      </w:r>
      <w:r>
        <w:t>, th</w:t>
      </w:r>
      <w:r>
        <w:t>e corresponding efficiencies were 92.63 %, 92.14 % and 87.56 %. In the acid–salt solution, DFGT gave 93.26 % protection at 200 mg L</w:t>
      </w:r>
      <w:r>
        <w:rPr>
          <w:vertAlign w:val="superscript"/>
        </w:rPr>
        <w:t>−1</w:t>
      </w:r>
      <w:r>
        <w:t>, slightly higher than EFGT (92.25 %). EFGK-1 showed the best result in 0.5 M HCl at 200 mg L</w:t>
      </w:r>
      <w:r>
        <w:rPr>
          <w:vertAlign w:val="superscript"/>
        </w:rPr>
        <w:t>−1</w:t>
      </w:r>
      <w:r>
        <w:t>, reaching 95.89 %. The inhi</w:t>
      </w:r>
      <w:r>
        <w:t>bition effect is attributed to the adsorption of N-, O- and S-containing functional groups on the steel surface, leading to a compact protective film that hinders acid attack. The synthesized inhibitors demonstrated efficiencies comparable with the importe</w:t>
      </w:r>
      <w:r>
        <w:t>d Fleck and Flogard products and can be considered technologically and economically attractive formulations for acidic industrial media.</w:t>
      </w:r>
    </w:p>
    <w:p w:rsidR="00E60005" w:rsidRDefault="00D627BC">
      <w:pPr>
        <w:pStyle w:val="CETHeading1"/>
      </w:pPr>
      <w:r>
        <w:t>Introduction</w:t>
      </w:r>
    </w:p>
    <w:p w:rsidR="00E60005" w:rsidRDefault="00D627BC">
      <w:pPr>
        <w:pStyle w:val="CETBodytext"/>
      </w:pPr>
      <w:r>
        <w:t>Low-carbon and mild steels remain among the most widely used structural materials in industrial pipelines,</w:t>
      </w:r>
      <w:r>
        <w:t xml:space="preserve"> heat-exchange equipment and acid cleaning systems because they combine sufficient mechanical strength with relatively low cost. However, contact with hydrochloric and sulfuric acid during pickling, descaling and chemical cleaning accelerates anodic dissol</w:t>
      </w:r>
      <w:r>
        <w:t>ution of iron and can substantially increase maintenance and replacement costs.</w:t>
      </w:r>
    </w:p>
    <w:p w:rsidR="00E60005" w:rsidRDefault="00D627BC">
      <w:pPr>
        <w:pStyle w:val="CETBodytext"/>
      </w:pPr>
      <w:r>
        <w:t>Organic inhibitors are a practical route for reducing the dissolution rate of steel in acidic environments; the general principles of their selection and application were syste</w:t>
      </w:r>
      <w:r>
        <w:t>matized by Sastri (1998). Quraishi et al. (2001) related the protection of mild steel in hydrochloric acid to the donor ability of N- and S-containing molecules, and Ahamad et al. (2010) confirmed by thermodynamic, electrochemical and quantum chemical meth</w:t>
      </w:r>
      <w:r>
        <w:t xml:space="preserve">ods that Schiff bases act through the adsorption of electron-donating centres. Bentiss et al. (2000) showed that heterocyclic 1,3,4-oxadiazoles form stable protective layers in acidic media, and Babic-Samardzija et al. (2005) related the inhibiting action </w:t>
      </w:r>
      <w:r>
        <w:t>of organic compounds to their molecular structure and coordination ability.</w:t>
      </w:r>
    </w:p>
    <w:p w:rsidR="00E60005" w:rsidRDefault="00D627BC">
      <w:pPr>
        <w:pStyle w:val="CETBodytext"/>
      </w:pPr>
      <w:r>
        <w:t>A wide range of molecular architectures has been examined for acid media. Hegazy et al. (2011) reported effective inhibition of carbon steel in hydrochloric acid by cationic surfac</w:t>
      </w:r>
      <w:r>
        <w:t>tants, and Hegazy and Atlam (2016) extended this approach to bolaamphiphiles. Farag et al. (2015) applied polyester derivatives, and Fouda et al. (2013) evaluated several organic compounds for carbon steel in acid. Umoren and Ekanem (2010) compared natural</w:t>
      </w:r>
      <w:r>
        <w:t xml:space="preserve"> and synthetic inhibitors, Obot et al. (2011) analysed the adsorption characteristics of organic inhibitors, and Kannan et al. (2016) reported adsorption and quantum chemical studies of a benzimidazolium compound on carbon steel.</w:t>
      </w:r>
    </w:p>
    <w:p w:rsidR="00E60005" w:rsidRDefault="00D627BC">
      <w:pPr>
        <w:pStyle w:val="CETBodytext"/>
      </w:pPr>
      <w:r>
        <w:t>In chloride-containing med</w:t>
      </w:r>
      <w:r>
        <w:t>ia, ionic species additionally influence the surface charge of the metal and the adsorption of inhibitor molecules. Zhou et al. (2013) showed that chloride-driven electrochemical migration governs the failure of copper conductors in salt-containing environ</w:t>
      </w:r>
      <w:r>
        <w:t>ments, and Wang et al. (2015) demonstrated by electrochemical and DFT methods that quinoline derivatives remain effective adsorption-type inhibitors in NaCl solution. The behaviour of inhibitors in combined acid–salt systems therefore requires separate eva</w:t>
      </w:r>
      <w:r>
        <w:t>luation.</w:t>
      </w:r>
    </w:p>
    <w:p w:rsidR="00E60005" w:rsidRDefault="00D627BC">
      <w:pPr>
        <w:pStyle w:val="CETBodytext"/>
      </w:pPr>
      <w:r>
        <w:t xml:space="preserve">Despite the availability of commercial products, the local synthesis of inhibitors from accessible raw materials is relevant because imported inhibitors increase the operating cost of corrosion protection, their composition is not </w:t>
      </w:r>
      <w:r>
        <w:lastRenderedPageBreak/>
        <w:t>always optimized</w:t>
      </w:r>
      <w:r>
        <w:t xml:space="preserve"> for local water chemistry and operating temperature, and composite molecules containing amine, carbamide, thiocarbamide and hydroxyl fragments can provide multiple adsorption centres for a protective interfacial film. Such water-soluble formulations are a</w:t>
      </w:r>
      <w:r>
        <w:t>lso environmentally and economically attractive, being effective at low working concentrations of 50–250 mg L</w:t>
      </w:r>
      <w:r>
        <w:rPr>
          <w:vertAlign w:val="superscript"/>
        </w:rPr>
        <w:t>−1</w:t>
      </w:r>
      <w:r>
        <w:t>. The synthesis of the EFGK and EFGT series from local raw materials was reported by Maxammadiyev et al. (2021), and the functional groups formed</w:t>
      </w:r>
      <w:r>
        <w:t xml:space="preserve"> in these formulations were identified by IR spectroscopy (Maxammadiyev and Beknazarov, 2022). The purpose of this work was to evaluate locally synthesized composite inhibitors for Steel 20 in acidic and acid–salt media using a reproducible gravimetric met</w:t>
      </w:r>
      <w:r>
        <w:t>hod and to compare their performance with imported analogues.</w:t>
      </w:r>
    </w:p>
    <w:p w:rsidR="00E60005" w:rsidRDefault="00D627BC">
      <w:pPr>
        <w:pStyle w:val="CETHeading1"/>
      </w:pPr>
      <w:r>
        <w:t>Materials and methods</w:t>
      </w:r>
    </w:p>
    <w:p w:rsidR="00E60005" w:rsidRDefault="00D627BC">
      <w:pPr>
        <w:pStyle w:val="CETheadingx"/>
      </w:pPr>
      <w:r>
        <w:t>Materials and inhibitor codes</w:t>
      </w:r>
    </w:p>
    <w:p w:rsidR="00E60005" w:rsidRDefault="00D627BC">
      <w:pPr>
        <w:pStyle w:val="CETBodytext"/>
      </w:pPr>
      <w:r>
        <w:t>Hydrochloric acid and sulfuric acid solutions with a concentration of 0.5 M were used as aggressive media. The acid–salt medium was prepared a</w:t>
      </w:r>
      <w:r>
        <w:t>s 0.5 M HCl containing 200 mg L</w:t>
      </w:r>
      <w:r>
        <w:rPr>
          <w:vertAlign w:val="superscript"/>
        </w:rPr>
        <w:t>−1</w:t>
      </w:r>
      <w:r>
        <w:t xml:space="preserve"> NaCl. Steel 20 plates with the following chemical composition (wt %): C 0.20, Mn 0.50, Cr 0.25, Cu 0.20, Si 0.17, S 0.05, Ni 0.04, P 0.04, Fe balance, were used as test specimens; before exposure they were mechanically cle</w:t>
      </w:r>
      <w:r>
        <w:t>aned, degreased, dried and weighed. The imported inhibitors Fleck and Flogard were used as reference formulations for comparison with the synthesized products. The inhibitor codes used in this work are defined in Table 1; the synthesized series also includ</w:t>
      </w:r>
      <w:r>
        <w:t>es the DFGK, MFGK and MFGT analogues, which were not evaluated in this study. The suffix -1 or -2 indicates a formulation variant within the same inhibitor family, obtained by changing the molar ratio of the starting components while preserving the same ba</w:t>
      </w:r>
      <w:r>
        <w:t>se chemical class.</w:t>
      </w:r>
    </w:p>
    <w:p w:rsidR="00E60005" w:rsidRDefault="00D627BC">
      <w:pPr>
        <w:pStyle w:val="CETTabletitle"/>
      </w:pPr>
      <w:r>
        <w:t>Table 1: Nomenclature of the synthesized inhibitor series</w:t>
      </w:r>
    </w:p>
    <w:tbl>
      <w:tblPr>
        <w:tblW w:w="0" w:type="auto"/>
        <w:tblBorders>
          <w:top w:val="single" w:sz="12" w:space="0" w:color="008000"/>
          <w:bottom w:val="single" w:sz="12" w:space="0" w:color="008000"/>
        </w:tblBorders>
        <w:tblLayout w:type="fixed"/>
        <w:tblCellMar>
          <w:left w:w="0" w:type="dxa"/>
          <w:right w:w="85" w:type="dxa"/>
        </w:tblCellMar>
        <w:tblLook w:val="04A0" w:firstRow="1" w:lastRow="0" w:firstColumn="1" w:lastColumn="0" w:noHBand="0" w:noVBand="1"/>
      </w:tblPr>
      <w:tblGrid>
        <w:gridCol w:w="1100"/>
        <w:gridCol w:w="4600"/>
        <w:gridCol w:w="3087"/>
      </w:tblGrid>
      <w:tr w:rsidR="00E60005">
        <w:tc>
          <w:tcPr>
            <w:tcW w:w="1100" w:type="dxa"/>
            <w:tcBorders>
              <w:bottom w:val="single" w:sz="6" w:space="0" w:color="008000"/>
            </w:tcBorders>
          </w:tcPr>
          <w:p w:rsidR="00E60005" w:rsidRDefault="00D627BC">
            <w:pPr>
              <w:pStyle w:val="CETBodytext"/>
              <w:spacing w:line="220" w:lineRule="exact"/>
            </w:pPr>
            <w:r>
              <w:t>Code</w:t>
            </w:r>
          </w:p>
        </w:tc>
        <w:tc>
          <w:tcPr>
            <w:tcW w:w="4600" w:type="dxa"/>
            <w:tcBorders>
              <w:bottom w:val="single" w:sz="6" w:space="0" w:color="008000"/>
            </w:tcBorders>
          </w:tcPr>
          <w:p w:rsidR="00E60005" w:rsidRDefault="00D627BC">
            <w:pPr>
              <w:pStyle w:val="CETBodytext"/>
              <w:spacing w:line="220" w:lineRule="exact"/>
            </w:pPr>
            <w:r>
              <w:t>Base composition</w:t>
            </w:r>
          </w:p>
        </w:tc>
        <w:tc>
          <w:tcPr>
            <w:tcW w:w="3087" w:type="dxa"/>
            <w:tcBorders>
              <w:bottom w:val="single" w:sz="6" w:space="0" w:color="008000"/>
            </w:tcBorders>
          </w:tcPr>
          <w:p w:rsidR="00E60005" w:rsidRDefault="00D627BC">
            <w:pPr>
              <w:pStyle w:val="CETBodytext"/>
              <w:spacing w:line="220" w:lineRule="exact"/>
            </w:pPr>
            <w:r>
              <w:t>Evaluated in this work</w:t>
            </w:r>
          </w:p>
        </w:tc>
      </w:tr>
      <w:tr w:rsidR="00E60005">
        <w:tc>
          <w:tcPr>
            <w:tcW w:w="1100" w:type="dxa"/>
          </w:tcPr>
          <w:p w:rsidR="00E60005" w:rsidRDefault="00D627BC">
            <w:pPr>
              <w:pStyle w:val="CETBodytext"/>
              <w:spacing w:line="220" w:lineRule="exact"/>
            </w:pPr>
            <w:r>
              <w:t>EFGT</w:t>
            </w:r>
          </w:p>
        </w:tc>
        <w:tc>
          <w:tcPr>
            <w:tcW w:w="4600" w:type="dxa"/>
          </w:tcPr>
          <w:p w:rsidR="00E60005" w:rsidRDefault="00D627BC">
            <w:pPr>
              <w:pStyle w:val="CETBodytext"/>
              <w:spacing w:line="220" w:lineRule="exact"/>
            </w:pPr>
            <w:r>
              <w:t>Ethylenediamine–thiocarbamide (thiourea) composite</w:t>
            </w:r>
          </w:p>
        </w:tc>
        <w:tc>
          <w:tcPr>
            <w:tcW w:w="3087" w:type="dxa"/>
          </w:tcPr>
          <w:p w:rsidR="00E60005" w:rsidRDefault="00D627BC">
            <w:pPr>
              <w:pStyle w:val="CETBodytext"/>
              <w:spacing w:line="220" w:lineRule="exact"/>
            </w:pPr>
            <w:r>
              <w:t>EFGT-1 and EFGT-2 variants; EFGT in acid–salt medium</w:t>
            </w:r>
          </w:p>
        </w:tc>
      </w:tr>
      <w:tr w:rsidR="00E60005">
        <w:tc>
          <w:tcPr>
            <w:tcW w:w="1100" w:type="dxa"/>
          </w:tcPr>
          <w:p w:rsidR="00E60005" w:rsidRDefault="00D627BC">
            <w:pPr>
              <w:pStyle w:val="CETBodytext"/>
              <w:spacing w:line="220" w:lineRule="exact"/>
            </w:pPr>
            <w:r>
              <w:t>EFGK</w:t>
            </w:r>
          </w:p>
        </w:tc>
        <w:tc>
          <w:tcPr>
            <w:tcW w:w="4600" w:type="dxa"/>
          </w:tcPr>
          <w:p w:rsidR="00E60005" w:rsidRDefault="00D627BC">
            <w:pPr>
              <w:pStyle w:val="CETBodytext"/>
              <w:spacing w:line="220" w:lineRule="exact"/>
            </w:pPr>
            <w:r>
              <w:t>Ethylenediamine–carbamide (urea) composite</w:t>
            </w:r>
          </w:p>
        </w:tc>
        <w:tc>
          <w:tcPr>
            <w:tcW w:w="3087" w:type="dxa"/>
          </w:tcPr>
          <w:p w:rsidR="00E60005" w:rsidRDefault="00D627BC">
            <w:pPr>
              <w:pStyle w:val="CETBodytext"/>
              <w:spacing w:line="220" w:lineRule="exact"/>
            </w:pPr>
            <w:r>
              <w:t>EFGK and EFGK-1 variants</w:t>
            </w:r>
          </w:p>
        </w:tc>
      </w:tr>
      <w:tr w:rsidR="00E60005">
        <w:tc>
          <w:tcPr>
            <w:tcW w:w="1100" w:type="dxa"/>
          </w:tcPr>
          <w:p w:rsidR="00E60005" w:rsidRDefault="00D627BC">
            <w:pPr>
              <w:pStyle w:val="CETBodytext"/>
              <w:spacing w:line="220" w:lineRule="exact"/>
            </w:pPr>
            <w:r>
              <w:t>DFGT</w:t>
            </w:r>
          </w:p>
        </w:tc>
        <w:tc>
          <w:tcPr>
            <w:tcW w:w="4600" w:type="dxa"/>
          </w:tcPr>
          <w:p w:rsidR="00E60005" w:rsidRDefault="00D627BC">
            <w:pPr>
              <w:pStyle w:val="CETBodytext"/>
              <w:spacing w:line="220" w:lineRule="exact"/>
            </w:pPr>
            <w:r>
              <w:t>Diethanolamine–thiocarbamide (thiourea) composite</w:t>
            </w:r>
          </w:p>
        </w:tc>
        <w:tc>
          <w:tcPr>
            <w:tcW w:w="3087" w:type="dxa"/>
          </w:tcPr>
          <w:p w:rsidR="00E60005" w:rsidRDefault="00D627BC">
            <w:pPr>
              <w:pStyle w:val="CETBodytext"/>
              <w:spacing w:line="220" w:lineRule="exact"/>
            </w:pPr>
            <w:r>
              <w:t>Acid–salt medium</w:t>
            </w:r>
          </w:p>
        </w:tc>
      </w:tr>
    </w:tbl>
    <w:p w:rsidR="00E60005" w:rsidRDefault="00D627BC">
      <w:pPr>
        <w:pStyle w:val="CETheadingx"/>
      </w:pPr>
      <w:r>
        <w:t>Synthesis approach</w:t>
      </w:r>
    </w:p>
    <w:p w:rsidR="00E60005" w:rsidRDefault="00D627BC">
      <w:pPr>
        <w:pStyle w:val="CETBodytext"/>
      </w:pPr>
      <w:r>
        <w:t xml:space="preserve">The composite inhibitors were synthesized at the laboratory of the Tashkent Research Institute </w:t>
      </w:r>
      <w:r>
        <w:t>of Chemical Technology using locally available amine-containing raw materials. Ethylenediamine, diethanolamine or monoethanolamine were used as the amine component, while carbamide or thiocarbamide supplied additional O, N or S donor sites. Phosphoric acid</w:t>
      </w:r>
      <w:r>
        <w:t xml:space="preserve"> and glycerol were used as modifying components in the synthesis of the ethylenediamine-based formulations. The obtained water-soluble inhibitor concentrates were diluted to the required working concentrations immediately before the corrosion tests.</w:t>
      </w:r>
    </w:p>
    <w:p w:rsidR="00E60005" w:rsidRDefault="00D627BC">
      <w:pPr>
        <w:pStyle w:val="CETBodytext"/>
      </w:pPr>
      <w:r>
        <w:t xml:space="preserve">These </w:t>
      </w:r>
      <w:r>
        <w:t xml:space="preserve">components were selected because amine, hydroxyl, carbamide and thiocarbamide fragments can be protonated in acid and can interact with the steel surface through the lone electron pairs of N, O and S atoms, which promotes adsorption and the formation of a </w:t>
      </w:r>
      <w:r>
        <w:t>compact protective layer.</w:t>
      </w:r>
    </w:p>
    <w:p w:rsidR="00E60005" w:rsidRDefault="00D627BC">
      <w:pPr>
        <w:pStyle w:val="CETheadingx"/>
      </w:pPr>
      <w:r>
        <w:t>Gravimetric procedure and calculations</w:t>
      </w:r>
    </w:p>
    <w:p w:rsidR="00E60005" w:rsidRDefault="00D627BC">
      <w:pPr>
        <w:pStyle w:val="CETBodytext"/>
      </w:pPr>
      <w:r>
        <w:t>The corrosion rate was determined by the gravimetric method according to GOST 9.506-87. Experiments were performed in the temperature range of 30–70 °C at a liquid flow velocity of 1.1 m s</w:t>
      </w:r>
      <w:r>
        <w:rPr>
          <w:vertAlign w:val="superscript"/>
        </w:rPr>
        <w:t>−1</w:t>
      </w:r>
      <w:r>
        <w:t>.</w:t>
      </w:r>
      <w:r>
        <w:t xml:space="preserve"> Steel 20 plates with dimensions of 20 × 30 × 3 mm were used. Each specimen was weighed on an analytical balance before and after exposure. After immersion, corrosion products were removed from the surface, and the specimens were washed, dried and weighed </w:t>
      </w:r>
      <w:r>
        <w:t>again. All compared tests were performed under the same exposure-time conditions. The corrosion rate W and the protection efficiency Z were calculated using Eq(1) and Eq(2):</w:t>
      </w:r>
    </w:p>
    <w:tbl>
      <w:tblPr>
        <w:tblW w:w="0" w:type="auto"/>
        <w:tblLayout w:type="fixed"/>
        <w:tblCellMar>
          <w:left w:w="0" w:type="dxa"/>
          <w:right w:w="85" w:type="dxa"/>
        </w:tblCellMar>
        <w:tblLook w:val="04A0" w:firstRow="1" w:lastRow="0" w:firstColumn="1" w:lastColumn="0" w:noHBand="0" w:noVBand="1"/>
      </w:tblPr>
      <w:tblGrid>
        <w:gridCol w:w="7986"/>
        <w:gridCol w:w="801"/>
      </w:tblGrid>
      <w:tr w:rsidR="00E60005">
        <w:tc>
          <w:tcPr>
            <w:tcW w:w="7986" w:type="dxa"/>
            <w:vAlign w:val="center"/>
          </w:tcPr>
          <w:p w:rsidR="00E60005" w:rsidRDefault="00D627BC">
            <w:pPr>
              <w:pStyle w:val="CETEquation"/>
            </w:pPr>
            <w:r>
              <w:t>W = (m</w:t>
            </w:r>
            <w:r>
              <w:rPr>
                <w:vertAlign w:val="subscript"/>
              </w:rPr>
              <w:t>0</w:t>
            </w:r>
            <w:r>
              <w:t xml:space="preserve"> − m</w:t>
            </w:r>
            <w:r>
              <w:rPr>
                <w:vertAlign w:val="subscript"/>
              </w:rPr>
              <w:t>1</w:t>
            </w:r>
            <w:r>
              <w:t>) / (S·t)</w:t>
            </w:r>
          </w:p>
        </w:tc>
        <w:tc>
          <w:tcPr>
            <w:tcW w:w="801" w:type="dxa"/>
            <w:vAlign w:val="center"/>
          </w:tcPr>
          <w:p w:rsidR="00E60005" w:rsidRDefault="00D627BC">
            <w:pPr>
              <w:pStyle w:val="CETEquation"/>
            </w:pPr>
            <w:r>
              <w:t>(1)</w:t>
            </w:r>
          </w:p>
        </w:tc>
      </w:tr>
      <w:tr w:rsidR="00E60005">
        <w:tc>
          <w:tcPr>
            <w:tcW w:w="7986" w:type="dxa"/>
            <w:vAlign w:val="center"/>
          </w:tcPr>
          <w:p w:rsidR="00E60005" w:rsidRDefault="00D627BC">
            <w:pPr>
              <w:pStyle w:val="CETEquation"/>
            </w:pPr>
            <w:r>
              <w:t>Z = ((W</w:t>
            </w:r>
            <w:r>
              <w:rPr>
                <w:vertAlign w:val="subscript"/>
              </w:rPr>
              <w:t>0</w:t>
            </w:r>
            <w:r>
              <w:t xml:space="preserve"> − W</w:t>
            </w:r>
            <w:r>
              <w:rPr>
                <w:vertAlign w:val="subscript"/>
              </w:rPr>
              <w:t>i</w:t>
            </w:r>
            <w:r>
              <w:t>) / W</w:t>
            </w:r>
            <w:r>
              <w:rPr>
                <w:vertAlign w:val="subscript"/>
              </w:rPr>
              <w:t>0</w:t>
            </w:r>
            <w:r>
              <w:t>) × 100</w:t>
            </w:r>
          </w:p>
        </w:tc>
        <w:tc>
          <w:tcPr>
            <w:tcW w:w="801" w:type="dxa"/>
            <w:vAlign w:val="center"/>
          </w:tcPr>
          <w:p w:rsidR="00E60005" w:rsidRDefault="00D627BC">
            <w:pPr>
              <w:pStyle w:val="CETEquation"/>
            </w:pPr>
            <w:r>
              <w:t>(2)</w:t>
            </w:r>
          </w:p>
        </w:tc>
      </w:tr>
    </w:tbl>
    <w:p w:rsidR="00E60005" w:rsidRDefault="00D627BC">
      <w:pPr>
        <w:pStyle w:val="CETBodytext"/>
      </w:pPr>
      <w:r>
        <w:t>where m</w:t>
      </w:r>
      <w:r>
        <w:rPr>
          <w:vertAlign w:val="subscript"/>
        </w:rPr>
        <w:t>0</w:t>
      </w:r>
      <w:r>
        <w:t xml:space="preserve"> and m</w:t>
      </w:r>
      <w:r>
        <w:rPr>
          <w:vertAlign w:val="subscript"/>
        </w:rPr>
        <w:t>1</w:t>
      </w:r>
      <w:r>
        <w:t xml:space="preserve"> are the specimen masses before and after exposure (g), S is the exposed surface area (m</w:t>
      </w:r>
      <w:r>
        <w:rPr>
          <w:vertAlign w:val="superscript"/>
        </w:rPr>
        <w:t>2</w:t>
      </w:r>
      <w:r>
        <w:t>), t is the exposure time (h), W</w:t>
      </w:r>
      <w:r>
        <w:rPr>
          <w:vertAlign w:val="subscript"/>
        </w:rPr>
        <w:t>0</w:t>
      </w:r>
      <w:r>
        <w:t xml:space="preserve"> is the corrosion rate without inhibitor and W</w:t>
      </w:r>
      <w:r>
        <w:rPr>
          <w:vertAlign w:val="subscript"/>
        </w:rPr>
        <w:t>i</w:t>
      </w:r>
      <w:r>
        <w:t xml:space="preserve"> is the corrosion rate in the presence of an inhibitor (g m</w:t>
      </w:r>
      <w:r>
        <w:rPr>
          <w:vertAlign w:val="superscript"/>
        </w:rPr>
        <w:t>−2</w:t>
      </w:r>
      <w:r>
        <w:t xml:space="preserve"> h</w:t>
      </w:r>
      <w:r>
        <w:rPr>
          <w:vertAlign w:val="superscript"/>
        </w:rPr>
        <w:t>−1</w:t>
      </w:r>
      <w:r>
        <w:t>). The overall experim</w:t>
      </w:r>
      <w:r>
        <w:t>ental workflow is shown in Figure 1.</w:t>
      </w:r>
    </w:p>
    <w:p w:rsidR="00E60005" w:rsidRDefault="00B52553">
      <w:pPr>
        <w:pStyle w:val="CETBodytext"/>
        <w:spacing w:before="120"/>
        <w:jc w:val="left"/>
      </w:pPr>
      <w:r>
        <w:rPr>
          <w:noProof/>
          <w:lang w:val="ru-RU" w:eastAsia="ru-RU"/>
        </w:rPr>
        <w:lastRenderedPageBreak/>
        <w:drawing>
          <wp:inline distT="0" distB="0" distL="0" distR="0">
            <wp:extent cx="5579745" cy="3140075"/>
            <wp:effectExtent l="0" t="0" r="190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atGPT Image 9 июл. 2026 г., 19_55_42.png"/>
                    <pic:cNvPicPr/>
                  </pic:nvPicPr>
                  <pic:blipFill>
                    <a:blip r:embed="rId8">
                      <a:extLst>
                        <a:ext uri="{28A0092B-C50C-407E-A947-70E740481C1C}">
                          <a14:useLocalDpi xmlns:a14="http://schemas.microsoft.com/office/drawing/2010/main" val="0"/>
                        </a:ext>
                      </a:extLst>
                    </a:blip>
                    <a:stretch>
                      <a:fillRect/>
                    </a:stretch>
                  </pic:blipFill>
                  <pic:spPr>
                    <a:xfrm>
                      <a:off x="0" y="0"/>
                      <a:ext cx="5579745" cy="3140075"/>
                    </a:xfrm>
                    <a:prstGeom prst="rect">
                      <a:avLst/>
                    </a:prstGeom>
                  </pic:spPr>
                </pic:pic>
              </a:graphicData>
            </a:graphic>
          </wp:inline>
        </w:drawing>
      </w:r>
    </w:p>
    <w:p w:rsidR="00E60005" w:rsidRDefault="00D627BC">
      <w:pPr>
        <w:pStyle w:val="CETCaption"/>
        <w:jc w:val="left"/>
      </w:pPr>
      <w:r>
        <w:t>Figure 1: Experimental workflow used to evaluate Steel 20 corrosion inhibitors by the gravimetric method</w:t>
      </w:r>
    </w:p>
    <w:p w:rsidR="00E60005" w:rsidRDefault="00D627BC">
      <w:pPr>
        <w:pStyle w:val="CETHeading1"/>
      </w:pPr>
      <w:r>
        <w:t>Results and discussion</w:t>
      </w:r>
    </w:p>
    <w:p w:rsidR="00E60005" w:rsidRDefault="00D627BC">
      <w:pPr>
        <w:pStyle w:val="CETheadingx"/>
      </w:pPr>
      <w:r>
        <w:t>Corrosion behaviour in 0.5 M HCl and 0.5 M H</w:t>
      </w:r>
      <w:r>
        <w:rPr>
          <w:vertAlign w:val="subscript"/>
        </w:rPr>
        <w:t>2</w:t>
      </w:r>
      <w:r>
        <w:t>SO</w:t>
      </w:r>
      <w:r>
        <w:rPr>
          <w:vertAlign w:val="subscript"/>
        </w:rPr>
        <w:t>4</w:t>
      </w:r>
    </w:p>
    <w:p w:rsidR="00E60005" w:rsidRDefault="00D627BC">
      <w:pPr>
        <w:pStyle w:val="CETBodytext"/>
      </w:pPr>
      <w:r>
        <w:t>The corrosion rate and protection effici</w:t>
      </w:r>
      <w:r>
        <w:t>ency of Steel 20 in 0.5 M HCl and 0.5 M H</w:t>
      </w:r>
      <w:r>
        <w:rPr>
          <w:vertAlign w:val="subscript"/>
        </w:rPr>
        <w:t>2</w:t>
      </w:r>
      <w:r>
        <w:t>SO</w:t>
      </w:r>
      <w:r>
        <w:rPr>
          <w:vertAlign w:val="subscript"/>
        </w:rPr>
        <w:t>4</w:t>
      </w:r>
      <w:r>
        <w:t xml:space="preserve"> are summarized in Table 2. The experimental series covered 30–70 °C and 50–250 mg L</w:t>
      </w:r>
      <w:r>
        <w:rPr>
          <w:vertAlign w:val="superscript"/>
        </w:rPr>
        <w:t>−1</w:t>
      </w:r>
      <w:r>
        <w:t xml:space="preserve"> inhibitor concentrations. The data show a significant decrease in corrosion rate in the presence of the inhibitors compared </w:t>
      </w:r>
      <w:r>
        <w:t>with the uninhibited acid media. In the uninhibited solutions, the corrosion rate increased from 0.0112 to 0.0522 g m</w:t>
      </w:r>
      <w:r>
        <w:rPr>
          <w:vertAlign w:val="superscript"/>
        </w:rPr>
        <w:t>−2</w:t>
      </w:r>
      <w:r>
        <w:t xml:space="preserve"> h</w:t>
      </w:r>
      <w:r>
        <w:rPr>
          <w:vertAlign w:val="superscript"/>
        </w:rPr>
        <w:t>−1</w:t>
      </w:r>
      <w:r>
        <w:t xml:space="preserve"> in HCl and from 0.0108 to 0.0513 g m</w:t>
      </w:r>
      <w:r>
        <w:rPr>
          <w:vertAlign w:val="superscript"/>
        </w:rPr>
        <w:t>−2</w:t>
      </w:r>
      <w:r>
        <w:t xml:space="preserve"> h</w:t>
      </w:r>
      <w:r>
        <w:rPr>
          <w:vertAlign w:val="superscript"/>
        </w:rPr>
        <w:t>−1</w:t>
      </w:r>
      <w:r>
        <w:t xml:space="preserve"> in H</w:t>
      </w:r>
      <w:r>
        <w:rPr>
          <w:vertAlign w:val="subscript"/>
        </w:rPr>
        <w:t>2</w:t>
      </w:r>
      <w:r>
        <w:t>SO</w:t>
      </w:r>
      <w:r>
        <w:rPr>
          <w:vertAlign w:val="subscript"/>
        </w:rPr>
        <w:t>4</w:t>
      </w:r>
      <w:r>
        <w:t xml:space="preserve"> as the temperature increased from 30 to 70 °C.</w:t>
      </w:r>
    </w:p>
    <w:p w:rsidR="00E60005" w:rsidRDefault="00D627BC">
      <w:pPr>
        <w:pStyle w:val="CETTabletitle"/>
      </w:pPr>
      <w:r>
        <w:t>Table 2: Corrosion rate (W, g m</w:t>
      </w:r>
      <w:r>
        <w:rPr>
          <w:vertAlign w:val="superscript"/>
        </w:rPr>
        <w:t>−2</w:t>
      </w:r>
      <w:r>
        <w:t xml:space="preserve"> h</w:t>
      </w:r>
      <w:r>
        <w:rPr>
          <w:vertAlign w:val="superscript"/>
        </w:rPr>
        <w:t>−1</w:t>
      </w:r>
      <w:r>
        <w:t>) and protection efficiency (Z, %) of Steel 20 in 0.5 M HCl and 0.5 M H</w:t>
      </w:r>
      <w:r>
        <w:rPr>
          <w:vertAlign w:val="subscript"/>
        </w:rPr>
        <w:t>2</w:t>
      </w:r>
      <w:r>
        <w:t>SO</w:t>
      </w:r>
      <w:r>
        <w:rPr>
          <w:vertAlign w:val="subscript"/>
        </w:rPr>
        <w:t>4</w:t>
      </w:r>
      <w:r>
        <w:t xml:space="preserve"> with and without inhibitors</w:t>
      </w:r>
    </w:p>
    <w:tbl>
      <w:tblPr>
        <w:tblW w:w="0" w:type="auto"/>
        <w:tblBorders>
          <w:top w:val="single" w:sz="12" w:space="0" w:color="008000"/>
          <w:bottom w:val="single" w:sz="12" w:space="0" w:color="008000"/>
        </w:tblBorders>
        <w:tblLayout w:type="fixed"/>
        <w:tblCellMar>
          <w:left w:w="0" w:type="dxa"/>
          <w:right w:w="85" w:type="dxa"/>
        </w:tblCellMar>
        <w:tblLook w:val="04A0" w:firstRow="1" w:lastRow="0" w:firstColumn="1" w:lastColumn="0" w:noHBand="0" w:noVBand="1"/>
      </w:tblPr>
      <w:tblGrid>
        <w:gridCol w:w="1600"/>
        <w:gridCol w:w="1250"/>
        <w:gridCol w:w="900"/>
        <w:gridCol w:w="1300"/>
        <w:gridCol w:w="1150"/>
        <w:gridCol w:w="1400"/>
        <w:gridCol w:w="1187"/>
      </w:tblGrid>
      <w:tr w:rsidR="00E60005">
        <w:tc>
          <w:tcPr>
            <w:tcW w:w="1600" w:type="dxa"/>
            <w:tcBorders>
              <w:bottom w:val="single" w:sz="6" w:space="0" w:color="008000"/>
            </w:tcBorders>
          </w:tcPr>
          <w:p w:rsidR="00E60005" w:rsidRDefault="00D627BC">
            <w:pPr>
              <w:pStyle w:val="CETBodytext"/>
              <w:spacing w:line="220" w:lineRule="exact"/>
            </w:pPr>
            <w:r>
              <w:t>Inhibitor</w:t>
            </w:r>
          </w:p>
        </w:tc>
        <w:tc>
          <w:tcPr>
            <w:tcW w:w="1250" w:type="dxa"/>
            <w:tcBorders>
              <w:bottom w:val="single" w:sz="6" w:space="0" w:color="008000"/>
            </w:tcBorders>
          </w:tcPr>
          <w:p w:rsidR="00E60005" w:rsidRDefault="00D627BC">
            <w:pPr>
              <w:pStyle w:val="CETBodytext"/>
              <w:spacing w:line="220" w:lineRule="exact"/>
            </w:pPr>
            <w:r>
              <w:t>C, mg L</w:t>
            </w:r>
            <w:r>
              <w:rPr>
                <w:vertAlign w:val="superscript"/>
              </w:rPr>
              <w:t>−1</w:t>
            </w:r>
          </w:p>
        </w:tc>
        <w:tc>
          <w:tcPr>
            <w:tcW w:w="900" w:type="dxa"/>
            <w:tcBorders>
              <w:bottom w:val="single" w:sz="6" w:space="0" w:color="008000"/>
            </w:tcBorders>
          </w:tcPr>
          <w:p w:rsidR="00E60005" w:rsidRDefault="00D627BC">
            <w:pPr>
              <w:pStyle w:val="CETBodytext"/>
              <w:spacing w:line="220" w:lineRule="exact"/>
            </w:pPr>
            <w:r>
              <w:t>T, °C</w:t>
            </w:r>
          </w:p>
        </w:tc>
        <w:tc>
          <w:tcPr>
            <w:tcW w:w="1300" w:type="dxa"/>
            <w:tcBorders>
              <w:bottom w:val="single" w:sz="6" w:space="0" w:color="008000"/>
            </w:tcBorders>
          </w:tcPr>
          <w:p w:rsidR="00E60005" w:rsidRDefault="00D627BC">
            <w:pPr>
              <w:pStyle w:val="CETBodytext"/>
              <w:spacing w:line="220" w:lineRule="exact"/>
            </w:pPr>
            <w:r>
              <w:t>W (HCl)</w:t>
            </w:r>
          </w:p>
        </w:tc>
        <w:tc>
          <w:tcPr>
            <w:tcW w:w="1150" w:type="dxa"/>
            <w:tcBorders>
              <w:bottom w:val="single" w:sz="6" w:space="0" w:color="008000"/>
            </w:tcBorders>
          </w:tcPr>
          <w:p w:rsidR="00E60005" w:rsidRDefault="00D627BC">
            <w:pPr>
              <w:pStyle w:val="CETBodytext"/>
              <w:spacing w:line="220" w:lineRule="exact"/>
            </w:pPr>
            <w:r>
              <w:t>Z (HCl)</w:t>
            </w:r>
          </w:p>
        </w:tc>
        <w:tc>
          <w:tcPr>
            <w:tcW w:w="1400" w:type="dxa"/>
            <w:tcBorders>
              <w:bottom w:val="single" w:sz="6" w:space="0" w:color="008000"/>
            </w:tcBorders>
          </w:tcPr>
          <w:p w:rsidR="00E60005" w:rsidRDefault="00D627BC">
            <w:pPr>
              <w:pStyle w:val="CETBodytext"/>
              <w:spacing w:line="220" w:lineRule="exact"/>
            </w:pPr>
            <w:r>
              <w:t>W (H</w:t>
            </w:r>
            <w:r>
              <w:rPr>
                <w:vertAlign w:val="subscript"/>
              </w:rPr>
              <w:t>2</w:t>
            </w:r>
            <w:r>
              <w:t>SO</w:t>
            </w:r>
            <w:r>
              <w:rPr>
                <w:vertAlign w:val="subscript"/>
              </w:rPr>
              <w:t>4</w:t>
            </w:r>
            <w:r>
              <w:t>)</w:t>
            </w:r>
          </w:p>
        </w:tc>
        <w:tc>
          <w:tcPr>
            <w:tcW w:w="1187" w:type="dxa"/>
            <w:tcBorders>
              <w:bottom w:val="single" w:sz="6" w:space="0" w:color="008000"/>
            </w:tcBorders>
          </w:tcPr>
          <w:p w:rsidR="00E60005" w:rsidRDefault="00D627BC">
            <w:pPr>
              <w:pStyle w:val="CETBodytext"/>
              <w:spacing w:line="220" w:lineRule="exact"/>
            </w:pPr>
            <w:r>
              <w:t>Z (H</w:t>
            </w:r>
            <w:r>
              <w:rPr>
                <w:vertAlign w:val="subscript"/>
              </w:rPr>
              <w:t>2</w:t>
            </w:r>
            <w:r>
              <w:t>SO</w:t>
            </w:r>
            <w:r>
              <w:rPr>
                <w:vertAlign w:val="subscript"/>
              </w:rPr>
              <w:t>4</w:t>
            </w:r>
            <w:r>
              <w:t>)</w:t>
            </w:r>
          </w:p>
        </w:tc>
      </w:tr>
      <w:tr w:rsidR="00E60005">
        <w:tc>
          <w:tcPr>
            <w:tcW w:w="1600" w:type="dxa"/>
          </w:tcPr>
          <w:p w:rsidR="00E60005" w:rsidRDefault="00D627BC">
            <w:pPr>
              <w:pStyle w:val="CETBodytext"/>
              <w:spacing w:line="220" w:lineRule="exact"/>
            </w:pPr>
            <w:r>
              <w:t>No inhibitor</w:t>
            </w:r>
          </w:p>
        </w:tc>
        <w:tc>
          <w:tcPr>
            <w:tcW w:w="1250" w:type="dxa"/>
          </w:tcPr>
          <w:p w:rsidR="00E60005" w:rsidRDefault="00D627BC">
            <w:pPr>
              <w:pStyle w:val="CETBodytext"/>
              <w:spacing w:line="220" w:lineRule="exact"/>
            </w:pPr>
            <w:r>
              <w:t>–</w:t>
            </w:r>
          </w:p>
        </w:tc>
        <w:tc>
          <w:tcPr>
            <w:tcW w:w="900" w:type="dxa"/>
          </w:tcPr>
          <w:p w:rsidR="00E60005" w:rsidRDefault="00D627BC">
            <w:pPr>
              <w:pStyle w:val="CETBodytext"/>
              <w:spacing w:line="220" w:lineRule="exact"/>
            </w:pPr>
            <w:r>
              <w:t>30</w:t>
            </w:r>
          </w:p>
        </w:tc>
        <w:tc>
          <w:tcPr>
            <w:tcW w:w="1300" w:type="dxa"/>
          </w:tcPr>
          <w:p w:rsidR="00E60005" w:rsidRDefault="00D627BC">
            <w:pPr>
              <w:pStyle w:val="CETBodytext"/>
              <w:spacing w:line="220" w:lineRule="exact"/>
            </w:pPr>
            <w:r>
              <w:t>0.0112</w:t>
            </w:r>
          </w:p>
        </w:tc>
        <w:tc>
          <w:tcPr>
            <w:tcW w:w="1150" w:type="dxa"/>
          </w:tcPr>
          <w:p w:rsidR="00E60005" w:rsidRDefault="00D627BC">
            <w:pPr>
              <w:pStyle w:val="CETBodytext"/>
              <w:spacing w:line="220" w:lineRule="exact"/>
            </w:pPr>
            <w:r>
              <w:t>–</w:t>
            </w:r>
          </w:p>
        </w:tc>
        <w:tc>
          <w:tcPr>
            <w:tcW w:w="1400" w:type="dxa"/>
          </w:tcPr>
          <w:p w:rsidR="00E60005" w:rsidRDefault="00D627BC">
            <w:pPr>
              <w:pStyle w:val="CETBodytext"/>
              <w:spacing w:line="220" w:lineRule="exact"/>
            </w:pPr>
            <w:r>
              <w:t>0.0108</w:t>
            </w:r>
          </w:p>
        </w:tc>
        <w:tc>
          <w:tcPr>
            <w:tcW w:w="1187" w:type="dxa"/>
          </w:tcPr>
          <w:p w:rsidR="00E60005" w:rsidRDefault="00D627BC">
            <w:pPr>
              <w:pStyle w:val="CETBodytext"/>
              <w:spacing w:line="220" w:lineRule="exact"/>
            </w:pPr>
            <w:r>
              <w:t>–</w:t>
            </w:r>
          </w:p>
        </w:tc>
      </w:tr>
      <w:tr w:rsidR="00E60005">
        <w:tc>
          <w:tcPr>
            <w:tcW w:w="1600" w:type="dxa"/>
          </w:tcPr>
          <w:p w:rsidR="00E60005" w:rsidRDefault="00D627BC">
            <w:pPr>
              <w:pStyle w:val="CETBodytext"/>
              <w:spacing w:line="220" w:lineRule="exact"/>
            </w:pPr>
            <w:r>
              <w:t>No inhibitor</w:t>
            </w:r>
          </w:p>
        </w:tc>
        <w:tc>
          <w:tcPr>
            <w:tcW w:w="1250" w:type="dxa"/>
          </w:tcPr>
          <w:p w:rsidR="00E60005" w:rsidRDefault="00D627BC">
            <w:pPr>
              <w:pStyle w:val="CETBodytext"/>
              <w:spacing w:line="220" w:lineRule="exact"/>
            </w:pPr>
            <w:r>
              <w:t>–</w:t>
            </w:r>
          </w:p>
        </w:tc>
        <w:tc>
          <w:tcPr>
            <w:tcW w:w="900" w:type="dxa"/>
          </w:tcPr>
          <w:p w:rsidR="00E60005" w:rsidRDefault="00D627BC">
            <w:pPr>
              <w:pStyle w:val="CETBodytext"/>
              <w:spacing w:line="220" w:lineRule="exact"/>
            </w:pPr>
            <w:r>
              <w:t>40</w:t>
            </w:r>
          </w:p>
        </w:tc>
        <w:tc>
          <w:tcPr>
            <w:tcW w:w="1300" w:type="dxa"/>
          </w:tcPr>
          <w:p w:rsidR="00E60005" w:rsidRDefault="00D627BC">
            <w:pPr>
              <w:pStyle w:val="CETBodytext"/>
              <w:spacing w:line="220" w:lineRule="exact"/>
            </w:pPr>
            <w:r>
              <w:t>0.0196</w:t>
            </w:r>
          </w:p>
        </w:tc>
        <w:tc>
          <w:tcPr>
            <w:tcW w:w="1150" w:type="dxa"/>
          </w:tcPr>
          <w:p w:rsidR="00E60005" w:rsidRDefault="00D627BC">
            <w:pPr>
              <w:pStyle w:val="CETBodytext"/>
              <w:spacing w:line="220" w:lineRule="exact"/>
            </w:pPr>
            <w:r>
              <w:t>–</w:t>
            </w:r>
          </w:p>
        </w:tc>
        <w:tc>
          <w:tcPr>
            <w:tcW w:w="1400" w:type="dxa"/>
          </w:tcPr>
          <w:p w:rsidR="00E60005" w:rsidRDefault="00D627BC">
            <w:pPr>
              <w:pStyle w:val="CETBodytext"/>
              <w:spacing w:line="220" w:lineRule="exact"/>
            </w:pPr>
            <w:r>
              <w:t>0.0203</w:t>
            </w:r>
          </w:p>
        </w:tc>
        <w:tc>
          <w:tcPr>
            <w:tcW w:w="1187" w:type="dxa"/>
          </w:tcPr>
          <w:p w:rsidR="00E60005" w:rsidRDefault="00D627BC">
            <w:pPr>
              <w:pStyle w:val="CETBodytext"/>
              <w:spacing w:line="220" w:lineRule="exact"/>
            </w:pPr>
            <w:r>
              <w:t>–</w:t>
            </w:r>
          </w:p>
        </w:tc>
      </w:tr>
      <w:tr w:rsidR="00E60005">
        <w:tc>
          <w:tcPr>
            <w:tcW w:w="1600" w:type="dxa"/>
          </w:tcPr>
          <w:p w:rsidR="00E60005" w:rsidRDefault="00D627BC">
            <w:pPr>
              <w:pStyle w:val="CETBodytext"/>
              <w:spacing w:line="220" w:lineRule="exact"/>
            </w:pPr>
            <w:r>
              <w:t xml:space="preserve">No </w:t>
            </w:r>
            <w:r>
              <w:t>inhibitor</w:t>
            </w:r>
          </w:p>
        </w:tc>
        <w:tc>
          <w:tcPr>
            <w:tcW w:w="1250" w:type="dxa"/>
          </w:tcPr>
          <w:p w:rsidR="00E60005" w:rsidRDefault="00D627BC">
            <w:pPr>
              <w:pStyle w:val="CETBodytext"/>
              <w:spacing w:line="220" w:lineRule="exact"/>
            </w:pPr>
            <w:r>
              <w:t>–</w:t>
            </w:r>
          </w:p>
        </w:tc>
        <w:tc>
          <w:tcPr>
            <w:tcW w:w="900" w:type="dxa"/>
          </w:tcPr>
          <w:p w:rsidR="00E60005" w:rsidRDefault="00D627BC">
            <w:pPr>
              <w:pStyle w:val="CETBodytext"/>
              <w:spacing w:line="220" w:lineRule="exact"/>
            </w:pPr>
            <w:r>
              <w:t>50</w:t>
            </w:r>
          </w:p>
        </w:tc>
        <w:tc>
          <w:tcPr>
            <w:tcW w:w="1300" w:type="dxa"/>
          </w:tcPr>
          <w:p w:rsidR="00E60005" w:rsidRDefault="00D627BC">
            <w:pPr>
              <w:pStyle w:val="CETBodytext"/>
              <w:spacing w:line="220" w:lineRule="exact"/>
            </w:pPr>
            <w:r>
              <w:t>0.0287</w:t>
            </w:r>
          </w:p>
        </w:tc>
        <w:tc>
          <w:tcPr>
            <w:tcW w:w="1150" w:type="dxa"/>
          </w:tcPr>
          <w:p w:rsidR="00E60005" w:rsidRDefault="00D627BC">
            <w:pPr>
              <w:pStyle w:val="CETBodytext"/>
              <w:spacing w:line="220" w:lineRule="exact"/>
            </w:pPr>
            <w:r>
              <w:t>–</w:t>
            </w:r>
          </w:p>
        </w:tc>
        <w:tc>
          <w:tcPr>
            <w:tcW w:w="1400" w:type="dxa"/>
          </w:tcPr>
          <w:p w:rsidR="00E60005" w:rsidRDefault="00D627BC">
            <w:pPr>
              <w:pStyle w:val="CETBodytext"/>
              <w:spacing w:line="220" w:lineRule="exact"/>
            </w:pPr>
            <w:r>
              <w:t>0.0291</w:t>
            </w:r>
          </w:p>
        </w:tc>
        <w:tc>
          <w:tcPr>
            <w:tcW w:w="1187" w:type="dxa"/>
          </w:tcPr>
          <w:p w:rsidR="00E60005" w:rsidRDefault="00D627BC">
            <w:pPr>
              <w:pStyle w:val="CETBodytext"/>
              <w:spacing w:line="220" w:lineRule="exact"/>
            </w:pPr>
            <w:r>
              <w:t>–</w:t>
            </w:r>
          </w:p>
        </w:tc>
      </w:tr>
      <w:tr w:rsidR="00E60005">
        <w:tc>
          <w:tcPr>
            <w:tcW w:w="1600" w:type="dxa"/>
          </w:tcPr>
          <w:p w:rsidR="00E60005" w:rsidRDefault="00D627BC">
            <w:pPr>
              <w:pStyle w:val="CETBodytext"/>
              <w:spacing w:line="220" w:lineRule="exact"/>
            </w:pPr>
            <w:r>
              <w:t>No inhibitor</w:t>
            </w:r>
          </w:p>
        </w:tc>
        <w:tc>
          <w:tcPr>
            <w:tcW w:w="1250" w:type="dxa"/>
          </w:tcPr>
          <w:p w:rsidR="00E60005" w:rsidRDefault="00D627BC">
            <w:pPr>
              <w:pStyle w:val="CETBodytext"/>
              <w:spacing w:line="220" w:lineRule="exact"/>
            </w:pPr>
            <w:r>
              <w:t>–</w:t>
            </w:r>
          </w:p>
        </w:tc>
        <w:tc>
          <w:tcPr>
            <w:tcW w:w="900" w:type="dxa"/>
          </w:tcPr>
          <w:p w:rsidR="00E60005" w:rsidRDefault="00D627BC">
            <w:pPr>
              <w:pStyle w:val="CETBodytext"/>
              <w:spacing w:line="220" w:lineRule="exact"/>
            </w:pPr>
            <w:r>
              <w:t>60</w:t>
            </w:r>
          </w:p>
        </w:tc>
        <w:tc>
          <w:tcPr>
            <w:tcW w:w="1300" w:type="dxa"/>
          </w:tcPr>
          <w:p w:rsidR="00E60005" w:rsidRDefault="00D627BC">
            <w:pPr>
              <w:pStyle w:val="CETBodytext"/>
              <w:spacing w:line="220" w:lineRule="exact"/>
            </w:pPr>
            <w:r>
              <w:t>0.0450</w:t>
            </w:r>
          </w:p>
        </w:tc>
        <w:tc>
          <w:tcPr>
            <w:tcW w:w="1150" w:type="dxa"/>
          </w:tcPr>
          <w:p w:rsidR="00E60005" w:rsidRDefault="00D627BC">
            <w:pPr>
              <w:pStyle w:val="CETBodytext"/>
              <w:spacing w:line="220" w:lineRule="exact"/>
            </w:pPr>
            <w:r>
              <w:t>–</w:t>
            </w:r>
          </w:p>
        </w:tc>
        <w:tc>
          <w:tcPr>
            <w:tcW w:w="1400" w:type="dxa"/>
          </w:tcPr>
          <w:p w:rsidR="00E60005" w:rsidRDefault="00D627BC">
            <w:pPr>
              <w:pStyle w:val="CETBodytext"/>
              <w:spacing w:line="220" w:lineRule="exact"/>
            </w:pPr>
            <w:r>
              <w:t>0.0459</w:t>
            </w:r>
          </w:p>
        </w:tc>
        <w:tc>
          <w:tcPr>
            <w:tcW w:w="1187" w:type="dxa"/>
          </w:tcPr>
          <w:p w:rsidR="00E60005" w:rsidRDefault="00D627BC">
            <w:pPr>
              <w:pStyle w:val="CETBodytext"/>
              <w:spacing w:line="220" w:lineRule="exact"/>
            </w:pPr>
            <w:r>
              <w:t>–</w:t>
            </w:r>
          </w:p>
        </w:tc>
      </w:tr>
      <w:tr w:rsidR="00E60005">
        <w:tc>
          <w:tcPr>
            <w:tcW w:w="1600" w:type="dxa"/>
          </w:tcPr>
          <w:p w:rsidR="00E60005" w:rsidRDefault="00D627BC">
            <w:pPr>
              <w:pStyle w:val="CETBodytext"/>
              <w:spacing w:line="220" w:lineRule="exact"/>
            </w:pPr>
            <w:r>
              <w:t>No inhibitor</w:t>
            </w:r>
          </w:p>
        </w:tc>
        <w:tc>
          <w:tcPr>
            <w:tcW w:w="1250" w:type="dxa"/>
          </w:tcPr>
          <w:p w:rsidR="00E60005" w:rsidRDefault="00D627BC">
            <w:pPr>
              <w:pStyle w:val="CETBodytext"/>
              <w:spacing w:line="220" w:lineRule="exact"/>
            </w:pPr>
            <w:r>
              <w:t>–</w:t>
            </w:r>
          </w:p>
        </w:tc>
        <w:tc>
          <w:tcPr>
            <w:tcW w:w="900" w:type="dxa"/>
          </w:tcPr>
          <w:p w:rsidR="00E60005" w:rsidRDefault="00D627BC">
            <w:pPr>
              <w:pStyle w:val="CETBodytext"/>
              <w:spacing w:line="220" w:lineRule="exact"/>
            </w:pPr>
            <w:r>
              <w:t>70</w:t>
            </w:r>
          </w:p>
        </w:tc>
        <w:tc>
          <w:tcPr>
            <w:tcW w:w="1300" w:type="dxa"/>
          </w:tcPr>
          <w:p w:rsidR="00E60005" w:rsidRDefault="00D627BC">
            <w:pPr>
              <w:pStyle w:val="CETBodytext"/>
              <w:spacing w:line="220" w:lineRule="exact"/>
            </w:pPr>
            <w:r>
              <w:t>0.0522</w:t>
            </w:r>
          </w:p>
        </w:tc>
        <w:tc>
          <w:tcPr>
            <w:tcW w:w="1150" w:type="dxa"/>
          </w:tcPr>
          <w:p w:rsidR="00E60005" w:rsidRDefault="00D627BC">
            <w:pPr>
              <w:pStyle w:val="CETBodytext"/>
              <w:spacing w:line="220" w:lineRule="exact"/>
            </w:pPr>
            <w:r>
              <w:t>–</w:t>
            </w:r>
          </w:p>
        </w:tc>
        <w:tc>
          <w:tcPr>
            <w:tcW w:w="1400" w:type="dxa"/>
          </w:tcPr>
          <w:p w:rsidR="00E60005" w:rsidRDefault="00D627BC">
            <w:pPr>
              <w:pStyle w:val="CETBodytext"/>
              <w:spacing w:line="220" w:lineRule="exact"/>
            </w:pPr>
            <w:r>
              <w:t>0.0513</w:t>
            </w:r>
          </w:p>
        </w:tc>
        <w:tc>
          <w:tcPr>
            <w:tcW w:w="1187" w:type="dxa"/>
          </w:tcPr>
          <w:p w:rsidR="00E60005" w:rsidRDefault="00D627BC">
            <w:pPr>
              <w:pStyle w:val="CETBodytext"/>
              <w:spacing w:line="220" w:lineRule="exact"/>
            </w:pPr>
            <w:r>
              <w:t>–</w:t>
            </w:r>
          </w:p>
        </w:tc>
      </w:tr>
      <w:tr w:rsidR="00E60005">
        <w:tc>
          <w:tcPr>
            <w:tcW w:w="1600" w:type="dxa"/>
          </w:tcPr>
          <w:p w:rsidR="00E60005" w:rsidRDefault="00D627BC">
            <w:pPr>
              <w:pStyle w:val="CETBodytext"/>
              <w:spacing w:line="220" w:lineRule="exact"/>
            </w:pPr>
            <w:r>
              <w:t>Flogard</w:t>
            </w:r>
          </w:p>
        </w:tc>
        <w:tc>
          <w:tcPr>
            <w:tcW w:w="1250" w:type="dxa"/>
          </w:tcPr>
          <w:p w:rsidR="00E60005" w:rsidRDefault="00D627BC">
            <w:pPr>
              <w:pStyle w:val="CETBodytext"/>
              <w:spacing w:line="220" w:lineRule="exact"/>
            </w:pPr>
            <w:r>
              <w:t>50</w:t>
            </w:r>
          </w:p>
        </w:tc>
        <w:tc>
          <w:tcPr>
            <w:tcW w:w="900" w:type="dxa"/>
          </w:tcPr>
          <w:p w:rsidR="00E60005" w:rsidRDefault="00D627BC">
            <w:pPr>
              <w:pStyle w:val="CETBodytext"/>
              <w:spacing w:line="220" w:lineRule="exact"/>
            </w:pPr>
            <w:r>
              <w:t>30</w:t>
            </w:r>
          </w:p>
        </w:tc>
        <w:tc>
          <w:tcPr>
            <w:tcW w:w="1300" w:type="dxa"/>
          </w:tcPr>
          <w:p w:rsidR="00E60005" w:rsidRDefault="00D627BC">
            <w:pPr>
              <w:pStyle w:val="CETBodytext"/>
              <w:spacing w:line="220" w:lineRule="exact"/>
            </w:pPr>
            <w:r>
              <w:t>0.0028</w:t>
            </w:r>
          </w:p>
        </w:tc>
        <w:tc>
          <w:tcPr>
            <w:tcW w:w="1150" w:type="dxa"/>
          </w:tcPr>
          <w:p w:rsidR="00E60005" w:rsidRDefault="00D627BC">
            <w:pPr>
              <w:pStyle w:val="CETBodytext"/>
              <w:spacing w:line="220" w:lineRule="exact"/>
            </w:pPr>
            <w:r>
              <w:t>75.00</w:t>
            </w:r>
          </w:p>
        </w:tc>
        <w:tc>
          <w:tcPr>
            <w:tcW w:w="1400" w:type="dxa"/>
          </w:tcPr>
          <w:p w:rsidR="00E60005" w:rsidRDefault="00D627BC">
            <w:pPr>
              <w:pStyle w:val="CETBodytext"/>
              <w:spacing w:line="220" w:lineRule="exact"/>
            </w:pPr>
            <w:r>
              <w:t>0.0021</w:t>
            </w:r>
          </w:p>
        </w:tc>
        <w:tc>
          <w:tcPr>
            <w:tcW w:w="1187" w:type="dxa"/>
          </w:tcPr>
          <w:p w:rsidR="00E60005" w:rsidRDefault="00D627BC">
            <w:pPr>
              <w:pStyle w:val="CETBodytext"/>
              <w:spacing w:line="220" w:lineRule="exact"/>
            </w:pPr>
            <w:r>
              <w:t>79.53</w:t>
            </w:r>
          </w:p>
        </w:tc>
      </w:tr>
      <w:tr w:rsidR="00E60005">
        <w:tc>
          <w:tcPr>
            <w:tcW w:w="1600" w:type="dxa"/>
          </w:tcPr>
          <w:p w:rsidR="00E60005" w:rsidRDefault="00D627BC">
            <w:pPr>
              <w:pStyle w:val="CETBodytext"/>
              <w:spacing w:line="220" w:lineRule="exact"/>
            </w:pPr>
            <w:r>
              <w:t>Flogard</w:t>
            </w:r>
          </w:p>
        </w:tc>
        <w:tc>
          <w:tcPr>
            <w:tcW w:w="1250" w:type="dxa"/>
          </w:tcPr>
          <w:p w:rsidR="00E60005" w:rsidRDefault="00D627BC">
            <w:pPr>
              <w:pStyle w:val="CETBodytext"/>
              <w:spacing w:line="220" w:lineRule="exact"/>
            </w:pPr>
            <w:r>
              <w:t>100</w:t>
            </w:r>
          </w:p>
        </w:tc>
        <w:tc>
          <w:tcPr>
            <w:tcW w:w="900" w:type="dxa"/>
          </w:tcPr>
          <w:p w:rsidR="00E60005" w:rsidRDefault="00D627BC">
            <w:pPr>
              <w:pStyle w:val="CETBodytext"/>
              <w:spacing w:line="220" w:lineRule="exact"/>
            </w:pPr>
            <w:r>
              <w:t>40</w:t>
            </w:r>
          </w:p>
        </w:tc>
        <w:tc>
          <w:tcPr>
            <w:tcW w:w="1300" w:type="dxa"/>
          </w:tcPr>
          <w:p w:rsidR="00E60005" w:rsidRDefault="00D627BC">
            <w:pPr>
              <w:pStyle w:val="CETBodytext"/>
              <w:spacing w:line="220" w:lineRule="exact"/>
            </w:pPr>
            <w:r>
              <w:t>0.0025</w:t>
            </w:r>
          </w:p>
        </w:tc>
        <w:tc>
          <w:tcPr>
            <w:tcW w:w="1150" w:type="dxa"/>
          </w:tcPr>
          <w:p w:rsidR="00E60005" w:rsidRDefault="00D627BC">
            <w:pPr>
              <w:pStyle w:val="CETBodytext"/>
              <w:spacing w:line="220" w:lineRule="exact"/>
            </w:pPr>
            <w:r>
              <w:t>77.67</w:t>
            </w:r>
          </w:p>
        </w:tc>
        <w:tc>
          <w:tcPr>
            <w:tcW w:w="1400" w:type="dxa"/>
          </w:tcPr>
          <w:p w:rsidR="00E60005" w:rsidRDefault="00D627BC">
            <w:pPr>
              <w:pStyle w:val="CETBodytext"/>
              <w:spacing w:line="220" w:lineRule="exact"/>
            </w:pPr>
            <w:r>
              <w:t>0.0034</w:t>
            </w:r>
          </w:p>
        </w:tc>
        <w:tc>
          <w:tcPr>
            <w:tcW w:w="1187" w:type="dxa"/>
          </w:tcPr>
          <w:p w:rsidR="00E60005" w:rsidRDefault="00D627BC">
            <w:pPr>
              <w:pStyle w:val="CETBodytext"/>
              <w:spacing w:line="220" w:lineRule="exact"/>
            </w:pPr>
            <w:r>
              <w:t>83.00</w:t>
            </w:r>
          </w:p>
        </w:tc>
      </w:tr>
      <w:tr w:rsidR="00E60005">
        <w:tc>
          <w:tcPr>
            <w:tcW w:w="1600" w:type="dxa"/>
          </w:tcPr>
          <w:p w:rsidR="00E60005" w:rsidRDefault="00D627BC">
            <w:pPr>
              <w:pStyle w:val="CETBodytext"/>
              <w:spacing w:line="220" w:lineRule="exact"/>
            </w:pPr>
            <w:r>
              <w:t>Flogard</w:t>
            </w:r>
          </w:p>
        </w:tc>
        <w:tc>
          <w:tcPr>
            <w:tcW w:w="1250" w:type="dxa"/>
          </w:tcPr>
          <w:p w:rsidR="00E60005" w:rsidRDefault="00D627BC">
            <w:pPr>
              <w:pStyle w:val="CETBodytext"/>
              <w:spacing w:line="220" w:lineRule="exact"/>
            </w:pPr>
            <w:r>
              <w:t>150</w:t>
            </w:r>
          </w:p>
        </w:tc>
        <w:tc>
          <w:tcPr>
            <w:tcW w:w="900" w:type="dxa"/>
          </w:tcPr>
          <w:p w:rsidR="00E60005" w:rsidRDefault="00D627BC">
            <w:pPr>
              <w:pStyle w:val="CETBodytext"/>
              <w:spacing w:line="220" w:lineRule="exact"/>
            </w:pPr>
            <w:r>
              <w:t>50</w:t>
            </w:r>
          </w:p>
        </w:tc>
        <w:tc>
          <w:tcPr>
            <w:tcW w:w="1300" w:type="dxa"/>
          </w:tcPr>
          <w:p w:rsidR="00E60005" w:rsidRDefault="00D627BC">
            <w:pPr>
              <w:pStyle w:val="CETBodytext"/>
              <w:spacing w:line="220" w:lineRule="exact"/>
            </w:pPr>
            <w:r>
              <w:t>0.0021</w:t>
            </w:r>
          </w:p>
        </w:tc>
        <w:tc>
          <w:tcPr>
            <w:tcW w:w="1150" w:type="dxa"/>
          </w:tcPr>
          <w:p w:rsidR="00E60005" w:rsidRDefault="00D627BC">
            <w:pPr>
              <w:pStyle w:val="CETBodytext"/>
              <w:spacing w:line="220" w:lineRule="exact"/>
            </w:pPr>
            <w:r>
              <w:t>81.25</w:t>
            </w:r>
          </w:p>
        </w:tc>
        <w:tc>
          <w:tcPr>
            <w:tcW w:w="1400" w:type="dxa"/>
          </w:tcPr>
          <w:p w:rsidR="00E60005" w:rsidRDefault="00D627BC">
            <w:pPr>
              <w:pStyle w:val="CETBodytext"/>
              <w:spacing w:line="220" w:lineRule="exact"/>
            </w:pPr>
            <w:r>
              <w:t>0.0029</w:t>
            </w:r>
          </w:p>
        </w:tc>
        <w:tc>
          <w:tcPr>
            <w:tcW w:w="1187" w:type="dxa"/>
          </w:tcPr>
          <w:p w:rsidR="00E60005" w:rsidRDefault="00D627BC">
            <w:pPr>
              <w:pStyle w:val="CETBodytext"/>
              <w:spacing w:line="220" w:lineRule="exact"/>
            </w:pPr>
            <w:r>
              <w:t>89.96</w:t>
            </w:r>
          </w:p>
        </w:tc>
      </w:tr>
      <w:tr w:rsidR="00E60005">
        <w:tc>
          <w:tcPr>
            <w:tcW w:w="1600" w:type="dxa"/>
          </w:tcPr>
          <w:p w:rsidR="00E60005" w:rsidRDefault="00D627BC">
            <w:pPr>
              <w:pStyle w:val="CETBodytext"/>
              <w:spacing w:line="220" w:lineRule="exact"/>
            </w:pPr>
            <w:r>
              <w:t>Flogard</w:t>
            </w:r>
          </w:p>
        </w:tc>
        <w:tc>
          <w:tcPr>
            <w:tcW w:w="1250" w:type="dxa"/>
          </w:tcPr>
          <w:p w:rsidR="00E60005" w:rsidRDefault="00D627BC">
            <w:pPr>
              <w:pStyle w:val="CETBodytext"/>
              <w:spacing w:line="220" w:lineRule="exact"/>
            </w:pPr>
            <w:r>
              <w:t>200</w:t>
            </w:r>
          </w:p>
        </w:tc>
        <w:tc>
          <w:tcPr>
            <w:tcW w:w="900" w:type="dxa"/>
          </w:tcPr>
          <w:p w:rsidR="00E60005" w:rsidRDefault="00D627BC">
            <w:pPr>
              <w:pStyle w:val="CETBodytext"/>
              <w:spacing w:line="220" w:lineRule="exact"/>
            </w:pPr>
            <w:r>
              <w:t>60</w:t>
            </w:r>
          </w:p>
        </w:tc>
        <w:tc>
          <w:tcPr>
            <w:tcW w:w="1300" w:type="dxa"/>
          </w:tcPr>
          <w:p w:rsidR="00E60005" w:rsidRDefault="00D627BC">
            <w:pPr>
              <w:pStyle w:val="CETBodytext"/>
              <w:spacing w:line="220" w:lineRule="exact"/>
            </w:pPr>
            <w:r>
              <w:t>0.0018</w:t>
            </w:r>
          </w:p>
        </w:tc>
        <w:tc>
          <w:tcPr>
            <w:tcW w:w="1150" w:type="dxa"/>
          </w:tcPr>
          <w:p w:rsidR="00E60005" w:rsidRDefault="00D627BC">
            <w:pPr>
              <w:pStyle w:val="CETBodytext"/>
              <w:spacing w:line="220" w:lineRule="exact"/>
            </w:pPr>
            <w:r>
              <w:t>83.92</w:t>
            </w:r>
          </w:p>
        </w:tc>
        <w:tc>
          <w:tcPr>
            <w:tcW w:w="1400" w:type="dxa"/>
          </w:tcPr>
          <w:p w:rsidR="00E60005" w:rsidRDefault="00D627BC">
            <w:pPr>
              <w:pStyle w:val="CETBodytext"/>
              <w:spacing w:line="220" w:lineRule="exact"/>
            </w:pPr>
            <w:r>
              <w:t>0.0044</w:t>
            </w:r>
          </w:p>
        </w:tc>
        <w:tc>
          <w:tcPr>
            <w:tcW w:w="1187" w:type="dxa"/>
          </w:tcPr>
          <w:p w:rsidR="00E60005" w:rsidRDefault="00D627BC">
            <w:pPr>
              <w:pStyle w:val="CETBodytext"/>
              <w:spacing w:line="220" w:lineRule="exact"/>
            </w:pPr>
            <w:r>
              <w:t>90.39</w:t>
            </w:r>
          </w:p>
        </w:tc>
      </w:tr>
      <w:tr w:rsidR="00E60005">
        <w:tc>
          <w:tcPr>
            <w:tcW w:w="1600" w:type="dxa"/>
          </w:tcPr>
          <w:p w:rsidR="00E60005" w:rsidRDefault="00D627BC">
            <w:pPr>
              <w:pStyle w:val="CETBodytext"/>
              <w:spacing w:line="220" w:lineRule="exact"/>
            </w:pPr>
            <w:r>
              <w:t>Flogard</w:t>
            </w:r>
          </w:p>
        </w:tc>
        <w:tc>
          <w:tcPr>
            <w:tcW w:w="1250" w:type="dxa"/>
          </w:tcPr>
          <w:p w:rsidR="00E60005" w:rsidRDefault="00D627BC">
            <w:pPr>
              <w:pStyle w:val="CETBodytext"/>
              <w:spacing w:line="220" w:lineRule="exact"/>
            </w:pPr>
            <w:r>
              <w:t>250</w:t>
            </w:r>
          </w:p>
        </w:tc>
        <w:tc>
          <w:tcPr>
            <w:tcW w:w="900" w:type="dxa"/>
          </w:tcPr>
          <w:p w:rsidR="00E60005" w:rsidRDefault="00D627BC">
            <w:pPr>
              <w:pStyle w:val="CETBodytext"/>
              <w:spacing w:line="220" w:lineRule="exact"/>
            </w:pPr>
            <w:r>
              <w:t>70</w:t>
            </w:r>
          </w:p>
        </w:tc>
        <w:tc>
          <w:tcPr>
            <w:tcW w:w="1300" w:type="dxa"/>
          </w:tcPr>
          <w:p w:rsidR="00E60005" w:rsidRDefault="00D627BC">
            <w:pPr>
              <w:pStyle w:val="CETBodytext"/>
              <w:spacing w:line="220" w:lineRule="exact"/>
            </w:pPr>
            <w:r>
              <w:t>0.0014</w:t>
            </w:r>
          </w:p>
        </w:tc>
        <w:tc>
          <w:tcPr>
            <w:tcW w:w="1150" w:type="dxa"/>
          </w:tcPr>
          <w:p w:rsidR="00E60005" w:rsidRDefault="00D627BC">
            <w:pPr>
              <w:pStyle w:val="CETBodytext"/>
              <w:spacing w:line="220" w:lineRule="exact"/>
            </w:pPr>
            <w:r>
              <w:t>87.51</w:t>
            </w:r>
          </w:p>
        </w:tc>
        <w:tc>
          <w:tcPr>
            <w:tcW w:w="1400" w:type="dxa"/>
          </w:tcPr>
          <w:p w:rsidR="00E60005" w:rsidRDefault="00D627BC">
            <w:pPr>
              <w:pStyle w:val="CETBodytext"/>
              <w:spacing w:line="220" w:lineRule="exact"/>
            </w:pPr>
            <w:r>
              <w:t>0.0062</w:t>
            </w:r>
          </w:p>
        </w:tc>
        <w:tc>
          <w:tcPr>
            <w:tcW w:w="1187" w:type="dxa"/>
          </w:tcPr>
          <w:p w:rsidR="00E60005" w:rsidRDefault="00D627BC">
            <w:pPr>
              <w:pStyle w:val="CETBodytext"/>
              <w:spacing w:line="220" w:lineRule="exact"/>
            </w:pPr>
            <w:r>
              <w:t>91.23</w:t>
            </w:r>
          </w:p>
        </w:tc>
      </w:tr>
      <w:tr w:rsidR="00E60005">
        <w:tc>
          <w:tcPr>
            <w:tcW w:w="1600" w:type="dxa"/>
          </w:tcPr>
          <w:p w:rsidR="00E60005" w:rsidRDefault="00D627BC">
            <w:pPr>
              <w:pStyle w:val="CETBodytext"/>
              <w:spacing w:line="220" w:lineRule="exact"/>
            </w:pPr>
            <w:r>
              <w:t>EFGK</w:t>
            </w:r>
          </w:p>
        </w:tc>
        <w:tc>
          <w:tcPr>
            <w:tcW w:w="1250" w:type="dxa"/>
          </w:tcPr>
          <w:p w:rsidR="00E60005" w:rsidRDefault="00D627BC">
            <w:pPr>
              <w:pStyle w:val="CETBodytext"/>
              <w:spacing w:line="220" w:lineRule="exact"/>
            </w:pPr>
            <w:r>
              <w:t>50</w:t>
            </w:r>
          </w:p>
        </w:tc>
        <w:tc>
          <w:tcPr>
            <w:tcW w:w="900" w:type="dxa"/>
          </w:tcPr>
          <w:p w:rsidR="00E60005" w:rsidRDefault="00D627BC">
            <w:pPr>
              <w:pStyle w:val="CETBodytext"/>
              <w:spacing w:line="220" w:lineRule="exact"/>
            </w:pPr>
            <w:r>
              <w:t>30</w:t>
            </w:r>
          </w:p>
        </w:tc>
        <w:tc>
          <w:tcPr>
            <w:tcW w:w="1300" w:type="dxa"/>
          </w:tcPr>
          <w:p w:rsidR="00E60005" w:rsidRDefault="00D627BC">
            <w:pPr>
              <w:pStyle w:val="CETBodytext"/>
              <w:spacing w:line="220" w:lineRule="exact"/>
            </w:pPr>
            <w:r>
              <w:t>0.0029</w:t>
            </w:r>
          </w:p>
        </w:tc>
        <w:tc>
          <w:tcPr>
            <w:tcW w:w="1150" w:type="dxa"/>
          </w:tcPr>
          <w:p w:rsidR="00E60005" w:rsidRDefault="00D627BC">
            <w:pPr>
              <w:pStyle w:val="CETBodytext"/>
              <w:spacing w:line="220" w:lineRule="exact"/>
            </w:pPr>
            <w:r>
              <w:t>74.01</w:t>
            </w:r>
          </w:p>
        </w:tc>
        <w:tc>
          <w:tcPr>
            <w:tcW w:w="1400" w:type="dxa"/>
          </w:tcPr>
          <w:p w:rsidR="00E60005" w:rsidRDefault="00D627BC">
            <w:pPr>
              <w:pStyle w:val="CETBodytext"/>
              <w:spacing w:line="220" w:lineRule="exact"/>
            </w:pPr>
            <w:r>
              <w:t>0.0037</w:t>
            </w:r>
          </w:p>
        </w:tc>
        <w:tc>
          <w:tcPr>
            <w:tcW w:w="1187" w:type="dxa"/>
          </w:tcPr>
          <w:p w:rsidR="00E60005" w:rsidRDefault="00D627BC">
            <w:pPr>
              <w:pStyle w:val="CETBodytext"/>
              <w:spacing w:line="220" w:lineRule="exact"/>
            </w:pPr>
            <w:r>
              <w:t>65.18</w:t>
            </w:r>
          </w:p>
        </w:tc>
      </w:tr>
      <w:tr w:rsidR="00E60005">
        <w:tc>
          <w:tcPr>
            <w:tcW w:w="1600" w:type="dxa"/>
          </w:tcPr>
          <w:p w:rsidR="00E60005" w:rsidRDefault="00D627BC">
            <w:pPr>
              <w:pStyle w:val="CETBodytext"/>
              <w:spacing w:line="220" w:lineRule="exact"/>
            </w:pPr>
            <w:r>
              <w:t>EFGK</w:t>
            </w:r>
          </w:p>
        </w:tc>
        <w:tc>
          <w:tcPr>
            <w:tcW w:w="1250" w:type="dxa"/>
          </w:tcPr>
          <w:p w:rsidR="00E60005" w:rsidRDefault="00D627BC">
            <w:pPr>
              <w:pStyle w:val="CETBodytext"/>
              <w:spacing w:line="220" w:lineRule="exact"/>
            </w:pPr>
            <w:r>
              <w:t>100</w:t>
            </w:r>
          </w:p>
        </w:tc>
        <w:tc>
          <w:tcPr>
            <w:tcW w:w="900" w:type="dxa"/>
          </w:tcPr>
          <w:p w:rsidR="00E60005" w:rsidRDefault="00D627BC">
            <w:pPr>
              <w:pStyle w:val="CETBodytext"/>
              <w:spacing w:line="220" w:lineRule="exact"/>
            </w:pPr>
            <w:r>
              <w:t>40</w:t>
            </w:r>
          </w:p>
        </w:tc>
        <w:tc>
          <w:tcPr>
            <w:tcW w:w="1300" w:type="dxa"/>
          </w:tcPr>
          <w:p w:rsidR="00E60005" w:rsidRDefault="00D627BC">
            <w:pPr>
              <w:pStyle w:val="CETBodytext"/>
              <w:spacing w:line="220" w:lineRule="exact"/>
            </w:pPr>
            <w:r>
              <w:t>0.0044</w:t>
            </w:r>
          </w:p>
        </w:tc>
        <w:tc>
          <w:tcPr>
            <w:tcW w:w="1150" w:type="dxa"/>
          </w:tcPr>
          <w:p w:rsidR="00E60005" w:rsidRDefault="00D627BC">
            <w:pPr>
              <w:pStyle w:val="CETBodytext"/>
              <w:spacing w:line="220" w:lineRule="exact"/>
            </w:pPr>
            <w:r>
              <w:t>77.50</w:t>
            </w:r>
          </w:p>
        </w:tc>
        <w:tc>
          <w:tcPr>
            <w:tcW w:w="1400" w:type="dxa"/>
          </w:tcPr>
          <w:p w:rsidR="00E60005" w:rsidRDefault="00D627BC">
            <w:pPr>
              <w:pStyle w:val="CETBodytext"/>
              <w:spacing w:line="220" w:lineRule="exact"/>
            </w:pPr>
            <w:r>
              <w:t>0.0056</w:t>
            </w:r>
          </w:p>
        </w:tc>
        <w:tc>
          <w:tcPr>
            <w:tcW w:w="1187" w:type="dxa"/>
          </w:tcPr>
          <w:p w:rsidR="00E60005" w:rsidRDefault="00D627BC">
            <w:pPr>
              <w:pStyle w:val="CETBodytext"/>
              <w:spacing w:line="220" w:lineRule="exact"/>
            </w:pPr>
            <w:r>
              <w:t>72.31</w:t>
            </w:r>
          </w:p>
        </w:tc>
      </w:tr>
      <w:tr w:rsidR="00E60005">
        <w:tc>
          <w:tcPr>
            <w:tcW w:w="1600" w:type="dxa"/>
          </w:tcPr>
          <w:p w:rsidR="00E60005" w:rsidRDefault="00D627BC">
            <w:pPr>
              <w:pStyle w:val="CETBodytext"/>
              <w:spacing w:line="220" w:lineRule="exact"/>
            </w:pPr>
            <w:r>
              <w:t>EFGK</w:t>
            </w:r>
          </w:p>
        </w:tc>
        <w:tc>
          <w:tcPr>
            <w:tcW w:w="1250" w:type="dxa"/>
          </w:tcPr>
          <w:p w:rsidR="00E60005" w:rsidRDefault="00D627BC">
            <w:pPr>
              <w:pStyle w:val="CETBodytext"/>
              <w:spacing w:line="220" w:lineRule="exact"/>
            </w:pPr>
            <w:r>
              <w:t>150</w:t>
            </w:r>
          </w:p>
        </w:tc>
        <w:tc>
          <w:tcPr>
            <w:tcW w:w="900" w:type="dxa"/>
          </w:tcPr>
          <w:p w:rsidR="00E60005" w:rsidRDefault="00D627BC">
            <w:pPr>
              <w:pStyle w:val="CETBodytext"/>
              <w:spacing w:line="220" w:lineRule="exact"/>
            </w:pPr>
            <w:r>
              <w:t>50</w:t>
            </w:r>
          </w:p>
        </w:tc>
        <w:tc>
          <w:tcPr>
            <w:tcW w:w="1300" w:type="dxa"/>
          </w:tcPr>
          <w:p w:rsidR="00E60005" w:rsidRDefault="00D627BC">
            <w:pPr>
              <w:pStyle w:val="CETBodytext"/>
              <w:spacing w:line="220" w:lineRule="exact"/>
            </w:pPr>
            <w:r>
              <w:t>0.0049</w:t>
            </w:r>
          </w:p>
        </w:tc>
        <w:tc>
          <w:tcPr>
            <w:tcW w:w="1150" w:type="dxa"/>
          </w:tcPr>
          <w:p w:rsidR="00E60005" w:rsidRDefault="00D627BC">
            <w:pPr>
              <w:pStyle w:val="CETBodytext"/>
              <w:spacing w:line="220" w:lineRule="exact"/>
            </w:pPr>
            <w:r>
              <w:t>82.71</w:t>
            </w:r>
          </w:p>
        </w:tc>
        <w:tc>
          <w:tcPr>
            <w:tcW w:w="1400" w:type="dxa"/>
          </w:tcPr>
          <w:p w:rsidR="00E60005" w:rsidRDefault="00D627BC">
            <w:pPr>
              <w:pStyle w:val="CETBodytext"/>
              <w:spacing w:line="220" w:lineRule="exact"/>
            </w:pPr>
            <w:r>
              <w:t>0.0061</w:t>
            </w:r>
          </w:p>
        </w:tc>
        <w:tc>
          <w:tcPr>
            <w:tcW w:w="1187" w:type="dxa"/>
          </w:tcPr>
          <w:p w:rsidR="00E60005" w:rsidRDefault="00D627BC">
            <w:pPr>
              <w:pStyle w:val="CETBodytext"/>
              <w:spacing w:line="220" w:lineRule="exact"/>
            </w:pPr>
            <w:r>
              <w:t>78.96</w:t>
            </w:r>
          </w:p>
        </w:tc>
      </w:tr>
      <w:tr w:rsidR="00E60005">
        <w:tc>
          <w:tcPr>
            <w:tcW w:w="1600" w:type="dxa"/>
          </w:tcPr>
          <w:p w:rsidR="00E60005" w:rsidRDefault="00D627BC">
            <w:pPr>
              <w:pStyle w:val="CETBodytext"/>
              <w:spacing w:line="220" w:lineRule="exact"/>
            </w:pPr>
            <w:r>
              <w:t>EFGK</w:t>
            </w:r>
          </w:p>
        </w:tc>
        <w:tc>
          <w:tcPr>
            <w:tcW w:w="1250" w:type="dxa"/>
          </w:tcPr>
          <w:p w:rsidR="00E60005" w:rsidRDefault="00D627BC">
            <w:pPr>
              <w:pStyle w:val="CETBodytext"/>
              <w:spacing w:line="220" w:lineRule="exact"/>
            </w:pPr>
            <w:r>
              <w:t>200</w:t>
            </w:r>
          </w:p>
        </w:tc>
        <w:tc>
          <w:tcPr>
            <w:tcW w:w="900" w:type="dxa"/>
          </w:tcPr>
          <w:p w:rsidR="00E60005" w:rsidRDefault="00D627BC">
            <w:pPr>
              <w:pStyle w:val="CETBodytext"/>
              <w:spacing w:line="220" w:lineRule="exact"/>
            </w:pPr>
            <w:r>
              <w:t>60</w:t>
            </w:r>
          </w:p>
        </w:tc>
        <w:tc>
          <w:tcPr>
            <w:tcW w:w="1300" w:type="dxa"/>
          </w:tcPr>
          <w:p w:rsidR="00E60005" w:rsidRDefault="00D627BC">
            <w:pPr>
              <w:pStyle w:val="CETBodytext"/>
              <w:spacing w:line="220" w:lineRule="exact"/>
            </w:pPr>
            <w:r>
              <w:t>0.0056</w:t>
            </w:r>
          </w:p>
        </w:tc>
        <w:tc>
          <w:tcPr>
            <w:tcW w:w="1150" w:type="dxa"/>
          </w:tcPr>
          <w:p w:rsidR="00E60005" w:rsidRDefault="00D627BC">
            <w:pPr>
              <w:pStyle w:val="CETBodytext"/>
              <w:spacing w:line="220" w:lineRule="exact"/>
            </w:pPr>
            <w:r>
              <w:t>87.44</w:t>
            </w:r>
          </w:p>
        </w:tc>
        <w:tc>
          <w:tcPr>
            <w:tcW w:w="1400" w:type="dxa"/>
          </w:tcPr>
          <w:p w:rsidR="00E60005" w:rsidRDefault="00D627BC">
            <w:pPr>
              <w:pStyle w:val="CETBodytext"/>
              <w:spacing w:line="220" w:lineRule="exact"/>
            </w:pPr>
            <w:r>
              <w:t>0.0066</w:t>
            </w:r>
          </w:p>
        </w:tc>
        <w:tc>
          <w:tcPr>
            <w:tcW w:w="1187" w:type="dxa"/>
          </w:tcPr>
          <w:p w:rsidR="00E60005" w:rsidRDefault="00D627BC">
            <w:pPr>
              <w:pStyle w:val="CETBodytext"/>
              <w:spacing w:line="220" w:lineRule="exact"/>
            </w:pPr>
            <w:r>
              <w:t>85.59</w:t>
            </w:r>
          </w:p>
        </w:tc>
      </w:tr>
      <w:tr w:rsidR="00E60005">
        <w:tc>
          <w:tcPr>
            <w:tcW w:w="1600" w:type="dxa"/>
          </w:tcPr>
          <w:p w:rsidR="00E60005" w:rsidRDefault="00D627BC">
            <w:pPr>
              <w:pStyle w:val="CETBodytext"/>
              <w:spacing w:line="220" w:lineRule="exact"/>
            </w:pPr>
            <w:r>
              <w:t>EFGK</w:t>
            </w:r>
          </w:p>
        </w:tc>
        <w:tc>
          <w:tcPr>
            <w:tcW w:w="1250" w:type="dxa"/>
          </w:tcPr>
          <w:p w:rsidR="00E60005" w:rsidRDefault="00D627BC">
            <w:pPr>
              <w:pStyle w:val="CETBodytext"/>
              <w:spacing w:line="220" w:lineRule="exact"/>
            </w:pPr>
            <w:r>
              <w:t>250</w:t>
            </w:r>
          </w:p>
        </w:tc>
        <w:tc>
          <w:tcPr>
            <w:tcW w:w="900" w:type="dxa"/>
          </w:tcPr>
          <w:p w:rsidR="00E60005" w:rsidRDefault="00D627BC">
            <w:pPr>
              <w:pStyle w:val="CETBodytext"/>
              <w:spacing w:line="220" w:lineRule="exact"/>
            </w:pPr>
            <w:r>
              <w:t>70</w:t>
            </w:r>
          </w:p>
        </w:tc>
        <w:tc>
          <w:tcPr>
            <w:tcW w:w="1300" w:type="dxa"/>
          </w:tcPr>
          <w:p w:rsidR="00E60005" w:rsidRDefault="00D627BC">
            <w:pPr>
              <w:pStyle w:val="CETBodytext"/>
              <w:spacing w:line="220" w:lineRule="exact"/>
            </w:pPr>
            <w:r>
              <w:t>0.0047</w:t>
            </w:r>
          </w:p>
        </w:tc>
        <w:tc>
          <w:tcPr>
            <w:tcW w:w="1150" w:type="dxa"/>
          </w:tcPr>
          <w:p w:rsidR="00E60005" w:rsidRDefault="00D627BC">
            <w:pPr>
              <w:pStyle w:val="CETBodytext"/>
              <w:spacing w:line="220" w:lineRule="exact"/>
            </w:pPr>
            <w:r>
              <w:t>90.84</w:t>
            </w:r>
          </w:p>
        </w:tc>
        <w:tc>
          <w:tcPr>
            <w:tcW w:w="1400" w:type="dxa"/>
          </w:tcPr>
          <w:p w:rsidR="00E60005" w:rsidRDefault="00D627BC">
            <w:pPr>
              <w:pStyle w:val="CETBodytext"/>
              <w:spacing w:line="220" w:lineRule="exact"/>
            </w:pPr>
            <w:r>
              <w:t>0.0063</w:t>
            </w:r>
          </w:p>
        </w:tc>
        <w:tc>
          <w:tcPr>
            <w:tcW w:w="1187" w:type="dxa"/>
          </w:tcPr>
          <w:p w:rsidR="00E60005" w:rsidRDefault="00D627BC">
            <w:pPr>
              <w:pStyle w:val="CETBodytext"/>
              <w:spacing w:line="220" w:lineRule="exact"/>
            </w:pPr>
            <w:r>
              <w:t>87.56</w:t>
            </w:r>
          </w:p>
        </w:tc>
      </w:tr>
      <w:tr w:rsidR="00E60005">
        <w:tc>
          <w:tcPr>
            <w:tcW w:w="1600" w:type="dxa"/>
          </w:tcPr>
          <w:p w:rsidR="00E60005" w:rsidRDefault="00D627BC">
            <w:pPr>
              <w:pStyle w:val="CETBodytext"/>
              <w:spacing w:line="220" w:lineRule="exact"/>
            </w:pPr>
            <w:r>
              <w:t>Fleck</w:t>
            </w:r>
          </w:p>
        </w:tc>
        <w:tc>
          <w:tcPr>
            <w:tcW w:w="1250" w:type="dxa"/>
          </w:tcPr>
          <w:p w:rsidR="00E60005" w:rsidRDefault="00D627BC">
            <w:pPr>
              <w:pStyle w:val="CETBodytext"/>
              <w:spacing w:line="220" w:lineRule="exact"/>
            </w:pPr>
            <w:r>
              <w:t>50</w:t>
            </w:r>
          </w:p>
        </w:tc>
        <w:tc>
          <w:tcPr>
            <w:tcW w:w="900" w:type="dxa"/>
          </w:tcPr>
          <w:p w:rsidR="00E60005" w:rsidRDefault="00D627BC">
            <w:pPr>
              <w:pStyle w:val="CETBodytext"/>
              <w:spacing w:line="220" w:lineRule="exact"/>
            </w:pPr>
            <w:r>
              <w:t>30</w:t>
            </w:r>
          </w:p>
        </w:tc>
        <w:tc>
          <w:tcPr>
            <w:tcW w:w="1300" w:type="dxa"/>
          </w:tcPr>
          <w:p w:rsidR="00E60005" w:rsidRDefault="00D627BC">
            <w:pPr>
              <w:pStyle w:val="CETBodytext"/>
              <w:spacing w:line="220" w:lineRule="exact"/>
            </w:pPr>
            <w:r>
              <w:t>0.0008</w:t>
            </w:r>
          </w:p>
        </w:tc>
        <w:tc>
          <w:tcPr>
            <w:tcW w:w="1150" w:type="dxa"/>
          </w:tcPr>
          <w:p w:rsidR="00E60005" w:rsidRDefault="00D627BC">
            <w:pPr>
              <w:pStyle w:val="CETBodytext"/>
              <w:spacing w:line="220" w:lineRule="exact"/>
            </w:pPr>
            <w:r>
              <w:t>92.16</w:t>
            </w:r>
          </w:p>
        </w:tc>
        <w:tc>
          <w:tcPr>
            <w:tcW w:w="1400" w:type="dxa"/>
          </w:tcPr>
          <w:p w:rsidR="00E60005" w:rsidRDefault="00D627BC">
            <w:pPr>
              <w:pStyle w:val="CETBodytext"/>
              <w:spacing w:line="220" w:lineRule="exact"/>
            </w:pPr>
            <w:r>
              <w:t>0.0016</w:t>
            </w:r>
          </w:p>
        </w:tc>
        <w:tc>
          <w:tcPr>
            <w:tcW w:w="1187" w:type="dxa"/>
          </w:tcPr>
          <w:p w:rsidR="00E60005" w:rsidRDefault="00D627BC">
            <w:pPr>
              <w:pStyle w:val="CETBodytext"/>
              <w:spacing w:line="220" w:lineRule="exact"/>
            </w:pPr>
            <w:r>
              <w:t>84.33</w:t>
            </w:r>
          </w:p>
        </w:tc>
      </w:tr>
      <w:tr w:rsidR="00E60005">
        <w:tc>
          <w:tcPr>
            <w:tcW w:w="1600" w:type="dxa"/>
          </w:tcPr>
          <w:p w:rsidR="00E60005" w:rsidRDefault="00D627BC">
            <w:pPr>
              <w:pStyle w:val="CETBodytext"/>
              <w:spacing w:line="220" w:lineRule="exact"/>
            </w:pPr>
            <w:r>
              <w:t>Fleck</w:t>
            </w:r>
          </w:p>
        </w:tc>
        <w:tc>
          <w:tcPr>
            <w:tcW w:w="1250" w:type="dxa"/>
          </w:tcPr>
          <w:p w:rsidR="00E60005" w:rsidRDefault="00D627BC">
            <w:pPr>
              <w:pStyle w:val="CETBodytext"/>
              <w:spacing w:line="220" w:lineRule="exact"/>
            </w:pPr>
            <w:r>
              <w:t>100</w:t>
            </w:r>
          </w:p>
        </w:tc>
        <w:tc>
          <w:tcPr>
            <w:tcW w:w="900" w:type="dxa"/>
          </w:tcPr>
          <w:p w:rsidR="00E60005" w:rsidRDefault="00D627BC">
            <w:pPr>
              <w:pStyle w:val="CETBodytext"/>
              <w:spacing w:line="220" w:lineRule="exact"/>
            </w:pPr>
            <w:r>
              <w:t>40</w:t>
            </w:r>
          </w:p>
        </w:tc>
        <w:tc>
          <w:tcPr>
            <w:tcW w:w="1300" w:type="dxa"/>
          </w:tcPr>
          <w:p w:rsidR="00E60005" w:rsidRDefault="00D627BC">
            <w:pPr>
              <w:pStyle w:val="CETBodytext"/>
              <w:spacing w:line="220" w:lineRule="exact"/>
            </w:pPr>
            <w:r>
              <w:t>0.0009</w:t>
            </w:r>
          </w:p>
        </w:tc>
        <w:tc>
          <w:tcPr>
            <w:tcW w:w="1150" w:type="dxa"/>
          </w:tcPr>
          <w:p w:rsidR="00E60005" w:rsidRDefault="00D627BC">
            <w:pPr>
              <w:pStyle w:val="CETBodytext"/>
              <w:spacing w:line="220" w:lineRule="exact"/>
            </w:pPr>
            <w:r>
              <w:t>95.09</w:t>
            </w:r>
          </w:p>
        </w:tc>
        <w:tc>
          <w:tcPr>
            <w:tcW w:w="1400" w:type="dxa"/>
          </w:tcPr>
          <w:p w:rsidR="00E60005" w:rsidRDefault="00D627BC">
            <w:pPr>
              <w:pStyle w:val="CETBodytext"/>
              <w:spacing w:line="220" w:lineRule="exact"/>
            </w:pPr>
            <w:r>
              <w:t>0.0031</w:t>
            </w:r>
          </w:p>
        </w:tc>
        <w:tc>
          <w:tcPr>
            <w:tcW w:w="1187" w:type="dxa"/>
          </w:tcPr>
          <w:p w:rsidR="00E60005" w:rsidRDefault="00D627BC">
            <w:pPr>
              <w:pStyle w:val="CETBodytext"/>
              <w:spacing w:line="220" w:lineRule="exact"/>
            </w:pPr>
            <w:r>
              <w:t>84.45</w:t>
            </w:r>
          </w:p>
        </w:tc>
      </w:tr>
      <w:tr w:rsidR="00E60005">
        <w:tc>
          <w:tcPr>
            <w:tcW w:w="1600" w:type="dxa"/>
          </w:tcPr>
          <w:p w:rsidR="00E60005" w:rsidRDefault="00D627BC">
            <w:pPr>
              <w:pStyle w:val="CETBodytext"/>
              <w:spacing w:line="220" w:lineRule="exact"/>
            </w:pPr>
            <w:r>
              <w:t>Fleck</w:t>
            </w:r>
          </w:p>
        </w:tc>
        <w:tc>
          <w:tcPr>
            <w:tcW w:w="1250" w:type="dxa"/>
          </w:tcPr>
          <w:p w:rsidR="00E60005" w:rsidRDefault="00D627BC">
            <w:pPr>
              <w:pStyle w:val="CETBodytext"/>
              <w:spacing w:line="220" w:lineRule="exact"/>
            </w:pPr>
            <w:r>
              <w:t>150</w:t>
            </w:r>
          </w:p>
        </w:tc>
        <w:tc>
          <w:tcPr>
            <w:tcW w:w="900" w:type="dxa"/>
          </w:tcPr>
          <w:p w:rsidR="00E60005" w:rsidRDefault="00D627BC">
            <w:pPr>
              <w:pStyle w:val="CETBodytext"/>
              <w:spacing w:line="220" w:lineRule="exact"/>
            </w:pPr>
            <w:r>
              <w:t>50</w:t>
            </w:r>
          </w:p>
        </w:tc>
        <w:tc>
          <w:tcPr>
            <w:tcW w:w="1300" w:type="dxa"/>
          </w:tcPr>
          <w:p w:rsidR="00E60005" w:rsidRDefault="00D627BC">
            <w:pPr>
              <w:pStyle w:val="CETBodytext"/>
              <w:spacing w:line="220" w:lineRule="exact"/>
            </w:pPr>
            <w:r>
              <w:t>0.0012</w:t>
            </w:r>
          </w:p>
        </w:tc>
        <w:tc>
          <w:tcPr>
            <w:tcW w:w="1150" w:type="dxa"/>
          </w:tcPr>
          <w:p w:rsidR="00E60005" w:rsidRDefault="00D627BC">
            <w:pPr>
              <w:pStyle w:val="CETBodytext"/>
              <w:spacing w:line="220" w:lineRule="exact"/>
            </w:pPr>
            <w:r>
              <w:t>95.73</w:t>
            </w:r>
          </w:p>
        </w:tc>
        <w:tc>
          <w:tcPr>
            <w:tcW w:w="1400" w:type="dxa"/>
          </w:tcPr>
          <w:p w:rsidR="00E60005" w:rsidRDefault="00D627BC">
            <w:pPr>
              <w:pStyle w:val="CETBodytext"/>
              <w:spacing w:line="220" w:lineRule="exact"/>
            </w:pPr>
            <w:r>
              <w:t>0.0023</w:t>
            </w:r>
          </w:p>
        </w:tc>
        <w:tc>
          <w:tcPr>
            <w:tcW w:w="1187" w:type="dxa"/>
          </w:tcPr>
          <w:p w:rsidR="00E60005" w:rsidRDefault="00D627BC">
            <w:pPr>
              <w:pStyle w:val="CETBodytext"/>
              <w:spacing w:line="220" w:lineRule="exact"/>
            </w:pPr>
            <w:r>
              <w:t>91.82</w:t>
            </w:r>
          </w:p>
        </w:tc>
      </w:tr>
      <w:tr w:rsidR="00E60005">
        <w:tc>
          <w:tcPr>
            <w:tcW w:w="1600" w:type="dxa"/>
          </w:tcPr>
          <w:p w:rsidR="00E60005" w:rsidRDefault="00D627BC">
            <w:pPr>
              <w:pStyle w:val="CETBodytext"/>
              <w:spacing w:line="220" w:lineRule="exact"/>
            </w:pPr>
            <w:r>
              <w:t>Fleck</w:t>
            </w:r>
          </w:p>
        </w:tc>
        <w:tc>
          <w:tcPr>
            <w:tcW w:w="1250" w:type="dxa"/>
          </w:tcPr>
          <w:p w:rsidR="00E60005" w:rsidRDefault="00D627BC">
            <w:pPr>
              <w:pStyle w:val="CETBodytext"/>
              <w:spacing w:line="220" w:lineRule="exact"/>
            </w:pPr>
            <w:r>
              <w:t>200</w:t>
            </w:r>
          </w:p>
        </w:tc>
        <w:tc>
          <w:tcPr>
            <w:tcW w:w="900" w:type="dxa"/>
          </w:tcPr>
          <w:p w:rsidR="00E60005" w:rsidRDefault="00D627BC">
            <w:pPr>
              <w:pStyle w:val="CETBodytext"/>
              <w:spacing w:line="220" w:lineRule="exact"/>
            </w:pPr>
            <w:r>
              <w:t>60</w:t>
            </w:r>
          </w:p>
        </w:tc>
        <w:tc>
          <w:tcPr>
            <w:tcW w:w="1300" w:type="dxa"/>
          </w:tcPr>
          <w:p w:rsidR="00E60005" w:rsidRDefault="00D627BC">
            <w:pPr>
              <w:pStyle w:val="CETBodytext"/>
              <w:spacing w:line="220" w:lineRule="exact"/>
            </w:pPr>
            <w:r>
              <w:t>0.0019</w:t>
            </w:r>
          </w:p>
        </w:tc>
        <w:tc>
          <w:tcPr>
            <w:tcW w:w="1150" w:type="dxa"/>
          </w:tcPr>
          <w:p w:rsidR="00E60005" w:rsidRDefault="00D627BC">
            <w:pPr>
              <w:pStyle w:val="CETBodytext"/>
              <w:spacing w:line="220" w:lineRule="exact"/>
            </w:pPr>
            <w:r>
              <w:t>95.79</w:t>
            </w:r>
          </w:p>
        </w:tc>
        <w:tc>
          <w:tcPr>
            <w:tcW w:w="1400" w:type="dxa"/>
          </w:tcPr>
          <w:p w:rsidR="00E60005" w:rsidRDefault="00D627BC">
            <w:pPr>
              <w:pStyle w:val="CETBodytext"/>
              <w:spacing w:line="220" w:lineRule="exact"/>
            </w:pPr>
            <w:r>
              <w:t>0.0037</w:t>
            </w:r>
          </w:p>
        </w:tc>
        <w:tc>
          <w:tcPr>
            <w:tcW w:w="1187" w:type="dxa"/>
          </w:tcPr>
          <w:p w:rsidR="00E60005" w:rsidRDefault="00D627BC">
            <w:pPr>
              <w:pStyle w:val="CETBodytext"/>
              <w:spacing w:line="220" w:lineRule="exact"/>
            </w:pPr>
            <w:r>
              <w:t>91.89</w:t>
            </w:r>
          </w:p>
        </w:tc>
      </w:tr>
      <w:tr w:rsidR="00E60005">
        <w:tc>
          <w:tcPr>
            <w:tcW w:w="1600" w:type="dxa"/>
          </w:tcPr>
          <w:p w:rsidR="00E60005" w:rsidRDefault="00D627BC">
            <w:pPr>
              <w:pStyle w:val="CETBodytext"/>
              <w:spacing w:line="220" w:lineRule="exact"/>
            </w:pPr>
            <w:r>
              <w:t>Fleck</w:t>
            </w:r>
          </w:p>
        </w:tc>
        <w:tc>
          <w:tcPr>
            <w:tcW w:w="1250" w:type="dxa"/>
          </w:tcPr>
          <w:p w:rsidR="00E60005" w:rsidRDefault="00D627BC">
            <w:pPr>
              <w:pStyle w:val="CETBodytext"/>
              <w:spacing w:line="220" w:lineRule="exact"/>
            </w:pPr>
            <w:r>
              <w:t>250</w:t>
            </w:r>
          </w:p>
        </w:tc>
        <w:tc>
          <w:tcPr>
            <w:tcW w:w="900" w:type="dxa"/>
          </w:tcPr>
          <w:p w:rsidR="00E60005" w:rsidRDefault="00D627BC">
            <w:pPr>
              <w:pStyle w:val="CETBodytext"/>
              <w:spacing w:line="220" w:lineRule="exact"/>
            </w:pPr>
            <w:r>
              <w:t>70</w:t>
            </w:r>
          </w:p>
        </w:tc>
        <w:tc>
          <w:tcPr>
            <w:tcW w:w="1300" w:type="dxa"/>
          </w:tcPr>
          <w:p w:rsidR="00E60005" w:rsidRDefault="00D627BC">
            <w:pPr>
              <w:pStyle w:val="CETBodytext"/>
              <w:spacing w:line="220" w:lineRule="exact"/>
            </w:pPr>
            <w:r>
              <w:t>0.0021</w:t>
            </w:r>
          </w:p>
        </w:tc>
        <w:tc>
          <w:tcPr>
            <w:tcW w:w="1150" w:type="dxa"/>
          </w:tcPr>
          <w:p w:rsidR="00E60005" w:rsidRDefault="00D627BC">
            <w:pPr>
              <w:pStyle w:val="CETBodytext"/>
              <w:spacing w:line="220" w:lineRule="exact"/>
            </w:pPr>
            <w:r>
              <w:t>95.87</w:t>
            </w:r>
          </w:p>
        </w:tc>
        <w:tc>
          <w:tcPr>
            <w:tcW w:w="1400" w:type="dxa"/>
          </w:tcPr>
          <w:p w:rsidR="00E60005" w:rsidRDefault="00D627BC">
            <w:pPr>
              <w:pStyle w:val="CETBodytext"/>
              <w:spacing w:line="220" w:lineRule="exact"/>
            </w:pPr>
            <w:r>
              <w:t>0.0041</w:t>
            </w:r>
          </w:p>
        </w:tc>
        <w:tc>
          <w:tcPr>
            <w:tcW w:w="1187" w:type="dxa"/>
          </w:tcPr>
          <w:p w:rsidR="00E60005" w:rsidRDefault="00D627BC">
            <w:pPr>
              <w:pStyle w:val="CETBodytext"/>
              <w:spacing w:line="220" w:lineRule="exact"/>
            </w:pPr>
            <w:r>
              <w:t>92.00</w:t>
            </w:r>
          </w:p>
        </w:tc>
      </w:tr>
      <w:tr w:rsidR="00E60005">
        <w:tc>
          <w:tcPr>
            <w:tcW w:w="1600" w:type="dxa"/>
          </w:tcPr>
          <w:p w:rsidR="00E60005" w:rsidRDefault="00D627BC">
            <w:pPr>
              <w:pStyle w:val="CETBodytext"/>
              <w:spacing w:line="220" w:lineRule="exact"/>
            </w:pPr>
            <w:r>
              <w:t>EFGT-1</w:t>
            </w:r>
          </w:p>
        </w:tc>
        <w:tc>
          <w:tcPr>
            <w:tcW w:w="1250" w:type="dxa"/>
          </w:tcPr>
          <w:p w:rsidR="00E60005" w:rsidRDefault="00D627BC">
            <w:pPr>
              <w:pStyle w:val="CETBodytext"/>
              <w:spacing w:line="220" w:lineRule="exact"/>
            </w:pPr>
            <w:r>
              <w:t>50</w:t>
            </w:r>
          </w:p>
        </w:tc>
        <w:tc>
          <w:tcPr>
            <w:tcW w:w="900" w:type="dxa"/>
          </w:tcPr>
          <w:p w:rsidR="00E60005" w:rsidRDefault="00D627BC">
            <w:pPr>
              <w:pStyle w:val="CETBodytext"/>
              <w:spacing w:line="220" w:lineRule="exact"/>
            </w:pPr>
            <w:r>
              <w:t>30</w:t>
            </w:r>
          </w:p>
        </w:tc>
        <w:tc>
          <w:tcPr>
            <w:tcW w:w="1300" w:type="dxa"/>
          </w:tcPr>
          <w:p w:rsidR="00E60005" w:rsidRDefault="00D627BC">
            <w:pPr>
              <w:pStyle w:val="CETBodytext"/>
              <w:spacing w:line="220" w:lineRule="exact"/>
            </w:pPr>
            <w:r>
              <w:t>0.0011</w:t>
            </w:r>
          </w:p>
        </w:tc>
        <w:tc>
          <w:tcPr>
            <w:tcW w:w="1150" w:type="dxa"/>
          </w:tcPr>
          <w:p w:rsidR="00E60005" w:rsidRDefault="00D627BC">
            <w:pPr>
              <w:pStyle w:val="CETBodytext"/>
              <w:spacing w:line="220" w:lineRule="exact"/>
            </w:pPr>
            <w:r>
              <w:t>90.17</w:t>
            </w:r>
          </w:p>
        </w:tc>
        <w:tc>
          <w:tcPr>
            <w:tcW w:w="1400" w:type="dxa"/>
          </w:tcPr>
          <w:p w:rsidR="00E60005" w:rsidRDefault="00D627BC">
            <w:pPr>
              <w:pStyle w:val="CETBodytext"/>
              <w:spacing w:line="220" w:lineRule="exact"/>
            </w:pPr>
            <w:r>
              <w:t>0.0016</w:t>
            </w:r>
          </w:p>
        </w:tc>
        <w:tc>
          <w:tcPr>
            <w:tcW w:w="1187" w:type="dxa"/>
          </w:tcPr>
          <w:p w:rsidR="00E60005" w:rsidRDefault="00D627BC">
            <w:pPr>
              <w:pStyle w:val="CETBodytext"/>
              <w:spacing w:line="220" w:lineRule="exact"/>
            </w:pPr>
            <w:r>
              <w:t>84.73</w:t>
            </w:r>
          </w:p>
        </w:tc>
      </w:tr>
      <w:tr w:rsidR="00E60005">
        <w:tc>
          <w:tcPr>
            <w:tcW w:w="1600" w:type="dxa"/>
          </w:tcPr>
          <w:p w:rsidR="00E60005" w:rsidRDefault="00D627BC">
            <w:pPr>
              <w:pStyle w:val="CETBodytext"/>
              <w:spacing w:line="220" w:lineRule="exact"/>
            </w:pPr>
            <w:r>
              <w:t>EFGT-1</w:t>
            </w:r>
          </w:p>
        </w:tc>
        <w:tc>
          <w:tcPr>
            <w:tcW w:w="1250" w:type="dxa"/>
          </w:tcPr>
          <w:p w:rsidR="00E60005" w:rsidRDefault="00D627BC">
            <w:pPr>
              <w:pStyle w:val="CETBodytext"/>
              <w:spacing w:line="220" w:lineRule="exact"/>
            </w:pPr>
            <w:r>
              <w:t>100</w:t>
            </w:r>
          </w:p>
        </w:tc>
        <w:tc>
          <w:tcPr>
            <w:tcW w:w="900" w:type="dxa"/>
          </w:tcPr>
          <w:p w:rsidR="00E60005" w:rsidRDefault="00D627BC">
            <w:pPr>
              <w:pStyle w:val="CETBodytext"/>
              <w:spacing w:line="220" w:lineRule="exact"/>
            </w:pPr>
            <w:r>
              <w:t>40</w:t>
            </w:r>
          </w:p>
        </w:tc>
        <w:tc>
          <w:tcPr>
            <w:tcW w:w="1300" w:type="dxa"/>
          </w:tcPr>
          <w:p w:rsidR="00E60005" w:rsidRDefault="00D627BC">
            <w:pPr>
              <w:pStyle w:val="CETBodytext"/>
              <w:spacing w:line="220" w:lineRule="exact"/>
            </w:pPr>
            <w:r>
              <w:t>0.0018</w:t>
            </w:r>
          </w:p>
        </w:tc>
        <w:tc>
          <w:tcPr>
            <w:tcW w:w="1150" w:type="dxa"/>
          </w:tcPr>
          <w:p w:rsidR="00E60005" w:rsidRDefault="00D627BC">
            <w:pPr>
              <w:pStyle w:val="CETBodytext"/>
              <w:spacing w:line="220" w:lineRule="exact"/>
            </w:pPr>
            <w:r>
              <w:t>90.81</w:t>
            </w:r>
          </w:p>
        </w:tc>
        <w:tc>
          <w:tcPr>
            <w:tcW w:w="1400" w:type="dxa"/>
          </w:tcPr>
          <w:p w:rsidR="00E60005" w:rsidRDefault="00D627BC">
            <w:pPr>
              <w:pStyle w:val="CETBodytext"/>
              <w:spacing w:line="220" w:lineRule="exact"/>
            </w:pPr>
            <w:r>
              <w:t>0.0031</w:t>
            </w:r>
          </w:p>
        </w:tc>
        <w:tc>
          <w:tcPr>
            <w:tcW w:w="1187" w:type="dxa"/>
          </w:tcPr>
          <w:p w:rsidR="00E60005" w:rsidRDefault="00D627BC">
            <w:pPr>
              <w:pStyle w:val="CETBodytext"/>
              <w:spacing w:line="220" w:lineRule="exact"/>
            </w:pPr>
            <w:r>
              <w:t>85.48</w:t>
            </w:r>
          </w:p>
        </w:tc>
      </w:tr>
      <w:tr w:rsidR="00E60005">
        <w:tc>
          <w:tcPr>
            <w:tcW w:w="1600" w:type="dxa"/>
          </w:tcPr>
          <w:p w:rsidR="00E60005" w:rsidRDefault="00D627BC">
            <w:pPr>
              <w:pStyle w:val="CETBodytext"/>
              <w:spacing w:line="220" w:lineRule="exact"/>
            </w:pPr>
            <w:r>
              <w:lastRenderedPageBreak/>
              <w:t>EFGT-1</w:t>
            </w:r>
          </w:p>
        </w:tc>
        <w:tc>
          <w:tcPr>
            <w:tcW w:w="1250" w:type="dxa"/>
          </w:tcPr>
          <w:p w:rsidR="00E60005" w:rsidRDefault="00D627BC">
            <w:pPr>
              <w:pStyle w:val="CETBodytext"/>
              <w:spacing w:line="220" w:lineRule="exact"/>
            </w:pPr>
            <w:r>
              <w:t>150</w:t>
            </w:r>
          </w:p>
        </w:tc>
        <w:tc>
          <w:tcPr>
            <w:tcW w:w="900" w:type="dxa"/>
          </w:tcPr>
          <w:p w:rsidR="00E60005" w:rsidRDefault="00D627BC">
            <w:pPr>
              <w:pStyle w:val="CETBodytext"/>
              <w:spacing w:line="220" w:lineRule="exact"/>
            </w:pPr>
            <w:r>
              <w:t>50</w:t>
            </w:r>
          </w:p>
        </w:tc>
        <w:tc>
          <w:tcPr>
            <w:tcW w:w="1300" w:type="dxa"/>
          </w:tcPr>
          <w:p w:rsidR="00E60005" w:rsidRDefault="00D627BC">
            <w:pPr>
              <w:pStyle w:val="CETBodytext"/>
              <w:spacing w:line="220" w:lineRule="exact"/>
            </w:pPr>
            <w:r>
              <w:t>0.0026</w:t>
            </w:r>
          </w:p>
        </w:tc>
        <w:tc>
          <w:tcPr>
            <w:tcW w:w="1150" w:type="dxa"/>
          </w:tcPr>
          <w:p w:rsidR="00E60005" w:rsidRDefault="00D627BC">
            <w:pPr>
              <w:pStyle w:val="CETBodytext"/>
              <w:spacing w:line="220" w:lineRule="exact"/>
            </w:pPr>
            <w:r>
              <w:t>90.93</w:t>
            </w:r>
          </w:p>
        </w:tc>
        <w:tc>
          <w:tcPr>
            <w:tcW w:w="1400" w:type="dxa"/>
          </w:tcPr>
          <w:p w:rsidR="00E60005" w:rsidRDefault="00D627BC">
            <w:pPr>
              <w:pStyle w:val="CETBodytext"/>
              <w:spacing w:line="220" w:lineRule="exact"/>
            </w:pPr>
            <w:r>
              <w:t>0.0017</w:t>
            </w:r>
          </w:p>
        </w:tc>
        <w:tc>
          <w:tcPr>
            <w:tcW w:w="1187" w:type="dxa"/>
          </w:tcPr>
          <w:p w:rsidR="00E60005" w:rsidRDefault="00D627BC">
            <w:pPr>
              <w:pStyle w:val="CETBodytext"/>
              <w:spacing w:line="220" w:lineRule="exact"/>
            </w:pPr>
            <w:r>
              <w:t>91.31</w:t>
            </w:r>
          </w:p>
        </w:tc>
      </w:tr>
      <w:tr w:rsidR="00E60005">
        <w:tc>
          <w:tcPr>
            <w:tcW w:w="1600" w:type="dxa"/>
          </w:tcPr>
          <w:p w:rsidR="00E60005" w:rsidRDefault="00D627BC">
            <w:pPr>
              <w:pStyle w:val="CETBodytext"/>
              <w:spacing w:line="220" w:lineRule="exact"/>
            </w:pPr>
            <w:r>
              <w:t>EFGT-1</w:t>
            </w:r>
          </w:p>
        </w:tc>
        <w:tc>
          <w:tcPr>
            <w:tcW w:w="1250" w:type="dxa"/>
          </w:tcPr>
          <w:p w:rsidR="00E60005" w:rsidRDefault="00D627BC">
            <w:pPr>
              <w:pStyle w:val="CETBodytext"/>
              <w:spacing w:line="220" w:lineRule="exact"/>
            </w:pPr>
            <w:r>
              <w:t>200</w:t>
            </w:r>
          </w:p>
        </w:tc>
        <w:tc>
          <w:tcPr>
            <w:tcW w:w="900" w:type="dxa"/>
          </w:tcPr>
          <w:p w:rsidR="00E60005" w:rsidRDefault="00D627BC">
            <w:pPr>
              <w:pStyle w:val="CETBodytext"/>
              <w:spacing w:line="220" w:lineRule="exact"/>
            </w:pPr>
            <w:r>
              <w:t>60</w:t>
            </w:r>
          </w:p>
        </w:tc>
        <w:tc>
          <w:tcPr>
            <w:tcW w:w="1300" w:type="dxa"/>
          </w:tcPr>
          <w:p w:rsidR="00E60005" w:rsidRDefault="00D627BC">
            <w:pPr>
              <w:pStyle w:val="CETBodytext"/>
              <w:spacing w:line="220" w:lineRule="exact"/>
            </w:pPr>
            <w:r>
              <w:t>0.0037</w:t>
            </w:r>
          </w:p>
        </w:tc>
        <w:tc>
          <w:tcPr>
            <w:tcW w:w="1150" w:type="dxa"/>
          </w:tcPr>
          <w:p w:rsidR="00E60005" w:rsidRDefault="00D627BC">
            <w:pPr>
              <w:pStyle w:val="CETBodytext"/>
              <w:spacing w:line="220" w:lineRule="exact"/>
            </w:pPr>
            <w:r>
              <w:t>91.15</w:t>
            </w:r>
          </w:p>
        </w:tc>
        <w:tc>
          <w:tcPr>
            <w:tcW w:w="1400" w:type="dxa"/>
          </w:tcPr>
          <w:p w:rsidR="00E60005" w:rsidRDefault="00D627BC">
            <w:pPr>
              <w:pStyle w:val="CETBodytext"/>
              <w:spacing w:line="220" w:lineRule="exact"/>
            </w:pPr>
            <w:r>
              <w:t>0.0039</w:t>
            </w:r>
          </w:p>
        </w:tc>
        <w:tc>
          <w:tcPr>
            <w:tcW w:w="1187" w:type="dxa"/>
          </w:tcPr>
          <w:p w:rsidR="00E60005" w:rsidRDefault="00D627BC">
            <w:pPr>
              <w:pStyle w:val="CETBodytext"/>
              <w:spacing w:line="220" w:lineRule="exact"/>
            </w:pPr>
            <w:r>
              <w:t>91.48</w:t>
            </w:r>
          </w:p>
        </w:tc>
      </w:tr>
      <w:tr w:rsidR="00E60005">
        <w:tc>
          <w:tcPr>
            <w:tcW w:w="1600" w:type="dxa"/>
          </w:tcPr>
          <w:p w:rsidR="00E60005" w:rsidRDefault="00D627BC">
            <w:pPr>
              <w:pStyle w:val="CETBodytext"/>
              <w:spacing w:line="220" w:lineRule="exact"/>
            </w:pPr>
            <w:r>
              <w:t>EFGT-1</w:t>
            </w:r>
          </w:p>
        </w:tc>
        <w:tc>
          <w:tcPr>
            <w:tcW w:w="1250" w:type="dxa"/>
          </w:tcPr>
          <w:p w:rsidR="00E60005" w:rsidRDefault="00D627BC">
            <w:pPr>
              <w:pStyle w:val="CETBodytext"/>
              <w:spacing w:line="220" w:lineRule="exact"/>
            </w:pPr>
            <w:r>
              <w:t>250</w:t>
            </w:r>
          </w:p>
        </w:tc>
        <w:tc>
          <w:tcPr>
            <w:tcW w:w="900" w:type="dxa"/>
          </w:tcPr>
          <w:p w:rsidR="00E60005" w:rsidRDefault="00D627BC">
            <w:pPr>
              <w:pStyle w:val="CETBodytext"/>
              <w:spacing w:line="220" w:lineRule="exact"/>
            </w:pPr>
            <w:r>
              <w:t>70</w:t>
            </w:r>
          </w:p>
        </w:tc>
        <w:tc>
          <w:tcPr>
            <w:tcW w:w="1300" w:type="dxa"/>
          </w:tcPr>
          <w:p w:rsidR="00E60005" w:rsidRDefault="00D627BC">
            <w:pPr>
              <w:pStyle w:val="CETBodytext"/>
              <w:spacing w:line="220" w:lineRule="exact"/>
            </w:pPr>
            <w:r>
              <w:t>0.0027</w:t>
            </w:r>
          </w:p>
        </w:tc>
        <w:tc>
          <w:tcPr>
            <w:tcW w:w="1150" w:type="dxa"/>
          </w:tcPr>
          <w:p w:rsidR="00E60005" w:rsidRDefault="00D627BC">
            <w:pPr>
              <w:pStyle w:val="CETBodytext"/>
              <w:spacing w:line="220" w:lineRule="exact"/>
            </w:pPr>
            <w:r>
              <w:t>94.75</w:t>
            </w:r>
          </w:p>
        </w:tc>
        <w:tc>
          <w:tcPr>
            <w:tcW w:w="1400" w:type="dxa"/>
          </w:tcPr>
          <w:p w:rsidR="00E60005" w:rsidRDefault="00D627BC">
            <w:pPr>
              <w:pStyle w:val="CETBodytext"/>
              <w:spacing w:line="220" w:lineRule="exact"/>
            </w:pPr>
            <w:r>
              <w:t>0.0041</w:t>
            </w:r>
          </w:p>
        </w:tc>
        <w:tc>
          <w:tcPr>
            <w:tcW w:w="1187" w:type="dxa"/>
          </w:tcPr>
          <w:p w:rsidR="00E60005" w:rsidRDefault="00D627BC">
            <w:pPr>
              <w:pStyle w:val="CETBodytext"/>
              <w:spacing w:line="220" w:lineRule="exact"/>
            </w:pPr>
            <w:r>
              <w:t>92.63</w:t>
            </w:r>
          </w:p>
        </w:tc>
      </w:tr>
      <w:tr w:rsidR="00E60005">
        <w:tc>
          <w:tcPr>
            <w:tcW w:w="1600" w:type="dxa"/>
          </w:tcPr>
          <w:p w:rsidR="00E60005" w:rsidRDefault="00D627BC">
            <w:pPr>
              <w:pStyle w:val="CETBodytext"/>
              <w:spacing w:line="220" w:lineRule="exact"/>
            </w:pPr>
            <w:r>
              <w:t>EFGT-2</w:t>
            </w:r>
          </w:p>
        </w:tc>
        <w:tc>
          <w:tcPr>
            <w:tcW w:w="1250" w:type="dxa"/>
          </w:tcPr>
          <w:p w:rsidR="00E60005" w:rsidRDefault="00D627BC">
            <w:pPr>
              <w:pStyle w:val="CETBodytext"/>
              <w:spacing w:line="220" w:lineRule="exact"/>
            </w:pPr>
            <w:r>
              <w:t>50</w:t>
            </w:r>
          </w:p>
        </w:tc>
        <w:tc>
          <w:tcPr>
            <w:tcW w:w="900" w:type="dxa"/>
          </w:tcPr>
          <w:p w:rsidR="00E60005" w:rsidRDefault="00D627BC">
            <w:pPr>
              <w:pStyle w:val="CETBodytext"/>
              <w:spacing w:line="220" w:lineRule="exact"/>
            </w:pPr>
            <w:r>
              <w:t>30</w:t>
            </w:r>
          </w:p>
        </w:tc>
        <w:tc>
          <w:tcPr>
            <w:tcW w:w="1300" w:type="dxa"/>
          </w:tcPr>
          <w:p w:rsidR="00E60005" w:rsidRDefault="00D627BC">
            <w:pPr>
              <w:pStyle w:val="CETBodytext"/>
              <w:spacing w:line="220" w:lineRule="exact"/>
            </w:pPr>
            <w:r>
              <w:t>0.0010</w:t>
            </w:r>
          </w:p>
        </w:tc>
        <w:tc>
          <w:tcPr>
            <w:tcW w:w="1150" w:type="dxa"/>
          </w:tcPr>
          <w:p w:rsidR="00E60005" w:rsidRDefault="00D627BC">
            <w:pPr>
              <w:pStyle w:val="CETBodytext"/>
              <w:spacing w:line="220" w:lineRule="exact"/>
            </w:pPr>
            <w:r>
              <w:t>90.11</w:t>
            </w:r>
          </w:p>
        </w:tc>
        <w:tc>
          <w:tcPr>
            <w:tcW w:w="1400" w:type="dxa"/>
          </w:tcPr>
          <w:p w:rsidR="00E60005" w:rsidRDefault="00D627BC">
            <w:pPr>
              <w:pStyle w:val="CETBodytext"/>
              <w:spacing w:line="220" w:lineRule="exact"/>
            </w:pPr>
            <w:r>
              <w:t>0.0011</w:t>
            </w:r>
          </w:p>
        </w:tc>
        <w:tc>
          <w:tcPr>
            <w:tcW w:w="1187" w:type="dxa"/>
          </w:tcPr>
          <w:p w:rsidR="00E60005" w:rsidRDefault="00D627BC">
            <w:pPr>
              <w:pStyle w:val="CETBodytext"/>
              <w:spacing w:line="220" w:lineRule="exact"/>
            </w:pPr>
            <w:r>
              <w:t>84.17</w:t>
            </w:r>
          </w:p>
        </w:tc>
      </w:tr>
      <w:tr w:rsidR="00E60005">
        <w:tc>
          <w:tcPr>
            <w:tcW w:w="1600" w:type="dxa"/>
          </w:tcPr>
          <w:p w:rsidR="00E60005" w:rsidRDefault="00D627BC">
            <w:pPr>
              <w:pStyle w:val="CETBodytext"/>
              <w:spacing w:line="220" w:lineRule="exact"/>
            </w:pPr>
            <w:r>
              <w:t>EFGT-2</w:t>
            </w:r>
          </w:p>
        </w:tc>
        <w:tc>
          <w:tcPr>
            <w:tcW w:w="1250" w:type="dxa"/>
          </w:tcPr>
          <w:p w:rsidR="00E60005" w:rsidRDefault="00D627BC">
            <w:pPr>
              <w:pStyle w:val="CETBodytext"/>
              <w:spacing w:line="220" w:lineRule="exact"/>
            </w:pPr>
            <w:r>
              <w:t>100</w:t>
            </w:r>
          </w:p>
        </w:tc>
        <w:tc>
          <w:tcPr>
            <w:tcW w:w="900" w:type="dxa"/>
          </w:tcPr>
          <w:p w:rsidR="00E60005" w:rsidRDefault="00D627BC">
            <w:pPr>
              <w:pStyle w:val="CETBodytext"/>
              <w:spacing w:line="220" w:lineRule="exact"/>
            </w:pPr>
            <w:r>
              <w:t>40</w:t>
            </w:r>
          </w:p>
        </w:tc>
        <w:tc>
          <w:tcPr>
            <w:tcW w:w="1300" w:type="dxa"/>
          </w:tcPr>
          <w:p w:rsidR="00E60005" w:rsidRDefault="00D627BC">
            <w:pPr>
              <w:pStyle w:val="CETBodytext"/>
              <w:spacing w:line="220" w:lineRule="exact"/>
            </w:pPr>
            <w:r>
              <w:t>0.0016</w:t>
            </w:r>
          </w:p>
        </w:tc>
        <w:tc>
          <w:tcPr>
            <w:tcW w:w="1150" w:type="dxa"/>
          </w:tcPr>
          <w:p w:rsidR="00E60005" w:rsidRDefault="00D627BC">
            <w:pPr>
              <w:pStyle w:val="CETBodytext"/>
              <w:spacing w:line="220" w:lineRule="exact"/>
            </w:pPr>
            <w:r>
              <w:t>90.74</w:t>
            </w:r>
          </w:p>
        </w:tc>
        <w:tc>
          <w:tcPr>
            <w:tcW w:w="1400" w:type="dxa"/>
          </w:tcPr>
          <w:p w:rsidR="00E60005" w:rsidRDefault="00D627BC">
            <w:pPr>
              <w:pStyle w:val="CETBodytext"/>
              <w:spacing w:line="220" w:lineRule="exact"/>
            </w:pPr>
            <w:r>
              <w:t>0.0028</w:t>
            </w:r>
          </w:p>
        </w:tc>
        <w:tc>
          <w:tcPr>
            <w:tcW w:w="1187" w:type="dxa"/>
          </w:tcPr>
          <w:p w:rsidR="00E60005" w:rsidRDefault="00D627BC">
            <w:pPr>
              <w:pStyle w:val="CETBodytext"/>
              <w:spacing w:line="220" w:lineRule="exact"/>
            </w:pPr>
            <w:r>
              <w:t>84.48</w:t>
            </w:r>
          </w:p>
        </w:tc>
      </w:tr>
      <w:tr w:rsidR="00E60005">
        <w:tc>
          <w:tcPr>
            <w:tcW w:w="1600" w:type="dxa"/>
          </w:tcPr>
          <w:p w:rsidR="00E60005" w:rsidRDefault="00D627BC">
            <w:pPr>
              <w:pStyle w:val="CETBodytext"/>
              <w:spacing w:line="220" w:lineRule="exact"/>
            </w:pPr>
            <w:r>
              <w:t>EFGT-2</w:t>
            </w:r>
          </w:p>
        </w:tc>
        <w:tc>
          <w:tcPr>
            <w:tcW w:w="1250" w:type="dxa"/>
          </w:tcPr>
          <w:p w:rsidR="00E60005" w:rsidRDefault="00D627BC">
            <w:pPr>
              <w:pStyle w:val="CETBodytext"/>
              <w:spacing w:line="220" w:lineRule="exact"/>
            </w:pPr>
            <w:r>
              <w:t>150</w:t>
            </w:r>
          </w:p>
        </w:tc>
        <w:tc>
          <w:tcPr>
            <w:tcW w:w="900" w:type="dxa"/>
          </w:tcPr>
          <w:p w:rsidR="00E60005" w:rsidRDefault="00D627BC">
            <w:pPr>
              <w:pStyle w:val="CETBodytext"/>
              <w:spacing w:line="220" w:lineRule="exact"/>
            </w:pPr>
            <w:r>
              <w:t>50</w:t>
            </w:r>
          </w:p>
        </w:tc>
        <w:tc>
          <w:tcPr>
            <w:tcW w:w="1300" w:type="dxa"/>
          </w:tcPr>
          <w:p w:rsidR="00E60005" w:rsidRDefault="00D627BC">
            <w:pPr>
              <w:pStyle w:val="CETBodytext"/>
              <w:spacing w:line="220" w:lineRule="exact"/>
            </w:pPr>
            <w:r>
              <w:t>0.0025</w:t>
            </w:r>
          </w:p>
        </w:tc>
        <w:tc>
          <w:tcPr>
            <w:tcW w:w="1150" w:type="dxa"/>
          </w:tcPr>
          <w:p w:rsidR="00E60005" w:rsidRDefault="00D627BC">
            <w:pPr>
              <w:pStyle w:val="CETBodytext"/>
              <w:spacing w:line="220" w:lineRule="exact"/>
            </w:pPr>
            <w:r>
              <w:t>90.88</w:t>
            </w:r>
          </w:p>
        </w:tc>
        <w:tc>
          <w:tcPr>
            <w:tcW w:w="1400" w:type="dxa"/>
          </w:tcPr>
          <w:p w:rsidR="00E60005" w:rsidRDefault="00D627BC">
            <w:pPr>
              <w:pStyle w:val="CETBodytext"/>
              <w:spacing w:line="220" w:lineRule="exact"/>
            </w:pPr>
            <w:r>
              <w:t>0.0016</w:t>
            </w:r>
          </w:p>
        </w:tc>
        <w:tc>
          <w:tcPr>
            <w:tcW w:w="1187" w:type="dxa"/>
          </w:tcPr>
          <w:p w:rsidR="00E60005" w:rsidRDefault="00D627BC">
            <w:pPr>
              <w:pStyle w:val="CETBodytext"/>
              <w:spacing w:line="220" w:lineRule="exact"/>
            </w:pPr>
            <w:r>
              <w:t>91.02</w:t>
            </w:r>
          </w:p>
        </w:tc>
      </w:tr>
      <w:tr w:rsidR="00E60005">
        <w:tc>
          <w:tcPr>
            <w:tcW w:w="1600" w:type="dxa"/>
          </w:tcPr>
          <w:p w:rsidR="00E60005" w:rsidRDefault="00D627BC">
            <w:pPr>
              <w:pStyle w:val="CETBodytext"/>
              <w:spacing w:line="220" w:lineRule="exact"/>
            </w:pPr>
            <w:r>
              <w:t>EFGT-2</w:t>
            </w:r>
          </w:p>
        </w:tc>
        <w:tc>
          <w:tcPr>
            <w:tcW w:w="1250" w:type="dxa"/>
          </w:tcPr>
          <w:p w:rsidR="00E60005" w:rsidRDefault="00D627BC">
            <w:pPr>
              <w:pStyle w:val="CETBodytext"/>
              <w:spacing w:line="220" w:lineRule="exact"/>
            </w:pPr>
            <w:r>
              <w:t>200</w:t>
            </w:r>
          </w:p>
        </w:tc>
        <w:tc>
          <w:tcPr>
            <w:tcW w:w="900" w:type="dxa"/>
          </w:tcPr>
          <w:p w:rsidR="00E60005" w:rsidRDefault="00D627BC">
            <w:pPr>
              <w:pStyle w:val="CETBodytext"/>
              <w:spacing w:line="220" w:lineRule="exact"/>
            </w:pPr>
            <w:r>
              <w:t>60</w:t>
            </w:r>
          </w:p>
        </w:tc>
        <w:tc>
          <w:tcPr>
            <w:tcW w:w="1300" w:type="dxa"/>
          </w:tcPr>
          <w:p w:rsidR="00E60005" w:rsidRDefault="00D627BC">
            <w:pPr>
              <w:pStyle w:val="CETBodytext"/>
              <w:spacing w:line="220" w:lineRule="exact"/>
            </w:pPr>
            <w:r>
              <w:t>0.0035</w:t>
            </w:r>
          </w:p>
        </w:tc>
        <w:tc>
          <w:tcPr>
            <w:tcW w:w="1150" w:type="dxa"/>
          </w:tcPr>
          <w:p w:rsidR="00E60005" w:rsidRDefault="00D627BC">
            <w:pPr>
              <w:pStyle w:val="CETBodytext"/>
              <w:spacing w:line="220" w:lineRule="exact"/>
            </w:pPr>
            <w:r>
              <w:t>91.17</w:t>
            </w:r>
          </w:p>
        </w:tc>
        <w:tc>
          <w:tcPr>
            <w:tcW w:w="1400" w:type="dxa"/>
          </w:tcPr>
          <w:p w:rsidR="00E60005" w:rsidRDefault="00D627BC">
            <w:pPr>
              <w:pStyle w:val="CETBodytext"/>
              <w:spacing w:line="220" w:lineRule="exact"/>
            </w:pPr>
            <w:r>
              <w:t>0.0038</w:t>
            </w:r>
          </w:p>
        </w:tc>
        <w:tc>
          <w:tcPr>
            <w:tcW w:w="1187" w:type="dxa"/>
          </w:tcPr>
          <w:p w:rsidR="00E60005" w:rsidRDefault="00D627BC">
            <w:pPr>
              <w:pStyle w:val="CETBodytext"/>
              <w:spacing w:line="220" w:lineRule="exact"/>
            </w:pPr>
            <w:r>
              <w:t>91.48</w:t>
            </w:r>
          </w:p>
        </w:tc>
      </w:tr>
      <w:tr w:rsidR="00E60005">
        <w:tc>
          <w:tcPr>
            <w:tcW w:w="1600" w:type="dxa"/>
          </w:tcPr>
          <w:p w:rsidR="00E60005" w:rsidRDefault="00D627BC">
            <w:pPr>
              <w:pStyle w:val="CETBodytext"/>
              <w:spacing w:line="220" w:lineRule="exact"/>
            </w:pPr>
            <w:r>
              <w:t>EFGT-2</w:t>
            </w:r>
          </w:p>
        </w:tc>
        <w:tc>
          <w:tcPr>
            <w:tcW w:w="1250" w:type="dxa"/>
          </w:tcPr>
          <w:p w:rsidR="00E60005" w:rsidRDefault="00D627BC">
            <w:pPr>
              <w:pStyle w:val="CETBodytext"/>
              <w:spacing w:line="220" w:lineRule="exact"/>
            </w:pPr>
            <w:r>
              <w:t>250</w:t>
            </w:r>
          </w:p>
        </w:tc>
        <w:tc>
          <w:tcPr>
            <w:tcW w:w="900" w:type="dxa"/>
          </w:tcPr>
          <w:p w:rsidR="00E60005" w:rsidRDefault="00D627BC">
            <w:pPr>
              <w:pStyle w:val="CETBodytext"/>
              <w:spacing w:line="220" w:lineRule="exact"/>
            </w:pPr>
            <w:r>
              <w:t>70</w:t>
            </w:r>
          </w:p>
        </w:tc>
        <w:tc>
          <w:tcPr>
            <w:tcW w:w="1300" w:type="dxa"/>
          </w:tcPr>
          <w:p w:rsidR="00E60005" w:rsidRDefault="00D627BC">
            <w:pPr>
              <w:pStyle w:val="CETBodytext"/>
              <w:spacing w:line="220" w:lineRule="exact"/>
            </w:pPr>
            <w:r>
              <w:t>0.0027</w:t>
            </w:r>
          </w:p>
        </w:tc>
        <w:tc>
          <w:tcPr>
            <w:tcW w:w="1150" w:type="dxa"/>
          </w:tcPr>
          <w:p w:rsidR="00E60005" w:rsidRDefault="00D627BC">
            <w:pPr>
              <w:pStyle w:val="CETBodytext"/>
              <w:spacing w:line="220" w:lineRule="exact"/>
            </w:pPr>
            <w:r>
              <w:t>93.62</w:t>
            </w:r>
          </w:p>
        </w:tc>
        <w:tc>
          <w:tcPr>
            <w:tcW w:w="1400" w:type="dxa"/>
          </w:tcPr>
          <w:p w:rsidR="00E60005" w:rsidRDefault="00D627BC">
            <w:pPr>
              <w:pStyle w:val="CETBodytext"/>
              <w:spacing w:line="220" w:lineRule="exact"/>
            </w:pPr>
            <w:r>
              <w:t>0.0040</w:t>
            </w:r>
          </w:p>
        </w:tc>
        <w:tc>
          <w:tcPr>
            <w:tcW w:w="1187" w:type="dxa"/>
          </w:tcPr>
          <w:p w:rsidR="00E60005" w:rsidRDefault="00D627BC">
            <w:pPr>
              <w:pStyle w:val="CETBodytext"/>
              <w:spacing w:line="220" w:lineRule="exact"/>
            </w:pPr>
            <w:r>
              <w:t>92.14</w:t>
            </w:r>
          </w:p>
        </w:tc>
      </w:tr>
    </w:tbl>
    <w:p w:rsidR="00E60005" w:rsidRDefault="00D627BC">
      <w:pPr>
        <w:pStyle w:val="CETBodytext"/>
      </w:pPr>
      <w:r>
        <w:t>At 250 mg L</w:t>
      </w:r>
      <w:r>
        <w:rPr>
          <w:vertAlign w:val="superscript"/>
        </w:rPr>
        <w:t>−1</w:t>
      </w:r>
      <w:r>
        <w:t xml:space="preserve"> and 70 °C, the highest protection efficiency of the locally synthesized EFGT-1 inhibitor was 94.75 % in 0.5 M HCl and 92.63 % in 0.5 M H</w:t>
      </w:r>
      <w:r>
        <w:rPr>
          <w:vertAlign w:val="subscript"/>
        </w:rPr>
        <w:t>2</w:t>
      </w:r>
      <w:r>
        <w:t>SO</w:t>
      </w:r>
      <w:r>
        <w:rPr>
          <w:vertAlign w:val="subscript"/>
        </w:rPr>
        <w:t>4</w:t>
      </w:r>
      <w:r>
        <w:t>. EFGT-2 showed 93.62 % and 92.14 %, while EFGK reached 90.84 % and 87.56 % in the same media. These values are close to those of the imported Fleck inhibitor, which showed 95.87 % protection in HCl and 92.00 % in H</w:t>
      </w:r>
      <w:r>
        <w:rPr>
          <w:vertAlign w:val="subscript"/>
        </w:rPr>
        <w:t>2</w:t>
      </w:r>
      <w:r>
        <w:t>SO</w:t>
      </w:r>
      <w:r>
        <w:rPr>
          <w:vertAlign w:val="subscript"/>
        </w:rPr>
        <w:t>4</w:t>
      </w:r>
      <w:r>
        <w:t>, while Flogard showed 87.51 % and 91</w:t>
      </w:r>
      <w:r>
        <w:t>.23 %.</w:t>
      </w:r>
    </w:p>
    <w:p w:rsidR="00E60005" w:rsidRDefault="00D627BC">
      <w:pPr>
        <w:pStyle w:val="CETBodytext"/>
      </w:pPr>
      <w:r>
        <w:t>The higher efficiencies observed in HCl compared with H</w:t>
      </w:r>
      <w:r>
        <w:rPr>
          <w:vertAlign w:val="subscript"/>
        </w:rPr>
        <w:t>2</w:t>
      </w:r>
      <w:r>
        <w:t>SO</w:t>
      </w:r>
      <w:r>
        <w:rPr>
          <w:vertAlign w:val="subscript"/>
        </w:rPr>
        <w:t>4</w:t>
      </w:r>
      <w:r>
        <w:t xml:space="preserve"> for most synthesized inhibitors can be explained by the adsorption behaviour of acid-protonated inhibitor species. Chloride ions can be adsorbed on the steel surface and may facilitate the </w:t>
      </w:r>
      <w:r>
        <w:t>interaction of cationic inhibitor species with the metal interface. Sulfate ions are larger and more strongly hydrated; therefore, competitive adsorption and solvation effects can reduce the compactness of the protective film. The high performance of the t</w:t>
      </w:r>
      <w:r>
        <w:t>hiocarbamide-containing EFGT variants indicates that sulfur-containing fragments strengthen adsorption and support the formation of a more stable barrier layer.</w:t>
      </w:r>
    </w:p>
    <w:p w:rsidR="00E60005" w:rsidRDefault="00D627BC">
      <w:pPr>
        <w:pStyle w:val="CETheadingx"/>
      </w:pPr>
      <w:r>
        <w:t>Protection in the acid–salt medium</w:t>
      </w:r>
    </w:p>
    <w:p w:rsidR="00E60005" w:rsidRDefault="00D627BC">
      <w:pPr>
        <w:pStyle w:val="CETBodytext"/>
      </w:pPr>
      <w:r>
        <w:t>The effect of EFGT and DFGT in the acid–salt medium is given</w:t>
      </w:r>
      <w:r>
        <w:t xml:space="preserve"> in Table 3 and Figure 2. Without inhibitor, the corrosion rate was 1.0702 g m</w:t>
      </w:r>
      <w:r>
        <w:rPr>
          <w:vertAlign w:val="superscript"/>
        </w:rPr>
        <w:t>−2</w:t>
      </w:r>
      <w:r>
        <w:t xml:space="preserve"> h</w:t>
      </w:r>
      <w:r>
        <w:rPr>
          <w:vertAlign w:val="superscript"/>
        </w:rPr>
        <w:t>−1</w:t>
      </w:r>
      <w:r>
        <w:t>. Increasing the inhibitor concentration from 50 to 200 mg L</w:t>
      </w:r>
      <w:r>
        <w:rPr>
          <w:vertAlign w:val="superscript"/>
        </w:rPr>
        <w:t>−1</w:t>
      </w:r>
      <w:r>
        <w:t xml:space="preserve"> decreased the corrosion rate and increased the protection efficiency for both formulations.</w:t>
      </w:r>
    </w:p>
    <w:p w:rsidR="00E60005" w:rsidRDefault="00D627BC">
      <w:pPr>
        <w:pStyle w:val="CETTabletitle"/>
      </w:pPr>
      <w:r>
        <w:t>Table 3: Corrosio</w:t>
      </w:r>
      <w:r>
        <w:t>n rate and protection efficiency of EFGT and DFGT in the 0.5 M HCl + 200 mg L</w:t>
      </w:r>
      <w:r>
        <w:rPr>
          <w:vertAlign w:val="superscript"/>
        </w:rPr>
        <w:t>−1</w:t>
      </w:r>
      <w:r>
        <w:t xml:space="preserve"> NaCl acid–salt solution</w:t>
      </w:r>
    </w:p>
    <w:tbl>
      <w:tblPr>
        <w:tblW w:w="0" w:type="auto"/>
        <w:tblBorders>
          <w:top w:val="single" w:sz="12" w:space="0" w:color="008000"/>
          <w:bottom w:val="single" w:sz="12" w:space="0" w:color="008000"/>
        </w:tblBorders>
        <w:tblLayout w:type="fixed"/>
        <w:tblCellMar>
          <w:left w:w="0" w:type="dxa"/>
          <w:right w:w="85" w:type="dxa"/>
        </w:tblCellMar>
        <w:tblLook w:val="04A0" w:firstRow="1" w:lastRow="0" w:firstColumn="1" w:lastColumn="0" w:noHBand="0" w:noVBand="1"/>
      </w:tblPr>
      <w:tblGrid>
        <w:gridCol w:w="2200"/>
        <w:gridCol w:w="2193"/>
        <w:gridCol w:w="7"/>
        <w:gridCol w:w="2400"/>
        <w:gridCol w:w="1987"/>
      </w:tblGrid>
      <w:tr w:rsidR="00E60005">
        <w:tc>
          <w:tcPr>
            <w:tcW w:w="2200" w:type="dxa"/>
            <w:tcBorders>
              <w:bottom w:val="single" w:sz="6" w:space="0" w:color="008000"/>
            </w:tcBorders>
          </w:tcPr>
          <w:p w:rsidR="00E60005" w:rsidRDefault="00D627BC">
            <w:pPr>
              <w:pStyle w:val="CETBodytext"/>
              <w:spacing w:line="220" w:lineRule="exact"/>
            </w:pPr>
            <w:r>
              <w:t>Inhibitor</w:t>
            </w:r>
          </w:p>
        </w:tc>
        <w:tc>
          <w:tcPr>
            <w:tcW w:w="2200" w:type="dxa"/>
            <w:gridSpan w:val="2"/>
            <w:tcBorders>
              <w:bottom w:val="single" w:sz="6" w:space="0" w:color="008000"/>
            </w:tcBorders>
          </w:tcPr>
          <w:p w:rsidR="00E60005" w:rsidRDefault="00D627BC">
            <w:pPr>
              <w:pStyle w:val="CETBodytext"/>
              <w:spacing w:line="220" w:lineRule="exact"/>
            </w:pPr>
            <w:r>
              <w:t>C, mg L</w:t>
            </w:r>
            <w:r>
              <w:rPr>
                <w:vertAlign w:val="superscript"/>
              </w:rPr>
              <w:t>−1</w:t>
            </w:r>
          </w:p>
        </w:tc>
        <w:tc>
          <w:tcPr>
            <w:tcW w:w="2400" w:type="dxa"/>
            <w:tcBorders>
              <w:bottom w:val="single" w:sz="6" w:space="0" w:color="008000"/>
            </w:tcBorders>
          </w:tcPr>
          <w:p w:rsidR="00E60005" w:rsidRDefault="00D627BC">
            <w:pPr>
              <w:pStyle w:val="CETBodytext"/>
              <w:spacing w:line="220" w:lineRule="exact"/>
            </w:pPr>
            <w:r>
              <w:t>W, g m</w:t>
            </w:r>
            <w:r>
              <w:rPr>
                <w:vertAlign w:val="superscript"/>
              </w:rPr>
              <w:t>−2</w:t>
            </w:r>
            <w:r>
              <w:t xml:space="preserve"> h</w:t>
            </w:r>
            <w:r>
              <w:rPr>
                <w:vertAlign w:val="superscript"/>
              </w:rPr>
              <w:t>−1</w:t>
            </w:r>
          </w:p>
        </w:tc>
        <w:tc>
          <w:tcPr>
            <w:tcW w:w="1987" w:type="dxa"/>
            <w:tcBorders>
              <w:bottom w:val="single" w:sz="6" w:space="0" w:color="008000"/>
            </w:tcBorders>
          </w:tcPr>
          <w:p w:rsidR="00E60005" w:rsidRDefault="00D627BC">
            <w:pPr>
              <w:pStyle w:val="CETBodytext"/>
              <w:spacing w:line="220" w:lineRule="exact"/>
            </w:pPr>
            <w:r>
              <w:t>Z, %</w:t>
            </w:r>
          </w:p>
        </w:tc>
      </w:tr>
      <w:tr w:rsidR="00E60005">
        <w:tc>
          <w:tcPr>
            <w:tcW w:w="2200" w:type="dxa"/>
          </w:tcPr>
          <w:p w:rsidR="00E60005" w:rsidRDefault="00D627BC">
            <w:pPr>
              <w:pStyle w:val="CETBodytext"/>
              <w:spacing w:line="220" w:lineRule="exact"/>
            </w:pPr>
            <w:r>
              <w:t>No inhibitor</w:t>
            </w:r>
          </w:p>
        </w:tc>
        <w:tc>
          <w:tcPr>
            <w:tcW w:w="2200" w:type="dxa"/>
            <w:gridSpan w:val="2"/>
          </w:tcPr>
          <w:p w:rsidR="00E60005" w:rsidRDefault="00D627BC">
            <w:pPr>
              <w:pStyle w:val="CETBodytext"/>
              <w:spacing w:line="220" w:lineRule="exact"/>
            </w:pPr>
            <w:r>
              <w:t>–</w:t>
            </w:r>
          </w:p>
        </w:tc>
        <w:tc>
          <w:tcPr>
            <w:tcW w:w="2400" w:type="dxa"/>
          </w:tcPr>
          <w:p w:rsidR="00E60005" w:rsidRDefault="00D627BC">
            <w:pPr>
              <w:pStyle w:val="CETBodytext"/>
              <w:spacing w:line="220" w:lineRule="exact"/>
            </w:pPr>
            <w:r>
              <w:t>1.0702</w:t>
            </w:r>
          </w:p>
        </w:tc>
        <w:tc>
          <w:tcPr>
            <w:tcW w:w="1987" w:type="dxa"/>
          </w:tcPr>
          <w:p w:rsidR="00E60005" w:rsidRDefault="00D627BC">
            <w:pPr>
              <w:pStyle w:val="CETBodytext"/>
              <w:spacing w:line="220" w:lineRule="exact"/>
            </w:pPr>
            <w:r>
              <w:t>–</w:t>
            </w:r>
          </w:p>
        </w:tc>
      </w:tr>
      <w:tr w:rsidR="00E60005">
        <w:tc>
          <w:tcPr>
            <w:tcW w:w="2200" w:type="dxa"/>
          </w:tcPr>
          <w:p w:rsidR="00E60005" w:rsidRDefault="00D627BC">
            <w:pPr>
              <w:pStyle w:val="CETBodytext"/>
              <w:spacing w:line="220" w:lineRule="exact"/>
            </w:pPr>
            <w:r>
              <w:t>EFGT</w:t>
            </w:r>
          </w:p>
        </w:tc>
        <w:tc>
          <w:tcPr>
            <w:tcW w:w="2200" w:type="dxa"/>
            <w:gridSpan w:val="2"/>
          </w:tcPr>
          <w:p w:rsidR="00E60005" w:rsidRDefault="00D627BC">
            <w:pPr>
              <w:pStyle w:val="CETBodytext"/>
              <w:spacing w:line="220" w:lineRule="exact"/>
            </w:pPr>
            <w:r>
              <w:t>50</w:t>
            </w:r>
          </w:p>
        </w:tc>
        <w:tc>
          <w:tcPr>
            <w:tcW w:w="2400" w:type="dxa"/>
          </w:tcPr>
          <w:p w:rsidR="00E60005" w:rsidRDefault="00D627BC">
            <w:pPr>
              <w:pStyle w:val="CETBodytext"/>
              <w:spacing w:line="220" w:lineRule="exact"/>
            </w:pPr>
            <w:r>
              <w:t>0.1906</w:t>
            </w:r>
          </w:p>
        </w:tc>
        <w:tc>
          <w:tcPr>
            <w:tcW w:w="1987" w:type="dxa"/>
          </w:tcPr>
          <w:p w:rsidR="00E60005" w:rsidRDefault="00D627BC">
            <w:pPr>
              <w:pStyle w:val="CETBodytext"/>
              <w:spacing w:line="220" w:lineRule="exact"/>
            </w:pPr>
            <w:r>
              <w:t>82.24</w:t>
            </w:r>
          </w:p>
        </w:tc>
      </w:tr>
      <w:tr w:rsidR="00E60005">
        <w:tc>
          <w:tcPr>
            <w:tcW w:w="2200" w:type="dxa"/>
          </w:tcPr>
          <w:p w:rsidR="00E60005" w:rsidRDefault="00D627BC">
            <w:pPr>
              <w:pStyle w:val="CETBodytext"/>
              <w:spacing w:line="220" w:lineRule="exact"/>
            </w:pPr>
            <w:r>
              <w:t>EFGT</w:t>
            </w:r>
          </w:p>
        </w:tc>
        <w:tc>
          <w:tcPr>
            <w:tcW w:w="2200" w:type="dxa"/>
            <w:gridSpan w:val="2"/>
          </w:tcPr>
          <w:p w:rsidR="00E60005" w:rsidRDefault="00D627BC">
            <w:pPr>
              <w:pStyle w:val="CETBodytext"/>
              <w:spacing w:line="220" w:lineRule="exact"/>
            </w:pPr>
            <w:r>
              <w:t>100</w:t>
            </w:r>
          </w:p>
        </w:tc>
        <w:tc>
          <w:tcPr>
            <w:tcW w:w="2400" w:type="dxa"/>
          </w:tcPr>
          <w:p w:rsidR="00E60005" w:rsidRDefault="00D627BC">
            <w:pPr>
              <w:pStyle w:val="CETBodytext"/>
              <w:spacing w:line="220" w:lineRule="exact"/>
            </w:pPr>
            <w:r>
              <w:t>0.1421</w:t>
            </w:r>
          </w:p>
        </w:tc>
        <w:tc>
          <w:tcPr>
            <w:tcW w:w="1987" w:type="dxa"/>
          </w:tcPr>
          <w:p w:rsidR="00E60005" w:rsidRDefault="00D627BC">
            <w:pPr>
              <w:pStyle w:val="CETBodytext"/>
              <w:spacing w:line="220" w:lineRule="exact"/>
            </w:pPr>
            <w:r>
              <w:t>86.72</w:t>
            </w:r>
          </w:p>
        </w:tc>
      </w:tr>
      <w:tr w:rsidR="00E60005">
        <w:tc>
          <w:tcPr>
            <w:tcW w:w="2200" w:type="dxa"/>
          </w:tcPr>
          <w:p w:rsidR="00E60005" w:rsidRDefault="00D627BC">
            <w:pPr>
              <w:pStyle w:val="CETBodytext"/>
              <w:spacing w:line="220" w:lineRule="exact"/>
            </w:pPr>
            <w:r>
              <w:t>EFGT</w:t>
            </w:r>
          </w:p>
        </w:tc>
        <w:tc>
          <w:tcPr>
            <w:tcW w:w="2200" w:type="dxa"/>
            <w:gridSpan w:val="2"/>
          </w:tcPr>
          <w:p w:rsidR="00E60005" w:rsidRDefault="00D627BC">
            <w:pPr>
              <w:pStyle w:val="CETBodytext"/>
              <w:spacing w:line="220" w:lineRule="exact"/>
            </w:pPr>
            <w:r>
              <w:t>150</w:t>
            </w:r>
          </w:p>
        </w:tc>
        <w:tc>
          <w:tcPr>
            <w:tcW w:w="2400" w:type="dxa"/>
          </w:tcPr>
          <w:p w:rsidR="00E60005" w:rsidRDefault="00D627BC">
            <w:pPr>
              <w:pStyle w:val="CETBodytext"/>
              <w:spacing w:line="220" w:lineRule="exact"/>
            </w:pPr>
            <w:r>
              <w:t>0.1138</w:t>
            </w:r>
          </w:p>
        </w:tc>
        <w:tc>
          <w:tcPr>
            <w:tcW w:w="1987" w:type="dxa"/>
          </w:tcPr>
          <w:p w:rsidR="00E60005" w:rsidRDefault="00D627BC">
            <w:pPr>
              <w:pStyle w:val="CETBodytext"/>
              <w:spacing w:line="220" w:lineRule="exact"/>
            </w:pPr>
            <w:r>
              <w:t>89.43</w:t>
            </w:r>
          </w:p>
        </w:tc>
      </w:tr>
      <w:tr w:rsidR="00E60005">
        <w:tc>
          <w:tcPr>
            <w:tcW w:w="2200" w:type="dxa"/>
          </w:tcPr>
          <w:p w:rsidR="00E60005" w:rsidRDefault="00D627BC">
            <w:pPr>
              <w:pStyle w:val="CETBodytext"/>
              <w:spacing w:line="220" w:lineRule="exact"/>
            </w:pPr>
            <w:r>
              <w:t>EFGT</w:t>
            </w:r>
          </w:p>
        </w:tc>
        <w:tc>
          <w:tcPr>
            <w:tcW w:w="2200" w:type="dxa"/>
            <w:gridSpan w:val="2"/>
          </w:tcPr>
          <w:p w:rsidR="00E60005" w:rsidRDefault="00D627BC">
            <w:pPr>
              <w:pStyle w:val="CETBodytext"/>
              <w:spacing w:line="220" w:lineRule="exact"/>
            </w:pPr>
            <w:r>
              <w:t>200</w:t>
            </w:r>
          </w:p>
        </w:tc>
        <w:tc>
          <w:tcPr>
            <w:tcW w:w="2400" w:type="dxa"/>
          </w:tcPr>
          <w:p w:rsidR="00E60005" w:rsidRDefault="00D627BC">
            <w:pPr>
              <w:pStyle w:val="CETBodytext"/>
              <w:spacing w:line="220" w:lineRule="exact"/>
            </w:pPr>
            <w:r>
              <w:t>0.0754</w:t>
            </w:r>
          </w:p>
        </w:tc>
        <w:tc>
          <w:tcPr>
            <w:tcW w:w="1987" w:type="dxa"/>
          </w:tcPr>
          <w:p w:rsidR="00E60005" w:rsidRDefault="00D627BC">
            <w:pPr>
              <w:pStyle w:val="CETBodytext"/>
              <w:spacing w:line="220" w:lineRule="exact"/>
            </w:pPr>
            <w:r>
              <w:t>92.25</w:t>
            </w:r>
          </w:p>
        </w:tc>
      </w:tr>
      <w:tr w:rsidR="00E60005">
        <w:tc>
          <w:tcPr>
            <w:tcW w:w="2200" w:type="dxa"/>
          </w:tcPr>
          <w:p w:rsidR="00E60005" w:rsidRDefault="00D627BC">
            <w:pPr>
              <w:pStyle w:val="CETBodytext"/>
              <w:spacing w:line="220" w:lineRule="exact"/>
            </w:pPr>
            <w:r>
              <w:t>DFGT</w:t>
            </w:r>
          </w:p>
        </w:tc>
        <w:tc>
          <w:tcPr>
            <w:tcW w:w="2200" w:type="dxa"/>
            <w:gridSpan w:val="2"/>
          </w:tcPr>
          <w:p w:rsidR="00E60005" w:rsidRDefault="00D627BC">
            <w:pPr>
              <w:pStyle w:val="CETBodytext"/>
              <w:spacing w:line="220" w:lineRule="exact"/>
            </w:pPr>
            <w:r>
              <w:t>50</w:t>
            </w:r>
          </w:p>
        </w:tc>
        <w:tc>
          <w:tcPr>
            <w:tcW w:w="2400" w:type="dxa"/>
          </w:tcPr>
          <w:p w:rsidR="00E60005" w:rsidRDefault="00D627BC">
            <w:pPr>
              <w:pStyle w:val="CETBodytext"/>
              <w:spacing w:line="220" w:lineRule="exact"/>
            </w:pPr>
            <w:r>
              <w:t>0.1714</w:t>
            </w:r>
          </w:p>
        </w:tc>
        <w:tc>
          <w:tcPr>
            <w:tcW w:w="1987" w:type="dxa"/>
          </w:tcPr>
          <w:p w:rsidR="00E60005" w:rsidRDefault="00D627BC">
            <w:pPr>
              <w:pStyle w:val="CETBodytext"/>
              <w:spacing w:line="220" w:lineRule="exact"/>
            </w:pPr>
            <w:r>
              <w:t>84.11</w:t>
            </w:r>
          </w:p>
        </w:tc>
      </w:tr>
      <w:tr w:rsidR="00E60005">
        <w:tc>
          <w:tcPr>
            <w:tcW w:w="2200" w:type="dxa"/>
          </w:tcPr>
          <w:p w:rsidR="00E60005" w:rsidRDefault="00D627BC">
            <w:pPr>
              <w:pStyle w:val="CETBodytext"/>
              <w:spacing w:line="220" w:lineRule="exact"/>
            </w:pPr>
            <w:r>
              <w:t>DFGT</w:t>
            </w:r>
          </w:p>
        </w:tc>
        <w:tc>
          <w:tcPr>
            <w:tcW w:w="2200" w:type="dxa"/>
            <w:gridSpan w:val="2"/>
          </w:tcPr>
          <w:p w:rsidR="00E60005" w:rsidRDefault="00D627BC">
            <w:pPr>
              <w:pStyle w:val="CETBodytext"/>
              <w:spacing w:line="220" w:lineRule="exact"/>
            </w:pPr>
            <w:r>
              <w:t>100</w:t>
            </w:r>
          </w:p>
        </w:tc>
        <w:tc>
          <w:tcPr>
            <w:tcW w:w="2400" w:type="dxa"/>
          </w:tcPr>
          <w:p w:rsidR="00E60005" w:rsidRDefault="00D627BC">
            <w:pPr>
              <w:pStyle w:val="CETBodytext"/>
              <w:spacing w:line="220" w:lineRule="exact"/>
            </w:pPr>
            <w:r>
              <w:t>0.1295</w:t>
            </w:r>
          </w:p>
        </w:tc>
        <w:tc>
          <w:tcPr>
            <w:tcW w:w="1987" w:type="dxa"/>
          </w:tcPr>
          <w:p w:rsidR="00E60005" w:rsidRDefault="00D627BC">
            <w:pPr>
              <w:pStyle w:val="CETBodytext"/>
              <w:spacing w:line="220" w:lineRule="exact"/>
            </w:pPr>
            <w:r>
              <w:t>87.89</w:t>
            </w:r>
          </w:p>
        </w:tc>
      </w:tr>
      <w:tr w:rsidR="00E60005">
        <w:tc>
          <w:tcPr>
            <w:tcW w:w="2200" w:type="dxa"/>
          </w:tcPr>
          <w:p w:rsidR="00E60005" w:rsidRDefault="00D627BC">
            <w:pPr>
              <w:pStyle w:val="CETBodytext"/>
              <w:spacing w:line="220" w:lineRule="exact"/>
            </w:pPr>
            <w:r>
              <w:t>DFGT</w:t>
            </w:r>
          </w:p>
        </w:tc>
        <w:tc>
          <w:tcPr>
            <w:tcW w:w="2200" w:type="dxa"/>
            <w:gridSpan w:val="2"/>
          </w:tcPr>
          <w:p w:rsidR="00E60005" w:rsidRDefault="00D627BC">
            <w:pPr>
              <w:pStyle w:val="CETBodytext"/>
              <w:spacing w:line="220" w:lineRule="exact"/>
            </w:pPr>
            <w:r>
              <w:t>150</w:t>
            </w:r>
          </w:p>
        </w:tc>
        <w:tc>
          <w:tcPr>
            <w:tcW w:w="2400" w:type="dxa"/>
          </w:tcPr>
          <w:p w:rsidR="00E60005" w:rsidRDefault="00D627BC">
            <w:pPr>
              <w:pStyle w:val="CETBodytext"/>
              <w:spacing w:line="220" w:lineRule="exact"/>
            </w:pPr>
            <w:r>
              <w:t>0.1058</w:t>
            </w:r>
          </w:p>
        </w:tc>
        <w:tc>
          <w:tcPr>
            <w:tcW w:w="1987" w:type="dxa"/>
          </w:tcPr>
          <w:p w:rsidR="00E60005" w:rsidRDefault="00D627BC">
            <w:pPr>
              <w:pStyle w:val="CETBodytext"/>
              <w:spacing w:line="220" w:lineRule="exact"/>
            </w:pPr>
            <w:r>
              <w:t>90.11</w:t>
            </w:r>
          </w:p>
        </w:tc>
      </w:tr>
      <w:tr w:rsidR="00E60005">
        <w:tc>
          <w:tcPr>
            <w:tcW w:w="2200" w:type="dxa"/>
          </w:tcPr>
          <w:p w:rsidR="00E60005" w:rsidRDefault="00D627BC">
            <w:pPr>
              <w:pStyle w:val="CETBodytext"/>
              <w:spacing w:line="220" w:lineRule="exact"/>
            </w:pPr>
            <w:r>
              <w:t>DFGT</w:t>
            </w:r>
          </w:p>
        </w:tc>
        <w:tc>
          <w:tcPr>
            <w:tcW w:w="2200" w:type="dxa"/>
            <w:gridSpan w:val="2"/>
          </w:tcPr>
          <w:p w:rsidR="00E60005" w:rsidRDefault="00D627BC">
            <w:pPr>
              <w:pStyle w:val="CETBodytext"/>
              <w:spacing w:line="220" w:lineRule="exact"/>
            </w:pPr>
            <w:r>
              <w:t>200</w:t>
            </w:r>
          </w:p>
        </w:tc>
        <w:tc>
          <w:tcPr>
            <w:tcW w:w="2400" w:type="dxa"/>
          </w:tcPr>
          <w:p w:rsidR="00E60005" w:rsidRDefault="00D627BC">
            <w:pPr>
              <w:pStyle w:val="CETBodytext"/>
              <w:spacing w:line="220" w:lineRule="exact"/>
            </w:pPr>
            <w:r>
              <w:t>0.0721</w:t>
            </w:r>
          </w:p>
        </w:tc>
        <w:tc>
          <w:tcPr>
            <w:tcW w:w="1987" w:type="dxa"/>
          </w:tcPr>
          <w:p w:rsidR="00E60005" w:rsidRDefault="00D627BC">
            <w:pPr>
              <w:pStyle w:val="CETBodytext"/>
              <w:spacing w:line="220" w:lineRule="exact"/>
            </w:pPr>
            <w:r>
              <w:t>93.26</w:t>
            </w:r>
          </w:p>
        </w:tc>
      </w:tr>
      <w:tr w:rsidR="00E60005">
        <w:tblPrEx>
          <w:tblBorders>
            <w:top w:val="none" w:sz="0" w:space="0" w:color="auto"/>
            <w:bottom w:val="none" w:sz="0" w:space="0" w:color="auto"/>
          </w:tblBorders>
          <w:tblCellMar>
            <w:right w:w="0" w:type="dxa"/>
          </w:tblCellMar>
        </w:tblPrEx>
        <w:tc>
          <w:tcPr>
            <w:tcW w:w="4393" w:type="dxa"/>
            <w:gridSpan w:val="2"/>
          </w:tcPr>
          <w:p w:rsidR="00E60005" w:rsidRDefault="00D627BC">
            <w:pPr>
              <w:pStyle w:val="CETBodytext"/>
              <w:jc w:val="left"/>
            </w:pPr>
            <w:r>
              <w:rPr>
                <w:noProof/>
                <w:lang w:val="ru-RU" w:eastAsia="ru-RU"/>
              </w:rPr>
              <w:drawing>
                <wp:inline distT="0" distB="0" distL="0" distR="0">
                  <wp:extent cx="2376000" cy="1599862"/>
                  <wp:effectExtent l="0" t="0" r="0" b="0"/>
                  <wp:docPr id="2096516394" name="Picture 209651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9"/>
                          <a:stretch>
                            <a:fillRect/>
                          </a:stretch>
                        </pic:blipFill>
                        <pic:spPr>
                          <a:xfrm>
                            <a:off x="0" y="0"/>
                            <a:ext cx="2376000" cy="1599862"/>
                          </a:xfrm>
                          <a:prstGeom prst="rect">
                            <a:avLst/>
                          </a:prstGeom>
                        </pic:spPr>
                      </pic:pic>
                    </a:graphicData>
                  </a:graphic>
                </wp:inline>
              </w:drawing>
            </w:r>
          </w:p>
        </w:tc>
        <w:tc>
          <w:tcPr>
            <w:tcW w:w="4393" w:type="dxa"/>
            <w:gridSpan w:val="3"/>
          </w:tcPr>
          <w:p w:rsidR="00E60005" w:rsidRDefault="00D627BC">
            <w:pPr>
              <w:pStyle w:val="CETBodytext"/>
              <w:jc w:val="left"/>
            </w:pPr>
            <w:r>
              <w:rPr>
                <w:noProof/>
                <w:lang w:val="ru-RU" w:eastAsia="ru-RU"/>
              </w:rPr>
              <w:drawing>
                <wp:inline distT="0" distB="0" distL="0" distR="0">
                  <wp:extent cx="2376000" cy="1599862"/>
                  <wp:effectExtent l="0" t="0" r="0" b="0"/>
                  <wp:docPr id="2096516395" name="Picture 2096516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10"/>
                          <a:stretch>
                            <a:fillRect/>
                          </a:stretch>
                        </pic:blipFill>
                        <pic:spPr>
                          <a:xfrm>
                            <a:off x="0" y="0"/>
                            <a:ext cx="2376000" cy="1599862"/>
                          </a:xfrm>
                          <a:prstGeom prst="rect">
                            <a:avLst/>
                          </a:prstGeom>
                        </pic:spPr>
                      </pic:pic>
                    </a:graphicData>
                  </a:graphic>
                </wp:inline>
              </w:drawing>
            </w:r>
          </w:p>
        </w:tc>
      </w:tr>
    </w:tbl>
    <w:p w:rsidR="00E60005" w:rsidRDefault="00D627BC">
      <w:pPr>
        <w:pStyle w:val="CETCaption"/>
        <w:jc w:val="left"/>
      </w:pPr>
      <w:r>
        <w:t>Figure 2: Effect of inhibitor concentration on (a) corrosion rate and (b) protection efficiency in the 0.5 M HCl + 200 mg L</w:t>
      </w:r>
      <w:r>
        <w:rPr>
          <w:vertAlign w:val="superscript"/>
        </w:rPr>
        <w:t>−1</w:t>
      </w:r>
      <w:r>
        <w:t xml:space="preserve"> NaCl acid–salt medium</w:t>
      </w:r>
    </w:p>
    <w:p w:rsidR="00E60005" w:rsidRDefault="00D627BC">
      <w:pPr>
        <w:pStyle w:val="CETBodytext"/>
      </w:pPr>
      <w:r>
        <w:t xml:space="preserve">At </w:t>
      </w:r>
      <w:r>
        <w:t>200 mg L</w:t>
      </w:r>
      <w:r>
        <w:rPr>
          <w:vertAlign w:val="superscript"/>
        </w:rPr>
        <w:t>−1</w:t>
      </w:r>
      <w:r>
        <w:t>, EFGT decreased the corrosion rate to 0.0754 g m</w:t>
      </w:r>
      <w:r>
        <w:rPr>
          <w:vertAlign w:val="superscript"/>
        </w:rPr>
        <w:t>−2</w:t>
      </w:r>
      <w:r>
        <w:t xml:space="preserve"> h</w:t>
      </w:r>
      <w:r>
        <w:rPr>
          <w:vertAlign w:val="superscript"/>
        </w:rPr>
        <w:t>−1</w:t>
      </w:r>
      <w:r>
        <w:t xml:space="preserve"> and provided 92.25 % protection, while DFGT decreased the corrosion rate to 0.0721 g m</w:t>
      </w:r>
      <w:r>
        <w:rPr>
          <w:vertAlign w:val="superscript"/>
        </w:rPr>
        <w:t>−2</w:t>
      </w:r>
      <w:r>
        <w:t xml:space="preserve"> h</w:t>
      </w:r>
      <w:r>
        <w:rPr>
          <w:vertAlign w:val="superscript"/>
        </w:rPr>
        <w:t>−1</w:t>
      </w:r>
      <w:r>
        <w:t xml:space="preserve"> and provided 93.26 % protection. The slightly higher efficiency of DFGT can be associated with th</w:t>
      </w:r>
      <w:r>
        <w:t>e simultaneous presence of thiocarbamide sulfur and diethanolamine hydroxyl groups, which increases the number of adsorption centres and strengthens the protective film in the chloride-containing medium.</w:t>
      </w:r>
    </w:p>
    <w:p w:rsidR="00E60005" w:rsidRDefault="00D627BC">
      <w:pPr>
        <w:pStyle w:val="CETheadingx"/>
      </w:pPr>
      <w:r>
        <w:lastRenderedPageBreak/>
        <w:t>Temperature dependence at 200 mg L</w:t>
      </w:r>
      <w:r>
        <w:rPr>
          <w:vertAlign w:val="superscript"/>
        </w:rPr>
        <w:t>−1</w:t>
      </w:r>
    </w:p>
    <w:p w:rsidR="00E60005" w:rsidRDefault="00D627BC">
      <w:pPr>
        <w:pStyle w:val="CETBodytext"/>
      </w:pPr>
      <w:r>
        <w:t>The influence o</w:t>
      </w:r>
      <w:r>
        <w:t>f temperature on EFGT-1 and EFGK-1 at a fixed concentration of 200 mg L</w:t>
      </w:r>
      <w:r>
        <w:rPr>
          <w:vertAlign w:val="superscript"/>
        </w:rPr>
        <w:t>−1</w:t>
      </w:r>
      <w:r>
        <w:t xml:space="preserve"> is summarized in Table 4 and Figure 3. Both inhibitors significantly reduced the corrosion rate over the entire temperature interval compared with the uninhibited acid media.</w:t>
      </w:r>
    </w:p>
    <w:p w:rsidR="00E60005" w:rsidRDefault="00D627BC">
      <w:pPr>
        <w:pStyle w:val="CETTabletitle"/>
      </w:pPr>
      <w:r>
        <w:t xml:space="preserve">Table </w:t>
      </w:r>
      <w:r>
        <w:t>4: Temperature dependence of corrosion rate (g m</w:t>
      </w:r>
      <w:r>
        <w:rPr>
          <w:vertAlign w:val="superscript"/>
        </w:rPr>
        <w:t>−2</w:t>
      </w:r>
      <w:r>
        <w:t xml:space="preserve"> h</w:t>
      </w:r>
      <w:r>
        <w:rPr>
          <w:vertAlign w:val="superscript"/>
        </w:rPr>
        <w:t>−1</w:t>
      </w:r>
      <w:r>
        <w:t>) and protection efficiency at 200 mg L</w:t>
      </w:r>
      <w:r>
        <w:rPr>
          <w:vertAlign w:val="superscript"/>
        </w:rPr>
        <w:t>−1</w:t>
      </w:r>
      <w:r>
        <w:t xml:space="preserve"> inhibitor concentration in 0.5 M HCl and 0.5 M H</w:t>
      </w:r>
      <w:r>
        <w:rPr>
          <w:vertAlign w:val="subscript"/>
        </w:rPr>
        <w:t>2</w:t>
      </w:r>
      <w:r>
        <w:t>SO</w:t>
      </w:r>
      <w:r>
        <w:rPr>
          <w:vertAlign w:val="subscript"/>
        </w:rPr>
        <w:t>4</w:t>
      </w:r>
    </w:p>
    <w:tbl>
      <w:tblPr>
        <w:tblW w:w="0" w:type="auto"/>
        <w:tblBorders>
          <w:top w:val="single" w:sz="12" w:space="0" w:color="008000"/>
          <w:bottom w:val="single" w:sz="12" w:space="0" w:color="008000"/>
        </w:tblBorders>
        <w:tblLayout w:type="fixed"/>
        <w:tblCellMar>
          <w:left w:w="0" w:type="dxa"/>
          <w:right w:w="85" w:type="dxa"/>
        </w:tblCellMar>
        <w:tblLook w:val="04A0" w:firstRow="1" w:lastRow="0" w:firstColumn="1" w:lastColumn="0" w:noHBand="0" w:noVBand="1"/>
      </w:tblPr>
      <w:tblGrid>
        <w:gridCol w:w="1500"/>
        <w:gridCol w:w="800"/>
        <w:gridCol w:w="1300"/>
        <w:gridCol w:w="793"/>
        <w:gridCol w:w="507"/>
        <w:gridCol w:w="1400"/>
        <w:gridCol w:w="1300"/>
        <w:gridCol w:w="1187"/>
      </w:tblGrid>
      <w:tr w:rsidR="00E60005">
        <w:tc>
          <w:tcPr>
            <w:tcW w:w="1500" w:type="dxa"/>
            <w:tcBorders>
              <w:bottom w:val="single" w:sz="6" w:space="0" w:color="008000"/>
            </w:tcBorders>
          </w:tcPr>
          <w:p w:rsidR="00E60005" w:rsidRDefault="00D627BC">
            <w:pPr>
              <w:pStyle w:val="CETBodytext"/>
              <w:spacing w:line="220" w:lineRule="exact"/>
            </w:pPr>
            <w:r>
              <w:t>Medium</w:t>
            </w:r>
          </w:p>
        </w:tc>
        <w:tc>
          <w:tcPr>
            <w:tcW w:w="800" w:type="dxa"/>
            <w:tcBorders>
              <w:bottom w:val="single" w:sz="6" w:space="0" w:color="008000"/>
            </w:tcBorders>
          </w:tcPr>
          <w:p w:rsidR="00E60005" w:rsidRDefault="00D627BC">
            <w:pPr>
              <w:pStyle w:val="CETBodytext"/>
              <w:spacing w:line="220" w:lineRule="exact"/>
            </w:pPr>
            <w:r>
              <w:t>T, °C</w:t>
            </w:r>
          </w:p>
        </w:tc>
        <w:tc>
          <w:tcPr>
            <w:tcW w:w="1300" w:type="dxa"/>
            <w:tcBorders>
              <w:bottom w:val="single" w:sz="6" w:space="0" w:color="008000"/>
            </w:tcBorders>
          </w:tcPr>
          <w:p w:rsidR="00E60005" w:rsidRDefault="00D627BC">
            <w:pPr>
              <w:pStyle w:val="CETBodytext"/>
              <w:spacing w:line="220" w:lineRule="exact"/>
            </w:pPr>
            <w:r>
              <w:t>W</w:t>
            </w:r>
            <w:r>
              <w:rPr>
                <w:vertAlign w:val="subscript"/>
              </w:rPr>
              <w:t>0</w:t>
            </w:r>
          </w:p>
        </w:tc>
        <w:tc>
          <w:tcPr>
            <w:tcW w:w="1300" w:type="dxa"/>
            <w:gridSpan w:val="2"/>
            <w:tcBorders>
              <w:bottom w:val="single" w:sz="6" w:space="0" w:color="008000"/>
            </w:tcBorders>
          </w:tcPr>
          <w:p w:rsidR="00E60005" w:rsidRDefault="00D627BC">
            <w:pPr>
              <w:pStyle w:val="CETBodytext"/>
              <w:spacing w:line="220" w:lineRule="exact"/>
            </w:pPr>
            <w:r>
              <w:t>W (EFGT-1)</w:t>
            </w:r>
          </w:p>
        </w:tc>
        <w:tc>
          <w:tcPr>
            <w:tcW w:w="1400" w:type="dxa"/>
            <w:tcBorders>
              <w:bottom w:val="single" w:sz="6" w:space="0" w:color="008000"/>
            </w:tcBorders>
          </w:tcPr>
          <w:p w:rsidR="00E60005" w:rsidRDefault="00D627BC">
            <w:pPr>
              <w:pStyle w:val="CETBodytext"/>
              <w:spacing w:line="220" w:lineRule="exact"/>
            </w:pPr>
            <w:r>
              <w:t>Z (EFGT-1), %</w:t>
            </w:r>
          </w:p>
        </w:tc>
        <w:tc>
          <w:tcPr>
            <w:tcW w:w="1300" w:type="dxa"/>
            <w:tcBorders>
              <w:bottom w:val="single" w:sz="6" w:space="0" w:color="008000"/>
            </w:tcBorders>
          </w:tcPr>
          <w:p w:rsidR="00E60005" w:rsidRDefault="00D627BC">
            <w:pPr>
              <w:pStyle w:val="CETBodytext"/>
              <w:spacing w:line="220" w:lineRule="exact"/>
            </w:pPr>
            <w:r>
              <w:t>W (EFGK-1)</w:t>
            </w:r>
          </w:p>
        </w:tc>
        <w:tc>
          <w:tcPr>
            <w:tcW w:w="1187" w:type="dxa"/>
            <w:tcBorders>
              <w:bottom w:val="single" w:sz="6" w:space="0" w:color="008000"/>
            </w:tcBorders>
          </w:tcPr>
          <w:p w:rsidR="00E60005" w:rsidRDefault="00D627BC">
            <w:pPr>
              <w:pStyle w:val="CETBodytext"/>
              <w:spacing w:line="220" w:lineRule="exact"/>
            </w:pPr>
            <w:r>
              <w:t>Z (EFGK-1), %</w:t>
            </w:r>
          </w:p>
        </w:tc>
      </w:tr>
      <w:tr w:rsidR="00E60005">
        <w:tc>
          <w:tcPr>
            <w:tcW w:w="1500" w:type="dxa"/>
          </w:tcPr>
          <w:p w:rsidR="00E60005" w:rsidRDefault="00D627BC">
            <w:pPr>
              <w:pStyle w:val="CETBodytext"/>
              <w:spacing w:line="220" w:lineRule="exact"/>
            </w:pPr>
            <w:r>
              <w:t>HCl</w:t>
            </w:r>
          </w:p>
        </w:tc>
        <w:tc>
          <w:tcPr>
            <w:tcW w:w="800" w:type="dxa"/>
          </w:tcPr>
          <w:p w:rsidR="00E60005" w:rsidRDefault="00D627BC">
            <w:pPr>
              <w:pStyle w:val="CETBodytext"/>
              <w:spacing w:line="220" w:lineRule="exact"/>
            </w:pPr>
            <w:r>
              <w:t>30</w:t>
            </w:r>
          </w:p>
        </w:tc>
        <w:tc>
          <w:tcPr>
            <w:tcW w:w="1300" w:type="dxa"/>
          </w:tcPr>
          <w:p w:rsidR="00E60005" w:rsidRDefault="00D627BC">
            <w:pPr>
              <w:pStyle w:val="CETBodytext"/>
              <w:spacing w:line="220" w:lineRule="exact"/>
            </w:pPr>
            <w:r>
              <w:t>0.0112</w:t>
            </w:r>
          </w:p>
        </w:tc>
        <w:tc>
          <w:tcPr>
            <w:tcW w:w="1300" w:type="dxa"/>
            <w:gridSpan w:val="2"/>
          </w:tcPr>
          <w:p w:rsidR="00E60005" w:rsidRDefault="00D627BC">
            <w:pPr>
              <w:pStyle w:val="CETBodytext"/>
              <w:spacing w:line="220" w:lineRule="exact"/>
            </w:pPr>
            <w:r>
              <w:t>0.00128</w:t>
            </w:r>
          </w:p>
        </w:tc>
        <w:tc>
          <w:tcPr>
            <w:tcW w:w="1400" w:type="dxa"/>
          </w:tcPr>
          <w:p w:rsidR="00E60005" w:rsidRDefault="00D627BC">
            <w:pPr>
              <w:pStyle w:val="CETBodytext"/>
              <w:spacing w:line="220" w:lineRule="exact"/>
            </w:pPr>
            <w:r>
              <w:t>88.57</w:t>
            </w:r>
          </w:p>
        </w:tc>
        <w:tc>
          <w:tcPr>
            <w:tcW w:w="1300" w:type="dxa"/>
          </w:tcPr>
          <w:p w:rsidR="00E60005" w:rsidRDefault="00D627BC">
            <w:pPr>
              <w:pStyle w:val="CETBodytext"/>
              <w:spacing w:line="220" w:lineRule="exact"/>
            </w:pPr>
            <w:r>
              <w:t>0.00087</w:t>
            </w:r>
          </w:p>
        </w:tc>
        <w:tc>
          <w:tcPr>
            <w:tcW w:w="1187" w:type="dxa"/>
          </w:tcPr>
          <w:p w:rsidR="00E60005" w:rsidRDefault="00D627BC">
            <w:pPr>
              <w:pStyle w:val="CETBodytext"/>
              <w:spacing w:line="220" w:lineRule="exact"/>
            </w:pPr>
            <w:r>
              <w:t>92.23</w:t>
            </w:r>
          </w:p>
        </w:tc>
      </w:tr>
      <w:tr w:rsidR="00E60005">
        <w:tc>
          <w:tcPr>
            <w:tcW w:w="1500" w:type="dxa"/>
          </w:tcPr>
          <w:p w:rsidR="00E60005" w:rsidRDefault="00D627BC">
            <w:pPr>
              <w:pStyle w:val="CETBodytext"/>
              <w:spacing w:line="220" w:lineRule="exact"/>
            </w:pPr>
            <w:r>
              <w:t>HCl</w:t>
            </w:r>
          </w:p>
        </w:tc>
        <w:tc>
          <w:tcPr>
            <w:tcW w:w="800" w:type="dxa"/>
          </w:tcPr>
          <w:p w:rsidR="00E60005" w:rsidRDefault="00D627BC">
            <w:pPr>
              <w:pStyle w:val="CETBodytext"/>
              <w:spacing w:line="220" w:lineRule="exact"/>
            </w:pPr>
            <w:r>
              <w:t>40</w:t>
            </w:r>
          </w:p>
        </w:tc>
        <w:tc>
          <w:tcPr>
            <w:tcW w:w="1300" w:type="dxa"/>
          </w:tcPr>
          <w:p w:rsidR="00E60005" w:rsidRDefault="00D627BC">
            <w:pPr>
              <w:pStyle w:val="CETBodytext"/>
              <w:spacing w:line="220" w:lineRule="exact"/>
            </w:pPr>
            <w:r>
              <w:t>0.0196</w:t>
            </w:r>
          </w:p>
        </w:tc>
        <w:tc>
          <w:tcPr>
            <w:tcW w:w="1300" w:type="dxa"/>
            <w:gridSpan w:val="2"/>
          </w:tcPr>
          <w:p w:rsidR="00E60005" w:rsidRDefault="00D627BC">
            <w:pPr>
              <w:pStyle w:val="CETBodytext"/>
              <w:spacing w:line="220" w:lineRule="exact"/>
            </w:pPr>
            <w:r>
              <w:t>0.00223</w:t>
            </w:r>
          </w:p>
        </w:tc>
        <w:tc>
          <w:tcPr>
            <w:tcW w:w="1400" w:type="dxa"/>
          </w:tcPr>
          <w:p w:rsidR="00E60005" w:rsidRDefault="00D627BC">
            <w:pPr>
              <w:pStyle w:val="CETBodytext"/>
              <w:spacing w:line="220" w:lineRule="exact"/>
            </w:pPr>
            <w:r>
              <w:t>88.62</w:t>
            </w:r>
          </w:p>
        </w:tc>
        <w:tc>
          <w:tcPr>
            <w:tcW w:w="1300" w:type="dxa"/>
          </w:tcPr>
          <w:p w:rsidR="00E60005" w:rsidRDefault="00D627BC">
            <w:pPr>
              <w:pStyle w:val="CETBodytext"/>
              <w:spacing w:line="220" w:lineRule="exact"/>
            </w:pPr>
            <w:r>
              <w:t>0.00096</w:t>
            </w:r>
          </w:p>
        </w:tc>
        <w:tc>
          <w:tcPr>
            <w:tcW w:w="1187" w:type="dxa"/>
          </w:tcPr>
          <w:p w:rsidR="00E60005" w:rsidRDefault="00D627BC">
            <w:pPr>
              <w:pStyle w:val="CETBodytext"/>
              <w:spacing w:line="220" w:lineRule="exact"/>
            </w:pPr>
            <w:r>
              <w:t>95.09</w:t>
            </w:r>
          </w:p>
        </w:tc>
      </w:tr>
      <w:tr w:rsidR="00E60005">
        <w:tc>
          <w:tcPr>
            <w:tcW w:w="1500" w:type="dxa"/>
          </w:tcPr>
          <w:p w:rsidR="00E60005" w:rsidRDefault="00D627BC">
            <w:pPr>
              <w:pStyle w:val="CETBodytext"/>
              <w:spacing w:line="220" w:lineRule="exact"/>
            </w:pPr>
            <w:r>
              <w:t>HCl</w:t>
            </w:r>
          </w:p>
        </w:tc>
        <w:tc>
          <w:tcPr>
            <w:tcW w:w="800" w:type="dxa"/>
          </w:tcPr>
          <w:p w:rsidR="00E60005" w:rsidRDefault="00D627BC">
            <w:pPr>
              <w:pStyle w:val="CETBodytext"/>
              <w:spacing w:line="220" w:lineRule="exact"/>
            </w:pPr>
            <w:r>
              <w:t>50</w:t>
            </w:r>
          </w:p>
        </w:tc>
        <w:tc>
          <w:tcPr>
            <w:tcW w:w="1300" w:type="dxa"/>
          </w:tcPr>
          <w:p w:rsidR="00E60005" w:rsidRDefault="00D627BC">
            <w:pPr>
              <w:pStyle w:val="CETBodytext"/>
              <w:spacing w:line="220" w:lineRule="exact"/>
            </w:pPr>
            <w:r>
              <w:t>0.0287</w:t>
            </w:r>
          </w:p>
        </w:tc>
        <w:tc>
          <w:tcPr>
            <w:tcW w:w="1300" w:type="dxa"/>
            <w:gridSpan w:val="2"/>
          </w:tcPr>
          <w:p w:rsidR="00E60005" w:rsidRDefault="00D627BC">
            <w:pPr>
              <w:pStyle w:val="CETBodytext"/>
              <w:spacing w:line="220" w:lineRule="exact"/>
            </w:pPr>
            <w:r>
              <w:t>0.00265</w:t>
            </w:r>
          </w:p>
        </w:tc>
        <w:tc>
          <w:tcPr>
            <w:tcW w:w="1400" w:type="dxa"/>
          </w:tcPr>
          <w:p w:rsidR="00E60005" w:rsidRDefault="00D627BC">
            <w:pPr>
              <w:pStyle w:val="CETBodytext"/>
              <w:spacing w:line="220" w:lineRule="exact"/>
            </w:pPr>
            <w:r>
              <w:t>90.76</w:t>
            </w:r>
          </w:p>
        </w:tc>
        <w:tc>
          <w:tcPr>
            <w:tcW w:w="1300" w:type="dxa"/>
          </w:tcPr>
          <w:p w:rsidR="00E60005" w:rsidRDefault="00D627BC">
            <w:pPr>
              <w:pStyle w:val="CETBodytext"/>
              <w:spacing w:line="220" w:lineRule="exact"/>
            </w:pPr>
            <w:r>
              <w:t>0.00121</w:t>
            </w:r>
          </w:p>
        </w:tc>
        <w:tc>
          <w:tcPr>
            <w:tcW w:w="1187" w:type="dxa"/>
          </w:tcPr>
          <w:p w:rsidR="00E60005" w:rsidRDefault="00D627BC">
            <w:pPr>
              <w:pStyle w:val="CETBodytext"/>
              <w:spacing w:line="220" w:lineRule="exact"/>
            </w:pPr>
            <w:r>
              <w:t>95.73</w:t>
            </w:r>
          </w:p>
        </w:tc>
      </w:tr>
      <w:tr w:rsidR="00E60005">
        <w:tc>
          <w:tcPr>
            <w:tcW w:w="1500" w:type="dxa"/>
          </w:tcPr>
          <w:p w:rsidR="00E60005" w:rsidRDefault="00D627BC">
            <w:pPr>
              <w:pStyle w:val="CETBodytext"/>
              <w:spacing w:line="220" w:lineRule="exact"/>
            </w:pPr>
            <w:r>
              <w:t>HCl</w:t>
            </w:r>
          </w:p>
        </w:tc>
        <w:tc>
          <w:tcPr>
            <w:tcW w:w="800" w:type="dxa"/>
          </w:tcPr>
          <w:p w:rsidR="00E60005" w:rsidRDefault="00D627BC">
            <w:pPr>
              <w:pStyle w:val="CETBodytext"/>
              <w:spacing w:line="220" w:lineRule="exact"/>
            </w:pPr>
            <w:r>
              <w:t>60</w:t>
            </w:r>
          </w:p>
        </w:tc>
        <w:tc>
          <w:tcPr>
            <w:tcW w:w="1300" w:type="dxa"/>
          </w:tcPr>
          <w:p w:rsidR="00E60005" w:rsidRDefault="00D627BC">
            <w:pPr>
              <w:pStyle w:val="CETBodytext"/>
              <w:spacing w:line="220" w:lineRule="exact"/>
            </w:pPr>
            <w:r>
              <w:t>0.0450</w:t>
            </w:r>
          </w:p>
        </w:tc>
        <w:tc>
          <w:tcPr>
            <w:tcW w:w="1300" w:type="dxa"/>
            <w:gridSpan w:val="2"/>
          </w:tcPr>
          <w:p w:rsidR="00E60005" w:rsidRDefault="00D627BC">
            <w:pPr>
              <w:pStyle w:val="CETBodytext"/>
              <w:spacing w:line="220" w:lineRule="exact"/>
            </w:pPr>
            <w:r>
              <w:t>0.00370</w:t>
            </w:r>
          </w:p>
        </w:tc>
        <w:tc>
          <w:tcPr>
            <w:tcW w:w="1400" w:type="dxa"/>
          </w:tcPr>
          <w:p w:rsidR="00E60005" w:rsidRDefault="00D627BC">
            <w:pPr>
              <w:pStyle w:val="CETBodytext"/>
              <w:spacing w:line="220" w:lineRule="exact"/>
            </w:pPr>
            <w:r>
              <w:t>91.15</w:t>
            </w:r>
          </w:p>
        </w:tc>
        <w:tc>
          <w:tcPr>
            <w:tcW w:w="1300" w:type="dxa"/>
          </w:tcPr>
          <w:p w:rsidR="00E60005" w:rsidRDefault="00D627BC">
            <w:pPr>
              <w:pStyle w:val="CETBodytext"/>
              <w:spacing w:line="220" w:lineRule="exact"/>
            </w:pPr>
            <w:r>
              <w:t>0.00192</w:t>
            </w:r>
          </w:p>
        </w:tc>
        <w:tc>
          <w:tcPr>
            <w:tcW w:w="1187" w:type="dxa"/>
          </w:tcPr>
          <w:p w:rsidR="00E60005" w:rsidRDefault="00D627BC">
            <w:pPr>
              <w:pStyle w:val="CETBodytext"/>
              <w:spacing w:line="220" w:lineRule="exact"/>
            </w:pPr>
            <w:r>
              <w:t>95.78</w:t>
            </w:r>
          </w:p>
        </w:tc>
      </w:tr>
      <w:tr w:rsidR="00E60005">
        <w:tc>
          <w:tcPr>
            <w:tcW w:w="1500" w:type="dxa"/>
          </w:tcPr>
          <w:p w:rsidR="00E60005" w:rsidRDefault="00D627BC">
            <w:pPr>
              <w:pStyle w:val="CETBodytext"/>
              <w:spacing w:line="220" w:lineRule="exact"/>
            </w:pPr>
            <w:r>
              <w:t>HCl</w:t>
            </w:r>
          </w:p>
        </w:tc>
        <w:tc>
          <w:tcPr>
            <w:tcW w:w="800" w:type="dxa"/>
          </w:tcPr>
          <w:p w:rsidR="00E60005" w:rsidRDefault="00D627BC">
            <w:pPr>
              <w:pStyle w:val="CETBodytext"/>
              <w:spacing w:line="220" w:lineRule="exact"/>
            </w:pPr>
            <w:r>
              <w:t>70</w:t>
            </w:r>
          </w:p>
        </w:tc>
        <w:tc>
          <w:tcPr>
            <w:tcW w:w="1300" w:type="dxa"/>
          </w:tcPr>
          <w:p w:rsidR="00E60005" w:rsidRDefault="00D627BC">
            <w:pPr>
              <w:pStyle w:val="CETBodytext"/>
              <w:spacing w:line="220" w:lineRule="exact"/>
            </w:pPr>
            <w:r>
              <w:t>0.0522</w:t>
            </w:r>
          </w:p>
        </w:tc>
        <w:tc>
          <w:tcPr>
            <w:tcW w:w="1300" w:type="dxa"/>
            <w:gridSpan w:val="2"/>
          </w:tcPr>
          <w:p w:rsidR="00E60005" w:rsidRDefault="00D627BC">
            <w:pPr>
              <w:pStyle w:val="CETBodytext"/>
              <w:spacing w:line="220" w:lineRule="exact"/>
            </w:pPr>
            <w:r>
              <w:t>0.00384</w:t>
            </w:r>
          </w:p>
        </w:tc>
        <w:tc>
          <w:tcPr>
            <w:tcW w:w="1400" w:type="dxa"/>
          </w:tcPr>
          <w:p w:rsidR="00E60005" w:rsidRDefault="00D627BC">
            <w:pPr>
              <w:pStyle w:val="CETBodytext"/>
              <w:spacing w:line="220" w:lineRule="exact"/>
            </w:pPr>
            <w:r>
              <w:t>92.64</w:t>
            </w:r>
          </w:p>
        </w:tc>
        <w:tc>
          <w:tcPr>
            <w:tcW w:w="1300" w:type="dxa"/>
          </w:tcPr>
          <w:p w:rsidR="00E60005" w:rsidRDefault="00D627BC">
            <w:pPr>
              <w:pStyle w:val="CETBodytext"/>
              <w:spacing w:line="220" w:lineRule="exact"/>
            </w:pPr>
            <w:r>
              <w:t>0.00216</w:t>
            </w:r>
          </w:p>
        </w:tc>
        <w:tc>
          <w:tcPr>
            <w:tcW w:w="1187" w:type="dxa"/>
          </w:tcPr>
          <w:p w:rsidR="00E60005" w:rsidRDefault="00D627BC">
            <w:pPr>
              <w:pStyle w:val="CETBodytext"/>
              <w:spacing w:line="220" w:lineRule="exact"/>
            </w:pPr>
            <w:r>
              <w:t>95.89</w:t>
            </w:r>
          </w:p>
        </w:tc>
      </w:tr>
      <w:tr w:rsidR="00E60005">
        <w:tc>
          <w:tcPr>
            <w:tcW w:w="1500" w:type="dxa"/>
          </w:tcPr>
          <w:p w:rsidR="00E60005" w:rsidRDefault="00D627BC">
            <w:pPr>
              <w:pStyle w:val="CETBodytext"/>
              <w:spacing w:line="220" w:lineRule="exact"/>
            </w:pPr>
            <w:r>
              <w:t>H</w:t>
            </w:r>
            <w:r>
              <w:rPr>
                <w:vertAlign w:val="subscript"/>
              </w:rPr>
              <w:t>2</w:t>
            </w:r>
            <w:r>
              <w:t>SO</w:t>
            </w:r>
            <w:r>
              <w:rPr>
                <w:vertAlign w:val="subscript"/>
              </w:rPr>
              <w:t>4</w:t>
            </w:r>
          </w:p>
        </w:tc>
        <w:tc>
          <w:tcPr>
            <w:tcW w:w="800" w:type="dxa"/>
          </w:tcPr>
          <w:p w:rsidR="00E60005" w:rsidRDefault="00D627BC">
            <w:pPr>
              <w:pStyle w:val="CETBodytext"/>
              <w:spacing w:line="220" w:lineRule="exact"/>
            </w:pPr>
            <w:r>
              <w:t>30</w:t>
            </w:r>
          </w:p>
        </w:tc>
        <w:tc>
          <w:tcPr>
            <w:tcW w:w="1300" w:type="dxa"/>
          </w:tcPr>
          <w:p w:rsidR="00E60005" w:rsidRDefault="00D627BC">
            <w:pPr>
              <w:pStyle w:val="CETBodytext"/>
              <w:spacing w:line="220" w:lineRule="exact"/>
            </w:pPr>
            <w:r>
              <w:t>0.0108</w:t>
            </w:r>
          </w:p>
        </w:tc>
        <w:tc>
          <w:tcPr>
            <w:tcW w:w="1300" w:type="dxa"/>
            <w:gridSpan w:val="2"/>
          </w:tcPr>
          <w:p w:rsidR="00E60005" w:rsidRDefault="00D627BC">
            <w:pPr>
              <w:pStyle w:val="CETBodytext"/>
              <w:spacing w:line="220" w:lineRule="exact"/>
            </w:pPr>
            <w:r>
              <w:t>0.00169</w:t>
            </w:r>
          </w:p>
        </w:tc>
        <w:tc>
          <w:tcPr>
            <w:tcW w:w="1400" w:type="dxa"/>
          </w:tcPr>
          <w:p w:rsidR="00E60005" w:rsidRDefault="00D627BC">
            <w:pPr>
              <w:pStyle w:val="CETBodytext"/>
              <w:spacing w:line="220" w:lineRule="exact"/>
            </w:pPr>
            <w:r>
              <w:t>84.35</w:t>
            </w:r>
          </w:p>
        </w:tc>
        <w:tc>
          <w:tcPr>
            <w:tcW w:w="1300" w:type="dxa"/>
          </w:tcPr>
          <w:p w:rsidR="00E60005" w:rsidRDefault="00D627BC">
            <w:pPr>
              <w:pStyle w:val="CETBodytext"/>
              <w:spacing w:line="220" w:lineRule="exact"/>
            </w:pPr>
            <w:r>
              <w:t>0.00168</w:t>
            </w:r>
          </w:p>
        </w:tc>
        <w:tc>
          <w:tcPr>
            <w:tcW w:w="1187" w:type="dxa"/>
          </w:tcPr>
          <w:p w:rsidR="00E60005" w:rsidRDefault="00D627BC">
            <w:pPr>
              <w:pStyle w:val="CETBodytext"/>
              <w:spacing w:line="220" w:lineRule="exact"/>
            </w:pPr>
            <w:r>
              <w:t>84.44</w:t>
            </w:r>
          </w:p>
        </w:tc>
      </w:tr>
      <w:tr w:rsidR="00E60005">
        <w:tc>
          <w:tcPr>
            <w:tcW w:w="1500" w:type="dxa"/>
          </w:tcPr>
          <w:p w:rsidR="00E60005" w:rsidRDefault="00D627BC">
            <w:pPr>
              <w:pStyle w:val="CETBodytext"/>
              <w:spacing w:line="220" w:lineRule="exact"/>
            </w:pPr>
            <w:r>
              <w:t>H</w:t>
            </w:r>
            <w:r>
              <w:rPr>
                <w:vertAlign w:val="subscript"/>
              </w:rPr>
              <w:t>2</w:t>
            </w:r>
            <w:r>
              <w:t>SO</w:t>
            </w:r>
            <w:r>
              <w:rPr>
                <w:vertAlign w:val="subscript"/>
              </w:rPr>
              <w:t>4</w:t>
            </w:r>
          </w:p>
        </w:tc>
        <w:tc>
          <w:tcPr>
            <w:tcW w:w="800" w:type="dxa"/>
          </w:tcPr>
          <w:p w:rsidR="00E60005" w:rsidRDefault="00D627BC">
            <w:pPr>
              <w:pStyle w:val="CETBodytext"/>
              <w:spacing w:line="220" w:lineRule="exact"/>
            </w:pPr>
            <w:r>
              <w:t>40</w:t>
            </w:r>
          </w:p>
        </w:tc>
        <w:tc>
          <w:tcPr>
            <w:tcW w:w="1300" w:type="dxa"/>
          </w:tcPr>
          <w:p w:rsidR="00E60005" w:rsidRDefault="00D627BC">
            <w:pPr>
              <w:pStyle w:val="CETBodytext"/>
              <w:spacing w:line="220" w:lineRule="exact"/>
            </w:pPr>
            <w:r>
              <w:t>0.0203</w:t>
            </w:r>
          </w:p>
        </w:tc>
        <w:tc>
          <w:tcPr>
            <w:tcW w:w="1300" w:type="dxa"/>
            <w:gridSpan w:val="2"/>
          </w:tcPr>
          <w:p w:rsidR="00E60005" w:rsidRDefault="00D627BC">
            <w:pPr>
              <w:pStyle w:val="CETBodytext"/>
              <w:spacing w:line="220" w:lineRule="exact"/>
            </w:pPr>
            <w:r>
              <w:t>0.00310</w:t>
            </w:r>
          </w:p>
        </w:tc>
        <w:tc>
          <w:tcPr>
            <w:tcW w:w="1400" w:type="dxa"/>
          </w:tcPr>
          <w:p w:rsidR="00E60005" w:rsidRDefault="00D627BC">
            <w:pPr>
              <w:pStyle w:val="CETBodytext"/>
              <w:spacing w:line="220" w:lineRule="exact"/>
            </w:pPr>
            <w:r>
              <w:t>84.73</w:t>
            </w:r>
          </w:p>
        </w:tc>
        <w:tc>
          <w:tcPr>
            <w:tcW w:w="1300" w:type="dxa"/>
          </w:tcPr>
          <w:p w:rsidR="00E60005" w:rsidRDefault="00D627BC">
            <w:pPr>
              <w:pStyle w:val="CETBodytext"/>
              <w:spacing w:line="220" w:lineRule="exact"/>
            </w:pPr>
            <w:r>
              <w:t>0.00296</w:t>
            </w:r>
          </w:p>
        </w:tc>
        <w:tc>
          <w:tcPr>
            <w:tcW w:w="1187" w:type="dxa"/>
          </w:tcPr>
          <w:p w:rsidR="00E60005" w:rsidRDefault="00D627BC">
            <w:pPr>
              <w:pStyle w:val="CETBodytext"/>
              <w:spacing w:line="220" w:lineRule="exact"/>
            </w:pPr>
            <w:r>
              <w:t>85.41</w:t>
            </w:r>
          </w:p>
        </w:tc>
      </w:tr>
      <w:tr w:rsidR="00E60005">
        <w:tc>
          <w:tcPr>
            <w:tcW w:w="1500" w:type="dxa"/>
          </w:tcPr>
          <w:p w:rsidR="00E60005" w:rsidRDefault="00D627BC">
            <w:pPr>
              <w:pStyle w:val="CETBodytext"/>
              <w:spacing w:line="220" w:lineRule="exact"/>
            </w:pPr>
            <w:r>
              <w:t>H</w:t>
            </w:r>
            <w:r>
              <w:rPr>
                <w:vertAlign w:val="subscript"/>
              </w:rPr>
              <w:t>2</w:t>
            </w:r>
            <w:r>
              <w:t>SO</w:t>
            </w:r>
            <w:r>
              <w:rPr>
                <w:vertAlign w:val="subscript"/>
              </w:rPr>
              <w:t>4</w:t>
            </w:r>
          </w:p>
        </w:tc>
        <w:tc>
          <w:tcPr>
            <w:tcW w:w="800" w:type="dxa"/>
          </w:tcPr>
          <w:p w:rsidR="00E60005" w:rsidRDefault="00D627BC">
            <w:pPr>
              <w:pStyle w:val="CETBodytext"/>
              <w:spacing w:line="220" w:lineRule="exact"/>
            </w:pPr>
            <w:r>
              <w:t>50</w:t>
            </w:r>
          </w:p>
        </w:tc>
        <w:tc>
          <w:tcPr>
            <w:tcW w:w="1300" w:type="dxa"/>
          </w:tcPr>
          <w:p w:rsidR="00E60005" w:rsidRDefault="00D627BC">
            <w:pPr>
              <w:pStyle w:val="CETBodytext"/>
              <w:spacing w:line="220" w:lineRule="exact"/>
            </w:pPr>
            <w:r>
              <w:t>0.0291</w:t>
            </w:r>
          </w:p>
        </w:tc>
        <w:tc>
          <w:tcPr>
            <w:tcW w:w="1300" w:type="dxa"/>
            <w:gridSpan w:val="2"/>
          </w:tcPr>
          <w:p w:rsidR="00E60005" w:rsidRDefault="00D627BC">
            <w:pPr>
              <w:pStyle w:val="CETBodytext"/>
              <w:spacing w:line="220" w:lineRule="exact"/>
            </w:pPr>
            <w:r>
              <w:t>0.00442</w:t>
            </w:r>
          </w:p>
        </w:tc>
        <w:tc>
          <w:tcPr>
            <w:tcW w:w="1400" w:type="dxa"/>
          </w:tcPr>
          <w:p w:rsidR="00E60005" w:rsidRDefault="00D627BC">
            <w:pPr>
              <w:pStyle w:val="CETBodytext"/>
              <w:spacing w:line="220" w:lineRule="exact"/>
            </w:pPr>
            <w:r>
              <w:t>84.81</w:t>
            </w:r>
          </w:p>
        </w:tc>
        <w:tc>
          <w:tcPr>
            <w:tcW w:w="1300" w:type="dxa"/>
          </w:tcPr>
          <w:p w:rsidR="00E60005" w:rsidRDefault="00D627BC">
            <w:pPr>
              <w:pStyle w:val="CETBodytext"/>
              <w:spacing w:line="220" w:lineRule="exact"/>
            </w:pPr>
            <w:r>
              <w:t>0.00369</w:t>
            </w:r>
          </w:p>
        </w:tc>
        <w:tc>
          <w:tcPr>
            <w:tcW w:w="1187" w:type="dxa"/>
          </w:tcPr>
          <w:p w:rsidR="00E60005" w:rsidRDefault="00D627BC">
            <w:pPr>
              <w:pStyle w:val="CETBodytext"/>
              <w:spacing w:line="220" w:lineRule="exact"/>
            </w:pPr>
            <w:r>
              <w:t>87.32</w:t>
            </w:r>
          </w:p>
        </w:tc>
      </w:tr>
      <w:tr w:rsidR="00E60005">
        <w:tc>
          <w:tcPr>
            <w:tcW w:w="1500" w:type="dxa"/>
          </w:tcPr>
          <w:p w:rsidR="00E60005" w:rsidRDefault="00D627BC">
            <w:pPr>
              <w:pStyle w:val="CETBodytext"/>
              <w:spacing w:line="220" w:lineRule="exact"/>
            </w:pPr>
            <w:r>
              <w:t>H</w:t>
            </w:r>
            <w:r>
              <w:rPr>
                <w:vertAlign w:val="subscript"/>
              </w:rPr>
              <w:t>2</w:t>
            </w:r>
            <w:r>
              <w:t>SO</w:t>
            </w:r>
            <w:r>
              <w:rPr>
                <w:vertAlign w:val="subscript"/>
              </w:rPr>
              <w:t>4</w:t>
            </w:r>
          </w:p>
        </w:tc>
        <w:tc>
          <w:tcPr>
            <w:tcW w:w="800" w:type="dxa"/>
          </w:tcPr>
          <w:p w:rsidR="00E60005" w:rsidRDefault="00D627BC">
            <w:pPr>
              <w:pStyle w:val="CETBodytext"/>
              <w:spacing w:line="220" w:lineRule="exact"/>
            </w:pPr>
            <w:r>
              <w:t>60</w:t>
            </w:r>
          </w:p>
        </w:tc>
        <w:tc>
          <w:tcPr>
            <w:tcW w:w="1300" w:type="dxa"/>
          </w:tcPr>
          <w:p w:rsidR="00E60005" w:rsidRDefault="00D627BC">
            <w:pPr>
              <w:pStyle w:val="CETBodytext"/>
              <w:spacing w:line="220" w:lineRule="exact"/>
            </w:pPr>
            <w:r>
              <w:t>0.0459</w:t>
            </w:r>
          </w:p>
        </w:tc>
        <w:tc>
          <w:tcPr>
            <w:tcW w:w="1300" w:type="dxa"/>
            <w:gridSpan w:val="2"/>
          </w:tcPr>
          <w:p w:rsidR="00E60005" w:rsidRDefault="00D627BC">
            <w:pPr>
              <w:pStyle w:val="CETBodytext"/>
              <w:spacing w:line="220" w:lineRule="exact"/>
            </w:pPr>
            <w:r>
              <w:t>0.00391</w:t>
            </w:r>
          </w:p>
        </w:tc>
        <w:tc>
          <w:tcPr>
            <w:tcW w:w="1400" w:type="dxa"/>
          </w:tcPr>
          <w:p w:rsidR="00E60005" w:rsidRDefault="00D627BC">
            <w:pPr>
              <w:pStyle w:val="CETBodytext"/>
              <w:spacing w:line="220" w:lineRule="exact"/>
            </w:pPr>
            <w:r>
              <w:t>91.48</w:t>
            </w:r>
          </w:p>
        </w:tc>
        <w:tc>
          <w:tcPr>
            <w:tcW w:w="1300" w:type="dxa"/>
          </w:tcPr>
          <w:p w:rsidR="00E60005" w:rsidRDefault="00D627BC">
            <w:pPr>
              <w:pStyle w:val="CETBodytext"/>
              <w:spacing w:line="220" w:lineRule="exact"/>
            </w:pPr>
            <w:r>
              <w:t>0.00481</w:t>
            </w:r>
          </w:p>
        </w:tc>
        <w:tc>
          <w:tcPr>
            <w:tcW w:w="1187" w:type="dxa"/>
          </w:tcPr>
          <w:p w:rsidR="00E60005" w:rsidRDefault="00D627BC">
            <w:pPr>
              <w:pStyle w:val="CETBodytext"/>
              <w:spacing w:line="220" w:lineRule="exact"/>
            </w:pPr>
            <w:r>
              <w:t>89.52</w:t>
            </w:r>
          </w:p>
        </w:tc>
      </w:tr>
      <w:tr w:rsidR="00E60005">
        <w:tc>
          <w:tcPr>
            <w:tcW w:w="1500" w:type="dxa"/>
          </w:tcPr>
          <w:p w:rsidR="00E60005" w:rsidRDefault="00D627BC">
            <w:pPr>
              <w:pStyle w:val="CETBodytext"/>
              <w:spacing w:line="220" w:lineRule="exact"/>
            </w:pPr>
            <w:r>
              <w:t>H</w:t>
            </w:r>
            <w:r>
              <w:rPr>
                <w:vertAlign w:val="subscript"/>
              </w:rPr>
              <w:t>2</w:t>
            </w:r>
            <w:r>
              <w:t>SO</w:t>
            </w:r>
            <w:r>
              <w:rPr>
                <w:vertAlign w:val="subscript"/>
              </w:rPr>
              <w:t>4</w:t>
            </w:r>
          </w:p>
        </w:tc>
        <w:tc>
          <w:tcPr>
            <w:tcW w:w="800" w:type="dxa"/>
          </w:tcPr>
          <w:p w:rsidR="00E60005" w:rsidRDefault="00D627BC">
            <w:pPr>
              <w:pStyle w:val="CETBodytext"/>
              <w:spacing w:line="220" w:lineRule="exact"/>
            </w:pPr>
            <w:r>
              <w:t>70</w:t>
            </w:r>
          </w:p>
        </w:tc>
        <w:tc>
          <w:tcPr>
            <w:tcW w:w="1300" w:type="dxa"/>
          </w:tcPr>
          <w:p w:rsidR="00E60005" w:rsidRDefault="00D627BC">
            <w:pPr>
              <w:pStyle w:val="CETBodytext"/>
              <w:spacing w:line="220" w:lineRule="exact"/>
            </w:pPr>
            <w:r>
              <w:t>0.0513</w:t>
            </w:r>
          </w:p>
        </w:tc>
        <w:tc>
          <w:tcPr>
            <w:tcW w:w="1300" w:type="dxa"/>
            <w:gridSpan w:val="2"/>
          </w:tcPr>
          <w:p w:rsidR="00E60005" w:rsidRDefault="00D627BC">
            <w:pPr>
              <w:pStyle w:val="CETBodytext"/>
              <w:spacing w:line="220" w:lineRule="exact"/>
            </w:pPr>
            <w:r>
              <w:t>0.00414</w:t>
            </w:r>
          </w:p>
        </w:tc>
        <w:tc>
          <w:tcPr>
            <w:tcW w:w="1400" w:type="dxa"/>
          </w:tcPr>
          <w:p w:rsidR="00E60005" w:rsidRDefault="00D627BC">
            <w:pPr>
              <w:pStyle w:val="CETBodytext"/>
              <w:spacing w:line="220" w:lineRule="exact"/>
            </w:pPr>
            <w:r>
              <w:t>91.92</w:t>
            </w:r>
          </w:p>
        </w:tc>
        <w:tc>
          <w:tcPr>
            <w:tcW w:w="1300" w:type="dxa"/>
          </w:tcPr>
          <w:p w:rsidR="00E60005" w:rsidRDefault="00D627BC">
            <w:pPr>
              <w:pStyle w:val="CETBodytext"/>
              <w:spacing w:line="220" w:lineRule="exact"/>
            </w:pPr>
            <w:r>
              <w:t>0.00463</w:t>
            </w:r>
          </w:p>
        </w:tc>
        <w:tc>
          <w:tcPr>
            <w:tcW w:w="1187" w:type="dxa"/>
          </w:tcPr>
          <w:p w:rsidR="00E60005" w:rsidRDefault="00D627BC">
            <w:pPr>
              <w:pStyle w:val="CETBodytext"/>
              <w:spacing w:line="220" w:lineRule="exact"/>
            </w:pPr>
            <w:r>
              <w:t>90.97</w:t>
            </w:r>
          </w:p>
        </w:tc>
      </w:tr>
      <w:tr w:rsidR="00E60005">
        <w:tblPrEx>
          <w:tblBorders>
            <w:top w:val="none" w:sz="0" w:space="0" w:color="auto"/>
            <w:bottom w:val="none" w:sz="0" w:space="0" w:color="auto"/>
          </w:tblBorders>
          <w:tblCellMar>
            <w:right w:w="0" w:type="dxa"/>
          </w:tblCellMar>
        </w:tblPrEx>
        <w:tc>
          <w:tcPr>
            <w:tcW w:w="4393" w:type="dxa"/>
            <w:gridSpan w:val="4"/>
          </w:tcPr>
          <w:p w:rsidR="00E60005" w:rsidRDefault="00D627BC">
            <w:pPr>
              <w:pStyle w:val="CETBodytext"/>
              <w:jc w:val="left"/>
            </w:pPr>
            <w:r>
              <w:rPr>
                <w:noProof/>
                <w:lang w:val="ru-RU" w:eastAsia="ru-RU"/>
              </w:rPr>
              <w:drawing>
                <wp:inline distT="0" distB="0" distL="0" distR="0">
                  <wp:extent cx="2376000" cy="1558840"/>
                  <wp:effectExtent l="0" t="0" r="0" b="0"/>
                  <wp:docPr id="2096516396" name="Picture 2096516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png"/>
                          <pic:cNvPicPr/>
                        </pic:nvPicPr>
                        <pic:blipFill>
                          <a:blip r:embed="rId11"/>
                          <a:stretch>
                            <a:fillRect/>
                          </a:stretch>
                        </pic:blipFill>
                        <pic:spPr>
                          <a:xfrm>
                            <a:off x="0" y="0"/>
                            <a:ext cx="2376000" cy="1558840"/>
                          </a:xfrm>
                          <a:prstGeom prst="rect">
                            <a:avLst/>
                          </a:prstGeom>
                        </pic:spPr>
                      </pic:pic>
                    </a:graphicData>
                  </a:graphic>
                </wp:inline>
              </w:drawing>
            </w:r>
          </w:p>
        </w:tc>
        <w:tc>
          <w:tcPr>
            <w:tcW w:w="4393" w:type="dxa"/>
            <w:gridSpan w:val="4"/>
          </w:tcPr>
          <w:p w:rsidR="00E60005" w:rsidRDefault="00D627BC">
            <w:pPr>
              <w:pStyle w:val="CETBodytext"/>
              <w:jc w:val="left"/>
            </w:pPr>
            <w:r>
              <w:rPr>
                <w:noProof/>
                <w:lang w:val="ru-RU" w:eastAsia="ru-RU"/>
              </w:rPr>
              <w:drawing>
                <wp:inline distT="0" distB="0" distL="0" distR="0">
                  <wp:extent cx="2376000" cy="1594939"/>
                  <wp:effectExtent l="0" t="0" r="0" b="0"/>
                  <wp:docPr id="2096516397" name="Picture 2096516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png"/>
                          <pic:cNvPicPr/>
                        </pic:nvPicPr>
                        <pic:blipFill>
                          <a:blip r:embed="rId12"/>
                          <a:stretch>
                            <a:fillRect/>
                          </a:stretch>
                        </pic:blipFill>
                        <pic:spPr>
                          <a:xfrm>
                            <a:off x="0" y="0"/>
                            <a:ext cx="2376000" cy="1594939"/>
                          </a:xfrm>
                          <a:prstGeom prst="rect">
                            <a:avLst/>
                          </a:prstGeom>
                        </pic:spPr>
                      </pic:pic>
                    </a:graphicData>
                  </a:graphic>
                </wp:inline>
              </w:drawing>
            </w:r>
          </w:p>
        </w:tc>
      </w:tr>
    </w:tbl>
    <w:p w:rsidR="00E60005" w:rsidRDefault="00D627BC">
      <w:pPr>
        <w:pStyle w:val="CETCaption"/>
        <w:jc w:val="left"/>
      </w:pPr>
      <w:r>
        <w:t>Figure 3: Temperature dependence of corrosion rate in (a) 0.5 M HCl and (b) 0.5 M H</w:t>
      </w:r>
      <w:r>
        <w:rPr>
          <w:vertAlign w:val="subscript"/>
        </w:rPr>
        <w:t>2</w:t>
      </w:r>
      <w:r>
        <w:t>SO</w:t>
      </w:r>
      <w:r>
        <w:rPr>
          <w:vertAlign w:val="subscript"/>
        </w:rPr>
        <w:t>4</w:t>
      </w:r>
      <w:r>
        <w:t xml:space="preserve"> with and without EFGT-1 and EFGK-1 inhibitors</w:t>
      </w:r>
    </w:p>
    <w:p w:rsidR="00E60005" w:rsidRDefault="00D627BC">
      <w:pPr>
        <w:pStyle w:val="CETBodytext"/>
      </w:pPr>
      <w:r>
        <w:t>In 0.5 M HCl, EFGK-1 showed the best performance, with the protection efficiency increasing from 92.23 % at 30 °C to 95.89 % at 70 °C. EFGT-1 increased from 88.57 % to 92.64 % in the same temperature interval.</w:t>
      </w:r>
      <w:r>
        <w:t xml:space="preserve"> In 0.5 M H</w:t>
      </w:r>
      <w:r>
        <w:rPr>
          <w:vertAlign w:val="subscript"/>
        </w:rPr>
        <w:t>2</w:t>
      </w:r>
      <w:r>
        <w:t>SO</w:t>
      </w:r>
      <w:r>
        <w:rPr>
          <w:vertAlign w:val="subscript"/>
        </w:rPr>
        <w:t>4</w:t>
      </w:r>
      <w:r>
        <w:t>, EFGT-1 reached 91.92 % at 70 °C, while EFGK-1 reached 90.97 %. The increase in protection efficiency with temperature suggests that chemisorption contributes to the formation of the protective layer. If only weak physical adsorption domina</w:t>
      </w:r>
      <w:r>
        <w:t>ted, a decrease in efficiency with temperature would be expected due to desorption.</w:t>
      </w:r>
    </w:p>
    <w:p w:rsidR="00E60005" w:rsidRDefault="00D627BC">
      <w:pPr>
        <w:pStyle w:val="CETheadingx"/>
      </w:pPr>
      <w:r>
        <w:t>Proposed inhibition mechanism</w:t>
      </w:r>
    </w:p>
    <w:p w:rsidR="00E60005" w:rsidRDefault="00D627BC">
      <w:pPr>
        <w:pStyle w:val="CETBodytext"/>
      </w:pPr>
      <w:r>
        <w:t xml:space="preserve">The observed efficiency of the synthesized inhibitors can be explained by an adsorption-controlled mechanism (Figure 4). In acidic solutions, </w:t>
      </w:r>
      <w:r>
        <w:t>the inhibitors can be protonated, but donor atoms and polar functional groups remain important for surface interaction. Nitrogen, oxygen and sulfur atoms, together with amine, carbamide, thiocarbamide and hydroxyl fragments, provide adsorption centres. The</w:t>
      </w:r>
      <w:r>
        <w:t xml:space="preserve"> adsorbed molecules form a thin film that decreases the contact area between the acid and the steel surface, reduces the number of active dissolution sites and blocks the diffusion of aggressive ions.</w:t>
      </w:r>
    </w:p>
    <w:p w:rsidR="00E60005" w:rsidRDefault="00D627BC">
      <w:pPr>
        <w:pStyle w:val="CETBodytext"/>
        <w:spacing w:before="120"/>
        <w:jc w:val="left"/>
      </w:pPr>
      <w:r>
        <w:rPr>
          <w:noProof/>
          <w:lang w:val="ru-RU" w:eastAsia="ru-RU"/>
        </w:rPr>
        <w:drawing>
          <wp:inline distT="0" distB="0" distL="0" distR="0">
            <wp:extent cx="2819400" cy="1335810"/>
            <wp:effectExtent l="0" t="0" r="0" b="0"/>
            <wp:docPr id="2096516398" name="Picture 2096516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png"/>
                    <pic:cNvPicPr/>
                  </pic:nvPicPr>
                  <pic:blipFill rotWithShape="1">
                    <a:blip r:embed="rId13"/>
                    <a:srcRect b="8100"/>
                    <a:stretch/>
                  </pic:blipFill>
                  <pic:spPr bwMode="auto">
                    <a:xfrm>
                      <a:off x="0" y="0"/>
                      <a:ext cx="2858710" cy="1354435"/>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E60005" w:rsidRDefault="00D627BC">
      <w:pPr>
        <w:pStyle w:val="CETCaption"/>
        <w:jc w:val="left"/>
      </w:pPr>
      <w:r>
        <w:lastRenderedPageBreak/>
        <w:t>Figure 4: Proposed adsorption-controlled mechanism fo</w:t>
      </w:r>
      <w:r>
        <w:t>r the protection of Steel 20 by N-, O- and S-containing composite inhibitors</w:t>
      </w:r>
    </w:p>
    <w:p w:rsidR="00E60005" w:rsidRDefault="00D627BC">
      <w:pPr>
        <w:pStyle w:val="CETBodytext"/>
      </w:pPr>
      <w:r>
        <w:t>The comparison between the synthesized and imported inhibitors shows that local formulations can approach commercial performance. In HCl, EFGT-1 and EFGK-1 achieved values close t</w:t>
      </w:r>
      <w:r>
        <w:t>o those of Fleck, while in the sulfate medium EFGT-1 and EFGT-2 showed efficiencies higher than 92 %. In the acid–salt medium, DFGT was slightly more effective than EFGT.</w:t>
      </w:r>
    </w:p>
    <w:p w:rsidR="00E60005" w:rsidRDefault="00D627BC">
      <w:pPr>
        <w:pStyle w:val="CETHeading1"/>
      </w:pPr>
      <w:r>
        <w:t>Conclusions</w:t>
      </w:r>
    </w:p>
    <w:p w:rsidR="00E60005" w:rsidRDefault="00D627BC">
      <w:pPr>
        <w:pStyle w:val="CETBodytext"/>
      </w:pPr>
      <w:r>
        <w:t xml:space="preserve">The gravimetric data confirm that the locally synthesized EFGK, EFGT-1, </w:t>
      </w:r>
      <w:r>
        <w:t>EFGT-2, DFGT and EFGK-1 composite inhibitors substantially reduce the corrosion rate of Steel 20 in acidic and acid–salt media. In 0.5 M HCl at 250 mg L</w:t>
      </w:r>
      <w:r>
        <w:rPr>
          <w:vertAlign w:val="superscript"/>
        </w:rPr>
        <w:t>−1</w:t>
      </w:r>
      <w:r>
        <w:t xml:space="preserve"> and 70 °C, EFGT-1 reached 94.75 % protection, EFGT-2 93.62 % and EFGK 90.84 %; in 0.5 M H</w:t>
      </w:r>
      <w:r>
        <w:rPr>
          <w:vertAlign w:val="subscript"/>
        </w:rPr>
        <w:t>2</w:t>
      </w:r>
      <w:r>
        <w:t>SO</w:t>
      </w:r>
      <w:r>
        <w:rPr>
          <w:vertAlign w:val="subscript"/>
        </w:rPr>
        <w:t>4</w:t>
      </w:r>
      <w:r>
        <w:t xml:space="preserve"> the cor</w:t>
      </w:r>
      <w:r>
        <w:t>responding efficiencies were 92.63 %, 92.14 % and 87.56 %. At 200 mg L</w:t>
      </w:r>
      <w:r>
        <w:rPr>
          <w:vertAlign w:val="superscript"/>
        </w:rPr>
        <w:t>−1</w:t>
      </w:r>
      <w:r>
        <w:t>, EFGK-1 achieved 95.89 % protection in 0.5 M HCl, which is comparable to the imported Fleck product, while EFGT-1 provided 91.92 % protection in 0.5 M H</w:t>
      </w:r>
      <w:r>
        <w:rPr>
          <w:vertAlign w:val="subscript"/>
        </w:rPr>
        <w:t>2</w:t>
      </w:r>
      <w:r>
        <w:t>SO</w:t>
      </w:r>
      <w:r>
        <w:rPr>
          <w:vertAlign w:val="subscript"/>
        </w:rPr>
        <w:t>4</w:t>
      </w:r>
      <w:r>
        <w:t xml:space="preserve"> at 70 °C. In the acid–salt</w:t>
      </w:r>
      <w:r>
        <w:t xml:space="preserve"> solution, DFGT provided 93.26 % protection at 200 mg L</w:t>
      </w:r>
      <w:r>
        <w:rPr>
          <w:vertAlign w:val="superscript"/>
        </w:rPr>
        <w:t>−1</w:t>
      </w:r>
      <w:r>
        <w:t>, slightly exceeding EFGT (92.25 %).</w:t>
      </w:r>
    </w:p>
    <w:p w:rsidR="00E60005" w:rsidRDefault="00D627BC">
      <w:pPr>
        <w:pStyle w:val="CETBodytext"/>
      </w:pPr>
      <w:r>
        <w:t>The protective effect is attributed to the adsorption of N-, O- and S-containing functional groups on the steel surface and the formation of a thin film that hind</w:t>
      </w:r>
      <w:r>
        <w:t xml:space="preserve">ers the access of aggressive acid and chloride/sulfate ions. The growth of protection efficiency with temperature indicates a contribution of chemisorption to the film formation. The synthesized inhibitors can be considered promising local alternatives to </w:t>
      </w:r>
      <w:r>
        <w:t>imported products for industrial acid cleaning and pipeline protection. Further work should include electrochemical impedance spectroscopy, polarization measurements and surface analysis to quantify the film resistance and adsorption parameters.</w:t>
      </w:r>
    </w:p>
    <w:p w:rsidR="00E60005" w:rsidRDefault="00D627BC">
      <w:pPr>
        <w:pStyle w:val="CETReference"/>
      </w:pPr>
      <w:r>
        <w:t>References</w:t>
      </w:r>
    </w:p>
    <w:p w:rsidR="00E60005" w:rsidRDefault="00D627BC">
      <w:pPr>
        <w:pStyle w:val="CETReferencetext"/>
      </w:pPr>
      <w:r>
        <w:t>Ahamad I., Prasad R., Quraishi M.A., 2010, Thermodynamic, electrochemical and quantum chemical investigation of some Schiff bases as corrosion inhibitors for mild steel in hydrochloric acid solutions, Materials Chemistry and Physics, 124, 1155–1165.</w:t>
      </w:r>
    </w:p>
    <w:p w:rsidR="00E60005" w:rsidRDefault="00D627BC">
      <w:pPr>
        <w:pStyle w:val="CETReferencetext"/>
      </w:pPr>
      <w:r>
        <w:t>Babic</w:t>
      </w:r>
      <w:r>
        <w:t>-Samardzija K., Khaled K.F., Hackerman N., 2005, Investigation of the inhibiting action of organic compounds on the corrosion of metals, Applied Surface Science, 240, 327–340.</w:t>
      </w:r>
    </w:p>
    <w:p w:rsidR="00E60005" w:rsidRDefault="00D627BC">
      <w:pPr>
        <w:pStyle w:val="CETReferencetext"/>
      </w:pPr>
      <w:r>
        <w:t>Bentiss F., Traisnel M., Lagrenee M., 2000, The substituted 1,3,4-oxadiazoles: a</w:t>
      </w:r>
      <w:r>
        <w:t xml:space="preserve"> new class of corrosion inhibitors of mild steel in acidic media, Corrosion Science, 42, 127–146.</w:t>
      </w:r>
    </w:p>
    <w:p w:rsidR="00E60005" w:rsidRDefault="00D627BC">
      <w:pPr>
        <w:pStyle w:val="CETReferencetext"/>
      </w:pPr>
      <w:r>
        <w:t>Farag A.A., Ismail A.S., Migahed M.A., 2015, Inhibition of carbon steel corrosion in acidic solution using some newly polyester derivatives, Journal of Molecu</w:t>
      </w:r>
      <w:r>
        <w:t>lar Liquids, 211, 915–923.</w:t>
      </w:r>
    </w:p>
    <w:p w:rsidR="00E60005" w:rsidRDefault="00D627BC">
      <w:pPr>
        <w:pStyle w:val="CETReferencetext"/>
      </w:pPr>
      <w:r>
        <w:t>Fouda A.S., Elewady G.Y., Mostafa H.A., Habbouba S., 2013, Inhibition of carbon steel corrosion in acidic media by organic compounds, African Journal of Pure and Applied Chemistry, 7, 198–207.</w:t>
      </w:r>
    </w:p>
    <w:p w:rsidR="00E60005" w:rsidRDefault="00D627BC">
      <w:pPr>
        <w:pStyle w:val="CETReferencetext"/>
      </w:pPr>
      <w:r>
        <w:t>Hegazy M.A., Ahmed H.M., El-Tabei A.</w:t>
      </w:r>
      <w:r>
        <w:t>S., 2011, Investigation of the corrosion inhibition effect of cationic surfactants on carbon steel in hydrochloric acid solution, Corrosion Science, 53, 671–678.</w:t>
      </w:r>
    </w:p>
    <w:p w:rsidR="00E60005" w:rsidRDefault="00D627BC">
      <w:pPr>
        <w:pStyle w:val="CETReferencetext"/>
      </w:pPr>
      <w:r>
        <w:t xml:space="preserve">Hegazy M.A., Atlam F.M., 2016, Three novel bolaamphiphiles as corrosion inhibitors for carbon </w:t>
      </w:r>
      <w:r>
        <w:t>steel in hydrochloric acid: experimental and computational studies, Journal of Molecular Liquids, 218, 649–662.</w:t>
      </w:r>
    </w:p>
    <w:p w:rsidR="00E60005" w:rsidRDefault="00D627BC">
      <w:pPr>
        <w:pStyle w:val="CETReferencetext"/>
      </w:pPr>
      <w:r>
        <w:t>Kannan P., Shukla S.K., Rao T.S., Rajendran N., 2016, Adsorption, thermodynamic and quantum chemical studies of a substituted benzimidazolium co</w:t>
      </w:r>
      <w:r>
        <w:t>mpound on carbon steel, Journal of Materials and Environmental Science, 7, 1154–1171.</w:t>
      </w:r>
    </w:p>
    <w:p w:rsidR="00E60005" w:rsidRDefault="00D627BC">
      <w:pPr>
        <w:pStyle w:val="CETReferencetext"/>
      </w:pPr>
      <w:r>
        <w:t>Maxammadiyev O.R., Beknazarov X.S., 2022, IR spectroscopic analysis of newly formed functional groups in the obtained inhibitors, Universum, 8(101), 221–227. (in Russian)</w:t>
      </w:r>
    </w:p>
    <w:p w:rsidR="00E60005" w:rsidRDefault="00D627BC">
      <w:pPr>
        <w:pStyle w:val="CETReferencetext"/>
      </w:pPr>
      <w:r>
        <w:t>Maxammadiyev O.R., Beknazarov X.S., Soqiyeva K.U., Djalilov A.T., 2021, Comparison of EFGK, EFGT, Flogard and Fleck corrosion inhibitors, Universum, 9(90), 401–408. (in Russian)</w:t>
      </w:r>
    </w:p>
    <w:p w:rsidR="00E60005" w:rsidRDefault="00D627BC">
      <w:pPr>
        <w:pStyle w:val="CETReferencetext"/>
      </w:pPr>
      <w:r>
        <w:t>Obot I.B., Obi-Egbedi N.O., Umoren S.A., 2011, Adsorption characteristics and</w:t>
      </w:r>
      <w:r>
        <w:t xml:space="preserve"> corrosion inhibitive properties of organic compounds in acidic media, Chemical Engineering Communications, 198, 711–725.</w:t>
      </w:r>
    </w:p>
    <w:p w:rsidR="00E60005" w:rsidRDefault="00D627BC">
      <w:pPr>
        <w:pStyle w:val="CETReferencetext"/>
      </w:pPr>
      <w:r>
        <w:t xml:space="preserve">Quraishi M.A., Sardar R., Jamal D., 2001, Corrosion inhibition of mild steel in hydrochloric acid by organic compounds, Materials </w:t>
      </w:r>
      <w:r>
        <w:t>Chemistry and Physics, 71, 309–313.</w:t>
      </w:r>
    </w:p>
    <w:p w:rsidR="00E60005" w:rsidRDefault="00D627BC">
      <w:pPr>
        <w:pStyle w:val="CETReferencetext"/>
      </w:pPr>
      <w:r>
        <w:t>Sastri V.S., 1998, Corrosion Inhibitors: Principles and Applications, John Wiley &amp; Sons, New York, USA.</w:t>
      </w:r>
    </w:p>
    <w:p w:rsidR="00E60005" w:rsidRDefault="00D627BC">
      <w:pPr>
        <w:pStyle w:val="CETReferencetext"/>
      </w:pPr>
      <w:r>
        <w:t>Umoren S.A., Ekanem U.F., 2010, Inhibition of mild steel corrosion in acidic media using natural and synthetic organ</w:t>
      </w:r>
      <w:r>
        <w:t>ic compounds, Chemical Engineering Communications, 197, 1339–1356.</w:t>
      </w:r>
    </w:p>
    <w:p w:rsidR="00E60005" w:rsidRDefault="00D627BC">
      <w:pPr>
        <w:pStyle w:val="CETReferencetext"/>
      </w:pPr>
      <w:r>
        <w:t>Wang D., Yang D., Zhang D., Li K., Gao L., Lin T., 2015, Electrochemical and DFT studies of quinoline derivatives on corrosion inhibition of AA5052 aluminium alloy in NaCl solution, Applied</w:t>
      </w:r>
      <w:r>
        <w:t xml:space="preserve"> Surface Science, 357, 2176–2183.</w:t>
      </w:r>
    </w:p>
    <w:p w:rsidR="00E60005" w:rsidRDefault="00D627BC">
      <w:pPr>
        <w:pStyle w:val="CETReferencetext"/>
      </w:pPr>
      <w:r>
        <w:t>Zhou Y., Yang P., Yuan C., Huo Y., 2013, Electrochemical migration failure of the copper trace on printed circuit board driven by immersion silver finish, Chemical Engineering Transactions, 33, 559–564.</w:t>
      </w:r>
    </w:p>
    <w:sectPr w:rsidR="00E60005"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27BC" w:rsidRDefault="00D627BC" w:rsidP="004F5E36">
      <w:r>
        <w:separator/>
      </w:r>
    </w:p>
  </w:endnote>
  <w:endnote w:type="continuationSeparator" w:id="0">
    <w:p w:rsidR="00D627BC" w:rsidRDefault="00D627BC"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27BC" w:rsidRDefault="00D627BC" w:rsidP="004F5E36">
      <w:r>
        <w:separator/>
      </w:r>
    </w:p>
  </w:footnote>
  <w:footnote w:type="continuationSeparator" w:id="0">
    <w:p w:rsidR="00D627BC" w:rsidRDefault="00D627BC"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2B15"/>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301F"/>
    <w:rsid w:val="00112CBA"/>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5C03"/>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723CB"/>
    <w:rsid w:val="003723D4"/>
    <w:rsid w:val="00381905"/>
    <w:rsid w:val="00384CC8"/>
    <w:rsid w:val="003871FD"/>
    <w:rsid w:val="003A1E30"/>
    <w:rsid w:val="003A2829"/>
    <w:rsid w:val="003A7D1C"/>
    <w:rsid w:val="003B304B"/>
    <w:rsid w:val="003B3146"/>
    <w:rsid w:val="003D1E02"/>
    <w:rsid w:val="003F015E"/>
    <w:rsid w:val="00400414"/>
    <w:rsid w:val="0041446B"/>
    <w:rsid w:val="0044071E"/>
    <w:rsid w:val="0044329C"/>
    <w:rsid w:val="00446A8C"/>
    <w:rsid w:val="0045004A"/>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9768F"/>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0861"/>
    <w:rsid w:val="0064184D"/>
    <w:rsid w:val="006422CC"/>
    <w:rsid w:val="00651D18"/>
    <w:rsid w:val="00660E3E"/>
    <w:rsid w:val="00662E74"/>
    <w:rsid w:val="00680C23"/>
    <w:rsid w:val="00683E23"/>
    <w:rsid w:val="00693766"/>
    <w:rsid w:val="006A3281"/>
    <w:rsid w:val="006B4888"/>
    <w:rsid w:val="006C2E45"/>
    <w:rsid w:val="006C359C"/>
    <w:rsid w:val="006C5579"/>
    <w:rsid w:val="006D6E8B"/>
    <w:rsid w:val="006D7209"/>
    <w:rsid w:val="006E737D"/>
    <w:rsid w:val="00707DD1"/>
    <w:rsid w:val="00711A35"/>
    <w:rsid w:val="00713973"/>
    <w:rsid w:val="00720A24"/>
    <w:rsid w:val="00727317"/>
    <w:rsid w:val="00732386"/>
    <w:rsid w:val="0073514D"/>
    <w:rsid w:val="007447F3"/>
    <w:rsid w:val="0075499F"/>
    <w:rsid w:val="007617CC"/>
    <w:rsid w:val="007661C8"/>
    <w:rsid w:val="0077098D"/>
    <w:rsid w:val="00785BF9"/>
    <w:rsid w:val="007931FA"/>
    <w:rsid w:val="007A4861"/>
    <w:rsid w:val="007A7BBA"/>
    <w:rsid w:val="007B0C50"/>
    <w:rsid w:val="007B48F9"/>
    <w:rsid w:val="007C1A43"/>
    <w:rsid w:val="007D0951"/>
    <w:rsid w:val="007F27C8"/>
    <w:rsid w:val="0080013E"/>
    <w:rsid w:val="00813288"/>
    <w:rsid w:val="008168FC"/>
    <w:rsid w:val="00830996"/>
    <w:rsid w:val="008314D7"/>
    <w:rsid w:val="008345F1"/>
    <w:rsid w:val="00865B07"/>
    <w:rsid w:val="008667EA"/>
    <w:rsid w:val="0087637F"/>
    <w:rsid w:val="00892AD5"/>
    <w:rsid w:val="008A1512"/>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96FFB"/>
    <w:rsid w:val="009B041A"/>
    <w:rsid w:val="009C37C3"/>
    <w:rsid w:val="009C7C86"/>
    <w:rsid w:val="009D2FF7"/>
    <w:rsid w:val="009E7884"/>
    <w:rsid w:val="009E788A"/>
    <w:rsid w:val="009F0E08"/>
    <w:rsid w:val="00A00316"/>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B5D0D"/>
    <w:rsid w:val="00AC7368"/>
    <w:rsid w:val="00AD0278"/>
    <w:rsid w:val="00AD16B9"/>
    <w:rsid w:val="00AE377D"/>
    <w:rsid w:val="00AF0EBA"/>
    <w:rsid w:val="00B02C8A"/>
    <w:rsid w:val="00B17FBD"/>
    <w:rsid w:val="00B315A6"/>
    <w:rsid w:val="00B31813"/>
    <w:rsid w:val="00B33365"/>
    <w:rsid w:val="00B375E1"/>
    <w:rsid w:val="00B52553"/>
    <w:rsid w:val="00B57B36"/>
    <w:rsid w:val="00B57E6F"/>
    <w:rsid w:val="00B8686D"/>
    <w:rsid w:val="00B93F69"/>
    <w:rsid w:val="00BB1DDC"/>
    <w:rsid w:val="00BC30C9"/>
    <w:rsid w:val="00BD077D"/>
    <w:rsid w:val="00BE3E58"/>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70A8"/>
    <w:rsid w:val="00C91BD7"/>
    <w:rsid w:val="00C94434"/>
    <w:rsid w:val="00CA0D75"/>
    <w:rsid w:val="00CA1C95"/>
    <w:rsid w:val="00CA5A9C"/>
    <w:rsid w:val="00CC4C20"/>
    <w:rsid w:val="00CD3517"/>
    <w:rsid w:val="00CD5FE2"/>
    <w:rsid w:val="00CE7C68"/>
    <w:rsid w:val="00D02B4C"/>
    <w:rsid w:val="00D040C4"/>
    <w:rsid w:val="00D16AD0"/>
    <w:rsid w:val="00D20AD1"/>
    <w:rsid w:val="00D2582C"/>
    <w:rsid w:val="00D46B7E"/>
    <w:rsid w:val="00D57C84"/>
    <w:rsid w:val="00D6057D"/>
    <w:rsid w:val="00D627BC"/>
    <w:rsid w:val="00D71640"/>
    <w:rsid w:val="00D836C5"/>
    <w:rsid w:val="00D84576"/>
    <w:rsid w:val="00D923E1"/>
    <w:rsid w:val="00DA1399"/>
    <w:rsid w:val="00DA24C6"/>
    <w:rsid w:val="00DA4D7B"/>
    <w:rsid w:val="00DC31B7"/>
    <w:rsid w:val="00DD271C"/>
    <w:rsid w:val="00DE264A"/>
    <w:rsid w:val="00DF5072"/>
    <w:rsid w:val="00E02D18"/>
    <w:rsid w:val="00E041E7"/>
    <w:rsid w:val="00E23CA1"/>
    <w:rsid w:val="00E27A6D"/>
    <w:rsid w:val="00E409A8"/>
    <w:rsid w:val="00E47D61"/>
    <w:rsid w:val="00E50C12"/>
    <w:rsid w:val="00E60005"/>
    <w:rsid w:val="00E65B91"/>
    <w:rsid w:val="00E7209D"/>
    <w:rsid w:val="00E72EAD"/>
    <w:rsid w:val="00E75CE2"/>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3049E"/>
    <w:rsid w:val="00F30C64"/>
    <w:rsid w:val="00F32BA2"/>
    <w:rsid w:val="00F32CDB"/>
    <w:rsid w:val="00F3348F"/>
    <w:rsid w:val="00F37280"/>
    <w:rsid w:val="00F41EE4"/>
    <w:rsid w:val="00F5187F"/>
    <w:rsid w:val="00F565FE"/>
    <w:rsid w:val="00F63A70"/>
    <w:rsid w:val="00F63D8C"/>
    <w:rsid w:val="00F7534E"/>
    <w:rsid w:val="00F93EDF"/>
    <w:rsid w:val="00FA1802"/>
    <w:rsid w:val="00FA21D0"/>
    <w:rsid w:val="00FA5F5F"/>
    <w:rsid w:val="00FB730C"/>
    <w:rsid w:val="00FC2695"/>
    <w:rsid w:val="00FC3E03"/>
    <w:rsid w:val="00FC3FC1"/>
    <w:rsid w:val="00FD360F"/>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9DB5A40"/>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semiHidden/>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rsid w:val="00280FAF"/>
    <w:pPr>
      <w:ind w:left="720"/>
      <w:contextualSpacing/>
    </w:pPr>
  </w:style>
  <w:style w:type="character" w:customStyle="1" w:styleId="gmail-apple-converted-space">
    <w:name w:val="gmail-apple-converted-space"/>
    <w:basedOn w:val="a2"/>
    <w:rsid w:val="00005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E9C34-09E5-48F9-8418-801CC8300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3032</Words>
  <Characters>17286</Characters>
  <Application>Microsoft Office Word</Application>
  <DocSecurity>0</DocSecurity>
  <Lines>144</Lines>
  <Paragraphs>40</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Jahongir</cp:lastModifiedBy>
  <cp:revision>2</cp:revision>
  <cp:lastPrinted>2015-05-12T18:31:00Z</cp:lastPrinted>
  <dcterms:created xsi:type="dcterms:W3CDTF">2026-07-09T14:59:00Z</dcterms:created>
  <dcterms:modified xsi:type="dcterms:W3CDTF">2026-07-09T14:59:00Z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