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Borders>
          <w:bottom w:val="single" w:sz="4" w:space="0" w:color="auto"/>
        </w:tblBorders>
        <w:tblLook w:val="01E0" w:firstRow="1" w:lastRow="1" w:firstColumn="1" w:lastColumn="1" w:noHBand="0" w:noVBand="0"/>
      </w:tblPr>
      <w:tblGrid>
        <w:gridCol w:w="6940"/>
        <w:gridCol w:w="1842"/>
      </w:tblGrid>
      <w:tr w:rsidR="000A03B2" w:rsidRPr="00B57B36" w14:paraId="2A131A54" w14:textId="77777777" w:rsidTr="00DE264A">
        <w:trPr>
          <w:trHeight w:val="852"/>
          <w:jc w:val="center"/>
        </w:trPr>
        <w:tc>
          <w:tcPr>
            <w:tcW w:w="6946" w:type="dxa"/>
            <w:vMerge w:val="restart"/>
            <w:tcBorders>
              <w:right w:val="single" w:sz="4" w:space="0" w:color="auto"/>
            </w:tcBorders>
          </w:tcPr>
          <w:p w14:paraId="38C3D2BA" w14:textId="77777777" w:rsidR="000A03B2" w:rsidRPr="00B57B36" w:rsidRDefault="000A03B2" w:rsidP="00DE264A">
            <w:pPr>
              <w:tabs>
                <w:tab w:val="left" w:pos="-108"/>
              </w:tabs>
              <w:ind w:left="-108"/>
              <w:jc w:val="left"/>
              <w:rPr>
                <w:rFonts w:cs="Arial"/>
                <w:b/>
                <w:bCs/>
                <w:i/>
                <w:iCs/>
                <w:color w:val="000066"/>
                <w:sz w:val="12"/>
                <w:szCs w:val="12"/>
                <w:lang w:eastAsia="it-IT"/>
              </w:rPr>
            </w:pPr>
            <w:bookmarkStart w:id="0" w:name="_Hlk145068772"/>
            <w:r w:rsidRPr="00B57B36">
              <w:rPr>
                <w:rFonts w:ascii="AdvP6960" w:hAnsi="AdvP6960" w:cs="AdvP6960"/>
                <w:noProof/>
                <w:color w:val="241F20"/>
                <w:szCs w:val="18"/>
                <w:lang w:val="it-IT" w:eastAsia="it-IT"/>
              </w:rPr>
              <w:drawing>
                <wp:inline distT="0" distB="0" distL="0" distR="0" wp14:anchorId="02B7C3D3" wp14:editId="5EE03112">
                  <wp:extent cx="640080" cy="373380"/>
                  <wp:effectExtent l="0" t="0" r="7620" b="7620"/>
                  <wp:docPr id="5" name="Immagine 5" descr="ce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et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080" cy="373380"/>
                          </a:xfrm>
                          <a:prstGeom prst="rect">
                            <a:avLst/>
                          </a:prstGeom>
                          <a:noFill/>
                          <a:ln>
                            <a:noFill/>
                          </a:ln>
                        </pic:spPr>
                      </pic:pic>
                    </a:graphicData>
                  </a:graphic>
                </wp:inline>
              </w:drawing>
            </w:r>
            <w:r w:rsidRPr="00B57B36">
              <w:rPr>
                <w:rFonts w:ascii="AdvP6960" w:hAnsi="AdvP6960" w:cs="AdvP6960"/>
                <w:color w:val="241F20"/>
                <w:szCs w:val="18"/>
                <w:lang w:eastAsia="it-IT"/>
              </w:rPr>
              <w:t xml:space="preserve"> </w:t>
            </w:r>
            <w:r w:rsidRPr="00B57B36">
              <w:rPr>
                <w:rFonts w:cs="Arial"/>
                <w:b/>
                <w:bCs/>
                <w:i/>
                <w:iCs/>
                <w:color w:val="000066"/>
                <w:sz w:val="24"/>
                <w:szCs w:val="24"/>
                <w:lang w:eastAsia="it-IT"/>
              </w:rPr>
              <w:t>CHEMICAL ENGINEERING</w:t>
            </w:r>
            <w:r w:rsidRPr="00B57B36">
              <w:rPr>
                <w:rFonts w:cs="Arial"/>
                <w:b/>
                <w:bCs/>
                <w:i/>
                <w:iCs/>
                <w:color w:val="0033FF"/>
                <w:sz w:val="24"/>
                <w:szCs w:val="24"/>
                <w:lang w:eastAsia="it-IT"/>
              </w:rPr>
              <w:t xml:space="preserve"> </w:t>
            </w:r>
            <w:r w:rsidRPr="00B57B36">
              <w:rPr>
                <w:rFonts w:cs="Arial"/>
                <w:b/>
                <w:bCs/>
                <w:i/>
                <w:iCs/>
                <w:color w:val="666666"/>
                <w:sz w:val="24"/>
                <w:szCs w:val="24"/>
                <w:lang w:eastAsia="it-IT"/>
              </w:rPr>
              <w:t>TRANSACTIONS</w:t>
            </w:r>
            <w:r w:rsidRPr="00B57B36">
              <w:rPr>
                <w:color w:val="333333"/>
                <w:sz w:val="24"/>
                <w:szCs w:val="24"/>
                <w:lang w:eastAsia="it-IT"/>
              </w:rPr>
              <w:t xml:space="preserve"> </w:t>
            </w:r>
            <w:r w:rsidRPr="00B57B36">
              <w:rPr>
                <w:rFonts w:cs="Arial"/>
                <w:b/>
                <w:bCs/>
                <w:i/>
                <w:iCs/>
                <w:color w:val="000066"/>
                <w:sz w:val="27"/>
                <w:szCs w:val="27"/>
                <w:lang w:eastAsia="it-IT"/>
              </w:rPr>
              <w:br/>
            </w:r>
          </w:p>
          <w:p w14:paraId="4B780582" w14:textId="753620B8" w:rsidR="000A03B2" w:rsidRPr="00B57B36" w:rsidRDefault="00A76EFC" w:rsidP="001D21AF">
            <w:pPr>
              <w:tabs>
                <w:tab w:val="left" w:pos="-108"/>
              </w:tabs>
              <w:ind w:left="-108"/>
              <w:rPr>
                <w:rFonts w:cs="Arial"/>
                <w:b/>
                <w:bCs/>
                <w:i/>
                <w:iCs/>
                <w:color w:val="000066"/>
                <w:sz w:val="22"/>
                <w:szCs w:val="22"/>
                <w:lang w:eastAsia="it-IT"/>
              </w:rPr>
            </w:pPr>
            <w:r w:rsidRPr="00B57B36">
              <w:rPr>
                <w:rFonts w:cs="Arial"/>
                <w:b/>
                <w:bCs/>
                <w:i/>
                <w:iCs/>
                <w:color w:val="000066"/>
                <w:sz w:val="22"/>
                <w:szCs w:val="22"/>
                <w:lang w:eastAsia="it-IT"/>
              </w:rPr>
              <w:t>VOL.</w:t>
            </w:r>
            <w:r w:rsidR="00785BF9">
              <w:rPr>
                <w:rFonts w:cs="Arial"/>
                <w:b/>
                <w:bCs/>
                <w:i/>
                <w:iCs/>
                <w:color w:val="000066"/>
                <w:sz w:val="22"/>
                <w:szCs w:val="22"/>
                <w:lang w:eastAsia="it-IT"/>
              </w:rPr>
              <w:t xml:space="preserve"> </w:t>
            </w:r>
            <w:r w:rsidR="00AD0278">
              <w:rPr>
                <w:rFonts w:cs="Arial"/>
                <w:b/>
                <w:bCs/>
                <w:i/>
                <w:iCs/>
                <w:color w:val="000066"/>
                <w:sz w:val="22"/>
                <w:szCs w:val="22"/>
                <w:lang w:eastAsia="it-IT"/>
              </w:rPr>
              <w:t>xxx</w:t>
            </w:r>
            <w:r w:rsidR="007B48F9">
              <w:rPr>
                <w:rFonts w:cs="Arial"/>
                <w:b/>
                <w:bCs/>
                <w:i/>
                <w:iCs/>
                <w:color w:val="000066"/>
                <w:sz w:val="22"/>
                <w:szCs w:val="22"/>
                <w:lang w:eastAsia="it-IT"/>
              </w:rPr>
              <w:t>,</w:t>
            </w:r>
            <w:r w:rsidR="00FA5F5F">
              <w:rPr>
                <w:rFonts w:cs="Arial"/>
                <w:b/>
                <w:bCs/>
                <w:i/>
                <w:iCs/>
                <w:color w:val="000066"/>
                <w:sz w:val="22"/>
                <w:szCs w:val="22"/>
                <w:lang w:eastAsia="it-IT"/>
              </w:rPr>
              <w:t xml:space="preserve"> </w:t>
            </w:r>
            <w:r w:rsidR="0030152C">
              <w:rPr>
                <w:rFonts w:cs="Arial"/>
                <w:b/>
                <w:bCs/>
                <w:i/>
                <w:iCs/>
                <w:color w:val="000066"/>
                <w:sz w:val="22"/>
                <w:szCs w:val="22"/>
                <w:lang w:eastAsia="it-IT"/>
              </w:rPr>
              <w:t>202</w:t>
            </w:r>
            <w:r w:rsidR="00AD0278">
              <w:rPr>
                <w:rFonts w:cs="Arial"/>
                <w:b/>
                <w:bCs/>
                <w:i/>
                <w:iCs/>
                <w:color w:val="000066"/>
                <w:sz w:val="22"/>
                <w:szCs w:val="22"/>
                <w:lang w:eastAsia="it-IT"/>
              </w:rPr>
              <w:t>6</w:t>
            </w:r>
          </w:p>
        </w:tc>
        <w:tc>
          <w:tcPr>
            <w:tcW w:w="1843" w:type="dxa"/>
            <w:tcBorders>
              <w:left w:val="single" w:sz="4" w:space="0" w:color="auto"/>
              <w:bottom w:val="nil"/>
              <w:right w:val="single" w:sz="4" w:space="0" w:color="auto"/>
            </w:tcBorders>
          </w:tcPr>
          <w:p w14:paraId="56782132" w14:textId="77777777" w:rsidR="000A03B2" w:rsidRPr="00B57B36" w:rsidRDefault="000A03B2" w:rsidP="00CD5FE2">
            <w:pPr>
              <w:spacing w:line="140" w:lineRule="atLeast"/>
              <w:jc w:val="right"/>
              <w:rPr>
                <w:rFonts w:cs="Arial"/>
                <w:sz w:val="14"/>
                <w:szCs w:val="14"/>
              </w:rPr>
            </w:pPr>
            <w:r w:rsidRPr="00B57B36">
              <w:rPr>
                <w:rFonts w:cs="Arial"/>
                <w:sz w:val="14"/>
                <w:szCs w:val="14"/>
              </w:rPr>
              <w:t>A publication of</w:t>
            </w:r>
          </w:p>
          <w:p w14:paraId="599E5441" w14:textId="77777777" w:rsidR="000A03B2" w:rsidRPr="00B57B36" w:rsidRDefault="000A03B2" w:rsidP="00CD5FE2">
            <w:pPr>
              <w:jc w:val="right"/>
            </w:pPr>
            <w:r w:rsidRPr="00B57B36">
              <w:rPr>
                <w:noProof/>
                <w:lang w:val="it-IT" w:eastAsia="it-IT"/>
              </w:rPr>
              <w:drawing>
                <wp:inline distT="0" distB="0" distL="0" distR="0" wp14:anchorId="59C75AF4" wp14:editId="4FF92432">
                  <wp:extent cx="670560" cy="358140"/>
                  <wp:effectExtent l="0" t="0" r="0" b="3810"/>
                  <wp:docPr id="6" name="Immagine 6" descr="aidiclogo_gra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idiclogo_grand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0560" cy="358140"/>
                          </a:xfrm>
                          <a:prstGeom prst="rect">
                            <a:avLst/>
                          </a:prstGeom>
                          <a:noFill/>
                          <a:ln>
                            <a:noFill/>
                          </a:ln>
                        </pic:spPr>
                      </pic:pic>
                    </a:graphicData>
                  </a:graphic>
                </wp:inline>
              </w:drawing>
            </w:r>
          </w:p>
        </w:tc>
      </w:tr>
      <w:tr w:rsidR="000A03B2" w:rsidRPr="00B57B36" w14:paraId="380FA3CD" w14:textId="77777777" w:rsidTr="00DE264A">
        <w:trPr>
          <w:trHeight w:val="567"/>
          <w:jc w:val="center"/>
        </w:trPr>
        <w:tc>
          <w:tcPr>
            <w:tcW w:w="6946" w:type="dxa"/>
            <w:vMerge/>
            <w:tcBorders>
              <w:right w:val="single" w:sz="4" w:space="0" w:color="auto"/>
            </w:tcBorders>
          </w:tcPr>
          <w:p w14:paraId="39E5E4C1" w14:textId="77777777" w:rsidR="000A03B2" w:rsidRPr="00B57B36" w:rsidRDefault="000A03B2" w:rsidP="00CD5FE2">
            <w:pPr>
              <w:tabs>
                <w:tab w:val="left" w:pos="-108"/>
              </w:tabs>
            </w:pPr>
          </w:p>
        </w:tc>
        <w:tc>
          <w:tcPr>
            <w:tcW w:w="1843" w:type="dxa"/>
            <w:tcBorders>
              <w:left w:val="single" w:sz="4" w:space="0" w:color="auto"/>
              <w:bottom w:val="nil"/>
              <w:right w:val="single" w:sz="4" w:space="0" w:color="auto"/>
            </w:tcBorders>
          </w:tcPr>
          <w:p w14:paraId="43858A98" w14:textId="77777777" w:rsidR="000A03B2" w:rsidRPr="00B57B36" w:rsidRDefault="000A03B2" w:rsidP="00CD5FE2">
            <w:pPr>
              <w:spacing w:line="140" w:lineRule="atLeast"/>
              <w:jc w:val="right"/>
              <w:rPr>
                <w:rFonts w:cs="Arial"/>
                <w:sz w:val="14"/>
                <w:szCs w:val="14"/>
              </w:rPr>
            </w:pPr>
            <w:r w:rsidRPr="00B57B36">
              <w:rPr>
                <w:rFonts w:cs="Arial"/>
                <w:sz w:val="14"/>
                <w:szCs w:val="14"/>
              </w:rPr>
              <w:t>The Italian Association</w:t>
            </w:r>
          </w:p>
          <w:p w14:paraId="7522B1D2" w14:textId="77777777" w:rsidR="000A03B2" w:rsidRPr="00B57B36" w:rsidRDefault="000A03B2" w:rsidP="00CD5FE2">
            <w:pPr>
              <w:spacing w:line="140" w:lineRule="atLeast"/>
              <w:jc w:val="right"/>
              <w:rPr>
                <w:rFonts w:cs="Arial"/>
                <w:sz w:val="14"/>
                <w:szCs w:val="14"/>
              </w:rPr>
            </w:pPr>
            <w:r w:rsidRPr="00B57B36">
              <w:rPr>
                <w:rFonts w:cs="Arial"/>
                <w:sz w:val="14"/>
                <w:szCs w:val="14"/>
              </w:rPr>
              <w:t>of Chemical Engineering</w:t>
            </w:r>
          </w:p>
          <w:p w14:paraId="4F0CC5DE" w14:textId="47FDB2FC" w:rsidR="000A03B2" w:rsidRPr="000D0268" w:rsidRDefault="000D0268" w:rsidP="00CD5FE2">
            <w:pPr>
              <w:spacing w:line="140" w:lineRule="atLeast"/>
              <w:jc w:val="right"/>
              <w:rPr>
                <w:rFonts w:cs="Arial"/>
                <w:sz w:val="13"/>
                <w:szCs w:val="13"/>
              </w:rPr>
            </w:pPr>
            <w:r w:rsidRPr="000D0268">
              <w:rPr>
                <w:rFonts w:cs="Arial"/>
                <w:sz w:val="13"/>
                <w:szCs w:val="13"/>
              </w:rPr>
              <w:t>Online at www.cetjournal.it</w:t>
            </w:r>
          </w:p>
        </w:tc>
      </w:tr>
      <w:tr w:rsidR="000A03B2" w:rsidRPr="00B57B36" w14:paraId="2D1B7169" w14:textId="77777777" w:rsidTr="00DE264A">
        <w:trPr>
          <w:trHeight w:val="68"/>
          <w:jc w:val="center"/>
        </w:trPr>
        <w:tc>
          <w:tcPr>
            <w:tcW w:w="8789" w:type="dxa"/>
            <w:gridSpan w:val="2"/>
          </w:tcPr>
          <w:p w14:paraId="1D8DD3C9" w14:textId="61229B97" w:rsidR="00AA7D26" w:rsidRPr="001D298C" w:rsidRDefault="004A5E57" w:rsidP="004A5E57">
            <w:pPr>
              <w:ind w:left="-107"/>
              <w:outlineLvl w:val="2"/>
              <w:rPr>
                <w:rFonts w:ascii="Tahoma" w:hAnsi="Tahoma" w:cs="Tahoma"/>
                <w:bCs/>
                <w:color w:val="000000"/>
                <w:sz w:val="14"/>
                <w:szCs w:val="14"/>
                <w:lang w:eastAsia="it-IT"/>
              </w:rPr>
            </w:pPr>
            <w:r w:rsidRPr="001D298C">
              <w:rPr>
                <w:rFonts w:ascii="Tahoma" w:hAnsi="Tahoma" w:cs="Tahoma"/>
                <w:iCs/>
                <w:color w:val="333333"/>
                <w:sz w:val="14"/>
                <w:szCs w:val="14"/>
                <w:lang w:eastAsia="it-IT"/>
              </w:rPr>
              <w:t>Guest Editors:</w:t>
            </w:r>
            <w:r w:rsidRPr="001D298C">
              <w:rPr>
                <w:rFonts w:ascii="Tahoma" w:hAnsi="Tahoma" w:cs="Tahoma"/>
                <w:color w:val="000000"/>
                <w:sz w:val="14"/>
                <w:szCs w:val="14"/>
                <w:shd w:val="clear" w:color="auto" w:fill="FFFFFF"/>
              </w:rPr>
              <w:t xml:space="preserve"> </w:t>
            </w:r>
            <w:r w:rsidR="00EA3EF9" w:rsidRPr="001D298C">
              <w:rPr>
                <w:rFonts w:ascii="Tahoma" w:hAnsi="Tahoma" w:cs="Tahoma"/>
                <w:color w:val="000000"/>
                <w:sz w:val="14"/>
                <w:szCs w:val="14"/>
                <w:shd w:val="clear" w:color="auto" w:fill="FFFFFF"/>
              </w:rPr>
              <w:t xml:space="preserve">Leonardo Tognotti, </w:t>
            </w:r>
            <w:r w:rsidR="00EA3EF9" w:rsidRPr="001D298C">
              <w:rPr>
                <w:rFonts w:ascii="Tahoma" w:hAnsi="Tahoma" w:cs="Tahoma"/>
                <w:color w:val="000000"/>
                <w:sz w:val="14"/>
                <w:szCs w:val="14"/>
              </w:rPr>
              <w:t>Rubens Maciel Filho</w:t>
            </w:r>
            <w:r w:rsidR="00EA3EF9" w:rsidRPr="001D298C">
              <w:rPr>
                <w:rFonts w:ascii="Tahoma" w:hAnsi="Tahoma" w:cs="Tahoma"/>
                <w:color w:val="000000"/>
                <w:sz w:val="14"/>
                <w:szCs w:val="14"/>
                <w:shd w:val="clear" w:color="auto" w:fill="FFFFFF"/>
              </w:rPr>
              <w:t xml:space="preserve">, </w:t>
            </w:r>
            <w:r w:rsidR="00EA3EF9" w:rsidRPr="001D298C">
              <w:rPr>
                <w:rFonts w:ascii="Tahoma" w:hAnsi="Tahoma" w:cs="Tahoma"/>
                <w:color w:val="000000"/>
                <w:sz w:val="14"/>
                <w:szCs w:val="14"/>
              </w:rPr>
              <w:t>Viatcheslav Kafarov</w:t>
            </w:r>
          </w:p>
          <w:p w14:paraId="1B0F1814" w14:textId="710B7B96" w:rsidR="000A03B2" w:rsidRPr="00B57B36" w:rsidRDefault="00AA7D26" w:rsidP="00AA7D26">
            <w:pPr>
              <w:tabs>
                <w:tab w:val="left" w:pos="-108"/>
              </w:tabs>
              <w:spacing w:line="140" w:lineRule="atLeast"/>
              <w:ind w:left="-107"/>
              <w:jc w:val="left"/>
            </w:pPr>
            <w:r>
              <w:rPr>
                <w:rFonts w:ascii="Tahoma" w:hAnsi="Tahoma" w:cs="Tahoma"/>
                <w:iCs/>
                <w:color w:val="333333"/>
                <w:sz w:val="14"/>
                <w:szCs w:val="14"/>
                <w:lang w:eastAsia="it-IT"/>
              </w:rPr>
              <w:t>Copyright © 202</w:t>
            </w:r>
            <w:r w:rsidR="00005884">
              <w:rPr>
                <w:rFonts w:ascii="Tahoma" w:hAnsi="Tahoma" w:cs="Tahoma"/>
                <w:iCs/>
                <w:color w:val="333333"/>
                <w:sz w:val="14"/>
                <w:szCs w:val="14"/>
                <w:lang w:eastAsia="it-IT"/>
              </w:rPr>
              <w:t>6</w:t>
            </w:r>
            <w:r w:rsidRPr="00B57B36">
              <w:rPr>
                <w:rFonts w:ascii="Tahoma" w:hAnsi="Tahoma" w:cs="Tahoma"/>
                <w:iCs/>
                <w:color w:val="333333"/>
                <w:sz w:val="14"/>
                <w:szCs w:val="14"/>
                <w:lang w:eastAsia="it-IT"/>
              </w:rPr>
              <w:t xml:space="preserve">, AIDIC Servizi </w:t>
            </w:r>
            <w:proofErr w:type="spellStart"/>
            <w:r w:rsidRPr="00B57B36">
              <w:rPr>
                <w:rFonts w:ascii="Tahoma" w:hAnsi="Tahoma" w:cs="Tahoma"/>
                <w:iCs/>
                <w:color w:val="333333"/>
                <w:sz w:val="14"/>
                <w:szCs w:val="14"/>
                <w:lang w:eastAsia="it-IT"/>
              </w:rPr>
              <w:t>S.r.l</w:t>
            </w:r>
            <w:proofErr w:type="spellEnd"/>
            <w:r w:rsidRPr="00B57B36">
              <w:rPr>
                <w:rFonts w:ascii="Tahoma" w:hAnsi="Tahoma" w:cs="Tahoma"/>
                <w:iCs/>
                <w:color w:val="333333"/>
                <w:sz w:val="14"/>
                <w:szCs w:val="14"/>
                <w:lang w:eastAsia="it-IT"/>
              </w:rPr>
              <w:t>.</w:t>
            </w:r>
            <w:r w:rsidRPr="00B57B36">
              <w:rPr>
                <w:rFonts w:ascii="Tahoma" w:hAnsi="Tahoma" w:cs="Tahoma"/>
                <w:iCs/>
                <w:color w:val="333333"/>
                <w:sz w:val="14"/>
                <w:szCs w:val="14"/>
                <w:lang w:eastAsia="it-IT"/>
              </w:rPr>
              <w:br/>
            </w:r>
            <w:r w:rsidRPr="00B57B36">
              <w:rPr>
                <w:rFonts w:ascii="Tahoma" w:hAnsi="Tahoma" w:cs="Tahoma"/>
                <w:b/>
                <w:iCs/>
                <w:color w:val="000000"/>
                <w:sz w:val="14"/>
                <w:szCs w:val="14"/>
                <w:lang w:eastAsia="it-IT"/>
              </w:rPr>
              <w:t>ISBN</w:t>
            </w:r>
            <w:r w:rsidRPr="00B57B36">
              <w:rPr>
                <w:rFonts w:ascii="Tahoma" w:hAnsi="Tahoma" w:cs="Tahoma"/>
                <w:iCs/>
                <w:color w:val="000000"/>
                <w:sz w:val="14"/>
                <w:szCs w:val="14"/>
                <w:lang w:eastAsia="it-IT"/>
              </w:rPr>
              <w:t xml:space="preserve"> </w:t>
            </w:r>
            <w:r w:rsidR="00D2582C" w:rsidRPr="000562A9">
              <w:rPr>
                <w:rFonts w:ascii="Tahoma" w:hAnsi="Tahoma" w:cs="Tahoma"/>
                <w:sz w:val="14"/>
                <w:szCs w:val="14"/>
              </w:rPr>
              <w:t>97</w:t>
            </w:r>
            <w:r w:rsidR="00D2582C">
              <w:rPr>
                <w:rFonts w:ascii="Tahoma" w:hAnsi="Tahoma" w:cs="Tahoma"/>
                <w:sz w:val="14"/>
                <w:szCs w:val="14"/>
              </w:rPr>
              <w:t>9</w:t>
            </w:r>
            <w:r w:rsidR="00D2582C" w:rsidRPr="000562A9">
              <w:rPr>
                <w:rFonts w:ascii="Tahoma" w:hAnsi="Tahoma" w:cs="Tahoma"/>
                <w:sz w:val="14"/>
                <w:szCs w:val="14"/>
              </w:rPr>
              <w:t>-</w:t>
            </w:r>
            <w:r w:rsidR="00D2582C">
              <w:rPr>
                <w:rFonts w:ascii="Tahoma" w:hAnsi="Tahoma" w:cs="Tahoma"/>
                <w:sz w:val="14"/>
                <w:szCs w:val="14"/>
              </w:rPr>
              <w:t>12</w:t>
            </w:r>
            <w:r w:rsidR="00D2582C" w:rsidRPr="000562A9">
              <w:rPr>
                <w:rFonts w:ascii="Tahoma" w:hAnsi="Tahoma" w:cs="Tahoma"/>
                <w:sz w:val="14"/>
                <w:szCs w:val="14"/>
              </w:rPr>
              <w:t>-</w:t>
            </w:r>
            <w:r w:rsidR="00D2582C">
              <w:rPr>
                <w:rFonts w:ascii="Tahoma" w:hAnsi="Tahoma" w:cs="Tahoma"/>
                <w:sz w:val="14"/>
                <w:szCs w:val="14"/>
              </w:rPr>
              <w:t>81206-</w:t>
            </w:r>
            <w:r w:rsidR="00005884">
              <w:rPr>
                <w:rFonts w:ascii="Tahoma" w:hAnsi="Tahoma" w:cs="Tahoma"/>
                <w:sz w:val="14"/>
                <w:szCs w:val="14"/>
              </w:rPr>
              <w:t>xx</w:t>
            </w:r>
            <w:r w:rsidR="009041F8">
              <w:rPr>
                <w:rFonts w:ascii="Tahoma" w:hAnsi="Tahoma" w:cs="Tahoma"/>
                <w:sz w:val="14"/>
                <w:szCs w:val="14"/>
              </w:rPr>
              <w:t>-</w:t>
            </w:r>
            <w:r w:rsidR="00005884">
              <w:rPr>
                <w:rFonts w:ascii="Tahoma" w:hAnsi="Tahoma" w:cs="Tahoma"/>
                <w:sz w:val="14"/>
                <w:szCs w:val="14"/>
              </w:rPr>
              <w:t>x</w:t>
            </w:r>
            <w:r w:rsidRPr="00EF06D9">
              <w:rPr>
                <w:rFonts w:ascii="Tahoma" w:hAnsi="Tahoma" w:cs="Tahoma"/>
                <w:iCs/>
                <w:color w:val="333333"/>
                <w:sz w:val="14"/>
                <w:szCs w:val="14"/>
                <w:lang w:eastAsia="it-IT"/>
              </w:rPr>
              <w:t>;</w:t>
            </w:r>
            <w:r w:rsidRPr="00B57B36">
              <w:rPr>
                <w:rFonts w:ascii="Tahoma" w:hAnsi="Tahoma" w:cs="Tahoma"/>
                <w:iCs/>
                <w:color w:val="333333"/>
                <w:sz w:val="14"/>
                <w:szCs w:val="14"/>
                <w:lang w:eastAsia="it-IT"/>
              </w:rPr>
              <w:t xml:space="preserve"> </w:t>
            </w:r>
            <w:r w:rsidRPr="00B57B36">
              <w:rPr>
                <w:rFonts w:ascii="Tahoma" w:hAnsi="Tahoma" w:cs="Tahoma"/>
                <w:b/>
                <w:iCs/>
                <w:color w:val="333333"/>
                <w:sz w:val="14"/>
                <w:szCs w:val="14"/>
                <w:lang w:eastAsia="it-IT"/>
              </w:rPr>
              <w:t>ISSN</w:t>
            </w:r>
            <w:r w:rsidRPr="00B57B36">
              <w:rPr>
                <w:rFonts w:ascii="Tahoma" w:hAnsi="Tahoma" w:cs="Tahoma"/>
                <w:iCs/>
                <w:color w:val="333333"/>
                <w:sz w:val="14"/>
                <w:szCs w:val="14"/>
                <w:lang w:eastAsia="it-IT"/>
              </w:rPr>
              <w:t xml:space="preserve"> 2283-9216</w:t>
            </w:r>
          </w:p>
        </w:tc>
      </w:tr>
    </w:tbl>
    <w:bookmarkEnd w:id="0"/>
    <w:p w14:paraId="2E667253" w14:textId="31FA12A5" w:rsidR="00E978D0" w:rsidRPr="00B57B36" w:rsidRDefault="001D298C" w:rsidP="00E978D0">
      <w:pPr>
        <w:pStyle w:val="CETTitle"/>
      </w:pPr>
      <w:r>
        <w:t>The effect of char loading on biomass fluidized bed pyrolysis</w:t>
      </w:r>
    </w:p>
    <w:p w14:paraId="0488FED2" w14:textId="199E326F" w:rsidR="00B57E6F" w:rsidRPr="00E5051F" w:rsidRDefault="00E5051F" w:rsidP="00B57E6F">
      <w:pPr>
        <w:pStyle w:val="CETAuthors"/>
        <w:rPr>
          <w:lang w:val="it-IT"/>
        </w:rPr>
      </w:pPr>
      <w:r w:rsidRPr="00E5051F">
        <w:rPr>
          <w:lang w:val="it-IT"/>
        </w:rPr>
        <w:t>Maurizio Troiano</w:t>
      </w:r>
      <w:r w:rsidR="00B57E6F" w:rsidRPr="00E5051F">
        <w:rPr>
          <w:vertAlign w:val="superscript"/>
          <w:lang w:val="it-IT"/>
        </w:rPr>
        <w:t>a</w:t>
      </w:r>
      <w:r w:rsidR="00644749" w:rsidRPr="00E5051F">
        <w:rPr>
          <w:vertAlign w:val="superscript"/>
          <w:lang w:val="it-IT"/>
        </w:rPr>
        <w:t>,</w:t>
      </w:r>
      <w:r w:rsidR="00644749" w:rsidRPr="00E5051F">
        <w:rPr>
          <w:lang w:val="it-IT"/>
        </w:rPr>
        <w:t>*</w:t>
      </w:r>
      <w:r w:rsidR="00B57E6F" w:rsidRPr="00E5051F">
        <w:rPr>
          <w:lang w:val="it-IT"/>
        </w:rPr>
        <w:t xml:space="preserve">, </w:t>
      </w:r>
      <w:r w:rsidRPr="00E5051F">
        <w:rPr>
          <w:lang w:val="it-IT"/>
        </w:rPr>
        <w:t>Renata Migliaccio</w:t>
      </w:r>
      <w:r w:rsidR="00B57E6F" w:rsidRPr="00E5051F">
        <w:rPr>
          <w:vertAlign w:val="superscript"/>
          <w:lang w:val="it-IT"/>
        </w:rPr>
        <w:t>b</w:t>
      </w:r>
      <w:r w:rsidR="00B57E6F" w:rsidRPr="00E5051F">
        <w:rPr>
          <w:lang w:val="it-IT"/>
        </w:rPr>
        <w:t xml:space="preserve">, </w:t>
      </w:r>
      <w:r w:rsidRPr="00E5051F">
        <w:rPr>
          <w:lang w:val="it-IT"/>
        </w:rPr>
        <w:t>An</w:t>
      </w:r>
      <w:r>
        <w:rPr>
          <w:lang w:val="it-IT"/>
        </w:rPr>
        <w:t>tonio Cammarota</w:t>
      </w:r>
      <w:r>
        <w:rPr>
          <w:vertAlign w:val="superscript"/>
          <w:lang w:val="it-IT"/>
        </w:rPr>
        <w:t>b</w:t>
      </w:r>
      <w:r w:rsidRPr="00E5051F">
        <w:rPr>
          <w:lang w:val="it-IT"/>
        </w:rPr>
        <w:t>,</w:t>
      </w:r>
      <w:r w:rsidR="00644749">
        <w:rPr>
          <w:lang w:val="it-IT"/>
        </w:rPr>
        <w:t xml:space="preserve"> Giovanna Ruoppolo</w:t>
      </w:r>
      <w:r w:rsidR="00644749">
        <w:rPr>
          <w:vertAlign w:val="superscript"/>
          <w:lang w:val="it-IT"/>
        </w:rPr>
        <w:t>b</w:t>
      </w:r>
      <w:r w:rsidR="00644749" w:rsidRPr="00E5051F">
        <w:rPr>
          <w:lang w:val="it-IT"/>
        </w:rPr>
        <w:t>,</w:t>
      </w:r>
      <w:r w:rsidR="00644749">
        <w:rPr>
          <w:lang w:val="it-IT"/>
        </w:rPr>
        <w:t xml:space="preserve"> Massimo Urciuolo</w:t>
      </w:r>
      <w:r w:rsidR="00644749">
        <w:rPr>
          <w:vertAlign w:val="superscript"/>
          <w:lang w:val="it-IT"/>
        </w:rPr>
        <w:t>b</w:t>
      </w:r>
      <w:r w:rsidR="00644749" w:rsidRPr="00E5051F">
        <w:rPr>
          <w:lang w:val="it-IT"/>
        </w:rPr>
        <w:t>,</w:t>
      </w:r>
      <w:r w:rsidR="00644749">
        <w:rPr>
          <w:lang w:val="it-IT"/>
        </w:rPr>
        <w:t xml:space="preserve"> Roberto Solimene</w:t>
      </w:r>
      <w:r w:rsidR="00644749">
        <w:rPr>
          <w:vertAlign w:val="superscript"/>
          <w:lang w:val="it-IT"/>
        </w:rPr>
        <w:t>b</w:t>
      </w:r>
      <w:r w:rsidR="00644749" w:rsidRPr="00E5051F">
        <w:rPr>
          <w:lang w:val="it-IT"/>
        </w:rPr>
        <w:t>,</w:t>
      </w:r>
      <w:r w:rsidR="00644749">
        <w:rPr>
          <w:lang w:val="it-IT"/>
        </w:rPr>
        <w:t xml:space="preserve"> Piero Salatino</w:t>
      </w:r>
      <w:r w:rsidR="00644749" w:rsidRPr="00644749">
        <w:rPr>
          <w:vertAlign w:val="superscript"/>
          <w:lang w:val="it-IT"/>
        </w:rPr>
        <w:t>a</w:t>
      </w:r>
    </w:p>
    <w:p w14:paraId="6B2D21B3" w14:textId="4AE1777B" w:rsidR="00B57E6F" w:rsidRPr="004B4716" w:rsidRDefault="00B57E6F" w:rsidP="00B57E6F">
      <w:pPr>
        <w:pStyle w:val="CETAddress"/>
        <w:rPr>
          <w:lang w:val="it-IT"/>
        </w:rPr>
      </w:pPr>
      <w:r w:rsidRPr="004B4716">
        <w:rPr>
          <w:vertAlign w:val="superscript"/>
          <w:lang w:val="it-IT"/>
        </w:rPr>
        <w:t>a</w:t>
      </w:r>
      <w:r w:rsidR="004B4716" w:rsidRPr="004B4716">
        <w:rPr>
          <w:lang w:val="it-IT"/>
        </w:rPr>
        <w:t xml:space="preserve">Dipartimento di Ingegneria Chimica, dei </w:t>
      </w:r>
      <w:r w:rsidR="004B4716">
        <w:rPr>
          <w:lang w:val="it-IT"/>
        </w:rPr>
        <w:t xml:space="preserve">Materiali e della Produzione Industriale, Università degli Studi di Napoli Federico II, </w:t>
      </w:r>
      <w:r w:rsidR="0030586D">
        <w:rPr>
          <w:lang w:val="it-IT"/>
        </w:rPr>
        <w:t>Piazzale V</w:t>
      </w:r>
      <w:r w:rsidR="004C0A2D">
        <w:rPr>
          <w:lang w:val="it-IT"/>
        </w:rPr>
        <w:t>incenzo</w:t>
      </w:r>
      <w:r w:rsidR="0030586D">
        <w:rPr>
          <w:lang w:val="it-IT"/>
        </w:rPr>
        <w:t xml:space="preserve"> Tecchio 80, 80125, Napoli, Italy </w:t>
      </w:r>
    </w:p>
    <w:p w14:paraId="3D72B0B0" w14:textId="5EFA2C84" w:rsidR="00B57E6F" w:rsidRPr="00470612" w:rsidRDefault="00B57E6F" w:rsidP="00B57E6F">
      <w:pPr>
        <w:pStyle w:val="CETAddress"/>
        <w:rPr>
          <w:lang w:val="it-IT"/>
        </w:rPr>
      </w:pPr>
      <w:r w:rsidRPr="00470612">
        <w:rPr>
          <w:vertAlign w:val="superscript"/>
          <w:lang w:val="it-IT"/>
        </w:rPr>
        <w:t>b</w:t>
      </w:r>
      <w:r w:rsidR="00470612" w:rsidRPr="00470612">
        <w:rPr>
          <w:lang w:val="it-IT"/>
        </w:rPr>
        <w:t xml:space="preserve">Istituto di Scienze e Tecnologie per </w:t>
      </w:r>
      <w:r w:rsidR="00470612">
        <w:rPr>
          <w:lang w:val="it-IT"/>
        </w:rPr>
        <w:t xml:space="preserve">l’Energia e la Mobilità Sostenibili, Consiglio Nazionale delle Ricerche, </w:t>
      </w:r>
      <w:r w:rsidR="00F06B05">
        <w:rPr>
          <w:lang w:val="it-IT"/>
        </w:rPr>
        <w:t xml:space="preserve">Piazzale </w:t>
      </w:r>
      <w:r w:rsidR="004C0A2D">
        <w:rPr>
          <w:lang w:val="it-IT"/>
        </w:rPr>
        <w:t>Vincenzo</w:t>
      </w:r>
      <w:r w:rsidR="00F06B05">
        <w:rPr>
          <w:lang w:val="it-IT"/>
        </w:rPr>
        <w:t xml:space="preserve"> Tecchio 80, 80125, Napoli, Italy </w:t>
      </w:r>
    </w:p>
    <w:p w14:paraId="73F1267A" w14:textId="2AB52776" w:rsidR="00B57E6F" w:rsidRPr="003B4EA5" w:rsidRDefault="00B57E6F" w:rsidP="00B57E6F">
      <w:pPr>
        <w:pStyle w:val="CETemail"/>
        <w:rPr>
          <w:lang w:val="fr-FR"/>
        </w:rPr>
      </w:pPr>
      <w:r w:rsidRPr="00470612">
        <w:rPr>
          <w:lang w:val="it-IT"/>
        </w:rPr>
        <w:t xml:space="preserve"> </w:t>
      </w:r>
      <w:r w:rsidR="004C0A2D">
        <w:rPr>
          <w:lang w:val="fr-FR"/>
        </w:rPr>
        <w:t>maurizio.troiano@unina.it</w:t>
      </w:r>
    </w:p>
    <w:p w14:paraId="04B319EE" w14:textId="5A95F426" w:rsidR="00600535" w:rsidRPr="00B657B2" w:rsidRDefault="000031B5" w:rsidP="0060027A">
      <w:pPr>
        <w:pStyle w:val="CETBodytext"/>
        <w:rPr>
          <w:lang w:val="en-GB"/>
        </w:rPr>
      </w:pPr>
      <w:bookmarkStart w:id="1" w:name="_Hlk495475023"/>
      <w:r>
        <w:rPr>
          <w:lang w:val="en-GB"/>
        </w:rPr>
        <w:t>This study deals with f</w:t>
      </w:r>
      <w:r w:rsidR="007704F7" w:rsidRPr="00B657B2">
        <w:rPr>
          <w:lang w:val="en-GB"/>
        </w:rPr>
        <w:t>ast pyrolysis</w:t>
      </w:r>
      <w:r w:rsidR="00B657B2" w:rsidRPr="00B657B2">
        <w:rPr>
          <w:lang w:val="en-GB"/>
        </w:rPr>
        <w:t xml:space="preserve"> of giant r</w:t>
      </w:r>
      <w:r w:rsidR="00B657B2">
        <w:rPr>
          <w:lang w:val="en-GB"/>
        </w:rPr>
        <w:t xml:space="preserve">eed Arundo Donax in </w:t>
      </w:r>
      <w:r w:rsidR="009155C7">
        <w:rPr>
          <w:lang w:val="en-GB"/>
        </w:rPr>
        <w:t xml:space="preserve">a bench scale </w:t>
      </w:r>
      <w:r w:rsidR="00B657B2">
        <w:rPr>
          <w:lang w:val="en-GB"/>
        </w:rPr>
        <w:t xml:space="preserve">fluidized </w:t>
      </w:r>
      <w:r w:rsidR="00D36E6B">
        <w:rPr>
          <w:lang w:val="en-GB"/>
        </w:rPr>
        <w:t>bed</w:t>
      </w:r>
      <w:r w:rsidR="009155C7">
        <w:rPr>
          <w:lang w:val="en-GB"/>
        </w:rPr>
        <w:t xml:space="preserve"> apparatus</w:t>
      </w:r>
      <w:r w:rsidR="00D36E6B">
        <w:rPr>
          <w:lang w:val="en-GB"/>
        </w:rPr>
        <w:t xml:space="preserve">. </w:t>
      </w:r>
      <w:r w:rsidR="0060027A" w:rsidRPr="0060027A">
        <w:rPr>
          <w:lang w:val="en-GB"/>
        </w:rPr>
        <w:t xml:space="preserve">The effect of </w:t>
      </w:r>
      <w:r w:rsidR="00137581">
        <w:rPr>
          <w:lang w:val="en-GB"/>
        </w:rPr>
        <w:t xml:space="preserve">organic carbon loading </w:t>
      </w:r>
      <w:r w:rsidR="0060027A" w:rsidRPr="0060027A">
        <w:rPr>
          <w:lang w:val="en-GB"/>
        </w:rPr>
        <w:t>onto</w:t>
      </w:r>
      <w:r w:rsidR="0060027A">
        <w:rPr>
          <w:lang w:val="en-GB"/>
        </w:rPr>
        <w:t xml:space="preserve"> </w:t>
      </w:r>
      <w:r w:rsidR="0060027A" w:rsidRPr="0060027A">
        <w:rPr>
          <w:lang w:val="en-GB"/>
        </w:rPr>
        <w:t xml:space="preserve">the </w:t>
      </w:r>
      <w:r w:rsidR="00E25C91">
        <w:rPr>
          <w:lang w:val="en-GB"/>
        </w:rPr>
        <w:t xml:space="preserve">pyrolysis process </w:t>
      </w:r>
      <w:r w:rsidR="0060027A" w:rsidRPr="0060027A">
        <w:rPr>
          <w:lang w:val="en-GB"/>
        </w:rPr>
        <w:t xml:space="preserve">was </w:t>
      </w:r>
      <w:r w:rsidR="00606712">
        <w:rPr>
          <w:lang w:val="en-GB"/>
        </w:rPr>
        <w:t>investigated</w:t>
      </w:r>
      <w:r w:rsidR="0060027A" w:rsidRPr="0060027A">
        <w:rPr>
          <w:lang w:val="en-GB"/>
        </w:rPr>
        <w:t>,</w:t>
      </w:r>
      <w:r>
        <w:rPr>
          <w:lang w:val="en-GB"/>
        </w:rPr>
        <w:t xml:space="preserve"> </w:t>
      </w:r>
      <w:r w:rsidR="00606712">
        <w:rPr>
          <w:lang w:val="en-GB"/>
        </w:rPr>
        <w:t xml:space="preserve">as it affects </w:t>
      </w:r>
      <w:r w:rsidR="0031416B">
        <w:rPr>
          <w:lang w:val="en-GB"/>
        </w:rPr>
        <w:t>products yield and composition</w:t>
      </w:r>
      <w:r w:rsidR="000423C7">
        <w:rPr>
          <w:lang w:val="en-GB"/>
        </w:rPr>
        <w:t xml:space="preserve">. </w:t>
      </w:r>
      <w:r w:rsidR="00A76F26">
        <w:rPr>
          <w:lang w:val="en-GB"/>
        </w:rPr>
        <w:t>Steady state p</w:t>
      </w:r>
      <w:r w:rsidR="00D33420">
        <w:rPr>
          <w:lang w:val="en-GB"/>
        </w:rPr>
        <w:t xml:space="preserve">yrolysis experiments have been carried out at 500°C, at fixed </w:t>
      </w:r>
      <w:r w:rsidR="00572723">
        <w:rPr>
          <w:lang w:val="en-GB"/>
        </w:rPr>
        <w:t xml:space="preserve">gas superficial velocity and </w:t>
      </w:r>
      <w:r w:rsidR="00D33420">
        <w:rPr>
          <w:lang w:val="en-GB"/>
        </w:rPr>
        <w:t>solids residence time</w:t>
      </w:r>
      <w:r w:rsidR="00572723">
        <w:rPr>
          <w:lang w:val="en-GB"/>
        </w:rPr>
        <w:t>.</w:t>
      </w:r>
      <w:r w:rsidR="00D33420">
        <w:rPr>
          <w:lang w:val="en-GB"/>
        </w:rPr>
        <w:t xml:space="preserve"> </w:t>
      </w:r>
      <w:r w:rsidR="00735EA7">
        <w:rPr>
          <w:lang w:val="en-GB"/>
        </w:rPr>
        <w:t xml:space="preserve">The carbon inventory in the bed </w:t>
      </w:r>
      <w:r w:rsidR="00996DF9">
        <w:rPr>
          <w:lang w:val="en-GB"/>
        </w:rPr>
        <w:t>has been controlled by means of a system that allows partial discharge</w:t>
      </w:r>
      <w:r w:rsidR="00A76F26">
        <w:rPr>
          <w:lang w:val="en-GB"/>
        </w:rPr>
        <w:t>/charge</w:t>
      </w:r>
      <w:r w:rsidR="00996DF9">
        <w:rPr>
          <w:lang w:val="en-GB"/>
        </w:rPr>
        <w:t xml:space="preserve"> of solids from the bed, during continuous biomass feeding. </w:t>
      </w:r>
      <w:r w:rsidR="00AF5424">
        <w:rPr>
          <w:lang w:val="en-GB"/>
        </w:rPr>
        <w:t xml:space="preserve">Products yield, </w:t>
      </w:r>
      <w:r w:rsidR="00565A7F">
        <w:rPr>
          <w:lang w:val="en-GB"/>
        </w:rPr>
        <w:t>oil and gas composition have been characterized for different carbon inventor</w:t>
      </w:r>
      <w:r w:rsidR="004D2E2A">
        <w:rPr>
          <w:lang w:val="en-GB"/>
        </w:rPr>
        <w:t>ies</w:t>
      </w:r>
      <w:r w:rsidR="00632440">
        <w:rPr>
          <w:lang w:val="en-GB"/>
        </w:rPr>
        <w:t xml:space="preserve">. Semi-quantitative analysis of bio-oil composition has been obtained by GC-MS technique, while gases have been </w:t>
      </w:r>
      <w:proofErr w:type="spellStart"/>
      <w:r w:rsidR="009576C2">
        <w:rPr>
          <w:lang w:val="en-GB"/>
        </w:rPr>
        <w:t>analyzed</w:t>
      </w:r>
      <w:proofErr w:type="spellEnd"/>
      <w:r w:rsidR="009576C2">
        <w:rPr>
          <w:lang w:val="en-GB"/>
        </w:rPr>
        <w:t xml:space="preserve"> with micro-GC. Results highlight that organic carbon loading </w:t>
      </w:r>
      <w:r w:rsidR="008C3D70">
        <w:rPr>
          <w:lang w:val="en-GB"/>
        </w:rPr>
        <w:t>does affect secondary decomposition pathways</w:t>
      </w:r>
      <w:r w:rsidR="00151748">
        <w:rPr>
          <w:lang w:val="en-GB"/>
        </w:rPr>
        <w:t xml:space="preserve">. Increasing the carbon loading, phenols increase, while </w:t>
      </w:r>
      <w:r w:rsidR="00890B41">
        <w:rPr>
          <w:lang w:val="en-GB"/>
        </w:rPr>
        <w:t xml:space="preserve">ketones and organic acids decrease, together with </w:t>
      </w:r>
      <w:r w:rsidR="00E9155A">
        <w:rPr>
          <w:lang w:val="en-GB"/>
        </w:rPr>
        <w:t>an increase of CO, H</w:t>
      </w:r>
      <w:r w:rsidR="00E9155A" w:rsidRPr="00E9155A">
        <w:rPr>
          <w:vertAlign w:val="subscript"/>
          <w:lang w:val="en-GB"/>
        </w:rPr>
        <w:t>2</w:t>
      </w:r>
      <w:r w:rsidR="00E9155A">
        <w:rPr>
          <w:lang w:val="en-GB"/>
        </w:rPr>
        <w:t xml:space="preserve"> and CH</w:t>
      </w:r>
      <w:r w:rsidR="00E9155A" w:rsidRPr="00E9155A">
        <w:rPr>
          <w:vertAlign w:val="subscript"/>
          <w:lang w:val="en-GB"/>
        </w:rPr>
        <w:t>4</w:t>
      </w:r>
      <w:r w:rsidR="00E9155A">
        <w:rPr>
          <w:lang w:val="en-GB"/>
        </w:rPr>
        <w:t xml:space="preserve">. </w:t>
      </w:r>
      <w:r w:rsidR="00AC7C57">
        <w:rPr>
          <w:lang w:val="en-GB"/>
        </w:rPr>
        <w:t xml:space="preserve">Results confirm that a proper control of char loading during fast pyrolysis is crucial </w:t>
      </w:r>
      <w:r w:rsidR="001E14AD">
        <w:rPr>
          <w:lang w:val="en-GB"/>
        </w:rPr>
        <w:t xml:space="preserve">to maximize yield and selectivity in </w:t>
      </w:r>
      <w:r w:rsidR="00E566B1">
        <w:rPr>
          <w:lang w:val="en-GB"/>
        </w:rPr>
        <w:t>desired chemical compounds.</w:t>
      </w:r>
    </w:p>
    <w:bookmarkEnd w:id="1"/>
    <w:p w14:paraId="476B2F2E" w14:textId="77777777" w:rsidR="00600535" w:rsidRPr="00B57B36" w:rsidRDefault="00600535" w:rsidP="00600535">
      <w:pPr>
        <w:pStyle w:val="CETHeading1"/>
        <w:rPr>
          <w:lang w:val="en-GB"/>
        </w:rPr>
      </w:pPr>
      <w:r w:rsidRPr="00B57B36">
        <w:rPr>
          <w:lang w:val="en-GB"/>
        </w:rPr>
        <w:t>Introduction</w:t>
      </w:r>
    </w:p>
    <w:p w14:paraId="697B62CB" w14:textId="5CA24EAD" w:rsidR="003C0DA1" w:rsidRDefault="003C0DA1" w:rsidP="00F80FAD">
      <w:pPr>
        <w:pStyle w:val="CETBodytext"/>
        <w:rPr>
          <w:lang w:val="en-GB"/>
        </w:rPr>
      </w:pPr>
      <w:r w:rsidRPr="003C0DA1">
        <w:rPr>
          <w:lang w:val="en-GB"/>
        </w:rPr>
        <w:t>Renewables</w:t>
      </w:r>
      <w:r w:rsidR="00FC7084">
        <w:rPr>
          <w:lang w:val="en-GB"/>
        </w:rPr>
        <w:t xml:space="preserve">, </w:t>
      </w:r>
      <w:r w:rsidR="006F1558">
        <w:rPr>
          <w:lang w:val="en-GB"/>
        </w:rPr>
        <w:t xml:space="preserve">flexible power sources and </w:t>
      </w:r>
      <w:r w:rsidR="00FC7084">
        <w:rPr>
          <w:lang w:val="en-GB"/>
        </w:rPr>
        <w:t>negative emissions technologies</w:t>
      </w:r>
      <w:r w:rsidRPr="003C0DA1">
        <w:rPr>
          <w:lang w:val="en-GB"/>
        </w:rPr>
        <w:t xml:space="preserve"> play an important role </w:t>
      </w:r>
      <w:r w:rsidR="001B4E9D">
        <w:rPr>
          <w:lang w:val="en-GB"/>
        </w:rPr>
        <w:t>toward</w:t>
      </w:r>
      <w:r w:rsidR="00253097">
        <w:rPr>
          <w:lang w:val="en-GB"/>
        </w:rPr>
        <w:t xml:space="preserve"> </w:t>
      </w:r>
      <w:r w:rsidR="007525C1">
        <w:rPr>
          <w:lang w:val="en-GB"/>
        </w:rPr>
        <w:t>the decarbonization of</w:t>
      </w:r>
      <w:r w:rsidR="00253097">
        <w:rPr>
          <w:lang w:val="en-GB"/>
        </w:rPr>
        <w:t xml:space="preserve"> energy system</w:t>
      </w:r>
      <w:r w:rsidR="007525C1">
        <w:rPr>
          <w:lang w:val="en-GB"/>
        </w:rPr>
        <w:t>s</w:t>
      </w:r>
      <w:r w:rsidR="00174B5B">
        <w:rPr>
          <w:lang w:val="en-GB"/>
        </w:rPr>
        <w:t xml:space="preserve"> </w:t>
      </w:r>
      <w:r w:rsidR="004119D9">
        <w:rPr>
          <w:lang w:val="en-GB"/>
        </w:rPr>
        <w:t>(</w:t>
      </w:r>
      <w:proofErr w:type="spellStart"/>
      <w:r w:rsidR="004119D9">
        <w:rPr>
          <w:lang w:val="en-GB"/>
        </w:rPr>
        <w:t>Sandhaas</w:t>
      </w:r>
      <w:proofErr w:type="spellEnd"/>
      <w:r w:rsidR="004119D9">
        <w:rPr>
          <w:lang w:val="en-GB"/>
        </w:rPr>
        <w:t xml:space="preserve"> and</w:t>
      </w:r>
      <w:r w:rsidR="00E05A63">
        <w:rPr>
          <w:lang w:val="en-GB"/>
        </w:rPr>
        <w:t xml:space="preserve"> Hartmann, 2025)</w:t>
      </w:r>
      <w:r w:rsidRPr="003C0DA1">
        <w:rPr>
          <w:lang w:val="en-GB"/>
        </w:rPr>
        <w:t xml:space="preserve">. </w:t>
      </w:r>
      <w:r w:rsidR="00133548" w:rsidRPr="00133548">
        <w:rPr>
          <w:lang w:val="en-GB"/>
        </w:rPr>
        <w:t xml:space="preserve">Among the various </w:t>
      </w:r>
      <w:r w:rsidR="00133548">
        <w:rPr>
          <w:lang w:val="en-GB"/>
        </w:rPr>
        <w:t>negative emissions technologies</w:t>
      </w:r>
      <w:r w:rsidR="00133548" w:rsidRPr="00133548">
        <w:rPr>
          <w:lang w:val="en-GB"/>
        </w:rPr>
        <w:t xml:space="preserve">, bioenergy with carbon capture and storage, direct air carbon capture and storage, afforestation and reforestation, and pyrolysis </w:t>
      </w:r>
      <w:r w:rsidR="008D5896">
        <w:rPr>
          <w:lang w:val="en-GB"/>
        </w:rPr>
        <w:t>represent</w:t>
      </w:r>
      <w:r w:rsidR="00133548" w:rsidRPr="00133548">
        <w:rPr>
          <w:lang w:val="en-GB"/>
        </w:rPr>
        <w:t xml:space="preserve"> the most discussed </w:t>
      </w:r>
      <w:r w:rsidR="00303F6B">
        <w:rPr>
          <w:lang w:val="en-GB"/>
        </w:rPr>
        <w:t xml:space="preserve">and viable </w:t>
      </w:r>
      <w:r w:rsidR="00133548" w:rsidRPr="00133548">
        <w:rPr>
          <w:lang w:val="en-GB"/>
        </w:rPr>
        <w:t xml:space="preserve">options. </w:t>
      </w:r>
      <w:r w:rsidR="008E4D8A">
        <w:rPr>
          <w:lang w:val="en-GB"/>
        </w:rPr>
        <w:t>Biomass p</w:t>
      </w:r>
      <w:r w:rsidR="00133548" w:rsidRPr="00133548">
        <w:rPr>
          <w:lang w:val="en-GB"/>
        </w:rPr>
        <w:t xml:space="preserve">yrolysis </w:t>
      </w:r>
      <w:r w:rsidR="0009578D">
        <w:rPr>
          <w:lang w:val="en-GB"/>
        </w:rPr>
        <w:t xml:space="preserve">deserves a special role as it </w:t>
      </w:r>
      <w:r w:rsidR="00133548" w:rsidRPr="00133548">
        <w:rPr>
          <w:lang w:val="en-GB"/>
        </w:rPr>
        <w:t xml:space="preserve">not only enables carbon sequestration but also </w:t>
      </w:r>
      <w:r w:rsidR="003D2D06">
        <w:rPr>
          <w:lang w:val="en-GB"/>
        </w:rPr>
        <w:t>allows the substitution of fossil feedstock</w:t>
      </w:r>
      <w:r w:rsidR="008E4D8A">
        <w:rPr>
          <w:lang w:val="en-GB"/>
        </w:rPr>
        <w:t xml:space="preserve">s. In fact, pyrolysis </w:t>
      </w:r>
      <w:r w:rsidR="00133548" w:rsidRPr="00133548">
        <w:rPr>
          <w:lang w:val="en-GB"/>
        </w:rPr>
        <w:t>provides multiple valuable products</w:t>
      </w:r>
      <w:r w:rsidR="004A6D9F">
        <w:rPr>
          <w:lang w:val="en-GB"/>
        </w:rPr>
        <w:t xml:space="preserve">, </w:t>
      </w:r>
      <w:r w:rsidR="00133548" w:rsidRPr="00133548">
        <w:rPr>
          <w:lang w:val="en-GB"/>
        </w:rPr>
        <w:t>biochar, pyrolysis gas, and pyrolysis oil</w:t>
      </w:r>
      <w:r w:rsidR="004A6D9F">
        <w:rPr>
          <w:lang w:val="en-GB"/>
        </w:rPr>
        <w:t xml:space="preserve">, </w:t>
      </w:r>
      <w:r w:rsidR="00133548" w:rsidRPr="00133548">
        <w:rPr>
          <w:lang w:val="en-GB"/>
        </w:rPr>
        <w:t>that can further serve diverse applications</w:t>
      </w:r>
      <w:r w:rsidR="000B098D">
        <w:rPr>
          <w:lang w:val="en-GB"/>
        </w:rPr>
        <w:t xml:space="preserve"> </w:t>
      </w:r>
      <w:r w:rsidR="008C5DA4">
        <w:rPr>
          <w:lang w:val="en-GB"/>
        </w:rPr>
        <w:t>(Kan et al., 2016)</w:t>
      </w:r>
      <w:r w:rsidR="00133548" w:rsidRPr="00133548">
        <w:rPr>
          <w:lang w:val="en-GB"/>
        </w:rPr>
        <w:t>.</w:t>
      </w:r>
      <w:r w:rsidR="00174B5B">
        <w:rPr>
          <w:lang w:val="en-GB"/>
        </w:rPr>
        <w:t xml:space="preserve"> </w:t>
      </w:r>
      <w:r w:rsidR="002A600A" w:rsidRPr="002A600A">
        <w:rPr>
          <w:lang w:val="en-GB"/>
        </w:rPr>
        <w:t>Fast pyrolysis offers a direct route to produce liquid fuels and chemicals, with high feedstock flexibility and energy input efficiencies and it has the potential of converting all carbon in the feedstock.</w:t>
      </w:r>
      <w:r w:rsidR="00C047AC">
        <w:rPr>
          <w:lang w:val="en-GB"/>
        </w:rPr>
        <w:t xml:space="preserve"> </w:t>
      </w:r>
      <w:r w:rsidR="00C047AC" w:rsidRPr="00C047AC">
        <w:rPr>
          <w:lang w:val="en-GB"/>
        </w:rPr>
        <w:t xml:space="preserve">The essential features of a fast pyrolysis process for liquids </w:t>
      </w:r>
      <w:r w:rsidR="004D2E2A">
        <w:rPr>
          <w:lang w:val="en-GB"/>
        </w:rPr>
        <w:t xml:space="preserve">production </w:t>
      </w:r>
      <w:r w:rsidR="00C047AC" w:rsidRPr="00C047AC">
        <w:rPr>
          <w:lang w:val="en-GB"/>
        </w:rPr>
        <w:t>are: high heating rates and heat transfer rates; biomass dimension typically less than 3 mm; short hot vapour residence times (less than 2s)</w:t>
      </w:r>
      <w:r w:rsidR="004D2E2A">
        <w:rPr>
          <w:lang w:val="en-GB"/>
        </w:rPr>
        <w:t xml:space="preserve"> and vapor-char contact time</w:t>
      </w:r>
      <w:r w:rsidR="00C047AC" w:rsidRPr="00C047AC">
        <w:rPr>
          <w:lang w:val="en-GB"/>
        </w:rPr>
        <w:t xml:space="preserve"> to minimise secondary reactions; rapid cooling of the pyrolysis vapours to give the bio-oil product</w:t>
      </w:r>
      <w:r w:rsidR="006A6E61">
        <w:rPr>
          <w:lang w:val="en-GB"/>
        </w:rPr>
        <w:t xml:space="preserve"> (Bridgwater, </w:t>
      </w:r>
      <w:r w:rsidR="001869E1">
        <w:rPr>
          <w:lang w:val="en-GB"/>
        </w:rPr>
        <w:t>20</w:t>
      </w:r>
      <w:r w:rsidR="00526320">
        <w:rPr>
          <w:lang w:val="en-GB"/>
        </w:rPr>
        <w:t>17</w:t>
      </w:r>
      <w:r w:rsidR="006A6E61">
        <w:rPr>
          <w:lang w:val="en-GB"/>
        </w:rPr>
        <w:t>)</w:t>
      </w:r>
      <w:r w:rsidR="00C047AC" w:rsidRPr="00C047AC">
        <w:rPr>
          <w:lang w:val="en-GB"/>
        </w:rPr>
        <w:t>.</w:t>
      </w:r>
      <w:r w:rsidR="002B7ED7">
        <w:rPr>
          <w:lang w:val="en-GB"/>
        </w:rPr>
        <w:t xml:space="preserve"> </w:t>
      </w:r>
      <w:r w:rsidR="002B7ED7" w:rsidRPr="002B7ED7">
        <w:rPr>
          <w:lang w:val="en-GB"/>
        </w:rPr>
        <w:t>The inherent heterogeneity of</w:t>
      </w:r>
      <w:r w:rsidR="002B7ED7">
        <w:rPr>
          <w:lang w:val="en-GB"/>
        </w:rPr>
        <w:t xml:space="preserve"> </w:t>
      </w:r>
      <w:r w:rsidR="002B7ED7" w:rsidRPr="002B7ED7">
        <w:rPr>
          <w:lang w:val="en-GB"/>
        </w:rPr>
        <w:t>biomass raw feedstocks and the complexity of chemical</w:t>
      </w:r>
      <w:r w:rsidR="002B7ED7">
        <w:rPr>
          <w:lang w:val="en-GB"/>
        </w:rPr>
        <w:t xml:space="preserve"> </w:t>
      </w:r>
      <w:r w:rsidR="002B7ED7" w:rsidRPr="002B7ED7">
        <w:rPr>
          <w:lang w:val="en-GB"/>
        </w:rPr>
        <w:t>pathways are responsible for the broad variety of chemical</w:t>
      </w:r>
      <w:r w:rsidR="002B7ED7">
        <w:rPr>
          <w:lang w:val="en-GB"/>
        </w:rPr>
        <w:t xml:space="preserve"> </w:t>
      </w:r>
      <w:r w:rsidR="002B7ED7" w:rsidRPr="002B7ED7">
        <w:rPr>
          <w:lang w:val="en-GB"/>
        </w:rPr>
        <w:t>compounds in the bio-oil</w:t>
      </w:r>
      <w:r w:rsidR="00340E16">
        <w:rPr>
          <w:lang w:val="en-GB"/>
        </w:rPr>
        <w:t xml:space="preserve"> (</w:t>
      </w:r>
      <w:proofErr w:type="spellStart"/>
      <w:r w:rsidR="00340E16">
        <w:rPr>
          <w:lang w:val="en-GB"/>
        </w:rPr>
        <w:t>Brachi</w:t>
      </w:r>
      <w:proofErr w:type="spellEnd"/>
      <w:r w:rsidR="00340E16">
        <w:rPr>
          <w:lang w:val="en-GB"/>
        </w:rPr>
        <w:t xml:space="preserve"> et al., </w:t>
      </w:r>
      <w:r w:rsidR="00072D8C">
        <w:rPr>
          <w:lang w:val="en-GB"/>
        </w:rPr>
        <w:t>2022)</w:t>
      </w:r>
      <w:r w:rsidR="002B7ED7" w:rsidRPr="002B7ED7">
        <w:rPr>
          <w:lang w:val="en-GB"/>
        </w:rPr>
        <w:t>, including pyrolytic sugars and</w:t>
      </w:r>
      <w:r w:rsidR="002B7ED7">
        <w:rPr>
          <w:lang w:val="en-GB"/>
        </w:rPr>
        <w:t xml:space="preserve"> </w:t>
      </w:r>
      <w:r w:rsidR="002B7ED7" w:rsidRPr="002B7ED7">
        <w:rPr>
          <w:lang w:val="en-GB"/>
        </w:rPr>
        <w:t>oligosaccharides, furans, alkylphenols, acids, ketones, and</w:t>
      </w:r>
      <w:r w:rsidR="002B7ED7">
        <w:rPr>
          <w:lang w:val="en-GB"/>
        </w:rPr>
        <w:t xml:space="preserve"> </w:t>
      </w:r>
      <w:r w:rsidR="002B7ED7" w:rsidRPr="002B7ED7">
        <w:rPr>
          <w:lang w:val="en-GB"/>
        </w:rPr>
        <w:t>aldehydes, together with substantial amounts of water. The</w:t>
      </w:r>
      <w:r w:rsidR="002B7ED7">
        <w:rPr>
          <w:lang w:val="en-GB"/>
        </w:rPr>
        <w:t xml:space="preserve"> </w:t>
      </w:r>
      <w:r w:rsidR="002B7ED7" w:rsidRPr="002B7ED7">
        <w:rPr>
          <w:lang w:val="en-GB"/>
        </w:rPr>
        <w:t xml:space="preserve">complex composition and some </w:t>
      </w:r>
      <w:r w:rsidR="00D11CA1">
        <w:rPr>
          <w:lang w:val="en-GB"/>
        </w:rPr>
        <w:t>critical</w:t>
      </w:r>
      <w:r w:rsidR="002B7ED7" w:rsidRPr="002B7ED7">
        <w:rPr>
          <w:lang w:val="en-GB"/>
        </w:rPr>
        <w:t xml:space="preserve"> properties (high</w:t>
      </w:r>
      <w:r w:rsidR="002B7ED7">
        <w:rPr>
          <w:lang w:val="en-GB"/>
        </w:rPr>
        <w:t xml:space="preserve"> </w:t>
      </w:r>
      <w:r w:rsidR="002B7ED7" w:rsidRPr="002B7ED7">
        <w:rPr>
          <w:lang w:val="en-GB"/>
        </w:rPr>
        <w:t>viscosity, acidic pH, low heating value, and limited stability) of</w:t>
      </w:r>
      <w:r w:rsidR="002B7ED7">
        <w:rPr>
          <w:lang w:val="en-GB"/>
        </w:rPr>
        <w:t xml:space="preserve"> </w:t>
      </w:r>
      <w:r w:rsidR="002B7ED7" w:rsidRPr="002B7ED7">
        <w:rPr>
          <w:lang w:val="en-GB"/>
        </w:rPr>
        <w:t xml:space="preserve">bio-oils may </w:t>
      </w:r>
      <w:r w:rsidR="00612D7D">
        <w:rPr>
          <w:lang w:val="en-GB"/>
        </w:rPr>
        <w:t>compromise</w:t>
      </w:r>
      <w:r w:rsidR="002B7ED7" w:rsidRPr="002B7ED7">
        <w:rPr>
          <w:lang w:val="en-GB"/>
        </w:rPr>
        <w:t xml:space="preserve"> their further processing and use</w:t>
      </w:r>
      <w:r w:rsidR="00526320">
        <w:rPr>
          <w:lang w:val="en-GB"/>
        </w:rPr>
        <w:t xml:space="preserve"> (Czernik and Bridgwater, 2004)</w:t>
      </w:r>
      <w:r w:rsidR="002B7ED7" w:rsidRPr="002B7ED7">
        <w:rPr>
          <w:lang w:val="en-GB"/>
        </w:rPr>
        <w:t>.</w:t>
      </w:r>
      <w:r w:rsidR="00102E85">
        <w:rPr>
          <w:lang w:val="en-GB"/>
        </w:rPr>
        <w:t xml:space="preserve"> </w:t>
      </w:r>
      <w:r w:rsidR="00F407CC" w:rsidRPr="008B5836">
        <w:rPr>
          <w:rFonts w:eastAsia="MS PGothic"/>
          <w:color w:val="000000"/>
          <w:lang w:val="en-GB"/>
        </w:rPr>
        <w:t xml:space="preserve">A specific concern regards the course of secondary reactions between </w:t>
      </w:r>
      <w:r w:rsidR="00F407CC">
        <w:rPr>
          <w:rFonts w:eastAsia="MS PGothic"/>
          <w:color w:val="000000"/>
          <w:lang w:val="en-GB"/>
        </w:rPr>
        <w:t>volatile</w:t>
      </w:r>
      <w:r w:rsidR="00F407CC" w:rsidRPr="008B5836">
        <w:rPr>
          <w:rFonts w:eastAsia="MS PGothic"/>
          <w:color w:val="000000"/>
          <w:lang w:val="en-GB"/>
        </w:rPr>
        <w:t xml:space="preserve">s and char, whose progress, probably enhanced by prolonged residence times and uncontrolled </w:t>
      </w:r>
      <w:proofErr w:type="spellStart"/>
      <w:r w:rsidR="00F407CC" w:rsidRPr="008B5836">
        <w:rPr>
          <w:rFonts w:eastAsia="MS PGothic"/>
          <w:color w:val="000000"/>
          <w:lang w:val="en-GB"/>
        </w:rPr>
        <w:t>backmixing</w:t>
      </w:r>
      <w:proofErr w:type="spellEnd"/>
      <w:r w:rsidR="00F407CC" w:rsidRPr="008B5836">
        <w:rPr>
          <w:rFonts w:eastAsia="MS PGothic"/>
          <w:color w:val="000000"/>
          <w:lang w:val="en-GB"/>
        </w:rPr>
        <w:t>, may alter the quantity/quality of the produced bio-oil</w:t>
      </w:r>
      <w:r w:rsidR="00611DD5">
        <w:rPr>
          <w:rFonts w:eastAsia="MS PGothic"/>
          <w:color w:val="000000"/>
          <w:lang w:val="en-GB"/>
        </w:rPr>
        <w:t xml:space="preserve"> (Troiano et al., 2022)</w:t>
      </w:r>
      <w:r w:rsidR="00F407CC" w:rsidRPr="008B5836">
        <w:rPr>
          <w:rFonts w:eastAsia="MS PGothic"/>
          <w:color w:val="000000"/>
          <w:lang w:val="en-GB"/>
        </w:rPr>
        <w:t xml:space="preserve">. </w:t>
      </w:r>
      <w:r w:rsidR="00F80FAD" w:rsidRPr="00F80FAD">
        <w:rPr>
          <w:rFonts w:eastAsia="MS PGothic"/>
          <w:color w:val="000000"/>
          <w:lang w:val="en-GB"/>
        </w:rPr>
        <w:t>Zhu et al</w:t>
      </w:r>
      <w:r w:rsidR="005903B4" w:rsidRPr="00F80FAD">
        <w:rPr>
          <w:rFonts w:eastAsia="MS PGothic"/>
          <w:color w:val="000000"/>
          <w:lang w:val="en-GB"/>
        </w:rPr>
        <w:t>.</w:t>
      </w:r>
      <w:r w:rsidR="005903B4">
        <w:rPr>
          <w:rFonts w:eastAsia="MS PGothic"/>
          <w:color w:val="000000"/>
          <w:lang w:val="en-GB"/>
        </w:rPr>
        <w:t>, (2021)</w:t>
      </w:r>
      <w:r w:rsidR="00F80FAD" w:rsidRPr="00F80FAD">
        <w:rPr>
          <w:rFonts w:eastAsia="MS PGothic"/>
          <w:color w:val="000000"/>
          <w:lang w:val="en-GB"/>
        </w:rPr>
        <w:t xml:space="preserve"> report that secondary reactions </w:t>
      </w:r>
      <w:r w:rsidR="002B2861">
        <w:rPr>
          <w:rFonts w:eastAsia="MS PGothic"/>
          <w:color w:val="000000"/>
          <w:lang w:val="en-GB"/>
        </w:rPr>
        <w:t>are likely to produce</w:t>
      </w:r>
      <w:r w:rsidR="00F80FAD" w:rsidRPr="00F80FAD">
        <w:rPr>
          <w:rFonts w:eastAsia="MS PGothic"/>
          <w:color w:val="000000"/>
          <w:lang w:val="en-GB"/>
        </w:rPr>
        <w:t xml:space="preserve"> low-molecular-weight derivatives, such as</w:t>
      </w:r>
      <w:r w:rsidR="00F80FAD">
        <w:rPr>
          <w:rFonts w:eastAsia="MS PGothic"/>
          <w:color w:val="000000"/>
          <w:lang w:val="en-GB"/>
        </w:rPr>
        <w:t xml:space="preserve"> </w:t>
      </w:r>
      <w:r w:rsidR="00F80FAD" w:rsidRPr="00F80FAD">
        <w:rPr>
          <w:rFonts w:eastAsia="MS PGothic"/>
          <w:color w:val="000000"/>
          <w:lang w:val="en-GB"/>
        </w:rPr>
        <w:t>molecular acids, as a result of volatile−char interactions</w:t>
      </w:r>
      <w:r w:rsidR="007864B3" w:rsidRPr="00F80FAD">
        <w:rPr>
          <w:rFonts w:eastAsia="MS PGothic"/>
          <w:color w:val="000000"/>
          <w:lang w:val="en-GB"/>
        </w:rPr>
        <w:t xml:space="preserve"> </w:t>
      </w:r>
      <w:r w:rsidR="007864B3">
        <w:rPr>
          <w:rFonts w:eastAsia="MS PGothic"/>
          <w:color w:val="000000"/>
          <w:lang w:val="en-GB"/>
        </w:rPr>
        <w:t>and t</w:t>
      </w:r>
      <w:r w:rsidR="00F80FAD" w:rsidRPr="00F80FAD">
        <w:rPr>
          <w:rFonts w:eastAsia="MS PGothic"/>
          <w:color w:val="000000"/>
          <w:lang w:val="en-GB"/>
        </w:rPr>
        <w:t>he</w:t>
      </w:r>
      <w:r w:rsidR="00F80FAD">
        <w:rPr>
          <w:rFonts w:eastAsia="MS PGothic"/>
          <w:color w:val="000000"/>
          <w:lang w:val="en-GB"/>
        </w:rPr>
        <w:t xml:space="preserve"> </w:t>
      </w:r>
      <w:r w:rsidR="00F80FAD" w:rsidRPr="00F80FAD">
        <w:rPr>
          <w:rFonts w:eastAsia="MS PGothic"/>
          <w:color w:val="000000"/>
          <w:lang w:val="en-GB"/>
        </w:rPr>
        <w:t>presence of potassium in the char also increas</w:t>
      </w:r>
      <w:r w:rsidR="005903B4">
        <w:rPr>
          <w:rFonts w:eastAsia="MS PGothic"/>
          <w:color w:val="000000"/>
          <w:lang w:val="en-GB"/>
        </w:rPr>
        <w:t>es</w:t>
      </w:r>
      <w:r w:rsidR="00F80FAD" w:rsidRPr="00F80FAD">
        <w:rPr>
          <w:rFonts w:eastAsia="MS PGothic"/>
          <w:color w:val="000000"/>
          <w:lang w:val="en-GB"/>
        </w:rPr>
        <w:t xml:space="preserve"> the rate of</w:t>
      </w:r>
      <w:r w:rsidR="00F80FAD">
        <w:rPr>
          <w:rFonts w:eastAsia="MS PGothic"/>
          <w:color w:val="000000"/>
          <w:lang w:val="en-GB"/>
        </w:rPr>
        <w:t xml:space="preserve"> </w:t>
      </w:r>
      <w:proofErr w:type="spellStart"/>
      <w:r w:rsidR="00F80FAD" w:rsidRPr="00F80FAD">
        <w:rPr>
          <w:rFonts w:eastAsia="MS PGothic"/>
          <w:color w:val="000000"/>
          <w:lang w:val="en-GB"/>
        </w:rPr>
        <w:t>demethoxylation</w:t>
      </w:r>
      <w:proofErr w:type="spellEnd"/>
      <w:r w:rsidR="00F80FAD" w:rsidRPr="00F80FAD">
        <w:rPr>
          <w:rFonts w:eastAsia="MS PGothic"/>
          <w:color w:val="000000"/>
          <w:lang w:val="en-GB"/>
        </w:rPr>
        <w:t xml:space="preserve"> and demethylation of </w:t>
      </w:r>
      <w:proofErr w:type="spellStart"/>
      <w:r w:rsidR="00F80FAD" w:rsidRPr="00F80FAD">
        <w:rPr>
          <w:rFonts w:eastAsia="MS PGothic"/>
          <w:color w:val="000000"/>
          <w:lang w:val="en-GB"/>
        </w:rPr>
        <w:t>guaiacyl</w:t>
      </w:r>
      <w:proofErr w:type="spellEnd"/>
      <w:r w:rsidR="00F80FAD" w:rsidRPr="00F80FAD">
        <w:rPr>
          <w:rFonts w:eastAsia="MS PGothic"/>
          <w:color w:val="000000"/>
          <w:lang w:val="en-GB"/>
        </w:rPr>
        <w:t>-containing</w:t>
      </w:r>
      <w:r w:rsidR="00F80FAD">
        <w:rPr>
          <w:rFonts w:eastAsia="MS PGothic"/>
          <w:color w:val="000000"/>
          <w:lang w:val="en-GB"/>
        </w:rPr>
        <w:t xml:space="preserve"> </w:t>
      </w:r>
      <w:r w:rsidR="00F80FAD" w:rsidRPr="00F80FAD">
        <w:rPr>
          <w:rFonts w:eastAsia="MS PGothic"/>
          <w:color w:val="000000"/>
          <w:lang w:val="en-GB"/>
        </w:rPr>
        <w:t>structures, leading to the formation of phenols and the</w:t>
      </w:r>
      <w:r w:rsidR="005E048F">
        <w:rPr>
          <w:rFonts w:eastAsia="MS PGothic"/>
          <w:color w:val="000000"/>
          <w:lang w:val="en-GB"/>
        </w:rPr>
        <w:t xml:space="preserve"> </w:t>
      </w:r>
      <w:r w:rsidR="00F80FAD" w:rsidRPr="00F80FAD">
        <w:rPr>
          <w:rFonts w:eastAsia="MS PGothic"/>
          <w:color w:val="000000"/>
          <w:lang w:val="en-GB"/>
        </w:rPr>
        <w:t>increased release of CH</w:t>
      </w:r>
      <w:r w:rsidR="00F80FAD" w:rsidRPr="00F76634">
        <w:rPr>
          <w:rFonts w:eastAsia="MS PGothic"/>
          <w:color w:val="000000"/>
          <w:vertAlign w:val="subscript"/>
          <w:lang w:val="en-GB"/>
        </w:rPr>
        <w:t>4</w:t>
      </w:r>
      <w:r w:rsidR="00F80FAD" w:rsidRPr="00F80FAD">
        <w:rPr>
          <w:rFonts w:eastAsia="MS PGothic"/>
          <w:color w:val="000000"/>
          <w:lang w:val="en-GB"/>
        </w:rPr>
        <w:t xml:space="preserve">. </w:t>
      </w:r>
      <w:r w:rsidR="00257EEC">
        <w:rPr>
          <w:rFonts w:eastAsia="MS PGothic"/>
          <w:color w:val="000000"/>
          <w:lang w:val="en-GB"/>
        </w:rPr>
        <w:t>It has been</w:t>
      </w:r>
      <w:r w:rsidR="005E048F">
        <w:rPr>
          <w:rFonts w:eastAsia="MS PGothic"/>
          <w:color w:val="000000"/>
          <w:lang w:val="en-GB"/>
        </w:rPr>
        <w:t xml:space="preserve"> </w:t>
      </w:r>
      <w:r w:rsidR="00F80FAD" w:rsidRPr="00F80FAD">
        <w:rPr>
          <w:rFonts w:eastAsia="MS PGothic"/>
          <w:color w:val="000000"/>
          <w:lang w:val="en-GB"/>
        </w:rPr>
        <w:t xml:space="preserve">demonstrated </w:t>
      </w:r>
      <w:r w:rsidR="00F3246E">
        <w:rPr>
          <w:rFonts w:eastAsia="MS PGothic"/>
          <w:color w:val="000000"/>
          <w:lang w:val="en-GB"/>
        </w:rPr>
        <w:t xml:space="preserve">that </w:t>
      </w:r>
      <w:r w:rsidR="006D3135">
        <w:rPr>
          <w:rFonts w:eastAsia="MS PGothic"/>
          <w:color w:val="000000"/>
          <w:lang w:val="en-GB"/>
        </w:rPr>
        <w:t>alkali and alkal</w:t>
      </w:r>
      <w:r w:rsidR="008E4625">
        <w:rPr>
          <w:rFonts w:eastAsia="MS PGothic"/>
          <w:color w:val="000000"/>
          <w:lang w:val="en-GB"/>
        </w:rPr>
        <w:t>i</w:t>
      </w:r>
      <w:r w:rsidR="006D3135">
        <w:rPr>
          <w:rFonts w:eastAsia="MS PGothic"/>
          <w:color w:val="000000"/>
          <w:lang w:val="en-GB"/>
        </w:rPr>
        <w:t>ne</w:t>
      </w:r>
      <w:r w:rsidR="00257EEC">
        <w:rPr>
          <w:rFonts w:eastAsia="MS PGothic"/>
          <w:color w:val="000000"/>
          <w:lang w:val="en-GB"/>
        </w:rPr>
        <w:t xml:space="preserve"> earth metals</w:t>
      </w:r>
      <w:r w:rsidR="00F80FAD" w:rsidRPr="00F80FAD">
        <w:rPr>
          <w:rFonts w:eastAsia="MS PGothic"/>
          <w:color w:val="000000"/>
          <w:lang w:val="en-GB"/>
        </w:rPr>
        <w:t xml:space="preserve"> </w:t>
      </w:r>
      <w:proofErr w:type="spellStart"/>
      <w:r w:rsidR="00F80FAD" w:rsidRPr="00F80FAD">
        <w:rPr>
          <w:rFonts w:eastAsia="MS PGothic"/>
          <w:color w:val="000000"/>
          <w:lang w:val="en-GB"/>
        </w:rPr>
        <w:t>catalyz</w:t>
      </w:r>
      <w:r w:rsidR="00F3246E">
        <w:rPr>
          <w:rFonts w:eastAsia="MS PGothic"/>
          <w:color w:val="000000"/>
          <w:lang w:val="en-GB"/>
        </w:rPr>
        <w:t>e</w:t>
      </w:r>
      <w:proofErr w:type="spellEnd"/>
      <w:r w:rsidR="00F80FAD" w:rsidRPr="00F80FAD">
        <w:rPr>
          <w:rFonts w:eastAsia="MS PGothic"/>
          <w:color w:val="000000"/>
          <w:lang w:val="en-GB"/>
        </w:rPr>
        <w:t xml:space="preserve"> pyranose </w:t>
      </w:r>
      <w:r w:rsidR="00F80FAD" w:rsidRPr="00F80FAD">
        <w:rPr>
          <w:rFonts w:eastAsia="MS PGothic"/>
          <w:color w:val="000000"/>
          <w:lang w:val="en-GB"/>
        </w:rPr>
        <w:lastRenderedPageBreak/>
        <w:t>ring</w:t>
      </w:r>
      <w:r w:rsidR="005E048F">
        <w:rPr>
          <w:rFonts w:eastAsia="MS PGothic"/>
          <w:color w:val="000000"/>
          <w:lang w:val="en-GB"/>
        </w:rPr>
        <w:t xml:space="preserve"> </w:t>
      </w:r>
      <w:r w:rsidR="00F80FAD" w:rsidRPr="00F80FAD">
        <w:rPr>
          <w:rFonts w:eastAsia="MS PGothic"/>
          <w:color w:val="000000"/>
          <w:lang w:val="en-GB"/>
        </w:rPr>
        <w:t>fragmentation in cellulose and hemicellulose that effectively</w:t>
      </w:r>
      <w:r w:rsidR="005E048F">
        <w:rPr>
          <w:rFonts w:eastAsia="MS PGothic"/>
          <w:color w:val="000000"/>
          <w:lang w:val="en-GB"/>
        </w:rPr>
        <w:t xml:space="preserve"> </w:t>
      </w:r>
      <w:r w:rsidR="00F80FAD" w:rsidRPr="00F80FAD">
        <w:rPr>
          <w:rFonts w:eastAsia="MS PGothic"/>
          <w:color w:val="000000"/>
          <w:lang w:val="en-GB"/>
        </w:rPr>
        <w:t>hampered the production of sugars from biomass pyrolysis</w:t>
      </w:r>
      <w:r w:rsidR="00F3246E">
        <w:rPr>
          <w:rFonts w:eastAsia="MS PGothic"/>
          <w:color w:val="000000"/>
          <w:lang w:val="en-GB"/>
        </w:rPr>
        <w:t xml:space="preserve"> (</w:t>
      </w:r>
      <w:r w:rsidR="00CC2C9B">
        <w:rPr>
          <w:rFonts w:eastAsia="MS PGothic"/>
          <w:color w:val="000000"/>
          <w:lang w:val="en-GB"/>
        </w:rPr>
        <w:t>Plouffe et al., 2022)</w:t>
      </w:r>
      <w:r w:rsidR="00F80FAD" w:rsidRPr="00F80FAD">
        <w:rPr>
          <w:rFonts w:eastAsia="MS PGothic"/>
          <w:color w:val="000000"/>
          <w:lang w:val="en-GB"/>
        </w:rPr>
        <w:t>.</w:t>
      </w:r>
      <w:r w:rsidR="005E048F">
        <w:rPr>
          <w:rFonts w:eastAsia="MS PGothic"/>
          <w:color w:val="000000"/>
          <w:lang w:val="en-GB"/>
        </w:rPr>
        <w:t xml:space="preserve"> </w:t>
      </w:r>
      <w:r w:rsidR="00F80FAD" w:rsidRPr="00F80FAD">
        <w:rPr>
          <w:rFonts w:eastAsia="MS PGothic"/>
          <w:color w:val="000000"/>
          <w:lang w:val="en-GB"/>
        </w:rPr>
        <w:t>The catalytic nature of nascent chars for the pyrolysis</w:t>
      </w:r>
      <w:r w:rsidR="005E048F">
        <w:rPr>
          <w:rFonts w:eastAsia="MS PGothic"/>
          <w:color w:val="000000"/>
          <w:lang w:val="en-GB"/>
        </w:rPr>
        <w:t xml:space="preserve"> </w:t>
      </w:r>
      <w:r w:rsidR="00F80FAD" w:rsidRPr="00F80FAD">
        <w:rPr>
          <w:rFonts w:eastAsia="MS PGothic"/>
          <w:color w:val="000000"/>
          <w:lang w:val="en-GB"/>
        </w:rPr>
        <w:t>heterogeneous secondary reaction is still poorly understood,</w:t>
      </w:r>
      <w:r w:rsidR="005E048F">
        <w:rPr>
          <w:rFonts w:eastAsia="MS PGothic"/>
          <w:color w:val="000000"/>
          <w:lang w:val="en-GB"/>
        </w:rPr>
        <w:t xml:space="preserve"> </w:t>
      </w:r>
      <w:r w:rsidR="00F80FAD" w:rsidRPr="00F80FAD">
        <w:rPr>
          <w:rFonts w:eastAsia="MS PGothic"/>
          <w:color w:val="000000"/>
          <w:lang w:val="en-GB"/>
        </w:rPr>
        <w:t>although it is believed that it may play a major role in the</w:t>
      </w:r>
      <w:r w:rsidR="005E048F">
        <w:rPr>
          <w:rFonts w:eastAsia="MS PGothic"/>
          <w:color w:val="000000"/>
          <w:lang w:val="en-GB"/>
        </w:rPr>
        <w:t xml:space="preserve"> </w:t>
      </w:r>
      <w:r w:rsidR="00F80FAD" w:rsidRPr="00F80FAD">
        <w:rPr>
          <w:rFonts w:eastAsia="MS PGothic"/>
          <w:color w:val="000000"/>
          <w:lang w:val="en-GB"/>
        </w:rPr>
        <w:t>reforming of volatiles to form condensable tars, along reaction</w:t>
      </w:r>
      <w:r w:rsidR="005E048F">
        <w:rPr>
          <w:rFonts w:eastAsia="MS PGothic"/>
          <w:color w:val="000000"/>
          <w:lang w:val="en-GB"/>
        </w:rPr>
        <w:t xml:space="preserve"> </w:t>
      </w:r>
      <w:r w:rsidR="00F80FAD" w:rsidRPr="00F80FAD">
        <w:rPr>
          <w:rFonts w:eastAsia="MS PGothic"/>
          <w:color w:val="000000"/>
          <w:lang w:val="en-GB"/>
        </w:rPr>
        <w:t>pathways that involve oxygen-containing functional groups and</w:t>
      </w:r>
      <w:r w:rsidR="005E048F">
        <w:rPr>
          <w:rFonts w:eastAsia="MS PGothic"/>
          <w:color w:val="000000"/>
          <w:lang w:val="en-GB"/>
        </w:rPr>
        <w:t xml:space="preserve"> </w:t>
      </w:r>
      <w:r w:rsidR="00F80FAD" w:rsidRPr="00F80FAD">
        <w:rPr>
          <w:rFonts w:eastAsia="MS PGothic"/>
          <w:color w:val="000000"/>
          <w:lang w:val="en-GB"/>
        </w:rPr>
        <w:t>the interaction between nascent char and the radicals</w:t>
      </w:r>
      <w:r w:rsidR="005E048F">
        <w:rPr>
          <w:rFonts w:eastAsia="MS PGothic"/>
          <w:color w:val="000000"/>
          <w:lang w:val="en-GB"/>
        </w:rPr>
        <w:t xml:space="preserve"> </w:t>
      </w:r>
      <w:r w:rsidR="00F80FAD" w:rsidRPr="00F80FAD">
        <w:rPr>
          <w:rFonts w:eastAsia="MS PGothic"/>
          <w:color w:val="000000"/>
          <w:lang w:val="en-GB"/>
        </w:rPr>
        <w:t>generated during biomass pyrolysis</w:t>
      </w:r>
      <w:r w:rsidR="00AD1638">
        <w:rPr>
          <w:rFonts w:eastAsia="MS PGothic"/>
          <w:color w:val="000000"/>
          <w:lang w:val="en-GB"/>
        </w:rPr>
        <w:t xml:space="preserve"> (Huang et al., 2020)</w:t>
      </w:r>
      <w:r w:rsidR="00F80FAD" w:rsidRPr="00F80FAD">
        <w:rPr>
          <w:rFonts w:eastAsia="MS PGothic"/>
          <w:color w:val="000000"/>
          <w:lang w:val="en-GB"/>
        </w:rPr>
        <w:t>.</w:t>
      </w:r>
      <w:r w:rsidR="00D76E92">
        <w:rPr>
          <w:rFonts w:eastAsia="MS PGothic"/>
          <w:color w:val="000000"/>
          <w:lang w:val="en-GB"/>
        </w:rPr>
        <w:t xml:space="preserve"> </w:t>
      </w:r>
      <w:r w:rsidR="00102E85">
        <w:rPr>
          <w:rFonts w:eastAsia="MS PGothic"/>
          <w:color w:val="000000"/>
          <w:lang w:val="en-GB"/>
        </w:rPr>
        <w:t xml:space="preserve">In the present study the </w:t>
      </w:r>
      <w:r w:rsidR="004B021D">
        <w:rPr>
          <w:rFonts w:eastAsia="MS PGothic"/>
          <w:color w:val="000000"/>
          <w:lang w:val="en-GB"/>
        </w:rPr>
        <w:t>effect</w:t>
      </w:r>
      <w:r w:rsidR="00102E85">
        <w:rPr>
          <w:rFonts w:eastAsia="MS PGothic"/>
          <w:color w:val="000000"/>
          <w:lang w:val="en-GB"/>
        </w:rPr>
        <w:t xml:space="preserve"> of char holdup during biomass fast pyrolysis is experimentally investigated.</w:t>
      </w:r>
      <w:r w:rsidR="00290991">
        <w:rPr>
          <w:rFonts w:eastAsia="MS PGothic"/>
          <w:color w:val="000000"/>
          <w:lang w:val="en-GB"/>
        </w:rPr>
        <w:t xml:space="preserve"> </w:t>
      </w:r>
      <w:r w:rsidR="00843FBE">
        <w:rPr>
          <w:rFonts w:eastAsia="MS PGothic"/>
          <w:color w:val="000000"/>
          <w:lang w:val="en-GB"/>
        </w:rPr>
        <w:t>Giant reed Arundo donax is used during steady state experiments</w:t>
      </w:r>
      <w:r w:rsidR="0081439D">
        <w:rPr>
          <w:rFonts w:eastAsia="MS PGothic"/>
          <w:color w:val="000000"/>
          <w:lang w:val="en-GB"/>
        </w:rPr>
        <w:t xml:space="preserve"> carried out at fixed solids residence time</w:t>
      </w:r>
      <w:r w:rsidR="00500175">
        <w:rPr>
          <w:rFonts w:eastAsia="MS PGothic"/>
          <w:color w:val="000000"/>
          <w:lang w:val="en-GB"/>
        </w:rPr>
        <w:t xml:space="preserve">, while varying the organic carbon inventory in </w:t>
      </w:r>
      <w:r w:rsidR="00500175" w:rsidRPr="00D62B16">
        <w:rPr>
          <w:rFonts w:eastAsia="MS PGothic"/>
          <w:color w:val="000000"/>
          <w:lang w:val="en-GB"/>
        </w:rPr>
        <w:t>the bed</w:t>
      </w:r>
      <w:r w:rsidR="006624F3" w:rsidRPr="00D62B16">
        <w:rPr>
          <w:rFonts w:eastAsia="MS PGothic"/>
          <w:color w:val="000000"/>
          <w:lang w:val="en-GB"/>
        </w:rPr>
        <w:t xml:space="preserve">, </w:t>
      </w:r>
      <w:r w:rsidR="00DB47C9" w:rsidRPr="00D62B16">
        <w:rPr>
          <w:rFonts w:eastAsia="MS PGothic"/>
          <w:color w:val="000000"/>
          <w:lang w:val="en-GB"/>
        </w:rPr>
        <w:t>which is the result of</w:t>
      </w:r>
      <w:r w:rsidR="00806301" w:rsidRPr="00D62B16">
        <w:rPr>
          <w:rFonts w:eastAsia="MS PGothic"/>
          <w:color w:val="000000"/>
          <w:lang w:val="en-GB"/>
        </w:rPr>
        <w:t xml:space="preserve"> </w:t>
      </w:r>
      <w:r w:rsidR="00353909" w:rsidRPr="00D62B16">
        <w:rPr>
          <w:rFonts w:eastAsia="MS PGothic"/>
          <w:color w:val="000000"/>
          <w:lang w:val="en-GB"/>
        </w:rPr>
        <w:t>biomass devolatilization and char formation</w:t>
      </w:r>
      <w:r w:rsidR="005D2EAA" w:rsidRPr="00D62B16">
        <w:rPr>
          <w:rFonts w:eastAsia="MS PGothic"/>
          <w:color w:val="000000"/>
          <w:lang w:val="en-GB"/>
        </w:rPr>
        <w:t>/accumulation</w:t>
      </w:r>
      <w:r w:rsidR="00500175" w:rsidRPr="00D62B16">
        <w:rPr>
          <w:rFonts w:eastAsia="MS PGothic"/>
          <w:color w:val="000000"/>
          <w:lang w:val="en-GB"/>
        </w:rPr>
        <w:t>. The effect of carbon loading</w:t>
      </w:r>
      <w:r w:rsidR="00500175">
        <w:rPr>
          <w:rFonts w:eastAsia="MS PGothic"/>
          <w:color w:val="000000"/>
          <w:lang w:val="en-GB"/>
        </w:rPr>
        <w:t xml:space="preserve"> is investigated </w:t>
      </w:r>
      <w:r w:rsidR="004D7A01">
        <w:rPr>
          <w:rFonts w:eastAsia="MS PGothic"/>
          <w:color w:val="000000"/>
          <w:lang w:val="en-GB"/>
        </w:rPr>
        <w:t>on the product yields and on the composition of oil and gas.</w:t>
      </w:r>
    </w:p>
    <w:p w14:paraId="5741900F" w14:textId="252DE26B" w:rsidR="00453E24" w:rsidRDefault="007A7809" w:rsidP="00453E24">
      <w:pPr>
        <w:pStyle w:val="CETHeading1"/>
      </w:pPr>
      <w:r>
        <w:t>Experimental</w:t>
      </w:r>
    </w:p>
    <w:p w14:paraId="09406386" w14:textId="1E8ABD27" w:rsidR="00453E24" w:rsidRDefault="00C85E3B" w:rsidP="00523CDC">
      <w:pPr>
        <w:pStyle w:val="CETBodytext"/>
      </w:pPr>
      <w:r>
        <w:t xml:space="preserve">Steady state pyrolysis tests have been </w:t>
      </w:r>
      <w:r w:rsidR="00921634">
        <w:t>carried out to evaluate the effect of char loading at fixed solids residence time</w:t>
      </w:r>
      <w:r w:rsidR="00E23B50">
        <w:t>.</w:t>
      </w:r>
    </w:p>
    <w:p w14:paraId="0636B784" w14:textId="3D983911" w:rsidR="00453E24" w:rsidRDefault="00396AE9" w:rsidP="00453E24">
      <w:pPr>
        <w:pStyle w:val="CETheadingx"/>
      </w:pPr>
      <w:r>
        <w:t>Apparatus</w:t>
      </w:r>
    </w:p>
    <w:p w14:paraId="7C2B0064" w14:textId="74754CF2" w:rsidR="00453E24" w:rsidRPr="0072719F" w:rsidRDefault="00EB41CE" w:rsidP="00453E24">
      <w:pPr>
        <w:pStyle w:val="CETBodytext"/>
        <w:rPr>
          <w:lang w:val="en-GB"/>
        </w:rPr>
      </w:pPr>
      <w:r>
        <w:t xml:space="preserve">A stainless steel bubbling fluidized bed reactor 40 mm ID and 1 m high was used for </w:t>
      </w:r>
      <w:r w:rsidR="00104A68">
        <w:t>the</w:t>
      </w:r>
      <w:r>
        <w:t xml:space="preserve"> pyrolysis experiments (Figure 1) in continuous </w:t>
      </w:r>
      <w:r w:rsidR="00CA6A0B">
        <w:t xml:space="preserve">biomass feeding </w:t>
      </w:r>
      <w:r>
        <w:t>mode.</w:t>
      </w:r>
      <w:r w:rsidRPr="007975C9">
        <w:t xml:space="preserve"> The </w:t>
      </w:r>
      <w:proofErr w:type="spellStart"/>
      <w:r w:rsidRPr="007975C9">
        <w:t>windbox</w:t>
      </w:r>
      <w:proofErr w:type="spellEnd"/>
      <w:r w:rsidRPr="007975C9">
        <w:t xml:space="preserve"> is a 225 mm high stainless steel column filled with ceramic rings aimed at gas flow equalization. High temperature operation is carried out using two semi-cylindrical 2.4 kW ceramic ovens with thermal insulation. </w:t>
      </w:r>
      <w:r w:rsidR="00A55683">
        <w:t xml:space="preserve">Fluidization column </w:t>
      </w:r>
      <w:r w:rsidRPr="007975C9">
        <w:t xml:space="preserve">temperature </w:t>
      </w:r>
      <w:r w:rsidR="00A55683">
        <w:t xml:space="preserve">is </w:t>
      </w:r>
      <w:r w:rsidRPr="007975C9">
        <w:t xml:space="preserve">controlled by </w:t>
      </w:r>
      <w:r>
        <w:t>two</w:t>
      </w:r>
      <w:r w:rsidRPr="007975C9">
        <w:t xml:space="preserve"> PID control unit</w:t>
      </w:r>
      <w:r>
        <w:t>s in bed and freeboard section</w:t>
      </w:r>
      <w:r w:rsidR="00A55683">
        <w:t>s</w:t>
      </w:r>
      <w:r w:rsidRPr="007975C9">
        <w:t>, while gas flow rate is regulated by high-precision digital mass flowmeters/controllers.</w:t>
      </w:r>
      <w:r>
        <w:t xml:space="preserve"> Inert bed solids are fed from the top of the reactor, while biomass is continuously fed in</w:t>
      </w:r>
      <w:r w:rsidR="00A55683">
        <w:t xml:space="preserve">side the bed </w:t>
      </w:r>
      <w:r>
        <w:t xml:space="preserve">by </w:t>
      </w:r>
      <w:r w:rsidR="00A55683">
        <w:t>a system consisting in</w:t>
      </w:r>
      <w:r w:rsidR="00342B31">
        <w:t xml:space="preserve"> an</w:t>
      </w:r>
      <w:r w:rsidR="00A55683">
        <w:t xml:space="preserve"> </w:t>
      </w:r>
      <w:r>
        <w:t xml:space="preserve">electric motor </w:t>
      </w:r>
      <w:r w:rsidR="00A55683">
        <w:t xml:space="preserve">coupled with a </w:t>
      </w:r>
      <w:r>
        <w:t>screw</w:t>
      </w:r>
      <w:r w:rsidR="0004556E">
        <w:t xml:space="preserve"> conveyer</w:t>
      </w:r>
      <w:r w:rsidR="00342B31">
        <w:t>,</w:t>
      </w:r>
      <w:r w:rsidR="00A55683">
        <w:t xml:space="preserve"> and a pneumatic transport device</w:t>
      </w:r>
      <w:r>
        <w:t xml:space="preserve">. The reactor is also equipped with a system for the fast discharge of solids from the bed, composed by a pneumatically activated piston which enables the passage of solids through a vertical tube connected to a nitrogen-flushed pot for collection and cooling of discharged solids. The aperture </w:t>
      </w:r>
      <w:r w:rsidR="0065773F">
        <w:t xml:space="preserve">time </w:t>
      </w:r>
      <w:r>
        <w:t xml:space="preserve">of the piston </w:t>
      </w:r>
      <w:r w:rsidR="0065773F">
        <w:t>allows to</w:t>
      </w:r>
      <w:r w:rsidR="004A1AED">
        <w:t xml:space="preserve"> regulate</w:t>
      </w:r>
      <w:r>
        <w:t xml:space="preserve"> the amount of the discharged solids. Gas, vapors and entrained solids from the reactor are conveyed to a cyclone for solids separation and to a first </w:t>
      </w:r>
      <w:r w:rsidR="00DF3444">
        <w:t xml:space="preserve">condensation </w:t>
      </w:r>
      <w:r>
        <w:t xml:space="preserve">flask at ambient </w:t>
      </w:r>
      <w:r w:rsidR="00342B31">
        <w:t>temperature</w:t>
      </w:r>
      <w:r>
        <w:t xml:space="preserve">, then they are condensed by </w:t>
      </w:r>
      <w:r w:rsidR="00342B31">
        <w:t>t</w:t>
      </w:r>
      <w:r>
        <w:t xml:space="preserve">hree refrigerated flasks with an eutectic solution of water, ice and NaCl. </w:t>
      </w:r>
      <w:r w:rsidR="007D1B8E">
        <w:t xml:space="preserve">The </w:t>
      </w:r>
      <w:r w:rsidR="00B95473">
        <w:t xml:space="preserve">stream </w:t>
      </w:r>
      <w:r w:rsidR="00342B31">
        <w:t xml:space="preserve">at the outlet of </w:t>
      </w:r>
      <w:r w:rsidR="00B95473">
        <w:t>the condensation flasks train is split into three streams: a</w:t>
      </w:r>
      <w:r>
        <w:t xml:space="preserve"> </w:t>
      </w:r>
      <w:r w:rsidR="00B95473">
        <w:t>stream is</w:t>
      </w:r>
      <w:r>
        <w:t xml:space="preserve"> </w:t>
      </w:r>
      <w:r w:rsidR="0073229C">
        <w:t xml:space="preserve">sent </w:t>
      </w:r>
      <w:r w:rsidR="00884A2F">
        <w:t xml:space="preserve">to </w:t>
      </w:r>
      <w:r>
        <w:t xml:space="preserve">a gas </w:t>
      </w:r>
      <w:r w:rsidR="00884A2F">
        <w:t xml:space="preserve">sampling </w:t>
      </w:r>
      <w:r>
        <w:t>bag</w:t>
      </w:r>
      <w:r w:rsidR="00884A2F">
        <w:t xml:space="preserve"> for the </w:t>
      </w:r>
      <w:r w:rsidR="005D5CB2">
        <w:t xml:space="preserve">off line </w:t>
      </w:r>
      <w:r w:rsidR="00884A2F" w:rsidRPr="00884A2F">
        <w:rPr>
          <w:lang w:val="en-GB"/>
        </w:rPr>
        <w:t>measur</w:t>
      </w:r>
      <w:r w:rsidR="00884A2F">
        <w:rPr>
          <w:lang w:val="en-GB"/>
        </w:rPr>
        <w:t>ement</w:t>
      </w:r>
      <w:r w:rsidR="00884A2F" w:rsidRPr="00884A2F">
        <w:rPr>
          <w:lang w:val="en-GB"/>
        </w:rPr>
        <w:t xml:space="preserve"> </w:t>
      </w:r>
      <w:r w:rsidR="00884A2F">
        <w:rPr>
          <w:lang w:val="en-GB"/>
        </w:rPr>
        <w:t xml:space="preserve">of </w:t>
      </w:r>
      <w:r w:rsidR="00884A2F" w:rsidRPr="00884A2F">
        <w:rPr>
          <w:lang w:val="en-GB"/>
        </w:rPr>
        <w:t>the concentration of light hydrocarbons (C</w:t>
      </w:r>
      <w:r w:rsidR="00884A2F" w:rsidRPr="00A761A9">
        <w:rPr>
          <w:vertAlign w:val="subscript"/>
          <w:lang w:val="en-GB"/>
        </w:rPr>
        <w:t>1</w:t>
      </w:r>
      <w:r w:rsidR="00884A2F" w:rsidRPr="00884A2F">
        <w:rPr>
          <w:lang w:val="en-GB"/>
        </w:rPr>
        <w:t>–C</w:t>
      </w:r>
      <w:r w:rsidR="00884A2F" w:rsidRPr="00A761A9">
        <w:rPr>
          <w:vertAlign w:val="subscript"/>
          <w:lang w:val="en-GB"/>
        </w:rPr>
        <w:t>6</w:t>
      </w:r>
      <w:r w:rsidR="00884A2F" w:rsidRPr="00884A2F">
        <w:rPr>
          <w:lang w:val="en-GB"/>
        </w:rPr>
        <w:t>), CO, CO</w:t>
      </w:r>
      <w:r w:rsidR="00884A2F" w:rsidRPr="00A761A9">
        <w:rPr>
          <w:vertAlign w:val="subscript"/>
          <w:lang w:val="en-GB"/>
        </w:rPr>
        <w:t>2</w:t>
      </w:r>
      <w:r w:rsidR="00884A2F" w:rsidRPr="00884A2F">
        <w:rPr>
          <w:lang w:val="en-GB"/>
        </w:rPr>
        <w:t>, CH</w:t>
      </w:r>
      <w:r w:rsidR="00884A2F" w:rsidRPr="00A761A9">
        <w:rPr>
          <w:vertAlign w:val="subscript"/>
          <w:lang w:val="en-GB"/>
        </w:rPr>
        <w:t>4</w:t>
      </w:r>
      <w:r w:rsidR="00884A2F" w:rsidRPr="00884A2F">
        <w:rPr>
          <w:lang w:val="en-GB"/>
        </w:rPr>
        <w:t>, and H</w:t>
      </w:r>
      <w:r w:rsidR="00884A2F" w:rsidRPr="00A761A9">
        <w:rPr>
          <w:vertAlign w:val="subscript"/>
          <w:lang w:val="en-GB"/>
        </w:rPr>
        <w:t>2</w:t>
      </w:r>
      <w:r w:rsidR="00884A2F">
        <w:t xml:space="preserve">; </w:t>
      </w:r>
      <w:r w:rsidR="008E501D">
        <w:t xml:space="preserve">another stream is sent </w:t>
      </w:r>
      <w:r w:rsidR="00342B31">
        <w:t xml:space="preserve">through </w:t>
      </w:r>
      <w:r w:rsidR="008E501D">
        <w:t>a</w:t>
      </w:r>
      <w:r>
        <w:t xml:space="preserve"> filter to online gas analyzer</w:t>
      </w:r>
      <w:r w:rsidR="00723B55">
        <w:t xml:space="preserve"> </w:t>
      </w:r>
      <w:r w:rsidR="00723B55" w:rsidRPr="00723B55">
        <w:rPr>
          <w:lang w:val="en-GB"/>
        </w:rPr>
        <w:t>to continuously monitor the concentration of O</w:t>
      </w:r>
      <w:r w:rsidR="00723B55" w:rsidRPr="00A761A9">
        <w:rPr>
          <w:vertAlign w:val="subscript"/>
          <w:lang w:val="en-GB"/>
        </w:rPr>
        <w:t>2</w:t>
      </w:r>
      <w:r w:rsidR="00723B55" w:rsidRPr="00723B55">
        <w:rPr>
          <w:lang w:val="en-GB"/>
        </w:rPr>
        <w:t>, CO, CO</w:t>
      </w:r>
      <w:r w:rsidR="00723B55" w:rsidRPr="00A761A9">
        <w:rPr>
          <w:vertAlign w:val="subscript"/>
          <w:lang w:val="en-GB"/>
        </w:rPr>
        <w:t>2</w:t>
      </w:r>
      <w:r w:rsidR="00723B55" w:rsidRPr="00723B55">
        <w:rPr>
          <w:lang w:val="en-GB"/>
        </w:rPr>
        <w:t>, CH</w:t>
      </w:r>
      <w:r w:rsidR="00723B55" w:rsidRPr="00A761A9">
        <w:rPr>
          <w:vertAlign w:val="subscript"/>
          <w:lang w:val="en-GB"/>
        </w:rPr>
        <w:t>4</w:t>
      </w:r>
      <w:r w:rsidR="00723B55" w:rsidRPr="00723B55">
        <w:rPr>
          <w:lang w:val="en-GB"/>
        </w:rPr>
        <w:t>, and H</w:t>
      </w:r>
      <w:r w:rsidR="00723B55" w:rsidRPr="00A761A9">
        <w:rPr>
          <w:vertAlign w:val="subscript"/>
          <w:lang w:val="en-GB"/>
        </w:rPr>
        <w:t>2</w:t>
      </w:r>
      <w:r w:rsidR="00723B55">
        <w:t>;</w:t>
      </w:r>
      <w:r>
        <w:t xml:space="preserve"> the rest is sent to the stack. During the heating up step of the reactor and during the transient </w:t>
      </w:r>
      <w:r w:rsidR="00342B31">
        <w:t>step</w:t>
      </w:r>
      <w:r>
        <w:t>s of the experiments the condensation system, the filter and the analyzer are bypassed and all the gases are directly conveyed to the stack.</w:t>
      </w:r>
      <w:r w:rsidR="0072719F">
        <w:t xml:space="preserve"> Pressure and temperature </w:t>
      </w:r>
      <w:r w:rsidR="00EF288A">
        <w:t>p</w:t>
      </w:r>
      <w:r w:rsidR="0072719F" w:rsidRPr="0072719F">
        <w:t>robes are connected to data acquisition modules and signals are acquired on LABVIEW software.</w:t>
      </w:r>
    </w:p>
    <w:p w14:paraId="332F7281" w14:textId="77777777" w:rsidR="00093381" w:rsidRDefault="00093381" w:rsidP="00453E24">
      <w:pPr>
        <w:pStyle w:val="CETBodytext"/>
      </w:pPr>
    </w:p>
    <w:p w14:paraId="78FE736D" w14:textId="77777777" w:rsidR="00093381" w:rsidRPr="00B57B36" w:rsidRDefault="00093381" w:rsidP="00093381">
      <w:pPr>
        <w:pStyle w:val="CETCaption"/>
      </w:pPr>
      <w:r w:rsidRPr="000F70F0">
        <w:rPr>
          <w:noProof/>
        </w:rPr>
        <w:drawing>
          <wp:inline distT="0" distB="0" distL="0" distR="0" wp14:anchorId="77741264" wp14:editId="0EBB6E51">
            <wp:extent cx="4654550" cy="2643776"/>
            <wp:effectExtent l="0" t="0" r="0" b="0"/>
            <wp:docPr id="106822894"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63813" cy="2649038"/>
                    </a:xfrm>
                    <a:prstGeom prst="rect">
                      <a:avLst/>
                    </a:prstGeom>
                    <a:noFill/>
                    <a:ln>
                      <a:noFill/>
                    </a:ln>
                  </pic:spPr>
                </pic:pic>
              </a:graphicData>
            </a:graphic>
          </wp:inline>
        </w:drawing>
      </w:r>
    </w:p>
    <w:p w14:paraId="549F1EF9" w14:textId="77777777" w:rsidR="00093381" w:rsidRPr="00BD077D" w:rsidRDefault="00093381" w:rsidP="00093381">
      <w:pPr>
        <w:pStyle w:val="CETCaption"/>
      </w:pPr>
      <w:r w:rsidRPr="00BD077D">
        <w:rPr>
          <w:rStyle w:val="CETCaptionCarattere"/>
          <w:i/>
        </w:rPr>
        <w:t xml:space="preserve">Figure 1: </w:t>
      </w:r>
      <w:r>
        <w:rPr>
          <w:rStyle w:val="CETCaptionCarattere"/>
          <w:i/>
        </w:rPr>
        <w:t>Scheme of the experimental apparatus</w:t>
      </w:r>
      <w:r w:rsidRPr="00BD077D">
        <w:t xml:space="preserve"> </w:t>
      </w:r>
    </w:p>
    <w:p w14:paraId="18BAFA6F" w14:textId="4FBFA480" w:rsidR="00453E24" w:rsidRPr="00B57B36" w:rsidRDefault="00A4151C" w:rsidP="00453E24">
      <w:pPr>
        <w:pStyle w:val="CETheadingx"/>
      </w:pPr>
      <w:r>
        <w:lastRenderedPageBreak/>
        <w:t>Materials</w:t>
      </w:r>
    </w:p>
    <w:p w14:paraId="582642C6" w14:textId="686EDF4C" w:rsidR="00453E24" w:rsidRDefault="00247B21" w:rsidP="00453E24">
      <w:pPr>
        <w:pStyle w:val="CETBodytext"/>
        <w:rPr>
          <w:lang w:val="en-GB"/>
        </w:rPr>
      </w:pPr>
      <w:r>
        <w:rPr>
          <w:lang w:val="en-GB"/>
        </w:rPr>
        <w:t xml:space="preserve">Silica sand, double sieved in the </w:t>
      </w:r>
      <w:r w:rsidR="0073336D">
        <w:rPr>
          <w:lang w:val="en-GB"/>
        </w:rPr>
        <w:t xml:space="preserve">size </w:t>
      </w:r>
      <w:r>
        <w:rPr>
          <w:lang w:val="en-GB"/>
        </w:rPr>
        <w:t>range</w:t>
      </w:r>
      <w:r w:rsidR="0073336D">
        <w:rPr>
          <w:lang w:val="en-GB"/>
        </w:rPr>
        <w:t xml:space="preserve"> of 0.212-0.3</w:t>
      </w:r>
      <w:r w:rsidR="00D50F46">
        <w:rPr>
          <w:lang w:val="en-GB"/>
        </w:rPr>
        <w:t>00</w:t>
      </w:r>
      <w:r w:rsidR="0073336D">
        <w:rPr>
          <w:lang w:val="en-GB"/>
        </w:rPr>
        <w:t xml:space="preserve"> mm </w:t>
      </w:r>
      <w:r w:rsidR="0043290F">
        <w:rPr>
          <w:lang w:val="en-GB"/>
        </w:rPr>
        <w:t>has</w:t>
      </w:r>
      <w:r w:rsidR="0073336D">
        <w:rPr>
          <w:lang w:val="en-GB"/>
        </w:rPr>
        <w:t xml:space="preserve"> used</w:t>
      </w:r>
      <w:r w:rsidR="00651AAD">
        <w:rPr>
          <w:lang w:val="en-GB"/>
        </w:rPr>
        <w:t xml:space="preserve"> as bed material.</w:t>
      </w:r>
      <w:r w:rsidR="00A3266D">
        <w:rPr>
          <w:lang w:val="en-GB"/>
        </w:rPr>
        <w:t xml:space="preserve"> </w:t>
      </w:r>
      <w:r w:rsidR="004C25A2">
        <w:rPr>
          <w:lang w:val="en-GB"/>
        </w:rPr>
        <w:t xml:space="preserve">Giant reed </w:t>
      </w:r>
      <w:r w:rsidR="0043290F">
        <w:rPr>
          <w:lang w:val="en-GB"/>
        </w:rPr>
        <w:t xml:space="preserve">herbaceous biomass </w:t>
      </w:r>
      <w:r w:rsidR="001D155F">
        <w:rPr>
          <w:lang w:val="en-GB"/>
        </w:rPr>
        <w:t xml:space="preserve">was used </w:t>
      </w:r>
      <w:r w:rsidR="00E477DF">
        <w:rPr>
          <w:lang w:val="en-GB"/>
        </w:rPr>
        <w:t xml:space="preserve">in the size range of 0.6-1 mm. </w:t>
      </w:r>
      <w:r w:rsidR="007F374F">
        <w:rPr>
          <w:lang w:val="en-GB"/>
        </w:rPr>
        <w:t xml:space="preserve">The size range of both the inert bed solids and biomass particles </w:t>
      </w:r>
      <w:r w:rsidR="00497816">
        <w:rPr>
          <w:lang w:val="en-GB"/>
        </w:rPr>
        <w:t>has been chose</w:t>
      </w:r>
      <w:r w:rsidR="00EC5199">
        <w:rPr>
          <w:lang w:val="en-GB"/>
        </w:rPr>
        <w:t>n</w:t>
      </w:r>
      <w:r w:rsidR="00497816">
        <w:rPr>
          <w:lang w:val="en-GB"/>
        </w:rPr>
        <w:t xml:space="preserve"> to allow separation of biomass/char particles from the inert bed solids but also to ensure good mixing in the </w:t>
      </w:r>
      <w:r w:rsidR="00EE7875">
        <w:rPr>
          <w:lang w:val="en-GB"/>
        </w:rPr>
        <w:t xml:space="preserve">fluidized bed. </w:t>
      </w:r>
      <w:r w:rsidR="00675F70">
        <w:rPr>
          <w:lang w:val="en-GB"/>
        </w:rPr>
        <w:t xml:space="preserve">Biomass characterization </w:t>
      </w:r>
      <w:r w:rsidR="006F76CF">
        <w:rPr>
          <w:lang w:val="en-GB"/>
        </w:rPr>
        <w:t>in terms of ultimate, proximate</w:t>
      </w:r>
      <w:r w:rsidR="00682F33">
        <w:rPr>
          <w:lang w:val="en-GB"/>
        </w:rPr>
        <w:t xml:space="preserve"> and</w:t>
      </w:r>
      <w:r w:rsidR="006F76CF">
        <w:rPr>
          <w:lang w:val="en-GB"/>
        </w:rPr>
        <w:t xml:space="preserve"> </w:t>
      </w:r>
      <w:r w:rsidR="00682F33">
        <w:rPr>
          <w:lang w:val="en-GB"/>
        </w:rPr>
        <w:t xml:space="preserve">macro-components </w:t>
      </w:r>
      <w:r w:rsidR="006F76CF">
        <w:rPr>
          <w:lang w:val="en-GB"/>
        </w:rPr>
        <w:t>analyses</w:t>
      </w:r>
      <w:r w:rsidR="000C6D65">
        <w:rPr>
          <w:lang w:val="en-GB"/>
        </w:rPr>
        <w:t xml:space="preserve"> </w:t>
      </w:r>
      <w:r w:rsidR="00682F33">
        <w:rPr>
          <w:lang w:val="en-GB"/>
        </w:rPr>
        <w:t>is reported in Table 1.</w:t>
      </w:r>
      <w:r w:rsidR="000C6D65">
        <w:rPr>
          <w:lang w:val="en-GB"/>
        </w:rPr>
        <w:t xml:space="preserve"> </w:t>
      </w:r>
    </w:p>
    <w:p w14:paraId="748F1464" w14:textId="193A9F8D" w:rsidR="00B84B0F" w:rsidRPr="00B57B36" w:rsidRDefault="00B84B0F" w:rsidP="00B84B0F">
      <w:pPr>
        <w:pStyle w:val="CETTabletitle"/>
      </w:pPr>
      <w:r w:rsidRPr="00B57B36">
        <w:t xml:space="preserve">Table 1: </w:t>
      </w:r>
      <w:r w:rsidR="007B1EDE">
        <w:t>Biomass characterization</w:t>
      </w:r>
    </w:p>
    <w:tbl>
      <w:tblPr>
        <w:tblW w:w="0" w:type="auto"/>
        <w:tblBorders>
          <w:top w:val="single" w:sz="12" w:space="0" w:color="008000"/>
          <w:bottom w:val="single" w:sz="12" w:space="0" w:color="008000"/>
        </w:tblBorders>
        <w:shd w:val="clear" w:color="auto" w:fill="FFFFFF"/>
        <w:tblCellMar>
          <w:left w:w="0" w:type="dxa"/>
          <w:right w:w="0" w:type="dxa"/>
        </w:tblCellMar>
        <w:tblLook w:val="00A0" w:firstRow="1" w:lastRow="0" w:firstColumn="1" w:lastColumn="0" w:noHBand="0" w:noVBand="0"/>
      </w:tblPr>
      <w:tblGrid>
        <w:gridCol w:w="3261"/>
        <w:gridCol w:w="1275"/>
      </w:tblGrid>
      <w:tr w:rsidR="005921B9" w:rsidRPr="00B57B36" w14:paraId="78588DDB" w14:textId="77777777" w:rsidTr="00E5244A">
        <w:tc>
          <w:tcPr>
            <w:tcW w:w="3261" w:type="dxa"/>
            <w:tcBorders>
              <w:top w:val="single" w:sz="12" w:space="0" w:color="008000"/>
              <w:bottom w:val="single" w:sz="6" w:space="0" w:color="008000"/>
            </w:tcBorders>
            <w:shd w:val="clear" w:color="auto" w:fill="FFFFFF"/>
          </w:tcPr>
          <w:p w14:paraId="300E2DA6" w14:textId="01493C1B" w:rsidR="005921B9" w:rsidRPr="00420ED9" w:rsidRDefault="005921B9" w:rsidP="00483A5C">
            <w:pPr>
              <w:pStyle w:val="CETBodytext"/>
              <w:rPr>
                <w:lang w:val="en-GB"/>
              </w:rPr>
            </w:pPr>
          </w:p>
        </w:tc>
        <w:tc>
          <w:tcPr>
            <w:tcW w:w="1275" w:type="dxa"/>
            <w:tcBorders>
              <w:top w:val="single" w:sz="12" w:space="0" w:color="008000"/>
              <w:bottom w:val="single" w:sz="6" w:space="0" w:color="008000"/>
            </w:tcBorders>
            <w:shd w:val="clear" w:color="auto" w:fill="FFFFFF"/>
          </w:tcPr>
          <w:p w14:paraId="2AFA13BF" w14:textId="742FB3A2" w:rsidR="005921B9" w:rsidRPr="00420ED9" w:rsidRDefault="00420ED9" w:rsidP="00483A5C">
            <w:pPr>
              <w:pStyle w:val="CETBodytext"/>
              <w:rPr>
                <w:lang w:val="en-GB"/>
              </w:rPr>
            </w:pPr>
            <w:r w:rsidRPr="00420ED9">
              <w:rPr>
                <w:lang w:val="en-GB"/>
              </w:rPr>
              <w:t>Giant reed</w:t>
            </w:r>
          </w:p>
        </w:tc>
      </w:tr>
      <w:tr w:rsidR="005921B9" w:rsidRPr="00B57B36" w14:paraId="78820B00" w14:textId="77777777" w:rsidTr="00E5244A">
        <w:tc>
          <w:tcPr>
            <w:tcW w:w="3261" w:type="dxa"/>
            <w:shd w:val="clear" w:color="auto" w:fill="FFFFFF"/>
          </w:tcPr>
          <w:p w14:paraId="7196CE97" w14:textId="77777777" w:rsidR="005921B9" w:rsidRDefault="005921B9" w:rsidP="00483A5C">
            <w:pPr>
              <w:pStyle w:val="CETBodytext"/>
              <w:rPr>
                <w:lang w:val="en-GB"/>
              </w:rPr>
            </w:pPr>
            <w:r>
              <w:rPr>
                <w:lang w:val="en-GB"/>
              </w:rPr>
              <w:t>Proximate analysis (as received), %w</w:t>
            </w:r>
          </w:p>
          <w:p w14:paraId="70AA6479" w14:textId="77777777" w:rsidR="005921B9" w:rsidRDefault="005921B9" w:rsidP="00483A5C">
            <w:pPr>
              <w:pStyle w:val="CETBodytext"/>
              <w:rPr>
                <w:lang w:val="en-GB"/>
              </w:rPr>
            </w:pPr>
            <w:r>
              <w:rPr>
                <w:lang w:val="en-GB"/>
              </w:rPr>
              <w:t>Moisture</w:t>
            </w:r>
          </w:p>
          <w:p w14:paraId="74B1CAD5" w14:textId="77777777" w:rsidR="005921B9" w:rsidRDefault="005921B9" w:rsidP="00483A5C">
            <w:pPr>
              <w:pStyle w:val="CETBodytext"/>
              <w:rPr>
                <w:lang w:val="en-GB"/>
              </w:rPr>
            </w:pPr>
            <w:r>
              <w:rPr>
                <w:lang w:val="en-GB"/>
              </w:rPr>
              <w:t>Volatile matter</w:t>
            </w:r>
          </w:p>
          <w:p w14:paraId="1C49124A" w14:textId="77777777" w:rsidR="005921B9" w:rsidRDefault="005921B9" w:rsidP="00483A5C">
            <w:pPr>
              <w:pStyle w:val="CETBodytext"/>
              <w:rPr>
                <w:lang w:val="en-GB"/>
              </w:rPr>
            </w:pPr>
            <w:r>
              <w:rPr>
                <w:lang w:val="en-GB"/>
              </w:rPr>
              <w:t>Fixed carbon</w:t>
            </w:r>
          </w:p>
          <w:p w14:paraId="7846F182" w14:textId="1D2A7519" w:rsidR="005921B9" w:rsidRPr="00B57B36" w:rsidRDefault="005921B9" w:rsidP="00483A5C">
            <w:pPr>
              <w:pStyle w:val="CETBodytext"/>
              <w:rPr>
                <w:lang w:val="en-GB"/>
              </w:rPr>
            </w:pPr>
            <w:r>
              <w:rPr>
                <w:lang w:val="en-GB"/>
              </w:rPr>
              <w:t>Ash</w:t>
            </w:r>
          </w:p>
        </w:tc>
        <w:tc>
          <w:tcPr>
            <w:tcW w:w="1275" w:type="dxa"/>
            <w:shd w:val="clear" w:color="auto" w:fill="FFFFFF"/>
          </w:tcPr>
          <w:p w14:paraId="7810F005" w14:textId="77777777" w:rsidR="005921B9" w:rsidRDefault="005921B9" w:rsidP="00483A5C">
            <w:pPr>
              <w:pStyle w:val="CETBodytext"/>
              <w:rPr>
                <w:lang w:val="en-GB"/>
              </w:rPr>
            </w:pPr>
          </w:p>
          <w:p w14:paraId="1C7578D8" w14:textId="74399474" w:rsidR="005921B9" w:rsidRDefault="005921B9" w:rsidP="00483A5C">
            <w:pPr>
              <w:pStyle w:val="CETBodytext"/>
              <w:rPr>
                <w:lang w:val="en-GB"/>
              </w:rPr>
            </w:pPr>
            <w:r>
              <w:rPr>
                <w:lang w:val="en-GB"/>
              </w:rPr>
              <w:t>7.4</w:t>
            </w:r>
          </w:p>
          <w:p w14:paraId="05ABFAFE" w14:textId="60011E79" w:rsidR="005921B9" w:rsidRDefault="005921B9" w:rsidP="00483A5C">
            <w:pPr>
              <w:pStyle w:val="CETBodytext"/>
              <w:rPr>
                <w:lang w:val="en-GB"/>
              </w:rPr>
            </w:pPr>
            <w:r>
              <w:rPr>
                <w:lang w:val="en-GB"/>
              </w:rPr>
              <w:t>71.6</w:t>
            </w:r>
          </w:p>
          <w:p w14:paraId="17A6C18A" w14:textId="58EFA9CF" w:rsidR="005921B9" w:rsidRDefault="005921B9" w:rsidP="00483A5C">
            <w:pPr>
              <w:pStyle w:val="CETBodytext"/>
              <w:rPr>
                <w:lang w:val="en-GB"/>
              </w:rPr>
            </w:pPr>
            <w:r>
              <w:rPr>
                <w:lang w:val="en-GB"/>
              </w:rPr>
              <w:t>17.7</w:t>
            </w:r>
          </w:p>
          <w:p w14:paraId="54ABF83E" w14:textId="7D524F33" w:rsidR="005921B9" w:rsidRPr="00B57B36" w:rsidRDefault="005921B9" w:rsidP="00483A5C">
            <w:pPr>
              <w:pStyle w:val="CETBodytext"/>
              <w:rPr>
                <w:lang w:val="en-GB"/>
              </w:rPr>
            </w:pPr>
            <w:r>
              <w:rPr>
                <w:lang w:val="en-GB"/>
              </w:rPr>
              <w:t>3.3</w:t>
            </w:r>
          </w:p>
        </w:tc>
      </w:tr>
      <w:tr w:rsidR="005921B9" w:rsidRPr="00B57B36" w14:paraId="1DACB479" w14:textId="77777777" w:rsidTr="00E5244A">
        <w:tc>
          <w:tcPr>
            <w:tcW w:w="3261" w:type="dxa"/>
            <w:shd w:val="clear" w:color="auto" w:fill="FFFFFF"/>
          </w:tcPr>
          <w:p w14:paraId="2FECEE6B" w14:textId="77777777" w:rsidR="005921B9" w:rsidRPr="00B57B36" w:rsidRDefault="005921B9" w:rsidP="00483A5C">
            <w:pPr>
              <w:pStyle w:val="CETBodytext"/>
              <w:ind w:right="-1"/>
              <w:rPr>
                <w:rFonts w:cs="Arial"/>
                <w:szCs w:val="18"/>
                <w:lang w:val="en-GB"/>
              </w:rPr>
            </w:pPr>
          </w:p>
        </w:tc>
        <w:tc>
          <w:tcPr>
            <w:tcW w:w="1275" w:type="dxa"/>
            <w:shd w:val="clear" w:color="auto" w:fill="FFFFFF"/>
          </w:tcPr>
          <w:p w14:paraId="2F835C9C" w14:textId="77777777" w:rsidR="005921B9" w:rsidRPr="00B57B36" w:rsidRDefault="005921B9" w:rsidP="00483A5C">
            <w:pPr>
              <w:pStyle w:val="CETBodytext"/>
              <w:ind w:right="-1"/>
              <w:rPr>
                <w:rFonts w:cs="Arial"/>
                <w:szCs w:val="18"/>
                <w:lang w:val="en-GB"/>
              </w:rPr>
            </w:pPr>
          </w:p>
        </w:tc>
      </w:tr>
      <w:tr w:rsidR="005921B9" w:rsidRPr="00B57B36" w14:paraId="0A1524D5" w14:textId="77777777" w:rsidTr="00E5244A">
        <w:tc>
          <w:tcPr>
            <w:tcW w:w="3261" w:type="dxa"/>
            <w:shd w:val="clear" w:color="auto" w:fill="FFFFFF"/>
          </w:tcPr>
          <w:p w14:paraId="7A8970F0" w14:textId="77777777" w:rsidR="005921B9" w:rsidRDefault="005921B9" w:rsidP="00483A5C">
            <w:pPr>
              <w:pStyle w:val="CETBodytext"/>
              <w:ind w:right="-1"/>
              <w:rPr>
                <w:rFonts w:cs="Arial"/>
                <w:szCs w:val="18"/>
                <w:lang w:val="en-GB"/>
              </w:rPr>
            </w:pPr>
            <w:r>
              <w:rPr>
                <w:rFonts w:cs="Arial"/>
                <w:szCs w:val="18"/>
                <w:lang w:val="en-GB"/>
              </w:rPr>
              <w:t>Ultimate analysis (dry basis), %w</w:t>
            </w:r>
          </w:p>
          <w:p w14:paraId="57A20E0D" w14:textId="77777777" w:rsidR="005921B9" w:rsidRDefault="005921B9" w:rsidP="00483A5C">
            <w:pPr>
              <w:pStyle w:val="CETBodytext"/>
              <w:ind w:right="-1"/>
              <w:rPr>
                <w:rFonts w:cs="Arial"/>
                <w:szCs w:val="18"/>
                <w:lang w:val="en-GB"/>
              </w:rPr>
            </w:pPr>
            <w:r>
              <w:rPr>
                <w:rFonts w:cs="Arial"/>
                <w:szCs w:val="18"/>
                <w:lang w:val="en-GB"/>
              </w:rPr>
              <w:t>Carbon</w:t>
            </w:r>
          </w:p>
          <w:p w14:paraId="1D4BCF8F" w14:textId="77777777" w:rsidR="005921B9" w:rsidRDefault="005921B9" w:rsidP="00483A5C">
            <w:pPr>
              <w:pStyle w:val="CETBodytext"/>
              <w:ind w:right="-1"/>
              <w:rPr>
                <w:rFonts w:cs="Arial"/>
                <w:szCs w:val="18"/>
                <w:lang w:val="en-GB"/>
              </w:rPr>
            </w:pPr>
            <w:r>
              <w:rPr>
                <w:rFonts w:cs="Arial"/>
                <w:szCs w:val="18"/>
                <w:lang w:val="en-GB"/>
              </w:rPr>
              <w:t>Hydrogen</w:t>
            </w:r>
          </w:p>
          <w:p w14:paraId="051705AB" w14:textId="25A03B89" w:rsidR="005921B9" w:rsidRDefault="005921B9" w:rsidP="00483A5C">
            <w:pPr>
              <w:pStyle w:val="CETBodytext"/>
              <w:ind w:right="-1"/>
              <w:rPr>
                <w:rFonts w:cs="Arial"/>
                <w:szCs w:val="18"/>
                <w:lang w:val="en-GB"/>
              </w:rPr>
            </w:pPr>
            <w:r>
              <w:rPr>
                <w:rFonts w:cs="Arial"/>
                <w:szCs w:val="18"/>
                <w:lang w:val="en-GB"/>
              </w:rPr>
              <w:t>Nitrogen</w:t>
            </w:r>
          </w:p>
          <w:p w14:paraId="7035BC99" w14:textId="77777777" w:rsidR="005921B9" w:rsidRDefault="005921B9" w:rsidP="00483A5C">
            <w:pPr>
              <w:pStyle w:val="CETBodytext"/>
              <w:ind w:right="-1"/>
              <w:rPr>
                <w:rFonts w:cs="Arial"/>
                <w:szCs w:val="18"/>
                <w:lang w:val="en-GB"/>
              </w:rPr>
            </w:pPr>
            <w:r>
              <w:rPr>
                <w:rFonts w:cs="Arial"/>
                <w:szCs w:val="18"/>
                <w:lang w:val="en-GB"/>
              </w:rPr>
              <w:t>Ash</w:t>
            </w:r>
          </w:p>
          <w:p w14:paraId="17E78C02" w14:textId="53724086" w:rsidR="005921B9" w:rsidRPr="00B57B36" w:rsidRDefault="005921B9" w:rsidP="00483A5C">
            <w:pPr>
              <w:pStyle w:val="CETBodytext"/>
              <w:ind w:right="-1"/>
              <w:rPr>
                <w:rFonts w:cs="Arial"/>
                <w:szCs w:val="18"/>
                <w:lang w:val="en-GB"/>
              </w:rPr>
            </w:pPr>
            <w:r>
              <w:rPr>
                <w:rFonts w:cs="Arial"/>
                <w:szCs w:val="18"/>
                <w:lang w:val="en-GB"/>
              </w:rPr>
              <w:t>Oxygen (by difference)</w:t>
            </w:r>
          </w:p>
        </w:tc>
        <w:tc>
          <w:tcPr>
            <w:tcW w:w="1275" w:type="dxa"/>
            <w:shd w:val="clear" w:color="auto" w:fill="FFFFFF"/>
          </w:tcPr>
          <w:p w14:paraId="04947D54" w14:textId="77777777" w:rsidR="005921B9" w:rsidRDefault="005921B9" w:rsidP="00483A5C">
            <w:pPr>
              <w:pStyle w:val="CETBodytext"/>
              <w:ind w:right="-1"/>
              <w:rPr>
                <w:rFonts w:cs="Arial"/>
                <w:szCs w:val="18"/>
                <w:lang w:val="en-GB"/>
              </w:rPr>
            </w:pPr>
          </w:p>
          <w:p w14:paraId="4E97F4B2" w14:textId="77777777" w:rsidR="005921B9" w:rsidRDefault="005921B9" w:rsidP="00483A5C">
            <w:pPr>
              <w:pStyle w:val="CETBodytext"/>
              <w:ind w:right="-1"/>
              <w:rPr>
                <w:rFonts w:cs="Arial"/>
                <w:szCs w:val="18"/>
                <w:lang w:val="en-GB"/>
              </w:rPr>
            </w:pPr>
            <w:r>
              <w:rPr>
                <w:rFonts w:cs="Arial"/>
                <w:szCs w:val="18"/>
                <w:lang w:val="en-GB"/>
              </w:rPr>
              <w:t>46.2</w:t>
            </w:r>
          </w:p>
          <w:p w14:paraId="476FD267" w14:textId="77777777" w:rsidR="005921B9" w:rsidRDefault="005921B9" w:rsidP="00483A5C">
            <w:pPr>
              <w:pStyle w:val="CETBodytext"/>
              <w:ind w:right="-1"/>
              <w:rPr>
                <w:rFonts w:cs="Arial"/>
                <w:szCs w:val="18"/>
                <w:lang w:val="en-GB"/>
              </w:rPr>
            </w:pPr>
            <w:r>
              <w:rPr>
                <w:rFonts w:cs="Arial"/>
                <w:szCs w:val="18"/>
                <w:lang w:val="en-GB"/>
              </w:rPr>
              <w:t>6.0</w:t>
            </w:r>
          </w:p>
          <w:p w14:paraId="06CD2512" w14:textId="6934DA4B" w:rsidR="005921B9" w:rsidRDefault="005921B9" w:rsidP="00483A5C">
            <w:pPr>
              <w:pStyle w:val="CETBodytext"/>
              <w:ind w:right="-1"/>
              <w:rPr>
                <w:rFonts w:cs="Arial"/>
                <w:szCs w:val="18"/>
                <w:lang w:val="en-GB"/>
              </w:rPr>
            </w:pPr>
            <w:r>
              <w:rPr>
                <w:rFonts w:cs="Arial"/>
                <w:szCs w:val="18"/>
                <w:lang w:val="en-GB"/>
              </w:rPr>
              <w:t>0.4</w:t>
            </w:r>
          </w:p>
          <w:p w14:paraId="62129E16" w14:textId="77777777" w:rsidR="005921B9" w:rsidRDefault="005921B9" w:rsidP="00483A5C">
            <w:pPr>
              <w:pStyle w:val="CETBodytext"/>
              <w:ind w:right="-1"/>
              <w:rPr>
                <w:rFonts w:cs="Arial"/>
                <w:szCs w:val="18"/>
                <w:lang w:val="en-GB"/>
              </w:rPr>
            </w:pPr>
            <w:r>
              <w:rPr>
                <w:rFonts w:cs="Arial"/>
                <w:szCs w:val="18"/>
                <w:lang w:val="en-GB"/>
              </w:rPr>
              <w:t>3.6</w:t>
            </w:r>
          </w:p>
          <w:p w14:paraId="28F2DCCE" w14:textId="563C15BE" w:rsidR="005921B9" w:rsidRPr="00B57B36" w:rsidRDefault="005921B9" w:rsidP="00483A5C">
            <w:pPr>
              <w:pStyle w:val="CETBodytext"/>
              <w:ind w:right="-1"/>
              <w:rPr>
                <w:rFonts w:cs="Arial"/>
                <w:szCs w:val="18"/>
                <w:lang w:val="en-GB"/>
              </w:rPr>
            </w:pPr>
            <w:r>
              <w:rPr>
                <w:rFonts w:cs="Arial"/>
                <w:szCs w:val="18"/>
                <w:lang w:val="en-GB"/>
              </w:rPr>
              <w:t>43.8</w:t>
            </w:r>
          </w:p>
        </w:tc>
      </w:tr>
      <w:tr w:rsidR="005921B9" w:rsidRPr="00B57B36" w14:paraId="3625BE5A" w14:textId="77777777" w:rsidTr="00E5244A">
        <w:tc>
          <w:tcPr>
            <w:tcW w:w="3261" w:type="dxa"/>
            <w:shd w:val="clear" w:color="auto" w:fill="FFFFFF"/>
          </w:tcPr>
          <w:p w14:paraId="2E1ECAB6" w14:textId="77777777" w:rsidR="005921B9" w:rsidRPr="00B57B36" w:rsidRDefault="005921B9" w:rsidP="00483A5C">
            <w:pPr>
              <w:pStyle w:val="CETBodytext"/>
              <w:ind w:right="-1"/>
              <w:rPr>
                <w:rFonts w:cs="Arial"/>
                <w:szCs w:val="18"/>
                <w:lang w:val="en-GB"/>
              </w:rPr>
            </w:pPr>
          </w:p>
        </w:tc>
        <w:tc>
          <w:tcPr>
            <w:tcW w:w="1275" w:type="dxa"/>
            <w:shd w:val="clear" w:color="auto" w:fill="FFFFFF"/>
          </w:tcPr>
          <w:p w14:paraId="6E5370CC" w14:textId="77777777" w:rsidR="005921B9" w:rsidRPr="00B57B36" w:rsidRDefault="005921B9" w:rsidP="00483A5C">
            <w:pPr>
              <w:pStyle w:val="CETBodytext"/>
              <w:ind w:right="-1"/>
              <w:rPr>
                <w:rFonts w:cs="Arial"/>
                <w:szCs w:val="18"/>
                <w:lang w:val="en-GB"/>
              </w:rPr>
            </w:pPr>
          </w:p>
        </w:tc>
      </w:tr>
      <w:tr w:rsidR="005921B9" w:rsidRPr="00B57B36" w14:paraId="1093610A" w14:textId="77777777" w:rsidTr="00E5244A">
        <w:tc>
          <w:tcPr>
            <w:tcW w:w="3261" w:type="dxa"/>
            <w:shd w:val="clear" w:color="auto" w:fill="FFFFFF"/>
          </w:tcPr>
          <w:p w14:paraId="28C69408" w14:textId="77777777" w:rsidR="005921B9" w:rsidRDefault="005921B9" w:rsidP="00483A5C">
            <w:pPr>
              <w:pStyle w:val="CETBodytext"/>
              <w:ind w:right="-1"/>
              <w:rPr>
                <w:rFonts w:cs="Arial"/>
                <w:szCs w:val="18"/>
                <w:lang w:val="en-GB"/>
              </w:rPr>
            </w:pPr>
            <w:r>
              <w:rPr>
                <w:rFonts w:cs="Arial"/>
                <w:szCs w:val="18"/>
                <w:lang w:val="en-GB"/>
              </w:rPr>
              <w:t>Component (dry basis), %w</w:t>
            </w:r>
          </w:p>
          <w:p w14:paraId="5F0C3C30" w14:textId="77777777" w:rsidR="005921B9" w:rsidRDefault="005921B9" w:rsidP="00483A5C">
            <w:pPr>
              <w:pStyle w:val="CETBodytext"/>
              <w:ind w:right="-1"/>
              <w:rPr>
                <w:rFonts w:cs="Arial"/>
                <w:szCs w:val="18"/>
                <w:lang w:val="en-GB"/>
              </w:rPr>
            </w:pPr>
            <w:r>
              <w:rPr>
                <w:rFonts w:cs="Arial"/>
                <w:szCs w:val="18"/>
                <w:lang w:val="en-GB"/>
              </w:rPr>
              <w:t>Cellulose</w:t>
            </w:r>
          </w:p>
          <w:p w14:paraId="5C294463" w14:textId="77777777" w:rsidR="005921B9" w:rsidRDefault="005921B9" w:rsidP="00483A5C">
            <w:pPr>
              <w:pStyle w:val="CETBodytext"/>
              <w:ind w:right="-1"/>
              <w:rPr>
                <w:rFonts w:cs="Arial"/>
                <w:szCs w:val="18"/>
                <w:lang w:val="en-GB"/>
              </w:rPr>
            </w:pPr>
            <w:r>
              <w:rPr>
                <w:rFonts w:cs="Arial"/>
                <w:szCs w:val="18"/>
                <w:lang w:val="en-GB"/>
              </w:rPr>
              <w:t>Hemicellulose</w:t>
            </w:r>
          </w:p>
          <w:p w14:paraId="52F69123" w14:textId="4A46DAB5" w:rsidR="005921B9" w:rsidRPr="00B57B36" w:rsidRDefault="005921B9" w:rsidP="00483A5C">
            <w:pPr>
              <w:pStyle w:val="CETBodytext"/>
              <w:ind w:right="-1"/>
              <w:rPr>
                <w:rFonts w:cs="Arial"/>
                <w:szCs w:val="18"/>
                <w:lang w:val="en-GB"/>
              </w:rPr>
            </w:pPr>
            <w:r>
              <w:rPr>
                <w:rFonts w:cs="Arial"/>
                <w:szCs w:val="18"/>
                <w:lang w:val="en-GB"/>
              </w:rPr>
              <w:t>Lignin</w:t>
            </w:r>
          </w:p>
        </w:tc>
        <w:tc>
          <w:tcPr>
            <w:tcW w:w="1275" w:type="dxa"/>
            <w:shd w:val="clear" w:color="auto" w:fill="FFFFFF"/>
          </w:tcPr>
          <w:p w14:paraId="4C9445FA" w14:textId="77777777" w:rsidR="005921B9" w:rsidRDefault="005921B9" w:rsidP="00483A5C">
            <w:pPr>
              <w:pStyle w:val="CETBodytext"/>
              <w:ind w:right="-1"/>
              <w:rPr>
                <w:rFonts w:cs="Arial"/>
                <w:szCs w:val="18"/>
                <w:lang w:val="en-GB"/>
              </w:rPr>
            </w:pPr>
          </w:p>
          <w:p w14:paraId="06F5FE94" w14:textId="3F2FDF6F" w:rsidR="005921B9" w:rsidRDefault="005921B9" w:rsidP="00483A5C">
            <w:pPr>
              <w:pStyle w:val="CETBodytext"/>
              <w:ind w:right="-1"/>
              <w:rPr>
                <w:rFonts w:cs="Arial"/>
                <w:szCs w:val="18"/>
                <w:lang w:val="en-GB"/>
              </w:rPr>
            </w:pPr>
            <w:r>
              <w:rPr>
                <w:rFonts w:cs="Arial"/>
                <w:szCs w:val="18"/>
                <w:lang w:val="en-GB"/>
              </w:rPr>
              <w:t>27.6</w:t>
            </w:r>
          </w:p>
          <w:p w14:paraId="1F82FF86" w14:textId="6E6AE426" w:rsidR="005921B9" w:rsidRDefault="005921B9" w:rsidP="00483A5C">
            <w:pPr>
              <w:pStyle w:val="CETBodytext"/>
              <w:ind w:right="-1"/>
              <w:rPr>
                <w:rFonts w:cs="Arial"/>
                <w:szCs w:val="18"/>
                <w:lang w:val="en-GB"/>
              </w:rPr>
            </w:pPr>
            <w:r>
              <w:rPr>
                <w:rFonts w:cs="Arial"/>
                <w:szCs w:val="18"/>
                <w:lang w:val="en-GB"/>
              </w:rPr>
              <w:t>15.5</w:t>
            </w:r>
          </w:p>
          <w:p w14:paraId="582ADD15" w14:textId="6F23B6F6" w:rsidR="005921B9" w:rsidRPr="00B57B36" w:rsidRDefault="005921B9" w:rsidP="00483A5C">
            <w:pPr>
              <w:pStyle w:val="CETBodytext"/>
              <w:ind w:right="-1"/>
              <w:rPr>
                <w:rFonts w:cs="Arial"/>
                <w:szCs w:val="18"/>
                <w:lang w:val="en-GB"/>
              </w:rPr>
            </w:pPr>
            <w:r>
              <w:rPr>
                <w:rFonts w:cs="Arial"/>
                <w:szCs w:val="18"/>
                <w:lang w:val="en-GB"/>
              </w:rPr>
              <w:t>37.0</w:t>
            </w:r>
          </w:p>
        </w:tc>
      </w:tr>
    </w:tbl>
    <w:p w14:paraId="728F0A67" w14:textId="77777777" w:rsidR="00B84B0F" w:rsidRDefault="00B84B0F" w:rsidP="00453E24">
      <w:pPr>
        <w:pStyle w:val="CETBodytext"/>
        <w:rPr>
          <w:lang w:val="en-GB"/>
        </w:rPr>
      </w:pPr>
    </w:p>
    <w:p w14:paraId="4888F55D" w14:textId="2255C51A" w:rsidR="00FD10F0" w:rsidRPr="00B57B36" w:rsidRDefault="00955E8D" w:rsidP="00FD10F0">
      <w:pPr>
        <w:pStyle w:val="CETheadingx"/>
      </w:pPr>
      <w:r>
        <w:t>Experimental procedure and data analysis</w:t>
      </w:r>
    </w:p>
    <w:p w14:paraId="6E77C929" w14:textId="5F30B2C3" w:rsidR="00DC14B1" w:rsidRDefault="00110810" w:rsidP="00FD10F0">
      <w:pPr>
        <w:pStyle w:val="CETBodytext"/>
        <w:rPr>
          <w:lang w:val="en-GB"/>
        </w:rPr>
      </w:pPr>
      <w:r>
        <w:rPr>
          <w:lang w:val="en-GB"/>
        </w:rPr>
        <w:t xml:space="preserve">Pyrolysis tests </w:t>
      </w:r>
      <w:r w:rsidR="00C73674">
        <w:rPr>
          <w:lang w:val="en-GB"/>
        </w:rPr>
        <w:t>have been carried out at a fixed temperature of 500°C</w:t>
      </w:r>
      <w:r w:rsidR="00354950">
        <w:rPr>
          <w:lang w:val="en-GB"/>
        </w:rPr>
        <w:t>,</w:t>
      </w:r>
      <w:r w:rsidR="003120F1">
        <w:rPr>
          <w:lang w:val="en-GB"/>
        </w:rPr>
        <w:t xml:space="preserve"> at fixed superficial gas velocity</w:t>
      </w:r>
      <w:r w:rsidR="00FD10F0">
        <w:rPr>
          <w:lang w:val="en-GB"/>
        </w:rPr>
        <w:t xml:space="preserve"> </w:t>
      </w:r>
      <w:r w:rsidR="0087114F">
        <w:rPr>
          <w:lang w:val="en-GB"/>
        </w:rPr>
        <w:t xml:space="preserve">of 0.45 </w:t>
      </w:r>
      <w:r w:rsidR="0087114F" w:rsidRPr="00D62B16">
        <w:rPr>
          <w:lang w:val="en-GB"/>
        </w:rPr>
        <w:t>m/s</w:t>
      </w:r>
      <w:r w:rsidR="009957A0" w:rsidRPr="00D62B16">
        <w:rPr>
          <w:lang w:val="en-GB"/>
        </w:rPr>
        <w:t xml:space="preserve"> and </w:t>
      </w:r>
      <w:r w:rsidR="00274068">
        <w:rPr>
          <w:lang w:val="en-GB"/>
        </w:rPr>
        <w:t>fixed</w:t>
      </w:r>
      <w:r w:rsidR="006D71BA" w:rsidRPr="00D62B16">
        <w:rPr>
          <w:lang w:val="en-GB"/>
        </w:rPr>
        <w:t xml:space="preserve"> </w:t>
      </w:r>
      <w:r w:rsidR="005D6AC1" w:rsidRPr="00D62B16">
        <w:rPr>
          <w:lang w:val="en-GB"/>
        </w:rPr>
        <w:t>excess gas velocity with respect to minimum fluidization conditions</w:t>
      </w:r>
      <w:r w:rsidR="00354950" w:rsidRPr="00D62B16">
        <w:rPr>
          <w:lang w:val="en-GB"/>
        </w:rPr>
        <w:t xml:space="preserve"> equal to 0.4</w:t>
      </w:r>
      <w:r w:rsidR="00D62B16" w:rsidRPr="00D62B16">
        <w:rPr>
          <w:lang w:val="en-GB"/>
        </w:rPr>
        <w:t>2</w:t>
      </w:r>
      <w:r w:rsidR="00354950" w:rsidRPr="00D62B16">
        <w:rPr>
          <w:lang w:val="en-GB"/>
        </w:rPr>
        <w:t xml:space="preserve"> m/s</w:t>
      </w:r>
      <w:r w:rsidR="0087114F" w:rsidRPr="00D62B16">
        <w:rPr>
          <w:lang w:val="en-GB"/>
        </w:rPr>
        <w:t xml:space="preserve">. </w:t>
      </w:r>
      <w:r w:rsidR="008F133B">
        <w:rPr>
          <w:lang w:val="en-GB"/>
        </w:rPr>
        <w:t>Nitrogen</w:t>
      </w:r>
      <w:r w:rsidR="00D07A28">
        <w:rPr>
          <w:lang w:val="en-GB"/>
        </w:rPr>
        <w:t xml:space="preserve"> was used as </w:t>
      </w:r>
      <w:proofErr w:type="spellStart"/>
      <w:r w:rsidR="00D07A28">
        <w:rPr>
          <w:lang w:val="en-GB"/>
        </w:rPr>
        <w:t>fluidiziation</w:t>
      </w:r>
      <w:proofErr w:type="spellEnd"/>
      <w:r w:rsidR="00D07A28">
        <w:rPr>
          <w:lang w:val="en-GB"/>
        </w:rPr>
        <w:t xml:space="preserve"> gas. </w:t>
      </w:r>
      <w:r w:rsidR="00655C41" w:rsidRPr="00D62B16">
        <w:rPr>
          <w:lang w:val="en-GB"/>
        </w:rPr>
        <w:t xml:space="preserve">A part of the gas flow rate is fed at the bottom of the fluidized bed, while a part is used </w:t>
      </w:r>
      <w:r w:rsidR="00F617D4" w:rsidRPr="00D62B16">
        <w:rPr>
          <w:lang w:val="en-GB"/>
        </w:rPr>
        <w:t xml:space="preserve">to assist biomass </w:t>
      </w:r>
      <w:r w:rsidR="000C75AA" w:rsidRPr="00D62B16">
        <w:rPr>
          <w:lang w:val="en-GB"/>
        </w:rPr>
        <w:t>feeding</w:t>
      </w:r>
      <w:r w:rsidR="000C75AA">
        <w:rPr>
          <w:lang w:val="en-GB"/>
        </w:rPr>
        <w:t xml:space="preserve"> </w:t>
      </w:r>
      <w:r w:rsidR="00F617D4">
        <w:rPr>
          <w:lang w:val="en-GB"/>
        </w:rPr>
        <w:t xml:space="preserve">in the fluidized bed. </w:t>
      </w:r>
      <w:r w:rsidR="00C860C4">
        <w:rPr>
          <w:lang w:val="en-GB"/>
        </w:rPr>
        <w:t xml:space="preserve">Biomass is </w:t>
      </w:r>
      <w:r w:rsidR="00003C96">
        <w:rPr>
          <w:lang w:val="en-GB"/>
        </w:rPr>
        <w:t xml:space="preserve">continuously </w:t>
      </w:r>
      <w:r w:rsidR="00C860C4">
        <w:rPr>
          <w:lang w:val="en-GB"/>
        </w:rPr>
        <w:t xml:space="preserve">fed </w:t>
      </w:r>
      <w:r w:rsidR="00112F53">
        <w:rPr>
          <w:lang w:val="en-GB"/>
        </w:rPr>
        <w:t xml:space="preserve">in the bed and </w:t>
      </w:r>
      <w:r w:rsidR="00815030">
        <w:rPr>
          <w:lang w:val="en-GB"/>
        </w:rPr>
        <w:t>a</w:t>
      </w:r>
      <w:r w:rsidR="00112F53">
        <w:rPr>
          <w:lang w:val="en-GB"/>
        </w:rPr>
        <w:t xml:space="preserve"> transient phase </w:t>
      </w:r>
      <w:r w:rsidR="002A4542">
        <w:rPr>
          <w:lang w:val="en-GB"/>
        </w:rPr>
        <w:t xml:space="preserve">occurs, monitored by the pressure signal in the bed. Once a certain </w:t>
      </w:r>
      <w:r w:rsidR="00D90B66">
        <w:rPr>
          <w:lang w:val="en-GB"/>
        </w:rPr>
        <w:t xml:space="preserve">increase in the bed pressure is </w:t>
      </w:r>
      <w:r w:rsidR="00815030">
        <w:rPr>
          <w:lang w:val="en-GB"/>
        </w:rPr>
        <w:t>established</w:t>
      </w:r>
      <w:r w:rsidR="00D154E1">
        <w:rPr>
          <w:lang w:val="en-GB"/>
        </w:rPr>
        <w:t xml:space="preserve"> </w:t>
      </w:r>
      <w:r w:rsidR="004A5549">
        <w:rPr>
          <w:lang w:val="en-GB"/>
        </w:rPr>
        <w:t>because of</w:t>
      </w:r>
      <w:r w:rsidR="00D154E1">
        <w:rPr>
          <w:lang w:val="en-GB"/>
        </w:rPr>
        <w:t xml:space="preserve"> a partial discharge of the solids from the bed at fixed time intervals and the consequent addition of inert solids from the top of the reactor, a steady state conditions can be considered reached. Under these conditions </w:t>
      </w:r>
      <w:r w:rsidR="00943677">
        <w:rPr>
          <w:lang w:val="en-GB"/>
        </w:rPr>
        <w:t xml:space="preserve">the gases and vapours are sent to </w:t>
      </w:r>
      <w:r w:rsidR="00815030">
        <w:rPr>
          <w:lang w:val="en-GB"/>
        </w:rPr>
        <w:t xml:space="preserve">on-line analysis and </w:t>
      </w:r>
      <w:r w:rsidR="00943677">
        <w:rPr>
          <w:lang w:val="en-GB"/>
        </w:rPr>
        <w:t xml:space="preserve">condensation </w:t>
      </w:r>
      <w:r w:rsidR="00815030">
        <w:rPr>
          <w:lang w:val="en-GB"/>
        </w:rPr>
        <w:t>flasks train</w:t>
      </w:r>
      <w:r w:rsidR="00943677">
        <w:rPr>
          <w:lang w:val="en-GB"/>
        </w:rPr>
        <w:t xml:space="preserve">, respectively. </w:t>
      </w:r>
      <w:r w:rsidR="0002055E">
        <w:rPr>
          <w:lang w:val="en-GB"/>
        </w:rPr>
        <w:t>At the end of the test</w:t>
      </w:r>
      <w:r w:rsidR="0045232D">
        <w:rPr>
          <w:lang w:val="en-GB"/>
        </w:rPr>
        <w:t>,</w:t>
      </w:r>
      <w:r w:rsidR="000F4822">
        <w:rPr>
          <w:lang w:val="en-GB"/>
        </w:rPr>
        <w:t xml:space="preserve"> </w:t>
      </w:r>
      <w:r w:rsidR="009F4EB1">
        <w:rPr>
          <w:lang w:val="en-GB"/>
        </w:rPr>
        <w:t xml:space="preserve">biomass feeding is stopped, all the gases are directly sent to the stack, </w:t>
      </w:r>
      <w:r w:rsidR="000F4822">
        <w:rPr>
          <w:lang w:val="en-GB"/>
        </w:rPr>
        <w:t>the bed is fully discharged and char is separated by sieving from the inert solids</w:t>
      </w:r>
      <w:r w:rsidR="00D11671">
        <w:rPr>
          <w:lang w:val="en-GB"/>
        </w:rPr>
        <w:t xml:space="preserve"> to measure char yield.</w:t>
      </w:r>
      <w:r w:rsidR="00F234B3">
        <w:rPr>
          <w:lang w:val="en-GB"/>
        </w:rPr>
        <w:t xml:space="preserve"> </w:t>
      </w:r>
      <w:r w:rsidR="004A5549">
        <w:rPr>
          <w:lang w:val="en-GB"/>
        </w:rPr>
        <w:t>C</w:t>
      </w:r>
      <w:r w:rsidR="00065579">
        <w:rPr>
          <w:lang w:val="en-GB"/>
        </w:rPr>
        <w:t xml:space="preserve">har is characterized in terms of elemental composition and </w:t>
      </w:r>
      <w:r w:rsidR="00C85433">
        <w:rPr>
          <w:lang w:val="en-GB"/>
        </w:rPr>
        <w:t>all the solids are fully oxidized to determine the organic carbon inventory during the test.</w:t>
      </w:r>
      <w:r w:rsidR="00D11671">
        <w:rPr>
          <w:lang w:val="en-GB"/>
        </w:rPr>
        <w:t xml:space="preserve"> </w:t>
      </w:r>
      <w:r w:rsidR="001F5B4E">
        <w:rPr>
          <w:lang w:val="en-GB"/>
        </w:rPr>
        <w:t>The</w:t>
      </w:r>
      <w:r w:rsidR="0073795F">
        <w:rPr>
          <w:lang w:val="en-GB"/>
        </w:rPr>
        <w:t xml:space="preserve"> bio oil yield is calculated as the amount of </w:t>
      </w:r>
      <w:r w:rsidR="00E91A73">
        <w:rPr>
          <w:lang w:val="en-GB"/>
        </w:rPr>
        <w:t xml:space="preserve">collected bio oil divided by the total amount of biomass fed during the steady state, while the gas yield </w:t>
      </w:r>
      <w:r w:rsidR="000B0221">
        <w:rPr>
          <w:lang w:val="en-GB"/>
        </w:rPr>
        <w:t xml:space="preserve">is calculated from the concentration profiles </w:t>
      </w:r>
      <w:r w:rsidR="007B2F08">
        <w:rPr>
          <w:lang w:val="en-GB"/>
        </w:rPr>
        <w:t xml:space="preserve">of the </w:t>
      </w:r>
      <w:r w:rsidR="000B0221">
        <w:rPr>
          <w:lang w:val="en-GB"/>
        </w:rPr>
        <w:t xml:space="preserve">gas </w:t>
      </w:r>
      <w:proofErr w:type="spellStart"/>
      <w:r w:rsidR="000B0221">
        <w:rPr>
          <w:lang w:val="en-GB"/>
        </w:rPr>
        <w:t>analyzer</w:t>
      </w:r>
      <w:proofErr w:type="spellEnd"/>
      <w:r w:rsidR="007B2F08">
        <w:rPr>
          <w:lang w:val="en-GB"/>
        </w:rPr>
        <w:t xml:space="preserve">. The mean solids residence time in the bed is calculated as the average </w:t>
      </w:r>
      <w:r w:rsidR="0028057F">
        <w:rPr>
          <w:lang w:val="en-GB"/>
        </w:rPr>
        <w:t xml:space="preserve">inventory of the solids in the bed divided by the mass flow rate of solids discharged during the test. </w:t>
      </w:r>
      <w:r w:rsidR="00B876B1">
        <w:rPr>
          <w:lang w:val="en-GB"/>
        </w:rPr>
        <w:t>Three tests have been carried out at fixed solids residence time of 13 min, while varyin</w:t>
      </w:r>
      <w:r w:rsidR="009F5424">
        <w:rPr>
          <w:lang w:val="en-GB"/>
        </w:rPr>
        <w:t>g the biomass inlet flow rate and, thus, the organic carbon loading in the bed.</w:t>
      </w:r>
      <w:r w:rsidR="002F3492">
        <w:rPr>
          <w:lang w:val="en-GB"/>
        </w:rPr>
        <w:t xml:space="preserve"> </w:t>
      </w:r>
      <w:r w:rsidR="00DB5AF4">
        <w:rPr>
          <w:lang w:val="en-GB"/>
        </w:rPr>
        <w:t>B</w:t>
      </w:r>
      <w:r w:rsidR="00B72539">
        <w:rPr>
          <w:lang w:val="en-GB"/>
        </w:rPr>
        <w:t>iomass mass feeding rate</w:t>
      </w:r>
      <w:r w:rsidR="00DB5AF4">
        <w:rPr>
          <w:lang w:val="en-GB"/>
        </w:rPr>
        <w:t>s</w:t>
      </w:r>
      <w:r w:rsidR="00B72539">
        <w:rPr>
          <w:lang w:val="en-GB"/>
        </w:rPr>
        <w:t xml:space="preserve"> were 0.6, 1.96 and 2.56 g/min</w:t>
      </w:r>
      <w:r w:rsidR="007C78E8">
        <w:rPr>
          <w:lang w:val="en-GB"/>
        </w:rPr>
        <w:t xml:space="preserve"> and the carbon loading was </w:t>
      </w:r>
      <w:r w:rsidR="009E3482">
        <w:rPr>
          <w:lang w:val="en-GB"/>
        </w:rPr>
        <w:t>1.84, 6.46 and 10.2 g, respectively</w:t>
      </w:r>
      <w:r w:rsidR="00FD10F0">
        <w:rPr>
          <w:lang w:val="en-GB"/>
        </w:rPr>
        <w:t>.</w:t>
      </w:r>
      <w:r w:rsidR="009E3482">
        <w:rPr>
          <w:lang w:val="en-GB"/>
        </w:rPr>
        <w:t xml:space="preserve"> The mass fraction of organic carbon in the bed wa</w:t>
      </w:r>
      <w:r w:rsidR="005F3DCC">
        <w:rPr>
          <w:lang w:val="en-GB"/>
        </w:rPr>
        <w:t>s 1.1%, 3.25% and 5.36%, respectively.</w:t>
      </w:r>
      <w:r w:rsidR="00FD10F0">
        <w:rPr>
          <w:lang w:val="en-GB"/>
        </w:rPr>
        <w:t xml:space="preserve"> </w:t>
      </w:r>
      <w:r w:rsidR="00F11A9F" w:rsidRPr="00F11A9F">
        <w:rPr>
          <w:lang w:val="en-GB"/>
        </w:rPr>
        <w:t xml:space="preserve">Permanent gases </w:t>
      </w:r>
      <w:r w:rsidR="00183418">
        <w:rPr>
          <w:lang w:val="en-GB"/>
        </w:rPr>
        <w:t>from</w:t>
      </w:r>
      <w:r w:rsidR="00F11A9F" w:rsidRPr="00F11A9F">
        <w:rPr>
          <w:lang w:val="en-GB"/>
        </w:rPr>
        <w:t xml:space="preserve"> the condensation train were </w:t>
      </w:r>
      <w:proofErr w:type="spellStart"/>
      <w:r w:rsidR="00F11A9F" w:rsidRPr="00F11A9F">
        <w:rPr>
          <w:lang w:val="en-GB"/>
        </w:rPr>
        <w:t>analyzed</w:t>
      </w:r>
      <w:proofErr w:type="spellEnd"/>
      <w:r w:rsidR="00F11A9F" w:rsidRPr="00F11A9F">
        <w:rPr>
          <w:lang w:val="en-GB"/>
        </w:rPr>
        <w:t xml:space="preserve"> by a micro gas chromatograph (micro</w:t>
      </w:r>
      <w:r w:rsidR="00F11A9F">
        <w:rPr>
          <w:lang w:val="en-GB"/>
        </w:rPr>
        <w:t>-</w:t>
      </w:r>
      <w:r w:rsidR="00F11A9F" w:rsidRPr="00F11A9F">
        <w:rPr>
          <w:lang w:val="en-GB"/>
        </w:rPr>
        <w:t>GC)</w:t>
      </w:r>
      <w:r w:rsidR="00F11A9F">
        <w:rPr>
          <w:lang w:val="en-GB"/>
        </w:rPr>
        <w:t>, while</w:t>
      </w:r>
      <w:r w:rsidR="00F11A9F" w:rsidRPr="00F11A9F">
        <w:rPr>
          <w:lang w:val="en-GB"/>
        </w:rPr>
        <w:t xml:space="preserve"> </w:t>
      </w:r>
      <w:r w:rsidR="00F11A9F">
        <w:rPr>
          <w:lang w:val="en-GB"/>
        </w:rPr>
        <w:t>t</w:t>
      </w:r>
      <w:r w:rsidR="00F11A9F" w:rsidRPr="00F11A9F">
        <w:rPr>
          <w:lang w:val="en-GB"/>
        </w:rPr>
        <w:t>he collected pyrolytic liquids were characterized offline using an Agilent 7890A GC equipped with MS 5975C</w:t>
      </w:r>
      <w:r w:rsidR="00F11A9F">
        <w:rPr>
          <w:lang w:val="en-GB"/>
        </w:rPr>
        <w:t>-</w:t>
      </w:r>
      <w:r w:rsidR="00F11A9F" w:rsidRPr="00F11A9F">
        <w:rPr>
          <w:lang w:val="en-GB"/>
        </w:rPr>
        <w:t>VLMSD (GC-MS). Chromatographic peaks were identified using the NIST 11 mass spectral data library, whereas a semi-quantitative approach was adopted to determine the relative content of each bio-oil component.</w:t>
      </w:r>
    </w:p>
    <w:p w14:paraId="677EBFF0" w14:textId="43FF038B" w:rsidR="00600535" w:rsidRPr="00B57B36" w:rsidRDefault="00EA0071" w:rsidP="00563BAF">
      <w:pPr>
        <w:pStyle w:val="CETHeading1"/>
        <w:tabs>
          <w:tab w:val="clear" w:pos="360"/>
          <w:tab w:val="right" w:pos="7100"/>
        </w:tabs>
        <w:jc w:val="both"/>
        <w:rPr>
          <w:lang w:val="en-GB"/>
        </w:rPr>
      </w:pPr>
      <w:r>
        <w:rPr>
          <w:lang w:val="en-GB"/>
        </w:rPr>
        <w:t>Results and discussion</w:t>
      </w:r>
    </w:p>
    <w:p w14:paraId="04963A06" w14:textId="516E386A" w:rsidR="00600535" w:rsidRPr="00B57B36" w:rsidRDefault="005B63F9" w:rsidP="00563BAF">
      <w:pPr>
        <w:pStyle w:val="CETheadingx"/>
      </w:pPr>
      <w:r>
        <w:t>P</w:t>
      </w:r>
      <w:r w:rsidR="00A762DD">
        <w:t>roducts yield</w:t>
      </w:r>
    </w:p>
    <w:p w14:paraId="455A15A0" w14:textId="6D085158" w:rsidR="00A762DD" w:rsidRDefault="00A762DD" w:rsidP="00600535">
      <w:pPr>
        <w:pStyle w:val="CETBodytext"/>
        <w:rPr>
          <w:lang w:val="en-GB"/>
        </w:rPr>
      </w:pPr>
      <w:r>
        <w:rPr>
          <w:lang w:val="en-GB"/>
        </w:rPr>
        <w:t>The char, oil and gas yield</w:t>
      </w:r>
      <w:r w:rsidR="00190B9B">
        <w:rPr>
          <w:lang w:val="en-GB"/>
        </w:rPr>
        <w:t>s</w:t>
      </w:r>
      <w:r>
        <w:rPr>
          <w:lang w:val="en-GB"/>
        </w:rPr>
        <w:t xml:space="preserve"> obtained from the test</w:t>
      </w:r>
      <w:r w:rsidR="00D2761C">
        <w:rPr>
          <w:lang w:val="en-GB"/>
        </w:rPr>
        <w:t>s</w:t>
      </w:r>
      <w:r>
        <w:rPr>
          <w:lang w:val="en-GB"/>
        </w:rPr>
        <w:t xml:space="preserve"> at fixed solids residence time, while varying the carbon loading in the bed are reported in Table 2.</w:t>
      </w:r>
      <w:r w:rsidR="00171D81">
        <w:rPr>
          <w:lang w:val="en-GB"/>
        </w:rPr>
        <w:t xml:space="preserve"> </w:t>
      </w:r>
      <w:r w:rsidR="00B4167D">
        <w:rPr>
          <w:lang w:val="en-GB"/>
        </w:rPr>
        <w:t>Results indicate that there are no</w:t>
      </w:r>
      <w:r w:rsidR="00396742">
        <w:rPr>
          <w:lang w:val="en-GB"/>
        </w:rPr>
        <w:t xml:space="preserve"> </w:t>
      </w:r>
      <w:r w:rsidR="00B4167D">
        <w:rPr>
          <w:lang w:val="en-GB"/>
        </w:rPr>
        <w:t xml:space="preserve">significant differences in the gas </w:t>
      </w:r>
      <w:r w:rsidR="00B4167D">
        <w:rPr>
          <w:lang w:val="en-GB"/>
        </w:rPr>
        <w:lastRenderedPageBreak/>
        <w:t xml:space="preserve">and char yields while varying the carbon </w:t>
      </w:r>
      <w:r w:rsidR="00B4167D" w:rsidRPr="00D62B16">
        <w:rPr>
          <w:lang w:val="en-GB"/>
        </w:rPr>
        <w:t>loading.</w:t>
      </w:r>
      <w:r w:rsidR="00C5322F" w:rsidRPr="00D62B16">
        <w:rPr>
          <w:lang w:val="en-GB"/>
        </w:rPr>
        <w:t xml:space="preserve"> </w:t>
      </w:r>
      <w:r w:rsidR="004D467A" w:rsidRPr="00D62B16">
        <w:rPr>
          <w:lang w:val="en-GB"/>
        </w:rPr>
        <w:t>In fact</w:t>
      </w:r>
      <w:r w:rsidR="00D62B16">
        <w:rPr>
          <w:lang w:val="en-GB"/>
        </w:rPr>
        <w:t>,</w:t>
      </w:r>
      <w:r w:rsidR="004D467A" w:rsidRPr="00D62B16">
        <w:rPr>
          <w:lang w:val="en-GB"/>
        </w:rPr>
        <w:t xml:space="preserve"> </w:t>
      </w:r>
      <w:r w:rsidR="00D72C4C" w:rsidRPr="00D62B16">
        <w:rPr>
          <w:lang w:val="en-GB"/>
        </w:rPr>
        <w:t xml:space="preserve">the yields </w:t>
      </w:r>
      <w:r w:rsidR="002E3828" w:rsidRPr="00D62B16">
        <w:rPr>
          <w:lang w:val="en-GB"/>
        </w:rPr>
        <w:t>obtained at</w:t>
      </w:r>
      <w:r w:rsidR="00D72C4C" w:rsidRPr="00D62B16">
        <w:rPr>
          <w:lang w:val="en-GB"/>
        </w:rPr>
        <w:t xml:space="preserve"> different operating conditions differ less than </w:t>
      </w:r>
      <w:r w:rsidR="007E7EFC" w:rsidRPr="00D62B16">
        <w:rPr>
          <w:lang w:val="en-GB"/>
        </w:rPr>
        <w:t>3</w:t>
      </w:r>
      <w:r w:rsidR="00D72C4C" w:rsidRPr="00D62B16">
        <w:rPr>
          <w:lang w:val="en-GB"/>
        </w:rPr>
        <w:t xml:space="preserve">%. </w:t>
      </w:r>
      <w:r w:rsidR="00B4167D" w:rsidRPr="00D62B16">
        <w:rPr>
          <w:lang w:val="en-GB"/>
        </w:rPr>
        <w:t xml:space="preserve">On the other hand, the oil yield increases with increasing the carbon loading. This result can be due to the fact that </w:t>
      </w:r>
      <w:r w:rsidR="00396742" w:rsidRPr="00D62B16">
        <w:rPr>
          <w:lang w:val="en-GB"/>
        </w:rPr>
        <w:t xml:space="preserve">experiments </w:t>
      </w:r>
      <w:r w:rsidR="00B4167D" w:rsidRPr="00D62B16">
        <w:rPr>
          <w:lang w:val="en-GB"/>
        </w:rPr>
        <w:t>at low carbon</w:t>
      </w:r>
      <w:r w:rsidR="00B4167D">
        <w:rPr>
          <w:lang w:val="en-GB"/>
        </w:rPr>
        <w:t xml:space="preserve"> loading</w:t>
      </w:r>
      <w:r w:rsidR="00396742">
        <w:rPr>
          <w:lang w:val="en-GB"/>
        </w:rPr>
        <w:t xml:space="preserve"> were carried out using small biomass mass flow rate, thus</w:t>
      </w:r>
      <w:r w:rsidR="00B4167D">
        <w:rPr>
          <w:lang w:val="en-GB"/>
        </w:rPr>
        <w:t xml:space="preserve"> the collection efficiency of the oil could be lower</w:t>
      </w:r>
      <w:r w:rsidR="00396742">
        <w:rPr>
          <w:lang w:val="en-GB"/>
        </w:rPr>
        <w:t>. This speculation is in agreement with the overall mass balance closure, which is lower for lower carbon loading.</w:t>
      </w:r>
      <w:r w:rsidR="00BD462E">
        <w:rPr>
          <w:lang w:val="en-GB"/>
        </w:rPr>
        <w:t xml:space="preserve"> </w:t>
      </w:r>
    </w:p>
    <w:p w14:paraId="196B2895" w14:textId="37906DFC" w:rsidR="00A762DD" w:rsidRPr="00B57B36" w:rsidRDefault="00A762DD" w:rsidP="00A762DD">
      <w:pPr>
        <w:pStyle w:val="CETTabletitle"/>
      </w:pPr>
      <w:r w:rsidRPr="00B57B36">
        <w:t xml:space="preserve">Table </w:t>
      </w:r>
      <w:r>
        <w:t>2</w:t>
      </w:r>
      <w:r w:rsidRPr="00B57B36">
        <w:t xml:space="preserve">: </w:t>
      </w:r>
      <w:r>
        <w:t>Products yield</w:t>
      </w:r>
    </w:p>
    <w:tbl>
      <w:tblPr>
        <w:tblW w:w="8931" w:type="dxa"/>
        <w:tblBorders>
          <w:top w:val="single" w:sz="12" w:space="0" w:color="008000"/>
          <w:bottom w:val="single" w:sz="12" w:space="0" w:color="008000"/>
        </w:tblBorders>
        <w:shd w:val="clear" w:color="auto" w:fill="FFFFFF"/>
        <w:tblCellMar>
          <w:left w:w="0" w:type="dxa"/>
          <w:right w:w="0" w:type="dxa"/>
        </w:tblCellMar>
        <w:tblLook w:val="00A0" w:firstRow="1" w:lastRow="0" w:firstColumn="1" w:lastColumn="0" w:noHBand="0" w:noVBand="0"/>
      </w:tblPr>
      <w:tblGrid>
        <w:gridCol w:w="2321"/>
        <w:gridCol w:w="1223"/>
        <w:gridCol w:w="1417"/>
        <w:gridCol w:w="1276"/>
        <w:gridCol w:w="2694"/>
      </w:tblGrid>
      <w:tr w:rsidR="00B4167D" w:rsidRPr="00B57B36" w14:paraId="62268329" w14:textId="148766F8" w:rsidTr="00396742">
        <w:tc>
          <w:tcPr>
            <w:tcW w:w="2321" w:type="dxa"/>
            <w:tcBorders>
              <w:top w:val="single" w:sz="12" w:space="0" w:color="008000"/>
              <w:bottom w:val="single" w:sz="6" w:space="0" w:color="008000"/>
            </w:tcBorders>
            <w:shd w:val="clear" w:color="auto" w:fill="FFFFFF"/>
          </w:tcPr>
          <w:p w14:paraId="3F00A543" w14:textId="5756A971" w:rsidR="00B4167D" w:rsidRPr="00E804B6" w:rsidRDefault="00B4167D" w:rsidP="005E50D0">
            <w:pPr>
              <w:pStyle w:val="CETBodytext"/>
              <w:rPr>
                <w:lang w:val="en-GB"/>
              </w:rPr>
            </w:pPr>
            <w:r w:rsidRPr="00E804B6">
              <w:rPr>
                <w:lang w:val="en-GB"/>
              </w:rPr>
              <w:t>Organic carbon loading (g)</w:t>
            </w:r>
          </w:p>
        </w:tc>
        <w:tc>
          <w:tcPr>
            <w:tcW w:w="1223" w:type="dxa"/>
            <w:tcBorders>
              <w:top w:val="single" w:sz="12" w:space="0" w:color="008000"/>
              <w:bottom w:val="single" w:sz="4" w:space="0" w:color="008000"/>
            </w:tcBorders>
            <w:shd w:val="clear" w:color="auto" w:fill="FFFFFF"/>
          </w:tcPr>
          <w:p w14:paraId="2FCE4096" w14:textId="2F6A2861" w:rsidR="00B4167D" w:rsidRPr="00EA1C6E" w:rsidRDefault="00B4167D" w:rsidP="005E50D0">
            <w:pPr>
              <w:pStyle w:val="CETBodytext"/>
              <w:rPr>
                <w:lang w:val="en-GB"/>
              </w:rPr>
            </w:pPr>
            <w:r w:rsidRPr="00EA1C6E">
              <w:rPr>
                <w:lang w:val="en-GB"/>
              </w:rPr>
              <w:t>Oil yield (%w)</w:t>
            </w:r>
          </w:p>
        </w:tc>
        <w:tc>
          <w:tcPr>
            <w:tcW w:w="1417" w:type="dxa"/>
            <w:tcBorders>
              <w:top w:val="single" w:sz="12" w:space="0" w:color="008000"/>
              <w:bottom w:val="single" w:sz="4" w:space="0" w:color="008000"/>
            </w:tcBorders>
            <w:shd w:val="clear" w:color="auto" w:fill="FFFFFF"/>
          </w:tcPr>
          <w:p w14:paraId="561E756D" w14:textId="755A7963" w:rsidR="00B4167D" w:rsidRPr="00EA1C6E" w:rsidRDefault="00B4167D" w:rsidP="005E50D0">
            <w:pPr>
              <w:pStyle w:val="CETBodytext"/>
              <w:rPr>
                <w:lang w:val="en-GB"/>
              </w:rPr>
            </w:pPr>
            <w:r w:rsidRPr="00EA1C6E">
              <w:rPr>
                <w:lang w:val="en-GB"/>
              </w:rPr>
              <w:t>Char yield (%w)</w:t>
            </w:r>
          </w:p>
        </w:tc>
        <w:tc>
          <w:tcPr>
            <w:tcW w:w="1276" w:type="dxa"/>
            <w:tcBorders>
              <w:top w:val="single" w:sz="12" w:space="0" w:color="008000"/>
              <w:bottom w:val="single" w:sz="4" w:space="0" w:color="008000"/>
            </w:tcBorders>
            <w:shd w:val="clear" w:color="auto" w:fill="FFFFFF"/>
          </w:tcPr>
          <w:p w14:paraId="27145C19" w14:textId="79FD0F0D" w:rsidR="00B4167D" w:rsidRPr="00EA1C6E" w:rsidRDefault="00B4167D" w:rsidP="005E50D0">
            <w:pPr>
              <w:pStyle w:val="CETBodytext"/>
              <w:rPr>
                <w:lang w:val="en-GB"/>
              </w:rPr>
            </w:pPr>
            <w:r w:rsidRPr="00EA1C6E">
              <w:rPr>
                <w:lang w:val="en-GB"/>
              </w:rPr>
              <w:t>Gas yield (%w)</w:t>
            </w:r>
          </w:p>
        </w:tc>
        <w:tc>
          <w:tcPr>
            <w:tcW w:w="2694" w:type="dxa"/>
            <w:tcBorders>
              <w:top w:val="single" w:sz="12" w:space="0" w:color="008000"/>
              <w:bottom w:val="single" w:sz="4" w:space="0" w:color="008000"/>
            </w:tcBorders>
            <w:shd w:val="clear" w:color="auto" w:fill="FFFFFF"/>
          </w:tcPr>
          <w:p w14:paraId="2985E773" w14:textId="042E8192" w:rsidR="00B4167D" w:rsidRPr="00EA1C6E" w:rsidRDefault="00396742" w:rsidP="005E50D0">
            <w:pPr>
              <w:pStyle w:val="CETBodytext"/>
              <w:rPr>
                <w:lang w:val="en-GB"/>
              </w:rPr>
            </w:pPr>
            <w:r>
              <w:rPr>
                <w:lang w:val="en-GB"/>
              </w:rPr>
              <w:t>Overall mass balance closure (%)</w:t>
            </w:r>
          </w:p>
        </w:tc>
      </w:tr>
      <w:tr w:rsidR="00B4167D" w:rsidRPr="00B57B36" w14:paraId="2C143B9F" w14:textId="110CF8D4" w:rsidTr="00396742">
        <w:tc>
          <w:tcPr>
            <w:tcW w:w="2321" w:type="dxa"/>
            <w:shd w:val="clear" w:color="auto" w:fill="FFFFFF"/>
          </w:tcPr>
          <w:p w14:paraId="7FA639ED" w14:textId="19D0FA9A" w:rsidR="00B4167D" w:rsidRPr="00E804B6" w:rsidRDefault="00B4167D" w:rsidP="005E50D0">
            <w:pPr>
              <w:pStyle w:val="CETBodytext"/>
              <w:rPr>
                <w:lang w:val="en-GB"/>
              </w:rPr>
            </w:pPr>
            <w:r w:rsidRPr="00E804B6">
              <w:rPr>
                <w:lang w:val="en-GB"/>
              </w:rPr>
              <w:t>1.8</w:t>
            </w:r>
          </w:p>
        </w:tc>
        <w:tc>
          <w:tcPr>
            <w:tcW w:w="1223" w:type="dxa"/>
            <w:tcBorders>
              <w:top w:val="single" w:sz="4" w:space="0" w:color="008000"/>
            </w:tcBorders>
            <w:shd w:val="clear" w:color="auto" w:fill="FFFFFF"/>
          </w:tcPr>
          <w:p w14:paraId="7D7E4947" w14:textId="0DC94D9F" w:rsidR="00B4167D" w:rsidRDefault="00B4167D" w:rsidP="005E50D0">
            <w:pPr>
              <w:pStyle w:val="CETBodytext"/>
              <w:rPr>
                <w:lang w:val="en-GB"/>
              </w:rPr>
            </w:pPr>
            <w:r>
              <w:rPr>
                <w:lang w:val="en-GB"/>
              </w:rPr>
              <w:t>28.8</w:t>
            </w:r>
          </w:p>
        </w:tc>
        <w:tc>
          <w:tcPr>
            <w:tcW w:w="1417" w:type="dxa"/>
            <w:tcBorders>
              <w:top w:val="single" w:sz="4" w:space="0" w:color="008000"/>
            </w:tcBorders>
            <w:shd w:val="clear" w:color="auto" w:fill="FFFFFF"/>
          </w:tcPr>
          <w:p w14:paraId="008A9A5D" w14:textId="63FA78CF" w:rsidR="00B4167D" w:rsidRDefault="00B4167D" w:rsidP="005E50D0">
            <w:pPr>
              <w:pStyle w:val="CETBodytext"/>
              <w:rPr>
                <w:lang w:val="en-GB"/>
              </w:rPr>
            </w:pPr>
            <w:r>
              <w:rPr>
                <w:lang w:val="en-GB"/>
              </w:rPr>
              <w:t>25.8</w:t>
            </w:r>
          </w:p>
        </w:tc>
        <w:tc>
          <w:tcPr>
            <w:tcW w:w="1276" w:type="dxa"/>
            <w:tcBorders>
              <w:top w:val="single" w:sz="4" w:space="0" w:color="008000"/>
            </w:tcBorders>
            <w:shd w:val="clear" w:color="auto" w:fill="FFFFFF"/>
          </w:tcPr>
          <w:p w14:paraId="0876258A" w14:textId="69A8979B" w:rsidR="00B4167D" w:rsidRDefault="00B4167D" w:rsidP="005E50D0">
            <w:pPr>
              <w:pStyle w:val="CETBodytext"/>
              <w:rPr>
                <w:lang w:val="en-GB"/>
              </w:rPr>
            </w:pPr>
            <w:r>
              <w:rPr>
                <w:lang w:val="en-GB"/>
              </w:rPr>
              <w:t>23.3</w:t>
            </w:r>
          </w:p>
        </w:tc>
        <w:tc>
          <w:tcPr>
            <w:tcW w:w="2694" w:type="dxa"/>
            <w:tcBorders>
              <w:top w:val="single" w:sz="4" w:space="0" w:color="008000"/>
            </w:tcBorders>
            <w:shd w:val="clear" w:color="auto" w:fill="FFFFFF"/>
          </w:tcPr>
          <w:p w14:paraId="39B28C85" w14:textId="3A56DF0D" w:rsidR="00B4167D" w:rsidRDefault="00396742" w:rsidP="005E50D0">
            <w:pPr>
              <w:pStyle w:val="CETBodytext"/>
              <w:rPr>
                <w:lang w:val="en-GB"/>
              </w:rPr>
            </w:pPr>
            <w:r>
              <w:rPr>
                <w:lang w:val="en-GB"/>
              </w:rPr>
              <w:t>77.9</w:t>
            </w:r>
          </w:p>
        </w:tc>
      </w:tr>
      <w:tr w:rsidR="00B4167D" w:rsidRPr="00B57B36" w14:paraId="07D75EEC" w14:textId="11C5AA4D" w:rsidTr="00396742">
        <w:tc>
          <w:tcPr>
            <w:tcW w:w="2321" w:type="dxa"/>
            <w:shd w:val="clear" w:color="auto" w:fill="FFFFFF"/>
          </w:tcPr>
          <w:p w14:paraId="1F4005E6" w14:textId="376C29BC" w:rsidR="00B4167D" w:rsidRPr="00E804B6" w:rsidRDefault="00B4167D" w:rsidP="005E50D0">
            <w:pPr>
              <w:pStyle w:val="CETBodytext"/>
              <w:ind w:right="-1"/>
              <w:rPr>
                <w:rFonts w:cs="Arial"/>
                <w:szCs w:val="18"/>
                <w:lang w:val="en-GB"/>
              </w:rPr>
            </w:pPr>
            <w:r w:rsidRPr="00E804B6">
              <w:rPr>
                <w:rFonts w:cs="Arial"/>
                <w:szCs w:val="18"/>
                <w:lang w:val="en-GB"/>
              </w:rPr>
              <w:t>6.</w:t>
            </w:r>
            <w:r w:rsidR="00396742">
              <w:rPr>
                <w:rFonts w:cs="Arial"/>
                <w:szCs w:val="18"/>
                <w:lang w:val="en-GB"/>
              </w:rPr>
              <w:t>5</w:t>
            </w:r>
          </w:p>
        </w:tc>
        <w:tc>
          <w:tcPr>
            <w:tcW w:w="1223" w:type="dxa"/>
            <w:shd w:val="clear" w:color="auto" w:fill="FFFFFF"/>
          </w:tcPr>
          <w:p w14:paraId="1F78A3F5" w14:textId="5B757C0E" w:rsidR="00B4167D" w:rsidRPr="00B57B36" w:rsidRDefault="00B4167D" w:rsidP="005E50D0">
            <w:pPr>
              <w:pStyle w:val="CETBodytext"/>
              <w:ind w:right="-1"/>
              <w:rPr>
                <w:rFonts w:cs="Arial"/>
                <w:szCs w:val="18"/>
                <w:lang w:val="en-GB"/>
              </w:rPr>
            </w:pPr>
            <w:r>
              <w:rPr>
                <w:rFonts w:cs="Arial"/>
                <w:szCs w:val="18"/>
                <w:lang w:val="en-GB"/>
              </w:rPr>
              <w:t>36.5</w:t>
            </w:r>
          </w:p>
        </w:tc>
        <w:tc>
          <w:tcPr>
            <w:tcW w:w="1417" w:type="dxa"/>
            <w:shd w:val="clear" w:color="auto" w:fill="FFFFFF"/>
          </w:tcPr>
          <w:p w14:paraId="755BE409" w14:textId="4269ACD9" w:rsidR="00B4167D" w:rsidRPr="00B57B36" w:rsidRDefault="00B4167D" w:rsidP="005E50D0">
            <w:pPr>
              <w:pStyle w:val="CETBodytext"/>
              <w:ind w:right="-1"/>
              <w:rPr>
                <w:rFonts w:cs="Arial"/>
                <w:szCs w:val="18"/>
                <w:lang w:val="en-GB"/>
              </w:rPr>
            </w:pPr>
            <w:r>
              <w:rPr>
                <w:rFonts w:cs="Arial"/>
                <w:szCs w:val="18"/>
                <w:lang w:val="en-GB"/>
              </w:rPr>
              <w:t>23.6</w:t>
            </w:r>
          </w:p>
        </w:tc>
        <w:tc>
          <w:tcPr>
            <w:tcW w:w="1276" w:type="dxa"/>
            <w:shd w:val="clear" w:color="auto" w:fill="FFFFFF"/>
          </w:tcPr>
          <w:p w14:paraId="6D295299" w14:textId="2266191C" w:rsidR="00B4167D" w:rsidRPr="00B57B36" w:rsidRDefault="00B4167D" w:rsidP="005E50D0">
            <w:pPr>
              <w:pStyle w:val="CETBodytext"/>
              <w:ind w:right="-1"/>
              <w:rPr>
                <w:rFonts w:cs="Arial"/>
                <w:szCs w:val="18"/>
                <w:lang w:val="en-GB"/>
              </w:rPr>
            </w:pPr>
            <w:r>
              <w:rPr>
                <w:rFonts w:cs="Arial"/>
                <w:szCs w:val="18"/>
                <w:lang w:val="en-GB"/>
              </w:rPr>
              <w:t>22.1</w:t>
            </w:r>
          </w:p>
        </w:tc>
        <w:tc>
          <w:tcPr>
            <w:tcW w:w="2694" w:type="dxa"/>
            <w:shd w:val="clear" w:color="auto" w:fill="FFFFFF"/>
          </w:tcPr>
          <w:p w14:paraId="67231999" w14:textId="1E4DBFC2" w:rsidR="00B4167D" w:rsidRDefault="00396742" w:rsidP="005E50D0">
            <w:pPr>
              <w:pStyle w:val="CETBodytext"/>
              <w:ind w:right="-1"/>
              <w:rPr>
                <w:rFonts w:cs="Arial"/>
                <w:szCs w:val="18"/>
                <w:lang w:val="en-GB"/>
              </w:rPr>
            </w:pPr>
            <w:r>
              <w:rPr>
                <w:rFonts w:cs="Arial"/>
                <w:szCs w:val="18"/>
                <w:lang w:val="en-GB"/>
              </w:rPr>
              <w:t>82.2</w:t>
            </w:r>
          </w:p>
        </w:tc>
      </w:tr>
      <w:tr w:rsidR="00B4167D" w:rsidRPr="00B57B36" w14:paraId="370DBF02" w14:textId="4899E350" w:rsidTr="00396742">
        <w:tc>
          <w:tcPr>
            <w:tcW w:w="2321" w:type="dxa"/>
            <w:shd w:val="clear" w:color="auto" w:fill="FFFFFF"/>
          </w:tcPr>
          <w:p w14:paraId="0226C0F4" w14:textId="6AC545E1" w:rsidR="00B4167D" w:rsidRPr="00E804B6" w:rsidRDefault="00B4167D" w:rsidP="005E50D0">
            <w:pPr>
              <w:pStyle w:val="CETBodytext"/>
              <w:ind w:right="-1"/>
              <w:rPr>
                <w:rFonts w:cs="Arial"/>
                <w:szCs w:val="18"/>
                <w:lang w:val="en-GB"/>
              </w:rPr>
            </w:pPr>
            <w:r w:rsidRPr="00E804B6">
              <w:rPr>
                <w:rFonts w:cs="Arial"/>
                <w:szCs w:val="18"/>
                <w:lang w:val="en-GB"/>
              </w:rPr>
              <w:t>10.</w:t>
            </w:r>
            <w:r w:rsidR="00396742">
              <w:rPr>
                <w:rFonts w:cs="Arial"/>
                <w:szCs w:val="18"/>
                <w:lang w:val="en-GB"/>
              </w:rPr>
              <w:t>2</w:t>
            </w:r>
          </w:p>
        </w:tc>
        <w:tc>
          <w:tcPr>
            <w:tcW w:w="1223" w:type="dxa"/>
            <w:shd w:val="clear" w:color="auto" w:fill="FFFFFF"/>
          </w:tcPr>
          <w:p w14:paraId="23C5125B" w14:textId="2AB16C7F" w:rsidR="00B4167D" w:rsidRPr="00B57B36" w:rsidRDefault="00B4167D" w:rsidP="005E50D0">
            <w:pPr>
              <w:pStyle w:val="CETBodytext"/>
              <w:ind w:right="-1"/>
              <w:rPr>
                <w:rFonts w:cs="Arial"/>
                <w:szCs w:val="18"/>
                <w:lang w:val="en-GB"/>
              </w:rPr>
            </w:pPr>
            <w:r>
              <w:rPr>
                <w:rFonts w:cs="Arial"/>
                <w:szCs w:val="18"/>
                <w:lang w:val="en-GB"/>
              </w:rPr>
              <w:t>43.0</w:t>
            </w:r>
          </w:p>
        </w:tc>
        <w:tc>
          <w:tcPr>
            <w:tcW w:w="1417" w:type="dxa"/>
            <w:shd w:val="clear" w:color="auto" w:fill="FFFFFF"/>
          </w:tcPr>
          <w:p w14:paraId="5A5DEC00" w14:textId="11768BCF" w:rsidR="00B4167D" w:rsidRPr="00B57B36" w:rsidRDefault="00B4167D" w:rsidP="005E50D0">
            <w:pPr>
              <w:pStyle w:val="CETBodytext"/>
              <w:ind w:right="-1"/>
              <w:rPr>
                <w:rFonts w:cs="Arial"/>
                <w:szCs w:val="18"/>
                <w:lang w:val="en-GB"/>
              </w:rPr>
            </w:pPr>
            <w:r>
              <w:rPr>
                <w:rFonts w:cs="Arial"/>
                <w:szCs w:val="18"/>
                <w:lang w:val="en-GB"/>
              </w:rPr>
              <w:t>23.0</w:t>
            </w:r>
          </w:p>
        </w:tc>
        <w:tc>
          <w:tcPr>
            <w:tcW w:w="1276" w:type="dxa"/>
            <w:shd w:val="clear" w:color="auto" w:fill="FFFFFF"/>
          </w:tcPr>
          <w:p w14:paraId="60339CA8" w14:textId="40645B32" w:rsidR="00B4167D" w:rsidRPr="00B57B36" w:rsidRDefault="00B4167D" w:rsidP="005E50D0">
            <w:pPr>
              <w:pStyle w:val="CETBodytext"/>
              <w:ind w:right="-1"/>
              <w:rPr>
                <w:rFonts w:cs="Arial"/>
                <w:szCs w:val="18"/>
                <w:lang w:val="en-GB"/>
              </w:rPr>
            </w:pPr>
            <w:r>
              <w:rPr>
                <w:rFonts w:cs="Arial"/>
                <w:szCs w:val="18"/>
                <w:lang w:val="en-GB"/>
              </w:rPr>
              <w:t>22.9</w:t>
            </w:r>
          </w:p>
        </w:tc>
        <w:tc>
          <w:tcPr>
            <w:tcW w:w="2694" w:type="dxa"/>
            <w:shd w:val="clear" w:color="auto" w:fill="FFFFFF"/>
          </w:tcPr>
          <w:p w14:paraId="52B26102" w14:textId="72C20F47" w:rsidR="00B4167D" w:rsidRDefault="00396742" w:rsidP="005E50D0">
            <w:pPr>
              <w:pStyle w:val="CETBodytext"/>
              <w:ind w:right="-1"/>
              <w:rPr>
                <w:rFonts w:cs="Arial"/>
                <w:szCs w:val="18"/>
                <w:lang w:val="en-GB"/>
              </w:rPr>
            </w:pPr>
            <w:r>
              <w:rPr>
                <w:rFonts w:cs="Arial"/>
                <w:szCs w:val="18"/>
                <w:lang w:val="en-GB"/>
              </w:rPr>
              <w:t>88.9</w:t>
            </w:r>
          </w:p>
        </w:tc>
      </w:tr>
    </w:tbl>
    <w:p w14:paraId="1EB36F3D" w14:textId="77777777" w:rsidR="00A762DD" w:rsidRDefault="00A762DD" w:rsidP="00600535">
      <w:pPr>
        <w:pStyle w:val="CETBodytext"/>
        <w:rPr>
          <w:lang w:val="en-GB"/>
        </w:rPr>
      </w:pPr>
    </w:p>
    <w:p w14:paraId="1F96CA21" w14:textId="2556750F" w:rsidR="00600535" w:rsidRPr="00B57B36" w:rsidRDefault="008D1C1C" w:rsidP="00FA5F5F">
      <w:pPr>
        <w:pStyle w:val="CETheadingx"/>
      </w:pPr>
      <w:r>
        <w:t>Bio oil and gas characterization</w:t>
      </w:r>
    </w:p>
    <w:p w14:paraId="799E74ED" w14:textId="243CC385" w:rsidR="00F51E39" w:rsidRDefault="00105B33" w:rsidP="00600535">
      <w:pPr>
        <w:pStyle w:val="CETBodytext"/>
        <w:rPr>
          <w:lang w:val="en-GB"/>
        </w:rPr>
      </w:pPr>
      <w:r>
        <w:rPr>
          <w:lang w:val="en-GB"/>
        </w:rPr>
        <w:t xml:space="preserve">Key volatile compounds </w:t>
      </w:r>
      <w:r w:rsidR="0020479A" w:rsidRPr="0020479A">
        <w:rPr>
          <w:lang w:val="en-GB"/>
        </w:rPr>
        <w:t>determined by GC–MS</w:t>
      </w:r>
      <w:r>
        <w:rPr>
          <w:lang w:val="en-GB"/>
        </w:rPr>
        <w:t xml:space="preserve"> are reported in Table 3 </w:t>
      </w:r>
      <w:r w:rsidR="006700AD">
        <w:rPr>
          <w:lang w:val="en-GB"/>
        </w:rPr>
        <w:t>in terms of</w:t>
      </w:r>
      <w:r w:rsidR="0020479A" w:rsidRPr="0020479A">
        <w:rPr>
          <w:lang w:val="en-GB"/>
        </w:rPr>
        <w:t xml:space="preserve"> retention time (RT), and relative abundance area (area of each spectrum peak divided by total area of all peaks)</w:t>
      </w:r>
      <w:r w:rsidR="006700AD">
        <w:rPr>
          <w:lang w:val="en-GB"/>
        </w:rPr>
        <w:t xml:space="preserve"> </w:t>
      </w:r>
      <w:r w:rsidR="00E6106F">
        <w:rPr>
          <w:lang w:val="en-GB"/>
        </w:rPr>
        <w:t>while varying</w:t>
      </w:r>
      <w:r w:rsidR="00851FA4">
        <w:rPr>
          <w:lang w:val="en-GB"/>
        </w:rPr>
        <w:t xml:space="preserve"> the </w:t>
      </w:r>
      <w:r w:rsidR="000A367D">
        <w:rPr>
          <w:lang w:val="en-GB"/>
        </w:rPr>
        <w:t>carbon loading</w:t>
      </w:r>
      <w:r w:rsidR="0020479A" w:rsidRPr="0020479A">
        <w:rPr>
          <w:lang w:val="en-GB"/>
        </w:rPr>
        <w:t>.</w:t>
      </w:r>
      <w:r w:rsidR="00185147">
        <w:rPr>
          <w:lang w:val="en-GB"/>
        </w:rPr>
        <w:t xml:space="preserve"> </w:t>
      </w:r>
      <w:r w:rsidR="00185147" w:rsidRPr="00185147">
        <w:rPr>
          <w:lang w:val="en-GB"/>
        </w:rPr>
        <w:t xml:space="preserve">Compounds in bio-oil identified by GC–MS were acids, </w:t>
      </w:r>
      <w:r w:rsidR="00B01883">
        <w:rPr>
          <w:lang w:val="en-GB"/>
        </w:rPr>
        <w:t xml:space="preserve">aldehydes, </w:t>
      </w:r>
      <w:r w:rsidR="00185147" w:rsidRPr="00185147">
        <w:rPr>
          <w:lang w:val="en-GB"/>
        </w:rPr>
        <w:t>ketones, furans, phenols</w:t>
      </w:r>
      <w:r w:rsidR="00B81E9D">
        <w:rPr>
          <w:lang w:val="en-GB"/>
        </w:rPr>
        <w:t xml:space="preserve"> </w:t>
      </w:r>
      <w:r w:rsidR="00B01883">
        <w:rPr>
          <w:lang w:val="en-GB"/>
        </w:rPr>
        <w:t>and</w:t>
      </w:r>
      <w:r w:rsidR="00185147" w:rsidRPr="00185147">
        <w:rPr>
          <w:lang w:val="en-GB"/>
        </w:rPr>
        <w:t xml:space="preserve"> </w:t>
      </w:r>
      <w:proofErr w:type="spellStart"/>
      <w:r w:rsidR="00185147" w:rsidRPr="00185147">
        <w:rPr>
          <w:lang w:val="en-GB"/>
        </w:rPr>
        <w:t>anhydrosaccharides</w:t>
      </w:r>
      <w:proofErr w:type="spellEnd"/>
      <w:r w:rsidR="00185147" w:rsidRPr="00185147">
        <w:rPr>
          <w:lang w:val="en-GB"/>
        </w:rPr>
        <w:t xml:space="preserve">. Table </w:t>
      </w:r>
      <w:r w:rsidR="006A2231">
        <w:rPr>
          <w:lang w:val="en-GB"/>
        </w:rPr>
        <w:t>3</w:t>
      </w:r>
      <w:r w:rsidR="00185147" w:rsidRPr="00185147">
        <w:rPr>
          <w:lang w:val="en-GB"/>
        </w:rPr>
        <w:t xml:space="preserve"> shows that acetic acid </w:t>
      </w:r>
      <w:r w:rsidR="006A2231">
        <w:rPr>
          <w:lang w:val="en-GB"/>
        </w:rPr>
        <w:t>is</w:t>
      </w:r>
      <w:r w:rsidR="00185147" w:rsidRPr="00185147">
        <w:rPr>
          <w:lang w:val="en-GB"/>
        </w:rPr>
        <w:t xml:space="preserve"> </w:t>
      </w:r>
      <w:r w:rsidR="006A2231">
        <w:rPr>
          <w:lang w:val="en-GB"/>
        </w:rPr>
        <w:t xml:space="preserve">the </w:t>
      </w:r>
      <w:r w:rsidR="00185147" w:rsidRPr="00185147">
        <w:rPr>
          <w:lang w:val="en-GB"/>
        </w:rPr>
        <w:t xml:space="preserve">dominant acid compound </w:t>
      </w:r>
      <w:r w:rsidR="001C4FA3">
        <w:rPr>
          <w:lang w:val="en-GB"/>
        </w:rPr>
        <w:t>while</w:t>
      </w:r>
      <w:r w:rsidR="00185147" w:rsidRPr="00185147">
        <w:rPr>
          <w:lang w:val="en-GB"/>
        </w:rPr>
        <w:t xml:space="preserve"> </w:t>
      </w:r>
      <w:r w:rsidR="001C4FA3">
        <w:rPr>
          <w:lang w:val="en-GB"/>
        </w:rPr>
        <w:t>k</w:t>
      </w:r>
      <w:r w:rsidR="00185147" w:rsidRPr="00185147">
        <w:rPr>
          <w:lang w:val="en-GB"/>
        </w:rPr>
        <w:t xml:space="preserve">etones, phenols, and furans </w:t>
      </w:r>
      <w:r w:rsidR="001C4FA3">
        <w:rPr>
          <w:lang w:val="en-GB"/>
        </w:rPr>
        <w:t>are represented by several compounds</w:t>
      </w:r>
      <w:r w:rsidR="00185147" w:rsidRPr="00185147">
        <w:rPr>
          <w:lang w:val="en-GB"/>
        </w:rPr>
        <w:t xml:space="preserve">. The key functional groups were methoxy, hydroxy, and carbonyl. Most of the compounds identified in bio-oil such as acids, furans, ketones, esters, and </w:t>
      </w:r>
      <w:proofErr w:type="spellStart"/>
      <w:r w:rsidR="00185147" w:rsidRPr="00185147">
        <w:rPr>
          <w:lang w:val="en-GB"/>
        </w:rPr>
        <w:t>anhydrosaccharide</w:t>
      </w:r>
      <w:proofErr w:type="spellEnd"/>
      <w:r w:rsidR="00185147" w:rsidRPr="00185147">
        <w:rPr>
          <w:lang w:val="en-GB"/>
        </w:rPr>
        <w:t xml:space="preserve"> are likely the pyrolysis products from celluloses and hemicelluloses</w:t>
      </w:r>
      <w:r w:rsidR="00C30490" w:rsidRPr="00907F28">
        <w:rPr>
          <w:lang w:val="en-GB"/>
        </w:rPr>
        <w:t xml:space="preserve"> </w:t>
      </w:r>
      <w:r w:rsidR="009E27EC" w:rsidRPr="00907F28">
        <w:rPr>
          <w:lang w:val="en-GB"/>
        </w:rPr>
        <w:t>(Liu</w:t>
      </w:r>
      <w:r w:rsidR="00CD42F1" w:rsidRPr="00907F28">
        <w:rPr>
          <w:lang w:val="en-GB"/>
        </w:rPr>
        <w:t xml:space="preserve"> et al., 2012)</w:t>
      </w:r>
      <w:r w:rsidR="00BF603F" w:rsidRPr="00907F28">
        <w:rPr>
          <w:lang w:val="en-GB"/>
        </w:rPr>
        <w:t>, while</w:t>
      </w:r>
      <w:r w:rsidR="00185147" w:rsidRPr="00907F28">
        <w:rPr>
          <w:lang w:val="en-GB"/>
        </w:rPr>
        <w:t xml:space="preserve"> </w:t>
      </w:r>
      <w:r w:rsidR="00BF603F" w:rsidRPr="00907F28">
        <w:rPr>
          <w:lang w:val="en-GB"/>
        </w:rPr>
        <w:t>p</w:t>
      </w:r>
      <w:r w:rsidR="00185147" w:rsidRPr="00907F28">
        <w:rPr>
          <w:lang w:val="en-GB"/>
        </w:rPr>
        <w:t>henols</w:t>
      </w:r>
      <w:r w:rsidR="00185147" w:rsidRPr="00185147">
        <w:rPr>
          <w:lang w:val="en-GB"/>
        </w:rPr>
        <w:t xml:space="preserve"> are likely derived from lignin</w:t>
      </w:r>
      <w:r w:rsidR="002E0BB0" w:rsidRPr="00907F28">
        <w:rPr>
          <w:lang w:val="en-GB"/>
        </w:rPr>
        <w:t xml:space="preserve"> (</w:t>
      </w:r>
      <w:r w:rsidR="00DE6321" w:rsidRPr="00907F28">
        <w:t>Staš</w:t>
      </w:r>
      <w:r w:rsidR="004055DC" w:rsidRPr="00907F28">
        <w:rPr>
          <w:lang w:val="en-GB"/>
        </w:rPr>
        <w:t xml:space="preserve"> et al.</w:t>
      </w:r>
      <w:r w:rsidR="00A63EFB" w:rsidRPr="00907F28">
        <w:rPr>
          <w:lang w:val="en-GB"/>
        </w:rPr>
        <w:t>,</w:t>
      </w:r>
      <w:r w:rsidR="004055DC" w:rsidRPr="00907F28">
        <w:rPr>
          <w:lang w:val="en-GB"/>
        </w:rPr>
        <w:t xml:space="preserve"> 2020)</w:t>
      </w:r>
      <w:r w:rsidR="00185147" w:rsidRPr="00907F28">
        <w:rPr>
          <w:lang w:val="en-GB"/>
        </w:rPr>
        <w:t>.</w:t>
      </w:r>
      <w:r w:rsidR="00185147" w:rsidRPr="00185147">
        <w:rPr>
          <w:lang w:val="en-GB"/>
        </w:rPr>
        <w:t xml:space="preserve"> The compounds shown in Table </w:t>
      </w:r>
      <w:r w:rsidR="00C443D2">
        <w:rPr>
          <w:lang w:val="en-GB"/>
        </w:rPr>
        <w:t>3</w:t>
      </w:r>
      <w:r w:rsidR="00185147" w:rsidRPr="00185147">
        <w:rPr>
          <w:lang w:val="en-GB"/>
        </w:rPr>
        <w:t xml:space="preserve"> were typical for bio-oil derived from fast pyrolysis of biomass</w:t>
      </w:r>
      <w:r w:rsidR="00925121">
        <w:rPr>
          <w:lang w:val="en-GB"/>
        </w:rPr>
        <w:t xml:space="preserve"> (Collard and Blin, 2014)</w:t>
      </w:r>
      <w:r w:rsidR="00185147" w:rsidRPr="00185147">
        <w:rPr>
          <w:lang w:val="en-GB"/>
        </w:rPr>
        <w:t>.</w:t>
      </w:r>
      <w:r w:rsidR="00925121">
        <w:rPr>
          <w:lang w:val="en-GB"/>
        </w:rPr>
        <w:t xml:space="preserve"> </w:t>
      </w:r>
      <w:r w:rsidR="00A63EFB" w:rsidRPr="00907F28">
        <w:rPr>
          <w:lang w:val="en-GB"/>
        </w:rPr>
        <w:t>A</w:t>
      </w:r>
      <w:r w:rsidR="00341235" w:rsidRPr="00341235">
        <w:rPr>
          <w:lang w:val="en-GB"/>
        </w:rPr>
        <w:t xml:space="preserve"> higher concentration of </w:t>
      </w:r>
      <w:r w:rsidR="00925121">
        <w:rPr>
          <w:lang w:val="en-GB"/>
        </w:rPr>
        <w:t>phenolic</w:t>
      </w:r>
      <w:r w:rsidR="00341235" w:rsidRPr="00341235">
        <w:rPr>
          <w:lang w:val="en-GB"/>
        </w:rPr>
        <w:t xml:space="preserve"> compounds </w:t>
      </w:r>
      <w:r w:rsidR="00341235" w:rsidRPr="00907F28">
        <w:rPr>
          <w:lang w:val="en-GB"/>
        </w:rPr>
        <w:t>w</w:t>
      </w:r>
      <w:r w:rsidR="00A63EFB" w:rsidRPr="00907F28">
        <w:rPr>
          <w:lang w:val="en-GB"/>
        </w:rPr>
        <w:t>as</w:t>
      </w:r>
      <w:r w:rsidR="00341235" w:rsidRPr="00341235">
        <w:rPr>
          <w:lang w:val="en-GB"/>
        </w:rPr>
        <w:t xml:space="preserve"> detected when </w:t>
      </w:r>
      <w:r w:rsidR="00341235">
        <w:rPr>
          <w:lang w:val="en-GB"/>
        </w:rPr>
        <w:t xml:space="preserve">increasing the carbon loading. </w:t>
      </w:r>
      <w:r w:rsidR="00B35A1A" w:rsidRPr="00B35A1A">
        <w:rPr>
          <w:lang w:val="en-GB"/>
        </w:rPr>
        <w:t xml:space="preserve">Compounds from primary degradation of lignin such as </w:t>
      </w:r>
      <w:proofErr w:type="spellStart"/>
      <w:r w:rsidR="00B35A1A" w:rsidRPr="00B35A1A">
        <w:rPr>
          <w:lang w:val="en-GB"/>
        </w:rPr>
        <w:t>syringol</w:t>
      </w:r>
      <w:proofErr w:type="spellEnd"/>
      <w:r w:rsidR="00B35A1A" w:rsidRPr="00B35A1A">
        <w:rPr>
          <w:lang w:val="en-GB"/>
        </w:rPr>
        <w:t xml:space="preserve"> and </w:t>
      </w:r>
      <w:r w:rsidR="00A3310D">
        <w:rPr>
          <w:lang w:val="en-GB"/>
        </w:rPr>
        <w:t>trans-iso</w:t>
      </w:r>
      <w:r w:rsidR="00B35A1A" w:rsidRPr="00B35A1A">
        <w:rPr>
          <w:lang w:val="en-GB"/>
        </w:rPr>
        <w:t>eugenol were detected in appreciable amounts. Other aromatic compounds, formed through a high degradation of lignin such as cresols and methoxyphenols, we</w:t>
      </w:r>
      <w:r w:rsidR="00290FE8">
        <w:rPr>
          <w:lang w:val="en-GB"/>
        </w:rPr>
        <w:t>re detected</w:t>
      </w:r>
      <w:r w:rsidR="00B61969">
        <w:rPr>
          <w:lang w:val="en-GB"/>
        </w:rPr>
        <w:t xml:space="preserve"> in all the tests. </w:t>
      </w:r>
    </w:p>
    <w:p w14:paraId="4DF203DC" w14:textId="2843989E" w:rsidR="005E696D" w:rsidRPr="00B57B36" w:rsidRDefault="005E696D" w:rsidP="005E696D">
      <w:pPr>
        <w:pStyle w:val="CETTabletitle"/>
      </w:pPr>
      <w:r w:rsidRPr="00B57B36">
        <w:t xml:space="preserve">Table </w:t>
      </w:r>
      <w:r>
        <w:t>3</w:t>
      </w:r>
      <w:r w:rsidRPr="00B57B36">
        <w:t xml:space="preserve">: </w:t>
      </w:r>
      <w:r>
        <w:t>Products yield</w:t>
      </w:r>
    </w:p>
    <w:tbl>
      <w:tblPr>
        <w:tblW w:w="8789" w:type="dxa"/>
        <w:tblBorders>
          <w:top w:val="single" w:sz="12" w:space="0" w:color="008000"/>
          <w:bottom w:val="single" w:sz="12" w:space="0" w:color="008000"/>
        </w:tblBorders>
        <w:shd w:val="clear" w:color="auto" w:fill="FFFFFF"/>
        <w:tblCellMar>
          <w:left w:w="0" w:type="dxa"/>
          <w:right w:w="0" w:type="dxa"/>
        </w:tblCellMar>
        <w:tblLook w:val="00A0" w:firstRow="1" w:lastRow="0" w:firstColumn="1" w:lastColumn="0" w:noHBand="0" w:noVBand="0"/>
      </w:tblPr>
      <w:tblGrid>
        <w:gridCol w:w="3969"/>
        <w:gridCol w:w="1134"/>
        <w:gridCol w:w="1276"/>
        <w:gridCol w:w="1276"/>
        <w:gridCol w:w="1134"/>
      </w:tblGrid>
      <w:tr w:rsidR="002142F0" w:rsidRPr="00B57B36" w14:paraId="48DA593B" w14:textId="62BFE0FB" w:rsidTr="00E06A6D">
        <w:tc>
          <w:tcPr>
            <w:tcW w:w="3969" w:type="dxa"/>
            <w:tcBorders>
              <w:top w:val="single" w:sz="12" w:space="0" w:color="008000"/>
              <w:bottom w:val="single" w:sz="6" w:space="0" w:color="008000"/>
            </w:tcBorders>
            <w:shd w:val="clear" w:color="auto" w:fill="FFFFFF"/>
          </w:tcPr>
          <w:p w14:paraId="588AEADC" w14:textId="458097DF" w:rsidR="002142F0" w:rsidRPr="00907F28" w:rsidRDefault="00844EB5" w:rsidP="00483A5C">
            <w:pPr>
              <w:pStyle w:val="CETBodytext"/>
              <w:rPr>
                <w:lang w:val="en-GB"/>
              </w:rPr>
            </w:pPr>
            <w:r w:rsidRPr="000A367D">
              <w:rPr>
                <w:lang w:val="en-GB"/>
              </w:rPr>
              <w:t>Compound</w:t>
            </w:r>
          </w:p>
        </w:tc>
        <w:tc>
          <w:tcPr>
            <w:tcW w:w="1134" w:type="dxa"/>
            <w:tcBorders>
              <w:top w:val="single" w:sz="12" w:space="0" w:color="008000"/>
              <w:bottom w:val="single" w:sz="4" w:space="0" w:color="008000"/>
            </w:tcBorders>
            <w:shd w:val="clear" w:color="auto" w:fill="FFFFFF"/>
          </w:tcPr>
          <w:p w14:paraId="6460CEE3" w14:textId="16BE818A" w:rsidR="002142F0" w:rsidRPr="00EA1C6E" w:rsidRDefault="002142F0" w:rsidP="00483A5C">
            <w:pPr>
              <w:pStyle w:val="CETBodytext"/>
              <w:rPr>
                <w:lang w:val="en-GB"/>
              </w:rPr>
            </w:pPr>
            <w:r>
              <w:rPr>
                <w:lang w:val="en-GB"/>
              </w:rPr>
              <w:t>RT (min)</w:t>
            </w:r>
          </w:p>
        </w:tc>
        <w:tc>
          <w:tcPr>
            <w:tcW w:w="1276" w:type="dxa"/>
            <w:tcBorders>
              <w:top w:val="single" w:sz="12" w:space="0" w:color="008000"/>
              <w:bottom w:val="single" w:sz="4" w:space="0" w:color="008000"/>
            </w:tcBorders>
            <w:shd w:val="clear" w:color="auto" w:fill="FFFFFF"/>
          </w:tcPr>
          <w:p w14:paraId="02C80868" w14:textId="77777777" w:rsidR="002142F0" w:rsidRDefault="002142F0" w:rsidP="00483A5C">
            <w:pPr>
              <w:pStyle w:val="CETBodytext"/>
              <w:rPr>
                <w:lang w:val="en-GB"/>
              </w:rPr>
            </w:pPr>
            <w:r>
              <w:rPr>
                <w:lang w:val="en-GB"/>
              </w:rPr>
              <w:t>Area %</w:t>
            </w:r>
          </w:p>
          <w:p w14:paraId="70EDD9EA" w14:textId="66D69D84" w:rsidR="00844EB5" w:rsidRPr="00EA1C6E" w:rsidRDefault="00844EB5" w:rsidP="00483A5C">
            <w:pPr>
              <w:pStyle w:val="CETBodytext"/>
              <w:rPr>
                <w:lang w:val="en-GB"/>
              </w:rPr>
            </w:pPr>
            <w:r>
              <w:rPr>
                <w:lang w:val="en-GB"/>
              </w:rPr>
              <w:t>W</w:t>
            </w:r>
            <w:r>
              <w:rPr>
                <w:vertAlign w:val="subscript"/>
                <w:lang w:val="en-GB"/>
              </w:rPr>
              <w:t>C</w:t>
            </w:r>
            <w:r>
              <w:rPr>
                <w:lang w:val="en-GB"/>
              </w:rPr>
              <w:t>=1.84 g</w:t>
            </w:r>
          </w:p>
        </w:tc>
        <w:tc>
          <w:tcPr>
            <w:tcW w:w="1276" w:type="dxa"/>
            <w:tcBorders>
              <w:top w:val="single" w:sz="12" w:space="0" w:color="008000"/>
              <w:bottom w:val="single" w:sz="4" w:space="0" w:color="008000"/>
            </w:tcBorders>
            <w:shd w:val="clear" w:color="auto" w:fill="FFFFFF"/>
          </w:tcPr>
          <w:p w14:paraId="310C005E" w14:textId="77777777" w:rsidR="002142F0" w:rsidRDefault="002142F0" w:rsidP="00483A5C">
            <w:pPr>
              <w:pStyle w:val="CETBodytext"/>
              <w:rPr>
                <w:lang w:val="en-GB"/>
              </w:rPr>
            </w:pPr>
            <w:r>
              <w:rPr>
                <w:lang w:val="en-GB"/>
              </w:rPr>
              <w:t>Area (%)</w:t>
            </w:r>
          </w:p>
          <w:p w14:paraId="6FCDE515" w14:textId="6D7236D4" w:rsidR="00844EB5" w:rsidRPr="00EA1C6E" w:rsidRDefault="00844EB5" w:rsidP="00483A5C">
            <w:pPr>
              <w:pStyle w:val="CETBodytext"/>
              <w:rPr>
                <w:lang w:val="en-GB"/>
              </w:rPr>
            </w:pPr>
            <w:r>
              <w:rPr>
                <w:lang w:val="en-GB"/>
              </w:rPr>
              <w:t>W</w:t>
            </w:r>
            <w:r>
              <w:rPr>
                <w:vertAlign w:val="subscript"/>
                <w:lang w:val="en-GB"/>
              </w:rPr>
              <w:t>C</w:t>
            </w:r>
            <w:r>
              <w:rPr>
                <w:lang w:val="en-GB"/>
              </w:rPr>
              <w:t>=6.46 g</w:t>
            </w:r>
          </w:p>
        </w:tc>
        <w:tc>
          <w:tcPr>
            <w:tcW w:w="1134" w:type="dxa"/>
            <w:tcBorders>
              <w:top w:val="single" w:sz="12" w:space="0" w:color="008000"/>
              <w:bottom w:val="single" w:sz="4" w:space="0" w:color="008000"/>
            </w:tcBorders>
          </w:tcPr>
          <w:p w14:paraId="2721AF8C" w14:textId="77777777" w:rsidR="002142F0" w:rsidRDefault="002142F0" w:rsidP="00483A5C">
            <w:pPr>
              <w:pStyle w:val="CETBodytext"/>
              <w:rPr>
                <w:lang w:val="en-GB"/>
              </w:rPr>
            </w:pPr>
            <w:r>
              <w:rPr>
                <w:lang w:val="en-GB"/>
              </w:rPr>
              <w:t>Area (%)</w:t>
            </w:r>
          </w:p>
          <w:p w14:paraId="7626EB40" w14:textId="5A57C415" w:rsidR="00844EB5" w:rsidRDefault="00844EB5" w:rsidP="00483A5C">
            <w:pPr>
              <w:pStyle w:val="CETBodytext"/>
              <w:rPr>
                <w:lang w:val="en-GB"/>
              </w:rPr>
            </w:pPr>
            <w:r>
              <w:rPr>
                <w:lang w:val="en-GB"/>
              </w:rPr>
              <w:t>W</w:t>
            </w:r>
            <w:r>
              <w:rPr>
                <w:vertAlign w:val="subscript"/>
                <w:lang w:val="en-GB"/>
              </w:rPr>
              <w:t>C</w:t>
            </w:r>
            <w:r>
              <w:rPr>
                <w:lang w:val="en-GB"/>
              </w:rPr>
              <w:t>=10.19 g</w:t>
            </w:r>
          </w:p>
        </w:tc>
      </w:tr>
      <w:tr w:rsidR="003E050D" w:rsidRPr="00B57B36" w14:paraId="3101AC39" w14:textId="795AB576" w:rsidTr="00E06A6D">
        <w:tc>
          <w:tcPr>
            <w:tcW w:w="3969" w:type="dxa"/>
            <w:shd w:val="clear" w:color="auto" w:fill="FFFFFF"/>
          </w:tcPr>
          <w:p w14:paraId="7B9DF6FC" w14:textId="10ABFE85" w:rsidR="003E050D" w:rsidRPr="00907F28" w:rsidRDefault="003E050D" w:rsidP="003E050D">
            <w:pPr>
              <w:pStyle w:val="CETBodytext"/>
              <w:rPr>
                <w:lang w:val="en-GB"/>
              </w:rPr>
            </w:pPr>
            <w:r w:rsidRPr="00DA5C03">
              <w:t>hydroxy-Acetaldehyde</w:t>
            </w:r>
          </w:p>
        </w:tc>
        <w:tc>
          <w:tcPr>
            <w:tcW w:w="1134" w:type="dxa"/>
            <w:tcBorders>
              <w:top w:val="single" w:sz="4" w:space="0" w:color="008000"/>
            </w:tcBorders>
            <w:shd w:val="clear" w:color="auto" w:fill="FFFFFF"/>
          </w:tcPr>
          <w:p w14:paraId="7619177B" w14:textId="5FAD5D3D" w:rsidR="003E050D" w:rsidRDefault="003E050D" w:rsidP="003E050D">
            <w:pPr>
              <w:pStyle w:val="CETBodytext"/>
              <w:rPr>
                <w:lang w:val="en-GB"/>
              </w:rPr>
            </w:pPr>
            <w:r w:rsidRPr="00DA5C03">
              <w:t>6.98</w:t>
            </w:r>
          </w:p>
        </w:tc>
        <w:tc>
          <w:tcPr>
            <w:tcW w:w="1276" w:type="dxa"/>
            <w:tcBorders>
              <w:top w:val="single" w:sz="4" w:space="0" w:color="008000"/>
            </w:tcBorders>
            <w:shd w:val="clear" w:color="auto" w:fill="FFFFFF"/>
          </w:tcPr>
          <w:p w14:paraId="3BA6C64A" w14:textId="3725E9EC" w:rsidR="003E050D" w:rsidRDefault="003E050D" w:rsidP="003E050D">
            <w:pPr>
              <w:pStyle w:val="CETBodytext"/>
              <w:rPr>
                <w:lang w:val="en-GB"/>
              </w:rPr>
            </w:pPr>
            <w:r w:rsidRPr="00DA5C03">
              <w:t>2.38</w:t>
            </w:r>
          </w:p>
        </w:tc>
        <w:tc>
          <w:tcPr>
            <w:tcW w:w="1276" w:type="dxa"/>
            <w:tcBorders>
              <w:top w:val="single" w:sz="4" w:space="0" w:color="008000"/>
            </w:tcBorders>
            <w:shd w:val="clear" w:color="auto" w:fill="FFFFFF"/>
          </w:tcPr>
          <w:p w14:paraId="0811E16C" w14:textId="267460A1" w:rsidR="003E050D" w:rsidRDefault="003E050D" w:rsidP="003E050D">
            <w:pPr>
              <w:pStyle w:val="CETBodytext"/>
              <w:rPr>
                <w:lang w:val="en-GB"/>
              </w:rPr>
            </w:pPr>
            <w:r w:rsidRPr="00147E9B">
              <w:t>2.02</w:t>
            </w:r>
          </w:p>
        </w:tc>
        <w:tc>
          <w:tcPr>
            <w:tcW w:w="1134" w:type="dxa"/>
            <w:tcBorders>
              <w:top w:val="single" w:sz="4" w:space="0" w:color="008000"/>
            </w:tcBorders>
          </w:tcPr>
          <w:p w14:paraId="27F06A3A" w14:textId="315FC234" w:rsidR="003E050D" w:rsidRDefault="003E050D" w:rsidP="003E050D">
            <w:pPr>
              <w:pStyle w:val="CETBodytext"/>
              <w:rPr>
                <w:lang w:val="en-GB"/>
              </w:rPr>
            </w:pPr>
            <w:r w:rsidRPr="00DA5C03">
              <w:t>N.D.</w:t>
            </w:r>
          </w:p>
        </w:tc>
      </w:tr>
      <w:tr w:rsidR="003E050D" w:rsidRPr="00B57B36" w14:paraId="6B901DDF" w14:textId="19497607" w:rsidTr="00E06A6D">
        <w:tc>
          <w:tcPr>
            <w:tcW w:w="3969" w:type="dxa"/>
            <w:shd w:val="clear" w:color="auto" w:fill="FFFFFF"/>
          </w:tcPr>
          <w:p w14:paraId="2838E532" w14:textId="35054DA5" w:rsidR="003E050D" w:rsidRPr="00907F28" w:rsidRDefault="003E050D" w:rsidP="003E050D">
            <w:pPr>
              <w:pStyle w:val="CETBodytext"/>
              <w:ind w:right="-1"/>
              <w:rPr>
                <w:rFonts w:cs="Arial"/>
                <w:szCs w:val="18"/>
                <w:lang w:val="en-GB"/>
              </w:rPr>
            </w:pPr>
            <w:r w:rsidRPr="00DA5C03">
              <w:t>Acetic acid</w:t>
            </w:r>
          </w:p>
        </w:tc>
        <w:tc>
          <w:tcPr>
            <w:tcW w:w="1134" w:type="dxa"/>
            <w:shd w:val="clear" w:color="auto" w:fill="FFFFFF"/>
          </w:tcPr>
          <w:p w14:paraId="29BD6484" w14:textId="05AC141D" w:rsidR="003E050D" w:rsidRPr="00B57B36" w:rsidRDefault="003E050D" w:rsidP="003E050D">
            <w:pPr>
              <w:pStyle w:val="CETBodytext"/>
              <w:ind w:right="-1"/>
              <w:rPr>
                <w:rFonts w:cs="Arial"/>
                <w:szCs w:val="18"/>
                <w:lang w:val="en-GB"/>
              </w:rPr>
            </w:pPr>
            <w:r w:rsidRPr="00DA5C03">
              <w:t>9.13</w:t>
            </w:r>
          </w:p>
        </w:tc>
        <w:tc>
          <w:tcPr>
            <w:tcW w:w="1276" w:type="dxa"/>
            <w:shd w:val="clear" w:color="auto" w:fill="FFFFFF"/>
          </w:tcPr>
          <w:p w14:paraId="61C5DC04" w14:textId="62FD53BA" w:rsidR="003E050D" w:rsidRPr="00B57B36" w:rsidRDefault="003E050D" w:rsidP="003E050D">
            <w:pPr>
              <w:pStyle w:val="CETBodytext"/>
              <w:ind w:right="-1"/>
              <w:rPr>
                <w:rFonts w:cs="Arial"/>
                <w:szCs w:val="18"/>
                <w:lang w:val="en-GB"/>
              </w:rPr>
            </w:pPr>
            <w:r w:rsidRPr="00DA5C03">
              <w:t>13.23</w:t>
            </w:r>
          </w:p>
        </w:tc>
        <w:tc>
          <w:tcPr>
            <w:tcW w:w="1276" w:type="dxa"/>
            <w:shd w:val="clear" w:color="auto" w:fill="FFFFFF"/>
          </w:tcPr>
          <w:p w14:paraId="7E966AE7" w14:textId="2EF5306F" w:rsidR="003E050D" w:rsidRPr="00B57B36" w:rsidRDefault="003E050D" w:rsidP="003E050D">
            <w:pPr>
              <w:pStyle w:val="CETBodytext"/>
              <w:ind w:right="-1"/>
              <w:rPr>
                <w:rFonts w:cs="Arial"/>
                <w:szCs w:val="18"/>
                <w:lang w:val="en-GB"/>
              </w:rPr>
            </w:pPr>
            <w:r w:rsidRPr="00147E9B">
              <w:t>9.38</w:t>
            </w:r>
          </w:p>
        </w:tc>
        <w:tc>
          <w:tcPr>
            <w:tcW w:w="1134" w:type="dxa"/>
          </w:tcPr>
          <w:p w14:paraId="3241BCD1" w14:textId="4AF99119" w:rsidR="003E050D" w:rsidRDefault="003E050D" w:rsidP="003E050D">
            <w:pPr>
              <w:pStyle w:val="CETBodytext"/>
              <w:ind w:right="-1"/>
              <w:rPr>
                <w:rFonts w:cs="Arial"/>
                <w:szCs w:val="18"/>
                <w:lang w:val="en-GB"/>
              </w:rPr>
            </w:pPr>
            <w:r w:rsidRPr="00DA5C03">
              <w:t>8.21</w:t>
            </w:r>
          </w:p>
        </w:tc>
      </w:tr>
      <w:tr w:rsidR="003E050D" w:rsidRPr="00B57B36" w14:paraId="0B63C617" w14:textId="5A8CFD09" w:rsidTr="00E06A6D">
        <w:tc>
          <w:tcPr>
            <w:tcW w:w="3969" w:type="dxa"/>
            <w:shd w:val="clear" w:color="auto" w:fill="FFFFFF"/>
          </w:tcPr>
          <w:p w14:paraId="12D6DAE4" w14:textId="35BE49C6" w:rsidR="003E050D" w:rsidRPr="00907F28" w:rsidRDefault="003E050D" w:rsidP="003E050D">
            <w:pPr>
              <w:pStyle w:val="CETBodytext"/>
              <w:ind w:right="-1"/>
              <w:rPr>
                <w:rFonts w:cs="Arial"/>
                <w:szCs w:val="18"/>
                <w:lang w:val="en-GB"/>
              </w:rPr>
            </w:pPr>
            <w:r w:rsidRPr="00DA5C03">
              <w:t>1-hydroxy-2-Propanone</w:t>
            </w:r>
          </w:p>
        </w:tc>
        <w:tc>
          <w:tcPr>
            <w:tcW w:w="1134" w:type="dxa"/>
            <w:shd w:val="clear" w:color="auto" w:fill="FFFFFF"/>
          </w:tcPr>
          <w:p w14:paraId="57981F70" w14:textId="6FBDCCB1" w:rsidR="003E050D" w:rsidRPr="00B57B36" w:rsidRDefault="003E050D" w:rsidP="003E050D">
            <w:pPr>
              <w:pStyle w:val="CETBodytext"/>
              <w:ind w:right="-1"/>
              <w:rPr>
                <w:rFonts w:cs="Arial"/>
                <w:szCs w:val="18"/>
                <w:lang w:val="en-GB"/>
              </w:rPr>
            </w:pPr>
            <w:r w:rsidRPr="00DA5C03">
              <w:t>10.88</w:t>
            </w:r>
          </w:p>
        </w:tc>
        <w:tc>
          <w:tcPr>
            <w:tcW w:w="1276" w:type="dxa"/>
            <w:shd w:val="clear" w:color="auto" w:fill="FFFFFF"/>
          </w:tcPr>
          <w:p w14:paraId="01FAF7E3" w14:textId="6385BD44" w:rsidR="003E050D" w:rsidRPr="00B57B36" w:rsidRDefault="003E050D" w:rsidP="003E050D">
            <w:pPr>
              <w:pStyle w:val="CETBodytext"/>
              <w:ind w:right="-1"/>
              <w:rPr>
                <w:rFonts w:cs="Arial"/>
                <w:szCs w:val="18"/>
                <w:lang w:val="en-GB"/>
              </w:rPr>
            </w:pPr>
            <w:r w:rsidRPr="00DA5C03">
              <w:t>13.01</w:t>
            </w:r>
          </w:p>
        </w:tc>
        <w:tc>
          <w:tcPr>
            <w:tcW w:w="1276" w:type="dxa"/>
            <w:shd w:val="clear" w:color="auto" w:fill="FFFFFF"/>
          </w:tcPr>
          <w:p w14:paraId="14047E08" w14:textId="05103C5E" w:rsidR="003E050D" w:rsidRPr="00B57B36" w:rsidRDefault="003E050D" w:rsidP="003E050D">
            <w:pPr>
              <w:pStyle w:val="CETBodytext"/>
              <w:ind w:right="-1"/>
              <w:rPr>
                <w:rFonts w:cs="Arial"/>
                <w:szCs w:val="18"/>
                <w:lang w:val="en-GB"/>
              </w:rPr>
            </w:pPr>
            <w:r w:rsidRPr="00147E9B">
              <w:t>7.59</w:t>
            </w:r>
          </w:p>
        </w:tc>
        <w:tc>
          <w:tcPr>
            <w:tcW w:w="1134" w:type="dxa"/>
          </w:tcPr>
          <w:p w14:paraId="6DD4186F" w14:textId="259B94E0" w:rsidR="003E050D" w:rsidRDefault="003E050D" w:rsidP="003E050D">
            <w:pPr>
              <w:pStyle w:val="CETBodytext"/>
              <w:ind w:right="-1"/>
              <w:rPr>
                <w:rFonts w:cs="Arial"/>
                <w:szCs w:val="18"/>
                <w:lang w:val="en-GB"/>
              </w:rPr>
            </w:pPr>
            <w:r w:rsidRPr="00DA5C03">
              <w:t>6.59</w:t>
            </w:r>
          </w:p>
        </w:tc>
      </w:tr>
      <w:tr w:rsidR="003E050D" w:rsidRPr="00B57B36" w14:paraId="1FA7FF21" w14:textId="77777777" w:rsidTr="00E06A6D">
        <w:tc>
          <w:tcPr>
            <w:tcW w:w="3969" w:type="dxa"/>
            <w:shd w:val="clear" w:color="auto" w:fill="FFFFFF"/>
          </w:tcPr>
          <w:p w14:paraId="7B58EE49" w14:textId="5CAB0ED8" w:rsidR="003E050D" w:rsidRPr="00907F28" w:rsidRDefault="003E050D" w:rsidP="003E050D">
            <w:pPr>
              <w:pStyle w:val="CETBodytext"/>
              <w:ind w:right="-1"/>
              <w:rPr>
                <w:rFonts w:cs="Arial"/>
                <w:szCs w:val="18"/>
                <w:lang w:val="en-GB"/>
              </w:rPr>
            </w:pPr>
            <w:r w:rsidRPr="00907F28">
              <w:t>1,3-Dioxol-2-one</w:t>
            </w:r>
          </w:p>
        </w:tc>
        <w:tc>
          <w:tcPr>
            <w:tcW w:w="1134" w:type="dxa"/>
            <w:shd w:val="clear" w:color="auto" w:fill="FFFFFF"/>
          </w:tcPr>
          <w:p w14:paraId="1DBA6454" w14:textId="29655A86" w:rsidR="003E050D" w:rsidRPr="00907F28" w:rsidRDefault="003E050D" w:rsidP="003E050D">
            <w:pPr>
              <w:pStyle w:val="CETBodytext"/>
              <w:ind w:right="-1"/>
              <w:rPr>
                <w:rFonts w:cs="Arial"/>
                <w:szCs w:val="18"/>
                <w:lang w:val="en-GB"/>
              </w:rPr>
            </w:pPr>
            <w:r w:rsidRPr="00907F28">
              <w:t>11.85</w:t>
            </w:r>
          </w:p>
        </w:tc>
        <w:tc>
          <w:tcPr>
            <w:tcW w:w="1276" w:type="dxa"/>
            <w:shd w:val="clear" w:color="auto" w:fill="FFFFFF"/>
          </w:tcPr>
          <w:p w14:paraId="12A79D18" w14:textId="304E894B" w:rsidR="003E050D" w:rsidRPr="00907F28" w:rsidRDefault="003E050D" w:rsidP="003E050D">
            <w:pPr>
              <w:pStyle w:val="CETBodytext"/>
              <w:ind w:right="-1"/>
              <w:rPr>
                <w:rFonts w:cs="Arial"/>
                <w:szCs w:val="18"/>
                <w:lang w:val="en-GB"/>
              </w:rPr>
            </w:pPr>
            <w:r w:rsidRPr="00907F28">
              <w:t>0.50</w:t>
            </w:r>
          </w:p>
        </w:tc>
        <w:tc>
          <w:tcPr>
            <w:tcW w:w="1276" w:type="dxa"/>
            <w:shd w:val="clear" w:color="auto" w:fill="FFFFFF"/>
          </w:tcPr>
          <w:p w14:paraId="43426C7F" w14:textId="2A2DD0DD" w:rsidR="003E050D" w:rsidRPr="00907F28" w:rsidRDefault="003E050D" w:rsidP="003E050D">
            <w:pPr>
              <w:pStyle w:val="CETBodytext"/>
              <w:ind w:right="-1"/>
              <w:rPr>
                <w:rFonts w:cs="Arial"/>
                <w:szCs w:val="18"/>
                <w:lang w:val="en-GB"/>
              </w:rPr>
            </w:pPr>
            <w:r w:rsidRPr="00907F28">
              <w:t>0.11</w:t>
            </w:r>
          </w:p>
        </w:tc>
        <w:tc>
          <w:tcPr>
            <w:tcW w:w="1134" w:type="dxa"/>
          </w:tcPr>
          <w:p w14:paraId="6649289D" w14:textId="23098C32" w:rsidR="003E050D" w:rsidRPr="00907F28" w:rsidRDefault="003E050D" w:rsidP="003E050D">
            <w:pPr>
              <w:pStyle w:val="CETBodytext"/>
              <w:ind w:right="-1"/>
              <w:rPr>
                <w:rFonts w:cs="Arial"/>
                <w:szCs w:val="18"/>
                <w:lang w:val="en-GB"/>
              </w:rPr>
            </w:pPr>
            <w:r w:rsidRPr="00907F28">
              <w:t>N.D.</w:t>
            </w:r>
          </w:p>
        </w:tc>
      </w:tr>
      <w:tr w:rsidR="003E050D" w:rsidRPr="00B57B36" w14:paraId="1E5C0B65" w14:textId="77777777" w:rsidTr="00E06A6D">
        <w:tc>
          <w:tcPr>
            <w:tcW w:w="3969" w:type="dxa"/>
            <w:shd w:val="clear" w:color="auto" w:fill="FFFFFF"/>
          </w:tcPr>
          <w:p w14:paraId="647DF879" w14:textId="52FD2DA8" w:rsidR="003E050D" w:rsidRPr="00907F28" w:rsidRDefault="003E050D" w:rsidP="003E050D">
            <w:pPr>
              <w:pStyle w:val="CETBodytext"/>
              <w:ind w:right="-1"/>
              <w:rPr>
                <w:rFonts w:cs="Arial"/>
                <w:szCs w:val="18"/>
                <w:lang w:val="en-GB"/>
              </w:rPr>
            </w:pPr>
            <w:r w:rsidRPr="007B28E9">
              <w:t>Propanoic acid</w:t>
            </w:r>
          </w:p>
        </w:tc>
        <w:tc>
          <w:tcPr>
            <w:tcW w:w="1134" w:type="dxa"/>
            <w:shd w:val="clear" w:color="auto" w:fill="FFFFFF"/>
          </w:tcPr>
          <w:p w14:paraId="4FB22315" w14:textId="55CD7633" w:rsidR="003E050D" w:rsidRDefault="003E050D" w:rsidP="003E050D">
            <w:pPr>
              <w:pStyle w:val="CETBodytext"/>
              <w:ind w:right="-1"/>
              <w:rPr>
                <w:rFonts w:cs="Arial"/>
                <w:szCs w:val="18"/>
                <w:lang w:val="en-GB"/>
              </w:rPr>
            </w:pPr>
            <w:r w:rsidRPr="007B28E9">
              <w:t>14.17</w:t>
            </w:r>
          </w:p>
        </w:tc>
        <w:tc>
          <w:tcPr>
            <w:tcW w:w="1276" w:type="dxa"/>
            <w:shd w:val="clear" w:color="auto" w:fill="FFFFFF"/>
          </w:tcPr>
          <w:p w14:paraId="7FF8B065" w14:textId="463C5925" w:rsidR="003E050D" w:rsidRDefault="003E050D" w:rsidP="003E050D">
            <w:pPr>
              <w:pStyle w:val="CETBodytext"/>
              <w:ind w:right="-1"/>
              <w:rPr>
                <w:rFonts w:cs="Arial"/>
                <w:szCs w:val="18"/>
                <w:lang w:val="en-GB"/>
              </w:rPr>
            </w:pPr>
            <w:r w:rsidRPr="007B28E9">
              <w:t>0.74</w:t>
            </w:r>
          </w:p>
        </w:tc>
        <w:tc>
          <w:tcPr>
            <w:tcW w:w="1276" w:type="dxa"/>
            <w:shd w:val="clear" w:color="auto" w:fill="FFFFFF"/>
          </w:tcPr>
          <w:p w14:paraId="029415BF" w14:textId="6CE0D385" w:rsidR="003E050D" w:rsidRDefault="003E050D" w:rsidP="003E050D">
            <w:pPr>
              <w:pStyle w:val="CETBodytext"/>
              <w:ind w:right="-1"/>
              <w:rPr>
                <w:rFonts w:cs="Arial"/>
                <w:szCs w:val="18"/>
                <w:lang w:val="en-GB"/>
              </w:rPr>
            </w:pPr>
            <w:r w:rsidRPr="00147E9B">
              <w:t>0.61</w:t>
            </w:r>
          </w:p>
        </w:tc>
        <w:tc>
          <w:tcPr>
            <w:tcW w:w="1134" w:type="dxa"/>
          </w:tcPr>
          <w:p w14:paraId="0612E807" w14:textId="45B8AF61" w:rsidR="003E050D" w:rsidRDefault="003E050D" w:rsidP="003E050D">
            <w:pPr>
              <w:pStyle w:val="CETBodytext"/>
              <w:ind w:right="-1"/>
              <w:rPr>
                <w:rFonts w:cs="Arial"/>
                <w:szCs w:val="18"/>
                <w:lang w:val="en-GB"/>
              </w:rPr>
            </w:pPr>
            <w:r w:rsidRPr="007B28E9">
              <w:t>0.68</w:t>
            </w:r>
          </w:p>
        </w:tc>
      </w:tr>
      <w:tr w:rsidR="003E050D" w:rsidRPr="00B57B36" w14:paraId="2FE4B292" w14:textId="77777777" w:rsidTr="00E06A6D">
        <w:tc>
          <w:tcPr>
            <w:tcW w:w="3969" w:type="dxa"/>
            <w:shd w:val="clear" w:color="auto" w:fill="FFFFFF"/>
          </w:tcPr>
          <w:p w14:paraId="567C30AE" w14:textId="592D00B7" w:rsidR="003E050D" w:rsidRPr="00907F28" w:rsidRDefault="003E050D" w:rsidP="003E050D">
            <w:pPr>
              <w:pStyle w:val="CETBodytext"/>
              <w:ind w:right="-1"/>
              <w:rPr>
                <w:rFonts w:cs="Arial"/>
                <w:szCs w:val="18"/>
                <w:lang w:val="en-GB"/>
              </w:rPr>
            </w:pPr>
            <w:r w:rsidRPr="007B28E9">
              <w:t>1-Hydroxy-2-butanone</w:t>
            </w:r>
          </w:p>
        </w:tc>
        <w:tc>
          <w:tcPr>
            <w:tcW w:w="1134" w:type="dxa"/>
            <w:shd w:val="clear" w:color="auto" w:fill="FFFFFF"/>
          </w:tcPr>
          <w:p w14:paraId="75645D59" w14:textId="2E815C93" w:rsidR="003E050D" w:rsidRDefault="003E050D" w:rsidP="003E050D">
            <w:pPr>
              <w:pStyle w:val="CETBodytext"/>
              <w:ind w:right="-1"/>
              <w:rPr>
                <w:rFonts w:cs="Arial"/>
                <w:szCs w:val="18"/>
                <w:lang w:val="en-GB"/>
              </w:rPr>
            </w:pPr>
            <w:r w:rsidRPr="007B28E9">
              <w:t>16.52</w:t>
            </w:r>
          </w:p>
        </w:tc>
        <w:tc>
          <w:tcPr>
            <w:tcW w:w="1276" w:type="dxa"/>
            <w:shd w:val="clear" w:color="auto" w:fill="FFFFFF"/>
          </w:tcPr>
          <w:p w14:paraId="265E0CE1" w14:textId="33C9430D" w:rsidR="003E050D" w:rsidRDefault="003E050D" w:rsidP="003E050D">
            <w:pPr>
              <w:pStyle w:val="CETBodytext"/>
              <w:ind w:right="-1"/>
              <w:rPr>
                <w:rFonts w:cs="Arial"/>
                <w:szCs w:val="18"/>
                <w:lang w:val="en-GB"/>
              </w:rPr>
            </w:pPr>
            <w:r w:rsidRPr="007B28E9">
              <w:t>4.60</w:t>
            </w:r>
          </w:p>
        </w:tc>
        <w:tc>
          <w:tcPr>
            <w:tcW w:w="1276" w:type="dxa"/>
            <w:shd w:val="clear" w:color="auto" w:fill="FFFFFF"/>
          </w:tcPr>
          <w:p w14:paraId="0120DCCC" w14:textId="3D986DFF" w:rsidR="003E050D" w:rsidRDefault="003E050D" w:rsidP="003E050D">
            <w:pPr>
              <w:pStyle w:val="CETBodytext"/>
              <w:ind w:right="-1"/>
              <w:rPr>
                <w:rFonts w:cs="Arial"/>
                <w:szCs w:val="18"/>
                <w:lang w:val="en-GB"/>
              </w:rPr>
            </w:pPr>
            <w:r w:rsidRPr="00147E9B">
              <w:t>2.18</w:t>
            </w:r>
          </w:p>
        </w:tc>
        <w:tc>
          <w:tcPr>
            <w:tcW w:w="1134" w:type="dxa"/>
          </w:tcPr>
          <w:p w14:paraId="64C33568" w14:textId="5EC2B76C" w:rsidR="003E050D" w:rsidRDefault="003E050D" w:rsidP="003E050D">
            <w:pPr>
              <w:pStyle w:val="CETBodytext"/>
              <w:ind w:right="-1"/>
              <w:rPr>
                <w:rFonts w:cs="Arial"/>
                <w:szCs w:val="18"/>
                <w:lang w:val="en-GB"/>
              </w:rPr>
            </w:pPr>
            <w:r w:rsidRPr="007B28E9">
              <w:t>2.03</w:t>
            </w:r>
          </w:p>
        </w:tc>
      </w:tr>
      <w:tr w:rsidR="003E050D" w:rsidRPr="00B57B36" w14:paraId="14C96850" w14:textId="77777777" w:rsidTr="00E06A6D">
        <w:tc>
          <w:tcPr>
            <w:tcW w:w="3969" w:type="dxa"/>
            <w:shd w:val="clear" w:color="auto" w:fill="FFFFFF"/>
          </w:tcPr>
          <w:p w14:paraId="49DCF06C" w14:textId="6F03923B" w:rsidR="003E050D" w:rsidRPr="00907F28" w:rsidRDefault="003E050D" w:rsidP="003E050D">
            <w:pPr>
              <w:pStyle w:val="CETBodytext"/>
              <w:ind w:right="-1"/>
              <w:rPr>
                <w:rFonts w:cs="Arial"/>
                <w:szCs w:val="18"/>
                <w:lang w:val="en-GB"/>
              </w:rPr>
            </w:pPr>
            <w:proofErr w:type="spellStart"/>
            <w:r w:rsidRPr="007B28E9">
              <w:t>Succindialdehyde</w:t>
            </w:r>
            <w:proofErr w:type="spellEnd"/>
          </w:p>
        </w:tc>
        <w:tc>
          <w:tcPr>
            <w:tcW w:w="1134" w:type="dxa"/>
            <w:shd w:val="clear" w:color="auto" w:fill="FFFFFF"/>
          </w:tcPr>
          <w:p w14:paraId="3C0045E3" w14:textId="770DE621" w:rsidR="003E050D" w:rsidRDefault="003E050D" w:rsidP="003E050D">
            <w:pPr>
              <w:pStyle w:val="CETBodytext"/>
              <w:ind w:right="-1"/>
              <w:rPr>
                <w:rFonts w:cs="Arial"/>
                <w:szCs w:val="18"/>
                <w:lang w:val="en-GB"/>
              </w:rPr>
            </w:pPr>
            <w:r w:rsidRPr="007B28E9">
              <w:t>18.07</w:t>
            </w:r>
          </w:p>
        </w:tc>
        <w:tc>
          <w:tcPr>
            <w:tcW w:w="1276" w:type="dxa"/>
            <w:shd w:val="clear" w:color="auto" w:fill="FFFFFF"/>
          </w:tcPr>
          <w:p w14:paraId="7185E975" w14:textId="6B427433" w:rsidR="003E050D" w:rsidRDefault="003E050D" w:rsidP="003E050D">
            <w:pPr>
              <w:pStyle w:val="CETBodytext"/>
              <w:ind w:right="-1"/>
              <w:rPr>
                <w:rFonts w:cs="Arial"/>
                <w:szCs w:val="18"/>
                <w:lang w:val="en-GB"/>
              </w:rPr>
            </w:pPr>
            <w:r w:rsidRPr="007B28E9">
              <w:t>4.35</w:t>
            </w:r>
          </w:p>
        </w:tc>
        <w:tc>
          <w:tcPr>
            <w:tcW w:w="1276" w:type="dxa"/>
            <w:shd w:val="clear" w:color="auto" w:fill="FFFFFF"/>
          </w:tcPr>
          <w:p w14:paraId="395A1F19" w14:textId="48B124D0" w:rsidR="003E050D" w:rsidRDefault="003E050D" w:rsidP="003E050D">
            <w:pPr>
              <w:pStyle w:val="CETBodytext"/>
              <w:ind w:right="-1"/>
              <w:rPr>
                <w:rFonts w:cs="Arial"/>
                <w:szCs w:val="18"/>
                <w:lang w:val="en-GB"/>
              </w:rPr>
            </w:pPr>
            <w:r w:rsidRPr="00147E9B">
              <w:t>1.33</w:t>
            </w:r>
          </w:p>
        </w:tc>
        <w:tc>
          <w:tcPr>
            <w:tcW w:w="1134" w:type="dxa"/>
          </w:tcPr>
          <w:p w14:paraId="5167C3A5" w14:textId="533F11C9" w:rsidR="003E050D" w:rsidRDefault="003E050D" w:rsidP="003E050D">
            <w:pPr>
              <w:pStyle w:val="CETBodytext"/>
              <w:ind w:right="-1"/>
              <w:rPr>
                <w:rFonts w:cs="Arial"/>
                <w:szCs w:val="18"/>
                <w:lang w:val="en-GB"/>
              </w:rPr>
            </w:pPr>
            <w:r w:rsidRPr="007B28E9">
              <w:t>1.03</w:t>
            </w:r>
          </w:p>
        </w:tc>
      </w:tr>
      <w:tr w:rsidR="003E050D" w:rsidRPr="00B57B36" w14:paraId="2DC00F2D" w14:textId="77777777" w:rsidTr="00E06A6D">
        <w:tc>
          <w:tcPr>
            <w:tcW w:w="3969" w:type="dxa"/>
            <w:shd w:val="clear" w:color="auto" w:fill="FFFFFF"/>
          </w:tcPr>
          <w:p w14:paraId="6B56EE93" w14:textId="359A2DF4" w:rsidR="003E050D" w:rsidRPr="00907F28" w:rsidRDefault="003E050D" w:rsidP="003E050D">
            <w:pPr>
              <w:pStyle w:val="CETBodytext"/>
              <w:ind w:right="-1"/>
              <w:rPr>
                <w:rFonts w:cs="Arial"/>
                <w:szCs w:val="18"/>
                <w:lang w:val="en-GB"/>
              </w:rPr>
            </w:pPr>
            <w:r w:rsidRPr="007B28E9">
              <w:t xml:space="preserve">2-oxo-, methyl ester Propanoic acid </w:t>
            </w:r>
          </w:p>
        </w:tc>
        <w:tc>
          <w:tcPr>
            <w:tcW w:w="1134" w:type="dxa"/>
            <w:shd w:val="clear" w:color="auto" w:fill="FFFFFF"/>
          </w:tcPr>
          <w:p w14:paraId="010B5DD7" w14:textId="76E1ACA0" w:rsidR="003E050D" w:rsidRDefault="003E050D" w:rsidP="003E050D">
            <w:pPr>
              <w:pStyle w:val="CETBodytext"/>
              <w:ind w:right="-1"/>
              <w:rPr>
                <w:rFonts w:cs="Arial"/>
                <w:szCs w:val="18"/>
                <w:lang w:val="en-GB"/>
              </w:rPr>
            </w:pPr>
            <w:r w:rsidRPr="007B28E9">
              <w:t>18.44</w:t>
            </w:r>
          </w:p>
        </w:tc>
        <w:tc>
          <w:tcPr>
            <w:tcW w:w="1276" w:type="dxa"/>
            <w:shd w:val="clear" w:color="auto" w:fill="FFFFFF"/>
          </w:tcPr>
          <w:p w14:paraId="2C1BABE4" w14:textId="4AA85ECD" w:rsidR="003E050D" w:rsidRDefault="003E050D" w:rsidP="003E050D">
            <w:pPr>
              <w:pStyle w:val="CETBodytext"/>
              <w:ind w:right="-1"/>
              <w:rPr>
                <w:rFonts w:cs="Arial"/>
                <w:szCs w:val="18"/>
                <w:lang w:val="en-GB"/>
              </w:rPr>
            </w:pPr>
            <w:r w:rsidRPr="007B28E9">
              <w:t>0.83</w:t>
            </w:r>
          </w:p>
        </w:tc>
        <w:tc>
          <w:tcPr>
            <w:tcW w:w="1276" w:type="dxa"/>
            <w:shd w:val="clear" w:color="auto" w:fill="FFFFFF"/>
          </w:tcPr>
          <w:p w14:paraId="3C9E18CE" w14:textId="387BC1DC" w:rsidR="003E050D" w:rsidRDefault="003E050D" w:rsidP="003E050D">
            <w:pPr>
              <w:pStyle w:val="CETBodytext"/>
              <w:ind w:right="-1"/>
              <w:rPr>
                <w:rFonts w:cs="Arial"/>
                <w:szCs w:val="18"/>
                <w:lang w:val="en-GB"/>
              </w:rPr>
            </w:pPr>
            <w:r w:rsidRPr="00147E9B">
              <w:t>0.34</w:t>
            </w:r>
          </w:p>
        </w:tc>
        <w:tc>
          <w:tcPr>
            <w:tcW w:w="1134" w:type="dxa"/>
          </w:tcPr>
          <w:p w14:paraId="182A670D" w14:textId="7DC67707" w:rsidR="003E050D" w:rsidRDefault="003E050D" w:rsidP="003E050D">
            <w:pPr>
              <w:pStyle w:val="CETBodytext"/>
              <w:ind w:right="-1"/>
              <w:rPr>
                <w:rFonts w:cs="Arial"/>
                <w:szCs w:val="18"/>
                <w:lang w:val="en-GB"/>
              </w:rPr>
            </w:pPr>
            <w:r w:rsidRPr="007B28E9">
              <w:t>0.36</w:t>
            </w:r>
          </w:p>
        </w:tc>
      </w:tr>
      <w:tr w:rsidR="003E050D" w:rsidRPr="00B57B36" w14:paraId="2A450B52" w14:textId="77777777" w:rsidTr="00E06A6D">
        <w:tc>
          <w:tcPr>
            <w:tcW w:w="3969" w:type="dxa"/>
            <w:shd w:val="clear" w:color="auto" w:fill="FFFFFF"/>
          </w:tcPr>
          <w:p w14:paraId="499DE1B9" w14:textId="41D13577" w:rsidR="003E050D" w:rsidRPr="00907F28" w:rsidRDefault="003E050D" w:rsidP="003E050D">
            <w:pPr>
              <w:pStyle w:val="CETBodytext"/>
              <w:ind w:right="-1"/>
              <w:rPr>
                <w:rFonts w:cs="Arial"/>
                <w:szCs w:val="18"/>
                <w:lang w:val="en-GB"/>
              </w:rPr>
            </w:pPr>
            <w:r w:rsidRPr="007B28E9">
              <w:t>Butanoic acid</w:t>
            </w:r>
          </w:p>
        </w:tc>
        <w:tc>
          <w:tcPr>
            <w:tcW w:w="1134" w:type="dxa"/>
            <w:shd w:val="clear" w:color="auto" w:fill="FFFFFF"/>
          </w:tcPr>
          <w:p w14:paraId="48E95B96" w14:textId="11FCDBB1" w:rsidR="003E050D" w:rsidRDefault="003E050D" w:rsidP="003E050D">
            <w:pPr>
              <w:pStyle w:val="CETBodytext"/>
              <w:ind w:right="-1"/>
              <w:rPr>
                <w:rFonts w:cs="Arial"/>
                <w:szCs w:val="18"/>
                <w:lang w:val="en-GB"/>
              </w:rPr>
            </w:pPr>
            <w:r w:rsidRPr="007B28E9">
              <w:t>19.14</w:t>
            </w:r>
          </w:p>
        </w:tc>
        <w:tc>
          <w:tcPr>
            <w:tcW w:w="1276" w:type="dxa"/>
            <w:shd w:val="clear" w:color="auto" w:fill="FFFFFF"/>
          </w:tcPr>
          <w:p w14:paraId="3B6B5A1E" w14:textId="2C84D764" w:rsidR="003E050D" w:rsidRDefault="003E050D" w:rsidP="003E050D">
            <w:pPr>
              <w:pStyle w:val="CETBodytext"/>
              <w:ind w:right="-1"/>
              <w:rPr>
                <w:rFonts w:cs="Arial"/>
                <w:szCs w:val="18"/>
                <w:lang w:val="en-GB"/>
              </w:rPr>
            </w:pPr>
            <w:r w:rsidRPr="007B28E9">
              <w:t>0.22</w:t>
            </w:r>
          </w:p>
        </w:tc>
        <w:tc>
          <w:tcPr>
            <w:tcW w:w="1276" w:type="dxa"/>
            <w:shd w:val="clear" w:color="auto" w:fill="FFFFFF"/>
          </w:tcPr>
          <w:p w14:paraId="206CF576" w14:textId="7C20B028" w:rsidR="003E050D" w:rsidRDefault="003E050D" w:rsidP="003E050D">
            <w:pPr>
              <w:pStyle w:val="CETBodytext"/>
              <w:ind w:right="-1"/>
              <w:rPr>
                <w:rFonts w:cs="Arial"/>
                <w:szCs w:val="18"/>
                <w:lang w:val="en-GB"/>
              </w:rPr>
            </w:pPr>
            <w:r w:rsidRPr="00147E9B">
              <w:t>0.19</w:t>
            </w:r>
          </w:p>
        </w:tc>
        <w:tc>
          <w:tcPr>
            <w:tcW w:w="1134" w:type="dxa"/>
          </w:tcPr>
          <w:p w14:paraId="0F116B10" w14:textId="016CC4CE" w:rsidR="003E050D" w:rsidRDefault="003E050D" w:rsidP="003E050D">
            <w:pPr>
              <w:pStyle w:val="CETBodytext"/>
              <w:ind w:right="-1"/>
              <w:rPr>
                <w:rFonts w:cs="Arial"/>
                <w:szCs w:val="18"/>
                <w:lang w:val="en-GB"/>
              </w:rPr>
            </w:pPr>
            <w:r w:rsidRPr="007B28E9">
              <w:t>0.31</w:t>
            </w:r>
          </w:p>
        </w:tc>
      </w:tr>
      <w:tr w:rsidR="003E050D" w:rsidRPr="00B57B36" w14:paraId="7242A092" w14:textId="77777777" w:rsidTr="00E06A6D">
        <w:tc>
          <w:tcPr>
            <w:tcW w:w="3969" w:type="dxa"/>
            <w:shd w:val="clear" w:color="auto" w:fill="FFFFFF"/>
          </w:tcPr>
          <w:p w14:paraId="6260BDE0" w14:textId="440A9A21" w:rsidR="003E050D" w:rsidRPr="00907F28" w:rsidRDefault="003E050D" w:rsidP="003E050D">
            <w:pPr>
              <w:pStyle w:val="CETBodytext"/>
              <w:ind w:right="-1"/>
              <w:rPr>
                <w:rFonts w:cs="Arial"/>
                <w:szCs w:val="18"/>
                <w:lang w:val="en-GB"/>
              </w:rPr>
            </w:pPr>
            <w:r w:rsidRPr="005D1B0F">
              <w:t xml:space="preserve">tetrahydro-2-Furanmethanol </w:t>
            </w:r>
          </w:p>
        </w:tc>
        <w:tc>
          <w:tcPr>
            <w:tcW w:w="1134" w:type="dxa"/>
            <w:shd w:val="clear" w:color="auto" w:fill="FFFFFF"/>
          </w:tcPr>
          <w:p w14:paraId="34612BF8" w14:textId="65C7C817" w:rsidR="003E050D" w:rsidRDefault="003E050D" w:rsidP="003E050D">
            <w:pPr>
              <w:pStyle w:val="CETBodytext"/>
              <w:ind w:right="-1"/>
              <w:rPr>
                <w:rFonts w:cs="Arial"/>
                <w:szCs w:val="18"/>
                <w:lang w:val="en-GB"/>
              </w:rPr>
            </w:pPr>
            <w:r w:rsidRPr="005D1B0F">
              <w:t>19.32</w:t>
            </w:r>
          </w:p>
        </w:tc>
        <w:tc>
          <w:tcPr>
            <w:tcW w:w="1276" w:type="dxa"/>
            <w:shd w:val="clear" w:color="auto" w:fill="FFFFFF"/>
          </w:tcPr>
          <w:p w14:paraId="0EE08AA9" w14:textId="3C540DF8" w:rsidR="003E050D" w:rsidRDefault="003E050D" w:rsidP="003E050D">
            <w:pPr>
              <w:pStyle w:val="CETBodytext"/>
              <w:ind w:right="-1"/>
              <w:rPr>
                <w:rFonts w:cs="Arial"/>
                <w:szCs w:val="18"/>
                <w:lang w:val="en-GB"/>
              </w:rPr>
            </w:pPr>
            <w:r w:rsidRPr="005D1B0F">
              <w:t>0.32</w:t>
            </w:r>
          </w:p>
        </w:tc>
        <w:tc>
          <w:tcPr>
            <w:tcW w:w="1276" w:type="dxa"/>
            <w:shd w:val="clear" w:color="auto" w:fill="FFFFFF"/>
          </w:tcPr>
          <w:p w14:paraId="57342666" w14:textId="2A4C34D2" w:rsidR="003E050D" w:rsidRDefault="003E050D" w:rsidP="003E050D">
            <w:pPr>
              <w:pStyle w:val="CETBodytext"/>
              <w:ind w:right="-1"/>
              <w:rPr>
                <w:rFonts w:cs="Arial"/>
                <w:szCs w:val="18"/>
                <w:lang w:val="en-GB"/>
              </w:rPr>
            </w:pPr>
            <w:r w:rsidRPr="00147E9B">
              <w:t>0.21</w:t>
            </w:r>
          </w:p>
        </w:tc>
        <w:tc>
          <w:tcPr>
            <w:tcW w:w="1134" w:type="dxa"/>
          </w:tcPr>
          <w:p w14:paraId="06B1E8F5" w14:textId="08F47C86" w:rsidR="003E050D" w:rsidRDefault="003E050D" w:rsidP="003E050D">
            <w:pPr>
              <w:pStyle w:val="CETBodytext"/>
              <w:ind w:right="-1"/>
              <w:rPr>
                <w:rFonts w:cs="Arial"/>
                <w:szCs w:val="18"/>
                <w:lang w:val="en-GB"/>
              </w:rPr>
            </w:pPr>
            <w:r w:rsidRPr="005D1B0F">
              <w:t>0.22</w:t>
            </w:r>
          </w:p>
        </w:tc>
      </w:tr>
      <w:tr w:rsidR="003E050D" w:rsidRPr="00B57B36" w14:paraId="04AA2A80" w14:textId="77777777" w:rsidTr="00E06A6D">
        <w:tc>
          <w:tcPr>
            <w:tcW w:w="3969" w:type="dxa"/>
            <w:shd w:val="clear" w:color="auto" w:fill="FFFFFF"/>
          </w:tcPr>
          <w:p w14:paraId="49DCF169" w14:textId="2659D668" w:rsidR="003E050D" w:rsidRPr="00907F28" w:rsidRDefault="003E050D" w:rsidP="003E050D">
            <w:pPr>
              <w:pStyle w:val="CETBodytext"/>
              <w:ind w:right="-1"/>
              <w:rPr>
                <w:rFonts w:cs="Arial"/>
                <w:szCs w:val="18"/>
                <w:lang w:val="en-GB"/>
              </w:rPr>
            </w:pPr>
            <w:r w:rsidRPr="005D1B0F">
              <w:t>2-Cyclopenten-1-one</w:t>
            </w:r>
          </w:p>
        </w:tc>
        <w:tc>
          <w:tcPr>
            <w:tcW w:w="1134" w:type="dxa"/>
            <w:shd w:val="clear" w:color="auto" w:fill="FFFFFF"/>
          </w:tcPr>
          <w:p w14:paraId="3C262B87" w14:textId="5F831052" w:rsidR="003E050D" w:rsidRDefault="003E050D" w:rsidP="003E050D">
            <w:pPr>
              <w:pStyle w:val="CETBodytext"/>
              <w:ind w:right="-1"/>
              <w:rPr>
                <w:rFonts w:cs="Arial"/>
                <w:szCs w:val="18"/>
                <w:lang w:val="en-GB"/>
              </w:rPr>
            </w:pPr>
            <w:r w:rsidRPr="005D1B0F">
              <w:t>20.18</w:t>
            </w:r>
          </w:p>
        </w:tc>
        <w:tc>
          <w:tcPr>
            <w:tcW w:w="1276" w:type="dxa"/>
            <w:shd w:val="clear" w:color="auto" w:fill="FFFFFF"/>
          </w:tcPr>
          <w:p w14:paraId="1F60A07A" w14:textId="42161100" w:rsidR="003E050D" w:rsidRDefault="003E050D" w:rsidP="003E050D">
            <w:pPr>
              <w:pStyle w:val="CETBodytext"/>
              <w:ind w:right="-1"/>
              <w:rPr>
                <w:rFonts w:cs="Arial"/>
                <w:szCs w:val="18"/>
                <w:lang w:val="en-GB"/>
              </w:rPr>
            </w:pPr>
            <w:r w:rsidRPr="005D1B0F">
              <w:t>2.84</w:t>
            </w:r>
          </w:p>
        </w:tc>
        <w:tc>
          <w:tcPr>
            <w:tcW w:w="1276" w:type="dxa"/>
            <w:shd w:val="clear" w:color="auto" w:fill="FFFFFF"/>
          </w:tcPr>
          <w:p w14:paraId="58F93845" w14:textId="517F4DF2" w:rsidR="003E050D" w:rsidRDefault="003E050D" w:rsidP="003E050D">
            <w:pPr>
              <w:pStyle w:val="CETBodytext"/>
              <w:ind w:right="-1"/>
              <w:rPr>
                <w:rFonts w:cs="Arial"/>
                <w:szCs w:val="18"/>
                <w:lang w:val="en-GB"/>
              </w:rPr>
            </w:pPr>
            <w:r w:rsidRPr="00147E9B">
              <w:t>1.88</w:t>
            </w:r>
          </w:p>
        </w:tc>
        <w:tc>
          <w:tcPr>
            <w:tcW w:w="1134" w:type="dxa"/>
          </w:tcPr>
          <w:p w14:paraId="6BF081A3" w14:textId="33DFD86D" w:rsidR="003E050D" w:rsidRDefault="003E050D" w:rsidP="003E050D">
            <w:pPr>
              <w:pStyle w:val="CETBodytext"/>
              <w:ind w:right="-1"/>
              <w:rPr>
                <w:rFonts w:cs="Arial"/>
                <w:szCs w:val="18"/>
                <w:lang w:val="en-GB"/>
              </w:rPr>
            </w:pPr>
            <w:r w:rsidRPr="005D1B0F">
              <w:t>2.09</w:t>
            </w:r>
          </w:p>
        </w:tc>
      </w:tr>
      <w:tr w:rsidR="003E050D" w:rsidRPr="00B57B36" w14:paraId="1B14364A" w14:textId="77777777" w:rsidTr="00E06A6D">
        <w:tc>
          <w:tcPr>
            <w:tcW w:w="3969" w:type="dxa"/>
            <w:shd w:val="clear" w:color="auto" w:fill="FFFFFF"/>
          </w:tcPr>
          <w:p w14:paraId="532DE8D2" w14:textId="2D7E953B" w:rsidR="003E050D" w:rsidRPr="00907F28" w:rsidRDefault="003E050D" w:rsidP="003E050D">
            <w:pPr>
              <w:pStyle w:val="CETBodytext"/>
              <w:ind w:right="-1"/>
              <w:rPr>
                <w:rFonts w:cs="Arial"/>
                <w:szCs w:val="18"/>
                <w:lang w:val="en-GB"/>
              </w:rPr>
            </w:pPr>
            <w:r w:rsidRPr="005D1B0F">
              <w:t>2-Furanmethanol</w:t>
            </w:r>
          </w:p>
        </w:tc>
        <w:tc>
          <w:tcPr>
            <w:tcW w:w="1134" w:type="dxa"/>
            <w:shd w:val="clear" w:color="auto" w:fill="FFFFFF"/>
          </w:tcPr>
          <w:p w14:paraId="2349A332" w14:textId="6C2FC4C8" w:rsidR="003E050D" w:rsidRDefault="003E050D" w:rsidP="003E050D">
            <w:pPr>
              <w:pStyle w:val="CETBodytext"/>
              <w:ind w:right="-1"/>
              <w:rPr>
                <w:rFonts w:cs="Arial"/>
                <w:szCs w:val="18"/>
                <w:lang w:val="en-GB"/>
              </w:rPr>
            </w:pPr>
            <w:r w:rsidRPr="005D1B0F">
              <w:t>22.26</w:t>
            </w:r>
          </w:p>
        </w:tc>
        <w:tc>
          <w:tcPr>
            <w:tcW w:w="1276" w:type="dxa"/>
            <w:shd w:val="clear" w:color="auto" w:fill="FFFFFF"/>
          </w:tcPr>
          <w:p w14:paraId="5B068603" w14:textId="7F9D3060" w:rsidR="003E050D" w:rsidRDefault="003E050D" w:rsidP="003E050D">
            <w:pPr>
              <w:pStyle w:val="CETBodytext"/>
              <w:ind w:right="-1"/>
              <w:rPr>
                <w:rFonts w:cs="Arial"/>
                <w:szCs w:val="18"/>
                <w:lang w:val="en-GB"/>
              </w:rPr>
            </w:pPr>
            <w:r w:rsidRPr="005D1B0F">
              <w:t>0.9</w:t>
            </w:r>
          </w:p>
        </w:tc>
        <w:tc>
          <w:tcPr>
            <w:tcW w:w="1276" w:type="dxa"/>
            <w:shd w:val="clear" w:color="auto" w:fill="FFFFFF"/>
          </w:tcPr>
          <w:p w14:paraId="244FFA8E" w14:textId="33384EFC" w:rsidR="003E050D" w:rsidRDefault="003E050D" w:rsidP="003E050D">
            <w:pPr>
              <w:pStyle w:val="CETBodytext"/>
              <w:ind w:right="-1"/>
              <w:rPr>
                <w:rFonts w:cs="Arial"/>
                <w:szCs w:val="18"/>
                <w:lang w:val="en-GB"/>
              </w:rPr>
            </w:pPr>
            <w:r w:rsidRPr="00147E9B">
              <w:t>0.49</w:t>
            </w:r>
          </w:p>
        </w:tc>
        <w:tc>
          <w:tcPr>
            <w:tcW w:w="1134" w:type="dxa"/>
          </w:tcPr>
          <w:p w14:paraId="2B4BEEC8" w14:textId="1572624A" w:rsidR="003E050D" w:rsidRDefault="003E050D" w:rsidP="003E050D">
            <w:pPr>
              <w:pStyle w:val="CETBodytext"/>
              <w:ind w:right="-1"/>
              <w:rPr>
                <w:rFonts w:cs="Arial"/>
                <w:szCs w:val="18"/>
                <w:lang w:val="en-GB"/>
              </w:rPr>
            </w:pPr>
            <w:r w:rsidRPr="005D1B0F">
              <w:t>0.65</w:t>
            </w:r>
          </w:p>
        </w:tc>
      </w:tr>
      <w:tr w:rsidR="003E050D" w:rsidRPr="00B57B36" w14:paraId="3A90101A" w14:textId="77777777" w:rsidTr="00E06A6D">
        <w:tc>
          <w:tcPr>
            <w:tcW w:w="3969" w:type="dxa"/>
            <w:shd w:val="clear" w:color="auto" w:fill="FFFFFF"/>
          </w:tcPr>
          <w:p w14:paraId="44F969D8" w14:textId="60316914" w:rsidR="003E050D" w:rsidRPr="00907F28" w:rsidRDefault="003E050D" w:rsidP="003E050D">
            <w:pPr>
              <w:pStyle w:val="CETBodytext"/>
              <w:ind w:right="-1"/>
              <w:rPr>
                <w:rFonts w:cs="Arial"/>
                <w:szCs w:val="18"/>
                <w:lang w:val="en-GB"/>
              </w:rPr>
            </w:pPr>
            <w:r w:rsidRPr="005D1B0F">
              <w:t>1-(acetyloxy)-2-Propanone</w:t>
            </w:r>
          </w:p>
        </w:tc>
        <w:tc>
          <w:tcPr>
            <w:tcW w:w="1134" w:type="dxa"/>
            <w:shd w:val="clear" w:color="auto" w:fill="FFFFFF"/>
          </w:tcPr>
          <w:p w14:paraId="2F5E5837" w14:textId="629906F2" w:rsidR="003E050D" w:rsidRDefault="003E050D" w:rsidP="003E050D">
            <w:pPr>
              <w:pStyle w:val="CETBodytext"/>
              <w:ind w:right="-1"/>
              <w:rPr>
                <w:rFonts w:cs="Arial"/>
                <w:szCs w:val="18"/>
                <w:lang w:val="en-GB"/>
              </w:rPr>
            </w:pPr>
            <w:r w:rsidRPr="005D1B0F">
              <w:t>22.67</w:t>
            </w:r>
          </w:p>
        </w:tc>
        <w:tc>
          <w:tcPr>
            <w:tcW w:w="1276" w:type="dxa"/>
            <w:shd w:val="clear" w:color="auto" w:fill="FFFFFF"/>
          </w:tcPr>
          <w:p w14:paraId="516AFA2A" w14:textId="23AC5439" w:rsidR="003E050D" w:rsidRDefault="003E050D" w:rsidP="003E050D">
            <w:pPr>
              <w:pStyle w:val="CETBodytext"/>
              <w:ind w:right="-1"/>
              <w:rPr>
                <w:rFonts w:cs="Arial"/>
                <w:szCs w:val="18"/>
                <w:lang w:val="en-GB"/>
              </w:rPr>
            </w:pPr>
            <w:r w:rsidRPr="005D1B0F">
              <w:t>1.87</w:t>
            </w:r>
          </w:p>
        </w:tc>
        <w:tc>
          <w:tcPr>
            <w:tcW w:w="1276" w:type="dxa"/>
            <w:shd w:val="clear" w:color="auto" w:fill="FFFFFF"/>
          </w:tcPr>
          <w:p w14:paraId="100C0257" w14:textId="76E07971" w:rsidR="003E050D" w:rsidRDefault="003E050D" w:rsidP="003E050D">
            <w:pPr>
              <w:pStyle w:val="CETBodytext"/>
              <w:ind w:right="-1"/>
              <w:rPr>
                <w:rFonts w:cs="Arial"/>
                <w:szCs w:val="18"/>
                <w:lang w:val="en-GB"/>
              </w:rPr>
            </w:pPr>
            <w:r w:rsidRPr="00147E9B">
              <w:t>1.1</w:t>
            </w:r>
          </w:p>
        </w:tc>
        <w:tc>
          <w:tcPr>
            <w:tcW w:w="1134" w:type="dxa"/>
          </w:tcPr>
          <w:p w14:paraId="37C2785B" w14:textId="031D420F" w:rsidR="003E050D" w:rsidRDefault="003E050D" w:rsidP="003E050D">
            <w:pPr>
              <w:pStyle w:val="CETBodytext"/>
              <w:ind w:right="-1"/>
              <w:rPr>
                <w:rFonts w:cs="Arial"/>
                <w:szCs w:val="18"/>
                <w:lang w:val="en-GB"/>
              </w:rPr>
            </w:pPr>
            <w:r w:rsidRPr="005D1B0F">
              <w:t>1.17</w:t>
            </w:r>
          </w:p>
        </w:tc>
      </w:tr>
      <w:tr w:rsidR="003E050D" w:rsidRPr="00B57B36" w14:paraId="6E4400CC" w14:textId="77777777" w:rsidTr="00E06A6D">
        <w:tc>
          <w:tcPr>
            <w:tcW w:w="3969" w:type="dxa"/>
            <w:shd w:val="clear" w:color="auto" w:fill="FFFFFF"/>
          </w:tcPr>
          <w:p w14:paraId="2E64495A" w14:textId="147BE549" w:rsidR="003E050D" w:rsidRPr="00907F28" w:rsidRDefault="003E050D" w:rsidP="003E050D">
            <w:pPr>
              <w:pStyle w:val="CETBodytext"/>
              <w:ind w:right="-1"/>
              <w:rPr>
                <w:rFonts w:cs="Arial"/>
                <w:szCs w:val="18"/>
                <w:lang w:val="en-GB"/>
              </w:rPr>
            </w:pPr>
            <w:r w:rsidRPr="005D1B0F">
              <w:t>2-methyl-2-Cyclopenten-1-one</w:t>
            </w:r>
          </w:p>
        </w:tc>
        <w:tc>
          <w:tcPr>
            <w:tcW w:w="1134" w:type="dxa"/>
            <w:shd w:val="clear" w:color="auto" w:fill="FFFFFF"/>
          </w:tcPr>
          <w:p w14:paraId="585EC5A7" w14:textId="7017DEF6" w:rsidR="003E050D" w:rsidRDefault="003E050D" w:rsidP="003E050D">
            <w:pPr>
              <w:pStyle w:val="CETBodytext"/>
              <w:ind w:right="-1"/>
              <w:rPr>
                <w:rFonts w:cs="Arial"/>
                <w:szCs w:val="18"/>
                <w:lang w:val="en-GB"/>
              </w:rPr>
            </w:pPr>
            <w:r w:rsidRPr="005D1B0F">
              <w:t>24.03</w:t>
            </w:r>
          </w:p>
        </w:tc>
        <w:tc>
          <w:tcPr>
            <w:tcW w:w="1276" w:type="dxa"/>
            <w:shd w:val="clear" w:color="auto" w:fill="FFFFFF"/>
          </w:tcPr>
          <w:p w14:paraId="46D18E34" w14:textId="5ED1721C" w:rsidR="003E050D" w:rsidRDefault="003E050D" w:rsidP="003E050D">
            <w:pPr>
              <w:pStyle w:val="CETBodytext"/>
              <w:ind w:right="-1"/>
              <w:rPr>
                <w:rFonts w:cs="Arial"/>
                <w:szCs w:val="18"/>
                <w:lang w:val="en-GB"/>
              </w:rPr>
            </w:pPr>
            <w:r w:rsidRPr="005D1B0F">
              <w:t>0.54</w:t>
            </w:r>
          </w:p>
        </w:tc>
        <w:tc>
          <w:tcPr>
            <w:tcW w:w="1276" w:type="dxa"/>
            <w:shd w:val="clear" w:color="auto" w:fill="FFFFFF"/>
          </w:tcPr>
          <w:p w14:paraId="7049485D" w14:textId="3A66A192" w:rsidR="003E050D" w:rsidRDefault="003E050D" w:rsidP="003E050D">
            <w:pPr>
              <w:pStyle w:val="CETBodytext"/>
              <w:ind w:right="-1"/>
              <w:rPr>
                <w:rFonts w:cs="Arial"/>
                <w:szCs w:val="18"/>
                <w:lang w:val="en-GB"/>
              </w:rPr>
            </w:pPr>
            <w:r w:rsidRPr="00147E9B">
              <w:t>0.42</w:t>
            </w:r>
          </w:p>
        </w:tc>
        <w:tc>
          <w:tcPr>
            <w:tcW w:w="1134" w:type="dxa"/>
          </w:tcPr>
          <w:p w14:paraId="466A1211" w14:textId="1C5503BA" w:rsidR="003E050D" w:rsidRDefault="003E050D" w:rsidP="003E050D">
            <w:pPr>
              <w:pStyle w:val="CETBodytext"/>
              <w:ind w:right="-1"/>
              <w:rPr>
                <w:rFonts w:cs="Arial"/>
                <w:szCs w:val="18"/>
                <w:lang w:val="en-GB"/>
              </w:rPr>
            </w:pPr>
            <w:r w:rsidRPr="005D1B0F">
              <w:t>0.63</w:t>
            </w:r>
          </w:p>
        </w:tc>
      </w:tr>
      <w:tr w:rsidR="003E050D" w:rsidRPr="00B57B36" w14:paraId="5CB79643" w14:textId="77777777" w:rsidTr="00E06A6D">
        <w:tc>
          <w:tcPr>
            <w:tcW w:w="3969" w:type="dxa"/>
            <w:shd w:val="clear" w:color="auto" w:fill="FFFFFF"/>
          </w:tcPr>
          <w:p w14:paraId="32AE6884" w14:textId="047CB1FE" w:rsidR="003E050D" w:rsidRPr="00907F28" w:rsidRDefault="003E050D" w:rsidP="003E050D">
            <w:pPr>
              <w:pStyle w:val="CETBodytext"/>
              <w:ind w:right="-1"/>
              <w:rPr>
                <w:rFonts w:cs="Arial"/>
                <w:szCs w:val="18"/>
                <w:lang w:val="en-GB"/>
              </w:rPr>
            </w:pPr>
            <w:r w:rsidRPr="005D1B0F">
              <w:t xml:space="preserve">2-hydroxy-2-Cyclopenten-1-one </w:t>
            </w:r>
          </w:p>
        </w:tc>
        <w:tc>
          <w:tcPr>
            <w:tcW w:w="1134" w:type="dxa"/>
            <w:shd w:val="clear" w:color="auto" w:fill="FFFFFF"/>
          </w:tcPr>
          <w:p w14:paraId="67EC546F" w14:textId="3EC51253" w:rsidR="003E050D" w:rsidRDefault="003E050D" w:rsidP="003E050D">
            <w:pPr>
              <w:pStyle w:val="CETBodytext"/>
              <w:ind w:right="-1"/>
              <w:rPr>
                <w:rFonts w:cs="Arial"/>
                <w:szCs w:val="18"/>
                <w:lang w:val="en-GB"/>
              </w:rPr>
            </w:pPr>
            <w:r w:rsidRPr="005D1B0F">
              <w:t>25.94</w:t>
            </w:r>
          </w:p>
        </w:tc>
        <w:tc>
          <w:tcPr>
            <w:tcW w:w="1276" w:type="dxa"/>
            <w:shd w:val="clear" w:color="auto" w:fill="FFFFFF"/>
          </w:tcPr>
          <w:p w14:paraId="70702746" w14:textId="295CC4B5" w:rsidR="003E050D" w:rsidRDefault="003E050D" w:rsidP="003E050D">
            <w:pPr>
              <w:pStyle w:val="CETBodytext"/>
              <w:ind w:right="-1"/>
              <w:rPr>
                <w:rFonts w:cs="Arial"/>
                <w:szCs w:val="18"/>
                <w:lang w:val="en-GB"/>
              </w:rPr>
            </w:pPr>
            <w:r w:rsidRPr="005D1B0F">
              <w:t>0.94</w:t>
            </w:r>
          </w:p>
        </w:tc>
        <w:tc>
          <w:tcPr>
            <w:tcW w:w="1276" w:type="dxa"/>
            <w:shd w:val="clear" w:color="auto" w:fill="FFFFFF"/>
          </w:tcPr>
          <w:p w14:paraId="199F996D" w14:textId="594A4D68" w:rsidR="003E050D" w:rsidRDefault="003E050D" w:rsidP="003E050D">
            <w:pPr>
              <w:pStyle w:val="CETBodytext"/>
              <w:ind w:right="-1"/>
              <w:rPr>
                <w:rFonts w:cs="Arial"/>
                <w:szCs w:val="18"/>
                <w:lang w:val="en-GB"/>
              </w:rPr>
            </w:pPr>
            <w:r w:rsidRPr="00147E9B">
              <w:t>0.38</w:t>
            </w:r>
          </w:p>
        </w:tc>
        <w:tc>
          <w:tcPr>
            <w:tcW w:w="1134" w:type="dxa"/>
          </w:tcPr>
          <w:p w14:paraId="1ACD9AC7" w14:textId="189F239C" w:rsidR="003E050D" w:rsidRDefault="003E050D" w:rsidP="003E050D">
            <w:pPr>
              <w:pStyle w:val="CETBodytext"/>
              <w:ind w:right="-1"/>
              <w:rPr>
                <w:rFonts w:cs="Arial"/>
                <w:szCs w:val="18"/>
                <w:lang w:val="en-GB"/>
              </w:rPr>
            </w:pPr>
            <w:r w:rsidRPr="005D1B0F">
              <w:t>0.27</w:t>
            </w:r>
          </w:p>
        </w:tc>
      </w:tr>
      <w:tr w:rsidR="003E050D" w:rsidRPr="00B57B36" w14:paraId="30D2F5F8" w14:textId="77777777" w:rsidTr="00E06A6D">
        <w:tc>
          <w:tcPr>
            <w:tcW w:w="3969" w:type="dxa"/>
            <w:shd w:val="clear" w:color="auto" w:fill="FFFFFF"/>
          </w:tcPr>
          <w:p w14:paraId="1C18AE61" w14:textId="5D1FED60" w:rsidR="003E050D" w:rsidRPr="00907F28" w:rsidRDefault="003E050D" w:rsidP="003E050D">
            <w:pPr>
              <w:pStyle w:val="CETBodytext"/>
              <w:ind w:right="-1"/>
              <w:rPr>
                <w:rFonts w:cs="Arial"/>
                <w:szCs w:val="18"/>
                <w:lang w:val="en-GB"/>
              </w:rPr>
            </w:pPr>
            <w:r w:rsidRPr="00FC23F3">
              <w:rPr>
                <w:rFonts w:cs="Arial"/>
                <w:szCs w:val="18"/>
              </w:rPr>
              <w:t>Butyrolactone</w:t>
            </w:r>
          </w:p>
        </w:tc>
        <w:tc>
          <w:tcPr>
            <w:tcW w:w="1134" w:type="dxa"/>
            <w:shd w:val="clear" w:color="auto" w:fill="FFFFFF"/>
            <w:vAlign w:val="center"/>
          </w:tcPr>
          <w:p w14:paraId="79E68465" w14:textId="2CE26227" w:rsidR="003E050D" w:rsidRDefault="003E050D" w:rsidP="003E050D">
            <w:pPr>
              <w:pStyle w:val="CETBodytext"/>
              <w:ind w:right="-1"/>
              <w:rPr>
                <w:rFonts w:cs="Arial"/>
                <w:szCs w:val="18"/>
                <w:lang w:val="en-GB"/>
              </w:rPr>
            </w:pPr>
            <w:r w:rsidRPr="00FC23F3">
              <w:rPr>
                <w:rFonts w:cs="Arial"/>
                <w:szCs w:val="18"/>
                <w:lang w:val="en-GB"/>
              </w:rPr>
              <w:t>27.28</w:t>
            </w:r>
          </w:p>
        </w:tc>
        <w:tc>
          <w:tcPr>
            <w:tcW w:w="1276" w:type="dxa"/>
            <w:shd w:val="clear" w:color="auto" w:fill="FFFFFF"/>
          </w:tcPr>
          <w:p w14:paraId="1B7209A2" w14:textId="03DC49B0" w:rsidR="003E050D" w:rsidRDefault="003E050D" w:rsidP="003E050D">
            <w:pPr>
              <w:pStyle w:val="CETBodytext"/>
              <w:ind w:right="-1"/>
              <w:rPr>
                <w:rFonts w:cs="Arial"/>
                <w:szCs w:val="18"/>
                <w:lang w:val="en-GB"/>
              </w:rPr>
            </w:pPr>
            <w:r w:rsidRPr="00FC23F3">
              <w:rPr>
                <w:lang w:val="en-GB"/>
              </w:rPr>
              <w:t>0.54</w:t>
            </w:r>
          </w:p>
        </w:tc>
        <w:tc>
          <w:tcPr>
            <w:tcW w:w="1276" w:type="dxa"/>
            <w:shd w:val="clear" w:color="auto" w:fill="FFFFFF"/>
          </w:tcPr>
          <w:p w14:paraId="00E857E8" w14:textId="165ECAB8" w:rsidR="003E050D" w:rsidRDefault="003E050D" w:rsidP="003E050D">
            <w:pPr>
              <w:pStyle w:val="CETBodytext"/>
              <w:ind w:right="-1"/>
              <w:rPr>
                <w:rFonts w:cs="Arial"/>
                <w:szCs w:val="18"/>
                <w:lang w:val="en-GB"/>
              </w:rPr>
            </w:pPr>
            <w:r w:rsidRPr="00147E9B">
              <w:t>0.44</w:t>
            </w:r>
          </w:p>
        </w:tc>
        <w:tc>
          <w:tcPr>
            <w:tcW w:w="1134" w:type="dxa"/>
          </w:tcPr>
          <w:p w14:paraId="6C8120C4" w14:textId="66E0E1D5" w:rsidR="003E050D" w:rsidRDefault="003E050D" w:rsidP="003E050D">
            <w:pPr>
              <w:pStyle w:val="CETBodytext"/>
              <w:ind w:right="-1"/>
              <w:rPr>
                <w:rFonts w:cs="Arial"/>
                <w:szCs w:val="18"/>
                <w:lang w:val="en-GB"/>
              </w:rPr>
            </w:pPr>
            <w:r w:rsidRPr="00FC23F3">
              <w:t>0.56</w:t>
            </w:r>
          </w:p>
        </w:tc>
      </w:tr>
      <w:tr w:rsidR="003E050D" w:rsidRPr="00B57B36" w14:paraId="07915668" w14:textId="77777777" w:rsidTr="00E06A6D">
        <w:tc>
          <w:tcPr>
            <w:tcW w:w="3969" w:type="dxa"/>
            <w:shd w:val="clear" w:color="auto" w:fill="FFFFFF"/>
          </w:tcPr>
          <w:p w14:paraId="6EA7F20D" w14:textId="5C44915A" w:rsidR="003E050D" w:rsidRPr="00907F28" w:rsidRDefault="003E050D" w:rsidP="003E050D">
            <w:pPr>
              <w:pStyle w:val="CETBodytext"/>
              <w:ind w:right="-1"/>
              <w:rPr>
                <w:rFonts w:cs="Arial"/>
                <w:szCs w:val="18"/>
                <w:lang w:val="en-GB"/>
              </w:rPr>
            </w:pPr>
            <w:r w:rsidRPr="00FC23F3">
              <w:rPr>
                <w:rFonts w:cs="Arial"/>
                <w:szCs w:val="18"/>
              </w:rPr>
              <w:t>2(5H)-Furanone</w:t>
            </w:r>
          </w:p>
        </w:tc>
        <w:tc>
          <w:tcPr>
            <w:tcW w:w="1134" w:type="dxa"/>
            <w:shd w:val="clear" w:color="auto" w:fill="FFFFFF"/>
            <w:vAlign w:val="center"/>
          </w:tcPr>
          <w:p w14:paraId="3BFDCA0B" w14:textId="4D8915E4" w:rsidR="003E050D" w:rsidRDefault="003E050D" w:rsidP="003E050D">
            <w:pPr>
              <w:pStyle w:val="CETBodytext"/>
              <w:ind w:right="-1"/>
              <w:rPr>
                <w:rFonts w:cs="Arial"/>
                <w:szCs w:val="18"/>
                <w:lang w:val="en-GB"/>
              </w:rPr>
            </w:pPr>
            <w:r w:rsidRPr="00FC23F3">
              <w:rPr>
                <w:rFonts w:cs="Arial"/>
                <w:szCs w:val="18"/>
                <w:lang w:val="en-GB"/>
              </w:rPr>
              <w:t>27.50</w:t>
            </w:r>
          </w:p>
        </w:tc>
        <w:tc>
          <w:tcPr>
            <w:tcW w:w="1276" w:type="dxa"/>
            <w:shd w:val="clear" w:color="auto" w:fill="FFFFFF"/>
          </w:tcPr>
          <w:p w14:paraId="123CE270" w14:textId="1F19B0C2" w:rsidR="003E050D" w:rsidRDefault="003E050D" w:rsidP="003E050D">
            <w:pPr>
              <w:pStyle w:val="CETBodytext"/>
              <w:ind w:right="-1"/>
              <w:rPr>
                <w:rFonts w:cs="Arial"/>
                <w:szCs w:val="18"/>
                <w:lang w:val="en-GB"/>
              </w:rPr>
            </w:pPr>
            <w:r w:rsidRPr="00FC23F3">
              <w:rPr>
                <w:lang w:val="en-GB"/>
              </w:rPr>
              <w:t>0.60</w:t>
            </w:r>
          </w:p>
        </w:tc>
        <w:tc>
          <w:tcPr>
            <w:tcW w:w="1276" w:type="dxa"/>
            <w:shd w:val="clear" w:color="auto" w:fill="FFFFFF"/>
          </w:tcPr>
          <w:p w14:paraId="44C79F61" w14:textId="38E312F7" w:rsidR="003E050D" w:rsidRDefault="003E050D" w:rsidP="003E050D">
            <w:pPr>
              <w:pStyle w:val="CETBodytext"/>
              <w:ind w:right="-1"/>
              <w:rPr>
                <w:rFonts w:cs="Arial"/>
                <w:szCs w:val="18"/>
                <w:lang w:val="en-GB"/>
              </w:rPr>
            </w:pPr>
            <w:r w:rsidRPr="00147E9B">
              <w:t>0.41</w:t>
            </w:r>
          </w:p>
        </w:tc>
        <w:tc>
          <w:tcPr>
            <w:tcW w:w="1134" w:type="dxa"/>
          </w:tcPr>
          <w:p w14:paraId="393A2B06" w14:textId="629116F4" w:rsidR="003E050D" w:rsidRDefault="003E050D" w:rsidP="003E050D">
            <w:pPr>
              <w:pStyle w:val="CETBodytext"/>
              <w:ind w:right="-1"/>
              <w:rPr>
                <w:rFonts w:cs="Arial"/>
                <w:szCs w:val="18"/>
                <w:lang w:val="en-GB"/>
              </w:rPr>
            </w:pPr>
            <w:r w:rsidRPr="00FC23F3">
              <w:t>0.41</w:t>
            </w:r>
          </w:p>
        </w:tc>
      </w:tr>
      <w:tr w:rsidR="003E050D" w:rsidRPr="00B57B36" w14:paraId="34BB71A8" w14:textId="77777777" w:rsidTr="00E06A6D">
        <w:tc>
          <w:tcPr>
            <w:tcW w:w="3969" w:type="dxa"/>
            <w:shd w:val="clear" w:color="auto" w:fill="FFFFFF"/>
          </w:tcPr>
          <w:p w14:paraId="4414816F" w14:textId="732A6DF2" w:rsidR="003E050D" w:rsidRPr="00907F28" w:rsidRDefault="003E050D" w:rsidP="003E050D">
            <w:pPr>
              <w:pStyle w:val="CETBodytext"/>
              <w:ind w:right="-1"/>
              <w:rPr>
                <w:rFonts w:cs="Arial"/>
                <w:szCs w:val="18"/>
                <w:lang w:val="en-GB"/>
              </w:rPr>
            </w:pPr>
            <w:r w:rsidRPr="00FC23F3">
              <w:rPr>
                <w:rFonts w:cs="Arial"/>
                <w:szCs w:val="18"/>
              </w:rPr>
              <w:t xml:space="preserve">5-methyl-2-Furancarboxaldehyde </w:t>
            </w:r>
          </w:p>
        </w:tc>
        <w:tc>
          <w:tcPr>
            <w:tcW w:w="1134" w:type="dxa"/>
            <w:shd w:val="clear" w:color="auto" w:fill="FFFFFF"/>
            <w:vAlign w:val="center"/>
          </w:tcPr>
          <w:p w14:paraId="61B65710" w14:textId="3DC8DEEA" w:rsidR="003E050D" w:rsidRDefault="003E050D" w:rsidP="003E050D">
            <w:pPr>
              <w:pStyle w:val="CETBodytext"/>
              <w:ind w:right="-1"/>
              <w:rPr>
                <w:rFonts w:cs="Arial"/>
                <w:szCs w:val="18"/>
                <w:lang w:val="en-GB"/>
              </w:rPr>
            </w:pPr>
            <w:r w:rsidRPr="00FC23F3">
              <w:rPr>
                <w:rFonts w:cs="Arial"/>
                <w:szCs w:val="18"/>
                <w:lang w:val="en-GB"/>
              </w:rPr>
              <w:t>27.98</w:t>
            </w:r>
          </w:p>
        </w:tc>
        <w:tc>
          <w:tcPr>
            <w:tcW w:w="1276" w:type="dxa"/>
            <w:shd w:val="clear" w:color="auto" w:fill="FFFFFF"/>
          </w:tcPr>
          <w:p w14:paraId="2B36F58D" w14:textId="5E1C968A" w:rsidR="003E050D" w:rsidRDefault="003E050D" w:rsidP="003E050D">
            <w:pPr>
              <w:pStyle w:val="CETBodytext"/>
              <w:ind w:right="-1"/>
              <w:rPr>
                <w:rFonts w:cs="Arial"/>
                <w:szCs w:val="18"/>
                <w:lang w:val="en-GB"/>
              </w:rPr>
            </w:pPr>
            <w:r w:rsidRPr="00FC23F3">
              <w:rPr>
                <w:lang w:val="en-GB"/>
              </w:rPr>
              <w:t>0.39</w:t>
            </w:r>
          </w:p>
        </w:tc>
        <w:tc>
          <w:tcPr>
            <w:tcW w:w="1276" w:type="dxa"/>
            <w:shd w:val="clear" w:color="auto" w:fill="FFFFFF"/>
          </w:tcPr>
          <w:p w14:paraId="7676FBE9" w14:textId="1DEF113E" w:rsidR="003E050D" w:rsidRDefault="003E050D" w:rsidP="003E050D">
            <w:pPr>
              <w:pStyle w:val="CETBodytext"/>
              <w:ind w:right="-1"/>
              <w:rPr>
                <w:rFonts w:cs="Arial"/>
                <w:szCs w:val="18"/>
                <w:lang w:val="en-GB"/>
              </w:rPr>
            </w:pPr>
            <w:r w:rsidRPr="00147E9B">
              <w:t>0.3</w:t>
            </w:r>
          </w:p>
        </w:tc>
        <w:tc>
          <w:tcPr>
            <w:tcW w:w="1134" w:type="dxa"/>
          </w:tcPr>
          <w:p w14:paraId="4DAB03BE" w14:textId="5D00EBF1" w:rsidR="003E050D" w:rsidRDefault="003E050D" w:rsidP="003E050D">
            <w:pPr>
              <w:pStyle w:val="CETBodytext"/>
              <w:ind w:right="-1"/>
              <w:rPr>
                <w:rFonts w:cs="Arial"/>
                <w:szCs w:val="18"/>
                <w:lang w:val="en-GB"/>
              </w:rPr>
            </w:pPr>
            <w:r w:rsidRPr="00FC23F3">
              <w:t>0.42</w:t>
            </w:r>
          </w:p>
        </w:tc>
      </w:tr>
      <w:tr w:rsidR="003E050D" w:rsidRPr="00B57B36" w14:paraId="48D5E82F" w14:textId="77777777" w:rsidTr="00E06A6D">
        <w:tc>
          <w:tcPr>
            <w:tcW w:w="3969" w:type="dxa"/>
            <w:shd w:val="clear" w:color="auto" w:fill="FFFFFF"/>
          </w:tcPr>
          <w:p w14:paraId="40CC2828" w14:textId="07686741" w:rsidR="003E050D" w:rsidRPr="00907F28" w:rsidRDefault="003E050D" w:rsidP="003E050D">
            <w:pPr>
              <w:pStyle w:val="CETBodytext"/>
              <w:ind w:right="-1"/>
              <w:rPr>
                <w:rFonts w:cs="Arial"/>
                <w:szCs w:val="18"/>
                <w:lang w:val="en-GB"/>
              </w:rPr>
            </w:pPr>
            <w:r w:rsidRPr="00FC23F3">
              <w:rPr>
                <w:rFonts w:cs="Arial"/>
                <w:szCs w:val="18"/>
              </w:rPr>
              <w:t>3-methyl-2-Cyclopenten-1-one</w:t>
            </w:r>
          </w:p>
        </w:tc>
        <w:tc>
          <w:tcPr>
            <w:tcW w:w="1134" w:type="dxa"/>
            <w:shd w:val="clear" w:color="auto" w:fill="FFFFFF"/>
            <w:vAlign w:val="center"/>
          </w:tcPr>
          <w:p w14:paraId="732D5E58" w14:textId="4B4DCEE7" w:rsidR="003E050D" w:rsidRDefault="003E050D" w:rsidP="003E050D">
            <w:pPr>
              <w:pStyle w:val="CETBodytext"/>
              <w:ind w:right="-1"/>
              <w:rPr>
                <w:rFonts w:cs="Arial"/>
                <w:szCs w:val="18"/>
                <w:lang w:val="en-GB"/>
              </w:rPr>
            </w:pPr>
            <w:r w:rsidRPr="00FC23F3">
              <w:rPr>
                <w:rFonts w:cs="Arial"/>
                <w:szCs w:val="18"/>
                <w:lang w:val="en-GB"/>
              </w:rPr>
              <w:t>28.62</w:t>
            </w:r>
          </w:p>
        </w:tc>
        <w:tc>
          <w:tcPr>
            <w:tcW w:w="1276" w:type="dxa"/>
            <w:shd w:val="clear" w:color="auto" w:fill="FFFFFF"/>
          </w:tcPr>
          <w:p w14:paraId="2E8951AD" w14:textId="030746CB" w:rsidR="003E050D" w:rsidRDefault="003E050D" w:rsidP="003E050D">
            <w:pPr>
              <w:pStyle w:val="CETBodytext"/>
              <w:ind w:right="-1"/>
              <w:rPr>
                <w:rFonts w:cs="Arial"/>
                <w:szCs w:val="18"/>
                <w:lang w:val="en-GB"/>
              </w:rPr>
            </w:pPr>
            <w:r w:rsidRPr="00FC23F3">
              <w:rPr>
                <w:lang w:val="en-GB"/>
              </w:rPr>
              <w:t>0.69</w:t>
            </w:r>
          </w:p>
        </w:tc>
        <w:tc>
          <w:tcPr>
            <w:tcW w:w="1276" w:type="dxa"/>
            <w:shd w:val="clear" w:color="auto" w:fill="FFFFFF"/>
          </w:tcPr>
          <w:p w14:paraId="650F2F7D" w14:textId="6635E2B4" w:rsidR="003E050D" w:rsidRDefault="003E050D" w:rsidP="003E050D">
            <w:pPr>
              <w:pStyle w:val="CETBodytext"/>
              <w:ind w:right="-1"/>
              <w:rPr>
                <w:rFonts w:cs="Arial"/>
                <w:szCs w:val="18"/>
                <w:lang w:val="en-GB"/>
              </w:rPr>
            </w:pPr>
            <w:r w:rsidRPr="00147E9B">
              <w:t>0.66</w:t>
            </w:r>
          </w:p>
        </w:tc>
        <w:tc>
          <w:tcPr>
            <w:tcW w:w="1134" w:type="dxa"/>
          </w:tcPr>
          <w:p w14:paraId="129DBFDB" w14:textId="59225C5D" w:rsidR="003E050D" w:rsidRDefault="003E050D" w:rsidP="003E050D">
            <w:pPr>
              <w:pStyle w:val="CETBodytext"/>
              <w:ind w:right="-1"/>
              <w:rPr>
                <w:rFonts w:cs="Arial"/>
                <w:szCs w:val="18"/>
                <w:lang w:val="en-GB"/>
              </w:rPr>
            </w:pPr>
            <w:r w:rsidRPr="00FC23F3">
              <w:t>0.85</w:t>
            </w:r>
          </w:p>
        </w:tc>
      </w:tr>
      <w:tr w:rsidR="003E050D" w:rsidRPr="00B57B36" w14:paraId="1EA20B7B" w14:textId="77777777" w:rsidTr="00E06A6D">
        <w:tc>
          <w:tcPr>
            <w:tcW w:w="3969" w:type="dxa"/>
            <w:shd w:val="clear" w:color="auto" w:fill="FFFFFF"/>
          </w:tcPr>
          <w:p w14:paraId="6461BB1B" w14:textId="163E448A" w:rsidR="003E050D" w:rsidRPr="00907F28" w:rsidRDefault="003E050D" w:rsidP="003E050D">
            <w:pPr>
              <w:pStyle w:val="CETBodytext"/>
              <w:ind w:right="-1"/>
              <w:rPr>
                <w:rFonts w:cs="Arial"/>
                <w:szCs w:val="18"/>
                <w:lang w:val="en-GB"/>
              </w:rPr>
            </w:pPr>
            <w:r w:rsidRPr="00907F28">
              <w:rPr>
                <w:rFonts w:cs="Arial"/>
                <w:szCs w:val="18"/>
              </w:rPr>
              <w:t xml:space="preserve">3-methyl-2(5H)-Furanone </w:t>
            </w:r>
          </w:p>
        </w:tc>
        <w:tc>
          <w:tcPr>
            <w:tcW w:w="1134" w:type="dxa"/>
            <w:shd w:val="clear" w:color="auto" w:fill="FFFFFF"/>
            <w:vAlign w:val="center"/>
          </w:tcPr>
          <w:p w14:paraId="1453F22C" w14:textId="6DD8130F" w:rsidR="003E050D" w:rsidRPr="00907F28" w:rsidRDefault="003E050D" w:rsidP="003E050D">
            <w:pPr>
              <w:pStyle w:val="CETBodytext"/>
              <w:ind w:right="-1"/>
              <w:rPr>
                <w:rFonts w:cs="Arial"/>
                <w:szCs w:val="18"/>
                <w:lang w:val="en-GB"/>
              </w:rPr>
            </w:pPr>
            <w:r w:rsidRPr="00907F28">
              <w:rPr>
                <w:rFonts w:cs="Arial"/>
                <w:szCs w:val="18"/>
                <w:lang w:val="en-GB"/>
              </w:rPr>
              <w:t>30.56</w:t>
            </w:r>
          </w:p>
        </w:tc>
        <w:tc>
          <w:tcPr>
            <w:tcW w:w="1276" w:type="dxa"/>
            <w:shd w:val="clear" w:color="auto" w:fill="FFFFFF"/>
          </w:tcPr>
          <w:p w14:paraId="737E4305" w14:textId="156017BE" w:rsidR="003E050D" w:rsidRPr="00907F28" w:rsidRDefault="003E050D" w:rsidP="003E050D">
            <w:pPr>
              <w:pStyle w:val="CETBodytext"/>
              <w:ind w:right="-1"/>
              <w:rPr>
                <w:rFonts w:cs="Arial"/>
                <w:szCs w:val="18"/>
                <w:lang w:val="en-GB"/>
              </w:rPr>
            </w:pPr>
            <w:r w:rsidRPr="00907F28">
              <w:rPr>
                <w:lang w:val="en-GB"/>
              </w:rPr>
              <w:t>0.26</w:t>
            </w:r>
          </w:p>
        </w:tc>
        <w:tc>
          <w:tcPr>
            <w:tcW w:w="1276" w:type="dxa"/>
            <w:shd w:val="clear" w:color="auto" w:fill="FFFFFF"/>
          </w:tcPr>
          <w:p w14:paraId="4DDE0A21" w14:textId="0A46A83E" w:rsidR="003E050D" w:rsidRPr="00907F28" w:rsidRDefault="003E050D" w:rsidP="003E050D">
            <w:pPr>
              <w:pStyle w:val="CETBodytext"/>
              <w:ind w:right="-1"/>
              <w:rPr>
                <w:rFonts w:cs="Arial"/>
                <w:szCs w:val="18"/>
                <w:lang w:val="en-GB"/>
              </w:rPr>
            </w:pPr>
            <w:r w:rsidRPr="00907F28">
              <w:t>0.16</w:t>
            </w:r>
          </w:p>
        </w:tc>
        <w:tc>
          <w:tcPr>
            <w:tcW w:w="1134" w:type="dxa"/>
          </w:tcPr>
          <w:p w14:paraId="5A3782CE" w14:textId="7BB8E0C0" w:rsidR="003E050D" w:rsidRPr="00907F28" w:rsidRDefault="003E050D" w:rsidP="003E050D">
            <w:pPr>
              <w:pStyle w:val="CETBodytext"/>
              <w:ind w:right="-1"/>
              <w:rPr>
                <w:rFonts w:cs="Arial"/>
                <w:szCs w:val="18"/>
                <w:lang w:val="en-GB"/>
              </w:rPr>
            </w:pPr>
            <w:r w:rsidRPr="00907F28">
              <w:t>0.19</w:t>
            </w:r>
          </w:p>
        </w:tc>
      </w:tr>
      <w:tr w:rsidR="003E050D" w:rsidRPr="00B57B36" w14:paraId="1D0E1442" w14:textId="77777777" w:rsidTr="00E06A6D">
        <w:tc>
          <w:tcPr>
            <w:tcW w:w="3969" w:type="dxa"/>
            <w:shd w:val="clear" w:color="auto" w:fill="FFFFFF"/>
          </w:tcPr>
          <w:p w14:paraId="1033888A" w14:textId="7E931C82" w:rsidR="003E050D" w:rsidRPr="00907F28" w:rsidRDefault="003E050D" w:rsidP="003E050D">
            <w:pPr>
              <w:pStyle w:val="CETBodytext"/>
              <w:ind w:right="-1"/>
              <w:rPr>
                <w:rFonts w:cs="Arial"/>
                <w:szCs w:val="18"/>
                <w:lang w:val="en-GB"/>
              </w:rPr>
            </w:pPr>
            <w:r w:rsidRPr="00FC23F3">
              <w:rPr>
                <w:rFonts w:cs="Arial"/>
                <w:szCs w:val="18"/>
              </w:rPr>
              <w:t>3-methyl-1,2-Cyclopentanedione</w:t>
            </w:r>
          </w:p>
        </w:tc>
        <w:tc>
          <w:tcPr>
            <w:tcW w:w="1134" w:type="dxa"/>
            <w:shd w:val="clear" w:color="auto" w:fill="FFFFFF"/>
            <w:vAlign w:val="center"/>
          </w:tcPr>
          <w:p w14:paraId="2409C0EB" w14:textId="6CB9A3AE" w:rsidR="003E050D" w:rsidRDefault="003E050D" w:rsidP="003E050D">
            <w:pPr>
              <w:pStyle w:val="CETBodytext"/>
              <w:ind w:right="-1"/>
              <w:rPr>
                <w:rFonts w:cs="Arial"/>
                <w:szCs w:val="18"/>
                <w:lang w:val="en-GB"/>
              </w:rPr>
            </w:pPr>
            <w:r w:rsidRPr="00FC23F3">
              <w:rPr>
                <w:rFonts w:cs="Arial"/>
                <w:szCs w:val="18"/>
                <w:lang w:val="en-GB"/>
              </w:rPr>
              <w:t>31.62</w:t>
            </w:r>
          </w:p>
        </w:tc>
        <w:tc>
          <w:tcPr>
            <w:tcW w:w="1276" w:type="dxa"/>
            <w:shd w:val="clear" w:color="auto" w:fill="FFFFFF"/>
          </w:tcPr>
          <w:p w14:paraId="253AC659" w14:textId="28C93F2D" w:rsidR="003E050D" w:rsidRDefault="003E050D" w:rsidP="003E050D">
            <w:pPr>
              <w:pStyle w:val="CETBodytext"/>
              <w:ind w:right="-1"/>
              <w:rPr>
                <w:rFonts w:cs="Arial"/>
                <w:szCs w:val="18"/>
                <w:lang w:val="en-GB"/>
              </w:rPr>
            </w:pPr>
            <w:r w:rsidRPr="00FC23F3">
              <w:rPr>
                <w:lang w:val="en-GB"/>
              </w:rPr>
              <w:t>1.53</w:t>
            </w:r>
          </w:p>
        </w:tc>
        <w:tc>
          <w:tcPr>
            <w:tcW w:w="1276" w:type="dxa"/>
            <w:shd w:val="clear" w:color="auto" w:fill="FFFFFF"/>
          </w:tcPr>
          <w:p w14:paraId="5AD8090A" w14:textId="4C259E4E" w:rsidR="003E050D" w:rsidRDefault="003E050D" w:rsidP="003E050D">
            <w:pPr>
              <w:pStyle w:val="CETBodytext"/>
              <w:ind w:right="-1"/>
              <w:rPr>
                <w:rFonts w:cs="Arial"/>
                <w:szCs w:val="18"/>
                <w:lang w:val="en-GB"/>
              </w:rPr>
            </w:pPr>
            <w:r w:rsidRPr="00147E9B">
              <w:t>2.22</w:t>
            </w:r>
          </w:p>
        </w:tc>
        <w:tc>
          <w:tcPr>
            <w:tcW w:w="1134" w:type="dxa"/>
          </w:tcPr>
          <w:p w14:paraId="2CDFB421" w14:textId="71A7105E" w:rsidR="003E050D" w:rsidRDefault="003E050D" w:rsidP="003E050D">
            <w:pPr>
              <w:pStyle w:val="CETBodytext"/>
              <w:ind w:right="-1"/>
              <w:rPr>
                <w:rFonts w:cs="Arial"/>
                <w:szCs w:val="18"/>
                <w:lang w:val="en-GB"/>
              </w:rPr>
            </w:pPr>
            <w:r w:rsidRPr="00FC23F3">
              <w:t>2.70</w:t>
            </w:r>
          </w:p>
        </w:tc>
      </w:tr>
      <w:tr w:rsidR="003E050D" w:rsidRPr="00B57B36" w14:paraId="56F7A5FF" w14:textId="77777777" w:rsidTr="00E06A6D">
        <w:tc>
          <w:tcPr>
            <w:tcW w:w="3969" w:type="dxa"/>
            <w:shd w:val="clear" w:color="auto" w:fill="FFFFFF"/>
          </w:tcPr>
          <w:p w14:paraId="30F56DE1" w14:textId="312BEB26" w:rsidR="003E050D" w:rsidRPr="00907F28" w:rsidRDefault="003E050D" w:rsidP="003E050D">
            <w:pPr>
              <w:pStyle w:val="CETBodytext"/>
              <w:ind w:right="-1"/>
              <w:rPr>
                <w:rFonts w:cs="Arial"/>
                <w:szCs w:val="18"/>
                <w:lang w:val="en-GB"/>
              </w:rPr>
            </w:pPr>
            <w:r w:rsidRPr="00FC23F3">
              <w:rPr>
                <w:rFonts w:cs="Arial"/>
                <w:szCs w:val="18"/>
              </w:rPr>
              <w:t>Phenol</w:t>
            </w:r>
          </w:p>
        </w:tc>
        <w:tc>
          <w:tcPr>
            <w:tcW w:w="1134" w:type="dxa"/>
            <w:shd w:val="clear" w:color="auto" w:fill="FFFFFF"/>
            <w:vAlign w:val="center"/>
          </w:tcPr>
          <w:p w14:paraId="5285312C" w14:textId="7CE8D429" w:rsidR="003E050D" w:rsidRDefault="003E050D" w:rsidP="003E050D">
            <w:pPr>
              <w:pStyle w:val="CETBodytext"/>
              <w:ind w:right="-1"/>
              <w:rPr>
                <w:rFonts w:cs="Arial"/>
                <w:szCs w:val="18"/>
                <w:lang w:val="en-GB"/>
              </w:rPr>
            </w:pPr>
            <w:r w:rsidRPr="00FC23F3">
              <w:rPr>
                <w:rFonts w:cs="Arial"/>
                <w:szCs w:val="18"/>
                <w:lang w:val="en-GB"/>
              </w:rPr>
              <w:t>32.00</w:t>
            </w:r>
          </w:p>
        </w:tc>
        <w:tc>
          <w:tcPr>
            <w:tcW w:w="1276" w:type="dxa"/>
            <w:shd w:val="clear" w:color="auto" w:fill="FFFFFF"/>
          </w:tcPr>
          <w:p w14:paraId="5ABC360E" w14:textId="0B20346A" w:rsidR="003E050D" w:rsidRDefault="003E050D" w:rsidP="003E050D">
            <w:pPr>
              <w:pStyle w:val="CETBodytext"/>
              <w:ind w:right="-1"/>
              <w:rPr>
                <w:rFonts w:cs="Arial"/>
                <w:szCs w:val="18"/>
                <w:lang w:val="en-GB"/>
              </w:rPr>
            </w:pPr>
            <w:r w:rsidRPr="00FC23F3">
              <w:rPr>
                <w:lang w:val="en-GB"/>
              </w:rPr>
              <w:t>1.78</w:t>
            </w:r>
          </w:p>
        </w:tc>
        <w:tc>
          <w:tcPr>
            <w:tcW w:w="1276" w:type="dxa"/>
            <w:shd w:val="clear" w:color="auto" w:fill="FFFFFF"/>
          </w:tcPr>
          <w:p w14:paraId="0172A576" w14:textId="0A3B2DEB" w:rsidR="003E050D" w:rsidRDefault="003E050D" w:rsidP="003E050D">
            <w:pPr>
              <w:pStyle w:val="CETBodytext"/>
              <w:ind w:right="-1"/>
              <w:rPr>
                <w:rFonts w:cs="Arial"/>
                <w:szCs w:val="18"/>
                <w:lang w:val="en-GB"/>
              </w:rPr>
            </w:pPr>
            <w:r w:rsidRPr="00147E9B">
              <w:t>1.9</w:t>
            </w:r>
          </w:p>
        </w:tc>
        <w:tc>
          <w:tcPr>
            <w:tcW w:w="1134" w:type="dxa"/>
          </w:tcPr>
          <w:p w14:paraId="26424256" w14:textId="02A17BBD" w:rsidR="003E050D" w:rsidRDefault="003E050D" w:rsidP="003E050D">
            <w:pPr>
              <w:pStyle w:val="CETBodytext"/>
              <w:ind w:right="-1"/>
              <w:rPr>
                <w:rFonts w:cs="Arial"/>
                <w:szCs w:val="18"/>
                <w:lang w:val="en-GB"/>
              </w:rPr>
            </w:pPr>
            <w:r w:rsidRPr="00FC23F3">
              <w:t>2.74</w:t>
            </w:r>
          </w:p>
        </w:tc>
      </w:tr>
      <w:tr w:rsidR="003E050D" w:rsidRPr="00B57B36" w14:paraId="173E9879" w14:textId="77777777" w:rsidTr="00E06A6D">
        <w:tc>
          <w:tcPr>
            <w:tcW w:w="3969" w:type="dxa"/>
            <w:shd w:val="clear" w:color="auto" w:fill="FFFFFF"/>
          </w:tcPr>
          <w:p w14:paraId="0DC28254" w14:textId="0814B3A4" w:rsidR="003E050D" w:rsidRPr="00907F28" w:rsidRDefault="003E050D" w:rsidP="003E050D">
            <w:pPr>
              <w:pStyle w:val="CETBodytext"/>
              <w:ind w:right="-1"/>
              <w:rPr>
                <w:rFonts w:cs="Arial"/>
                <w:szCs w:val="18"/>
                <w:lang w:val="en-GB"/>
              </w:rPr>
            </w:pPr>
            <w:r w:rsidRPr="00907F28">
              <w:rPr>
                <w:rFonts w:cs="Arial"/>
                <w:szCs w:val="18"/>
              </w:rPr>
              <w:t xml:space="preserve">2,3-dimethyl-2-Cyclopenten-1-one </w:t>
            </w:r>
          </w:p>
        </w:tc>
        <w:tc>
          <w:tcPr>
            <w:tcW w:w="1134" w:type="dxa"/>
            <w:shd w:val="clear" w:color="auto" w:fill="FFFFFF"/>
            <w:vAlign w:val="center"/>
          </w:tcPr>
          <w:p w14:paraId="7A0E7C32" w14:textId="1D3C53FA" w:rsidR="003E050D" w:rsidRPr="00907F28" w:rsidRDefault="003E050D" w:rsidP="003E050D">
            <w:pPr>
              <w:pStyle w:val="CETBodytext"/>
              <w:ind w:right="-1"/>
              <w:rPr>
                <w:rFonts w:cs="Arial"/>
                <w:szCs w:val="18"/>
                <w:lang w:val="en-GB"/>
              </w:rPr>
            </w:pPr>
            <w:r w:rsidRPr="00907F28">
              <w:rPr>
                <w:rFonts w:cs="Arial"/>
                <w:szCs w:val="18"/>
                <w:lang w:val="en-GB"/>
              </w:rPr>
              <w:t>32.17</w:t>
            </w:r>
          </w:p>
        </w:tc>
        <w:tc>
          <w:tcPr>
            <w:tcW w:w="1276" w:type="dxa"/>
            <w:shd w:val="clear" w:color="auto" w:fill="FFFFFF"/>
          </w:tcPr>
          <w:p w14:paraId="18BF8666" w14:textId="2E6E6D89" w:rsidR="003E050D" w:rsidRPr="00907F28" w:rsidRDefault="003E050D" w:rsidP="003E050D">
            <w:pPr>
              <w:pStyle w:val="CETBodytext"/>
              <w:ind w:right="-1"/>
              <w:rPr>
                <w:rFonts w:cs="Arial"/>
                <w:szCs w:val="18"/>
                <w:lang w:val="en-GB"/>
              </w:rPr>
            </w:pPr>
            <w:r w:rsidRPr="00907F28">
              <w:rPr>
                <w:lang w:val="en-GB"/>
              </w:rPr>
              <w:t>0.27</w:t>
            </w:r>
          </w:p>
        </w:tc>
        <w:tc>
          <w:tcPr>
            <w:tcW w:w="1276" w:type="dxa"/>
            <w:shd w:val="clear" w:color="auto" w:fill="FFFFFF"/>
          </w:tcPr>
          <w:p w14:paraId="0693B0D4" w14:textId="63B5F0DD" w:rsidR="003E050D" w:rsidRPr="00907F28" w:rsidRDefault="003E050D" w:rsidP="003E050D">
            <w:pPr>
              <w:pStyle w:val="CETBodytext"/>
              <w:ind w:right="-1"/>
              <w:rPr>
                <w:rFonts w:cs="Arial"/>
                <w:szCs w:val="18"/>
                <w:lang w:val="en-GB"/>
              </w:rPr>
            </w:pPr>
            <w:r w:rsidRPr="00907F28">
              <w:t>0.29</w:t>
            </w:r>
          </w:p>
        </w:tc>
        <w:tc>
          <w:tcPr>
            <w:tcW w:w="1134" w:type="dxa"/>
          </w:tcPr>
          <w:p w14:paraId="6AF36A36" w14:textId="3814FD13" w:rsidR="003E050D" w:rsidRPr="00907F28" w:rsidRDefault="003E050D" w:rsidP="003E050D">
            <w:pPr>
              <w:pStyle w:val="CETBodytext"/>
              <w:ind w:right="-1"/>
              <w:rPr>
                <w:rFonts w:cs="Arial"/>
                <w:szCs w:val="18"/>
                <w:lang w:val="en-GB"/>
              </w:rPr>
            </w:pPr>
            <w:r w:rsidRPr="00907F28">
              <w:t>0.35</w:t>
            </w:r>
          </w:p>
        </w:tc>
      </w:tr>
      <w:tr w:rsidR="003E27D7" w:rsidRPr="00B57B36" w14:paraId="1B599A9B" w14:textId="77777777" w:rsidTr="00E06A6D">
        <w:tc>
          <w:tcPr>
            <w:tcW w:w="3969" w:type="dxa"/>
            <w:shd w:val="clear" w:color="auto" w:fill="FFFFFF"/>
          </w:tcPr>
          <w:p w14:paraId="7FBB4A52" w14:textId="183D91C7" w:rsidR="003E27D7" w:rsidRPr="00907F28" w:rsidRDefault="003E27D7" w:rsidP="003E27D7">
            <w:pPr>
              <w:pStyle w:val="CETBodytext"/>
              <w:ind w:right="-1"/>
              <w:rPr>
                <w:rFonts w:cs="Arial"/>
                <w:szCs w:val="18"/>
                <w:lang w:val="en-GB"/>
              </w:rPr>
            </w:pPr>
            <w:r w:rsidRPr="00FC23F3">
              <w:rPr>
                <w:rFonts w:cs="Arial"/>
                <w:szCs w:val="18"/>
              </w:rPr>
              <w:t>Guaiacol</w:t>
            </w:r>
          </w:p>
        </w:tc>
        <w:tc>
          <w:tcPr>
            <w:tcW w:w="1134" w:type="dxa"/>
            <w:shd w:val="clear" w:color="auto" w:fill="FFFFFF"/>
            <w:vAlign w:val="center"/>
          </w:tcPr>
          <w:p w14:paraId="4F1F2EEA" w14:textId="0D0E4AE6" w:rsidR="003E27D7" w:rsidRDefault="003E27D7" w:rsidP="003E27D7">
            <w:pPr>
              <w:pStyle w:val="CETBodytext"/>
              <w:ind w:right="-1"/>
              <w:rPr>
                <w:rFonts w:cs="Arial"/>
                <w:szCs w:val="18"/>
                <w:lang w:val="en-GB"/>
              </w:rPr>
            </w:pPr>
            <w:r w:rsidRPr="00FC23F3">
              <w:rPr>
                <w:rFonts w:cs="Arial"/>
                <w:szCs w:val="18"/>
                <w:lang w:val="en-GB"/>
              </w:rPr>
              <w:t>34.66</w:t>
            </w:r>
          </w:p>
        </w:tc>
        <w:tc>
          <w:tcPr>
            <w:tcW w:w="1276" w:type="dxa"/>
            <w:shd w:val="clear" w:color="auto" w:fill="FFFFFF"/>
          </w:tcPr>
          <w:p w14:paraId="7A579C0C" w14:textId="785C1798" w:rsidR="003E27D7" w:rsidRDefault="003E27D7" w:rsidP="003E27D7">
            <w:pPr>
              <w:pStyle w:val="CETBodytext"/>
              <w:ind w:right="-1"/>
              <w:rPr>
                <w:rFonts w:cs="Arial"/>
                <w:szCs w:val="18"/>
                <w:lang w:val="en-GB"/>
              </w:rPr>
            </w:pPr>
            <w:r w:rsidRPr="00FC23F3">
              <w:rPr>
                <w:lang w:val="en-GB"/>
              </w:rPr>
              <w:t>1.07</w:t>
            </w:r>
          </w:p>
        </w:tc>
        <w:tc>
          <w:tcPr>
            <w:tcW w:w="1276" w:type="dxa"/>
            <w:shd w:val="clear" w:color="auto" w:fill="FFFFFF"/>
          </w:tcPr>
          <w:p w14:paraId="0E0A7EC9" w14:textId="22A45DE7" w:rsidR="003E27D7" w:rsidRDefault="003E27D7" w:rsidP="003E27D7">
            <w:pPr>
              <w:pStyle w:val="CETBodytext"/>
              <w:ind w:right="-1"/>
              <w:rPr>
                <w:rFonts w:cs="Arial"/>
                <w:szCs w:val="18"/>
                <w:lang w:val="en-GB"/>
              </w:rPr>
            </w:pPr>
            <w:r w:rsidRPr="003F404D">
              <w:t>1.43</w:t>
            </w:r>
          </w:p>
        </w:tc>
        <w:tc>
          <w:tcPr>
            <w:tcW w:w="1134" w:type="dxa"/>
          </w:tcPr>
          <w:p w14:paraId="43AE9366" w14:textId="697A02D0" w:rsidR="003E27D7" w:rsidRDefault="003E27D7" w:rsidP="003E27D7">
            <w:pPr>
              <w:pStyle w:val="CETBodytext"/>
              <w:ind w:right="-1"/>
              <w:rPr>
                <w:rFonts w:cs="Arial"/>
                <w:szCs w:val="18"/>
                <w:lang w:val="en-GB"/>
              </w:rPr>
            </w:pPr>
            <w:r w:rsidRPr="00FC23F3">
              <w:t>1.57</w:t>
            </w:r>
          </w:p>
        </w:tc>
      </w:tr>
      <w:tr w:rsidR="003E27D7" w:rsidRPr="00B57B36" w14:paraId="4C99F4D0" w14:textId="77777777" w:rsidTr="00E06A6D">
        <w:tc>
          <w:tcPr>
            <w:tcW w:w="3969" w:type="dxa"/>
            <w:shd w:val="clear" w:color="auto" w:fill="FFFFFF"/>
          </w:tcPr>
          <w:p w14:paraId="4BEFACA2" w14:textId="08CAC939" w:rsidR="003E27D7" w:rsidRPr="00907F28" w:rsidRDefault="003E27D7" w:rsidP="003E27D7">
            <w:pPr>
              <w:pStyle w:val="CETBodytext"/>
              <w:ind w:right="-1"/>
              <w:rPr>
                <w:rFonts w:cs="Arial"/>
                <w:szCs w:val="18"/>
                <w:lang w:val="en-GB"/>
              </w:rPr>
            </w:pPr>
            <w:r w:rsidRPr="00FC23F3">
              <w:rPr>
                <w:rFonts w:cs="Arial"/>
                <w:szCs w:val="18"/>
              </w:rPr>
              <w:t xml:space="preserve">2-methyl-Phenol </w:t>
            </w:r>
          </w:p>
        </w:tc>
        <w:tc>
          <w:tcPr>
            <w:tcW w:w="1134" w:type="dxa"/>
            <w:shd w:val="clear" w:color="auto" w:fill="FFFFFF"/>
            <w:vAlign w:val="center"/>
          </w:tcPr>
          <w:p w14:paraId="44BEA7C8" w14:textId="66964102" w:rsidR="003E27D7" w:rsidRDefault="003E27D7" w:rsidP="003E27D7">
            <w:pPr>
              <w:pStyle w:val="CETBodytext"/>
              <w:ind w:right="-1"/>
              <w:rPr>
                <w:rFonts w:cs="Arial"/>
                <w:szCs w:val="18"/>
                <w:lang w:val="en-GB"/>
              </w:rPr>
            </w:pPr>
            <w:r w:rsidRPr="00FC23F3">
              <w:rPr>
                <w:rFonts w:cs="Arial"/>
                <w:szCs w:val="18"/>
                <w:lang w:val="en-GB"/>
              </w:rPr>
              <w:t>34.99</w:t>
            </w:r>
          </w:p>
        </w:tc>
        <w:tc>
          <w:tcPr>
            <w:tcW w:w="1276" w:type="dxa"/>
            <w:shd w:val="clear" w:color="auto" w:fill="FFFFFF"/>
          </w:tcPr>
          <w:p w14:paraId="613770D5" w14:textId="2D48D77F" w:rsidR="003E27D7" w:rsidRDefault="003E27D7" w:rsidP="003E27D7">
            <w:pPr>
              <w:pStyle w:val="CETBodytext"/>
              <w:ind w:right="-1"/>
              <w:rPr>
                <w:rFonts w:cs="Arial"/>
                <w:szCs w:val="18"/>
                <w:lang w:val="en-GB"/>
              </w:rPr>
            </w:pPr>
            <w:r w:rsidRPr="00FC23F3">
              <w:rPr>
                <w:lang w:val="en-GB"/>
              </w:rPr>
              <w:t>0.81</w:t>
            </w:r>
          </w:p>
        </w:tc>
        <w:tc>
          <w:tcPr>
            <w:tcW w:w="1276" w:type="dxa"/>
            <w:shd w:val="clear" w:color="auto" w:fill="FFFFFF"/>
          </w:tcPr>
          <w:p w14:paraId="26F078AB" w14:textId="73C59B4B" w:rsidR="003E27D7" w:rsidRDefault="003E27D7" w:rsidP="003E27D7">
            <w:pPr>
              <w:pStyle w:val="CETBodytext"/>
              <w:ind w:right="-1"/>
              <w:rPr>
                <w:rFonts w:cs="Arial"/>
                <w:szCs w:val="18"/>
                <w:lang w:val="en-GB"/>
              </w:rPr>
            </w:pPr>
            <w:r w:rsidRPr="003F404D">
              <w:t>0.92</w:t>
            </w:r>
          </w:p>
        </w:tc>
        <w:tc>
          <w:tcPr>
            <w:tcW w:w="1134" w:type="dxa"/>
          </w:tcPr>
          <w:p w14:paraId="7251F110" w14:textId="6FB12DA3" w:rsidR="003E27D7" w:rsidRDefault="003E27D7" w:rsidP="003E27D7">
            <w:pPr>
              <w:pStyle w:val="CETBodytext"/>
              <w:ind w:right="-1"/>
              <w:rPr>
                <w:rFonts w:cs="Arial"/>
                <w:szCs w:val="18"/>
                <w:lang w:val="en-GB"/>
              </w:rPr>
            </w:pPr>
            <w:r w:rsidRPr="00FC23F3">
              <w:t>1.36</w:t>
            </w:r>
          </w:p>
        </w:tc>
      </w:tr>
      <w:tr w:rsidR="003E27D7" w:rsidRPr="00B57B36" w14:paraId="0663D8D7" w14:textId="77777777" w:rsidTr="00E06A6D">
        <w:tc>
          <w:tcPr>
            <w:tcW w:w="3969" w:type="dxa"/>
            <w:shd w:val="clear" w:color="auto" w:fill="FFFFFF"/>
          </w:tcPr>
          <w:p w14:paraId="6CF25403" w14:textId="3D3F93A3" w:rsidR="003E27D7" w:rsidRPr="00FC23F3" w:rsidRDefault="003E27D7" w:rsidP="003E27D7">
            <w:pPr>
              <w:pStyle w:val="CETBodytext"/>
              <w:ind w:right="-1"/>
              <w:rPr>
                <w:rFonts w:cs="Arial"/>
                <w:szCs w:val="18"/>
              </w:rPr>
            </w:pPr>
            <w:r w:rsidRPr="000118A0">
              <w:t>p-Cresol</w:t>
            </w:r>
          </w:p>
        </w:tc>
        <w:tc>
          <w:tcPr>
            <w:tcW w:w="1134" w:type="dxa"/>
            <w:shd w:val="clear" w:color="auto" w:fill="FFFFFF"/>
          </w:tcPr>
          <w:p w14:paraId="278DE430" w14:textId="4B0FA836" w:rsidR="003E27D7" w:rsidRPr="00FC23F3" w:rsidRDefault="003E27D7" w:rsidP="003E27D7">
            <w:pPr>
              <w:pStyle w:val="CETBodytext"/>
              <w:ind w:right="-1"/>
              <w:rPr>
                <w:rFonts w:cs="Arial"/>
                <w:szCs w:val="18"/>
                <w:lang w:val="en-GB"/>
              </w:rPr>
            </w:pPr>
            <w:r w:rsidRPr="000118A0">
              <w:t>36.51</w:t>
            </w:r>
          </w:p>
        </w:tc>
        <w:tc>
          <w:tcPr>
            <w:tcW w:w="1276" w:type="dxa"/>
            <w:shd w:val="clear" w:color="auto" w:fill="FFFFFF"/>
          </w:tcPr>
          <w:p w14:paraId="0977CAE6" w14:textId="32B4EAD9" w:rsidR="003E27D7" w:rsidRPr="00FC23F3" w:rsidRDefault="003E27D7" w:rsidP="003E27D7">
            <w:pPr>
              <w:pStyle w:val="CETBodytext"/>
              <w:ind w:right="-1"/>
              <w:rPr>
                <w:lang w:val="en-GB"/>
              </w:rPr>
            </w:pPr>
            <w:r w:rsidRPr="000118A0">
              <w:t>2.07</w:t>
            </w:r>
          </w:p>
        </w:tc>
        <w:tc>
          <w:tcPr>
            <w:tcW w:w="1276" w:type="dxa"/>
            <w:shd w:val="clear" w:color="auto" w:fill="FFFFFF"/>
          </w:tcPr>
          <w:p w14:paraId="53AF9BA4" w14:textId="7BCEFB3E" w:rsidR="003E27D7" w:rsidRPr="00FC23F3" w:rsidRDefault="003E27D7" w:rsidP="003E27D7">
            <w:pPr>
              <w:pStyle w:val="CETBodytext"/>
              <w:ind w:right="-1"/>
              <w:rPr>
                <w:rFonts w:cs="Arial"/>
                <w:szCs w:val="18"/>
                <w:lang w:val="en-GB"/>
              </w:rPr>
            </w:pPr>
            <w:r w:rsidRPr="003F404D">
              <w:t>2.7</w:t>
            </w:r>
          </w:p>
        </w:tc>
        <w:tc>
          <w:tcPr>
            <w:tcW w:w="1134" w:type="dxa"/>
          </w:tcPr>
          <w:p w14:paraId="12F2C45D" w14:textId="29C0220F" w:rsidR="003E27D7" w:rsidRPr="00FC23F3" w:rsidRDefault="003E27D7" w:rsidP="003E27D7">
            <w:pPr>
              <w:pStyle w:val="CETBodytext"/>
              <w:ind w:right="-1"/>
            </w:pPr>
            <w:r w:rsidRPr="000118A0">
              <w:t>3.58</w:t>
            </w:r>
          </w:p>
        </w:tc>
      </w:tr>
      <w:tr w:rsidR="003E27D7" w:rsidRPr="00B57B36" w14:paraId="3FCBE856" w14:textId="77777777" w:rsidTr="00E06A6D">
        <w:tc>
          <w:tcPr>
            <w:tcW w:w="3969" w:type="dxa"/>
            <w:shd w:val="clear" w:color="auto" w:fill="FFFFFF"/>
          </w:tcPr>
          <w:p w14:paraId="0E0919B9" w14:textId="4AE76B58" w:rsidR="003E27D7" w:rsidRPr="00FC23F3" w:rsidRDefault="003E27D7" w:rsidP="003E27D7">
            <w:pPr>
              <w:pStyle w:val="CETBodytext"/>
              <w:ind w:right="-1"/>
              <w:rPr>
                <w:rFonts w:cs="Arial"/>
                <w:szCs w:val="18"/>
              </w:rPr>
            </w:pPr>
            <w:r w:rsidRPr="000118A0">
              <w:t xml:space="preserve">2,5-dimethyl-Phenol </w:t>
            </w:r>
          </w:p>
        </w:tc>
        <w:tc>
          <w:tcPr>
            <w:tcW w:w="1134" w:type="dxa"/>
            <w:shd w:val="clear" w:color="auto" w:fill="FFFFFF"/>
          </w:tcPr>
          <w:p w14:paraId="0E2C7818" w14:textId="2B0DFD44" w:rsidR="003E27D7" w:rsidRPr="00FC23F3" w:rsidRDefault="003E27D7" w:rsidP="003E27D7">
            <w:pPr>
              <w:pStyle w:val="CETBodytext"/>
              <w:ind w:right="-1"/>
              <w:rPr>
                <w:rFonts w:cs="Arial"/>
                <w:szCs w:val="18"/>
                <w:lang w:val="en-GB"/>
              </w:rPr>
            </w:pPr>
            <w:r w:rsidRPr="000118A0">
              <w:t>39.33</w:t>
            </w:r>
          </w:p>
        </w:tc>
        <w:tc>
          <w:tcPr>
            <w:tcW w:w="1276" w:type="dxa"/>
            <w:shd w:val="clear" w:color="auto" w:fill="FFFFFF"/>
          </w:tcPr>
          <w:p w14:paraId="5B07F8CC" w14:textId="52B9DB90" w:rsidR="003E27D7" w:rsidRPr="00FC23F3" w:rsidRDefault="003E27D7" w:rsidP="003E27D7">
            <w:pPr>
              <w:pStyle w:val="CETBodytext"/>
              <w:ind w:right="-1"/>
              <w:rPr>
                <w:lang w:val="en-GB"/>
              </w:rPr>
            </w:pPr>
            <w:r w:rsidRPr="000118A0">
              <w:t>0.49</w:t>
            </w:r>
          </w:p>
        </w:tc>
        <w:tc>
          <w:tcPr>
            <w:tcW w:w="1276" w:type="dxa"/>
            <w:shd w:val="clear" w:color="auto" w:fill="FFFFFF"/>
          </w:tcPr>
          <w:p w14:paraId="5BE0A045" w14:textId="07C84C16" w:rsidR="003E27D7" w:rsidRPr="00FC23F3" w:rsidRDefault="003E27D7" w:rsidP="003E27D7">
            <w:pPr>
              <w:pStyle w:val="CETBodytext"/>
              <w:ind w:right="-1"/>
              <w:rPr>
                <w:rFonts w:cs="Arial"/>
                <w:szCs w:val="18"/>
                <w:lang w:val="en-GB"/>
              </w:rPr>
            </w:pPr>
            <w:r w:rsidRPr="003F404D">
              <w:t>0.79</w:t>
            </w:r>
          </w:p>
        </w:tc>
        <w:tc>
          <w:tcPr>
            <w:tcW w:w="1134" w:type="dxa"/>
          </w:tcPr>
          <w:p w14:paraId="53716210" w14:textId="26530700" w:rsidR="003E27D7" w:rsidRPr="00FC23F3" w:rsidRDefault="003E27D7" w:rsidP="003E27D7">
            <w:pPr>
              <w:pStyle w:val="CETBodytext"/>
              <w:ind w:right="-1"/>
            </w:pPr>
            <w:r w:rsidRPr="000118A0">
              <w:t>0.88</w:t>
            </w:r>
          </w:p>
        </w:tc>
      </w:tr>
      <w:tr w:rsidR="003E27D7" w:rsidRPr="00B57B36" w14:paraId="081C46C7" w14:textId="77777777" w:rsidTr="00E06A6D">
        <w:tc>
          <w:tcPr>
            <w:tcW w:w="3969" w:type="dxa"/>
            <w:shd w:val="clear" w:color="auto" w:fill="FFFFFF"/>
          </w:tcPr>
          <w:p w14:paraId="710D539E" w14:textId="5A40546E" w:rsidR="003E27D7" w:rsidRPr="00FC23F3" w:rsidRDefault="003E27D7" w:rsidP="003E27D7">
            <w:pPr>
              <w:pStyle w:val="CETBodytext"/>
              <w:ind w:right="-1"/>
              <w:rPr>
                <w:rFonts w:cs="Arial"/>
                <w:szCs w:val="18"/>
              </w:rPr>
            </w:pPr>
            <w:r w:rsidRPr="000118A0">
              <w:lastRenderedPageBreak/>
              <w:t>Creosol</w:t>
            </w:r>
          </w:p>
        </w:tc>
        <w:tc>
          <w:tcPr>
            <w:tcW w:w="1134" w:type="dxa"/>
            <w:shd w:val="clear" w:color="auto" w:fill="FFFFFF"/>
          </w:tcPr>
          <w:p w14:paraId="274DD3A1" w14:textId="70F3DA19" w:rsidR="003E27D7" w:rsidRPr="00FC23F3" w:rsidRDefault="003E27D7" w:rsidP="003E27D7">
            <w:pPr>
              <w:pStyle w:val="CETBodytext"/>
              <w:ind w:right="-1"/>
              <w:rPr>
                <w:rFonts w:cs="Arial"/>
                <w:szCs w:val="18"/>
                <w:lang w:val="en-GB"/>
              </w:rPr>
            </w:pPr>
            <w:r w:rsidRPr="000118A0">
              <w:t>39.93</w:t>
            </w:r>
          </w:p>
        </w:tc>
        <w:tc>
          <w:tcPr>
            <w:tcW w:w="1276" w:type="dxa"/>
            <w:shd w:val="clear" w:color="auto" w:fill="FFFFFF"/>
          </w:tcPr>
          <w:p w14:paraId="6FBC8B72" w14:textId="5602DEA0" w:rsidR="003E27D7" w:rsidRPr="00FC23F3" w:rsidRDefault="003E27D7" w:rsidP="003E27D7">
            <w:pPr>
              <w:pStyle w:val="CETBodytext"/>
              <w:ind w:right="-1"/>
              <w:rPr>
                <w:lang w:val="en-GB"/>
              </w:rPr>
            </w:pPr>
            <w:r w:rsidRPr="000118A0">
              <w:t>0.37</w:t>
            </w:r>
          </w:p>
        </w:tc>
        <w:tc>
          <w:tcPr>
            <w:tcW w:w="1276" w:type="dxa"/>
            <w:shd w:val="clear" w:color="auto" w:fill="FFFFFF"/>
          </w:tcPr>
          <w:p w14:paraId="2F3E8AF4" w14:textId="7D7EDAEA" w:rsidR="003E27D7" w:rsidRPr="00FC23F3" w:rsidRDefault="003E27D7" w:rsidP="003E27D7">
            <w:pPr>
              <w:pStyle w:val="CETBodytext"/>
              <w:ind w:right="-1"/>
              <w:rPr>
                <w:rFonts w:cs="Arial"/>
                <w:szCs w:val="18"/>
                <w:lang w:val="en-GB"/>
              </w:rPr>
            </w:pPr>
            <w:r w:rsidRPr="003F404D">
              <w:t>0.61</w:t>
            </w:r>
          </w:p>
        </w:tc>
        <w:tc>
          <w:tcPr>
            <w:tcW w:w="1134" w:type="dxa"/>
          </w:tcPr>
          <w:p w14:paraId="0D6573E8" w14:textId="3A46A528" w:rsidR="003E27D7" w:rsidRPr="00FC23F3" w:rsidRDefault="003E27D7" w:rsidP="003E27D7">
            <w:pPr>
              <w:pStyle w:val="CETBodytext"/>
              <w:ind w:right="-1"/>
            </w:pPr>
            <w:r w:rsidRPr="000118A0">
              <w:t>0.59</w:t>
            </w:r>
          </w:p>
        </w:tc>
      </w:tr>
      <w:tr w:rsidR="003E27D7" w:rsidRPr="00B57B36" w14:paraId="76330551" w14:textId="77777777" w:rsidTr="00E06A6D">
        <w:tc>
          <w:tcPr>
            <w:tcW w:w="3969" w:type="dxa"/>
            <w:shd w:val="clear" w:color="auto" w:fill="FFFFFF"/>
          </w:tcPr>
          <w:p w14:paraId="1D6C80CE" w14:textId="433ACB52" w:rsidR="003E27D7" w:rsidRPr="00FC23F3" w:rsidRDefault="003E27D7" w:rsidP="003E27D7">
            <w:pPr>
              <w:pStyle w:val="CETBodytext"/>
              <w:ind w:right="-1"/>
              <w:rPr>
                <w:rFonts w:cs="Arial"/>
                <w:szCs w:val="18"/>
              </w:rPr>
            </w:pPr>
            <w:r w:rsidRPr="000118A0">
              <w:t>4-ethyl-Phenol</w:t>
            </w:r>
          </w:p>
        </w:tc>
        <w:tc>
          <w:tcPr>
            <w:tcW w:w="1134" w:type="dxa"/>
            <w:shd w:val="clear" w:color="auto" w:fill="FFFFFF"/>
          </w:tcPr>
          <w:p w14:paraId="669625DE" w14:textId="4196CFD2" w:rsidR="003E27D7" w:rsidRPr="00FC23F3" w:rsidRDefault="003E27D7" w:rsidP="003E27D7">
            <w:pPr>
              <w:pStyle w:val="CETBodytext"/>
              <w:ind w:right="-1"/>
              <w:rPr>
                <w:rFonts w:cs="Arial"/>
                <w:szCs w:val="18"/>
                <w:lang w:val="en-GB"/>
              </w:rPr>
            </w:pPr>
            <w:r w:rsidRPr="000118A0">
              <w:t>40.87</w:t>
            </w:r>
          </w:p>
        </w:tc>
        <w:tc>
          <w:tcPr>
            <w:tcW w:w="1276" w:type="dxa"/>
            <w:shd w:val="clear" w:color="auto" w:fill="FFFFFF"/>
          </w:tcPr>
          <w:p w14:paraId="293796FB" w14:textId="51AF8C9F" w:rsidR="003E27D7" w:rsidRPr="00FC23F3" w:rsidRDefault="003E27D7" w:rsidP="003E27D7">
            <w:pPr>
              <w:pStyle w:val="CETBodytext"/>
              <w:ind w:right="-1"/>
              <w:rPr>
                <w:lang w:val="en-GB"/>
              </w:rPr>
            </w:pPr>
            <w:r w:rsidRPr="000118A0">
              <w:t>2.03</w:t>
            </w:r>
          </w:p>
        </w:tc>
        <w:tc>
          <w:tcPr>
            <w:tcW w:w="1276" w:type="dxa"/>
            <w:shd w:val="clear" w:color="auto" w:fill="FFFFFF"/>
          </w:tcPr>
          <w:p w14:paraId="54A7F326" w14:textId="706EC4E3" w:rsidR="003E27D7" w:rsidRPr="00FC23F3" w:rsidRDefault="003E27D7" w:rsidP="003E27D7">
            <w:pPr>
              <w:pStyle w:val="CETBodytext"/>
              <w:ind w:right="-1"/>
              <w:rPr>
                <w:rFonts w:cs="Arial"/>
                <w:szCs w:val="18"/>
                <w:lang w:val="en-GB"/>
              </w:rPr>
            </w:pPr>
            <w:r w:rsidRPr="003F404D">
              <w:t>3.71</w:t>
            </w:r>
          </w:p>
        </w:tc>
        <w:tc>
          <w:tcPr>
            <w:tcW w:w="1134" w:type="dxa"/>
          </w:tcPr>
          <w:p w14:paraId="4A27DC16" w14:textId="1A0DCDDA" w:rsidR="003E27D7" w:rsidRPr="00FC23F3" w:rsidRDefault="003E27D7" w:rsidP="003E27D7">
            <w:pPr>
              <w:pStyle w:val="CETBodytext"/>
              <w:ind w:right="-1"/>
            </w:pPr>
            <w:r w:rsidRPr="000118A0">
              <w:t>4.80</w:t>
            </w:r>
          </w:p>
        </w:tc>
      </w:tr>
      <w:tr w:rsidR="003E27D7" w:rsidRPr="00B57B36" w14:paraId="6283E433" w14:textId="77777777" w:rsidTr="00E06A6D">
        <w:tc>
          <w:tcPr>
            <w:tcW w:w="3969" w:type="dxa"/>
            <w:shd w:val="clear" w:color="auto" w:fill="FFFFFF"/>
          </w:tcPr>
          <w:p w14:paraId="69304408" w14:textId="1E9EF186" w:rsidR="003E27D7" w:rsidRPr="00FC23F3" w:rsidRDefault="003E27D7" w:rsidP="003E27D7">
            <w:pPr>
              <w:pStyle w:val="CETBodytext"/>
              <w:ind w:right="-1"/>
              <w:rPr>
                <w:rFonts w:cs="Arial"/>
                <w:szCs w:val="18"/>
              </w:rPr>
            </w:pPr>
            <w:r w:rsidRPr="000118A0">
              <w:t>1,4:3,6-Dianhydro-.alpha.-d-glucopyranose</w:t>
            </w:r>
          </w:p>
        </w:tc>
        <w:tc>
          <w:tcPr>
            <w:tcW w:w="1134" w:type="dxa"/>
            <w:shd w:val="clear" w:color="auto" w:fill="FFFFFF"/>
          </w:tcPr>
          <w:p w14:paraId="7BAED2BA" w14:textId="2FCA9777" w:rsidR="003E27D7" w:rsidRPr="00FC23F3" w:rsidRDefault="002751C3" w:rsidP="003E27D7">
            <w:pPr>
              <w:pStyle w:val="CETBodytext"/>
              <w:ind w:right="-1"/>
              <w:rPr>
                <w:rFonts w:cs="Arial"/>
                <w:szCs w:val="18"/>
                <w:lang w:val="en-GB"/>
              </w:rPr>
            </w:pPr>
            <w:r>
              <w:t>43.15</w:t>
            </w:r>
          </w:p>
        </w:tc>
        <w:tc>
          <w:tcPr>
            <w:tcW w:w="1276" w:type="dxa"/>
            <w:shd w:val="clear" w:color="auto" w:fill="FFFFFF"/>
          </w:tcPr>
          <w:p w14:paraId="7CD72905" w14:textId="07FE9334" w:rsidR="003E27D7" w:rsidRPr="00FC23F3" w:rsidRDefault="003E27D7" w:rsidP="003E27D7">
            <w:pPr>
              <w:pStyle w:val="CETBodytext"/>
              <w:ind w:right="-1"/>
              <w:rPr>
                <w:lang w:val="en-GB"/>
              </w:rPr>
            </w:pPr>
            <w:r w:rsidRPr="000118A0">
              <w:t>N.D.</w:t>
            </w:r>
          </w:p>
        </w:tc>
        <w:tc>
          <w:tcPr>
            <w:tcW w:w="1276" w:type="dxa"/>
            <w:shd w:val="clear" w:color="auto" w:fill="FFFFFF"/>
          </w:tcPr>
          <w:p w14:paraId="654DA3F8" w14:textId="3BFB126C" w:rsidR="003E27D7" w:rsidRPr="00FC23F3" w:rsidRDefault="003E27D7" w:rsidP="003E27D7">
            <w:pPr>
              <w:pStyle w:val="CETBodytext"/>
              <w:ind w:right="-1"/>
              <w:rPr>
                <w:rFonts w:cs="Arial"/>
                <w:szCs w:val="18"/>
                <w:lang w:val="en-GB"/>
              </w:rPr>
            </w:pPr>
            <w:r w:rsidRPr="003F404D">
              <w:t>0.75</w:t>
            </w:r>
          </w:p>
        </w:tc>
        <w:tc>
          <w:tcPr>
            <w:tcW w:w="1134" w:type="dxa"/>
          </w:tcPr>
          <w:p w14:paraId="6E98445F" w14:textId="630AD46C" w:rsidR="003E27D7" w:rsidRPr="00FC23F3" w:rsidRDefault="003E27D7" w:rsidP="003E27D7">
            <w:pPr>
              <w:pStyle w:val="CETBodytext"/>
              <w:ind w:right="-1"/>
            </w:pPr>
            <w:r w:rsidRPr="000118A0">
              <w:t>0.71</w:t>
            </w:r>
          </w:p>
        </w:tc>
      </w:tr>
      <w:tr w:rsidR="003E27D7" w:rsidRPr="00B57B36" w14:paraId="0C561255" w14:textId="77777777" w:rsidTr="00E06A6D">
        <w:tc>
          <w:tcPr>
            <w:tcW w:w="3969" w:type="dxa"/>
            <w:shd w:val="clear" w:color="auto" w:fill="FFFFFF"/>
          </w:tcPr>
          <w:p w14:paraId="164964CF" w14:textId="318419F6" w:rsidR="003E27D7" w:rsidRPr="00FC23F3" w:rsidRDefault="003E27D7" w:rsidP="003E27D7">
            <w:pPr>
              <w:pStyle w:val="CETBodytext"/>
              <w:ind w:right="-1"/>
              <w:rPr>
                <w:rFonts w:cs="Arial"/>
                <w:szCs w:val="18"/>
              </w:rPr>
            </w:pPr>
            <w:r w:rsidRPr="000118A0">
              <w:t>2-ethyl-5-methyl-Phenol</w:t>
            </w:r>
          </w:p>
        </w:tc>
        <w:tc>
          <w:tcPr>
            <w:tcW w:w="1134" w:type="dxa"/>
            <w:shd w:val="clear" w:color="auto" w:fill="FFFFFF"/>
          </w:tcPr>
          <w:p w14:paraId="18AD0F9A" w14:textId="33E4CD55" w:rsidR="003E27D7" w:rsidRPr="00FC23F3" w:rsidRDefault="003E27D7" w:rsidP="003E27D7">
            <w:pPr>
              <w:pStyle w:val="CETBodytext"/>
              <w:ind w:right="-1"/>
              <w:rPr>
                <w:rFonts w:cs="Arial"/>
                <w:szCs w:val="18"/>
                <w:lang w:val="en-GB"/>
              </w:rPr>
            </w:pPr>
            <w:r w:rsidRPr="000118A0">
              <w:t>43.49</w:t>
            </w:r>
          </w:p>
        </w:tc>
        <w:tc>
          <w:tcPr>
            <w:tcW w:w="1276" w:type="dxa"/>
            <w:shd w:val="clear" w:color="auto" w:fill="FFFFFF"/>
          </w:tcPr>
          <w:p w14:paraId="423C357A" w14:textId="6BA5FCFC" w:rsidR="003E27D7" w:rsidRPr="00FC23F3" w:rsidRDefault="003E27D7" w:rsidP="003E27D7">
            <w:pPr>
              <w:pStyle w:val="CETBodytext"/>
              <w:ind w:right="-1"/>
              <w:rPr>
                <w:lang w:val="en-GB"/>
              </w:rPr>
            </w:pPr>
            <w:r w:rsidRPr="000118A0">
              <w:t>0.27</w:t>
            </w:r>
          </w:p>
        </w:tc>
        <w:tc>
          <w:tcPr>
            <w:tcW w:w="1276" w:type="dxa"/>
            <w:shd w:val="clear" w:color="auto" w:fill="FFFFFF"/>
          </w:tcPr>
          <w:p w14:paraId="1ADC5B72" w14:textId="2637B342" w:rsidR="003E27D7" w:rsidRPr="00FC23F3" w:rsidRDefault="003E27D7" w:rsidP="003E27D7">
            <w:pPr>
              <w:pStyle w:val="CETBodytext"/>
              <w:ind w:right="-1"/>
              <w:rPr>
                <w:rFonts w:cs="Arial"/>
                <w:szCs w:val="18"/>
                <w:lang w:val="en-GB"/>
              </w:rPr>
            </w:pPr>
            <w:r w:rsidRPr="003F404D">
              <w:t>N.D</w:t>
            </w:r>
          </w:p>
        </w:tc>
        <w:tc>
          <w:tcPr>
            <w:tcW w:w="1134" w:type="dxa"/>
          </w:tcPr>
          <w:p w14:paraId="12ACDAE4" w14:textId="165653AE" w:rsidR="003E27D7" w:rsidRPr="00FC23F3" w:rsidRDefault="003E27D7" w:rsidP="003E27D7">
            <w:pPr>
              <w:pStyle w:val="CETBodytext"/>
              <w:ind w:right="-1"/>
            </w:pPr>
            <w:r w:rsidRPr="000118A0">
              <w:t>0.61</w:t>
            </w:r>
          </w:p>
        </w:tc>
      </w:tr>
      <w:tr w:rsidR="003E27D7" w:rsidRPr="00B57B36" w14:paraId="3062F4DB" w14:textId="77777777" w:rsidTr="00E06A6D">
        <w:tc>
          <w:tcPr>
            <w:tcW w:w="3969" w:type="dxa"/>
            <w:shd w:val="clear" w:color="auto" w:fill="FFFFFF"/>
          </w:tcPr>
          <w:p w14:paraId="4A513DF1" w14:textId="08D4F782" w:rsidR="003E27D7" w:rsidRPr="00FC23F3" w:rsidRDefault="003E27D7" w:rsidP="003E27D7">
            <w:pPr>
              <w:pStyle w:val="CETBodytext"/>
              <w:ind w:right="-1"/>
              <w:rPr>
                <w:rFonts w:cs="Arial"/>
                <w:szCs w:val="18"/>
              </w:rPr>
            </w:pPr>
            <w:r w:rsidRPr="000118A0">
              <w:t>2-methyl-1,4-Benzenedicarboxaldehyde</w:t>
            </w:r>
          </w:p>
        </w:tc>
        <w:tc>
          <w:tcPr>
            <w:tcW w:w="1134" w:type="dxa"/>
            <w:shd w:val="clear" w:color="auto" w:fill="FFFFFF"/>
          </w:tcPr>
          <w:p w14:paraId="29C22CAE" w14:textId="6D27D9AA" w:rsidR="003E27D7" w:rsidRPr="00FC23F3" w:rsidRDefault="003E27D7" w:rsidP="003E27D7">
            <w:pPr>
              <w:pStyle w:val="CETBodytext"/>
              <w:ind w:right="-1"/>
              <w:rPr>
                <w:rFonts w:cs="Arial"/>
                <w:szCs w:val="18"/>
                <w:lang w:val="en-GB"/>
              </w:rPr>
            </w:pPr>
            <w:r w:rsidRPr="000118A0">
              <w:t>43.63</w:t>
            </w:r>
          </w:p>
        </w:tc>
        <w:tc>
          <w:tcPr>
            <w:tcW w:w="1276" w:type="dxa"/>
            <w:shd w:val="clear" w:color="auto" w:fill="FFFFFF"/>
          </w:tcPr>
          <w:p w14:paraId="1938D8CB" w14:textId="2CD64BBD" w:rsidR="003E27D7" w:rsidRPr="00FC23F3" w:rsidRDefault="003E27D7" w:rsidP="003E27D7">
            <w:pPr>
              <w:pStyle w:val="CETBodytext"/>
              <w:ind w:right="-1"/>
              <w:rPr>
                <w:lang w:val="en-GB"/>
              </w:rPr>
            </w:pPr>
            <w:r w:rsidRPr="000118A0">
              <w:t>0.62</w:t>
            </w:r>
          </w:p>
        </w:tc>
        <w:tc>
          <w:tcPr>
            <w:tcW w:w="1276" w:type="dxa"/>
            <w:shd w:val="clear" w:color="auto" w:fill="FFFFFF"/>
          </w:tcPr>
          <w:p w14:paraId="34E1A576" w14:textId="7CD5E055" w:rsidR="003E27D7" w:rsidRPr="00FC23F3" w:rsidRDefault="003E27D7" w:rsidP="003E27D7">
            <w:pPr>
              <w:pStyle w:val="CETBodytext"/>
              <w:ind w:right="-1"/>
              <w:rPr>
                <w:rFonts w:cs="Arial"/>
                <w:szCs w:val="18"/>
                <w:lang w:val="en-GB"/>
              </w:rPr>
            </w:pPr>
            <w:r w:rsidRPr="003F404D">
              <w:t>N.D.</w:t>
            </w:r>
          </w:p>
        </w:tc>
        <w:tc>
          <w:tcPr>
            <w:tcW w:w="1134" w:type="dxa"/>
          </w:tcPr>
          <w:p w14:paraId="4F955ECE" w14:textId="741A60B9" w:rsidR="003E27D7" w:rsidRPr="00FC23F3" w:rsidRDefault="003E27D7" w:rsidP="003E27D7">
            <w:pPr>
              <w:pStyle w:val="CETBodytext"/>
              <w:ind w:right="-1"/>
            </w:pPr>
            <w:r w:rsidRPr="000118A0">
              <w:t>0.85</w:t>
            </w:r>
          </w:p>
        </w:tc>
      </w:tr>
      <w:tr w:rsidR="003E27D7" w:rsidRPr="00B57B36" w14:paraId="662497D6" w14:textId="77777777" w:rsidTr="00E06A6D">
        <w:tc>
          <w:tcPr>
            <w:tcW w:w="3969" w:type="dxa"/>
            <w:shd w:val="clear" w:color="auto" w:fill="FFFFFF"/>
          </w:tcPr>
          <w:p w14:paraId="47071A21" w14:textId="32FD7DB0" w:rsidR="003E27D7" w:rsidRPr="00FC23F3" w:rsidRDefault="003E27D7" w:rsidP="003E27D7">
            <w:pPr>
              <w:pStyle w:val="CETBodytext"/>
              <w:ind w:right="-1"/>
              <w:rPr>
                <w:rFonts w:cs="Arial"/>
                <w:szCs w:val="18"/>
              </w:rPr>
            </w:pPr>
            <w:r w:rsidRPr="000118A0">
              <w:t xml:space="preserve">4-ethyl-2-methoxy-Phenol, </w:t>
            </w:r>
          </w:p>
        </w:tc>
        <w:tc>
          <w:tcPr>
            <w:tcW w:w="1134" w:type="dxa"/>
            <w:shd w:val="clear" w:color="auto" w:fill="FFFFFF"/>
          </w:tcPr>
          <w:p w14:paraId="76823A3B" w14:textId="41CB92BE" w:rsidR="003E27D7" w:rsidRPr="00FC23F3" w:rsidRDefault="003E27D7" w:rsidP="003E27D7">
            <w:pPr>
              <w:pStyle w:val="CETBodytext"/>
              <w:ind w:right="-1"/>
              <w:rPr>
                <w:rFonts w:cs="Arial"/>
                <w:szCs w:val="18"/>
                <w:lang w:val="en-GB"/>
              </w:rPr>
            </w:pPr>
            <w:r w:rsidRPr="000118A0">
              <w:t>44.05</w:t>
            </w:r>
          </w:p>
        </w:tc>
        <w:tc>
          <w:tcPr>
            <w:tcW w:w="1276" w:type="dxa"/>
            <w:shd w:val="clear" w:color="auto" w:fill="FFFFFF"/>
          </w:tcPr>
          <w:p w14:paraId="7D00D387" w14:textId="39C959A4" w:rsidR="003E27D7" w:rsidRPr="00FC23F3" w:rsidRDefault="003E27D7" w:rsidP="003E27D7">
            <w:pPr>
              <w:pStyle w:val="CETBodytext"/>
              <w:ind w:right="-1"/>
              <w:rPr>
                <w:lang w:val="en-GB"/>
              </w:rPr>
            </w:pPr>
            <w:r w:rsidRPr="000118A0">
              <w:t>0.28</w:t>
            </w:r>
          </w:p>
        </w:tc>
        <w:tc>
          <w:tcPr>
            <w:tcW w:w="1276" w:type="dxa"/>
            <w:shd w:val="clear" w:color="auto" w:fill="FFFFFF"/>
          </w:tcPr>
          <w:p w14:paraId="23BFEA0A" w14:textId="4EC4ABF6" w:rsidR="003E27D7" w:rsidRPr="00FC23F3" w:rsidRDefault="003E27D7" w:rsidP="003E27D7">
            <w:pPr>
              <w:pStyle w:val="CETBodytext"/>
              <w:ind w:right="-1"/>
              <w:rPr>
                <w:rFonts w:cs="Arial"/>
                <w:szCs w:val="18"/>
                <w:lang w:val="en-GB"/>
              </w:rPr>
            </w:pPr>
            <w:r w:rsidRPr="003F404D">
              <w:t>0.59</w:t>
            </w:r>
          </w:p>
        </w:tc>
        <w:tc>
          <w:tcPr>
            <w:tcW w:w="1134" w:type="dxa"/>
          </w:tcPr>
          <w:p w14:paraId="14824F30" w14:textId="728CD618" w:rsidR="003E27D7" w:rsidRPr="00FC23F3" w:rsidRDefault="003E27D7" w:rsidP="003E27D7">
            <w:pPr>
              <w:pStyle w:val="CETBodytext"/>
              <w:ind w:right="-1"/>
            </w:pPr>
            <w:r w:rsidRPr="000118A0">
              <w:t>0.61</w:t>
            </w:r>
          </w:p>
        </w:tc>
      </w:tr>
      <w:tr w:rsidR="003E27D7" w:rsidRPr="00B57B36" w14:paraId="3FE035B9" w14:textId="77777777" w:rsidTr="00E06A6D">
        <w:tc>
          <w:tcPr>
            <w:tcW w:w="3969" w:type="dxa"/>
            <w:shd w:val="clear" w:color="auto" w:fill="FFFFFF"/>
          </w:tcPr>
          <w:p w14:paraId="7D366A4E" w14:textId="5778F4D8" w:rsidR="003E27D7" w:rsidRPr="000118A0" w:rsidRDefault="003E27D7" w:rsidP="003E27D7">
            <w:pPr>
              <w:pStyle w:val="CETBodytext"/>
              <w:ind w:right="-1"/>
            </w:pPr>
            <w:r w:rsidRPr="00A2480F">
              <w:t xml:space="preserve">2,3-dihydro-Benzofuran </w:t>
            </w:r>
          </w:p>
        </w:tc>
        <w:tc>
          <w:tcPr>
            <w:tcW w:w="1134" w:type="dxa"/>
            <w:shd w:val="clear" w:color="auto" w:fill="FFFFFF"/>
          </w:tcPr>
          <w:p w14:paraId="2B991DDC" w14:textId="5655D8F0" w:rsidR="003E27D7" w:rsidRPr="000118A0" w:rsidRDefault="003E27D7" w:rsidP="003E27D7">
            <w:pPr>
              <w:pStyle w:val="CETBodytext"/>
              <w:ind w:right="-1"/>
            </w:pPr>
            <w:r w:rsidRPr="00A2480F">
              <w:t>44.32</w:t>
            </w:r>
          </w:p>
        </w:tc>
        <w:tc>
          <w:tcPr>
            <w:tcW w:w="1276" w:type="dxa"/>
            <w:shd w:val="clear" w:color="auto" w:fill="FFFFFF"/>
          </w:tcPr>
          <w:p w14:paraId="2C1B4D93" w14:textId="36704894" w:rsidR="003E27D7" w:rsidRPr="000118A0" w:rsidRDefault="003E27D7" w:rsidP="003E27D7">
            <w:pPr>
              <w:pStyle w:val="CETBodytext"/>
              <w:ind w:right="-1"/>
            </w:pPr>
            <w:r w:rsidRPr="00A2480F">
              <w:t>6.78</w:t>
            </w:r>
          </w:p>
        </w:tc>
        <w:tc>
          <w:tcPr>
            <w:tcW w:w="1276" w:type="dxa"/>
            <w:shd w:val="clear" w:color="auto" w:fill="FFFFFF"/>
          </w:tcPr>
          <w:p w14:paraId="2E7BD346" w14:textId="7C7626BE" w:rsidR="003E27D7" w:rsidRPr="000118A0" w:rsidRDefault="003E27D7" w:rsidP="003E27D7">
            <w:pPr>
              <w:pStyle w:val="CETBodytext"/>
              <w:ind w:right="-1"/>
            </w:pPr>
            <w:r w:rsidRPr="003F404D">
              <w:t>7.08</w:t>
            </w:r>
          </w:p>
        </w:tc>
        <w:tc>
          <w:tcPr>
            <w:tcW w:w="1134" w:type="dxa"/>
          </w:tcPr>
          <w:p w14:paraId="5F64FA39" w14:textId="037A9308" w:rsidR="003E27D7" w:rsidRPr="000118A0" w:rsidRDefault="003E27D7" w:rsidP="003E27D7">
            <w:pPr>
              <w:pStyle w:val="CETBodytext"/>
              <w:ind w:right="-1"/>
            </w:pPr>
            <w:r w:rsidRPr="00A2480F">
              <w:t>6.95</w:t>
            </w:r>
          </w:p>
        </w:tc>
      </w:tr>
      <w:tr w:rsidR="003E27D7" w:rsidRPr="00B57B36" w14:paraId="43D9B271" w14:textId="77777777" w:rsidTr="00E06A6D">
        <w:tc>
          <w:tcPr>
            <w:tcW w:w="3969" w:type="dxa"/>
            <w:shd w:val="clear" w:color="auto" w:fill="FFFFFF"/>
          </w:tcPr>
          <w:p w14:paraId="087A655C" w14:textId="10673F86" w:rsidR="003E27D7" w:rsidRPr="000118A0" w:rsidRDefault="003E27D7" w:rsidP="003E27D7">
            <w:pPr>
              <w:pStyle w:val="CETBodytext"/>
              <w:ind w:right="-1"/>
            </w:pPr>
            <w:r w:rsidRPr="00A2480F">
              <w:t>Catechol</w:t>
            </w:r>
          </w:p>
        </w:tc>
        <w:tc>
          <w:tcPr>
            <w:tcW w:w="1134" w:type="dxa"/>
            <w:shd w:val="clear" w:color="auto" w:fill="FFFFFF"/>
          </w:tcPr>
          <w:p w14:paraId="5A8F2355" w14:textId="63FCB232" w:rsidR="003E27D7" w:rsidRPr="000118A0" w:rsidRDefault="003E27D7" w:rsidP="003E27D7">
            <w:pPr>
              <w:pStyle w:val="CETBodytext"/>
              <w:ind w:right="-1"/>
            </w:pPr>
            <w:r w:rsidRPr="00A2480F">
              <w:t>45.60</w:t>
            </w:r>
          </w:p>
        </w:tc>
        <w:tc>
          <w:tcPr>
            <w:tcW w:w="1276" w:type="dxa"/>
            <w:shd w:val="clear" w:color="auto" w:fill="FFFFFF"/>
          </w:tcPr>
          <w:p w14:paraId="404B5476" w14:textId="704D230B" w:rsidR="003E27D7" w:rsidRPr="000118A0" w:rsidRDefault="003E27D7" w:rsidP="003E27D7">
            <w:pPr>
              <w:pStyle w:val="CETBodytext"/>
              <w:ind w:right="-1"/>
            </w:pPr>
            <w:r w:rsidRPr="00A2480F">
              <w:t>1.89</w:t>
            </w:r>
          </w:p>
        </w:tc>
        <w:tc>
          <w:tcPr>
            <w:tcW w:w="1276" w:type="dxa"/>
            <w:shd w:val="clear" w:color="auto" w:fill="FFFFFF"/>
          </w:tcPr>
          <w:p w14:paraId="24F411E1" w14:textId="6CE8B982" w:rsidR="003E27D7" w:rsidRPr="000118A0" w:rsidRDefault="003E27D7" w:rsidP="003E27D7">
            <w:pPr>
              <w:pStyle w:val="CETBodytext"/>
              <w:ind w:right="-1"/>
            </w:pPr>
            <w:r w:rsidRPr="003F404D">
              <w:t>2.57</w:t>
            </w:r>
          </w:p>
        </w:tc>
        <w:tc>
          <w:tcPr>
            <w:tcW w:w="1134" w:type="dxa"/>
          </w:tcPr>
          <w:p w14:paraId="425EA481" w14:textId="57D14684" w:rsidR="003E27D7" w:rsidRPr="000118A0" w:rsidRDefault="003E27D7" w:rsidP="003E27D7">
            <w:pPr>
              <w:pStyle w:val="CETBodytext"/>
              <w:ind w:right="-1"/>
            </w:pPr>
            <w:r w:rsidRPr="00A2480F">
              <w:t>4.86</w:t>
            </w:r>
          </w:p>
        </w:tc>
      </w:tr>
      <w:tr w:rsidR="003E27D7" w:rsidRPr="00B57B36" w14:paraId="0A1C0470" w14:textId="77777777" w:rsidTr="00E06A6D">
        <w:tc>
          <w:tcPr>
            <w:tcW w:w="3969" w:type="dxa"/>
            <w:shd w:val="clear" w:color="auto" w:fill="FFFFFF"/>
          </w:tcPr>
          <w:p w14:paraId="63F94BB4" w14:textId="128B16EA" w:rsidR="003E27D7" w:rsidRPr="000118A0" w:rsidRDefault="003E27D7" w:rsidP="003E27D7">
            <w:pPr>
              <w:pStyle w:val="CETBodytext"/>
              <w:ind w:right="-1"/>
            </w:pPr>
            <w:r w:rsidRPr="00A2480F">
              <w:t>2-Methoxy-4-vinylphenol</w:t>
            </w:r>
          </w:p>
        </w:tc>
        <w:tc>
          <w:tcPr>
            <w:tcW w:w="1134" w:type="dxa"/>
            <w:shd w:val="clear" w:color="auto" w:fill="FFFFFF"/>
          </w:tcPr>
          <w:p w14:paraId="6DDA3418" w14:textId="7CFAC421" w:rsidR="003E27D7" w:rsidRPr="000118A0" w:rsidRDefault="003E27D7" w:rsidP="003E27D7">
            <w:pPr>
              <w:pStyle w:val="CETBodytext"/>
              <w:ind w:right="-1"/>
            </w:pPr>
            <w:r w:rsidRPr="00A2480F">
              <w:t>46.14</w:t>
            </w:r>
          </w:p>
        </w:tc>
        <w:tc>
          <w:tcPr>
            <w:tcW w:w="1276" w:type="dxa"/>
            <w:shd w:val="clear" w:color="auto" w:fill="FFFFFF"/>
          </w:tcPr>
          <w:p w14:paraId="670D78A6" w14:textId="3B431DE0" w:rsidR="003E27D7" w:rsidRPr="000118A0" w:rsidRDefault="003E27D7" w:rsidP="003E27D7">
            <w:pPr>
              <w:pStyle w:val="CETBodytext"/>
              <w:ind w:right="-1"/>
            </w:pPr>
            <w:r w:rsidRPr="00A2480F">
              <w:t>1.88</w:t>
            </w:r>
          </w:p>
        </w:tc>
        <w:tc>
          <w:tcPr>
            <w:tcW w:w="1276" w:type="dxa"/>
            <w:shd w:val="clear" w:color="auto" w:fill="FFFFFF"/>
          </w:tcPr>
          <w:p w14:paraId="0ADA62EE" w14:textId="211E6D6F" w:rsidR="003E27D7" w:rsidRPr="000118A0" w:rsidRDefault="003E27D7" w:rsidP="003E27D7">
            <w:pPr>
              <w:pStyle w:val="CETBodytext"/>
              <w:ind w:right="-1"/>
            </w:pPr>
            <w:r w:rsidRPr="003F404D">
              <w:t>4.32</w:t>
            </w:r>
          </w:p>
        </w:tc>
        <w:tc>
          <w:tcPr>
            <w:tcW w:w="1134" w:type="dxa"/>
          </w:tcPr>
          <w:p w14:paraId="77120A24" w14:textId="13C6CC7C" w:rsidR="003E27D7" w:rsidRPr="000118A0" w:rsidRDefault="003E27D7" w:rsidP="003E27D7">
            <w:pPr>
              <w:pStyle w:val="CETBodytext"/>
              <w:ind w:right="-1"/>
            </w:pPr>
            <w:r w:rsidRPr="00A2480F">
              <w:t>2.63</w:t>
            </w:r>
          </w:p>
        </w:tc>
      </w:tr>
      <w:tr w:rsidR="003E27D7" w:rsidRPr="00B57B36" w14:paraId="6F452C3E" w14:textId="77777777" w:rsidTr="00E06A6D">
        <w:tc>
          <w:tcPr>
            <w:tcW w:w="3969" w:type="dxa"/>
            <w:shd w:val="clear" w:color="auto" w:fill="FFFFFF"/>
          </w:tcPr>
          <w:p w14:paraId="54B7C3A7" w14:textId="4C9F7C0D" w:rsidR="003E27D7" w:rsidRPr="000118A0" w:rsidRDefault="003E27D7" w:rsidP="003E27D7">
            <w:pPr>
              <w:pStyle w:val="CETBodytext"/>
              <w:ind w:right="-1"/>
            </w:pPr>
            <w:r w:rsidRPr="00A2480F">
              <w:t xml:space="preserve">2-Allylphenol </w:t>
            </w:r>
          </w:p>
        </w:tc>
        <w:tc>
          <w:tcPr>
            <w:tcW w:w="1134" w:type="dxa"/>
            <w:shd w:val="clear" w:color="auto" w:fill="FFFFFF"/>
          </w:tcPr>
          <w:p w14:paraId="28D9BA6F" w14:textId="1D66D1BF" w:rsidR="003E27D7" w:rsidRPr="000118A0" w:rsidRDefault="003E27D7" w:rsidP="003E27D7">
            <w:pPr>
              <w:pStyle w:val="CETBodytext"/>
              <w:ind w:right="-1"/>
            </w:pPr>
            <w:r w:rsidRPr="00A2480F">
              <w:t>46.85</w:t>
            </w:r>
          </w:p>
        </w:tc>
        <w:tc>
          <w:tcPr>
            <w:tcW w:w="1276" w:type="dxa"/>
            <w:shd w:val="clear" w:color="auto" w:fill="FFFFFF"/>
          </w:tcPr>
          <w:p w14:paraId="43D1EE52" w14:textId="0C8949C2" w:rsidR="003E27D7" w:rsidRPr="000118A0" w:rsidRDefault="003E27D7" w:rsidP="003E27D7">
            <w:pPr>
              <w:pStyle w:val="CETBodytext"/>
              <w:ind w:right="-1"/>
            </w:pPr>
            <w:r w:rsidRPr="00A2480F">
              <w:t>0.34</w:t>
            </w:r>
          </w:p>
        </w:tc>
        <w:tc>
          <w:tcPr>
            <w:tcW w:w="1276" w:type="dxa"/>
            <w:shd w:val="clear" w:color="auto" w:fill="FFFFFF"/>
          </w:tcPr>
          <w:p w14:paraId="67B089E4" w14:textId="1BD088FF" w:rsidR="003E27D7" w:rsidRPr="000118A0" w:rsidRDefault="003E27D7" w:rsidP="003E27D7">
            <w:pPr>
              <w:pStyle w:val="CETBodytext"/>
              <w:ind w:right="-1"/>
            </w:pPr>
            <w:r w:rsidRPr="003F404D">
              <w:t>3.27</w:t>
            </w:r>
          </w:p>
        </w:tc>
        <w:tc>
          <w:tcPr>
            <w:tcW w:w="1134" w:type="dxa"/>
          </w:tcPr>
          <w:p w14:paraId="7AA6E251" w14:textId="54EF73F6" w:rsidR="003E27D7" w:rsidRPr="000118A0" w:rsidRDefault="003E27D7" w:rsidP="003E27D7">
            <w:pPr>
              <w:pStyle w:val="CETBodytext"/>
              <w:ind w:right="-1"/>
            </w:pPr>
            <w:r w:rsidRPr="00A2480F">
              <w:t>0.47</w:t>
            </w:r>
          </w:p>
        </w:tc>
      </w:tr>
      <w:tr w:rsidR="003E27D7" w:rsidRPr="00B57B36" w14:paraId="616BD675" w14:textId="77777777" w:rsidTr="00E06A6D">
        <w:tc>
          <w:tcPr>
            <w:tcW w:w="3969" w:type="dxa"/>
            <w:shd w:val="clear" w:color="auto" w:fill="FFFFFF"/>
          </w:tcPr>
          <w:p w14:paraId="58CF2A03" w14:textId="01407DB0" w:rsidR="003E27D7" w:rsidRPr="000118A0" w:rsidRDefault="003E27D7" w:rsidP="003E27D7">
            <w:pPr>
              <w:pStyle w:val="CETBodytext"/>
              <w:ind w:right="-1"/>
            </w:pPr>
            <w:r w:rsidRPr="00A2480F">
              <w:t xml:space="preserve">3-methyl-1,2-Benzenediol </w:t>
            </w:r>
          </w:p>
        </w:tc>
        <w:tc>
          <w:tcPr>
            <w:tcW w:w="1134" w:type="dxa"/>
            <w:shd w:val="clear" w:color="auto" w:fill="FFFFFF"/>
          </w:tcPr>
          <w:p w14:paraId="1E8B9D78" w14:textId="222269D5" w:rsidR="003E27D7" w:rsidRPr="000118A0" w:rsidRDefault="003E27D7" w:rsidP="003E27D7">
            <w:pPr>
              <w:pStyle w:val="CETBodytext"/>
              <w:ind w:right="-1"/>
            </w:pPr>
            <w:r w:rsidRPr="00A2480F">
              <w:t>47.68</w:t>
            </w:r>
          </w:p>
        </w:tc>
        <w:tc>
          <w:tcPr>
            <w:tcW w:w="1276" w:type="dxa"/>
            <w:shd w:val="clear" w:color="auto" w:fill="FFFFFF"/>
          </w:tcPr>
          <w:p w14:paraId="6D24B90B" w14:textId="1D42E042" w:rsidR="003E27D7" w:rsidRPr="000118A0" w:rsidRDefault="003E27D7" w:rsidP="003E27D7">
            <w:pPr>
              <w:pStyle w:val="CETBodytext"/>
              <w:ind w:right="-1"/>
            </w:pPr>
            <w:r w:rsidRPr="00A2480F">
              <w:t>1.18</w:t>
            </w:r>
          </w:p>
        </w:tc>
        <w:tc>
          <w:tcPr>
            <w:tcW w:w="1276" w:type="dxa"/>
            <w:shd w:val="clear" w:color="auto" w:fill="FFFFFF"/>
          </w:tcPr>
          <w:p w14:paraId="34DBBA88" w14:textId="52CD21E6" w:rsidR="003E27D7" w:rsidRPr="000118A0" w:rsidRDefault="003E27D7" w:rsidP="003E27D7">
            <w:pPr>
              <w:pStyle w:val="CETBodytext"/>
              <w:ind w:right="-1"/>
            </w:pPr>
            <w:r w:rsidRPr="003F404D">
              <w:t>0.41</w:t>
            </w:r>
          </w:p>
        </w:tc>
        <w:tc>
          <w:tcPr>
            <w:tcW w:w="1134" w:type="dxa"/>
          </w:tcPr>
          <w:p w14:paraId="6C8FBDA8" w14:textId="45360388" w:rsidR="003E27D7" w:rsidRPr="000118A0" w:rsidRDefault="003E27D7" w:rsidP="003E27D7">
            <w:pPr>
              <w:pStyle w:val="CETBodytext"/>
              <w:ind w:right="-1"/>
            </w:pPr>
            <w:r w:rsidRPr="00A2480F">
              <w:t>1.95</w:t>
            </w:r>
          </w:p>
        </w:tc>
      </w:tr>
      <w:tr w:rsidR="003E27D7" w:rsidRPr="00B57B36" w14:paraId="148822F0" w14:textId="77777777" w:rsidTr="00E06A6D">
        <w:tc>
          <w:tcPr>
            <w:tcW w:w="3969" w:type="dxa"/>
            <w:shd w:val="clear" w:color="auto" w:fill="FFFFFF"/>
          </w:tcPr>
          <w:p w14:paraId="60E3CFBC" w14:textId="443261F1" w:rsidR="003E27D7" w:rsidRPr="000118A0" w:rsidRDefault="003E27D7" w:rsidP="003E27D7">
            <w:pPr>
              <w:pStyle w:val="CETBodytext"/>
              <w:ind w:right="-1"/>
            </w:pPr>
            <w:proofErr w:type="spellStart"/>
            <w:r w:rsidRPr="00A2480F">
              <w:t>Syringol</w:t>
            </w:r>
            <w:proofErr w:type="spellEnd"/>
          </w:p>
        </w:tc>
        <w:tc>
          <w:tcPr>
            <w:tcW w:w="1134" w:type="dxa"/>
            <w:shd w:val="clear" w:color="auto" w:fill="FFFFFF"/>
          </w:tcPr>
          <w:p w14:paraId="1EA551A4" w14:textId="5BE44180" w:rsidR="003E27D7" w:rsidRPr="000118A0" w:rsidRDefault="003E27D7" w:rsidP="003E27D7">
            <w:pPr>
              <w:pStyle w:val="CETBodytext"/>
              <w:ind w:right="-1"/>
            </w:pPr>
            <w:r w:rsidRPr="00A2480F">
              <w:t>47.96</w:t>
            </w:r>
          </w:p>
        </w:tc>
        <w:tc>
          <w:tcPr>
            <w:tcW w:w="1276" w:type="dxa"/>
            <w:shd w:val="clear" w:color="auto" w:fill="FFFFFF"/>
          </w:tcPr>
          <w:p w14:paraId="4739BB19" w14:textId="5EB1BB5E" w:rsidR="003E27D7" w:rsidRPr="000118A0" w:rsidRDefault="003E27D7" w:rsidP="003E27D7">
            <w:pPr>
              <w:pStyle w:val="CETBodytext"/>
              <w:ind w:right="-1"/>
            </w:pPr>
            <w:r w:rsidRPr="00A2480F">
              <w:t>1.30</w:t>
            </w:r>
          </w:p>
        </w:tc>
        <w:tc>
          <w:tcPr>
            <w:tcW w:w="1276" w:type="dxa"/>
            <w:shd w:val="clear" w:color="auto" w:fill="FFFFFF"/>
          </w:tcPr>
          <w:p w14:paraId="0CCB829B" w14:textId="15E65D0C" w:rsidR="003E27D7" w:rsidRPr="000118A0" w:rsidRDefault="003E27D7" w:rsidP="003E27D7">
            <w:pPr>
              <w:pStyle w:val="CETBodytext"/>
              <w:ind w:right="-1"/>
            </w:pPr>
            <w:r w:rsidRPr="003F404D">
              <w:t>1.55</w:t>
            </w:r>
          </w:p>
        </w:tc>
        <w:tc>
          <w:tcPr>
            <w:tcW w:w="1134" w:type="dxa"/>
          </w:tcPr>
          <w:p w14:paraId="765E2396" w14:textId="0A27350A" w:rsidR="003E27D7" w:rsidRPr="000118A0" w:rsidRDefault="003E27D7" w:rsidP="003E27D7">
            <w:pPr>
              <w:pStyle w:val="CETBodytext"/>
              <w:ind w:right="-1"/>
            </w:pPr>
            <w:r w:rsidRPr="00A2480F">
              <w:t>2.20</w:t>
            </w:r>
          </w:p>
        </w:tc>
      </w:tr>
      <w:tr w:rsidR="003E27D7" w:rsidRPr="00B57B36" w14:paraId="5F4377F8" w14:textId="77777777" w:rsidTr="00E06A6D">
        <w:tc>
          <w:tcPr>
            <w:tcW w:w="3969" w:type="dxa"/>
            <w:shd w:val="clear" w:color="auto" w:fill="FFFFFF"/>
          </w:tcPr>
          <w:p w14:paraId="446F4EDE" w14:textId="1D2A89EA" w:rsidR="003E27D7" w:rsidRPr="000118A0" w:rsidRDefault="003E27D7" w:rsidP="003E27D7">
            <w:pPr>
              <w:pStyle w:val="CETBodytext"/>
              <w:ind w:right="-1"/>
            </w:pPr>
            <w:r w:rsidRPr="00A2480F">
              <w:t>Hydroquinone</w:t>
            </w:r>
          </w:p>
        </w:tc>
        <w:tc>
          <w:tcPr>
            <w:tcW w:w="1134" w:type="dxa"/>
            <w:shd w:val="clear" w:color="auto" w:fill="FFFFFF"/>
          </w:tcPr>
          <w:p w14:paraId="7D317DB3" w14:textId="2A417518" w:rsidR="003E27D7" w:rsidRPr="000118A0" w:rsidRDefault="002751C3" w:rsidP="003E27D7">
            <w:pPr>
              <w:pStyle w:val="CETBodytext"/>
              <w:ind w:right="-1"/>
            </w:pPr>
            <w:r>
              <w:t>49.15</w:t>
            </w:r>
          </w:p>
        </w:tc>
        <w:tc>
          <w:tcPr>
            <w:tcW w:w="1276" w:type="dxa"/>
            <w:shd w:val="clear" w:color="auto" w:fill="FFFFFF"/>
          </w:tcPr>
          <w:p w14:paraId="6EB0412C" w14:textId="1AD0C10B" w:rsidR="003E27D7" w:rsidRPr="000118A0" w:rsidRDefault="003E27D7" w:rsidP="003E27D7">
            <w:pPr>
              <w:pStyle w:val="CETBodytext"/>
              <w:ind w:right="-1"/>
            </w:pPr>
            <w:r w:rsidRPr="00A2480F">
              <w:t>N.D.</w:t>
            </w:r>
          </w:p>
        </w:tc>
        <w:tc>
          <w:tcPr>
            <w:tcW w:w="1276" w:type="dxa"/>
            <w:shd w:val="clear" w:color="auto" w:fill="FFFFFF"/>
          </w:tcPr>
          <w:p w14:paraId="7AC12CA4" w14:textId="3D62F075" w:rsidR="003E27D7" w:rsidRPr="000118A0" w:rsidRDefault="003E27D7" w:rsidP="003E27D7">
            <w:pPr>
              <w:pStyle w:val="CETBodytext"/>
              <w:ind w:right="-1"/>
            </w:pPr>
            <w:r w:rsidRPr="003F404D">
              <w:t>2.9</w:t>
            </w:r>
          </w:p>
        </w:tc>
        <w:tc>
          <w:tcPr>
            <w:tcW w:w="1134" w:type="dxa"/>
          </w:tcPr>
          <w:p w14:paraId="5FDA92ED" w14:textId="3F092DEF" w:rsidR="003E27D7" w:rsidRPr="000118A0" w:rsidRDefault="003E27D7" w:rsidP="003E27D7">
            <w:pPr>
              <w:pStyle w:val="CETBodytext"/>
              <w:ind w:right="-1"/>
            </w:pPr>
            <w:r w:rsidRPr="00A2480F">
              <w:t>N.D.</w:t>
            </w:r>
          </w:p>
        </w:tc>
      </w:tr>
      <w:tr w:rsidR="003E27D7" w:rsidRPr="00B57B36" w14:paraId="136E8F88" w14:textId="77777777" w:rsidTr="00E06A6D">
        <w:tc>
          <w:tcPr>
            <w:tcW w:w="3969" w:type="dxa"/>
            <w:shd w:val="clear" w:color="auto" w:fill="FFFFFF"/>
          </w:tcPr>
          <w:p w14:paraId="30F05398" w14:textId="2F9732AA" w:rsidR="003E27D7" w:rsidRPr="000118A0" w:rsidRDefault="003E27D7" w:rsidP="003E27D7">
            <w:pPr>
              <w:pStyle w:val="CETBodytext"/>
              <w:ind w:right="-1"/>
            </w:pPr>
            <w:r w:rsidRPr="00A2480F">
              <w:t>4-methyl-1,2-Benzenediol</w:t>
            </w:r>
          </w:p>
        </w:tc>
        <w:tc>
          <w:tcPr>
            <w:tcW w:w="1134" w:type="dxa"/>
            <w:shd w:val="clear" w:color="auto" w:fill="FFFFFF"/>
          </w:tcPr>
          <w:p w14:paraId="0EC3C896" w14:textId="0E718BEE" w:rsidR="003E27D7" w:rsidRPr="000118A0" w:rsidRDefault="003E27D7" w:rsidP="003E27D7">
            <w:pPr>
              <w:pStyle w:val="CETBodytext"/>
              <w:ind w:right="-1"/>
            </w:pPr>
            <w:r w:rsidRPr="00A2480F">
              <w:t>49.19</w:t>
            </w:r>
          </w:p>
        </w:tc>
        <w:tc>
          <w:tcPr>
            <w:tcW w:w="1276" w:type="dxa"/>
            <w:shd w:val="clear" w:color="auto" w:fill="FFFFFF"/>
          </w:tcPr>
          <w:p w14:paraId="07F2D838" w14:textId="3511E854" w:rsidR="003E27D7" w:rsidRPr="000118A0" w:rsidRDefault="003E27D7" w:rsidP="003E27D7">
            <w:pPr>
              <w:pStyle w:val="CETBodytext"/>
              <w:ind w:right="-1"/>
            </w:pPr>
            <w:r w:rsidRPr="00A2480F">
              <w:t>1.96</w:t>
            </w:r>
          </w:p>
        </w:tc>
        <w:tc>
          <w:tcPr>
            <w:tcW w:w="1276" w:type="dxa"/>
            <w:shd w:val="clear" w:color="auto" w:fill="FFFFFF"/>
          </w:tcPr>
          <w:p w14:paraId="0A5D98E4" w14:textId="46939FDF" w:rsidR="003E27D7" w:rsidRPr="000118A0" w:rsidRDefault="003E27D7" w:rsidP="003E27D7">
            <w:pPr>
              <w:pStyle w:val="CETBodytext"/>
              <w:ind w:right="-1"/>
            </w:pPr>
            <w:r w:rsidRPr="003F404D">
              <w:t>2.79</w:t>
            </w:r>
          </w:p>
        </w:tc>
        <w:tc>
          <w:tcPr>
            <w:tcW w:w="1134" w:type="dxa"/>
          </w:tcPr>
          <w:p w14:paraId="43BF0D50" w14:textId="31D714B1" w:rsidR="003E27D7" w:rsidRPr="000118A0" w:rsidRDefault="003E27D7" w:rsidP="003E27D7">
            <w:pPr>
              <w:pStyle w:val="CETBodytext"/>
              <w:ind w:right="-1"/>
            </w:pPr>
            <w:r w:rsidRPr="00A2480F">
              <w:t>2.89</w:t>
            </w:r>
          </w:p>
        </w:tc>
      </w:tr>
      <w:tr w:rsidR="003E27D7" w:rsidRPr="00B57B36" w14:paraId="7D5E2CBC" w14:textId="77777777" w:rsidTr="00E06A6D">
        <w:tc>
          <w:tcPr>
            <w:tcW w:w="3969" w:type="dxa"/>
            <w:shd w:val="clear" w:color="auto" w:fill="FFFFFF"/>
          </w:tcPr>
          <w:p w14:paraId="2BE0FB8D" w14:textId="2341AB1C" w:rsidR="003E27D7" w:rsidRPr="000118A0" w:rsidRDefault="003E27D7" w:rsidP="003E27D7">
            <w:pPr>
              <w:pStyle w:val="CETBodytext"/>
              <w:ind w:right="-1"/>
            </w:pPr>
            <w:r w:rsidRPr="00A2480F">
              <w:t xml:space="preserve">4-(2-propenyl)-Phenol </w:t>
            </w:r>
          </w:p>
        </w:tc>
        <w:tc>
          <w:tcPr>
            <w:tcW w:w="1134" w:type="dxa"/>
            <w:shd w:val="clear" w:color="auto" w:fill="FFFFFF"/>
          </w:tcPr>
          <w:p w14:paraId="711F24F7" w14:textId="294E1EB9" w:rsidR="003E27D7" w:rsidRPr="000118A0" w:rsidRDefault="003E27D7" w:rsidP="003E27D7">
            <w:pPr>
              <w:pStyle w:val="CETBodytext"/>
              <w:ind w:right="-1"/>
            </w:pPr>
            <w:r w:rsidRPr="00A2480F">
              <w:t>49.48</w:t>
            </w:r>
          </w:p>
        </w:tc>
        <w:tc>
          <w:tcPr>
            <w:tcW w:w="1276" w:type="dxa"/>
            <w:shd w:val="clear" w:color="auto" w:fill="FFFFFF"/>
          </w:tcPr>
          <w:p w14:paraId="52DA0DC7" w14:textId="34FD78F9" w:rsidR="003E27D7" w:rsidRPr="000118A0" w:rsidRDefault="003E27D7" w:rsidP="003E27D7">
            <w:pPr>
              <w:pStyle w:val="CETBodytext"/>
              <w:ind w:right="-1"/>
            </w:pPr>
            <w:r w:rsidRPr="00A2480F">
              <w:t>0.44</w:t>
            </w:r>
          </w:p>
        </w:tc>
        <w:tc>
          <w:tcPr>
            <w:tcW w:w="1276" w:type="dxa"/>
            <w:shd w:val="clear" w:color="auto" w:fill="FFFFFF"/>
          </w:tcPr>
          <w:p w14:paraId="124F7F0F" w14:textId="619859C5" w:rsidR="003E27D7" w:rsidRPr="000118A0" w:rsidRDefault="003E27D7" w:rsidP="003E27D7">
            <w:pPr>
              <w:pStyle w:val="CETBodytext"/>
              <w:ind w:right="-1"/>
            </w:pPr>
            <w:r w:rsidRPr="003F404D">
              <w:t>0.86</w:t>
            </w:r>
          </w:p>
        </w:tc>
        <w:tc>
          <w:tcPr>
            <w:tcW w:w="1134" w:type="dxa"/>
          </w:tcPr>
          <w:p w14:paraId="0ECA2E48" w14:textId="30E40968" w:rsidR="003E27D7" w:rsidRPr="000118A0" w:rsidRDefault="003E27D7" w:rsidP="003E27D7">
            <w:pPr>
              <w:pStyle w:val="CETBodytext"/>
              <w:ind w:right="-1"/>
            </w:pPr>
            <w:r w:rsidRPr="00A2480F">
              <w:t>0.83</w:t>
            </w:r>
          </w:p>
        </w:tc>
      </w:tr>
      <w:tr w:rsidR="003E27D7" w:rsidRPr="00B57B36" w14:paraId="5591B650" w14:textId="77777777" w:rsidTr="00E06A6D">
        <w:tc>
          <w:tcPr>
            <w:tcW w:w="3969" w:type="dxa"/>
            <w:shd w:val="clear" w:color="auto" w:fill="FFFFFF"/>
          </w:tcPr>
          <w:p w14:paraId="3823A387" w14:textId="3749A8A2" w:rsidR="003E27D7" w:rsidRPr="000118A0" w:rsidRDefault="003E27D7" w:rsidP="003E27D7">
            <w:pPr>
              <w:pStyle w:val="CETBodytext"/>
              <w:ind w:right="-1"/>
            </w:pPr>
            <w:r w:rsidRPr="00A2480F">
              <w:t>2-methoxy-6-(1-propenyl)-Phenol</w:t>
            </w:r>
          </w:p>
        </w:tc>
        <w:tc>
          <w:tcPr>
            <w:tcW w:w="1134" w:type="dxa"/>
            <w:shd w:val="clear" w:color="auto" w:fill="FFFFFF"/>
          </w:tcPr>
          <w:p w14:paraId="4A454C1B" w14:textId="1FD71E21" w:rsidR="003E27D7" w:rsidRPr="000118A0" w:rsidRDefault="003E27D7" w:rsidP="003E27D7">
            <w:pPr>
              <w:pStyle w:val="CETBodytext"/>
              <w:ind w:right="-1"/>
            </w:pPr>
            <w:r w:rsidRPr="00A2480F">
              <w:t>50.00</w:t>
            </w:r>
          </w:p>
        </w:tc>
        <w:tc>
          <w:tcPr>
            <w:tcW w:w="1276" w:type="dxa"/>
            <w:shd w:val="clear" w:color="auto" w:fill="FFFFFF"/>
          </w:tcPr>
          <w:p w14:paraId="5F858E62" w14:textId="1AAB9236" w:rsidR="003E27D7" w:rsidRPr="000118A0" w:rsidRDefault="003E27D7" w:rsidP="003E27D7">
            <w:pPr>
              <w:pStyle w:val="CETBodytext"/>
              <w:ind w:right="-1"/>
            </w:pPr>
            <w:r w:rsidRPr="00A2480F">
              <w:t>0.89</w:t>
            </w:r>
          </w:p>
        </w:tc>
        <w:tc>
          <w:tcPr>
            <w:tcW w:w="1276" w:type="dxa"/>
            <w:shd w:val="clear" w:color="auto" w:fill="FFFFFF"/>
          </w:tcPr>
          <w:p w14:paraId="21B438FE" w14:textId="4688D8F6" w:rsidR="003E27D7" w:rsidRPr="000118A0" w:rsidRDefault="003E27D7" w:rsidP="003E27D7">
            <w:pPr>
              <w:pStyle w:val="CETBodytext"/>
              <w:ind w:right="-1"/>
            </w:pPr>
            <w:r w:rsidRPr="003F404D">
              <w:t>1.21</w:t>
            </w:r>
          </w:p>
        </w:tc>
        <w:tc>
          <w:tcPr>
            <w:tcW w:w="1134" w:type="dxa"/>
          </w:tcPr>
          <w:p w14:paraId="19FB37A0" w14:textId="12062278" w:rsidR="003E27D7" w:rsidRPr="000118A0" w:rsidRDefault="003E27D7" w:rsidP="003E27D7">
            <w:pPr>
              <w:pStyle w:val="CETBodytext"/>
              <w:ind w:right="-1"/>
            </w:pPr>
            <w:r w:rsidRPr="00A2480F">
              <w:t>1.23</w:t>
            </w:r>
          </w:p>
        </w:tc>
      </w:tr>
      <w:tr w:rsidR="003E27D7" w:rsidRPr="00B57B36" w14:paraId="7A13D5DA" w14:textId="77777777" w:rsidTr="00E06A6D">
        <w:tc>
          <w:tcPr>
            <w:tcW w:w="3969" w:type="dxa"/>
            <w:shd w:val="clear" w:color="auto" w:fill="FFFFFF"/>
          </w:tcPr>
          <w:p w14:paraId="3C31C91B" w14:textId="4AAEFDA0" w:rsidR="003E27D7" w:rsidRPr="000118A0" w:rsidRDefault="003E27D7" w:rsidP="003E27D7">
            <w:pPr>
              <w:pStyle w:val="CETBodytext"/>
              <w:ind w:right="-1"/>
            </w:pPr>
            <w:r w:rsidRPr="00A2480F">
              <w:t>4-hydroxy-Benzaldehyde</w:t>
            </w:r>
          </w:p>
        </w:tc>
        <w:tc>
          <w:tcPr>
            <w:tcW w:w="1134" w:type="dxa"/>
            <w:shd w:val="clear" w:color="auto" w:fill="FFFFFF"/>
          </w:tcPr>
          <w:p w14:paraId="5CFCD644" w14:textId="1269C310" w:rsidR="003E27D7" w:rsidRPr="000118A0" w:rsidRDefault="003E27D7" w:rsidP="003E27D7">
            <w:pPr>
              <w:pStyle w:val="CETBodytext"/>
              <w:ind w:right="-1"/>
            </w:pPr>
            <w:r w:rsidRPr="00A2480F">
              <w:t>50.69</w:t>
            </w:r>
          </w:p>
        </w:tc>
        <w:tc>
          <w:tcPr>
            <w:tcW w:w="1276" w:type="dxa"/>
            <w:shd w:val="clear" w:color="auto" w:fill="FFFFFF"/>
          </w:tcPr>
          <w:p w14:paraId="6AB4D727" w14:textId="7E6CFBC0" w:rsidR="003E27D7" w:rsidRPr="000118A0" w:rsidRDefault="003E27D7" w:rsidP="003E27D7">
            <w:pPr>
              <w:pStyle w:val="CETBodytext"/>
              <w:ind w:right="-1"/>
            </w:pPr>
            <w:r w:rsidRPr="00A2480F">
              <w:t>0.36</w:t>
            </w:r>
          </w:p>
        </w:tc>
        <w:tc>
          <w:tcPr>
            <w:tcW w:w="1276" w:type="dxa"/>
            <w:shd w:val="clear" w:color="auto" w:fill="FFFFFF"/>
          </w:tcPr>
          <w:p w14:paraId="36AED4F3" w14:textId="6C12CEA0" w:rsidR="003E27D7" w:rsidRPr="000118A0" w:rsidRDefault="003E27D7" w:rsidP="003E27D7">
            <w:pPr>
              <w:pStyle w:val="CETBodytext"/>
              <w:ind w:right="-1"/>
            </w:pPr>
            <w:r w:rsidRPr="003F404D">
              <w:t>0.6</w:t>
            </w:r>
          </w:p>
        </w:tc>
        <w:tc>
          <w:tcPr>
            <w:tcW w:w="1134" w:type="dxa"/>
          </w:tcPr>
          <w:p w14:paraId="6C2C49B0" w14:textId="280F2253" w:rsidR="003E27D7" w:rsidRPr="000118A0" w:rsidRDefault="003E27D7" w:rsidP="003E27D7">
            <w:pPr>
              <w:pStyle w:val="CETBodytext"/>
              <w:ind w:right="-1"/>
            </w:pPr>
            <w:r w:rsidRPr="00A2480F">
              <w:t>0.53</w:t>
            </w:r>
          </w:p>
        </w:tc>
      </w:tr>
      <w:tr w:rsidR="003E27D7" w:rsidRPr="00B57B36" w14:paraId="249B1F4A" w14:textId="77777777" w:rsidTr="00E06A6D">
        <w:tc>
          <w:tcPr>
            <w:tcW w:w="3969" w:type="dxa"/>
            <w:shd w:val="clear" w:color="auto" w:fill="FFFFFF"/>
          </w:tcPr>
          <w:p w14:paraId="1F1FCF70" w14:textId="67A48BF0" w:rsidR="003E27D7" w:rsidRPr="000118A0" w:rsidRDefault="003E27D7" w:rsidP="003E27D7">
            <w:pPr>
              <w:pStyle w:val="CETBodytext"/>
              <w:ind w:right="-1"/>
            </w:pPr>
            <w:r w:rsidRPr="00A2480F">
              <w:t>Vanillin</w:t>
            </w:r>
          </w:p>
        </w:tc>
        <w:tc>
          <w:tcPr>
            <w:tcW w:w="1134" w:type="dxa"/>
            <w:shd w:val="clear" w:color="auto" w:fill="FFFFFF"/>
          </w:tcPr>
          <w:p w14:paraId="2265CF4F" w14:textId="2E996276" w:rsidR="003E27D7" w:rsidRPr="000118A0" w:rsidRDefault="003E27D7" w:rsidP="003E27D7">
            <w:pPr>
              <w:pStyle w:val="CETBodytext"/>
              <w:ind w:right="-1"/>
            </w:pPr>
            <w:r w:rsidRPr="00A2480F">
              <w:t>51.48</w:t>
            </w:r>
          </w:p>
        </w:tc>
        <w:tc>
          <w:tcPr>
            <w:tcW w:w="1276" w:type="dxa"/>
            <w:shd w:val="clear" w:color="auto" w:fill="FFFFFF"/>
          </w:tcPr>
          <w:p w14:paraId="36CED873" w14:textId="4D630E66" w:rsidR="003E27D7" w:rsidRPr="000118A0" w:rsidRDefault="003E27D7" w:rsidP="003E27D7">
            <w:pPr>
              <w:pStyle w:val="CETBodytext"/>
              <w:ind w:right="-1"/>
            </w:pPr>
            <w:r w:rsidRPr="00A2480F">
              <w:t>0.81</w:t>
            </w:r>
          </w:p>
        </w:tc>
        <w:tc>
          <w:tcPr>
            <w:tcW w:w="1276" w:type="dxa"/>
            <w:shd w:val="clear" w:color="auto" w:fill="FFFFFF"/>
          </w:tcPr>
          <w:p w14:paraId="385289F2" w14:textId="60A6B90E" w:rsidR="003E27D7" w:rsidRPr="000118A0" w:rsidRDefault="003E27D7" w:rsidP="003E27D7">
            <w:pPr>
              <w:pStyle w:val="CETBodytext"/>
              <w:ind w:right="-1"/>
            </w:pPr>
            <w:r w:rsidRPr="003F404D">
              <w:t>1.44</w:t>
            </w:r>
          </w:p>
        </w:tc>
        <w:tc>
          <w:tcPr>
            <w:tcW w:w="1134" w:type="dxa"/>
          </w:tcPr>
          <w:p w14:paraId="5182DE68" w14:textId="7ACB559D" w:rsidR="003E27D7" w:rsidRPr="000118A0" w:rsidRDefault="003E27D7" w:rsidP="003E27D7">
            <w:pPr>
              <w:pStyle w:val="CETBodytext"/>
              <w:ind w:right="-1"/>
            </w:pPr>
            <w:r w:rsidRPr="00A2480F">
              <w:t>1.23</w:t>
            </w:r>
          </w:p>
        </w:tc>
      </w:tr>
      <w:tr w:rsidR="003E27D7" w:rsidRPr="00B57B36" w14:paraId="77F866A0" w14:textId="77777777" w:rsidTr="00E06A6D">
        <w:tc>
          <w:tcPr>
            <w:tcW w:w="3969" w:type="dxa"/>
            <w:shd w:val="clear" w:color="auto" w:fill="FFFFFF"/>
          </w:tcPr>
          <w:p w14:paraId="06ABA653" w14:textId="65A06A55" w:rsidR="003E27D7" w:rsidRPr="000118A0" w:rsidRDefault="003E27D7" w:rsidP="003E27D7">
            <w:pPr>
              <w:pStyle w:val="CETBodytext"/>
              <w:ind w:right="-1"/>
            </w:pPr>
            <w:r w:rsidRPr="00A2480F">
              <w:t>trans-Isoeugenol</w:t>
            </w:r>
          </w:p>
        </w:tc>
        <w:tc>
          <w:tcPr>
            <w:tcW w:w="1134" w:type="dxa"/>
            <w:shd w:val="clear" w:color="auto" w:fill="FFFFFF"/>
          </w:tcPr>
          <w:p w14:paraId="02186F3C" w14:textId="561C3A49" w:rsidR="003E27D7" w:rsidRPr="000118A0" w:rsidRDefault="003E27D7" w:rsidP="003E27D7">
            <w:pPr>
              <w:pStyle w:val="CETBodytext"/>
              <w:ind w:right="-1"/>
            </w:pPr>
            <w:r w:rsidRPr="00A2480F">
              <w:t>52.02</w:t>
            </w:r>
          </w:p>
        </w:tc>
        <w:tc>
          <w:tcPr>
            <w:tcW w:w="1276" w:type="dxa"/>
            <w:shd w:val="clear" w:color="auto" w:fill="FFFFFF"/>
          </w:tcPr>
          <w:p w14:paraId="7E70034C" w14:textId="13F4E295" w:rsidR="003E27D7" w:rsidRPr="000118A0" w:rsidRDefault="003E27D7" w:rsidP="003E27D7">
            <w:pPr>
              <w:pStyle w:val="CETBodytext"/>
              <w:ind w:right="-1"/>
            </w:pPr>
            <w:r w:rsidRPr="00A2480F">
              <w:t>1.58</w:t>
            </w:r>
          </w:p>
        </w:tc>
        <w:tc>
          <w:tcPr>
            <w:tcW w:w="1276" w:type="dxa"/>
            <w:shd w:val="clear" w:color="auto" w:fill="FFFFFF"/>
          </w:tcPr>
          <w:p w14:paraId="2A3B64C9" w14:textId="2B117DB9" w:rsidR="003E27D7" w:rsidRPr="000118A0" w:rsidRDefault="003E27D7" w:rsidP="003E27D7">
            <w:pPr>
              <w:pStyle w:val="CETBodytext"/>
              <w:ind w:right="-1"/>
            </w:pPr>
            <w:r w:rsidRPr="003F404D">
              <w:t>3.15</w:t>
            </w:r>
          </w:p>
        </w:tc>
        <w:tc>
          <w:tcPr>
            <w:tcW w:w="1134" w:type="dxa"/>
          </w:tcPr>
          <w:p w14:paraId="43964C42" w14:textId="3D3DD209" w:rsidR="003E27D7" w:rsidRPr="000118A0" w:rsidRDefault="003E27D7" w:rsidP="003E27D7">
            <w:pPr>
              <w:pStyle w:val="CETBodytext"/>
              <w:ind w:right="-1"/>
            </w:pPr>
            <w:r w:rsidRPr="00A2480F">
              <w:t>2.50</w:t>
            </w:r>
          </w:p>
        </w:tc>
      </w:tr>
      <w:tr w:rsidR="003E27D7" w:rsidRPr="00B57B36" w14:paraId="72B05041" w14:textId="77777777" w:rsidTr="00E06A6D">
        <w:tc>
          <w:tcPr>
            <w:tcW w:w="3969" w:type="dxa"/>
            <w:shd w:val="clear" w:color="auto" w:fill="FFFFFF"/>
          </w:tcPr>
          <w:p w14:paraId="57C9BEBA" w14:textId="07AF6A3B" w:rsidR="003E27D7" w:rsidRPr="000118A0" w:rsidRDefault="003E27D7" w:rsidP="003E27D7">
            <w:pPr>
              <w:pStyle w:val="CETBodytext"/>
              <w:ind w:right="-1"/>
            </w:pPr>
            <w:r w:rsidRPr="00A2480F">
              <w:t>4-Ethylcatechol</w:t>
            </w:r>
          </w:p>
        </w:tc>
        <w:tc>
          <w:tcPr>
            <w:tcW w:w="1134" w:type="dxa"/>
            <w:shd w:val="clear" w:color="auto" w:fill="FFFFFF"/>
          </w:tcPr>
          <w:p w14:paraId="71A6B84A" w14:textId="15DA99A6" w:rsidR="003E27D7" w:rsidRPr="000118A0" w:rsidRDefault="00E65B61" w:rsidP="003E27D7">
            <w:pPr>
              <w:pStyle w:val="CETBodytext"/>
              <w:ind w:right="-1"/>
            </w:pPr>
            <w:r>
              <w:t>53.02</w:t>
            </w:r>
          </w:p>
        </w:tc>
        <w:tc>
          <w:tcPr>
            <w:tcW w:w="1276" w:type="dxa"/>
            <w:shd w:val="clear" w:color="auto" w:fill="FFFFFF"/>
          </w:tcPr>
          <w:p w14:paraId="23F8DD1B" w14:textId="448F3769" w:rsidR="003E27D7" w:rsidRPr="000118A0" w:rsidRDefault="003E27D7" w:rsidP="003E27D7">
            <w:pPr>
              <w:pStyle w:val="CETBodytext"/>
              <w:ind w:right="-1"/>
            </w:pPr>
            <w:r w:rsidRPr="00A2480F">
              <w:t>N.D.</w:t>
            </w:r>
          </w:p>
        </w:tc>
        <w:tc>
          <w:tcPr>
            <w:tcW w:w="1276" w:type="dxa"/>
            <w:shd w:val="clear" w:color="auto" w:fill="FFFFFF"/>
          </w:tcPr>
          <w:p w14:paraId="1D470FC8" w14:textId="7AEFF20C" w:rsidR="003E27D7" w:rsidRPr="000118A0" w:rsidRDefault="003E27D7" w:rsidP="003E27D7">
            <w:pPr>
              <w:pStyle w:val="CETBodytext"/>
              <w:ind w:right="-1"/>
            </w:pPr>
            <w:r w:rsidRPr="003F404D">
              <w:t>1.91</w:t>
            </w:r>
          </w:p>
        </w:tc>
        <w:tc>
          <w:tcPr>
            <w:tcW w:w="1134" w:type="dxa"/>
          </w:tcPr>
          <w:p w14:paraId="4A351D42" w14:textId="4D1E9571" w:rsidR="003E27D7" w:rsidRPr="000118A0" w:rsidRDefault="003E27D7" w:rsidP="003E27D7">
            <w:pPr>
              <w:pStyle w:val="CETBodytext"/>
              <w:ind w:right="-1"/>
            </w:pPr>
            <w:r w:rsidRPr="00A2480F">
              <w:t>2.23</w:t>
            </w:r>
          </w:p>
        </w:tc>
      </w:tr>
      <w:tr w:rsidR="003E27D7" w:rsidRPr="00B57B36" w14:paraId="72B1A37D" w14:textId="77777777" w:rsidTr="00E06A6D">
        <w:tc>
          <w:tcPr>
            <w:tcW w:w="3969" w:type="dxa"/>
            <w:shd w:val="clear" w:color="auto" w:fill="FFFFFF"/>
          </w:tcPr>
          <w:p w14:paraId="0C199C40" w14:textId="2957E565" w:rsidR="003E27D7" w:rsidRPr="000118A0" w:rsidRDefault="003E27D7" w:rsidP="003E27D7">
            <w:pPr>
              <w:pStyle w:val="CETBodytext"/>
              <w:ind w:right="-1"/>
            </w:pPr>
            <w:r w:rsidRPr="00A2480F">
              <w:t>Apocynin</w:t>
            </w:r>
          </w:p>
        </w:tc>
        <w:tc>
          <w:tcPr>
            <w:tcW w:w="1134" w:type="dxa"/>
            <w:shd w:val="clear" w:color="auto" w:fill="FFFFFF"/>
          </w:tcPr>
          <w:p w14:paraId="4D8C03EA" w14:textId="2C082943" w:rsidR="003E27D7" w:rsidRPr="000118A0" w:rsidRDefault="003E27D7" w:rsidP="003E27D7">
            <w:pPr>
              <w:pStyle w:val="CETBodytext"/>
              <w:ind w:right="-1"/>
            </w:pPr>
            <w:r w:rsidRPr="00A2480F">
              <w:t>55.02</w:t>
            </w:r>
          </w:p>
        </w:tc>
        <w:tc>
          <w:tcPr>
            <w:tcW w:w="1276" w:type="dxa"/>
            <w:shd w:val="clear" w:color="auto" w:fill="FFFFFF"/>
          </w:tcPr>
          <w:p w14:paraId="0F7EF87C" w14:textId="5023B373" w:rsidR="003E27D7" w:rsidRPr="000118A0" w:rsidRDefault="003E27D7" w:rsidP="003E27D7">
            <w:pPr>
              <w:pStyle w:val="CETBodytext"/>
              <w:ind w:right="-1"/>
            </w:pPr>
            <w:r w:rsidRPr="00A2480F">
              <w:t>0.23</w:t>
            </w:r>
          </w:p>
        </w:tc>
        <w:tc>
          <w:tcPr>
            <w:tcW w:w="1276" w:type="dxa"/>
            <w:shd w:val="clear" w:color="auto" w:fill="FFFFFF"/>
          </w:tcPr>
          <w:p w14:paraId="150F63AC" w14:textId="59D41B56" w:rsidR="003E27D7" w:rsidRPr="000118A0" w:rsidRDefault="003E27D7" w:rsidP="003E27D7">
            <w:pPr>
              <w:pStyle w:val="CETBodytext"/>
              <w:ind w:right="-1"/>
            </w:pPr>
            <w:r w:rsidRPr="003F404D">
              <w:t>0.44</w:t>
            </w:r>
          </w:p>
        </w:tc>
        <w:tc>
          <w:tcPr>
            <w:tcW w:w="1134" w:type="dxa"/>
          </w:tcPr>
          <w:p w14:paraId="0A6F80EC" w14:textId="410283B3" w:rsidR="003E27D7" w:rsidRPr="000118A0" w:rsidRDefault="003E27D7" w:rsidP="003E27D7">
            <w:pPr>
              <w:pStyle w:val="CETBodytext"/>
              <w:ind w:right="-1"/>
            </w:pPr>
            <w:r w:rsidRPr="00A2480F">
              <w:t>0.37</w:t>
            </w:r>
          </w:p>
        </w:tc>
      </w:tr>
      <w:tr w:rsidR="003E27D7" w:rsidRPr="00B57B36" w14:paraId="7CE5FAA3" w14:textId="77777777" w:rsidTr="00E06A6D">
        <w:tc>
          <w:tcPr>
            <w:tcW w:w="3969" w:type="dxa"/>
            <w:shd w:val="clear" w:color="auto" w:fill="FFFFFF"/>
          </w:tcPr>
          <w:p w14:paraId="67649A25" w14:textId="18833EB3" w:rsidR="003E27D7" w:rsidRPr="00907F28" w:rsidRDefault="003E27D7" w:rsidP="003E27D7">
            <w:pPr>
              <w:pStyle w:val="CETBodytext"/>
              <w:ind w:right="-1"/>
            </w:pPr>
            <w:r w:rsidRPr="00907F28">
              <w:t>5-tert-Butylpyrogallol</w:t>
            </w:r>
          </w:p>
        </w:tc>
        <w:tc>
          <w:tcPr>
            <w:tcW w:w="1134" w:type="dxa"/>
            <w:shd w:val="clear" w:color="auto" w:fill="FFFFFF"/>
          </w:tcPr>
          <w:p w14:paraId="197A5EA0" w14:textId="7E09163E" w:rsidR="003E27D7" w:rsidRPr="00907F28" w:rsidRDefault="003E27D7" w:rsidP="003E27D7">
            <w:pPr>
              <w:pStyle w:val="CETBodytext"/>
              <w:ind w:right="-1"/>
            </w:pPr>
            <w:r w:rsidRPr="00907F28">
              <w:t>55.27</w:t>
            </w:r>
          </w:p>
        </w:tc>
        <w:tc>
          <w:tcPr>
            <w:tcW w:w="1276" w:type="dxa"/>
            <w:shd w:val="clear" w:color="auto" w:fill="FFFFFF"/>
          </w:tcPr>
          <w:p w14:paraId="068CEA28" w14:textId="3DA731B9" w:rsidR="003E27D7" w:rsidRPr="00907F28" w:rsidRDefault="003E27D7" w:rsidP="003E27D7">
            <w:pPr>
              <w:pStyle w:val="CETBodytext"/>
              <w:ind w:right="-1"/>
            </w:pPr>
            <w:r w:rsidRPr="00907F28">
              <w:t>0.23</w:t>
            </w:r>
          </w:p>
        </w:tc>
        <w:tc>
          <w:tcPr>
            <w:tcW w:w="1276" w:type="dxa"/>
            <w:shd w:val="clear" w:color="auto" w:fill="FFFFFF"/>
          </w:tcPr>
          <w:p w14:paraId="66FFC5B0" w14:textId="0CD851CF" w:rsidR="003E27D7" w:rsidRPr="00907F28" w:rsidRDefault="003E27D7" w:rsidP="003E27D7">
            <w:pPr>
              <w:pStyle w:val="CETBodytext"/>
              <w:ind w:right="-1"/>
            </w:pPr>
            <w:r w:rsidRPr="00907F28">
              <w:t>N.D</w:t>
            </w:r>
          </w:p>
        </w:tc>
        <w:tc>
          <w:tcPr>
            <w:tcW w:w="1134" w:type="dxa"/>
          </w:tcPr>
          <w:p w14:paraId="7D4FE3E0" w14:textId="6532FC7A" w:rsidR="003E27D7" w:rsidRPr="00907F28" w:rsidRDefault="003E27D7" w:rsidP="003E27D7">
            <w:pPr>
              <w:pStyle w:val="CETBodytext"/>
              <w:ind w:right="-1"/>
            </w:pPr>
            <w:r w:rsidRPr="00907F28">
              <w:t>N.D.</w:t>
            </w:r>
          </w:p>
        </w:tc>
      </w:tr>
      <w:tr w:rsidR="003E27D7" w:rsidRPr="00B57B36" w14:paraId="2AB4F953" w14:textId="77777777" w:rsidTr="00E06A6D">
        <w:tc>
          <w:tcPr>
            <w:tcW w:w="3969" w:type="dxa"/>
            <w:shd w:val="clear" w:color="auto" w:fill="FFFFFF"/>
          </w:tcPr>
          <w:p w14:paraId="4597FAA8" w14:textId="700CC8FB" w:rsidR="003E27D7" w:rsidRPr="000118A0" w:rsidRDefault="003E27D7" w:rsidP="003E27D7">
            <w:pPr>
              <w:pStyle w:val="CETBodytext"/>
              <w:ind w:right="-1"/>
            </w:pPr>
            <w:r w:rsidRPr="00A2480F">
              <w:t>4-Methyl-2,5-dimethoxybenzaldehyde</w:t>
            </w:r>
          </w:p>
        </w:tc>
        <w:tc>
          <w:tcPr>
            <w:tcW w:w="1134" w:type="dxa"/>
            <w:shd w:val="clear" w:color="auto" w:fill="FFFFFF"/>
          </w:tcPr>
          <w:p w14:paraId="7277CD41" w14:textId="110606A1" w:rsidR="003E27D7" w:rsidRPr="000118A0" w:rsidRDefault="00E65B61" w:rsidP="003E27D7">
            <w:pPr>
              <w:pStyle w:val="CETBodytext"/>
              <w:ind w:right="-1"/>
            </w:pPr>
            <w:r>
              <w:t>57.18</w:t>
            </w:r>
          </w:p>
        </w:tc>
        <w:tc>
          <w:tcPr>
            <w:tcW w:w="1276" w:type="dxa"/>
            <w:shd w:val="clear" w:color="auto" w:fill="FFFFFF"/>
          </w:tcPr>
          <w:p w14:paraId="790A28BA" w14:textId="206CA4ED" w:rsidR="003E27D7" w:rsidRPr="000118A0" w:rsidRDefault="003E27D7" w:rsidP="003E27D7">
            <w:pPr>
              <w:pStyle w:val="CETBodytext"/>
              <w:ind w:right="-1"/>
            </w:pPr>
            <w:r w:rsidRPr="00A2480F">
              <w:t>N.D.</w:t>
            </w:r>
          </w:p>
        </w:tc>
        <w:tc>
          <w:tcPr>
            <w:tcW w:w="1276" w:type="dxa"/>
            <w:shd w:val="clear" w:color="auto" w:fill="FFFFFF"/>
          </w:tcPr>
          <w:p w14:paraId="15C959FD" w14:textId="30F18487" w:rsidR="003E27D7" w:rsidRPr="000118A0" w:rsidRDefault="003E27D7" w:rsidP="003E27D7">
            <w:pPr>
              <w:pStyle w:val="CETBodytext"/>
              <w:ind w:right="-1"/>
            </w:pPr>
            <w:r w:rsidRPr="003F404D">
              <w:t>1.51</w:t>
            </w:r>
          </w:p>
        </w:tc>
        <w:tc>
          <w:tcPr>
            <w:tcW w:w="1134" w:type="dxa"/>
          </w:tcPr>
          <w:p w14:paraId="688E0078" w14:textId="2B4E2B46" w:rsidR="003E27D7" w:rsidRPr="000118A0" w:rsidRDefault="003E27D7" w:rsidP="003E27D7">
            <w:pPr>
              <w:pStyle w:val="CETBodytext"/>
              <w:ind w:right="-1"/>
            </w:pPr>
            <w:r w:rsidRPr="00A2480F">
              <w:t>1.03</w:t>
            </w:r>
          </w:p>
        </w:tc>
      </w:tr>
      <w:tr w:rsidR="003E27D7" w:rsidRPr="00B57B36" w14:paraId="774FCEE2" w14:textId="77777777" w:rsidTr="00E06A6D">
        <w:tc>
          <w:tcPr>
            <w:tcW w:w="3969" w:type="dxa"/>
            <w:shd w:val="clear" w:color="auto" w:fill="FFFFFF"/>
          </w:tcPr>
          <w:p w14:paraId="3B1B4513" w14:textId="70DEDD78" w:rsidR="003E27D7" w:rsidRPr="000118A0" w:rsidRDefault="003E27D7" w:rsidP="003E27D7">
            <w:pPr>
              <w:pStyle w:val="CETBodytext"/>
              <w:ind w:right="-1"/>
            </w:pPr>
            <w:r w:rsidRPr="00A2480F">
              <w:t>Levoglucosan</w:t>
            </w:r>
          </w:p>
        </w:tc>
        <w:tc>
          <w:tcPr>
            <w:tcW w:w="1134" w:type="dxa"/>
            <w:shd w:val="clear" w:color="auto" w:fill="FFFFFF"/>
          </w:tcPr>
          <w:p w14:paraId="2035B1B0" w14:textId="30E3288D" w:rsidR="003E27D7" w:rsidRPr="000118A0" w:rsidRDefault="003E27D7" w:rsidP="003E27D7">
            <w:pPr>
              <w:pStyle w:val="CETBodytext"/>
              <w:ind w:right="-1"/>
            </w:pPr>
            <w:r w:rsidRPr="00A2480F">
              <w:t>58.12</w:t>
            </w:r>
          </w:p>
        </w:tc>
        <w:tc>
          <w:tcPr>
            <w:tcW w:w="1276" w:type="dxa"/>
            <w:shd w:val="clear" w:color="auto" w:fill="FFFFFF"/>
          </w:tcPr>
          <w:p w14:paraId="46EE60DD" w14:textId="159768B1" w:rsidR="003E27D7" w:rsidRPr="000118A0" w:rsidRDefault="003E27D7" w:rsidP="003E27D7">
            <w:pPr>
              <w:pStyle w:val="CETBodytext"/>
              <w:ind w:right="-1"/>
            </w:pPr>
            <w:r w:rsidRPr="00A2480F">
              <w:t>0.69</w:t>
            </w:r>
          </w:p>
        </w:tc>
        <w:tc>
          <w:tcPr>
            <w:tcW w:w="1276" w:type="dxa"/>
            <w:shd w:val="clear" w:color="auto" w:fill="FFFFFF"/>
          </w:tcPr>
          <w:p w14:paraId="4206D367" w14:textId="166DC138" w:rsidR="003E27D7" w:rsidRPr="000118A0" w:rsidRDefault="003E27D7" w:rsidP="003E27D7">
            <w:pPr>
              <w:pStyle w:val="CETBodytext"/>
              <w:ind w:right="-1"/>
            </w:pPr>
            <w:r w:rsidRPr="003F404D">
              <w:t>0.49</w:t>
            </w:r>
          </w:p>
        </w:tc>
        <w:tc>
          <w:tcPr>
            <w:tcW w:w="1134" w:type="dxa"/>
          </w:tcPr>
          <w:p w14:paraId="1AE8FD72" w14:textId="1DABAAED" w:rsidR="003E27D7" w:rsidRPr="000118A0" w:rsidRDefault="003E27D7" w:rsidP="003E27D7">
            <w:pPr>
              <w:pStyle w:val="CETBodytext"/>
              <w:ind w:right="-1"/>
            </w:pPr>
            <w:r w:rsidRPr="00A2480F">
              <w:t>0.62</w:t>
            </w:r>
          </w:p>
        </w:tc>
      </w:tr>
      <w:tr w:rsidR="003E27D7" w:rsidRPr="00B57B36" w14:paraId="4864F669" w14:textId="77777777" w:rsidTr="00E06A6D">
        <w:tc>
          <w:tcPr>
            <w:tcW w:w="3969" w:type="dxa"/>
            <w:shd w:val="clear" w:color="auto" w:fill="FFFFFF"/>
          </w:tcPr>
          <w:p w14:paraId="0908649F" w14:textId="5DC9039D" w:rsidR="003E27D7" w:rsidRPr="000118A0" w:rsidRDefault="003E27D7" w:rsidP="003E27D7">
            <w:pPr>
              <w:pStyle w:val="CETBodytext"/>
              <w:ind w:right="-1"/>
            </w:pPr>
            <w:r w:rsidRPr="00A2480F">
              <w:t>2,6-dimethoxy-4-(2-propenyl)-Phenol</w:t>
            </w:r>
          </w:p>
        </w:tc>
        <w:tc>
          <w:tcPr>
            <w:tcW w:w="1134" w:type="dxa"/>
            <w:shd w:val="clear" w:color="auto" w:fill="FFFFFF"/>
          </w:tcPr>
          <w:p w14:paraId="2208CFDA" w14:textId="039C7CC0" w:rsidR="003E27D7" w:rsidRPr="000118A0" w:rsidRDefault="003E27D7" w:rsidP="003E27D7">
            <w:pPr>
              <w:pStyle w:val="CETBodytext"/>
              <w:ind w:right="-1"/>
            </w:pPr>
            <w:r w:rsidRPr="00A2480F">
              <w:t>58.26</w:t>
            </w:r>
          </w:p>
        </w:tc>
        <w:tc>
          <w:tcPr>
            <w:tcW w:w="1276" w:type="dxa"/>
            <w:shd w:val="clear" w:color="auto" w:fill="FFFFFF"/>
          </w:tcPr>
          <w:p w14:paraId="471A987D" w14:textId="256A75A5" w:rsidR="003E27D7" w:rsidRPr="000118A0" w:rsidRDefault="003E27D7" w:rsidP="003E27D7">
            <w:pPr>
              <w:pStyle w:val="CETBodytext"/>
              <w:ind w:right="-1"/>
            </w:pPr>
            <w:r w:rsidRPr="00A2480F">
              <w:t>0.76</w:t>
            </w:r>
          </w:p>
        </w:tc>
        <w:tc>
          <w:tcPr>
            <w:tcW w:w="1276" w:type="dxa"/>
            <w:shd w:val="clear" w:color="auto" w:fill="FFFFFF"/>
          </w:tcPr>
          <w:p w14:paraId="6258D963" w14:textId="34EF1937" w:rsidR="003E27D7" w:rsidRPr="000118A0" w:rsidRDefault="003E27D7" w:rsidP="003E27D7">
            <w:pPr>
              <w:pStyle w:val="CETBodytext"/>
              <w:ind w:right="-1"/>
            </w:pPr>
            <w:r w:rsidRPr="003F404D">
              <w:t>2.4</w:t>
            </w:r>
          </w:p>
        </w:tc>
        <w:tc>
          <w:tcPr>
            <w:tcW w:w="1134" w:type="dxa"/>
          </w:tcPr>
          <w:p w14:paraId="05988CFA" w14:textId="49E2F028" w:rsidR="003E27D7" w:rsidRPr="000118A0" w:rsidRDefault="003E27D7" w:rsidP="003E27D7">
            <w:pPr>
              <w:pStyle w:val="CETBodytext"/>
              <w:ind w:right="-1"/>
            </w:pPr>
            <w:r w:rsidRPr="00A2480F">
              <w:t>1.63</w:t>
            </w:r>
          </w:p>
        </w:tc>
      </w:tr>
      <w:tr w:rsidR="003E27D7" w:rsidRPr="00B57B36" w14:paraId="58D3D561" w14:textId="77777777" w:rsidTr="00E06A6D">
        <w:tc>
          <w:tcPr>
            <w:tcW w:w="3969" w:type="dxa"/>
            <w:shd w:val="clear" w:color="auto" w:fill="FFFFFF"/>
          </w:tcPr>
          <w:p w14:paraId="0A3609D8" w14:textId="2223FB90" w:rsidR="003E27D7" w:rsidRPr="000118A0" w:rsidRDefault="003E27D7" w:rsidP="003E27D7">
            <w:pPr>
              <w:pStyle w:val="CETBodytext"/>
              <w:ind w:right="-1"/>
            </w:pPr>
            <w:r w:rsidRPr="00A2480F">
              <w:t>4-hydroxy-3,5-dimethoxy-Benzaldehyde</w:t>
            </w:r>
          </w:p>
        </w:tc>
        <w:tc>
          <w:tcPr>
            <w:tcW w:w="1134" w:type="dxa"/>
            <w:shd w:val="clear" w:color="auto" w:fill="FFFFFF"/>
          </w:tcPr>
          <w:p w14:paraId="56245EE3" w14:textId="59767AAF" w:rsidR="003E27D7" w:rsidRPr="000118A0" w:rsidRDefault="003E27D7" w:rsidP="003E27D7">
            <w:pPr>
              <w:pStyle w:val="CETBodytext"/>
              <w:ind w:right="-1"/>
            </w:pPr>
            <w:r w:rsidRPr="00A2480F">
              <w:t>62.17</w:t>
            </w:r>
          </w:p>
        </w:tc>
        <w:tc>
          <w:tcPr>
            <w:tcW w:w="1276" w:type="dxa"/>
            <w:shd w:val="clear" w:color="auto" w:fill="FFFFFF"/>
          </w:tcPr>
          <w:p w14:paraId="4C5905E0" w14:textId="314D6E55" w:rsidR="003E27D7" w:rsidRPr="000118A0" w:rsidRDefault="003E27D7" w:rsidP="003E27D7">
            <w:pPr>
              <w:pStyle w:val="CETBodytext"/>
              <w:ind w:right="-1"/>
            </w:pPr>
            <w:r w:rsidRPr="00A2480F">
              <w:t>0.16</w:t>
            </w:r>
          </w:p>
        </w:tc>
        <w:tc>
          <w:tcPr>
            <w:tcW w:w="1276" w:type="dxa"/>
            <w:shd w:val="clear" w:color="auto" w:fill="FFFFFF"/>
          </w:tcPr>
          <w:p w14:paraId="0E43534C" w14:textId="4B9B1210" w:rsidR="003E27D7" w:rsidRPr="000118A0" w:rsidRDefault="003E27D7" w:rsidP="003E27D7">
            <w:pPr>
              <w:pStyle w:val="CETBodytext"/>
              <w:ind w:right="-1"/>
            </w:pPr>
            <w:r w:rsidRPr="003F404D">
              <w:t>0.36</w:t>
            </w:r>
          </w:p>
        </w:tc>
        <w:tc>
          <w:tcPr>
            <w:tcW w:w="1134" w:type="dxa"/>
          </w:tcPr>
          <w:p w14:paraId="47DF33D2" w14:textId="2E49A817" w:rsidR="003E27D7" w:rsidRPr="000118A0" w:rsidRDefault="003E27D7" w:rsidP="003E27D7">
            <w:pPr>
              <w:pStyle w:val="CETBodytext"/>
              <w:ind w:right="-1"/>
            </w:pPr>
            <w:r w:rsidRPr="00A2480F">
              <w:t>0.27</w:t>
            </w:r>
          </w:p>
        </w:tc>
      </w:tr>
      <w:tr w:rsidR="003E27D7" w:rsidRPr="00B57B36" w14:paraId="1A35F9CF" w14:textId="77777777" w:rsidTr="00E06A6D">
        <w:tc>
          <w:tcPr>
            <w:tcW w:w="3969" w:type="dxa"/>
            <w:shd w:val="clear" w:color="auto" w:fill="FFFFFF"/>
          </w:tcPr>
          <w:p w14:paraId="7BF908EB" w14:textId="5AC24ECD" w:rsidR="003E27D7" w:rsidRPr="00907F28" w:rsidRDefault="003E27D7" w:rsidP="003E27D7">
            <w:pPr>
              <w:pStyle w:val="CETBodytext"/>
              <w:ind w:right="-1"/>
              <w:rPr>
                <w:rFonts w:cs="Arial"/>
                <w:szCs w:val="18"/>
                <w:lang w:val="en-GB"/>
              </w:rPr>
            </w:pPr>
            <w:r w:rsidRPr="00907F28">
              <w:t>1-(4-hydroxy-3,5-dimethoxyphenyl)-</w:t>
            </w:r>
            <w:proofErr w:type="spellStart"/>
            <w:r w:rsidRPr="00907F28">
              <w:t>Ethanone</w:t>
            </w:r>
            <w:proofErr w:type="spellEnd"/>
          </w:p>
        </w:tc>
        <w:tc>
          <w:tcPr>
            <w:tcW w:w="1134" w:type="dxa"/>
            <w:shd w:val="clear" w:color="auto" w:fill="FFFFFF"/>
          </w:tcPr>
          <w:p w14:paraId="1BD81155" w14:textId="4BCCDAB0" w:rsidR="003E27D7" w:rsidRPr="00907F28" w:rsidRDefault="009106BD" w:rsidP="003E27D7">
            <w:pPr>
              <w:pStyle w:val="CETBodytext"/>
              <w:ind w:right="-1"/>
              <w:rPr>
                <w:rFonts w:cs="Arial"/>
                <w:szCs w:val="18"/>
                <w:lang w:val="en-GB"/>
              </w:rPr>
            </w:pPr>
            <w:r w:rsidRPr="00907F28">
              <w:t>64.78</w:t>
            </w:r>
          </w:p>
        </w:tc>
        <w:tc>
          <w:tcPr>
            <w:tcW w:w="1276" w:type="dxa"/>
            <w:shd w:val="clear" w:color="auto" w:fill="FFFFFF"/>
          </w:tcPr>
          <w:p w14:paraId="4B1D98B5" w14:textId="5B84424D" w:rsidR="003E27D7" w:rsidRPr="00907F28" w:rsidRDefault="003E27D7" w:rsidP="003E27D7">
            <w:pPr>
              <w:pStyle w:val="CETBodytext"/>
              <w:ind w:right="-1"/>
              <w:rPr>
                <w:rFonts w:cs="Arial"/>
                <w:szCs w:val="18"/>
                <w:lang w:val="en-GB"/>
              </w:rPr>
            </w:pPr>
            <w:r w:rsidRPr="00907F28">
              <w:t>N.D.</w:t>
            </w:r>
          </w:p>
        </w:tc>
        <w:tc>
          <w:tcPr>
            <w:tcW w:w="1276" w:type="dxa"/>
            <w:shd w:val="clear" w:color="auto" w:fill="FFFFFF"/>
          </w:tcPr>
          <w:p w14:paraId="497845C0" w14:textId="77E4568E" w:rsidR="003E27D7" w:rsidRPr="00907F28" w:rsidRDefault="003E27D7" w:rsidP="003E27D7">
            <w:pPr>
              <w:pStyle w:val="CETBodytext"/>
              <w:ind w:right="-1"/>
              <w:rPr>
                <w:rFonts w:cs="Arial"/>
                <w:szCs w:val="18"/>
                <w:lang w:val="en-GB"/>
              </w:rPr>
            </w:pPr>
            <w:r w:rsidRPr="00907F28">
              <w:t>0.46</w:t>
            </w:r>
          </w:p>
        </w:tc>
        <w:tc>
          <w:tcPr>
            <w:tcW w:w="1134" w:type="dxa"/>
          </w:tcPr>
          <w:p w14:paraId="2618A31B" w14:textId="4F62C533" w:rsidR="003E27D7" w:rsidRPr="00907F28" w:rsidRDefault="003E27D7" w:rsidP="003E27D7">
            <w:pPr>
              <w:pStyle w:val="CETBodytext"/>
              <w:ind w:right="-1"/>
              <w:rPr>
                <w:rFonts w:cs="Arial"/>
                <w:szCs w:val="18"/>
                <w:lang w:val="en-GB"/>
              </w:rPr>
            </w:pPr>
            <w:r w:rsidRPr="00907F28">
              <w:t>0.20</w:t>
            </w:r>
          </w:p>
        </w:tc>
      </w:tr>
    </w:tbl>
    <w:p w14:paraId="5D1D65C1" w14:textId="77777777" w:rsidR="007D187C" w:rsidRDefault="007D187C" w:rsidP="00600535">
      <w:pPr>
        <w:pStyle w:val="CETBodytext"/>
        <w:rPr>
          <w:lang w:val="en-GB"/>
        </w:rPr>
      </w:pPr>
    </w:p>
    <w:p w14:paraId="5974A6F7" w14:textId="7F420C14" w:rsidR="007D187C" w:rsidRPr="00DD3CB9" w:rsidRDefault="00986B92" w:rsidP="006717CD">
      <w:pPr>
        <w:pStyle w:val="CETCaption"/>
        <w:rPr>
          <w:i w:val="0"/>
          <w:iCs/>
        </w:rPr>
      </w:pPr>
      <w:r w:rsidRPr="00DD3CB9">
        <w:rPr>
          <w:i w:val="0"/>
          <w:iCs/>
        </w:rPr>
        <w:t xml:space="preserve">Figure 2 </w:t>
      </w:r>
      <w:r w:rsidR="00803527" w:rsidRPr="00DD3CB9">
        <w:rPr>
          <w:i w:val="0"/>
          <w:iCs/>
        </w:rPr>
        <w:t>report</w:t>
      </w:r>
      <w:r w:rsidR="001604BB" w:rsidRPr="00DD3CB9">
        <w:rPr>
          <w:i w:val="0"/>
          <w:iCs/>
        </w:rPr>
        <w:t>s</w:t>
      </w:r>
      <w:r w:rsidR="00803527" w:rsidRPr="00DD3CB9">
        <w:rPr>
          <w:i w:val="0"/>
          <w:iCs/>
        </w:rPr>
        <w:t xml:space="preserve"> the </w:t>
      </w:r>
      <w:r w:rsidR="001604BB" w:rsidRPr="00DD3CB9">
        <w:rPr>
          <w:i w:val="0"/>
          <w:iCs/>
        </w:rPr>
        <w:t xml:space="preserve">semi-quantitative chemical composition of the collected bio-liquids </w:t>
      </w:r>
      <w:r w:rsidR="00AA77ED" w:rsidRPr="00DD3CB9">
        <w:rPr>
          <w:i w:val="0"/>
          <w:iCs/>
        </w:rPr>
        <w:t xml:space="preserve">(Figure 2a) </w:t>
      </w:r>
      <w:r w:rsidR="001604BB" w:rsidRPr="00DD3CB9">
        <w:rPr>
          <w:i w:val="0"/>
          <w:iCs/>
        </w:rPr>
        <w:t>and the gas</w:t>
      </w:r>
      <w:r w:rsidR="00AA77ED" w:rsidRPr="00DD3CB9">
        <w:rPr>
          <w:i w:val="0"/>
          <w:iCs/>
        </w:rPr>
        <w:t xml:space="preserve"> y</w:t>
      </w:r>
      <w:r w:rsidR="00F00265" w:rsidRPr="00DD3CB9">
        <w:rPr>
          <w:i w:val="0"/>
          <w:iCs/>
        </w:rPr>
        <w:t>i</w:t>
      </w:r>
      <w:r w:rsidR="00AA77ED" w:rsidRPr="00DD3CB9">
        <w:rPr>
          <w:i w:val="0"/>
          <w:iCs/>
        </w:rPr>
        <w:t xml:space="preserve">eld </w:t>
      </w:r>
      <w:r w:rsidR="007A4F06" w:rsidRPr="00DD3CB9">
        <w:rPr>
          <w:i w:val="0"/>
          <w:iCs/>
        </w:rPr>
        <w:t xml:space="preserve">obtained from micro-GC (Figure 2b) for different values of organic </w:t>
      </w:r>
      <w:r w:rsidR="002768B6" w:rsidRPr="00DD3CB9">
        <w:rPr>
          <w:i w:val="0"/>
          <w:iCs/>
        </w:rPr>
        <w:t xml:space="preserve">carbon loading </w:t>
      </w:r>
      <w:r w:rsidR="00BD1D8A" w:rsidRPr="00DD3CB9">
        <w:rPr>
          <w:i w:val="0"/>
          <w:iCs/>
        </w:rPr>
        <w:t xml:space="preserve">in the </w:t>
      </w:r>
      <w:r w:rsidR="007A4F06" w:rsidRPr="00DD3CB9">
        <w:rPr>
          <w:i w:val="0"/>
          <w:iCs/>
        </w:rPr>
        <w:t>bed</w:t>
      </w:r>
      <w:r w:rsidR="00590D3A" w:rsidRPr="00DD3CB9">
        <w:rPr>
          <w:i w:val="0"/>
          <w:iCs/>
        </w:rPr>
        <w:t xml:space="preserve"> </w:t>
      </w:r>
      <w:r w:rsidR="00BD1D8A" w:rsidRPr="00DD3CB9">
        <w:rPr>
          <w:i w:val="0"/>
          <w:iCs/>
        </w:rPr>
        <w:t>at fixed solids residence time</w:t>
      </w:r>
      <w:r w:rsidR="001604BB" w:rsidRPr="00DD3CB9">
        <w:rPr>
          <w:i w:val="0"/>
          <w:iCs/>
        </w:rPr>
        <w:t>.</w:t>
      </w:r>
      <w:r w:rsidR="00C05FBD" w:rsidRPr="00DD3CB9">
        <w:rPr>
          <w:i w:val="0"/>
          <w:iCs/>
        </w:rPr>
        <w:t xml:space="preserve"> </w:t>
      </w:r>
      <w:r w:rsidR="004102AB" w:rsidRPr="00DD3CB9">
        <w:rPr>
          <w:i w:val="0"/>
          <w:iCs/>
        </w:rPr>
        <w:t>At low organic carbon loading</w:t>
      </w:r>
      <w:r w:rsidR="005231AA" w:rsidRPr="00DD3CB9">
        <w:rPr>
          <w:i w:val="0"/>
          <w:iCs/>
        </w:rPr>
        <w:t xml:space="preserve"> W</w:t>
      </w:r>
      <w:r w:rsidR="005231AA" w:rsidRPr="00DD3CB9">
        <w:rPr>
          <w:i w:val="0"/>
          <w:iCs/>
          <w:vertAlign w:val="subscript"/>
        </w:rPr>
        <w:t>C</w:t>
      </w:r>
      <w:r w:rsidR="009D3D60" w:rsidRPr="00DD3CB9">
        <w:rPr>
          <w:i w:val="0"/>
          <w:iCs/>
        </w:rPr>
        <w:t xml:space="preserve">, the bio-oil is </w:t>
      </w:r>
      <w:r w:rsidR="005231AA" w:rsidRPr="00DD3CB9">
        <w:rPr>
          <w:i w:val="0"/>
          <w:iCs/>
        </w:rPr>
        <w:t>mainly represented</w:t>
      </w:r>
      <w:r w:rsidR="00305C9C" w:rsidRPr="00DD3CB9">
        <w:rPr>
          <w:i w:val="0"/>
          <w:iCs/>
        </w:rPr>
        <w:t xml:space="preserve"> by</w:t>
      </w:r>
      <w:r w:rsidR="009D3D60" w:rsidRPr="00DD3CB9">
        <w:rPr>
          <w:i w:val="0"/>
          <w:iCs/>
        </w:rPr>
        <w:t xml:space="preserve"> ketones</w:t>
      </w:r>
      <w:r w:rsidR="0075041C" w:rsidRPr="00DD3CB9">
        <w:rPr>
          <w:i w:val="0"/>
          <w:iCs/>
        </w:rPr>
        <w:t>,</w:t>
      </w:r>
      <w:r w:rsidR="00305C9C" w:rsidRPr="00DD3CB9">
        <w:rPr>
          <w:i w:val="0"/>
          <w:iCs/>
        </w:rPr>
        <w:t xml:space="preserve"> with an area of around 28%,</w:t>
      </w:r>
      <w:r w:rsidR="0075041C" w:rsidRPr="00DD3CB9">
        <w:rPr>
          <w:i w:val="0"/>
          <w:iCs/>
        </w:rPr>
        <w:t xml:space="preserve"> followed by organic acids, phenols, guaiacols, furans</w:t>
      </w:r>
      <w:r w:rsidR="00BD1D8A" w:rsidRPr="00DD3CB9">
        <w:rPr>
          <w:i w:val="0"/>
          <w:iCs/>
        </w:rPr>
        <w:t>, aldehydes</w:t>
      </w:r>
      <w:r w:rsidR="00C0208A" w:rsidRPr="00DD3CB9">
        <w:rPr>
          <w:i w:val="0"/>
          <w:iCs/>
        </w:rPr>
        <w:t xml:space="preserve"> and sugars. </w:t>
      </w:r>
      <w:r w:rsidR="009E70F1" w:rsidRPr="00DD3CB9">
        <w:rPr>
          <w:i w:val="0"/>
          <w:iCs/>
        </w:rPr>
        <w:t>Increasing t</w:t>
      </w:r>
      <w:r w:rsidR="002768B6" w:rsidRPr="00DD3CB9">
        <w:rPr>
          <w:i w:val="0"/>
          <w:iCs/>
        </w:rPr>
        <w:t>he carbon loading</w:t>
      </w:r>
      <w:r w:rsidR="00203BF7" w:rsidRPr="00DD3CB9">
        <w:rPr>
          <w:i w:val="0"/>
          <w:iCs/>
        </w:rPr>
        <w:t xml:space="preserve"> the bio-oil composition changes</w:t>
      </w:r>
      <w:r w:rsidR="00BD1D8A" w:rsidRPr="00DD3CB9">
        <w:rPr>
          <w:i w:val="0"/>
          <w:iCs/>
        </w:rPr>
        <w:t>; in fact, aldehydes</w:t>
      </w:r>
      <w:r w:rsidR="008E4B46" w:rsidRPr="00DD3CB9">
        <w:rPr>
          <w:i w:val="0"/>
          <w:iCs/>
        </w:rPr>
        <w:t>, keto</w:t>
      </w:r>
      <w:r w:rsidR="004102AB" w:rsidRPr="00DD3CB9">
        <w:rPr>
          <w:i w:val="0"/>
          <w:iCs/>
        </w:rPr>
        <w:t>n</w:t>
      </w:r>
      <w:r w:rsidR="008E4B46" w:rsidRPr="00DD3CB9">
        <w:rPr>
          <w:i w:val="0"/>
          <w:iCs/>
        </w:rPr>
        <w:t xml:space="preserve">es and </w:t>
      </w:r>
      <w:r w:rsidR="008E173A" w:rsidRPr="00DD3CB9">
        <w:rPr>
          <w:i w:val="0"/>
          <w:iCs/>
        </w:rPr>
        <w:t xml:space="preserve">organic acids decrease </w:t>
      </w:r>
      <w:r w:rsidR="008E4B46" w:rsidRPr="00DD3CB9">
        <w:rPr>
          <w:i w:val="0"/>
          <w:iCs/>
        </w:rPr>
        <w:t>while guaiacols</w:t>
      </w:r>
      <w:r w:rsidR="00090373" w:rsidRPr="00DD3CB9">
        <w:rPr>
          <w:i w:val="0"/>
          <w:iCs/>
        </w:rPr>
        <w:t xml:space="preserve"> and phenols increase </w:t>
      </w:r>
      <w:r w:rsidR="005B2508" w:rsidRPr="00DD3CB9">
        <w:rPr>
          <w:i w:val="0"/>
          <w:iCs/>
        </w:rPr>
        <w:t xml:space="preserve">to values of </w:t>
      </w:r>
      <w:r w:rsidR="00E41090" w:rsidRPr="00DD3CB9">
        <w:rPr>
          <w:i w:val="0"/>
          <w:iCs/>
        </w:rPr>
        <w:t>around 15% and 31%, respectively</w:t>
      </w:r>
      <w:r w:rsidR="008E173A" w:rsidRPr="00DD3CB9">
        <w:rPr>
          <w:i w:val="0"/>
          <w:iCs/>
        </w:rPr>
        <w:t xml:space="preserve">. </w:t>
      </w:r>
      <w:r w:rsidR="006717CD" w:rsidRPr="00DD3CB9">
        <w:rPr>
          <w:i w:val="0"/>
          <w:iCs/>
        </w:rPr>
        <w:t>From Figure 2b) at low W</w:t>
      </w:r>
      <w:r w:rsidR="006717CD" w:rsidRPr="00DD3CB9">
        <w:rPr>
          <w:i w:val="0"/>
          <w:iCs/>
          <w:vertAlign w:val="subscript"/>
        </w:rPr>
        <w:t>C</w:t>
      </w:r>
      <w:r w:rsidR="006717CD" w:rsidRPr="00DD3CB9">
        <w:rPr>
          <w:i w:val="0"/>
          <w:iCs/>
        </w:rPr>
        <w:t xml:space="preserve"> the gas product is mainly represented by CO</w:t>
      </w:r>
      <w:r w:rsidR="006717CD" w:rsidRPr="00DD3CB9">
        <w:rPr>
          <w:i w:val="0"/>
          <w:iCs/>
          <w:vertAlign w:val="subscript"/>
        </w:rPr>
        <w:t>2</w:t>
      </w:r>
      <w:r w:rsidR="006717CD" w:rsidRPr="00DD3CB9">
        <w:rPr>
          <w:i w:val="0"/>
          <w:iCs/>
        </w:rPr>
        <w:t xml:space="preserve"> and CO, followed by CH</w:t>
      </w:r>
      <w:r w:rsidR="006717CD" w:rsidRPr="00DD3CB9">
        <w:rPr>
          <w:i w:val="0"/>
          <w:iCs/>
          <w:vertAlign w:val="subscript"/>
        </w:rPr>
        <w:t>4</w:t>
      </w:r>
      <w:r w:rsidR="006717CD" w:rsidRPr="00DD3CB9">
        <w:rPr>
          <w:i w:val="0"/>
          <w:iCs/>
        </w:rPr>
        <w:t>, H</w:t>
      </w:r>
      <w:r w:rsidR="006717CD" w:rsidRPr="00DD3CB9">
        <w:rPr>
          <w:i w:val="0"/>
          <w:iCs/>
          <w:vertAlign w:val="subscript"/>
        </w:rPr>
        <w:t>2</w:t>
      </w:r>
      <w:r w:rsidR="006717CD" w:rsidRPr="00DD3CB9">
        <w:rPr>
          <w:i w:val="0"/>
          <w:iCs/>
        </w:rPr>
        <w:t>, C</w:t>
      </w:r>
      <w:r w:rsidR="006717CD" w:rsidRPr="00DD3CB9">
        <w:rPr>
          <w:i w:val="0"/>
          <w:iCs/>
          <w:vertAlign w:val="subscript"/>
        </w:rPr>
        <w:t>4</w:t>
      </w:r>
      <w:r w:rsidR="006717CD" w:rsidRPr="00DD3CB9">
        <w:rPr>
          <w:i w:val="0"/>
          <w:iCs/>
        </w:rPr>
        <w:t>H</w:t>
      </w:r>
      <w:r w:rsidR="006717CD" w:rsidRPr="00DD3CB9">
        <w:rPr>
          <w:i w:val="0"/>
          <w:iCs/>
          <w:vertAlign w:val="subscript"/>
        </w:rPr>
        <w:t>10</w:t>
      </w:r>
      <w:r w:rsidR="006717CD" w:rsidRPr="00DD3CB9">
        <w:rPr>
          <w:i w:val="0"/>
          <w:iCs/>
        </w:rPr>
        <w:t xml:space="preserve"> (isoC</w:t>
      </w:r>
      <w:r w:rsidR="006717CD" w:rsidRPr="00DD3CB9">
        <w:rPr>
          <w:i w:val="0"/>
          <w:iCs/>
          <w:vertAlign w:val="subscript"/>
        </w:rPr>
        <w:t>4</w:t>
      </w:r>
      <w:r w:rsidR="006717CD" w:rsidRPr="00DD3CB9">
        <w:rPr>
          <w:i w:val="0"/>
          <w:iCs/>
        </w:rPr>
        <w:t>) and small amount of C</w:t>
      </w:r>
      <w:r w:rsidR="006717CD" w:rsidRPr="00DD3CB9">
        <w:rPr>
          <w:i w:val="0"/>
          <w:iCs/>
          <w:vertAlign w:val="subscript"/>
        </w:rPr>
        <w:t>2</w:t>
      </w:r>
      <w:r w:rsidR="006717CD" w:rsidRPr="00DD3CB9">
        <w:rPr>
          <w:i w:val="0"/>
          <w:iCs/>
        </w:rPr>
        <w:t>H</w:t>
      </w:r>
      <w:r w:rsidR="006717CD" w:rsidRPr="00DD3CB9">
        <w:rPr>
          <w:i w:val="0"/>
          <w:iCs/>
          <w:vertAlign w:val="subscript"/>
        </w:rPr>
        <w:t>4</w:t>
      </w:r>
      <w:r w:rsidR="006717CD" w:rsidRPr="00DD3CB9">
        <w:rPr>
          <w:i w:val="0"/>
          <w:iCs/>
        </w:rPr>
        <w:t xml:space="preserve"> and C</w:t>
      </w:r>
      <w:r w:rsidR="006717CD" w:rsidRPr="00DD3CB9">
        <w:rPr>
          <w:i w:val="0"/>
          <w:iCs/>
          <w:vertAlign w:val="subscript"/>
        </w:rPr>
        <w:t>2</w:t>
      </w:r>
      <w:r w:rsidR="006717CD" w:rsidRPr="00DD3CB9">
        <w:rPr>
          <w:i w:val="0"/>
          <w:iCs/>
        </w:rPr>
        <w:t>H</w:t>
      </w:r>
      <w:r w:rsidR="006717CD" w:rsidRPr="00DD3CB9">
        <w:rPr>
          <w:i w:val="0"/>
          <w:iCs/>
          <w:vertAlign w:val="subscript"/>
        </w:rPr>
        <w:t>6</w:t>
      </w:r>
      <w:r w:rsidR="006717CD" w:rsidRPr="00DD3CB9">
        <w:rPr>
          <w:i w:val="0"/>
          <w:iCs/>
        </w:rPr>
        <w:t>. For larger values of carbon loading, CO</w:t>
      </w:r>
      <w:r w:rsidR="006717CD" w:rsidRPr="00DD3CB9">
        <w:rPr>
          <w:i w:val="0"/>
          <w:iCs/>
          <w:vertAlign w:val="subscript"/>
        </w:rPr>
        <w:t>2</w:t>
      </w:r>
      <w:r w:rsidR="006717CD" w:rsidRPr="00DD3CB9">
        <w:rPr>
          <w:i w:val="0"/>
          <w:iCs/>
        </w:rPr>
        <w:t xml:space="preserve"> yield decreases while H</w:t>
      </w:r>
      <w:r w:rsidR="006717CD" w:rsidRPr="00DD3CB9">
        <w:rPr>
          <w:i w:val="0"/>
          <w:iCs/>
          <w:vertAlign w:val="subscript"/>
        </w:rPr>
        <w:t>2</w:t>
      </w:r>
      <w:r w:rsidR="006717CD" w:rsidRPr="00DD3CB9">
        <w:rPr>
          <w:i w:val="0"/>
          <w:iCs/>
        </w:rPr>
        <w:t>, CH</w:t>
      </w:r>
      <w:r w:rsidR="006717CD" w:rsidRPr="00DD3CB9">
        <w:rPr>
          <w:i w:val="0"/>
          <w:iCs/>
          <w:vertAlign w:val="subscript"/>
        </w:rPr>
        <w:t>4</w:t>
      </w:r>
      <w:r w:rsidR="006717CD" w:rsidRPr="00DD3CB9">
        <w:rPr>
          <w:i w:val="0"/>
          <w:iCs/>
        </w:rPr>
        <w:t xml:space="preserve"> and CO yield increase with increasing carbon loading. These results suggest that the organic carbon loading affects the gas and oil composition due to the presence of secondary heterogeneous reactions between </w:t>
      </w:r>
      <w:r w:rsidR="004A10B2" w:rsidRPr="00DD3CB9">
        <w:rPr>
          <w:i w:val="0"/>
          <w:iCs/>
        </w:rPr>
        <w:t>vapours</w:t>
      </w:r>
      <w:r w:rsidR="006717CD" w:rsidRPr="00DD3CB9">
        <w:rPr>
          <w:i w:val="0"/>
          <w:iCs/>
        </w:rPr>
        <w:t xml:space="preserve"> and char. In particular, these outcomes are in agreement with mechanistic chemical pathways (Zhu et al., 2021) which provide that holocellulose in presence of char, undergoes dehydration and fragmentation toward the production of furans, while lignin, after depolymerization, undergoes demethylation and </w:t>
      </w:r>
      <w:proofErr w:type="spellStart"/>
      <w:r w:rsidR="006717CD" w:rsidRPr="00DD3CB9">
        <w:rPr>
          <w:i w:val="0"/>
          <w:iCs/>
        </w:rPr>
        <w:t>demethoxylation</w:t>
      </w:r>
      <w:proofErr w:type="spellEnd"/>
      <w:r w:rsidR="006717CD" w:rsidRPr="00DD3CB9">
        <w:rPr>
          <w:i w:val="0"/>
          <w:iCs/>
        </w:rPr>
        <w:t xml:space="preserve"> reactions with production of guaiacols and phenols and release of methane and CO (Evans and Milne, 1987).</w:t>
      </w:r>
    </w:p>
    <w:p w14:paraId="088A134E" w14:textId="691DFE86" w:rsidR="00600535" w:rsidRPr="00B57B36" w:rsidRDefault="00391A4E" w:rsidP="00BD077D">
      <w:pPr>
        <w:pStyle w:val="CETCaption"/>
      </w:pPr>
      <w:r>
        <w:rPr>
          <w:noProof/>
        </w:rPr>
        <mc:AlternateContent>
          <mc:Choice Requires="wps">
            <w:drawing>
              <wp:anchor distT="0" distB="0" distL="114300" distR="114300" simplePos="0" relativeHeight="251658240" behindDoc="0" locked="0" layoutInCell="1" allowOverlap="1" wp14:anchorId="2D0F2D44" wp14:editId="1C0D2625">
                <wp:simplePos x="0" y="0"/>
                <wp:positionH relativeFrom="column">
                  <wp:posOffset>481965</wp:posOffset>
                </wp:positionH>
                <wp:positionV relativeFrom="paragraph">
                  <wp:posOffset>191135</wp:posOffset>
                </wp:positionV>
                <wp:extent cx="317500" cy="260350"/>
                <wp:effectExtent l="0" t="0" r="0" b="6350"/>
                <wp:wrapNone/>
                <wp:docPr id="494110679" name="Casella di testo 14"/>
                <wp:cNvGraphicFramePr/>
                <a:graphic xmlns:a="http://schemas.openxmlformats.org/drawingml/2006/main">
                  <a:graphicData uri="http://schemas.microsoft.com/office/word/2010/wordprocessingShape">
                    <wps:wsp>
                      <wps:cNvSpPr txBox="1"/>
                      <wps:spPr>
                        <a:xfrm>
                          <a:off x="0" y="0"/>
                          <a:ext cx="317500" cy="260350"/>
                        </a:xfrm>
                        <a:prstGeom prst="rect">
                          <a:avLst/>
                        </a:prstGeom>
                        <a:noFill/>
                        <a:ln w="6350">
                          <a:noFill/>
                        </a:ln>
                      </wps:spPr>
                      <wps:txbx>
                        <w:txbxContent>
                          <w:p w14:paraId="1A644E2F" w14:textId="78154FCA" w:rsidR="00391A4E" w:rsidRDefault="00391A4E">
                            <w: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0F2D44" id="_x0000_t202" coordsize="21600,21600" o:spt="202" path="m,l,21600r21600,l21600,xe">
                <v:stroke joinstyle="miter"/>
                <v:path gradientshapeok="t" o:connecttype="rect"/>
              </v:shapetype>
              <v:shape id="Casella di testo 14" o:spid="_x0000_s1026" type="#_x0000_t202" style="position:absolute;left:0;text-align:left;margin-left:37.95pt;margin-top:15.05pt;width:25pt;height:2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" filled="f" stroked="f" strokeweight=".5pt">
                <v:textbox>
                  <w:txbxContent>
                    <w:p w14:paraId="1A644E2F" w14:textId="78154FCA" w:rsidR="00391A4E" w:rsidRDefault="00391A4E">
                      <w:r>
                        <w:t>a)</w:t>
                      </w:r>
                    </w:p>
                  </w:txbxContent>
                </v:textbox>
              </v:shape>
            </w:pict>
          </mc:Fallback>
        </mc:AlternateContent>
      </w:r>
      <w:r>
        <w:rPr>
          <w:noProof/>
        </w:rPr>
        <mc:AlternateContent>
          <mc:Choice Requires="wps">
            <w:drawing>
              <wp:anchor distT="0" distB="0" distL="114300" distR="114300" simplePos="0" relativeHeight="251658241" behindDoc="0" locked="0" layoutInCell="1" allowOverlap="1" wp14:anchorId="32FDA942" wp14:editId="2E3D3B2D">
                <wp:simplePos x="0" y="0"/>
                <wp:positionH relativeFrom="column">
                  <wp:posOffset>3072765</wp:posOffset>
                </wp:positionH>
                <wp:positionV relativeFrom="paragraph">
                  <wp:posOffset>191135</wp:posOffset>
                </wp:positionV>
                <wp:extent cx="317500" cy="260350"/>
                <wp:effectExtent l="0" t="0" r="0" b="6350"/>
                <wp:wrapNone/>
                <wp:docPr id="291753425" name="Casella di testo 14"/>
                <wp:cNvGraphicFramePr/>
                <a:graphic xmlns:a="http://schemas.openxmlformats.org/drawingml/2006/main">
                  <a:graphicData uri="http://schemas.microsoft.com/office/word/2010/wordprocessingShape">
                    <wps:wsp>
                      <wps:cNvSpPr txBox="1"/>
                      <wps:spPr>
                        <a:xfrm>
                          <a:off x="0" y="0"/>
                          <a:ext cx="317500" cy="260350"/>
                        </a:xfrm>
                        <a:prstGeom prst="rect">
                          <a:avLst/>
                        </a:prstGeom>
                        <a:noFill/>
                        <a:ln w="6350">
                          <a:noFill/>
                        </a:ln>
                      </wps:spPr>
                      <wps:txbx>
                        <w:txbxContent>
                          <w:p w14:paraId="20964EA6" w14:textId="2C4A0554" w:rsidR="00391A4E" w:rsidRDefault="00391A4E" w:rsidP="00391A4E">
                            <w: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FDA942" id="_x0000_s1027" type="#_x0000_t202" style="position:absolute;left:0;text-align:left;margin-left:241.95pt;margin-top:15.05pt;width:25pt;height:20.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" filled="f" stroked="f" strokeweight=".5pt">
                <v:textbox>
                  <w:txbxContent>
                    <w:p w14:paraId="20964EA6" w14:textId="2C4A0554" w:rsidR="00391A4E" w:rsidRDefault="00391A4E" w:rsidP="00391A4E">
                      <w:r>
                        <w:t>b)</w:t>
                      </w:r>
                    </w:p>
                  </w:txbxContent>
                </v:textbox>
              </v:shape>
            </w:pict>
          </mc:Fallback>
        </mc:AlternateContent>
      </w:r>
      <w:r w:rsidR="00BD3C1E">
        <w:rPr>
          <w:noProof/>
        </w:rPr>
        <w:drawing>
          <wp:inline distT="0" distB="0" distL="0" distR="0" wp14:anchorId="55CBE561" wp14:editId="56DDFB75">
            <wp:extent cx="2934579" cy="1764000"/>
            <wp:effectExtent l="0" t="0" r="0" b="8255"/>
            <wp:docPr id="2097931775"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34579" cy="1764000"/>
                    </a:xfrm>
                    <a:prstGeom prst="rect">
                      <a:avLst/>
                    </a:prstGeom>
                    <a:noFill/>
                  </pic:spPr>
                </pic:pic>
              </a:graphicData>
            </a:graphic>
          </wp:inline>
        </w:drawing>
      </w:r>
      <w:r w:rsidR="00C05FBD">
        <w:rPr>
          <w:noProof/>
        </w:rPr>
        <w:drawing>
          <wp:inline distT="0" distB="0" distL="0" distR="0" wp14:anchorId="4D49D872" wp14:editId="58A7DE74">
            <wp:extent cx="2625800" cy="1764000"/>
            <wp:effectExtent l="0" t="0" r="3175" b="8255"/>
            <wp:docPr id="2132976331" name="Im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25800" cy="1764000"/>
                    </a:xfrm>
                    <a:prstGeom prst="rect">
                      <a:avLst/>
                    </a:prstGeom>
                    <a:noFill/>
                  </pic:spPr>
                </pic:pic>
              </a:graphicData>
            </a:graphic>
          </wp:inline>
        </w:drawing>
      </w:r>
    </w:p>
    <w:p w14:paraId="65E73FAD" w14:textId="587D24E2" w:rsidR="00600535" w:rsidRDefault="00600535" w:rsidP="00BD077D">
      <w:pPr>
        <w:pStyle w:val="CETCaption"/>
        <w:rPr>
          <w:rStyle w:val="CETCaptionCarattere"/>
          <w:i/>
          <w:vertAlign w:val="subscript"/>
        </w:rPr>
      </w:pPr>
      <w:r w:rsidRPr="00BD077D">
        <w:rPr>
          <w:rStyle w:val="CETCaptionCarattere"/>
          <w:i/>
        </w:rPr>
        <w:t xml:space="preserve">Figure </w:t>
      </w:r>
      <w:r w:rsidR="00094E05">
        <w:rPr>
          <w:rStyle w:val="CETCaptionCarattere"/>
          <w:i/>
        </w:rPr>
        <w:t>2</w:t>
      </w:r>
      <w:r w:rsidRPr="00BD077D">
        <w:rPr>
          <w:rStyle w:val="CETCaptionCarattere"/>
          <w:i/>
        </w:rPr>
        <w:t xml:space="preserve">: </w:t>
      </w:r>
      <w:r w:rsidR="00057021">
        <w:rPr>
          <w:rStyle w:val="CETCaptionCarattere"/>
          <w:i/>
        </w:rPr>
        <w:t xml:space="preserve">Bio oil composition </w:t>
      </w:r>
      <w:r w:rsidR="00C05FBD">
        <w:rPr>
          <w:rStyle w:val="CETCaptionCarattere"/>
          <w:i/>
        </w:rPr>
        <w:t>(</w:t>
      </w:r>
      <w:r w:rsidR="00F82DCD">
        <w:rPr>
          <w:rStyle w:val="CETCaptionCarattere"/>
          <w:i/>
        </w:rPr>
        <w:t>a</w:t>
      </w:r>
      <w:r w:rsidR="00C05FBD">
        <w:rPr>
          <w:rStyle w:val="CETCaptionCarattere"/>
          <w:i/>
        </w:rPr>
        <w:t xml:space="preserve">) </w:t>
      </w:r>
      <w:r w:rsidR="00057021">
        <w:rPr>
          <w:rStyle w:val="CETCaptionCarattere"/>
          <w:i/>
        </w:rPr>
        <w:t xml:space="preserve">and gaseous yield distribution </w:t>
      </w:r>
      <w:r w:rsidR="00C05FBD">
        <w:rPr>
          <w:rStyle w:val="CETCaptionCarattere"/>
          <w:i/>
        </w:rPr>
        <w:t>(</w:t>
      </w:r>
      <w:r w:rsidR="00F82DCD">
        <w:rPr>
          <w:rStyle w:val="CETCaptionCarattere"/>
          <w:i/>
        </w:rPr>
        <w:t>b</w:t>
      </w:r>
      <w:r w:rsidR="00C05FBD">
        <w:rPr>
          <w:rStyle w:val="CETCaptionCarattere"/>
          <w:i/>
        </w:rPr>
        <w:t xml:space="preserve">) </w:t>
      </w:r>
      <w:r w:rsidR="00057021">
        <w:rPr>
          <w:rStyle w:val="CETCaptionCarattere"/>
          <w:i/>
        </w:rPr>
        <w:t xml:space="preserve">as a function of the </w:t>
      </w:r>
      <w:r w:rsidR="00831A1B">
        <w:rPr>
          <w:rStyle w:val="CETCaptionCarattere"/>
          <w:i/>
        </w:rPr>
        <w:t>carbon loading W</w:t>
      </w:r>
      <w:r w:rsidR="00831A1B" w:rsidRPr="00831A1B">
        <w:rPr>
          <w:rStyle w:val="CETCaptionCarattere"/>
          <w:i/>
          <w:vertAlign w:val="subscript"/>
        </w:rPr>
        <w:t>C</w:t>
      </w:r>
    </w:p>
    <w:p w14:paraId="68D26B83" w14:textId="77777777" w:rsidR="00600535" w:rsidRPr="00B57B36" w:rsidRDefault="00600535" w:rsidP="00600535">
      <w:pPr>
        <w:pStyle w:val="CETHeading1"/>
        <w:rPr>
          <w:lang w:val="en-GB"/>
        </w:rPr>
      </w:pPr>
      <w:r w:rsidRPr="00B57B36">
        <w:rPr>
          <w:lang w:val="en-GB"/>
        </w:rPr>
        <w:lastRenderedPageBreak/>
        <w:t>Conclusions</w:t>
      </w:r>
    </w:p>
    <w:p w14:paraId="52DAFDE0" w14:textId="3C749E45" w:rsidR="001D0CFB" w:rsidRDefault="00BF56B1" w:rsidP="006C1052">
      <w:pPr>
        <w:pStyle w:val="CETBodytext"/>
        <w:rPr>
          <w:lang w:val="en-GB"/>
        </w:rPr>
      </w:pPr>
      <w:r>
        <w:rPr>
          <w:lang w:val="en-GB"/>
        </w:rPr>
        <w:t xml:space="preserve">Fast pyrolysis of giant reed Arundo Donax has been </w:t>
      </w:r>
      <w:r w:rsidR="00327EA4">
        <w:rPr>
          <w:lang w:val="en-GB"/>
        </w:rPr>
        <w:t>experimentally investigated in a fluidized bed bench scale reactor</w:t>
      </w:r>
      <w:r w:rsidR="001D0CFB">
        <w:rPr>
          <w:lang w:val="en-GB"/>
        </w:rPr>
        <w:t>.</w:t>
      </w:r>
      <w:r w:rsidR="00F24E04">
        <w:rPr>
          <w:lang w:val="en-GB"/>
        </w:rPr>
        <w:t xml:space="preserve"> Experiment</w:t>
      </w:r>
      <w:r w:rsidR="005B0C64">
        <w:rPr>
          <w:lang w:val="en-GB"/>
        </w:rPr>
        <w:t>s carried out with continuous biomass feeding</w:t>
      </w:r>
      <w:r w:rsidR="005E5F13">
        <w:rPr>
          <w:lang w:val="en-GB"/>
        </w:rPr>
        <w:t xml:space="preserve"> at fixed gas superficial velocity and solids residence time</w:t>
      </w:r>
      <w:r w:rsidR="0021494D">
        <w:rPr>
          <w:lang w:val="en-GB"/>
        </w:rPr>
        <w:t xml:space="preserve"> allowed to investigate the effect of different organic carbon loadings onto products yield and composition. </w:t>
      </w:r>
      <w:r w:rsidR="000009EC">
        <w:rPr>
          <w:lang w:val="en-GB"/>
        </w:rPr>
        <w:t xml:space="preserve">Experimental results </w:t>
      </w:r>
      <w:r w:rsidR="00741D4A">
        <w:rPr>
          <w:lang w:val="en-GB"/>
        </w:rPr>
        <w:t xml:space="preserve">highlight that increasing the carbon loading in the bed </w:t>
      </w:r>
      <w:r w:rsidR="00353D89">
        <w:rPr>
          <w:lang w:val="en-GB"/>
        </w:rPr>
        <w:t xml:space="preserve">the </w:t>
      </w:r>
      <w:r w:rsidR="00D22F4D">
        <w:rPr>
          <w:lang w:val="en-GB"/>
        </w:rPr>
        <w:t>b</w:t>
      </w:r>
      <w:r w:rsidR="00F00265">
        <w:rPr>
          <w:lang w:val="en-GB"/>
        </w:rPr>
        <w:t>i</w:t>
      </w:r>
      <w:r w:rsidR="00D22F4D">
        <w:rPr>
          <w:lang w:val="en-GB"/>
        </w:rPr>
        <w:t>o-</w:t>
      </w:r>
      <w:r w:rsidR="00353D89">
        <w:rPr>
          <w:lang w:val="en-GB"/>
        </w:rPr>
        <w:t xml:space="preserve">oil, char and gas yield </w:t>
      </w:r>
      <w:r w:rsidR="0013522B">
        <w:rPr>
          <w:lang w:val="en-GB"/>
        </w:rPr>
        <w:t xml:space="preserve">slightly </w:t>
      </w:r>
      <w:r w:rsidR="00353D89">
        <w:rPr>
          <w:lang w:val="en-GB"/>
        </w:rPr>
        <w:t xml:space="preserve">change, while it deeply affects oil and gas composition. In particular, </w:t>
      </w:r>
      <w:r w:rsidR="00B059B9">
        <w:rPr>
          <w:lang w:val="en-GB"/>
        </w:rPr>
        <w:t>at low carbon loading ketones and organic acids are the main species in the bio oil, followed</w:t>
      </w:r>
      <w:r w:rsidR="008F797C">
        <w:rPr>
          <w:lang w:val="en-GB"/>
        </w:rPr>
        <w:t xml:space="preserve"> by phenols, guaiacols, furans, aldehydes and sugars</w:t>
      </w:r>
      <w:r w:rsidR="00AC3E63">
        <w:rPr>
          <w:lang w:val="en-GB"/>
        </w:rPr>
        <w:t xml:space="preserve">. For larger carbon loading, </w:t>
      </w:r>
      <w:r w:rsidR="00DD53C4">
        <w:rPr>
          <w:lang w:val="en-GB"/>
        </w:rPr>
        <w:t xml:space="preserve">phenols and guaiacols sharply increase, likely as a consequence of </w:t>
      </w:r>
      <w:r w:rsidR="005020BB">
        <w:rPr>
          <w:lang w:val="en-GB"/>
        </w:rPr>
        <w:t>demethylation and</w:t>
      </w:r>
      <w:r w:rsidR="006F112E">
        <w:rPr>
          <w:lang w:val="en-GB"/>
        </w:rPr>
        <w:t xml:space="preserve"> </w:t>
      </w:r>
      <w:proofErr w:type="spellStart"/>
      <w:r w:rsidR="006F112E">
        <w:rPr>
          <w:lang w:val="en-GB"/>
        </w:rPr>
        <w:t>demethoxylation</w:t>
      </w:r>
      <w:proofErr w:type="spellEnd"/>
      <w:r w:rsidR="006F112E">
        <w:rPr>
          <w:lang w:val="en-GB"/>
        </w:rPr>
        <w:t xml:space="preserve"> of </w:t>
      </w:r>
      <w:proofErr w:type="spellStart"/>
      <w:r w:rsidR="006F112E">
        <w:rPr>
          <w:lang w:val="en-GB"/>
        </w:rPr>
        <w:t>guaiacyl</w:t>
      </w:r>
      <w:proofErr w:type="spellEnd"/>
      <w:r w:rsidR="006F112E">
        <w:rPr>
          <w:lang w:val="en-GB"/>
        </w:rPr>
        <w:t xml:space="preserve"> phenols</w:t>
      </w:r>
      <w:r w:rsidR="00553DAE">
        <w:rPr>
          <w:lang w:val="en-GB"/>
        </w:rPr>
        <w:t xml:space="preserve"> and other secondary </w:t>
      </w:r>
      <w:r w:rsidR="00984D6C">
        <w:rPr>
          <w:lang w:val="en-GB"/>
        </w:rPr>
        <w:t>heterogeneous reactions</w:t>
      </w:r>
      <w:r w:rsidR="00D20FD7">
        <w:rPr>
          <w:lang w:val="en-GB"/>
        </w:rPr>
        <w:t xml:space="preserve">, </w:t>
      </w:r>
      <w:r w:rsidR="00553DAE">
        <w:rPr>
          <w:lang w:val="en-GB"/>
        </w:rPr>
        <w:t>as also suggested by the increasing concentration of CH</w:t>
      </w:r>
      <w:r w:rsidR="00553DAE" w:rsidRPr="00984D6C">
        <w:rPr>
          <w:vertAlign w:val="subscript"/>
          <w:lang w:val="en-GB"/>
        </w:rPr>
        <w:t>4</w:t>
      </w:r>
      <w:r w:rsidR="00553DAE">
        <w:rPr>
          <w:lang w:val="en-GB"/>
        </w:rPr>
        <w:t>, H</w:t>
      </w:r>
      <w:r w:rsidR="00553DAE" w:rsidRPr="00984D6C">
        <w:rPr>
          <w:vertAlign w:val="subscript"/>
          <w:lang w:val="en-GB"/>
        </w:rPr>
        <w:t>2</w:t>
      </w:r>
      <w:r w:rsidR="00553DAE">
        <w:rPr>
          <w:lang w:val="en-GB"/>
        </w:rPr>
        <w:t xml:space="preserve"> and CO </w:t>
      </w:r>
      <w:r w:rsidR="00984D6C">
        <w:rPr>
          <w:lang w:val="en-GB"/>
        </w:rPr>
        <w:t>in the gas phase</w:t>
      </w:r>
      <w:r w:rsidR="00553DAE">
        <w:rPr>
          <w:lang w:val="en-GB"/>
        </w:rPr>
        <w:t>.</w:t>
      </w:r>
      <w:r w:rsidR="00FB5B69">
        <w:rPr>
          <w:lang w:val="en-GB"/>
        </w:rPr>
        <w:t xml:space="preserve"> </w:t>
      </w:r>
      <w:r w:rsidR="00984D6C">
        <w:rPr>
          <w:lang w:val="en-GB"/>
        </w:rPr>
        <w:t xml:space="preserve">Results </w:t>
      </w:r>
      <w:r w:rsidR="00E85B8C" w:rsidRPr="00E85B8C">
        <w:rPr>
          <w:lang w:val="en-GB"/>
        </w:rPr>
        <w:t>pinpoint the relevance of</w:t>
      </w:r>
      <w:r w:rsidR="00E85B8C">
        <w:rPr>
          <w:lang w:val="en-GB"/>
        </w:rPr>
        <w:t xml:space="preserve"> </w:t>
      </w:r>
      <w:r w:rsidR="00E85B8C" w:rsidRPr="00E85B8C">
        <w:rPr>
          <w:lang w:val="en-GB"/>
        </w:rPr>
        <w:t>char−vapor secondary reactions and of bed char</w:t>
      </w:r>
      <w:r w:rsidR="00E85B8C">
        <w:rPr>
          <w:lang w:val="en-GB"/>
        </w:rPr>
        <w:t xml:space="preserve"> </w:t>
      </w:r>
      <w:r w:rsidR="00E85B8C" w:rsidRPr="00E85B8C">
        <w:rPr>
          <w:lang w:val="en-GB"/>
        </w:rPr>
        <w:t xml:space="preserve">inventory to bio-oil and gas </w:t>
      </w:r>
      <w:r w:rsidR="00C61639">
        <w:rPr>
          <w:lang w:val="en-GB"/>
        </w:rPr>
        <w:t>quality</w:t>
      </w:r>
      <w:r w:rsidR="00E85B8C" w:rsidRPr="00E85B8C">
        <w:rPr>
          <w:lang w:val="en-GB"/>
        </w:rPr>
        <w:t>.</w:t>
      </w:r>
      <w:r w:rsidR="006C1052">
        <w:rPr>
          <w:lang w:val="en-GB"/>
        </w:rPr>
        <w:t xml:space="preserve"> </w:t>
      </w:r>
      <w:r w:rsidR="006C1052" w:rsidRPr="006C1052">
        <w:rPr>
          <w:lang w:val="en-GB"/>
        </w:rPr>
        <w:t xml:space="preserve">Altogether, results confirm </w:t>
      </w:r>
      <w:r w:rsidR="005A692F">
        <w:rPr>
          <w:lang w:val="en-GB"/>
        </w:rPr>
        <w:t>the need of an</w:t>
      </w:r>
      <w:r w:rsidR="006C1052">
        <w:rPr>
          <w:lang w:val="en-GB"/>
        </w:rPr>
        <w:t xml:space="preserve"> </w:t>
      </w:r>
      <w:r w:rsidR="006C1052" w:rsidRPr="006C1052">
        <w:rPr>
          <w:lang w:val="en-GB"/>
        </w:rPr>
        <w:t>improved knowledge of the mechanisms and kinetics of</w:t>
      </w:r>
      <w:r w:rsidR="006C1052">
        <w:rPr>
          <w:lang w:val="en-GB"/>
        </w:rPr>
        <w:t xml:space="preserve"> </w:t>
      </w:r>
      <w:r w:rsidR="006C1052" w:rsidRPr="006C1052">
        <w:rPr>
          <w:lang w:val="en-GB"/>
        </w:rPr>
        <w:t>heterogeneous vapor−char reactions</w:t>
      </w:r>
      <w:r w:rsidR="005A692F">
        <w:rPr>
          <w:lang w:val="en-GB"/>
        </w:rPr>
        <w:t xml:space="preserve"> </w:t>
      </w:r>
      <w:r w:rsidR="00AB04D9">
        <w:rPr>
          <w:lang w:val="en-GB"/>
        </w:rPr>
        <w:t>for an optimal design of a pyrolytic fluidized bed converter.</w:t>
      </w:r>
    </w:p>
    <w:p w14:paraId="459D05E6" w14:textId="77777777" w:rsidR="00600535" w:rsidRPr="00B57B36" w:rsidRDefault="00600535" w:rsidP="00600535">
      <w:pPr>
        <w:pStyle w:val="CETAcknowledgementstitle"/>
      </w:pPr>
      <w:r w:rsidRPr="00B57B36">
        <w:t>Acknowledgments</w:t>
      </w:r>
    </w:p>
    <w:p w14:paraId="33F8138F" w14:textId="21A3FDCA" w:rsidR="00600535" w:rsidRPr="00CA0924" w:rsidRDefault="00CA0924" w:rsidP="00600535">
      <w:pPr>
        <w:pStyle w:val="CETBodytext"/>
        <w:rPr>
          <w:lang w:val="en-GB"/>
        </w:rPr>
      </w:pPr>
      <w:r w:rsidRPr="00CA0924">
        <w:rPr>
          <w:lang w:val="en-GB"/>
        </w:rPr>
        <w:t xml:space="preserve">The authors gratefully acknowledge Mr. </w:t>
      </w:r>
      <w:r w:rsidR="00B059D5">
        <w:rPr>
          <w:lang w:val="en-GB"/>
        </w:rPr>
        <w:t>Giuseppe Tamburrino and Federico Marrano</w:t>
      </w:r>
      <w:r w:rsidRPr="00CA0924">
        <w:rPr>
          <w:lang w:val="en-GB"/>
        </w:rPr>
        <w:t>, University of Naples, for the support during the experimental campaign.</w:t>
      </w:r>
      <w:r w:rsidR="00DB3A5E" w:rsidRPr="00DB3A5E">
        <w:rPr>
          <w:lang w:val="en-GB"/>
        </w:rPr>
        <w:t xml:space="preserve"> </w:t>
      </w:r>
      <w:r w:rsidR="00DB3A5E" w:rsidRPr="00FB5B69">
        <w:rPr>
          <w:lang w:val="en-GB"/>
        </w:rPr>
        <w:t xml:space="preserve">The study was funded under the Italian National Recovery and Resilience Plan (NRRP), Mission 4 Component 2 Investment 1.3 - Call for tender No. 1561 of 11.10.2022 of </w:t>
      </w:r>
      <w:proofErr w:type="spellStart"/>
      <w:r w:rsidR="00DB3A5E" w:rsidRPr="00FB5B69">
        <w:rPr>
          <w:lang w:val="en-GB"/>
        </w:rPr>
        <w:t>Ministero</w:t>
      </w:r>
      <w:proofErr w:type="spellEnd"/>
      <w:r w:rsidR="00DB3A5E" w:rsidRPr="00FB5B69">
        <w:rPr>
          <w:lang w:val="en-GB"/>
        </w:rPr>
        <w:t xml:space="preserve"> </w:t>
      </w:r>
      <w:proofErr w:type="spellStart"/>
      <w:r w:rsidR="00DB3A5E" w:rsidRPr="00FB5B69">
        <w:rPr>
          <w:lang w:val="en-GB"/>
        </w:rPr>
        <w:t>dell’Università</w:t>
      </w:r>
      <w:proofErr w:type="spellEnd"/>
      <w:r w:rsidR="00DB3A5E" w:rsidRPr="00FB5B69">
        <w:rPr>
          <w:lang w:val="en-GB"/>
        </w:rPr>
        <w:t xml:space="preserve"> e della </w:t>
      </w:r>
      <w:proofErr w:type="spellStart"/>
      <w:r w:rsidR="00DB3A5E" w:rsidRPr="00FB5B69">
        <w:rPr>
          <w:lang w:val="en-GB"/>
        </w:rPr>
        <w:t>Ricerca</w:t>
      </w:r>
      <w:proofErr w:type="spellEnd"/>
      <w:r w:rsidR="00DB3A5E" w:rsidRPr="00FB5B69">
        <w:rPr>
          <w:lang w:val="en-GB"/>
        </w:rPr>
        <w:t xml:space="preserve"> (MUR) funded by the European Union – NextGeneration EU; Project code PE0000021, Concession Decree No. 1561 of 11.10.2022 adopted by </w:t>
      </w:r>
      <w:proofErr w:type="spellStart"/>
      <w:r w:rsidR="00DB3A5E" w:rsidRPr="00FB5B69">
        <w:rPr>
          <w:lang w:val="en-GB"/>
        </w:rPr>
        <w:t>Ministero</w:t>
      </w:r>
      <w:proofErr w:type="spellEnd"/>
      <w:r w:rsidR="00DB3A5E" w:rsidRPr="00FB5B69">
        <w:rPr>
          <w:lang w:val="en-GB"/>
        </w:rPr>
        <w:t xml:space="preserve"> </w:t>
      </w:r>
      <w:proofErr w:type="spellStart"/>
      <w:r w:rsidR="00DB3A5E" w:rsidRPr="00FB5B69">
        <w:rPr>
          <w:lang w:val="en-GB"/>
        </w:rPr>
        <w:t>dell’Università</w:t>
      </w:r>
      <w:proofErr w:type="spellEnd"/>
      <w:r w:rsidR="00DB3A5E" w:rsidRPr="00FB5B69">
        <w:rPr>
          <w:lang w:val="en-GB"/>
        </w:rPr>
        <w:t xml:space="preserve"> e della </w:t>
      </w:r>
      <w:proofErr w:type="spellStart"/>
      <w:r w:rsidR="00DB3A5E" w:rsidRPr="00FB5B69">
        <w:rPr>
          <w:lang w:val="en-GB"/>
        </w:rPr>
        <w:t>Ricerca</w:t>
      </w:r>
      <w:proofErr w:type="spellEnd"/>
      <w:r w:rsidR="00DB3A5E" w:rsidRPr="00FB5B69">
        <w:rPr>
          <w:lang w:val="en-GB"/>
        </w:rPr>
        <w:t xml:space="preserve"> (MUR), Project title “Network 4 Energy Sustainable Transition – NEST”.</w:t>
      </w:r>
    </w:p>
    <w:p w14:paraId="428B022A" w14:textId="642A44AD" w:rsidR="00E65B91" w:rsidRDefault="00600535" w:rsidP="003555F6">
      <w:pPr>
        <w:pStyle w:val="CETReference"/>
      </w:pPr>
      <w:r w:rsidRPr="00B57B36">
        <w:t>References</w:t>
      </w:r>
    </w:p>
    <w:p w14:paraId="5E2C4FBA" w14:textId="77777777" w:rsidR="00DA7D76" w:rsidRPr="000312BC" w:rsidRDefault="00DA7D76" w:rsidP="000B4A0A">
      <w:pPr>
        <w:pStyle w:val="CETReferencetext"/>
      </w:pPr>
      <w:proofErr w:type="spellStart"/>
      <w:r w:rsidRPr="000312BC">
        <w:t>Brachi</w:t>
      </w:r>
      <w:proofErr w:type="spellEnd"/>
      <w:r w:rsidRPr="000312BC">
        <w:t xml:space="preserve"> P., Migliaccio R., Ganda E.T., </w:t>
      </w:r>
      <w:proofErr w:type="spellStart"/>
      <w:r w:rsidRPr="000312BC">
        <w:t>Urciuolo</w:t>
      </w:r>
      <w:proofErr w:type="spellEnd"/>
      <w:r w:rsidRPr="000312BC">
        <w:t xml:space="preserve"> M., </w:t>
      </w:r>
      <w:proofErr w:type="spellStart"/>
      <w:r w:rsidRPr="000312BC">
        <w:t>Ruoppolo</w:t>
      </w:r>
      <w:proofErr w:type="spellEnd"/>
      <w:r w:rsidRPr="000312BC">
        <w:t xml:space="preserve"> G., Coppola A., Scala F., Salatino P., 2022, Strategies to Improve Quality and Yield of Pyrolysis Bio-oils, Chemical Eng</w:t>
      </w:r>
      <w:r>
        <w:t>ineering Transactions, 92, 469 – 474.</w:t>
      </w:r>
    </w:p>
    <w:p w14:paraId="64FB8116" w14:textId="77777777" w:rsidR="00DA7D76" w:rsidRDefault="00DA7D76" w:rsidP="000B4A0A">
      <w:pPr>
        <w:pStyle w:val="CETReferencetext"/>
      </w:pPr>
      <w:r>
        <w:t xml:space="preserve">Bridgwater A.V., 2017, </w:t>
      </w:r>
      <w:r w:rsidRPr="0089692F">
        <w:t>Pyrolysis of Solid Biomass: Basics, Processes, and Products, in</w:t>
      </w:r>
      <w:r>
        <w:t xml:space="preserve">: RA </w:t>
      </w:r>
      <w:r w:rsidRPr="0089692F">
        <w:t>Meyers</w:t>
      </w:r>
      <w:r>
        <w:t xml:space="preserve"> (Ed.), </w:t>
      </w:r>
      <w:proofErr w:type="spellStart"/>
      <w:r w:rsidRPr="0089692F">
        <w:t>Encyclopedia</w:t>
      </w:r>
      <w:proofErr w:type="spellEnd"/>
      <w:r w:rsidRPr="0089692F">
        <w:t xml:space="preserve"> of Sustainability Science and Technology, Springer New York: New York, NY.</w:t>
      </w:r>
      <w:r>
        <w:t xml:space="preserve">, </w:t>
      </w:r>
      <w:r w:rsidRPr="0089692F">
        <w:t>1</w:t>
      </w:r>
      <w:r>
        <w:t xml:space="preserve"> – </w:t>
      </w:r>
      <w:r w:rsidRPr="0089692F">
        <w:t>30.</w:t>
      </w:r>
    </w:p>
    <w:p w14:paraId="321F1758" w14:textId="6DCF6A0D" w:rsidR="00925121" w:rsidRDefault="00925121" w:rsidP="000B4A0A">
      <w:pPr>
        <w:pStyle w:val="CETReferencetext"/>
      </w:pPr>
      <w:r>
        <w:t xml:space="preserve">Collard F.X., Blin J., 2014, </w:t>
      </w:r>
      <w:r w:rsidRPr="00E2205F">
        <w:t>A review on pyrolysis of biomass constituents: Mechanisms and composition of the products obtained from the conversion of cellulose, hemicelluloses and lignin</w:t>
      </w:r>
      <w:r>
        <w:t xml:space="preserve">, </w:t>
      </w:r>
      <w:r w:rsidRPr="00E2205F">
        <w:t>Renewable and Sustainable Energy Reviews</w:t>
      </w:r>
      <w:r>
        <w:t>, 38, 594 – 608.</w:t>
      </w:r>
    </w:p>
    <w:p w14:paraId="1F942620" w14:textId="77777777" w:rsidR="00DA7D76" w:rsidRDefault="00DA7D76" w:rsidP="000B4A0A">
      <w:pPr>
        <w:pStyle w:val="CETReferencetext"/>
      </w:pPr>
      <w:r>
        <w:t xml:space="preserve">Czernik S., Bridgwater A.V., 2004, Overview of Applications of Biomass Fast Pyrolysis Oil, Energy Fuels 2004, 18 (2), 590−598. </w:t>
      </w:r>
    </w:p>
    <w:p w14:paraId="11875A24" w14:textId="77777777" w:rsidR="00DA7D76" w:rsidRDefault="00DA7D76" w:rsidP="00AD1638">
      <w:pPr>
        <w:pStyle w:val="CETReferencetext"/>
      </w:pPr>
      <w:r>
        <w:t xml:space="preserve">Evans R.J. and Milne T.A., 1987, </w:t>
      </w:r>
      <w:r w:rsidRPr="001842CA">
        <w:t>Molecular characterization of the pyrolysis of biomass</w:t>
      </w:r>
      <w:r>
        <w:t>, Energy Fuels, 1 (2), 123 – 137.</w:t>
      </w:r>
    </w:p>
    <w:p w14:paraId="1099D99E" w14:textId="77777777" w:rsidR="00DA7D76" w:rsidRDefault="00DA7D76" w:rsidP="00AD1638">
      <w:pPr>
        <w:pStyle w:val="CETReferencetext"/>
      </w:pPr>
      <w:r>
        <w:t>Huang Y., Liu S., Akhtar M.A., Li B., Zhou J., Zhang S., Zhang H., 2020, Volatile−char Interactions during Biomass Pyrolysis: Understanding the Potential Origin of Char Activity, Bioresource Technology, 316, 123938.</w:t>
      </w:r>
    </w:p>
    <w:p w14:paraId="793E4143" w14:textId="77777777" w:rsidR="00DA7D76" w:rsidRPr="00193934" w:rsidRDefault="00DA7D76" w:rsidP="00E65B91">
      <w:pPr>
        <w:pStyle w:val="CETReferencetext"/>
      </w:pPr>
      <w:r w:rsidRPr="00193934">
        <w:t xml:space="preserve">Kan T., </w:t>
      </w:r>
      <w:proofErr w:type="spellStart"/>
      <w:r w:rsidRPr="00193934">
        <w:t>Strezov</w:t>
      </w:r>
      <w:proofErr w:type="spellEnd"/>
      <w:r w:rsidRPr="00193934">
        <w:t xml:space="preserve"> V., Eva</w:t>
      </w:r>
      <w:r>
        <w:t xml:space="preserve">ns T.J., 2016, </w:t>
      </w:r>
      <w:r w:rsidRPr="00A83828">
        <w:t>Lignocellulosic biomass pyrolysis: A review of product properties and effects of pyrolysis parameters</w:t>
      </w:r>
      <w:r>
        <w:t xml:space="preserve">, </w:t>
      </w:r>
      <w:r w:rsidRPr="00A83828">
        <w:t>Renewable and Sustainable Energy Reviews</w:t>
      </w:r>
      <w:r>
        <w:t xml:space="preserve">, 57, 1126 – 1140. </w:t>
      </w:r>
    </w:p>
    <w:p w14:paraId="645A9063" w14:textId="77777777" w:rsidR="00DA7D76" w:rsidRDefault="00DA7D76" w:rsidP="00B50D8A">
      <w:pPr>
        <w:pStyle w:val="CETReferencetext"/>
      </w:pPr>
      <w:r w:rsidRPr="00DA7D76">
        <w:t>Liu Y., Shi Q., Zhang Y., He Y., Chung K.H., Zhao S., Xu C., 2012, Characterization</w:t>
      </w:r>
      <w:r w:rsidRPr="00DA7433">
        <w:t xml:space="preserve"> of Red Pine Pyrolysis Bio-oil by Gas Chromatography–Mass Spectrometry and Negative-Ion Electrospray Ionization Fourier Transform Ion Cyclotron Resonance Mass Spectrometry</w:t>
      </w:r>
      <w:r>
        <w:t xml:space="preserve">, Energy Fuels, 26 (7), 4532 – 4539. </w:t>
      </w:r>
    </w:p>
    <w:p w14:paraId="01621949" w14:textId="77777777" w:rsidR="00DA7D76" w:rsidRDefault="00DA7D76" w:rsidP="00D9798B">
      <w:pPr>
        <w:pStyle w:val="CETReferencetext"/>
      </w:pPr>
      <w:r>
        <w:t>Plouffe C., Peterson C.A., Rollag S.A., Brown R.C., 2022, The Role of Biochar in the Degradation of Sugars during Fast Pyrolysis of Biomass, Journal of Analytical and Applied Pyrolysis, 161, 105416.</w:t>
      </w:r>
    </w:p>
    <w:p w14:paraId="2B70A78A" w14:textId="77777777" w:rsidR="00DA7D76" w:rsidRDefault="00DA7D76" w:rsidP="00E65B91">
      <w:pPr>
        <w:pStyle w:val="CETReferencetext"/>
      </w:pPr>
      <w:proofErr w:type="spellStart"/>
      <w:r>
        <w:t>Sandhaas</w:t>
      </w:r>
      <w:proofErr w:type="spellEnd"/>
      <w:r>
        <w:t xml:space="preserve"> A., Hartmann N., 2025, </w:t>
      </w:r>
      <w:r w:rsidRPr="002A4232">
        <w:t>Pyrolysis as a strategic element in energy system transformation to achieve net zero emissions</w:t>
      </w:r>
      <w:r>
        <w:t>, Energy Conversion and Management: X, 26, 100970.</w:t>
      </w:r>
    </w:p>
    <w:p w14:paraId="1BD81E72" w14:textId="77777777" w:rsidR="00DA7D76" w:rsidRDefault="00DA7D76" w:rsidP="00B424D9">
      <w:pPr>
        <w:pStyle w:val="CETReferencetext"/>
      </w:pPr>
      <w:r>
        <w:t xml:space="preserve">Staš M., Auersvald M., Kejla L., </w:t>
      </w:r>
      <w:proofErr w:type="spellStart"/>
      <w:r>
        <w:t>Vrtiška</w:t>
      </w:r>
      <w:proofErr w:type="spellEnd"/>
      <w:r>
        <w:t xml:space="preserve"> D., </w:t>
      </w:r>
      <w:proofErr w:type="spellStart"/>
      <w:r>
        <w:t>Kroufek</w:t>
      </w:r>
      <w:proofErr w:type="spellEnd"/>
      <w:r>
        <w:t xml:space="preserve"> J., </w:t>
      </w:r>
      <w:proofErr w:type="spellStart"/>
      <w:r>
        <w:t>Kubička</w:t>
      </w:r>
      <w:proofErr w:type="spellEnd"/>
      <w:r>
        <w:t xml:space="preserve"> D., 2020, Quantitative analysis of pyrolysis bio-oils: A review, Trends in Analytical Chemistry, 126, 115857.</w:t>
      </w:r>
    </w:p>
    <w:p w14:paraId="4D14BB11" w14:textId="77777777" w:rsidR="00DA7D76" w:rsidRDefault="00DA7D76" w:rsidP="00B50D8A">
      <w:pPr>
        <w:pStyle w:val="CETReferencetext"/>
      </w:pPr>
      <w:r w:rsidRPr="00B50D8A">
        <w:t>Troiano M., Ianzito V., Solimene R., Ganda E.T., Salatino P., 2022, Fluidized Bed Pyrolysis of Biomass: A Model-Based Assessment of</w:t>
      </w:r>
      <w:r>
        <w:t xml:space="preserve"> </w:t>
      </w:r>
      <w:r w:rsidRPr="00B50D8A">
        <w:t>the Relevance of Heterogeneous Secondary Reactions and Char</w:t>
      </w:r>
      <w:r>
        <w:t xml:space="preserve"> </w:t>
      </w:r>
      <w:r w:rsidRPr="00B50D8A">
        <w:t>Loading</w:t>
      </w:r>
      <w:r>
        <w:t xml:space="preserve">, Energy Fuels, 36, 9660 – 9671. </w:t>
      </w:r>
    </w:p>
    <w:p w14:paraId="19C4FC68" w14:textId="7291B072" w:rsidR="004628D2" w:rsidRPr="00193934" w:rsidRDefault="00DA7D76" w:rsidP="00563BAF">
      <w:pPr>
        <w:pStyle w:val="CETReferencetext"/>
      </w:pPr>
      <w:r>
        <w:t xml:space="preserve">Zhu H., Yi B., Hu H., Fan Q., Wang H., Yao H., 2021, The Effects of Char and Potassium on the Fast Pyrolysis </w:t>
      </w:r>
      <w:proofErr w:type="spellStart"/>
      <w:r>
        <w:t>Behaviors</w:t>
      </w:r>
      <w:proofErr w:type="spellEnd"/>
      <w:r>
        <w:t xml:space="preserve"> of Biomass in an Infrared-Heating Condition, Energy, 214, 119065.</w:t>
      </w:r>
    </w:p>
    <w:sectPr w:rsidR="004628D2" w:rsidRPr="00193934" w:rsidSect="008314D7">
      <w:type w:val="continuous"/>
      <w:pgSz w:w="11906" w:h="16838" w:code="9"/>
      <w:pgMar w:top="1701" w:right="1418" w:bottom="1701" w:left="1701" w:header="1701" w:footer="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BD4FE4" w14:textId="77777777" w:rsidR="00CD1C35" w:rsidRDefault="00CD1C35" w:rsidP="004F5E36">
      <w:r>
        <w:separator/>
      </w:r>
    </w:p>
  </w:endnote>
  <w:endnote w:type="continuationSeparator" w:id="0">
    <w:p w14:paraId="4574E2A7" w14:textId="77777777" w:rsidR="00CD1C35" w:rsidRDefault="00CD1C35" w:rsidP="004F5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dvP6960">
    <w:altName w:val="Times New Roman"/>
    <w:panose1 w:val="00000000000000000000"/>
    <w:charset w:val="4D"/>
    <w:family w:val="roman"/>
    <w:notTrueType/>
    <w:pitch w:val="default"/>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00C91" w14:textId="77777777" w:rsidR="00CD1C35" w:rsidRDefault="00CD1C35" w:rsidP="004F5E36">
      <w:r>
        <w:separator/>
      </w:r>
    </w:p>
  </w:footnote>
  <w:footnote w:type="continuationSeparator" w:id="0">
    <w:p w14:paraId="44A43582" w14:textId="77777777" w:rsidR="00CD1C35" w:rsidRDefault="00CD1C35" w:rsidP="004F5E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58AF15E"/>
    <w:lvl w:ilvl="0">
      <w:start w:val="1"/>
      <w:numFmt w:val="decimal"/>
      <w:pStyle w:val="Numeroelenco5"/>
      <w:lvlText w:val="%1."/>
      <w:lvlJc w:val="left"/>
      <w:pPr>
        <w:tabs>
          <w:tab w:val="num" w:pos="1492"/>
        </w:tabs>
        <w:ind w:left="1492" w:hanging="360"/>
      </w:pPr>
    </w:lvl>
  </w:abstractNum>
  <w:abstractNum w:abstractNumId="1" w15:restartNumberingAfterBreak="0">
    <w:nsid w:val="FFFFFF7D"/>
    <w:multiLevelType w:val="singleLevel"/>
    <w:tmpl w:val="65EC884E"/>
    <w:lvl w:ilvl="0">
      <w:start w:val="1"/>
      <w:numFmt w:val="decimal"/>
      <w:pStyle w:val="Numeroelenco4"/>
      <w:lvlText w:val="%1."/>
      <w:lvlJc w:val="left"/>
      <w:pPr>
        <w:tabs>
          <w:tab w:val="num" w:pos="1209"/>
        </w:tabs>
        <w:ind w:left="1209" w:hanging="360"/>
      </w:pPr>
    </w:lvl>
  </w:abstractNum>
  <w:abstractNum w:abstractNumId="2" w15:restartNumberingAfterBreak="0">
    <w:nsid w:val="FFFFFF7E"/>
    <w:multiLevelType w:val="singleLevel"/>
    <w:tmpl w:val="408CBE96"/>
    <w:lvl w:ilvl="0">
      <w:start w:val="1"/>
      <w:numFmt w:val="decimal"/>
      <w:pStyle w:val="Numeroelenco3"/>
      <w:lvlText w:val="%1."/>
      <w:lvlJc w:val="left"/>
      <w:pPr>
        <w:tabs>
          <w:tab w:val="num" w:pos="926"/>
        </w:tabs>
        <w:ind w:left="926" w:hanging="360"/>
      </w:pPr>
    </w:lvl>
  </w:abstractNum>
  <w:abstractNum w:abstractNumId="3" w15:restartNumberingAfterBreak="0">
    <w:nsid w:val="FFFFFF7F"/>
    <w:multiLevelType w:val="singleLevel"/>
    <w:tmpl w:val="CFC0B388"/>
    <w:lvl w:ilvl="0">
      <w:start w:val="1"/>
      <w:numFmt w:val="decimal"/>
      <w:pStyle w:val="Numeroelenco2"/>
      <w:lvlText w:val="%1."/>
      <w:lvlJc w:val="left"/>
      <w:pPr>
        <w:tabs>
          <w:tab w:val="num" w:pos="643"/>
        </w:tabs>
        <w:ind w:left="643" w:hanging="360"/>
      </w:pPr>
    </w:lvl>
  </w:abstractNum>
  <w:abstractNum w:abstractNumId="4" w15:restartNumberingAfterBreak="0">
    <w:nsid w:val="FFFFFF80"/>
    <w:multiLevelType w:val="singleLevel"/>
    <w:tmpl w:val="CA34EB48"/>
    <w:lvl w:ilvl="0">
      <w:start w:val="1"/>
      <w:numFmt w:val="bullet"/>
      <w:pStyle w:val="Puntoelenco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85C6BD6"/>
    <w:lvl w:ilvl="0">
      <w:start w:val="1"/>
      <w:numFmt w:val="bullet"/>
      <w:pStyle w:val="Puntoelenco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87A9968"/>
    <w:lvl w:ilvl="0">
      <w:start w:val="1"/>
      <w:numFmt w:val="bullet"/>
      <w:pStyle w:val="Puntoelenco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D27934"/>
    <w:lvl w:ilvl="0">
      <w:start w:val="1"/>
      <w:numFmt w:val="bullet"/>
      <w:pStyle w:val="Puntoelenco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F4206A"/>
    <w:lvl w:ilvl="0">
      <w:start w:val="1"/>
      <w:numFmt w:val="decimal"/>
      <w:pStyle w:val="Numeroelenco"/>
      <w:lvlText w:val="%1."/>
      <w:lvlJc w:val="left"/>
      <w:pPr>
        <w:tabs>
          <w:tab w:val="num" w:pos="360"/>
        </w:tabs>
        <w:ind w:left="360" w:hanging="360"/>
      </w:pPr>
    </w:lvl>
  </w:abstractNum>
  <w:abstractNum w:abstractNumId="9" w15:restartNumberingAfterBreak="0">
    <w:nsid w:val="FFFFFF89"/>
    <w:multiLevelType w:val="singleLevel"/>
    <w:tmpl w:val="206ACE1A"/>
    <w:lvl w:ilvl="0">
      <w:start w:val="1"/>
      <w:numFmt w:val="bullet"/>
      <w:pStyle w:val="Puntoelenco"/>
      <w:lvlText w:val=""/>
      <w:lvlJc w:val="left"/>
      <w:pPr>
        <w:tabs>
          <w:tab w:val="num" w:pos="360"/>
        </w:tabs>
        <w:ind w:left="360" w:hanging="360"/>
      </w:pPr>
      <w:rPr>
        <w:rFonts w:ascii="Symbol" w:hAnsi="Symbol" w:hint="default"/>
      </w:rPr>
    </w:lvl>
  </w:abstractNum>
  <w:abstractNum w:abstractNumId="10" w15:restartNumberingAfterBreak="0">
    <w:nsid w:val="2438217E"/>
    <w:multiLevelType w:val="multilevel"/>
    <w:tmpl w:val="F17228D6"/>
    <w:lvl w:ilvl="0">
      <w:start w:val="1"/>
      <w:numFmt w:val="decimal"/>
      <w:suff w:val="space"/>
      <w:lvlText w:val="Chapter %1"/>
      <w:lvlJc w:val="left"/>
      <w:pPr>
        <w:ind w:left="0" w:firstLine="0"/>
      </w:pPr>
      <w:rPr>
        <w:rFonts w:hint="default"/>
      </w:rPr>
    </w:lvl>
    <w:lvl w:ilvl="1">
      <w:start w:val="1"/>
      <w:numFmt w:val="decimal"/>
      <w:pStyle w:val="CETHeading1"/>
      <w:suff w:val="space"/>
      <w:lvlText w:val="%2."/>
      <w:lvlJc w:val="left"/>
      <w:pPr>
        <w:ind w:left="0" w:firstLine="0"/>
      </w:pPr>
      <w:rPr>
        <w:rFonts w:hint="default"/>
      </w:rPr>
    </w:lvl>
    <w:lvl w:ilvl="2">
      <w:start w:val="1"/>
      <w:numFmt w:val="decimal"/>
      <w:pStyle w:val="CETheadingx"/>
      <w:suff w:val="space"/>
      <w:lvlText w:val="%2.%3"/>
      <w:lvlJc w:val="left"/>
      <w:pPr>
        <w:ind w:left="0" w:firstLine="0"/>
      </w:pPr>
      <w:rPr>
        <w:rFonts w:hint="default"/>
      </w:rPr>
    </w:lvl>
    <w:lvl w:ilvl="3">
      <w:start w:val="1"/>
      <w:numFmt w:val="decimal"/>
      <w:pStyle w:val="Tabellasemplice1"/>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1" w15:restartNumberingAfterBreak="0">
    <w:nsid w:val="330B7370"/>
    <w:multiLevelType w:val="hybridMultilevel"/>
    <w:tmpl w:val="12E2AD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351E0394"/>
    <w:multiLevelType w:val="hybridMultilevel"/>
    <w:tmpl w:val="806658E2"/>
    <w:lvl w:ilvl="0" w:tplc="14B0F7A8">
      <w:start w:val="1"/>
      <w:numFmt w:val="bullet"/>
      <w:pStyle w:val="CETnumberingbullets"/>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9C329B9"/>
    <w:multiLevelType w:val="hybridMultilevel"/>
    <w:tmpl w:val="A2E6C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B100E8"/>
    <w:multiLevelType w:val="hybridMultilevel"/>
    <w:tmpl w:val="6F34C070"/>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50A87BA7"/>
    <w:multiLevelType w:val="hybridMultilevel"/>
    <w:tmpl w:val="1F6A8AD4"/>
    <w:lvl w:ilvl="0" w:tplc="14B0F7A8">
      <w:start w:val="1"/>
      <w:numFmt w:val="bullet"/>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2217387"/>
    <w:multiLevelType w:val="hybridMultilevel"/>
    <w:tmpl w:val="C2AE185A"/>
    <w:lvl w:ilvl="0" w:tplc="14090011">
      <w:start w:val="1"/>
      <w:numFmt w:val="decimal"/>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6205803"/>
    <w:multiLevelType w:val="multilevel"/>
    <w:tmpl w:val="444C89D0"/>
    <w:lvl w:ilvl="0">
      <w:start w:val="1"/>
      <w:numFmt w:val="decimal"/>
      <w:suff w:val="space"/>
      <w:lvlText w:val="Chapter %1"/>
      <w:lvlJc w:val="left"/>
      <w:pPr>
        <w:ind w:left="0" w:firstLine="0"/>
      </w:pPr>
      <w:rPr>
        <w:rFonts w:hint="default"/>
      </w:rPr>
    </w:lvl>
    <w:lvl w:ilvl="1">
      <w:start w:val="1"/>
      <w:numFmt w:val="decimal"/>
      <w:suff w:val="space"/>
      <w:lvlText w:val="%2."/>
      <w:lvlJc w:val="left"/>
      <w:pPr>
        <w:ind w:left="0" w:firstLine="0"/>
      </w:pPr>
      <w:rPr>
        <w:rFonts w:hint="default"/>
      </w:rPr>
    </w:lvl>
    <w:lvl w:ilvl="2">
      <w:start w:val="1"/>
      <w:numFmt w:val="decimal"/>
      <w:suff w:val="space"/>
      <w:lvlText w:val="%2.%3."/>
      <w:lvlJc w:val="left"/>
      <w:pPr>
        <w:ind w:left="0" w:firstLine="0"/>
      </w:pPr>
      <w:rPr>
        <w:rFonts w:hint="default"/>
      </w:rPr>
    </w:lvl>
    <w:lvl w:ilvl="3">
      <w:start w:val="1"/>
      <w:numFmt w:val="decimal"/>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8" w15:restartNumberingAfterBreak="0">
    <w:nsid w:val="5AD311D0"/>
    <w:multiLevelType w:val="hybridMultilevel"/>
    <w:tmpl w:val="F198FF08"/>
    <w:lvl w:ilvl="0" w:tplc="62EA088C">
      <w:start w:val="1"/>
      <w:numFmt w:val="decimal"/>
      <w:pStyle w:val="CETnumbering1"/>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62015B5"/>
    <w:multiLevelType w:val="hybridMultilevel"/>
    <w:tmpl w:val="CCDE094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6865266D"/>
    <w:multiLevelType w:val="hybridMultilevel"/>
    <w:tmpl w:val="F5BE3C4A"/>
    <w:lvl w:ilvl="0" w:tplc="9FC4D28C">
      <w:start w:val="1"/>
      <w:numFmt w:val="lowerLetter"/>
      <w:pStyle w:val="CETnumberinga"/>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316882765">
    <w:abstractNumId w:val="10"/>
  </w:num>
  <w:num w:numId="2" w16cid:durableId="1954094313">
    <w:abstractNumId w:val="8"/>
  </w:num>
  <w:num w:numId="3" w16cid:durableId="2001083081">
    <w:abstractNumId w:val="3"/>
  </w:num>
  <w:num w:numId="4" w16cid:durableId="665287687">
    <w:abstractNumId w:val="2"/>
  </w:num>
  <w:num w:numId="5" w16cid:durableId="1763211618">
    <w:abstractNumId w:val="1"/>
  </w:num>
  <w:num w:numId="6" w16cid:durableId="733351894">
    <w:abstractNumId w:val="0"/>
  </w:num>
  <w:num w:numId="7" w16cid:durableId="1265187038">
    <w:abstractNumId w:val="9"/>
  </w:num>
  <w:num w:numId="8" w16cid:durableId="458382672">
    <w:abstractNumId w:val="7"/>
  </w:num>
  <w:num w:numId="9" w16cid:durableId="652636510">
    <w:abstractNumId w:val="6"/>
  </w:num>
  <w:num w:numId="10" w16cid:durableId="1972591888">
    <w:abstractNumId w:val="5"/>
  </w:num>
  <w:num w:numId="11" w16cid:durableId="1179278139">
    <w:abstractNumId w:val="4"/>
  </w:num>
  <w:num w:numId="12" w16cid:durableId="1575509198">
    <w:abstractNumId w:val="17"/>
  </w:num>
  <w:num w:numId="13" w16cid:durableId="695733619">
    <w:abstractNumId w:val="12"/>
  </w:num>
  <w:num w:numId="14" w16cid:durableId="145903400">
    <w:abstractNumId w:val="18"/>
  </w:num>
  <w:num w:numId="15" w16cid:durableId="19162326">
    <w:abstractNumId w:val="20"/>
  </w:num>
  <w:num w:numId="16" w16cid:durableId="1977102699">
    <w:abstractNumId w:val="19"/>
  </w:num>
  <w:num w:numId="17" w16cid:durableId="860774865">
    <w:abstractNumId w:val="11"/>
  </w:num>
  <w:num w:numId="18" w16cid:durableId="313221457">
    <w:abstractNumId w:val="12"/>
    <w:lvlOverride w:ilvl="0">
      <w:startOverride w:val="1"/>
    </w:lvlOverride>
  </w:num>
  <w:num w:numId="19" w16cid:durableId="534971577">
    <w:abstractNumId w:val="16"/>
  </w:num>
  <w:num w:numId="20" w16cid:durableId="1150947773">
    <w:abstractNumId w:val="15"/>
  </w:num>
  <w:num w:numId="21" w16cid:durableId="124660497">
    <w:abstractNumId w:val="14"/>
  </w:num>
  <w:num w:numId="22" w16cid:durableId="209986147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0"/>
  <w:autoFormatOverride/>
  <w:styleLockTheme/>
  <w:styleLockQFSet/>
  <w:defaultTabStop w:val="708"/>
  <w:hyphenationZone w:val="283"/>
  <w:clickAndTypeStyle w:val="CETBodytext"/>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I0NzezsDA3M7MwMTJW0lEKTi0uzszPAymwrAUAugS3IywAAAA="/>
  </w:docVars>
  <w:rsids>
    <w:rsidRoot w:val="000E414A"/>
    <w:rsid w:val="000009EC"/>
    <w:rsid w:val="000027C0"/>
    <w:rsid w:val="000031B5"/>
    <w:rsid w:val="00003C96"/>
    <w:rsid w:val="000052FB"/>
    <w:rsid w:val="00005884"/>
    <w:rsid w:val="00005A19"/>
    <w:rsid w:val="000117CB"/>
    <w:rsid w:val="0002055E"/>
    <w:rsid w:val="00020E48"/>
    <w:rsid w:val="000312BC"/>
    <w:rsid w:val="0003148D"/>
    <w:rsid w:val="00031EEC"/>
    <w:rsid w:val="00034C4E"/>
    <w:rsid w:val="000405BA"/>
    <w:rsid w:val="00041649"/>
    <w:rsid w:val="000423C7"/>
    <w:rsid w:val="00042C90"/>
    <w:rsid w:val="0004556E"/>
    <w:rsid w:val="00051566"/>
    <w:rsid w:val="000562A9"/>
    <w:rsid w:val="00057021"/>
    <w:rsid w:val="00062A9A"/>
    <w:rsid w:val="00063BE4"/>
    <w:rsid w:val="000642E6"/>
    <w:rsid w:val="00064EA3"/>
    <w:rsid w:val="00065058"/>
    <w:rsid w:val="00065579"/>
    <w:rsid w:val="00072D8C"/>
    <w:rsid w:val="0007305E"/>
    <w:rsid w:val="00086C39"/>
    <w:rsid w:val="00090373"/>
    <w:rsid w:val="00093381"/>
    <w:rsid w:val="00093CF4"/>
    <w:rsid w:val="00094E05"/>
    <w:rsid w:val="0009578D"/>
    <w:rsid w:val="000A03B2"/>
    <w:rsid w:val="000A367D"/>
    <w:rsid w:val="000A4309"/>
    <w:rsid w:val="000A7258"/>
    <w:rsid w:val="000B0221"/>
    <w:rsid w:val="000B098D"/>
    <w:rsid w:val="000B4A0A"/>
    <w:rsid w:val="000C1A10"/>
    <w:rsid w:val="000C6D65"/>
    <w:rsid w:val="000C75AA"/>
    <w:rsid w:val="000D0268"/>
    <w:rsid w:val="000D34BE"/>
    <w:rsid w:val="000E102F"/>
    <w:rsid w:val="000E36F1"/>
    <w:rsid w:val="000E3A73"/>
    <w:rsid w:val="000E414A"/>
    <w:rsid w:val="000E75FD"/>
    <w:rsid w:val="000F093C"/>
    <w:rsid w:val="000F4822"/>
    <w:rsid w:val="000F6226"/>
    <w:rsid w:val="000F70F0"/>
    <w:rsid w:val="000F787B"/>
    <w:rsid w:val="00101F02"/>
    <w:rsid w:val="00102E85"/>
    <w:rsid w:val="00104A68"/>
    <w:rsid w:val="00104EF5"/>
    <w:rsid w:val="00105B33"/>
    <w:rsid w:val="00110810"/>
    <w:rsid w:val="00112F53"/>
    <w:rsid w:val="0012091F"/>
    <w:rsid w:val="00124AAD"/>
    <w:rsid w:val="001267B2"/>
    <w:rsid w:val="00126BC2"/>
    <w:rsid w:val="00127717"/>
    <w:rsid w:val="001308B6"/>
    <w:rsid w:val="0013121F"/>
    <w:rsid w:val="00131FE6"/>
    <w:rsid w:val="0013263F"/>
    <w:rsid w:val="001331DF"/>
    <w:rsid w:val="00133548"/>
    <w:rsid w:val="00134B06"/>
    <w:rsid w:val="00134DE4"/>
    <w:rsid w:val="0013522B"/>
    <w:rsid w:val="00137581"/>
    <w:rsid w:val="0014034D"/>
    <w:rsid w:val="00140FE3"/>
    <w:rsid w:val="001445AB"/>
    <w:rsid w:val="00144D16"/>
    <w:rsid w:val="00146FFA"/>
    <w:rsid w:val="00150E59"/>
    <w:rsid w:val="00151748"/>
    <w:rsid w:val="00152DE3"/>
    <w:rsid w:val="00154534"/>
    <w:rsid w:val="001546C7"/>
    <w:rsid w:val="001604BB"/>
    <w:rsid w:val="00164CF9"/>
    <w:rsid w:val="001667A6"/>
    <w:rsid w:val="00171D81"/>
    <w:rsid w:val="00174B5B"/>
    <w:rsid w:val="00183418"/>
    <w:rsid w:val="001842CA"/>
    <w:rsid w:val="00184AD6"/>
    <w:rsid w:val="00185147"/>
    <w:rsid w:val="00185619"/>
    <w:rsid w:val="001869E1"/>
    <w:rsid w:val="001906D8"/>
    <w:rsid w:val="00190B9B"/>
    <w:rsid w:val="00191F55"/>
    <w:rsid w:val="00193934"/>
    <w:rsid w:val="001A4AF7"/>
    <w:rsid w:val="001B0349"/>
    <w:rsid w:val="001B1E93"/>
    <w:rsid w:val="001B4E9D"/>
    <w:rsid w:val="001B65C1"/>
    <w:rsid w:val="001B6DEF"/>
    <w:rsid w:val="001C260F"/>
    <w:rsid w:val="001C33F1"/>
    <w:rsid w:val="001C46DE"/>
    <w:rsid w:val="001C4FA3"/>
    <w:rsid w:val="001C684B"/>
    <w:rsid w:val="001D0CFB"/>
    <w:rsid w:val="001D155F"/>
    <w:rsid w:val="001D21AF"/>
    <w:rsid w:val="001D22C4"/>
    <w:rsid w:val="001D298C"/>
    <w:rsid w:val="001D53FC"/>
    <w:rsid w:val="001D59D6"/>
    <w:rsid w:val="001E14AD"/>
    <w:rsid w:val="001E1D2B"/>
    <w:rsid w:val="001E2D2A"/>
    <w:rsid w:val="001E3C4F"/>
    <w:rsid w:val="001E7A0A"/>
    <w:rsid w:val="001F42A5"/>
    <w:rsid w:val="001F5B4E"/>
    <w:rsid w:val="001F7B9D"/>
    <w:rsid w:val="00201C93"/>
    <w:rsid w:val="002025EF"/>
    <w:rsid w:val="00203BF7"/>
    <w:rsid w:val="0020479A"/>
    <w:rsid w:val="00213A9B"/>
    <w:rsid w:val="002142F0"/>
    <w:rsid w:val="0021494D"/>
    <w:rsid w:val="002224B4"/>
    <w:rsid w:val="0022337E"/>
    <w:rsid w:val="0023117E"/>
    <w:rsid w:val="00231837"/>
    <w:rsid w:val="00240B19"/>
    <w:rsid w:val="00241D1C"/>
    <w:rsid w:val="00243E6E"/>
    <w:rsid w:val="00243FAB"/>
    <w:rsid w:val="002447EF"/>
    <w:rsid w:val="002458EC"/>
    <w:rsid w:val="00247B21"/>
    <w:rsid w:val="00251550"/>
    <w:rsid w:val="00253097"/>
    <w:rsid w:val="002553BE"/>
    <w:rsid w:val="00257EEC"/>
    <w:rsid w:val="00263B05"/>
    <w:rsid w:val="0026586F"/>
    <w:rsid w:val="0027221A"/>
    <w:rsid w:val="00272A20"/>
    <w:rsid w:val="00274068"/>
    <w:rsid w:val="002751C3"/>
    <w:rsid w:val="00275B61"/>
    <w:rsid w:val="002768B6"/>
    <w:rsid w:val="0028057F"/>
    <w:rsid w:val="00280B3C"/>
    <w:rsid w:val="00280FAF"/>
    <w:rsid w:val="00281372"/>
    <w:rsid w:val="00282656"/>
    <w:rsid w:val="0029067F"/>
    <w:rsid w:val="00290991"/>
    <w:rsid w:val="00290FE8"/>
    <w:rsid w:val="00296B83"/>
    <w:rsid w:val="002A4232"/>
    <w:rsid w:val="002A42F2"/>
    <w:rsid w:val="002A4542"/>
    <w:rsid w:val="002A600A"/>
    <w:rsid w:val="002B2861"/>
    <w:rsid w:val="002B4015"/>
    <w:rsid w:val="002B5C01"/>
    <w:rsid w:val="002B78CE"/>
    <w:rsid w:val="002B7ED7"/>
    <w:rsid w:val="002C2FB6"/>
    <w:rsid w:val="002E0BB0"/>
    <w:rsid w:val="002E3828"/>
    <w:rsid w:val="002E5FA7"/>
    <w:rsid w:val="002F0A15"/>
    <w:rsid w:val="002F3309"/>
    <w:rsid w:val="002F3492"/>
    <w:rsid w:val="003008CE"/>
    <w:rsid w:val="003009B7"/>
    <w:rsid w:val="00300E56"/>
    <w:rsid w:val="0030152C"/>
    <w:rsid w:val="00303F6B"/>
    <w:rsid w:val="0030469C"/>
    <w:rsid w:val="0030586D"/>
    <w:rsid w:val="00305C9C"/>
    <w:rsid w:val="003103F3"/>
    <w:rsid w:val="0031146C"/>
    <w:rsid w:val="003120F1"/>
    <w:rsid w:val="0031416B"/>
    <w:rsid w:val="00321CA6"/>
    <w:rsid w:val="00323763"/>
    <w:rsid w:val="00323C5F"/>
    <w:rsid w:val="00325257"/>
    <w:rsid w:val="00327EA4"/>
    <w:rsid w:val="00334C09"/>
    <w:rsid w:val="00340E16"/>
    <w:rsid w:val="00341235"/>
    <w:rsid w:val="00342B31"/>
    <w:rsid w:val="003460FB"/>
    <w:rsid w:val="00353909"/>
    <w:rsid w:val="00353D89"/>
    <w:rsid w:val="00354950"/>
    <w:rsid w:val="003555F6"/>
    <w:rsid w:val="00360DC9"/>
    <w:rsid w:val="00367BAC"/>
    <w:rsid w:val="003723D4"/>
    <w:rsid w:val="00374400"/>
    <w:rsid w:val="00381905"/>
    <w:rsid w:val="00382B6E"/>
    <w:rsid w:val="00384CC8"/>
    <w:rsid w:val="003871FD"/>
    <w:rsid w:val="00391A4E"/>
    <w:rsid w:val="00396742"/>
    <w:rsid w:val="00396A67"/>
    <w:rsid w:val="00396AE9"/>
    <w:rsid w:val="003A1E30"/>
    <w:rsid w:val="003A2829"/>
    <w:rsid w:val="003A78AD"/>
    <w:rsid w:val="003A7D1C"/>
    <w:rsid w:val="003B304B"/>
    <w:rsid w:val="003B3146"/>
    <w:rsid w:val="003B4EA5"/>
    <w:rsid w:val="003C0DA1"/>
    <w:rsid w:val="003C491D"/>
    <w:rsid w:val="003C5FDE"/>
    <w:rsid w:val="003D1E02"/>
    <w:rsid w:val="003D2D06"/>
    <w:rsid w:val="003E050D"/>
    <w:rsid w:val="003E27D7"/>
    <w:rsid w:val="003E46E1"/>
    <w:rsid w:val="003F015E"/>
    <w:rsid w:val="00400414"/>
    <w:rsid w:val="004055DC"/>
    <w:rsid w:val="00406617"/>
    <w:rsid w:val="004102AB"/>
    <w:rsid w:val="004119D9"/>
    <w:rsid w:val="0041446B"/>
    <w:rsid w:val="00420ED9"/>
    <w:rsid w:val="00421D74"/>
    <w:rsid w:val="004323DF"/>
    <w:rsid w:val="0043290F"/>
    <w:rsid w:val="00432BDB"/>
    <w:rsid w:val="00432E62"/>
    <w:rsid w:val="00437397"/>
    <w:rsid w:val="0044071E"/>
    <w:rsid w:val="0044329C"/>
    <w:rsid w:val="0045232D"/>
    <w:rsid w:val="00453BB4"/>
    <w:rsid w:val="00453E24"/>
    <w:rsid w:val="004555F2"/>
    <w:rsid w:val="00457456"/>
    <w:rsid w:val="004577FE"/>
    <w:rsid w:val="00457B9C"/>
    <w:rsid w:val="0046164A"/>
    <w:rsid w:val="004628D2"/>
    <w:rsid w:val="00462DCD"/>
    <w:rsid w:val="004648AD"/>
    <w:rsid w:val="004703A9"/>
    <w:rsid w:val="00470612"/>
    <w:rsid w:val="00470EAC"/>
    <w:rsid w:val="00475F15"/>
    <w:rsid w:val="004760DE"/>
    <w:rsid w:val="004763D7"/>
    <w:rsid w:val="00490497"/>
    <w:rsid w:val="0049355C"/>
    <w:rsid w:val="00493EF4"/>
    <w:rsid w:val="00497816"/>
    <w:rsid w:val="004A004E"/>
    <w:rsid w:val="004A10B2"/>
    <w:rsid w:val="004A1AED"/>
    <w:rsid w:val="004A24CF"/>
    <w:rsid w:val="004A5549"/>
    <w:rsid w:val="004A5E57"/>
    <w:rsid w:val="004A6D9F"/>
    <w:rsid w:val="004B021D"/>
    <w:rsid w:val="004B04E8"/>
    <w:rsid w:val="004B3BCD"/>
    <w:rsid w:val="004B4716"/>
    <w:rsid w:val="004B6184"/>
    <w:rsid w:val="004C059F"/>
    <w:rsid w:val="004C0A2D"/>
    <w:rsid w:val="004C194F"/>
    <w:rsid w:val="004C25A2"/>
    <w:rsid w:val="004C3D1D"/>
    <w:rsid w:val="004C3D84"/>
    <w:rsid w:val="004C400C"/>
    <w:rsid w:val="004C7913"/>
    <w:rsid w:val="004D2E2A"/>
    <w:rsid w:val="004D467A"/>
    <w:rsid w:val="004D7A01"/>
    <w:rsid w:val="004E0D96"/>
    <w:rsid w:val="004E4DD6"/>
    <w:rsid w:val="004E79E5"/>
    <w:rsid w:val="004E7BA7"/>
    <w:rsid w:val="004F5E36"/>
    <w:rsid w:val="00500175"/>
    <w:rsid w:val="005020BB"/>
    <w:rsid w:val="0050406E"/>
    <w:rsid w:val="00507B47"/>
    <w:rsid w:val="00507BEF"/>
    <w:rsid w:val="00507CC9"/>
    <w:rsid w:val="005119A5"/>
    <w:rsid w:val="005231AA"/>
    <w:rsid w:val="00523CDC"/>
    <w:rsid w:val="00526320"/>
    <w:rsid w:val="005278B7"/>
    <w:rsid w:val="00532016"/>
    <w:rsid w:val="005346C8"/>
    <w:rsid w:val="00542733"/>
    <w:rsid w:val="00543E7D"/>
    <w:rsid w:val="00547A68"/>
    <w:rsid w:val="00552798"/>
    <w:rsid w:val="005531C9"/>
    <w:rsid w:val="00553DAE"/>
    <w:rsid w:val="005630F2"/>
    <w:rsid w:val="00563BAF"/>
    <w:rsid w:val="00565A7F"/>
    <w:rsid w:val="00570C43"/>
    <w:rsid w:val="00572723"/>
    <w:rsid w:val="00572F6E"/>
    <w:rsid w:val="00585C1E"/>
    <w:rsid w:val="005903B4"/>
    <w:rsid w:val="00590D3A"/>
    <w:rsid w:val="00591FE4"/>
    <w:rsid w:val="005921B9"/>
    <w:rsid w:val="00592274"/>
    <w:rsid w:val="00595079"/>
    <w:rsid w:val="00596C70"/>
    <w:rsid w:val="005A692F"/>
    <w:rsid w:val="005B0C64"/>
    <w:rsid w:val="005B2110"/>
    <w:rsid w:val="005B2508"/>
    <w:rsid w:val="005B61E6"/>
    <w:rsid w:val="005B63F9"/>
    <w:rsid w:val="005B6593"/>
    <w:rsid w:val="005C77E1"/>
    <w:rsid w:val="005D2399"/>
    <w:rsid w:val="005D2EAA"/>
    <w:rsid w:val="005D42ED"/>
    <w:rsid w:val="005D5CB2"/>
    <w:rsid w:val="005D668A"/>
    <w:rsid w:val="005D6A2F"/>
    <w:rsid w:val="005D6AC1"/>
    <w:rsid w:val="005E048F"/>
    <w:rsid w:val="005E0592"/>
    <w:rsid w:val="005E1A82"/>
    <w:rsid w:val="005E50D0"/>
    <w:rsid w:val="005E5F13"/>
    <w:rsid w:val="005E696D"/>
    <w:rsid w:val="005E794C"/>
    <w:rsid w:val="005F0A28"/>
    <w:rsid w:val="005F0C1B"/>
    <w:rsid w:val="005F0E5E"/>
    <w:rsid w:val="005F3DCC"/>
    <w:rsid w:val="005F6EEE"/>
    <w:rsid w:val="0060027A"/>
    <w:rsid w:val="00600535"/>
    <w:rsid w:val="00606712"/>
    <w:rsid w:val="00610CD6"/>
    <w:rsid w:val="00611DD5"/>
    <w:rsid w:val="00612D7D"/>
    <w:rsid w:val="00620DEE"/>
    <w:rsid w:val="00621F92"/>
    <w:rsid w:val="0062280A"/>
    <w:rsid w:val="006231E1"/>
    <w:rsid w:val="00625639"/>
    <w:rsid w:val="00631B33"/>
    <w:rsid w:val="00632440"/>
    <w:rsid w:val="0064184D"/>
    <w:rsid w:val="006422CC"/>
    <w:rsid w:val="00644749"/>
    <w:rsid w:val="00647DB3"/>
    <w:rsid w:val="006506E4"/>
    <w:rsid w:val="00651AAD"/>
    <w:rsid w:val="00651D18"/>
    <w:rsid w:val="00655C41"/>
    <w:rsid w:val="0065773F"/>
    <w:rsid w:val="00660E3E"/>
    <w:rsid w:val="00660EF5"/>
    <w:rsid w:val="006624F3"/>
    <w:rsid w:val="00662E74"/>
    <w:rsid w:val="00664F9F"/>
    <w:rsid w:val="006700AD"/>
    <w:rsid w:val="006717CD"/>
    <w:rsid w:val="006736E9"/>
    <w:rsid w:val="00675F70"/>
    <w:rsid w:val="00680C23"/>
    <w:rsid w:val="00680DDB"/>
    <w:rsid w:val="00682F33"/>
    <w:rsid w:val="00683E23"/>
    <w:rsid w:val="006849F8"/>
    <w:rsid w:val="00693766"/>
    <w:rsid w:val="006A2231"/>
    <w:rsid w:val="006A3281"/>
    <w:rsid w:val="006A6E61"/>
    <w:rsid w:val="006B4888"/>
    <w:rsid w:val="006C1052"/>
    <w:rsid w:val="006C2E45"/>
    <w:rsid w:val="006C359C"/>
    <w:rsid w:val="006C5579"/>
    <w:rsid w:val="006D3135"/>
    <w:rsid w:val="006D6E8B"/>
    <w:rsid w:val="006D71BA"/>
    <w:rsid w:val="006D7209"/>
    <w:rsid w:val="006E5A22"/>
    <w:rsid w:val="006E737D"/>
    <w:rsid w:val="006F01C6"/>
    <w:rsid w:val="006F112E"/>
    <w:rsid w:val="006F1558"/>
    <w:rsid w:val="006F76CF"/>
    <w:rsid w:val="007022C2"/>
    <w:rsid w:val="00707DD1"/>
    <w:rsid w:val="00713973"/>
    <w:rsid w:val="007139D7"/>
    <w:rsid w:val="00720A24"/>
    <w:rsid w:val="00723B55"/>
    <w:rsid w:val="0072719F"/>
    <w:rsid w:val="0073229C"/>
    <w:rsid w:val="00732386"/>
    <w:rsid w:val="0073336D"/>
    <w:rsid w:val="00734C5F"/>
    <w:rsid w:val="0073514D"/>
    <w:rsid w:val="00735EA7"/>
    <w:rsid w:val="0073795F"/>
    <w:rsid w:val="00741D4A"/>
    <w:rsid w:val="00744063"/>
    <w:rsid w:val="007447F3"/>
    <w:rsid w:val="0075041C"/>
    <w:rsid w:val="007525C1"/>
    <w:rsid w:val="0075499F"/>
    <w:rsid w:val="007617CC"/>
    <w:rsid w:val="00765765"/>
    <w:rsid w:val="007661C8"/>
    <w:rsid w:val="007704F7"/>
    <w:rsid w:val="0077098D"/>
    <w:rsid w:val="00773C8A"/>
    <w:rsid w:val="007804D8"/>
    <w:rsid w:val="00780D3A"/>
    <w:rsid w:val="00785BF9"/>
    <w:rsid w:val="007864B3"/>
    <w:rsid w:val="00786B61"/>
    <w:rsid w:val="007931FA"/>
    <w:rsid w:val="00793CF0"/>
    <w:rsid w:val="00796C40"/>
    <w:rsid w:val="007975C9"/>
    <w:rsid w:val="007A4861"/>
    <w:rsid w:val="007A4F06"/>
    <w:rsid w:val="007A5517"/>
    <w:rsid w:val="007A7809"/>
    <w:rsid w:val="007A7BBA"/>
    <w:rsid w:val="007A7E3D"/>
    <w:rsid w:val="007B0C50"/>
    <w:rsid w:val="007B1EDE"/>
    <w:rsid w:val="007B2F08"/>
    <w:rsid w:val="007B48F9"/>
    <w:rsid w:val="007B78B8"/>
    <w:rsid w:val="007C1A43"/>
    <w:rsid w:val="007C2F1F"/>
    <w:rsid w:val="007C78E8"/>
    <w:rsid w:val="007D0951"/>
    <w:rsid w:val="007D187C"/>
    <w:rsid w:val="007D1B8E"/>
    <w:rsid w:val="007E4920"/>
    <w:rsid w:val="007E7EFC"/>
    <w:rsid w:val="007F04B5"/>
    <w:rsid w:val="007F27C8"/>
    <w:rsid w:val="007F374F"/>
    <w:rsid w:val="007F49F3"/>
    <w:rsid w:val="0080013E"/>
    <w:rsid w:val="00800E2C"/>
    <w:rsid w:val="00803527"/>
    <w:rsid w:val="00806301"/>
    <w:rsid w:val="00807CD7"/>
    <w:rsid w:val="00813288"/>
    <w:rsid w:val="0081439D"/>
    <w:rsid w:val="00815030"/>
    <w:rsid w:val="008168FC"/>
    <w:rsid w:val="00821FC9"/>
    <w:rsid w:val="008271D3"/>
    <w:rsid w:val="00830996"/>
    <w:rsid w:val="008314D7"/>
    <w:rsid w:val="00831A1B"/>
    <w:rsid w:val="008345F1"/>
    <w:rsid w:val="00843FBE"/>
    <w:rsid w:val="00844EB5"/>
    <w:rsid w:val="00851FA4"/>
    <w:rsid w:val="008605D7"/>
    <w:rsid w:val="008612C3"/>
    <w:rsid w:val="00863E9E"/>
    <w:rsid w:val="00865B07"/>
    <w:rsid w:val="008667EA"/>
    <w:rsid w:val="0087114F"/>
    <w:rsid w:val="0087637F"/>
    <w:rsid w:val="00884A2F"/>
    <w:rsid w:val="00887DBD"/>
    <w:rsid w:val="0089078B"/>
    <w:rsid w:val="00890B41"/>
    <w:rsid w:val="00892AD5"/>
    <w:rsid w:val="00893143"/>
    <w:rsid w:val="0089692F"/>
    <w:rsid w:val="008A1512"/>
    <w:rsid w:val="008A252B"/>
    <w:rsid w:val="008A47CD"/>
    <w:rsid w:val="008C3D70"/>
    <w:rsid w:val="008C4536"/>
    <w:rsid w:val="008C5DA4"/>
    <w:rsid w:val="008D023D"/>
    <w:rsid w:val="008D1C1C"/>
    <w:rsid w:val="008D32B9"/>
    <w:rsid w:val="008D433B"/>
    <w:rsid w:val="008D4A16"/>
    <w:rsid w:val="008D5896"/>
    <w:rsid w:val="008E09C4"/>
    <w:rsid w:val="008E173A"/>
    <w:rsid w:val="008E209A"/>
    <w:rsid w:val="008E45BC"/>
    <w:rsid w:val="008E4625"/>
    <w:rsid w:val="008E4B46"/>
    <w:rsid w:val="008E4D8A"/>
    <w:rsid w:val="008E501D"/>
    <w:rsid w:val="008E566E"/>
    <w:rsid w:val="008F133B"/>
    <w:rsid w:val="008F797C"/>
    <w:rsid w:val="0090161A"/>
    <w:rsid w:val="00901EB6"/>
    <w:rsid w:val="009041F8"/>
    <w:rsid w:val="00904C62"/>
    <w:rsid w:val="00907F28"/>
    <w:rsid w:val="009106BD"/>
    <w:rsid w:val="009155C7"/>
    <w:rsid w:val="00915BD1"/>
    <w:rsid w:val="00920C0D"/>
    <w:rsid w:val="00921634"/>
    <w:rsid w:val="00922BA8"/>
    <w:rsid w:val="00924DAC"/>
    <w:rsid w:val="00925121"/>
    <w:rsid w:val="00927058"/>
    <w:rsid w:val="00942750"/>
    <w:rsid w:val="00943677"/>
    <w:rsid w:val="009450CE"/>
    <w:rsid w:val="009459BB"/>
    <w:rsid w:val="00947179"/>
    <w:rsid w:val="00947623"/>
    <w:rsid w:val="0095077E"/>
    <w:rsid w:val="0095164B"/>
    <w:rsid w:val="00954090"/>
    <w:rsid w:val="00955E8D"/>
    <w:rsid w:val="009573E7"/>
    <w:rsid w:val="009576C2"/>
    <w:rsid w:val="00963E05"/>
    <w:rsid w:val="00964A45"/>
    <w:rsid w:val="00965E7A"/>
    <w:rsid w:val="00967843"/>
    <w:rsid w:val="00967D54"/>
    <w:rsid w:val="00971028"/>
    <w:rsid w:val="00984D6C"/>
    <w:rsid w:val="00986B92"/>
    <w:rsid w:val="00993B84"/>
    <w:rsid w:val="009957A0"/>
    <w:rsid w:val="00996483"/>
    <w:rsid w:val="00996DF9"/>
    <w:rsid w:val="00996F5A"/>
    <w:rsid w:val="009A2A14"/>
    <w:rsid w:val="009B041A"/>
    <w:rsid w:val="009B4825"/>
    <w:rsid w:val="009C37C3"/>
    <w:rsid w:val="009C5A08"/>
    <w:rsid w:val="009C79D2"/>
    <w:rsid w:val="009C7C86"/>
    <w:rsid w:val="009D2FF7"/>
    <w:rsid w:val="009D3D60"/>
    <w:rsid w:val="009E27EC"/>
    <w:rsid w:val="009E3471"/>
    <w:rsid w:val="009E3482"/>
    <w:rsid w:val="009E70F1"/>
    <w:rsid w:val="009E7884"/>
    <w:rsid w:val="009E788A"/>
    <w:rsid w:val="009E7AA5"/>
    <w:rsid w:val="009F05A5"/>
    <w:rsid w:val="009F0E08"/>
    <w:rsid w:val="009F1AA2"/>
    <w:rsid w:val="009F4EB1"/>
    <w:rsid w:val="009F5424"/>
    <w:rsid w:val="009F58D8"/>
    <w:rsid w:val="00A01A77"/>
    <w:rsid w:val="00A030D1"/>
    <w:rsid w:val="00A063AD"/>
    <w:rsid w:val="00A079AE"/>
    <w:rsid w:val="00A1763D"/>
    <w:rsid w:val="00A17CEC"/>
    <w:rsid w:val="00A26CBB"/>
    <w:rsid w:val="00A27EF0"/>
    <w:rsid w:val="00A3266D"/>
    <w:rsid w:val="00A3310D"/>
    <w:rsid w:val="00A36C4B"/>
    <w:rsid w:val="00A4151C"/>
    <w:rsid w:val="00A421AF"/>
    <w:rsid w:val="00A42361"/>
    <w:rsid w:val="00A50B20"/>
    <w:rsid w:val="00A51390"/>
    <w:rsid w:val="00A55683"/>
    <w:rsid w:val="00A60D13"/>
    <w:rsid w:val="00A633E8"/>
    <w:rsid w:val="00A63EFB"/>
    <w:rsid w:val="00A7223D"/>
    <w:rsid w:val="00A72745"/>
    <w:rsid w:val="00A761A9"/>
    <w:rsid w:val="00A762DD"/>
    <w:rsid w:val="00A76EFC"/>
    <w:rsid w:val="00A76F26"/>
    <w:rsid w:val="00A83828"/>
    <w:rsid w:val="00A87D50"/>
    <w:rsid w:val="00A91010"/>
    <w:rsid w:val="00A97F29"/>
    <w:rsid w:val="00AA702E"/>
    <w:rsid w:val="00AA77ED"/>
    <w:rsid w:val="00AA7D26"/>
    <w:rsid w:val="00AB04D9"/>
    <w:rsid w:val="00AB0964"/>
    <w:rsid w:val="00AB5011"/>
    <w:rsid w:val="00AC3E63"/>
    <w:rsid w:val="00AC7368"/>
    <w:rsid w:val="00AC7C57"/>
    <w:rsid w:val="00AD0278"/>
    <w:rsid w:val="00AD1638"/>
    <w:rsid w:val="00AD16B9"/>
    <w:rsid w:val="00AD3229"/>
    <w:rsid w:val="00AD33CD"/>
    <w:rsid w:val="00AE377D"/>
    <w:rsid w:val="00AF0EBA"/>
    <w:rsid w:val="00AF0EDB"/>
    <w:rsid w:val="00AF5424"/>
    <w:rsid w:val="00B01883"/>
    <w:rsid w:val="00B02C8A"/>
    <w:rsid w:val="00B03C7E"/>
    <w:rsid w:val="00B04627"/>
    <w:rsid w:val="00B059B9"/>
    <w:rsid w:val="00B059D5"/>
    <w:rsid w:val="00B17FBD"/>
    <w:rsid w:val="00B315A6"/>
    <w:rsid w:val="00B31813"/>
    <w:rsid w:val="00B33365"/>
    <w:rsid w:val="00B34F1C"/>
    <w:rsid w:val="00B35A1A"/>
    <w:rsid w:val="00B4167D"/>
    <w:rsid w:val="00B424D9"/>
    <w:rsid w:val="00B45FF6"/>
    <w:rsid w:val="00B50D8A"/>
    <w:rsid w:val="00B57B36"/>
    <w:rsid w:val="00B57E6F"/>
    <w:rsid w:val="00B61969"/>
    <w:rsid w:val="00B64AD9"/>
    <w:rsid w:val="00B657B2"/>
    <w:rsid w:val="00B72539"/>
    <w:rsid w:val="00B74E31"/>
    <w:rsid w:val="00B81E9D"/>
    <w:rsid w:val="00B84B0F"/>
    <w:rsid w:val="00B8686D"/>
    <w:rsid w:val="00B876B1"/>
    <w:rsid w:val="00B93F69"/>
    <w:rsid w:val="00B95473"/>
    <w:rsid w:val="00BB1DDC"/>
    <w:rsid w:val="00BC30C9"/>
    <w:rsid w:val="00BC3765"/>
    <w:rsid w:val="00BD077D"/>
    <w:rsid w:val="00BD1D8A"/>
    <w:rsid w:val="00BD3C1E"/>
    <w:rsid w:val="00BD462E"/>
    <w:rsid w:val="00BE3E58"/>
    <w:rsid w:val="00BE4435"/>
    <w:rsid w:val="00BF0326"/>
    <w:rsid w:val="00BF0404"/>
    <w:rsid w:val="00BF56B1"/>
    <w:rsid w:val="00BF603F"/>
    <w:rsid w:val="00C01616"/>
    <w:rsid w:val="00C0162B"/>
    <w:rsid w:val="00C0208A"/>
    <w:rsid w:val="00C047AC"/>
    <w:rsid w:val="00C05FBD"/>
    <w:rsid w:val="00C068ED"/>
    <w:rsid w:val="00C06D47"/>
    <w:rsid w:val="00C208E9"/>
    <w:rsid w:val="00C2228B"/>
    <w:rsid w:val="00C22E0C"/>
    <w:rsid w:val="00C25314"/>
    <w:rsid w:val="00C30490"/>
    <w:rsid w:val="00C345B1"/>
    <w:rsid w:val="00C35E33"/>
    <w:rsid w:val="00C40142"/>
    <w:rsid w:val="00C4256B"/>
    <w:rsid w:val="00C443D2"/>
    <w:rsid w:val="00C47561"/>
    <w:rsid w:val="00C52C3C"/>
    <w:rsid w:val="00C5322F"/>
    <w:rsid w:val="00C57182"/>
    <w:rsid w:val="00C57863"/>
    <w:rsid w:val="00C61639"/>
    <w:rsid w:val="00C640AF"/>
    <w:rsid w:val="00C655FD"/>
    <w:rsid w:val="00C73674"/>
    <w:rsid w:val="00C75407"/>
    <w:rsid w:val="00C841C6"/>
    <w:rsid w:val="00C84851"/>
    <w:rsid w:val="00C84CC7"/>
    <w:rsid w:val="00C85338"/>
    <w:rsid w:val="00C85433"/>
    <w:rsid w:val="00C85E3B"/>
    <w:rsid w:val="00C860C4"/>
    <w:rsid w:val="00C86AE6"/>
    <w:rsid w:val="00C870A8"/>
    <w:rsid w:val="00C94434"/>
    <w:rsid w:val="00CA0924"/>
    <w:rsid w:val="00CA0D75"/>
    <w:rsid w:val="00CA1C95"/>
    <w:rsid w:val="00CA5A9C"/>
    <w:rsid w:val="00CA6A0B"/>
    <w:rsid w:val="00CB602E"/>
    <w:rsid w:val="00CC2C9B"/>
    <w:rsid w:val="00CC3AB7"/>
    <w:rsid w:val="00CC4C20"/>
    <w:rsid w:val="00CD1C35"/>
    <w:rsid w:val="00CD3517"/>
    <w:rsid w:val="00CD42F1"/>
    <w:rsid w:val="00CD5FE2"/>
    <w:rsid w:val="00CE7C68"/>
    <w:rsid w:val="00CF06C9"/>
    <w:rsid w:val="00D02B4C"/>
    <w:rsid w:val="00D040C4"/>
    <w:rsid w:val="00D069CE"/>
    <w:rsid w:val="00D07A28"/>
    <w:rsid w:val="00D11671"/>
    <w:rsid w:val="00D11CA1"/>
    <w:rsid w:val="00D154E1"/>
    <w:rsid w:val="00D20AD1"/>
    <w:rsid w:val="00D20FD7"/>
    <w:rsid w:val="00D22F4D"/>
    <w:rsid w:val="00D2582C"/>
    <w:rsid w:val="00D2761C"/>
    <w:rsid w:val="00D33420"/>
    <w:rsid w:val="00D36E6B"/>
    <w:rsid w:val="00D429EE"/>
    <w:rsid w:val="00D46B7E"/>
    <w:rsid w:val="00D50F46"/>
    <w:rsid w:val="00D57C84"/>
    <w:rsid w:val="00D6057D"/>
    <w:rsid w:val="00D62B16"/>
    <w:rsid w:val="00D71640"/>
    <w:rsid w:val="00D72335"/>
    <w:rsid w:val="00D72C4C"/>
    <w:rsid w:val="00D733F4"/>
    <w:rsid w:val="00D76E92"/>
    <w:rsid w:val="00D80422"/>
    <w:rsid w:val="00D836C5"/>
    <w:rsid w:val="00D84576"/>
    <w:rsid w:val="00D90B66"/>
    <w:rsid w:val="00D91FD3"/>
    <w:rsid w:val="00D95229"/>
    <w:rsid w:val="00D9798B"/>
    <w:rsid w:val="00DA1399"/>
    <w:rsid w:val="00DA24C6"/>
    <w:rsid w:val="00DA4D7B"/>
    <w:rsid w:val="00DA7433"/>
    <w:rsid w:val="00DA7D76"/>
    <w:rsid w:val="00DB3A5E"/>
    <w:rsid w:val="00DB47C9"/>
    <w:rsid w:val="00DB5AF4"/>
    <w:rsid w:val="00DB5DC7"/>
    <w:rsid w:val="00DC14B1"/>
    <w:rsid w:val="00DD271C"/>
    <w:rsid w:val="00DD3CB9"/>
    <w:rsid w:val="00DD53C4"/>
    <w:rsid w:val="00DE2204"/>
    <w:rsid w:val="00DE264A"/>
    <w:rsid w:val="00DE4D0E"/>
    <w:rsid w:val="00DE6321"/>
    <w:rsid w:val="00DF3444"/>
    <w:rsid w:val="00DF5072"/>
    <w:rsid w:val="00E02D18"/>
    <w:rsid w:val="00E041E7"/>
    <w:rsid w:val="00E05A63"/>
    <w:rsid w:val="00E06A6D"/>
    <w:rsid w:val="00E06F25"/>
    <w:rsid w:val="00E23B50"/>
    <w:rsid w:val="00E23CA1"/>
    <w:rsid w:val="00E25C91"/>
    <w:rsid w:val="00E375D5"/>
    <w:rsid w:val="00E409A8"/>
    <w:rsid w:val="00E41090"/>
    <w:rsid w:val="00E477DF"/>
    <w:rsid w:val="00E47D61"/>
    <w:rsid w:val="00E5051F"/>
    <w:rsid w:val="00E50C12"/>
    <w:rsid w:val="00E5244A"/>
    <w:rsid w:val="00E530F0"/>
    <w:rsid w:val="00E566B1"/>
    <w:rsid w:val="00E57EE4"/>
    <w:rsid w:val="00E6106F"/>
    <w:rsid w:val="00E62B62"/>
    <w:rsid w:val="00E65B61"/>
    <w:rsid w:val="00E65B91"/>
    <w:rsid w:val="00E666BB"/>
    <w:rsid w:val="00E7209D"/>
    <w:rsid w:val="00E72EAD"/>
    <w:rsid w:val="00E77223"/>
    <w:rsid w:val="00E804B6"/>
    <w:rsid w:val="00E840DE"/>
    <w:rsid w:val="00E8528B"/>
    <w:rsid w:val="00E85B8C"/>
    <w:rsid w:val="00E85B94"/>
    <w:rsid w:val="00E9155A"/>
    <w:rsid w:val="00E91A73"/>
    <w:rsid w:val="00E9625E"/>
    <w:rsid w:val="00E978D0"/>
    <w:rsid w:val="00EA0071"/>
    <w:rsid w:val="00EA0EBA"/>
    <w:rsid w:val="00EA1C6E"/>
    <w:rsid w:val="00EA3EF9"/>
    <w:rsid w:val="00EA4613"/>
    <w:rsid w:val="00EA74B4"/>
    <w:rsid w:val="00EA7F91"/>
    <w:rsid w:val="00EB1523"/>
    <w:rsid w:val="00EB41CE"/>
    <w:rsid w:val="00EB7BCF"/>
    <w:rsid w:val="00EC0E49"/>
    <w:rsid w:val="00EC101F"/>
    <w:rsid w:val="00EC1D9F"/>
    <w:rsid w:val="00EC5199"/>
    <w:rsid w:val="00EE0131"/>
    <w:rsid w:val="00EE17B0"/>
    <w:rsid w:val="00EE4461"/>
    <w:rsid w:val="00EE7875"/>
    <w:rsid w:val="00EF06D9"/>
    <w:rsid w:val="00EF0982"/>
    <w:rsid w:val="00EF288A"/>
    <w:rsid w:val="00EF5CA6"/>
    <w:rsid w:val="00F00265"/>
    <w:rsid w:val="00F06B05"/>
    <w:rsid w:val="00F11A9F"/>
    <w:rsid w:val="00F126A5"/>
    <w:rsid w:val="00F234B3"/>
    <w:rsid w:val="00F2377B"/>
    <w:rsid w:val="00F24E04"/>
    <w:rsid w:val="00F3049E"/>
    <w:rsid w:val="00F30C64"/>
    <w:rsid w:val="00F3246E"/>
    <w:rsid w:val="00F32BA2"/>
    <w:rsid w:val="00F32CDB"/>
    <w:rsid w:val="00F3348F"/>
    <w:rsid w:val="00F36935"/>
    <w:rsid w:val="00F37280"/>
    <w:rsid w:val="00F407CC"/>
    <w:rsid w:val="00F41EE4"/>
    <w:rsid w:val="00F43CD7"/>
    <w:rsid w:val="00F51E39"/>
    <w:rsid w:val="00F565FE"/>
    <w:rsid w:val="00F60551"/>
    <w:rsid w:val="00F617D4"/>
    <w:rsid w:val="00F63A70"/>
    <w:rsid w:val="00F63D8C"/>
    <w:rsid w:val="00F66006"/>
    <w:rsid w:val="00F7534E"/>
    <w:rsid w:val="00F76634"/>
    <w:rsid w:val="00F80FAD"/>
    <w:rsid w:val="00F825BA"/>
    <w:rsid w:val="00F82DCD"/>
    <w:rsid w:val="00F91978"/>
    <w:rsid w:val="00F9367E"/>
    <w:rsid w:val="00F93EDF"/>
    <w:rsid w:val="00FA1802"/>
    <w:rsid w:val="00FA21D0"/>
    <w:rsid w:val="00FA5F5F"/>
    <w:rsid w:val="00FA7F0F"/>
    <w:rsid w:val="00FB5B69"/>
    <w:rsid w:val="00FB730C"/>
    <w:rsid w:val="00FC2695"/>
    <w:rsid w:val="00FC32AF"/>
    <w:rsid w:val="00FC3E03"/>
    <w:rsid w:val="00FC3FC1"/>
    <w:rsid w:val="00FC7084"/>
    <w:rsid w:val="00FD10F0"/>
    <w:rsid w:val="00FD21BE"/>
    <w:rsid w:val="00FD41C0"/>
    <w:rsid w:val="00FE28A1"/>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AE0CC22"/>
  <w14:defaultImageDpi w14:val="330"/>
  <w15:docId w15:val="{0B95FB59-9D38-42B5-B090-D2348EE1E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aliases w:val="CET Top_page"/>
    <w:rsid w:val="00620DEE"/>
    <w:pPr>
      <w:tabs>
        <w:tab w:val="right" w:pos="7100"/>
      </w:tabs>
      <w:spacing w:after="0" w:line="264" w:lineRule="auto"/>
      <w:jc w:val="both"/>
    </w:pPr>
    <w:rPr>
      <w:rFonts w:ascii="Arial" w:eastAsia="Times New Roman" w:hAnsi="Arial" w:cs="Times New Roman"/>
      <w:sz w:val="18"/>
      <w:szCs w:val="20"/>
      <w:lang w:val="en-GB"/>
    </w:rPr>
  </w:style>
  <w:style w:type="paragraph" w:styleId="Titolo1">
    <w:name w:val="heading 1"/>
    <w:basedOn w:val="CETHeading1"/>
    <w:next w:val="Normale"/>
    <w:link w:val="Titolo1Carattere"/>
    <w:uiPriority w:val="9"/>
    <w:rsid w:val="004F5E36"/>
    <w:pPr>
      <w:tabs>
        <w:tab w:val="clear" w:pos="360"/>
        <w:tab w:val="right" w:pos="7100"/>
      </w:tabs>
      <w:jc w:val="both"/>
      <w:outlineLvl w:val="0"/>
    </w:pPr>
    <w:rPr>
      <w:lang w:val="en-GB"/>
    </w:rPr>
  </w:style>
  <w:style w:type="paragraph" w:styleId="Titolo2">
    <w:name w:val="heading 2"/>
    <w:basedOn w:val="Normale"/>
    <w:next w:val="Normale"/>
    <w:link w:val="Titolo2Carattere"/>
    <w:uiPriority w:val="9"/>
    <w:semiHidden/>
    <w:unhideWhenUsed/>
    <w:qFormat/>
    <w:rsid w:val="0003148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semiHidden/>
    <w:unhideWhenUsed/>
    <w:qFormat/>
    <w:rsid w:val="0003148D"/>
    <w:pPr>
      <w:keepNext/>
      <w:keepLines/>
      <w:spacing w:before="20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rsid w:val="0003148D"/>
    <w:pPr>
      <w:keepNext/>
      <w:keepLines/>
      <w:spacing w:before="20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rsid w:val="0003148D"/>
    <w:pPr>
      <w:keepNext/>
      <w:keepLines/>
      <w:spacing w:before="20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03148D"/>
    <w:pPr>
      <w:keepNext/>
      <w:keepLines/>
      <w:spacing w:before="200"/>
      <w:outlineLvl w:val="5"/>
    </w:pPr>
    <w:rPr>
      <w:rFonts w:asciiTheme="majorHAnsi" w:eastAsiaTheme="majorEastAsia" w:hAnsiTheme="majorHAnsi" w:cstheme="majorBidi"/>
      <w:i/>
      <w:iCs/>
      <w:color w:val="243F60" w:themeColor="accent1" w:themeShade="7F"/>
    </w:rPr>
  </w:style>
  <w:style w:type="paragraph" w:styleId="Titolo7">
    <w:name w:val="heading 7"/>
    <w:basedOn w:val="Normale"/>
    <w:next w:val="Normale"/>
    <w:link w:val="Titolo7Carattere"/>
    <w:uiPriority w:val="9"/>
    <w:semiHidden/>
    <w:unhideWhenUsed/>
    <w:qFormat/>
    <w:rsid w:val="0003148D"/>
    <w:pPr>
      <w:keepNext/>
      <w:keepLines/>
      <w:spacing w:before="200"/>
      <w:outlineLvl w:val="6"/>
    </w:pPr>
    <w:rPr>
      <w:rFonts w:asciiTheme="majorHAnsi" w:eastAsiaTheme="majorEastAsia" w:hAnsiTheme="majorHAnsi" w:cstheme="majorBidi"/>
      <w:i/>
      <w:iCs/>
      <w:color w:val="404040" w:themeColor="text1" w:themeTint="BF"/>
    </w:rPr>
  </w:style>
  <w:style w:type="paragraph" w:styleId="Titolo8">
    <w:name w:val="heading 8"/>
    <w:basedOn w:val="Normale"/>
    <w:next w:val="Normale"/>
    <w:link w:val="Titolo8Carattere"/>
    <w:uiPriority w:val="9"/>
    <w:semiHidden/>
    <w:unhideWhenUsed/>
    <w:qFormat/>
    <w:rsid w:val="0003148D"/>
    <w:pPr>
      <w:keepNext/>
      <w:keepLines/>
      <w:spacing w:before="200"/>
      <w:outlineLvl w:val="7"/>
    </w:pPr>
    <w:rPr>
      <w:rFonts w:asciiTheme="majorHAnsi" w:eastAsiaTheme="majorEastAsia" w:hAnsiTheme="majorHAnsi" w:cstheme="majorBidi"/>
      <w:color w:val="404040" w:themeColor="text1" w:themeTint="BF"/>
    </w:rPr>
  </w:style>
  <w:style w:type="paragraph" w:styleId="Titolo9">
    <w:name w:val="heading 9"/>
    <w:basedOn w:val="Normale"/>
    <w:next w:val="Normale"/>
    <w:link w:val="Titolo9Carattere"/>
    <w:uiPriority w:val="9"/>
    <w:semiHidden/>
    <w:unhideWhenUsed/>
    <w:qFormat/>
    <w:rsid w:val="0003148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ETAuthors">
    <w:name w:val="CET Authors"/>
    <w:basedOn w:val="CETBodytext"/>
    <w:link w:val="CETAuthorsCarattere"/>
    <w:qFormat/>
    <w:rsid w:val="000E414A"/>
    <w:pPr>
      <w:keepNext/>
      <w:suppressAutoHyphens/>
      <w:spacing w:after="120"/>
    </w:pPr>
    <w:rPr>
      <w:noProof/>
      <w:sz w:val="24"/>
      <w:lang w:val="en-GB"/>
    </w:rPr>
  </w:style>
  <w:style w:type="paragraph" w:customStyle="1" w:styleId="CETTitle">
    <w:name w:val="CET Title"/>
    <w:next w:val="CETAuthors"/>
    <w:link w:val="CETTitleCarattere"/>
    <w:rsid w:val="00FB730C"/>
    <w:pPr>
      <w:suppressAutoHyphens/>
      <w:spacing w:before="480" w:after="120" w:line="264" w:lineRule="auto"/>
      <w:jc w:val="center"/>
      <w:outlineLvl w:val="0"/>
    </w:pPr>
    <w:rPr>
      <w:rFonts w:ascii="Arial" w:eastAsia="Times New Roman" w:hAnsi="Arial" w:cs="Times New Roman"/>
      <w:sz w:val="32"/>
      <w:szCs w:val="20"/>
      <w:lang w:val="en-GB"/>
    </w:rPr>
  </w:style>
  <w:style w:type="character" w:customStyle="1" w:styleId="CETAuthorsCarattere">
    <w:name w:val="CET Authors Carattere"/>
    <w:link w:val="CETAuthors"/>
    <w:rsid w:val="009E788A"/>
    <w:rPr>
      <w:rFonts w:ascii="Arial" w:eastAsia="Times New Roman" w:hAnsi="Arial" w:cs="Times New Roman"/>
      <w:noProof/>
      <w:sz w:val="24"/>
      <w:szCs w:val="20"/>
      <w:lang w:val="en-GB"/>
    </w:rPr>
  </w:style>
  <w:style w:type="character" w:customStyle="1" w:styleId="CETTitleCarattere">
    <w:name w:val="CET Title Carattere"/>
    <w:link w:val="CETTitle"/>
    <w:rsid w:val="00FB730C"/>
    <w:rPr>
      <w:rFonts w:ascii="Arial" w:eastAsia="Times New Roman" w:hAnsi="Arial" w:cs="Times New Roman"/>
      <w:sz w:val="32"/>
      <w:szCs w:val="20"/>
      <w:lang w:val="en-GB"/>
    </w:rPr>
  </w:style>
  <w:style w:type="paragraph" w:customStyle="1" w:styleId="CETHeading1">
    <w:name w:val="CET Heading1"/>
    <w:next w:val="CETBodytext"/>
    <w:qFormat/>
    <w:rsid w:val="009E788A"/>
    <w:pPr>
      <w:keepNext/>
      <w:numPr>
        <w:ilvl w:val="1"/>
        <w:numId w:val="1"/>
      </w:numPr>
      <w:tabs>
        <w:tab w:val="num" w:pos="360"/>
      </w:tabs>
      <w:suppressAutoHyphens/>
      <w:spacing w:before="240" w:after="120" w:line="240" w:lineRule="auto"/>
    </w:pPr>
    <w:rPr>
      <w:rFonts w:ascii="Arial" w:eastAsia="Times New Roman" w:hAnsi="Arial" w:cs="Times New Roman"/>
      <w:b/>
      <w:sz w:val="20"/>
      <w:szCs w:val="20"/>
      <w:lang w:val="en-US"/>
    </w:rPr>
  </w:style>
  <w:style w:type="paragraph" w:customStyle="1" w:styleId="CETBodytext">
    <w:name w:val="CET Body text"/>
    <w:link w:val="CETBodytextCarattere"/>
    <w:qFormat/>
    <w:rsid w:val="000E414A"/>
    <w:pPr>
      <w:tabs>
        <w:tab w:val="right" w:pos="7100"/>
      </w:tabs>
      <w:spacing w:after="0" w:line="264" w:lineRule="auto"/>
      <w:jc w:val="both"/>
    </w:pPr>
    <w:rPr>
      <w:rFonts w:ascii="Arial" w:eastAsia="Times New Roman" w:hAnsi="Arial" w:cs="Times New Roman"/>
      <w:sz w:val="18"/>
      <w:szCs w:val="20"/>
      <w:lang w:val="en-US"/>
    </w:rPr>
  </w:style>
  <w:style w:type="paragraph" w:customStyle="1" w:styleId="CETheadingx">
    <w:name w:val="CET headingx"/>
    <w:next w:val="CETBodytext"/>
    <w:link w:val="CETheadingxCarattere"/>
    <w:autoRedefine/>
    <w:qFormat/>
    <w:rsid w:val="00FA5F5F"/>
    <w:pPr>
      <w:keepNext/>
      <w:numPr>
        <w:ilvl w:val="2"/>
        <w:numId w:val="1"/>
      </w:numPr>
      <w:suppressAutoHyphens/>
      <w:spacing w:before="120" w:after="120" w:line="240" w:lineRule="auto"/>
    </w:pPr>
    <w:rPr>
      <w:rFonts w:ascii="Arial" w:eastAsia="Times New Roman" w:hAnsi="Arial" w:cs="Times New Roman"/>
      <w:b/>
      <w:sz w:val="18"/>
      <w:szCs w:val="20"/>
      <w:lang w:val="en-US"/>
    </w:rPr>
  </w:style>
  <w:style w:type="paragraph" w:customStyle="1" w:styleId="CETAddress">
    <w:name w:val="CET Address"/>
    <w:link w:val="CETAddressCarattere"/>
    <w:qFormat/>
    <w:rsid w:val="009E788A"/>
    <w:pPr>
      <w:keepNext/>
      <w:suppressAutoHyphens/>
      <w:spacing w:after="0"/>
      <w:contextualSpacing/>
    </w:pPr>
    <w:rPr>
      <w:rFonts w:ascii="Arial" w:eastAsia="Times New Roman" w:hAnsi="Arial" w:cs="Times New Roman"/>
      <w:noProof/>
      <w:sz w:val="16"/>
      <w:szCs w:val="20"/>
      <w:lang w:val="en-GB"/>
    </w:rPr>
  </w:style>
  <w:style w:type="table" w:styleId="Tabellasemplice1">
    <w:name w:val="Table Simple 1"/>
    <w:basedOn w:val="Tabellanormale"/>
    <w:semiHidden/>
    <w:rsid w:val="000E414A"/>
    <w:pPr>
      <w:numPr>
        <w:ilvl w:val="3"/>
        <w:numId w:val="1"/>
      </w:numPr>
      <w:spacing w:after="0" w:line="264" w:lineRule="auto"/>
      <w:jc w:val="both"/>
    </w:pPr>
    <w:rPr>
      <w:rFonts w:ascii="Times New Roman" w:eastAsia="Times New Roman" w:hAnsi="Times New Roman" w:cs="Times New Roman"/>
      <w:sz w:val="20"/>
      <w:szCs w:val="20"/>
      <w:lang w:eastAsia="it-IT"/>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CETBodytextCarattere">
    <w:name w:val="CET Body text Carattere"/>
    <w:link w:val="CETBodytext"/>
    <w:rsid w:val="000E414A"/>
    <w:rPr>
      <w:rFonts w:ascii="Arial" w:eastAsia="Times New Roman" w:hAnsi="Arial" w:cs="Times New Roman"/>
      <w:sz w:val="18"/>
      <w:szCs w:val="20"/>
      <w:lang w:val="en-US"/>
    </w:rPr>
  </w:style>
  <w:style w:type="paragraph" w:customStyle="1" w:styleId="CETReference">
    <w:name w:val="CET Reference"/>
    <w:qFormat/>
    <w:rsid w:val="00FC2695"/>
    <w:pPr>
      <w:spacing w:before="200" w:after="120" w:line="240" w:lineRule="auto"/>
    </w:pPr>
    <w:rPr>
      <w:rFonts w:ascii="Arial" w:eastAsia="Times New Roman" w:hAnsi="Arial" w:cs="Times New Roman"/>
      <w:b/>
      <w:sz w:val="18"/>
      <w:szCs w:val="20"/>
      <w:lang w:val="en-GB"/>
    </w:rPr>
  </w:style>
  <w:style w:type="paragraph" w:customStyle="1" w:styleId="CETCaption">
    <w:name w:val="CET Caption"/>
    <w:link w:val="CETCaptionCarattere"/>
    <w:qFormat/>
    <w:rsid w:val="00F7534E"/>
    <w:pPr>
      <w:spacing w:before="240" w:after="240" w:line="264" w:lineRule="auto"/>
      <w:jc w:val="both"/>
    </w:pPr>
    <w:rPr>
      <w:rFonts w:ascii="Arial" w:eastAsia="Times New Roman" w:hAnsi="Arial" w:cs="Times New Roman"/>
      <w:i/>
      <w:sz w:val="18"/>
      <w:szCs w:val="20"/>
      <w:lang w:val="en-GB"/>
    </w:rPr>
  </w:style>
  <w:style w:type="character" w:customStyle="1" w:styleId="CETheadingxCarattere">
    <w:name w:val="CET headingx Carattere"/>
    <w:link w:val="CETheadingx"/>
    <w:rsid w:val="00FA5F5F"/>
    <w:rPr>
      <w:rFonts w:ascii="Arial" w:eastAsia="Times New Roman" w:hAnsi="Arial" w:cs="Times New Roman"/>
      <w:b/>
      <w:sz w:val="18"/>
      <w:szCs w:val="20"/>
      <w:lang w:val="en-US"/>
    </w:rPr>
  </w:style>
  <w:style w:type="character" w:customStyle="1" w:styleId="CETCaptionCarattere">
    <w:name w:val="CET Caption Carattere"/>
    <w:link w:val="CETCaption"/>
    <w:rsid w:val="00F7534E"/>
    <w:rPr>
      <w:rFonts w:ascii="Arial" w:eastAsia="Times New Roman" w:hAnsi="Arial" w:cs="Times New Roman"/>
      <w:i/>
      <w:sz w:val="18"/>
      <w:szCs w:val="20"/>
      <w:lang w:val="en-GB"/>
    </w:rPr>
  </w:style>
  <w:style w:type="paragraph" w:customStyle="1" w:styleId="CETBodytextItalic">
    <w:name w:val="CET Body text (Italic)"/>
    <w:basedOn w:val="CETBodytext"/>
    <w:qFormat/>
    <w:rsid w:val="004F5E36"/>
    <w:rPr>
      <w:i/>
      <w:lang w:val="en-GB"/>
    </w:rPr>
  </w:style>
  <w:style w:type="character" w:styleId="Rimandocommento">
    <w:name w:val="annotation reference"/>
    <w:basedOn w:val="Carpredefinitoparagrafo"/>
    <w:uiPriority w:val="99"/>
    <w:semiHidden/>
    <w:unhideWhenUsed/>
    <w:rsid w:val="004577FE"/>
    <w:rPr>
      <w:sz w:val="16"/>
      <w:szCs w:val="16"/>
    </w:rPr>
  </w:style>
  <w:style w:type="paragraph" w:styleId="Testofumetto">
    <w:name w:val="Balloon Text"/>
    <w:basedOn w:val="Normale"/>
    <w:link w:val="TestofumettoCarattere"/>
    <w:uiPriority w:val="99"/>
    <w:semiHidden/>
    <w:unhideWhenUsed/>
    <w:rsid w:val="000D34BE"/>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D34BE"/>
    <w:rPr>
      <w:rFonts w:ascii="Tahoma" w:hAnsi="Tahoma" w:cs="Tahoma"/>
      <w:sz w:val="16"/>
      <w:szCs w:val="16"/>
    </w:rPr>
  </w:style>
  <w:style w:type="paragraph" w:styleId="Bibliografia">
    <w:name w:val="Bibliography"/>
    <w:basedOn w:val="CETReferencetext"/>
    <w:uiPriority w:val="37"/>
    <w:unhideWhenUsed/>
    <w:rsid w:val="00631B33"/>
    <w:pPr>
      <w:spacing w:line="240" w:lineRule="auto"/>
      <w:ind w:left="720" w:hanging="720"/>
    </w:pPr>
  </w:style>
  <w:style w:type="paragraph" w:styleId="Corpodeltesto2">
    <w:name w:val="Body Text 2"/>
    <w:basedOn w:val="Normale"/>
    <w:link w:val="Corpodeltesto2Carattere"/>
    <w:uiPriority w:val="99"/>
    <w:semiHidden/>
    <w:unhideWhenUsed/>
    <w:rsid w:val="0003148D"/>
    <w:pPr>
      <w:spacing w:after="120" w:line="480" w:lineRule="auto"/>
    </w:pPr>
  </w:style>
  <w:style w:type="character" w:customStyle="1" w:styleId="Corpodeltesto2Carattere">
    <w:name w:val="Corpo del testo 2 Carattere"/>
    <w:basedOn w:val="Carpredefinitoparagrafo"/>
    <w:link w:val="Corpodeltesto2"/>
    <w:uiPriority w:val="99"/>
    <w:semiHidden/>
    <w:rsid w:val="0003148D"/>
  </w:style>
  <w:style w:type="paragraph" w:styleId="Corpodeltesto3">
    <w:name w:val="Body Text 3"/>
    <w:basedOn w:val="Normale"/>
    <w:link w:val="Corpodeltesto3Carattere"/>
    <w:uiPriority w:val="99"/>
    <w:semiHidden/>
    <w:unhideWhenUsed/>
    <w:rsid w:val="0003148D"/>
    <w:pPr>
      <w:spacing w:after="120"/>
    </w:pPr>
    <w:rPr>
      <w:sz w:val="16"/>
      <w:szCs w:val="16"/>
    </w:rPr>
  </w:style>
  <w:style w:type="character" w:customStyle="1" w:styleId="Corpodeltesto3Carattere">
    <w:name w:val="Corpo del testo 3 Carattere"/>
    <w:basedOn w:val="Carpredefinitoparagrafo"/>
    <w:link w:val="Corpodeltesto3"/>
    <w:uiPriority w:val="99"/>
    <w:semiHidden/>
    <w:rsid w:val="0003148D"/>
    <w:rPr>
      <w:sz w:val="16"/>
      <w:szCs w:val="16"/>
    </w:rPr>
  </w:style>
  <w:style w:type="paragraph" w:styleId="Corpotesto">
    <w:name w:val="Body Text"/>
    <w:basedOn w:val="Normale"/>
    <w:link w:val="CorpotestoCarattere"/>
    <w:uiPriority w:val="99"/>
    <w:semiHidden/>
    <w:unhideWhenUsed/>
    <w:rsid w:val="0003148D"/>
    <w:pPr>
      <w:spacing w:after="120"/>
    </w:pPr>
  </w:style>
  <w:style w:type="character" w:customStyle="1" w:styleId="CorpotestoCarattere">
    <w:name w:val="Corpo testo Carattere"/>
    <w:basedOn w:val="Carpredefinitoparagrafo"/>
    <w:link w:val="Corpotesto"/>
    <w:uiPriority w:val="99"/>
    <w:semiHidden/>
    <w:rsid w:val="0003148D"/>
  </w:style>
  <w:style w:type="paragraph" w:styleId="Data">
    <w:name w:val="Date"/>
    <w:basedOn w:val="Normale"/>
    <w:next w:val="Normale"/>
    <w:link w:val="DataCarattere"/>
    <w:uiPriority w:val="99"/>
    <w:semiHidden/>
    <w:unhideWhenUsed/>
    <w:rsid w:val="0003148D"/>
  </w:style>
  <w:style w:type="character" w:customStyle="1" w:styleId="DataCarattere">
    <w:name w:val="Data Carattere"/>
    <w:basedOn w:val="Carpredefinitoparagrafo"/>
    <w:link w:val="Data"/>
    <w:uiPriority w:val="99"/>
    <w:semiHidden/>
    <w:rsid w:val="0003148D"/>
  </w:style>
  <w:style w:type="paragraph" w:styleId="Didascalia">
    <w:name w:val="caption"/>
    <w:basedOn w:val="Normale"/>
    <w:next w:val="Normale"/>
    <w:uiPriority w:val="35"/>
    <w:semiHidden/>
    <w:unhideWhenUsed/>
    <w:qFormat/>
    <w:rsid w:val="0003148D"/>
    <w:pPr>
      <w:spacing w:line="240" w:lineRule="auto"/>
    </w:pPr>
    <w:rPr>
      <w:b/>
      <w:bCs/>
      <w:color w:val="4F81BD" w:themeColor="accent1"/>
      <w:szCs w:val="18"/>
    </w:rPr>
  </w:style>
  <w:style w:type="paragraph" w:styleId="Elenco">
    <w:name w:val="List"/>
    <w:basedOn w:val="Normale"/>
    <w:uiPriority w:val="99"/>
    <w:semiHidden/>
    <w:unhideWhenUsed/>
    <w:rsid w:val="0003148D"/>
    <w:pPr>
      <w:ind w:left="283" w:hanging="283"/>
      <w:contextualSpacing/>
    </w:pPr>
  </w:style>
  <w:style w:type="paragraph" w:styleId="Elenco2">
    <w:name w:val="List 2"/>
    <w:basedOn w:val="Normale"/>
    <w:uiPriority w:val="99"/>
    <w:semiHidden/>
    <w:unhideWhenUsed/>
    <w:rsid w:val="0003148D"/>
    <w:pPr>
      <w:ind w:left="566" w:hanging="283"/>
      <w:contextualSpacing/>
    </w:pPr>
  </w:style>
  <w:style w:type="paragraph" w:styleId="Elenco3">
    <w:name w:val="List 3"/>
    <w:basedOn w:val="Normale"/>
    <w:uiPriority w:val="99"/>
    <w:semiHidden/>
    <w:unhideWhenUsed/>
    <w:rsid w:val="0003148D"/>
    <w:pPr>
      <w:ind w:left="849" w:hanging="283"/>
      <w:contextualSpacing/>
    </w:pPr>
  </w:style>
  <w:style w:type="paragraph" w:styleId="Elenco4">
    <w:name w:val="List 4"/>
    <w:basedOn w:val="Normale"/>
    <w:uiPriority w:val="99"/>
    <w:semiHidden/>
    <w:unhideWhenUsed/>
    <w:rsid w:val="0003148D"/>
    <w:pPr>
      <w:ind w:left="1132" w:hanging="283"/>
      <w:contextualSpacing/>
    </w:pPr>
  </w:style>
  <w:style w:type="paragraph" w:styleId="Elenco5">
    <w:name w:val="List 5"/>
    <w:basedOn w:val="Normale"/>
    <w:uiPriority w:val="99"/>
    <w:semiHidden/>
    <w:unhideWhenUsed/>
    <w:rsid w:val="0003148D"/>
    <w:pPr>
      <w:ind w:left="1415" w:hanging="283"/>
      <w:contextualSpacing/>
    </w:pPr>
  </w:style>
  <w:style w:type="paragraph" w:styleId="Elencocontinua">
    <w:name w:val="List Continue"/>
    <w:basedOn w:val="Normale"/>
    <w:uiPriority w:val="99"/>
    <w:semiHidden/>
    <w:unhideWhenUsed/>
    <w:rsid w:val="0003148D"/>
    <w:pPr>
      <w:spacing w:after="120"/>
      <w:ind w:left="283"/>
      <w:contextualSpacing/>
    </w:pPr>
  </w:style>
  <w:style w:type="paragraph" w:styleId="Elencocontinua2">
    <w:name w:val="List Continue 2"/>
    <w:basedOn w:val="Normale"/>
    <w:uiPriority w:val="99"/>
    <w:semiHidden/>
    <w:unhideWhenUsed/>
    <w:rsid w:val="0003148D"/>
    <w:pPr>
      <w:spacing w:after="120"/>
      <w:ind w:left="566"/>
      <w:contextualSpacing/>
    </w:pPr>
  </w:style>
  <w:style w:type="paragraph" w:styleId="Elencocontinua3">
    <w:name w:val="List Continue 3"/>
    <w:basedOn w:val="Normale"/>
    <w:uiPriority w:val="99"/>
    <w:semiHidden/>
    <w:unhideWhenUsed/>
    <w:rsid w:val="0003148D"/>
    <w:pPr>
      <w:spacing w:after="120"/>
      <w:ind w:left="849"/>
      <w:contextualSpacing/>
    </w:pPr>
  </w:style>
  <w:style w:type="paragraph" w:styleId="Elencocontinua4">
    <w:name w:val="List Continue 4"/>
    <w:basedOn w:val="Normale"/>
    <w:uiPriority w:val="99"/>
    <w:semiHidden/>
    <w:unhideWhenUsed/>
    <w:rsid w:val="0003148D"/>
    <w:pPr>
      <w:spacing w:after="120"/>
      <w:ind w:left="1132"/>
      <w:contextualSpacing/>
    </w:pPr>
  </w:style>
  <w:style w:type="paragraph" w:styleId="Elencocontinua5">
    <w:name w:val="List Continue 5"/>
    <w:basedOn w:val="Normale"/>
    <w:uiPriority w:val="99"/>
    <w:semiHidden/>
    <w:unhideWhenUsed/>
    <w:rsid w:val="0003148D"/>
    <w:pPr>
      <w:spacing w:after="120"/>
      <w:ind w:left="1415"/>
      <w:contextualSpacing/>
    </w:pPr>
  </w:style>
  <w:style w:type="paragraph" w:styleId="Firma">
    <w:name w:val="Signature"/>
    <w:basedOn w:val="Normale"/>
    <w:link w:val="FirmaCarattere"/>
    <w:uiPriority w:val="99"/>
    <w:semiHidden/>
    <w:unhideWhenUsed/>
    <w:rsid w:val="0003148D"/>
    <w:pPr>
      <w:spacing w:line="240" w:lineRule="auto"/>
      <w:ind w:left="4252"/>
    </w:pPr>
  </w:style>
  <w:style w:type="character" w:customStyle="1" w:styleId="FirmaCarattere">
    <w:name w:val="Firma Carattere"/>
    <w:basedOn w:val="Carpredefinitoparagrafo"/>
    <w:link w:val="Firma"/>
    <w:uiPriority w:val="99"/>
    <w:semiHidden/>
    <w:rsid w:val="0003148D"/>
  </w:style>
  <w:style w:type="paragraph" w:styleId="Firmadipostaelettronica">
    <w:name w:val="E-mail Signature"/>
    <w:basedOn w:val="Normale"/>
    <w:link w:val="FirmadipostaelettronicaCarattere"/>
    <w:uiPriority w:val="99"/>
    <w:semiHidden/>
    <w:unhideWhenUsed/>
    <w:rsid w:val="0003148D"/>
    <w:pPr>
      <w:spacing w:line="240" w:lineRule="auto"/>
    </w:pPr>
  </w:style>
  <w:style w:type="character" w:customStyle="1" w:styleId="FirmadipostaelettronicaCarattere">
    <w:name w:val="Firma di posta elettronica Carattere"/>
    <w:basedOn w:val="Carpredefinitoparagrafo"/>
    <w:link w:val="Firmadipostaelettronica"/>
    <w:uiPriority w:val="99"/>
    <w:semiHidden/>
    <w:rsid w:val="0003148D"/>
  </w:style>
  <w:style w:type="paragraph" w:styleId="Formuladiapertura">
    <w:name w:val="Salutation"/>
    <w:basedOn w:val="Normale"/>
    <w:next w:val="Normale"/>
    <w:link w:val="FormuladiaperturaCarattere"/>
    <w:uiPriority w:val="99"/>
    <w:semiHidden/>
    <w:unhideWhenUsed/>
    <w:rsid w:val="0003148D"/>
  </w:style>
  <w:style w:type="character" w:customStyle="1" w:styleId="FormuladiaperturaCarattere">
    <w:name w:val="Formula di apertura Carattere"/>
    <w:basedOn w:val="Carpredefinitoparagrafo"/>
    <w:link w:val="Formuladiapertura"/>
    <w:uiPriority w:val="99"/>
    <w:semiHidden/>
    <w:rsid w:val="0003148D"/>
  </w:style>
  <w:style w:type="paragraph" w:styleId="Formuladichiusura">
    <w:name w:val="Closing"/>
    <w:basedOn w:val="Normale"/>
    <w:link w:val="FormuladichiusuraCarattere"/>
    <w:uiPriority w:val="99"/>
    <w:semiHidden/>
    <w:unhideWhenUsed/>
    <w:rsid w:val="0003148D"/>
    <w:pPr>
      <w:spacing w:line="240" w:lineRule="auto"/>
      <w:ind w:left="4252"/>
    </w:pPr>
  </w:style>
  <w:style w:type="character" w:customStyle="1" w:styleId="FormuladichiusuraCarattere">
    <w:name w:val="Formula di chiusura Carattere"/>
    <w:basedOn w:val="Carpredefinitoparagrafo"/>
    <w:link w:val="Formuladichiusura"/>
    <w:uiPriority w:val="99"/>
    <w:semiHidden/>
    <w:rsid w:val="0003148D"/>
  </w:style>
  <w:style w:type="paragraph" w:styleId="Indice1">
    <w:name w:val="index 1"/>
    <w:basedOn w:val="Normale"/>
    <w:next w:val="Normale"/>
    <w:autoRedefine/>
    <w:uiPriority w:val="99"/>
    <w:semiHidden/>
    <w:unhideWhenUsed/>
    <w:rsid w:val="0003148D"/>
    <w:pPr>
      <w:spacing w:line="240" w:lineRule="auto"/>
      <w:ind w:left="220" w:hanging="220"/>
    </w:pPr>
  </w:style>
  <w:style w:type="paragraph" w:styleId="Indice2">
    <w:name w:val="index 2"/>
    <w:basedOn w:val="Normale"/>
    <w:next w:val="Normale"/>
    <w:autoRedefine/>
    <w:uiPriority w:val="99"/>
    <w:semiHidden/>
    <w:unhideWhenUsed/>
    <w:rsid w:val="0003148D"/>
    <w:pPr>
      <w:spacing w:line="240" w:lineRule="auto"/>
      <w:ind w:left="440" w:hanging="220"/>
    </w:pPr>
  </w:style>
  <w:style w:type="paragraph" w:styleId="Indice3">
    <w:name w:val="index 3"/>
    <w:basedOn w:val="Normale"/>
    <w:next w:val="Normale"/>
    <w:autoRedefine/>
    <w:uiPriority w:val="99"/>
    <w:semiHidden/>
    <w:unhideWhenUsed/>
    <w:rsid w:val="0003148D"/>
    <w:pPr>
      <w:spacing w:line="240" w:lineRule="auto"/>
      <w:ind w:left="660" w:hanging="220"/>
    </w:pPr>
  </w:style>
  <w:style w:type="paragraph" w:styleId="Indice4">
    <w:name w:val="index 4"/>
    <w:basedOn w:val="Normale"/>
    <w:next w:val="Normale"/>
    <w:autoRedefine/>
    <w:uiPriority w:val="99"/>
    <w:semiHidden/>
    <w:unhideWhenUsed/>
    <w:rsid w:val="0003148D"/>
    <w:pPr>
      <w:spacing w:line="240" w:lineRule="auto"/>
      <w:ind w:left="880" w:hanging="220"/>
    </w:pPr>
  </w:style>
  <w:style w:type="paragraph" w:styleId="Indice5">
    <w:name w:val="index 5"/>
    <w:basedOn w:val="Normale"/>
    <w:next w:val="Normale"/>
    <w:autoRedefine/>
    <w:uiPriority w:val="99"/>
    <w:semiHidden/>
    <w:unhideWhenUsed/>
    <w:rsid w:val="0003148D"/>
    <w:pPr>
      <w:spacing w:line="240" w:lineRule="auto"/>
      <w:ind w:left="1100" w:hanging="220"/>
    </w:pPr>
  </w:style>
  <w:style w:type="paragraph" w:styleId="Indice6">
    <w:name w:val="index 6"/>
    <w:basedOn w:val="Normale"/>
    <w:next w:val="Normale"/>
    <w:autoRedefine/>
    <w:uiPriority w:val="99"/>
    <w:semiHidden/>
    <w:unhideWhenUsed/>
    <w:rsid w:val="0003148D"/>
    <w:pPr>
      <w:spacing w:line="240" w:lineRule="auto"/>
      <w:ind w:left="1320" w:hanging="220"/>
    </w:pPr>
  </w:style>
  <w:style w:type="paragraph" w:styleId="Indice7">
    <w:name w:val="index 7"/>
    <w:basedOn w:val="Normale"/>
    <w:next w:val="Normale"/>
    <w:autoRedefine/>
    <w:uiPriority w:val="99"/>
    <w:semiHidden/>
    <w:unhideWhenUsed/>
    <w:rsid w:val="0003148D"/>
    <w:pPr>
      <w:spacing w:line="240" w:lineRule="auto"/>
      <w:ind w:left="1540" w:hanging="220"/>
    </w:pPr>
  </w:style>
  <w:style w:type="paragraph" w:styleId="Indice8">
    <w:name w:val="index 8"/>
    <w:basedOn w:val="Normale"/>
    <w:next w:val="Normale"/>
    <w:autoRedefine/>
    <w:uiPriority w:val="99"/>
    <w:semiHidden/>
    <w:unhideWhenUsed/>
    <w:rsid w:val="0003148D"/>
    <w:pPr>
      <w:spacing w:line="240" w:lineRule="auto"/>
      <w:ind w:left="1760" w:hanging="220"/>
    </w:pPr>
  </w:style>
  <w:style w:type="paragraph" w:styleId="Indice9">
    <w:name w:val="index 9"/>
    <w:basedOn w:val="Normale"/>
    <w:next w:val="Normale"/>
    <w:autoRedefine/>
    <w:uiPriority w:val="99"/>
    <w:semiHidden/>
    <w:unhideWhenUsed/>
    <w:rsid w:val="0003148D"/>
    <w:pPr>
      <w:spacing w:line="240" w:lineRule="auto"/>
      <w:ind w:left="1980" w:hanging="220"/>
    </w:pPr>
  </w:style>
  <w:style w:type="paragraph" w:styleId="Indicedellefigure">
    <w:name w:val="table of figures"/>
    <w:basedOn w:val="Normale"/>
    <w:next w:val="Normale"/>
    <w:uiPriority w:val="99"/>
    <w:semiHidden/>
    <w:unhideWhenUsed/>
    <w:rsid w:val="0003148D"/>
  </w:style>
  <w:style w:type="paragraph" w:styleId="Indicefonti">
    <w:name w:val="table of authorities"/>
    <w:basedOn w:val="Normale"/>
    <w:next w:val="Normale"/>
    <w:uiPriority w:val="99"/>
    <w:semiHidden/>
    <w:unhideWhenUsed/>
    <w:rsid w:val="0003148D"/>
    <w:pPr>
      <w:ind w:left="220" w:hanging="220"/>
    </w:pPr>
  </w:style>
  <w:style w:type="paragraph" w:styleId="Indirizzodestinatario">
    <w:name w:val="envelope address"/>
    <w:basedOn w:val="Normale"/>
    <w:uiPriority w:val="99"/>
    <w:semiHidden/>
    <w:unhideWhenUsed/>
    <w:rsid w:val="0003148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IndirizzoHTML">
    <w:name w:val="HTML Address"/>
    <w:basedOn w:val="Normale"/>
    <w:link w:val="IndirizzoHTMLCarattere"/>
    <w:uiPriority w:val="99"/>
    <w:semiHidden/>
    <w:unhideWhenUsed/>
    <w:rsid w:val="0003148D"/>
    <w:pPr>
      <w:spacing w:line="240" w:lineRule="auto"/>
    </w:pPr>
    <w:rPr>
      <w:i/>
      <w:iCs/>
    </w:rPr>
  </w:style>
  <w:style w:type="character" w:customStyle="1" w:styleId="IndirizzoHTMLCarattere">
    <w:name w:val="Indirizzo HTML Carattere"/>
    <w:basedOn w:val="Carpredefinitoparagrafo"/>
    <w:link w:val="IndirizzoHTML"/>
    <w:uiPriority w:val="99"/>
    <w:semiHidden/>
    <w:rsid w:val="0003148D"/>
    <w:rPr>
      <w:i/>
      <w:iCs/>
    </w:rPr>
  </w:style>
  <w:style w:type="paragraph" w:styleId="Indirizzomittente">
    <w:name w:val="envelope return"/>
    <w:basedOn w:val="Normale"/>
    <w:uiPriority w:val="99"/>
    <w:semiHidden/>
    <w:unhideWhenUsed/>
    <w:rsid w:val="0003148D"/>
    <w:pPr>
      <w:spacing w:line="240" w:lineRule="auto"/>
    </w:pPr>
    <w:rPr>
      <w:rFonts w:asciiTheme="majorHAnsi" w:eastAsiaTheme="majorEastAsia" w:hAnsiTheme="majorHAnsi" w:cstheme="majorBidi"/>
    </w:rPr>
  </w:style>
  <w:style w:type="paragraph" w:styleId="Intestazionemessaggio">
    <w:name w:val="Message Header"/>
    <w:basedOn w:val="Normale"/>
    <w:link w:val="IntestazionemessaggioCarattere"/>
    <w:uiPriority w:val="99"/>
    <w:semiHidden/>
    <w:unhideWhenUsed/>
    <w:rsid w:val="0003148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IntestazionemessaggioCarattere">
    <w:name w:val="Intestazione messaggio Carattere"/>
    <w:basedOn w:val="Carpredefinitoparagrafo"/>
    <w:link w:val="Intestazionemessaggio"/>
    <w:uiPriority w:val="99"/>
    <w:semiHidden/>
    <w:rsid w:val="0003148D"/>
    <w:rPr>
      <w:rFonts w:asciiTheme="majorHAnsi" w:eastAsiaTheme="majorEastAsia" w:hAnsiTheme="majorHAnsi" w:cstheme="majorBidi"/>
      <w:sz w:val="24"/>
      <w:szCs w:val="24"/>
      <w:shd w:val="pct20" w:color="auto" w:fill="auto"/>
    </w:rPr>
  </w:style>
  <w:style w:type="paragraph" w:styleId="Intestazionenota">
    <w:name w:val="Note Heading"/>
    <w:basedOn w:val="Normale"/>
    <w:next w:val="Normale"/>
    <w:link w:val="IntestazionenotaCarattere"/>
    <w:uiPriority w:val="99"/>
    <w:semiHidden/>
    <w:unhideWhenUsed/>
    <w:rsid w:val="0003148D"/>
    <w:pPr>
      <w:spacing w:line="240" w:lineRule="auto"/>
    </w:pPr>
  </w:style>
  <w:style w:type="character" w:customStyle="1" w:styleId="IntestazionenotaCarattere">
    <w:name w:val="Intestazione nota Carattere"/>
    <w:basedOn w:val="Carpredefinitoparagrafo"/>
    <w:link w:val="Intestazionenota"/>
    <w:uiPriority w:val="99"/>
    <w:semiHidden/>
    <w:rsid w:val="0003148D"/>
  </w:style>
  <w:style w:type="paragraph" w:styleId="Mappadocumento">
    <w:name w:val="Document Map"/>
    <w:basedOn w:val="Normale"/>
    <w:link w:val="MappadocumentoCarattere"/>
    <w:uiPriority w:val="99"/>
    <w:semiHidden/>
    <w:unhideWhenUsed/>
    <w:rsid w:val="0003148D"/>
    <w:pPr>
      <w:spacing w:line="240" w:lineRule="auto"/>
    </w:pPr>
    <w:rPr>
      <w:rFonts w:ascii="Tahoma" w:hAnsi="Tahoma" w:cs="Tahoma"/>
      <w:sz w:val="16"/>
      <w:szCs w:val="16"/>
    </w:rPr>
  </w:style>
  <w:style w:type="character" w:customStyle="1" w:styleId="MappadocumentoCarattere">
    <w:name w:val="Mappa documento Carattere"/>
    <w:basedOn w:val="Carpredefinitoparagrafo"/>
    <w:link w:val="Mappadocumento"/>
    <w:uiPriority w:val="99"/>
    <w:semiHidden/>
    <w:rsid w:val="0003148D"/>
    <w:rPr>
      <w:rFonts w:ascii="Tahoma" w:hAnsi="Tahoma" w:cs="Tahoma"/>
      <w:sz w:val="16"/>
      <w:szCs w:val="16"/>
    </w:rPr>
  </w:style>
  <w:style w:type="paragraph" w:styleId="NormaleWeb">
    <w:name w:val="Normal (Web)"/>
    <w:basedOn w:val="Normale"/>
    <w:uiPriority w:val="99"/>
    <w:semiHidden/>
    <w:unhideWhenUsed/>
    <w:rsid w:val="0003148D"/>
    <w:rPr>
      <w:sz w:val="24"/>
      <w:szCs w:val="24"/>
    </w:rPr>
  </w:style>
  <w:style w:type="paragraph" w:styleId="Numeroelenco">
    <w:name w:val="List Number"/>
    <w:basedOn w:val="Normale"/>
    <w:uiPriority w:val="99"/>
    <w:semiHidden/>
    <w:unhideWhenUsed/>
    <w:rsid w:val="0003148D"/>
    <w:pPr>
      <w:numPr>
        <w:numId w:val="2"/>
      </w:numPr>
      <w:contextualSpacing/>
    </w:pPr>
  </w:style>
  <w:style w:type="paragraph" w:styleId="Numeroelenco2">
    <w:name w:val="List Number 2"/>
    <w:basedOn w:val="Normale"/>
    <w:uiPriority w:val="99"/>
    <w:semiHidden/>
    <w:unhideWhenUsed/>
    <w:rsid w:val="0003148D"/>
    <w:pPr>
      <w:numPr>
        <w:numId w:val="3"/>
      </w:numPr>
      <w:contextualSpacing/>
    </w:pPr>
  </w:style>
  <w:style w:type="paragraph" w:styleId="Numeroelenco3">
    <w:name w:val="List Number 3"/>
    <w:basedOn w:val="Normale"/>
    <w:uiPriority w:val="99"/>
    <w:semiHidden/>
    <w:unhideWhenUsed/>
    <w:rsid w:val="0003148D"/>
    <w:pPr>
      <w:numPr>
        <w:numId w:val="4"/>
      </w:numPr>
      <w:contextualSpacing/>
    </w:pPr>
  </w:style>
  <w:style w:type="paragraph" w:styleId="Numeroelenco4">
    <w:name w:val="List Number 4"/>
    <w:basedOn w:val="Normale"/>
    <w:uiPriority w:val="99"/>
    <w:semiHidden/>
    <w:unhideWhenUsed/>
    <w:rsid w:val="0003148D"/>
    <w:pPr>
      <w:numPr>
        <w:numId w:val="5"/>
      </w:numPr>
      <w:contextualSpacing/>
    </w:pPr>
  </w:style>
  <w:style w:type="paragraph" w:styleId="Numeroelenco5">
    <w:name w:val="List Number 5"/>
    <w:basedOn w:val="Normale"/>
    <w:uiPriority w:val="99"/>
    <w:semiHidden/>
    <w:unhideWhenUsed/>
    <w:rsid w:val="0003148D"/>
    <w:pPr>
      <w:numPr>
        <w:numId w:val="6"/>
      </w:numPr>
      <w:contextualSpacing/>
    </w:pPr>
  </w:style>
  <w:style w:type="paragraph" w:styleId="PreformattatoHTML">
    <w:name w:val="HTML Preformatted"/>
    <w:basedOn w:val="Normale"/>
    <w:link w:val="PreformattatoHTMLCarattere"/>
    <w:uiPriority w:val="99"/>
    <w:semiHidden/>
    <w:unhideWhenUsed/>
    <w:rsid w:val="0003148D"/>
    <w:pPr>
      <w:spacing w:line="240" w:lineRule="auto"/>
    </w:pPr>
    <w:rPr>
      <w:rFonts w:ascii="Consolas" w:hAnsi="Consolas" w:cs="Consolas"/>
    </w:rPr>
  </w:style>
  <w:style w:type="character" w:customStyle="1" w:styleId="PreformattatoHTMLCarattere">
    <w:name w:val="Preformattato HTML Carattere"/>
    <w:basedOn w:val="Carpredefinitoparagrafo"/>
    <w:link w:val="PreformattatoHTML"/>
    <w:uiPriority w:val="99"/>
    <w:semiHidden/>
    <w:rsid w:val="0003148D"/>
    <w:rPr>
      <w:rFonts w:ascii="Consolas" w:hAnsi="Consolas" w:cs="Consolas"/>
      <w:sz w:val="20"/>
      <w:szCs w:val="20"/>
    </w:rPr>
  </w:style>
  <w:style w:type="paragraph" w:styleId="Primorientrocorpodeltesto">
    <w:name w:val="Body Text First Indent"/>
    <w:basedOn w:val="Corpotesto"/>
    <w:link w:val="PrimorientrocorpodeltestoCarattere"/>
    <w:uiPriority w:val="99"/>
    <w:semiHidden/>
    <w:unhideWhenUsed/>
    <w:rsid w:val="0003148D"/>
    <w:pPr>
      <w:spacing w:after="200"/>
      <w:ind w:firstLine="360"/>
    </w:pPr>
  </w:style>
  <w:style w:type="character" w:customStyle="1" w:styleId="PrimorientrocorpodeltestoCarattere">
    <w:name w:val="Primo rientro corpo del testo Carattere"/>
    <w:basedOn w:val="CorpotestoCarattere"/>
    <w:link w:val="Primorientrocorpodeltesto"/>
    <w:uiPriority w:val="99"/>
    <w:semiHidden/>
    <w:rsid w:val="0003148D"/>
  </w:style>
  <w:style w:type="paragraph" w:styleId="Rientrocorpodeltesto">
    <w:name w:val="Body Text Indent"/>
    <w:basedOn w:val="Normale"/>
    <w:link w:val="RientrocorpodeltestoCarattere"/>
    <w:uiPriority w:val="99"/>
    <w:semiHidden/>
    <w:unhideWhenUsed/>
    <w:rsid w:val="0003148D"/>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03148D"/>
  </w:style>
  <w:style w:type="paragraph" w:styleId="Primorientrocorpodeltesto2">
    <w:name w:val="Body Text First Indent 2"/>
    <w:basedOn w:val="Rientrocorpodeltesto"/>
    <w:link w:val="Primorientrocorpodeltesto2Carattere"/>
    <w:uiPriority w:val="99"/>
    <w:semiHidden/>
    <w:unhideWhenUsed/>
    <w:rsid w:val="0003148D"/>
    <w:pPr>
      <w:spacing w:after="200"/>
      <w:ind w:left="360" w:firstLine="360"/>
    </w:pPr>
  </w:style>
  <w:style w:type="character" w:customStyle="1" w:styleId="Primorientrocorpodeltesto2Carattere">
    <w:name w:val="Primo rientro corpo del testo 2 Carattere"/>
    <w:basedOn w:val="RientrocorpodeltestoCarattere"/>
    <w:link w:val="Primorientrocorpodeltesto2"/>
    <w:uiPriority w:val="99"/>
    <w:semiHidden/>
    <w:rsid w:val="0003148D"/>
  </w:style>
  <w:style w:type="paragraph" w:styleId="Puntoelenco">
    <w:name w:val="List Bullet"/>
    <w:basedOn w:val="Normale"/>
    <w:uiPriority w:val="99"/>
    <w:semiHidden/>
    <w:unhideWhenUsed/>
    <w:rsid w:val="0003148D"/>
    <w:pPr>
      <w:numPr>
        <w:numId w:val="7"/>
      </w:numPr>
      <w:contextualSpacing/>
    </w:pPr>
  </w:style>
  <w:style w:type="paragraph" w:styleId="Puntoelenco2">
    <w:name w:val="List Bullet 2"/>
    <w:basedOn w:val="Normale"/>
    <w:uiPriority w:val="99"/>
    <w:semiHidden/>
    <w:unhideWhenUsed/>
    <w:rsid w:val="0003148D"/>
    <w:pPr>
      <w:numPr>
        <w:numId w:val="8"/>
      </w:numPr>
      <w:contextualSpacing/>
    </w:pPr>
  </w:style>
  <w:style w:type="paragraph" w:styleId="Puntoelenco3">
    <w:name w:val="List Bullet 3"/>
    <w:basedOn w:val="Normale"/>
    <w:uiPriority w:val="99"/>
    <w:semiHidden/>
    <w:unhideWhenUsed/>
    <w:rsid w:val="0003148D"/>
    <w:pPr>
      <w:numPr>
        <w:numId w:val="9"/>
      </w:numPr>
      <w:contextualSpacing/>
    </w:pPr>
  </w:style>
  <w:style w:type="paragraph" w:styleId="Puntoelenco4">
    <w:name w:val="List Bullet 4"/>
    <w:basedOn w:val="Normale"/>
    <w:uiPriority w:val="99"/>
    <w:semiHidden/>
    <w:unhideWhenUsed/>
    <w:rsid w:val="0003148D"/>
    <w:pPr>
      <w:numPr>
        <w:numId w:val="10"/>
      </w:numPr>
      <w:contextualSpacing/>
    </w:pPr>
  </w:style>
  <w:style w:type="paragraph" w:styleId="Puntoelenco5">
    <w:name w:val="List Bullet 5"/>
    <w:basedOn w:val="Normale"/>
    <w:uiPriority w:val="99"/>
    <w:semiHidden/>
    <w:unhideWhenUsed/>
    <w:rsid w:val="0003148D"/>
    <w:pPr>
      <w:numPr>
        <w:numId w:val="11"/>
      </w:numPr>
      <w:contextualSpacing/>
    </w:pPr>
  </w:style>
  <w:style w:type="paragraph" w:styleId="Rientrocorpodeltesto2">
    <w:name w:val="Body Text Indent 2"/>
    <w:basedOn w:val="Normale"/>
    <w:link w:val="Rientrocorpodeltesto2Carattere"/>
    <w:uiPriority w:val="99"/>
    <w:semiHidden/>
    <w:unhideWhenUsed/>
    <w:rsid w:val="0003148D"/>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semiHidden/>
    <w:rsid w:val="0003148D"/>
  </w:style>
  <w:style w:type="paragraph" w:styleId="Rientrocorpodeltesto3">
    <w:name w:val="Body Text Indent 3"/>
    <w:basedOn w:val="Normale"/>
    <w:link w:val="Rientrocorpodeltesto3Carattere"/>
    <w:uiPriority w:val="99"/>
    <w:semiHidden/>
    <w:unhideWhenUsed/>
    <w:rsid w:val="0003148D"/>
    <w:pPr>
      <w:spacing w:after="120"/>
      <w:ind w:left="283"/>
    </w:pPr>
    <w:rPr>
      <w:sz w:val="16"/>
      <w:szCs w:val="16"/>
    </w:rPr>
  </w:style>
  <w:style w:type="character" w:customStyle="1" w:styleId="Rientrocorpodeltesto3Carattere">
    <w:name w:val="Rientro corpo del testo 3 Carattere"/>
    <w:basedOn w:val="Carpredefinitoparagrafo"/>
    <w:link w:val="Rientrocorpodeltesto3"/>
    <w:uiPriority w:val="99"/>
    <w:semiHidden/>
    <w:rsid w:val="0003148D"/>
    <w:rPr>
      <w:sz w:val="16"/>
      <w:szCs w:val="16"/>
    </w:rPr>
  </w:style>
  <w:style w:type="paragraph" w:styleId="Rientronormale">
    <w:name w:val="Normal Indent"/>
    <w:basedOn w:val="Normale"/>
    <w:uiPriority w:val="99"/>
    <w:semiHidden/>
    <w:unhideWhenUsed/>
    <w:rsid w:val="0003148D"/>
    <w:pPr>
      <w:ind w:left="720"/>
    </w:pPr>
  </w:style>
  <w:style w:type="paragraph" w:styleId="Testocommento">
    <w:name w:val="annotation text"/>
    <w:basedOn w:val="Normale"/>
    <w:link w:val="TestocommentoCarattere"/>
    <w:uiPriority w:val="99"/>
    <w:unhideWhenUsed/>
    <w:rsid w:val="0003148D"/>
    <w:pPr>
      <w:spacing w:line="240" w:lineRule="auto"/>
    </w:pPr>
  </w:style>
  <w:style w:type="character" w:customStyle="1" w:styleId="TestocommentoCarattere">
    <w:name w:val="Testo commento Carattere"/>
    <w:basedOn w:val="Carpredefinitoparagrafo"/>
    <w:link w:val="Testocommento"/>
    <w:uiPriority w:val="99"/>
    <w:rsid w:val="0003148D"/>
    <w:rPr>
      <w:sz w:val="20"/>
      <w:szCs w:val="20"/>
    </w:rPr>
  </w:style>
  <w:style w:type="paragraph" w:styleId="Soggettocommento">
    <w:name w:val="annotation subject"/>
    <w:basedOn w:val="Testocommento"/>
    <w:next w:val="Testocommento"/>
    <w:link w:val="SoggettocommentoCarattere"/>
    <w:uiPriority w:val="99"/>
    <w:semiHidden/>
    <w:unhideWhenUsed/>
    <w:rsid w:val="0003148D"/>
    <w:rPr>
      <w:b/>
      <w:bCs/>
    </w:rPr>
  </w:style>
  <w:style w:type="character" w:customStyle="1" w:styleId="SoggettocommentoCarattere">
    <w:name w:val="Soggetto commento Carattere"/>
    <w:basedOn w:val="TestocommentoCarattere"/>
    <w:link w:val="Soggettocommento"/>
    <w:uiPriority w:val="99"/>
    <w:semiHidden/>
    <w:rsid w:val="0003148D"/>
    <w:rPr>
      <w:b/>
      <w:bCs/>
      <w:sz w:val="20"/>
      <w:szCs w:val="20"/>
    </w:rPr>
  </w:style>
  <w:style w:type="paragraph" w:styleId="Sommario1">
    <w:name w:val="toc 1"/>
    <w:basedOn w:val="Normale"/>
    <w:next w:val="Normale"/>
    <w:autoRedefine/>
    <w:uiPriority w:val="39"/>
    <w:semiHidden/>
    <w:unhideWhenUsed/>
    <w:rsid w:val="0003148D"/>
    <w:pPr>
      <w:spacing w:after="100"/>
    </w:pPr>
  </w:style>
  <w:style w:type="paragraph" w:styleId="Sommario2">
    <w:name w:val="toc 2"/>
    <w:basedOn w:val="Normale"/>
    <w:next w:val="Normale"/>
    <w:autoRedefine/>
    <w:uiPriority w:val="39"/>
    <w:semiHidden/>
    <w:unhideWhenUsed/>
    <w:rsid w:val="0003148D"/>
    <w:pPr>
      <w:spacing w:after="100"/>
      <w:ind w:left="220"/>
    </w:pPr>
  </w:style>
  <w:style w:type="paragraph" w:styleId="Sommario3">
    <w:name w:val="toc 3"/>
    <w:basedOn w:val="Normale"/>
    <w:next w:val="Normale"/>
    <w:autoRedefine/>
    <w:uiPriority w:val="39"/>
    <w:semiHidden/>
    <w:unhideWhenUsed/>
    <w:rsid w:val="0003148D"/>
    <w:pPr>
      <w:spacing w:after="100"/>
      <w:ind w:left="440"/>
    </w:pPr>
  </w:style>
  <w:style w:type="paragraph" w:styleId="Sommario4">
    <w:name w:val="toc 4"/>
    <w:basedOn w:val="Normale"/>
    <w:next w:val="Normale"/>
    <w:autoRedefine/>
    <w:uiPriority w:val="39"/>
    <w:semiHidden/>
    <w:unhideWhenUsed/>
    <w:rsid w:val="0003148D"/>
    <w:pPr>
      <w:spacing w:after="100"/>
      <w:ind w:left="660"/>
    </w:pPr>
  </w:style>
  <w:style w:type="paragraph" w:styleId="Sommario5">
    <w:name w:val="toc 5"/>
    <w:basedOn w:val="Normale"/>
    <w:next w:val="Normale"/>
    <w:autoRedefine/>
    <w:uiPriority w:val="39"/>
    <w:semiHidden/>
    <w:unhideWhenUsed/>
    <w:rsid w:val="0003148D"/>
    <w:pPr>
      <w:spacing w:after="100"/>
      <w:ind w:left="880"/>
    </w:pPr>
  </w:style>
  <w:style w:type="paragraph" w:styleId="Sommario6">
    <w:name w:val="toc 6"/>
    <w:basedOn w:val="Normale"/>
    <w:next w:val="Normale"/>
    <w:autoRedefine/>
    <w:uiPriority w:val="39"/>
    <w:semiHidden/>
    <w:unhideWhenUsed/>
    <w:rsid w:val="0003148D"/>
    <w:pPr>
      <w:spacing w:after="100"/>
      <w:ind w:left="1100"/>
    </w:pPr>
  </w:style>
  <w:style w:type="paragraph" w:styleId="Sommario7">
    <w:name w:val="toc 7"/>
    <w:basedOn w:val="Normale"/>
    <w:next w:val="Normale"/>
    <w:autoRedefine/>
    <w:uiPriority w:val="39"/>
    <w:semiHidden/>
    <w:unhideWhenUsed/>
    <w:rsid w:val="0003148D"/>
    <w:pPr>
      <w:spacing w:after="100"/>
      <w:ind w:left="1320"/>
    </w:pPr>
  </w:style>
  <w:style w:type="paragraph" w:styleId="Sommario8">
    <w:name w:val="toc 8"/>
    <w:basedOn w:val="Normale"/>
    <w:next w:val="Normale"/>
    <w:autoRedefine/>
    <w:uiPriority w:val="39"/>
    <w:semiHidden/>
    <w:unhideWhenUsed/>
    <w:rsid w:val="0003148D"/>
    <w:pPr>
      <w:spacing w:after="100"/>
      <w:ind w:left="1540"/>
    </w:pPr>
  </w:style>
  <w:style w:type="paragraph" w:styleId="Sommario9">
    <w:name w:val="toc 9"/>
    <w:basedOn w:val="Normale"/>
    <w:next w:val="Normale"/>
    <w:autoRedefine/>
    <w:uiPriority w:val="39"/>
    <w:semiHidden/>
    <w:unhideWhenUsed/>
    <w:rsid w:val="0003148D"/>
    <w:pPr>
      <w:spacing w:after="100"/>
      <w:ind w:left="1760"/>
    </w:pPr>
  </w:style>
  <w:style w:type="paragraph" w:styleId="Testodelblocco">
    <w:name w:val="Block Text"/>
    <w:basedOn w:val="Normale"/>
    <w:uiPriority w:val="99"/>
    <w:semiHidden/>
    <w:unhideWhenUsed/>
    <w:rsid w:val="0003148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Testomacro">
    <w:name w:val="macro"/>
    <w:link w:val="TestomacroCarattere"/>
    <w:uiPriority w:val="99"/>
    <w:semiHidden/>
    <w:unhideWhenUsed/>
    <w:rsid w:val="0003148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TestomacroCarattere">
    <w:name w:val="Testo macro Carattere"/>
    <w:basedOn w:val="Carpredefinitoparagrafo"/>
    <w:link w:val="Testomacro"/>
    <w:uiPriority w:val="99"/>
    <w:semiHidden/>
    <w:rsid w:val="0003148D"/>
    <w:rPr>
      <w:rFonts w:ascii="Consolas" w:hAnsi="Consolas" w:cs="Consolas"/>
      <w:sz w:val="20"/>
      <w:szCs w:val="20"/>
    </w:rPr>
  </w:style>
  <w:style w:type="paragraph" w:styleId="Testonormale">
    <w:name w:val="Plain Text"/>
    <w:basedOn w:val="Normale"/>
    <w:link w:val="TestonormaleCarattere"/>
    <w:uiPriority w:val="99"/>
    <w:semiHidden/>
    <w:unhideWhenUsed/>
    <w:rsid w:val="0003148D"/>
    <w:pPr>
      <w:spacing w:line="240" w:lineRule="auto"/>
    </w:pPr>
    <w:rPr>
      <w:rFonts w:ascii="Consolas" w:hAnsi="Consolas" w:cs="Consolas"/>
      <w:sz w:val="21"/>
      <w:szCs w:val="21"/>
    </w:rPr>
  </w:style>
  <w:style w:type="character" w:customStyle="1" w:styleId="TestonormaleCarattere">
    <w:name w:val="Testo normale Carattere"/>
    <w:basedOn w:val="Carpredefinitoparagrafo"/>
    <w:link w:val="Testonormale"/>
    <w:uiPriority w:val="99"/>
    <w:semiHidden/>
    <w:rsid w:val="0003148D"/>
    <w:rPr>
      <w:rFonts w:ascii="Consolas" w:hAnsi="Consolas" w:cs="Consolas"/>
      <w:sz w:val="21"/>
      <w:szCs w:val="21"/>
    </w:rPr>
  </w:style>
  <w:style w:type="paragraph" w:styleId="Testonotaapidipagina">
    <w:name w:val="footnote text"/>
    <w:basedOn w:val="Normale"/>
    <w:link w:val="TestonotaapidipaginaCarattere"/>
    <w:uiPriority w:val="99"/>
    <w:semiHidden/>
    <w:unhideWhenUsed/>
    <w:rsid w:val="0003148D"/>
    <w:pPr>
      <w:spacing w:line="240" w:lineRule="auto"/>
    </w:pPr>
  </w:style>
  <w:style w:type="character" w:customStyle="1" w:styleId="TestonotaapidipaginaCarattere">
    <w:name w:val="Testo nota a piè di pagina Carattere"/>
    <w:basedOn w:val="Carpredefinitoparagrafo"/>
    <w:link w:val="Testonotaapidipagina"/>
    <w:uiPriority w:val="99"/>
    <w:semiHidden/>
    <w:rsid w:val="0003148D"/>
    <w:rPr>
      <w:sz w:val="20"/>
      <w:szCs w:val="20"/>
    </w:rPr>
  </w:style>
  <w:style w:type="paragraph" w:styleId="Testonotadichiusura">
    <w:name w:val="endnote text"/>
    <w:basedOn w:val="Normale"/>
    <w:link w:val="TestonotadichiusuraCarattere"/>
    <w:uiPriority w:val="99"/>
    <w:semiHidden/>
    <w:unhideWhenUsed/>
    <w:rsid w:val="0003148D"/>
    <w:pPr>
      <w:spacing w:line="240" w:lineRule="auto"/>
    </w:pPr>
  </w:style>
  <w:style w:type="character" w:customStyle="1" w:styleId="TestonotadichiusuraCarattere">
    <w:name w:val="Testo nota di chiusura Carattere"/>
    <w:basedOn w:val="Carpredefinitoparagrafo"/>
    <w:link w:val="Testonotadichiusura"/>
    <w:uiPriority w:val="99"/>
    <w:semiHidden/>
    <w:rsid w:val="0003148D"/>
    <w:rPr>
      <w:sz w:val="20"/>
      <w:szCs w:val="20"/>
    </w:rPr>
  </w:style>
  <w:style w:type="character" w:customStyle="1" w:styleId="Titolo1Carattere">
    <w:name w:val="Titolo 1 Carattere"/>
    <w:basedOn w:val="Carpredefinitoparagrafo"/>
    <w:link w:val="Titolo1"/>
    <w:uiPriority w:val="9"/>
    <w:rsid w:val="004F5E36"/>
    <w:rPr>
      <w:rFonts w:ascii="Arial" w:eastAsia="Times New Roman" w:hAnsi="Arial" w:cs="Times New Roman"/>
      <w:b/>
      <w:sz w:val="20"/>
      <w:szCs w:val="20"/>
      <w:lang w:val="en-GB"/>
    </w:rPr>
  </w:style>
  <w:style w:type="character" w:customStyle="1" w:styleId="Titolo2Carattere">
    <w:name w:val="Titolo 2 Carattere"/>
    <w:basedOn w:val="Carpredefinitoparagrafo"/>
    <w:link w:val="Titolo2"/>
    <w:uiPriority w:val="9"/>
    <w:semiHidden/>
    <w:rsid w:val="0003148D"/>
    <w:rPr>
      <w:rFonts w:asciiTheme="majorHAnsi" w:eastAsiaTheme="majorEastAsia" w:hAnsiTheme="majorHAnsi" w:cstheme="majorBidi"/>
      <w:b/>
      <w:bCs/>
      <w:color w:val="4F81BD" w:themeColor="accent1"/>
      <w:sz w:val="26"/>
      <w:szCs w:val="26"/>
    </w:rPr>
  </w:style>
  <w:style w:type="character" w:customStyle="1" w:styleId="Titolo3Carattere">
    <w:name w:val="Titolo 3 Carattere"/>
    <w:basedOn w:val="Carpredefinitoparagrafo"/>
    <w:link w:val="Titolo3"/>
    <w:uiPriority w:val="9"/>
    <w:semiHidden/>
    <w:rsid w:val="0003148D"/>
    <w:rPr>
      <w:rFonts w:asciiTheme="majorHAnsi" w:eastAsiaTheme="majorEastAsia" w:hAnsiTheme="majorHAnsi" w:cstheme="majorBidi"/>
      <w:b/>
      <w:bCs/>
      <w:color w:val="4F81BD" w:themeColor="accent1"/>
    </w:rPr>
  </w:style>
  <w:style w:type="character" w:customStyle="1" w:styleId="Titolo4Carattere">
    <w:name w:val="Titolo 4 Carattere"/>
    <w:basedOn w:val="Carpredefinitoparagrafo"/>
    <w:link w:val="Titolo4"/>
    <w:uiPriority w:val="9"/>
    <w:semiHidden/>
    <w:rsid w:val="0003148D"/>
    <w:rPr>
      <w:rFonts w:asciiTheme="majorHAnsi" w:eastAsiaTheme="majorEastAsia" w:hAnsiTheme="majorHAnsi" w:cstheme="majorBidi"/>
      <w:b/>
      <w:bCs/>
      <w:i/>
      <w:iCs/>
      <w:color w:val="4F81BD" w:themeColor="accent1"/>
    </w:rPr>
  </w:style>
  <w:style w:type="character" w:customStyle="1" w:styleId="Titolo5Carattere">
    <w:name w:val="Titolo 5 Carattere"/>
    <w:basedOn w:val="Carpredefinitoparagrafo"/>
    <w:link w:val="Titolo5"/>
    <w:uiPriority w:val="9"/>
    <w:semiHidden/>
    <w:rsid w:val="0003148D"/>
    <w:rPr>
      <w:rFonts w:asciiTheme="majorHAnsi" w:eastAsiaTheme="majorEastAsia" w:hAnsiTheme="majorHAnsi" w:cstheme="majorBidi"/>
      <w:color w:val="243F60" w:themeColor="accent1" w:themeShade="7F"/>
    </w:rPr>
  </w:style>
  <w:style w:type="character" w:customStyle="1" w:styleId="Titolo6Carattere">
    <w:name w:val="Titolo 6 Carattere"/>
    <w:basedOn w:val="Carpredefinitoparagrafo"/>
    <w:link w:val="Titolo6"/>
    <w:uiPriority w:val="9"/>
    <w:semiHidden/>
    <w:rsid w:val="0003148D"/>
    <w:rPr>
      <w:rFonts w:asciiTheme="majorHAnsi" w:eastAsiaTheme="majorEastAsia" w:hAnsiTheme="majorHAnsi" w:cstheme="majorBidi"/>
      <w:i/>
      <w:iCs/>
      <w:color w:val="243F60" w:themeColor="accent1" w:themeShade="7F"/>
    </w:rPr>
  </w:style>
  <w:style w:type="character" w:customStyle="1" w:styleId="Titolo7Carattere">
    <w:name w:val="Titolo 7 Carattere"/>
    <w:basedOn w:val="Carpredefinitoparagrafo"/>
    <w:link w:val="Titolo7"/>
    <w:uiPriority w:val="9"/>
    <w:semiHidden/>
    <w:rsid w:val="0003148D"/>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03148D"/>
    <w:rPr>
      <w:rFonts w:asciiTheme="majorHAnsi" w:eastAsiaTheme="majorEastAsia" w:hAnsiTheme="majorHAnsi" w:cstheme="majorBidi"/>
      <w:color w:val="404040" w:themeColor="text1" w:themeTint="BF"/>
      <w:sz w:val="20"/>
      <w:szCs w:val="20"/>
    </w:rPr>
  </w:style>
  <w:style w:type="character" w:customStyle="1" w:styleId="Titolo9Carattere">
    <w:name w:val="Titolo 9 Carattere"/>
    <w:basedOn w:val="Carpredefinitoparagrafo"/>
    <w:link w:val="Titolo9"/>
    <w:uiPriority w:val="9"/>
    <w:semiHidden/>
    <w:rsid w:val="0003148D"/>
    <w:rPr>
      <w:rFonts w:asciiTheme="majorHAnsi" w:eastAsiaTheme="majorEastAsia" w:hAnsiTheme="majorHAnsi" w:cstheme="majorBidi"/>
      <w:i/>
      <w:iCs/>
      <w:color w:val="404040" w:themeColor="text1" w:themeTint="BF"/>
      <w:sz w:val="20"/>
      <w:szCs w:val="20"/>
    </w:rPr>
  </w:style>
  <w:style w:type="paragraph" w:styleId="Titoloindice">
    <w:name w:val="index heading"/>
    <w:basedOn w:val="Normale"/>
    <w:next w:val="Indice1"/>
    <w:uiPriority w:val="99"/>
    <w:semiHidden/>
    <w:unhideWhenUsed/>
    <w:rsid w:val="0003148D"/>
    <w:rPr>
      <w:rFonts w:asciiTheme="majorHAnsi" w:eastAsiaTheme="majorEastAsia" w:hAnsiTheme="majorHAnsi" w:cstheme="majorBidi"/>
      <w:b/>
      <w:bCs/>
    </w:rPr>
  </w:style>
  <w:style w:type="paragraph" w:styleId="Titoloindicefonti">
    <w:name w:val="toa heading"/>
    <w:basedOn w:val="Normale"/>
    <w:next w:val="Normale"/>
    <w:uiPriority w:val="99"/>
    <w:semiHidden/>
    <w:unhideWhenUsed/>
    <w:rsid w:val="0003148D"/>
    <w:pPr>
      <w:spacing w:before="120"/>
    </w:pPr>
    <w:rPr>
      <w:rFonts w:asciiTheme="majorHAnsi" w:eastAsiaTheme="majorEastAsia" w:hAnsiTheme="majorHAnsi" w:cstheme="majorBidi"/>
      <w:b/>
      <w:bCs/>
      <w:sz w:val="24"/>
      <w:szCs w:val="24"/>
    </w:rPr>
  </w:style>
  <w:style w:type="paragraph" w:styleId="Titolosommario">
    <w:name w:val="TOC Heading"/>
    <w:basedOn w:val="Titolo1"/>
    <w:next w:val="Normale"/>
    <w:uiPriority w:val="39"/>
    <w:semiHidden/>
    <w:unhideWhenUsed/>
    <w:qFormat/>
    <w:rsid w:val="0003148D"/>
    <w:pPr>
      <w:outlineLvl w:val="9"/>
    </w:pPr>
  </w:style>
  <w:style w:type="paragraph" w:customStyle="1" w:styleId="CETemail">
    <w:name w:val="CET email"/>
    <w:next w:val="CETBodytext"/>
    <w:rsid w:val="009E788A"/>
    <w:pPr>
      <w:spacing w:after="240"/>
    </w:pPr>
    <w:rPr>
      <w:rFonts w:ascii="Arial" w:eastAsia="Times New Roman" w:hAnsi="Arial" w:cs="Times New Roman"/>
      <w:noProof/>
      <w:sz w:val="16"/>
      <w:szCs w:val="20"/>
      <w:lang w:val="en-GB"/>
    </w:rPr>
  </w:style>
  <w:style w:type="character" w:customStyle="1" w:styleId="CETAddressCarattere">
    <w:name w:val="CET Address Carattere"/>
    <w:basedOn w:val="Carpredefinitoparagrafo"/>
    <w:link w:val="CETAddress"/>
    <w:rsid w:val="009E788A"/>
    <w:rPr>
      <w:rFonts w:ascii="Arial" w:eastAsia="Times New Roman" w:hAnsi="Arial" w:cs="Times New Roman"/>
      <w:noProof/>
      <w:sz w:val="16"/>
      <w:szCs w:val="20"/>
      <w:lang w:val="en-GB"/>
    </w:rPr>
  </w:style>
  <w:style w:type="paragraph" w:customStyle="1" w:styleId="CETBodytextBold">
    <w:name w:val="CET Body text (Bold)"/>
    <w:basedOn w:val="CETBodytext"/>
    <w:rsid w:val="00901EB6"/>
    <w:rPr>
      <w:b/>
    </w:rPr>
  </w:style>
  <w:style w:type="paragraph" w:customStyle="1" w:styleId="CETnumberingbullets">
    <w:name w:val="CET numbering (bullets)"/>
    <w:rsid w:val="008D433B"/>
    <w:pPr>
      <w:numPr>
        <w:numId w:val="13"/>
      </w:numPr>
      <w:spacing w:after="0" w:line="264" w:lineRule="auto"/>
    </w:pPr>
    <w:rPr>
      <w:rFonts w:ascii="Arial" w:eastAsia="Times New Roman" w:hAnsi="Arial" w:cs="Times New Roman"/>
      <w:sz w:val="18"/>
      <w:szCs w:val="20"/>
      <w:lang w:val="en-GB"/>
    </w:rPr>
  </w:style>
  <w:style w:type="paragraph" w:customStyle="1" w:styleId="CETnumbering1">
    <w:name w:val="CET numbering (1"/>
    <w:aliases w:val="2..)"/>
    <w:rsid w:val="00B57B36"/>
    <w:pPr>
      <w:numPr>
        <w:numId w:val="14"/>
      </w:numPr>
      <w:spacing w:after="0" w:line="264" w:lineRule="auto"/>
      <w:ind w:left="340" w:hanging="227"/>
    </w:pPr>
    <w:rPr>
      <w:rFonts w:ascii="Arial" w:eastAsia="Times New Roman" w:hAnsi="Arial" w:cs="Times New Roman"/>
      <w:sz w:val="18"/>
      <w:szCs w:val="20"/>
      <w:lang w:val="en-US"/>
    </w:rPr>
  </w:style>
  <w:style w:type="paragraph" w:customStyle="1" w:styleId="CETnumberinga">
    <w:name w:val="CET numbering (a"/>
    <w:aliases w:val="b,..)"/>
    <w:rsid w:val="00B57B36"/>
    <w:pPr>
      <w:numPr>
        <w:numId w:val="15"/>
      </w:numPr>
      <w:spacing w:after="0" w:line="264" w:lineRule="auto"/>
    </w:pPr>
    <w:rPr>
      <w:rFonts w:ascii="Arial" w:eastAsia="Times New Roman" w:hAnsi="Arial" w:cs="Times New Roman"/>
      <w:sz w:val="18"/>
      <w:szCs w:val="20"/>
      <w:lang w:val="en-GB"/>
    </w:rPr>
  </w:style>
  <w:style w:type="paragraph" w:styleId="Intestazione">
    <w:name w:val="header"/>
    <w:basedOn w:val="Normale"/>
    <w:link w:val="IntestazioneCarattere"/>
    <w:uiPriority w:val="99"/>
    <w:unhideWhenUsed/>
    <w:rsid w:val="005278B7"/>
    <w:pPr>
      <w:tabs>
        <w:tab w:val="clear" w:pos="7100"/>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5278B7"/>
    <w:rPr>
      <w:rFonts w:ascii="Arial" w:eastAsia="Times New Roman" w:hAnsi="Arial" w:cs="Times New Roman"/>
      <w:sz w:val="18"/>
      <w:szCs w:val="20"/>
      <w:lang w:val="en-GB"/>
    </w:rPr>
  </w:style>
  <w:style w:type="paragraph" w:styleId="Pidipagina">
    <w:name w:val="footer"/>
    <w:basedOn w:val="Normale"/>
    <w:link w:val="PidipaginaCarattere"/>
    <w:uiPriority w:val="99"/>
    <w:unhideWhenUsed/>
    <w:rsid w:val="005278B7"/>
    <w:pPr>
      <w:tabs>
        <w:tab w:val="clear" w:pos="7100"/>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5278B7"/>
    <w:rPr>
      <w:rFonts w:ascii="Arial" w:eastAsia="Times New Roman" w:hAnsi="Arial" w:cs="Times New Roman"/>
      <w:sz w:val="18"/>
      <w:szCs w:val="20"/>
      <w:lang w:val="en-GB"/>
    </w:rPr>
  </w:style>
  <w:style w:type="table" w:styleId="Grigliatabella">
    <w:name w:val="Table Grid"/>
    <w:basedOn w:val="Tabellanormale"/>
    <w:uiPriority w:val="59"/>
    <w:rsid w:val="00660E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904C62"/>
    <w:rPr>
      <w:color w:val="0000FF" w:themeColor="hyperlink"/>
      <w:u w:val="single"/>
    </w:rPr>
  </w:style>
  <w:style w:type="character" w:customStyle="1" w:styleId="eudoraheader">
    <w:name w:val="eudoraheader"/>
    <w:basedOn w:val="Carpredefinitoparagrafo"/>
    <w:rsid w:val="00904C62"/>
  </w:style>
  <w:style w:type="paragraph" w:customStyle="1" w:styleId="CETListbullets">
    <w:name w:val="CET List bullets"/>
    <w:qFormat/>
    <w:rsid w:val="004577FE"/>
    <w:pPr>
      <w:spacing w:after="0" w:line="264" w:lineRule="auto"/>
      <w:ind w:left="340" w:hanging="227"/>
      <w:jc w:val="both"/>
    </w:pPr>
    <w:rPr>
      <w:rFonts w:ascii="Arial" w:eastAsia="Times New Roman" w:hAnsi="Arial" w:cs="Times New Roman"/>
      <w:sz w:val="18"/>
      <w:szCs w:val="20"/>
      <w:lang w:val="en-GB"/>
    </w:rPr>
  </w:style>
  <w:style w:type="paragraph" w:customStyle="1" w:styleId="CETReferencetext">
    <w:name w:val="CET Reference text"/>
    <w:qFormat/>
    <w:rsid w:val="00600535"/>
    <w:pPr>
      <w:spacing w:after="0" w:line="264" w:lineRule="auto"/>
      <w:ind w:left="284" w:hanging="284"/>
      <w:jc w:val="both"/>
    </w:pPr>
    <w:rPr>
      <w:rFonts w:ascii="Arial" w:eastAsia="Times New Roman" w:hAnsi="Arial" w:cs="Times New Roman"/>
      <w:sz w:val="18"/>
      <w:szCs w:val="20"/>
      <w:lang w:val="en-GB"/>
    </w:rPr>
  </w:style>
  <w:style w:type="paragraph" w:customStyle="1" w:styleId="CETTabletitle">
    <w:name w:val="CET Table title"/>
    <w:qFormat/>
    <w:rsid w:val="00600535"/>
    <w:pPr>
      <w:keepNext/>
      <w:spacing w:before="240" w:after="80" w:line="240" w:lineRule="exact"/>
    </w:pPr>
    <w:rPr>
      <w:rFonts w:ascii="Arial" w:eastAsia="Times New Roman" w:hAnsi="Arial" w:cs="Times New Roman"/>
      <w:i/>
      <w:sz w:val="18"/>
      <w:szCs w:val="20"/>
      <w:lang w:val="en-GB"/>
    </w:rPr>
  </w:style>
  <w:style w:type="paragraph" w:customStyle="1" w:styleId="CETAcknowledgementstitle">
    <w:name w:val="CET Acknowledgements title"/>
    <w:next w:val="CETBodytext"/>
    <w:qFormat/>
    <w:rsid w:val="00600535"/>
    <w:pPr>
      <w:spacing w:before="200" w:after="120"/>
    </w:pPr>
    <w:rPr>
      <w:rFonts w:ascii="Arial" w:eastAsia="Times New Roman" w:hAnsi="Arial" w:cs="Times New Roman"/>
      <w:b/>
      <w:sz w:val="18"/>
      <w:szCs w:val="20"/>
      <w:lang w:val="en-GB"/>
    </w:rPr>
  </w:style>
  <w:style w:type="paragraph" w:customStyle="1" w:styleId="CETEquation">
    <w:name w:val="CET Equation"/>
    <w:basedOn w:val="CETBodytext"/>
    <w:next w:val="CETBodytext"/>
    <w:qFormat/>
    <w:rsid w:val="00600535"/>
    <w:pPr>
      <w:spacing w:before="120" w:after="120"/>
      <w:jc w:val="left"/>
    </w:pPr>
    <w:rPr>
      <w:lang w:val="en-GB"/>
    </w:rPr>
  </w:style>
  <w:style w:type="paragraph" w:customStyle="1" w:styleId="CETHeadingxx">
    <w:name w:val="CET Headingxx"/>
    <w:basedOn w:val="CETheadingx"/>
    <w:link w:val="CETHeadingxxChar"/>
    <w:qFormat/>
    <w:rsid w:val="000F787B"/>
    <w:pPr>
      <w:numPr>
        <w:ilvl w:val="0"/>
        <w:numId w:val="0"/>
      </w:numPr>
    </w:pPr>
  </w:style>
  <w:style w:type="character" w:customStyle="1" w:styleId="CETHeadingxxChar">
    <w:name w:val="CET Headingxx Char"/>
    <w:basedOn w:val="CETheadingxCarattere"/>
    <w:link w:val="CETHeadingxx"/>
    <w:rsid w:val="000F787B"/>
    <w:rPr>
      <w:rFonts w:ascii="Arial" w:eastAsia="Times New Roman" w:hAnsi="Arial" w:cs="Times New Roman"/>
      <w:b/>
      <w:sz w:val="18"/>
      <w:szCs w:val="20"/>
      <w:lang w:val="en-US"/>
    </w:rPr>
  </w:style>
  <w:style w:type="paragraph" w:styleId="Paragrafoelenco">
    <w:name w:val="List Paragraph"/>
    <w:basedOn w:val="Normale"/>
    <w:uiPriority w:val="34"/>
    <w:rsid w:val="00280FAF"/>
    <w:pPr>
      <w:ind w:left="720"/>
      <w:contextualSpacing/>
    </w:pPr>
  </w:style>
  <w:style w:type="character" w:customStyle="1" w:styleId="gmail-apple-converted-space">
    <w:name w:val="gmail-apple-converted-space"/>
    <w:basedOn w:val="Carpredefinitoparagrafo"/>
    <w:rsid w:val="00005A19"/>
  </w:style>
  <w:style w:type="character" w:styleId="Menzionenonrisolta">
    <w:name w:val="Unresolved Mention"/>
    <w:basedOn w:val="Carpredefinitoparagrafo"/>
    <w:uiPriority w:val="99"/>
    <w:semiHidden/>
    <w:unhideWhenUsed/>
    <w:rsid w:val="00133548"/>
    <w:rPr>
      <w:color w:val="605E5C"/>
      <w:shd w:val="clear" w:color="auto" w:fill="E1DFDD"/>
    </w:rPr>
  </w:style>
  <w:style w:type="paragraph" w:styleId="Revisione">
    <w:name w:val="Revision"/>
    <w:hidden/>
    <w:uiPriority w:val="99"/>
    <w:semiHidden/>
    <w:rsid w:val="00744063"/>
    <w:pPr>
      <w:spacing w:after="0" w:line="240" w:lineRule="auto"/>
    </w:pPr>
    <w:rPr>
      <w:rFonts w:ascii="Arial" w:eastAsia="Times New Roman" w:hAnsi="Arial" w:cs="Times New Roman"/>
      <w:sz w:val="18"/>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609195">
      <w:bodyDiv w:val="1"/>
      <w:marLeft w:val="0"/>
      <w:marRight w:val="0"/>
      <w:marTop w:val="0"/>
      <w:marBottom w:val="0"/>
      <w:divBdr>
        <w:top w:val="none" w:sz="0" w:space="0" w:color="auto"/>
        <w:left w:val="none" w:sz="0" w:space="0" w:color="auto"/>
        <w:bottom w:val="none" w:sz="0" w:space="0" w:color="auto"/>
        <w:right w:val="none" w:sz="0" w:space="0" w:color="auto"/>
      </w:divBdr>
      <w:divsChild>
        <w:div w:id="1810825834">
          <w:marLeft w:val="0"/>
          <w:marRight w:val="0"/>
          <w:marTop w:val="0"/>
          <w:marBottom w:val="0"/>
          <w:divBdr>
            <w:top w:val="none" w:sz="0" w:space="0" w:color="auto"/>
            <w:left w:val="none" w:sz="0" w:space="0" w:color="auto"/>
            <w:bottom w:val="none" w:sz="0" w:space="0" w:color="auto"/>
            <w:right w:val="none" w:sz="0" w:space="0" w:color="auto"/>
          </w:divBdr>
          <w:divsChild>
            <w:div w:id="57883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321189">
      <w:bodyDiv w:val="1"/>
      <w:marLeft w:val="0"/>
      <w:marRight w:val="0"/>
      <w:marTop w:val="0"/>
      <w:marBottom w:val="0"/>
      <w:divBdr>
        <w:top w:val="none" w:sz="0" w:space="0" w:color="auto"/>
        <w:left w:val="none" w:sz="0" w:space="0" w:color="auto"/>
        <w:bottom w:val="none" w:sz="0" w:space="0" w:color="auto"/>
        <w:right w:val="none" w:sz="0" w:space="0" w:color="auto"/>
      </w:divBdr>
      <w:divsChild>
        <w:div w:id="19673504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3056226">
      <w:bodyDiv w:val="1"/>
      <w:marLeft w:val="0"/>
      <w:marRight w:val="0"/>
      <w:marTop w:val="0"/>
      <w:marBottom w:val="0"/>
      <w:divBdr>
        <w:top w:val="none" w:sz="0" w:space="0" w:color="auto"/>
        <w:left w:val="none" w:sz="0" w:space="0" w:color="auto"/>
        <w:bottom w:val="none" w:sz="0" w:space="0" w:color="auto"/>
        <w:right w:val="none" w:sz="0" w:space="0" w:color="auto"/>
      </w:divBdr>
      <w:divsChild>
        <w:div w:id="790123951">
          <w:marLeft w:val="0"/>
          <w:marRight w:val="0"/>
          <w:marTop w:val="0"/>
          <w:marBottom w:val="0"/>
          <w:divBdr>
            <w:top w:val="none" w:sz="0" w:space="0" w:color="auto"/>
            <w:left w:val="none" w:sz="0" w:space="0" w:color="auto"/>
            <w:bottom w:val="none" w:sz="0" w:space="0" w:color="auto"/>
            <w:right w:val="none" w:sz="0" w:space="0" w:color="auto"/>
          </w:divBdr>
          <w:divsChild>
            <w:div w:id="182146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681295">
      <w:bodyDiv w:val="1"/>
      <w:marLeft w:val="0"/>
      <w:marRight w:val="0"/>
      <w:marTop w:val="0"/>
      <w:marBottom w:val="0"/>
      <w:divBdr>
        <w:top w:val="none" w:sz="0" w:space="0" w:color="auto"/>
        <w:left w:val="none" w:sz="0" w:space="0" w:color="auto"/>
        <w:bottom w:val="none" w:sz="0" w:space="0" w:color="auto"/>
        <w:right w:val="none" w:sz="0" w:space="0" w:color="auto"/>
      </w:divBdr>
    </w:div>
    <w:div w:id="1429156813">
      <w:bodyDiv w:val="1"/>
      <w:marLeft w:val="0"/>
      <w:marRight w:val="0"/>
      <w:marTop w:val="0"/>
      <w:marBottom w:val="0"/>
      <w:divBdr>
        <w:top w:val="none" w:sz="0" w:space="0" w:color="auto"/>
        <w:left w:val="none" w:sz="0" w:space="0" w:color="auto"/>
        <w:bottom w:val="none" w:sz="0" w:space="0" w:color="auto"/>
        <w:right w:val="none" w:sz="0" w:space="0" w:color="auto"/>
      </w:divBdr>
    </w:div>
    <w:div w:id="1489904563">
      <w:bodyDiv w:val="1"/>
      <w:marLeft w:val="0"/>
      <w:marRight w:val="0"/>
      <w:marTop w:val="0"/>
      <w:marBottom w:val="0"/>
      <w:divBdr>
        <w:top w:val="none" w:sz="0" w:space="0" w:color="auto"/>
        <w:left w:val="none" w:sz="0" w:space="0" w:color="auto"/>
        <w:bottom w:val="none" w:sz="0" w:space="0" w:color="auto"/>
        <w:right w:val="none" w:sz="0" w:space="0" w:color="auto"/>
      </w:divBdr>
    </w:div>
    <w:div w:id="1682856157">
      <w:bodyDiv w:val="1"/>
      <w:marLeft w:val="0"/>
      <w:marRight w:val="0"/>
      <w:marTop w:val="0"/>
      <w:marBottom w:val="0"/>
      <w:divBdr>
        <w:top w:val="none" w:sz="0" w:space="0" w:color="auto"/>
        <w:left w:val="none" w:sz="0" w:space="0" w:color="auto"/>
        <w:bottom w:val="none" w:sz="0" w:space="0" w:color="auto"/>
        <w:right w:val="none" w:sz="0" w:space="0" w:color="auto"/>
      </w:divBdr>
      <w:divsChild>
        <w:div w:id="2102991222">
          <w:marLeft w:val="0"/>
          <w:marRight w:val="0"/>
          <w:marTop w:val="0"/>
          <w:marBottom w:val="0"/>
          <w:divBdr>
            <w:top w:val="none" w:sz="0" w:space="0" w:color="auto"/>
            <w:left w:val="none" w:sz="0" w:space="0" w:color="auto"/>
            <w:bottom w:val="none" w:sz="0" w:space="0" w:color="auto"/>
            <w:right w:val="none" w:sz="0" w:space="0" w:color="auto"/>
          </w:divBdr>
          <w:divsChild>
            <w:div w:id="108908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087599">
      <w:bodyDiv w:val="1"/>
      <w:marLeft w:val="0"/>
      <w:marRight w:val="0"/>
      <w:marTop w:val="0"/>
      <w:marBottom w:val="0"/>
      <w:divBdr>
        <w:top w:val="none" w:sz="0" w:space="0" w:color="auto"/>
        <w:left w:val="none" w:sz="0" w:space="0" w:color="auto"/>
        <w:bottom w:val="none" w:sz="0" w:space="0" w:color="auto"/>
        <w:right w:val="none" w:sz="0" w:space="0" w:color="auto"/>
      </w:divBdr>
      <w:divsChild>
        <w:div w:id="15006597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3983C9-6D0A-480C-BF79-A63BD3D99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3299</Words>
  <Characters>18808</Characters>
  <Application>Microsoft Office Word</Application>
  <DocSecurity>0</DocSecurity>
  <Lines>156</Lines>
  <Paragraphs>44</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Dipartimento CMIC - Politecnico di Milano</Company>
  <LinksUpToDate>false</LinksUpToDate>
  <CharactersWithSpaces>22063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raffaella</dc:creator>
  <cp:lastModifiedBy>MAURIZIO TROIANO</cp:lastModifiedBy>
  <cp:revision>65</cp:revision>
  <cp:lastPrinted>2015-05-12T11:31:00Z</cp:lastPrinted>
  <dcterms:created xsi:type="dcterms:W3CDTF">2026-01-31T07:54:00Z</dcterms:created>
  <dcterms:modified xsi:type="dcterms:W3CDTF">2026-05-09T14:18:00Z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zotero-version="4.0.29.17"&gt;&lt;session id="s8VwuD2U"/&gt;&lt;style id="http://www.zotero.org/styles/chemical-engineering-transactions" hasBibliography="1" bibliographyStyleHasBeenSet="1"/&gt;&lt;prefs&gt;&lt;pref name="fieldType" value="Field"/&gt;&lt;pref na</vt:lpwstr>
  </property>
  <property fmtid="{D5CDD505-2E9C-101B-9397-08002B2CF9AE}" pid="3" name="ZOTERO_PREF_2">
    <vt:lpwstr>me="storeReferences" value="true"/&gt;&lt;pref name="automaticJournalAbbreviations" value=""/&gt;&lt;pref name="noteType" value=""/&gt;&lt;/prefs&gt;&lt;/data&gt;</vt:lpwstr>
  </property>
  <property fmtid="{D5CDD505-2E9C-101B-9397-08002B2CF9AE}" pid="4" name="MSIP_Label_2ad0b24d-6422-44b0-b3de-abb3a9e8c81a_Enabled">
    <vt:lpwstr>true</vt:lpwstr>
  </property>
  <property fmtid="{D5CDD505-2E9C-101B-9397-08002B2CF9AE}" pid="5" name="MSIP_Label_2ad0b24d-6422-44b0-b3de-abb3a9e8c81a_SetDate">
    <vt:lpwstr>2026-01-27T10:53:27Z</vt:lpwstr>
  </property>
  <property fmtid="{D5CDD505-2E9C-101B-9397-08002B2CF9AE}" pid="6" name="MSIP_Label_2ad0b24d-6422-44b0-b3de-abb3a9e8c81a_Method">
    <vt:lpwstr>Standard</vt:lpwstr>
  </property>
  <property fmtid="{D5CDD505-2E9C-101B-9397-08002B2CF9AE}" pid="7" name="MSIP_Label_2ad0b24d-6422-44b0-b3de-abb3a9e8c81a_Name">
    <vt:lpwstr>defa4170-0d19-0005-0004-bc88714345d2</vt:lpwstr>
  </property>
  <property fmtid="{D5CDD505-2E9C-101B-9397-08002B2CF9AE}" pid="8" name="MSIP_Label_2ad0b24d-6422-44b0-b3de-abb3a9e8c81a_SiteId">
    <vt:lpwstr>2fcfe26a-bb62-46b0-b1e3-28f9da0c45fd</vt:lpwstr>
  </property>
  <property fmtid="{D5CDD505-2E9C-101B-9397-08002B2CF9AE}" pid="9" name="MSIP_Label_2ad0b24d-6422-44b0-b3de-abb3a9e8c81a_ActionId">
    <vt:lpwstr>373ab60e-2e87-4fcc-ac0f-d51cb1b69aba</vt:lpwstr>
  </property>
  <property fmtid="{D5CDD505-2E9C-101B-9397-08002B2CF9AE}" pid="10" name="MSIP_Label_2ad0b24d-6422-44b0-b3de-abb3a9e8c81a_ContentBits">
    <vt:lpwstr>0</vt:lpwstr>
  </property>
  <property fmtid="{D5CDD505-2E9C-101B-9397-08002B2CF9AE}" pid="11" name="MSIP_Label_2ad0b24d-6422-44b0-b3de-abb3a9e8c81a_Tag">
    <vt:lpwstr>10, 3, 0, 1</vt:lpwstr>
  </property>
</Properties>
</file>