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FD4B2F" w14:paraId="2A131A54" w14:textId="77777777" w:rsidTr="006F3E66">
        <w:trPr>
          <w:trHeight w:val="852"/>
          <w:jc w:val="center"/>
        </w:trPr>
        <w:tc>
          <w:tcPr>
            <w:tcW w:w="6940" w:type="dxa"/>
            <w:vMerge w:val="restart"/>
            <w:tcBorders>
              <w:right w:val="single" w:sz="4" w:space="0" w:color="auto"/>
            </w:tcBorders>
          </w:tcPr>
          <w:p w14:paraId="38C3D2BA" w14:textId="77777777" w:rsidR="000A03B2" w:rsidRPr="00FD4B2F" w:rsidRDefault="000A03B2" w:rsidP="00DE264A">
            <w:pPr>
              <w:tabs>
                <w:tab w:val="left" w:pos="-108"/>
              </w:tabs>
              <w:ind w:left="-108"/>
              <w:jc w:val="left"/>
              <w:rPr>
                <w:rFonts w:cs="Arial"/>
                <w:b/>
                <w:bCs/>
                <w:i/>
                <w:iCs/>
                <w:color w:val="000066"/>
                <w:sz w:val="12"/>
                <w:szCs w:val="12"/>
                <w:lang w:eastAsia="it-IT"/>
              </w:rPr>
            </w:pPr>
            <w:bookmarkStart w:id="0" w:name="_Hlk145068772"/>
            <w:r w:rsidRPr="00FD4B2F">
              <w:rPr>
                <w:rFonts w:cs="Arial"/>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FD4B2F">
              <w:rPr>
                <w:rFonts w:cs="Arial"/>
                <w:color w:val="241F20"/>
                <w:szCs w:val="18"/>
                <w:lang w:eastAsia="it-IT"/>
              </w:rPr>
              <w:t xml:space="preserve"> </w:t>
            </w:r>
            <w:r w:rsidRPr="00FD4B2F">
              <w:rPr>
                <w:rFonts w:cs="Arial"/>
                <w:b/>
                <w:bCs/>
                <w:i/>
                <w:iCs/>
                <w:color w:val="000066"/>
                <w:sz w:val="24"/>
                <w:szCs w:val="24"/>
                <w:lang w:eastAsia="it-IT"/>
              </w:rPr>
              <w:t>CHEMICAL ENGINEERING</w:t>
            </w:r>
            <w:r w:rsidRPr="00FD4B2F">
              <w:rPr>
                <w:rFonts w:cs="Arial"/>
                <w:b/>
                <w:bCs/>
                <w:i/>
                <w:iCs/>
                <w:color w:val="0033FF"/>
                <w:sz w:val="24"/>
                <w:szCs w:val="24"/>
                <w:lang w:eastAsia="it-IT"/>
              </w:rPr>
              <w:t xml:space="preserve"> </w:t>
            </w:r>
            <w:r w:rsidRPr="00FD4B2F">
              <w:rPr>
                <w:rFonts w:cs="Arial"/>
                <w:b/>
                <w:bCs/>
                <w:i/>
                <w:iCs/>
                <w:color w:val="666666"/>
                <w:sz w:val="24"/>
                <w:szCs w:val="24"/>
                <w:lang w:eastAsia="it-IT"/>
              </w:rPr>
              <w:t>TRANSACTIONS</w:t>
            </w:r>
            <w:r w:rsidRPr="00FD4B2F">
              <w:rPr>
                <w:rFonts w:cs="Arial"/>
                <w:color w:val="333333"/>
                <w:sz w:val="24"/>
                <w:szCs w:val="24"/>
                <w:lang w:eastAsia="it-IT"/>
              </w:rPr>
              <w:t xml:space="preserve"> </w:t>
            </w:r>
            <w:r w:rsidRPr="00FD4B2F">
              <w:rPr>
                <w:rFonts w:cs="Arial"/>
                <w:b/>
                <w:bCs/>
                <w:i/>
                <w:iCs/>
                <w:color w:val="000066"/>
                <w:sz w:val="27"/>
                <w:szCs w:val="27"/>
                <w:lang w:eastAsia="it-IT"/>
              </w:rPr>
              <w:br/>
            </w:r>
          </w:p>
          <w:p w14:paraId="4B780582" w14:textId="753620B8" w:rsidR="000A03B2" w:rsidRPr="00FD4B2F" w:rsidRDefault="00A76EFC" w:rsidP="001D21AF">
            <w:pPr>
              <w:tabs>
                <w:tab w:val="left" w:pos="-108"/>
              </w:tabs>
              <w:ind w:left="-108"/>
              <w:rPr>
                <w:rFonts w:cs="Arial"/>
                <w:b/>
                <w:bCs/>
                <w:i/>
                <w:iCs/>
                <w:color w:val="000066"/>
                <w:sz w:val="22"/>
                <w:szCs w:val="22"/>
                <w:lang w:eastAsia="it-IT"/>
              </w:rPr>
            </w:pPr>
            <w:r w:rsidRPr="00FD4B2F">
              <w:rPr>
                <w:rFonts w:cs="Arial"/>
                <w:b/>
                <w:bCs/>
                <w:i/>
                <w:iCs/>
                <w:color w:val="000066"/>
                <w:sz w:val="22"/>
                <w:szCs w:val="22"/>
                <w:lang w:eastAsia="it-IT"/>
              </w:rPr>
              <w:t>VOL.</w:t>
            </w:r>
            <w:r w:rsidR="00785BF9" w:rsidRPr="00FD4B2F">
              <w:rPr>
                <w:rFonts w:cs="Arial"/>
                <w:b/>
                <w:bCs/>
                <w:i/>
                <w:iCs/>
                <w:color w:val="000066"/>
                <w:sz w:val="22"/>
                <w:szCs w:val="22"/>
                <w:lang w:eastAsia="it-IT"/>
              </w:rPr>
              <w:t xml:space="preserve"> </w:t>
            </w:r>
            <w:r w:rsidR="00AD0278" w:rsidRPr="00FD4B2F">
              <w:rPr>
                <w:rFonts w:cs="Arial"/>
                <w:b/>
                <w:bCs/>
                <w:i/>
                <w:iCs/>
                <w:color w:val="000066"/>
                <w:sz w:val="22"/>
                <w:szCs w:val="22"/>
                <w:lang w:eastAsia="it-IT"/>
              </w:rPr>
              <w:t>xxx</w:t>
            </w:r>
            <w:r w:rsidR="007B48F9" w:rsidRPr="00FD4B2F">
              <w:rPr>
                <w:rFonts w:cs="Arial"/>
                <w:b/>
                <w:bCs/>
                <w:i/>
                <w:iCs/>
                <w:color w:val="000066"/>
                <w:sz w:val="22"/>
                <w:szCs w:val="22"/>
                <w:lang w:eastAsia="it-IT"/>
              </w:rPr>
              <w:t>,</w:t>
            </w:r>
            <w:r w:rsidR="00FA5F5F" w:rsidRPr="00FD4B2F">
              <w:rPr>
                <w:rFonts w:cs="Arial"/>
                <w:b/>
                <w:bCs/>
                <w:i/>
                <w:iCs/>
                <w:color w:val="000066"/>
                <w:sz w:val="22"/>
                <w:szCs w:val="22"/>
                <w:lang w:eastAsia="it-IT"/>
              </w:rPr>
              <w:t xml:space="preserve"> </w:t>
            </w:r>
            <w:r w:rsidR="0030152C" w:rsidRPr="00FD4B2F">
              <w:rPr>
                <w:rFonts w:cs="Arial"/>
                <w:b/>
                <w:bCs/>
                <w:i/>
                <w:iCs/>
                <w:color w:val="000066"/>
                <w:sz w:val="22"/>
                <w:szCs w:val="22"/>
                <w:lang w:eastAsia="it-IT"/>
              </w:rPr>
              <w:t>202</w:t>
            </w:r>
            <w:r w:rsidR="00AD0278" w:rsidRPr="00FD4B2F">
              <w:rPr>
                <w:rFonts w:cs="Arial"/>
                <w:b/>
                <w:bCs/>
                <w:i/>
                <w:iCs/>
                <w:color w:val="000066"/>
                <w:sz w:val="22"/>
                <w:szCs w:val="22"/>
                <w:lang w:eastAsia="it-IT"/>
              </w:rPr>
              <w:t>6</w:t>
            </w:r>
          </w:p>
        </w:tc>
        <w:tc>
          <w:tcPr>
            <w:tcW w:w="1842" w:type="dxa"/>
            <w:tcBorders>
              <w:left w:val="single" w:sz="4" w:space="0" w:color="auto"/>
              <w:bottom w:val="nil"/>
              <w:right w:val="single" w:sz="4" w:space="0" w:color="auto"/>
            </w:tcBorders>
          </w:tcPr>
          <w:p w14:paraId="56782132" w14:textId="77777777" w:rsidR="000A03B2" w:rsidRPr="00FD4B2F" w:rsidRDefault="000A03B2" w:rsidP="00CD5FE2">
            <w:pPr>
              <w:spacing w:line="140" w:lineRule="atLeast"/>
              <w:jc w:val="right"/>
              <w:rPr>
                <w:rFonts w:cs="Arial"/>
                <w:sz w:val="14"/>
                <w:szCs w:val="14"/>
              </w:rPr>
            </w:pPr>
            <w:r w:rsidRPr="00FD4B2F">
              <w:rPr>
                <w:rFonts w:cs="Arial"/>
                <w:sz w:val="14"/>
                <w:szCs w:val="14"/>
              </w:rPr>
              <w:t>A publication of</w:t>
            </w:r>
          </w:p>
          <w:p w14:paraId="599E5441" w14:textId="77777777" w:rsidR="000A03B2" w:rsidRPr="00FD4B2F" w:rsidRDefault="000A03B2" w:rsidP="00CD5FE2">
            <w:pPr>
              <w:jc w:val="right"/>
              <w:rPr>
                <w:rFonts w:cs="Arial"/>
              </w:rPr>
            </w:pPr>
            <w:r w:rsidRPr="00FD4B2F">
              <w:rPr>
                <w:rFonts w:cs="Arial"/>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FD4B2F" w14:paraId="380FA3CD" w14:textId="77777777" w:rsidTr="006F3E66">
        <w:trPr>
          <w:trHeight w:val="567"/>
          <w:jc w:val="center"/>
        </w:trPr>
        <w:tc>
          <w:tcPr>
            <w:tcW w:w="6940" w:type="dxa"/>
            <w:vMerge/>
            <w:tcBorders>
              <w:right w:val="single" w:sz="4" w:space="0" w:color="auto"/>
            </w:tcBorders>
          </w:tcPr>
          <w:p w14:paraId="39E5E4C1" w14:textId="77777777" w:rsidR="000A03B2" w:rsidRPr="00FD4B2F" w:rsidRDefault="000A03B2" w:rsidP="00CD5FE2">
            <w:pPr>
              <w:tabs>
                <w:tab w:val="left" w:pos="-108"/>
              </w:tabs>
              <w:rPr>
                <w:rFonts w:cs="Arial"/>
              </w:rPr>
            </w:pPr>
          </w:p>
        </w:tc>
        <w:tc>
          <w:tcPr>
            <w:tcW w:w="1842" w:type="dxa"/>
            <w:tcBorders>
              <w:left w:val="single" w:sz="4" w:space="0" w:color="auto"/>
              <w:bottom w:val="nil"/>
              <w:right w:val="single" w:sz="4" w:space="0" w:color="auto"/>
            </w:tcBorders>
          </w:tcPr>
          <w:p w14:paraId="43858A98" w14:textId="77777777" w:rsidR="000A03B2" w:rsidRPr="00FD4B2F" w:rsidRDefault="000A03B2" w:rsidP="00CD5FE2">
            <w:pPr>
              <w:spacing w:line="140" w:lineRule="atLeast"/>
              <w:jc w:val="right"/>
              <w:rPr>
                <w:rFonts w:cs="Arial"/>
                <w:sz w:val="14"/>
                <w:szCs w:val="14"/>
              </w:rPr>
            </w:pPr>
            <w:r w:rsidRPr="00FD4B2F">
              <w:rPr>
                <w:rFonts w:cs="Arial"/>
                <w:sz w:val="14"/>
                <w:szCs w:val="14"/>
              </w:rPr>
              <w:t>The Italian Association</w:t>
            </w:r>
          </w:p>
          <w:p w14:paraId="7522B1D2" w14:textId="77777777" w:rsidR="000A03B2" w:rsidRPr="00FD4B2F" w:rsidRDefault="000A03B2" w:rsidP="00CD5FE2">
            <w:pPr>
              <w:spacing w:line="140" w:lineRule="atLeast"/>
              <w:jc w:val="right"/>
              <w:rPr>
                <w:rFonts w:cs="Arial"/>
                <w:sz w:val="14"/>
                <w:szCs w:val="14"/>
              </w:rPr>
            </w:pPr>
            <w:r w:rsidRPr="00FD4B2F">
              <w:rPr>
                <w:rFonts w:cs="Arial"/>
                <w:sz w:val="14"/>
                <w:szCs w:val="14"/>
              </w:rPr>
              <w:t>of Chemical Engineering</w:t>
            </w:r>
          </w:p>
          <w:p w14:paraId="4F0CC5DE" w14:textId="47FDB2FC" w:rsidR="000A03B2" w:rsidRPr="00FD4B2F" w:rsidRDefault="000D0268" w:rsidP="00CD5FE2">
            <w:pPr>
              <w:spacing w:line="140" w:lineRule="atLeast"/>
              <w:jc w:val="right"/>
              <w:rPr>
                <w:rFonts w:cs="Arial"/>
                <w:sz w:val="13"/>
                <w:szCs w:val="13"/>
              </w:rPr>
            </w:pPr>
            <w:r w:rsidRPr="00FD4B2F">
              <w:rPr>
                <w:rFonts w:cs="Arial"/>
                <w:sz w:val="13"/>
                <w:szCs w:val="13"/>
              </w:rPr>
              <w:t>Online at www.cetjournal.it</w:t>
            </w:r>
          </w:p>
        </w:tc>
      </w:tr>
      <w:tr w:rsidR="000A03B2" w:rsidRPr="00FD4B2F" w14:paraId="2D1B7169" w14:textId="77777777" w:rsidTr="006F3E66">
        <w:trPr>
          <w:trHeight w:val="68"/>
          <w:jc w:val="center"/>
        </w:trPr>
        <w:tc>
          <w:tcPr>
            <w:tcW w:w="8782" w:type="dxa"/>
            <w:gridSpan w:val="2"/>
          </w:tcPr>
          <w:p w14:paraId="1D8DD3C9" w14:textId="61229B97" w:rsidR="00AA7D26" w:rsidRPr="00FD4B2F" w:rsidRDefault="004A5E57" w:rsidP="004A5E57">
            <w:pPr>
              <w:ind w:left="-107"/>
              <w:outlineLvl w:val="2"/>
              <w:rPr>
                <w:rFonts w:cs="Arial"/>
                <w:bCs/>
                <w:color w:val="000000"/>
                <w:sz w:val="14"/>
                <w:szCs w:val="14"/>
                <w:lang w:val="it-IT" w:eastAsia="it-IT"/>
              </w:rPr>
            </w:pPr>
            <w:r w:rsidRPr="00FD4B2F">
              <w:rPr>
                <w:rFonts w:cs="Arial"/>
                <w:iCs/>
                <w:color w:val="333333"/>
                <w:sz w:val="14"/>
                <w:szCs w:val="14"/>
                <w:lang w:val="it-IT" w:eastAsia="it-IT"/>
              </w:rPr>
              <w:t>Guest Editors:</w:t>
            </w:r>
            <w:r w:rsidRPr="00FD4B2F">
              <w:rPr>
                <w:rFonts w:cs="Arial"/>
                <w:color w:val="000000"/>
                <w:sz w:val="14"/>
                <w:szCs w:val="14"/>
                <w:shd w:val="clear" w:color="auto" w:fill="FFFFFF"/>
                <w:lang w:val="it-IT"/>
              </w:rPr>
              <w:t xml:space="preserve"> </w:t>
            </w:r>
            <w:r w:rsidR="00EA3EF9" w:rsidRPr="00FD4B2F">
              <w:rPr>
                <w:rFonts w:cs="Arial"/>
                <w:color w:val="000000"/>
                <w:sz w:val="14"/>
                <w:szCs w:val="14"/>
                <w:shd w:val="clear" w:color="auto" w:fill="FFFFFF"/>
                <w:lang w:val="it-IT"/>
              </w:rPr>
              <w:t xml:space="preserve">Leonardo Tognotti, </w:t>
            </w:r>
            <w:r w:rsidR="00EA3EF9" w:rsidRPr="00FD4B2F">
              <w:rPr>
                <w:rFonts w:cs="Arial"/>
                <w:color w:val="000000"/>
                <w:sz w:val="14"/>
                <w:szCs w:val="14"/>
                <w:lang w:val="it-IT"/>
              </w:rPr>
              <w:t>Rubens Maciel Filho</w:t>
            </w:r>
            <w:r w:rsidR="00EA3EF9" w:rsidRPr="00FD4B2F">
              <w:rPr>
                <w:rFonts w:cs="Arial"/>
                <w:color w:val="000000"/>
                <w:sz w:val="14"/>
                <w:szCs w:val="14"/>
                <w:shd w:val="clear" w:color="auto" w:fill="FFFFFF"/>
                <w:lang w:val="it-IT"/>
              </w:rPr>
              <w:t xml:space="preserve">, </w:t>
            </w:r>
            <w:r w:rsidR="00EA3EF9" w:rsidRPr="00FD4B2F">
              <w:rPr>
                <w:rFonts w:cs="Arial"/>
                <w:color w:val="000000"/>
                <w:sz w:val="14"/>
                <w:szCs w:val="14"/>
                <w:lang w:val="it-IT"/>
              </w:rPr>
              <w:t>Viatcheslav Kafarov</w:t>
            </w:r>
          </w:p>
          <w:p w14:paraId="1B0F1814" w14:textId="710B7B96" w:rsidR="000A03B2" w:rsidRPr="00FD4B2F" w:rsidRDefault="00AA7D26" w:rsidP="00AA7D26">
            <w:pPr>
              <w:tabs>
                <w:tab w:val="left" w:pos="-108"/>
              </w:tabs>
              <w:spacing w:line="140" w:lineRule="atLeast"/>
              <w:ind w:left="-107"/>
              <w:jc w:val="left"/>
              <w:rPr>
                <w:rFonts w:cs="Arial"/>
              </w:rPr>
            </w:pPr>
            <w:r w:rsidRPr="00FD4B2F">
              <w:rPr>
                <w:rFonts w:cs="Arial"/>
                <w:iCs/>
                <w:color w:val="333333"/>
                <w:sz w:val="14"/>
                <w:szCs w:val="14"/>
                <w:lang w:eastAsia="it-IT"/>
              </w:rPr>
              <w:t>Copyright © 202</w:t>
            </w:r>
            <w:r w:rsidR="00005884" w:rsidRPr="00FD4B2F">
              <w:rPr>
                <w:rFonts w:cs="Arial"/>
                <w:iCs/>
                <w:color w:val="333333"/>
                <w:sz w:val="14"/>
                <w:szCs w:val="14"/>
                <w:lang w:eastAsia="it-IT"/>
              </w:rPr>
              <w:t>6</w:t>
            </w:r>
            <w:r w:rsidRPr="00FD4B2F">
              <w:rPr>
                <w:rFonts w:cs="Arial"/>
                <w:iCs/>
                <w:color w:val="333333"/>
                <w:sz w:val="14"/>
                <w:szCs w:val="14"/>
                <w:lang w:eastAsia="it-IT"/>
              </w:rPr>
              <w:t>, AIDIC Servizi S.r.l.</w:t>
            </w:r>
            <w:r w:rsidRPr="00FD4B2F">
              <w:rPr>
                <w:rFonts w:cs="Arial"/>
                <w:iCs/>
                <w:color w:val="333333"/>
                <w:sz w:val="14"/>
                <w:szCs w:val="14"/>
                <w:lang w:eastAsia="it-IT"/>
              </w:rPr>
              <w:br/>
            </w:r>
            <w:r w:rsidRPr="00FD4B2F">
              <w:rPr>
                <w:rFonts w:cs="Arial"/>
                <w:b/>
                <w:iCs/>
                <w:color w:val="000000"/>
                <w:sz w:val="14"/>
                <w:szCs w:val="14"/>
                <w:lang w:eastAsia="it-IT"/>
              </w:rPr>
              <w:t>ISBN</w:t>
            </w:r>
            <w:r w:rsidRPr="00FD4B2F">
              <w:rPr>
                <w:rFonts w:cs="Arial"/>
                <w:iCs/>
                <w:color w:val="000000"/>
                <w:sz w:val="14"/>
                <w:szCs w:val="14"/>
                <w:lang w:eastAsia="it-IT"/>
              </w:rPr>
              <w:t xml:space="preserve"> </w:t>
            </w:r>
            <w:r w:rsidR="00D2582C" w:rsidRPr="00FD4B2F">
              <w:rPr>
                <w:rFonts w:cs="Arial"/>
                <w:sz w:val="14"/>
                <w:szCs w:val="14"/>
              </w:rPr>
              <w:t>979-12-81206-</w:t>
            </w:r>
            <w:r w:rsidR="00005884" w:rsidRPr="00FD4B2F">
              <w:rPr>
                <w:rFonts w:cs="Arial"/>
                <w:sz w:val="14"/>
                <w:szCs w:val="14"/>
              </w:rPr>
              <w:t>xx</w:t>
            </w:r>
            <w:r w:rsidR="009041F8" w:rsidRPr="00FD4B2F">
              <w:rPr>
                <w:rFonts w:cs="Arial"/>
                <w:sz w:val="14"/>
                <w:szCs w:val="14"/>
              </w:rPr>
              <w:t>-</w:t>
            </w:r>
            <w:r w:rsidR="00005884" w:rsidRPr="00FD4B2F">
              <w:rPr>
                <w:rFonts w:cs="Arial"/>
                <w:sz w:val="14"/>
                <w:szCs w:val="14"/>
              </w:rPr>
              <w:t>x</w:t>
            </w:r>
            <w:r w:rsidRPr="00FD4B2F">
              <w:rPr>
                <w:rFonts w:cs="Arial"/>
                <w:iCs/>
                <w:color w:val="333333"/>
                <w:sz w:val="14"/>
                <w:szCs w:val="14"/>
                <w:lang w:eastAsia="it-IT"/>
              </w:rPr>
              <w:t xml:space="preserve">; </w:t>
            </w:r>
            <w:r w:rsidRPr="00FD4B2F">
              <w:rPr>
                <w:rFonts w:cs="Arial"/>
                <w:b/>
                <w:iCs/>
                <w:color w:val="333333"/>
                <w:sz w:val="14"/>
                <w:szCs w:val="14"/>
                <w:lang w:eastAsia="it-IT"/>
              </w:rPr>
              <w:t>ISSN</w:t>
            </w:r>
            <w:r w:rsidRPr="00FD4B2F">
              <w:rPr>
                <w:rFonts w:cs="Arial"/>
                <w:iCs/>
                <w:color w:val="333333"/>
                <w:sz w:val="14"/>
                <w:szCs w:val="14"/>
                <w:lang w:eastAsia="it-IT"/>
              </w:rPr>
              <w:t xml:space="preserve"> 2283-9216</w:t>
            </w:r>
          </w:p>
        </w:tc>
      </w:tr>
    </w:tbl>
    <w:bookmarkEnd w:id="0"/>
    <w:p w14:paraId="2E667253" w14:textId="2ADE4321" w:rsidR="00E978D0" w:rsidRPr="00FD4B2F" w:rsidRDefault="00996B3B" w:rsidP="00E978D0">
      <w:pPr>
        <w:pStyle w:val="CETTitle"/>
        <w:rPr>
          <w:rFonts w:cs="Arial"/>
        </w:rPr>
      </w:pPr>
      <w:r w:rsidRPr="00996B3B">
        <w:rPr>
          <w:rFonts w:cs="Arial"/>
        </w:rPr>
        <w:t>Hydrothermal carbonization of palm kernel shell: surface area and oxygenated functional groups with performance in sodium adsorption</w:t>
      </w:r>
    </w:p>
    <w:p w14:paraId="0488FED2" w14:textId="0BC1EC2D" w:rsidR="00B57E6F" w:rsidRPr="00996B3B" w:rsidRDefault="00FD211B" w:rsidP="00B57E6F">
      <w:pPr>
        <w:pStyle w:val="CETAuthors"/>
        <w:rPr>
          <w:rFonts w:cs="Arial"/>
          <w:lang w:val="es-CO"/>
        </w:rPr>
      </w:pPr>
      <w:r w:rsidRPr="00996B3B">
        <w:rPr>
          <w:rFonts w:cs="Arial"/>
          <w:lang w:val="es-CO"/>
        </w:rPr>
        <w:t>Jose Mazo</w:t>
      </w:r>
      <w:r w:rsidR="00B57E6F" w:rsidRPr="00996B3B">
        <w:rPr>
          <w:rFonts w:cs="Arial"/>
          <w:vertAlign w:val="superscript"/>
          <w:lang w:val="es-CO"/>
        </w:rPr>
        <w:t>a</w:t>
      </w:r>
      <w:r w:rsidRPr="00996B3B">
        <w:rPr>
          <w:rFonts w:cs="Arial"/>
          <w:vertAlign w:val="superscript"/>
          <w:lang w:val="es-CO"/>
        </w:rPr>
        <w:t>,b</w:t>
      </w:r>
      <w:r w:rsidR="00DB65CB" w:rsidRPr="00996B3B">
        <w:rPr>
          <w:rFonts w:cs="Arial"/>
          <w:vertAlign w:val="superscript"/>
          <w:lang w:val="es-CO"/>
        </w:rPr>
        <w:t>,</w:t>
      </w:r>
      <w:r w:rsidR="00DB65CB" w:rsidRPr="00996B3B">
        <w:rPr>
          <w:rFonts w:cs="Arial"/>
          <w:lang w:val="es-CO"/>
        </w:rPr>
        <w:t>*</w:t>
      </w:r>
      <w:r w:rsidR="00B57E6F" w:rsidRPr="00996B3B">
        <w:rPr>
          <w:rFonts w:cs="Arial"/>
          <w:lang w:val="es-CO"/>
        </w:rPr>
        <w:t xml:space="preserve">, </w:t>
      </w:r>
      <w:r w:rsidR="00D05D99" w:rsidRPr="00996B3B">
        <w:rPr>
          <w:rFonts w:cs="Arial"/>
          <w:lang w:val="es-CO"/>
        </w:rPr>
        <w:t>Luis Rodríguez</w:t>
      </w:r>
      <w:r w:rsidR="001B580D" w:rsidRPr="00996B3B">
        <w:rPr>
          <w:rFonts w:cs="Arial"/>
          <w:vertAlign w:val="superscript"/>
          <w:lang w:val="es-CO"/>
        </w:rPr>
        <w:t>a</w:t>
      </w:r>
      <w:r w:rsidR="00B57E6F" w:rsidRPr="00996B3B">
        <w:rPr>
          <w:rFonts w:cs="Arial"/>
          <w:lang w:val="es-CO"/>
        </w:rPr>
        <w:t>,</w:t>
      </w:r>
      <w:r w:rsidR="001B580D" w:rsidRPr="00996B3B">
        <w:rPr>
          <w:rFonts w:cs="Arial"/>
          <w:lang w:val="es-CO"/>
        </w:rPr>
        <w:t xml:space="preserve"> Cristian Ramírez</w:t>
      </w:r>
      <w:r w:rsidR="001B580D" w:rsidRPr="00996B3B">
        <w:rPr>
          <w:rFonts w:cs="Arial"/>
          <w:vertAlign w:val="superscript"/>
          <w:lang w:val="es-CO"/>
        </w:rPr>
        <w:t>a</w:t>
      </w:r>
      <w:r w:rsidR="001B580D" w:rsidRPr="00996B3B">
        <w:rPr>
          <w:rFonts w:cs="Arial"/>
          <w:lang w:val="es-CO"/>
        </w:rPr>
        <w:t>, Dora Carmona</w:t>
      </w:r>
      <w:r w:rsidR="001B580D" w:rsidRPr="00996B3B">
        <w:rPr>
          <w:rFonts w:cs="Arial"/>
          <w:vertAlign w:val="superscript"/>
          <w:lang w:val="es-CO"/>
        </w:rPr>
        <w:t>a</w:t>
      </w:r>
      <w:r w:rsidR="001B580D" w:rsidRPr="00996B3B">
        <w:rPr>
          <w:rFonts w:cs="Arial"/>
          <w:lang w:val="es-CO"/>
        </w:rPr>
        <w:t>, Zulamita Zapata-Benabithe</w:t>
      </w:r>
      <w:r w:rsidR="001B580D" w:rsidRPr="00996B3B">
        <w:rPr>
          <w:rFonts w:cs="Arial"/>
          <w:vertAlign w:val="superscript"/>
          <w:lang w:val="es-CO"/>
        </w:rPr>
        <w:t>a</w:t>
      </w:r>
    </w:p>
    <w:p w14:paraId="6B2D21B3" w14:textId="46DF139A" w:rsidR="00B57E6F" w:rsidRPr="00FD4B2F" w:rsidRDefault="00B57E6F" w:rsidP="00B57E6F">
      <w:pPr>
        <w:pStyle w:val="CETAddress"/>
        <w:rPr>
          <w:rFonts w:cs="Arial"/>
          <w:lang w:val="es-CO"/>
        </w:rPr>
      </w:pPr>
      <w:r w:rsidRPr="00FD4B2F">
        <w:rPr>
          <w:rFonts w:cs="Arial"/>
          <w:vertAlign w:val="superscript"/>
          <w:lang w:val="es-CO"/>
        </w:rPr>
        <w:t>a</w:t>
      </w:r>
      <w:r w:rsidR="00FD211B" w:rsidRPr="00FD4B2F">
        <w:rPr>
          <w:rFonts w:cs="Arial"/>
          <w:lang w:val="es-CO"/>
        </w:rPr>
        <w:t>Escuela de Ingeniería, Universidad Pontificia Bolivariana,</w:t>
      </w:r>
      <w:r w:rsidRPr="00FD4B2F">
        <w:rPr>
          <w:rFonts w:cs="Arial"/>
          <w:lang w:val="es-CO"/>
        </w:rPr>
        <w:t xml:space="preserve"> </w:t>
      </w:r>
      <w:r w:rsidR="00D7328F">
        <w:rPr>
          <w:rFonts w:cs="Arial"/>
          <w:lang w:val="es-CO"/>
        </w:rPr>
        <w:t xml:space="preserve">Sede central – Medellín. </w:t>
      </w:r>
      <w:r w:rsidR="00FD211B" w:rsidRPr="00FD4B2F">
        <w:rPr>
          <w:rFonts w:cs="Arial"/>
          <w:lang w:val="es-CO"/>
        </w:rPr>
        <w:t xml:space="preserve">Circular 1a </w:t>
      </w:r>
      <w:r w:rsidR="00D7328F">
        <w:rPr>
          <w:rFonts w:cs="Arial"/>
          <w:lang w:val="es-CO"/>
        </w:rPr>
        <w:t xml:space="preserve"># </w:t>
      </w:r>
      <w:r w:rsidR="00FD211B" w:rsidRPr="00FD4B2F">
        <w:rPr>
          <w:rFonts w:cs="Arial"/>
          <w:lang w:val="es-CO"/>
        </w:rPr>
        <w:t xml:space="preserve">70-01, </w:t>
      </w:r>
      <w:r w:rsidR="00D7328F">
        <w:rPr>
          <w:rFonts w:cs="Arial"/>
          <w:lang w:val="es-CO"/>
        </w:rPr>
        <w:t xml:space="preserve">Medellín, </w:t>
      </w:r>
      <w:r w:rsidR="00FD211B" w:rsidRPr="00FD4B2F">
        <w:rPr>
          <w:rFonts w:cs="Arial"/>
          <w:lang w:val="es-CO"/>
        </w:rPr>
        <w:t>Colombia</w:t>
      </w:r>
      <w:r w:rsidRPr="00FD4B2F">
        <w:rPr>
          <w:rFonts w:cs="Arial"/>
          <w:lang w:val="es-CO"/>
        </w:rPr>
        <w:t xml:space="preserve"> </w:t>
      </w:r>
    </w:p>
    <w:p w14:paraId="3D72B0B0" w14:textId="6C9DBE47" w:rsidR="00B57E6F" w:rsidRPr="00FD4B2F" w:rsidRDefault="00B57E6F" w:rsidP="00B57E6F">
      <w:pPr>
        <w:pStyle w:val="CETAddress"/>
        <w:rPr>
          <w:rFonts w:cs="Arial"/>
          <w:lang w:val="es-CO"/>
        </w:rPr>
      </w:pPr>
      <w:r w:rsidRPr="00FD4B2F">
        <w:rPr>
          <w:rFonts w:cs="Arial"/>
          <w:vertAlign w:val="superscript"/>
          <w:lang w:val="es-CO"/>
        </w:rPr>
        <w:t>b</w:t>
      </w:r>
      <w:r w:rsidR="00C82A48">
        <w:rPr>
          <w:rFonts w:cs="Arial"/>
          <w:lang w:val="es-CO"/>
        </w:rPr>
        <w:t xml:space="preserve">Programa de </w:t>
      </w:r>
      <w:r w:rsidR="00A63EF9">
        <w:rPr>
          <w:rFonts w:cs="Arial"/>
          <w:lang w:val="es-CO"/>
        </w:rPr>
        <w:t>I</w:t>
      </w:r>
      <w:r w:rsidR="00D05D99" w:rsidRPr="00FD4B2F">
        <w:rPr>
          <w:rFonts w:cs="Arial"/>
          <w:lang w:val="es-CO"/>
        </w:rPr>
        <w:t>ngeniería Agroindustrial, Universidad Popular del Cesar, Sede Sabanas Diagonal 21 No. 29-56, Colombia</w:t>
      </w:r>
    </w:p>
    <w:p w14:paraId="73F1267A" w14:textId="6FDC6797" w:rsidR="00B57E6F" w:rsidRPr="00FD4B2F" w:rsidRDefault="00B57E6F" w:rsidP="00B57E6F">
      <w:pPr>
        <w:pStyle w:val="CETemail"/>
        <w:rPr>
          <w:rFonts w:cs="Arial"/>
          <w:lang w:val="en-US"/>
        </w:rPr>
      </w:pPr>
      <w:r w:rsidRPr="00FD4B2F">
        <w:rPr>
          <w:rFonts w:cs="Arial"/>
          <w:lang w:val="es-CO"/>
        </w:rPr>
        <w:t xml:space="preserve"> </w:t>
      </w:r>
      <w:r w:rsidR="00D05D99" w:rsidRPr="00FD4B2F">
        <w:rPr>
          <w:rFonts w:cs="Arial"/>
          <w:lang w:val="en-US"/>
        </w:rPr>
        <w:t>jose.mazo@upb.edu.co</w:t>
      </w:r>
    </w:p>
    <w:p w14:paraId="057D3C51" w14:textId="6B4DEA01" w:rsidR="00046969" w:rsidRPr="00A63EF9" w:rsidRDefault="00CC0A2A" w:rsidP="00046969">
      <w:pPr>
        <w:pStyle w:val="CETBodytext"/>
        <w:rPr>
          <w:rFonts w:cs="Arial"/>
        </w:rPr>
      </w:pPr>
      <w:r w:rsidRPr="00CC0A2A">
        <w:rPr>
          <w:rFonts w:cs="Arial"/>
        </w:rPr>
        <w:t>In this work, we explore the use of oil palm kernel shells (PKS) to produce hydrochar (HC), which promotes sodium adsorption in saline soils. The aim was to identify a PKS-derived hydrochar with a high specific surface area and presence of oxygenated functional groups for sodium adsorption.</w:t>
      </w:r>
      <w:r w:rsidR="00046969" w:rsidRPr="00046969">
        <w:rPr>
          <w:rFonts w:cs="Arial"/>
        </w:rPr>
        <w:t xml:space="preserve"> We applied a 2² factorial design, </w:t>
      </w:r>
      <w:r w:rsidR="00046969" w:rsidRPr="004A25CF">
        <w:rPr>
          <w:rFonts w:cs="Arial"/>
        </w:rPr>
        <w:t xml:space="preserve">varying temperature and time, with a randomized center point. </w:t>
      </w:r>
      <w:r w:rsidR="00E3273D" w:rsidRPr="004A25CF">
        <w:rPr>
          <w:rFonts w:cs="Arial"/>
        </w:rPr>
        <w:t>The hydrochar</w:t>
      </w:r>
      <w:r w:rsidR="00046969" w:rsidRPr="004A25CF">
        <w:rPr>
          <w:rFonts w:cs="Arial"/>
        </w:rPr>
        <w:t xml:space="preserve"> were porous and superficially characterized by gas physisorption of nitrogen at 77 K</w:t>
      </w:r>
      <w:r w:rsidR="00E3273D" w:rsidRPr="004A25CF">
        <w:rPr>
          <w:rFonts w:cs="Arial"/>
        </w:rPr>
        <w:t xml:space="preserve"> to obtain the specific surface area (A</w:t>
      </w:r>
      <w:r w:rsidR="00E3273D" w:rsidRPr="004A25CF">
        <w:rPr>
          <w:rFonts w:cs="Arial"/>
          <w:vertAlign w:val="subscript"/>
        </w:rPr>
        <w:t>BET</w:t>
      </w:r>
      <w:r w:rsidR="00E3273D" w:rsidRPr="004A25CF">
        <w:rPr>
          <w:rFonts w:cs="Arial"/>
        </w:rPr>
        <w:t>)</w:t>
      </w:r>
      <w:r w:rsidR="00046969" w:rsidRPr="004A25CF">
        <w:rPr>
          <w:rFonts w:cs="Arial"/>
        </w:rPr>
        <w:t xml:space="preserve">, XPS for elemental composition, FTIR for functional groups, elemental analysis, and TGA for weight changes, and DTG for rate of weight change. </w:t>
      </w:r>
      <w:r w:rsidR="00E3273D" w:rsidRPr="004A25CF">
        <w:rPr>
          <w:rFonts w:cs="Arial"/>
        </w:rPr>
        <w:t>Simple</w:t>
      </w:r>
      <w:r w:rsidR="00E3273D">
        <w:rPr>
          <w:rFonts w:cs="Arial"/>
        </w:rPr>
        <w:t xml:space="preserve"> </w:t>
      </w:r>
      <w:r w:rsidR="00046969" w:rsidRPr="00046969">
        <w:rPr>
          <w:rFonts w:cs="Arial"/>
        </w:rPr>
        <w:t>ANOVA</w:t>
      </w:r>
      <w:r w:rsidR="00E3273D">
        <w:rPr>
          <w:rFonts w:cs="Arial"/>
        </w:rPr>
        <w:t xml:space="preserve"> </w:t>
      </w:r>
      <w:r w:rsidR="00BC763C">
        <w:rPr>
          <w:rFonts w:cs="Arial"/>
        </w:rPr>
        <w:t xml:space="preserve">results showed that temperature has a significant effect on </w:t>
      </w:r>
      <w:r w:rsidR="00046969" w:rsidRPr="00046969">
        <w:rPr>
          <w:rFonts w:cs="Arial"/>
        </w:rPr>
        <w:t>A</w:t>
      </w:r>
      <w:r w:rsidR="00046969" w:rsidRPr="00046969">
        <w:rPr>
          <w:rFonts w:cs="Arial"/>
          <w:vertAlign w:val="subscript"/>
        </w:rPr>
        <w:t>BET</w:t>
      </w:r>
      <w:r w:rsidR="00046969" w:rsidRPr="00046969">
        <w:rPr>
          <w:rFonts w:cs="Arial"/>
        </w:rPr>
        <w:t>: A</w:t>
      </w:r>
      <w:r w:rsidR="00046969" w:rsidRPr="004A25CF">
        <w:rPr>
          <w:rFonts w:cs="Arial"/>
          <w:vertAlign w:val="subscript"/>
        </w:rPr>
        <w:t>BET</w:t>
      </w:r>
      <w:r w:rsidR="00BC763C" w:rsidRPr="004A25CF">
        <w:rPr>
          <w:rFonts w:cs="Arial"/>
          <w:vertAlign w:val="subscript"/>
        </w:rPr>
        <w:t>,</w:t>
      </w:r>
      <w:r w:rsidR="00046969" w:rsidRPr="004A25CF">
        <w:rPr>
          <w:rFonts w:cs="Arial"/>
          <w:vertAlign w:val="subscript"/>
        </w:rPr>
        <w:t>180</w:t>
      </w:r>
      <w:r w:rsidR="004A25CF">
        <w:rPr>
          <w:rFonts w:cs="Arial"/>
          <w:vertAlign w:val="subscript"/>
        </w:rPr>
        <w:t xml:space="preserve"> </w:t>
      </w:r>
      <w:r w:rsidR="00046969" w:rsidRPr="004A25CF">
        <w:rPr>
          <w:rFonts w:cs="Arial"/>
          <w:vertAlign w:val="subscript"/>
        </w:rPr>
        <w:t xml:space="preserve">°C </w:t>
      </w:r>
      <w:r w:rsidR="00046969" w:rsidRPr="00046969">
        <w:rPr>
          <w:rFonts w:cs="Arial"/>
        </w:rPr>
        <w:t>&lt; A</w:t>
      </w:r>
      <w:r w:rsidR="00046969" w:rsidRPr="004A25CF">
        <w:rPr>
          <w:rFonts w:cs="Arial"/>
          <w:vertAlign w:val="subscript"/>
        </w:rPr>
        <w:t>BET</w:t>
      </w:r>
      <w:r w:rsidR="00BC763C" w:rsidRPr="004A25CF">
        <w:rPr>
          <w:rFonts w:cs="Arial"/>
          <w:vertAlign w:val="subscript"/>
        </w:rPr>
        <w:t>,</w:t>
      </w:r>
      <w:r w:rsidR="00046969" w:rsidRPr="004A25CF">
        <w:rPr>
          <w:rFonts w:cs="Arial"/>
          <w:vertAlign w:val="subscript"/>
        </w:rPr>
        <w:t>205</w:t>
      </w:r>
      <w:r w:rsidR="004A25CF">
        <w:rPr>
          <w:rFonts w:cs="Arial"/>
          <w:vertAlign w:val="subscript"/>
        </w:rPr>
        <w:t xml:space="preserve"> </w:t>
      </w:r>
      <w:r w:rsidR="00046969" w:rsidRPr="004A25CF">
        <w:rPr>
          <w:rFonts w:cs="Arial"/>
          <w:vertAlign w:val="subscript"/>
        </w:rPr>
        <w:t>°C</w:t>
      </w:r>
      <w:r w:rsidR="00046969" w:rsidRPr="00046969">
        <w:rPr>
          <w:rFonts w:cs="Arial"/>
        </w:rPr>
        <w:t xml:space="preserve"> ≈ A</w:t>
      </w:r>
      <w:r w:rsidR="00046969" w:rsidRPr="004A25CF">
        <w:rPr>
          <w:rFonts w:cs="Arial"/>
          <w:vertAlign w:val="subscript"/>
        </w:rPr>
        <w:t>BET</w:t>
      </w:r>
      <w:r w:rsidR="00BC763C" w:rsidRPr="004A25CF">
        <w:rPr>
          <w:rFonts w:cs="Arial"/>
          <w:vertAlign w:val="subscript"/>
        </w:rPr>
        <w:t>,</w:t>
      </w:r>
      <w:r w:rsidR="00046969" w:rsidRPr="004A25CF">
        <w:rPr>
          <w:rFonts w:cs="Arial"/>
          <w:vertAlign w:val="subscript"/>
        </w:rPr>
        <w:t>230</w:t>
      </w:r>
      <w:r w:rsidR="004A25CF">
        <w:rPr>
          <w:rFonts w:cs="Arial"/>
          <w:vertAlign w:val="subscript"/>
        </w:rPr>
        <w:t xml:space="preserve"> </w:t>
      </w:r>
      <w:r w:rsidR="00046969" w:rsidRPr="004A25CF">
        <w:rPr>
          <w:rFonts w:cs="Arial"/>
          <w:vertAlign w:val="subscript"/>
        </w:rPr>
        <w:t>°C</w:t>
      </w:r>
      <w:r w:rsidR="00046969" w:rsidRPr="00046969">
        <w:rPr>
          <w:rFonts w:cs="Arial"/>
        </w:rPr>
        <w:t xml:space="preserve">. </w:t>
      </w:r>
      <w:r w:rsidR="007E4097" w:rsidRPr="007E4097">
        <w:rPr>
          <w:rFonts w:cs="Arial"/>
        </w:rPr>
        <w:t xml:space="preserve">Time did not have a significant effect, as the </w:t>
      </w:r>
      <w:r w:rsidR="002E1B5F" w:rsidRPr="002E1B5F">
        <w:rPr>
          <w:rFonts w:cs="Arial"/>
        </w:rPr>
        <w:t>A</w:t>
      </w:r>
      <w:r w:rsidR="002E1B5F" w:rsidRPr="004A25CF">
        <w:rPr>
          <w:rFonts w:cs="Arial"/>
          <w:vertAlign w:val="subscript"/>
        </w:rPr>
        <w:t>BET</w:t>
      </w:r>
      <w:r w:rsidR="002E1B5F" w:rsidRPr="002E1B5F">
        <w:rPr>
          <w:rFonts w:cs="Arial"/>
        </w:rPr>
        <w:t xml:space="preserve"> ranges (4 h, 22 h, 40 h) overlapped. </w:t>
      </w:r>
      <w:r w:rsidR="007E4097">
        <w:rPr>
          <w:rFonts w:cs="Arial"/>
        </w:rPr>
        <w:t>Thus</w:t>
      </w:r>
      <w:r w:rsidR="002E1B5F" w:rsidRPr="002E1B5F">
        <w:rPr>
          <w:rFonts w:cs="Arial"/>
        </w:rPr>
        <w:t>, 205</w:t>
      </w:r>
      <w:r w:rsidR="004A25CF">
        <w:rPr>
          <w:rFonts w:cs="Arial"/>
        </w:rPr>
        <w:t xml:space="preserve"> </w:t>
      </w:r>
      <w:r w:rsidR="002E1B5F" w:rsidRPr="002E1B5F">
        <w:rPr>
          <w:rFonts w:cs="Arial"/>
        </w:rPr>
        <w:t>°C and 22 h were selected as the operational conditions to produce the hydrochar (HC-205-22) for sodium adsorption analysis, due to the high A</w:t>
      </w:r>
      <w:r w:rsidR="002E1B5F" w:rsidRPr="004A25CF">
        <w:rPr>
          <w:rFonts w:cs="Arial"/>
          <w:vertAlign w:val="subscript"/>
        </w:rPr>
        <w:t>BET</w:t>
      </w:r>
      <w:r w:rsidR="002E1B5F" w:rsidRPr="002E1B5F">
        <w:rPr>
          <w:rFonts w:cs="Arial"/>
        </w:rPr>
        <w:t xml:space="preserve"> and oxygen/carbon ratio of 39.1 m</w:t>
      </w:r>
      <w:r w:rsidR="002E1B5F" w:rsidRPr="004A25CF">
        <w:rPr>
          <w:rFonts w:cs="Arial"/>
          <w:vertAlign w:val="superscript"/>
        </w:rPr>
        <w:t>2</w:t>
      </w:r>
      <w:r w:rsidR="002E1B5F" w:rsidRPr="002E1B5F">
        <w:rPr>
          <w:rFonts w:cs="Arial"/>
        </w:rPr>
        <w:t xml:space="preserve"> g</w:t>
      </w:r>
      <w:r w:rsidR="002E1B5F" w:rsidRPr="004A25CF">
        <w:rPr>
          <w:rFonts w:cs="Arial"/>
          <w:vertAlign w:val="superscript"/>
        </w:rPr>
        <w:t>-1</w:t>
      </w:r>
      <w:r w:rsidR="002E1B5F" w:rsidRPr="002E1B5F">
        <w:rPr>
          <w:rFonts w:cs="Arial"/>
        </w:rPr>
        <w:t xml:space="preserve"> and 0.35, respectively. The surface contained oxygenated groups of HC-205-22, showing mainly ether oxygen in anhydrides and lactones (C-O-C), alcohol-phenol bonds (C–OH), carbonyl (C=O), and carboxyl (O=C–O) groups. </w:t>
      </w:r>
      <w:r w:rsidR="007E4097" w:rsidRPr="007E4097">
        <w:rPr>
          <w:rFonts w:cs="Arial"/>
        </w:rPr>
        <w:t>The Langmuir isotherm estimated a maximum sodium adsorption capacity of 62.57 mg g</w:t>
      </w:r>
      <w:r w:rsidR="007E4097" w:rsidRPr="000D6512">
        <w:rPr>
          <w:rFonts w:cs="Arial"/>
          <w:vertAlign w:val="superscript"/>
        </w:rPr>
        <w:t>-1</w:t>
      </w:r>
      <w:r w:rsidR="007E4097" w:rsidRPr="007E4097">
        <w:rPr>
          <w:rFonts w:cs="Arial"/>
        </w:rPr>
        <w:t xml:space="preserve"> and an adsorption intensity (n) of 1.292, indicating that this material is suitable for sodium adsorption.</w:t>
      </w:r>
    </w:p>
    <w:p w14:paraId="476B2F2E" w14:textId="555E3C3C" w:rsidR="00600535" w:rsidRPr="00FD4B2F" w:rsidRDefault="00AB27F1" w:rsidP="0018115B">
      <w:pPr>
        <w:pStyle w:val="CETBodytext"/>
        <w:spacing w:before="240" w:after="120"/>
        <w:rPr>
          <w:rFonts w:cs="Arial"/>
          <w:b/>
          <w:bCs/>
          <w:lang w:val="en-GB"/>
        </w:rPr>
      </w:pPr>
      <w:r w:rsidRPr="00FD4B2F">
        <w:rPr>
          <w:rFonts w:cs="Arial"/>
          <w:b/>
          <w:bCs/>
          <w:lang w:val="en-GB"/>
        </w:rPr>
        <w:t xml:space="preserve">1. </w:t>
      </w:r>
      <w:r w:rsidR="00600535" w:rsidRPr="00FD4B2F">
        <w:rPr>
          <w:rFonts w:cs="Arial"/>
          <w:b/>
          <w:bCs/>
          <w:lang w:val="en-GB"/>
        </w:rPr>
        <w:t>Introduction</w:t>
      </w:r>
    </w:p>
    <w:p w14:paraId="65BEE4B1" w14:textId="2D6F8F05" w:rsidR="00FF60C5" w:rsidRDefault="002B7F9E" w:rsidP="0018738F">
      <w:pPr>
        <w:pStyle w:val="CETBodytext"/>
        <w:rPr>
          <w:rFonts w:cs="Arial"/>
          <w:lang w:val="en-GB"/>
        </w:rPr>
      </w:pPr>
      <w:r w:rsidRPr="002B7F9E">
        <w:rPr>
          <w:rFonts w:cs="Arial"/>
        </w:rPr>
        <w:t>Soil salinity (saline and alkaline soils) negatively affects crop development because it increases the osmotic pressure around plant roots, making it more difficult for plants to absorb water. As a result, even though water is present in the soil, the roots are unable to take it up effectively, leading to physiological dehydration in plants</w:t>
      </w:r>
      <w:bookmarkStart w:id="1" w:name="_Hlk173350710"/>
      <w:r>
        <w:rPr>
          <w:rFonts w:cs="Arial"/>
        </w:rPr>
        <w:t xml:space="preserve"> </w:t>
      </w:r>
      <w:sdt>
        <w:sdtPr>
          <w:rPr>
            <w:rFonts w:cs="Arial"/>
            <w:color w:val="000000"/>
            <w:szCs w:val="18"/>
          </w:rPr>
          <w:tag w:val="MENDELEY_CITATION_v3_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"/>
          <w:id w:val="232970842"/>
          <w:placeholder>
            <w:docPart w:val="6C7B64DF7C2C453EA6EC56C67AFA50BD"/>
          </w:placeholder>
        </w:sdtPr>
        <w:sdtContent>
          <w:r w:rsidR="00027876" w:rsidRPr="00027876">
            <w:rPr>
              <w:rFonts w:cs="Arial"/>
              <w:color w:val="000000"/>
              <w:szCs w:val="18"/>
            </w:rPr>
            <w:t>(He et al., 2020)</w:t>
          </w:r>
        </w:sdtContent>
      </w:sdt>
      <w:bookmarkEnd w:id="1"/>
      <w:r w:rsidR="0065666E" w:rsidRPr="00FD4B2F">
        <w:rPr>
          <w:rFonts w:cs="Arial"/>
          <w:lang w:val="en-GB"/>
        </w:rPr>
        <w:t xml:space="preserve">. </w:t>
      </w:r>
      <w:r w:rsidR="00D52566">
        <w:rPr>
          <w:rFonts w:cs="Arial"/>
          <w:lang w:val="en-GB"/>
        </w:rPr>
        <w:t>W</w:t>
      </w:r>
      <w:r w:rsidR="0065666E" w:rsidRPr="00FD4B2F">
        <w:rPr>
          <w:rFonts w:cs="Arial"/>
          <w:lang w:val="en-GB"/>
        </w:rPr>
        <w:t>ater-soluble salts such as sodium (Na</w:t>
      </w:r>
      <w:r w:rsidR="0065666E" w:rsidRPr="00FD4B2F">
        <w:rPr>
          <w:rFonts w:cs="Arial"/>
          <w:vertAlign w:val="superscript"/>
          <w:lang w:val="en-GB"/>
        </w:rPr>
        <w:t>+</w:t>
      </w:r>
      <w:r w:rsidR="0065666E" w:rsidRPr="00FD4B2F">
        <w:rPr>
          <w:rFonts w:cs="Arial"/>
          <w:lang w:val="en-GB"/>
        </w:rPr>
        <w:t>), potassium (K</w:t>
      </w:r>
      <w:r w:rsidR="0065666E" w:rsidRPr="00FD4B2F">
        <w:rPr>
          <w:rFonts w:cs="Arial"/>
          <w:vertAlign w:val="superscript"/>
          <w:lang w:val="en-GB"/>
        </w:rPr>
        <w:t>+</w:t>
      </w:r>
      <w:r w:rsidR="0065666E" w:rsidRPr="00FD4B2F">
        <w:rPr>
          <w:rFonts w:cs="Arial"/>
          <w:lang w:val="en-GB"/>
        </w:rPr>
        <w:t>), chloride (Cl</w:t>
      </w:r>
      <w:r w:rsidR="0065666E" w:rsidRPr="00FD4B2F">
        <w:rPr>
          <w:rFonts w:cs="Arial"/>
          <w:vertAlign w:val="superscript"/>
          <w:lang w:val="en-GB"/>
        </w:rPr>
        <w:t>-</w:t>
      </w:r>
      <w:r w:rsidR="0065666E" w:rsidRPr="00FD4B2F">
        <w:rPr>
          <w:rFonts w:cs="Arial"/>
          <w:lang w:val="en-GB"/>
        </w:rPr>
        <w:t xml:space="preserve">), and </w:t>
      </w:r>
      <w:r w:rsidR="00D52566" w:rsidRPr="00FD4B2F">
        <w:rPr>
          <w:rFonts w:cs="Arial"/>
          <w:lang w:val="en-GB"/>
        </w:rPr>
        <w:t>su</w:t>
      </w:r>
      <w:r w:rsidR="00D52566">
        <w:rPr>
          <w:rFonts w:cs="Arial"/>
          <w:lang w:val="en-GB"/>
        </w:rPr>
        <w:t>lf</w:t>
      </w:r>
      <w:r w:rsidR="00D52566" w:rsidRPr="00FD4B2F">
        <w:rPr>
          <w:rFonts w:cs="Arial"/>
          <w:lang w:val="en-GB"/>
        </w:rPr>
        <w:t>ate</w:t>
      </w:r>
      <w:r w:rsidR="0065666E" w:rsidRPr="00FD4B2F">
        <w:rPr>
          <w:rFonts w:cs="Arial"/>
          <w:lang w:val="en-GB"/>
        </w:rPr>
        <w:t xml:space="preserve"> (SO</w:t>
      </w:r>
      <w:r w:rsidR="0065666E" w:rsidRPr="00FD4B2F">
        <w:rPr>
          <w:rFonts w:cs="Arial"/>
          <w:vertAlign w:val="subscript"/>
          <w:lang w:val="en-GB"/>
        </w:rPr>
        <w:t>4</w:t>
      </w:r>
      <w:r w:rsidR="0065666E" w:rsidRPr="00FD4B2F">
        <w:rPr>
          <w:rFonts w:cs="Arial"/>
          <w:vertAlign w:val="superscript"/>
          <w:lang w:val="en-GB"/>
        </w:rPr>
        <w:t>2-</w:t>
      </w:r>
      <w:r w:rsidR="0065666E" w:rsidRPr="00FD4B2F">
        <w:rPr>
          <w:rFonts w:cs="Arial"/>
          <w:lang w:val="en-GB"/>
        </w:rPr>
        <w:t>)</w:t>
      </w:r>
      <w:r w:rsidR="00D52566">
        <w:rPr>
          <w:rFonts w:cs="Arial"/>
          <w:lang w:val="en-GB"/>
        </w:rPr>
        <w:t xml:space="preserve"> </w:t>
      </w:r>
      <w:r w:rsidR="00D52566" w:rsidRPr="00D52566">
        <w:rPr>
          <w:rFonts w:cs="Arial"/>
          <w:lang w:val="en-GB"/>
        </w:rPr>
        <w:t>contribute to</w:t>
      </w:r>
      <w:r w:rsidR="00D52566">
        <w:rPr>
          <w:rFonts w:cs="Arial"/>
          <w:lang w:val="en-GB"/>
        </w:rPr>
        <w:t xml:space="preserve"> s</w:t>
      </w:r>
      <w:r w:rsidR="00D52566" w:rsidRPr="00FD4B2F">
        <w:rPr>
          <w:rFonts w:cs="Arial"/>
          <w:lang w:val="en-GB"/>
        </w:rPr>
        <w:t>oil salinity</w:t>
      </w:r>
      <w:r w:rsidR="00D52566">
        <w:rPr>
          <w:rFonts w:cs="Arial"/>
          <w:lang w:val="en-GB"/>
        </w:rPr>
        <w:t xml:space="preserve">, </w:t>
      </w:r>
      <w:r w:rsidR="00D52566" w:rsidRPr="00D52566">
        <w:rPr>
          <w:rFonts w:cs="Arial"/>
        </w:rPr>
        <w:t>which can lead to plant dehydration by making it harder for them to absorb water from the soil.</w:t>
      </w:r>
      <w:r w:rsidR="00F034C1">
        <w:rPr>
          <w:rFonts w:cs="Arial"/>
        </w:rPr>
        <w:t xml:space="preserve"> </w:t>
      </w:r>
      <w:r w:rsidR="0065666E" w:rsidRPr="00FD4B2F">
        <w:rPr>
          <w:rFonts w:cs="Arial"/>
          <w:lang w:val="en-GB"/>
        </w:rPr>
        <w:t xml:space="preserve">These salts depend on natural conditions such as the mineralogy (origin) of the material, topography, and groundwater levels, as well as on anthropogenic activities attributed to irrigation without water leaching and poor drainage. </w:t>
      </w:r>
      <w:r w:rsidR="00EC2634">
        <w:rPr>
          <w:rFonts w:cs="Arial"/>
          <w:lang w:val="en-GB"/>
        </w:rPr>
        <w:t>These factors</w:t>
      </w:r>
      <w:r w:rsidR="00F034C1">
        <w:rPr>
          <w:rFonts w:cs="Arial"/>
          <w:lang w:val="en-GB"/>
        </w:rPr>
        <w:t xml:space="preserve"> allow</w:t>
      </w:r>
      <w:r w:rsidR="0065666E" w:rsidRPr="00FD4B2F">
        <w:rPr>
          <w:rFonts w:cs="Arial"/>
          <w:lang w:val="en-GB"/>
        </w:rPr>
        <w:t xml:space="preserve"> dissolved salts such as chloride ions, sodium ions, and calcium carbonate to accumulate in the soil profile or on the surface </w:t>
      </w:r>
      <w:sdt>
        <w:sdtPr>
          <w:rPr>
            <w:rFonts w:cs="Arial"/>
            <w:color w:val="000000"/>
            <w:szCs w:val="18"/>
          </w:rPr>
          <w:tag w:val="MENDELEY_CITATION_v3_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"/>
          <w:id w:val="197751221"/>
          <w:placeholder>
            <w:docPart w:val="E73E2191B2A743D6A2FFD37428EA19B2"/>
          </w:placeholder>
        </w:sdtPr>
        <w:sdtContent>
          <w:r w:rsidR="00027876" w:rsidRPr="00027876">
            <w:rPr>
              <w:rFonts w:cs="Arial"/>
              <w:color w:val="000000"/>
              <w:szCs w:val="18"/>
            </w:rPr>
            <w:t>(Stavi et al., 2021)</w:t>
          </w:r>
        </w:sdtContent>
      </w:sdt>
      <w:r w:rsidR="0065666E" w:rsidRPr="00FD4B2F">
        <w:rPr>
          <w:rFonts w:cs="Arial"/>
          <w:lang w:val="en-GB"/>
        </w:rPr>
        <w:t xml:space="preserve">. </w:t>
      </w:r>
      <w:r w:rsidR="00EC2634">
        <w:rPr>
          <w:rFonts w:cs="Arial"/>
          <w:lang w:val="en-GB"/>
        </w:rPr>
        <w:t xml:space="preserve">Notably, </w:t>
      </w:r>
      <w:r w:rsidR="0065666E" w:rsidRPr="00FD4B2F">
        <w:rPr>
          <w:rFonts w:cs="Arial"/>
          <w:lang w:val="en-GB"/>
        </w:rPr>
        <w:t>soil salinity focuses mainly on the presence of Na</w:t>
      </w:r>
      <w:r w:rsidR="0065666E" w:rsidRPr="00FD4B2F">
        <w:rPr>
          <w:rFonts w:cs="Arial"/>
          <w:vertAlign w:val="superscript"/>
          <w:lang w:val="en-GB"/>
        </w:rPr>
        <w:t>+</w:t>
      </w:r>
      <w:r w:rsidR="0065666E" w:rsidRPr="00FD4B2F">
        <w:rPr>
          <w:rFonts w:cs="Arial"/>
          <w:lang w:val="en-GB"/>
        </w:rPr>
        <w:t xml:space="preserve"> and Cl</w:t>
      </w:r>
      <w:r w:rsidR="0065666E" w:rsidRPr="00FD4B2F">
        <w:rPr>
          <w:rFonts w:cs="Arial"/>
          <w:vertAlign w:val="superscript"/>
          <w:lang w:val="en-GB"/>
        </w:rPr>
        <w:t>-</w:t>
      </w:r>
      <w:r w:rsidR="00EC2634">
        <w:rPr>
          <w:rFonts w:cs="Arial"/>
          <w:lang w:val="en-GB"/>
        </w:rPr>
        <w:t xml:space="preserve">, which </w:t>
      </w:r>
      <w:r w:rsidR="0065666E" w:rsidRPr="00FD4B2F">
        <w:rPr>
          <w:rFonts w:cs="Arial"/>
          <w:lang w:val="en-GB"/>
        </w:rPr>
        <w:t xml:space="preserve">are not considered plant nutrients and negatively </w:t>
      </w:r>
      <w:r w:rsidR="00A30E56">
        <w:rPr>
          <w:rFonts w:cs="Arial"/>
          <w:lang w:val="en-GB"/>
        </w:rPr>
        <w:t xml:space="preserve">affect </w:t>
      </w:r>
      <w:r w:rsidR="0065666E" w:rsidRPr="00FD4B2F">
        <w:rPr>
          <w:rFonts w:cs="Arial"/>
          <w:lang w:val="en-GB"/>
        </w:rPr>
        <w:t xml:space="preserve">the soil by altering its pH, reducing nutritional quality, and decreasing microbial activity </w:t>
      </w:r>
      <w:sdt>
        <w:sdtPr>
          <w:rPr>
            <w:rFonts w:cs="Arial"/>
            <w:color w:val="000000"/>
            <w:szCs w:val="18"/>
          </w:rPr>
          <w:tag w:val="MENDELEY_CITATION_v3_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"/>
          <w:id w:val="-111904158"/>
          <w:placeholder>
            <w:docPart w:val="D42A949F8BDD4896A0F379369785C742"/>
          </w:placeholder>
        </w:sdtPr>
        <w:sdtContent>
          <w:r w:rsidR="00027876" w:rsidRPr="00027876">
            <w:rPr>
              <w:rFonts w:cs="Arial"/>
              <w:color w:val="000000"/>
              <w:szCs w:val="18"/>
            </w:rPr>
            <w:t>(Ma et al., 2024)</w:t>
          </w:r>
        </w:sdtContent>
      </w:sdt>
      <w:r w:rsidR="0065666E" w:rsidRPr="00FD4B2F">
        <w:rPr>
          <w:rFonts w:cs="Arial"/>
          <w:lang w:val="en-GB"/>
        </w:rPr>
        <w:t>.</w:t>
      </w:r>
      <w:r w:rsidR="009640DE">
        <w:rPr>
          <w:rFonts w:cs="Arial"/>
          <w:lang w:val="en-GB"/>
        </w:rPr>
        <w:t xml:space="preserve"> </w:t>
      </w:r>
      <w:r w:rsidR="009640DE" w:rsidRPr="009640DE">
        <w:rPr>
          <w:rFonts w:cs="Arial"/>
        </w:rPr>
        <w:t>This degrades agricultural soil, causes poor crop growth, and reduces plant productivity</w:t>
      </w:r>
      <w:r w:rsidR="009640DE">
        <w:rPr>
          <w:rFonts w:cs="Arial"/>
        </w:rPr>
        <w:t xml:space="preserve"> </w:t>
      </w:r>
      <w:sdt>
        <w:sdtPr>
          <w:rPr>
            <w:rFonts w:cs="Arial"/>
            <w:color w:val="000000"/>
            <w:szCs w:val="18"/>
          </w:rPr>
          <w:tag w:val="MENDELEY_CITATION_v3_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"/>
          <w:id w:val="-2001573176"/>
          <w:placeholder>
            <w:docPart w:val="9CC010EF5AC745CFA67892B81AE87D25"/>
          </w:placeholder>
        </w:sdtPr>
        <w:sdtContent>
          <w:r w:rsidR="00027876" w:rsidRPr="00027876">
            <w:rPr>
              <w:rFonts w:cs="Arial"/>
              <w:color w:val="000000"/>
              <w:szCs w:val="18"/>
            </w:rPr>
            <w:t>(Abbas et al., 2022)</w:t>
          </w:r>
        </w:sdtContent>
      </w:sdt>
      <w:r w:rsidR="009640DE">
        <w:rPr>
          <w:rFonts w:cs="Arial"/>
        </w:rPr>
        <w:t xml:space="preserve">. </w:t>
      </w:r>
      <w:r w:rsidR="009640DE" w:rsidRPr="009640DE">
        <w:rPr>
          <w:rFonts w:cs="Arial"/>
        </w:rPr>
        <w:t>It also affects 1.03 billion hectares globally under saline conditions</w:t>
      </w:r>
      <w:r w:rsidR="0065666E" w:rsidRPr="00FD4B2F">
        <w:rPr>
          <w:rFonts w:cs="Arial"/>
          <w:lang w:val="en-GB"/>
        </w:rPr>
        <w:t xml:space="preserve"> </w:t>
      </w:r>
      <w:sdt>
        <w:sdtPr>
          <w:rPr>
            <w:rFonts w:cs="Arial"/>
            <w:color w:val="000000"/>
            <w:szCs w:val="18"/>
          </w:rPr>
          <w:tag w:val="MENDELEY_CITATION_v3_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"/>
          <w:id w:val="143168857"/>
          <w:placeholder>
            <w:docPart w:val="EBE22800DA1146A585E3B9099CA6C433"/>
          </w:placeholder>
        </w:sdtPr>
        <w:sdtContent>
          <w:r w:rsidR="00027876" w:rsidRPr="00027876">
            <w:rPr>
              <w:rFonts w:cs="Arial"/>
              <w:color w:val="000000"/>
              <w:szCs w:val="18"/>
            </w:rPr>
            <w:t>(Shahid et al., 2018)</w:t>
          </w:r>
        </w:sdtContent>
      </w:sdt>
      <w:r w:rsidR="0065666E" w:rsidRPr="00FD4B2F">
        <w:rPr>
          <w:rFonts w:cs="Arial"/>
          <w:lang w:val="en-GB"/>
        </w:rPr>
        <w:t xml:space="preserve">. </w:t>
      </w:r>
      <w:r w:rsidR="00121BA2" w:rsidRPr="00121BA2">
        <w:rPr>
          <w:rFonts w:cs="Arial"/>
          <w:lang w:val="en-GB"/>
        </w:rPr>
        <w:t xml:space="preserve">Currently, to mitigate soil salinity, various treatments have been used, including physical procedures (leaching-draining, scraping), chemical procedures (application of gypsum, silica, synthetic fertilisers, and other materials), and organic procedures (manure, compost, cover crops, sludge). The implementation of rotation of plants tolerant to saline conditions (halophytes), the use of solutions based on halotolerant microorganisms (bacteria) and conditioners such as biochar, including pyrochar (PC) and hydrochar (HC). </w:t>
      </w:r>
    </w:p>
    <w:p w14:paraId="14B96038" w14:textId="7F59721A" w:rsidR="003378A0" w:rsidRPr="003378A0" w:rsidRDefault="0065666E" w:rsidP="0018738F">
      <w:pPr>
        <w:pStyle w:val="CETBodytext"/>
        <w:rPr>
          <w:rFonts w:cs="Arial"/>
        </w:rPr>
      </w:pPr>
      <w:r w:rsidRPr="00FD4B2F">
        <w:rPr>
          <w:rFonts w:cs="Arial"/>
          <w:lang w:val="en-GB"/>
        </w:rPr>
        <w:lastRenderedPageBreak/>
        <w:t xml:space="preserve">PC is a high-carbon byproduct obtained by pyrolysis of plant or animal raw materials in the absence of oxygen, while the HC is synthesized by hydrothermal treatment </w:t>
      </w:r>
      <w:r w:rsidR="00DD50F5">
        <w:rPr>
          <w:rFonts w:cs="Arial"/>
          <w:lang w:val="en-GB"/>
        </w:rPr>
        <w:t>(</w:t>
      </w:r>
      <w:r w:rsidRPr="00FD4B2F">
        <w:rPr>
          <w:rFonts w:cs="Arial"/>
          <w:lang w:val="en-GB"/>
        </w:rPr>
        <w:t>water</w:t>
      </w:r>
      <w:r w:rsidR="00DD50F5">
        <w:rPr>
          <w:rFonts w:cs="Arial"/>
          <w:lang w:val="en-GB"/>
        </w:rPr>
        <w:t xml:space="preserve"> as solvent</w:t>
      </w:r>
      <w:r w:rsidRPr="00FD4B2F">
        <w:rPr>
          <w:rFonts w:cs="Arial"/>
          <w:lang w:val="en-GB"/>
        </w:rPr>
        <w:t>)</w:t>
      </w:r>
      <w:r w:rsidR="00DD50F5">
        <w:rPr>
          <w:rFonts w:cs="Arial"/>
          <w:lang w:val="en-GB"/>
        </w:rPr>
        <w:t xml:space="preserve"> </w:t>
      </w:r>
      <w:r w:rsidRPr="00FD4B2F">
        <w:rPr>
          <w:rFonts w:cs="Arial"/>
          <w:lang w:val="en-GB"/>
        </w:rPr>
        <w:t xml:space="preserve">at atmospheric or higher pressures. </w:t>
      </w:r>
      <w:r w:rsidR="00DD50F5" w:rsidRPr="00DD50F5">
        <w:rPr>
          <w:rFonts w:cs="Arial"/>
        </w:rPr>
        <w:t xml:space="preserve">PC is generally more </w:t>
      </w:r>
      <w:r w:rsidR="00053968">
        <w:rPr>
          <w:rFonts w:cs="Arial"/>
        </w:rPr>
        <w:t xml:space="preserve">thermally </w:t>
      </w:r>
      <w:r w:rsidR="00DD50F5" w:rsidRPr="00DD50F5">
        <w:rPr>
          <w:rFonts w:cs="Arial"/>
        </w:rPr>
        <w:t>stable than HC</w:t>
      </w:r>
      <w:r w:rsidR="00053968">
        <w:rPr>
          <w:rFonts w:cs="Arial"/>
        </w:rPr>
        <w:t xml:space="preserve"> </w:t>
      </w:r>
      <w:sdt>
        <w:sdtPr>
          <w:rPr>
            <w:rFonts w:cs="Arial"/>
            <w:color w:val="000000"/>
            <w:szCs w:val="18"/>
          </w:rPr>
          <w:tag w:val="MENDELEY_CITATION_v3_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"/>
          <w:id w:val="-1558859993"/>
          <w:placeholder>
            <w:docPart w:val="0F3A74E06F5B41048ECF53F6CF16B754"/>
          </w:placeholder>
        </w:sdtPr>
        <w:sdtContent>
          <w:r w:rsidR="00027876" w:rsidRPr="00027876">
            <w:rPr>
              <w:rFonts w:cs="Arial"/>
              <w:color w:val="000000"/>
              <w:szCs w:val="18"/>
            </w:rPr>
            <w:t>(Suarez et al., 2023)</w:t>
          </w:r>
        </w:sdtContent>
      </w:sdt>
      <w:r w:rsidRPr="00FD4B2F">
        <w:rPr>
          <w:rFonts w:cs="Arial"/>
          <w:lang w:val="en-GB"/>
        </w:rPr>
        <w:t xml:space="preserve">. </w:t>
      </w:r>
      <w:r w:rsidR="00FF60C5">
        <w:rPr>
          <w:rFonts w:cs="Arial"/>
          <w:lang w:val="en-GB"/>
        </w:rPr>
        <w:t>These</w:t>
      </w:r>
      <w:r w:rsidRPr="00FD4B2F">
        <w:rPr>
          <w:rFonts w:cs="Arial"/>
          <w:lang w:val="en-GB"/>
        </w:rPr>
        <w:t xml:space="preserve"> carbonaceous materials</w:t>
      </w:r>
      <w:r w:rsidR="00FF60C5">
        <w:rPr>
          <w:rFonts w:cs="Arial"/>
          <w:lang w:val="en-GB"/>
        </w:rPr>
        <w:t xml:space="preserve"> have high</w:t>
      </w:r>
      <w:r w:rsidRPr="00FD4B2F">
        <w:rPr>
          <w:rFonts w:cs="Arial"/>
          <w:lang w:val="en-GB"/>
        </w:rPr>
        <w:t xml:space="preserve"> carbon (C) content and functional groups such as carboxylic (O-C=O), hydroxyl (-OH) and carbonyl (C=O)</w:t>
      </w:r>
      <w:r w:rsidR="00FF60C5">
        <w:rPr>
          <w:rFonts w:cs="Arial"/>
          <w:lang w:val="en-GB"/>
        </w:rPr>
        <w:t xml:space="preserve"> that</w:t>
      </w:r>
      <w:r w:rsidRPr="00FD4B2F">
        <w:rPr>
          <w:rFonts w:cs="Arial"/>
          <w:lang w:val="en-GB"/>
        </w:rPr>
        <w:t xml:space="preserve"> improve the physical and chemical properties of the soil such as pH, electrical conductivity (EC), porosity, cation exchange capacity (CEC), fertility, plant development and reactivation of enzymatic activity of soil microorganisms, and an impact effect is the adsorption of soluble salts from the soil. </w:t>
      </w:r>
      <w:r w:rsidR="003378A0" w:rsidRPr="003378A0">
        <w:rPr>
          <w:rFonts w:cs="Arial"/>
        </w:rPr>
        <w:t xml:space="preserve">Both materials are prepared from diverse raw material sources, depending on their availability in sufficient quantities and at low cost—such as agro-industrial, forestry, gardening, and food-waste streams; livestock manure; sewage sludge; and aquatic </w:t>
      </w:r>
      <w:r w:rsidR="003378A0" w:rsidRPr="00FD4B2F">
        <w:rPr>
          <w:rFonts w:cs="Arial"/>
          <w:lang w:val="en-GB"/>
        </w:rPr>
        <w:t xml:space="preserve">organisms </w:t>
      </w:r>
      <w:sdt>
        <w:sdtPr>
          <w:rPr>
            <w:rFonts w:cs="Arial"/>
            <w:color w:val="000000"/>
            <w:szCs w:val="18"/>
          </w:rPr>
          <w:tag w:val="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"/>
          <w:id w:val="1991900139"/>
          <w:placeholder>
            <w:docPart w:val="66ACE96670C84CCBB8782CDF758671F1"/>
          </w:placeholder>
        </w:sdtPr>
        <w:sdtContent>
          <w:r w:rsidR="00027876" w:rsidRPr="00027876">
            <w:rPr>
              <w:rFonts w:cs="Arial"/>
              <w:color w:val="000000"/>
              <w:szCs w:val="18"/>
            </w:rPr>
            <w:t>(B. Wu et al., 2024)</w:t>
          </w:r>
        </w:sdtContent>
      </w:sdt>
      <w:r w:rsidR="003378A0" w:rsidRPr="00FD4B2F">
        <w:rPr>
          <w:rFonts w:cs="Arial"/>
          <w:lang w:val="en-GB"/>
        </w:rPr>
        <w:t xml:space="preserve">. </w:t>
      </w:r>
      <w:r w:rsidR="003378A0" w:rsidRPr="003378A0">
        <w:rPr>
          <w:rFonts w:cs="Arial"/>
        </w:rPr>
        <w:t xml:space="preserve">However, review articles indicate that few studies specifically target hydrochar for saline soils, so most results focus on pyrochar. Furthermore, the reviews do not distinguish between these materials when specifying amendments for saline </w:t>
      </w:r>
      <w:r w:rsidR="003378A0" w:rsidRPr="00FD4B2F">
        <w:rPr>
          <w:rFonts w:cs="Arial"/>
          <w:lang w:val="en-GB"/>
        </w:rPr>
        <w:t xml:space="preserve">soils </w:t>
      </w:r>
      <w:sdt>
        <w:sdtPr>
          <w:rPr>
            <w:rFonts w:cs="Arial"/>
            <w:bCs/>
            <w:color w:val="000000"/>
            <w:szCs w:val="18"/>
          </w:rPr>
          <w:tag w:val="MENDELEY_CITATION_v3_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"/>
          <w:id w:val="1928080685"/>
          <w:placeholder>
            <w:docPart w:val="2804777E81DD4EAE8476BDC3326C8995"/>
          </w:placeholder>
        </w:sdtPr>
        <w:sdtContent>
          <w:r w:rsidR="00027876" w:rsidRPr="00027876">
            <w:rPr>
              <w:rFonts w:cs="Arial"/>
              <w:bCs/>
              <w:color w:val="000000"/>
              <w:szCs w:val="18"/>
            </w:rPr>
            <w:t>(Ma et al., 2024)</w:t>
          </w:r>
        </w:sdtContent>
      </w:sdt>
      <w:r w:rsidR="003378A0" w:rsidRPr="003378A0">
        <w:rPr>
          <w:rFonts w:cs="Arial"/>
        </w:rPr>
        <w:t xml:space="preserve">. Given these gaps, this study aimed to identify optimal process conditions, using surface area and oxygen-containing functional groups as parameters, to select </w:t>
      </w:r>
      <w:r w:rsidR="003378A0">
        <w:rPr>
          <w:rFonts w:cs="Arial"/>
        </w:rPr>
        <w:t>those</w:t>
      </w:r>
      <w:r w:rsidR="003378A0" w:rsidRPr="003378A0">
        <w:rPr>
          <w:rFonts w:cs="Arial"/>
        </w:rPr>
        <w:t xml:space="preserve"> suitable for sodium adsorption.</w:t>
      </w:r>
    </w:p>
    <w:p w14:paraId="43D80596" w14:textId="77777777" w:rsidR="000D135C" w:rsidRPr="00FD4B2F" w:rsidRDefault="000D135C" w:rsidP="00D40A34">
      <w:pPr>
        <w:pStyle w:val="CETBodytext"/>
        <w:spacing w:before="120" w:after="120"/>
        <w:rPr>
          <w:rFonts w:cs="Arial"/>
          <w:b/>
          <w:bCs/>
          <w:lang w:val="en-GB"/>
        </w:rPr>
      </w:pPr>
      <w:r w:rsidRPr="00FD4B2F">
        <w:rPr>
          <w:rFonts w:cs="Arial"/>
          <w:b/>
          <w:bCs/>
          <w:lang w:val="en-GB"/>
        </w:rPr>
        <w:t>2. Materials and methods</w:t>
      </w:r>
    </w:p>
    <w:p w14:paraId="1B99F609" w14:textId="6495A33B" w:rsidR="000D135C" w:rsidRPr="00FD4B2F" w:rsidRDefault="000D135C" w:rsidP="00D40A34">
      <w:pPr>
        <w:pStyle w:val="CETBodytext"/>
        <w:spacing w:before="120" w:after="120"/>
        <w:rPr>
          <w:rFonts w:cs="Arial"/>
          <w:b/>
          <w:bCs/>
          <w:lang w:val="en-GB"/>
        </w:rPr>
      </w:pPr>
      <w:r w:rsidRPr="00FD4B2F">
        <w:rPr>
          <w:rFonts w:cs="Arial"/>
          <w:b/>
          <w:bCs/>
          <w:lang w:val="en-GB"/>
        </w:rPr>
        <w:t>2.1 Hydrothermal</w:t>
      </w:r>
      <w:r w:rsidR="00F511C4">
        <w:rPr>
          <w:rFonts w:cs="Arial"/>
          <w:b/>
          <w:bCs/>
          <w:lang w:val="en-GB"/>
        </w:rPr>
        <w:t xml:space="preserve"> carbonization</w:t>
      </w:r>
      <w:r w:rsidRPr="00FD4B2F">
        <w:rPr>
          <w:rFonts w:cs="Arial"/>
          <w:b/>
          <w:bCs/>
          <w:lang w:val="en-GB"/>
        </w:rPr>
        <w:t xml:space="preserve"> treatment of palm kernel shell</w:t>
      </w:r>
    </w:p>
    <w:p w14:paraId="784CAD97" w14:textId="6B95B9C7" w:rsidR="000E286A" w:rsidRDefault="00651549" w:rsidP="004F27CA">
      <w:pPr>
        <w:pStyle w:val="CETListbullets"/>
        <w:spacing w:before="120" w:after="120"/>
        <w:ind w:left="0" w:firstLine="0"/>
        <w:rPr>
          <w:rFonts w:cs="Arial"/>
        </w:rPr>
      </w:pPr>
      <w:r w:rsidRPr="00651549">
        <w:rPr>
          <w:rFonts w:cs="Arial"/>
        </w:rPr>
        <w:t xml:space="preserve">The palm kernel shell (PKS) (1.0 - 2.0 mm) was </w:t>
      </w:r>
      <w:r w:rsidR="00953FF7">
        <w:rPr>
          <w:rFonts w:cs="Arial"/>
        </w:rPr>
        <w:t>introduced</w:t>
      </w:r>
      <w:r w:rsidRPr="00651549">
        <w:rPr>
          <w:rFonts w:cs="Arial"/>
        </w:rPr>
        <w:t xml:space="preserve"> in a 200 m</w:t>
      </w:r>
      <w:r w:rsidR="00D14FAC">
        <w:rPr>
          <w:rFonts w:cs="Arial"/>
        </w:rPr>
        <w:t>L</w:t>
      </w:r>
      <w:r w:rsidRPr="00651549">
        <w:rPr>
          <w:rFonts w:cs="Arial"/>
        </w:rPr>
        <w:t xml:space="preserve"> polypropylene (PPL)- lined hydrothermal </w:t>
      </w:r>
      <w:r w:rsidR="00F511C4">
        <w:rPr>
          <w:rFonts w:cs="Arial"/>
        </w:rPr>
        <w:t xml:space="preserve">carbonization (HTC) </w:t>
      </w:r>
      <w:r w:rsidRPr="00651549">
        <w:rPr>
          <w:rFonts w:cs="Arial"/>
        </w:rPr>
        <w:t>synthesis autoclave reactor</w:t>
      </w:r>
      <w:r w:rsidR="000B59AF">
        <w:rPr>
          <w:rFonts w:cs="Arial"/>
        </w:rPr>
        <w:t>. The</w:t>
      </w:r>
      <w:r w:rsidRPr="00651549">
        <w:rPr>
          <w:rFonts w:cs="Arial"/>
        </w:rPr>
        <w:t xml:space="preserve"> PKS:distilled water ratio </w:t>
      </w:r>
      <w:r w:rsidR="00BF001E">
        <w:rPr>
          <w:rFonts w:cs="Arial"/>
        </w:rPr>
        <w:t xml:space="preserve">was </w:t>
      </w:r>
      <w:r w:rsidR="008B4B59">
        <w:rPr>
          <w:rFonts w:cs="Arial"/>
        </w:rPr>
        <w:t>maintained</w:t>
      </w:r>
      <w:r w:rsidR="00BF001E">
        <w:rPr>
          <w:rFonts w:cs="Arial"/>
        </w:rPr>
        <w:t xml:space="preserve"> at</w:t>
      </w:r>
      <w:r w:rsidRPr="00651549">
        <w:rPr>
          <w:rFonts w:cs="Arial"/>
        </w:rPr>
        <w:t xml:space="preserve"> 1:4 g:m</w:t>
      </w:r>
      <w:r w:rsidR="00257059">
        <w:rPr>
          <w:rFonts w:cs="Arial"/>
        </w:rPr>
        <w:t>L</w:t>
      </w:r>
      <w:r w:rsidR="006406D1">
        <w:rPr>
          <w:rFonts w:cs="Arial"/>
        </w:rPr>
        <w:t>,</w:t>
      </w:r>
      <w:r w:rsidR="00FE16F4">
        <w:rPr>
          <w:rFonts w:cs="Arial"/>
        </w:rPr>
        <w:t xml:space="preserve"> and the vessel was</w:t>
      </w:r>
      <w:r w:rsidRPr="00651549">
        <w:rPr>
          <w:rFonts w:cs="Arial"/>
        </w:rPr>
        <w:t xml:space="preserve"> filled</w:t>
      </w:r>
      <w:r w:rsidR="00FE16F4">
        <w:rPr>
          <w:rFonts w:cs="Arial"/>
        </w:rPr>
        <w:t xml:space="preserve"> </w:t>
      </w:r>
      <w:r w:rsidRPr="00651549">
        <w:rPr>
          <w:rFonts w:cs="Arial"/>
        </w:rPr>
        <w:t>to 50</w:t>
      </w:r>
      <w:r w:rsidR="00DD0ADC">
        <w:rPr>
          <w:rFonts w:cs="Arial"/>
        </w:rPr>
        <w:t xml:space="preserve"> </w:t>
      </w:r>
      <w:r w:rsidRPr="00651549">
        <w:rPr>
          <w:rFonts w:cs="Arial"/>
        </w:rPr>
        <w:t>%</w:t>
      </w:r>
      <w:r w:rsidR="00DC2E64" w:rsidRPr="00DC2E64">
        <w:t xml:space="preserve"> </w:t>
      </w:r>
      <w:r w:rsidR="00DC2E64" w:rsidRPr="00DC2E64">
        <w:rPr>
          <w:rFonts w:cs="Arial"/>
        </w:rPr>
        <w:t>of its volume</w:t>
      </w:r>
      <w:r w:rsidR="00045475">
        <w:rPr>
          <w:rFonts w:cs="Arial"/>
        </w:rPr>
        <w:t>. The vessel was</w:t>
      </w:r>
      <w:r w:rsidRPr="00651549">
        <w:rPr>
          <w:rFonts w:cs="Arial"/>
        </w:rPr>
        <w:t xml:space="preserve"> introduced into a stainless-steel autoclave for the chemical reaction</w:t>
      </w:r>
      <w:r w:rsidR="00FB0F4C">
        <w:rPr>
          <w:rFonts w:cs="Arial"/>
        </w:rPr>
        <w:t xml:space="preserve"> and </w:t>
      </w:r>
      <w:r w:rsidR="000E286A" w:rsidRPr="000E286A">
        <w:rPr>
          <w:rFonts w:cs="Arial"/>
        </w:rPr>
        <w:t xml:space="preserve">placed in </w:t>
      </w:r>
      <w:r w:rsidR="0032382D" w:rsidRPr="000E286A">
        <w:rPr>
          <w:rFonts w:cs="Arial"/>
        </w:rPr>
        <w:t>a</w:t>
      </w:r>
      <w:r w:rsidR="00045475">
        <w:rPr>
          <w:rFonts w:cs="Arial"/>
        </w:rPr>
        <w:t xml:space="preserve"> convection</w:t>
      </w:r>
      <w:r w:rsidR="000E286A" w:rsidRPr="000E286A">
        <w:rPr>
          <w:rFonts w:cs="Arial"/>
        </w:rPr>
        <w:t xml:space="preserve"> oven (NN55 Memmert). </w:t>
      </w:r>
      <w:r w:rsidR="00BE43DB" w:rsidRPr="00BE43DB">
        <w:rPr>
          <w:rFonts w:cs="Arial"/>
        </w:rPr>
        <w:t>In this study, a 2</w:t>
      </w:r>
      <w:r w:rsidR="0068516F" w:rsidRPr="0068516F">
        <w:rPr>
          <w:rFonts w:cs="Arial"/>
          <w:vertAlign w:val="superscript"/>
        </w:rPr>
        <w:t>2</w:t>
      </w:r>
      <w:r w:rsidR="00BE43DB" w:rsidRPr="00BE43DB">
        <w:rPr>
          <w:rFonts w:cs="Arial"/>
        </w:rPr>
        <w:t xml:space="preserve"> </w:t>
      </w:r>
      <w:r w:rsidR="00BE43DB" w:rsidRPr="000E286A">
        <w:rPr>
          <w:rFonts w:cs="Arial"/>
        </w:rPr>
        <w:t>multivariable</w:t>
      </w:r>
      <w:r w:rsidR="00BE43DB" w:rsidRPr="00BE43DB">
        <w:rPr>
          <w:rFonts w:cs="Arial"/>
        </w:rPr>
        <w:t xml:space="preserve"> factorial </w:t>
      </w:r>
      <w:r w:rsidR="00B929A4" w:rsidRPr="000E286A">
        <w:rPr>
          <w:rFonts w:cs="Arial"/>
        </w:rPr>
        <w:t>with a completely randomised centre</w:t>
      </w:r>
      <w:r w:rsidR="00E34AAA">
        <w:rPr>
          <w:rFonts w:cs="Arial"/>
        </w:rPr>
        <w:t>-</w:t>
      </w:r>
      <w:r w:rsidR="00B929A4" w:rsidRPr="000E286A">
        <w:rPr>
          <w:rFonts w:cs="Arial"/>
        </w:rPr>
        <w:t xml:space="preserve">point </w:t>
      </w:r>
      <w:r w:rsidR="00BE43DB" w:rsidRPr="00BE43DB">
        <w:rPr>
          <w:rFonts w:cs="Arial"/>
        </w:rPr>
        <w:t xml:space="preserve">design was </w:t>
      </w:r>
      <w:r w:rsidR="00BE43DB">
        <w:rPr>
          <w:rFonts w:cs="Arial"/>
        </w:rPr>
        <w:t>selected</w:t>
      </w:r>
      <w:r w:rsidR="00565727">
        <w:rPr>
          <w:rFonts w:cs="Arial"/>
        </w:rPr>
        <w:t xml:space="preserve"> </w:t>
      </w:r>
      <w:r w:rsidR="00BE43DB" w:rsidRPr="00BE43DB">
        <w:rPr>
          <w:rFonts w:cs="Arial"/>
        </w:rPr>
        <w:t>to perform an exploratory evaluation of the main effects of the selected factors on the properties of the materials and</w:t>
      </w:r>
      <w:r w:rsidR="0068516F" w:rsidRPr="0068516F">
        <w:rPr>
          <w:rFonts w:cs="Arial"/>
        </w:rPr>
        <w:t xml:space="preserve"> its future application in saline soil</w:t>
      </w:r>
      <w:r w:rsidR="00BE43DB" w:rsidRPr="00BE43DB">
        <w:rPr>
          <w:rFonts w:cs="Arial"/>
        </w:rPr>
        <w:t>.</w:t>
      </w:r>
      <w:r w:rsidR="00D244E1">
        <w:rPr>
          <w:rFonts w:cs="Arial"/>
        </w:rPr>
        <w:t xml:space="preserve"> </w:t>
      </w:r>
      <w:r w:rsidR="004F7D76" w:rsidRPr="004F7D76">
        <w:rPr>
          <w:rFonts w:cs="Arial"/>
        </w:rPr>
        <w:t xml:space="preserve">The factors examined were temperature (180 </w:t>
      </w:r>
      <w:r w:rsidR="000B4086">
        <w:rPr>
          <w:rFonts w:cs="Arial"/>
        </w:rPr>
        <w:t xml:space="preserve">- </w:t>
      </w:r>
      <w:r w:rsidR="004F7D76" w:rsidRPr="004F7D76">
        <w:rPr>
          <w:rFonts w:cs="Arial"/>
        </w:rPr>
        <w:t xml:space="preserve">230 °C) and residence time (4 </w:t>
      </w:r>
      <w:r w:rsidR="000B4086">
        <w:rPr>
          <w:rFonts w:cs="Arial"/>
        </w:rPr>
        <w:t>-</w:t>
      </w:r>
      <w:r w:rsidR="004F7D76" w:rsidRPr="004F7D76">
        <w:rPr>
          <w:rFonts w:cs="Arial"/>
        </w:rPr>
        <w:t xml:space="preserve"> 40 h), both with two levels and three central points</w:t>
      </w:r>
      <w:r w:rsidR="000E286A" w:rsidRPr="000E286A">
        <w:rPr>
          <w:rFonts w:cs="Arial"/>
        </w:rPr>
        <w:t>.</w:t>
      </w:r>
      <w:r w:rsidR="00F03270">
        <w:rPr>
          <w:rFonts w:cs="Arial"/>
        </w:rPr>
        <w:t xml:space="preserve"> The </w:t>
      </w:r>
      <w:r w:rsidR="005274F0">
        <w:rPr>
          <w:rFonts w:cs="Arial"/>
        </w:rPr>
        <w:t xml:space="preserve">yield, specific surface area and </w:t>
      </w:r>
      <w:r w:rsidR="00DB2D5F">
        <w:rPr>
          <w:rFonts w:cs="Arial"/>
        </w:rPr>
        <w:t xml:space="preserve">oxygen/carbon functional groups ratio were selected as </w:t>
      </w:r>
      <w:r w:rsidR="00C179DC">
        <w:rPr>
          <w:rFonts w:cs="Arial"/>
        </w:rPr>
        <w:t xml:space="preserve">response variables. </w:t>
      </w:r>
    </w:p>
    <w:p w14:paraId="013187B0" w14:textId="651274EA" w:rsidR="003239BA" w:rsidRPr="00FD4B2F" w:rsidRDefault="003239BA" w:rsidP="004B4B88">
      <w:pPr>
        <w:pStyle w:val="CETListbullets"/>
        <w:spacing w:before="120" w:after="120"/>
        <w:ind w:left="708" w:hanging="708"/>
        <w:rPr>
          <w:rFonts w:cs="Arial"/>
          <w:b/>
          <w:bCs/>
        </w:rPr>
      </w:pPr>
      <w:r w:rsidRPr="00FD4B2F">
        <w:rPr>
          <w:rFonts w:cs="Arial"/>
          <w:b/>
          <w:bCs/>
        </w:rPr>
        <w:t>2.</w:t>
      </w:r>
      <w:r w:rsidR="000E286A">
        <w:rPr>
          <w:rFonts w:cs="Arial"/>
          <w:b/>
          <w:bCs/>
        </w:rPr>
        <w:t>2</w:t>
      </w:r>
      <w:r w:rsidRPr="00FD4B2F">
        <w:rPr>
          <w:rFonts w:cs="Arial"/>
          <w:b/>
          <w:bCs/>
        </w:rPr>
        <w:t xml:space="preserve"> Hydrochar Characterization</w:t>
      </w:r>
    </w:p>
    <w:p w14:paraId="39CF372D" w14:textId="7472FCCB" w:rsidR="003239BA" w:rsidRPr="008824F0" w:rsidRDefault="00EC075E" w:rsidP="0018738F">
      <w:pPr>
        <w:pStyle w:val="CETListbullets"/>
        <w:ind w:left="0" w:firstLine="0"/>
        <w:rPr>
          <w:rFonts w:cs="Arial"/>
          <w:lang w:val="en-US"/>
        </w:rPr>
      </w:pPr>
      <w:r w:rsidRPr="00EC075E">
        <w:rPr>
          <w:rFonts w:cs="Arial"/>
          <w:lang w:val="en-US"/>
        </w:rPr>
        <w:t>The specific surface area</w:t>
      </w:r>
      <w:r w:rsidR="00DD335A">
        <w:rPr>
          <w:rFonts w:cs="Arial"/>
          <w:lang w:val="en-US"/>
        </w:rPr>
        <w:t xml:space="preserve"> </w:t>
      </w:r>
      <w:r w:rsidR="00DD335A">
        <w:rPr>
          <w:rFonts w:cs="Arial"/>
        </w:rPr>
        <w:t>(</w:t>
      </w:r>
      <w:r w:rsidR="00DD335A" w:rsidRPr="001D3DB2">
        <w:rPr>
          <w:rFonts w:cs="Arial"/>
        </w:rPr>
        <w:t>A</w:t>
      </w:r>
      <w:r w:rsidR="00DD335A" w:rsidRPr="0052350F">
        <w:rPr>
          <w:rFonts w:cs="Arial"/>
          <w:vertAlign w:val="subscript"/>
        </w:rPr>
        <w:t>BET</w:t>
      </w:r>
      <w:r w:rsidR="00DD335A" w:rsidRPr="00365CA7">
        <w:rPr>
          <w:rFonts w:cs="Arial"/>
        </w:rPr>
        <w:t>)</w:t>
      </w:r>
      <w:r w:rsidRPr="00EC075E">
        <w:rPr>
          <w:rFonts w:cs="Arial"/>
          <w:lang w:val="en-US"/>
        </w:rPr>
        <w:t xml:space="preserve"> and pore size were calculated from N</w:t>
      </w:r>
      <w:r w:rsidRPr="00727CD2">
        <w:rPr>
          <w:rFonts w:cs="Arial"/>
          <w:vertAlign w:val="subscript"/>
          <w:lang w:val="en-US"/>
        </w:rPr>
        <w:t>2</w:t>
      </w:r>
      <w:r w:rsidRPr="00EC075E">
        <w:rPr>
          <w:rFonts w:cs="Arial"/>
          <w:lang w:val="en-US"/>
        </w:rPr>
        <w:t xml:space="preserve"> adsorption isotherms at 77 K using</w:t>
      </w:r>
      <w:r>
        <w:rPr>
          <w:rFonts w:cs="Arial"/>
          <w:lang w:val="en-US"/>
        </w:rPr>
        <w:t xml:space="preserve"> </w:t>
      </w:r>
      <w:r w:rsidRPr="00EC075E">
        <w:rPr>
          <w:rFonts w:cs="Arial"/>
          <w:lang w:val="en-US"/>
        </w:rPr>
        <w:t>Brunauer-Emmett-Teller equation on an ASAP 2020 PLUS instrument (Micromeritics). Pore-size distribution was determined from the same data using the BJH model. Thermogravimetric analysis (TGA) was performed on a TGA/SDTA852e instrument (Mettler Toledo), and the resulting curves were analyzed with STARe software (SW 10.00). Each sample (11.5 mg) was heated from 25 °C to 1000 °C at 10 °C min</w:t>
      </w:r>
      <w:r w:rsidRPr="00EC075E">
        <w:rPr>
          <w:rFonts w:cs="Arial"/>
          <w:vertAlign w:val="superscript"/>
          <w:lang w:val="en-US"/>
        </w:rPr>
        <w:t>-1</w:t>
      </w:r>
      <w:r w:rsidRPr="00EC075E">
        <w:rPr>
          <w:rFonts w:cs="Arial"/>
          <w:lang w:val="en-US"/>
        </w:rPr>
        <w:t xml:space="preserve"> under a nitrogen atmosphere.</w:t>
      </w:r>
      <w:r>
        <w:rPr>
          <w:rFonts w:cs="Arial"/>
          <w:lang w:val="en-US"/>
        </w:rPr>
        <w:t xml:space="preserve"> </w:t>
      </w:r>
      <w:r w:rsidRPr="00EC075E">
        <w:rPr>
          <w:rFonts w:cs="Arial"/>
          <w:lang w:val="en-US"/>
        </w:rPr>
        <w:t>Functional groups in the hydrochar were identified using Fourier transform infrared spectroscopy (FTIR, Nicolet iS50R) over 4000–400 cm</w:t>
      </w:r>
      <w:r w:rsidRPr="00EC075E">
        <w:rPr>
          <w:rFonts w:cs="Arial"/>
          <w:vertAlign w:val="superscript"/>
          <w:lang w:val="en-US"/>
        </w:rPr>
        <w:t>-1</w:t>
      </w:r>
      <w:r w:rsidRPr="00EC075E">
        <w:rPr>
          <w:rFonts w:cs="Arial"/>
          <w:lang w:val="en-US"/>
        </w:rPr>
        <w:t>, with a 4 cm</w:t>
      </w:r>
      <w:r w:rsidRPr="00EC075E">
        <w:rPr>
          <w:rFonts w:cs="Arial"/>
          <w:vertAlign w:val="superscript"/>
          <w:lang w:val="en-US"/>
        </w:rPr>
        <w:t>-1</w:t>
      </w:r>
      <w:r w:rsidRPr="00EC075E">
        <w:rPr>
          <w:rFonts w:cs="Arial"/>
          <w:lang w:val="en-US"/>
        </w:rPr>
        <w:t xml:space="preserve"> resolution, H</w:t>
      </w:r>
      <w:r w:rsidRPr="00EC075E">
        <w:rPr>
          <w:rFonts w:cs="Arial"/>
          <w:vertAlign w:val="subscript"/>
          <w:lang w:val="en-US"/>
        </w:rPr>
        <w:t>2</w:t>
      </w:r>
      <w:r w:rsidRPr="00EC075E">
        <w:rPr>
          <w:rFonts w:cs="Arial"/>
          <w:lang w:val="en-US"/>
        </w:rPr>
        <w:t>O and CO</w:t>
      </w:r>
      <w:r w:rsidRPr="00EC075E">
        <w:rPr>
          <w:rFonts w:cs="Arial"/>
          <w:vertAlign w:val="subscript"/>
          <w:lang w:val="en-US"/>
        </w:rPr>
        <w:t>2</w:t>
      </w:r>
      <w:r w:rsidRPr="00EC075E">
        <w:rPr>
          <w:rFonts w:cs="Arial"/>
          <w:lang w:val="en-US"/>
        </w:rPr>
        <w:t xml:space="preserve"> corrections, and 128 scans per spectrum. </w:t>
      </w:r>
      <w:r w:rsidR="00E96B17" w:rsidRPr="00E96B17">
        <w:rPr>
          <w:rFonts w:cs="Arial"/>
          <w:lang w:val="en-US"/>
        </w:rPr>
        <w:t>Elemental composition of the hydrochar</w:t>
      </w:r>
      <w:r w:rsidR="00217BFA">
        <w:rPr>
          <w:rFonts w:cs="Arial"/>
          <w:lang w:val="en-US"/>
        </w:rPr>
        <w:t>s</w:t>
      </w:r>
      <w:r w:rsidR="00E96B17" w:rsidRPr="00E96B17">
        <w:rPr>
          <w:rFonts w:cs="Arial"/>
          <w:lang w:val="en-US"/>
        </w:rPr>
        <w:t xml:space="preserve"> surface was determined by </w:t>
      </w:r>
      <w:bookmarkStart w:id="2" w:name="_Hlk220725787"/>
      <w:r w:rsidR="00E96B17" w:rsidRPr="00E96B17">
        <w:rPr>
          <w:rFonts w:cs="Arial"/>
          <w:lang w:val="en-US"/>
        </w:rPr>
        <w:t xml:space="preserve">X-ray photoelectron spectroscopy </w:t>
      </w:r>
      <w:bookmarkEnd w:id="2"/>
      <w:r w:rsidR="00E96B17" w:rsidRPr="00E96B17">
        <w:rPr>
          <w:rFonts w:cs="Arial"/>
          <w:lang w:val="en-US"/>
        </w:rPr>
        <w:t>(XPS, PHOIBOS 150 1D-DLD analyzer, NAP-XPS, SPECS Group, Berlin, Germany) with a monochromatic Al-K</w:t>
      </w:r>
      <w:r w:rsidR="00E96B17" w:rsidRPr="00E96B17">
        <w:rPr>
          <w:rFonts w:cs="Arial"/>
          <w:lang w:val="es-CO"/>
        </w:rPr>
        <w:t>α</w:t>
      </w:r>
      <w:r w:rsidR="00E96B17" w:rsidRPr="00E96B17">
        <w:rPr>
          <w:rFonts w:cs="Arial"/>
          <w:lang w:val="en-US"/>
        </w:rPr>
        <w:t xml:space="preserve"> source (1486.7 eV, 13 kV), and the spectra were calibrated using the C1s signal at 284.5 eV as a reference. Elemental analysis of the hydrochars was determined using the UNE-EN-15407 standard method and technique, with a Thermo Scientific™ FLASH 2000 CHNS/O Analyser. The morphology and topography of the hydrochar were determined by scanning electron microscopy (Apreo 2S) using a field-emission scanning electron microscope (FESEM) in high vacuum, with the ETD (secondary electrons) and T1 (backscattered electrons) detectors at 1.0 kV, in different inspection zones. </w:t>
      </w:r>
      <w:r w:rsidR="00217BFA" w:rsidRPr="00217BFA">
        <w:rPr>
          <w:rFonts w:cs="Arial"/>
          <w:lang w:val="en-US"/>
        </w:rPr>
        <w:t>The pH of hydrochar (HC-205-22) was measured using a pH meter (SI Analytics™ Laboratorio 855)</w:t>
      </w:r>
      <w:r w:rsidR="000B3D77">
        <w:rPr>
          <w:rFonts w:cs="Arial"/>
          <w:lang w:val="en-US"/>
        </w:rPr>
        <w:t xml:space="preserve"> and t</w:t>
      </w:r>
      <w:r w:rsidR="00217BFA" w:rsidRPr="00217BFA">
        <w:rPr>
          <w:rFonts w:cs="Arial"/>
          <w:lang w:val="en-US"/>
        </w:rPr>
        <w:t>he electrical conductivity (EC) of HC-205-22 was determined using a conductivity meter (Thermo Scientific, STARA2220 Orion)</w:t>
      </w:r>
      <w:r w:rsidR="00BE4F67">
        <w:rPr>
          <w:rFonts w:cs="Arial"/>
          <w:lang w:val="en-US"/>
        </w:rPr>
        <w:t xml:space="preserve">, both were measurement in </w:t>
      </w:r>
      <w:r w:rsidR="00217BFA" w:rsidRPr="00217BFA">
        <w:rPr>
          <w:rFonts w:cs="Arial"/>
          <w:lang w:val="en-US"/>
        </w:rPr>
        <w:t>a ratio of HC to water of 1:20 (w:v), with agitation for 1 hour, then at rest for 20 minutes</w:t>
      </w:r>
      <w:r w:rsidR="00BE4F67">
        <w:rPr>
          <w:rFonts w:cs="Arial"/>
          <w:lang w:val="en-US"/>
        </w:rPr>
        <w:t>.</w:t>
      </w:r>
    </w:p>
    <w:p w14:paraId="6B4C63E5" w14:textId="78FE4373" w:rsidR="00600535" w:rsidRPr="00FD4B2F" w:rsidRDefault="00093FCA" w:rsidP="00093FCA">
      <w:pPr>
        <w:pStyle w:val="CETheadingx"/>
        <w:numPr>
          <w:ilvl w:val="0"/>
          <w:numId w:val="0"/>
        </w:numPr>
        <w:rPr>
          <w:rFonts w:cs="Arial"/>
        </w:rPr>
      </w:pPr>
      <w:r w:rsidRPr="00FD4B2F">
        <w:rPr>
          <w:rFonts w:cs="Arial"/>
        </w:rPr>
        <w:t>2.</w:t>
      </w:r>
      <w:r w:rsidR="007F478E">
        <w:rPr>
          <w:rFonts w:cs="Arial"/>
        </w:rPr>
        <w:t>3</w:t>
      </w:r>
      <w:r w:rsidRPr="00FD4B2F">
        <w:rPr>
          <w:rFonts w:cs="Arial"/>
        </w:rPr>
        <w:t xml:space="preserve"> Sodium isothermal adsorption</w:t>
      </w:r>
    </w:p>
    <w:p w14:paraId="703F9C00" w14:textId="5BF6FCBE" w:rsidR="00093FCA" w:rsidRPr="00FD4B2F" w:rsidRDefault="00093FCA" w:rsidP="00093FCA">
      <w:pPr>
        <w:pStyle w:val="CETBodytext"/>
        <w:rPr>
          <w:rFonts w:cs="Arial"/>
          <w:lang w:val="en-GB"/>
        </w:rPr>
      </w:pPr>
      <w:r w:rsidRPr="00FD4B2F">
        <w:rPr>
          <w:rFonts w:cs="Arial"/>
          <w:lang w:val="en-GB"/>
        </w:rPr>
        <w:t xml:space="preserve">Isothermal adsorption was carried out as described by </w:t>
      </w:r>
      <w:sdt>
        <w:sdtPr>
          <w:rPr>
            <w:rFonts w:cs="Arial"/>
            <w:color w:val="000000"/>
            <w:lang w:val="en-GB"/>
          </w:rPr>
          <w:tag w:val="MENDELEY_CITATION_v3_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"/>
          <w:id w:val="1488598959"/>
          <w:placeholder>
            <w:docPart w:val="DefaultPlaceholder_-1854013440"/>
          </w:placeholder>
        </w:sdtPr>
        <w:sdtContent>
          <w:r w:rsidR="00027876" w:rsidRPr="00027876">
            <w:rPr>
              <w:rFonts w:cs="Arial"/>
              <w:color w:val="000000"/>
              <w:lang w:val="en-GB"/>
            </w:rPr>
            <w:t>Nguyen et al. (2022)</w:t>
          </w:r>
        </w:sdtContent>
      </w:sdt>
      <w:r w:rsidRPr="00FD4B2F">
        <w:rPr>
          <w:rFonts w:cs="Arial"/>
          <w:lang w:val="en-GB"/>
        </w:rPr>
        <w:t xml:space="preserve"> with some modifications. Thirty (30</w:t>
      </w:r>
      <w:r w:rsidR="005E2BA2">
        <w:rPr>
          <w:rFonts w:cs="Arial"/>
          <w:lang w:val="en-GB"/>
        </w:rPr>
        <w:t>)</w:t>
      </w:r>
      <w:r w:rsidRPr="00FD4B2F">
        <w:rPr>
          <w:rFonts w:cs="Arial"/>
          <w:lang w:val="en-GB"/>
        </w:rPr>
        <w:t xml:space="preserve"> m</w:t>
      </w:r>
      <w:r w:rsidR="005E61F7">
        <w:rPr>
          <w:rFonts w:cs="Arial"/>
          <w:lang w:val="en-GB"/>
        </w:rPr>
        <w:t>L</w:t>
      </w:r>
      <w:r w:rsidRPr="00FD4B2F">
        <w:rPr>
          <w:rFonts w:cs="Arial"/>
          <w:lang w:val="en-GB"/>
        </w:rPr>
        <w:t xml:space="preserve"> of each saline solution (0.1</w:t>
      </w:r>
      <w:r w:rsidR="00DD0ADC">
        <w:rPr>
          <w:rFonts w:cs="Arial"/>
          <w:lang w:val="en-GB"/>
        </w:rPr>
        <w:t xml:space="preserve"> </w:t>
      </w:r>
      <w:r w:rsidRPr="00FD4B2F">
        <w:rPr>
          <w:rFonts w:cs="Arial"/>
          <w:lang w:val="en-GB"/>
        </w:rPr>
        <w:t xml:space="preserve">%, </w:t>
      </w:r>
      <w:r w:rsidR="00251DE0">
        <w:rPr>
          <w:rFonts w:cs="Arial"/>
          <w:lang w:val="en-GB"/>
        </w:rPr>
        <w:t>0.</w:t>
      </w:r>
      <w:r w:rsidRPr="00FD4B2F">
        <w:rPr>
          <w:rFonts w:cs="Arial"/>
          <w:lang w:val="en-GB"/>
        </w:rPr>
        <w:t>25</w:t>
      </w:r>
      <w:r w:rsidR="00DD0ADC">
        <w:rPr>
          <w:rFonts w:cs="Arial"/>
          <w:lang w:val="en-GB"/>
        </w:rPr>
        <w:t xml:space="preserve"> </w:t>
      </w:r>
      <w:r w:rsidRPr="00FD4B2F">
        <w:rPr>
          <w:rFonts w:cs="Arial"/>
          <w:lang w:val="en-GB"/>
        </w:rPr>
        <w:t>%, 0.5</w:t>
      </w:r>
      <w:r w:rsidR="00DD0ADC">
        <w:rPr>
          <w:rFonts w:cs="Arial"/>
          <w:lang w:val="en-GB"/>
        </w:rPr>
        <w:t xml:space="preserve"> </w:t>
      </w:r>
      <w:r w:rsidRPr="00FD4B2F">
        <w:rPr>
          <w:rFonts w:cs="Arial"/>
          <w:lang w:val="en-GB"/>
        </w:rPr>
        <w:t>%</w:t>
      </w:r>
      <w:r w:rsidR="00251DE0">
        <w:rPr>
          <w:rFonts w:cs="Arial"/>
          <w:lang w:val="en-GB"/>
        </w:rPr>
        <w:t>, 1 % and 2 %</w:t>
      </w:r>
      <w:r w:rsidRPr="00FD4B2F">
        <w:rPr>
          <w:rFonts w:cs="Arial"/>
          <w:lang w:val="en-GB"/>
        </w:rPr>
        <w:t>) were placed into 50 m</w:t>
      </w:r>
      <w:r w:rsidR="005E61F7">
        <w:rPr>
          <w:rFonts w:cs="Arial"/>
          <w:lang w:val="en-GB"/>
        </w:rPr>
        <w:t>L</w:t>
      </w:r>
      <w:r w:rsidRPr="00FD4B2F">
        <w:rPr>
          <w:rFonts w:cs="Arial"/>
          <w:lang w:val="en-GB"/>
        </w:rPr>
        <w:t xml:space="preserve"> tubes</w:t>
      </w:r>
      <w:r w:rsidR="005E2BA2">
        <w:rPr>
          <w:rFonts w:cs="Arial"/>
          <w:lang w:val="en-GB"/>
        </w:rPr>
        <w:t xml:space="preserve"> and </w:t>
      </w:r>
      <w:r w:rsidRPr="00FD4B2F">
        <w:rPr>
          <w:rFonts w:cs="Arial"/>
          <w:lang w:val="en-GB"/>
        </w:rPr>
        <w:t xml:space="preserve">1.5 g of HC-205-22 was added to each solution. The tubes were shaken at 120 rpm for 24 h at room temperature. </w:t>
      </w:r>
      <w:r w:rsidR="005E2BA2">
        <w:rPr>
          <w:rFonts w:cs="Arial"/>
          <w:lang w:val="en-GB"/>
        </w:rPr>
        <w:t>Then, t</w:t>
      </w:r>
      <w:r w:rsidRPr="00FD4B2F">
        <w:rPr>
          <w:rFonts w:cs="Arial"/>
          <w:lang w:val="en-GB"/>
        </w:rPr>
        <w:t xml:space="preserve">he tubes were centrifuged, and the supernatants were collected and filtered using </w:t>
      </w:r>
      <w:r w:rsidR="005E2BA2" w:rsidRPr="00FD4B2F">
        <w:rPr>
          <w:rFonts w:cs="Arial"/>
          <w:lang w:val="en-GB"/>
        </w:rPr>
        <w:t>Whatman</w:t>
      </w:r>
      <w:r w:rsidRPr="00FD4B2F">
        <w:rPr>
          <w:rFonts w:cs="Arial"/>
          <w:lang w:val="en-GB"/>
        </w:rPr>
        <w:t xml:space="preserve"> filter paper. Adsorption isotherms were tested with Langmuir’s and </w:t>
      </w:r>
      <w:r w:rsidR="00D7622C">
        <w:rPr>
          <w:rFonts w:cs="Arial"/>
          <w:lang w:val="en-GB"/>
        </w:rPr>
        <w:t xml:space="preserve">the </w:t>
      </w:r>
      <w:r w:rsidRPr="00FD4B2F">
        <w:rPr>
          <w:rFonts w:cs="Arial"/>
          <w:lang w:val="en-GB"/>
        </w:rPr>
        <w:t>Freundlich’s models.</w:t>
      </w:r>
    </w:p>
    <w:p w14:paraId="3537A63E" w14:textId="77777777" w:rsidR="00122251" w:rsidRPr="00FD4B2F" w:rsidRDefault="005E2F11" w:rsidP="00122251">
      <w:pPr>
        <w:pStyle w:val="CETBodytext"/>
        <w:spacing w:before="120" w:after="120" w:line="360" w:lineRule="auto"/>
        <w:rPr>
          <w:rFonts w:cs="Arial"/>
          <w:b/>
          <w:bCs/>
          <w:sz w:val="20"/>
          <w:szCs w:val="22"/>
          <w:lang w:val="en-GB"/>
        </w:rPr>
      </w:pPr>
      <w:r w:rsidRPr="00FD4B2F">
        <w:rPr>
          <w:rFonts w:cs="Arial"/>
          <w:b/>
          <w:bCs/>
          <w:sz w:val="20"/>
          <w:szCs w:val="22"/>
          <w:lang w:val="en-GB"/>
        </w:rPr>
        <w:t>3. Results</w:t>
      </w:r>
      <w:r w:rsidRPr="00FD4B2F">
        <w:rPr>
          <w:rFonts w:cs="Arial"/>
          <w:b/>
          <w:sz w:val="20"/>
        </w:rPr>
        <w:t xml:space="preserve"> and</w:t>
      </w:r>
      <w:r w:rsidRPr="00FD4B2F">
        <w:rPr>
          <w:rFonts w:cs="Arial"/>
          <w:b/>
          <w:bCs/>
          <w:sz w:val="20"/>
          <w:szCs w:val="22"/>
          <w:lang w:val="en-GB"/>
        </w:rPr>
        <w:t xml:space="preserve"> discussion</w:t>
      </w:r>
    </w:p>
    <w:p w14:paraId="123BB53C" w14:textId="572B8623" w:rsidR="00280D57" w:rsidRDefault="004C0592" w:rsidP="000D37AE">
      <w:pPr>
        <w:pStyle w:val="CETBodytext"/>
        <w:rPr>
          <w:rFonts w:cs="Arial"/>
          <w:lang w:val="en-GB"/>
        </w:rPr>
      </w:pPr>
      <w:r w:rsidRPr="004C0592">
        <w:t xml:space="preserve">Figure </w:t>
      </w:r>
      <w:r>
        <w:t>1a</w:t>
      </w:r>
      <w:r w:rsidRPr="004C0592">
        <w:t xml:space="preserve"> shows that the </w:t>
      </w:r>
      <w:r>
        <w:t>A</w:t>
      </w:r>
      <w:r w:rsidRPr="004C0592">
        <w:rPr>
          <w:vertAlign w:val="subscript"/>
        </w:rPr>
        <w:t>BET</w:t>
      </w:r>
      <w:r w:rsidRPr="004C0592">
        <w:t xml:space="preserve"> increases markedly with temperature for both residence times, confirming that temperature is the main factor governing pore development during </w:t>
      </w:r>
      <w:r>
        <w:t>HTC</w:t>
      </w:r>
      <w:r w:rsidR="00DC4DD2">
        <w:t>,</w:t>
      </w:r>
      <w:r w:rsidR="00663B13">
        <w:t xml:space="preserve"> and </w:t>
      </w:r>
      <w:r w:rsidR="00663B13" w:rsidRPr="00663B13">
        <w:rPr>
          <w:lang w:val="en-GB"/>
        </w:rPr>
        <w:t>the effect of time is limited</w:t>
      </w:r>
      <w:r w:rsidR="00DC328A">
        <w:rPr>
          <w:lang w:val="en-GB"/>
        </w:rPr>
        <w:t xml:space="preserve">, </w:t>
      </w:r>
      <w:r w:rsidR="00952537">
        <w:rPr>
          <w:lang w:val="en-GB"/>
        </w:rPr>
        <w:lastRenderedPageBreak/>
        <w:t>indicating</w:t>
      </w:r>
      <w:r w:rsidR="00663B13" w:rsidRPr="00663B13">
        <w:rPr>
          <w:lang w:val="en-GB"/>
        </w:rPr>
        <w:t xml:space="preserve"> that no significant interaction between temperature and time exists</w:t>
      </w:r>
      <w:r w:rsidRPr="004C0592">
        <w:t xml:space="preserve">. </w:t>
      </w:r>
      <w:r w:rsidR="001D3DB2" w:rsidRPr="001D3DB2">
        <w:rPr>
          <w:rFonts w:cs="Arial"/>
          <w:lang w:val="en-GB"/>
        </w:rPr>
        <w:t xml:space="preserve">In Figure 1b, two groups are shown: letter A corresponds to 180 °C, letter B to 205 °C and 230 °C, suggesting a significant difference between 180 °C and 205 °C. </w:t>
      </w:r>
      <w:r w:rsidR="003F611F" w:rsidRPr="003F611F">
        <w:rPr>
          <w:rFonts w:cs="Arial"/>
          <w:lang w:val="en-GB"/>
        </w:rPr>
        <w:t xml:space="preserve">However, Figure 1c shows a single group, suggesting overlap without a significant effect of residence time. ANOVA was used to evaluate the influence of temperature and residence time on </w:t>
      </w:r>
      <w:r w:rsidR="00365CA7" w:rsidRPr="001D3DB2">
        <w:rPr>
          <w:rFonts w:cs="Arial"/>
          <w:lang w:val="en-GB"/>
        </w:rPr>
        <w:t>A</w:t>
      </w:r>
      <w:r w:rsidR="00365CA7" w:rsidRPr="0052350F">
        <w:rPr>
          <w:rFonts w:cs="Arial"/>
          <w:vertAlign w:val="subscript"/>
          <w:lang w:val="en-GB"/>
        </w:rPr>
        <w:t>BET</w:t>
      </w:r>
      <w:r w:rsidR="007D7EAD">
        <w:rPr>
          <w:rFonts w:cs="Arial"/>
          <w:lang w:val="en-GB"/>
        </w:rPr>
        <w:t xml:space="preserve">. </w:t>
      </w:r>
      <w:r w:rsidR="00B27569" w:rsidRPr="00B27569">
        <w:rPr>
          <w:rFonts w:cs="Arial"/>
          <w:lang w:val="en-GB"/>
        </w:rPr>
        <w:t xml:space="preserve">As shown in Table 1, temperature exhibited a statistically significant effect (p= 0.0147), whereas time and the temperature–time interaction were not statistically significant within the evaluated range (p &gt; 0.05). </w:t>
      </w:r>
      <w:r w:rsidR="00344601" w:rsidRPr="00344601">
        <w:rPr>
          <w:rFonts w:cs="Arial"/>
          <w:lang w:val="en-GB"/>
        </w:rPr>
        <w:t>The A</w:t>
      </w:r>
      <w:r w:rsidR="00344601" w:rsidRPr="00B47A90">
        <w:rPr>
          <w:rFonts w:cs="Arial"/>
          <w:vertAlign w:val="subscript"/>
          <w:lang w:val="en-GB"/>
        </w:rPr>
        <w:t>BET</w:t>
      </w:r>
      <w:r w:rsidR="00344601" w:rsidRPr="00344601">
        <w:rPr>
          <w:rFonts w:cs="Arial"/>
          <w:lang w:val="en-GB"/>
        </w:rPr>
        <w:t xml:space="preserve"> values for samples synthesised at temperatures above 205 °C ranged around 40 m</w:t>
      </w:r>
      <w:r w:rsidR="00344601" w:rsidRPr="00344601">
        <w:rPr>
          <w:rFonts w:cs="Arial"/>
          <w:vertAlign w:val="superscript"/>
          <w:lang w:val="en-GB"/>
        </w:rPr>
        <w:t>2</w:t>
      </w:r>
      <w:r w:rsidR="00344601" w:rsidRPr="00344601">
        <w:rPr>
          <w:rFonts w:cs="Arial"/>
          <w:lang w:val="en-GB"/>
        </w:rPr>
        <w:t xml:space="preserve"> g</w:t>
      </w:r>
      <w:r w:rsidR="00344601" w:rsidRPr="00B47A90">
        <w:rPr>
          <w:rFonts w:cs="Arial"/>
          <w:vertAlign w:val="superscript"/>
          <w:lang w:val="en-GB"/>
        </w:rPr>
        <w:t>-1</w:t>
      </w:r>
      <w:r w:rsidR="00344601" w:rsidRPr="00344601">
        <w:rPr>
          <w:rFonts w:cs="Arial"/>
          <w:lang w:val="en-GB"/>
        </w:rPr>
        <w:t xml:space="preserve">, which are higher than those reported for </w:t>
      </w:r>
      <w:r w:rsidR="00AC19C4">
        <w:rPr>
          <w:rFonts w:cs="Arial"/>
          <w:lang w:val="en-GB"/>
        </w:rPr>
        <w:t xml:space="preserve">biomass </w:t>
      </w:r>
      <w:r w:rsidR="00344601" w:rsidRPr="00344601">
        <w:rPr>
          <w:rFonts w:cs="Arial"/>
          <w:lang w:val="en-GB"/>
        </w:rPr>
        <w:t>with similar treatments (2.8</w:t>
      </w:r>
      <w:r w:rsidR="00B47A90" w:rsidRPr="00EC075E">
        <w:rPr>
          <w:rFonts w:cs="Arial"/>
        </w:rPr>
        <w:t>–</w:t>
      </w:r>
      <w:r w:rsidR="00AC19C4">
        <w:rPr>
          <w:rFonts w:cs="Arial"/>
          <w:lang w:val="en-GB"/>
        </w:rPr>
        <w:t>30</w:t>
      </w:r>
      <w:r w:rsidR="00344601" w:rsidRPr="00344601">
        <w:rPr>
          <w:rFonts w:cs="Arial"/>
          <w:lang w:val="en-GB"/>
        </w:rPr>
        <w:t xml:space="preserve"> m</w:t>
      </w:r>
      <w:r w:rsidR="00344601" w:rsidRPr="00344601">
        <w:rPr>
          <w:rFonts w:cs="Arial"/>
          <w:vertAlign w:val="superscript"/>
          <w:lang w:val="en-GB"/>
        </w:rPr>
        <w:t>2</w:t>
      </w:r>
      <w:r w:rsidR="00344601" w:rsidRPr="00344601">
        <w:rPr>
          <w:rFonts w:cs="Arial"/>
          <w:lang w:val="en-GB"/>
        </w:rPr>
        <w:t xml:space="preserve"> g</w:t>
      </w:r>
      <w:r w:rsidR="00344601" w:rsidRPr="00B47A90">
        <w:rPr>
          <w:rFonts w:cs="Arial"/>
          <w:vertAlign w:val="superscript"/>
          <w:lang w:val="en-GB"/>
        </w:rPr>
        <w:t>-1</w:t>
      </w:r>
      <w:r w:rsidR="00344601" w:rsidRPr="00344601">
        <w:rPr>
          <w:rFonts w:cs="Arial"/>
          <w:lang w:val="en-GB"/>
        </w:rPr>
        <w:t>)</w:t>
      </w:r>
      <w:r w:rsidR="005E6E83">
        <w:rPr>
          <w:rFonts w:cs="Arial"/>
          <w:lang w:val="en-GB"/>
        </w:rPr>
        <w:t xml:space="preserve"> </w:t>
      </w:r>
      <w:sdt>
        <w:sdtPr>
          <w:rPr>
            <w:rFonts w:cs="Arial"/>
            <w:color w:val="000000"/>
            <w:szCs w:val="18"/>
          </w:rPr>
          <w:tag w:val="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"/>
          <w:id w:val="-992874244"/>
          <w:placeholder>
            <w:docPart w:val="93CB7B069C314070BC2A9715870C919C"/>
          </w:placeholder>
        </w:sdtPr>
        <w:sdtContent>
          <w:r w:rsidR="00027876" w:rsidRPr="00027876">
            <w:rPr>
              <w:rFonts w:cs="Arial"/>
              <w:color w:val="000000"/>
              <w:szCs w:val="18"/>
            </w:rPr>
            <w:t>(Cavali et al., 2023)</w:t>
          </w:r>
        </w:sdtContent>
      </w:sdt>
      <w:r w:rsidR="00344601" w:rsidRPr="00344601">
        <w:rPr>
          <w:rFonts w:cs="Arial"/>
          <w:lang w:val="en-GB"/>
        </w:rPr>
        <w:t>, possibly because longer contact times were used.</w:t>
      </w:r>
      <w:r w:rsidR="00344601">
        <w:rPr>
          <w:rFonts w:cs="Arial"/>
          <w:lang w:val="en-GB"/>
        </w:rPr>
        <w:t xml:space="preserve"> </w:t>
      </w:r>
      <w:r w:rsidR="00867FD3">
        <w:rPr>
          <w:rFonts w:cs="Arial"/>
          <w:lang w:val="en-GB"/>
        </w:rPr>
        <w:t>T</w:t>
      </w:r>
      <w:r w:rsidR="00B27569" w:rsidRPr="00B27569">
        <w:rPr>
          <w:rFonts w:cs="Arial"/>
          <w:lang w:val="en-GB"/>
        </w:rPr>
        <w:t xml:space="preserve">he HTC process mainly </w:t>
      </w:r>
      <w:r w:rsidR="00867FD3" w:rsidRPr="00B27569">
        <w:rPr>
          <w:rFonts w:cs="Arial"/>
          <w:lang w:val="en-GB"/>
        </w:rPr>
        <w:t>promotes</w:t>
      </w:r>
      <w:r w:rsidR="00B27569" w:rsidRPr="00B27569">
        <w:rPr>
          <w:rFonts w:cs="Arial"/>
          <w:lang w:val="en-GB"/>
        </w:rPr>
        <w:t xml:space="preserve"> polymerisation, dehydration, and aromatisation reactions, </w:t>
      </w:r>
      <w:r w:rsidR="00857C07" w:rsidRPr="00857C07">
        <w:rPr>
          <w:rFonts w:cs="Arial"/>
          <w:lang w:val="en-GB"/>
        </w:rPr>
        <w:t>resulting in dense carbonaceous structures with lower A</w:t>
      </w:r>
      <w:r w:rsidR="00857C07" w:rsidRPr="00857C07">
        <w:rPr>
          <w:rFonts w:cs="Arial"/>
          <w:vertAlign w:val="subscript"/>
          <w:lang w:val="en-GB"/>
        </w:rPr>
        <w:t>BET</w:t>
      </w:r>
      <w:r w:rsidR="00857C07" w:rsidRPr="00857C07">
        <w:rPr>
          <w:rFonts w:cs="Arial"/>
          <w:lang w:val="en-GB"/>
        </w:rPr>
        <w:t xml:space="preserve"> values</w:t>
      </w:r>
      <w:r w:rsidR="00B27569" w:rsidRPr="00B27569">
        <w:rPr>
          <w:rFonts w:cs="Arial"/>
          <w:lang w:val="en-GB"/>
        </w:rPr>
        <w:t>.</w:t>
      </w:r>
      <w:r w:rsidR="005B4CB8">
        <w:rPr>
          <w:rFonts w:cs="Arial"/>
          <w:lang w:val="en-GB"/>
        </w:rPr>
        <w:t xml:space="preserve"> </w:t>
      </w:r>
      <w:r w:rsidR="00451D93" w:rsidRPr="0089712D">
        <w:rPr>
          <w:rFonts w:cs="Arial"/>
          <w:lang w:val="en-GB"/>
        </w:rPr>
        <w:t xml:space="preserve">Therefore, for this study, the promising exploratory condition of 205 °C for 22 hours was selected, as this represents an intermediate operating condition that </w:t>
      </w:r>
      <w:r w:rsidR="00E91AFD" w:rsidRPr="0089712D">
        <w:rPr>
          <w:rFonts w:cs="Arial"/>
          <w:lang w:val="en-GB"/>
        </w:rPr>
        <w:t>achieves</w:t>
      </w:r>
      <w:r w:rsidR="00451D93" w:rsidRPr="0089712D">
        <w:rPr>
          <w:rFonts w:cs="Arial"/>
          <w:lang w:val="en-GB"/>
        </w:rPr>
        <w:t xml:space="preserve"> a high A</w:t>
      </w:r>
      <w:r w:rsidR="00451D93" w:rsidRPr="0089712D">
        <w:rPr>
          <w:rFonts w:cs="Arial"/>
          <w:vertAlign w:val="subscript"/>
          <w:lang w:val="en-GB"/>
        </w:rPr>
        <w:t>BET</w:t>
      </w:r>
      <w:r w:rsidR="00451D93" w:rsidRPr="0089712D">
        <w:rPr>
          <w:rFonts w:cs="Arial"/>
          <w:lang w:val="en-GB"/>
        </w:rPr>
        <w:t xml:space="preserve"> percentage and a high yield (60</w:t>
      </w:r>
      <w:r w:rsidR="00DD0ADC" w:rsidRPr="0089712D">
        <w:rPr>
          <w:rFonts w:cs="Arial"/>
          <w:lang w:val="en-GB"/>
        </w:rPr>
        <w:t xml:space="preserve"> </w:t>
      </w:r>
      <w:r w:rsidR="00451D93" w:rsidRPr="0089712D">
        <w:rPr>
          <w:rFonts w:cs="Arial"/>
          <w:lang w:val="en-GB"/>
        </w:rPr>
        <w:t>%), while avoiding the highest temperature and the longest residence time. This is relevant from both a practical and an energy-efficiency perspective.</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8"/>
        <w:gridCol w:w="2958"/>
        <w:gridCol w:w="2961"/>
      </w:tblGrid>
      <w:tr w:rsidR="00E23AB7" w:rsidRPr="00FD4B2F" w14:paraId="7D1BACCD" w14:textId="77777777" w:rsidTr="00525E54">
        <w:trPr>
          <w:trHeight w:val="162"/>
          <w:jc w:val="center"/>
        </w:trPr>
        <w:tc>
          <w:tcPr>
            <w:tcW w:w="2880" w:type="dxa"/>
            <w:vAlign w:val="center"/>
          </w:tcPr>
          <w:p w14:paraId="1E7AFF8F" w14:textId="77777777" w:rsidR="00F91554" w:rsidRPr="00FD4B2F" w:rsidRDefault="00F91554" w:rsidP="00257D6D">
            <w:pPr>
              <w:rPr>
                <w:rFonts w:cs="Arial"/>
                <w:i/>
                <w:iCs/>
                <w:noProof/>
                <w:szCs w:val="18"/>
                <w:lang w:val="en-US"/>
              </w:rPr>
            </w:pPr>
            <w:bookmarkStart w:id="3" w:name="_Hlk220756950"/>
            <w:r w:rsidRPr="00FD4B2F">
              <w:rPr>
                <w:rFonts w:cs="Arial"/>
                <w:i/>
                <w:iCs/>
                <w:szCs w:val="18"/>
                <w:lang w:val="en-US"/>
              </w:rPr>
              <w:t>(a)</w:t>
            </w:r>
          </w:p>
        </w:tc>
        <w:tc>
          <w:tcPr>
            <w:tcW w:w="2968" w:type="dxa"/>
            <w:vAlign w:val="center"/>
          </w:tcPr>
          <w:p w14:paraId="6FAACE76" w14:textId="77777777" w:rsidR="00F91554" w:rsidRPr="00FD4B2F" w:rsidRDefault="00F91554" w:rsidP="00257D6D">
            <w:pPr>
              <w:rPr>
                <w:rFonts w:cs="Arial"/>
                <w:i/>
                <w:iCs/>
                <w:noProof/>
                <w:szCs w:val="18"/>
                <w:lang w:val="en-US"/>
              </w:rPr>
            </w:pPr>
            <w:r w:rsidRPr="00FD4B2F">
              <w:rPr>
                <w:rFonts w:cs="Arial"/>
                <w:i/>
                <w:iCs/>
                <w:szCs w:val="18"/>
                <w:lang w:val="en-US"/>
              </w:rPr>
              <w:t>(b)</w:t>
            </w:r>
          </w:p>
        </w:tc>
        <w:tc>
          <w:tcPr>
            <w:tcW w:w="2939" w:type="dxa"/>
            <w:vAlign w:val="center"/>
          </w:tcPr>
          <w:p w14:paraId="06BF89F2" w14:textId="77777777" w:rsidR="00F91554" w:rsidRPr="00FD4B2F" w:rsidRDefault="00F91554" w:rsidP="00257D6D">
            <w:pPr>
              <w:rPr>
                <w:rFonts w:cs="Arial"/>
                <w:i/>
                <w:iCs/>
                <w:noProof/>
                <w:szCs w:val="18"/>
                <w:lang w:val="en-US"/>
              </w:rPr>
            </w:pPr>
            <w:r w:rsidRPr="00FD4B2F">
              <w:rPr>
                <w:rFonts w:cs="Arial"/>
                <w:i/>
                <w:iCs/>
                <w:szCs w:val="18"/>
                <w:lang w:val="en-US"/>
              </w:rPr>
              <w:t>(c)</w:t>
            </w:r>
          </w:p>
        </w:tc>
      </w:tr>
      <w:tr w:rsidR="006D2B33" w14:paraId="6BDD0610" w14:textId="77777777" w:rsidTr="00525E54">
        <w:trPr>
          <w:trHeight w:val="2095"/>
          <w:jc w:val="center"/>
        </w:trPr>
        <w:tc>
          <w:tcPr>
            <w:tcW w:w="2880" w:type="dxa"/>
            <w:vAlign w:val="center"/>
          </w:tcPr>
          <w:p w14:paraId="6FE16F8F" w14:textId="214ADB2B" w:rsidR="00E23AB7" w:rsidRPr="00FD4B2F" w:rsidRDefault="00C35301" w:rsidP="00E23AB7">
            <w:pPr>
              <w:jc w:val="center"/>
              <w:rPr>
                <w:rFonts w:cs="Arial"/>
                <w:noProof/>
                <w:szCs w:val="18"/>
                <w:lang w:val="en-US"/>
              </w:rPr>
            </w:pPr>
            <w:r>
              <w:rPr>
                <w:rFonts w:cs="Arial"/>
                <w:noProof/>
                <w:szCs w:val="18"/>
                <w:lang w:val="en-US"/>
              </w:rPr>
              <w:drawing>
                <wp:inline distT="0" distB="0" distL="0" distR="0" wp14:anchorId="3FA53475" wp14:editId="4237BAEA">
                  <wp:extent cx="1751593" cy="1188000"/>
                  <wp:effectExtent l="0" t="0" r="1270" b="0"/>
                  <wp:docPr id="153438609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1593" cy="1188000"/>
                          </a:xfrm>
                          <a:prstGeom prst="rect">
                            <a:avLst/>
                          </a:prstGeom>
                          <a:noFill/>
                        </pic:spPr>
                      </pic:pic>
                    </a:graphicData>
                  </a:graphic>
                </wp:inline>
              </w:drawing>
            </w:r>
          </w:p>
        </w:tc>
        <w:tc>
          <w:tcPr>
            <w:tcW w:w="2968" w:type="dxa"/>
            <w:vAlign w:val="center"/>
          </w:tcPr>
          <w:p w14:paraId="3681B29E" w14:textId="52866906" w:rsidR="00E23AB7" w:rsidRPr="00FD4B2F" w:rsidRDefault="00DB785B" w:rsidP="00257D6D">
            <w:pPr>
              <w:jc w:val="center"/>
              <w:rPr>
                <w:rFonts w:cs="Arial"/>
                <w:noProof/>
                <w:szCs w:val="18"/>
                <w:lang w:val="en-US"/>
              </w:rPr>
            </w:pPr>
            <w:r>
              <w:rPr>
                <w:rFonts w:cs="Arial"/>
                <w:noProof/>
                <w:szCs w:val="18"/>
                <w:lang w:val="en-US"/>
              </w:rPr>
              <w:drawing>
                <wp:inline distT="0" distB="0" distL="0" distR="0" wp14:anchorId="2D70F75C" wp14:editId="602E38AD">
                  <wp:extent cx="1811729" cy="1188000"/>
                  <wp:effectExtent l="0" t="0" r="0" b="0"/>
                  <wp:docPr id="189167578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1729" cy="1188000"/>
                          </a:xfrm>
                          <a:prstGeom prst="rect">
                            <a:avLst/>
                          </a:prstGeom>
                          <a:noFill/>
                        </pic:spPr>
                      </pic:pic>
                    </a:graphicData>
                  </a:graphic>
                </wp:inline>
              </w:drawing>
            </w:r>
          </w:p>
        </w:tc>
        <w:tc>
          <w:tcPr>
            <w:tcW w:w="2939" w:type="dxa"/>
            <w:vAlign w:val="center"/>
          </w:tcPr>
          <w:p w14:paraId="28AE2001" w14:textId="58FA1E71" w:rsidR="00E23AB7" w:rsidRPr="00FD4B2F" w:rsidRDefault="00F57D9A" w:rsidP="00257D6D">
            <w:pPr>
              <w:jc w:val="center"/>
              <w:rPr>
                <w:rFonts w:cs="Arial"/>
                <w:noProof/>
                <w:szCs w:val="18"/>
                <w:lang w:val="en-US"/>
              </w:rPr>
            </w:pPr>
            <w:r>
              <w:rPr>
                <w:rFonts w:cs="Arial"/>
                <w:noProof/>
                <w:szCs w:val="18"/>
                <w:lang w:val="en-US"/>
              </w:rPr>
              <w:drawing>
                <wp:inline distT="0" distB="0" distL="0" distR="0" wp14:anchorId="6FCA3407" wp14:editId="74CDCC92">
                  <wp:extent cx="1813654" cy="1188000"/>
                  <wp:effectExtent l="0" t="0" r="0" b="0"/>
                  <wp:docPr id="142662390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3654" cy="1188000"/>
                          </a:xfrm>
                          <a:prstGeom prst="rect">
                            <a:avLst/>
                          </a:prstGeom>
                          <a:noFill/>
                        </pic:spPr>
                      </pic:pic>
                    </a:graphicData>
                  </a:graphic>
                </wp:inline>
              </w:drawing>
            </w:r>
          </w:p>
        </w:tc>
      </w:tr>
    </w:tbl>
    <w:bookmarkEnd w:id="3"/>
    <w:p w14:paraId="3A9FC5FB" w14:textId="49E05957" w:rsidR="00F91554" w:rsidRPr="00385DE2" w:rsidRDefault="00F91554" w:rsidP="005E2F11">
      <w:pPr>
        <w:pStyle w:val="CETBodytext"/>
        <w:rPr>
          <w:rFonts w:cs="Arial"/>
          <w:lang w:val="en-GB"/>
        </w:rPr>
      </w:pPr>
      <w:r w:rsidRPr="00FD4B2F">
        <w:rPr>
          <w:rFonts w:cs="Arial"/>
          <w:i/>
          <w:iCs/>
          <w:lang w:val="en-GB"/>
        </w:rPr>
        <w:t>Figure 1</w:t>
      </w:r>
      <w:r w:rsidR="005300A0" w:rsidRPr="005300A0">
        <w:t xml:space="preserve"> </w:t>
      </w:r>
      <w:r w:rsidR="005300A0" w:rsidRPr="005300A0">
        <w:rPr>
          <w:rFonts w:cs="Arial"/>
          <w:i/>
          <w:iCs/>
          <w:lang w:val="en-GB"/>
        </w:rPr>
        <w:t>Effect of temperature and residence time on the A</w:t>
      </w:r>
      <w:r w:rsidR="005300A0" w:rsidRPr="00C06DB8">
        <w:rPr>
          <w:rFonts w:cs="Arial"/>
          <w:i/>
          <w:iCs/>
          <w:vertAlign w:val="subscript"/>
          <w:lang w:val="en-GB"/>
        </w:rPr>
        <w:t>BET</w:t>
      </w:r>
      <w:r w:rsidR="005300A0" w:rsidRPr="005300A0">
        <w:rPr>
          <w:rFonts w:cs="Arial"/>
          <w:i/>
          <w:iCs/>
          <w:lang w:val="en-GB"/>
        </w:rPr>
        <w:t>: (a) interaction plot between temperature and time, (b) main effect of temperature, and (c) main effect of residence time.</w:t>
      </w:r>
    </w:p>
    <w:p w14:paraId="21AE8DEB" w14:textId="487F4538" w:rsidR="009E5AD2" w:rsidRPr="00FD4B2F" w:rsidRDefault="009E5AD2" w:rsidP="007B55EE">
      <w:pPr>
        <w:pStyle w:val="CETBodytext"/>
        <w:spacing w:before="120"/>
        <w:jc w:val="left"/>
        <w:rPr>
          <w:rFonts w:cs="Arial"/>
          <w:i/>
          <w:iCs/>
          <w:lang w:val="en-GB"/>
        </w:rPr>
      </w:pPr>
      <w:r w:rsidRPr="00FD4B2F">
        <w:rPr>
          <w:rFonts w:cs="Arial"/>
          <w:i/>
          <w:iCs/>
          <w:lang w:val="en-GB"/>
        </w:rPr>
        <w:t xml:space="preserve">Table 1. Analysis of variance of temperature and time on </w:t>
      </w:r>
      <w:r w:rsidR="00F23AA6">
        <w:rPr>
          <w:rFonts w:cs="Arial"/>
          <w:i/>
          <w:iCs/>
          <w:lang w:val="en-GB"/>
        </w:rPr>
        <w:t xml:space="preserve">specific </w:t>
      </w:r>
      <w:r w:rsidRPr="00FD4B2F">
        <w:rPr>
          <w:rFonts w:cs="Arial"/>
          <w:i/>
          <w:iCs/>
          <w:lang w:val="en-GB"/>
        </w:rPr>
        <w:t>surface area.</w:t>
      </w:r>
    </w:p>
    <w:tbl>
      <w:tblPr>
        <w:tblW w:w="6520" w:type="dxa"/>
        <w:tblCellMar>
          <w:left w:w="70" w:type="dxa"/>
          <w:right w:w="70" w:type="dxa"/>
        </w:tblCellMar>
        <w:tblLook w:val="04A0" w:firstRow="1" w:lastRow="0" w:firstColumn="1" w:lastColumn="0" w:noHBand="0" w:noVBand="1"/>
      </w:tblPr>
      <w:tblGrid>
        <w:gridCol w:w="1491"/>
        <w:gridCol w:w="863"/>
        <w:gridCol w:w="1041"/>
        <w:gridCol w:w="1043"/>
        <w:gridCol w:w="1041"/>
        <w:gridCol w:w="1041"/>
      </w:tblGrid>
      <w:tr w:rsidR="009E5AD2" w:rsidRPr="00FD4B2F" w14:paraId="086CA6CE" w14:textId="77777777" w:rsidTr="00390F62">
        <w:trPr>
          <w:trHeight w:val="349"/>
        </w:trPr>
        <w:tc>
          <w:tcPr>
            <w:tcW w:w="1491" w:type="dxa"/>
            <w:tcBorders>
              <w:top w:val="single" w:sz="12" w:space="0" w:color="00B050"/>
              <w:left w:val="nil"/>
              <w:bottom w:val="single" w:sz="8" w:space="0" w:color="00B050"/>
              <w:right w:val="nil"/>
            </w:tcBorders>
            <w:vAlign w:val="center"/>
            <w:hideMark/>
          </w:tcPr>
          <w:p w14:paraId="40872AD1" w14:textId="77777777" w:rsidR="009E5AD2" w:rsidRPr="00FD4B2F" w:rsidRDefault="009E5AD2" w:rsidP="00705FA2">
            <w:pPr>
              <w:spacing w:line="240" w:lineRule="auto"/>
              <w:jc w:val="center"/>
              <w:rPr>
                <w:rFonts w:cs="Arial"/>
                <w:szCs w:val="18"/>
                <w:lang w:eastAsia="es-CO"/>
              </w:rPr>
            </w:pPr>
            <w:r w:rsidRPr="00FD4B2F">
              <w:rPr>
                <w:rFonts w:cs="Arial"/>
                <w:szCs w:val="18"/>
                <w:lang w:eastAsia="es-CO"/>
              </w:rPr>
              <w:t>Source</w:t>
            </w:r>
          </w:p>
        </w:tc>
        <w:tc>
          <w:tcPr>
            <w:tcW w:w="863" w:type="dxa"/>
            <w:tcBorders>
              <w:top w:val="single" w:sz="12" w:space="0" w:color="00B050"/>
              <w:left w:val="nil"/>
              <w:bottom w:val="single" w:sz="8" w:space="0" w:color="00B050"/>
              <w:right w:val="nil"/>
            </w:tcBorders>
            <w:vAlign w:val="center"/>
            <w:hideMark/>
          </w:tcPr>
          <w:p w14:paraId="1C82617B" w14:textId="77777777" w:rsidR="009E5AD2" w:rsidRPr="00FD4B2F" w:rsidRDefault="009E5AD2" w:rsidP="00705FA2">
            <w:pPr>
              <w:spacing w:line="240" w:lineRule="auto"/>
              <w:jc w:val="center"/>
              <w:rPr>
                <w:rFonts w:cs="Arial"/>
                <w:szCs w:val="18"/>
                <w:lang w:eastAsia="es-CO"/>
              </w:rPr>
            </w:pPr>
            <w:r w:rsidRPr="00FD4B2F">
              <w:rPr>
                <w:rFonts w:cs="Arial"/>
                <w:szCs w:val="18"/>
                <w:lang w:eastAsia="es-CO"/>
              </w:rPr>
              <w:t>Sum of Squares</w:t>
            </w:r>
          </w:p>
        </w:tc>
        <w:tc>
          <w:tcPr>
            <w:tcW w:w="1041" w:type="dxa"/>
            <w:tcBorders>
              <w:top w:val="single" w:sz="12" w:space="0" w:color="00B050"/>
              <w:left w:val="nil"/>
              <w:bottom w:val="single" w:sz="8" w:space="0" w:color="00B050"/>
              <w:right w:val="nil"/>
            </w:tcBorders>
            <w:vAlign w:val="center"/>
            <w:hideMark/>
          </w:tcPr>
          <w:p w14:paraId="50E25F15" w14:textId="77777777" w:rsidR="009E5AD2" w:rsidRPr="00FD4B2F" w:rsidRDefault="009E5AD2" w:rsidP="00705FA2">
            <w:pPr>
              <w:spacing w:line="240" w:lineRule="auto"/>
              <w:jc w:val="center"/>
              <w:rPr>
                <w:rFonts w:cs="Arial"/>
                <w:szCs w:val="18"/>
                <w:lang w:eastAsia="es-CO"/>
              </w:rPr>
            </w:pPr>
            <w:r w:rsidRPr="00FD4B2F">
              <w:rPr>
                <w:rFonts w:cs="Arial"/>
                <w:szCs w:val="18"/>
                <w:lang w:eastAsia="es-CO"/>
              </w:rPr>
              <w:t>Degrees of freedom</w:t>
            </w:r>
          </w:p>
        </w:tc>
        <w:tc>
          <w:tcPr>
            <w:tcW w:w="1043" w:type="dxa"/>
            <w:tcBorders>
              <w:top w:val="single" w:sz="12" w:space="0" w:color="00B050"/>
              <w:left w:val="nil"/>
              <w:bottom w:val="single" w:sz="8" w:space="0" w:color="00B050"/>
              <w:right w:val="nil"/>
            </w:tcBorders>
            <w:vAlign w:val="center"/>
            <w:hideMark/>
          </w:tcPr>
          <w:p w14:paraId="176699B3" w14:textId="77777777" w:rsidR="009E5AD2" w:rsidRPr="00FD4B2F" w:rsidRDefault="009E5AD2" w:rsidP="00705FA2">
            <w:pPr>
              <w:spacing w:line="240" w:lineRule="auto"/>
              <w:jc w:val="center"/>
              <w:rPr>
                <w:rFonts w:cs="Arial"/>
                <w:szCs w:val="18"/>
                <w:lang w:eastAsia="es-CO"/>
              </w:rPr>
            </w:pPr>
            <w:r w:rsidRPr="00FD4B2F">
              <w:rPr>
                <w:rFonts w:cs="Arial"/>
                <w:szCs w:val="18"/>
                <w:lang w:eastAsia="es-CO"/>
              </w:rPr>
              <w:t>Middle Square</w:t>
            </w:r>
          </w:p>
        </w:tc>
        <w:tc>
          <w:tcPr>
            <w:tcW w:w="1041" w:type="dxa"/>
            <w:tcBorders>
              <w:top w:val="single" w:sz="12" w:space="0" w:color="00B050"/>
              <w:left w:val="nil"/>
              <w:bottom w:val="single" w:sz="8" w:space="0" w:color="00B050"/>
              <w:right w:val="nil"/>
            </w:tcBorders>
            <w:vAlign w:val="center"/>
            <w:hideMark/>
          </w:tcPr>
          <w:p w14:paraId="56231F2C" w14:textId="77777777" w:rsidR="009E5AD2" w:rsidRPr="00FD4B2F" w:rsidRDefault="009E5AD2" w:rsidP="00705FA2">
            <w:pPr>
              <w:spacing w:line="240" w:lineRule="auto"/>
              <w:jc w:val="center"/>
              <w:rPr>
                <w:rFonts w:cs="Arial"/>
                <w:szCs w:val="18"/>
                <w:lang w:eastAsia="es-CO"/>
              </w:rPr>
            </w:pPr>
            <w:r w:rsidRPr="00FD4B2F">
              <w:rPr>
                <w:rFonts w:cs="Arial"/>
                <w:szCs w:val="18"/>
                <w:lang w:eastAsia="es-CO"/>
              </w:rPr>
              <w:t>Reason-F</w:t>
            </w:r>
          </w:p>
        </w:tc>
        <w:tc>
          <w:tcPr>
            <w:tcW w:w="1041" w:type="dxa"/>
            <w:tcBorders>
              <w:top w:val="single" w:sz="12" w:space="0" w:color="00B050"/>
              <w:left w:val="nil"/>
              <w:bottom w:val="single" w:sz="8" w:space="0" w:color="00B050"/>
              <w:right w:val="nil"/>
            </w:tcBorders>
            <w:vAlign w:val="center"/>
            <w:hideMark/>
          </w:tcPr>
          <w:p w14:paraId="1C6FCF33" w14:textId="77777777" w:rsidR="009E5AD2" w:rsidRPr="00FD4B2F" w:rsidRDefault="009E5AD2" w:rsidP="00705FA2">
            <w:pPr>
              <w:spacing w:line="240" w:lineRule="auto"/>
              <w:jc w:val="center"/>
              <w:rPr>
                <w:rFonts w:cs="Arial"/>
                <w:szCs w:val="18"/>
                <w:lang w:eastAsia="es-CO"/>
              </w:rPr>
            </w:pPr>
            <w:r w:rsidRPr="00FD4B2F">
              <w:rPr>
                <w:rFonts w:cs="Arial"/>
                <w:szCs w:val="18"/>
                <w:lang w:eastAsia="es-CO"/>
              </w:rPr>
              <w:t>P-value</w:t>
            </w:r>
          </w:p>
        </w:tc>
      </w:tr>
      <w:tr w:rsidR="009E5AD2" w:rsidRPr="00FD4B2F" w14:paraId="7AF47DF5" w14:textId="77777777" w:rsidTr="00390F62">
        <w:trPr>
          <w:trHeight w:val="349"/>
        </w:trPr>
        <w:tc>
          <w:tcPr>
            <w:tcW w:w="1491" w:type="dxa"/>
            <w:tcBorders>
              <w:top w:val="single" w:sz="8" w:space="0" w:color="00B050"/>
              <w:left w:val="nil"/>
              <w:right w:val="nil"/>
            </w:tcBorders>
            <w:vAlign w:val="center"/>
            <w:hideMark/>
          </w:tcPr>
          <w:p w14:paraId="4B47E70E" w14:textId="77777777" w:rsidR="009E5AD2" w:rsidRPr="00FD4B2F" w:rsidRDefault="009E5AD2" w:rsidP="00705FA2">
            <w:pPr>
              <w:spacing w:line="240" w:lineRule="auto"/>
              <w:rPr>
                <w:rFonts w:cs="Arial"/>
                <w:szCs w:val="18"/>
                <w:lang w:eastAsia="es-CO"/>
              </w:rPr>
            </w:pPr>
            <w:r w:rsidRPr="00FD4B2F">
              <w:rPr>
                <w:rFonts w:cs="Arial"/>
                <w:szCs w:val="18"/>
                <w:lang w:eastAsia="es-CO"/>
              </w:rPr>
              <w:t>A: Temperature</w:t>
            </w:r>
          </w:p>
        </w:tc>
        <w:tc>
          <w:tcPr>
            <w:tcW w:w="863" w:type="dxa"/>
            <w:tcBorders>
              <w:top w:val="single" w:sz="8" w:space="0" w:color="00B050"/>
              <w:left w:val="nil"/>
              <w:right w:val="nil"/>
            </w:tcBorders>
            <w:vAlign w:val="center"/>
            <w:hideMark/>
          </w:tcPr>
          <w:p w14:paraId="2077E319" w14:textId="77777777" w:rsidR="009E5AD2" w:rsidRPr="00FD4B2F" w:rsidRDefault="009E5AD2" w:rsidP="00705FA2">
            <w:pPr>
              <w:spacing w:line="240" w:lineRule="auto"/>
              <w:jc w:val="center"/>
              <w:rPr>
                <w:rFonts w:cs="Arial"/>
                <w:szCs w:val="18"/>
                <w:lang w:eastAsia="es-CO"/>
              </w:rPr>
            </w:pPr>
            <w:r w:rsidRPr="00FD4B2F">
              <w:rPr>
                <w:rFonts w:cs="Arial"/>
                <w:szCs w:val="18"/>
                <w:lang w:eastAsia="es-CO"/>
              </w:rPr>
              <w:t>1638.78</w:t>
            </w:r>
          </w:p>
        </w:tc>
        <w:tc>
          <w:tcPr>
            <w:tcW w:w="1041" w:type="dxa"/>
            <w:tcBorders>
              <w:top w:val="single" w:sz="8" w:space="0" w:color="00B050"/>
              <w:left w:val="nil"/>
              <w:right w:val="nil"/>
            </w:tcBorders>
            <w:vAlign w:val="center"/>
            <w:hideMark/>
          </w:tcPr>
          <w:p w14:paraId="324FF5D9" w14:textId="77777777" w:rsidR="009E5AD2" w:rsidRPr="00FD4B2F" w:rsidRDefault="009E5AD2" w:rsidP="00705FA2">
            <w:pPr>
              <w:spacing w:line="240" w:lineRule="auto"/>
              <w:jc w:val="center"/>
              <w:rPr>
                <w:rFonts w:cs="Arial"/>
                <w:szCs w:val="18"/>
                <w:lang w:eastAsia="es-CO"/>
              </w:rPr>
            </w:pPr>
            <w:r w:rsidRPr="00FD4B2F">
              <w:rPr>
                <w:rFonts w:cs="Arial"/>
                <w:szCs w:val="18"/>
                <w:lang w:eastAsia="es-CO"/>
              </w:rPr>
              <w:t>1</w:t>
            </w:r>
          </w:p>
        </w:tc>
        <w:tc>
          <w:tcPr>
            <w:tcW w:w="1043" w:type="dxa"/>
            <w:tcBorders>
              <w:top w:val="single" w:sz="8" w:space="0" w:color="00B050"/>
              <w:left w:val="nil"/>
              <w:right w:val="nil"/>
            </w:tcBorders>
            <w:vAlign w:val="center"/>
            <w:hideMark/>
          </w:tcPr>
          <w:p w14:paraId="40974F69" w14:textId="77777777" w:rsidR="009E5AD2" w:rsidRPr="00FD4B2F" w:rsidRDefault="009E5AD2" w:rsidP="00705FA2">
            <w:pPr>
              <w:spacing w:line="240" w:lineRule="auto"/>
              <w:jc w:val="center"/>
              <w:rPr>
                <w:rFonts w:cs="Arial"/>
                <w:szCs w:val="18"/>
                <w:lang w:eastAsia="es-CO"/>
              </w:rPr>
            </w:pPr>
            <w:r w:rsidRPr="00FD4B2F">
              <w:rPr>
                <w:rFonts w:cs="Arial"/>
                <w:szCs w:val="18"/>
                <w:lang w:eastAsia="es-CO"/>
              </w:rPr>
              <w:t>1638.78</w:t>
            </w:r>
          </w:p>
        </w:tc>
        <w:tc>
          <w:tcPr>
            <w:tcW w:w="1041" w:type="dxa"/>
            <w:tcBorders>
              <w:top w:val="single" w:sz="8" w:space="0" w:color="00B050"/>
              <w:left w:val="nil"/>
              <w:right w:val="nil"/>
            </w:tcBorders>
            <w:vAlign w:val="center"/>
            <w:hideMark/>
          </w:tcPr>
          <w:p w14:paraId="07CE5739" w14:textId="77777777" w:rsidR="009E5AD2" w:rsidRPr="00FD4B2F" w:rsidRDefault="009E5AD2" w:rsidP="00705FA2">
            <w:pPr>
              <w:spacing w:line="240" w:lineRule="auto"/>
              <w:jc w:val="center"/>
              <w:rPr>
                <w:rFonts w:cs="Arial"/>
                <w:szCs w:val="18"/>
                <w:lang w:eastAsia="es-CO"/>
              </w:rPr>
            </w:pPr>
            <w:r w:rsidRPr="00FD4B2F">
              <w:rPr>
                <w:rFonts w:cs="Arial"/>
                <w:szCs w:val="18"/>
                <w:lang w:eastAsia="es-CO"/>
              </w:rPr>
              <w:t>13.36</w:t>
            </w:r>
          </w:p>
        </w:tc>
        <w:tc>
          <w:tcPr>
            <w:tcW w:w="1041" w:type="dxa"/>
            <w:tcBorders>
              <w:top w:val="single" w:sz="8" w:space="0" w:color="00B050"/>
              <w:left w:val="nil"/>
              <w:right w:val="nil"/>
            </w:tcBorders>
            <w:vAlign w:val="center"/>
            <w:hideMark/>
          </w:tcPr>
          <w:p w14:paraId="11F4E4A6" w14:textId="77777777" w:rsidR="009E5AD2" w:rsidRPr="00FD4B2F" w:rsidRDefault="009E5AD2" w:rsidP="00705FA2">
            <w:pPr>
              <w:spacing w:line="240" w:lineRule="auto"/>
              <w:jc w:val="center"/>
              <w:rPr>
                <w:rFonts w:cs="Arial"/>
                <w:szCs w:val="18"/>
                <w:lang w:eastAsia="es-CO"/>
              </w:rPr>
            </w:pPr>
            <w:r w:rsidRPr="00FD4B2F">
              <w:rPr>
                <w:rFonts w:cs="Arial"/>
                <w:szCs w:val="18"/>
                <w:lang w:eastAsia="es-CO"/>
              </w:rPr>
              <w:t>0.0147</w:t>
            </w:r>
          </w:p>
        </w:tc>
      </w:tr>
      <w:tr w:rsidR="009E5AD2" w:rsidRPr="00FD4B2F" w14:paraId="22EFDFDE" w14:textId="77777777" w:rsidTr="00390F62">
        <w:trPr>
          <w:trHeight w:val="204"/>
        </w:trPr>
        <w:tc>
          <w:tcPr>
            <w:tcW w:w="1491" w:type="dxa"/>
            <w:tcBorders>
              <w:top w:val="nil"/>
              <w:left w:val="nil"/>
              <w:right w:val="nil"/>
            </w:tcBorders>
            <w:vAlign w:val="center"/>
            <w:hideMark/>
          </w:tcPr>
          <w:p w14:paraId="10910F0D" w14:textId="77777777" w:rsidR="009E5AD2" w:rsidRPr="00FD4B2F" w:rsidRDefault="009E5AD2" w:rsidP="00705FA2">
            <w:pPr>
              <w:spacing w:line="240" w:lineRule="auto"/>
              <w:rPr>
                <w:rFonts w:cs="Arial"/>
                <w:szCs w:val="18"/>
                <w:lang w:eastAsia="es-CO"/>
              </w:rPr>
            </w:pPr>
            <w:r w:rsidRPr="00FD4B2F">
              <w:rPr>
                <w:rFonts w:cs="Arial"/>
                <w:szCs w:val="18"/>
                <w:lang w:eastAsia="es-CO"/>
              </w:rPr>
              <w:t>B: Time</w:t>
            </w:r>
          </w:p>
        </w:tc>
        <w:tc>
          <w:tcPr>
            <w:tcW w:w="863" w:type="dxa"/>
            <w:tcBorders>
              <w:top w:val="nil"/>
              <w:left w:val="nil"/>
              <w:right w:val="nil"/>
            </w:tcBorders>
            <w:vAlign w:val="center"/>
            <w:hideMark/>
          </w:tcPr>
          <w:p w14:paraId="27FB20B1" w14:textId="77777777" w:rsidR="009E5AD2" w:rsidRPr="00FD4B2F" w:rsidRDefault="009E5AD2" w:rsidP="00705FA2">
            <w:pPr>
              <w:spacing w:line="240" w:lineRule="auto"/>
              <w:jc w:val="center"/>
              <w:rPr>
                <w:rFonts w:cs="Arial"/>
                <w:szCs w:val="18"/>
                <w:lang w:eastAsia="es-CO"/>
              </w:rPr>
            </w:pPr>
            <w:r w:rsidRPr="00FD4B2F">
              <w:rPr>
                <w:rFonts w:cs="Arial"/>
                <w:szCs w:val="18"/>
                <w:lang w:eastAsia="es-CO"/>
              </w:rPr>
              <w:t>282.031</w:t>
            </w:r>
          </w:p>
        </w:tc>
        <w:tc>
          <w:tcPr>
            <w:tcW w:w="1041" w:type="dxa"/>
            <w:tcBorders>
              <w:top w:val="nil"/>
              <w:left w:val="nil"/>
              <w:right w:val="nil"/>
            </w:tcBorders>
            <w:vAlign w:val="center"/>
            <w:hideMark/>
          </w:tcPr>
          <w:p w14:paraId="6821FE44" w14:textId="77777777" w:rsidR="009E5AD2" w:rsidRPr="00FD4B2F" w:rsidRDefault="009E5AD2" w:rsidP="00705FA2">
            <w:pPr>
              <w:spacing w:line="240" w:lineRule="auto"/>
              <w:jc w:val="center"/>
              <w:rPr>
                <w:rFonts w:cs="Arial"/>
                <w:szCs w:val="18"/>
                <w:lang w:eastAsia="es-CO"/>
              </w:rPr>
            </w:pPr>
            <w:r w:rsidRPr="00FD4B2F">
              <w:rPr>
                <w:rFonts w:cs="Arial"/>
                <w:szCs w:val="18"/>
                <w:lang w:eastAsia="es-CO"/>
              </w:rPr>
              <w:t>1</w:t>
            </w:r>
          </w:p>
        </w:tc>
        <w:tc>
          <w:tcPr>
            <w:tcW w:w="1043" w:type="dxa"/>
            <w:tcBorders>
              <w:top w:val="nil"/>
              <w:left w:val="nil"/>
              <w:right w:val="nil"/>
            </w:tcBorders>
            <w:vAlign w:val="center"/>
            <w:hideMark/>
          </w:tcPr>
          <w:p w14:paraId="7B2459FB" w14:textId="77777777" w:rsidR="009E5AD2" w:rsidRPr="00FD4B2F" w:rsidRDefault="009E5AD2" w:rsidP="00705FA2">
            <w:pPr>
              <w:spacing w:line="240" w:lineRule="auto"/>
              <w:jc w:val="center"/>
              <w:rPr>
                <w:rFonts w:cs="Arial"/>
                <w:szCs w:val="18"/>
                <w:lang w:eastAsia="es-CO"/>
              </w:rPr>
            </w:pPr>
            <w:r w:rsidRPr="00FD4B2F">
              <w:rPr>
                <w:rFonts w:cs="Arial"/>
                <w:szCs w:val="18"/>
                <w:lang w:eastAsia="es-CO"/>
              </w:rPr>
              <w:t>282031</w:t>
            </w:r>
          </w:p>
        </w:tc>
        <w:tc>
          <w:tcPr>
            <w:tcW w:w="1041" w:type="dxa"/>
            <w:tcBorders>
              <w:top w:val="nil"/>
              <w:left w:val="nil"/>
              <w:right w:val="nil"/>
            </w:tcBorders>
            <w:vAlign w:val="center"/>
            <w:hideMark/>
          </w:tcPr>
          <w:p w14:paraId="3C9CE5E0" w14:textId="77777777" w:rsidR="009E5AD2" w:rsidRPr="00FD4B2F" w:rsidRDefault="009E5AD2" w:rsidP="00705FA2">
            <w:pPr>
              <w:spacing w:line="240" w:lineRule="auto"/>
              <w:jc w:val="center"/>
              <w:rPr>
                <w:rFonts w:cs="Arial"/>
                <w:szCs w:val="18"/>
                <w:lang w:eastAsia="es-CO"/>
              </w:rPr>
            </w:pPr>
            <w:r w:rsidRPr="00FD4B2F">
              <w:rPr>
                <w:rFonts w:cs="Arial"/>
                <w:szCs w:val="18"/>
                <w:lang w:eastAsia="es-CO"/>
              </w:rPr>
              <w:t>2.3</w:t>
            </w:r>
          </w:p>
        </w:tc>
        <w:tc>
          <w:tcPr>
            <w:tcW w:w="1041" w:type="dxa"/>
            <w:tcBorders>
              <w:top w:val="nil"/>
              <w:left w:val="nil"/>
              <w:right w:val="nil"/>
            </w:tcBorders>
            <w:vAlign w:val="center"/>
            <w:hideMark/>
          </w:tcPr>
          <w:p w14:paraId="6A2B873B" w14:textId="77777777" w:rsidR="009E5AD2" w:rsidRPr="00FD4B2F" w:rsidRDefault="009E5AD2" w:rsidP="00705FA2">
            <w:pPr>
              <w:spacing w:line="240" w:lineRule="auto"/>
              <w:jc w:val="center"/>
              <w:rPr>
                <w:rFonts w:cs="Arial"/>
                <w:szCs w:val="18"/>
                <w:lang w:eastAsia="es-CO"/>
              </w:rPr>
            </w:pPr>
            <w:r w:rsidRPr="00FD4B2F">
              <w:rPr>
                <w:rFonts w:cs="Arial"/>
                <w:szCs w:val="18"/>
                <w:lang w:eastAsia="es-CO"/>
              </w:rPr>
              <w:t>0.1899</w:t>
            </w:r>
          </w:p>
        </w:tc>
      </w:tr>
      <w:tr w:rsidR="009E5AD2" w:rsidRPr="00FD4B2F" w14:paraId="51CA139F" w14:textId="77777777" w:rsidTr="00390F62">
        <w:trPr>
          <w:trHeight w:val="204"/>
        </w:trPr>
        <w:tc>
          <w:tcPr>
            <w:tcW w:w="1491" w:type="dxa"/>
            <w:tcBorders>
              <w:top w:val="nil"/>
              <w:left w:val="nil"/>
              <w:right w:val="nil"/>
            </w:tcBorders>
            <w:vAlign w:val="center"/>
            <w:hideMark/>
          </w:tcPr>
          <w:p w14:paraId="676BFDAB" w14:textId="77777777" w:rsidR="009E5AD2" w:rsidRPr="00FD4B2F" w:rsidRDefault="009E5AD2" w:rsidP="00705FA2">
            <w:pPr>
              <w:spacing w:line="240" w:lineRule="auto"/>
              <w:rPr>
                <w:rFonts w:cs="Arial"/>
                <w:szCs w:val="18"/>
                <w:lang w:eastAsia="es-CO"/>
              </w:rPr>
            </w:pPr>
            <w:r w:rsidRPr="00FD4B2F">
              <w:rPr>
                <w:rFonts w:cs="Arial"/>
                <w:szCs w:val="18"/>
                <w:lang w:eastAsia="es-CO"/>
              </w:rPr>
              <w:t>AB</w:t>
            </w:r>
          </w:p>
        </w:tc>
        <w:tc>
          <w:tcPr>
            <w:tcW w:w="863" w:type="dxa"/>
            <w:tcBorders>
              <w:top w:val="nil"/>
              <w:left w:val="nil"/>
              <w:right w:val="nil"/>
            </w:tcBorders>
            <w:vAlign w:val="center"/>
            <w:hideMark/>
          </w:tcPr>
          <w:p w14:paraId="34EF87E7" w14:textId="77777777" w:rsidR="009E5AD2" w:rsidRPr="00FD4B2F" w:rsidRDefault="009E5AD2" w:rsidP="00705FA2">
            <w:pPr>
              <w:spacing w:line="240" w:lineRule="auto"/>
              <w:jc w:val="center"/>
              <w:rPr>
                <w:rFonts w:cs="Arial"/>
                <w:szCs w:val="18"/>
                <w:lang w:eastAsia="es-CO"/>
              </w:rPr>
            </w:pPr>
            <w:r w:rsidRPr="00FD4B2F">
              <w:rPr>
                <w:rFonts w:cs="Arial"/>
                <w:szCs w:val="18"/>
                <w:lang w:eastAsia="es-CO"/>
              </w:rPr>
              <w:t>81.2813</w:t>
            </w:r>
          </w:p>
        </w:tc>
        <w:tc>
          <w:tcPr>
            <w:tcW w:w="1041" w:type="dxa"/>
            <w:tcBorders>
              <w:top w:val="nil"/>
              <w:left w:val="nil"/>
              <w:right w:val="nil"/>
            </w:tcBorders>
            <w:vAlign w:val="center"/>
            <w:hideMark/>
          </w:tcPr>
          <w:p w14:paraId="643D6948" w14:textId="77777777" w:rsidR="009E5AD2" w:rsidRPr="00FD4B2F" w:rsidRDefault="009E5AD2" w:rsidP="00705FA2">
            <w:pPr>
              <w:spacing w:line="240" w:lineRule="auto"/>
              <w:jc w:val="center"/>
              <w:rPr>
                <w:rFonts w:cs="Arial"/>
                <w:szCs w:val="18"/>
                <w:lang w:eastAsia="es-CO"/>
              </w:rPr>
            </w:pPr>
            <w:r w:rsidRPr="00FD4B2F">
              <w:rPr>
                <w:rFonts w:cs="Arial"/>
                <w:szCs w:val="18"/>
                <w:lang w:eastAsia="es-CO"/>
              </w:rPr>
              <w:t>1</w:t>
            </w:r>
          </w:p>
        </w:tc>
        <w:tc>
          <w:tcPr>
            <w:tcW w:w="1043" w:type="dxa"/>
            <w:tcBorders>
              <w:top w:val="nil"/>
              <w:left w:val="nil"/>
              <w:right w:val="nil"/>
            </w:tcBorders>
            <w:vAlign w:val="center"/>
            <w:hideMark/>
          </w:tcPr>
          <w:p w14:paraId="22FCCA1F" w14:textId="77777777" w:rsidR="009E5AD2" w:rsidRPr="00FD4B2F" w:rsidRDefault="009E5AD2" w:rsidP="00705FA2">
            <w:pPr>
              <w:spacing w:line="240" w:lineRule="auto"/>
              <w:jc w:val="center"/>
              <w:rPr>
                <w:rFonts w:cs="Arial"/>
                <w:szCs w:val="18"/>
                <w:lang w:eastAsia="es-CO"/>
              </w:rPr>
            </w:pPr>
            <w:r w:rsidRPr="00FD4B2F">
              <w:rPr>
                <w:rFonts w:cs="Arial"/>
                <w:szCs w:val="18"/>
                <w:lang w:eastAsia="es-CO"/>
              </w:rPr>
              <w:t>812813</w:t>
            </w:r>
          </w:p>
        </w:tc>
        <w:tc>
          <w:tcPr>
            <w:tcW w:w="1041" w:type="dxa"/>
            <w:tcBorders>
              <w:top w:val="nil"/>
              <w:left w:val="nil"/>
              <w:right w:val="nil"/>
            </w:tcBorders>
            <w:vAlign w:val="center"/>
            <w:hideMark/>
          </w:tcPr>
          <w:p w14:paraId="56E2CE5E" w14:textId="77777777" w:rsidR="009E5AD2" w:rsidRPr="00FD4B2F" w:rsidRDefault="009E5AD2" w:rsidP="00705FA2">
            <w:pPr>
              <w:spacing w:line="240" w:lineRule="auto"/>
              <w:jc w:val="center"/>
              <w:rPr>
                <w:rFonts w:cs="Arial"/>
                <w:szCs w:val="18"/>
                <w:lang w:eastAsia="es-CO"/>
              </w:rPr>
            </w:pPr>
            <w:r w:rsidRPr="00FD4B2F">
              <w:rPr>
                <w:rFonts w:cs="Arial"/>
                <w:szCs w:val="18"/>
                <w:lang w:eastAsia="es-CO"/>
              </w:rPr>
              <w:t>0.66</w:t>
            </w:r>
          </w:p>
        </w:tc>
        <w:tc>
          <w:tcPr>
            <w:tcW w:w="1041" w:type="dxa"/>
            <w:tcBorders>
              <w:top w:val="nil"/>
              <w:left w:val="nil"/>
              <w:right w:val="nil"/>
            </w:tcBorders>
            <w:vAlign w:val="center"/>
            <w:hideMark/>
          </w:tcPr>
          <w:p w14:paraId="5613D473" w14:textId="77777777" w:rsidR="009E5AD2" w:rsidRPr="00FD4B2F" w:rsidRDefault="009E5AD2" w:rsidP="00705FA2">
            <w:pPr>
              <w:spacing w:line="240" w:lineRule="auto"/>
              <w:jc w:val="center"/>
              <w:rPr>
                <w:rFonts w:cs="Arial"/>
                <w:szCs w:val="18"/>
                <w:lang w:eastAsia="es-CO"/>
              </w:rPr>
            </w:pPr>
            <w:r w:rsidRPr="00FD4B2F">
              <w:rPr>
                <w:rFonts w:cs="Arial"/>
                <w:szCs w:val="18"/>
                <w:lang w:eastAsia="es-CO"/>
              </w:rPr>
              <w:t>0.4526</w:t>
            </w:r>
          </w:p>
        </w:tc>
      </w:tr>
      <w:tr w:rsidR="009E5AD2" w:rsidRPr="00FD4B2F" w14:paraId="158BBF43" w14:textId="77777777" w:rsidTr="00390F62">
        <w:trPr>
          <w:trHeight w:val="204"/>
        </w:trPr>
        <w:tc>
          <w:tcPr>
            <w:tcW w:w="1491" w:type="dxa"/>
            <w:tcBorders>
              <w:top w:val="nil"/>
              <w:left w:val="nil"/>
              <w:right w:val="nil"/>
            </w:tcBorders>
            <w:vAlign w:val="center"/>
            <w:hideMark/>
          </w:tcPr>
          <w:p w14:paraId="505F9E6A" w14:textId="77777777" w:rsidR="009E5AD2" w:rsidRPr="00FD4B2F" w:rsidRDefault="009E5AD2" w:rsidP="00705FA2">
            <w:pPr>
              <w:spacing w:line="240" w:lineRule="auto"/>
              <w:rPr>
                <w:rFonts w:cs="Arial"/>
                <w:szCs w:val="18"/>
                <w:lang w:eastAsia="es-CO"/>
              </w:rPr>
            </w:pPr>
            <w:r w:rsidRPr="00FD4B2F">
              <w:rPr>
                <w:rFonts w:cs="Arial"/>
                <w:szCs w:val="18"/>
                <w:lang w:eastAsia="es-CO"/>
              </w:rPr>
              <w:t>Blocks</w:t>
            </w:r>
          </w:p>
        </w:tc>
        <w:tc>
          <w:tcPr>
            <w:tcW w:w="863" w:type="dxa"/>
            <w:tcBorders>
              <w:top w:val="nil"/>
              <w:left w:val="nil"/>
              <w:right w:val="nil"/>
            </w:tcBorders>
            <w:vAlign w:val="center"/>
            <w:hideMark/>
          </w:tcPr>
          <w:p w14:paraId="7F4D38AC" w14:textId="77777777" w:rsidR="009E5AD2" w:rsidRPr="00FD4B2F" w:rsidRDefault="009E5AD2" w:rsidP="00705FA2">
            <w:pPr>
              <w:spacing w:line="240" w:lineRule="auto"/>
              <w:jc w:val="center"/>
              <w:rPr>
                <w:rFonts w:cs="Arial"/>
                <w:szCs w:val="18"/>
                <w:lang w:eastAsia="es-CO"/>
              </w:rPr>
            </w:pPr>
            <w:r w:rsidRPr="00FD4B2F">
              <w:rPr>
                <w:rFonts w:cs="Arial"/>
                <w:szCs w:val="18"/>
                <w:lang w:eastAsia="es-CO"/>
              </w:rPr>
              <w:t>11.664</w:t>
            </w:r>
          </w:p>
        </w:tc>
        <w:tc>
          <w:tcPr>
            <w:tcW w:w="1041" w:type="dxa"/>
            <w:tcBorders>
              <w:top w:val="nil"/>
              <w:left w:val="nil"/>
              <w:right w:val="nil"/>
            </w:tcBorders>
            <w:vAlign w:val="center"/>
            <w:hideMark/>
          </w:tcPr>
          <w:p w14:paraId="50841B77" w14:textId="77777777" w:rsidR="009E5AD2" w:rsidRPr="00FD4B2F" w:rsidRDefault="009E5AD2" w:rsidP="00705FA2">
            <w:pPr>
              <w:spacing w:line="240" w:lineRule="auto"/>
              <w:jc w:val="center"/>
              <w:rPr>
                <w:rFonts w:cs="Arial"/>
                <w:szCs w:val="18"/>
                <w:lang w:eastAsia="es-CO"/>
              </w:rPr>
            </w:pPr>
            <w:r w:rsidRPr="00FD4B2F">
              <w:rPr>
                <w:rFonts w:cs="Arial"/>
                <w:szCs w:val="18"/>
                <w:lang w:eastAsia="es-CO"/>
              </w:rPr>
              <w:t>1</w:t>
            </w:r>
          </w:p>
        </w:tc>
        <w:tc>
          <w:tcPr>
            <w:tcW w:w="1043" w:type="dxa"/>
            <w:tcBorders>
              <w:top w:val="nil"/>
              <w:left w:val="nil"/>
              <w:right w:val="nil"/>
            </w:tcBorders>
            <w:vAlign w:val="center"/>
            <w:hideMark/>
          </w:tcPr>
          <w:p w14:paraId="771E7D2B" w14:textId="77777777" w:rsidR="009E5AD2" w:rsidRPr="00FD4B2F" w:rsidRDefault="009E5AD2" w:rsidP="00705FA2">
            <w:pPr>
              <w:spacing w:line="240" w:lineRule="auto"/>
              <w:jc w:val="center"/>
              <w:rPr>
                <w:rFonts w:cs="Arial"/>
                <w:szCs w:val="18"/>
                <w:lang w:eastAsia="es-CO"/>
              </w:rPr>
            </w:pPr>
            <w:r w:rsidRPr="00FD4B2F">
              <w:rPr>
                <w:rFonts w:cs="Arial"/>
                <w:szCs w:val="18"/>
                <w:lang w:eastAsia="es-CO"/>
              </w:rPr>
              <w:t>11664</w:t>
            </w:r>
          </w:p>
        </w:tc>
        <w:tc>
          <w:tcPr>
            <w:tcW w:w="1041" w:type="dxa"/>
            <w:tcBorders>
              <w:top w:val="nil"/>
              <w:left w:val="nil"/>
              <w:right w:val="nil"/>
            </w:tcBorders>
            <w:vAlign w:val="center"/>
            <w:hideMark/>
          </w:tcPr>
          <w:p w14:paraId="67B4CBC3" w14:textId="77777777" w:rsidR="009E5AD2" w:rsidRPr="00FD4B2F" w:rsidRDefault="009E5AD2" w:rsidP="00705FA2">
            <w:pPr>
              <w:spacing w:line="240" w:lineRule="auto"/>
              <w:jc w:val="center"/>
              <w:rPr>
                <w:rFonts w:cs="Arial"/>
                <w:szCs w:val="18"/>
                <w:lang w:eastAsia="es-CO"/>
              </w:rPr>
            </w:pPr>
            <w:r w:rsidRPr="00FD4B2F">
              <w:rPr>
                <w:rFonts w:cs="Arial"/>
                <w:szCs w:val="18"/>
                <w:lang w:eastAsia="es-CO"/>
              </w:rPr>
              <w:t>0.1</w:t>
            </w:r>
          </w:p>
        </w:tc>
        <w:tc>
          <w:tcPr>
            <w:tcW w:w="1041" w:type="dxa"/>
            <w:tcBorders>
              <w:top w:val="nil"/>
              <w:left w:val="nil"/>
              <w:right w:val="nil"/>
            </w:tcBorders>
            <w:vAlign w:val="center"/>
            <w:hideMark/>
          </w:tcPr>
          <w:p w14:paraId="1DF9DC79" w14:textId="77777777" w:rsidR="009E5AD2" w:rsidRPr="00FD4B2F" w:rsidRDefault="009E5AD2" w:rsidP="00705FA2">
            <w:pPr>
              <w:spacing w:line="240" w:lineRule="auto"/>
              <w:jc w:val="center"/>
              <w:rPr>
                <w:rFonts w:cs="Arial"/>
                <w:szCs w:val="18"/>
                <w:lang w:eastAsia="es-CO"/>
              </w:rPr>
            </w:pPr>
            <w:r w:rsidRPr="00FD4B2F">
              <w:rPr>
                <w:rFonts w:cs="Arial"/>
                <w:szCs w:val="18"/>
                <w:lang w:eastAsia="es-CO"/>
              </w:rPr>
              <w:t>0.7702</w:t>
            </w:r>
          </w:p>
        </w:tc>
      </w:tr>
      <w:tr w:rsidR="009E5AD2" w:rsidRPr="00FD4B2F" w14:paraId="4023C5B0" w14:textId="77777777" w:rsidTr="00390F62">
        <w:trPr>
          <w:trHeight w:val="204"/>
        </w:trPr>
        <w:tc>
          <w:tcPr>
            <w:tcW w:w="1491" w:type="dxa"/>
            <w:tcBorders>
              <w:top w:val="nil"/>
              <w:left w:val="nil"/>
              <w:right w:val="nil"/>
            </w:tcBorders>
            <w:vAlign w:val="center"/>
            <w:hideMark/>
          </w:tcPr>
          <w:p w14:paraId="2D3534BF" w14:textId="77777777" w:rsidR="009E5AD2" w:rsidRPr="00FD4B2F" w:rsidRDefault="009E5AD2" w:rsidP="00705FA2">
            <w:pPr>
              <w:spacing w:line="240" w:lineRule="auto"/>
              <w:rPr>
                <w:rFonts w:cs="Arial"/>
                <w:szCs w:val="18"/>
                <w:lang w:eastAsia="es-CO"/>
              </w:rPr>
            </w:pPr>
            <w:r w:rsidRPr="00FD4B2F">
              <w:rPr>
                <w:rFonts w:cs="Arial"/>
                <w:szCs w:val="18"/>
                <w:lang w:eastAsia="es-CO"/>
              </w:rPr>
              <w:t>Total, error</w:t>
            </w:r>
          </w:p>
        </w:tc>
        <w:tc>
          <w:tcPr>
            <w:tcW w:w="863" w:type="dxa"/>
            <w:tcBorders>
              <w:top w:val="nil"/>
              <w:left w:val="nil"/>
              <w:right w:val="nil"/>
            </w:tcBorders>
            <w:vAlign w:val="center"/>
            <w:hideMark/>
          </w:tcPr>
          <w:p w14:paraId="6D356132" w14:textId="77777777" w:rsidR="009E5AD2" w:rsidRPr="00FD4B2F" w:rsidRDefault="009E5AD2" w:rsidP="00705FA2">
            <w:pPr>
              <w:spacing w:line="240" w:lineRule="auto"/>
              <w:jc w:val="center"/>
              <w:rPr>
                <w:rFonts w:cs="Arial"/>
                <w:szCs w:val="18"/>
                <w:lang w:eastAsia="es-CO"/>
              </w:rPr>
            </w:pPr>
            <w:r w:rsidRPr="00FD4B2F">
              <w:rPr>
                <w:rFonts w:cs="Arial"/>
                <w:szCs w:val="18"/>
                <w:lang w:eastAsia="es-CO"/>
              </w:rPr>
              <w:t>613.338</w:t>
            </w:r>
          </w:p>
        </w:tc>
        <w:tc>
          <w:tcPr>
            <w:tcW w:w="1041" w:type="dxa"/>
            <w:tcBorders>
              <w:top w:val="nil"/>
              <w:left w:val="nil"/>
              <w:right w:val="nil"/>
            </w:tcBorders>
            <w:vAlign w:val="center"/>
            <w:hideMark/>
          </w:tcPr>
          <w:p w14:paraId="33DEA4E4" w14:textId="77777777" w:rsidR="009E5AD2" w:rsidRPr="00FD4B2F" w:rsidRDefault="009E5AD2" w:rsidP="00705FA2">
            <w:pPr>
              <w:spacing w:line="240" w:lineRule="auto"/>
              <w:jc w:val="center"/>
              <w:rPr>
                <w:rFonts w:cs="Arial"/>
                <w:szCs w:val="18"/>
                <w:lang w:eastAsia="es-CO"/>
              </w:rPr>
            </w:pPr>
            <w:r w:rsidRPr="00FD4B2F">
              <w:rPr>
                <w:rFonts w:cs="Arial"/>
                <w:szCs w:val="18"/>
                <w:lang w:eastAsia="es-CO"/>
              </w:rPr>
              <w:t>5</w:t>
            </w:r>
          </w:p>
        </w:tc>
        <w:tc>
          <w:tcPr>
            <w:tcW w:w="1043" w:type="dxa"/>
            <w:tcBorders>
              <w:top w:val="nil"/>
              <w:left w:val="nil"/>
              <w:right w:val="nil"/>
            </w:tcBorders>
            <w:vAlign w:val="center"/>
          </w:tcPr>
          <w:p w14:paraId="7F687DB0" w14:textId="77777777" w:rsidR="009E5AD2" w:rsidRPr="00FD4B2F" w:rsidRDefault="009E5AD2" w:rsidP="00705FA2">
            <w:pPr>
              <w:spacing w:line="240" w:lineRule="auto"/>
              <w:jc w:val="center"/>
              <w:rPr>
                <w:rFonts w:cs="Arial"/>
                <w:szCs w:val="18"/>
                <w:lang w:eastAsia="es-CO"/>
              </w:rPr>
            </w:pPr>
            <w:r w:rsidRPr="00FD4B2F">
              <w:rPr>
                <w:rFonts w:cs="Arial"/>
                <w:szCs w:val="18"/>
                <w:lang w:eastAsia="es-CO"/>
              </w:rPr>
              <w:t>122.668</w:t>
            </w:r>
          </w:p>
        </w:tc>
        <w:tc>
          <w:tcPr>
            <w:tcW w:w="1041" w:type="dxa"/>
            <w:tcBorders>
              <w:top w:val="nil"/>
              <w:left w:val="nil"/>
              <w:right w:val="nil"/>
            </w:tcBorders>
            <w:vAlign w:val="center"/>
            <w:hideMark/>
          </w:tcPr>
          <w:p w14:paraId="66AAD859" w14:textId="77777777" w:rsidR="009E5AD2" w:rsidRPr="00FD4B2F" w:rsidRDefault="009E5AD2" w:rsidP="00705FA2">
            <w:pPr>
              <w:spacing w:line="240" w:lineRule="auto"/>
              <w:jc w:val="center"/>
              <w:rPr>
                <w:rFonts w:cs="Arial"/>
                <w:szCs w:val="18"/>
                <w:lang w:eastAsia="es-CO"/>
              </w:rPr>
            </w:pPr>
          </w:p>
        </w:tc>
        <w:tc>
          <w:tcPr>
            <w:tcW w:w="1041" w:type="dxa"/>
            <w:tcBorders>
              <w:top w:val="nil"/>
              <w:left w:val="nil"/>
              <w:right w:val="nil"/>
            </w:tcBorders>
            <w:vAlign w:val="center"/>
            <w:hideMark/>
          </w:tcPr>
          <w:p w14:paraId="433AC1A6" w14:textId="77777777" w:rsidR="009E5AD2" w:rsidRPr="00FD4B2F" w:rsidRDefault="009E5AD2" w:rsidP="00705FA2">
            <w:pPr>
              <w:spacing w:line="240" w:lineRule="auto"/>
              <w:jc w:val="center"/>
              <w:rPr>
                <w:rFonts w:cs="Arial"/>
                <w:szCs w:val="18"/>
                <w:lang w:eastAsia="es-CO"/>
              </w:rPr>
            </w:pPr>
            <w:r w:rsidRPr="00FD4B2F">
              <w:rPr>
                <w:rFonts w:cs="Arial"/>
                <w:szCs w:val="18"/>
                <w:lang w:eastAsia="es-CO"/>
              </w:rPr>
              <w:t> </w:t>
            </w:r>
          </w:p>
        </w:tc>
      </w:tr>
      <w:tr w:rsidR="009E5AD2" w:rsidRPr="00FD4B2F" w14:paraId="5A80DB5B" w14:textId="77777777" w:rsidTr="00390F62">
        <w:trPr>
          <w:trHeight w:val="204"/>
        </w:trPr>
        <w:tc>
          <w:tcPr>
            <w:tcW w:w="1491" w:type="dxa"/>
            <w:tcBorders>
              <w:left w:val="nil"/>
              <w:bottom w:val="single" w:sz="12" w:space="0" w:color="00B050"/>
              <w:right w:val="nil"/>
            </w:tcBorders>
            <w:vAlign w:val="center"/>
            <w:hideMark/>
          </w:tcPr>
          <w:p w14:paraId="3763B63F" w14:textId="77777777" w:rsidR="009E5AD2" w:rsidRPr="00FD4B2F" w:rsidRDefault="009E5AD2" w:rsidP="00705FA2">
            <w:pPr>
              <w:spacing w:line="240" w:lineRule="auto"/>
              <w:rPr>
                <w:rFonts w:cs="Arial"/>
                <w:szCs w:val="18"/>
                <w:lang w:eastAsia="es-CO"/>
              </w:rPr>
            </w:pPr>
            <w:r w:rsidRPr="00FD4B2F">
              <w:rPr>
                <w:rFonts w:cs="Arial"/>
                <w:szCs w:val="18"/>
                <w:lang w:eastAsia="es-CO"/>
              </w:rPr>
              <w:t>Total (cor)</w:t>
            </w:r>
          </w:p>
        </w:tc>
        <w:tc>
          <w:tcPr>
            <w:tcW w:w="863" w:type="dxa"/>
            <w:tcBorders>
              <w:left w:val="nil"/>
              <w:bottom w:val="single" w:sz="12" w:space="0" w:color="00B050"/>
              <w:right w:val="nil"/>
            </w:tcBorders>
            <w:vAlign w:val="center"/>
            <w:hideMark/>
          </w:tcPr>
          <w:p w14:paraId="07536967" w14:textId="77777777" w:rsidR="009E5AD2" w:rsidRPr="00FD4B2F" w:rsidRDefault="009E5AD2" w:rsidP="00705FA2">
            <w:pPr>
              <w:spacing w:line="240" w:lineRule="auto"/>
              <w:jc w:val="center"/>
              <w:rPr>
                <w:rFonts w:cs="Arial"/>
                <w:szCs w:val="18"/>
                <w:lang w:eastAsia="es-CO"/>
              </w:rPr>
            </w:pPr>
            <w:r w:rsidRPr="00FD4B2F">
              <w:rPr>
                <w:rFonts w:cs="Arial"/>
                <w:szCs w:val="18"/>
                <w:lang w:eastAsia="es-CO"/>
              </w:rPr>
              <w:t>2627.1</w:t>
            </w:r>
          </w:p>
        </w:tc>
        <w:tc>
          <w:tcPr>
            <w:tcW w:w="1041" w:type="dxa"/>
            <w:tcBorders>
              <w:left w:val="nil"/>
              <w:bottom w:val="single" w:sz="12" w:space="0" w:color="00B050"/>
              <w:right w:val="nil"/>
            </w:tcBorders>
            <w:vAlign w:val="center"/>
            <w:hideMark/>
          </w:tcPr>
          <w:p w14:paraId="25FF5815" w14:textId="77777777" w:rsidR="009E5AD2" w:rsidRPr="00FD4B2F" w:rsidRDefault="009E5AD2" w:rsidP="00705FA2">
            <w:pPr>
              <w:spacing w:line="240" w:lineRule="auto"/>
              <w:jc w:val="center"/>
              <w:rPr>
                <w:rFonts w:cs="Arial"/>
                <w:szCs w:val="18"/>
                <w:lang w:eastAsia="es-CO"/>
              </w:rPr>
            </w:pPr>
            <w:r w:rsidRPr="00FD4B2F">
              <w:rPr>
                <w:rFonts w:cs="Arial"/>
                <w:szCs w:val="18"/>
                <w:lang w:eastAsia="es-CO"/>
              </w:rPr>
              <w:t>9</w:t>
            </w:r>
          </w:p>
        </w:tc>
        <w:tc>
          <w:tcPr>
            <w:tcW w:w="1043" w:type="dxa"/>
            <w:tcBorders>
              <w:left w:val="nil"/>
              <w:bottom w:val="single" w:sz="12" w:space="0" w:color="00B050"/>
              <w:right w:val="nil"/>
            </w:tcBorders>
            <w:vAlign w:val="center"/>
          </w:tcPr>
          <w:p w14:paraId="4FE2D1EE" w14:textId="77777777" w:rsidR="009E5AD2" w:rsidRPr="00FD4B2F" w:rsidRDefault="009E5AD2" w:rsidP="00705FA2">
            <w:pPr>
              <w:spacing w:line="240" w:lineRule="auto"/>
              <w:jc w:val="center"/>
              <w:rPr>
                <w:rFonts w:cs="Arial"/>
                <w:szCs w:val="18"/>
                <w:lang w:eastAsia="es-CO"/>
              </w:rPr>
            </w:pPr>
          </w:p>
        </w:tc>
        <w:tc>
          <w:tcPr>
            <w:tcW w:w="1041" w:type="dxa"/>
            <w:tcBorders>
              <w:left w:val="nil"/>
              <w:bottom w:val="single" w:sz="12" w:space="0" w:color="00B050"/>
              <w:right w:val="nil"/>
            </w:tcBorders>
            <w:vAlign w:val="center"/>
            <w:hideMark/>
          </w:tcPr>
          <w:p w14:paraId="4B9C690F" w14:textId="77777777" w:rsidR="009E5AD2" w:rsidRPr="00FD4B2F" w:rsidRDefault="009E5AD2" w:rsidP="00705FA2">
            <w:pPr>
              <w:spacing w:line="240" w:lineRule="auto"/>
              <w:jc w:val="center"/>
              <w:rPr>
                <w:rFonts w:cs="Arial"/>
                <w:szCs w:val="18"/>
                <w:lang w:eastAsia="es-CO"/>
              </w:rPr>
            </w:pPr>
            <w:r w:rsidRPr="00FD4B2F">
              <w:rPr>
                <w:rFonts w:cs="Arial"/>
                <w:szCs w:val="18"/>
                <w:lang w:eastAsia="es-CO"/>
              </w:rPr>
              <w:t> </w:t>
            </w:r>
          </w:p>
        </w:tc>
        <w:tc>
          <w:tcPr>
            <w:tcW w:w="1041" w:type="dxa"/>
            <w:tcBorders>
              <w:left w:val="nil"/>
              <w:bottom w:val="single" w:sz="12" w:space="0" w:color="00B050"/>
              <w:right w:val="nil"/>
            </w:tcBorders>
            <w:vAlign w:val="center"/>
            <w:hideMark/>
          </w:tcPr>
          <w:p w14:paraId="4A7736DF" w14:textId="77777777" w:rsidR="009E5AD2" w:rsidRPr="00FD4B2F" w:rsidRDefault="009E5AD2" w:rsidP="00705FA2">
            <w:pPr>
              <w:spacing w:line="240" w:lineRule="auto"/>
              <w:jc w:val="center"/>
              <w:rPr>
                <w:rFonts w:cs="Arial"/>
                <w:szCs w:val="18"/>
                <w:lang w:eastAsia="es-CO"/>
              </w:rPr>
            </w:pPr>
            <w:r w:rsidRPr="00FD4B2F">
              <w:rPr>
                <w:rFonts w:cs="Arial"/>
                <w:szCs w:val="18"/>
                <w:lang w:eastAsia="es-CO"/>
              </w:rPr>
              <w:t> </w:t>
            </w:r>
          </w:p>
        </w:tc>
      </w:tr>
    </w:tbl>
    <w:p w14:paraId="0662A465" w14:textId="15C24DCF" w:rsidR="00F85302" w:rsidRDefault="003200D7" w:rsidP="00F85302">
      <w:pPr>
        <w:pStyle w:val="CETBodytext"/>
        <w:spacing w:before="120"/>
        <w:rPr>
          <w:rFonts w:cs="Arial"/>
          <w:szCs w:val="18"/>
        </w:rPr>
      </w:pPr>
      <w:r w:rsidRPr="00FD4B2F">
        <w:rPr>
          <w:rFonts w:cs="Arial"/>
          <w:noProof/>
          <w:szCs w:val="18"/>
        </w:rPr>
        <w:t>Figure</w:t>
      </w:r>
      <w:r w:rsidR="00F2215F">
        <w:rPr>
          <w:rFonts w:cs="Arial"/>
          <w:noProof/>
          <w:szCs w:val="18"/>
        </w:rPr>
        <w:t>s</w:t>
      </w:r>
      <w:r w:rsidRPr="00FD4B2F">
        <w:rPr>
          <w:rFonts w:cs="Arial"/>
          <w:noProof/>
          <w:szCs w:val="18"/>
        </w:rPr>
        <w:t xml:space="preserve"> </w:t>
      </w:r>
      <w:r w:rsidR="00893E22">
        <w:rPr>
          <w:rFonts w:cs="Arial"/>
          <w:noProof/>
          <w:szCs w:val="18"/>
        </w:rPr>
        <w:t>2</w:t>
      </w:r>
      <w:r w:rsidRPr="00FD4B2F">
        <w:rPr>
          <w:rFonts w:cs="Arial"/>
          <w:noProof/>
          <w:szCs w:val="18"/>
        </w:rPr>
        <w:t>a show</w:t>
      </w:r>
      <w:r w:rsidR="00763247">
        <w:rPr>
          <w:rFonts w:cs="Arial"/>
          <w:noProof/>
          <w:szCs w:val="18"/>
        </w:rPr>
        <w:t>s</w:t>
      </w:r>
      <w:r w:rsidRPr="00FD4B2F">
        <w:rPr>
          <w:rFonts w:cs="Arial"/>
          <w:noProof/>
          <w:szCs w:val="18"/>
        </w:rPr>
        <w:t xml:space="preserve"> the </w:t>
      </w:r>
      <w:r w:rsidRPr="00FD4B2F">
        <w:rPr>
          <w:rFonts w:cs="Arial"/>
          <w:szCs w:val="18"/>
        </w:rPr>
        <w:t>N</w:t>
      </w:r>
      <w:r w:rsidRPr="00FD4B2F">
        <w:rPr>
          <w:rFonts w:cs="Arial"/>
          <w:szCs w:val="18"/>
          <w:vertAlign w:val="subscript"/>
        </w:rPr>
        <w:t>2</w:t>
      </w:r>
      <w:r w:rsidRPr="00FD4B2F">
        <w:rPr>
          <w:rFonts w:cs="Arial"/>
          <w:szCs w:val="18"/>
        </w:rPr>
        <w:t xml:space="preserve"> adsorption-desorption isotherm</w:t>
      </w:r>
      <w:r w:rsidR="001C6450">
        <w:rPr>
          <w:rFonts w:cs="Arial"/>
          <w:szCs w:val="18"/>
        </w:rPr>
        <w:t>s</w:t>
      </w:r>
      <w:r w:rsidR="00AC03E0">
        <w:rPr>
          <w:rFonts w:cs="Arial"/>
          <w:szCs w:val="18"/>
        </w:rPr>
        <w:t>,</w:t>
      </w:r>
      <w:r w:rsidRPr="00FD4B2F">
        <w:rPr>
          <w:rFonts w:cs="Arial"/>
          <w:szCs w:val="18"/>
        </w:rPr>
        <w:t xml:space="preserve"> </w:t>
      </w:r>
      <w:r w:rsidR="00AC03E0">
        <w:rPr>
          <w:rFonts w:cs="Arial"/>
          <w:szCs w:val="18"/>
        </w:rPr>
        <w:t xml:space="preserve">and </w:t>
      </w:r>
      <w:r w:rsidR="00AC03E0" w:rsidRPr="00AC03E0">
        <w:rPr>
          <w:rFonts w:cs="Arial"/>
          <w:szCs w:val="18"/>
        </w:rPr>
        <w:t xml:space="preserve">the inserted figures show the pore size distributions and surface morphologies </w:t>
      </w:r>
      <w:r w:rsidR="000A7FF3">
        <w:rPr>
          <w:rFonts w:cs="Arial"/>
          <w:szCs w:val="18"/>
        </w:rPr>
        <w:t>for</w:t>
      </w:r>
      <w:r w:rsidR="00AC03E0" w:rsidRPr="00AC03E0">
        <w:rPr>
          <w:rFonts w:cs="Arial"/>
          <w:szCs w:val="18"/>
        </w:rPr>
        <w:t xml:space="preserve"> HC-205-22</w:t>
      </w:r>
      <w:r w:rsidRPr="00FD4B2F">
        <w:rPr>
          <w:rFonts w:cs="Arial"/>
          <w:szCs w:val="18"/>
        </w:rPr>
        <w:t xml:space="preserve">. </w:t>
      </w:r>
      <w:r w:rsidR="00FE409C">
        <w:rPr>
          <w:rFonts w:cs="Arial"/>
          <w:szCs w:val="18"/>
        </w:rPr>
        <w:t xml:space="preserve">The isotherms showed a </w:t>
      </w:r>
      <w:r w:rsidRPr="00FD4B2F">
        <w:rPr>
          <w:rFonts w:cs="Arial"/>
          <w:szCs w:val="18"/>
        </w:rPr>
        <w:t xml:space="preserve">Type IV(a) (IUPAC) due to </w:t>
      </w:r>
      <w:r w:rsidR="00800D30">
        <w:rPr>
          <w:rFonts w:cs="Arial"/>
          <w:szCs w:val="18"/>
        </w:rPr>
        <w:t>their</w:t>
      </w:r>
      <w:r w:rsidRPr="00FD4B2F">
        <w:rPr>
          <w:rFonts w:cs="Arial"/>
          <w:szCs w:val="18"/>
        </w:rPr>
        <w:t xml:space="preserve"> multilayer adsorption</w:t>
      </w:r>
      <w:r w:rsidR="00B10DA1">
        <w:rPr>
          <w:rFonts w:cs="Arial"/>
          <w:szCs w:val="18"/>
        </w:rPr>
        <w:t>,</w:t>
      </w:r>
      <w:r w:rsidRPr="00FD4B2F">
        <w:rPr>
          <w:rFonts w:cs="Arial"/>
          <w:szCs w:val="18"/>
        </w:rPr>
        <w:t xml:space="preserve"> with hysteresis loops </w:t>
      </w:r>
      <w:r>
        <w:rPr>
          <w:rFonts w:cs="Arial"/>
          <w:szCs w:val="18"/>
        </w:rPr>
        <w:t>type H3</w:t>
      </w:r>
      <w:r w:rsidRPr="00FD4B2F">
        <w:rPr>
          <w:rFonts w:cs="Arial"/>
          <w:szCs w:val="18"/>
        </w:rPr>
        <w:t xml:space="preserve"> caused by mesopore filling </w:t>
      </w:r>
      <w:sdt>
        <w:sdtPr>
          <w:rPr>
            <w:rFonts w:cs="Arial"/>
            <w:color w:val="000000"/>
            <w:szCs w:val="18"/>
          </w:rPr>
          <w:tag w:val="MENDELEY_CITATION_v3_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"/>
          <w:id w:val="1370650111"/>
          <w:placeholder>
            <w:docPart w:val="5211B9B818FA4D56A9D74FD3BA2E65E9"/>
          </w:placeholder>
        </w:sdtPr>
        <w:sdtContent>
          <w:r w:rsidR="00027876" w:rsidRPr="00027876">
            <w:rPr>
              <w:rFonts w:cs="Arial"/>
              <w:color w:val="000000"/>
              <w:szCs w:val="18"/>
            </w:rPr>
            <w:t>(Rahman et al., 2019)</w:t>
          </w:r>
        </w:sdtContent>
      </w:sdt>
      <w:r w:rsidRPr="006A04B5">
        <w:rPr>
          <w:rFonts w:cs="Arial"/>
          <w:szCs w:val="18"/>
        </w:rPr>
        <w:t xml:space="preserve">. </w:t>
      </w:r>
      <w:r w:rsidRPr="006A04B5">
        <w:rPr>
          <w:rFonts w:cs="Arial"/>
          <w:noProof/>
          <w:szCs w:val="18"/>
        </w:rPr>
        <w:t xml:space="preserve">The </w:t>
      </w:r>
      <w:r>
        <w:rPr>
          <w:rFonts w:cs="Arial"/>
          <w:noProof/>
          <w:szCs w:val="18"/>
        </w:rPr>
        <w:t>A</w:t>
      </w:r>
      <w:r w:rsidRPr="006A43A7">
        <w:rPr>
          <w:rFonts w:cs="Arial"/>
          <w:noProof/>
          <w:szCs w:val="18"/>
          <w:vertAlign w:val="subscript"/>
        </w:rPr>
        <w:t>BET</w:t>
      </w:r>
      <w:r w:rsidRPr="00FD4B2F">
        <w:rPr>
          <w:rFonts w:cs="Arial"/>
          <w:noProof/>
          <w:szCs w:val="18"/>
        </w:rPr>
        <w:t xml:space="preserve"> and pore volume of </w:t>
      </w:r>
      <w:r>
        <w:rPr>
          <w:rFonts w:cs="Arial"/>
          <w:noProof/>
          <w:szCs w:val="18"/>
        </w:rPr>
        <w:t>PKS were null</w:t>
      </w:r>
      <w:r w:rsidR="005F3F94" w:rsidRPr="005F3F94">
        <w:rPr>
          <w:rFonts w:cs="Arial"/>
          <w:szCs w:val="18"/>
        </w:rPr>
        <w:t xml:space="preserve"> </w:t>
      </w:r>
      <w:r w:rsidR="005F3F94">
        <w:rPr>
          <w:rFonts w:cs="Arial"/>
          <w:szCs w:val="18"/>
        </w:rPr>
        <w:t xml:space="preserve">and </w:t>
      </w:r>
      <w:r w:rsidR="005F3F94" w:rsidRPr="00746EB4">
        <w:rPr>
          <w:rFonts w:cs="Arial"/>
          <w:szCs w:val="18"/>
        </w:rPr>
        <w:t xml:space="preserve">exhibited a closed </w:t>
      </w:r>
      <w:r w:rsidR="005F3F94">
        <w:rPr>
          <w:rFonts w:cs="Arial"/>
          <w:szCs w:val="18"/>
        </w:rPr>
        <w:t>and compact</w:t>
      </w:r>
      <w:r w:rsidR="005F3F94" w:rsidRPr="00FD4B2F">
        <w:rPr>
          <w:rFonts w:cs="Arial"/>
          <w:szCs w:val="18"/>
        </w:rPr>
        <w:t xml:space="preserve"> morphology</w:t>
      </w:r>
      <w:r w:rsidR="005F3F94">
        <w:rPr>
          <w:rFonts w:cs="Arial"/>
          <w:szCs w:val="18"/>
        </w:rPr>
        <w:t xml:space="preserve">. The </w:t>
      </w:r>
      <w:r w:rsidR="005F3F94">
        <w:rPr>
          <w:rFonts w:cs="Arial"/>
          <w:noProof/>
          <w:szCs w:val="18"/>
        </w:rPr>
        <w:t>A</w:t>
      </w:r>
      <w:r w:rsidR="005F3F94" w:rsidRPr="006A43A7">
        <w:rPr>
          <w:rFonts w:cs="Arial"/>
          <w:noProof/>
          <w:szCs w:val="18"/>
          <w:vertAlign w:val="subscript"/>
        </w:rPr>
        <w:t>BET</w:t>
      </w:r>
      <w:r w:rsidR="005F3F94" w:rsidRPr="00FD4B2F">
        <w:rPr>
          <w:rFonts w:cs="Arial"/>
          <w:noProof/>
          <w:szCs w:val="18"/>
        </w:rPr>
        <w:t xml:space="preserve"> </w:t>
      </w:r>
      <w:r w:rsidR="005F3F94">
        <w:rPr>
          <w:rFonts w:cs="Arial"/>
          <w:noProof/>
          <w:szCs w:val="18"/>
        </w:rPr>
        <w:t xml:space="preserve">for </w:t>
      </w:r>
      <w:r w:rsidRPr="00FD4B2F">
        <w:rPr>
          <w:rFonts w:cs="Arial"/>
          <w:noProof/>
          <w:szCs w:val="18"/>
        </w:rPr>
        <w:t>HC-205-22 increased</w:t>
      </w:r>
      <w:r>
        <w:rPr>
          <w:rFonts w:cs="Arial"/>
          <w:noProof/>
          <w:szCs w:val="18"/>
        </w:rPr>
        <w:t xml:space="preserve"> up t</w:t>
      </w:r>
      <w:r w:rsidR="00C13244">
        <w:rPr>
          <w:rFonts w:cs="Arial"/>
          <w:noProof/>
          <w:szCs w:val="18"/>
        </w:rPr>
        <w:t xml:space="preserve">o </w:t>
      </w:r>
      <w:r w:rsidR="00C13244" w:rsidRPr="00C13244">
        <w:rPr>
          <w:rFonts w:cs="Arial"/>
          <w:noProof/>
          <w:szCs w:val="18"/>
        </w:rPr>
        <w:t>38.8</w:t>
      </w:r>
      <w:r w:rsidR="00C13244">
        <w:rPr>
          <w:rFonts w:cs="Arial"/>
          <w:noProof/>
          <w:szCs w:val="18"/>
        </w:rPr>
        <w:t xml:space="preserve"> </w:t>
      </w:r>
      <w:r w:rsidR="00C13244">
        <w:rPr>
          <w:rFonts w:ascii="Abadi" w:hAnsi="Abadi" w:cs="Arial"/>
          <w:noProof/>
          <w:szCs w:val="18"/>
        </w:rPr>
        <w:t>±</w:t>
      </w:r>
      <w:r w:rsidR="00C13244">
        <w:rPr>
          <w:rFonts w:cs="Arial"/>
          <w:noProof/>
          <w:szCs w:val="18"/>
        </w:rPr>
        <w:t xml:space="preserve"> </w:t>
      </w:r>
      <w:r w:rsidR="00C13244" w:rsidRPr="00C13244">
        <w:rPr>
          <w:rFonts w:cs="Arial"/>
          <w:noProof/>
          <w:szCs w:val="18"/>
        </w:rPr>
        <w:t>2.4</w:t>
      </w:r>
      <w:r w:rsidR="003D6724">
        <w:rPr>
          <w:rFonts w:cs="Arial"/>
          <w:noProof/>
          <w:szCs w:val="18"/>
        </w:rPr>
        <w:t xml:space="preserve"> m</w:t>
      </w:r>
      <w:r w:rsidR="003D6724" w:rsidRPr="003D6724">
        <w:rPr>
          <w:rFonts w:cs="Arial"/>
          <w:noProof/>
          <w:szCs w:val="18"/>
          <w:vertAlign w:val="superscript"/>
        </w:rPr>
        <w:t>2</w:t>
      </w:r>
      <w:r w:rsidR="003D6724">
        <w:rPr>
          <w:rFonts w:cs="Arial"/>
          <w:noProof/>
          <w:szCs w:val="18"/>
        </w:rPr>
        <w:t xml:space="preserve"> g</w:t>
      </w:r>
      <w:r w:rsidR="003D6724" w:rsidRPr="003D6724">
        <w:rPr>
          <w:rFonts w:cs="Arial"/>
          <w:noProof/>
          <w:szCs w:val="18"/>
          <w:vertAlign w:val="superscript"/>
        </w:rPr>
        <w:t>-1</w:t>
      </w:r>
      <w:r w:rsidR="005F3F94">
        <w:rPr>
          <w:rFonts w:cs="Arial"/>
          <w:noProof/>
          <w:szCs w:val="18"/>
        </w:rPr>
        <w:t xml:space="preserve"> with </w:t>
      </w:r>
      <w:r w:rsidR="00995E59">
        <w:rPr>
          <w:rFonts w:cs="Arial"/>
          <w:noProof/>
          <w:szCs w:val="18"/>
        </w:rPr>
        <w:t xml:space="preserve">a </w:t>
      </w:r>
      <w:r w:rsidR="00463950">
        <w:rPr>
          <w:rFonts w:cs="Arial"/>
          <w:szCs w:val="18"/>
        </w:rPr>
        <w:t xml:space="preserve">micropore diameter </w:t>
      </w:r>
      <w:r w:rsidR="00995E59">
        <w:rPr>
          <w:rFonts w:cs="Arial"/>
          <w:szCs w:val="18"/>
        </w:rPr>
        <w:t xml:space="preserve">of </w:t>
      </w:r>
      <w:r w:rsidR="00463950">
        <w:rPr>
          <w:rFonts w:cs="Arial"/>
          <w:szCs w:val="18"/>
        </w:rPr>
        <w:t xml:space="preserve">3.6 </w:t>
      </w:r>
      <w:r w:rsidR="00463950">
        <w:rPr>
          <w:rFonts w:ascii="Abadi" w:hAnsi="Abadi" w:cs="Arial"/>
          <w:noProof/>
          <w:szCs w:val="18"/>
        </w:rPr>
        <w:t xml:space="preserve">± </w:t>
      </w:r>
      <w:r w:rsidR="00463950" w:rsidRPr="0069647C">
        <w:rPr>
          <w:rFonts w:cs="Arial"/>
          <w:szCs w:val="18"/>
        </w:rPr>
        <w:t xml:space="preserve">0.2 </w:t>
      </w:r>
      <w:r w:rsidR="00463950">
        <w:rPr>
          <w:rFonts w:cs="Arial"/>
          <w:szCs w:val="18"/>
        </w:rPr>
        <w:t>nm</w:t>
      </w:r>
      <w:r w:rsidR="00637B00">
        <w:rPr>
          <w:rFonts w:cs="Arial"/>
          <w:szCs w:val="18"/>
        </w:rPr>
        <w:t xml:space="preserve"> and</w:t>
      </w:r>
      <w:r w:rsidR="00463950">
        <w:rPr>
          <w:rFonts w:cs="Arial"/>
          <w:szCs w:val="18"/>
        </w:rPr>
        <w:t xml:space="preserve"> the pore size distribution </w:t>
      </w:r>
      <w:r w:rsidR="00660211">
        <w:rPr>
          <w:rFonts w:cs="Arial"/>
          <w:szCs w:val="18"/>
        </w:rPr>
        <w:t xml:space="preserve">from </w:t>
      </w:r>
      <w:r w:rsidR="009370B4">
        <w:rPr>
          <w:rFonts w:cs="Arial"/>
          <w:szCs w:val="18"/>
        </w:rPr>
        <w:t xml:space="preserve">the </w:t>
      </w:r>
      <w:r w:rsidR="00463950">
        <w:rPr>
          <w:rFonts w:cs="Arial"/>
          <w:szCs w:val="18"/>
        </w:rPr>
        <w:t xml:space="preserve">BJH model </w:t>
      </w:r>
      <w:r w:rsidR="003D246D">
        <w:rPr>
          <w:rFonts w:cs="Arial"/>
          <w:szCs w:val="18"/>
        </w:rPr>
        <w:t xml:space="preserve">showed </w:t>
      </w:r>
      <w:r w:rsidR="00674715">
        <w:rPr>
          <w:rFonts w:cs="Arial"/>
          <w:szCs w:val="18"/>
        </w:rPr>
        <w:t>an</w:t>
      </w:r>
      <w:r w:rsidR="003D246D">
        <w:rPr>
          <w:rFonts w:cs="Arial"/>
          <w:szCs w:val="18"/>
        </w:rPr>
        <w:t xml:space="preserve"> </w:t>
      </w:r>
      <w:r w:rsidR="00D4648A">
        <w:rPr>
          <w:rFonts w:cs="Arial"/>
          <w:szCs w:val="18"/>
        </w:rPr>
        <w:t xml:space="preserve">average pore diameter </w:t>
      </w:r>
      <w:r w:rsidR="00674715">
        <w:rPr>
          <w:rFonts w:cs="Arial"/>
          <w:szCs w:val="18"/>
        </w:rPr>
        <w:t>~</w:t>
      </w:r>
      <w:r w:rsidR="00D4648A">
        <w:rPr>
          <w:rFonts w:cs="Arial"/>
          <w:szCs w:val="18"/>
        </w:rPr>
        <w:t>1</w:t>
      </w:r>
      <w:r w:rsidR="00FE409C">
        <w:rPr>
          <w:rFonts w:cs="Arial"/>
          <w:szCs w:val="18"/>
        </w:rPr>
        <w:t>2</w:t>
      </w:r>
      <w:r w:rsidR="00D4648A">
        <w:rPr>
          <w:rFonts w:cs="Arial"/>
          <w:szCs w:val="18"/>
        </w:rPr>
        <w:t>.3 nm.</w:t>
      </w:r>
      <w:r w:rsidR="00463950">
        <w:rPr>
          <w:rFonts w:cs="Arial"/>
          <w:szCs w:val="18"/>
        </w:rPr>
        <w:t xml:space="preserve"> </w:t>
      </w:r>
      <w:r w:rsidR="00995E59">
        <w:rPr>
          <w:rFonts w:cs="Arial"/>
          <w:szCs w:val="18"/>
        </w:rPr>
        <w:t>T</w:t>
      </w:r>
      <w:r w:rsidR="004711AE">
        <w:rPr>
          <w:rFonts w:cs="Arial"/>
          <w:szCs w:val="18"/>
        </w:rPr>
        <w:t xml:space="preserve">he surface of </w:t>
      </w:r>
      <w:r w:rsidR="004711AE" w:rsidRPr="00FD4B2F">
        <w:rPr>
          <w:rFonts w:cs="Arial"/>
          <w:szCs w:val="18"/>
        </w:rPr>
        <w:t xml:space="preserve">HC-205-22 </w:t>
      </w:r>
      <w:r w:rsidR="004711AE">
        <w:rPr>
          <w:rFonts w:cs="Arial"/>
          <w:szCs w:val="18"/>
        </w:rPr>
        <w:t>show</w:t>
      </w:r>
      <w:r w:rsidR="00603D42">
        <w:rPr>
          <w:rFonts w:cs="Arial"/>
          <w:szCs w:val="18"/>
        </w:rPr>
        <w:t>ed</w:t>
      </w:r>
      <w:r w:rsidR="004711AE">
        <w:rPr>
          <w:rFonts w:cs="Arial"/>
          <w:szCs w:val="18"/>
        </w:rPr>
        <w:t xml:space="preserve"> t</w:t>
      </w:r>
      <w:r w:rsidRPr="00FD4B2F">
        <w:rPr>
          <w:rFonts w:cs="Arial"/>
          <w:szCs w:val="18"/>
        </w:rPr>
        <w:t>he formation of many spheres</w:t>
      </w:r>
      <w:r w:rsidR="00B429DE">
        <w:rPr>
          <w:rFonts w:cs="Arial"/>
          <w:szCs w:val="18"/>
        </w:rPr>
        <w:t>, this</w:t>
      </w:r>
      <w:r w:rsidR="00463950">
        <w:rPr>
          <w:rFonts w:cs="Arial"/>
          <w:szCs w:val="18"/>
        </w:rPr>
        <w:t xml:space="preserve"> </w:t>
      </w:r>
      <w:r w:rsidR="006C7D20">
        <w:rPr>
          <w:rFonts w:cs="Arial"/>
          <w:szCs w:val="18"/>
        </w:rPr>
        <w:t>may be</w:t>
      </w:r>
      <w:r w:rsidR="008C2671">
        <w:rPr>
          <w:rFonts w:cs="Arial"/>
          <w:szCs w:val="18"/>
        </w:rPr>
        <w:t xml:space="preserve"> </w:t>
      </w:r>
      <w:r w:rsidRPr="00FD4B2F">
        <w:rPr>
          <w:rFonts w:cs="Arial"/>
          <w:szCs w:val="18"/>
        </w:rPr>
        <w:t xml:space="preserve">due to the degradation of saccharides and cellulose components during hydrothermal carbonization </w:t>
      </w:r>
      <w:sdt>
        <w:sdtPr>
          <w:rPr>
            <w:rFonts w:cs="Arial"/>
            <w:color w:val="000000"/>
            <w:szCs w:val="18"/>
          </w:rPr>
          <w:tag w:val="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"/>
          <w:id w:val="-1047761226"/>
          <w:placeholder>
            <w:docPart w:val="9FB67D743E73468D816D34E6EAAE1C15"/>
          </w:placeholder>
        </w:sdtPr>
        <w:sdtContent>
          <w:r w:rsidR="00027876" w:rsidRPr="00027876">
            <w:rPr>
              <w:rFonts w:cs="Arial"/>
              <w:color w:val="000000"/>
              <w:szCs w:val="18"/>
            </w:rPr>
            <w:t>(Ilić et al., 2022)</w:t>
          </w:r>
        </w:sdtContent>
      </w:sdt>
      <w:r w:rsidRPr="00FD4B2F">
        <w:rPr>
          <w:rFonts w:cs="Arial"/>
          <w:szCs w:val="18"/>
        </w:rPr>
        <w:t>.</w:t>
      </w:r>
      <w:r>
        <w:rPr>
          <w:rFonts w:cs="Arial"/>
          <w:szCs w:val="18"/>
        </w:rPr>
        <w:t xml:space="preserve"> </w:t>
      </w:r>
      <w:r w:rsidR="006C0E56" w:rsidRPr="005E01A7">
        <w:rPr>
          <w:rFonts w:cs="Arial"/>
          <w:szCs w:val="18"/>
        </w:rPr>
        <w:t xml:space="preserve">Figure 2b shows the thermogravimetric (TGA) and differential thermogravimetric (DTG) curves corresponding to HC-205-22. The TGA showed reductions of 3.7 % in the temperature range of 28 °C to 150 </w:t>
      </w:r>
      <w:bookmarkStart w:id="4" w:name="_Hlk224677721"/>
      <w:r w:rsidR="006C0E56" w:rsidRPr="005E01A7">
        <w:rPr>
          <w:rFonts w:cs="Arial"/>
          <w:szCs w:val="18"/>
        </w:rPr>
        <w:t>°C</w:t>
      </w:r>
      <w:bookmarkEnd w:id="4"/>
      <w:r w:rsidR="006C0E56" w:rsidRPr="005E01A7">
        <w:rPr>
          <w:rFonts w:cs="Arial"/>
          <w:szCs w:val="18"/>
        </w:rPr>
        <w:t xml:space="preserve"> and 48.7 % in the temperature range of 150 °C to 1000 °C. The DTG curve shows a single endothermic peak at 355 °C, which is associated with the degradation of cellulose and hemicellulose </w:t>
      </w:r>
      <w:sdt>
        <w:sdtPr>
          <w:rPr>
            <w:rFonts w:cs="Arial"/>
            <w:color w:val="000000"/>
            <w:szCs w:val="18"/>
          </w:rPr>
          <w:tag w:val="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"/>
          <w:id w:val="1435017495"/>
          <w:placeholder>
            <w:docPart w:val="5B4590245D0F47CAB0FA692301270ADF"/>
          </w:placeholder>
        </w:sdtPr>
        <w:sdtContent>
          <w:r w:rsidR="00027876" w:rsidRPr="00027876">
            <w:rPr>
              <w:rFonts w:cs="Arial"/>
              <w:color w:val="000000"/>
              <w:szCs w:val="18"/>
            </w:rPr>
            <w:t>(Wen et al., 2025)</w:t>
          </w:r>
        </w:sdtContent>
      </w:sdt>
      <w:r w:rsidR="006C0E56" w:rsidRPr="005E01A7">
        <w:rPr>
          <w:rFonts w:cs="Arial"/>
          <w:szCs w:val="18"/>
        </w:rPr>
        <w:t>.</w:t>
      </w:r>
      <w:r w:rsidR="006C0E56">
        <w:rPr>
          <w:rFonts w:cs="Arial"/>
          <w:szCs w:val="18"/>
        </w:rPr>
        <w:t xml:space="preserve"> </w:t>
      </w:r>
    </w:p>
    <w:p w14:paraId="4A37E3A3" w14:textId="1ED4F783" w:rsidR="006C0E56" w:rsidRDefault="006C0E56" w:rsidP="008A339E">
      <w:pPr>
        <w:pStyle w:val="CETBodytext"/>
        <w:rPr>
          <w:rFonts w:cs="Arial"/>
          <w:noProof/>
          <w:szCs w:val="18"/>
        </w:rPr>
      </w:pPr>
      <w:r w:rsidRPr="00FD4B2F">
        <w:rPr>
          <w:rFonts w:cs="Arial"/>
          <w:szCs w:val="18"/>
        </w:rPr>
        <w:t xml:space="preserve">The Figure </w:t>
      </w:r>
      <w:r>
        <w:rPr>
          <w:rFonts w:cs="Arial"/>
          <w:szCs w:val="18"/>
        </w:rPr>
        <w:t>2c shows</w:t>
      </w:r>
      <w:r w:rsidRPr="00D86133">
        <w:t xml:space="preserve"> </w:t>
      </w:r>
      <w:r>
        <w:t xml:space="preserve">the </w:t>
      </w:r>
      <w:r w:rsidRPr="00D86133">
        <w:rPr>
          <w:rFonts w:cs="Arial"/>
          <w:szCs w:val="18"/>
        </w:rPr>
        <w:t xml:space="preserve">FTIR spectra of </w:t>
      </w:r>
      <w:r>
        <w:rPr>
          <w:rFonts w:cs="Arial"/>
          <w:szCs w:val="18"/>
        </w:rPr>
        <w:t>PKS</w:t>
      </w:r>
      <w:r w:rsidRPr="00D86133">
        <w:rPr>
          <w:rFonts w:cs="Arial"/>
          <w:szCs w:val="18"/>
        </w:rPr>
        <w:t xml:space="preserve"> and hydrochars</w:t>
      </w:r>
      <w:r>
        <w:rPr>
          <w:rFonts w:cs="Arial"/>
          <w:szCs w:val="18"/>
        </w:rPr>
        <w:t>, where an</w:t>
      </w:r>
      <w:r w:rsidRPr="00FD4B2F">
        <w:rPr>
          <w:rFonts w:cs="Arial"/>
          <w:szCs w:val="18"/>
        </w:rPr>
        <w:t xml:space="preserve"> O-H stretching vibration around 3433 cm</w:t>
      </w:r>
      <w:r w:rsidRPr="00FD4B2F">
        <w:rPr>
          <w:rFonts w:cs="Arial"/>
          <w:szCs w:val="18"/>
          <w:vertAlign w:val="superscript"/>
        </w:rPr>
        <w:t>-1</w:t>
      </w:r>
      <w:r w:rsidRPr="00FD4B2F">
        <w:rPr>
          <w:rFonts w:cs="Arial"/>
          <w:szCs w:val="18"/>
        </w:rPr>
        <w:t xml:space="preserve"> </w:t>
      </w:r>
      <w:r>
        <w:rPr>
          <w:rFonts w:cs="Arial"/>
          <w:szCs w:val="18"/>
        </w:rPr>
        <w:t>is</w:t>
      </w:r>
      <w:r w:rsidRPr="00FD4B2F">
        <w:rPr>
          <w:rFonts w:cs="Arial"/>
          <w:szCs w:val="18"/>
        </w:rPr>
        <w:t xml:space="preserve"> attributed to the alcohol groups in the cellulose, hydroxyl groups contained in the water and the phenol in the lignin of the PKS sample, which indicates that the O-H groups were not completely degraded during the different treatments </w:t>
      </w:r>
      <w:sdt>
        <w:sdtPr>
          <w:rPr>
            <w:rFonts w:cs="Arial"/>
            <w:noProof/>
            <w:color w:val="000000"/>
            <w:szCs w:val="18"/>
          </w:rPr>
          <w:tag w:val="MENDELEY_CITATION_v3_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"/>
          <w:id w:val="-1026172757"/>
          <w:placeholder>
            <w:docPart w:val="866B916230AE4788B19CAD5549BD62D3"/>
          </w:placeholder>
        </w:sdtPr>
        <w:sdtContent>
          <w:r w:rsidR="00027876" w:rsidRPr="00027876">
            <w:rPr>
              <w:rFonts w:cs="Arial"/>
              <w:noProof/>
              <w:color w:val="000000"/>
              <w:szCs w:val="18"/>
            </w:rPr>
            <w:t>(Yang et al., 2025)</w:t>
          </w:r>
        </w:sdtContent>
      </w:sdt>
      <w:r w:rsidRPr="00FD4B2F">
        <w:rPr>
          <w:rFonts w:cs="Arial"/>
          <w:szCs w:val="18"/>
        </w:rPr>
        <w:t>. A decrease in the O-H band and an increase in the C-H band are observed, with the peak defined at 2851 cm</w:t>
      </w:r>
      <w:r w:rsidRPr="00FD4B2F">
        <w:rPr>
          <w:rFonts w:ascii="Cambria Math" w:hAnsi="Cambria Math" w:cs="Cambria Math"/>
          <w:szCs w:val="18"/>
        </w:rPr>
        <w:t>⁻</w:t>
      </w:r>
      <w:r w:rsidRPr="00FD4B2F">
        <w:rPr>
          <w:rFonts w:cs="Arial"/>
          <w:szCs w:val="18"/>
        </w:rPr>
        <w:t xml:space="preserve">¹, caused by the dehydration reaction that destroys hydroxyl groups </w:t>
      </w:r>
      <w:sdt>
        <w:sdtPr>
          <w:rPr>
            <w:rFonts w:cs="Arial"/>
            <w:noProof/>
            <w:color w:val="000000"/>
            <w:szCs w:val="18"/>
          </w:rPr>
          <w:tag w:val="MENDELEY_CITATION_v3_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"/>
          <w:id w:val="-184742328"/>
          <w:placeholder>
            <w:docPart w:val="B780A4494E9941C1AEF27E16AA2E3767"/>
          </w:placeholder>
        </w:sdtPr>
        <w:sdtContent>
          <w:r w:rsidR="00027876" w:rsidRPr="00027876">
            <w:rPr>
              <w:rFonts w:cs="Arial"/>
              <w:noProof/>
              <w:color w:val="000000"/>
              <w:szCs w:val="18"/>
            </w:rPr>
            <w:t>(S. Wu et al., 2023)</w:t>
          </w:r>
        </w:sdtContent>
      </w:sdt>
      <w:r w:rsidRPr="00FD4B2F">
        <w:rPr>
          <w:rFonts w:cs="Arial"/>
          <w:noProof/>
          <w:szCs w:val="18"/>
        </w:rPr>
        <w:t>. The peaks from 2921 cm</w:t>
      </w:r>
      <w:r w:rsidRPr="00FD4B2F">
        <w:rPr>
          <w:rFonts w:cs="Arial"/>
          <w:noProof/>
          <w:szCs w:val="18"/>
          <w:vertAlign w:val="superscript"/>
        </w:rPr>
        <w:t>-1</w:t>
      </w:r>
      <w:r w:rsidRPr="00FD4B2F">
        <w:rPr>
          <w:rFonts w:cs="Arial"/>
          <w:noProof/>
          <w:szCs w:val="18"/>
        </w:rPr>
        <w:t xml:space="preserve"> to 2851 cm</w:t>
      </w:r>
      <w:r w:rsidRPr="00FD4B2F">
        <w:rPr>
          <w:rFonts w:cs="Arial"/>
          <w:noProof/>
          <w:szCs w:val="18"/>
          <w:vertAlign w:val="superscript"/>
        </w:rPr>
        <w:t>-1</w:t>
      </w:r>
      <w:r w:rsidRPr="00FD4B2F">
        <w:rPr>
          <w:rFonts w:cs="Arial"/>
          <w:noProof/>
          <w:szCs w:val="18"/>
        </w:rPr>
        <w:t xml:space="preserve"> are stretching vibrations of the aliphatic groups (C-H</w:t>
      </w:r>
      <w:r w:rsidRPr="00FD4B2F">
        <w:rPr>
          <w:rFonts w:cs="Arial"/>
          <w:noProof/>
          <w:szCs w:val="18"/>
          <w:vertAlign w:val="subscript"/>
        </w:rPr>
        <w:t>n</w:t>
      </w:r>
      <w:r w:rsidRPr="00FD4B2F">
        <w:rPr>
          <w:rFonts w:cs="Arial"/>
          <w:noProof/>
          <w:szCs w:val="18"/>
        </w:rPr>
        <w:t xml:space="preserve">), which indicates that the different hydrochars </w:t>
      </w:r>
      <w:r>
        <w:rPr>
          <w:rFonts w:cs="Arial"/>
          <w:noProof/>
          <w:szCs w:val="18"/>
        </w:rPr>
        <w:t>retain the</w:t>
      </w:r>
      <w:r w:rsidRPr="00FD4B2F">
        <w:rPr>
          <w:rFonts w:cs="Arial"/>
          <w:noProof/>
          <w:szCs w:val="18"/>
        </w:rPr>
        <w:t xml:space="preserve"> aliphatic structure, this occurred during the dehydrogenation of cyclic compounds </w:t>
      </w:r>
      <w:sdt>
        <w:sdtPr>
          <w:rPr>
            <w:rFonts w:cs="Arial"/>
            <w:noProof/>
            <w:color w:val="000000"/>
            <w:szCs w:val="18"/>
          </w:rPr>
          <w:tag w:val="MENDELEY_CITATION_v3_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"/>
          <w:id w:val="893782020"/>
          <w:placeholder>
            <w:docPart w:val="1F2BC93E5C824A829677CAA993694416"/>
          </w:placeholder>
        </w:sdtPr>
        <w:sdtContent>
          <w:r w:rsidR="00027876" w:rsidRPr="00027876">
            <w:rPr>
              <w:rFonts w:cs="Arial"/>
              <w:noProof/>
              <w:color w:val="000000"/>
              <w:szCs w:val="18"/>
            </w:rPr>
            <w:t>(Yang et al., 2025)</w:t>
          </w:r>
        </w:sdtContent>
      </w:sdt>
      <w:r w:rsidRPr="00FD4B2F">
        <w:rPr>
          <w:rFonts w:cs="Arial"/>
          <w:noProof/>
          <w:szCs w:val="18"/>
        </w:rPr>
        <w:t xml:space="preserve">. The carbonyl group (C=O) was identified </w:t>
      </w:r>
      <w:r>
        <w:rPr>
          <w:rFonts w:cs="Arial"/>
          <w:noProof/>
          <w:szCs w:val="18"/>
        </w:rPr>
        <w:t>in</w:t>
      </w:r>
      <w:r w:rsidRPr="00FD4B2F">
        <w:rPr>
          <w:rFonts w:cs="Arial"/>
          <w:noProof/>
          <w:szCs w:val="18"/>
        </w:rPr>
        <w:t xml:space="preserve"> HC-205-22 </w:t>
      </w:r>
      <w:r>
        <w:rPr>
          <w:rFonts w:cs="Arial"/>
          <w:noProof/>
          <w:szCs w:val="18"/>
        </w:rPr>
        <w:t>as</w:t>
      </w:r>
      <w:r w:rsidRPr="00FD4B2F">
        <w:rPr>
          <w:rFonts w:cs="Arial"/>
          <w:noProof/>
          <w:szCs w:val="18"/>
        </w:rPr>
        <w:t xml:space="preserve"> the vibrations corresponding to 1791 </w:t>
      </w:r>
      <w:r w:rsidRPr="00FD4B2F">
        <w:rPr>
          <w:rFonts w:cs="Arial"/>
          <w:szCs w:val="18"/>
        </w:rPr>
        <w:t>cm</w:t>
      </w:r>
      <w:r w:rsidRPr="00FD4B2F">
        <w:rPr>
          <w:rFonts w:cs="Arial"/>
          <w:szCs w:val="18"/>
          <w:vertAlign w:val="superscript"/>
        </w:rPr>
        <w:t>-1</w:t>
      </w:r>
      <w:r w:rsidRPr="00FD4B2F">
        <w:rPr>
          <w:rFonts w:cs="Arial"/>
          <w:noProof/>
          <w:szCs w:val="18"/>
        </w:rPr>
        <w:t xml:space="preserve">, 1705 </w:t>
      </w:r>
      <w:r w:rsidRPr="00FD4B2F">
        <w:rPr>
          <w:rFonts w:cs="Arial"/>
          <w:szCs w:val="18"/>
        </w:rPr>
        <w:t>cm</w:t>
      </w:r>
      <w:r w:rsidRPr="00FD4B2F">
        <w:rPr>
          <w:rFonts w:cs="Arial"/>
          <w:szCs w:val="18"/>
          <w:vertAlign w:val="superscript"/>
        </w:rPr>
        <w:t>-1</w:t>
      </w:r>
      <w:r w:rsidRPr="00FD4B2F">
        <w:rPr>
          <w:rFonts w:cs="Arial"/>
          <w:szCs w:val="18"/>
        </w:rPr>
        <w:t xml:space="preserve"> </w:t>
      </w:r>
      <w:r w:rsidRPr="00FD4B2F">
        <w:rPr>
          <w:rFonts w:cs="Arial"/>
          <w:noProof/>
          <w:szCs w:val="18"/>
        </w:rPr>
        <w:t xml:space="preserve">and 1605 </w:t>
      </w:r>
      <w:r w:rsidRPr="00FD4B2F">
        <w:rPr>
          <w:rFonts w:cs="Arial"/>
          <w:szCs w:val="18"/>
        </w:rPr>
        <w:t>cm</w:t>
      </w:r>
      <w:r w:rsidRPr="00FD4B2F">
        <w:rPr>
          <w:rFonts w:cs="Arial"/>
          <w:szCs w:val="18"/>
          <w:vertAlign w:val="superscript"/>
        </w:rPr>
        <w:t>-1</w:t>
      </w:r>
      <w:r w:rsidRPr="00FD4B2F">
        <w:rPr>
          <w:rFonts w:cs="Arial"/>
          <w:noProof/>
          <w:szCs w:val="18"/>
        </w:rPr>
        <w:t xml:space="preserve">, which are attributed to the formation of bonds in cellulose and lignin. Vibrations of 1513 </w:t>
      </w:r>
      <w:r w:rsidRPr="00FD4B2F">
        <w:rPr>
          <w:rFonts w:cs="Arial"/>
          <w:szCs w:val="18"/>
        </w:rPr>
        <w:t>cm</w:t>
      </w:r>
      <w:r w:rsidRPr="00FD4B2F">
        <w:rPr>
          <w:rFonts w:cs="Arial"/>
          <w:szCs w:val="18"/>
          <w:vertAlign w:val="superscript"/>
        </w:rPr>
        <w:t>-1</w:t>
      </w:r>
      <w:r w:rsidRPr="00FD4B2F">
        <w:rPr>
          <w:rFonts w:cs="Arial"/>
          <w:noProof/>
          <w:szCs w:val="18"/>
        </w:rPr>
        <w:t xml:space="preserve">, 1463 </w:t>
      </w:r>
      <w:r w:rsidRPr="00FD4B2F">
        <w:rPr>
          <w:rFonts w:cs="Arial"/>
          <w:szCs w:val="18"/>
        </w:rPr>
        <w:t>cm</w:t>
      </w:r>
      <w:r w:rsidRPr="00FD4B2F">
        <w:rPr>
          <w:rFonts w:cs="Arial"/>
          <w:szCs w:val="18"/>
          <w:vertAlign w:val="superscript"/>
        </w:rPr>
        <w:t>-1</w:t>
      </w:r>
      <w:r w:rsidRPr="00FD4B2F">
        <w:rPr>
          <w:rFonts w:cs="Arial"/>
          <w:noProof/>
          <w:szCs w:val="18"/>
        </w:rPr>
        <w:t xml:space="preserve">, 1468 </w:t>
      </w:r>
      <w:r w:rsidRPr="00FD4B2F">
        <w:rPr>
          <w:rFonts w:cs="Arial"/>
          <w:szCs w:val="18"/>
        </w:rPr>
        <w:t>cm</w:t>
      </w:r>
      <w:r w:rsidRPr="00FD4B2F">
        <w:rPr>
          <w:rFonts w:cs="Arial"/>
          <w:szCs w:val="18"/>
          <w:vertAlign w:val="superscript"/>
        </w:rPr>
        <w:t>-1</w:t>
      </w:r>
      <w:r w:rsidRPr="00FD4B2F">
        <w:rPr>
          <w:rFonts w:cs="Arial"/>
          <w:szCs w:val="18"/>
        </w:rPr>
        <w:t xml:space="preserve">, </w:t>
      </w:r>
      <w:r w:rsidRPr="00FD4B2F">
        <w:rPr>
          <w:rFonts w:cs="Arial"/>
          <w:noProof/>
          <w:szCs w:val="18"/>
        </w:rPr>
        <w:t xml:space="preserve">1384 </w:t>
      </w:r>
      <w:r w:rsidRPr="00FD4B2F">
        <w:rPr>
          <w:rFonts w:cs="Arial"/>
          <w:szCs w:val="18"/>
        </w:rPr>
        <w:t>cm</w:t>
      </w:r>
      <w:r w:rsidRPr="00FD4B2F">
        <w:rPr>
          <w:rFonts w:cs="Arial"/>
          <w:szCs w:val="18"/>
          <w:vertAlign w:val="superscript"/>
        </w:rPr>
        <w:t>-1</w:t>
      </w:r>
      <w:r w:rsidRPr="00FD4B2F">
        <w:rPr>
          <w:rFonts w:cs="Arial"/>
          <w:noProof/>
          <w:szCs w:val="18"/>
        </w:rPr>
        <w:t xml:space="preserve"> and 1270 </w:t>
      </w:r>
      <w:r w:rsidRPr="00FD4B2F">
        <w:rPr>
          <w:rFonts w:cs="Arial"/>
          <w:szCs w:val="18"/>
        </w:rPr>
        <w:t>cm</w:t>
      </w:r>
      <w:r w:rsidRPr="00FD4B2F">
        <w:rPr>
          <w:rFonts w:cs="Arial"/>
          <w:szCs w:val="18"/>
          <w:vertAlign w:val="superscript"/>
        </w:rPr>
        <w:t>-1</w:t>
      </w:r>
      <w:r w:rsidRPr="00FD4B2F">
        <w:rPr>
          <w:rFonts w:cs="Arial"/>
          <w:noProof/>
          <w:szCs w:val="18"/>
        </w:rPr>
        <w:t xml:space="preserve"> </w:t>
      </w:r>
      <w:r w:rsidRPr="00FD4B2F">
        <w:rPr>
          <w:rFonts w:cs="Arial"/>
          <w:noProof/>
          <w:szCs w:val="18"/>
        </w:rPr>
        <w:lastRenderedPageBreak/>
        <w:t xml:space="preserve">corresponding to the C=C groups that are related to aromatic lignin rings </w:t>
      </w:r>
      <w:sdt>
        <w:sdtPr>
          <w:rPr>
            <w:rFonts w:cs="Arial"/>
            <w:noProof/>
            <w:color w:val="000000"/>
            <w:szCs w:val="18"/>
          </w:rPr>
          <w:tag w:val="MENDELEY_CITATION_v3_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"/>
          <w:id w:val="765429595"/>
          <w:placeholder>
            <w:docPart w:val="0CE11EFD6C344CD4AE3AFFEAE0F0008B"/>
          </w:placeholder>
        </w:sdtPr>
        <w:sdtContent>
          <w:r w:rsidR="00027876" w:rsidRPr="00027876">
            <w:rPr>
              <w:rFonts w:cs="Arial"/>
              <w:noProof/>
              <w:color w:val="000000"/>
              <w:szCs w:val="18"/>
            </w:rPr>
            <w:t>(Bkangmo Kontchouo et al., 2025)</w:t>
          </w:r>
        </w:sdtContent>
      </w:sdt>
      <w:r w:rsidRPr="00FD4B2F">
        <w:rPr>
          <w:rFonts w:cs="Arial"/>
          <w:noProof/>
          <w:szCs w:val="18"/>
        </w:rPr>
        <w:t>. The C-O-C stretching vibrations (1215</w:t>
      </w:r>
      <w:r>
        <w:rPr>
          <w:rFonts w:cs="Arial"/>
          <w:noProof/>
          <w:szCs w:val="18"/>
        </w:rPr>
        <w:t xml:space="preserve"> </w:t>
      </w:r>
      <w:r w:rsidRPr="00FD4B2F">
        <w:rPr>
          <w:rFonts w:cs="Arial"/>
          <w:noProof/>
          <w:szCs w:val="18"/>
        </w:rPr>
        <w:t>cm</w:t>
      </w:r>
      <w:r w:rsidRPr="00FD4B2F">
        <w:rPr>
          <w:rFonts w:cs="Arial"/>
          <w:noProof/>
          <w:szCs w:val="18"/>
          <w:vertAlign w:val="superscript"/>
        </w:rPr>
        <w:t>-1</w:t>
      </w:r>
      <w:r w:rsidRPr="00FD4B2F">
        <w:rPr>
          <w:rFonts w:cs="Arial"/>
          <w:noProof/>
          <w:szCs w:val="18"/>
        </w:rPr>
        <w:t>, 1159</w:t>
      </w:r>
      <w:r>
        <w:rPr>
          <w:rFonts w:cs="Arial"/>
          <w:noProof/>
          <w:szCs w:val="18"/>
        </w:rPr>
        <w:t xml:space="preserve"> </w:t>
      </w:r>
      <w:r w:rsidRPr="00FD4B2F">
        <w:rPr>
          <w:rFonts w:cs="Arial"/>
          <w:noProof/>
          <w:szCs w:val="18"/>
        </w:rPr>
        <w:t>cm</w:t>
      </w:r>
      <w:r w:rsidRPr="00FD4B2F">
        <w:rPr>
          <w:rFonts w:cs="Arial"/>
          <w:noProof/>
          <w:szCs w:val="18"/>
          <w:vertAlign w:val="superscript"/>
        </w:rPr>
        <w:t>-1</w:t>
      </w:r>
      <w:r w:rsidRPr="00FD4B2F">
        <w:rPr>
          <w:rFonts w:cs="Arial"/>
          <w:noProof/>
          <w:szCs w:val="18"/>
        </w:rPr>
        <w:t>, 1111</w:t>
      </w:r>
      <w:r>
        <w:rPr>
          <w:rFonts w:cs="Arial"/>
          <w:noProof/>
          <w:szCs w:val="18"/>
        </w:rPr>
        <w:t xml:space="preserve"> </w:t>
      </w:r>
      <w:r w:rsidRPr="00FD4B2F">
        <w:rPr>
          <w:rFonts w:cs="Arial"/>
          <w:noProof/>
          <w:szCs w:val="18"/>
        </w:rPr>
        <w:t>cm</w:t>
      </w:r>
      <w:r w:rsidRPr="00FD4B2F">
        <w:rPr>
          <w:rFonts w:cs="Arial"/>
          <w:noProof/>
          <w:szCs w:val="18"/>
          <w:vertAlign w:val="superscript"/>
        </w:rPr>
        <w:t>-1</w:t>
      </w:r>
      <w:r w:rsidRPr="00FD4B2F">
        <w:rPr>
          <w:rFonts w:cs="Arial"/>
          <w:noProof/>
          <w:szCs w:val="18"/>
        </w:rPr>
        <w:t>, 1059</w:t>
      </w:r>
      <w:r>
        <w:rPr>
          <w:rFonts w:cs="Arial"/>
          <w:noProof/>
          <w:szCs w:val="18"/>
        </w:rPr>
        <w:t xml:space="preserve"> </w:t>
      </w:r>
      <w:r w:rsidRPr="00FD4B2F">
        <w:rPr>
          <w:rFonts w:cs="Arial"/>
          <w:noProof/>
          <w:szCs w:val="18"/>
        </w:rPr>
        <w:t>cm</w:t>
      </w:r>
      <w:r w:rsidRPr="00FD4B2F">
        <w:rPr>
          <w:rFonts w:cs="Arial"/>
          <w:noProof/>
          <w:szCs w:val="18"/>
          <w:vertAlign w:val="superscript"/>
        </w:rPr>
        <w:t>-1</w:t>
      </w:r>
      <w:r w:rsidRPr="00FD4B2F">
        <w:rPr>
          <w:rFonts w:cs="Arial"/>
          <w:noProof/>
          <w:szCs w:val="18"/>
        </w:rPr>
        <w:t xml:space="preserve"> and 1031 cm</w:t>
      </w:r>
      <w:r w:rsidRPr="00FD4B2F">
        <w:rPr>
          <w:rFonts w:cs="Arial"/>
          <w:noProof/>
          <w:szCs w:val="18"/>
          <w:vertAlign w:val="superscript"/>
        </w:rPr>
        <w:t>-1</w:t>
      </w:r>
      <w:r w:rsidRPr="00FD4B2F">
        <w:rPr>
          <w:rFonts w:cs="Arial"/>
          <w:noProof/>
          <w:szCs w:val="18"/>
        </w:rPr>
        <w:t xml:space="preserve">) are assigned to cellulose. </w:t>
      </w:r>
      <w:r>
        <w:rPr>
          <w:rFonts w:cs="Arial"/>
          <w:noProof/>
          <w:szCs w:val="18"/>
        </w:rPr>
        <w:t>I</w:t>
      </w:r>
      <w:r w:rsidRPr="00FD4B2F">
        <w:rPr>
          <w:rFonts w:cs="Arial"/>
          <w:noProof/>
          <w:szCs w:val="18"/>
        </w:rPr>
        <w:t xml:space="preserve">n comparison with the PKS spectrum, it </w:t>
      </w:r>
      <w:r>
        <w:rPr>
          <w:rFonts w:cs="Arial"/>
          <w:noProof/>
          <w:szCs w:val="18"/>
        </w:rPr>
        <w:t xml:space="preserve">is observed that </w:t>
      </w:r>
      <w:r w:rsidRPr="00FD4B2F">
        <w:rPr>
          <w:rFonts w:cs="Arial"/>
          <w:noProof/>
          <w:szCs w:val="18"/>
        </w:rPr>
        <w:t>the</w:t>
      </w:r>
      <w:r>
        <w:rPr>
          <w:rFonts w:cs="Arial"/>
          <w:noProof/>
          <w:szCs w:val="18"/>
        </w:rPr>
        <w:t xml:space="preserve"> region between</w:t>
      </w:r>
      <w:r w:rsidRPr="00FD4B2F">
        <w:rPr>
          <w:rFonts w:cs="Arial"/>
          <w:noProof/>
          <w:szCs w:val="18"/>
        </w:rPr>
        <w:t xml:space="preserve"> 1164 cm</w:t>
      </w:r>
      <w:r w:rsidRPr="00FD4B2F">
        <w:rPr>
          <w:rFonts w:cs="Arial"/>
          <w:noProof/>
          <w:szCs w:val="18"/>
          <w:vertAlign w:val="superscript"/>
        </w:rPr>
        <w:t>-1</w:t>
      </w:r>
      <w:r w:rsidRPr="00FD4B2F">
        <w:rPr>
          <w:rFonts w:cs="Arial"/>
          <w:noProof/>
          <w:szCs w:val="18"/>
        </w:rPr>
        <w:t xml:space="preserve"> and 1044 cm</w:t>
      </w:r>
      <w:r w:rsidRPr="00FD4B2F">
        <w:rPr>
          <w:rFonts w:cs="Arial"/>
          <w:noProof/>
          <w:szCs w:val="18"/>
          <w:vertAlign w:val="superscript"/>
        </w:rPr>
        <w:t>-1</w:t>
      </w:r>
      <w:r w:rsidRPr="00FD4B2F">
        <w:rPr>
          <w:rFonts w:cs="Arial"/>
          <w:noProof/>
          <w:szCs w:val="18"/>
        </w:rPr>
        <w:t xml:space="preserve"> disappear</w:t>
      </w:r>
      <w:r>
        <w:rPr>
          <w:rFonts w:cs="Arial"/>
          <w:noProof/>
          <w:szCs w:val="18"/>
        </w:rPr>
        <w:t xml:space="preserve">s, </w:t>
      </w:r>
      <w:r w:rsidRPr="00996E84">
        <w:rPr>
          <w:rFonts w:cs="Arial"/>
          <w:noProof/>
          <w:szCs w:val="18"/>
          <w:lang w:val="en-GB"/>
        </w:rPr>
        <w:t>is attributed to</w:t>
      </w:r>
      <w:r>
        <w:rPr>
          <w:rFonts w:cs="Arial"/>
          <w:noProof/>
          <w:szCs w:val="18"/>
        </w:rPr>
        <w:t xml:space="preserve"> </w:t>
      </w:r>
      <w:r w:rsidRPr="00B73B76">
        <w:rPr>
          <w:rFonts w:cs="Arial"/>
          <w:noProof/>
          <w:szCs w:val="18"/>
        </w:rPr>
        <w:t xml:space="preserve">the cleavage of C–O–C bonds associated </w:t>
      </w:r>
      <w:r w:rsidRPr="00CD58CE">
        <w:rPr>
          <w:rFonts w:cs="Arial"/>
          <w:noProof/>
          <w:szCs w:val="18"/>
          <w:lang w:val="en-GB"/>
        </w:rPr>
        <w:t>to the hydrolysis of glycosidic linkages and the decomposition of polysaccharide structures during hydrothermal carbonization</w:t>
      </w:r>
      <w:r w:rsidRPr="00262C85">
        <w:rPr>
          <w:rFonts w:cs="Arial"/>
          <w:noProof/>
          <w:color w:val="000000"/>
          <w:szCs w:val="18"/>
        </w:rPr>
        <w:t xml:space="preserve"> </w:t>
      </w:r>
      <w:sdt>
        <w:sdtPr>
          <w:rPr>
            <w:rFonts w:cs="Arial"/>
            <w:noProof/>
            <w:color w:val="000000"/>
            <w:szCs w:val="18"/>
          </w:rPr>
          <w:tag w:val="MENDELEY_CITATION_v3_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"/>
          <w:id w:val="1035165707"/>
          <w:placeholder>
            <w:docPart w:val="73EF91FEB7AC472A8A98A254F70E0F62"/>
          </w:placeholder>
        </w:sdtPr>
        <w:sdtContent>
          <w:r w:rsidR="00027876" w:rsidRPr="00027876">
            <w:rPr>
              <w:rFonts w:cs="Arial"/>
              <w:noProof/>
              <w:color w:val="000000"/>
              <w:szCs w:val="18"/>
            </w:rPr>
            <w:t>(Danso-Boateng et al., 2022)</w:t>
          </w:r>
        </w:sdtContent>
      </w:sdt>
      <w:r>
        <w:rPr>
          <w:rFonts w:cs="Arial"/>
          <w:noProof/>
          <w:color w:val="000000"/>
          <w:szCs w:val="18"/>
        </w:rPr>
        <w:t>.</w:t>
      </w:r>
      <w:r w:rsidRPr="00FD4B2F">
        <w:rPr>
          <w:rFonts w:cs="Arial"/>
          <w:noProof/>
          <w:szCs w:val="18"/>
        </w:rPr>
        <w:t xml:space="preserve"> The wavelength ranges from 874 cm</w:t>
      </w:r>
      <w:r w:rsidRPr="00FD4B2F">
        <w:rPr>
          <w:rFonts w:cs="Arial"/>
          <w:noProof/>
          <w:szCs w:val="18"/>
          <w:vertAlign w:val="superscript"/>
        </w:rPr>
        <w:t>-1</w:t>
      </w:r>
      <w:r w:rsidRPr="00FD4B2F">
        <w:rPr>
          <w:rFonts w:cs="Arial"/>
          <w:noProof/>
          <w:szCs w:val="18"/>
        </w:rPr>
        <w:t xml:space="preserve"> to </w:t>
      </w:r>
      <w:r>
        <w:rPr>
          <w:rFonts w:cs="Arial"/>
          <w:noProof/>
          <w:szCs w:val="18"/>
        </w:rPr>
        <w:t>750</w:t>
      </w:r>
      <w:r w:rsidRPr="00FD4B2F">
        <w:rPr>
          <w:rFonts w:cs="Arial"/>
          <w:noProof/>
          <w:szCs w:val="18"/>
        </w:rPr>
        <w:t xml:space="preserve"> cm</w:t>
      </w:r>
      <w:r w:rsidRPr="00FD4B2F">
        <w:rPr>
          <w:rFonts w:cs="Arial"/>
          <w:noProof/>
          <w:szCs w:val="18"/>
          <w:vertAlign w:val="superscript"/>
        </w:rPr>
        <w:t>-1</w:t>
      </w:r>
      <w:r w:rsidRPr="00FD4B2F">
        <w:rPr>
          <w:rFonts w:cs="Arial"/>
          <w:noProof/>
          <w:szCs w:val="18"/>
        </w:rPr>
        <w:t xml:space="preserve"> are </w:t>
      </w:r>
      <w:r>
        <w:rPr>
          <w:rFonts w:cs="Arial"/>
          <w:noProof/>
          <w:szCs w:val="18"/>
        </w:rPr>
        <w:t>asigned</w:t>
      </w:r>
      <w:r w:rsidRPr="00FD4B2F">
        <w:rPr>
          <w:rFonts w:cs="Arial"/>
          <w:noProof/>
          <w:szCs w:val="18"/>
        </w:rPr>
        <w:t xml:space="preserve"> to out-of-plane stretching vibration of the C-H in the aromatic core </w:t>
      </w:r>
      <w:sdt>
        <w:sdtPr>
          <w:rPr>
            <w:rFonts w:cs="Arial"/>
            <w:noProof/>
            <w:color w:val="000000"/>
            <w:szCs w:val="18"/>
          </w:rPr>
          <w:tag w:val="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"/>
          <w:id w:val="1006862825"/>
          <w:placeholder>
            <w:docPart w:val="5F34159391694E4F9D22BD6340B0AE26"/>
          </w:placeholder>
        </w:sdtPr>
        <w:sdtContent>
          <w:r w:rsidR="00027876" w:rsidRPr="00027876">
            <w:rPr>
              <w:rFonts w:cs="Arial"/>
              <w:noProof/>
              <w:color w:val="000000"/>
              <w:szCs w:val="18"/>
            </w:rPr>
            <w:t>(S. Wu et al., 2023)</w:t>
          </w:r>
        </w:sdtContent>
      </w:sdt>
      <w:r w:rsidRPr="00FD4B2F">
        <w:rPr>
          <w:rFonts w:cs="Arial"/>
          <w:noProof/>
          <w:szCs w:val="18"/>
        </w:rPr>
        <w:t>.</w:t>
      </w:r>
      <w:r>
        <w:rPr>
          <w:rFonts w:cs="Arial"/>
          <w:noProof/>
          <w:szCs w:val="18"/>
        </w:rP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6"/>
        <w:gridCol w:w="3043"/>
        <w:gridCol w:w="2958"/>
      </w:tblGrid>
      <w:tr w:rsidR="00F85302" w:rsidRPr="00FD4B2F" w14:paraId="6C039565" w14:textId="77777777" w:rsidTr="001E0E13">
        <w:trPr>
          <w:trHeight w:val="322"/>
        </w:trPr>
        <w:tc>
          <w:tcPr>
            <w:tcW w:w="2339" w:type="dxa"/>
          </w:tcPr>
          <w:p w14:paraId="125A350F" w14:textId="77777777" w:rsidR="00F85302" w:rsidRPr="00FD4B2F" w:rsidRDefault="00F85302" w:rsidP="001E0E13">
            <w:pPr>
              <w:rPr>
                <w:rFonts w:cs="Arial"/>
                <w:i/>
                <w:iCs/>
                <w:szCs w:val="18"/>
                <w:lang w:val="en-US"/>
              </w:rPr>
            </w:pPr>
            <w:r w:rsidRPr="00FD4B2F">
              <w:rPr>
                <w:rFonts w:cs="Arial"/>
                <w:i/>
                <w:iCs/>
                <w:szCs w:val="18"/>
                <w:lang w:val="en-US"/>
              </w:rPr>
              <w:t>(a)</w:t>
            </w:r>
          </w:p>
        </w:tc>
        <w:tc>
          <w:tcPr>
            <w:tcW w:w="3230" w:type="dxa"/>
          </w:tcPr>
          <w:p w14:paraId="29B23D38" w14:textId="77777777" w:rsidR="00F85302" w:rsidRPr="00FD4B2F" w:rsidRDefault="00F85302" w:rsidP="001E0E13">
            <w:pPr>
              <w:rPr>
                <w:rFonts w:cs="Arial"/>
                <w:i/>
                <w:iCs/>
                <w:szCs w:val="18"/>
                <w:lang w:val="en-US"/>
              </w:rPr>
            </w:pPr>
            <w:r w:rsidRPr="00FD4B2F">
              <w:rPr>
                <w:rFonts w:cs="Arial"/>
                <w:i/>
                <w:iCs/>
                <w:szCs w:val="18"/>
                <w:lang w:val="en-US"/>
              </w:rPr>
              <w:t>(b)</w:t>
            </w:r>
          </w:p>
        </w:tc>
        <w:tc>
          <w:tcPr>
            <w:tcW w:w="3218" w:type="dxa"/>
          </w:tcPr>
          <w:p w14:paraId="35E34CBC" w14:textId="77777777" w:rsidR="00F85302" w:rsidRPr="00FD4B2F" w:rsidRDefault="00F85302" w:rsidP="001E0E13">
            <w:pPr>
              <w:rPr>
                <w:rFonts w:cs="Arial"/>
                <w:i/>
                <w:iCs/>
                <w:szCs w:val="18"/>
                <w:lang w:val="en-US"/>
              </w:rPr>
            </w:pPr>
            <w:r>
              <w:rPr>
                <w:rFonts w:cs="Arial"/>
                <w:i/>
                <w:iCs/>
                <w:szCs w:val="18"/>
                <w:lang w:val="en-US"/>
              </w:rPr>
              <w:t>(c)</w:t>
            </w:r>
          </w:p>
        </w:tc>
      </w:tr>
      <w:tr w:rsidR="00F85302" w:rsidRPr="00FD4B2F" w14:paraId="7C98BD8A" w14:textId="77777777" w:rsidTr="001E0E13">
        <w:trPr>
          <w:trHeight w:val="1943"/>
        </w:trPr>
        <w:tc>
          <w:tcPr>
            <w:tcW w:w="2339" w:type="dxa"/>
          </w:tcPr>
          <w:p w14:paraId="6087405F" w14:textId="211045FF" w:rsidR="00F85302" w:rsidRDefault="0055699F" w:rsidP="001E0E13">
            <w:pPr>
              <w:jc w:val="left"/>
              <w:rPr>
                <w:rFonts w:cs="Arial"/>
                <w:i/>
                <w:iCs/>
                <w:noProof/>
                <w:szCs w:val="18"/>
                <w:lang w:val="en-US"/>
              </w:rPr>
            </w:pPr>
            <w:r>
              <w:rPr>
                <w:rFonts w:cs="Arial"/>
                <w:i/>
                <w:iCs/>
                <w:noProof/>
                <w:szCs w:val="18"/>
                <w:lang w:val="en-US"/>
              </w:rPr>
              <w:drawing>
                <wp:inline distT="0" distB="0" distL="0" distR="0" wp14:anchorId="5547A762" wp14:editId="46A72F5E">
                  <wp:extent cx="1733786" cy="1440000"/>
                  <wp:effectExtent l="0" t="0" r="0" b="8255"/>
                  <wp:docPr id="4268229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3786" cy="1440000"/>
                          </a:xfrm>
                          <a:prstGeom prst="rect">
                            <a:avLst/>
                          </a:prstGeom>
                          <a:noFill/>
                        </pic:spPr>
                      </pic:pic>
                    </a:graphicData>
                  </a:graphic>
                </wp:inline>
              </w:drawing>
            </w:r>
          </w:p>
        </w:tc>
        <w:tc>
          <w:tcPr>
            <w:tcW w:w="3230" w:type="dxa"/>
          </w:tcPr>
          <w:p w14:paraId="3FBD5FF1" w14:textId="77777777" w:rsidR="00F85302" w:rsidRPr="00FD4B2F" w:rsidRDefault="00F85302" w:rsidP="001E0E13">
            <w:pPr>
              <w:rPr>
                <w:rFonts w:cs="Arial"/>
                <w:i/>
                <w:iCs/>
                <w:szCs w:val="18"/>
                <w:lang w:val="en-US"/>
              </w:rPr>
            </w:pPr>
            <w:r>
              <w:rPr>
                <w:rFonts w:cs="Arial"/>
                <w:i/>
                <w:iCs/>
                <w:noProof/>
                <w:szCs w:val="18"/>
                <w:lang w:val="en-US"/>
              </w:rPr>
              <w:drawing>
                <wp:inline distT="0" distB="0" distL="0" distR="0" wp14:anchorId="5A9BAACE" wp14:editId="20F47EF3">
                  <wp:extent cx="1907079" cy="1440000"/>
                  <wp:effectExtent l="0" t="0" r="0" b="8255"/>
                  <wp:docPr id="13356245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7079" cy="1440000"/>
                          </a:xfrm>
                          <a:prstGeom prst="rect">
                            <a:avLst/>
                          </a:prstGeom>
                          <a:noFill/>
                        </pic:spPr>
                      </pic:pic>
                    </a:graphicData>
                  </a:graphic>
                </wp:inline>
              </w:drawing>
            </w:r>
          </w:p>
        </w:tc>
        <w:tc>
          <w:tcPr>
            <w:tcW w:w="3218" w:type="dxa"/>
          </w:tcPr>
          <w:p w14:paraId="5F167BD0" w14:textId="77777777" w:rsidR="00F85302" w:rsidRPr="00FD4B2F" w:rsidRDefault="00F85302" w:rsidP="001E0E13">
            <w:pPr>
              <w:rPr>
                <w:rFonts w:cs="Arial"/>
                <w:i/>
                <w:iCs/>
                <w:szCs w:val="18"/>
                <w:lang w:val="en-US"/>
              </w:rPr>
            </w:pPr>
            <w:r w:rsidRPr="00671809">
              <w:rPr>
                <w:noProof/>
              </w:rPr>
              <w:drawing>
                <wp:inline distT="0" distB="0" distL="0" distR="0" wp14:anchorId="5EB6E925" wp14:editId="2A1B2B7A">
                  <wp:extent cx="1850336" cy="1440000"/>
                  <wp:effectExtent l="0" t="0" r="0" b="8255"/>
                  <wp:docPr id="10544989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498919" name=""/>
                          <pic:cNvPicPr/>
                        </pic:nvPicPr>
                        <pic:blipFill rotWithShape="1">
                          <a:blip r:embed="rId18"/>
                          <a:srcRect l="6789" t="8945" r="11065"/>
                          <a:stretch>
                            <a:fillRect/>
                          </a:stretch>
                        </pic:blipFill>
                        <pic:spPr bwMode="auto">
                          <a:xfrm>
                            <a:off x="0" y="0"/>
                            <a:ext cx="1850336" cy="144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AAC5551" w14:textId="77777777" w:rsidR="00F85302" w:rsidRPr="00FD4B2F" w:rsidRDefault="00F85302" w:rsidP="00BB70AA">
      <w:pPr>
        <w:pStyle w:val="CETBodytext"/>
        <w:spacing w:after="120"/>
        <w:rPr>
          <w:rFonts w:cs="Arial"/>
          <w:i/>
          <w:iCs/>
          <w:lang w:val="en-GB"/>
        </w:rPr>
      </w:pPr>
      <w:r w:rsidRPr="00FD4B2F">
        <w:rPr>
          <w:rFonts w:cs="Arial"/>
          <w:i/>
          <w:iCs/>
          <w:lang w:val="en-GB"/>
        </w:rPr>
        <w:t xml:space="preserve">Figure </w:t>
      </w:r>
      <w:r>
        <w:rPr>
          <w:rFonts w:cs="Arial"/>
          <w:i/>
          <w:iCs/>
          <w:lang w:val="en-GB"/>
        </w:rPr>
        <w:t>2</w:t>
      </w:r>
      <w:r w:rsidRPr="00FD4B2F">
        <w:rPr>
          <w:rFonts w:cs="Arial"/>
          <w:i/>
          <w:iCs/>
          <w:lang w:val="en-GB"/>
        </w:rPr>
        <w:t xml:space="preserve">: </w:t>
      </w:r>
      <w:r w:rsidRPr="00FE409C">
        <w:rPr>
          <w:rFonts w:cs="Arial"/>
          <w:i/>
          <w:iCs/>
          <w:lang w:val="en-GB"/>
        </w:rPr>
        <w:t>(a) N</w:t>
      </w:r>
      <w:r w:rsidRPr="000638B5">
        <w:rPr>
          <w:rFonts w:cs="Arial"/>
          <w:i/>
          <w:iCs/>
          <w:vertAlign w:val="subscript"/>
          <w:lang w:val="en-GB"/>
        </w:rPr>
        <w:t>2</w:t>
      </w:r>
      <w:r w:rsidRPr="00FE409C">
        <w:rPr>
          <w:rFonts w:cs="Arial"/>
          <w:i/>
          <w:iCs/>
          <w:lang w:val="en-GB"/>
        </w:rPr>
        <w:t xml:space="preserve"> isotherm</w:t>
      </w:r>
      <w:r>
        <w:rPr>
          <w:rFonts w:cs="Arial"/>
          <w:i/>
          <w:iCs/>
          <w:lang w:val="en-GB"/>
        </w:rPr>
        <w:t>s at 77 K</w:t>
      </w:r>
      <w:r w:rsidRPr="00FE409C">
        <w:rPr>
          <w:rFonts w:cs="Arial"/>
          <w:i/>
          <w:iCs/>
          <w:lang w:val="en-GB"/>
        </w:rPr>
        <w:t xml:space="preserve">, </w:t>
      </w:r>
      <w:r>
        <w:rPr>
          <w:rFonts w:cs="Arial"/>
          <w:i/>
          <w:iCs/>
          <w:lang w:val="en-GB"/>
        </w:rPr>
        <w:t xml:space="preserve">BJH </w:t>
      </w:r>
      <w:r w:rsidRPr="00FE409C">
        <w:rPr>
          <w:rFonts w:cs="Arial"/>
          <w:i/>
          <w:iCs/>
          <w:lang w:val="en-GB"/>
        </w:rPr>
        <w:t xml:space="preserve">pore size distribution and SEM microphotographs </w:t>
      </w:r>
      <w:r>
        <w:rPr>
          <w:rFonts w:cs="Arial"/>
          <w:i/>
          <w:iCs/>
          <w:lang w:val="en-GB"/>
        </w:rPr>
        <w:t xml:space="preserve">are </w:t>
      </w:r>
      <w:r w:rsidRPr="00FE409C">
        <w:rPr>
          <w:rFonts w:cs="Arial"/>
          <w:i/>
          <w:iCs/>
          <w:lang w:val="en-GB"/>
        </w:rPr>
        <w:t xml:space="preserve">inserted </w:t>
      </w:r>
      <w:r>
        <w:rPr>
          <w:rFonts w:cs="Arial"/>
          <w:i/>
          <w:iCs/>
          <w:lang w:val="en-GB"/>
        </w:rPr>
        <w:t>for HC-205-22</w:t>
      </w:r>
      <w:r w:rsidRPr="00FE409C">
        <w:rPr>
          <w:rFonts w:cs="Arial"/>
          <w:i/>
          <w:iCs/>
          <w:lang w:val="en-GB"/>
        </w:rPr>
        <w:t xml:space="preserve"> PKS</w:t>
      </w:r>
      <w:r>
        <w:rPr>
          <w:rFonts w:cs="Arial"/>
          <w:i/>
          <w:iCs/>
          <w:lang w:val="en-GB"/>
        </w:rPr>
        <w:t xml:space="preserve">; </w:t>
      </w:r>
      <w:r w:rsidRPr="00FE409C">
        <w:rPr>
          <w:rFonts w:cs="Arial"/>
          <w:i/>
          <w:iCs/>
          <w:lang w:val="en-GB"/>
        </w:rPr>
        <w:t xml:space="preserve">(b) </w:t>
      </w:r>
      <w:r w:rsidRPr="00FD4B2F">
        <w:rPr>
          <w:rFonts w:cs="Arial"/>
          <w:i/>
          <w:iCs/>
          <w:lang w:val="en-GB"/>
        </w:rPr>
        <w:t xml:space="preserve">Thermogravimetric analysis </w:t>
      </w:r>
      <w:r>
        <w:rPr>
          <w:rFonts w:cs="Arial"/>
          <w:i/>
          <w:iCs/>
          <w:lang w:val="en-GB"/>
        </w:rPr>
        <w:t xml:space="preserve">for </w:t>
      </w:r>
      <w:r w:rsidRPr="00FE409C">
        <w:rPr>
          <w:rFonts w:cs="Arial"/>
          <w:i/>
          <w:iCs/>
          <w:lang w:val="en-GB"/>
        </w:rPr>
        <w:t>HC-205-22</w:t>
      </w:r>
      <w:r>
        <w:rPr>
          <w:rFonts w:cs="Arial"/>
          <w:i/>
          <w:iCs/>
          <w:lang w:val="en-GB"/>
        </w:rPr>
        <w:t>, and</w:t>
      </w:r>
      <w:r w:rsidRPr="00FD4B2F">
        <w:rPr>
          <w:rFonts w:cs="Arial"/>
          <w:i/>
          <w:iCs/>
          <w:lang w:val="en-GB"/>
        </w:rPr>
        <w:t xml:space="preserve"> (</w:t>
      </w:r>
      <w:r>
        <w:rPr>
          <w:rFonts w:cs="Arial"/>
          <w:i/>
          <w:iCs/>
          <w:lang w:val="en-GB"/>
        </w:rPr>
        <w:t>c</w:t>
      </w:r>
      <w:r w:rsidRPr="00FD4B2F">
        <w:rPr>
          <w:rFonts w:cs="Arial"/>
          <w:i/>
          <w:iCs/>
          <w:lang w:val="en-GB"/>
        </w:rPr>
        <w:t xml:space="preserve">) FTIR spectrum of </w:t>
      </w:r>
      <w:r>
        <w:rPr>
          <w:rFonts w:cs="Arial"/>
          <w:i/>
          <w:iCs/>
          <w:lang w:val="en-GB"/>
        </w:rPr>
        <w:t>PKS and HC-205-22.</w:t>
      </w:r>
    </w:p>
    <w:p w14:paraId="7D38048C" w14:textId="1378E6E8" w:rsidR="00315EB0" w:rsidRPr="00A0254A" w:rsidRDefault="00F54799" w:rsidP="00084F42">
      <w:pPr>
        <w:pStyle w:val="CETBodytext"/>
        <w:rPr>
          <w:rFonts w:cs="Arial"/>
          <w:noProof/>
          <w:szCs w:val="18"/>
        </w:rPr>
      </w:pPr>
      <w:r w:rsidRPr="00F54799">
        <w:rPr>
          <w:rFonts w:cs="Arial"/>
          <w:noProof/>
          <w:szCs w:val="18"/>
        </w:rPr>
        <w:t>The surface functional groups of hydrochars were analyzed by</w:t>
      </w:r>
      <w:r>
        <w:rPr>
          <w:rFonts w:cs="Arial"/>
          <w:noProof/>
          <w:szCs w:val="18"/>
        </w:rPr>
        <w:t xml:space="preserve"> XPS. </w:t>
      </w:r>
      <w:r w:rsidR="0015255F" w:rsidRPr="0015255F">
        <w:rPr>
          <w:rFonts w:cs="Arial"/>
          <w:noProof/>
          <w:szCs w:val="18"/>
        </w:rPr>
        <w:t>Three main peaks were deconvolutionated in the general XPS spectra: C</w:t>
      </w:r>
      <w:r w:rsidR="0015255F" w:rsidRPr="005A05D0">
        <w:rPr>
          <w:rFonts w:cs="Arial"/>
          <w:noProof/>
          <w:szCs w:val="18"/>
          <w:vertAlign w:val="subscript"/>
        </w:rPr>
        <w:t>1s</w:t>
      </w:r>
      <w:r w:rsidR="0015255F" w:rsidRPr="0015255F">
        <w:rPr>
          <w:rFonts w:cs="Arial"/>
          <w:noProof/>
          <w:szCs w:val="18"/>
        </w:rPr>
        <w:t xml:space="preserve"> at ~284.6 eV, O</w:t>
      </w:r>
      <w:r w:rsidR="005A05D0" w:rsidRPr="005A05D0">
        <w:rPr>
          <w:rFonts w:cs="Arial"/>
          <w:noProof/>
          <w:szCs w:val="18"/>
          <w:vertAlign w:val="subscript"/>
        </w:rPr>
        <w:t>1s</w:t>
      </w:r>
      <w:r w:rsidR="0015255F" w:rsidRPr="0015255F">
        <w:rPr>
          <w:rFonts w:cs="Arial"/>
          <w:noProof/>
          <w:szCs w:val="18"/>
        </w:rPr>
        <w:t xml:space="preserve"> at ~532.5 eV and N</w:t>
      </w:r>
      <w:r w:rsidR="00AE5F3D" w:rsidRPr="005A05D0">
        <w:rPr>
          <w:rFonts w:cs="Arial"/>
          <w:noProof/>
          <w:szCs w:val="18"/>
          <w:vertAlign w:val="subscript"/>
        </w:rPr>
        <w:t>1s</w:t>
      </w:r>
      <w:r w:rsidR="0015255F" w:rsidRPr="0015255F">
        <w:rPr>
          <w:rFonts w:cs="Arial"/>
          <w:noProof/>
          <w:szCs w:val="18"/>
        </w:rPr>
        <w:t xml:space="preserve"> at ~400 eV. </w:t>
      </w:r>
      <w:r w:rsidR="004D49D8" w:rsidRPr="004D49D8">
        <w:rPr>
          <w:rFonts w:cs="Arial"/>
          <w:noProof/>
          <w:szCs w:val="18"/>
        </w:rPr>
        <w:t>The C=O content reached 28.8%, particularly in treatments at 230 °C for 4 hours, indicating greater oxidation. The O/C</w:t>
      </w:r>
      <w:r w:rsidR="004D49D8" w:rsidRPr="0039517A">
        <w:rPr>
          <w:rFonts w:cs="Arial"/>
          <w:noProof/>
          <w:szCs w:val="18"/>
          <w:vertAlign w:val="subscript"/>
        </w:rPr>
        <w:t>XPS</w:t>
      </w:r>
      <w:r w:rsidR="004D49D8" w:rsidRPr="004D49D8">
        <w:rPr>
          <w:rFonts w:cs="Arial"/>
          <w:noProof/>
          <w:szCs w:val="18"/>
        </w:rPr>
        <w:t xml:space="preserve"> ratio varied from 0.23 to 0.45, increasing with longer residence times</w:t>
      </w:r>
      <w:r w:rsidR="0015255F" w:rsidRPr="0015255F">
        <w:rPr>
          <w:rFonts w:cs="Arial"/>
          <w:noProof/>
          <w:szCs w:val="18"/>
        </w:rPr>
        <w:t xml:space="preserve">. </w:t>
      </w:r>
      <w:r w:rsidR="00AA6632" w:rsidRPr="00AA6632">
        <w:t>Figure 3 shows the deconvolution of C</w:t>
      </w:r>
      <w:r w:rsidR="00AA6632" w:rsidRPr="009B5828">
        <w:rPr>
          <w:vertAlign w:val="subscript"/>
        </w:rPr>
        <w:t>1s</w:t>
      </w:r>
      <w:r w:rsidR="00AA6632" w:rsidRPr="00AA6632">
        <w:t xml:space="preserve"> and O</w:t>
      </w:r>
      <w:r w:rsidR="00AA6632" w:rsidRPr="009B5828">
        <w:rPr>
          <w:vertAlign w:val="subscript"/>
        </w:rPr>
        <w:t>1s</w:t>
      </w:r>
      <w:r w:rsidR="00AA6632" w:rsidRPr="00AA6632">
        <w:t xml:space="preserve"> peaks and the distribution of functional groups for HC-205-22 as an example, which showed an O/C</w:t>
      </w:r>
      <w:r w:rsidR="00AA6632" w:rsidRPr="008F63EA">
        <w:rPr>
          <w:vertAlign w:val="subscript"/>
        </w:rPr>
        <w:t>XPS</w:t>
      </w:r>
      <w:r w:rsidR="00AA6632" w:rsidRPr="00AA6632">
        <w:t xml:space="preserve"> ratio of 0.36. The highest percentage of functional groups in C</w:t>
      </w:r>
      <w:r w:rsidR="00AA6632" w:rsidRPr="008F63EA">
        <w:rPr>
          <w:vertAlign w:val="subscript"/>
        </w:rPr>
        <w:t>1s</w:t>
      </w:r>
      <w:r w:rsidR="00AA6632" w:rsidRPr="00AA6632">
        <w:t xml:space="preserve"> was attributed to the presence of </w:t>
      </w:r>
      <w:r w:rsidR="008F63EA" w:rsidRPr="00AA6632">
        <w:t>graphitic</w:t>
      </w:r>
      <w:r w:rsidR="00AA6632" w:rsidRPr="00AA6632">
        <w:t xml:space="preserve"> carbon (C=C) sp2, C-C and C-H bonds, followed by aliphatic carbon (C-C) sp</w:t>
      </w:r>
      <w:r w:rsidR="00AA6632" w:rsidRPr="008F63EA">
        <w:rPr>
          <w:vertAlign w:val="superscript"/>
        </w:rPr>
        <w:t>3</w:t>
      </w:r>
      <w:r w:rsidR="00AA6632" w:rsidRPr="00AA6632">
        <w:t xml:space="preserve"> (21 %).</w:t>
      </w:r>
      <w:r w:rsidR="00AA6632">
        <w:t xml:space="preserve"> </w:t>
      </w:r>
      <w:r w:rsidR="006833E2" w:rsidRPr="006833E2">
        <w:rPr>
          <w:rFonts w:cs="Arial"/>
          <w:noProof/>
          <w:szCs w:val="18"/>
        </w:rPr>
        <w:t>The high-resolution O</w:t>
      </w:r>
      <w:r w:rsidR="006833E2" w:rsidRPr="006833E2">
        <w:rPr>
          <w:rFonts w:cs="Arial"/>
          <w:noProof/>
          <w:szCs w:val="18"/>
          <w:vertAlign w:val="subscript"/>
        </w:rPr>
        <w:t>1s</w:t>
      </w:r>
      <w:r w:rsidR="006833E2" w:rsidRPr="006833E2">
        <w:rPr>
          <w:rFonts w:cs="Arial"/>
          <w:noProof/>
          <w:szCs w:val="18"/>
        </w:rPr>
        <w:t xml:space="preserve"> spectra reveal that oxygenated functional groups, such as esters, epoxides and carboxylic acids, are dominant (36.83%).</w:t>
      </w:r>
      <w:r w:rsidR="006833E2">
        <w:rPr>
          <w:rFonts w:cs="Arial"/>
          <w:noProof/>
          <w:szCs w:val="18"/>
        </w:rPr>
        <w:t xml:space="preserve"> </w:t>
      </w:r>
      <w:r w:rsidR="00D6569D" w:rsidRPr="00D6569D">
        <w:rPr>
          <w:rFonts w:cs="Arial"/>
          <w:noProof/>
          <w:szCs w:val="18"/>
        </w:rPr>
        <w:t>Furthermore, deconvolution of the high-resolution N</w:t>
      </w:r>
      <w:r w:rsidR="00D6569D" w:rsidRPr="00D6569D">
        <w:rPr>
          <w:rFonts w:cs="Arial"/>
          <w:noProof/>
          <w:szCs w:val="18"/>
          <w:vertAlign w:val="subscript"/>
        </w:rPr>
        <w:t>1s</w:t>
      </w:r>
      <w:r w:rsidR="00D6569D" w:rsidRPr="00D6569D">
        <w:rPr>
          <w:rFonts w:cs="Arial"/>
          <w:noProof/>
          <w:szCs w:val="18"/>
        </w:rPr>
        <w:t xml:space="preserve"> spectrum revealed two peaks at ~398.8 eV (N-6) and ~399.8 eV (N-5). This suggests that there is no significant substitution of nitrogen in the graphitic network or of strongly oxidised nitrogen. </w:t>
      </w:r>
      <w:r w:rsidR="0090416E">
        <w:rPr>
          <w:rFonts w:cs="Arial"/>
          <w:noProof/>
          <w:szCs w:val="18"/>
        </w:rPr>
        <w:t xml:space="preserve">Furthermore, </w:t>
      </w:r>
      <w:r w:rsidR="00421035">
        <w:rPr>
          <w:rFonts w:cstheme="minorHAnsi"/>
        </w:rPr>
        <w:t>T</w:t>
      </w:r>
      <w:r w:rsidR="00721448">
        <w:rPr>
          <w:rFonts w:cstheme="minorHAnsi"/>
        </w:rPr>
        <w:t xml:space="preserve">able 2 shows </w:t>
      </w:r>
      <w:r w:rsidR="00CD2943">
        <w:rPr>
          <w:rFonts w:cstheme="minorHAnsi"/>
        </w:rPr>
        <w:t>the elemental</w:t>
      </w:r>
      <w:r w:rsidR="004F2AA8" w:rsidRPr="004F2AA8">
        <w:rPr>
          <w:rFonts w:cstheme="minorHAnsi"/>
        </w:rPr>
        <w:t xml:space="preserve"> composition</w:t>
      </w:r>
      <w:r w:rsidR="004120C3">
        <w:rPr>
          <w:rFonts w:cstheme="minorHAnsi"/>
        </w:rPr>
        <w:t xml:space="preserve"> of</w:t>
      </w:r>
      <w:r w:rsidR="004120C3" w:rsidRPr="004F2AA8">
        <w:rPr>
          <w:rFonts w:cstheme="minorHAnsi"/>
        </w:rPr>
        <w:t xml:space="preserve"> HC-205-22</w:t>
      </w:r>
      <w:r w:rsidR="006A1F9B">
        <w:rPr>
          <w:rFonts w:cstheme="minorHAnsi"/>
        </w:rPr>
        <w:t xml:space="preserve"> </w:t>
      </w:r>
      <w:r w:rsidR="004F2AA8" w:rsidRPr="004F2AA8">
        <w:rPr>
          <w:rFonts w:cstheme="minorHAnsi"/>
        </w:rPr>
        <w:t xml:space="preserve">by ultimate analysis and </w:t>
      </w:r>
      <w:r w:rsidR="002A4593">
        <w:rPr>
          <w:rFonts w:cstheme="minorHAnsi"/>
        </w:rPr>
        <w:t>XPS</w:t>
      </w:r>
      <w:r w:rsidR="004F2AA8" w:rsidRPr="004F2AA8">
        <w:rPr>
          <w:rFonts w:cstheme="minorHAnsi"/>
        </w:rPr>
        <w:t>.</w:t>
      </w:r>
      <w:r w:rsidR="00C90F28">
        <w:rPr>
          <w:rFonts w:cstheme="minorHAnsi"/>
        </w:rPr>
        <w:t xml:space="preserve"> </w:t>
      </w:r>
      <w:r w:rsidR="009E7C25" w:rsidRPr="009E7C25">
        <w:rPr>
          <w:rFonts w:cs="Arial"/>
          <w:noProof/>
          <w:szCs w:val="18"/>
        </w:rPr>
        <w:t xml:space="preserve">The </w:t>
      </w:r>
      <w:r w:rsidR="0090416E">
        <w:rPr>
          <w:rFonts w:cs="Arial"/>
          <w:noProof/>
          <w:szCs w:val="18"/>
        </w:rPr>
        <w:t>carbon</w:t>
      </w:r>
      <w:r w:rsidR="009E7C25" w:rsidRPr="009E7C25">
        <w:rPr>
          <w:rFonts w:cs="Arial"/>
          <w:noProof/>
          <w:szCs w:val="18"/>
        </w:rPr>
        <w:t xml:space="preserve"> content of HC-205-22 increased compared to PKS, while the H and O content decreased with increasing temperature</w:t>
      </w:r>
      <w:r w:rsidR="009A4299">
        <w:rPr>
          <w:rFonts w:cs="Arial"/>
          <w:noProof/>
          <w:szCs w:val="18"/>
        </w:rPr>
        <w:t>,</w:t>
      </w:r>
      <w:r w:rsidR="005E50EC">
        <w:rPr>
          <w:rFonts w:cs="Arial"/>
          <w:noProof/>
          <w:szCs w:val="18"/>
        </w:rPr>
        <w:t xml:space="preserve"> </w:t>
      </w:r>
      <w:r w:rsidR="009A4299" w:rsidRPr="009A4299">
        <w:rPr>
          <w:rFonts w:cs="Arial"/>
          <w:noProof/>
          <w:szCs w:val="18"/>
        </w:rPr>
        <w:t>which is attributed to deoxygenation reactions such as dehydration and decarboxylation during the HTC process</w:t>
      </w:r>
      <w:r w:rsidR="002D303A">
        <w:rPr>
          <w:rFonts w:cs="Arial"/>
          <w:noProof/>
          <w:szCs w:val="18"/>
        </w:rPr>
        <w:t>.</w:t>
      </w:r>
      <w:r w:rsidR="00AA4C8D">
        <w:rPr>
          <w:rFonts w:cs="Arial"/>
          <w:noProof/>
          <w:szCs w:val="18"/>
        </w:rPr>
        <w:t xml:space="preserve"> </w:t>
      </w:r>
      <w:r w:rsidR="000264F2" w:rsidRPr="009A4299">
        <w:rPr>
          <w:rFonts w:cs="Arial"/>
          <w:noProof/>
          <w:szCs w:val="18"/>
          <w:lang w:val="en-GB"/>
        </w:rPr>
        <w:t>In agreement</w:t>
      </w:r>
      <w:r w:rsidR="000264F2">
        <w:rPr>
          <w:rFonts w:cs="Arial"/>
          <w:noProof/>
          <w:szCs w:val="18"/>
          <w:lang w:val="en-GB"/>
        </w:rPr>
        <w:t xml:space="preserve"> with the FTIR analysis,</w:t>
      </w:r>
      <w:r w:rsidR="0083180C" w:rsidRPr="0083180C">
        <w:t xml:space="preserve"> </w:t>
      </w:r>
      <w:r w:rsidR="0083180C" w:rsidRPr="0083180C">
        <w:rPr>
          <w:rFonts w:cs="Arial"/>
          <w:noProof/>
          <w:szCs w:val="18"/>
          <w:lang w:val="en-GB"/>
        </w:rPr>
        <w:t>where the weakening or disappearance of bands associated with C–O stretching (</w:t>
      </w:r>
      <w:r w:rsidR="0083180C" w:rsidRPr="0083180C">
        <w:rPr>
          <w:rFonts w:ascii="Cambria Math" w:hAnsi="Cambria Math" w:cs="Cambria Math"/>
          <w:noProof/>
          <w:szCs w:val="18"/>
          <w:lang w:val="en-GB"/>
        </w:rPr>
        <w:t>∼</w:t>
      </w:r>
      <w:r w:rsidR="0083180C" w:rsidRPr="0083180C">
        <w:rPr>
          <w:rFonts w:cs="Arial"/>
          <w:noProof/>
          <w:szCs w:val="18"/>
          <w:lang w:val="en-GB"/>
        </w:rPr>
        <w:t>1040–1160 cm</w:t>
      </w:r>
      <w:r w:rsidR="0083180C" w:rsidRPr="0083180C">
        <w:rPr>
          <w:rFonts w:ascii="Cambria Math" w:hAnsi="Cambria Math" w:cs="Cambria Math"/>
          <w:noProof/>
          <w:szCs w:val="18"/>
          <w:lang w:val="en-GB"/>
        </w:rPr>
        <w:t>⁻</w:t>
      </w:r>
      <w:r w:rsidR="0083180C" w:rsidRPr="0083180C">
        <w:rPr>
          <w:rFonts w:cs="Arial"/>
          <w:noProof/>
          <w:szCs w:val="18"/>
          <w:lang w:val="en-GB"/>
        </w:rPr>
        <w:t>¹)</w:t>
      </w:r>
      <w:r w:rsidR="00FF68C6">
        <w:rPr>
          <w:rFonts w:cs="Arial"/>
          <w:noProof/>
          <w:szCs w:val="18"/>
          <w:lang w:val="en-GB"/>
        </w:rPr>
        <w:t>,</w:t>
      </w:r>
      <w:r w:rsidR="00D75FEB" w:rsidRPr="009A4299">
        <w:rPr>
          <w:rFonts w:cs="Arial"/>
          <w:noProof/>
          <w:szCs w:val="18"/>
          <w:lang w:val="en-GB"/>
        </w:rPr>
        <w:t xml:space="preserve"> XPS analysis shows a decrease in C–O contributions (~532–533 eV), confirming the progressive deoxygenation of the surface.</w:t>
      </w:r>
      <w:r w:rsidR="00D75FEB">
        <w:rPr>
          <w:rFonts w:cs="Arial"/>
          <w:noProof/>
          <w:szCs w:val="18"/>
          <w:lang w:val="en-GB"/>
        </w:rPr>
        <w:t xml:space="preserve"> </w:t>
      </w:r>
      <w:r w:rsidR="00C715E3" w:rsidRPr="009A4299">
        <w:rPr>
          <w:rFonts w:cs="Arial"/>
          <w:noProof/>
          <w:szCs w:val="18"/>
          <w:lang w:val="en-GB"/>
        </w:rPr>
        <w:t>Moreover</w:t>
      </w:r>
      <w:r w:rsidR="003F52E9" w:rsidRPr="009A4299">
        <w:rPr>
          <w:rFonts w:cs="Arial"/>
          <w:noProof/>
          <w:szCs w:val="18"/>
          <w:lang w:val="en-GB"/>
        </w:rPr>
        <w:t>, the O/C ratio obtained from elemental analysis (bulk) is higher than that determined by XPS (surface), suggesting that the surface is more carbonized and less oxygenated than the core, likely due to secondary reactions such as aromatization and condensation</w:t>
      </w:r>
      <w:r w:rsidR="008867BC">
        <w:rPr>
          <w:rFonts w:cs="Arial"/>
          <w:noProof/>
          <w:szCs w:val="18"/>
          <w:lang w:val="en-GB"/>
        </w:rPr>
        <w:t xml:space="preserve"> </w:t>
      </w:r>
      <w:sdt>
        <w:sdtPr>
          <w:rPr>
            <w:rFonts w:cs="Arial"/>
            <w:noProof/>
            <w:color w:val="000000"/>
            <w:szCs w:val="18"/>
            <w:lang w:val="en-GB"/>
          </w:rPr>
          <w:tag w:val="MENDELEY_CITATION_v3_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"/>
          <w:id w:val="-1356271332"/>
          <w:placeholder>
            <w:docPart w:val="DefaultPlaceholder_-1854013440"/>
          </w:placeholder>
        </w:sdtPr>
        <w:sdtContent>
          <w:r w:rsidR="00027876" w:rsidRPr="00027876">
            <w:rPr>
              <w:rFonts w:cs="Arial"/>
              <w:color w:val="000000"/>
            </w:rPr>
            <w:t xml:space="preserve">(Sevilla </w:t>
          </w:r>
          <w:r w:rsidR="00027876">
            <w:rPr>
              <w:rFonts w:cs="Arial"/>
              <w:color w:val="000000"/>
            </w:rPr>
            <w:t>and</w:t>
          </w:r>
          <w:r w:rsidR="00027876" w:rsidRPr="00027876">
            <w:rPr>
              <w:rFonts w:cs="Arial"/>
              <w:color w:val="000000"/>
            </w:rPr>
            <w:t xml:space="preserve"> Fuertes, 2009)</w:t>
          </w:r>
        </w:sdtContent>
      </w:sdt>
      <w:r w:rsidR="003F52E9" w:rsidRPr="008867BC">
        <w:rPr>
          <w:rFonts w:cs="Arial"/>
          <w:noProof/>
          <w:szCs w:val="18"/>
          <w:lang w:val="en-GB"/>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359"/>
      </w:tblGrid>
      <w:tr w:rsidR="00272651" w:rsidRPr="00FD4B2F" w14:paraId="5210545C" w14:textId="77777777" w:rsidTr="00146DD0">
        <w:tc>
          <w:tcPr>
            <w:tcW w:w="4428" w:type="dxa"/>
            <w:vAlign w:val="center"/>
          </w:tcPr>
          <w:p w14:paraId="77071305" w14:textId="77777777" w:rsidR="00430DF7" w:rsidRPr="00FD4B2F" w:rsidRDefault="00430DF7" w:rsidP="00257D6D">
            <w:pPr>
              <w:rPr>
                <w:rFonts w:cs="Arial"/>
                <w:i/>
                <w:iCs/>
                <w:szCs w:val="18"/>
                <w:lang w:val="en-US"/>
              </w:rPr>
            </w:pPr>
            <w:r w:rsidRPr="00FD4B2F">
              <w:rPr>
                <w:rFonts w:cs="Arial"/>
                <w:i/>
                <w:iCs/>
                <w:szCs w:val="18"/>
                <w:lang w:val="en-US"/>
              </w:rPr>
              <w:t>(a)</w:t>
            </w:r>
          </w:p>
        </w:tc>
        <w:tc>
          <w:tcPr>
            <w:tcW w:w="4359" w:type="dxa"/>
            <w:vAlign w:val="center"/>
          </w:tcPr>
          <w:p w14:paraId="6571993B" w14:textId="77777777" w:rsidR="00430DF7" w:rsidRPr="00FD4B2F" w:rsidRDefault="00430DF7" w:rsidP="00257D6D">
            <w:pPr>
              <w:rPr>
                <w:rFonts w:cs="Arial"/>
                <w:i/>
                <w:iCs/>
                <w:szCs w:val="18"/>
                <w:lang w:val="en-US"/>
              </w:rPr>
            </w:pPr>
            <w:r w:rsidRPr="00FD4B2F">
              <w:rPr>
                <w:rFonts w:cs="Arial"/>
                <w:i/>
                <w:iCs/>
                <w:szCs w:val="18"/>
                <w:lang w:val="en-US"/>
              </w:rPr>
              <w:t>(b)</w:t>
            </w:r>
          </w:p>
        </w:tc>
      </w:tr>
      <w:tr w:rsidR="00805FB6" w:rsidRPr="00FD4B2F" w14:paraId="0179414A" w14:textId="77777777" w:rsidTr="00146DD0">
        <w:trPr>
          <w:trHeight w:val="1896"/>
        </w:trPr>
        <w:tc>
          <w:tcPr>
            <w:tcW w:w="4428" w:type="dxa"/>
            <w:vAlign w:val="center"/>
          </w:tcPr>
          <w:p w14:paraId="791AE6CD" w14:textId="7E9EB3A2" w:rsidR="00805FB6" w:rsidRPr="00FD4B2F" w:rsidRDefault="004F4B7E" w:rsidP="00257D6D">
            <w:pPr>
              <w:jc w:val="center"/>
              <w:rPr>
                <w:rFonts w:cs="Arial"/>
                <w:noProof/>
                <w:szCs w:val="18"/>
                <w:lang w:val="en-US"/>
              </w:rPr>
            </w:pPr>
            <w:r>
              <w:rPr>
                <w:rFonts w:cs="Arial"/>
                <w:noProof/>
                <w:szCs w:val="18"/>
                <w:lang w:val="en-US"/>
              </w:rPr>
              <w:drawing>
                <wp:inline distT="0" distB="0" distL="0" distR="0" wp14:anchorId="1570C7C5" wp14:editId="0262460F">
                  <wp:extent cx="1936765" cy="1404000"/>
                  <wp:effectExtent l="0" t="0" r="6350" b="5715"/>
                  <wp:docPr id="6155614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6765" cy="1404000"/>
                          </a:xfrm>
                          <a:prstGeom prst="rect">
                            <a:avLst/>
                          </a:prstGeom>
                          <a:noFill/>
                        </pic:spPr>
                      </pic:pic>
                    </a:graphicData>
                  </a:graphic>
                </wp:inline>
              </w:drawing>
            </w:r>
          </w:p>
        </w:tc>
        <w:tc>
          <w:tcPr>
            <w:tcW w:w="4359" w:type="dxa"/>
            <w:vAlign w:val="center"/>
          </w:tcPr>
          <w:p w14:paraId="18153AB0" w14:textId="7753886D" w:rsidR="00805FB6" w:rsidRPr="00FD4B2F" w:rsidRDefault="007F7426" w:rsidP="00257D6D">
            <w:pPr>
              <w:jc w:val="center"/>
              <w:rPr>
                <w:rFonts w:cs="Arial"/>
                <w:noProof/>
                <w:szCs w:val="18"/>
                <w:lang w:val="en-US"/>
              </w:rPr>
            </w:pPr>
            <w:r>
              <w:rPr>
                <w:rFonts w:cs="Arial"/>
                <w:noProof/>
                <w:szCs w:val="18"/>
                <w:lang w:val="en-US"/>
              </w:rPr>
              <w:drawing>
                <wp:inline distT="0" distB="0" distL="0" distR="0" wp14:anchorId="19894C22" wp14:editId="405562E8">
                  <wp:extent cx="1966463" cy="1404000"/>
                  <wp:effectExtent l="0" t="0" r="0" b="5715"/>
                  <wp:docPr id="196525580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6463" cy="1404000"/>
                          </a:xfrm>
                          <a:prstGeom prst="rect">
                            <a:avLst/>
                          </a:prstGeom>
                          <a:noFill/>
                        </pic:spPr>
                      </pic:pic>
                    </a:graphicData>
                  </a:graphic>
                </wp:inline>
              </w:drawing>
            </w:r>
          </w:p>
        </w:tc>
      </w:tr>
    </w:tbl>
    <w:p w14:paraId="3BDBB6F8" w14:textId="10F332B6" w:rsidR="00430DF7" w:rsidRPr="00FD4B2F" w:rsidRDefault="00430DF7" w:rsidP="0042092B">
      <w:pPr>
        <w:pStyle w:val="CETBodytext"/>
        <w:spacing w:after="120"/>
        <w:rPr>
          <w:rFonts w:cs="Arial"/>
          <w:i/>
          <w:iCs/>
          <w:lang w:val="en-GB"/>
        </w:rPr>
      </w:pPr>
      <w:r w:rsidRPr="00FD4B2F">
        <w:rPr>
          <w:rFonts w:cs="Arial"/>
          <w:i/>
          <w:iCs/>
          <w:lang w:val="en-GB"/>
        </w:rPr>
        <w:t xml:space="preserve">Figure 3: </w:t>
      </w:r>
      <w:r w:rsidR="00210FD2">
        <w:rPr>
          <w:rFonts w:cs="Arial"/>
          <w:i/>
          <w:iCs/>
          <w:lang w:val="en-GB"/>
        </w:rPr>
        <w:t xml:space="preserve">High resolution </w:t>
      </w:r>
      <w:r w:rsidR="00E50D49">
        <w:rPr>
          <w:rFonts w:cs="Arial"/>
          <w:i/>
          <w:iCs/>
          <w:lang w:val="en-GB"/>
        </w:rPr>
        <w:t>of C</w:t>
      </w:r>
      <w:r w:rsidR="00E50D49" w:rsidRPr="00E50D49">
        <w:rPr>
          <w:rFonts w:cs="Arial"/>
          <w:i/>
          <w:iCs/>
          <w:vertAlign w:val="subscript"/>
          <w:lang w:val="en-GB"/>
        </w:rPr>
        <w:t>1s</w:t>
      </w:r>
      <w:r w:rsidR="00E50D49">
        <w:rPr>
          <w:rFonts w:cs="Arial"/>
          <w:i/>
          <w:iCs/>
          <w:lang w:val="en-GB"/>
        </w:rPr>
        <w:t xml:space="preserve"> </w:t>
      </w:r>
      <w:r w:rsidR="00210FD2">
        <w:rPr>
          <w:rFonts w:cs="Arial"/>
          <w:i/>
          <w:iCs/>
          <w:lang w:val="en-GB"/>
        </w:rPr>
        <w:t xml:space="preserve">spectra and </w:t>
      </w:r>
      <w:r w:rsidR="00E50D49">
        <w:rPr>
          <w:rFonts w:cs="Arial"/>
          <w:i/>
          <w:iCs/>
          <w:lang w:val="en-GB"/>
        </w:rPr>
        <w:t>d</w:t>
      </w:r>
      <w:r w:rsidRPr="00FD4B2F">
        <w:rPr>
          <w:rFonts w:cs="Arial"/>
          <w:i/>
          <w:iCs/>
          <w:lang w:val="en-GB"/>
        </w:rPr>
        <w:t xml:space="preserve">istribution of carbon-containing functional groups (a) and </w:t>
      </w:r>
      <w:r w:rsidR="00E50D49">
        <w:rPr>
          <w:rFonts w:cs="Arial"/>
          <w:i/>
          <w:iCs/>
          <w:lang w:val="en-GB"/>
        </w:rPr>
        <w:t>high resolution of O</w:t>
      </w:r>
      <w:r w:rsidR="00E50D49" w:rsidRPr="00E50D49">
        <w:rPr>
          <w:rFonts w:cs="Arial"/>
          <w:i/>
          <w:iCs/>
          <w:vertAlign w:val="subscript"/>
          <w:lang w:val="en-GB"/>
        </w:rPr>
        <w:t>1s</w:t>
      </w:r>
      <w:r w:rsidR="00E50D49">
        <w:rPr>
          <w:rFonts w:cs="Arial"/>
          <w:i/>
          <w:iCs/>
          <w:lang w:val="en-GB"/>
        </w:rPr>
        <w:t xml:space="preserve"> spectra and d</w:t>
      </w:r>
      <w:r w:rsidRPr="00FD4B2F">
        <w:rPr>
          <w:rFonts w:cs="Arial"/>
          <w:i/>
          <w:iCs/>
          <w:lang w:val="en-GB"/>
        </w:rPr>
        <w:t xml:space="preserve">istribution of oxygen-containing functional groups </w:t>
      </w:r>
      <w:r w:rsidR="0077190B" w:rsidRPr="00FD4B2F">
        <w:rPr>
          <w:rFonts w:cs="Arial"/>
          <w:i/>
          <w:iCs/>
          <w:lang w:val="en-GB"/>
        </w:rPr>
        <w:t>(b)</w:t>
      </w:r>
      <w:r w:rsidR="0077190B">
        <w:rPr>
          <w:rFonts w:cs="Arial"/>
          <w:i/>
          <w:iCs/>
          <w:lang w:val="en-GB"/>
        </w:rPr>
        <w:t xml:space="preserve"> </w:t>
      </w:r>
      <w:r w:rsidRPr="00FD4B2F">
        <w:rPr>
          <w:rFonts w:cs="Arial"/>
          <w:i/>
          <w:iCs/>
          <w:lang w:val="en-GB"/>
        </w:rPr>
        <w:t>of HC-205-22.</w:t>
      </w:r>
    </w:p>
    <w:p w14:paraId="2758F3D0" w14:textId="1C54A2DD" w:rsidR="00CD6C24" w:rsidRPr="00FD4B2F" w:rsidRDefault="00430DF7" w:rsidP="005E2F11">
      <w:pPr>
        <w:pStyle w:val="CETBodytext"/>
        <w:rPr>
          <w:rFonts w:cs="Arial"/>
          <w:i/>
          <w:iCs/>
          <w:lang w:val="en-GB"/>
        </w:rPr>
      </w:pPr>
      <w:r w:rsidRPr="00FD4B2F">
        <w:rPr>
          <w:rFonts w:cs="Arial"/>
          <w:i/>
          <w:iCs/>
          <w:lang w:val="en-GB"/>
        </w:rPr>
        <w:t xml:space="preserve">Table 2: </w:t>
      </w:r>
      <w:bookmarkStart w:id="5" w:name="_Hlk220726375"/>
      <w:r w:rsidR="004B751F">
        <w:rPr>
          <w:rFonts w:cs="Arial"/>
          <w:i/>
          <w:iCs/>
          <w:lang w:val="en-GB"/>
        </w:rPr>
        <w:t xml:space="preserve">Elemental composition by ultimate analysis and </w:t>
      </w:r>
      <w:r w:rsidR="004B751F" w:rsidRPr="004B751F">
        <w:rPr>
          <w:rFonts w:cs="Arial"/>
          <w:i/>
          <w:iCs/>
          <w:lang w:val="en-GB"/>
        </w:rPr>
        <w:t>X-ray photoelectron spectroscopy</w:t>
      </w:r>
      <w:r w:rsidR="004B751F">
        <w:rPr>
          <w:rFonts w:cs="Arial"/>
          <w:i/>
          <w:iCs/>
          <w:lang w:val="en-GB"/>
        </w:rPr>
        <w:t xml:space="preserve"> for </w:t>
      </w:r>
      <w:r w:rsidR="004B751F" w:rsidRPr="00FD4B2F">
        <w:rPr>
          <w:rFonts w:cs="Arial"/>
          <w:i/>
          <w:iCs/>
          <w:lang w:val="en-GB"/>
        </w:rPr>
        <w:t>HC-205-22.</w:t>
      </w:r>
      <w:bookmarkEnd w:id="5"/>
    </w:p>
    <w:tbl>
      <w:tblPr>
        <w:tblW w:w="8365" w:type="dxa"/>
        <w:tblLayout w:type="fixed"/>
        <w:tblCellMar>
          <w:left w:w="70" w:type="dxa"/>
          <w:right w:w="70" w:type="dxa"/>
        </w:tblCellMar>
        <w:tblLook w:val="04A0" w:firstRow="1" w:lastRow="0" w:firstColumn="1" w:lastColumn="0" w:noHBand="0" w:noVBand="1"/>
      </w:tblPr>
      <w:tblGrid>
        <w:gridCol w:w="1128"/>
        <w:gridCol w:w="781"/>
        <w:gridCol w:w="645"/>
        <w:gridCol w:w="627"/>
        <w:gridCol w:w="735"/>
        <w:gridCol w:w="680"/>
        <w:gridCol w:w="1641"/>
        <w:gridCol w:w="61"/>
        <w:gridCol w:w="648"/>
        <w:gridCol w:w="709"/>
        <w:gridCol w:w="710"/>
      </w:tblGrid>
      <w:tr w:rsidR="00551EC9" w:rsidRPr="00FD4B2F" w14:paraId="6F6AA92A" w14:textId="19AEAA28" w:rsidTr="003A0FB0">
        <w:trPr>
          <w:trHeight w:val="187"/>
        </w:trPr>
        <w:tc>
          <w:tcPr>
            <w:tcW w:w="1128" w:type="dxa"/>
            <w:vMerge w:val="restart"/>
            <w:tcBorders>
              <w:top w:val="single" w:sz="18" w:space="0" w:color="00CC00"/>
              <w:left w:val="nil"/>
              <w:bottom w:val="nil"/>
              <w:right w:val="nil"/>
            </w:tcBorders>
            <w:noWrap/>
            <w:vAlign w:val="center"/>
            <w:hideMark/>
          </w:tcPr>
          <w:p w14:paraId="60D90F68" w14:textId="77777777" w:rsidR="00551EC9" w:rsidRPr="00FD4B2F" w:rsidRDefault="00551EC9" w:rsidP="006E7D32">
            <w:pPr>
              <w:spacing w:line="240" w:lineRule="auto"/>
              <w:jc w:val="center"/>
              <w:rPr>
                <w:rFonts w:cs="Arial"/>
                <w:szCs w:val="18"/>
                <w:lang w:eastAsia="es-CO"/>
              </w:rPr>
            </w:pPr>
            <w:r w:rsidRPr="00FD4B2F">
              <w:rPr>
                <w:rFonts w:cs="Arial"/>
                <w:szCs w:val="18"/>
                <w:lang w:eastAsia="es-CO"/>
              </w:rPr>
              <w:t>Sample</w:t>
            </w:r>
          </w:p>
        </w:tc>
        <w:tc>
          <w:tcPr>
            <w:tcW w:w="5170" w:type="dxa"/>
            <w:gridSpan w:val="7"/>
            <w:tcBorders>
              <w:top w:val="single" w:sz="18" w:space="0" w:color="00CC00"/>
              <w:left w:val="nil"/>
              <w:right w:val="nil"/>
            </w:tcBorders>
            <w:noWrap/>
            <w:vAlign w:val="center"/>
            <w:hideMark/>
          </w:tcPr>
          <w:p w14:paraId="0230EEFD" w14:textId="70FAC3B4" w:rsidR="00551EC9" w:rsidRPr="00FD4B2F" w:rsidRDefault="00551EC9" w:rsidP="006E7D32">
            <w:pPr>
              <w:spacing w:line="240" w:lineRule="auto"/>
              <w:jc w:val="center"/>
              <w:rPr>
                <w:rFonts w:cs="Arial"/>
                <w:szCs w:val="18"/>
                <w:lang w:eastAsia="es-CO"/>
              </w:rPr>
            </w:pPr>
            <w:r w:rsidRPr="00FD4B2F">
              <w:rPr>
                <w:rFonts w:cs="Arial"/>
                <w:szCs w:val="18"/>
                <w:lang w:eastAsia="es-CO"/>
              </w:rPr>
              <w:t>Ultimate analysis (</w:t>
            </w:r>
            <w:r>
              <w:rPr>
                <w:rFonts w:cs="Arial"/>
                <w:szCs w:val="18"/>
                <w:lang w:eastAsia="es-CO"/>
              </w:rPr>
              <w:t>%</w:t>
            </w:r>
            <w:r w:rsidRPr="00FD4B2F">
              <w:rPr>
                <w:rFonts w:cs="Arial"/>
                <w:szCs w:val="18"/>
                <w:lang w:eastAsia="es-CO"/>
              </w:rPr>
              <w:t>wt)</w:t>
            </w:r>
          </w:p>
        </w:tc>
        <w:tc>
          <w:tcPr>
            <w:tcW w:w="2067" w:type="dxa"/>
            <w:gridSpan w:val="3"/>
            <w:tcBorders>
              <w:top w:val="single" w:sz="18" w:space="0" w:color="00CC00"/>
              <w:left w:val="nil"/>
              <w:right w:val="nil"/>
            </w:tcBorders>
          </w:tcPr>
          <w:p w14:paraId="5CC28D8E" w14:textId="0157D08A" w:rsidR="00551EC9" w:rsidRDefault="00551EC9" w:rsidP="006E7D32">
            <w:pPr>
              <w:spacing w:line="240" w:lineRule="auto"/>
              <w:jc w:val="center"/>
              <w:rPr>
                <w:rFonts w:cs="Arial"/>
                <w:szCs w:val="18"/>
                <w:lang w:eastAsia="es-CO"/>
              </w:rPr>
            </w:pPr>
            <w:r>
              <w:rPr>
                <w:rFonts w:cs="Arial"/>
                <w:szCs w:val="18"/>
                <w:lang w:eastAsia="es-CO"/>
              </w:rPr>
              <w:t>XPS (%wt)</w:t>
            </w:r>
          </w:p>
        </w:tc>
      </w:tr>
      <w:tr w:rsidR="00424CD8" w:rsidRPr="00FD4B2F" w14:paraId="0FC19D68" w14:textId="2AE7E4C9" w:rsidTr="003A0FB0">
        <w:trPr>
          <w:trHeight w:val="50"/>
        </w:trPr>
        <w:tc>
          <w:tcPr>
            <w:tcW w:w="1128" w:type="dxa"/>
            <w:vMerge/>
            <w:tcBorders>
              <w:top w:val="single" w:sz="4" w:space="0" w:color="auto"/>
              <w:left w:val="nil"/>
              <w:bottom w:val="single" w:sz="12" w:space="0" w:color="00CC00"/>
              <w:right w:val="nil"/>
            </w:tcBorders>
            <w:vAlign w:val="center"/>
            <w:hideMark/>
          </w:tcPr>
          <w:p w14:paraId="69E893AF" w14:textId="77777777" w:rsidR="00424CD8" w:rsidRPr="00FD4B2F" w:rsidRDefault="00424CD8" w:rsidP="006E7D32">
            <w:pPr>
              <w:spacing w:line="240" w:lineRule="auto"/>
              <w:rPr>
                <w:rFonts w:cs="Arial"/>
                <w:szCs w:val="18"/>
                <w:lang w:eastAsia="es-CO"/>
              </w:rPr>
            </w:pPr>
          </w:p>
        </w:tc>
        <w:tc>
          <w:tcPr>
            <w:tcW w:w="781" w:type="dxa"/>
            <w:tcBorders>
              <w:left w:val="nil"/>
              <w:bottom w:val="single" w:sz="12" w:space="0" w:color="00CC00"/>
              <w:right w:val="nil"/>
            </w:tcBorders>
            <w:vAlign w:val="center"/>
            <w:hideMark/>
          </w:tcPr>
          <w:p w14:paraId="1A76A247" w14:textId="4CCFC5DC" w:rsidR="00424CD8" w:rsidRPr="00FD4B2F" w:rsidRDefault="00424CD8" w:rsidP="006E7D32">
            <w:pPr>
              <w:spacing w:line="240" w:lineRule="auto"/>
              <w:jc w:val="center"/>
              <w:rPr>
                <w:rFonts w:cs="Arial"/>
                <w:szCs w:val="18"/>
                <w:lang w:eastAsia="es-CO"/>
              </w:rPr>
            </w:pPr>
            <w:r w:rsidRPr="00FD4B2F">
              <w:rPr>
                <w:rFonts w:cs="Arial"/>
                <w:szCs w:val="18"/>
                <w:lang w:eastAsia="es-CO"/>
              </w:rPr>
              <w:t>C</w:t>
            </w:r>
          </w:p>
        </w:tc>
        <w:tc>
          <w:tcPr>
            <w:tcW w:w="645" w:type="dxa"/>
            <w:tcBorders>
              <w:left w:val="nil"/>
              <w:bottom w:val="single" w:sz="12" w:space="0" w:color="00CC00"/>
              <w:right w:val="nil"/>
            </w:tcBorders>
            <w:vAlign w:val="center"/>
            <w:hideMark/>
          </w:tcPr>
          <w:p w14:paraId="543C4161" w14:textId="5E387543" w:rsidR="00424CD8" w:rsidRPr="00FD4B2F" w:rsidRDefault="00424CD8" w:rsidP="006E7D32">
            <w:pPr>
              <w:spacing w:line="240" w:lineRule="auto"/>
              <w:jc w:val="center"/>
              <w:rPr>
                <w:rFonts w:cs="Arial"/>
                <w:szCs w:val="18"/>
                <w:lang w:eastAsia="es-CO"/>
              </w:rPr>
            </w:pPr>
            <w:r w:rsidRPr="00FD4B2F">
              <w:rPr>
                <w:rFonts w:cs="Arial"/>
                <w:szCs w:val="18"/>
                <w:lang w:eastAsia="es-CO"/>
              </w:rPr>
              <w:t>H</w:t>
            </w:r>
          </w:p>
        </w:tc>
        <w:tc>
          <w:tcPr>
            <w:tcW w:w="627" w:type="dxa"/>
            <w:tcBorders>
              <w:left w:val="nil"/>
              <w:bottom w:val="single" w:sz="12" w:space="0" w:color="00CC00"/>
              <w:right w:val="nil"/>
            </w:tcBorders>
            <w:vAlign w:val="center"/>
            <w:hideMark/>
          </w:tcPr>
          <w:p w14:paraId="26A4F9EF" w14:textId="7C92870A" w:rsidR="00424CD8" w:rsidRPr="00FD4B2F" w:rsidRDefault="00424CD8" w:rsidP="006E7D32">
            <w:pPr>
              <w:spacing w:line="240" w:lineRule="auto"/>
              <w:jc w:val="center"/>
              <w:rPr>
                <w:rFonts w:cs="Arial"/>
                <w:szCs w:val="18"/>
                <w:lang w:eastAsia="es-CO"/>
              </w:rPr>
            </w:pPr>
            <w:r>
              <w:rPr>
                <w:rFonts w:cs="Arial"/>
                <w:szCs w:val="18"/>
                <w:lang w:eastAsia="es-CO"/>
              </w:rPr>
              <w:t>O</w:t>
            </w:r>
          </w:p>
        </w:tc>
        <w:tc>
          <w:tcPr>
            <w:tcW w:w="735" w:type="dxa"/>
            <w:tcBorders>
              <w:left w:val="nil"/>
              <w:bottom w:val="single" w:sz="12" w:space="0" w:color="00CC00"/>
              <w:right w:val="nil"/>
            </w:tcBorders>
            <w:vAlign w:val="center"/>
            <w:hideMark/>
          </w:tcPr>
          <w:p w14:paraId="22151B8B" w14:textId="1C537A0E" w:rsidR="00424CD8" w:rsidRPr="00FD4B2F" w:rsidRDefault="00424CD8" w:rsidP="006E7D32">
            <w:pPr>
              <w:spacing w:line="240" w:lineRule="auto"/>
              <w:jc w:val="center"/>
              <w:rPr>
                <w:rFonts w:cs="Arial"/>
                <w:szCs w:val="18"/>
                <w:lang w:eastAsia="es-CO"/>
              </w:rPr>
            </w:pPr>
            <w:r>
              <w:rPr>
                <w:rFonts w:cs="Arial"/>
                <w:szCs w:val="18"/>
                <w:lang w:eastAsia="es-CO"/>
              </w:rPr>
              <w:t>N</w:t>
            </w:r>
          </w:p>
        </w:tc>
        <w:tc>
          <w:tcPr>
            <w:tcW w:w="680" w:type="dxa"/>
            <w:tcBorders>
              <w:left w:val="nil"/>
              <w:bottom w:val="single" w:sz="12" w:space="0" w:color="00CC00"/>
              <w:right w:val="nil"/>
            </w:tcBorders>
            <w:vAlign w:val="center"/>
            <w:hideMark/>
          </w:tcPr>
          <w:p w14:paraId="1ECE758C" w14:textId="77777777" w:rsidR="00424CD8" w:rsidRPr="00FD4B2F" w:rsidRDefault="00424CD8" w:rsidP="006E7D32">
            <w:pPr>
              <w:spacing w:line="240" w:lineRule="auto"/>
              <w:jc w:val="center"/>
              <w:rPr>
                <w:rFonts w:cs="Arial"/>
                <w:szCs w:val="18"/>
                <w:lang w:eastAsia="es-CO"/>
              </w:rPr>
            </w:pPr>
            <w:r w:rsidRPr="00FD4B2F">
              <w:rPr>
                <w:rFonts w:cs="Arial"/>
                <w:szCs w:val="18"/>
                <w:lang w:eastAsia="es-CO"/>
              </w:rPr>
              <w:t>S</w:t>
            </w:r>
          </w:p>
        </w:tc>
        <w:tc>
          <w:tcPr>
            <w:tcW w:w="1641" w:type="dxa"/>
            <w:tcBorders>
              <w:left w:val="nil"/>
              <w:bottom w:val="single" w:sz="12" w:space="0" w:color="00CC00"/>
              <w:right w:val="nil"/>
            </w:tcBorders>
            <w:vAlign w:val="center"/>
            <w:hideMark/>
          </w:tcPr>
          <w:p w14:paraId="71802B5C" w14:textId="77777777" w:rsidR="00424CD8" w:rsidRPr="00FD4B2F" w:rsidRDefault="00424CD8" w:rsidP="006E7D32">
            <w:pPr>
              <w:spacing w:line="240" w:lineRule="auto"/>
              <w:jc w:val="center"/>
              <w:rPr>
                <w:rFonts w:cs="Arial"/>
                <w:szCs w:val="18"/>
                <w:lang w:eastAsia="es-CO"/>
              </w:rPr>
            </w:pPr>
            <w:r w:rsidRPr="00FD4B2F">
              <w:rPr>
                <w:rFonts w:cs="Arial"/>
                <w:szCs w:val="18"/>
                <w:lang w:eastAsia="es-CO"/>
              </w:rPr>
              <w:t>Total fixed solids</w:t>
            </w:r>
          </w:p>
        </w:tc>
        <w:tc>
          <w:tcPr>
            <w:tcW w:w="709" w:type="dxa"/>
            <w:gridSpan w:val="2"/>
            <w:tcBorders>
              <w:left w:val="nil"/>
              <w:bottom w:val="single" w:sz="12" w:space="0" w:color="00CC00"/>
              <w:right w:val="nil"/>
            </w:tcBorders>
          </w:tcPr>
          <w:p w14:paraId="3C659060" w14:textId="0A208FCE" w:rsidR="00424CD8" w:rsidRPr="00FD4B2F" w:rsidRDefault="00424CD8" w:rsidP="006E7D32">
            <w:pPr>
              <w:spacing w:line="240" w:lineRule="auto"/>
              <w:jc w:val="center"/>
              <w:rPr>
                <w:rFonts w:cs="Arial"/>
                <w:szCs w:val="18"/>
                <w:lang w:eastAsia="es-CO"/>
              </w:rPr>
            </w:pPr>
            <w:r w:rsidRPr="00FD4B2F">
              <w:rPr>
                <w:rFonts w:cs="Arial"/>
                <w:szCs w:val="18"/>
                <w:lang w:eastAsia="es-CO"/>
              </w:rPr>
              <w:t>C</w:t>
            </w:r>
            <w:r w:rsidRPr="00300687">
              <w:rPr>
                <w:rFonts w:cs="Arial"/>
                <w:szCs w:val="18"/>
                <w:vertAlign w:val="subscript"/>
                <w:lang w:eastAsia="es-CO"/>
              </w:rPr>
              <w:t>1s</w:t>
            </w:r>
          </w:p>
        </w:tc>
        <w:tc>
          <w:tcPr>
            <w:tcW w:w="709" w:type="dxa"/>
            <w:tcBorders>
              <w:left w:val="nil"/>
              <w:bottom w:val="single" w:sz="12" w:space="0" w:color="00CC00"/>
              <w:right w:val="nil"/>
            </w:tcBorders>
          </w:tcPr>
          <w:p w14:paraId="0245B943" w14:textId="623459DB" w:rsidR="00424CD8" w:rsidRPr="00FD4B2F" w:rsidRDefault="00424CD8" w:rsidP="006E7D32">
            <w:pPr>
              <w:spacing w:line="240" w:lineRule="auto"/>
              <w:jc w:val="center"/>
              <w:rPr>
                <w:rFonts w:cs="Arial"/>
                <w:szCs w:val="18"/>
                <w:lang w:eastAsia="es-CO"/>
              </w:rPr>
            </w:pPr>
            <w:r>
              <w:rPr>
                <w:rFonts w:cs="Arial"/>
                <w:szCs w:val="18"/>
                <w:lang w:eastAsia="es-CO"/>
              </w:rPr>
              <w:t>O</w:t>
            </w:r>
            <w:r w:rsidRPr="00300687">
              <w:rPr>
                <w:rFonts w:cs="Arial"/>
                <w:szCs w:val="18"/>
                <w:vertAlign w:val="subscript"/>
                <w:lang w:eastAsia="es-CO"/>
              </w:rPr>
              <w:t>1s</w:t>
            </w:r>
          </w:p>
        </w:tc>
        <w:tc>
          <w:tcPr>
            <w:tcW w:w="708" w:type="dxa"/>
            <w:tcBorders>
              <w:left w:val="nil"/>
              <w:bottom w:val="single" w:sz="12" w:space="0" w:color="00CC00"/>
              <w:right w:val="nil"/>
            </w:tcBorders>
          </w:tcPr>
          <w:p w14:paraId="1D40B329" w14:textId="2EC59B8A" w:rsidR="00424CD8" w:rsidRDefault="00424CD8" w:rsidP="006E7D32">
            <w:pPr>
              <w:spacing w:line="240" w:lineRule="auto"/>
              <w:jc w:val="center"/>
              <w:rPr>
                <w:rFonts w:cs="Arial"/>
                <w:szCs w:val="18"/>
                <w:lang w:eastAsia="es-CO"/>
              </w:rPr>
            </w:pPr>
            <w:r>
              <w:rPr>
                <w:rFonts w:cs="Arial"/>
                <w:szCs w:val="18"/>
                <w:lang w:eastAsia="es-CO"/>
              </w:rPr>
              <w:t>N</w:t>
            </w:r>
            <w:r w:rsidRPr="00300687">
              <w:rPr>
                <w:rFonts w:cs="Arial"/>
                <w:szCs w:val="18"/>
                <w:vertAlign w:val="subscript"/>
                <w:lang w:eastAsia="es-CO"/>
              </w:rPr>
              <w:t>1s</w:t>
            </w:r>
          </w:p>
        </w:tc>
      </w:tr>
      <w:tr w:rsidR="00424CD8" w:rsidRPr="00FD4B2F" w14:paraId="79EB6E0E" w14:textId="4691A659" w:rsidTr="003A0FB0">
        <w:trPr>
          <w:trHeight w:val="243"/>
        </w:trPr>
        <w:tc>
          <w:tcPr>
            <w:tcW w:w="1128" w:type="dxa"/>
            <w:tcBorders>
              <w:top w:val="single" w:sz="12" w:space="0" w:color="00CC00"/>
              <w:left w:val="nil"/>
              <w:right w:val="nil"/>
            </w:tcBorders>
            <w:noWrap/>
            <w:vAlign w:val="center"/>
            <w:hideMark/>
          </w:tcPr>
          <w:p w14:paraId="11C0613F" w14:textId="77777777" w:rsidR="00424CD8" w:rsidRPr="00FD4B2F" w:rsidRDefault="00424CD8" w:rsidP="006E7D32">
            <w:pPr>
              <w:spacing w:line="240" w:lineRule="auto"/>
              <w:jc w:val="center"/>
              <w:rPr>
                <w:rFonts w:cs="Arial"/>
                <w:szCs w:val="18"/>
                <w:lang w:eastAsia="es-CO"/>
              </w:rPr>
            </w:pPr>
            <w:r w:rsidRPr="00FD4B2F">
              <w:rPr>
                <w:rFonts w:cs="Arial"/>
                <w:szCs w:val="18"/>
                <w:lang w:eastAsia="es-CO"/>
              </w:rPr>
              <w:t>PKS</w:t>
            </w:r>
          </w:p>
        </w:tc>
        <w:tc>
          <w:tcPr>
            <w:tcW w:w="781" w:type="dxa"/>
            <w:tcBorders>
              <w:top w:val="single" w:sz="12" w:space="0" w:color="00CC00"/>
              <w:left w:val="nil"/>
              <w:right w:val="nil"/>
            </w:tcBorders>
            <w:noWrap/>
            <w:vAlign w:val="center"/>
          </w:tcPr>
          <w:p w14:paraId="1C5F65C9" w14:textId="77777777" w:rsidR="00424CD8" w:rsidRPr="00FD4B2F" w:rsidRDefault="00424CD8" w:rsidP="006E7D32">
            <w:pPr>
              <w:spacing w:line="240" w:lineRule="auto"/>
              <w:jc w:val="center"/>
              <w:rPr>
                <w:rFonts w:cs="Arial"/>
                <w:szCs w:val="18"/>
                <w:lang w:eastAsia="es-CO"/>
              </w:rPr>
            </w:pPr>
            <w:r w:rsidRPr="00FD4B2F">
              <w:rPr>
                <w:rFonts w:cs="Arial"/>
                <w:szCs w:val="18"/>
                <w:lang w:eastAsia="es-CO"/>
              </w:rPr>
              <w:t>50.58</w:t>
            </w:r>
          </w:p>
        </w:tc>
        <w:tc>
          <w:tcPr>
            <w:tcW w:w="645" w:type="dxa"/>
            <w:tcBorders>
              <w:top w:val="single" w:sz="12" w:space="0" w:color="00CC00"/>
              <w:left w:val="nil"/>
              <w:right w:val="nil"/>
            </w:tcBorders>
            <w:noWrap/>
            <w:vAlign w:val="center"/>
          </w:tcPr>
          <w:p w14:paraId="12D096D4" w14:textId="77777777" w:rsidR="00424CD8" w:rsidRPr="00FD4B2F" w:rsidRDefault="00424CD8" w:rsidP="006E7D32">
            <w:pPr>
              <w:spacing w:line="240" w:lineRule="auto"/>
              <w:jc w:val="center"/>
              <w:rPr>
                <w:rFonts w:cs="Arial"/>
                <w:szCs w:val="18"/>
                <w:lang w:eastAsia="es-CO"/>
              </w:rPr>
            </w:pPr>
            <w:r w:rsidRPr="00FD4B2F">
              <w:rPr>
                <w:rFonts w:cs="Arial"/>
                <w:szCs w:val="18"/>
                <w:lang w:eastAsia="es-CO"/>
              </w:rPr>
              <w:t>8.11</w:t>
            </w:r>
          </w:p>
        </w:tc>
        <w:tc>
          <w:tcPr>
            <w:tcW w:w="627" w:type="dxa"/>
            <w:tcBorders>
              <w:top w:val="single" w:sz="12" w:space="0" w:color="00CC00"/>
              <w:left w:val="nil"/>
              <w:right w:val="nil"/>
            </w:tcBorders>
            <w:noWrap/>
            <w:vAlign w:val="center"/>
          </w:tcPr>
          <w:p w14:paraId="67370F71" w14:textId="14510147" w:rsidR="00424CD8" w:rsidRPr="00FD4B2F" w:rsidRDefault="00424CD8" w:rsidP="006E7D32">
            <w:pPr>
              <w:spacing w:line="240" w:lineRule="auto"/>
              <w:jc w:val="center"/>
              <w:rPr>
                <w:rFonts w:cs="Arial"/>
                <w:szCs w:val="18"/>
                <w:lang w:eastAsia="es-CO"/>
              </w:rPr>
            </w:pPr>
            <w:r>
              <w:rPr>
                <w:rFonts w:cs="Arial"/>
                <w:szCs w:val="18"/>
                <w:lang w:eastAsia="es-CO"/>
              </w:rPr>
              <w:t>38.55</w:t>
            </w:r>
          </w:p>
        </w:tc>
        <w:tc>
          <w:tcPr>
            <w:tcW w:w="735" w:type="dxa"/>
            <w:tcBorders>
              <w:top w:val="single" w:sz="12" w:space="0" w:color="00CC00"/>
              <w:left w:val="nil"/>
              <w:right w:val="nil"/>
            </w:tcBorders>
            <w:noWrap/>
            <w:vAlign w:val="center"/>
          </w:tcPr>
          <w:p w14:paraId="46584661" w14:textId="065C261D" w:rsidR="00424CD8" w:rsidRPr="00FD4B2F" w:rsidRDefault="00424CD8" w:rsidP="006E7D32">
            <w:pPr>
              <w:spacing w:line="240" w:lineRule="auto"/>
              <w:jc w:val="center"/>
              <w:rPr>
                <w:rFonts w:cs="Arial"/>
                <w:szCs w:val="18"/>
                <w:lang w:eastAsia="es-CO"/>
              </w:rPr>
            </w:pPr>
            <w:r>
              <w:rPr>
                <w:rFonts w:cs="Arial"/>
                <w:szCs w:val="18"/>
                <w:lang w:eastAsia="es-CO"/>
              </w:rPr>
              <w:t>1.1</w:t>
            </w:r>
          </w:p>
        </w:tc>
        <w:tc>
          <w:tcPr>
            <w:tcW w:w="680" w:type="dxa"/>
            <w:tcBorders>
              <w:top w:val="single" w:sz="12" w:space="0" w:color="00CC00"/>
              <w:left w:val="nil"/>
              <w:right w:val="nil"/>
            </w:tcBorders>
            <w:noWrap/>
            <w:vAlign w:val="center"/>
          </w:tcPr>
          <w:p w14:paraId="4390D965" w14:textId="68C81BB0" w:rsidR="00424CD8" w:rsidRPr="00FD4B2F" w:rsidRDefault="00424CD8" w:rsidP="006E7D32">
            <w:pPr>
              <w:spacing w:line="240" w:lineRule="auto"/>
              <w:jc w:val="center"/>
              <w:rPr>
                <w:rFonts w:cs="Arial"/>
                <w:szCs w:val="18"/>
                <w:lang w:eastAsia="es-CO"/>
              </w:rPr>
            </w:pPr>
            <w:r>
              <w:rPr>
                <w:rFonts w:cs="Arial"/>
                <w:szCs w:val="18"/>
                <w:lang w:eastAsia="es-CO"/>
              </w:rPr>
              <w:t>0</w:t>
            </w:r>
          </w:p>
        </w:tc>
        <w:tc>
          <w:tcPr>
            <w:tcW w:w="1641" w:type="dxa"/>
            <w:tcBorders>
              <w:top w:val="single" w:sz="12" w:space="0" w:color="00CC00"/>
              <w:left w:val="nil"/>
              <w:right w:val="nil"/>
            </w:tcBorders>
            <w:noWrap/>
            <w:vAlign w:val="center"/>
          </w:tcPr>
          <w:p w14:paraId="26F0CF96" w14:textId="77777777" w:rsidR="00424CD8" w:rsidRPr="00FD4B2F" w:rsidRDefault="00424CD8" w:rsidP="006E7D32">
            <w:pPr>
              <w:spacing w:line="240" w:lineRule="auto"/>
              <w:jc w:val="center"/>
              <w:rPr>
                <w:rFonts w:cs="Arial"/>
                <w:szCs w:val="18"/>
                <w:lang w:eastAsia="es-CO"/>
              </w:rPr>
            </w:pPr>
            <w:r w:rsidRPr="00FD4B2F">
              <w:rPr>
                <w:rFonts w:cs="Arial"/>
                <w:szCs w:val="18"/>
                <w:lang w:eastAsia="es-CO"/>
              </w:rPr>
              <w:t>1.66</w:t>
            </w:r>
          </w:p>
        </w:tc>
        <w:tc>
          <w:tcPr>
            <w:tcW w:w="709" w:type="dxa"/>
            <w:gridSpan w:val="2"/>
            <w:tcBorders>
              <w:top w:val="single" w:sz="12" w:space="0" w:color="00CC00"/>
              <w:left w:val="nil"/>
              <w:right w:val="nil"/>
            </w:tcBorders>
            <w:vAlign w:val="center"/>
          </w:tcPr>
          <w:p w14:paraId="02322BEA" w14:textId="61490821" w:rsidR="00424CD8" w:rsidRPr="00FD4B2F" w:rsidRDefault="00424CD8" w:rsidP="006E7D32">
            <w:pPr>
              <w:spacing w:line="240" w:lineRule="auto"/>
              <w:jc w:val="center"/>
              <w:rPr>
                <w:rFonts w:cs="Arial"/>
                <w:szCs w:val="18"/>
                <w:lang w:eastAsia="es-CO"/>
              </w:rPr>
            </w:pPr>
            <w:r w:rsidRPr="00FD4B2F">
              <w:rPr>
                <w:rFonts w:cs="Arial"/>
                <w:szCs w:val="18"/>
                <w:lang w:eastAsia="es-CO"/>
              </w:rPr>
              <w:t>-</w:t>
            </w:r>
          </w:p>
        </w:tc>
        <w:tc>
          <w:tcPr>
            <w:tcW w:w="709" w:type="dxa"/>
            <w:tcBorders>
              <w:top w:val="single" w:sz="12" w:space="0" w:color="00CC00"/>
              <w:left w:val="nil"/>
              <w:right w:val="nil"/>
            </w:tcBorders>
            <w:vAlign w:val="center"/>
          </w:tcPr>
          <w:p w14:paraId="2B0475ED" w14:textId="49C9CDE7" w:rsidR="00424CD8" w:rsidRPr="00FD4B2F" w:rsidRDefault="00424CD8" w:rsidP="006E7D32">
            <w:pPr>
              <w:spacing w:line="240" w:lineRule="auto"/>
              <w:jc w:val="center"/>
              <w:rPr>
                <w:rFonts w:cs="Arial"/>
                <w:szCs w:val="18"/>
                <w:lang w:eastAsia="es-CO"/>
              </w:rPr>
            </w:pPr>
            <w:r w:rsidRPr="00FD4B2F">
              <w:rPr>
                <w:rFonts w:cs="Arial"/>
                <w:szCs w:val="18"/>
                <w:lang w:eastAsia="es-CO"/>
              </w:rPr>
              <w:t>-</w:t>
            </w:r>
          </w:p>
        </w:tc>
        <w:tc>
          <w:tcPr>
            <w:tcW w:w="708" w:type="dxa"/>
            <w:tcBorders>
              <w:top w:val="single" w:sz="12" w:space="0" w:color="00CC00"/>
              <w:left w:val="nil"/>
              <w:right w:val="nil"/>
            </w:tcBorders>
          </w:tcPr>
          <w:p w14:paraId="5CA782BE" w14:textId="42A46CEE" w:rsidR="00424CD8" w:rsidRPr="00F432D8" w:rsidRDefault="00424CD8" w:rsidP="006E7D32">
            <w:pPr>
              <w:spacing w:line="240" w:lineRule="auto"/>
              <w:jc w:val="center"/>
              <w:rPr>
                <w:rFonts w:cs="Arial"/>
                <w:szCs w:val="18"/>
                <w:lang w:eastAsia="es-CO"/>
              </w:rPr>
            </w:pPr>
            <w:r w:rsidRPr="00FD4B2F">
              <w:rPr>
                <w:rFonts w:cs="Arial"/>
                <w:szCs w:val="18"/>
                <w:lang w:eastAsia="es-CO"/>
              </w:rPr>
              <w:t>-</w:t>
            </w:r>
          </w:p>
        </w:tc>
      </w:tr>
      <w:tr w:rsidR="00424CD8" w:rsidRPr="00FD4B2F" w14:paraId="57D1B30C" w14:textId="57782ED4" w:rsidTr="003A0FB0">
        <w:trPr>
          <w:trHeight w:val="243"/>
        </w:trPr>
        <w:tc>
          <w:tcPr>
            <w:tcW w:w="1128" w:type="dxa"/>
            <w:tcBorders>
              <w:left w:val="nil"/>
              <w:bottom w:val="single" w:sz="18" w:space="0" w:color="00CC00"/>
              <w:right w:val="nil"/>
            </w:tcBorders>
            <w:noWrap/>
            <w:vAlign w:val="center"/>
          </w:tcPr>
          <w:p w14:paraId="57EA1714" w14:textId="77777777" w:rsidR="00424CD8" w:rsidRPr="00FD4B2F" w:rsidRDefault="00424CD8" w:rsidP="00F432D8">
            <w:pPr>
              <w:spacing w:line="240" w:lineRule="auto"/>
              <w:jc w:val="center"/>
              <w:rPr>
                <w:rFonts w:cs="Arial"/>
                <w:szCs w:val="18"/>
                <w:lang w:eastAsia="es-CO"/>
              </w:rPr>
            </w:pPr>
            <w:r w:rsidRPr="00FD4B2F">
              <w:rPr>
                <w:rFonts w:cs="Arial"/>
                <w:szCs w:val="18"/>
                <w:lang w:eastAsia="es-CO"/>
              </w:rPr>
              <w:t>HC-205-22</w:t>
            </w:r>
          </w:p>
        </w:tc>
        <w:tc>
          <w:tcPr>
            <w:tcW w:w="781" w:type="dxa"/>
            <w:tcBorders>
              <w:left w:val="nil"/>
              <w:bottom w:val="single" w:sz="18" w:space="0" w:color="00CC00"/>
              <w:right w:val="nil"/>
            </w:tcBorders>
            <w:noWrap/>
            <w:vAlign w:val="center"/>
          </w:tcPr>
          <w:p w14:paraId="4A844E2E" w14:textId="77777777" w:rsidR="00424CD8" w:rsidRPr="00FD4B2F" w:rsidRDefault="00424CD8" w:rsidP="00F432D8">
            <w:pPr>
              <w:spacing w:line="240" w:lineRule="auto"/>
              <w:jc w:val="center"/>
              <w:rPr>
                <w:rFonts w:cs="Arial"/>
                <w:szCs w:val="18"/>
                <w:lang w:eastAsia="es-CO"/>
              </w:rPr>
            </w:pPr>
            <w:r w:rsidRPr="00FD4B2F">
              <w:rPr>
                <w:rFonts w:cs="Arial"/>
                <w:szCs w:val="18"/>
                <w:lang w:eastAsia="es-CO"/>
              </w:rPr>
              <w:t>62.61</w:t>
            </w:r>
          </w:p>
        </w:tc>
        <w:tc>
          <w:tcPr>
            <w:tcW w:w="645" w:type="dxa"/>
            <w:tcBorders>
              <w:left w:val="nil"/>
              <w:bottom w:val="single" w:sz="18" w:space="0" w:color="00CC00"/>
              <w:right w:val="nil"/>
            </w:tcBorders>
            <w:noWrap/>
            <w:vAlign w:val="center"/>
          </w:tcPr>
          <w:p w14:paraId="50B81479" w14:textId="77777777" w:rsidR="00424CD8" w:rsidRPr="00FD4B2F" w:rsidRDefault="00424CD8" w:rsidP="00F432D8">
            <w:pPr>
              <w:spacing w:line="240" w:lineRule="auto"/>
              <w:jc w:val="center"/>
              <w:rPr>
                <w:rFonts w:cs="Arial"/>
                <w:szCs w:val="18"/>
                <w:lang w:eastAsia="es-CO"/>
              </w:rPr>
            </w:pPr>
            <w:r w:rsidRPr="00FD4B2F">
              <w:rPr>
                <w:rFonts w:cs="Arial"/>
                <w:szCs w:val="18"/>
                <w:lang w:eastAsia="es-CO"/>
              </w:rPr>
              <w:t>5.75</w:t>
            </w:r>
          </w:p>
        </w:tc>
        <w:tc>
          <w:tcPr>
            <w:tcW w:w="627" w:type="dxa"/>
            <w:tcBorders>
              <w:left w:val="nil"/>
              <w:bottom w:val="single" w:sz="18" w:space="0" w:color="00CC00"/>
              <w:right w:val="nil"/>
            </w:tcBorders>
            <w:noWrap/>
            <w:vAlign w:val="center"/>
          </w:tcPr>
          <w:p w14:paraId="40F65706" w14:textId="372D1E47" w:rsidR="00424CD8" w:rsidRPr="00FD4B2F" w:rsidRDefault="00424CD8" w:rsidP="00F432D8">
            <w:pPr>
              <w:spacing w:line="240" w:lineRule="auto"/>
              <w:jc w:val="center"/>
              <w:rPr>
                <w:rFonts w:cs="Arial"/>
                <w:szCs w:val="18"/>
                <w:lang w:eastAsia="es-CO"/>
              </w:rPr>
            </w:pPr>
            <w:r>
              <w:rPr>
                <w:rFonts w:cs="Arial"/>
                <w:szCs w:val="18"/>
                <w:lang w:eastAsia="es-CO"/>
              </w:rPr>
              <w:t>29.55</w:t>
            </w:r>
          </w:p>
        </w:tc>
        <w:tc>
          <w:tcPr>
            <w:tcW w:w="735" w:type="dxa"/>
            <w:tcBorders>
              <w:left w:val="nil"/>
              <w:bottom w:val="single" w:sz="18" w:space="0" w:color="00CC00"/>
              <w:right w:val="nil"/>
            </w:tcBorders>
            <w:noWrap/>
            <w:vAlign w:val="center"/>
          </w:tcPr>
          <w:p w14:paraId="45755EB1" w14:textId="328F2BE3" w:rsidR="00424CD8" w:rsidRPr="00FD4B2F" w:rsidRDefault="00424CD8" w:rsidP="00F432D8">
            <w:pPr>
              <w:spacing w:line="240" w:lineRule="auto"/>
              <w:jc w:val="center"/>
              <w:rPr>
                <w:rFonts w:cs="Arial"/>
                <w:szCs w:val="18"/>
                <w:lang w:eastAsia="es-CO"/>
              </w:rPr>
            </w:pPr>
            <w:r w:rsidRPr="00FD4B2F">
              <w:rPr>
                <w:rFonts w:cs="Arial"/>
                <w:szCs w:val="18"/>
                <w:lang w:eastAsia="es-CO"/>
              </w:rPr>
              <w:t>0.</w:t>
            </w:r>
            <w:r>
              <w:rPr>
                <w:rFonts w:cs="Arial"/>
                <w:szCs w:val="18"/>
                <w:lang w:eastAsia="es-CO"/>
              </w:rPr>
              <w:t>57</w:t>
            </w:r>
          </w:p>
        </w:tc>
        <w:tc>
          <w:tcPr>
            <w:tcW w:w="680" w:type="dxa"/>
            <w:tcBorders>
              <w:left w:val="nil"/>
              <w:bottom w:val="single" w:sz="18" w:space="0" w:color="00CC00"/>
              <w:right w:val="nil"/>
            </w:tcBorders>
            <w:noWrap/>
            <w:vAlign w:val="center"/>
          </w:tcPr>
          <w:p w14:paraId="42BE7A27" w14:textId="4A8E31EA" w:rsidR="00424CD8" w:rsidRPr="00FD4B2F" w:rsidRDefault="00424CD8" w:rsidP="00F432D8">
            <w:pPr>
              <w:spacing w:line="240" w:lineRule="auto"/>
              <w:jc w:val="center"/>
              <w:rPr>
                <w:rFonts w:cs="Arial"/>
                <w:szCs w:val="18"/>
                <w:lang w:eastAsia="es-CO"/>
              </w:rPr>
            </w:pPr>
            <w:r>
              <w:rPr>
                <w:rFonts w:cs="Arial"/>
                <w:szCs w:val="18"/>
                <w:lang w:eastAsia="es-CO"/>
              </w:rPr>
              <w:t>0</w:t>
            </w:r>
          </w:p>
        </w:tc>
        <w:tc>
          <w:tcPr>
            <w:tcW w:w="1641" w:type="dxa"/>
            <w:tcBorders>
              <w:left w:val="nil"/>
              <w:bottom w:val="single" w:sz="18" w:space="0" w:color="00CC00"/>
              <w:right w:val="nil"/>
            </w:tcBorders>
            <w:noWrap/>
            <w:vAlign w:val="center"/>
          </w:tcPr>
          <w:p w14:paraId="2060F972" w14:textId="77777777" w:rsidR="00424CD8" w:rsidRPr="00FD4B2F" w:rsidRDefault="00424CD8" w:rsidP="00F432D8">
            <w:pPr>
              <w:spacing w:line="240" w:lineRule="auto"/>
              <w:jc w:val="center"/>
              <w:rPr>
                <w:rFonts w:cs="Arial"/>
                <w:szCs w:val="18"/>
                <w:lang w:eastAsia="es-CO"/>
              </w:rPr>
            </w:pPr>
            <w:r w:rsidRPr="00FD4B2F">
              <w:rPr>
                <w:rFonts w:cs="Arial"/>
                <w:szCs w:val="18"/>
                <w:lang w:eastAsia="es-CO"/>
              </w:rPr>
              <w:t>1.52</w:t>
            </w:r>
          </w:p>
        </w:tc>
        <w:tc>
          <w:tcPr>
            <w:tcW w:w="709" w:type="dxa"/>
            <w:gridSpan w:val="2"/>
            <w:tcBorders>
              <w:left w:val="nil"/>
              <w:bottom w:val="single" w:sz="18" w:space="0" w:color="00CC00"/>
              <w:right w:val="nil"/>
            </w:tcBorders>
          </w:tcPr>
          <w:p w14:paraId="2BB3127C" w14:textId="51B3A675" w:rsidR="00424CD8" w:rsidRPr="00FD4B2F" w:rsidRDefault="00424CD8" w:rsidP="00F432D8">
            <w:pPr>
              <w:spacing w:line="240" w:lineRule="auto"/>
              <w:jc w:val="center"/>
              <w:rPr>
                <w:rFonts w:cs="Arial"/>
                <w:szCs w:val="18"/>
                <w:lang w:eastAsia="es-CO"/>
              </w:rPr>
            </w:pPr>
            <w:r w:rsidRPr="000E01F4">
              <w:rPr>
                <w:rFonts w:cs="Arial"/>
                <w:szCs w:val="18"/>
                <w:lang w:eastAsia="es-CO"/>
              </w:rPr>
              <w:t>72.97</w:t>
            </w:r>
          </w:p>
        </w:tc>
        <w:tc>
          <w:tcPr>
            <w:tcW w:w="709" w:type="dxa"/>
            <w:tcBorders>
              <w:left w:val="nil"/>
              <w:bottom w:val="single" w:sz="18" w:space="0" w:color="00CC00"/>
              <w:right w:val="nil"/>
            </w:tcBorders>
          </w:tcPr>
          <w:p w14:paraId="0487A193" w14:textId="2DF9CF4C" w:rsidR="00424CD8" w:rsidRPr="00FD4B2F" w:rsidRDefault="00424CD8" w:rsidP="00F432D8">
            <w:pPr>
              <w:spacing w:line="240" w:lineRule="auto"/>
              <w:jc w:val="center"/>
              <w:rPr>
                <w:rFonts w:cs="Arial"/>
                <w:szCs w:val="18"/>
                <w:lang w:eastAsia="es-CO"/>
              </w:rPr>
            </w:pPr>
            <w:r w:rsidRPr="006E7D32">
              <w:rPr>
                <w:rFonts w:cs="Arial"/>
                <w:szCs w:val="18"/>
                <w:lang w:eastAsia="es-CO"/>
              </w:rPr>
              <w:t>25.77</w:t>
            </w:r>
          </w:p>
        </w:tc>
        <w:tc>
          <w:tcPr>
            <w:tcW w:w="708" w:type="dxa"/>
            <w:tcBorders>
              <w:left w:val="nil"/>
              <w:bottom w:val="single" w:sz="18" w:space="0" w:color="00CC00"/>
              <w:right w:val="nil"/>
            </w:tcBorders>
          </w:tcPr>
          <w:p w14:paraId="38A95622" w14:textId="532747ED" w:rsidR="00424CD8" w:rsidRPr="00F432D8" w:rsidRDefault="00424CD8" w:rsidP="00F432D8">
            <w:pPr>
              <w:spacing w:line="240" w:lineRule="auto"/>
              <w:jc w:val="center"/>
              <w:rPr>
                <w:rFonts w:cs="Arial"/>
                <w:szCs w:val="18"/>
                <w:lang w:eastAsia="es-CO"/>
              </w:rPr>
            </w:pPr>
            <w:r w:rsidRPr="006E7D32">
              <w:rPr>
                <w:rFonts w:cs="Arial"/>
                <w:szCs w:val="18"/>
                <w:lang w:eastAsia="es-CO"/>
              </w:rPr>
              <w:t>0.62</w:t>
            </w:r>
          </w:p>
        </w:tc>
      </w:tr>
    </w:tbl>
    <w:p w14:paraId="5A351413" w14:textId="0F4A19F6" w:rsidR="00505E36" w:rsidRPr="00A55050" w:rsidRDefault="002A29FA" w:rsidP="0042092B">
      <w:pPr>
        <w:spacing w:before="120" w:after="120" w:line="240" w:lineRule="auto"/>
        <w:rPr>
          <w:rFonts w:cs="Arial"/>
          <w:szCs w:val="18"/>
          <w:lang w:val="en-US"/>
        </w:rPr>
      </w:pPr>
      <w:r w:rsidRPr="00FD4B2F">
        <w:rPr>
          <w:rFonts w:cs="Arial"/>
          <w:szCs w:val="18"/>
        </w:rPr>
        <w:lastRenderedPageBreak/>
        <w:t xml:space="preserve">Table 3 </w:t>
      </w:r>
      <w:r w:rsidR="00ED5998">
        <w:rPr>
          <w:rFonts w:cs="Arial"/>
          <w:szCs w:val="18"/>
        </w:rPr>
        <w:t>and</w:t>
      </w:r>
      <w:r>
        <w:rPr>
          <w:rFonts w:cs="Arial"/>
          <w:szCs w:val="18"/>
        </w:rPr>
        <w:t xml:space="preserve"> Figure </w:t>
      </w:r>
      <w:r w:rsidR="00722130">
        <w:rPr>
          <w:rFonts w:cs="Arial"/>
          <w:szCs w:val="18"/>
        </w:rPr>
        <w:t>4</w:t>
      </w:r>
      <w:r>
        <w:rPr>
          <w:rFonts w:cs="Arial"/>
          <w:szCs w:val="18"/>
        </w:rPr>
        <w:t xml:space="preserve"> </w:t>
      </w:r>
      <w:r w:rsidRPr="00FD4B2F">
        <w:rPr>
          <w:rFonts w:cs="Arial"/>
          <w:szCs w:val="18"/>
        </w:rPr>
        <w:t xml:space="preserve">show </w:t>
      </w:r>
      <w:r w:rsidR="004D6400">
        <w:rPr>
          <w:rFonts w:cs="Arial"/>
          <w:szCs w:val="18"/>
        </w:rPr>
        <w:t xml:space="preserve">the </w:t>
      </w:r>
      <w:r w:rsidRPr="00FD4B2F">
        <w:rPr>
          <w:rFonts w:cs="Arial"/>
          <w:szCs w:val="18"/>
        </w:rPr>
        <w:t>Langmuir and</w:t>
      </w:r>
      <w:r w:rsidR="00101B4B">
        <w:rPr>
          <w:rFonts w:cs="Arial"/>
          <w:szCs w:val="18"/>
        </w:rPr>
        <w:t xml:space="preserve"> </w:t>
      </w:r>
      <w:r w:rsidRPr="00FD4B2F">
        <w:rPr>
          <w:rFonts w:cs="Arial"/>
          <w:szCs w:val="18"/>
        </w:rPr>
        <w:t>Freundlich isotherm model</w:t>
      </w:r>
      <w:r w:rsidR="008E41F6">
        <w:rPr>
          <w:rFonts w:cs="Arial"/>
          <w:szCs w:val="18"/>
        </w:rPr>
        <w:t xml:space="preserve">. </w:t>
      </w:r>
      <w:r w:rsidR="00505E36" w:rsidRPr="00505E36">
        <w:rPr>
          <w:rFonts w:cs="Arial"/>
          <w:szCs w:val="18"/>
          <w:lang w:val="en-US"/>
        </w:rPr>
        <w:t>The R</w:t>
      </w:r>
      <w:r w:rsidR="00505E36" w:rsidRPr="00DD34F2">
        <w:rPr>
          <w:rFonts w:cs="Arial"/>
          <w:szCs w:val="18"/>
          <w:vertAlign w:val="superscript"/>
          <w:lang w:val="en-US"/>
        </w:rPr>
        <w:t>2</w:t>
      </w:r>
      <w:r w:rsidR="00505E36" w:rsidRPr="00505E36">
        <w:rPr>
          <w:rFonts w:cs="Arial"/>
          <w:szCs w:val="18"/>
          <w:lang w:val="en-US"/>
        </w:rPr>
        <w:t xml:space="preserve"> isotherm model demonstrated a satisfactory fit with both isotherm models</w:t>
      </w:r>
      <w:r w:rsidR="005E7B56">
        <w:rPr>
          <w:rFonts w:cs="Arial"/>
          <w:szCs w:val="18"/>
          <w:lang w:val="en-US"/>
        </w:rPr>
        <w:t xml:space="preserve"> </w:t>
      </w:r>
      <w:r w:rsidR="0022403B">
        <w:rPr>
          <w:rFonts w:cs="Arial"/>
          <w:szCs w:val="18"/>
          <w:lang w:val="en-US"/>
        </w:rPr>
        <w:t>for Na</w:t>
      </w:r>
      <w:r w:rsidR="0022403B" w:rsidRPr="0022403B">
        <w:rPr>
          <w:rFonts w:cs="Arial"/>
          <w:szCs w:val="18"/>
          <w:vertAlign w:val="superscript"/>
          <w:lang w:val="en-US"/>
        </w:rPr>
        <w:t>+</w:t>
      </w:r>
      <w:r w:rsidR="0022403B">
        <w:rPr>
          <w:rFonts w:cs="Arial"/>
          <w:szCs w:val="18"/>
          <w:lang w:val="en-US"/>
        </w:rPr>
        <w:t xml:space="preserve"> adsorption</w:t>
      </w:r>
      <w:r w:rsidR="00505E36" w:rsidRPr="00505E36">
        <w:rPr>
          <w:rFonts w:cs="Arial"/>
          <w:szCs w:val="18"/>
          <w:lang w:val="en-US"/>
        </w:rPr>
        <w:t xml:space="preserve">. However, the Freundlich isotherm model was found to be a less suitable fit than the Langmuir isotherm model. </w:t>
      </w:r>
    </w:p>
    <w:p w14:paraId="0B78EC29" w14:textId="7EB028B3" w:rsidR="001A4E51" w:rsidRPr="00FD4B2F" w:rsidRDefault="001A4E51" w:rsidP="005E2F11">
      <w:pPr>
        <w:pStyle w:val="CETBodytext"/>
        <w:rPr>
          <w:rFonts w:cs="Arial"/>
          <w:i/>
          <w:iCs/>
        </w:rPr>
      </w:pPr>
      <w:r w:rsidRPr="00FD4B2F">
        <w:rPr>
          <w:rFonts w:cs="Arial"/>
          <w:i/>
          <w:iCs/>
        </w:rPr>
        <w:t>Table 3: Estimated parameters of the Langmuir isotherm model and the Freundlich isotherm model for Na</w:t>
      </w:r>
      <w:r w:rsidRPr="00FD4B2F">
        <w:rPr>
          <w:rFonts w:cs="Arial"/>
          <w:i/>
          <w:iCs/>
          <w:vertAlign w:val="superscript"/>
        </w:rPr>
        <w:t>+</w:t>
      </w:r>
      <w:r w:rsidRPr="00FD4B2F">
        <w:rPr>
          <w:rFonts w:cs="Arial"/>
          <w:i/>
          <w:iCs/>
        </w:rPr>
        <w:t xml:space="preserve"> and Cl</w:t>
      </w:r>
      <w:r w:rsidRPr="00FD4B2F">
        <w:rPr>
          <w:rFonts w:cs="Arial"/>
          <w:i/>
          <w:iCs/>
          <w:vertAlign w:val="superscript"/>
        </w:rPr>
        <w:t>-</w:t>
      </w:r>
      <w:r w:rsidRPr="00FD4B2F">
        <w:rPr>
          <w:rFonts w:cs="Arial"/>
          <w:i/>
          <w:iCs/>
        </w:rPr>
        <w:t xml:space="preserve"> adsorption</w:t>
      </w:r>
      <w:r w:rsidR="0094239B">
        <w:rPr>
          <w:rFonts w:cs="Arial"/>
          <w:i/>
          <w:iCs/>
        </w:rPr>
        <w:t xml:space="preserve"> with HC-205-22.</w:t>
      </w:r>
    </w:p>
    <w:tbl>
      <w:tblPr>
        <w:tblW w:w="8886" w:type="dxa"/>
        <w:tblCellMar>
          <w:left w:w="70" w:type="dxa"/>
          <w:right w:w="70" w:type="dxa"/>
        </w:tblCellMar>
        <w:tblLook w:val="04A0" w:firstRow="1" w:lastRow="0" w:firstColumn="1" w:lastColumn="0" w:noHBand="0" w:noVBand="1"/>
      </w:tblPr>
      <w:tblGrid>
        <w:gridCol w:w="894"/>
        <w:gridCol w:w="691"/>
        <w:gridCol w:w="827"/>
        <w:gridCol w:w="991"/>
        <w:gridCol w:w="691"/>
        <w:gridCol w:w="591"/>
        <w:gridCol w:w="201"/>
        <w:gridCol w:w="1024"/>
        <w:gridCol w:w="663"/>
        <w:gridCol w:w="610"/>
        <w:gridCol w:w="791"/>
        <w:gridCol w:w="691"/>
        <w:gridCol w:w="691"/>
      </w:tblGrid>
      <w:tr w:rsidR="001A4E51" w:rsidRPr="007E0C7C" w14:paraId="01B3DAB0" w14:textId="77777777" w:rsidTr="00257D6D">
        <w:trPr>
          <w:trHeight w:val="154"/>
        </w:trPr>
        <w:tc>
          <w:tcPr>
            <w:tcW w:w="4407" w:type="dxa"/>
            <w:gridSpan w:val="6"/>
            <w:tcBorders>
              <w:top w:val="single" w:sz="18" w:space="0" w:color="00CC00"/>
              <w:bottom w:val="single" w:sz="12" w:space="0" w:color="00CC00"/>
            </w:tcBorders>
            <w:noWrap/>
            <w:vAlign w:val="center"/>
            <w:hideMark/>
          </w:tcPr>
          <w:p w14:paraId="5876B06A" w14:textId="10A0CB88" w:rsidR="001A4E51" w:rsidRPr="00FD4B2F" w:rsidRDefault="00976A1A" w:rsidP="00257D6D">
            <w:pPr>
              <w:spacing w:line="240" w:lineRule="auto"/>
              <w:jc w:val="center"/>
              <w:rPr>
                <w:rFonts w:cs="Arial"/>
                <w:szCs w:val="18"/>
                <w:lang w:val="es-CO" w:eastAsia="es-CO"/>
              </w:rPr>
            </w:pPr>
            <w:r w:rsidRPr="00976A1A">
              <w:rPr>
                <w:rFonts w:cs="Arial"/>
                <w:szCs w:val="18"/>
                <w:lang w:val="es-CO" w:eastAsia="es-CO"/>
              </w:rPr>
              <w:t>Langmuir isotherm model</w:t>
            </w:r>
          </w:p>
        </w:tc>
        <w:tc>
          <w:tcPr>
            <w:tcW w:w="201" w:type="dxa"/>
            <w:tcBorders>
              <w:top w:val="single" w:sz="18" w:space="0" w:color="00CC00"/>
              <w:bottom w:val="single" w:sz="12" w:space="0" w:color="00CC00"/>
            </w:tcBorders>
            <w:noWrap/>
            <w:vAlign w:val="center"/>
            <w:hideMark/>
          </w:tcPr>
          <w:p w14:paraId="5C5ABC28" w14:textId="77777777" w:rsidR="001A4E51" w:rsidRPr="00FD4B2F" w:rsidRDefault="001A4E51" w:rsidP="00257D6D">
            <w:pPr>
              <w:spacing w:line="240" w:lineRule="auto"/>
              <w:jc w:val="center"/>
              <w:rPr>
                <w:rFonts w:cs="Arial"/>
                <w:szCs w:val="18"/>
                <w:lang w:val="es-CO" w:eastAsia="es-CO"/>
              </w:rPr>
            </w:pPr>
          </w:p>
        </w:tc>
        <w:tc>
          <w:tcPr>
            <w:tcW w:w="4278" w:type="dxa"/>
            <w:gridSpan w:val="6"/>
            <w:tcBorders>
              <w:top w:val="single" w:sz="18" w:space="0" w:color="00CC00"/>
              <w:bottom w:val="single" w:sz="12" w:space="0" w:color="00CC00"/>
            </w:tcBorders>
            <w:noWrap/>
            <w:vAlign w:val="center"/>
            <w:hideMark/>
          </w:tcPr>
          <w:p w14:paraId="1FF128B8" w14:textId="1B04DE08" w:rsidR="001A4E51" w:rsidRPr="00FD4B2F" w:rsidRDefault="00976A1A" w:rsidP="00257D6D">
            <w:pPr>
              <w:spacing w:line="240" w:lineRule="auto"/>
              <w:jc w:val="center"/>
              <w:rPr>
                <w:rFonts w:cs="Arial"/>
                <w:szCs w:val="18"/>
                <w:lang w:val="es-CO" w:eastAsia="es-CO"/>
              </w:rPr>
            </w:pPr>
            <w:r w:rsidRPr="00976A1A">
              <w:rPr>
                <w:rFonts w:cs="Arial"/>
                <w:szCs w:val="18"/>
                <w:lang w:val="es-CO" w:eastAsia="es-CO"/>
              </w:rPr>
              <w:t>Freundlich isotherm model</w:t>
            </w:r>
          </w:p>
        </w:tc>
      </w:tr>
      <w:tr w:rsidR="001A4E51" w:rsidRPr="00FD4B2F" w14:paraId="06A043F2" w14:textId="77777777" w:rsidTr="00195DD9">
        <w:trPr>
          <w:trHeight w:val="481"/>
        </w:trPr>
        <w:tc>
          <w:tcPr>
            <w:tcW w:w="894" w:type="dxa"/>
            <w:tcBorders>
              <w:top w:val="nil"/>
            </w:tcBorders>
            <w:noWrap/>
            <w:vAlign w:val="center"/>
            <w:hideMark/>
          </w:tcPr>
          <w:p w14:paraId="6BD93C1F" w14:textId="77777777" w:rsidR="001A4E51" w:rsidRPr="00FD4B2F" w:rsidRDefault="001A4E51" w:rsidP="00195DD9">
            <w:pPr>
              <w:spacing w:line="240" w:lineRule="auto"/>
              <w:jc w:val="center"/>
              <w:rPr>
                <w:rFonts w:cs="Arial"/>
                <w:szCs w:val="18"/>
                <w:lang w:eastAsia="es-CO"/>
              </w:rPr>
            </w:pPr>
            <w:r w:rsidRPr="00FD4B2F">
              <w:rPr>
                <w:rFonts w:cs="Arial"/>
                <w:szCs w:val="18"/>
                <w:lang w:eastAsia="es-CO"/>
              </w:rPr>
              <w:t>Intercept</w:t>
            </w:r>
          </w:p>
        </w:tc>
        <w:tc>
          <w:tcPr>
            <w:tcW w:w="685" w:type="dxa"/>
            <w:tcBorders>
              <w:top w:val="nil"/>
            </w:tcBorders>
            <w:noWrap/>
            <w:vAlign w:val="center"/>
            <w:hideMark/>
          </w:tcPr>
          <w:p w14:paraId="07E45539" w14:textId="77777777" w:rsidR="001A4E51" w:rsidRPr="00FD4B2F" w:rsidRDefault="001A4E51" w:rsidP="00195DD9">
            <w:pPr>
              <w:spacing w:line="240" w:lineRule="auto"/>
              <w:jc w:val="center"/>
              <w:rPr>
                <w:rFonts w:cs="Arial"/>
                <w:szCs w:val="18"/>
                <w:lang w:eastAsia="es-CO"/>
              </w:rPr>
            </w:pPr>
            <w:r w:rsidRPr="00FD4B2F">
              <w:rPr>
                <w:rFonts w:cs="Arial"/>
                <w:szCs w:val="18"/>
                <w:lang w:eastAsia="es-CO"/>
              </w:rPr>
              <w:t>Slope</w:t>
            </w:r>
          </w:p>
        </w:tc>
        <w:tc>
          <w:tcPr>
            <w:tcW w:w="827" w:type="dxa"/>
            <w:tcBorders>
              <w:top w:val="nil"/>
            </w:tcBorders>
            <w:noWrap/>
            <w:vAlign w:val="center"/>
            <w:hideMark/>
          </w:tcPr>
          <w:p w14:paraId="5DA61BBC" w14:textId="77777777" w:rsidR="001A4E51" w:rsidRPr="00FD4B2F" w:rsidRDefault="001A4E51" w:rsidP="00195DD9">
            <w:pPr>
              <w:spacing w:line="240" w:lineRule="auto"/>
              <w:jc w:val="center"/>
              <w:rPr>
                <w:rFonts w:cs="Arial"/>
                <w:szCs w:val="18"/>
                <w:lang w:eastAsia="es-CO"/>
              </w:rPr>
            </w:pPr>
            <w:r w:rsidRPr="00FD4B2F">
              <w:rPr>
                <w:rFonts w:cs="Arial"/>
                <w:szCs w:val="18"/>
                <w:lang w:eastAsia="es-CO"/>
              </w:rPr>
              <w:t>Q</w:t>
            </w:r>
            <w:r w:rsidRPr="00FD4B2F">
              <w:rPr>
                <w:rFonts w:cs="Arial"/>
                <w:szCs w:val="18"/>
                <w:vertAlign w:val="subscript"/>
                <w:lang w:eastAsia="es-CO"/>
              </w:rPr>
              <w:t>0</w:t>
            </w:r>
          </w:p>
          <w:p w14:paraId="4882E5B2" w14:textId="53C1D2EB" w:rsidR="001A4E51" w:rsidRPr="00FD4B2F" w:rsidRDefault="001A4E51" w:rsidP="00195DD9">
            <w:pPr>
              <w:spacing w:line="240" w:lineRule="auto"/>
              <w:jc w:val="center"/>
              <w:rPr>
                <w:rFonts w:cs="Arial"/>
                <w:szCs w:val="18"/>
                <w:lang w:eastAsia="es-CO"/>
              </w:rPr>
            </w:pPr>
            <w:r w:rsidRPr="00FD4B2F">
              <w:rPr>
                <w:rFonts w:cs="Arial"/>
                <w:szCs w:val="18"/>
                <w:lang w:eastAsia="es-CO"/>
              </w:rPr>
              <w:t>(mg</w:t>
            </w:r>
            <w:r w:rsidR="00195DD9">
              <w:rPr>
                <w:rFonts w:cs="Arial"/>
                <w:szCs w:val="18"/>
                <w:lang w:eastAsia="es-CO"/>
              </w:rPr>
              <w:t xml:space="preserve"> </w:t>
            </w:r>
            <w:r w:rsidRPr="00FD4B2F">
              <w:rPr>
                <w:rFonts w:cs="Arial"/>
                <w:szCs w:val="18"/>
                <w:lang w:eastAsia="es-CO"/>
              </w:rPr>
              <w:t>g</w:t>
            </w:r>
            <w:r w:rsidR="00195DD9" w:rsidRPr="00195DD9">
              <w:rPr>
                <w:rFonts w:cs="Arial"/>
                <w:szCs w:val="18"/>
                <w:vertAlign w:val="superscript"/>
                <w:lang w:eastAsia="es-CO"/>
              </w:rPr>
              <w:t>-1</w:t>
            </w:r>
            <w:r w:rsidRPr="00FD4B2F">
              <w:rPr>
                <w:rFonts w:cs="Arial"/>
                <w:szCs w:val="18"/>
                <w:lang w:eastAsia="es-CO"/>
              </w:rPr>
              <w:t>)</w:t>
            </w:r>
          </w:p>
        </w:tc>
        <w:tc>
          <w:tcPr>
            <w:tcW w:w="826" w:type="dxa"/>
            <w:tcBorders>
              <w:top w:val="nil"/>
            </w:tcBorders>
            <w:noWrap/>
            <w:vAlign w:val="center"/>
            <w:hideMark/>
          </w:tcPr>
          <w:p w14:paraId="60B2B4CE" w14:textId="088E8096" w:rsidR="001A4E51" w:rsidRPr="00FD4B2F" w:rsidRDefault="001A4E51" w:rsidP="00195DD9">
            <w:pPr>
              <w:spacing w:line="240" w:lineRule="auto"/>
              <w:jc w:val="center"/>
              <w:rPr>
                <w:rFonts w:cs="Arial"/>
                <w:szCs w:val="18"/>
                <w:lang w:eastAsia="es-CO"/>
              </w:rPr>
            </w:pPr>
            <w:r w:rsidRPr="00FD4B2F">
              <w:rPr>
                <w:rFonts w:cs="Arial"/>
                <w:szCs w:val="18"/>
                <w:lang w:eastAsia="es-CO"/>
              </w:rPr>
              <w:t>K</w:t>
            </w:r>
            <w:r w:rsidRPr="00FD4B2F">
              <w:rPr>
                <w:rFonts w:cs="Arial"/>
                <w:szCs w:val="18"/>
                <w:vertAlign w:val="subscript"/>
                <w:lang w:eastAsia="es-CO"/>
              </w:rPr>
              <w:t>L</w:t>
            </w:r>
          </w:p>
          <w:p w14:paraId="42CF2631" w14:textId="4B91CBFD" w:rsidR="001A4E51" w:rsidRPr="00FD4B2F" w:rsidRDefault="001A4E51" w:rsidP="00195DD9">
            <w:pPr>
              <w:spacing w:line="240" w:lineRule="auto"/>
              <w:jc w:val="center"/>
              <w:rPr>
                <w:rFonts w:cs="Arial"/>
                <w:szCs w:val="18"/>
                <w:lang w:eastAsia="es-CO"/>
              </w:rPr>
            </w:pPr>
            <w:r w:rsidRPr="00FD4B2F">
              <w:rPr>
                <w:rFonts w:cs="Arial"/>
                <w:szCs w:val="18"/>
                <w:lang w:eastAsia="es-CO"/>
              </w:rPr>
              <w:t>(L</w:t>
            </w:r>
            <w:r w:rsidR="00195DD9">
              <w:rPr>
                <w:rFonts w:cs="Arial"/>
                <w:szCs w:val="18"/>
                <w:lang w:eastAsia="es-CO"/>
              </w:rPr>
              <w:t xml:space="preserve"> </w:t>
            </w:r>
            <w:r w:rsidRPr="00FD4B2F">
              <w:rPr>
                <w:rFonts w:cs="Arial"/>
                <w:szCs w:val="18"/>
                <w:lang w:eastAsia="es-CO"/>
              </w:rPr>
              <w:t>mg</w:t>
            </w:r>
            <w:r w:rsidR="00195DD9" w:rsidRPr="00195DD9">
              <w:rPr>
                <w:rFonts w:cs="Arial"/>
                <w:szCs w:val="18"/>
                <w:vertAlign w:val="superscript"/>
                <w:lang w:eastAsia="es-CO"/>
              </w:rPr>
              <w:t>-1</w:t>
            </w:r>
            <w:r w:rsidRPr="00FD4B2F">
              <w:rPr>
                <w:rFonts w:cs="Arial"/>
                <w:szCs w:val="18"/>
                <w:lang w:eastAsia="es-CO"/>
              </w:rPr>
              <w:t>)</w:t>
            </w:r>
          </w:p>
        </w:tc>
        <w:tc>
          <w:tcPr>
            <w:tcW w:w="586" w:type="dxa"/>
            <w:tcBorders>
              <w:top w:val="nil"/>
            </w:tcBorders>
            <w:noWrap/>
            <w:vAlign w:val="center"/>
            <w:hideMark/>
          </w:tcPr>
          <w:p w14:paraId="1FF8FA19" w14:textId="77777777" w:rsidR="001A4E51" w:rsidRPr="00FD4B2F" w:rsidRDefault="001A4E51" w:rsidP="00195DD9">
            <w:pPr>
              <w:spacing w:line="240" w:lineRule="auto"/>
              <w:jc w:val="center"/>
              <w:rPr>
                <w:rFonts w:cs="Arial"/>
                <w:szCs w:val="18"/>
                <w:lang w:eastAsia="es-CO"/>
              </w:rPr>
            </w:pPr>
            <w:r w:rsidRPr="00FD4B2F">
              <w:rPr>
                <w:rFonts w:cs="Arial"/>
                <w:szCs w:val="18"/>
                <w:lang w:eastAsia="es-CO"/>
              </w:rPr>
              <w:t>R</w:t>
            </w:r>
            <w:r w:rsidRPr="00FD4B2F">
              <w:rPr>
                <w:rFonts w:cs="Arial"/>
                <w:szCs w:val="18"/>
                <w:vertAlign w:val="subscript"/>
                <w:lang w:eastAsia="es-CO"/>
              </w:rPr>
              <w:t>L</w:t>
            </w:r>
          </w:p>
        </w:tc>
        <w:tc>
          <w:tcPr>
            <w:tcW w:w="586" w:type="dxa"/>
            <w:tcBorders>
              <w:top w:val="nil"/>
            </w:tcBorders>
            <w:noWrap/>
            <w:vAlign w:val="center"/>
            <w:hideMark/>
          </w:tcPr>
          <w:p w14:paraId="2D9F51D2" w14:textId="77777777" w:rsidR="001A4E51" w:rsidRPr="00FD4B2F" w:rsidRDefault="001A4E51" w:rsidP="00195DD9">
            <w:pPr>
              <w:spacing w:line="240" w:lineRule="auto"/>
              <w:jc w:val="center"/>
              <w:rPr>
                <w:rFonts w:cs="Arial"/>
                <w:szCs w:val="18"/>
                <w:lang w:eastAsia="es-CO"/>
              </w:rPr>
            </w:pPr>
            <w:r w:rsidRPr="00FD4B2F">
              <w:rPr>
                <w:rFonts w:cs="Arial"/>
                <w:szCs w:val="18"/>
                <w:lang w:eastAsia="es-CO"/>
              </w:rPr>
              <w:t>R</w:t>
            </w:r>
            <w:r w:rsidRPr="00FD4B2F">
              <w:rPr>
                <w:rFonts w:cs="Arial"/>
                <w:szCs w:val="18"/>
                <w:vertAlign w:val="superscript"/>
                <w:lang w:eastAsia="es-CO"/>
              </w:rPr>
              <w:t>2</w:t>
            </w:r>
          </w:p>
        </w:tc>
        <w:tc>
          <w:tcPr>
            <w:tcW w:w="201" w:type="dxa"/>
            <w:tcBorders>
              <w:top w:val="nil"/>
            </w:tcBorders>
            <w:noWrap/>
            <w:vAlign w:val="center"/>
            <w:hideMark/>
          </w:tcPr>
          <w:p w14:paraId="5412BCBB" w14:textId="77777777" w:rsidR="001A4E51" w:rsidRPr="00FD4B2F" w:rsidRDefault="001A4E51" w:rsidP="00195DD9">
            <w:pPr>
              <w:spacing w:line="240" w:lineRule="auto"/>
              <w:jc w:val="center"/>
              <w:rPr>
                <w:rFonts w:cs="Arial"/>
                <w:i/>
                <w:iCs/>
                <w:szCs w:val="18"/>
                <w:lang w:eastAsia="es-CO"/>
              </w:rPr>
            </w:pPr>
          </w:p>
        </w:tc>
        <w:tc>
          <w:tcPr>
            <w:tcW w:w="1024" w:type="dxa"/>
            <w:tcBorders>
              <w:top w:val="nil"/>
            </w:tcBorders>
            <w:noWrap/>
            <w:vAlign w:val="center"/>
            <w:hideMark/>
          </w:tcPr>
          <w:p w14:paraId="6DDF2ACC" w14:textId="77777777" w:rsidR="001A4E51" w:rsidRPr="00FD4B2F" w:rsidRDefault="001A4E51" w:rsidP="00195DD9">
            <w:pPr>
              <w:spacing w:line="240" w:lineRule="auto"/>
              <w:jc w:val="center"/>
              <w:rPr>
                <w:rFonts w:cs="Arial"/>
                <w:szCs w:val="18"/>
                <w:lang w:eastAsia="es-CO"/>
              </w:rPr>
            </w:pPr>
            <w:r w:rsidRPr="00FD4B2F">
              <w:rPr>
                <w:rFonts w:cs="Arial"/>
                <w:szCs w:val="18"/>
                <w:lang w:eastAsia="es-CO"/>
              </w:rPr>
              <w:t>Intercept</w:t>
            </w:r>
          </w:p>
        </w:tc>
        <w:tc>
          <w:tcPr>
            <w:tcW w:w="663" w:type="dxa"/>
            <w:tcBorders>
              <w:top w:val="nil"/>
            </w:tcBorders>
            <w:noWrap/>
            <w:vAlign w:val="center"/>
            <w:hideMark/>
          </w:tcPr>
          <w:p w14:paraId="2579BE49" w14:textId="77777777" w:rsidR="001A4E51" w:rsidRPr="00FD4B2F" w:rsidRDefault="001A4E51" w:rsidP="00195DD9">
            <w:pPr>
              <w:spacing w:line="240" w:lineRule="auto"/>
              <w:jc w:val="center"/>
              <w:rPr>
                <w:rFonts w:cs="Arial"/>
                <w:szCs w:val="18"/>
                <w:lang w:eastAsia="es-CO"/>
              </w:rPr>
            </w:pPr>
            <w:r w:rsidRPr="00FD4B2F">
              <w:rPr>
                <w:rFonts w:cs="Arial"/>
                <w:szCs w:val="18"/>
                <w:lang w:eastAsia="es-CO"/>
              </w:rPr>
              <w:t>Slope</w:t>
            </w:r>
          </w:p>
        </w:tc>
        <w:tc>
          <w:tcPr>
            <w:tcW w:w="610" w:type="dxa"/>
            <w:tcBorders>
              <w:top w:val="nil"/>
            </w:tcBorders>
            <w:noWrap/>
            <w:vAlign w:val="center"/>
            <w:hideMark/>
          </w:tcPr>
          <w:p w14:paraId="4A85B8D5" w14:textId="77777777" w:rsidR="001A4E51" w:rsidRPr="00FD4B2F" w:rsidRDefault="001A4E51" w:rsidP="00195DD9">
            <w:pPr>
              <w:spacing w:line="240" w:lineRule="auto"/>
              <w:jc w:val="center"/>
              <w:rPr>
                <w:rFonts w:cs="Arial"/>
                <w:szCs w:val="18"/>
                <w:lang w:eastAsia="es-CO"/>
              </w:rPr>
            </w:pPr>
            <w:r w:rsidRPr="00FD4B2F">
              <w:rPr>
                <w:rFonts w:cs="Arial"/>
                <w:szCs w:val="18"/>
                <w:lang w:eastAsia="es-CO"/>
              </w:rPr>
              <w:t>1/n</w:t>
            </w:r>
          </w:p>
        </w:tc>
        <w:tc>
          <w:tcPr>
            <w:tcW w:w="744" w:type="dxa"/>
            <w:tcBorders>
              <w:top w:val="nil"/>
            </w:tcBorders>
            <w:noWrap/>
            <w:vAlign w:val="center"/>
            <w:hideMark/>
          </w:tcPr>
          <w:p w14:paraId="071093B5" w14:textId="77777777" w:rsidR="001A4E51" w:rsidRPr="00FD4B2F" w:rsidRDefault="001A4E51" w:rsidP="00195DD9">
            <w:pPr>
              <w:spacing w:line="240" w:lineRule="auto"/>
              <w:jc w:val="center"/>
              <w:rPr>
                <w:rFonts w:cs="Arial"/>
                <w:szCs w:val="18"/>
                <w:lang w:eastAsia="es-CO"/>
              </w:rPr>
            </w:pPr>
            <w:r w:rsidRPr="00FD4B2F">
              <w:rPr>
                <w:rFonts w:cs="Arial"/>
                <w:szCs w:val="18"/>
                <w:lang w:eastAsia="es-CO"/>
              </w:rPr>
              <w:t>K</w:t>
            </w:r>
            <w:r w:rsidRPr="00FD4B2F">
              <w:rPr>
                <w:rFonts w:cs="Arial"/>
                <w:szCs w:val="18"/>
                <w:vertAlign w:val="subscript"/>
                <w:lang w:eastAsia="es-CO"/>
              </w:rPr>
              <w:t>f</w:t>
            </w:r>
          </w:p>
        </w:tc>
        <w:tc>
          <w:tcPr>
            <w:tcW w:w="610" w:type="dxa"/>
            <w:tcBorders>
              <w:top w:val="nil"/>
            </w:tcBorders>
            <w:noWrap/>
            <w:vAlign w:val="center"/>
            <w:hideMark/>
          </w:tcPr>
          <w:p w14:paraId="21FF2F71" w14:textId="77777777" w:rsidR="001A4E51" w:rsidRPr="00FD4B2F" w:rsidRDefault="001A4E51" w:rsidP="00195DD9">
            <w:pPr>
              <w:spacing w:line="240" w:lineRule="auto"/>
              <w:jc w:val="center"/>
              <w:rPr>
                <w:rFonts w:cs="Arial"/>
                <w:szCs w:val="18"/>
                <w:lang w:eastAsia="es-CO"/>
              </w:rPr>
            </w:pPr>
            <w:r w:rsidRPr="00FD4B2F">
              <w:rPr>
                <w:rFonts w:cs="Arial"/>
                <w:szCs w:val="18"/>
                <w:lang w:eastAsia="es-CO"/>
              </w:rPr>
              <w:t>R</w:t>
            </w:r>
            <w:r w:rsidRPr="00FD4B2F">
              <w:rPr>
                <w:rFonts w:cs="Arial"/>
                <w:szCs w:val="18"/>
                <w:vertAlign w:val="superscript"/>
                <w:lang w:eastAsia="es-CO"/>
              </w:rPr>
              <w:t>2</w:t>
            </w:r>
          </w:p>
        </w:tc>
        <w:tc>
          <w:tcPr>
            <w:tcW w:w="617" w:type="dxa"/>
            <w:tcBorders>
              <w:top w:val="nil"/>
            </w:tcBorders>
            <w:noWrap/>
            <w:vAlign w:val="center"/>
            <w:hideMark/>
          </w:tcPr>
          <w:p w14:paraId="55CBCDBA" w14:textId="77777777" w:rsidR="001A4E51" w:rsidRPr="00FD4B2F" w:rsidRDefault="001A4E51" w:rsidP="00195DD9">
            <w:pPr>
              <w:spacing w:line="240" w:lineRule="auto"/>
              <w:jc w:val="center"/>
              <w:rPr>
                <w:rFonts w:cs="Arial"/>
                <w:szCs w:val="18"/>
                <w:lang w:eastAsia="es-CO"/>
              </w:rPr>
            </w:pPr>
            <w:r w:rsidRPr="00FD4B2F">
              <w:rPr>
                <w:rFonts w:cs="Arial"/>
                <w:szCs w:val="18"/>
                <w:lang w:eastAsia="es-CO"/>
              </w:rPr>
              <w:t>n</w:t>
            </w:r>
          </w:p>
        </w:tc>
      </w:tr>
      <w:tr w:rsidR="001A4E51" w:rsidRPr="00FD4B2F" w14:paraId="2A397DE9" w14:textId="77777777" w:rsidTr="00195DD9">
        <w:trPr>
          <w:trHeight w:val="154"/>
        </w:trPr>
        <w:tc>
          <w:tcPr>
            <w:tcW w:w="894" w:type="dxa"/>
            <w:tcBorders>
              <w:top w:val="nil"/>
              <w:bottom w:val="single" w:sz="18" w:space="0" w:color="00CC00"/>
            </w:tcBorders>
            <w:noWrap/>
            <w:vAlign w:val="center"/>
            <w:hideMark/>
          </w:tcPr>
          <w:p w14:paraId="4D5B598E" w14:textId="5C0C7DBF" w:rsidR="001A4E51" w:rsidRPr="00251DE0" w:rsidRDefault="00707C79" w:rsidP="00195DD9">
            <w:pPr>
              <w:spacing w:line="240" w:lineRule="auto"/>
              <w:jc w:val="center"/>
              <w:rPr>
                <w:rFonts w:cs="Arial"/>
                <w:szCs w:val="18"/>
                <w:highlight w:val="yellow"/>
                <w:lang w:eastAsia="es-CO"/>
              </w:rPr>
            </w:pPr>
            <w:r w:rsidRPr="00707C79">
              <w:rPr>
                <w:rFonts w:cs="Arial"/>
                <w:szCs w:val="18"/>
                <w:lang w:eastAsia="es-CO"/>
              </w:rPr>
              <w:t>0.00140</w:t>
            </w:r>
          </w:p>
        </w:tc>
        <w:tc>
          <w:tcPr>
            <w:tcW w:w="685" w:type="dxa"/>
            <w:tcBorders>
              <w:top w:val="nil"/>
              <w:bottom w:val="single" w:sz="18" w:space="0" w:color="00CC00"/>
            </w:tcBorders>
            <w:noWrap/>
            <w:vAlign w:val="center"/>
            <w:hideMark/>
          </w:tcPr>
          <w:p w14:paraId="448770BB" w14:textId="36EA468F" w:rsidR="001A4E51" w:rsidRPr="00251DE0" w:rsidRDefault="00707C79" w:rsidP="00195DD9">
            <w:pPr>
              <w:spacing w:line="240" w:lineRule="auto"/>
              <w:jc w:val="center"/>
              <w:rPr>
                <w:rFonts w:cs="Arial"/>
                <w:szCs w:val="18"/>
                <w:highlight w:val="yellow"/>
                <w:lang w:eastAsia="es-CO"/>
              </w:rPr>
            </w:pPr>
            <w:r w:rsidRPr="00707C79">
              <w:rPr>
                <w:rFonts w:cs="Arial"/>
                <w:szCs w:val="18"/>
                <w:lang w:eastAsia="es-CO"/>
              </w:rPr>
              <w:t>35.483</w:t>
            </w:r>
          </w:p>
        </w:tc>
        <w:tc>
          <w:tcPr>
            <w:tcW w:w="827" w:type="dxa"/>
            <w:tcBorders>
              <w:top w:val="nil"/>
              <w:bottom w:val="single" w:sz="18" w:space="0" w:color="00CC00"/>
            </w:tcBorders>
            <w:noWrap/>
            <w:vAlign w:val="center"/>
            <w:hideMark/>
          </w:tcPr>
          <w:p w14:paraId="1AFC8F1A" w14:textId="043240D6" w:rsidR="001A4E51" w:rsidRPr="00251DE0" w:rsidRDefault="00707C79" w:rsidP="00195DD9">
            <w:pPr>
              <w:spacing w:line="240" w:lineRule="auto"/>
              <w:jc w:val="center"/>
              <w:rPr>
                <w:rFonts w:cs="Arial"/>
                <w:szCs w:val="18"/>
                <w:highlight w:val="yellow"/>
                <w:lang w:eastAsia="es-CO"/>
              </w:rPr>
            </w:pPr>
            <w:r w:rsidRPr="00707C79">
              <w:rPr>
                <w:rFonts w:cs="Arial"/>
                <w:szCs w:val="18"/>
                <w:lang w:eastAsia="es-CO"/>
              </w:rPr>
              <w:t>712.303</w:t>
            </w:r>
          </w:p>
        </w:tc>
        <w:tc>
          <w:tcPr>
            <w:tcW w:w="826" w:type="dxa"/>
            <w:tcBorders>
              <w:top w:val="nil"/>
              <w:bottom w:val="single" w:sz="18" w:space="0" w:color="00CC00"/>
            </w:tcBorders>
            <w:noWrap/>
            <w:vAlign w:val="center"/>
            <w:hideMark/>
          </w:tcPr>
          <w:p w14:paraId="660A91C3" w14:textId="4344C3D6" w:rsidR="001A4E51" w:rsidRPr="00251DE0" w:rsidRDefault="00707C79" w:rsidP="00195DD9">
            <w:pPr>
              <w:spacing w:line="240" w:lineRule="auto"/>
              <w:jc w:val="center"/>
              <w:rPr>
                <w:rFonts w:cs="Arial"/>
                <w:szCs w:val="18"/>
                <w:highlight w:val="yellow"/>
                <w:lang w:eastAsia="es-CO"/>
              </w:rPr>
            </w:pPr>
            <w:r w:rsidRPr="00707C79">
              <w:rPr>
                <w:rFonts w:cs="Arial"/>
                <w:szCs w:val="18"/>
                <w:lang w:eastAsia="es-CO"/>
              </w:rPr>
              <w:t>0.0000396</w:t>
            </w:r>
          </w:p>
        </w:tc>
        <w:tc>
          <w:tcPr>
            <w:tcW w:w="586" w:type="dxa"/>
            <w:tcBorders>
              <w:top w:val="nil"/>
              <w:bottom w:val="single" w:sz="18" w:space="0" w:color="00CC00"/>
            </w:tcBorders>
            <w:noWrap/>
            <w:vAlign w:val="center"/>
            <w:hideMark/>
          </w:tcPr>
          <w:p w14:paraId="3E86E452" w14:textId="43108443" w:rsidR="001A4E51" w:rsidRPr="00251DE0" w:rsidRDefault="00707C79" w:rsidP="00195DD9">
            <w:pPr>
              <w:spacing w:line="240" w:lineRule="auto"/>
              <w:jc w:val="center"/>
              <w:rPr>
                <w:rFonts w:cs="Arial"/>
                <w:szCs w:val="18"/>
                <w:highlight w:val="yellow"/>
                <w:lang w:eastAsia="es-CO"/>
              </w:rPr>
            </w:pPr>
            <w:r w:rsidRPr="00707C79">
              <w:rPr>
                <w:rFonts w:cs="Arial"/>
                <w:szCs w:val="18"/>
                <w:lang w:eastAsia="es-CO"/>
              </w:rPr>
              <w:t>0.9847</w:t>
            </w:r>
          </w:p>
        </w:tc>
        <w:tc>
          <w:tcPr>
            <w:tcW w:w="586" w:type="dxa"/>
            <w:tcBorders>
              <w:top w:val="nil"/>
              <w:bottom w:val="single" w:sz="18" w:space="0" w:color="00CC00"/>
            </w:tcBorders>
            <w:noWrap/>
            <w:vAlign w:val="center"/>
            <w:hideMark/>
          </w:tcPr>
          <w:p w14:paraId="57F1E8A4" w14:textId="1430277D" w:rsidR="001A4E51" w:rsidRPr="00251DE0" w:rsidRDefault="001A4E51" w:rsidP="00195DD9">
            <w:pPr>
              <w:spacing w:line="240" w:lineRule="auto"/>
              <w:jc w:val="center"/>
              <w:rPr>
                <w:rFonts w:cs="Arial"/>
                <w:szCs w:val="18"/>
                <w:highlight w:val="yellow"/>
                <w:lang w:eastAsia="es-CO"/>
              </w:rPr>
            </w:pPr>
            <w:r w:rsidRPr="00707C79">
              <w:rPr>
                <w:rFonts w:cs="Arial"/>
                <w:szCs w:val="18"/>
                <w:lang w:eastAsia="es-CO"/>
              </w:rPr>
              <w:t>0.9</w:t>
            </w:r>
            <w:r w:rsidR="00707C79">
              <w:rPr>
                <w:rFonts w:cs="Arial"/>
                <w:szCs w:val="18"/>
                <w:lang w:eastAsia="es-CO"/>
              </w:rPr>
              <w:t>65</w:t>
            </w:r>
          </w:p>
        </w:tc>
        <w:tc>
          <w:tcPr>
            <w:tcW w:w="201" w:type="dxa"/>
            <w:tcBorders>
              <w:top w:val="nil"/>
              <w:bottom w:val="single" w:sz="18" w:space="0" w:color="00CC00"/>
            </w:tcBorders>
            <w:noWrap/>
            <w:vAlign w:val="center"/>
            <w:hideMark/>
          </w:tcPr>
          <w:p w14:paraId="7676C706" w14:textId="77777777" w:rsidR="001A4E51" w:rsidRPr="00251DE0" w:rsidRDefault="001A4E51" w:rsidP="00195DD9">
            <w:pPr>
              <w:spacing w:line="240" w:lineRule="auto"/>
              <w:jc w:val="center"/>
              <w:rPr>
                <w:rFonts w:cs="Arial"/>
                <w:szCs w:val="18"/>
                <w:highlight w:val="yellow"/>
                <w:lang w:eastAsia="es-CO"/>
              </w:rPr>
            </w:pPr>
          </w:p>
        </w:tc>
        <w:tc>
          <w:tcPr>
            <w:tcW w:w="1024" w:type="dxa"/>
            <w:tcBorders>
              <w:top w:val="nil"/>
              <w:bottom w:val="single" w:sz="18" w:space="0" w:color="00CC00"/>
            </w:tcBorders>
            <w:noWrap/>
            <w:vAlign w:val="center"/>
            <w:hideMark/>
          </w:tcPr>
          <w:p w14:paraId="45BE1D27" w14:textId="199C2E5D" w:rsidR="001A4E51" w:rsidRPr="00251DE0" w:rsidRDefault="00707C79" w:rsidP="00195DD9">
            <w:pPr>
              <w:spacing w:line="240" w:lineRule="auto"/>
              <w:jc w:val="center"/>
              <w:rPr>
                <w:rFonts w:cs="Arial"/>
                <w:szCs w:val="18"/>
                <w:highlight w:val="yellow"/>
                <w:lang w:eastAsia="es-CO"/>
              </w:rPr>
            </w:pPr>
            <w:r w:rsidRPr="00707C79">
              <w:rPr>
                <w:rFonts w:cs="Arial"/>
                <w:szCs w:val="18"/>
                <w:lang w:eastAsia="es-CO"/>
              </w:rPr>
              <w:t>-2.4087</w:t>
            </w:r>
          </w:p>
        </w:tc>
        <w:tc>
          <w:tcPr>
            <w:tcW w:w="663" w:type="dxa"/>
            <w:tcBorders>
              <w:top w:val="nil"/>
              <w:bottom w:val="single" w:sz="18" w:space="0" w:color="00CC00"/>
            </w:tcBorders>
            <w:noWrap/>
            <w:vAlign w:val="center"/>
            <w:hideMark/>
          </w:tcPr>
          <w:p w14:paraId="29713145" w14:textId="19D1E6B5" w:rsidR="001A4E51" w:rsidRPr="00251DE0" w:rsidRDefault="00707C79" w:rsidP="00195DD9">
            <w:pPr>
              <w:spacing w:line="240" w:lineRule="auto"/>
              <w:jc w:val="center"/>
              <w:rPr>
                <w:rFonts w:cs="Arial"/>
                <w:szCs w:val="18"/>
                <w:highlight w:val="yellow"/>
                <w:lang w:eastAsia="es-CO"/>
              </w:rPr>
            </w:pPr>
            <w:r w:rsidRPr="00707C79">
              <w:rPr>
                <w:rFonts w:cs="Arial"/>
                <w:szCs w:val="18"/>
                <w:lang w:eastAsia="es-CO"/>
              </w:rPr>
              <w:t>1.303</w:t>
            </w:r>
          </w:p>
        </w:tc>
        <w:tc>
          <w:tcPr>
            <w:tcW w:w="610" w:type="dxa"/>
            <w:tcBorders>
              <w:top w:val="nil"/>
              <w:bottom w:val="single" w:sz="18" w:space="0" w:color="00CC00"/>
            </w:tcBorders>
            <w:noWrap/>
            <w:vAlign w:val="center"/>
            <w:hideMark/>
          </w:tcPr>
          <w:p w14:paraId="767BDE35" w14:textId="7A409C47" w:rsidR="001A4E51" w:rsidRPr="00251DE0" w:rsidRDefault="00707C79" w:rsidP="00195DD9">
            <w:pPr>
              <w:spacing w:line="240" w:lineRule="auto"/>
              <w:jc w:val="center"/>
              <w:rPr>
                <w:rFonts w:cs="Arial"/>
                <w:szCs w:val="18"/>
                <w:highlight w:val="yellow"/>
                <w:lang w:eastAsia="es-CO"/>
              </w:rPr>
            </w:pPr>
            <w:r w:rsidRPr="00707C79">
              <w:rPr>
                <w:rFonts w:cs="Arial"/>
                <w:szCs w:val="18"/>
                <w:lang w:eastAsia="es-CO"/>
              </w:rPr>
              <w:t>1.303</w:t>
            </w:r>
          </w:p>
        </w:tc>
        <w:tc>
          <w:tcPr>
            <w:tcW w:w="744" w:type="dxa"/>
            <w:tcBorders>
              <w:top w:val="nil"/>
              <w:bottom w:val="single" w:sz="18" w:space="0" w:color="00CC00"/>
            </w:tcBorders>
            <w:noWrap/>
            <w:vAlign w:val="center"/>
            <w:hideMark/>
          </w:tcPr>
          <w:p w14:paraId="090895A9" w14:textId="29B67DC0" w:rsidR="001A4E51" w:rsidRPr="00251DE0" w:rsidRDefault="00707C79" w:rsidP="00195DD9">
            <w:pPr>
              <w:spacing w:line="240" w:lineRule="auto"/>
              <w:jc w:val="center"/>
              <w:rPr>
                <w:rFonts w:cs="Arial"/>
                <w:szCs w:val="18"/>
                <w:highlight w:val="yellow"/>
                <w:lang w:eastAsia="es-CO"/>
              </w:rPr>
            </w:pPr>
            <w:r w:rsidRPr="00707C79">
              <w:rPr>
                <w:rFonts w:cs="Arial"/>
                <w:szCs w:val="18"/>
                <w:lang w:eastAsia="es-CO"/>
              </w:rPr>
              <w:t>0.00390</w:t>
            </w:r>
          </w:p>
        </w:tc>
        <w:tc>
          <w:tcPr>
            <w:tcW w:w="610" w:type="dxa"/>
            <w:tcBorders>
              <w:top w:val="nil"/>
              <w:bottom w:val="single" w:sz="18" w:space="0" w:color="00CC00"/>
            </w:tcBorders>
            <w:noWrap/>
            <w:vAlign w:val="center"/>
            <w:hideMark/>
          </w:tcPr>
          <w:p w14:paraId="2962385B" w14:textId="7B80F5AF" w:rsidR="001A4E51" w:rsidRPr="00251DE0" w:rsidRDefault="00707C79" w:rsidP="00195DD9">
            <w:pPr>
              <w:spacing w:line="240" w:lineRule="auto"/>
              <w:jc w:val="center"/>
              <w:rPr>
                <w:rFonts w:cs="Arial"/>
                <w:szCs w:val="18"/>
                <w:highlight w:val="yellow"/>
                <w:lang w:eastAsia="es-CO"/>
              </w:rPr>
            </w:pPr>
            <w:r w:rsidRPr="00707C79">
              <w:rPr>
                <w:rFonts w:cs="Arial"/>
                <w:szCs w:val="18"/>
                <w:lang w:eastAsia="es-CO"/>
              </w:rPr>
              <w:t>0.9127</w:t>
            </w:r>
          </w:p>
        </w:tc>
        <w:tc>
          <w:tcPr>
            <w:tcW w:w="617" w:type="dxa"/>
            <w:tcBorders>
              <w:top w:val="nil"/>
              <w:bottom w:val="single" w:sz="18" w:space="0" w:color="00CC00"/>
            </w:tcBorders>
            <w:noWrap/>
            <w:vAlign w:val="center"/>
            <w:hideMark/>
          </w:tcPr>
          <w:p w14:paraId="3818CB3C" w14:textId="161BA4EB" w:rsidR="001A4E51" w:rsidRPr="00251DE0" w:rsidRDefault="00707C79" w:rsidP="00195DD9">
            <w:pPr>
              <w:spacing w:line="240" w:lineRule="auto"/>
              <w:jc w:val="center"/>
              <w:rPr>
                <w:rFonts w:cs="Arial"/>
                <w:szCs w:val="18"/>
                <w:highlight w:val="yellow"/>
                <w:lang w:eastAsia="es-CO"/>
              </w:rPr>
            </w:pPr>
            <w:r w:rsidRPr="00707C79">
              <w:rPr>
                <w:rFonts w:cs="Arial"/>
                <w:szCs w:val="18"/>
                <w:lang w:eastAsia="es-CO"/>
              </w:rPr>
              <w:t>0.7672</w:t>
            </w:r>
          </w:p>
        </w:tc>
      </w:tr>
    </w:tbl>
    <w:tbl>
      <w:tblPr>
        <w:tblStyle w:val="Grigliatabella"/>
        <w:tblW w:w="6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3904"/>
      </w:tblGrid>
      <w:tr w:rsidR="00626129" w:rsidRPr="00903473" w14:paraId="681AAD84" w14:textId="77777777" w:rsidTr="00257D6D">
        <w:trPr>
          <w:trHeight w:val="409"/>
        </w:trPr>
        <w:tc>
          <w:tcPr>
            <w:tcW w:w="3408" w:type="dxa"/>
            <w:vAlign w:val="center"/>
          </w:tcPr>
          <w:p w14:paraId="500E0B1C" w14:textId="77777777" w:rsidR="006E4A15" w:rsidRPr="00903473" w:rsidRDefault="006E4A15" w:rsidP="00257D6D">
            <w:pPr>
              <w:rPr>
                <w:rFonts w:cs="Arial"/>
                <w:szCs w:val="18"/>
                <w:lang w:val="en-US"/>
              </w:rPr>
            </w:pPr>
            <w:r w:rsidRPr="00903473">
              <w:rPr>
                <w:rFonts w:cs="Arial"/>
                <w:szCs w:val="18"/>
                <w:lang w:val="en-US"/>
              </w:rPr>
              <w:t>(a)</w:t>
            </w:r>
          </w:p>
        </w:tc>
        <w:tc>
          <w:tcPr>
            <w:tcW w:w="3546" w:type="dxa"/>
            <w:vAlign w:val="center"/>
          </w:tcPr>
          <w:p w14:paraId="45CD17E6" w14:textId="77777777" w:rsidR="006E4A15" w:rsidRPr="00903473" w:rsidRDefault="006E4A15" w:rsidP="00257D6D">
            <w:pPr>
              <w:rPr>
                <w:rFonts w:cs="Arial"/>
                <w:szCs w:val="18"/>
                <w:lang w:val="en-US"/>
              </w:rPr>
            </w:pPr>
            <w:r w:rsidRPr="00903473">
              <w:rPr>
                <w:rFonts w:cs="Arial"/>
                <w:szCs w:val="18"/>
                <w:lang w:val="en-US"/>
              </w:rPr>
              <w:t>(b)</w:t>
            </w:r>
          </w:p>
        </w:tc>
      </w:tr>
      <w:tr w:rsidR="00626129" w:rsidRPr="00903473" w14:paraId="3A19349D" w14:textId="77777777" w:rsidTr="00257D6D">
        <w:trPr>
          <w:trHeight w:val="426"/>
        </w:trPr>
        <w:tc>
          <w:tcPr>
            <w:tcW w:w="3408" w:type="dxa"/>
            <w:vAlign w:val="center"/>
          </w:tcPr>
          <w:p w14:paraId="627F8E6C" w14:textId="0A6C00F0" w:rsidR="006E4A15" w:rsidRPr="00903473" w:rsidRDefault="00255EAF" w:rsidP="00257D6D">
            <w:pPr>
              <w:jc w:val="center"/>
              <w:rPr>
                <w:rFonts w:cs="Arial"/>
                <w:szCs w:val="18"/>
                <w:lang w:val="en-US"/>
              </w:rPr>
            </w:pPr>
            <w:r>
              <w:rPr>
                <w:rFonts w:cs="Arial"/>
                <w:noProof/>
                <w:szCs w:val="18"/>
                <w:lang w:val="en-US"/>
              </w:rPr>
              <w:drawing>
                <wp:inline distT="0" distB="0" distL="0" distR="0" wp14:anchorId="517EE158" wp14:editId="755D3721">
                  <wp:extent cx="2500549" cy="1440000"/>
                  <wp:effectExtent l="0" t="0" r="0" b="0"/>
                  <wp:docPr id="199614719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0549" cy="1440000"/>
                          </a:xfrm>
                          <a:prstGeom prst="rect">
                            <a:avLst/>
                          </a:prstGeom>
                          <a:noFill/>
                        </pic:spPr>
                      </pic:pic>
                    </a:graphicData>
                  </a:graphic>
                </wp:inline>
              </w:drawing>
            </w:r>
          </w:p>
        </w:tc>
        <w:tc>
          <w:tcPr>
            <w:tcW w:w="3546" w:type="dxa"/>
            <w:vAlign w:val="center"/>
          </w:tcPr>
          <w:p w14:paraId="5287AD89" w14:textId="3821783D" w:rsidR="006E4A15" w:rsidRPr="00903473" w:rsidRDefault="001E026C" w:rsidP="00257D6D">
            <w:pPr>
              <w:jc w:val="center"/>
              <w:rPr>
                <w:rFonts w:cs="Arial"/>
                <w:szCs w:val="18"/>
                <w:lang w:val="en-US"/>
              </w:rPr>
            </w:pPr>
            <w:r>
              <w:rPr>
                <w:rFonts w:cs="Arial"/>
                <w:noProof/>
                <w:szCs w:val="18"/>
                <w:lang w:val="en-US"/>
              </w:rPr>
              <w:drawing>
                <wp:inline distT="0" distB="0" distL="0" distR="0" wp14:anchorId="72F57FAA" wp14:editId="6BE24D33">
                  <wp:extent cx="2342308" cy="1440000"/>
                  <wp:effectExtent l="0" t="0" r="0" b="0"/>
                  <wp:docPr id="155015835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2308" cy="1440000"/>
                          </a:xfrm>
                          <a:prstGeom prst="rect">
                            <a:avLst/>
                          </a:prstGeom>
                          <a:noFill/>
                        </pic:spPr>
                      </pic:pic>
                    </a:graphicData>
                  </a:graphic>
                </wp:inline>
              </w:drawing>
            </w:r>
          </w:p>
        </w:tc>
      </w:tr>
    </w:tbl>
    <w:p w14:paraId="2537926D" w14:textId="551DD552" w:rsidR="000A6867" w:rsidRDefault="006E4A15" w:rsidP="005E2F11">
      <w:pPr>
        <w:pStyle w:val="CETBodytext"/>
        <w:rPr>
          <w:rFonts w:cs="Arial"/>
          <w:i/>
          <w:iCs/>
        </w:rPr>
      </w:pPr>
      <w:r w:rsidRPr="006E4A15">
        <w:rPr>
          <w:rFonts w:cs="Arial"/>
          <w:i/>
          <w:iCs/>
        </w:rPr>
        <w:t xml:space="preserve">Figure </w:t>
      </w:r>
      <w:r w:rsidR="00FF70F3">
        <w:rPr>
          <w:rFonts w:cs="Arial"/>
          <w:i/>
          <w:iCs/>
        </w:rPr>
        <w:t>5</w:t>
      </w:r>
      <w:r w:rsidRPr="006E4A15">
        <w:rPr>
          <w:rFonts w:cs="Arial"/>
          <w:i/>
          <w:iCs/>
        </w:rPr>
        <w:t xml:space="preserve">: Adsorption </w:t>
      </w:r>
      <w:r w:rsidR="0010547E">
        <w:rPr>
          <w:rFonts w:cs="Arial"/>
          <w:i/>
          <w:iCs/>
        </w:rPr>
        <w:t>i</w:t>
      </w:r>
      <w:r w:rsidRPr="006E4A15">
        <w:rPr>
          <w:rFonts w:cs="Arial"/>
          <w:i/>
          <w:iCs/>
        </w:rPr>
        <w:t xml:space="preserve">sotherm </w:t>
      </w:r>
      <w:r w:rsidR="0010547E">
        <w:rPr>
          <w:rFonts w:cs="Arial"/>
          <w:i/>
          <w:iCs/>
        </w:rPr>
        <w:t>m</w:t>
      </w:r>
      <w:r w:rsidRPr="006E4A15">
        <w:rPr>
          <w:rFonts w:cs="Arial"/>
          <w:i/>
          <w:iCs/>
        </w:rPr>
        <w:t>odels of (</w:t>
      </w:r>
      <w:r w:rsidR="00C97192">
        <w:rPr>
          <w:rFonts w:cs="Arial"/>
          <w:i/>
          <w:iCs/>
        </w:rPr>
        <w:t>a</w:t>
      </w:r>
      <w:r w:rsidRPr="006E4A15">
        <w:rPr>
          <w:rFonts w:cs="Arial"/>
          <w:i/>
          <w:iCs/>
        </w:rPr>
        <w:t>)</w:t>
      </w:r>
      <w:r w:rsidR="00556230">
        <w:rPr>
          <w:rFonts w:cs="Arial"/>
          <w:i/>
          <w:iCs/>
        </w:rPr>
        <w:t xml:space="preserve"> </w:t>
      </w:r>
      <w:r w:rsidR="00556230" w:rsidRPr="006E4A15">
        <w:rPr>
          <w:rFonts w:cs="Arial"/>
          <w:i/>
          <w:iCs/>
        </w:rPr>
        <w:t>Langmuir</w:t>
      </w:r>
      <w:r w:rsidRPr="006E4A15">
        <w:rPr>
          <w:rFonts w:cs="Arial"/>
          <w:i/>
          <w:iCs/>
        </w:rPr>
        <w:t xml:space="preserve"> and (</w:t>
      </w:r>
      <w:r w:rsidR="00C97192">
        <w:rPr>
          <w:rFonts w:cs="Arial"/>
          <w:i/>
          <w:iCs/>
        </w:rPr>
        <w:t>b</w:t>
      </w:r>
      <w:r w:rsidRPr="006E4A15">
        <w:rPr>
          <w:rFonts w:cs="Arial"/>
          <w:i/>
          <w:iCs/>
        </w:rPr>
        <w:t xml:space="preserve">) </w:t>
      </w:r>
      <w:r w:rsidR="00556230" w:rsidRPr="006E4A15">
        <w:rPr>
          <w:rFonts w:cs="Arial"/>
          <w:i/>
          <w:iCs/>
        </w:rPr>
        <w:t xml:space="preserve">Freundlich </w:t>
      </w:r>
      <w:r w:rsidRPr="006E4A15">
        <w:rPr>
          <w:rFonts w:cs="Arial"/>
          <w:i/>
          <w:iCs/>
        </w:rPr>
        <w:t>from HC-205-22.</w:t>
      </w:r>
    </w:p>
    <w:p w14:paraId="07923A6F" w14:textId="77777777" w:rsidR="00084F42" w:rsidRDefault="00084F42" w:rsidP="005E2F11">
      <w:pPr>
        <w:pStyle w:val="CETBodytext"/>
        <w:rPr>
          <w:rFonts w:cs="Arial"/>
          <w:i/>
          <w:iCs/>
        </w:rPr>
      </w:pPr>
    </w:p>
    <w:p w14:paraId="7CE4CBB3" w14:textId="0AEA6B80" w:rsidR="00084F42" w:rsidRPr="0016082C" w:rsidRDefault="00885581" w:rsidP="00D00F1E">
      <w:pPr>
        <w:rPr>
          <w:rFonts w:cs="Arial"/>
          <w:szCs w:val="18"/>
          <w:lang w:val="en-US"/>
        </w:rPr>
      </w:pPr>
      <w:r w:rsidRPr="00885581">
        <w:rPr>
          <w:rFonts w:cs="Arial"/>
          <w:szCs w:val="18"/>
          <w:lang w:val="en-US"/>
        </w:rPr>
        <w:t xml:space="preserve">The experimental results for sodium adsorption </w:t>
      </w:r>
      <w:r w:rsidR="00D738A3" w:rsidRPr="00885581">
        <w:rPr>
          <w:rFonts w:cs="Arial"/>
          <w:szCs w:val="18"/>
          <w:lang w:val="en-US"/>
        </w:rPr>
        <w:t>fitted</w:t>
      </w:r>
      <w:r w:rsidRPr="00885581">
        <w:rPr>
          <w:rFonts w:cs="Arial"/>
          <w:szCs w:val="18"/>
          <w:lang w:val="en-US"/>
        </w:rPr>
        <w:t xml:space="preserve"> the Langmuir and Freundlich isotherm models. The Langmuir adsorption model showing a better R² value and an RL value between 0 and 1, indicating favorable adsorption with a maximum adsorption capacity (Q0) of</w:t>
      </w:r>
      <w:r w:rsidR="00F26779">
        <w:rPr>
          <w:rFonts w:cs="Arial"/>
          <w:szCs w:val="18"/>
          <w:lang w:val="en-US"/>
        </w:rPr>
        <w:t xml:space="preserve"> </w:t>
      </w:r>
      <w:r w:rsidR="004606C8" w:rsidRPr="00494FDB">
        <w:rPr>
          <w:rFonts w:cs="Arial"/>
          <w:szCs w:val="18"/>
          <w:lang w:val="en-US"/>
        </w:rPr>
        <w:t>712.303</w:t>
      </w:r>
      <w:r w:rsidR="00293C43" w:rsidRPr="00494FDB">
        <w:rPr>
          <w:rFonts w:cs="Arial"/>
          <w:szCs w:val="18"/>
          <w:lang w:val="en-US"/>
        </w:rPr>
        <w:t xml:space="preserve"> mg g</w:t>
      </w:r>
      <w:r w:rsidR="00293C43" w:rsidRPr="00494FDB">
        <w:rPr>
          <w:rFonts w:cs="Arial"/>
          <w:szCs w:val="18"/>
          <w:vertAlign w:val="superscript"/>
          <w:lang w:val="en-US"/>
        </w:rPr>
        <w:t>-1</w:t>
      </w:r>
      <w:r w:rsidR="00293C43" w:rsidRPr="00494FDB">
        <w:rPr>
          <w:rFonts w:cs="Arial"/>
          <w:szCs w:val="18"/>
          <w:lang w:val="en-US"/>
        </w:rPr>
        <w:t xml:space="preserve"> </w:t>
      </w:r>
      <w:r w:rsidR="00947FB8" w:rsidRPr="00947FB8">
        <w:rPr>
          <w:rFonts w:cs="Arial"/>
          <w:szCs w:val="18"/>
          <w:lang w:val="en-US"/>
        </w:rPr>
        <w:t>indicates a strong ability to retain</w:t>
      </w:r>
      <w:r w:rsidR="00293C43" w:rsidRPr="00494FDB">
        <w:rPr>
          <w:rFonts w:cs="Arial"/>
          <w:szCs w:val="18"/>
          <w:lang w:val="en-US"/>
        </w:rPr>
        <w:t xml:space="preserve"> Na</w:t>
      </w:r>
      <w:r w:rsidR="00293C43" w:rsidRPr="00494FDB">
        <w:rPr>
          <w:rFonts w:ascii="Cambria Math" w:hAnsi="Cambria Math" w:cs="Cambria Math"/>
          <w:szCs w:val="18"/>
          <w:lang w:val="en-US"/>
        </w:rPr>
        <w:t>⁺</w:t>
      </w:r>
      <w:r w:rsidR="00F814B2" w:rsidRPr="00494FDB">
        <w:rPr>
          <w:rFonts w:ascii="Cambria Math" w:hAnsi="Cambria Math" w:cs="Cambria Math"/>
          <w:szCs w:val="18"/>
          <w:lang w:val="en-US"/>
        </w:rPr>
        <w:t xml:space="preserve"> </w:t>
      </w:r>
      <w:r w:rsidR="00947FB8" w:rsidRPr="00947FB8">
        <w:rPr>
          <w:rFonts w:cs="Arial"/>
          <w:szCs w:val="18"/>
          <w:lang w:val="en-US"/>
        </w:rPr>
        <w:t>and to lower concentrations lead to improved absorption, which is essential for reducing soil sodicity and improving soil structure, these results are a first approximation of this application, and these values are also found within other investigations carried out by</w:t>
      </w:r>
      <w:r w:rsidR="00D00F1E" w:rsidRPr="00494FDB">
        <w:rPr>
          <w:rFonts w:cs="Arial"/>
          <w:szCs w:val="18"/>
          <w:lang w:val="en-US"/>
        </w:rPr>
        <w:t xml:space="preserve"> </w:t>
      </w:r>
      <w:sdt>
        <w:sdtPr>
          <w:rPr>
            <w:rFonts w:cs="Arial"/>
            <w:color w:val="000000"/>
            <w:szCs w:val="18"/>
          </w:rPr>
          <w:tag w:val="MENDELEY_CITATION_v3_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"/>
          <w:id w:val="-370377069"/>
          <w:placeholder>
            <w:docPart w:val="20FB532BCCD5455C89988784718C444B"/>
          </w:placeholder>
        </w:sdtPr>
        <w:sdtContent>
          <w:r w:rsidR="00027876" w:rsidRPr="00027876">
            <w:rPr>
              <w:rFonts w:cs="Arial"/>
              <w:color w:val="000000"/>
              <w:szCs w:val="18"/>
            </w:rPr>
            <w:t>Medyńska-Juraszek et al. (2021)</w:t>
          </w:r>
        </w:sdtContent>
      </w:sdt>
      <w:r w:rsidR="00D00F1E" w:rsidRPr="00494FDB">
        <w:rPr>
          <w:rFonts w:cs="Arial"/>
          <w:szCs w:val="18"/>
          <w:lang w:val="en-US"/>
        </w:rPr>
        <w:t xml:space="preserve"> with 214.33 to 308.86 mg g</w:t>
      </w:r>
      <w:r w:rsidR="00D00F1E" w:rsidRPr="00494FDB">
        <w:rPr>
          <w:rFonts w:cs="Arial"/>
          <w:szCs w:val="18"/>
          <w:vertAlign w:val="superscript"/>
          <w:lang w:val="en-US"/>
        </w:rPr>
        <w:t>-1</w:t>
      </w:r>
      <w:r w:rsidR="00D00F1E" w:rsidRPr="00494FDB">
        <w:rPr>
          <w:rFonts w:cs="Arial"/>
          <w:szCs w:val="18"/>
          <w:lang w:val="en-US"/>
        </w:rPr>
        <w:t xml:space="preserve"> of non-activated biochar and 1029.30 to 3449.54 mg g-1 of </w:t>
      </w:r>
      <w:r w:rsidR="00F814B2" w:rsidRPr="00494FDB">
        <w:rPr>
          <w:rFonts w:cs="Arial"/>
          <w:szCs w:val="18"/>
          <w:lang w:val="en-US"/>
        </w:rPr>
        <w:t xml:space="preserve">activated </w:t>
      </w:r>
      <w:r w:rsidR="00D00F1E" w:rsidRPr="00494FDB">
        <w:rPr>
          <w:rFonts w:cs="Arial"/>
          <w:szCs w:val="18"/>
          <w:lang w:val="en-US"/>
        </w:rPr>
        <w:t xml:space="preserve">biochar and </w:t>
      </w:r>
      <w:r w:rsidR="00F814B2" w:rsidRPr="00494FDB">
        <w:rPr>
          <w:rFonts w:cs="Arial"/>
          <w:szCs w:val="18"/>
          <w:lang w:val="en-US"/>
        </w:rPr>
        <w:t>above</w:t>
      </w:r>
      <w:r w:rsidR="00D00F1E" w:rsidRPr="00494FDB">
        <w:rPr>
          <w:rFonts w:cs="Arial"/>
          <w:szCs w:val="18"/>
          <w:lang w:val="en-US"/>
        </w:rPr>
        <w:t xml:space="preserve"> those of</w:t>
      </w:r>
      <w:r w:rsidR="00B73F33" w:rsidRPr="00494FDB">
        <w:rPr>
          <w:rFonts w:cs="Arial"/>
          <w:szCs w:val="18"/>
          <w:lang w:val="en-US"/>
        </w:rPr>
        <w:t xml:space="preserve"> </w:t>
      </w:r>
      <w:r w:rsidR="00D00F1E" w:rsidRPr="00494FDB">
        <w:rPr>
          <w:rFonts w:cs="Arial"/>
          <w:szCs w:val="18"/>
          <w:lang w:val="en-US"/>
        </w:rPr>
        <w:t xml:space="preserve"> </w:t>
      </w:r>
      <w:sdt>
        <w:sdtPr>
          <w:rPr>
            <w:rFonts w:cs="Arial"/>
            <w:color w:val="000000"/>
            <w:szCs w:val="18"/>
            <w:lang w:val="en-US"/>
          </w:rPr>
          <w:tag w:val="MENDELEY_CITATION_v3_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"/>
          <w:id w:val="1253861066"/>
          <w:placeholder>
            <w:docPart w:val="DefaultPlaceholder_-1854013440"/>
          </w:placeholder>
        </w:sdtPr>
        <w:sdtContent>
          <w:r w:rsidR="00027876" w:rsidRPr="00027876">
            <w:rPr>
              <w:rFonts w:cs="Arial"/>
              <w:color w:val="000000"/>
              <w:szCs w:val="18"/>
              <w:lang w:val="en-US"/>
            </w:rPr>
            <w:t>Nguyen et al. (2022)</w:t>
          </w:r>
        </w:sdtContent>
      </w:sdt>
      <w:r w:rsidR="00D00F1E" w:rsidRPr="00494FDB">
        <w:rPr>
          <w:rFonts w:cs="Arial"/>
          <w:szCs w:val="18"/>
          <w:lang w:val="en-US"/>
        </w:rPr>
        <w:t xml:space="preserve"> with 15.5 to 33.9 mg g</w:t>
      </w:r>
      <w:r w:rsidR="00D00F1E" w:rsidRPr="00494FDB">
        <w:rPr>
          <w:rFonts w:cs="Arial"/>
          <w:szCs w:val="18"/>
          <w:vertAlign w:val="superscript"/>
          <w:lang w:val="en-US"/>
        </w:rPr>
        <w:t>-1</w:t>
      </w:r>
      <w:r w:rsidR="00BE289D" w:rsidRPr="00494FDB">
        <w:rPr>
          <w:rFonts w:cs="Arial"/>
          <w:szCs w:val="18"/>
          <w:lang w:val="en-US"/>
        </w:rPr>
        <w:t>.</w:t>
      </w:r>
      <w:r w:rsidR="00293C43" w:rsidRPr="00494FDB">
        <w:rPr>
          <w:rFonts w:cs="Arial"/>
          <w:szCs w:val="18"/>
          <w:lang w:val="en-US"/>
        </w:rPr>
        <w:t xml:space="preserve"> </w:t>
      </w:r>
      <w:r w:rsidR="00293C43" w:rsidRPr="00CA265A">
        <w:rPr>
          <w:rFonts w:cs="Arial"/>
          <w:szCs w:val="18"/>
          <w:lang w:val="en-US"/>
        </w:rPr>
        <w:t>The moderate electrical conductivity (95.2 µS cm</w:t>
      </w:r>
      <w:r w:rsidR="00293C43" w:rsidRPr="00CA265A">
        <w:rPr>
          <w:rFonts w:ascii="Cambria Math" w:hAnsi="Cambria Math" w:cs="Cambria Math"/>
          <w:szCs w:val="18"/>
          <w:lang w:val="en-US"/>
        </w:rPr>
        <w:t>⁻</w:t>
      </w:r>
      <w:r w:rsidR="00293C43" w:rsidRPr="00CA265A">
        <w:rPr>
          <w:rFonts w:cs="Arial"/>
          <w:szCs w:val="18"/>
          <w:lang w:val="en-US"/>
        </w:rPr>
        <w:t>¹) indicates that the material does not significantly increase the salinity of the system, while the slightly acidic pH (4.72) may promote ion exchange processes and enhance Na</w:t>
      </w:r>
      <w:r w:rsidR="00293C43" w:rsidRPr="00CA265A">
        <w:rPr>
          <w:rFonts w:ascii="Cambria Math" w:hAnsi="Cambria Math" w:cs="Cambria Math"/>
          <w:szCs w:val="18"/>
          <w:lang w:val="en-US"/>
        </w:rPr>
        <w:t>⁺</w:t>
      </w:r>
      <w:r w:rsidR="00293C43" w:rsidRPr="00CA265A">
        <w:rPr>
          <w:rFonts w:cs="Arial"/>
          <w:szCs w:val="18"/>
          <w:lang w:val="en-US"/>
        </w:rPr>
        <w:t xml:space="preserve"> immobilization. Overall, these characteristics suggest that the material is a promising amendment for mitigating salinity and sodicity in affected soils.</w:t>
      </w:r>
    </w:p>
    <w:p w14:paraId="182D4149" w14:textId="77777777" w:rsidR="001E18D2" w:rsidRPr="00FD4B2F" w:rsidRDefault="001E18D2" w:rsidP="001E18D2">
      <w:pPr>
        <w:pStyle w:val="CETBodytext"/>
        <w:spacing w:before="120" w:after="120"/>
        <w:rPr>
          <w:rFonts w:cs="Arial"/>
          <w:b/>
          <w:bCs/>
        </w:rPr>
      </w:pPr>
      <w:r w:rsidRPr="00FD4B2F">
        <w:rPr>
          <w:rFonts w:cs="Arial"/>
          <w:b/>
          <w:bCs/>
        </w:rPr>
        <w:t>4. Conclusions</w:t>
      </w:r>
    </w:p>
    <w:p w14:paraId="53230FC3" w14:textId="561A36C0" w:rsidR="00700048" w:rsidRPr="0014594E" w:rsidRDefault="002C5D74" w:rsidP="00F111B0">
      <w:pPr>
        <w:pStyle w:val="CETBodytext"/>
        <w:spacing w:before="120" w:after="120"/>
        <w:rPr>
          <w:rFonts w:cs="Arial"/>
          <w:lang w:val="en-GB"/>
        </w:rPr>
      </w:pPr>
      <w:r w:rsidRPr="002C5D74">
        <w:rPr>
          <w:rFonts w:cs="Arial"/>
          <w:lang w:val="en-GB"/>
        </w:rPr>
        <w:t xml:space="preserve">An exploratory experimental design was used to evaluate the production of hydrochar from palm kernel shell (PKS) via hydrothermal carbonization. This revealed that temperature has a greater influence than reaction time on the development of material </w:t>
      </w:r>
      <w:r w:rsidRPr="007325EE">
        <w:rPr>
          <w:rFonts w:cs="Arial"/>
          <w:color w:val="000000" w:themeColor="text1"/>
          <w:szCs w:val="18"/>
          <w:lang w:val="en-GB"/>
        </w:rPr>
        <w:t>properties. The hydrochar obtained at 205 °C for 22 hours exhibited a relatively high specific surface area (39.05 m² g</w:t>
      </w:r>
      <w:r w:rsidRPr="007325EE">
        <w:rPr>
          <w:rFonts w:ascii="Cambria Math" w:hAnsi="Cambria Math" w:cs="Cambria Math"/>
          <w:color w:val="000000" w:themeColor="text1"/>
          <w:szCs w:val="18"/>
          <w:lang w:val="en-GB"/>
        </w:rPr>
        <w:t>⁻</w:t>
      </w:r>
      <w:r w:rsidRPr="007325EE">
        <w:rPr>
          <w:rFonts w:cs="Arial"/>
          <w:color w:val="000000" w:themeColor="text1"/>
          <w:szCs w:val="18"/>
          <w:lang w:val="en-GB"/>
        </w:rPr>
        <w:t>¹) and</w:t>
      </w:r>
      <w:r w:rsidR="007325EE" w:rsidRPr="007325EE">
        <w:rPr>
          <w:rFonts w:cs="Arial"/>
          <w:color w:val="000000" w:themeColor="text1"/>
          <w:szCs w:val="18"/>
          <w:lang w:val="en-GB"/>
        </w:rPr>
        <w:t xml:space="preserve"> a notable of oxygen functional groups (25</w:t>
      </w:r>
      <w:r w:rsidR="00312EF5">
        <w:rPr>
          <w:rFonts w:cs="Arial"/>
          <w:color w:val="000000" w:themeColor="text1"/>
          <w:szCs w:val="18"/>
          <w:lang w:val="en-GB"/>
        </w:rPr>
        <w:t>.</w:t>
      </w:r>
      <w:r w:rsidR="00D32E7D">
        <w:rPr>
          <w:rFonts w:cs="Arial"/>
          <w:color w:val="000000" w:themeColor="text1"/>
          <w:szCs w:val="18"/>
          <w:lang w:val="en-GB"/>
        </w:rPr>
        <w:t>7</w:t>
      </w:r>
      <w:r w:rsidR="007325EE" w:rsidRPr="007325EE">
        <w:rPr>
          <w:rFonts w:cs="Arial"/>
          <w:color w:val="000000" w:themeColor="text1"/>
          <w:szCs w:val="18"/>
          <w:lang w:val="en-GB"/>
        </w:rPr>
        <w:t xml:space="preserve"> %wt) for this type of material. </w:t>
      </w:r>
      <w:r w:rsidR="00744014" w:rsidRPr="007325EE">
        <w:rPr>
          <w:rFonts w:cs="Arial"/>
          <w:color w:val="000000" w:themeColor="text1"/>
          <w:szCs w:val="18"/>
          <w:lang w:val="en-GB"/>
        </w:rPr>
        <w:t>The oxygen-containing</w:t>
      </w:r>
      <w:r w:rsidR="00744014" w:rsidRPr="007325EE">
        <w:rPr>
          <w:rFonts w:cs="Arial"/>
          <w:color w:val="000000" w:themeColor="text1"/>
          <w:lang w:val="en-GB"/>
        </w:rPr>
        <w:t xml:space="preserve"> </w:t>
      </w:r>
      <w:r w:rsidR="00744014" w:rsidRPr="00744014">
        <w:rPr>
          <w:rFonts w:cs="Arial"/>
          <w:lang w:val="en-GB"/>
        </w:rPr>
        <w:t>functional groups were generated through dehydration and decarboxylation reactions, accompanied by structural rearrangement toward more aromatic and carbonized domains. The adsorption behaviour was well described by the Langmuir model, indicating predominantly monolayer adsorption on relatively homogeneous sites. Overall, these results highlight the potential of PKS-derived hydrochar as an effective bioadsorbent for sodium removal, with promising applications in saline soil remediation.</w:t>
      </w:r>
    </w:p>
    <w:p w14:paraId="7AFEBD75" w14:textId="28D37458" w:rsidR="001E18D2" w:rsidRPr="00644E53" w:rsidRDefault="001E18D2" w:rsidP="00F111B0">
      <w:pPr>
        <w:pStyle w:val="CETBodytext"/>
        <w:spacing w:before="120" w:after="120"/>
        <w:rPr>
          <w:rFonts w:cs="Arial"/>
          <w:b/>
          <w:bCs/>
        </w:rPr>
      </w:pPr>
      <w:r w:rsidRPr="00644E53">
        <w:rPr>
          <w:rFonts w:cs="Arial"/>
          <w:b/>
          <w:bCs/>
        </w:rPr>
        <w:t>References</w:t>
      </w:r>
    </w:p>
    <w:sdt>
      <w:sdtPr>
        <w:rPr>
          <w:rFonts w:cs="Arial"/>
          <w:lang w:val="en-US"/>
        </w:rPr>
        <w:tag w:val="MENDELEY_BIBLIOGRAPHY"/>
        <w:id w:val="1053202366"/>
        <w:placeholder>
          <w:docPart w:val="DefaultPlaceholder_-1854013440"/>
        </w:placeholder>
      </w:sdtPr>
      <w:sdtContent>
        <w:p w14:paraId="5A02126E" w14:textId="432168A4" w:rsidR="00461959" w:rsidRPr="00EC6A2E" w:rsidRDefault="00461959">
          <w:pPr>
            <w:autoSpaceDE w:val="0"/>
            <w:autoSpaceDN w:val="0"/>
            <w:ind w:hanging="480"/>
            <w:divId w:val="1698655471"/>
            <w:rPr>
              <w:rFonts w:cs="Arial"/>
              <w:szCs w:val="24"/>
            </w:rPr>
          </w:pPr>
          <w:r w:rsidRPr="00EC6A2E">
            <w:rPr>
              <w:rFonts w:cs="Arial"/>
            </w:rPr>
            <w:t xml:space="preserve">Abbas, G., Abrar, M. M., Naeem, M. A., Siddiqui, M. H., Ali, H. M., Li, Y., Ahmed, K., Sun, N., </w:t>
          </w:r>
          <w:r w:rsidR="000D3C3D" w:rsidRPr="00EC6A2E">
            <w:rPr>
              <w:rFonts w:cs="Arial"/>
            </w:rPr>
            <w:t>and</w:t>
          </w:r>
          <w:r w:rsidRPr="00EC6A2E">
            <w:rPr>
              <w:rFonts w:cs="Arial"/>
            </w:rPr>
            <w:t xml:space="preserve"> Xu, M.</w:t>
          </w:r>
          <w:r w:rsidR="00CA69F0" w:rsidRPr="00EC6A2E">
            <w:rPr>
              <w:rFonts w:cs="Arial"/>
            </w:rPr>
            <w:t>,</w:t>
          </w:r>
          <w:r w:rsidRPr="00EC6A2E">
            <w:rPr>
              <w:rFonts w:cs="Arial"/>
            </w:rPr>
            <w:t xml:space="preserve"> 2022</w:t>
          </w:r>
          <w:r w:rsidR="00CA69F0" w:rsidRPr="00EC6A2E">
            <w:rPr>
              <w:rFonts w:cs="Arial"/>
            </w:rPr>
            <w:t>,</w:t>
          </w:r>
          <w:r w:rsidRPr="00EC6A2E">
            <w:rPr>
              <w:rFonts w:cs="Arial"/>
            </w:rPr>
            <w:t xml:space="preserve"> Biochar increases salt tolerance and grain yield of quinoa on saline-sodic soil: multivariate comparison of physiological and oxidative stress attributes</w:t>
          </w:r>
          <w:r w:rsidR="00CA69F0" w:rsidRPr="00EC6A2E">
            <w:rPr>
              <w:rFonts w:cs="Arial"/>
            </w:rPr>
            <w:t>,</w:t>
          </w:r>
          <w:r w:rsidRPr="00EC6A2E">
            <w:rPr>
              <w:rFonts w:cs="Arial"/>
            </w:rPr>
            <w:t xml:space="preserve"> Journal of Soils and Sediments, 22, 1446–1459. </w:t>
          </w:r>
        </w:p>
        <w:p w14:paraId="1C89EEA3" w14:textId="38C6DAF9" w:rsidR="00461959" w:rsidRPr="00EC6A2E" w:rsidRDefault="00461959">
          <w:pPr>
            <w:autoSpaceDE w:val="0"/>
            <w:autoSpaceDN w:val="0"/>
            <w:ind w:hanging="480"/>
            <w:divId w:val="633873041"/>
            <w:rPr>
              <w:rFonts w:cs="Arial"/>
            </w:rPr>
          </w:pPr>
          <w:r w:rsidRPr="00EC6A2E">
            <w:rPr>
              <w:rFonts w:cs="Arial"/>
            </w:rPr>
            <w:t xml:space="preserve">Bkangmo Kontchouo, F. M., Xu, H., Ganmo Koutchouo, M., Ding, K., Kositanont, C., Dokkhan, C., Lampang, T. N., Thanachayanont, C., Hu, X., Xu, C., </w:t>
          </w:r>
          <w:r w:rsidR="000D3C3D" w:rsidRPr="00EC6A2E">
            <w:rPr>
              <w:rFonts w:cs="Arial"/>
            </w:rPr>
            <w:t>and</w:t>
          </w:r>
          <w:r w:rsidRPr="00EC6A2E">
            <w:rPr>
              <w:rFonts w:cs="Arial"/>
            </w:rPr>
            <w:t xml:space="preserve"> Zhang, S.</w:t>
          </w:r>
          <w:r w:rsidR="00454931" w:rsidRPr="00EC6A2E">
            <w:rPr>
              <w:rFonts w:cs="Arial"/>
            </w:rPr>
            <w:t>,</w:t>
          </w:r>
          <w:r w:rsidRPr="00EC6A2E">
            <w:rPr>
              <w:rFonts w:cs="Arial"/>
            </w:rPr>
            <w:t xml:space="preserve"> 2025</w:t>
          </w:r>
          <w:r w:rsidR="00454931" w:rsidRPr="00EC6A2E">
            <w:rPr>
              <w:rFonts w:cs="Arial"/>
            </w:rPr>
            <w:t>,</w:t>
          </w:r>
          <w:r w:rsidRPr="00EC6A2E">
            <w:rPr>
              <w:rFonts w:cs="Arial"/>
            </w:rPr>
            <w:t xml:space="preserve"> Hydrothermal carbonization of cola nut shell: Impact of deep eutectic pretreatment on the property of hydrochar</w:t>
          </w:r>
          <w:r w:rsidR="00454931" w:rsidRPr="00EC6A2E">
            <w:rPr>
              <w:rFonts w:cs="Arial"/>
            </w:rPr>
            <w:t>,</w:t>
          </w:r>
          <w:r w:rsidRPr="00EC6A2E">
            <w:rPr>
              <w:rFonts w:cs="Arial"/>
            </w:rPr>
            <w:t xml:space="preserve"> Industrial Crops and Products, 227</w:t>
          </w:r>
          <w:r w:rsidR="008327E8" w:rsidRPr="00EC6A2E">
            <w:rPr>
              <w:rFonts w:cs="Arial"/>
            </w:rPr>
            <w:t>, 120792.</w:t>
          </w:r>
        </w:p>
        <w:p w14:paraId="7294B389" w14:textId="3ACA0A74" w:rsidR="00461959" w:rsidRPr="00EC6A2E" w:rsidRDefault="00461959">
          <w:pPr>
            <w:autoSpaceDE w:val="0"/>
            <w:autoSpaceDN w:val="0"/>
            <w:ind w:hanging="480"/>
            <w:divId w:val="2122338995"/>
            <w:rPr>
              <w:rFonts w:cs="Arial"/>
            </w:rPr>
          </w:pPr>
          <w:r w:rsidRPr="00EC6A2E">
            <w:rPr>
              <w:rFonts w:cs="Arial"/>
            </w:rPr>
            <w:t xml:space="preserve">Cavali, M., Libardi Junior, N., de Sena, J. D., Woiciechowski, A. L., Soccol, C. R., Belli Filho, P., Bayard, R., Benbelkacem, H., </w:t>
          </w:r>
          <w:r w:rsidR="000D3C3D" w:rsidRPr="00EC6A2E">
            <w:rPr>
              <w:rFonts w:cs="Arial"/>
            </w:rPr>
            <w:t>and</w:t>
          </w:r>
          <w:r w:rsidRPr="00EC6A2E">
            <w:rPr>
              <w:rFonts w:cs="Arial"/>
            </w:rPr>
            <w:t xml:space="preserve"> de Castilhos Junior, A. B</w:t>
          </w:r>
          <w:r w:rsidR="00454931" w:rsidRPr="00EC6A2E">
            <w:rPr>
              <w:rFonts w:cs="Arial"/>
            </w:rPr>
            <w:t>.,</w:t>
          </w:r>
          <w:r w:rsidRPr="00EC6A2E">
            <w:rPr>
              <w:rFonts w:cs="Arial"/>
            </w:rPr>
            <w:t xml:space="preserve"> 2023</w:t>
          </w:r>
          <w:r w:rsidR="00454931" w:rsidRPr="00EC6A2E">
            <w:rPr>
              <w:rFonts w:cs="Arial"/>
            </w:rPr>
            <w:t>,</w:t>
          </w:r>
          <w:r w:rsidRPr="00EC6A2E">
            <w:rPr>
              <w:rFonts w:cs="Arial"/>
            </w:rPr>
            <w:t xml:space="preserve"> A review on hydrothermal carbonization of </w:t>
          </w:r>
          <w:r w:rsidRPr="00EC6A2E">
            <w:rPr>
              <w:rFonts w:cs="Arial"/>
            </w:rPr>
            <w:lastRenderedPageBreak/>
            <w:t>potential biomass wastes, characterization and environmental applications of hydrochar, and biorefinery perspectives of the process. Science of the Total Environment, 857, 159627.</w:t>
          </w:r>
        </w:p>
        <w:p w14:paraId="4DB8842F" w14:textId="3713D8F7" w:rsidR="00461959" w:rsidRPr="00EC6A2E" w:rsidRDefault="00461959">
          <w:pPr>
            <w:autoSpaceDE w:val="0"/>
            <w:autoSpaceDN w:val="0"/>
            <w:ind w:hanging="480"/>
            <w:divId w:val="1910455085"/>
            <w:rPr>
              <w:rFonts w:cs="Arial"/>
              <w:lang w:val="en-US"/>
            </w:rPr>
          </w:pPr>
          <w:r w:rsidRPr="00EC6A2E">
            <w:rPr>
              <w:rFonts w:cs="Arial"/>
            </w:rPr>
            <w:t xml:space="preserve">Danso-Boateng, E., Ross, A. B., Mariner, T., Hammerton, J., </w:t>
          </w:r>
          <w:r w:rsidR="000D3C3D" w:rsidRPr="00EC6A2E">
            <w:rPr>
              <w:rFonts w:cs="Arial"/>
            </w:rPr>
            <w:t>and</w:t>
          </w:r>
          <w:r w:rsidRPr="00EC6A2E">
            <w:rPr>
              <w:rFonts w:cs="Arial"/>
            </w:rPr>
            <w:t xml:space="preserve"> Fitzsimmons, M.</w:t>
          </w:r>
          <w:r w:rsidR="00F76C36" w:rsidRPr="00EC6A2E">
            <w:rPr>
              <w:rFonts w:cs="Arial"/>
            </w:rPr>
            <w:t>,</w:t>
          </w:r>
          <w:r w:rsidRPr="00EC6A2E">
            <w:rPr>
              <w:rFonts w:cs="Arial"/>
            </w:rPr>
            <w:t xml:space="preserve"> 2022</w:t>
          </w:r>
          <w:r w:rsidR="00F76C36" w:rsidRPr="00EC6A2E">
            <w:rPr>
              <w:rFonts w:cs="Arial"/>
            </w:rPr>
            <w:t>,</w:t>
          </w:r>
          <w:r w:rsidRPr="00EC6A2E">
            <w:rPr>
              <w:rFonts w:cs="Arial"/>
            </w:rPr>
            <w:t xml:space="preserve"> Hydrochars produced by hydrothermal carbonisation of seaweed, coconut shell and oak: effect of processing temperature on physicochemical adsorbent characteristics</w:t>
          </w:r>
          <w:r w:rsidR="00F76C36" w:rsidRPr="00EC6A2E">
            <w:rPr>
              <w:rFonts w:cs="Arial"/>
            </w:rPr>
            <w:t>,</w:t>
          </w:r>
          <w:r w:rsidRPr="00EC6A2E">
            <w:rPr>
              <w:rFonts w:cs="Arial"/>
            </w:rPr>
            <w:t xml:space="preserve"> </w:t>
          </w:r>
          <w:r w:rsidRPr="00EC6A2E">
            <w:rPr>
              <w:rFonts w:cs="Arial"/>
              <w:lang w:val="en-US"/>
            </w:rPr>
            <w:t>SN Applied Sciences, 4</w:t>
          </w:r>
          <w:r w:rsidR="00F557C3" w:rsidRPr="00EC6A2E">
            <w:rPr>
              <w:rFonts w:cs="Arial"/>
              <w:lang w:val="en-US"/>
            </w:rPr>
            <w:t>, 203.</w:t>
          </w:r>
        </w:p>
        <w:p w14:paraId="1E78F2FF" w14:textId="6D2F3555" w:rsidR="00461959" w:rsidRPr="00EC6A2E" w:rsidRDefault="00461959">
          <w:pPr>
            <w:autoSpaceDE w:val="0"/>
            <w:autoSpaceDN w:val="0"/>
            <w:ind w:hanging="480"/>
            <w:divId w:val="2020620291"/>
            <w:rPr>
              <w:rFonts w:cs="Arial"/>
            </w:rPr>
          </w:pPr>
          <w:r w:rsidRPr="00EC6A2E">
            <w:rPr>
              <w:rFonts w:cs="Arial"/>
            </w:rPr>
            <w:t xml:space="preserve">He, K., He, G., Wang, C., Zhang, H., Xu, Y., Wang, S., Kong, Y., Zhou, G., </w:t>
          </w:r>
          <w:r w:rsidR="000D3C3D" w:rsidRPr="00EC6A2E">
            <w:rPr>
              <w:rFonts w:cs="Arial"/>
            </w:rPr>
            <w:t>and</w:t>
          </w:r>
          <w:r w:rsidRPr="00EC6A2E">
            <w:rPr>
              <w:rFonts w:cs="Arial"/>
            </w:rPr>
            <w:t xml:space="preserve"> Hu, R.</w:t>
          </w:r>
          <w:r w:rsidR="00F557C3" w:rsidRPr="00EC6A2E">
            <w:rPr>
              <w:rFonts w:cs="Arial"/>
            </w:rPr>
            <w:t>,</w:t>
          </w:r>
          <w:r w:rsidRPr="00EC6A2E">
            <w:rPr>
              <w:rFonts w:cs="Arial"/>
            </w:rPr>
            <w:t xml:space="preserve"> 2020</w:t>
          </w:r>
          <w:r w:rsidR="00F557C3" w:rsidRPr="00EC6A2E">
            <w:rPr>
              <w:rFonts w:cs="Arial"/>
            </w:rPr>
            <w:t>,</w:t>
          </w:r>
          <w:r w:rsidRPr="00EC6A2E">
            <w:rPr>
              <w:rFonts w:cs="Arial"/>
            </w:rPr>
            <w:t xml:space="preserve"> Biochar amendment ameliorates soil properties and promotes Miscanthus growth in a coastal saline-alkali soil</w:t>
          </w:r>
          <w:r w:rsidR="00F557C3" w:rsidRPr="00EC6A2E">
            <w:rPr>
              <w:rFonts w:cs="Arial"/>
            </w:rPr>
            <w:t>,</w:t>
          </w:r>
          <w:r w:rsidRPr="00EC6A2E">
            <w:rPr>
              <w:rFonts w:cs="Arial"/>
            </w:rPr>
            <w:t xml:space="preserve"> Applied Soil Ecology, 155, 103674.</w:t>
          </w:r>
        </w:p>
        <w:p w14:paraId="210EDB28" w14:textId="643082CE" w:rsidR="00461959" w:rsidRPr="00EC6A2E" w:rsidRDefault="00461959">
          <w:pPr>
            <w:autoSpaceDE w:val="0"/>
            <w:autoSpaceDN w:val="0"/>
            <w:ind w:hanging="480"/>
            <w:divId w:val="1413698986"/>
            <w:rPr>
              <w:rFonts w:cs="Arial"/>
            </w:rPr>
          </w:pPr>
          <w:r w:rsidRPr="00EC6A2E">
            <w:rPr>
              <w:rFonts w:cs="Arial"/>
            </w:rPr>
            <w:t xml:space="preserve">Ilić, M., Haegel, F. H., Lolić, A., Nedić, Z., Tosti, T., Ignjatović, I. S., Linden, A., Jablonowski, N. D., </w:t>
          </w:r>
          <w:r w:rsidR="000D3C3D" w:rsidRPr="00EC6A2E">
            <w:rPr>
              <w:rFonts w:cs="Arial"/>
            </w:rPr>
            <w:t>and</w:t>
          </w:r>
          <w:r w:rsidRPr="00EC6A2E">
            <w:rPr>
              <w:rFonts w:cs="Arial"/>
            </w:rPr>
            <w:t xml:space="preserve"> Hartmann, H</w:t>
          </w:r>
          <w:r w:rsidR="00DF719E" w:rsidRPr="00EC6A2E">
            <w:rPr>
              <w:rFonts w:cs="Arial"/>
            </w:rPr>
            <w:t>,</w:t>
          </w:r>
          <w:r w:rsidRPr="00EC6A2E">
            <w:rPr>
              <w:rFonts w:cs="Arial"/>
            </w:rPr>
            <w:t xml:space="preserve"> 2022</w:t>
          </w:r>
          <w:r w:rsidR="00DF719E" w:rsidRPr="00EC6A2E">
            <w:rPr>
              <w:rFonts w:cs="Arial"/>
            </w:rPr>
            <w:t>,</w:t>
          </w:r>
          <w:r w:rsidRPr="00EC6A2E">
            <w:rPr>
              <w:rFonts w:cs="Arial"/>
            </w:rPr>
            <w:t xml:space="preserve"> Surface functional groups and degree of carbonization of selected chars from different processes and feedstock</w:t>
          </w:r>
          <w:r w:rsidR="00DF719E" w:rsidRPr="00EC6A2E">
            <w:rPr>
              <w:rFonts w:cs="Arial"/>
            </w:rPr>
            <w:t>,</w:t>
          </w:r>
          <w:r w:rsidRPr="00EC6A2E">
            <w:rPr>
              <w:rFonts w:cs="Arial"/>
            </w:rPr>
            <w:t xml:space="preserve"> PLoS ONE. </w:t>
          </w:r>
        </w:p>
        <w:p w14:paraId="51FA620D" w14:textId="7353DB62" w:rsidR="00461959" w:rsidRPr="00EC6A2E" w:rsidRDefault="00461959">
          <w:pPr>
            <w:autoSpaceDE w:val="0"/>
            <w:autoSpaceDN w:val="0"/>
            <w:ind w:hanging="480"/>
            <w:divId w:val="1177425184"/>
            <w:rPr>
              <w:rFonts w:cs="Arial"/>
            </w:rPr>
          </w:pPr>
          <w:r w:rsidRPr="00EC6A2E">
            <w:rPr>
              <w:rFonts w:cs="Arial"/>
            </w:rPr>
            <w:t xml:space="preserve">Ma, Y., Xie, W., Yao, R., Feng, Y., Wang, X., Xie, H., Feng, Y., </w:t>
          </w:r>
          <w:r w:rsidR="000D3C3D" w:rsidRPr="00EC6A2E">
            <w:rPr>
              <w:rFonts w:cs="Arial"/>
            </w:rPr>
            <w:t>and</w:t>
          </w:r>
          <w:r w:rsidRPr="00EC6A2E">
            <w:rPr>
              <w:rFonts w:cs="Arial"/>
            </w:rPr>
            <w:t xml:space="preserve"> Yang, J.</w:t>
          </w:r>
          <w:r w:rsidR="006F1547" w:rsidRPr="00EC6A2E">
            <w:rPr>
              <w:rFonts w:cs="Arial"/>
            </w:rPr>
            <w:t>,</w:t>
          </w:r>
          <w:r w:rsidRPr="00EC6A2E">
            <w:rPr>
              <w:rFonts w:cs="Arial"/>
            </w:rPr>
            <w:t xml:space="preserve"> 2024</w:t>
          </w:r>
          <w:r w:rsidR="006F1547" w:rsidRPr="00EC6A2E">
            <w:rPr>
              <w:rFonts w:cs="Arial"/>
            </w:rPr>
            <w:t>,</w:t>
          </w:r>
          <w:r w:rsidRPr="00EC6A2E">
            <w:rPr>
              <w:rFonts w:cs="Arial"/>
            </w:rPr>
            <w:t xml:space="preserve"> Biochar and hydrochar application influence soil ammonia volatilization and the dissolved organic matter in salt-affected soils</w:t>
          </w:r>
          <w:r w:rsidR="006F1547" w:rsidRPr="00EC6A2E">
            <w:rPr>
              <w:rFonts w:cs="Arial"/>
            </w:rPr>
            <w:t>,</w:t>
          </w:r>
          <w:r w:rsidRPr="00EC6A2E">
            <w:rPr>
              <w:rFonts w:cs="Arial"/>
            </w:rPr>
            <w:t xml:space="preserve"> Science of the Total Environment, 926, 171845.</w:t>
          </w:r>
        </w:p>
        <w:p w14:paraId="0D90625E" w14:textId="420E58DA" w:rsidR="00461959" w:rsidRPr="00EC6A2E" w:rsidRDefault="00461959">
          <w:pPr>
            <w:autoSpaceDE w:val="0"/>
            <w:autoSpaceDN w:val="0"/>
            <w:ind w:hanging="480"/>
            <w:divId w:val="1711026415"/>
            <w:rPr>
              <w:rFonts w:cs="Arial"/>
            </w:rPr>
          </w:pPr>
          <w:r w:rsidRPr="00EC6A2E">
            <w:rPr>
              <w:rFonts w:cs="Arial"/>
            </w:rPr>
            <w:t xml:space="preserve">Medyńska-Juraszek, A., Álvarez, M. L., Białowiec, A., </w:t>
          </w:r>
          <w:r w:rsidR="000D3C3D" w:rsidRPr="00EC6A2E">
            <w:rPr>
              <w:rFonts w:cs="Arial"/>
            </w:rPr>
            <w:t>and</w:t>
          </w:r>
          <w:r w:rsidRPr="00EC6A2E">
            <w:rPr>
              <w:rFonts w:cs="Arial"/>
            </w:rPr>
            <w:t xml:space="preserve"> Jerzykiewicz, M</w:t>
          </w:r>
          <w:r w:rsidR="006F1547" w:rsidRPr="00EC6A2E">
            <w:rPr>
              <w:rFonts w:cs="Arial"/>
            </w:rPr>
            <w:t>.,</w:t>
          </w:r>
          <w:r w:rsidRPr="00EC6A2E">
            <w:rPr>
              <w:rFonts w:cs="Arial"/>
            </w:rPr>
            <w:t xml:space="preserve"> 2021</w:t>
          </w:r>
          <w:r w:rsidR="006F1547" w:rsidRPr="00EC6A2E">
            <w:rPr>
              <w:rFonts w:cs="Arial"/>
            </w:rPr>
            <w:t>,</w:t>
          </w:r>
          <w:r w:rsidRPr="00EC6A2E">
            <w:rPr>
              <w:rFonts w:cs="Arial"/>
            </w:rPr>
            <w:t xml:space="preserve"> Characterization and sodium cations sorption capacity of chemically modified biochars produced from agricultural and forestry wastes</w:t>
          </w:r>
          <w:r w:rsidR="00707C8E" w:rsidRPr="00EC6A2E">
            <w:rPr>
              <w:rFonts w:cs="Arial"/>
            </w:rPr>
            <w:t>,</w:t>
          </w:r>
          <w:r w:rsidRPr="00EC6A2E">
            <w:rPr>
              <w:rFonts w:cs="Arial"/>
            </w:rPr>
            <w:t xml:space="preserve"> Materials, 14, 4714.</w:t>
          </w:r>
        </w:p>
        <w:p w14:paraId="771A7B39" w14:textId="6C6461DD" w:rsidR="00461959" w:rsidRPr="00EC6A2E" w:rsidRDefault="00461959">
          <w:pPr>
            <w:autoSpaceDE w:val="0"/>
            <w:autoSpaceDN w:val="0"/>
            <w:ind w:hanging="480"/>
            <w:divId w:val="2049453022"/>
            <w:rPr>
              <w:rFonts w:cs="Arial"/>
            </w:rPr>
          </w:pPr>
          <w:r w:rsidRPr="00EC6A2E">
            <w:rPr>
              <w:rFonts w:cs="Arial"/>
              <w:lang w:val="en-US"/>
            </w:rPr>
            <w:t xml:space="preserve">Meysami, M., Rabie, A., Najafabadi, R. A., Meysami, A., </w:t>
          </w:r>
          <w:r w:rsidR="000D3C3D" w:rsidRPr="00EC6A2E">
            <w:rPr>
              <w:rFonts w:cs="Arial"/>
              <w:lang w:val="en-US"/>
            </w:rPr>
            <w:t>and</w:t>
          </w:r>
          <w:r w:rsidRPr="00EC6A2E">
            <w:rPr>
              <w:rFonts w:cs="Arial"/>
              <w:lang w:val="en-US"/>
            </w:rPr>
            <w:t xml:space="preserve"> Isfahani, T.</w:t>
          </w:r>
          <w:r w:rsidR="0065335A" w:rsidRPr="00EC6A2E">
            <w:rPr>
              <w:rFonts w:cs="Arial"/>
              <w:lang w:val="en-US"/>
            </w:rPr>
            <w:t>,</w:t>
          </w:r>
          <w:r w:rsidRPr="00EC6A2E">
            <w:rPr>
              <w:rFonts w:cs="Arial"/>
              <w:lang w:val="en-US"/>
            </w:rPr>
            <w:t xml:space="preserve"> 2025</w:t>
          </w:r>
          <w:r w:rsidR="0065335A" w:rsidRPr="00EC6A2E">
            <w:rPr>
              <w:rFonts w:cs="Arial"/>
              <w:lang w:val="en-US"/>
            </w:rPr>
            <w:t>,</w:t>
          </w:r>
          <w:r w:rsidRPr="00EC6A2E">
            <w:rPr>
              <w:rFonts w:cs="Arial"/>
              <w:lang w:val="en-US"/>
            </w:rPr>
            <w:t xml:space="preserve"> </w:t>
          </w:r>
          <w:r w:rsidRPr="00EC6A2E">
            <w:rPr>
              <w:rFonts w:cs="Arial"/>
            </w:rPr>
            <w:t>Comparative thermal and structural analysis of biochar from rapeseed meal and Fraxinus excelsior sawdust</w:t>
          </w:r>
          <w:r w:rsidR="0065335A" w:rsidRPr="00EC6A2E">
            <w:rPr>
              <w:rFonts w:cs="Arial"/>
            </w:rPr>
            <w:t>,</w:t>
          </w:r>
          <w:r w:rsidRPr="00EC6A2E">
            <w:rPr>
              <w:rFonts w:cs="Arial"/>
            </w:rPr>
            <w:t xml:space="preserve"> Results in Engineering, 27</w:t>
          </w:r>
          <w:r w:rsidR="00707C8E" w:rsidRPr="00EC6A2E">
            <w:rPr>
              <w:rFonts w:cs="Arial"/>
            </w:rPr>
            <w:t>, 106397.</w:t>
          </w:r>
        </w:p>
        <w:p w14:paraId="4DF63A0F" w14:textId="721B0273" w:rsidR="00461959" w:rsidRPr="00EC6A2E" w:rsidRDefault="00461959">
          <w:pPr>
            <w:autoSpaceDE w:val="0"/>
            <w:autoSpaceDN w:val="0"/>
            <w:ind w:hanging="480"/>
            <w:divId w:val="430665652"/>
            <w:rPr>
              <w:rFonts w:cs="Arial"/>
            </w:rPr>
          </w:pPr>
          <w:r w:rsidRPr="00EC6A2E">
            <w:rPr>
              <w:rFonts w:cs="Arial"/>
              <w:lang w:val="en-US"/>
            </w:rPr>
            <w:t xml:space="preserve">Nguyen, B. T., Dinh, G. D., Dong, H. P., </w:t>
          </w:r>
          <w:r w:rsidR="000D3C3D" w:rsidRPr="00EC6A2E">
            <w:rPr>
              <w:rFonts w:cs="Arial"/>
              <w:lang w:val="en-US"/>
            </w:rPr>
            <w:t>and</w:t>
          </w:r>
          <w:r w:rsidRPr="00EC6A2E">
            <w:rPr>
              <w:rFonts w:cs="Arial"/>
              <w:lang w:val="en-US"/>
            </w:rPr>
            <w:t xml:space="preserve"> Le, L. B.</w:t>
          </w:r>
          <w:r w:rsidR="0065335A" w:rsidRPr="00EC6A2E">
            <w:rPr>
              <w:rFonts w:cs="Arial"/>
              <w:lang w:val="en-US"/>
            </w:rPr>
            <w:t>,</w:t>
          </w:r>
          <w:r w:rsidRPr="00EC6A2E">
            <w:rPr>
              <w:rFonts w:cs="Arial"/>
              <w:lang w:val="en-US"/>
            </w:rPr>
            <w:t xml:space="preserve"> 2022</w:t>
          </w:r>
          <w:r w:rsidR="0065335A" w:rsidRPr="00EC6A2E">
            <w:rPr>
              <w:rFonts w:cs="Arial"/>
              <w:lang w:val="en-US"/>
            </w:rPr>
            <w:t>,</w:t>
          </w:r>
          <w:r w:rsidRPr="00EC6A2E">
            <w:rPr>
              <w:rFonts w:cs="Arial"/>
              <w:lang w:val="en-US"/>
            </w:rPr>
            <w:t xml:space="preserve"> </w:t>
          </w:r>
          <w:r w:rsidRPr="00EC6A2E">
            <w:rPr>
              <w:rFonts w:cs="Arial"/>
            </w:rPr>
            <w:t>Sodium adsorption isotherm and characterization of biochars produced from various agricultural biomass wastes</w:t>
          </w:r>
          <w:r w:rsidR="000D3C3D" w:rsidRPr="00EC6A2E">
            <w:rPr>
              <w:rFonts w:cs="Arial"/>
            </w:rPr>
            <w:t>,</w:t>
          </w:r>
          <w:r w:rsidRPr="00EC6A2E">
            <w:rPr>
              <w:rFonts w:cs="Arial"/>
            </w:rPr>
            <w:t xml:space="preserve"> Journal of Cleaner Production, 346, 131250.</w:t>
          </w:r>
        </w:p>
        <w:p w14:paraId="7A1E3121" w14:textId="49AA933D" w:rsidR="00461959" w:rsidRPr="00EC6A2E" w:rsidRDefault="00461959">
          <w:pPr>
            <w:autoSpaceDE w:val="0"/>
            <w:autoSpaceDN w:val="0"/>
            <w:ind w:hanging="480"/>
            <w:divId w:val="690839345"/>
            <w:rPr>
              <w:rFonts w:cs="Arial"/>
            </w:rPr>
          </w:pPr>
          <w:r w:rsidRPr="00EC6A2E">
            <w:rPr>
              <w:rFonts w:cs="Arial"/>
            </w:rPr>
            <w:t xml:space="preserve">Phan, K. A., Phihusut, D., </w:t>
          </w:r>
          <w:r w:rsidR="000D3C3D" w:rsidRPr="00EC6A2E">
            <w:rPr>
              <w:rFonts w:cs="Arial"/>
            </w:rPr>
            <w:t>and</w:t>
          </w:r>
          <w:r w:rsidRPr="00EC6A2E">
            <w:rPr>
              <w:rFonts w:cs="Arial"/>
            </w:rPr>
            <w:t xml:space="preserve"> Tuntiwiwattanapun, N.</w:t>
          </w:r>
          <w:r w:rsidR="000D3C3D" w:rsidRPr="00EC6A2E">
            <w:rPr>
              <w:rFonts w:cs="Arial"/>
            </w:rPr>
            <w:t>,</w:t>
          </w:r>
          <w:r w:rsidRPr="00EC6A2E">
            <w:rPr>
              <w:rFonts w:cs="Arial"/>
            </w:rPr>
            <w:t xml:space="preserve"> 2022</w:t>
          </w:r>
          <w:r w:rsidR="000D3C3D" w:rsidRPr="00EC6A2E">
            <w:rPr>
              <w:rFonts w:cs="Arial"/>
            </w:rPr>
            <w:t>,</w:t>
          </w:r>
          <w:r w:rsidRPr="00EC6A2E">
            <w:rPr>
              <w:rFonts w:cs="Arial"/>
            </w:rPr>
            <w:t xml:space="preserve"> Preparation of rice husk hydrochar as an atrazine adsorbent: Optimization, characterization, and adsorption mechanisms</w:t>
          </w:r>
          <w:r w:rsidR="000D3C3D" w:rsidRPr="00EC6A2E">
            <w:rPr>
              <w:rFonts w:cs="Arial"/>
            </w:rPr>
            <w:t>,</w:t>
          </w:r>
          <w:r w:rsidRPr="00EC6A2E">
            <w:rPr>
              <w:rFonts w:cs="Arial"/>
            </w:rPr>
            <w:t xml:space="preserve"> Journal of Environmental Chemical Engineering, 10</w:t>
          </w:r>
          <w:r w:rsidR="00045DB8" w:rsidRPr="00EC6A2E">
            <w:rPr>
              <w:rFonts w:cs="Arial"/>
            </w:rPr>
            <w:t>,</w:t>
          </w:r>
          <w:r w:rsidR="000D3C3D" w:rsidRPr="00EC6A2E">
            <w:rPr>
              <w:rFonts w:cs="Arial"/>
            </w:rPr>
            <w:t xml:space="preserve"> 107575</w:t>
          </w:r>
          <w:r w:rsidR="00045DB8" w:rsidRPr="00EC6A2E">
            <w:rPr>
              <w:rFonts w:cs="Arial"/>
            </w:rPr>
            <w:t>.</w:t>
          </w:r>
        </w:p>
        <w:p w14:paraId="734FBD77" w14:textId="36647761" w:rsidR="00461959" w:rsidRPr="00EC6A2E" w:rsidRDefault="00461959">
          <w:pPr>
            <w:autoSpaceDE w:val="0"/>
            <w:autoSpaceDN w:val="0"/>
            <w:ind w:hanging="480"/>
            <w:divId w:val="1500388852"/>
            <w:rPr>
              <w:rFonts w:cs="Arial"/>
              <w:lang w:val="en-US"/>
            </w:rPr>
          </w:pPr>
          <w:r w:rsidRPr="00EC6A2E">
            <w:rPr>
              <w:rFonts w:cs="Arial"/>
            </w:rPr>
            <w:t xml:space="preserve">Rahman, M. M., Muttakin, M., Pal, A., Shafiullah, A. Z., </w:t>
          </w:r>
          <w:r w:rsidR="000D3C3D" w:rsidRPr="00EC6A2E">
            <w:rPr>
              <w:rFonts w:cs="Arial"/>
            </w:rPr>
            <w:t>and</w:t>
          </w:r>
          <w:r w:rsidRPr="00EC6A2E">
            <w:rPr>
              <w:rFonts w:cs="Arial"/>
            </w:rPr>
            <w:t xml:space="preserve"> Saha, B. B.</w:t>
          </w:r>
          <w:r w:rsidR="00F4328A" w:rsidRPr="00EC6A2E">
            <w:rPr>
              <w:rFonts w:cs="Arial"/>
            </w:rPr>
            <w:t>,</w:t>
          </w:r>
          <w:r w:rsidRPr="00EC6A2E">
            <w:rPr>
              <w:rFonts w:cs="Arial"/>
            </w:rPr>
            <w:t xml:space="preserve"> 2019</w:t>
          </w:r>
          <w:r w:rsidR="00F4328A" w:rsidRPr="00EC6A2E">
            <w:rPr>
              <w:rFonts w:cs="Arial"/>
            </w:rPr>
            <w:t>,</w:t>
          </w:r>
          <w:r w:rsidRPr="00EC6A2E">
            <w:rPr>
              <w:rFonts w:cs="Arial"/>
            </w:rPr>
            <w:t xml:space="preserve"> A statistical approach to determine optimal models for IUPAC-classified adsorption isotherms</w:t>
          </w:r>
          <w:r w:rsidR="00F4328A" w:rsidRPr="00EC6A2E">
            <w:rPr>
              <w:rFonts w:cs="Arial"/>
            </w:rPr>
            <w:t>,</w:t>
          </w:r>
          <w:r w:rsidRPr="00EC6A2E">
            <w:rPr>
              <w:rFonts w:cs="Arial"/>
            </w:rPr>
            <w:t xml:space="preserve"> </w:t>
          </w:r>
          <w:r w:rsidRPr="00EC6A2E">
            <w:rPr>
              <w:rFonts w:cs="Arial"/>
              <w:lang w:val="en-US"/>
            </w:rPr>
            <w:t>Energies, 12</w:t>
          </w:r>
          <w:r w:rsidR="00F4328A" w:rsidRPr="00EC6A2E">
            <w:rPr>
              <w:rFonts w:cs="Arial"/>
              <w:lang w:val="en-US"/>
            </w:rPr>
            <w:t>, 4565</w:t>
          </w:r>
          <w:r w:rsidRPr="00EC6A2E">
            <w:rPr>
              <w:rFonts w:cs="Arial"/>
              <w:lang w:val="en-US"/>
            </w:rPr>
            <w:t>.</w:t>
          </w:r>
        </w:p>
        <w:p w14:paraId="55246F72" w14:textId="530AD8DC" w:rsidR="00461959" w:rsidRPr="00EC6A2E" w:rsidRDefault="00461959">
          <w:pPr>
            <w:autoSpaceDE w:val="0"/>
            <w:autoSpaceDN w:val="0"/>
            <w:ind w:hanging="480"/>
            <w:divId w:val="1370450115"/>
            <w:rPr>
              <w:rFonts w:cs="Arial"/>
            </w:rPr>
          </w:pPr>
          <w:r w:rsidRPr="00EC6A2E">
            <w:rPr>
              <w:rFonts w:cs="Arial"/>
              <w:lang w:val="en-US"/>
            </w:rPr>
            <w:t xml:space="preserve">Sevilla, M., </w:t>
          </w:r>
          <w:r w:rsidR="000D3C3D" w:rsidRPr="00EC6A2E">
            <w:rPr>
              <w:rFonts w:cs="Arial"/>
              <w:lang w:val="en-US"/>
            </w:rPr>
            <w:t>and</w:t>
          </w:r>
          <w:r w:rsidRPr="00EC6A2E">
            <w:rPr>
              <w:rFonts w:cs="Arial"/>
              <w:lang w:val="en-US"/>
            </w:rPr>
            <w:t xml:space="preserve"> Fuertes, A. B.</w:t>
          </w:r>
          <w:r w:rsidR="00747DA0" w:rsidRPr="00EC6A2E">
            <w:rPr>
              <w:rFonts w:cs="Arial"/>
              <w:lang w:val="en-US"/>
            </w:rPr>
            <w:t>,</w:t>
          </w:r>
          <w:r w:rsidRPr="00EC6A2E">
            <w:rPr>
              <w:rFonts w:cs="Arial"/>
              <w:lang w:val="en-US"/>
            </w:rPr>
            <w:t xml:space="preserve"> 2009</w:t>
          </w:r>
          <w:r w:rsidR="00747DA0" w:rsidRPr="00EC6A2E">
            <w:rPr>
              <w:rFonts w:cs="Arial"/>
              <w:lang w:val="en-US"/>
            </w:rPr>
            <w:t>,</w:t>
          </w:r>
          <w:r w:rsidRPr="00EC6A2E">
            <w:rPr>
              <w:rFonts w:cs="Arial"/>
              <w:lang w:val="en-US"/>
            </w:rPr>
            <w:t xml:space="preserve"> </w:t>
          </w:r>
          <w:r w:rsidRPr="00EC6A2E">
            <w:rPr>
              <w:rFonts w:cs="Arial"/>
            </w:rPr>
            <w:t>Chemical and structural properties of carbonaceous products obtained by hydrothermal carbonization of saccharides</w:t>
          </w:r>
          <w:r w:rsidR="00747DA0" w:rsidRPr="00EC6A2E">
            <w:rPr>
              <w:rFonts w:cs="Arial"/>
            </w:rPr>
            <w:t>,</w:t>
          </w:r>
          <w:r w:rsidRPr="00EC6A2E">
            <w:rPr>
              <w:rFonts w:cs="Arial"/>
            </w:rPr>
            <w:t xml:space="preserve"> Chemistry - A European Journal, 15, 4195–4203.</w:t>
          </w:r>
        </w:p>
        <w:p w14:paraId="71D453EF" w14:textId="0F11AA1D" w:rsidR="00461959" w:rsidRPr="00EC6A2E" w:rsidRDefault="00461959">
          <w:pPr>
            <w:autoSpaceDE w:val="0"/>
            <w:autoSpaceDN w:val="0"/>
            <w:ind w:hanging="480"/>
            <w:divId w:val="1979726052"/>
            <w:rPr>
              <w:rFonts w:cs="Arial"/>
            </w:rPr>
          </w:pPr>
          <w:r w:rsidRPr="00EC6A2E">
            <w:rPr>
              <w:rFonts w:cs="Arial"/>
            </w:rPr>
            <w:t xml:space="preserve">Shahid, S. A., Zaman, M., </w:t>
          </w:r>
          <w:r w:rsidR="000D3C3D" w:rsidRPr="00EC6A2E">
            <w:rPr>
              <w:rFonts w:cs="Arial"/>
            </w:rPr>
            <w:t>and</w:t>
          </w:r>
          <w:r w:rsidRPr="00EC6A2E">
            <w:rPr>
              <w:rFonts w:cs="Arial"/>
            </w:rPr>
            <w:t xml:space="preserve"> Heng, L.</w:t>
          </w:r>
          <w:r w:rsidR="00350DF3" w:rsidRPr="00EC6A2E">
            <w:rPr>
              <w:rFonts w:cs="Arial"/>
            </w:rPr>
            <w:t>,</w:t>
          </w:r>
          <w:r w:rsidRPr="00EC6A2E">
            <w:rPr>
              <w:rFonts w:cs="Arial"/>
            </w:rPr>
            <w:t xml:space="preserve"> 2018</w:t>
          </w:r>
          <w:r w:rsidR="00350DF3" w:rsidRPr="00EC6A2E">
            <w:rPr>
              <w:rFonts w:cs="Arial"/>
            </w:rPr>
            <w:t>,</w:t>
          </w:r>
          <w:r w:rsidRPr="00EC6A2E">
            <w:rPr>
              <w:rFonts w:cs="Arial"/>
            </w:rPr>
            <w:t xml:space="preserve"> Soil Salinity: Historical Perspectives and a World Overview of the Problem</w:t>
          </w:r>
          <w:r w:rsidR="00350DF3" w:rsidRPr="00EC6A2E">
            <w:rPr>
              <w:rFonts w:cs="Arial"/>
            </w:rPr>
            <w:t>,</w:t>
          </w:r>
          <w:r w:rsidR="006620CD" w:rsidRPr="00EC6A2E">
            <w:rPr>
              <w:rFonts w:cs="Arial"/>
            </w:rPr>
            <w:t xml:space="preserve"> Chapter</w:t>
          </w:r>
          <w:r w:rsidRPr="00EC6A2E">
            <w:rPr>
              <w:rFonts w:cs="Arial"/>
            </w:rPr>
            <w:t xml:space="preserve"> </w:t>
          </w:r>
          <w:r w:rsidR="006620CD" w:rsidRPr="00EC6A2E">
            <w:rPr>
              <w:rFonts w:cs="Arial"/>
            </w:rPr>
            <w:t xml:space="preserve">In: M. Zaman, S. A. Shahid, &amp; L. Heng (Eds.), </w:t>
          </w:r>
          <w:r w:rsidRPr="00EC6A2E">
            <w:rPr>
              <w:rFonts w:cs="Arial"/>
            </w:rPr>
            <w:t>Guideline for Salinity Assessment, Mitigation and Adaptation Using Nuclear and Related Techniques</w:t>
          </w:r>
          <w:r w:rsidR="006620CD" w:rsidRPr="00EC6A2E">
            <w:rPr>
              <w:rFonts w:cs="Arial"/>
            </w:rPr>
            <w:t>,</w:t>
          </w:r>
          <w:r w:rsidRPr="00EC6A2E">
            <w:rPr>
              <w:rFonts w:cs="Arial"/>
            </w:rPr>
            <w:t xml:space="preserve"> Springer International Publishing</w:t>
          </w:r>
          <w:r w:rsidR="006620CD" w:rsidRPr="00EC6A2E">
            <w:rPr>
              <w:rFonts w:cs="Arial"/>
            </w:rPr>
            <w:t>, 43–53.</w:t>
          </w:r>
        </w:p>
        <w:p w14:paraId="79A4EAC3" w14:textId="103118A9" w:rsidR="00461959" w:rsidRPr="00EC6A2E" w:rsidRDefault="00461959">
          <w:pPr>
            <w:autoSpaceDE w:val="0"/>
            <w:autoSpaceDN w:val="0"/>
            <w:ind w:hanging="480"/>
            <w:divId w:val="1622220825"/>
            <w:rPr>
              <w:rFonts w:cs="Arial"/>
            </w:rPr>
          </w:pPr>
          <w:r w:rsidRPr="00EC6A2E">
            <w:rPr>
              <w:rFonts w:cs="Arial"/>
            </w:rPr>
            <w:t xml:space="preserve">Stavi, I., Thevs, N., </w:t>
          </w:r>
          <w:r w:rsidR="000D3C3D" w:rsidRPr="00EC6A2E">
            <w:rPr>
              <w:rFonts w:cs="Arial"/>
            </w:rPr>
            <w:t>and</w:t>
          </w:r>
          <w:r w:rsidRPr="00EC6A2E">
            <w:rPr>
              <w:rFonts w:cs="Arial"/>
            </w:rPr>
            <w:t xml:space="preserve"> Priori, S.</w:t>
          </w:r>
          <w:r w:rsidR="005415F4" w:rsidRPr="00EC6A2E">
            <w:rPr>
              <w:rFonts w:cs="Arial"/>
            </w:rPr>
            <w:t>,</w:t>
          </w:r>
          <w:r w:rsidRPr="00EC6A2E">
            <w:rPr>
              <w:rFonts w:cs="Arial"/>
            </w:rPr>
            <w:t xml:space="preserve"> 2021</w:t>
          </w:r>
          <w:r w:rsidR="005415F4" w:rsidRPr="00EC6A2E">
            <w:rPr>
              <w:rFonts w:cs="Arial"/>
            </w:rPr>
            <w:t>,</w:t>
          </w:r>
          <w:r w:rsidRPr="00EC6A2E">
            <w:rPr>
              <w:rFonts w:cs="Arial"/>
            </w:rPr>
            <w:t xml:space="preserve"> Soil Salinity and Sodicity in Drylands: A Review of Causes, Effects, Monitoring, and Restoration Measures</w:t>
          </w:r>
          <w:r w:rsidR="005415F4" w:rsidRPr="00EC6A2E">
            <w:rPr>
              <w:rFonts w:cs="Arial"/>
            </w:rPr>
            <w:t>,</w:t>
          </w:r>
          <w:r w:rsidRPr="00EC6A2E">
            <w:rPr>
              <w:rFonts w:cs="Arial"/>
            </w:rPr>
            <w:t xml:space="preserve"> In Frontiers in Environmental Science</w:t>
          </w:r>
          <w:r w:rsidR="005415F4" w:rsidRPr="00EC6A2E">
            <w:rPr>
              <w:rFonts w:cs="Arial"/>
            </w:rPr>
            <w:t xml:space="preserve">, </w:t>
          </w:r>
          <w:r w:rsidRPr="00EC6A2E">
            <w:rPr>
              <w:rFonts w:cs="Arial"/>
            </w:rPr>
            <w:t>Frontiers Media S.A</w:t>
          </w:r>
          <w:r w:rsidR="005415F4" w:rsidRPr="00EC6A2E">
            <w:rPr>
              <w:rFonts w:cs="Arial"/>
            </w:rPr>
            <w:t>, 9, 712831.</w:t>
          </w:r>
        </w:p>
        <w:p w14:paraId="46CF2D41" w14:textId="7CBD7617" w:rsidR="00461959" w:rsidRPr="00EC6A2E" w:rsidRDefault="00461959">
          <w:pPr>
            <w:autoSpaceDE w:val="0"/>
            <w:autoSpaceDN w:val="0"/>
            <w:ind w:hanging="480"/>
            <w:divId w:val="871116669"/>
            <w:rPr>
              <w:rFonts w:cs="Arial"/>
            </w:rPr>
          </w:pPr>
          <w:r w:rsidRPr="00EC6A2E">
            <w:rPr>
              <w:rFonts w:cs="Arial"/>
              <w:lang w:val="en-US"/>
            </w:rPr>
            <w:t xml:space="preserve">Suarez, E., Tobajas, M., Mohedano, A. F., Reguera, M., Esteban, E., </w:t>
          </w:r>
          <w:r w:rsidR="000D3C3D" w:rsidRPr="00EC6A2E">
            <w:rPr>
              <w:rFonts w:cs="Arial"/>
              <w:lang w:val="en-US"/>
            </w:rPr>
            <w:t>and</w:t>
          </w:r>
          <w:r w:rsidRPr="00EC6A2E">
            <w:rPr>
              <w:rFonts w:cs="Arial"/>
              <w:lang w:val="en-US"/>
            </w:rPr>
            <w:t xml:space="preserve"> de la Rubia, A.</w:t>
          </w:r>
          <w:r w:rsidR="005208FF" w:rsidRPr="00EC6A2E">
            <w:rPr>
              <w:rFonts w:cs="Arial"/>
              <w:lang w:val="en-US"/>
            </w:rPr>
            <w:t>,</w:t>
          </w:r>
          <w:r w:rsidRPr="00EC6A2E">
            <w:rPr>
              <w:rFonts w:cs="Arial"/>
              <w:lang w:val="en-US"/>
            </w:rPr>
            <w:t xml:space="preserve"> 2023</w:t>
          </w:r>
          <w:r w:rsidR="005208FF" w:rsidRPr="00EC6A2E">
            <w:rPr>
              <w:rFonts w:cs="Arial"/>
              <w:lang w:val="en-US"/>
            </w:rPr>
            <w:t>,</w:t>
          </w:r>
          <w:r w:rsidRPr="00EC6A2E">
            <w:rPr>
              <w:rFonts w:cs="Arial"/>
              <w:lang w:val="en-US"/>
            </w:rPr>
            <w:t xml:space="preserve"> </w:t>
          </w:r>
          <w:r w:rsidRPr="00EC6A2E">
            <w:rPr>
              <w:rFonts w:cs="Arial"/>
            </w:rPr>
            <w:t>Effect of garden and park waste hydrochar and biochar in soil application: a comparative study</w:t>
          </w:r>
          <w:r w:rsidR="005208FF" w:rsidRPr="00EC6A2E">
            <w:rPr>
              <w:rFonts w:cs="Arial"/>
            </w:rPr>
            <w:t>,</w:t>
          </w:r>
          <w:r w:rsidRPr="00EC6A2E">
            <w:rPr>
              <w:rFonts w:cs="Arial"/>
            </w:rPr>
            <w:t xml:space="preserve"> Biomass Conversion and Biorefinery, 13, 16479–16493.</w:t>
          </w:r>
        </w:p>
        <w:p w14:paraId="1507FE8B" w14:textId="42E941EF" w:rsidR="00461959" w:rsidRPr="00EC6A2E" w:rsidRDefault="00461959">
          <w:pPr>
            <w:autoSpaceDE w:val="0"/>
            <w:autoSpaceDN w:val="0"/>
            <w:ind w:hanging="480"/>
            <w:divId w:val="1452551125"/>
            <w:rPr>
              <w:rFonts w:cs="Arial"/>
            </w:rPr>
          </w:pPr>
          <w:r w:rsidRPr="00EC6A2E">
            <w:rPr>
              <w:rFonts w:cs="Arial"/>
            </w:rPr>
            <w:t xml:space="preserve">Wen, H., Li, J., Wang, X., Mao, W., He, Y., Cao, X., Yang, H., Zhang, J., Xu, S., </w:t>
          </w:r>
          <w:r w:rsidR="000D3C3D" w:rsidRPr="00EC6A2E">
            <w:rPr>
              <w:rFonts w:cs="Arial"/>
            </w:rPr>
            <w:t>and</w:t>
          </w:r>
          <w:r w:rsidRPr="00EC6A2E">
            <w:rPr>
              <w:rFonts w:cs="Arial"/>
            </w:rPr>
            <w:t xml:space="preserve"> Gu, L.</w:t>
          </w:r>
          <w:r w:rsidR="003C0965" w:rsidRPr="00EC6A2E">
            <w:rPr>
              <w:rFonts w:cs="Arial"/>
            </w:rPr>
            <w:t>,</w:t>
          </w:r>
          <w:r w:rsidRPr="00EC6A2E">
            <w:rPr>
              <w:rFonts w:cs="Arial"/>
            </w:rPr>
            <w:t xml:space="preserve"> 2025</w:t>
          </w:r>
          <w:r w:rsidR="003C0965" w:rsidRPr="00EC6A2E">
            <w:rPr>
              <w:rFonts w:cs="Arial"/>
            </w:rPr>
            <w:t>,</w:t>
          </w:r>
          <w:r w:rsidRPr="00EC6A2E">
            <w:rPr>
              <w:rFonts w:cs="Arial"/>
            </w:rPr>
            <w:t xml:space="preserve"> Comparative study on combustion characteristics of biomass digestate-derived pyrochar and hydrochar: Insights from structural composition and oxygen-containing groups. Fuel, 389</w:t>
          </w:r>
          <w:r w:rsidR="00342EFF" w:rsidRPr="00EC6A2E">
            <w:rPr>
              <w:rFonts w:cs="Arial"/>
            </w:rPr>
            <w:t>, 134627.</w:t>
          </w:r>
          <w:r w:rsidRPr="00EC6A2E">
            <w:rPr>
              <w:rFonts w:cs="Arial"/>
            </w:rPr>
            <w:t xml:space="preserve"> </w:t>
          </w:r>
          <w:r w:rsidR="00342EFF" w:rsidRPr="00EC6A2E">
            <w:rPr>
              <w:rFonts w:cs="Arial"/>
            </w:rPr>
            <w:tab/>
          </w:r>
        </w:p>
        <w:p w14:paraId="6EBCCB7F" w14:textId="589A179C" w:rsidR="00461959" w:rsidRPr="00EC6A2E" w:rsidRDefault="00461959" w:rsidP="005031CD">
          <w:pPr>
            <w:autoSpaceDE w:val="0"/>
            <w:autoSpaceDN w:val="0"/>
            <w:ind w:hanging="480"/>
            <w:divId w:val="1138566817"/>
            <w:rPr>
              <w:rFonts w:cs="Arial"/>
            </w:rPr>
          </w:pPr>
          <w:r w:rsidRPr="00EC6A2E">
            <w:rPr>
              <w:rFonts w:cs="Arial"/>
            </w:rPr>
            <w:t xml:space="preserve">Wu, B., Yang, H., Li, S., </w:t>
          </w:r>
          <w:r w:rsidR="000D3C3D" w:rsidRPr="00EC6A2E">
            <w:rPr>
              <w:rFonts w:cs="Arial"/>
            </w:rPr>
            <w:t>and</w:t>
          </w:r>
          <w:r w:rsidRPr="00EC6A2E">
            <w:rPr>
              <w:rFonts w:cs="Arial"/>
            </w:rPr>
            <w:t xml:space="preserve"> Tao, J.</w:t>
          </w:r>
          <w:r w:rsidR="005031CD" w:rsidRPr="00EC6A2E">
            <w:rPr>
              <w:rFonts w:cs="Arial"/>
            </w:rPr>
            <w:t>,</w:t>
          </w:r>
          <w:r w:rsidRPr="00EC6A2E">
            <w:rPr>
              <w:rFonts w:cs="Arial"/>
            </w:rPr>
            <w:t xml:space="preserve"> 2024</w:t>
          </w:r>
          <w:r w:rsidR="005031CD" w:rsidRPr="00EC6A2E">
            <w:rPr>
              <w:rFonts w:cs="Arial"/>
            </w:rPr>
            <w:t>,</w:t>
          </w:r>
          <w:r w:rsidRPr="00EC6A2E">
            <w:rPr>
              <w:rFonts w:cs="Arial"/>
            </w:rPr>
            <w:t xml:space="preserve"> The effect of biochar on crop productivity and soil salinity and its dependence on experimental conditions in salt-affected soils: a meta-analysis</w:t>
          </w:r>
          <w:r w:rsidR="005031CD" w:rsidRPr="00EC6A2E">
            <w:rPr>
              <w:rFonts w:cs="Arial"/>
            </w:rPr>
            <w:t>,</w:t>
          </w:r>
          <w:r w:rsidRPr="00EC6A2E">
            <w:rPr>
              <w:rFonts w:cs="Arial"/>
            </w:rPr>
            <w:t xml:space="preserve"> Carbon Research, 3, </w:t>
          </w:r>
          <w:r w:rsidR="0093423B" w:rsidRPr="00EC6A2E">
            <w:rPr>
              <w:rFonts w:cs="Arial"/>
            </w:rPr>
            <w:t>56</w:t>
          </w:r>
          <w:r w:rsidRPr="00EC6A2E">
            <w:rPr>
              <w:rFonts w:cs="Arial"/>
            </w:rPr>
            <w:t>.</w:t>
          </w:r>
        </w:p>
        <w:p w14:paraId="5BD7BF65" w14:textId="0AF25A83" w:rsidR="00461959" w:rsidRPr="00EC6A2E" w:rsidRDefault="00461959">
          <w:pPr>
            <w:autoSpaceDE w:val="0"/>
            <w:autoSpaceDN w:val="0"/>
            <w:ind w:hanging="480"/>
            <w:divId w:val="1172139477"/>
            <w:rPr>
              <w:rFonts w:cs="Arial"/>
            </w:rPr>
          </w:pPr>
          <w:r w:rsidRPr="00EC6A2E">
            <w:rPr>
              <w:rFonts w:cs="Arial"/>
            </w:rPr>
            <w:t xml:space="preserve">Wu, S., Wang, Q., Cui, D., Wu, D., Bai, J., Qin, H., Xu, F., </w:t>
          </w:r>
          <w:r w:rsidR="000D3C3D" w:rsidRPr="00EC6A2E">
            <w:rPr>
              <w:rFonts w:cs="Arial"/>
            </w:rPr>
            <w:t>and</w:t>
          </w:r>
          <w:r w:rsidRPr="00EC6A2E">
            <w:rPr>
              <w:rFonts w:cs="Arial"/>
            </w:rPr>
            <w:t xml:space="preserve"> Wang, Z.</w:t>
          </w:r>
          <w:r w:rsidR="00FB39EB" w:rsidRPr="00EC6A2E">
            <w:rPr>
              <w:rFonts w:cs="Arial"/>
            </w:rPr>
            <w:t>,</w:t>
          </w:r>
          <w:r w:rsidRPr="00EC6A2E">
            <w:rPr>
              <w:rFonts w:cs="Arial"/>
            </w:rPr>
            <w:t xml:space="preserve"> 2023</w:t>
          </w:r>
          <w:r w:rsidR="00FB39EB" w:rsidRPr="00EC6A2E">
            <w:rPr>
              <w:rFonts w:cs="Arial"/>
            </w:rPr>
            <w:t>,</w:t>
          </w:r>
          <w:r w:rsidRPr="00EC6A2E">
            <w:rPr>
              <w:rFonts w:cs="Arial"/>
            </w:rPr>
            <w:t xml:space="preserve"> Insights into the chemical structure evolution and carbonisation mechanism of biomass during hydrothermal treatment</w:t>
          </w:r>
          <w:r w:rsidR="00FB39EB" w:rsidRPr="00EC6A2E">
            <w:rPr>
              <w:rFonts w:cs="Arial"/>
            </w:rPr>
            <w:t>,</w:t>
          </w:r>
          <w:r w:rsidRPr="00EC6A2E">
            <w:rPr>
              <w:rFonts w:cs="Arial"/>
            </w:rPr>
            <w:t xml:space="preserve"> Journal of the Energy Institute, 108</w:t>
          </w:r>
          <w:r w:rsidR="00FB39EB" w:rsidRPr="00EC6A2E">
            <w:rPr>
              <w:rFonts w:cs="Arial"/>
            </w:rPr>
            <w:t>, 101257.</w:t>
          </w:r>
        </w:p>
        <w:p w14:paraId="7ED6740F" w14:textId="1B94EEFE" w:rsidR="00461959" w:rsidRPr="00EC6A2E" w:rsidRDefault="00461959">
          <w:pPr>
            <w:autoSpaceDE w:val="0"/>
            <w:autoSpaceDN w:val="0"/>
            <w:ind w:hanging="480"/>
            <w:divId w:val="971792067"/>
            <w:rPr>
              <w:rFonts w:cs="Arial"/>
            </w:rPr>
          </w:pPr>
          <w:r w:rsidRPr="00EC6A2E">
            <w:rPr>
              <w:rFonts w:cs="Arial"/>
            </w:rPr>
            <w:t xml:space="preserve">Yang, M., Lu, R., Wei, Y., Guo, Y., Lan, L., Lu, J., Liao, Y., Li, H., Lan, P., </w:t>
          </w:r>
          <w:r w:rsidR="000D3C3D" w:rsidRPr="00EC6A2E">
            <w:rPr>
              <w:rFonts w:cs="Arial"/>
            </w:rPr>
            <w:t>and</w:t>
          </w:r>
          <w:r w:rsidRPr="00EC6A2E">
            <w:rPr>
              <w:rFonts w:cs="Arial"/>
            </w:rPr>
            <w:t xml:space="preserve"> Kou, Z.</w:t>
          </w:r>
          <w:r w:rsidR="00EA232B" w:rsidRPr="00EC6A2E">
            <w:rPr>
              <w:rFonts w:cs="Arial"/>
            </w:rPr>
            <w:t>,</w:t>
          </w:r>
          <w:r w:rsidRPr="00EC6A2E">
            <w:rPr>
              <w:rFonts w:cs="Arial"/>
            </w:rPr>
            <w:t xml:space="preserve"> 2025</w:t>
          </w:r>
          <w:r w:rsidR="00EA232B" w:rsidRPr="00EC6A2E">
            <w:rPr>
              <w:rFonts w:cs="Arial"/>
            </w:rPr>
            <w:t>,</w:t>
          </w:r>
          <w:r w:rsidRPr="00EC6A2E">
            <w:rPr>
              <w:rFonts w:cs="Arial"/>
            </w:rPr>
            <w:t xml:space="preserve"> Preparation of highly functionalised biochar from hydrochloric acid activated bagasse for the efficient removal of metal ions</w:t>
          </w:r>
          <w:r w:rsidR="00EA232B" w:rsidRPr="00EC6A2E">
            <w:rPr>
              <w:rFonts w:cs="Arial"/>
            </w:rPr>
            <w:t>,</w:t>
          </w:r>
          <w:r w:rsidRPr="00EC6A2E">
            <w:rPr>
              <w:rFonts w:cs="Arial"/>
            </w:rPr>
            <w:t xml:space="preserve"> Process Safety and Environmental Protection, 195</w:t>
          </w:r>
          <w:r w:rsidR="00EA232B" w:rsidRPr="00EC6A2E">
            <w:rPr>
              <w:rFonts w:cs="Arial"/>
            </w:rPr>
            <w:t>, 106736.</w:t>
          </w:r>
        </w:p>
        <w:p w14:paraId="3942FF29" w14:textId="042F52A6" w:rsidR="00183161" w:rsidRDefault="00461959" w:rsidP="00183161">
          <w:pPr>
            <w:pStyle w:val="CETBodytext"/>
            <w:rPr>
              <w:rFonts w:cs="Arial"/>
              <w:color w:val="000000"/>
            </w:rPr>
          </w:pPr>
          <w:r w:rsidRPr="00EC6A2E">
            <w:rPr>
              <w:rFonts w:cs="Arial"/>
            </w:rPr>
            <w:t> </w:t>
          </w:r>
        </w:p>
      </w:sdtContent>
    </w:sdt>
    <w:sectPr w:rsidR="00183161"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F25EAD" w14:textId="77777777" w:rsidR="00474E11" w:rsidRDefault="00474E11" w:rsidP="004F5E36">
      <w:r>
        <w:separator/>
      </w:r>
    </w:p>
  </w:endnote>
  <w:endnote w:type="continuationSeparator" w:id="0">
    <w:p w14:paraId="20A61E5A" w14:textId="77777777" w:rsidR="00474E11" w:rsidRDefault="00474E11"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badi">
    <w:altName w:val="Abadi"/>
    <w:charset w:val="00"/>
    <w:family w:val="swiss"/>
    <w:pitch w:val="variable"/>
    <w:sig w:usb0="80000003"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D61DBE" w14:textId="77777777" w:rsidR="00474E11" w:rsidRDefault="00474E11" w:rsidP="004F5E36">
      <w:r>
        <w:separator/>
      </w:r>
    </w:p>
  </w:footnote>
  <w:footnote w:type="continuationSeparator" w:id="0">
    <w:p w14:paraId="28197386" w14:textId="77777777" w:rsidR="00474E11" w:rsidRDefault="00474E11"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D4153A1"/>
    <w:multiLevelType w:val="multilevel"/>
    <w:tmpl w:val="3D926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1"/>
  </w:num>
  <w:num w:numId="16" w16cid:durableId="1977102699">
    <w:abstractNumId w:val="20"/>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 w:numId="23" w16cid:durableId="55118855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2DCF"/>
    <w:rsid w:val="00003EB2"/>
    <w:rsid w:val="00005245"/>
    <w:rsid w:val="000052FB"/>
    <w:rsid w:val="00005884"/>
    <w:rsid w:val="00005A19"/>
    <w:rsid w:val="000117CB"/>
    <w:rsid w:val="0001546A"/>
    <w:rsid w:val="0002342F"/>
    <w:rsid w:val="00024039"/>
    <w:rsid w:val="000264F2"/>
    <w:rsid w:val="00027876"/>
    <w:rsid w:val="0003024C"/>
    <w:rsid w:val="0003148D"/>
    <w:rsid w:val="00031EEC"/>
    <w:rsid w:val="00045475"/>
    <w:rsid w:val="00045CC7"/>
    <w:rsid w:val="00045DB8"/>
    <w:rsid w:val="00046969"/>
    <w:rsid w:val="00047AD8"/>
    <w:rsid w:val="00051566"/>
    <w:rsid w:val="00053968"/>
    <w:rsid w:val="000562A9"/>
    <w:rsid w:val="00062A9A"/>
    <w:rsid w:val="00063856"/>
    <w:rsid w:val="000638B5"/>
    <w:rsid w:val="00065058"/>
    <w:rsid w:val="00067C38"/>
    <w:rsid w:val="00074B84"/>
    <w:rsid w:val="00076C9F"/>
    <w:rsid w:val="00084F42"/>
    <w:rsid w:val="00086C39"/>
    <w:rsid w:val="000916EF"/>
    <w:rsid w:val="00093FCA"/>
    <w:rsid w:val="00097174"/>
    <w:rsid w:val="000A03B2"/>
    <w:rsid w:val="000A6867"/>
    <w:rsid w:val="000A7FF3"/>
    <w:rsid w:val="000B1363"/>
    <w:rsid w:val="000B3035"/>
    <w:rsid w:val="000B3D77"/>
    <w:rsid w:val="000B4086"/>
    <w:rsid w:val="000B59AF"/>
    <w:rsid w:val="000C1702"/>
    <w:rsid w:val="000C450B"/>
    <w:rsid w:val="000C7521"/>
    <w:rsid w:val="000C77C5"/>
    <w:rsid w:val="000D0268"/>
    <w:rsid w:val="000D135C"/>
    <w:rsid w:val="000D34BE"/>
    <w:rsid w:val="000D37AE"/>
    <w:rsid w:val="000D3C3D"/>
    <w:rsid w:val="000D6512"/>
    <w:rsid w:val="000D6592"/>
    <w:rsid w:val="000D7BB1"/>
    <w:rsid w:val="000E01F4"/>
    <w:rsid w:val="000E102F"/>
    <w:rsid w:val="000E13A2"/>
    <w:rsid w:val="000E286A"/>
    <w:rsid w:val="000E36F1"/>
    <w:rsid w:val="000E3A73"/>
    <w:rsid w:val="000E414A"/>
    <w:rsid w:val="000E5438"/>
    <w:rsid w:val="000E75FD"/>
    <w:rsid w:val="000F093C"/>
    <w:rsid w:val="000F351E"/>
    <w:rsid w:val="000F6FA8"/>
    <w:rsid w:val="000F787B"/>
    <w:rsid w:val="00101B4B"/>
    <w:rsid w:val="00101F02"/>
    <w:rsid w:val="0010547E"/>
    <w:rsid w:val="00114331"/>
    <w:rsid w:val="00114571"/>
    <w:rsid w:val="00116DDE"/>
    <w:rsid w:val="0012091F"/>
    <w:rsid w:val="00121BA2"/>
    <w:rsid w:val="00122251"/>
    <w:rsid w:val="0012247D"/>
    <w:rsid w:val="00124AAD"/>
    <w:rsid w:val="00124ADA"/>
    <w:rsid w:val="00126BC2"/>
    <w:rsid w:val="00127134"/>
    <w:rsid w:val="001277F3"/>
    <w:rsid w:val="001308B6"/>
    <w:rsid w:val="0013121F"/>
    <w:rsid w:val="001315A2"/>
    <w:rsid w:val="00131835"/>
    <w:rsid w:val="00131FE6"/>
    <w:rsid w:val="0013263F"/>
    <w:rsid w:val="001331DF"/>
    <w:rsid w:val="00134DE4"/>
    <w:rsid w:val="0013796E"/>
    <w:rsid w:val="0014034D"/>
    <w:rsid w:val="00140FE3"/>
    <w:rsid w:val="001424E8"/>
    <w:rsid w:val="00144D16"/>
    <w:rsid w:val="00144F13"/>
    <w:rsid w:val="0014594E"/>
    <w:rsid w:val="00146DD0"/>
    <w:rsid w:val="001472FD"/>
    <w:rsid w:val="00150E59"/>
    <w:rsid w:val="0015255F"/>
    <w:rsid w:val="00152DE3"/>
    <w:rsid w:val="00157043"/>
    <w:rsid w:val="0016082C"/>
    <w:rsid w:val="00163F9B"/>
    <w:rsid w:val="00164374"/>
    <w:rsid w:val="00164CF9"/>
    <w:rsid w:val="001667A6"/>
    <w:rsid w:val="00170B59"/>
    <w:rsid w:val="0018115B"/>
    <w:rsid w:val="00183161"/>
    <w:rsid w:val="00184AD6"/>
    <w:rsid w:val="0018738F"/>
    <w:rsid w:val="00194257"/>
    <w:rsid w:val="001949C4"/>
    <w:rsid w:val="00195DD9"/>
    <w:rsid w:val="001962C9"/>
    <w:rsid w:val="001A243E"/>
    <w:rsid w:val="001A4AF7"/>
    <w:rsid w:val="001A4E51"/>
    <w:rsid w:val="001A678D"/>
    <w:rsid w:val="001B0349"/>
    <w:rsid w:val="001B1E93"/>
    <w:rsid w:val="001B26EC"/>
    <w:rsid w:val="001B283C"/>
    <w:rsid w:val="001B5505"/>
    <w:rsid w:val="001B580D"/>
    <w:rsid w:val="001B5B7C"/>
    <w:rsid w:val="001B65C1"/>
    <w:rsid w:val="001B7546"/>
    <w:rsid w:val="001C260F"/>
    <w:rsid w:val="001C33F1"/>
    <w:rsid w:val="001C56AC"/>
    <w:rsid w:val="001C6450"/>
    <w:rsid w:val="001C684B"/>
    <w:rsid w:val="001C7C7D"/>
    <w:rsid w:val="001D0CFB"/>
    <w:rsid w:val="001D21AF"/>
    <w:rsid w:val="001D3DB2"/>
    <w:rsid w:val="001D53FC"/>
    <w:rsid w:val="001E026C"/>
    <w:rsid w:val="001E18D2"/>
    <w:rsid w:val="001E4027"/>
    <w:rsid w:val="001E7E6B"/>
    <w:rsid w:val="001E7EC3"/>
    <w:rsid w:val="001F15C8"/>
    <w:rsid w:val="001F2B3D"/>
    <w:rsid w:val="001F42A5"/>
    <w:rsid w:val="001F7A99"/>
    <w:rsid w:val="001F7B9D"/>
    <w:rsid w:val="00201C93"/>
    <w:rsid w:val="00210C95"/>
    <w:rsid w:val="00210FD2"/>
    <w:rsid w:val="00213719"/>
    <w:rsid w:val="00215B36"/>
    <w:rsid w:val="00217BFA"/>
    <w:rsid w:val="00220BE5"/>
    <w:rsid w:val="002224B4"/>
    <w:rsid w:val="0022403B"/>
    <w:rsid w:val="002257AA"/>
    <w:rsid w:val="002329BC"/>
    <w:rsid w:val="00235560"/>
    <w:rsid w:val="002359E4"/>
    <w:rsid w:val="00240B19"/>
    <w:rsid w:val="0024329A"/>
    <w:rsid w:val="002447EF"/>
    <w:rsid w:val="00251550"/>
    <w:rsid w:val="00251DE0"/>
    <w:rsid w:val="00254932"/>
    <w:rsid w:val="00254CA0"/>
    <w:rsid w:val="00255EAF"/>
    <w:rsid w:val="00256DE9"/>
    <w:rsid w:val="00257059"/>
    <w:rsid w:val="00257695"/>
    <w:rsid w:val="00262732"/>
    <w:rsid w:val="00262C85"/>
    <w:rsid w:val="00263B05"/>
    <w:rsid w:val="00270883"/>
    <w:rsid w:val="0027221A"/>
    <w:rsid w:val="00272651"/>
    <w:rsid w:val="00275B61"/>
    <w:rsid w:val="00280D57"/>
    <w:rsid w:val="00280FAF"/>
    <w:rsid w:val="00282656"/>
    <w:rsid w:val="00286933"/>
    <w:rsid w:val="00287DAA"/>
    <w:rsid w:val="00290019"/>
    <w:rsid w:val="00293C43"/>
    <w:rsid w:val="00294107"/>
    <w:rsid w:val="00295090"/>
    <w:rsid w:val="00296163"/>
    <w:rsid w:val="00296B83"/>
    <w:rsid w:val="002A29FA"/>
    <w:rsid w:val="002A4593"/>
    <w:rsid w:val="002A77B5"/>
    <w:rsid w:val="002B2AE1"/>
    <w:rsid w:val="002B4015"/>
    <w:rsid w:val="002B5335"/>
    <w:rsid w:val="002B5C01"/>
    <w:rsid w:val="002B78CE"/>
    <w:rsid w:val="002B7CF7"/>
    <w:rsid w:val="002B7F9E"/>
    <w:rsid w:val="002C2FB6"/>
    <w:rsid w:val="002C54D1"/>
    <w:rsid w:val="002C5D74"/>
    <w:rsid w:val="002D01AD"/>
    <w:rsid w:val="002D303A"/>
    <w:rsid w:val="002E1B5F"/>
    <w:rsid w:val="002E5870"/>
    <w:rsid w:val="002E5FA7"/>
    <w:rsid w:val="002F3309"/>
    <w:rsid w:val="002F771A"/>
    <w:rsid w:val="00300687"/>
    <w:rsid w:val="003008CE"/>
    <w:rsid w:val="003009B7"/>
    <w:rsid w:val="00300E56"/>
    <w:rsid w:val="0030152C"/>
    <w:rsid w:val="0030469C"/>
    <w:rsid w:val="003048CA"/>
    <w:rsid w:val="003106AC"/>
    <w:rsid w:val="00310CDF"/>
    <w:rsid w:val="00312C14"/>
    <w:rsid w:val="00312EF5"/>
    <w:rsid w:val="003158B4"/>
    <w:rsid w:val="00315EB0"/>
    <w:rsid w:val="003162C3"/>
    <w:rsid w:val="003200D7"/>
    <w:rsid w:val="00321CA6"/>
    <w:rsid w:val="00321EFE"/>
    <w:rsid w:val="00323763"/>
    <w:rsid w:val="0032382D"/>
    <w:rsid w:val="003239BA"/>
    <w:rsid w:val="00323C5F"/>
    <w:rsid w:val="003251FB"/>
    <w:rsid w:val="00332416"/>
    <w:rsid w:val="00334C09"/>
    <w:rsid w:val="003378A0"/>
    <w:rsid w:val="00342EFF"/>
    <w:rsid w:val="00344601"/>
    <w:rsid w:val="00350DF3"/>
    <w:rsid w:val="00351A24"/>
    <w:rsid w:val="0035454D"/>
    <w:rsid w:val="00357600"/>
    <w:rsid w:val="003618C2"/>
    <w:rsid w:val="003626BD"/>
    <w:rsid w:val="0036352F"/>
    <w:rsid w:val="00365CA7"/>
    <w:rsid w:val="003723D4"/>
    <w:rsid w:val="00375E47"/>
    <w:rsid w:val="00376856"/>
    <w:rsid w:val="003771A7"/>
    <w:rsid w:val="0038026D"/>
    <w:rsid w:val="00381905"/>
    <w:rsid w:val="00384CC8"/>
    <w:rsid w:val="00385DE2"/>
    <w:rsid w:val="003869BE"/>
    <w:rsid w:val="003871FD"/>
    <w:rsid w:val="00390F62"/>
    <w:rsid w:val="00391643"/>
    <w:rsid w:val="003939D1"/>
    <w:rsid w:val="0039517A"/>
    <w:rsid w:val="0039596B"/>
    <w:rsid w:val="003A0FB0"/>
    <w:rsid w:val="003A1D83"/>
    <w:rsid w:val="003A1E30"/>
    <w:rsid w:val="003A2829"/>
    <w:rsid w:val="003A6FA1"/>
    <w:rsid w:val="003A7D1C"/>
    <w:rsid w:val="003B304B"/>
    <w:rsid w:val="003B3146"/>
    <w:rsid w:val="003B397C"/>
    <w:rsid w:val="003B4EA5"/>
    <w:rsid w:val="003C0965"/>
    <w:rsid w:val="003C63DA"/>
    <w:rsid w:val="003D1D26"/>
    <w:rsid w:val="003D1E02"/>
    <w:rsid w:val="003D246D"/>
    <w:rsid w:val="003D5B2B"/>
    <w:rsid w:val="003D6724"/>
    <w:rsid w:val="003D67D5"/>
    <w:rsid w:val="003E22E1"/>
    <w:rsid w:val="003F015E"/>
    <w:rsid w:val="003F52E9"/>
    <w:rsid w:val="003F611F"/>
    <w:rsid w:val="00400414"/>
    <w:rsid w:val="00403BC2"/>
    <w:rsid w:val="004120C3"/>
    <w:rsid w:val="0041446B"/>
    <w:rsid w:val="0041789C"/>
    <w:rsid w:val="00417BF1"/>
    <w:rsid w:val="0042092B"/>
    <w:rsid w:val="00421035"/>
    <w:rsid w:val="00421719"/>
    <w:rsid w:val="00424CD8"/>
    <w:rsid w:val="00430A2E"/>
    <w:rsid w:val="00430DF7"/>
    <w:rsid w:val="00432CC3"/>
    <w:rsid w:val="00435ABF"/>
    <w:rsid w:val="00437FD7"/>
    <w:rsid w:val="0044071E"/>
    <w:rsid w:val="0044329C"/>
    <w:rsid w:val="004432C8"/>
    <w:rsid w:val="004459C0"/>
    <w:rsid w:val="004463E9"/>
    <w:rsid w:val="00451D93"/>
    <w:rsid w:val="00452C8E"/>
    <w:rsid w:val="00453E24"/>
    <w:rsid w:val="00454931"/>
    <w:rsid w:val="0045623E"/>
    <w:rsid w:val="00456E08"/>
    <w:rsid w:val="00457456"/>
    <w:rsid w:val="004577FE"/>
    <w:rsid w:val="00457B9C"/>
    <w:rsid w:val="004606C8"/>
    <w:rsid w:val="004607ED"/>
    <w:rsid w:val="0046164A"/>
    <w:rsid w:val="00461959"/>
    <w:rsid w:val="00462247"/>
    <w:rsid w:val="004628D2"/>
    <w:rsid w:val="00462DCD"/>
    <w:rsid w:val="00463950"/>
    <w:rsid w:val="004648AD"/>
    <w:rsid w:val="004661B8"/>
    <w:rsid w:val="0046749E"/>
    <w:rsid w:val="00467F7D"/>
    <w:rsid w:val="004703A9"/>
    <w:rsid w:val="0047042F"/>
    <w:rsid w:val="004711AE"/>
    <w:rsid w:val="00474E11"/>
    <w:rsid w:val="00475779"/>
    <w:rsid w:val="004758D0"/>
    <w:rsid w:val="004760DE"/>
    <w:rsid w:val="004763D7"/>
    <w:rsid w:val="004850E3"/>
    <w:rsid w:val="00486204"/>
    <w:rsid w:val="0049003C"/>
    <w:rsid w:val="00493EF4"/>
    <w:rsid w:val="00494FDB"/>
    <w:rsid w:val="00495ED7"/>
    <w:rsid w:val="004A004E"/>
    <w:rsid w:val="004A24CF"/>
    <w:rsid w:val="004A25CF"/>
    <w:rsid w:val="004A5E57"/>
    <w:rsid w:val="004B2DA9"/>
    <w:rsid w:val="004B4B88"/>
    <w:rsid w:val="004B5241"/>
    <w:rsid w:val="004B7221"/>
    <w:rsid w:val="004B751F"/>
    <w:rsid w:val="004C0592"/>
    <w:rsid w:val="004C194F"/>
    <w:rsid w:val="004C3D1D"/>
    <w:rsid w:val="004C3D84"/>
    <w:rsid w:val="004C43D3"/>
    <w:rsid w:val="004C7913"/>
    <w:rsid w:val="004D1620"/>
    <w:rsid w:val="004D3070"/>
    <w:rsid w:val="004D3D74"/>
    <w:rsid w:val="004D49D8"/>
    <w:rsid w:val="004D50E7"/>
    <w:rsid w:val="004D6400"/>
    <w:rsid w:val="004E07F1"/>
    <w:rsid w:val="004E0A07"/>
    <w:rsid w:val="004E2813"/>
    <w:rsid w:val="004E49C2"/>
    <w:rsid w:val="004E4DD6"/>
    <w:rsid w:val="004F27CA"/>
    <w:rsid w:val="004F2AA8"/>
    <w:rsid w:val="004F4B7E"/>
    <w:rsid w:val="004F52C6"/>
    <w:rsid w:val="004F5E36"/>
    <w:rsid w:val="004F659E"/>
    <w:rsid w:val="004F7D76"/>
    <w:rsid w:val="00500DE2"/>
    <w:rsid w:val="005031CD"/>
    <w:rsid w:val="005042A0"/>
    <w:rsid w:val="00505E36"/>
    <w:rsid w:val="00507B47"/>
    <w:rsid w:val="00507BEF"/>
    <w:rsid w:val="00507CC9"/>
    <w:rsid w:val="0051014B"/>
    <w:rsid w:val="005119A5"/>
    <w:rsid w:val="005138DC"/>
    <w:rsid w:val="00514D37"/>
    <w:rsid w:val="005208FF"/>
    <w:rsid w:val="00520FB6"/>
    <w:rsid w:val="0052350F"/>
    <w:rsid w:val="00525E54"/>
    <w:rsid w:val="005274F0"/>
    <w:rsid w:val="005278B7"/>
    <w:rsid w:val="00527BDF"/>
    <w:rsid w:val="005300A0"/>
    <w:rsid w:val="00531396"/>
    <w:rsid w:val="00532016"/>
    <w:rsid w:val="005346C8"/>
    <w:rsid w:val="005415F4"/>
    <w:rsid w:val="00543E7D"/>
    <w:rsid w:val="00547A68"/>
    <w:rsid w:val="00551EC9"/>
    <w:rsid w:val="005531C9"/>
    <w:rsid w:val="00553692"/>
    <w:rsid w:val="00556064"/>
    <w:rsid w:val="00556230"/>
    <w:rsid w:val="0055699F"/>
    <w:rsid w:val="00557698"/>
    <w:rsid w:val="00560BF4"/>
    <w:rsid w:val="00561799"/>
    <w:rsid w:val="00565727"/>
    <w:rsid w:val="00570C43"/>
    <w:rsid w:val="00575237"/>
    <w:rsid w:val="00580C25"/>
    <w:rsid w:val="00582DE3"/>
    <w:rsid w:val="00585F4C"/>
    <w:rsid w:val="00586558"/>
    <w:rsid w:val="00592274"/>
    <w:rsid w:val="00593A26"/>
    <w:rsid w:val="005A05D0"/>
    <w:rsid w:val="005A2651"/>
    <w:rsid w:val="005A3DB5"/>
    <w:rsid w:val="005A4AAF"/>
    <w:rsid w:val="005A7BEB"/>
    <w:rsid w:val="005B02D8"/>
    <w:rsid w:val="005B2110"/>
    <w:rsid w:val="005B4CB8"/>
    <w:rsid w:val="005B61E6"/>
    <w:rsid w:val="005C77E1"/>
    <w:rsid w:val="005D668A"/>
    <w:rsid w:val="005D6A2F"/>
    <w:rsid w:val="005E01A7"/>
    <w:rsid w:val="005E0592"/>
    <w:rsid w:val="005E1A82"/>
    <w:rsid w:val="005E22A5"/>
    <w:rsid w:val="005E2BA2"/>
    <w:rsid w:val="005E2F11"/>
    <w:rsid w:val="005E50EC"/>
    <w:rsid w:val="005E61F7"/>
    <w:rsid w:val="005E6524"/>
    <w:rsid w:val="005E6E83"/>
    <w:rsid w:val="005E70A7"/>
    <w:rsid w:val="005E794C"/>
    <w:rsid w:val="005E7B56"/>
    <w:rsid w:val="005F0A28"/>
    <w:rsid w:val="005F0E5E"/>
    <w:rsid w:val="005F3F94"/>
    <w:rsid w:val="005F70C8"/>
    <w:rsid w:val="00600535"/>
    <w:rsid w:val="00603D42"/>
    <w:rsid w:val="00604A3C"/>
    <w:rsid w:val="00610CD6"/>
    <w:rsid w:val="006129E8"/>
    <w:rsid w:val="00613DD7"/>
    <w:rsid w:val="006167D3"/>
    <w:rsid w:val="00620DEE"/>
    <w:rsid w:val="00621F92"/>
    <w:rsid w:val="0062280A"/>
    <w:rsid w:val="00622C16"/>
    <w:rsid w:val="006231E1"/>
    <w:rsid w:val="00625639"/>
    <w:rsid w:val="006256C7"/>
    <w:rsid w:val="00626129"/>
    <w:rsid w:val="00627718"/>
    <w:rsid w:val="00631B33"/>
    <w:rsid w:val="0063316A"/>
    <w:rsid w:val="00637B00"/>
    <w:rsid w:val="006406D1"/>
    <w:rsid w:val="0064184D"/>
    <w:rsid w:val="006422CC"/>
    <w:rsid w:val="006431DA"/>
    <w:rsid w:val="00644E53"/>
    <w:rsid w:val="00646DB4"/>
    <w:rsid w:val="00647494"/>
    <w:rsid w:val="00651549"/>
    <w:rsid w:val="006518E5"/>
    <w:rsid w:val="00651D18"/>
    <w:rsid w:val="0065335A"/>
    <w:rsid w:val="0065666E"/>
    <w:rsid w:val="00660211"/>
    <w:rsid w:val="00660E3E"/>
    <w:rsid w:val="006620CD"/>
    <w:rsid w:val="006629CA"/>
    <w:rsid w:val="00662E74"/>
    <w:rsid w:val="00663B13"/>
    <w:rsid w:val="00664F9F"/>
    <w:rsid w:val="00665134"/>
    <w:rsid w:val="00672A68"/>
    <w:rsid w:val="0067338E"/>
    <w:rsid w:val="00673392"/>
    <w:rsid w:val="00674715"/>
    <w:rsid w:val="00680AF5"/>
    <w:rsid w:val="00680C23"/>
    <w:rsid w:val="006833E2"/>
    <w:rsid w:val="00683E23"/>
    <w:rsid w:val="0068516F"/>
    <w:rsid w:val="006921AC"/>
    <w:rsid w:val="00693766"/>
    <w:rsid w:val="0069647C"/>
    <w:rsid w:val="006A04B5"/>
    <w:rsid w:val="006A1F9B"/>
    <w:rsid w:val="006A3281"/>
    <w:rsid w:val="006A43A7"/>
    <w:rsid w:val="006A4A53"/>
    <w:rsid w:val="006A600C"/>
    <w:rsid w:val="006A6339"/>
    <w:rsid w:val="006A70FB"/>
    <w:rsid w:val="006B0F57"/>
    <w:rsid w:val="006B463F"/>
    <w:rsid w:val="006B4888"/>
    <w:rsid w:val="006C0E56"/>
    <w:rsid w:val="006C2E45"/>
    <w:rsid w:val="006C359C"/>
    <w:rsid w:val="006C4776"/>
    <w:rsid w:val="006C5579"/>
    <w:rsid w:val="006C74BE"/>
    <w:rsid w:val="006C7BEF"/>
    <w:rsid w:val="006C7D20"/>
    <w:rsid w:val="006D03CA"/>
    <w:rsid w:val="006D1411"/>
    <w:rsid w:val="006D2536"/>
    <w:rsid w:val="006D2B33"/>
    <w:rsid w:val="006D2E50"/>
    <w:rsid w:val="006D35FA"/>
    <w:rsid w:val="006D5CF8"/>
    <w:rsid w:val="006D6096"/>
    <w:rsid w:val="006D6E8B"/>
    <w:rsid w:val="006D7209"/>
    <w:rsid w:val="006E15AA"/>
    <w:rsid w:val="006E27AE"/>
    <w:rsid w:val="006E2B46"/>
    <w:rsid w:val="006E4A15"/>
    <w:rsid w:val="006E4F6E"/>
    <w:rsid w:val="006E6508"/>
    <w:rsid w:val="006E737D"/>
    <w:rsid w:val="006E7D32"/>
    <w:rsid w:val="006F1547"/>
    <w:rsid w:val="006F3E66"/>
    <w:rsid w:val="00700048"/>
    <w:rsid w:val="00702E79"/>
    <w:rsid w:val="00704BA9"/>
    <w:rsid w:val="00707C79"/>
    <w:rsid w:val="00707C8E"/>
    <w:rsid w:val="00707DD1"/>
    <w:rsid w:val="00713973"/>
    <w:rsid w:val="007143E7"/>
    <w:rsid w:val="007145E8"/>
    <w:rsid w:val="007146F0"/>
    <w:rsid w:val="0071525B"/>
    <w:rsid w:val="00717F21"/>
    <w:rsid w:val="0072022C"/>
    <w:rsid w:val="00720A24"/>
    <w:rsid w:val="00721448"/>
    <w:rsid w:val="00722130"/>
    <w:rsid w:val="00725D13"/>
    <w:rsid w:val="00727CD2"/>
    <w:rsid w:val="00727FA7"/>
    <w:rsid w:val="00732386"/>
    <w:rsid w:val="007325EE"/>
    <w:rsid w:val="00733073"/>
    <w:rsid w:val="00733502"/>
    <w:rsid w:val="0073514D"/>
    <w:rsid w:val="00737A34"/>
    <w:rsid w:val="00744014"/>
    <w:rsid w:val="007447F3"/>
    <w:rsid w:val="007455EC"/>
    <w:rsid w:val="00746EB4"/>
    <w:rsid w:val="007471F1"/>
    <w:rsid w:val="00747DA0"/>
    <w:rsid w:val="0075351D"/>
    <w:rsid w:val="00754650"/>
    <w:rsid w:val="0075499F"/>
    <w:rsid w:val="00755F21"/>
    <w:rsid w:val="007617CC"/>
    <w:rsid w:val="00762FA7"/>
    <w:rsid w:val="00763247"/>
    <w:rsid w:val="00765F85"/>
    <w:rsid w:val="007661C8"/>
    <w:rsid w:val="00766414"/>
    <w:rsid w:val="00766DF4"/>
    <w:rsid w:val="0077098D"/>
    <w:rsid w:val="0077190B"/>
    <w:rsid w:val="00772420"/>
    <w:rsid w:val="00772451"/>
    <w:rsid w:val="00772DEF"/>
    <w:rsid w:val="0077470D"/>
    <w:rsid w:val="00784BEA"/>
    <w:rsid w:val="00785BF9"/>
    <w:rsid w:val="00787C17"/>
    <w:rsid w:val="00792AEA"/>
    <w:rsid w:val="007931FA"/>
    <w:rsid w:val="00796FD5"/>
    <w:rsid w:val="007A4861"/>
    <w:rsid w:val="007A7BBA"/>
    <w:rsid w:val="007B06DD"/>
    <w:rsid w:val="007B0C50"/>
    <w:rsid w:val="007B48F9"/>
    <w:rsid w:val="007B55EE"/>
    <w:rsid w:val="007B7586"/>
    <w:rsid w:val="007C1A43"/>
    <w:rsid w:val="007C566B"/>
    <w:rsid w:val="007D0951"/>
    <w:rsid w:val="007D3BCA"/>
    <w:rsid w:val="007D45CA"/>
    <w:rsid w:val="007D54EC"/>
    <w:rsid w:val="007D7EAD"/>
    <w:rsid w:val="007E0C7C"/>
    <w:rsid w:val="007E4097"/>
    <w:rsid w:val="007E7458"/>
    <w:rsid w:val="007E7F41"/>
    <w:rsid w:val="007F1642"/>
    <w:rsid w:val="007F27C8"/>
    <w:rsid w:val="007F478E"/>
    <w:rsid w:val="007F7426"/>
    <w:rsid w:val="0080013E"/>
    <w:rsid w:val="00800D30"/>
    <w:rsid w:val="00801D5F"/>
    <w:rsid w:val="00805F31"/>
    <w:rsid w:val="00805FB6"/>
    <w:rsid w:val="0080601D"/>
    <w:rsid w:val="00813288"/>
    <w:rsid w:val="008164BD"/>
    <w:rsid w:val="008168FC"/>
    <w:rsid w:val="00817244"/>
    <w:rsid w:val="00821D47"/>
    <w:rsid w:val="00822231"/>
    <w:rsid w:val="00822DBE"/>
    <w:rsid w:val="00823582"/>
    <w:rsid w:val="00824396"/>
    <w:rsid w:val="008243EB"/>
    <w:rsid w:val="00830996"/>
    <w:rsid w:val="008314D7"/>
    <w:rsid w:val="0083180C"/>
    <w:rsid w:val="008327E8"/>
    <w:rsid w:val="008345F1"/>
    <w:rsid w:val="00834F2E"/>
    <w:rsid w:val="0084628C"/>
    <w:rsid w:val="0085334A"/>
    <w:rsid w:val="00853FE6"/>
    <w:rsid w:val="008564C7"/>
    <w:rsid w:val="008567A8"/>
    <w:rsid w:val="00857C07"/>
    <w:rsid w:val="00861C05"/>
    <w:rsid w:val="008636CE"/>
    <w:rsid w:val="00865B07"/>
    <w:rsid w:val="008667EA"/>
    <w:rsid w:val="00867F55"/>
    <w:rsid w:val="00867FD3"/>
    <w:rsid w:val="0087637F"/>
    <w:rsid w:val="008824F0"/>
    <w:rsid w:val="00882A92"/>
    <w:rsid w:val="00885581"/>
    <w:rsid w:val="008867BC"/>
    <w:rsid w:val="00887B5E"/>
    <w:rsid w:val="00892AD5"/>
    <w:rsid w:val="00893E22"/>
    <w:rsid w:val="0089712D"/>
    <w:rsid w:val="008A1512"/>
    <w:rsid w:val="008A1F34"/>
    <w:rsid w:val="008A261A"/>
    <w:rsid w:val="008A339E"/>
    <w:rsid w:val="008A4D5D"/>
    <w:rsid w:val="008B40C5"/>
    <w:rsid w:val="008B4B59"/>
    <w:rsid w:val="008B6C05"/>
    <w:rsid w:val="008C07E5"/>
    <w:rsid w:val="008C2671"/>
    <w:rsid w:val="008D32B9"/>
    <w:rsid w:val="008D38FE"/>
    <w:rsid w:val="008D433B"/>
    <w:rsid w:val="008D4A16"/>
    <w:rsid w:val="008D4C45"/>
    <w:rsid w:val="008D5C55"/>
    <w:rsid w:val="008D6CA9"/>
    <w:rsid w:val="008E0D7A"/>
    <w:rsid w:val="008E163E"/>
    <w:rsid w:val="008E209A"/>
    <w:rsid w:val="008E258C"/>
    <w:rsid w:val="008E25A0"/>
    <w:rsid w:val="008E41F6"/>
    <w:rsid w:val="008E45BC"/>
    <w:rsid w:val="008E566E"/>
    <w:rsid w:val="008F63EA"/>
    <w:rsid w:val="0090161A"/>
    <w:rsid w:val="00901EB6"/>
    <w:rsid w:val="00901F51"/>
    <w:rsid w:val="0090416E"/>
    <w:rsid w:val="009041F8"/>
    <w:rsid w:val="00904BF6"/>
    <w:rsid w:val="00904C62"/>
    <w:rsid w:val="0090719B"/>
    <w:rsid w:val="00913E26"/>
    <w:rsid w:val="00917BD8"/>
    <w:rsid w:val="00920F9B"/>
    <w:rsid w:val="00922BA8"/>
    <w:rsid w:val="009246FC"/>
    <w:rsid w:val="00924DAC"/>
    <w:rsid w:val="00927058"/>
    <w:rsid w:val="00932E25"/>
    <w:rsid w:val="00934050"/>
    <w:rsid w:val="0093423B"/>
    <w:rsid w:val="009370B4"/>
    <w:rsid w:val="00937E97"/>
    <w:rsid w:val="009407D2"/>
    <w:rsid w:val="0094239B"/>
    <w:rsid w:val="00942750"/>
    <w:rsid w:val="009433D9"/>
    <w:rsid w:val="009450CE"/>
    <w:rsid w:val="009451AC"/>
    <w:rsid w:val="009459BB"/>
    <w:rsid w:val="00947179"/>
    <w:rsid w:val="009475BB"/>
    <w:rsid w:val="00947FB8"/>
    <w:rsid w:val="00951381"/>
    <w:rsid w:val="0095164B"/>
    <w:rsid w:val="00951CB7"/>
    <w:rsid w:val="00952537"/>
    <w:rsid w:val="00953FF7"/>
    <w:rsid w:val="00954090"/>
    <w:rsid w:val="00954B90"/>
    <w:rsid w:val="009571A1"/>
    <w:rsid w:val="009573E7"/>
    <w:rsid w:val="00957E7F"/>
    <w:rsid w:val="009603F7"/>
    <w:rsid w:val="00963E05"/>
    <w:rsid w:val="009640DE"/>
    <w:rsid w:val="00964A45"/>
    <w:rsid w:val="00965616"/>
    <w:rsid w:val="0096619D"/>
    <w:rsid w:val="00967843"/>
    <w:rsid w:val="00967D54"/>
    <w:rsid w:val="00971028"/>
    <w:rsid w:val="00972E6C"/>
    <w:rsid w:val="00973698"/>
    <w:rsid w:val="00976A1A"/>
    <w:rsid w:val="009808ED"/>
    <w:rsid w:val="00980F58"/>
    <w:rsid w:val="00981A90"/>
    <w:rsid w:val="009842AB"/>
    <w:rsid w:val="00993B84"/>
    <w:rsid w:val="00994F3C"/>
    <w:rsid w:val="0099509B"/>
    <w:rsid w:val="00995E59"/>
    <w:rsid w:val="00996483"/>
    <w:rsid w:val="00996B3B"/>
    <w:rsid w:val="00996E84"/>
    <w:rsid w:val="00996F5A"/>
    <w:rsid w:val="00996FB5"/>
    <w:rsid w:val="009A2086"/>
    <w:rsid w:val="009A4299"/>
    <w:rsid w:val="009A75C0"/>
    <w:rsid w:val="009B041A"/>
    <w:rsid w:val="009B3EE9"/>
    <w:rsid w:val="009B4466"/>
    <w:rsid w:val="009B5828"/>
    <w:rsid w:val="009C37C3"/>
    <w:rsid w:val="009C7C86"/>
    <w:rsid w:val="009D2FF7"/>
    <w:rsid w:val="009E31EB"/>
    <w:rsid w:val="009E392A"/>
    <w:rsid w:val="009E58F4"/>
    <w:rsid w:val="009E5AD2"/>
    <w:rsid w:val="009E6494"/>
    <w:rsid w:val="009E7884"/>
    <w:rsid w:val="009E788A"/>
    <w:rsid w:val="009E7C25"/>
    <w:rsid w:val="009F0E08"/>
    <w:rsid w:val="009F1E24"/>
    <w:rsid w:val="009F3F7A"/>
    <w:rsid w:val="00A0254A"/>
    <w:rsid w:val="00A026E5"/>
    <w:rsid w:val="00A079AE"/>
    <w:rsid w:val="00A1763D"/>
    <w:rsid w:val="00A17CEC"/>
    <w:rsid w:val="00A20E5B"/>
    <w:rsid w:val="00A239B0"/>
    <w:rsid w:val="00A2414F"/>
    <w:rsid w:val="00A26017"/>
    <w:rsid w:val="00A26CBB"/>
    <w:rsid w:val="00A27EF0"/>
    <w:rsid w:val="00A30E56"/>
    <w:rsid w:val="00A33C5E"/>
    <w:rsid w:val="00A34127"/>
    <w:rsid w:val="00A4207F"/>
    <w:rsid w:val="00A42361"/>
    <w:rsid w:val="00A4645B"/>
    <w:rsid w:val="00A50B20"/>
    <w:rsid w:val="00A51390"/>
    <w:rsid w:val="00A55050"/>
    <w:rsid w:val="00A60D13"/>
    <w:rsid w:val="00A63EF9"/>
    <w:rsid w:val="00A67A43"/>
    <w:rsid w:val="00A71276"/>
    <w:rsid w:val="00A7223D"/>
    <w:rsid w:val="00A72745"/>
    <w:rsid w:val="00A73757"/>
    <w:rsid w:val="00A73F59"/>
    <w:rsid w:val="00A76EFC"/>
    <w:rsid w:val="00A800FC"/>
    <w:rsid w:val="00A80799"/>
    <w:rsid w:val="00A85B36"/>
    <w:rsid w:val="00A87D50"/>
    <w:rsid w:val="00A91010"/>
    <w:rsid w:val="00A93E03"/>
    <w:rsid w:val="00A97F29"/>
    <w:rsid w:val="00AA3587"/>
    <w:rsid w:val="00AA3C2E"/>
    <w:rsid w:val="00AA45E6"/>
    <w:rsid w:val="00AA4C8D"/>
    <w:rsid w:val="00AA6632"/>
    <w:rsid w:val="00AA702E"/>
    <w:rsid w:val="00AA7D26"/>
    <w:rsid w:val="00AB0964"/>
    <w:rsid w:val="00AB27F1"/>
    <w:rsid w:val="00AB2B49"/>
    <w:rsid w:val="00AB5011"/>
    <w:rsid w:val="00AB773B"/>
    <w:rsid w:val="00AC03E0"/>
    <w:rsid w:val="00AC19C4"/>
    <w:rsid w:val="00AC3747"/>
    <w:rsid w:val="00AC406F"/>
    <w:rsid w:val="00AC5115"/>
    <w:rsid w:val="00AC5E6A"/>
    <w:rsid w:val="00AC7368"/>
    <w:rsid w:val="00AD0278"/>
    <w:rsid w:val="00AD055F"/>
    <w:rsid w:val="00AD16B9"/>
    <w:rsid w:val="00AD6D15"/>
    <w:rsid w:val="00AD7000"/>
    <w:rsid w:val="00AE377D"/>
    <w:rsid w:val="00AE5F3D"/>
    <w:rsid w:val="00AF0EBA"/>
    <w:rsid w:val="00AF2F1F"/>
    <w:rsid w:val="00AF3E23"/>
    <w:rsid w:val="00AF4CE7"/>
    <w:rsid w:val="00B02C8A"/>
    <w:rsid w:val="00B0366F"/>
    <w:rsid w:val="00B037A7"/>
    <w:rsid w:val="00B04627"/>
    <w:rsid w:val="00B04FC8"/>
    <w:rsid w:val="00B10DA1"/>
    <w:rsid w:val="00B120AB"/>
    <w:rsid w:val="00B1327B"/>
    <w:rsid w:val="00B13AFD"/>
    <w:rsid w:val="00B141AF"/>
    <w:rsid w:val="00B17FBD"/>
    <w:rsid w:val="00B26451"/>
    <w:rsid w:val="00B27569"/>
    <w:rsid w:val="00B27D19"/>
    <w:rsid w:val="00B315A6"/>
    <w:rsid w:val="00B31813"/>
    <w:rsid w:val="00B33365"/>
    <w:rsid w:val="00B35158"/>
    <w:rsid w:val="00B415BB"/>
    <w:rsid w:val="00B41DE9"/>
    <w:rsid w:val="00B429DE"/>
    <w:rsid w:val="00B43622"/>
    <w:rsid w:val="00B438C2"/>
    <w:rsid w:val="00B47A90"/>
    <w:rsid w:val="00B47DE1"/>
    <w:rsid w:val="00B50F22"/>
    <w:rsid w:val="00B52612"/>
    <w:rsid w:val="00B57B36"/>
    <w:rsid w:val="00B57E6F"/>
    <w:rsid w:val="00B62D7E"/>
    <w:rsid w:val="00B63F76"/>
    <w:rsid w:val="00B65254"/>
    <w:rsid w:val="00B6779E"/>
    <w:rsid w:val="00B73B76"/>
    <w:rsid w:val="00B73F33"/>
    <w:rsid w:val="00B7724F"/>
    <w:rsid w:val="00B80B92"/>
    <w:rsid w:val="00B8686D"/>
    <w:rsid w:val="00B915DB"/>
    <w:rsid w:val="00B92127"/>
    <w:rsid w:val="00B929A4"/>
    <w:rsid w:val="00B92DE3"/>
    <w:rsid w:val="00B93F69"/>
    <w:rsid w:val="00B95068"/>
    <w:rsid w:val="00B96D74"/>
    <w:rsid w:val="00BA2442"/>
    <w:rsid w:val="00BA4FC2"/>
    <w:rsid w:val="00BA63BB"/>
    <w:rsid w:val="00BB00C6"/>
    <w:rsid w:val="00BB1DDC"/>
    <w:rsid w:val="00BB2AFD"/>
    <w:rsid w:val="00BB54DA"/>
    <w:rsid w:val="00BB70AA"/>
    <w:rsid w:val="00BC30C9"/>
    <w:rsid w:val="00BC6E73"/>
    <w:rsid w:val="00BC763C"/>
    <w:rsid w:val="00BD077D"/>
    <w:rsid w:val="00BD217C"/>
    <w:rsid w:val="00BE289D"/>
    <w:rsid w:val="00BE2902"/>
    <w:rsid w:val="00BE3E58"/>
    <w:rsid w:val="00BE41A0"/>
    <w:rsid w:val="00BE43DB"/>
    <w:rsid w:val="00BE4F67"/>
    <w:rsid w:val="00BF001E"/>
    <w:rsid w:val="00BF1916"/>
    <w:rsid w:val="00BF5BC8"/>
    <w:rsid w:val="00BF6687"/>
    <w:rsid w:val="00C00055"/>
    <w:rsid w:val="00C01616"/>
    <w:rsid w:val="00C0162B"/>
    <w:rsid w:val="00C068ED"/>
    <w:rsid w:val="00C06C0B"/>
    <w:rsid w:val="00C06DB8"/>
    <w:rsid w:val="00C11882"/>
    <w:rsid w:val="00C13244"/>
    <w:rsid w:val="00C13ACF"/>
    <w:rsid w:val="00C15870"/>
    <w:rsid w:val="00C1611A"/>
    <w:rsid w:val="00C179DC"/>
    <w:rsid w:val="00C208E9"/>
    <w:rsid w:val="00C21BDE"/>
    <w:rsid w:val="00C22E0C"/>
    <w:rsid w:val="00C32718"/>
    <w:rsid w:val="00C345B1"/>
    <w:rsid w:val="00C35301"/>
    <w:rsid w:val="00C3545F"/>
    <w:rsid w:val="00C40142"/>
    <w:rsid w:val="00C41FC4"/>
    <w:rsid w:val="00C443B3"/>
    <w:rsid w:val="00C52C3C"/>
    <w:rsid w:val="00C53D66"/>
    <w:rsid w:val="00C57182"/>
    <w:rsid w:val="00C57863"/>
    <w:rsid w:val="00C61659"/>
    <w:rsid w:val="00C640AF"/>
    <w:rsid w:val="00C655FD"/>
    <w:rsid w:val="00C65E7D"/>
    <w:rsid w:val="00C667CC"/>
    <w:rsid w:val="00C6752F"/>
    <w:rsid w:val="00C70C19"/>
    <w:rsid w:val="00C715E3"/>
    <w:rsid w:val="00C7450B"/>
    <w:rsid w:val="00C75407"/>
    <w:rsid w:val="00C75A0D"/>
    <w:rsid w:val="00C764CF"/>
    <w:rsid w:val="00C768D0"/>
    <w:rsid w:val="00C82A48"/>
    <w:rsid w:val="00C841C6"/>
    <w:rsid w:val="00C870A8"/>
    <w:rsid w:val="00C87989"/>
    <w:rsid w:val="00C90595"/>
    <w:rsid w:val="00C90F28"/>
    <w:rsid w:val="00C94434"/>
    <w:rsid w:val="00C95CB0"/>
    <w:rsid w:val="00C97192"/>
    <w:rsid w:val="00CA0D75"/>
    <w:rsid w:val="00CA1C95"/>
    <w:rsid w:val="00CA234A"/>
    <w:rsid w:val="00CA265A"/>
    <w:rsid w:val="00CA5A9C"/>
    <w:rsid w:val="00CA69F0"/>
    <w:rsid w:val="00CB0391"/>
    <w:rsid w:val="00CB3CE7"/>
    <w:rsid w:val="00CB6081"/>
    <w:rsid w:val="00CC0090"/>
    <w:rsid w:val="00CC0A2A"/>
    <w:rsid w:val="00CC4C20"/>
    <w:rsid w:val="00CD2943"/>
    <w:rsid w:val="00CD3517"/>
    <w:rsid w:val="00CD58CE"/>
    <w:rsid w:val="00CD5FE2"/>
    <w:rsid w:val="00CD6C24"/>
    <w:rsid w:val="00CD7818"/>
    <w:rsid w:val="00CE1F97"/>
    <w:rsid w:val="00CE7C68"/>
    <w:rsid w:val="00D001FF"/>
    <w:rsid w:val="00D00F1E"/>
    <w:rsid w:val="00D029F8"/>
    <w:rsid w:val="00D02B4C"/>
    <w:rsid w:val="00D03316"/>
    <w:rsid w:val="00D040C4"/>
    <w:rsid w:val="00D05D99"/>
    <w:rsid w:val="00D1125A"/>
    <w:rsid w:val="00D14FAC"/>
    <w:rsid w:val="00D20AD1"/>
    <w:rsid w:val="00D21732"/>
    <w:rsid w:val="00D22667"/>
    <w:rsid w:val="00D22712"/>
    <w:rsid w:val="00D244E1"/>
    <w:rsid w:val="00D24C1A"/>
    <w:rsid w:val="00D2582C"/>
    <w:rsid w:val="00D26A69"/>
    <w:rsid w:val="00D32E7D"/>
    <w:rsid w:val="00D33C76"/>
    <w:rsid w:val="00D350A1"/>
    <w:rsid w:val="00D35F15"/>
    <w:rsid w:val="00D40A34"/>
    <w:rsid w:val="00D43492"/>
    <w:rsid w:val="00D44378"/>
    <w:rsid w:val="00D4648A"/>
    <w:rsid w:val="00D46B7E"/>
    <w:rsid w:val="00D52566"/>
    <w:rsid w:val="00D555FD"/>
    <w:rsid w:val="00D57C84"/>
    <w:rsid w:val="00D6022E"/>
    <w:rsid w:val="00D6057D"/>
    <w:rsid w:val="00D6569D"/>
    <w:rsid w:val="00D672DA"/>
    <w:rsid w:val="00D71368"/>
    <w:rsid w:val="00D71640"/>
    <w:rsid w:val="00D7328F"/>
    <w:rsid w:val="00D733C7"/>
    <w:rsid w:val="00D738A3"/>
    <w:rsid w:val="00D758DB"/>
    <w:rsid w:val="00D75FEB"/>
    <w:rsid w:val="00D7622C"/>
    <w:rsid w:val="00D836C5"/>
    <w:rsid w:val="00D84576"/>
    <w:rsid w:val="00D86133"/>
    <w:rsid w:val="00D867AF"/>
    <w:rsid w:val="00D94B7C"/>
    <w:rsid w:val="00D974C5"/>
    <w:rsid w:val="00DA1399"/>
    <w:rsid w:val="00DA24C6"/>
    <w:rsid w:val="00DA4D7B"/>
    <w:rsid w:val="00DB2D5F"/>
    <w:rsid w:val="00DB65CB"/>
    <w:rsid w:val="00DB785B"/>
    <w:rsid w:val="00DC0176"/>
    <w:rsid w:val="00DC1920"/>
    <w:rsid w:val="00DC2E64"/>
    <w:rsid w:val="00DC328A"/>
    <w:rsid w:val="00DC4DD2"/>
    <w:rsid w:val="00DD0ADC"/>
    <w:rsid w:val="00DD253E"/>
    <w:rsid w:val="00DD271C"/>
    <w:rsid w:val="00DD2AD4"/>
    <w:rsid w:val="00DD335A"/>
    <w:rsid w:val="00DD34F2"/>
    <w:rsid w:val="00DD4D71"/>
    <w:rsid w:val="00DD50F5"/>
    <w:rsid w:val="00DD53AE"/>
    <w:rsid w:val="00DD6C64"/>
    <w:rsid w:val="00DE20A5"/>
    <w:rsid w:val="00DE264A"/>
    <w:rsid w:val="00DE489C"/>
    <w:rsid w:val="00DE4B38"/>
    <w:rsid w:val="00DE5D6B"/>
    <w:rsid w:val="00DE67F7"/>
    <w:rsid w:val="00DF22A1"/>
    <w:rsid w:val="00DF5072"/>
    <w:rsid w:val="00DF719E"/>
    <w:rsid w:val="00E02D18"/>
    <w:rsid w:val="00E03F92"/>
    <w:rsid w:val="00E041E7"/>
    <w:rsid w:val="00E06E54"/>
    <w:rsid w:val="00E13686"/>
    <w:rsid w:val="00E22EF4"/>
    <w:rsid w:val="00E23AB7"/>
    <w:rsid w:val="00E23CA1"/>
    <w:rsid w:val="00E252BF"/>
    <w:rsid w:val="00E2742B"/>
    <w:rsid w:val="00E30E6A"/>
    <w:rsid w:val="00E3273D"/>
    <w:rsid w:val="00E3392E"/>
    <w:rsid w:val="00E34AAA"/>
    <w:rsid w:val="00E35CFB"/>
    <w:rsid w:val="00E37C23"/>
    <w:rsid w:val="00E409A8"/>
    <w:rsid w:val="00E4752E"/>
    <w:rsid w:val="00E47D61"/>
    <w:rsid w:val="00E50C12"/>
    <w:rsid w:val="00E50D49"/>
    <w:rsid w:val="00E51C06"/>
    <w:rsid w:val="00E65B91"/>
    <w:rsid w:val="00E7209D"/>
    <w:rsid w:val="00E72EAD"/>
    <w:rsid w:val="00E739A1"/>
    <w:rsid w:val="00E77223"/>
    <w:rsid w:val="00E851E2"/>
    <w:rsid w:val="00E8528B"/>
    <w:rsid w:val="00E85B94"/>
    <w:rsid w:val="00E9148F"/>
    <w:rsid w:val="00E91AFD"/>
    <w:rsid w:val="00E923C0"/>
    <w:rsid w:val="00E96B17"/>
    <w:rsid w:val="00E978D0"/>
    <w:rsid w:val="00EA209E"/>
    <w:rsid w:val="00EA232B"/>
    <w:rsid w:val="00EA3D14"/>
    <w:rsid w:val="00EA3EF9"/>
    <w:rsid w:val="00EA4613"/>
    <w:rsid w:val="00EA7F91"/>
    <w:rsid w:val="00EB1523"/>
    <w:rsid w:val="00EB3CAD"/>
    <w:rsid w:val="00EC04F4"/>
    <w:rsid w:val="00EC075E"/>
    <w:rsid w:val="00EC0E49"/>
    <w:rsid w:val="00EC101F"/>
    <w:rsid w:val="00EC1D9F"/>
    <w:rsid w:val="00EC2634"/>
    <w:rsid w:val="00EC344A"/>
    <w:rsid w:val="00EC5CD7"/>
    <w:rsid w:val="00EC6A2E"/>
    <w:rsid w:val="00ED4DF9"/>
    <w:rsid w:val="00ED5998"/>
    <w:rsid w:val="00EE0131"/>
    <w:rsid w:val="00EE17B0"/>
    <w:rsid w:val="00EF06D9"/>
    <w:rsid w:val="00EF0982"/>
    <w:rsid w:val="00EF1B53"/>
    <w:rsid w:val="00EF2CC8"/>
    <w:rsid w:val="00EF4DC7"/>
    <w:rsid w:val="00EF72AA"/>
    <w:rsid w:val="00F02D24"/>
    <w:rsid w:val="00F03270"/>
    <w:rsid w:val="00F034C1"/>
    <w:rsid w:val="00F10A30"/>
    <w:rsid w:val="00F10BED"/>
    <w:rsid w:val="00F111B0"/>
    <w:rsid w:val="00F12668"/>
    <w:rsid w:val="00F126A5"/>
    <w:rsid w:val="00F2215F"/>
    <w:rsid w:val="00F22C16"/>
    <w:rsid w:val="00F23AA6"/>
    <w:rsid w:val="00F26779"/>
    <w:rsid w:val="00F272D1"/>
    <w:rsid w:val="00F3049E"/>
    <w:rsid w:val="00F30651"/>
    <w:rsid w:val="00F30C64"/>
    <w:rsid w:val="00F32BA2"/>
    <w:rsid w:val="00F32CDB"/>
    <w:rsid w:val="00F33341"/>
    <w:rsid w:val="00F3348F"/>
    <w:rsid w:val="00F34EC9"/>
    <w:rsid w:val="00F3575B"/>
    <w:rsid w:val="00F37280"/>
    <w:rsid w:val="00F403B5"/>
    <w:rsid w:val="00F41EE4"/>
    <w:rsid w:val="00F4328A"/>
    <w:rsid w:val="00F432D8"/>
    <w:rsid w:val="00F511C4"/>
    <w:rsid w:val="00F54799"/>
    <w:rsid w:val="00F557C3"/>
    <w:rsid w:val="00F565FE"/>
    <w:rsid w:val="00F56A33"/>
    <w:rsid w:val="00F57D9A"/>
    <w:rsid w:val="00F63606"/>
    <w:rsid w:val="00F63A70"/>
    <w:rsid w:val="00F63D8C"/>
    <w:rsid w:val="00F7534E"/>
    <w:rsid w:val="00F76C36"/>
    <w:rsid w:val="00F7715E"/>
    <w:rsid w:val="00F776E6"/>
    <w:rsid w:val="00F80AE0"/>
    <w:rsid w:val="00F814B2"/>
    <w:rsid w:val="00F85302"/>
    <w:rsid w:val="00F91554"/>
    <w:rsid w:val="00F93EDF"/>
    <w:rsid w:val="00F9477B"/>
    <w:rsid w:val="00FA1802"/>
    <w:rsid w:val="00FA21D0"/>
    <w:rsid w:val="00FA25D3"/>
    <w:rsid w:val="00FA29CB"/>
    <w:rsid w:val="00FA5F5F"/>
    <w:rsid w:val="00FB0F4C"/>
    <w:rsid w:val="00FB39EB"/>
    <w:rsid w:val="00FB6BB2"/>
    <w:rsid w:val="00FB730C"/>
    <w:rsid w:val="00FC171E"/>
    <w:rsid w:val="00FC2695"/>
    <w:rsid w:val="00FC3E03"/>
    <w:rsid w:val="00FC3FC1"/>
    <w:rsid w:val="00FC5288"/>
    <w:rsid w:val="00FD211B"/>
    <w:rsid w:val="00FD4B2F"/>
    <w:rsid w:val="00FE16F4"/>
    <w:rsid w:val="00FE409C"/>
    <w:rsid w:val="00FE4C46"/>
    <w:rsid w:val="00FE7CF2"/>
    <w:rsid w:val="00FF3978"/>
    <w:rsid w:val="00FF60C5"/>
    <w:rsid w:val="00FF68C6"/>
    <w:rsid w:val="00FF70F3"/>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styleId="Testosegnaposto">
    <w:name w:val="Placeholder Text"/>
    <w:basedOn w:val="Carpredefinitoparagrafo"/>
    <w:uiPriority w:val="99"/>
    <w:semiHidden/>
    <w:rsid w:val="00321EFE"/>
    <w:rPr>
      <w:color w:val="666666"/>
    </w:rPr>
  </w:style>
  <w:style w:type="character" w:styleId="Enfasicorsivo">
    <w:name w:val="Emphasis"/>
    <w:basedOn w:val="Carpredefinitoparagrafo"/>
    <w:uiPriority w:val="20"/>
    <w:qFormat/>
    <w:rsid w:val="00EF72AA"/>
    <w:rPr>
      <w:i/>
      <w:iCs/>
    </w:rPr>
  </w:style>
  <w:style w:type="character" w:styleId="Menzionenonrisolta">
    <w:name w:val="Unresolved Mention"/>
    <w:basedOn w:val="Carpredefinitoparagrafo"/>
    <w:uiPriority w:val="99"/>
    <w:semiHidden/>
    <w:unhideWhenUsed/>
    <w:rsid w:val="00D867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27934">
      <w:marLeft w:val="480"/>
      <w:marRight w:val="0"/>
      <w:marTop w:val="0"/>
      <w:marBottom w:val="0"/>
      <w:divBdr>
        <w:top w:val="none" w:sz="0" w:space="0" w:color="auto"/>
        <w:left w:val="none" w:sz="0" w:space="0" w:color="auto"/>
        <w:bottom w:val="none" w:sz="0" w:space="0" w:color="auto"/>
        <w:right w:val="none" w:sz="0" w:space="0" w:color="auto"/>
      </w:divBdr>
    </w:div>
    <w:div w:id="62875810">
      <w:marLeft w:val="480"/>
      <w:marRight w:val="0"/>
      <w:marTop w:val="0"/>
      <w:marBottom w:val="0"/>
      <w:divBdr>
        <w:top w:val="none" w:sz="0" w:space="0" w:color="auto"/>
        <w:left w:val="none" w:sz="0" w:space="0" w:color="auto"/>
        <w:bottom w:val="none" w:sz="0" w:space="0" w:color="auto"/>
        <w:right w:val="none" w:sz="0" w:space="0" w:color="auto"/>
      </w:divBdr>
    </w:div>
    <w:div w:id="69885485">
      <w:marLeft w:val="480"/>
      <w:marRight w:val="0"/>
      <w:marTop w:val="0"/>
      <w:marBottom w:val="0"/>
      <w:divBdr>
        <w:top w:val="none" w:sz="0" w:space="0" w:color="auto"/>
        <w:left w:val="none" w:sz="0" w:space="0" w:color="auto"/>
        <w:bottom w:val="none" w:sz="0" w:space="0" w:color="auto"/>
        <w:right w:val="none" w:sz="0" w:space="0" w:color="auto"/>
      </w:divBdr>
    </w:div>
    <w:div w:id="75252093">
      <w:marLeft w:val="480"/>
      <w:marRight w:val="0"/>
      <w:marTop w:val="0"/>
      <w:marBottom w:val="0"/>
      <w:divBdr>
        <w:top w:val="none" w:sz="0" w:space="0" w:color="auto"/>
        <w:left w:val="none" w:sz="0" w:space="0" w:color="auto"/>
        <w:bottom w:val="none" w:sz="0" w:space="0" w:color="auto"/>
        <w:right w:val="none" w:sz="0" w:space="0" w:color="auto"/>
      </w:divBdr>
    </w:div>
    <w:div w:id="79916132">
      <w:marLeft w:val="480"/>
      <w:marRight w:val="0"/>
      <w:marTop w:val="0"/>
      <w:marBottom w:val="0"/>
      <w:divBdr>
        <w:top w:val="none" w:sz="0" w:space="0" w:color="auto"/>
        <w:left w:val="none" w:sz="0" w:space="0" w:color="auto"/>
        <w:bottom w:val="none" w:sz="0" w:space="0" w:color="auto"/>
        <w:right w:val="none" w:sz="0" w:space="0" w:color="auto"/>
      </w:divBdr>
    </w:div>
    <w:div w:id="89473524">
      <w:marLeft w:val="480"/>
      <w:marRight w:val="0"/>
      <w:marTop w:val="0"/>
      <w:marBottom w:val="0"/>
      <w:divBdr>
        <w:top w:val="none" w:sz="0" w:space="0" w:color="auto"/>
        <w:left w:val="none" w:sz="0" w:space="0" w:color="auto"/>
        <w:bottom w:val="none" w:sz="0" w:space="0" w:color="auto"/>
        <w:right w:val="none" w:sz="0" w:space="0" w:color="auto"/>
      </w:divBdr>
    </w:div>
    <w:div w:id="135345910">
      <w:marLeft w:val="480"/>
      <w:marRight w:val="0"/>
      <w:marTop w:val="0"/>
      <w:marBottom w:val="0"/>
      <w:divBdr>
        <w:top w:val="none" w:sz="0" w:space="0" w:color="auto"/>
        <w:left w:val="none" w:sz="0" w:space="0" w:color="auto"/>
        <w:bottom w:val="none" w:sz="0" w:space="0" w:color="auto"/>
        <w:right w:val="none" w:sz="0" w:space="0" w:color="auto"/>
      </w:divBdr>
    </w:div>
    <w:div w:id="152383101">
      <w:marLeft w:val="480"/>
      <w:marRight w:val="0"/>
      <w:marTop w:val="0"/>
      <w:marBottom w:val="0"/>
      <w:divBdr>
        <w:top w:val="none" w:sz="0" w:space="0" w:color="auto"/>
        <w:left w:val="none" w:sz="0" w:space="0" w:color="auto"/>
        <w:bottom w:val="none" w:sz="0" w:space="0" w:color="auto"/>
        <w:right w:val="none" w:sz="0" w:space="0" w:color="auto"/>
      </w:divBdr>
    </w:div>
    <w:div w:id="178276562">
      <w:marLeft w:val="480"/>
      <w:marRight w:val="0"/>
      <w:marTop w:val="0"/>
      <w:marBottom w:val="0"/>
      <w:divBdr>
        <w:top w:val="none" w:sz="0" w:space="0" w:color="auto"/>
        <w:left w:val="none" w:sz="0" w:space="0" w:color="auto"/>
        <w:bottom w:val="none" w:sz="0" w:space="0" w:color="auto"/>
        <w:right w:val="none" w:sz="0" w:space="0" w:color="auto"/>
      </w:divBdr>
    </w:div>
    <w:div w:id="180625915">
      <w:marLeft w:val="480"/>
      <w:marRight w:val="0"/>
      <w:marTop w:val="0"/>
      <w:marBottom w:val="0"/>
      <w:divBdr>
        <w:top w:val="none" w:sz="0" w:space="0" w:color="auto"/>
        <w:left w:val="none" w:sz="0" w:space="0" w:color="auto"/>
        <w:bottom w:val="none" w:sz="0" w:space="0" w:color="auto"/>
        <w:right w:val="none" w:sz="0" w:space="0" w:color="auto"/>
      </w:divBdr>
    </w:div>
    <w:div w:id="203907439">
      <w:marLeft w:val="480"/>
      <w:marRight w:val="0"/>
      <w:marTop w:val="0"/>
      <w:marBottom w:val="0"/>
      <w:divBdr>
        <w:top w:val="none" w:sz="0" w:space="0" w:color="auto"/>
        <w:left w:val="none" w:sz="0" w:space="0" w:color="auto"/>
        <w:bottom w:val="none" w:sz="0" w:space="0" w:color="auto"/>
        <w:right w:val="none" w:sz="0" w:space="0" w:color="auto"/>
      </w:divBdr>
    </w:div>
    <w:div w:id="244266021">
      <w:marLeft w:val="480"/>
      <w:marRight w:val="0"/>
      <w:marTop w:val="0"/>
      <w:marBottom w:val="0"/>
      <w:divBdr>
        <w:top w:val="none" w:sz="0" w:space="0" w:color="auto"/>
        <w:left w:val="none" w:sz="0" w:space="0" w:color="auto"/>
        <w:bottom w:val="none" w:sz="0" w:space="0" w:color="auto"/>
        <w:right w:val="none" w:sz="0" w:space="0" w:color="auto"/>
      </w:divBdr>
    </w:div>
    <w:div w:id="254017618">
      <w:marLeft w:val="480"/>
      <w:marRight w:val="0"/>
      <w:marTop w:val="0"/>
      <w:marBottom w:val="0"/>
      <w:divBdr>
        <w:top w:val="none" w:sz="0" w:space="0" w:color="auto"/>
        <w:left w:val="none" w:sz="0" w:space="0" w:color="auto"/>
        <w:bottom w:val="none" w:sz="0" w:space="0" w:color="auto"/>
        <w:right w:val="none" w:sz="0" w:space="0" w:color="auto"/>
      </w:divBdr>
    </w:div>
    <w:div w:id="276521946">
      <w:marLeft w:val="480"/>
      <w:marRight w:val="0"/>
      <w:marTop w:val="0"/>
      <w:marBottom w:val="0"/>
      <w:divBdr>
        <w:top w:val="none" w:sz="0" w:space="0" w:color="auto"/>
        <w:left w:val="none" w:sz="0" w:space="0" w:color="auto"/>
        <w:bottom w:val="none" w:sz="0" w:space="0" w:color="auto"/>
        <w:right w:val="none" w:sz="0" w:space="0" w:color="auto"/>
      </w:divBdr>
    </w:div>
    <w:div w:id="338585882">
      <w:marLeft w:val="480"/>
      <w:marRight w:val="0"/>
      <w:marTop w:val="0"/>
      <w:marBottom w:val="0"/>
      <w:divBdr>
        <w:top w:val="none" w:sz="0" w:space="0" w:color="auto"/>
        <w:left w:val="none" w:sz="0" w:space="0" w:color="auto"/>
        <w:bottom w:val="none" w:sz="0" w:space="0" w:color="auto"/>
        <w:right w:val="none" w:sz="0" w:space="0" w:color="auto"/>
      </w:divBdr>
    </w:div>
    <w:div w:id="340857209">
      <w:marLeft w:val="480"/>
      <w:marRight w:val="0"/>
      <w:marTop w:val="0"/>
      <w:marBottom w:val="0"/>
      <w:divBdr>
        <w:top w:val="none" w:sz="0" w:space="0" w:color="auto"/>
        <w:left w:val="none" w:sz="0" w:space="0" w:color="auto"/>
        <w:bottom w:val="none" w:sz="0" w:space="0" w:color="auto"/>
        <w:right w:val="none" w:sz="0" w:space="0" w:color="auto"/>
      </w:divBdr>
    </w:div>
    <w:div w:id="355929752">
      <w:bodyDiv w:val="1"/>
      <w:marLeft w:val="0"/>
      <w:marRight w:val="0"/>
      <w:marTop w:val="0"/>
      <w:marBottom w:val="0"/>
      <w:divBdr>
        <w:top w:val="none" w:sz="0" w:space="0" w:color="auto"/>
        <w:left w:val="none" w:sz="0" w:space="0" w:color="auto"/>
        <w:bottom w:val="none" w:sz="0" w:space="0" w:color="auto"/>
        <w:right w:val="none" w:sz="0" w:space="0" w:color="auto"/>
      </w:divBdr>
      <w:divsChild>
        <w:div w:id="258946656">
          <w:marLeft w:val="0"/>
          <w:marRight w:val="0"/>
          <w:marTop w:val="120"/>
          <w:marBottom w:val="120"/>
          <w:divBdr>
            <w:top w:val="none" w:sz="0" w:space="0" w:color="auto"/>
            <w:left w:val="none" w:sz="0" w:space="0" w:color="auto"/>
            <w:bottom w:val="none" w:sz="0" w:space="0" w:color="auto"/>
            <w:right w:val="none" w:sz="0" w:space="0" w:color="auto"/>
          </w:divBdr>
        </w:div>
      </w:divsChild>
    </w:div>
    <w:div w:id="377899098">
      <w:marLeft w:val="480"/>
      <w:marRight w:val="0"/>
      <w:marTop w:val="0"/>
      <w:marBottom w:val="0"/>
      <w:divBdr>
        <w:top w:val="none" w:sz="0" w:space="0" w:color="auto"/>
        <w:left w:val="none" w:sz="0" w:space="0" w:color="auto"/>
        <w:bottom w:val="none" w:sz="0" w:space="0" w:color="auto"/>
        <w:right w:val="none" w:sz="0" w:space="0" w:color="auto"/>
      </w:divBdr>
    </w:div>
    <w:div w:id="384184296">
      <w:marLeft w:val="480"/>
      <w:marRight w:val="0"/>
      <w:marTop w:val="0"/>
      <w:marBottom w:val="0"/>
      <w:divBdr>
        <w:top w:val="none" w:sz="0" w:space="0" w:color="auto"/>
        <w:left w:val="none" w:sz="0" w:space="0" w:color="auto"/>
        <w:bottom w:val="none" w:sz="0" w:space="0" w:color="auto"/>
        <w:right w:val="none" w:sz="0" w:space="0" w:color="auto"/>
      </w:divBdr>
    </w:div>
    <w:div w:id="386880434">
      <w:marLeft w:val="480"/>
      <w:marRight w:val="0"/>
      <w:marTop w:val="0"/>
      <w:marBottom w:val="0"/>
      <w:divBdr>
        <w:top w:val="none" w:sz="0" w:space="0" w:color="auto"/>
        <w:left w:val="none" w:sz="0" w:space="0" w:color="auto"/>
        <w:bottom w:val="none" w:sz="0" w:space="0" w:color="auto"/>
        <w:right w:val="none" w:sz="0" w:space="0" w:color="auto"/>
      </w:divBdr>
    </w:div>
    <w:div w:id="404567169">
      <w:marLeft w:val="480"/>
      <w:marRight w:val="0"/>
      <w:marTop w:val="0"/>
      <w:marBottom w:val="0"/>
      <w:divBdr>
        <w:top w:val="none" w:sz="0" w:space="0" w:color="auto"/>
        <w:left w:val="none" w:sz="0" w:space="0" w:color="auto"/>
        <w:bottom w:val="none" w:sz="0" w:space="0" w:color="auto"/>
        <w:right w:val="none" w:sz="0" w:space="0" w:color="auto"/>
      </w:divBdr>
    </w:div>
    <w:div w:id="411782663">
      <w:marLeft w:val="480"/>
      <w:marRight w:val="0"/>
      <w:marTop w:val="0"/>
      <w:marBottom w:val="0"/>
      <w:divBdr>
        <w:top w:val="none" w:sz="0" w:space="0" w:color="auto"/>
        <w:left w:val="none" w:sz="0" w:space="0" w:color="auto"/>
        <w:bottom w:val="none" w:sz="0" w:space="0" w:color="auto"/>
        <w:right w:val="none" w:sz="0" w:space="0" w:color="auto"/>
      </w:divBdr>
    </w:div>
    <w:div w:id="430665652">
      <w:marLeft w:val="480"/>
      <w:marRight w:val="0"/>
      <w:marTop w:val="0"/>
      <w:marBottom w:val="0"/>
      <w:divBdr>
        <w:top w:val="none" w:sz="0" w:space="0" w:color="auto"/>
        <w:left w:val="none" w:sz="0" w:space="0" w:color="auto"/>
        <w:bottom w:val="none" w:sz="0" w:space="0" w:color="auto"/>
        <w:right w:val="none" w:sz="0" w:space="0" w:color="auto"/>
      </w:divBdr>
    </w:div>
    <w:div w:id="431434826">
      <w:marLeft w:val="480"/>
      <w:marRight w:val="0"/>
      <w:marTop w:val="0"/>
      <w:marBottom w:val="0"/>
      <w:divBdr>
        <w:top w:val="none" w:sz="0" w:space="0" w:color="auto"/>
        <w:left w:val="none" w:sz="0" w:space="0" w:color="auto"/>
        <w:bottom w:val="none" w:sz="0" w:space="0" w:color="auto"/>
        <w:right w:val="none" w:sz="0" w:space="0" w:color="auto"/>
      </w:divBdr>
    </w:div>
    <w:div w:id="473789499">
      <w:marLeft w:val="480"/>
      <w:marRight w:val="0"/>
      <w:marTop w:val="0"/>
      <w:marBottom w:val="0"/>
      <w:divBdr>
        <w:top w:val="none" w:sz="0" w:space="0" w:color="auto"/>
        <w:left w:val="none" w:sz="0" w:space="0" w:color="auto"/>
        <w:bottom w:val="none" w:sz="0" w:space="0" w:color="auto"/>
        <w:right w:val="none" w:sz="0" w:space="0" w:color="auto"/>
      </w:divBdr>
    </w:div>
    <w:div w:id="575017572">
      <w:marLeft w:val="480"/>
      <w:marRight w:val="0"/>
      <w:marTop w:val="0"/>
      <w:marBottom w:val="0"/>
      <w:divBdr>
        <w:top w:val="none" w:sz="0" w:space="0" w:color="auto"/>
        <w:left w:val="none" w:sz="0" w:space="0" w:color="auto"/>
        <w:bottom w:val="none" w:sz="0" w:space="0" w:color="auto"/>
        <w:right w:val="none" w:sz="0" w:space="0" w:color="auto"/>
      </w:divBdr>
    </w:div>
    <w:div w:id="613251679">
      <w:marLeft w:val="480"/>
      <w:marRight w:val="0"/>
      <w:marTop w:val="0"/>
      <w:marBottom w:val="0"/>
      <w:divBdr>
        <w:top w:val="none" w:sz="0" w:space="0" w:color="auto"/>
        <w:left w:val="none" w:sz="0" w:space="0" w:color="auto"/>
        <w:bottom w:val="none" w:sz="0" w:space="0" w:color="auto"/>
        <w:right w:val="none" w:sz="0" w:space="0" w:color="auto"/>
      </w:divBdr>
    </w:div>
    <w:div w:id="633873041">
      <w:marLeft w:val="480"/>
      <w:marRight w:val="0"/>
      <w:marTop w:val="0"/>
      <w:marBottom w:val="0"/>
      <w:divBdr>
        <w:top w:val="none" w:sz="0" w:space="0" w:color="auto"/>
        <w:left w:val="none" w:sz="0" w:space="0" w:color="auto"/>
        <w:bottom w:val="none" w:sz="0" w:space="0" w:color="auto"/>
        <w:right w:val="none" w:sz="0" w:space="0" w:color="auto"/>
      </w:divBdr>
    </w:div>
    <w:div w:id="639262933">
      <w:marLeft w:val="480"/>
      <w:marRight w:val="0"/>
      <w:marTop w:val="0"/>
      <w:marBottom w:val="0"/>
      <w:divBdr>
        <w:top w:val="none" w:sz="0" w:space="0" w:color="auto"/>
        <w:left w:val="none" w:sz="0" w:space="0" w:color="auto"/>
        <w:bottom w:val="none" w:sz="0" w:space="0" w:color="auto"/>
        <w:right w:val="none" w:sz="0" w:space="0" w:color="auto"/>
      </w:divBdr>
    </w:div>
    <w:div w:id="644748906">
      <w:marLeft w:val="480"/>
      <w:marRight w:val="0"/>
      <w:marTop w:val="0"/>
      <w:marBottom w:val="0"/>
      <w:divBdr>
        <w:top w:val="none" w:sz="0" w:space="0" w:color="auto"/>
        <w:left w:val="none" w:sz="0" w:space="0" w:color="auto"/>
        <w:bottom w:val="none" w:sz="0" w:space="0" w:color="auto"/>
        <w:right w:val="none" w:sz="0" w:space="0" w:color="auto"/>
      </w:divBdr>
    </w:div>
    <w:div w:id="647124454">
      <w:marLeft w:val="480"/>
      <w:marRight w:val="0"/>
      <w:marTop w:val="0"/>
      <w:marBottom w:val="0"/>
      <w:divBdr>
        <w:top w:val="none" w:sz="0" w:space="0" w:color="auto"/>
        <w:left w:val="none" w:sz="0" w:space="0" w:color="auto"/>
        <w:bottom w:val="none" w:sz="0" w:space="0" w:color="auto"/>
        <w:right w:val="none" w:sz="0" w:space="0" w:color="auto"/>
      </w:divBdr>
    </w:div>
    <w:div w:id="649988715">
      <w:marLeft w:val="480"/>
      <w:marRight w:val="0"/>
      <w:marTop w:val="0"/>
      <w:marBottom w:val="0"/>
      <w:divBdr>
        <w:top w:val="none" w:sz="0" w:space="0" w:color="auto"/>
        <w:left w:val="none" w:sz="0" w:space="0" w:color="auto"/>
        <w:bottom w:val="none" w:sz="0" w:space="0" w:color="auto"/>
        <w:right w:val="none" w:sz="0" w:space="0" w:color="auto"/>
      </w:divBdr>
    </w:div>
    <w:div w:id="680085941">
      <w:marLeft w:val="480"/>
      <w:marRight w:val="0"/>
      <w:marTop w:val="0"/>
      <w:marBottom w:val="0"/>
      <w:divBdr>
        <w:top w:val="none" w:sz="0" w:space="0" w:color="auto"/>
        <w:left w:val="none" w:sz="0" w:space="0" w:color="auto"/>
        <w:bottom w:val="none" w:sz="0" w:space="0" w:color="auto"/>
        <w:right w:val="none" w:sz="0" w:space="0" w:color="auto"/>
      </w:divBdr>
    </w:div>
    <w:div w:id="690839345">
      <w:marLeft w:val="480"/>
      <w:marRight w:val="0"/>
      <w:marTop w:val="0"/>
      <w:marBottom w:val="0"/>
      <w:divBdr>
        <w:top w:val="none" w:sz="0" w:space="0" w:color="auto"/>
        <w:left w:val="none" w:sz="0" w:space="0" w:color="auto"/>
        <w:bottom w:val="none" w:sz="0" w:space="0" w:color="auto"/>
        <w:right w:val="none" w:sz="0" w:space="0" w:color="auto"/>
      </w:divBdr>
    </w:div>
    <w:div w:id="698315966">
      <w:marLeft w:val="480"/>
      <w:marRight w:val="0"/>
      <w:marTop w:val="0"/>
      <w:marBottom w:val="0"/>
      <w:divBdr>
        <w:top w:val="none" w:sz="0" w:space="0" w:color="auto"/>
        <w:left w:val="none" w:sz="0" w:space="0" w:color="auto"/>
        <w:bottom w:val="none" w:sz="0" w:space="0" w:color="auto"/>
        <w:right w:val="none" w:sz="0" w:space="0" w:color="auto"/>
      </w:divBdr>
    </w:div>
    <w:div w:id="740374375">
      <w:marLeft w:val="480"/>
      <w:marRight w:val="0"/>
      <w:marTop w:val="0"/>
      <w:marBottom w:val="0"/>
      <w:divBdr>
        <w:top w:val="none" w:sz="0" w:space="0" w:color="auto"/>
        <w:left w:val="none" w:sz="0" w:space="0" w:color="auto"/>
        <w:bottom w:val="none" w:sz="0" w:space="0" w:color="auto"/>
        <w:right w:val="none" w:sz="0" w:space="0" w:color="auto"/>
      </w:divBdr>
    </w:div>
    <w:div w:id="756754270">
      <w:marLeft w:val="480"/>
      <w:marRight w:val="0"/>
      <w:marTop w:val="0"/>
      <w:marBottom w:val="0"/>
      <w:divBdr>
        <w:top w:val="none" w:sz="0" w:space="0" w:color="auto"/>
        <w:left w:val="none" w:sz="0" w:space="0" w:color="auto"/>
        <w:bottom w:val="none" w:sz="0" w:space="0" w:color="auto"/>
        <w:right w:val="none" w:sz="0" w:space="0" w:color="auto"/>
      </w:divBdr>
    </w:div>
    <w:div w:id="759763778">
      <w:marLeft w:val="48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173460">
      <w:marLeft w:val="480"/>
      <w:marRight w:val="0"/>
      <w:marTop w:val="0"/>
      <w:marBottom w:val="0"/>
      <w:divBdr>
        <w:top w:val="none" w:sz="0" w:space="0" w:color="auto"/>
        <w:left w:val="none" w:sz="0" w:space="0" w:color="auto"/>
        <w:bottom w:val="none" w:sz="0" w:space="0" w:color="auto"/>
        <w:right w:val="none" w:sz="0" w:space="0" w:color="auto"/>
      </w:divBdr>
    </w:div>
    <w:div w:id="834222535">
      <w:marLeft w:val="480"/>
      <w:marRight w:val="0"/>
      <w:marTop w:val="0"/>
      <w:marBottom w:val="0"/>
      <w:divBdr>
        <w:top w:val="none" w:sz="0" w:space="0" w:color="auto"/>
        <w:left w:val="none" w:sz="0" w:space="0" w:color="auto"/>
        <w:bottom w:val="none" w:sz="0" w:space="0" w:color="auto"/>
        <w:right w:val="none" w:sz="0" w:space="0" w:color="auto"/>
      </w:divBdr>
    </w:div>
    <w:div w:id="860775815">
      <w:marLeft w:val="48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7794493">
      <w:marLeft w:val="480"/>
      <w:marRight w:val="0"/>
      <w:marTop w:val="0"/>
      <w:marBottom w:val="0"/>
      <w:divBdr>
        <w:top w:val="none" w:sz="0" w:space="0" w:color="auto"/>
        <w:left w:val="none" w:sz="0" w:space="0" w:color="auto"/>
        <w:bottom w:val="none" w:sz="0" w:space="0" w:color="auto"/>
        <w:right w:val="none" w:sz="0" w:space="0" w:color="auto"/>
      </w:divBdr>
    </w:div>
    <w:div w:id="871116669">
      <w:marLeft w:val="48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674628">
      <w:marLeft w:val="480"/>
      <w:marRight w:val="0"/>
      <w:marTop w:val="0"/>
      <w:marBottom w:val="0"/>
      <w:divBdr>
        <w:top w:val="none" w:sz="0" w:space="0" w:color="auto"/>
        <w:left w:val="none" w:sz="0" w:space="0" w:color="auto"/>
        <w:bottom w:val="none" w:sz="0" w:space="0" w:color="auto"/>
        <w:right w:val="none" w:sz="0" w:space="0" w:color="auto"/>
      </w:divBdr>
    </w:div>
    <w:div w:id="971792067">
      <w:marLeft w:val="480"/>
      <w:marRight w:val="0"/>
      <w:marTop w:val="0"/>
      <w:marBottom w:val="0"/>
      <w:divBdr>
        <w:top w:val="none" w:sz="0" w:space="0" w:color="auto"/>
        <w:left w:val="none" w:sz="0" w:space="0" w:color="auto"/>
        <w:bottom w:val="none" w:sz="0" w:space="0" w:color="auto"/>
        <w:right w:val="none" w:sz="0" w:space="0" w:color="auto"/>
      </w:divBdr>
    </w:div>
    <w:div w:id="1024403314">
      <w:marLeft w:val="480"/>
      <w:marRight w:val="0"/>
      <w:marTop w:val="0"/>
      <w:marBottom w:val="0"/>
      <w:divBdr>
        <w:top w:val="none" w:sz="0" w:space="0" w:color="auto"/>
        <w:left w:val="none" w:sz="0" w:space="0" w:color="auto"/>
        <w:bottom w:val="none" w:sz="0" w:space="0" w:color="auto"/>
        <w:right w:val="none" w:sz="0" w:space="0" w:color="auto"/>
      </w:divBdr>
    </w:div>
    <w:div w:id="1056708035">
      <w:marLeft w:val="480"/>
      <w:marRight w:val="0"/>
      <w:marTop w:val="0"/>
      <w:marBottom w:val="0"/>
      <w:divBdr>
        <w:top w:val="none" w:sz="0" w:space="0" w:color="auto"/>
        <w:left w:val="none" w:sz="0" w:space="0" w:color="auto"/>
        <w:bottom w:val="none" w:sz="0" w:space="0" w:color="auto"/>
        <w:right w:val="none" w:sz="0" w:space="0" w:color="auto"/>
      </w:divBdr>
    </w:div>
    <w:div w:id="1068069618">
      <w:marLeft w:val="480"/>
      <w:marRight w:val="0"/>
      <w:marTop w:val="0"/>
      <w:marBottom w:val="0"/>
      <w:divBdr>
        <w:top w:val="none" w:sz="0" w:space="0" w:color="auto"/>
        <w:left w:val="none" w:sz="0" w:space="0" w:color="auto"/>
        <w:bottom w:val="none" w:sz="0" w:space="0" w:color="auto"/>
        <w:right w:val="none" w:sz="0" w:space="0" w:color="auto"/>
      </w:divBdr>
    </w:div>
    <w:div w:id="1087655623">
      <w:marLeft w:val="480"/>
      <w:marRight w:val="0"/>
      <w:marTop w:val="0"/>
      <w:marBottom w:val="0"/>
      <w:divBdr>
        <w:top w:val="none" w:sz="0" w:space="0" w:color="auto"/>
        <w:left w:val="none" w:sz="0" w:space="0" w:color="auto"/>
        <w:bottom w:val="none" w:sz="0" w:space="0" w:color="auto"/>
        <w:right w:val="none" w:sz="0" w:space="0" w:color="auto"/>
      </w:divBdr>
    </w:div>
    <w:div w:id="1108086114">
      <w:marLeft w:val="480"/>
      <w:marRight w:val="0"/>
      <w:marTop w:val="0"/>
      <w:marBottom w:val="0"/>
      <w:divBdr>
        <w:top w:val="none" w:sz="0" w:space="0" w:color="auto"/>
        <w:left w:val="none" w:sz="0" w:space="0" w:color="auto"/>
        <w:bottom w:val="none" w:sz="0" w:space="0" w:color="auto"/>
        <w:right w:val="none" w:sz="0" w:space="0" w:color="auto"/>
      </w:divBdr>
    </w:div>
    <w:div w:id="1133405071">
      <w:marLeft w:val="480"/>
      <w:marRight w:val="0"/>
      <w:marTop w:val="0"/>
      <w:marBottom w:val="0"/>
      <w:divBdr>
        <w:top w:val="none" w:sz="0" w:space="0" w:color="auto"/>
        <w:left w:val="none" w:sz="0" w:space="0" w:color="auto"/>
        <w:bottom w:val="none" w:sz="0" w:space="0" w:color="auto"/>
        <w:right w:val="none" w:sz="0" w:space="0" w:color="auto"/>
      </w:divBdr>
    </w:div>
    <w:div w:id="1138258595">
      <w:marLeft w:val="480"/>
      <w:marRight w:val="0"/>
      <w:marTop w:val="0"/>
      <w:marBottom w:val="0"/>
      <w:divBdr>
        <w:top w:val="none" w:sz="0" w:space="0" w:color="auto"/>
        <w:left w:val="none" w:sz="0" w:space="0" w:color="auto"/>
        <w:bottom w:val="none" w:sz="0" w:space="0" w:color="auto"/>
        <w:right w:val="none" w:sz="0" w:space="0" w:color="auto"/>
      </w:divBdr>
    </w:div>
    <w:div w:id="1138566817">
      <w:marLeft w:val="480"/>
      <w:marRight w:val="0"/>
      <w:marTop w:val="0"/>
      <w:marBottom w:val="0"/>
      <w:divBdr>
        <w:top w:val="none" w:sz="0" w:space="0" w:color="auto"/>
        <w:left w:val="none" w:sz="0" w:space="0" w:color="auto"/>
        <w:bottom w:val="none" w:sz="0" w:space="0" w:color="auto"/>
        <w:right w:val="none" w:sz="0" w:space="0" w:color="auto"/>
      </w:divBdr>
    </w:div>
    <w:div w:id="1161890518">
      <w:marLeft w:val="480"/>
      <w:marRight w:val="0"/>
      <w:marTop w:val="0"/>
      <w:marBottom w:val="0"/>
      <w:divBdr>
        <w:top w:val="none" w:sz="0" w:space="0" w:color="auto"/>
        <w:left w:val="none" w:sz="0" w:space="0" w:color="auto"/>
        <w:bottom w:val="none" w:sz="0" w:space="0" w:color="auto"/>
        <w:right w:val="none" w:sz="0" w:space="0" w:color="auto"/>
      </w:divBdr>
    </w:div>
    <w:div w:id="1172139477">
      <w:marLeft w:val="480"/>
      <w:marRight w:val="0"/>
      <w:marTop w:val="0"/>
      <w:marBottom w:val="0"/>
      <w:divBdr>
        <w:top w:val="none" w:sz="0" w:space="0" w:color="auto"/>
        <w:left w:val="none" w:sz="0" w:space="0" w:color="auto"/>
        <w:bottom w:val="none" w:sz="0" w:space="0" w:color="auto"/>
        <w:right w:val="none" w:sz="0" w:space="0" w:color="auto"/>
      </w:divBdr>
    </w:div>
    <w:div w:id="1177425184">
      <w:marLeft w:val="480"/>
      <w:marRight w:val="0"/>
      <w:marTop w:val="0"/>
      <w:marBottom w:val="0"/>
      <w:divBdr>
        <w:top w:val="none" w:sz="0" w:space="0" w:color="auto"/>
        <w:left w:val="none" w:sz="0" w:space="0" w:color="auto"/>
        <w:bottom w:val="none" w:sz="0" w:space="0" w:color="auto"/>
        <w:right w:val="none" w:sz="0" w:space="0" w:color="auto"/>
      </w:divBdr>
    </w:div>
    <w:div w:id="1230072393">
      <w:bodyDiv w:val="1"/>
      <w:marLeft w:val="0"/>
      <w:marRight w:val="0"/>
      <w:marTop w:val="0"/>
      <w:marBottom w:val="0"/>
      <w:divBdr>
        <w:top w:val="none" w:sz="0" w:space="0" w:color="auto"/>
        <w:left w:val="none" w:sz="0" w:space="0" w:color="auto"/>
        <w:bottom w:val="none" w:sz="0" w:space="0" w:color="auto"/>
        <w:right w:val="none" w:sz="0" w:space="0" w:color="auto"/>
      </w:divBdr>
      <w:divsChild>
        <w:div w:id="343676755">
          <w:marLeft w:val="0"/>
          <w:marRight w:val="0"/>
          <w:marTop w:val="120"/>
          <w:marBottom w:val="120"/>
          <w:divBdr>
            <w:top w:val="none" w:sz="0" w:space="0" w:color="auto"/>
            <w:left w:val="none" w:sz="0" w:space="0" w:color="auto"/>
            <w:bottom w:val="none" w:sz="0" w:space="0" w:color="auto"/>
            <w:right w:val="none" w:sz="0" w:space="0" w:color="auto"/>
          </w:divBdr>
        </w:div>
      </w:divsChild>
    </w:div>
    <w:div w:id="1254164908">
      <w:marLeft w:val="480"/>
      <w:marRight w:val="0"/>
      <w:marTop w:val="0"/>
      <w:marBottom w:val="0"/>
      <w:divBdr>
        <w:top w:val="none" w:sz="0" w:space="0" w:color="auto"/>
        <w:left w:val="none" w:sz="0" w:space="0" w:color="auto"/>
        <w:bottom w:val="none" w:sz="0" w:space="0" w:color="auto"/>
        <w:right w:val="none" w:sz="0" w:space="0" w:color="auto"/>
      </w:divBdr>
    </w:div>
    <w:div w:id="1283264114">
      <w:marLeft w:val="480"/>
      <w:marRight w:val="0"/>
      <w:marTop w:val="0"/>
      <w:marBottom w:val="0"/>
      <w:divBdr>
        <w:top w:val="none" w:sz="0" w:space="0" w:color="auto"/>
        <w:left w:val="none" w:sz="0" w:space="0" w:color="auto"/>
        <w:bottom w:val="none" w:sz="0" w:space="0" w:color="auto"/>
        <w:right w:val="none" w:sz="0" w:space="0" w:color="auto"/>
      </w:divBdr>
    </w:div>
    <w:div w:id="1296527774">
      <w:marLeft w:val="480"/>
      <w:marRight w:val="0"/>
      <w:marTop w:val="0"/>
      <w:marBottom w:val="0"/>
      <w:divBdr>
        <w:top w:val="none" w:sz="0" w:space="0" w:color="auto"/>
        <w:left w:val="none" w:sz="0" w:space="0" w:color="auto"/>
        <w:bottom w:val="none" w:sz="0" w:space="0" w:color="auto"/>
        <w:right w:val="none" w:sz="0" w:space="0" w:color="auto"/>
      </w:divBdr>
    </w:div>
    <w:div w:id="1318611399">
      <w:marLeft w:val="480"/>
      <w:marRight w:val="0"/>
      <w:marTop w:val="0"/>
      <w:marBottom w:val="0"/>
      <w:divBdr>
        <w:top w:val="none" w:sz="0" w:space="0" w:color="auto"/>
        <w:left w:val="none" w:sz="0" w:space="0" w:color="auto"/>
        <w:bottom w:val="none" w:sz="0" w:space="0" w:color="auto"/>
        <w:right w:val="none" w:sz="0" w:space="0" w:color="auto"/>
      </w:divBdr>
    </w:div>
    <w:div w:id="1321999159">
      <w:marLeft w:val="480"/>
      <w:marRight w:val="0"/>
      <w:marTop w:val="0"/>
      <w:marBottom w:val="0"/>
      <w:divBdr>
        <w:top w:val="none" w:sz="0" w:space="0" w:color="auto"/>
        <w:left w:val="none" w:sz="0" w:space="0" w:color="auto"/>
        <w:bottom w:val="none" w:sz="0" w:space="0" w:color="auto"/>
        <w:right w:val="none" w:sz="0" w:space="0" w:color="auto"/>
      </w:divBdr>
    </w:div>
    <w:div w:id="1325814878">
      <w:marLeft w:val="480"/>
      <w:marRight w:val="0"/>
      <w:marTop w:val="0"/>
      <w:marBottom w:val="0"/>
      <w:divBdr>
        <w:top w:val="none" w:sz="0" w:space="0" w:color="auto"/>
        <w:left w:val="none" w:sz="0" w:space="0" w:color="auto"/>
        <w:bottom w:val="none" w:sz="0" w:space="0" w:color="auto"/>
        <w:right w:val="none" w:sz="0" w:space="0" w:color="auto"/>
      </w:divBdr>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340498513">
      <w:marLeft w:val="480"/>
      <w:marRight w:val="0"/>
      <w:marTop w:val="0"/>
      <w:marBottom w:val="0"/>
      <w:divBdr>
        <w:top w:val="none" w:sz="0" w:space="0" w:color="auto"/>
        <w:left w:val="none" w:sz="0" w:space="0" w:color="auto"/>
        <w:bottom w:val="none" w:sz="0" w:space="0" w:color="auto"/>
        <w:right w:val="none" w:sz="0" w:space="0" w:color="auto"/>
      </w:divBdr>
    </w:div>
    <w:div w:id="1350066860">
      <w:marLeft w:val="480"/>
      <w:marRight w:val="0"/>
      <w:marTop w:val="0"/>
      <w:marBottom w:val="0"/>
      <w:divBdr>
        <w:top w:val="none" w:sz="0" w:space="0" w:color="auto"/>
        <w:left w:val="none" w:sz="0" w:space="0" w:color="auto"/>
        <w:bottom w:val="none" w:sz="0" w:space="0" w:color="auto"/>
        <w:right w:val="none" w:sz="0" w:space="0" w:color="auto"/>
      </w:divBdr>
    </w:div>
    <w:div w:id="1370450115">
      <w:marLeft w:val="480"/>
      <w:marRight w:val="0"/>
      <w:marTop w:val="0"/>
      <w:marBottom w:val="0"/>
      <w:divBdr>
        <w:top w:val="none" w:sz="0" w:space="0" w:color="auto"/>
        <w:left w:val="none" w:sz="0" w:space="0" w:color="auto"/>
        <w:bottom w:val="none" w:sz="0" w:space="0" w:color="auto"/>
        <w:right w:val="none" w:sz="0" w:space="0" w:color="auto"/>
      </w:divBdr>
    </w:div>
    <w:div w:id="1384599444">
      <w:marLeft w:val="480"/>
      <w:marRight w:val="0"/>
      <w:marTop w:val="0"/>
      <w:marBottom w:val="0"/>
      <w:divBdr>
        <w:top w:val="none" w:sz="0" w:space="0" w:color="auto"/>
        <w:left w:val="none" w:sz="0" w:space="0" w:color="auto"/>
        <w:bottom w:val="none" w:sz="0" w:space="0" w:color="auto"/>
        <w:right w:val="none" w:sz="0" w:space="0" w:color="auto"/>
      </w:divBdr>
    </w:div>
    <w:div w:id="1409380562">
      <w:marLeft w:val="480"/>
      <w:marRight w:val="0"/>
      <w:marTop w:val="0"/>
      <w:marBottom w:val="0"/>
      <w:divBdr>
        <w:top w:val="none" w:sz="0" w:space="0" w:color="auto"/>
        <w:left w:val="none" w:sz="0" w:space="0" w:color="auto"/>
        <w:bottom w:val="none" w:sz="0" w:space="0" w:color="auto"/>
        <w:right w:val="none" w:sz="0" w:space="0" w:color="auto"/>
      </w:divBdr>
    </w:div>
    <w:div w:id="1413698986">
      <w:marLeft w:val="480"/>
      <w:marRight w:val="0"/>
      <w:marTop w:val="0"/>
      <w:marBottom w:val="0"/>
      <w:divBdr>
        <w:top w:val="none" w:sz="0" w:space="0" w:color="auto"/>
        <w:left w:val="none" w:sz="0" w:space="0" w:color="auto"/>
        <w:bottom w:val="none" w:sz="0" w:space="0" w:color="auto"/>
        <w:right w:val="none" w:sz="0" w:space="0" w:color="auto"/>
      </w:divBdr>
    </w:div>
    <w:div w:id="1417823511">
      <w:marLeft w:val="48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32629248">
      <w:marLeft w:val="480"/>
      <w:marRight w:val="0"/>
      <w:marTop w:val="0"/>
      <w:marBottom w:val="0"/>
      <w:divBdr>
        <w:top w:val="none" w:sz="0" w:space="0" w:color="auto"/>
        <w:left w:val="none" w:sz="0" w:space="0" w:color="auto"/>
        <w:bottom w:val="none" w:sz="0" w:space="0" w:color="auto"/>
        <w:right w:val="none" w:sz="0" w:space="0" w:color="auto"/>
      </w:divBdr>
    </w:div>
    <w:div w:id="1445886404">
      <w:marLeft w:val="480"/>
      <w:marRight w:val="0"/>
      <w:marTop w:val="0"/>
      <w:marBottom w:val="0"/>
      <w:divBdr>
        <w:top w:val="none" w:sz="0" w:space="0" w:color="auto"/>
        <w:left w:val="none" w:sz="0" w:space="0" w:color="auto"/>
        <w:bottom w:val="none" w:sz="0" w:space="0" w:color="auto"/>
        <w:right w:val="none" w:sz="0" w:space="0" w:color="auto"/>
      </w:divBdr>
    </w:div>
    <w:div w:id="1449473387">
      <w:marLeft w:val="480"/>
      <w:marRight w:val="0"/>
      <w:marTop w:val="0"/>
      <w:marBottom w:val="0"/>
      <w:divBdr>
        <w:top w:val="none" w:sz="0" w:space="0" w:color="auto"/>
        <w:left w:val="none" w:sz="0" w:space="0" w:color="auto"/>
        <w:bottom w:val="none" w:sz="0" w:space="0" w:color="auto"/>
        <w:right w:val="none" w:sz="0" w:space="0" w:color="auto"/>
      </w:divBdr>
    </w:div>
    <w:div w:id="1452551125">
      <w:marLeft w:val="480"/>
      <w:marRight w:val="0"/>
      <w:marTop w:val="0"/>
      <w:marBottom w:val="0"/>
      <w:divBdr>
        <w:top w:val="none" w:sz="0" w:space="0" w:color="auto"/>
        <w:left w:val="none" w:sz="0" w:space="0" w:color="auto"/>
        <w:bottom w:val="none" w:sz="0" w:space="0" w:color="auto"/>
        <w:right w:val="none" w:sz="0" w:space="0" w:color="auto"/>
      </w:divBdr>
    </w:div>
    <w:div w:id="1459832465">
      <w:marLeft w:val="480"/>
      <w:marRight w:val="0"/>
      <w:marTop w:val="0"/>
      <w:marBottom w:val="0"/>
      <w:divBdr>
        <w:top w:val="none" w:sz="0" w:space="0" w:color="auto"/>
        <w:left w:val="none" w:sz="0" w:space="0" w:color="auto"/>
        <w:bottom w:val="none" w:sz="0" w:space="0" w:color="auto"/>
        <w:right w:val="none" w:sz="0" w:space="0" w:color="auto"/>
      </w:divBdr>
    </w:div>
    <w:div w:id="1485203351">
      <w:marLeft w:val="48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00151566">
      <w:marLeft w:val="480"/>
      <w:marRight w:val="0"/>
      <w:marTop w:val="0"/>
      <w:marBottom w:val="0"/>
      <w:divBdr>
        <w:top w:val="none" w:sz="0" w:space="0" w:color="auto"/>
        <w:left w:val="none" w:sz="0" w:space="0" w:color="auto"/>
        <w:bottom w:val="none" w:sz="0" w:space="0" w:color="auto"/>
        <w:right w:val="none" w:sz="0" w:space="0" w:color="auto"/>
      </w:divBdr>
    </w:div>
    <w:div w:id="1500388852">
      <w:marLeft w:val="480"/>
      <w:marRight w:val="0"/>
      <w:marTop w:val="0"/>
      <w:marBottom w:val="0"/>
      <w:divBdr>
        <w:top w:val="none" w:sz="0" w:space="0" w:color="auto"/>
        <w:left w:val="none" w:sz="0" w:space="0" w:color="auto"/>
        <w:bottom w:val="none" w:sz="0" w:space="0" w:color="auto"/>
        <w:right w:val="none" w:sz="0" w:space="0" w:color="auto"/>
      </w:divBdr>
    </w:div>
    <w:div w:id="1570076569">
      <w:marLeft w:val="480"/>
      <w:marRight w:val="0"/>
      <w:marTop w:val="0"/>
      <w:marBottom w:val="0"/>
      <w:divBdr>
        <w:top w:val="none" w:sz="0" w:space="0" w:color="auto"/>
        <w:left w:val="none" w:sz="0" w:space="0" w:color="auto"/>
        <w:bottom w:val="none" w:sz="0" w:space="0" w:color="auto"/>
        <w:right w:val="none" w:sz="0" w:space="0" w:color="auto"/>
      </w:divBdr>
    </w:div>
    <w:div w:id="1622220825">
      <w:marLeft w:val="480"/>
      <w:marRight w:val="0"/>
      <w:marTop w:val="0"/>
      <w:marBottom w:val="0"/>
      <w:divBdr>
        <w:top w:val="none" w:sz="0" w:space="0" w:color="auto"/>
        <w:left w:val="none" w:sz="0" w:space="0" w:color="auto"/>
        <w:bottom w:val="none" w:sz="0" w:space="0" w:color="auto"/>
        <w:right w:val="none" w:sz="0" w:space="0" w:color="auto"/>
      </w:divBdr>
    </w:div>
    <w:div w:id="1623801122">
      <w:marLeft w:val="480"/>
      <w:marRight w:val="0"/>
      <w:marTop w:val="0"/>
      <w:marBottom w:val="0"/>
      <w:divBdr>
        <w:top w:val="none" w:sz="0" w:space="0" w:color="auto"/>
        <w:left w:val="none" w:sz="0" w:space="0" w:color="auto"/>
        <w:bottom w:val="none" w:sz="0" w:space="0" w:color="auto"/>
        <w:right w:val="none" w:sz="0" w:space="0" w:color="auto"/>
      </w:divBdr>
    </w:div>
    <w:div w:id="1649554306">
      <w:marLeft w:val="48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481128">
      <w:marLeft w:val="480"/>
      <w:marRight w:val="0"/>
      <w:marTop w:val="0"/>
      <w:marBottom w:val="0"/>
      <w:divBdr>
        <w:top w:val="none" w:sz="0" w:space="0" w:color="auto"/>
        <w:left w:val="none" w:sz="0" w:space="0" w:color="auto"/>
        <w:bottom w:val="none" w:sz="0" w:space="0" w:color="auto"/>
        <w:right w:val="none" w:sz="0" w:space="0" w:color="auto"/>
      </w:divBdr>
    </w:div>
    <w:div w:id="1697190958">
      <w:marLeft w:val="480"/>
      <w:marRight w:val="0"/>
      <w:marTop w:val="0"/>
      <w:marBottom w:val="0"/>
      <w:divBdr>
        <w:top w:val="none" w:sz="0" w:space="0" w:color="auto"/>
        <w:left w:val="none" w:sz="0" w:space="0" w:color="auto"/>
        <w:bottom w:val="none" w:sz="0" w:space="0" w:color="auto"/>
        <w:right w:val="none" w:sz="0" w:space="0" w:color="auto"/>
      </w:divBdr>
    </w:div>
    <w:div w:id="1698655471">
      <w:marLeft w:val="480"/>
      <w:marRight w:val="0"/>
      <w:marTop w:val="0"/>
      <w:marBottom w:val="0"/>
      <w:divBdr>
        <w:top w:val="none" w:sz="0" w:space="0" w:color="auto"/>
        <w:left w:val="none" w:sz="0" w:space="0" w:color="auto"/>
        <w:bottom w:val="none" w:sz="0" w:space="0" w:color="auto"/>
        <w:right w:val="none" w:sz="0" w:space="0" w:color="auto"/>
      </w:divBdr>
    </w:div>
    <w:div w:id="1700355936">
      <w:marLeft w:val="480"/>
      <w:marRight w:val="0"/>
      <w:marTop w:val="0"/>
      <w:marBottom w:val="0"/>
      <w:divBdr>
        <w:top w:val="none" w:sz="0" w:space="0" w:color="auto"/>
        <w:left w:val="none" w:sz="0" w:space="0" w:color="auto"/>
        <w:bottom w:val="none" w:sz="0" w:space="0" w:color="auto"/>
        <w:right w:val="none" w:sz="0" w:space="0" w:color="auto"/>
      </w:divBdr>
    </w:div>
    <w:div w:id="1711026415">
      <w:marLeft w:val="480"/>
      <w:marRight w:val="0"/>
      <w:marTop w:val="0"/>
      <w:marBottom w:val="0"/>
      <w:divBdr>
        <w:top w:val="none" w:sz="0" w:space="0" w:color="auto"/>
        <w:left w:val="none" w:sz="0" w:space="0" w:color="auto"/>
        <w:bottom w:val="none" w:sz="0" w:space="0" w:color="auto"/>
        <w:right w:val="none" w:sz="0" w:space="0" w:color="auto"/>
      </w:divBdr>
    </w:div>
    <w:div w:id="1743603266">
      <w:marLeft w:val="480"/>
      <w:marRight w:val="0"/>
      <w:marTop w:val="0"/>
      <w:marBottom w:val="0"/>
      <w:divBdr>
        <w:top w:val="none" w:sz="0" w:space="0" w:color="auto"/>
        <w:left w:val="none" w:sz="0" w:space="0" w:color="auto"/>
        <w:bottom w:val="none" w:sz="0" w:space="0" w:color="auto"/>
        <w:right w:val="none" w:sz="0" w:space="0" w:color="auto"/>
      </w:divBdr>
    </w:div>
    <w:div w:id="1762557349">
      <w:marLeft w:val="480"/>
      <w:marRight w:val="0"/>
      <w:marTop w:val="0"/>
      <w:marBottom w:val="0"/>
      <w:divBdr>
        <w:top w:val="none" w:sz="0" w:space="0" w:color="auto"/>
        <w:left w:val="none" w:sz="0" w:space="0" w:color="auto"/>
        <w:bottom w:val="none" w:sz="0" w:space="0" w:color="auto"/>
        <w:right w:val="none" w:sz="0" w:space="0" w:color="auto"/>
      </w:divBdr>
    </w:div>
    <w:div w:id="1764569225">
      <w:marLeft w:val="480"/>
      <w:marRight w:val="0"/>
      <w:marTop w:val="0"/>
      <w:marBottom w:val="0"/>
      <w:divBdr>
        <w:top w:val="none" w:sz="0" w:space="0" w:color="auto"/>
        <w:left w:val="none" w:sz="0" w:space="0" w:color="auto"/>
        <w:bottom w:val="none" w:sz="0" w:space="0" w:color="auto"/>
        <w:right w:val="none" w:sz="0" w:space="0" w:color="auto"/>
      </w:divBdr>
    </w:div>
    <w:div w:id="1793400694">
      <w:marLeft w:val="480"/>
      <w:marRight w:val="0"/>
      <w:marTop w:val="0"/>
      <w:marBottom w:val="0"/>
      <w:divBdr>
        <w:top w:val="none" w:sz="0" w:space="0" w:color="auto"/>
        <w:left w:val="none" w:sz="0" w:space="0" w:color="auto"/>
        <w:bottom w:val="none" w:sz="0" w:space="0" w:color="auto"/>
        <w:right w:val="none" w:sz="0" w:space="0" w:color="auto"/>
      </w:divBdr>
    </w:div>
    <w:div w:id="1910455085">
      <w:marLeft w:val="480"/>
      <w:marRight w:val="0"/>
      <w:marTop w:val="0"/>
      <w:marBottom w:val="0"/>
      <w:divBdr>
        <w:top w:val="none" w:sz="0" w:space="0" w:color="auto"/>
        <w:left w:val="none" w:sz="0" w:space="0" w:color="auto"/>
        <w:bottom w:val="none" w:sz="0" w:space="0" w:color="auto"/>
        <w:right w:val="none" w:sz="0" w:space="0" w:color="auto"/>
      </w:divBdr>
    </w:div>
    <w:div w:id="1920822030">
      <w:marLeft w:val="480"/>
      <w:marRight w:val="0"/>
      <w:marTop w:val="0"/>
      <w:marBottom w:val="0"/>
      <w:divBdr>
        <w:top w:val="none" w:sz="0" w:space="0" w:color="auto"/>
        <w:left w:val="none" w:sz="0" w:space="0" w:color="auto"/>
        <w:bottom w:val="none" w:sz="0" w:space="0" w:color="auto"/>
        <w:right w:val="none" w:sz="0" w:space="0" w:color="auto"/>
      </w:divBdr>
    </w:div>
    <w:div w:id="1949653034">
      <w:marLeft w:val="480"/>
      <w:marRight w:val="0"/>
      <w:marTop w:val="0"/>
      <w:marBottom w:val="0"/>
      <w:divBdr>
        <w:top w:val="none" w:sz="0" w:space="0" w:color="auto"/>
        <w:left w:val="none" w:sz="0" w:space="0" w:color="auto"/>
        <w:bottom w:val="none" w:sz="0" w:space="0" w:color="auto"/>
        <w:right w:val="none" w:sz="0" w:space="0" w:color="auto"/>
      </w:divBdr>
    </w:div>
    <w:div w:id="1964143689">
      <w:marLeft w:val="480"/>
      <w:marRight w:val="0"/>
      <w:marTop w:val="0"/>
      <w:marBottom w:val="0"/>
      <w:divBdr>
        <w:top w:val="none" w:sz="0" w:space="0" w:color="auto"/>
        <w:left w:val="none" w:sz="0" w:space="0" w:color="auto"/>
        <w:bottom w:val="none" w:sz="0" w:space="0" w:color="auto"/>
        <w:right w:val="none" w:sz="0" w:space="0" w:color="auto"/>
      </w:divBdr>
    </w:div>
    <w:div w:id="1979726052">
      <w:marLeft w:val="480"/>
      <w:marRight w:val="0"/>
      <w:marTop w:val="0"/>
      <w:marBottom w:val="0"/>
      <w:divBdr>
        <w:top w:val="none" w:sz="0" w:space="0" w:color="auto"/>
        <w:left w:val="none" w:sz="0" w:space="0" w:color="auto"/>
        <w:bottom w:val="none" w:sz="0" w:space="0" w:color="auto"/>
        <w:right w:val="none" w:sz="0" w:space="0" w:color="auto"/>
      </w:divBdr>
    </w:div>
    <w:div w:id="2005157577">
      <w:marLeft w:val="480"/>
      <w:marRight w:val="0"/>
      <w:marTop w:val="0"/>
      <w:marBottom w:val="0"/>
      <w:divBdr>
        <w:top w:val="none" w:sz="0" w:space="0" w:color="auto"/>
        <w:left w:val="none" w:sz="0" w:space="0" w:color="auto"/>
        <w:bottom w:val="none" w:sz="0" w:space="0" w:color="auto"/>
        <w:right w:val="none" w:sz="0" w:space="0" w:color="auto"/>
      </w:divBdr>
    </w:div>
    <w:div w:id="2020620291">
      <w:marLeft w:val="480"/>
      <w:marRight w:val="0"/>
      <w:marTop w:val="0"/>
      <w:marBottom w:val="0"/>
      <w:divBdr>
        <w:top w:val="none" w:sz="0" w:space="0" w:color="auto"/>
        <w:left w:val="none" w:sz="0" w:space="0" w:color="auto"/>
        <w:bottom w:val="none" w:sz="0" w:space="0" w:color="auto"/>
        <w:right w:val="none" w:sz="0" w:space="0" w:color="auto"/>
      </w:divBdr>
    </w:div>
    <w:div w:id="2020810543">
      <w:marLeft w:val="480"/>
      <w:marRight w:val="0"/>
      <w:marTop w:val="0"/>
      <w:marBottom w:val="0"/>
      <w:divBdr>
        <w:top w:val="none" w:sz="0" w:space="0" w:color="auto"/>
        <w:left w:val="none" w:sz="0" w:space="0" w:color="auto"/>
        <w:bottom w:val="none" w:sz="0" w:space="0" w:color="auto"/>
        <w:right w:val="none" w:sz="0" w:space="0" w:color="auto"/>
      </w:divBdr>
    </w:div>
    <w:div w:id="2023706435">
      <w:marLeft w:val="480"/>
      <w:marRight w:val="0"/>
      <w:marTop w:val="0"/>
      <w:marBottom w:val="0"/>
      <w:divBdr>
        <w:top w:val="none" w:sz="0" w:space="0" w:color="auto"/>
        <w:left w:val="none" w:sz="0" w:space="0" w:color="auto"/>
        <w:bottom w:val="none" w:sz="0" w:space="0" w:color="auto"/>
        <w:right w:val="none" w:sz="0" w:space="0" w:color="auto"/>
      </w:divBdr>
    </w:div>
    <w:div w:id="2049453022">
      <w:marLeft w:val="480"/>
      <w:marRight w:val="0"/>
      <w:marTop w:val="0"/>
      <w:marBottom w:val="0"/>
      <w:divBdr>
        <w:top w:val="none" w:sz="0" w:space="0" w:color="auto"/>
        <w:left w:val="none" w:sz="0" w:space="0" w:color="auto"/>
        <w:bottom w:val="none" w:sz="0" w:space="0" w:color="auto"/>
        <w:right w:val="none" w:sz="0" w:space="0" w:color="auto"/>
      </w:divBdr>
    </w:div>
    <w:div w:id="2080322669">
      <w:marLeft w:val="480"/>
      <w:marRight w:val="0"/>
      <w:marTop w:val="0"/>
      <w:marBottom w:val="0"/>
      <w:divBdr>
        <w:top w:val="none" w:sz="0" w:space="0" w:color="auto"/>
        <w:left w:val="none" w:sz="0" w:space="0" w:color="auto"/>
        <w:bottom w:val="none" w:sz="0" w:space="0" w:color="auto"/>
        <w:right w:val="none" w:sz="0" w:space="0" w:color="auto"/>
      </w:divBdr>
    </w:div>
    <w:div w:id="2088455928">
      <w:marLeft w:val="480"/>
      <w:marRight w:val="0"/>
      <w:marTop w:val="0"/>
      <w:marBottom w:val="0"/>
      <w:divBdr>
        <w:top w:val="none" w:sz="0" w:space="0" w:color="auto"/>
        <w:left w:val="none" w:sz="0" w:space="0" w:color="auto"/>
        <w:bottom w:val="none" w:sz="0" w:space="0" w:color="auto"/>
        <w:right w:val="none" w:sz="0" w:space="0" w:color="auto"/>
      </w:divBdr>
    </w:div>
    <w:div w:id="2122338995">
      <w:marLeft w:val="480"/>
      <w:marRight w:val="0"/>
      <w:marTop w:val="0"/>
      <w:marBottom w:val="0"/>
      <w:divBdr>
        <w:top w:val="none" w:sz="0" w:space="0" w:color="auto"/>
        <w:left w:val="none" w:sz="0" w:space="0" w:color="auto"/>
        <w:bottom w:val="none" w:sz="0" w:space="0" w:color="auto"/>
        <w:right w:val="none" w:sz="0" w:space="0" w:color="auto"/>
      </w:divBdr>
    </w:div>
    <w:div w:id="2126459156">
      <w:marLeft w:val="48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5654705">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C7B64DF7C2C453EA6EC56C67AFA50BD"/>
        <w:category>
          <w:name w:val="General"/>
          <w:gallery w:val="placeholder"/>
        </w:category>
        <w:types>
          <w:type w:val="bbPlcHdr"/>
        </w:types>
        <w:behaviors>
          <w:behavior w:val="content"/>
        </w:behaviors>
        <w:guid w:val="{3DB5ACED-373E-4B85-A889-EE58188DF02E}"/>
      </w:docPartPr>
      <w:docPartBody>
        <w:p w:rsidR="00A20DC1" w:rsidRDefault="00BF407C" w:rsidP="00BF407C">
          <w:pPr>
            <w:pStyle w:val="6C7B64DF7C2C453EA6EC56C67AFA50BD"/>
          </w:pPr>
          <w:r w:rsidRPr="00732289">
            <w:rPr>
              <w:rStyle w:val="Testosegnaposto"/>
            </w:rPr>
            <w:t>Haga clic o pulse aquí para escribir texto.</w:t>
          </w:r>
        </w:p>
      </w:docPartBody>
    </w:docPart>
    <w:docPart>
      <w:docPartPr>
        <w:name w:val="E73E2191B2A743D6A2FFD37428EA19B2"/>
        <w:category>
          <w:name w:val="General"/>
          <w:gallery w:val="placeholder"/>
        </w:category>
        <w:types>
          <w:type w:val="bbPlcHdr"/>
        </w:types>
        <w:behaviors>
          <w:behavior w:val="content"/>
        </w:behaviors>
        <w:guid w:val="{C50FB309-7B5C-4249-9502-87E90FFE84E4}"/>
      </w:docPartPr>
      <w:docPartBody>
        <w:p w:rsidR="00A20DC1" w:rsidRDefault="00BF407C" w:rsidP="00BF407C">
          <w:pPr>
            <w:pStyle w:val="E73E2191B2A743D6A2FFD37428EA19B2"/>
          </w:pPr>
          <w:r w:rsidRPr="00732289">
            <w:rPr>
              <w:rStyle w:val="Testosegnaposto"/>
            </w:rPr>
            <w:t>Haga clic o pulse aquí para escribir texto.</w:t>
          </w:r>
        </w:p>
      </w:docPartBody>
    </w:docPart>
    <w:docPart>
      <w:docPartPr>
        <w:name w:val="D42A949F8BDD4896A0F379369785C742"/>
        <w:category>
          <w:name w:val="General"/>
          <w:gallery w:val="placeholder"/>
        </w:category>
        <w:types>
          <w:type w:val="bbPlcHdr"/>
        </w:types>
        <w:behaviors>
          <w:behavior w:val="content"/>
        </w:behaviors>
        <w:guid w:val="{8A2117D8-D5CE-41C2-A271-00B7B39CF191}"/>
      </w:docPartPr>
      <w:docPartBody>
        <w:p w:rsidR="00A20DC1" w:rsidRDefault="00BF407C" w:rsidP="00BF407C">
          <w:pPr>
            <w:pStyle w:val="D42A949F8BDD4896A0F379369785C742"/>
          </w:pPr>
          <w:r w:rsidRPr="00732289">
            <w:rPr>
              <w:rStyle w:val="Testosegnaposto"/>
            </w:rPr>
            <w:t>Haga clic o pulse aquí para escribir texto.</w:t>
          </w:r>
        </w:p>
      </w:docPartBody>
    </w:docPart>
    <w:docPart>
      <w:docPartPr>
        <w:name w:val="9CC010EF5AC745CFA67892B81AE87D25"/>
        <w:category>
          <w:name w:val="General"/>
          <w:gallery w:val="placeholder"/>
        </w:category>
        <w:types>
          <w:type w:val="bbPlcHdr"/>
        </w:types>
        <w:behaviors>
          <w:behavior w:val="content"/>
        </w:behaviors>
        <w:guid w:val="{5AD552D3-05AF-4B7F-A48A-FDF1229ADEC8}"/>
      </w:docPartPr>
      <w:docPartBody>
        <w:p w:rsidR="00A20DC1" w:rsidRDefault="00BF407C" w:rsidP="00BF407C">
          <w:pPr>
            <w:pStyle w:val="9CC010EF5AC745CFA67892B81AE87D25"/>
          </w:pPr>
          <w:r w:rsidRPr="00732289">
            <w:rPr>
              <w:rStyle w:val="Testosegnaposto"/>
            </w:rPr>
            <w:t>Haga clic o pulse aquí para escribir texto.</w:t>
          </w:r>
        </w:p>
      </w:docPartBody>
    </w:docPart>
    <w:docPart>
      <w:docPartPr>
        <w:name w:val="EBE22800DA1146A585E3B9099CA6C433"/>
        <w:category>
          <w:name w:val="General"/>
          <w:gallery w:val="placeholder"/>
        </w:category>
        <w:types>
          <w:type w:val="bbPlcHdr"/>
        </w:types>
        <w:behaviors>
          <w:behavior w:val="content"/>
        </w:behaviors>
        <w:guid w:val="{898E1A29-1F9B-4FF3-BA0F-A3BCD70513B0}"/>
      </w:docPartPr>
      <w:docPartBody>
        <w:p w:rsidR="00A20DC1" w:rsidRDefault="00BF407C" w:rsidP="00BF407C">
          <w:pPr>
            <w:pStyle w:val="EBE22800DA1146A585E3B9099CA6C433"/>
          </w:pPr>
          <w:r w:rsidRPr="00B5148D">
            <w:rPr>
              <w:rStyle w:val="Testosegnaposto"/>
            </w:rPr>
            <w:t>Haga clic o pulse aquí para escribir texto.</w:t>
          </w:r>
        </w:p>
      </w:docPartBody>
    </w:docPart>
    <w:docPart>
      <w:docPartPr>
        <w:name w:val="0F3A74E06F5B41048ECF53F6CF16B754"/>
        <w:category>
          <w:name w:val="General"/>
          <w:gallery w:val="placeholder"/>
        </w:category>
        <w:types>
          <w:type w:val="bbPlcHdr"/>
        </w:types>
        <w:behaviors>
          <w:behavior w:val="content"/>
        </w:behaviors>
        <w:guid w:val="{6A521819-9854-460E-9B2B-024280BC1AB0}"/>
      </w:docPartPr>
      <w:docPartBody>
        <w:p w:rsidR="00A20DC1" w:rsidRDefault="00BF407C" w:rsidP="00BF407C">
          <w:pPr>
            <w:pStyle w:val="0F3A74E06F5B41048ECF53F6CF16B754"/>
          </w:pPr>
          <w:r w:rsidRPr="005F6803">
            <w:rPr>
              <w:rStyle w:val="Testosegnaposto"/>
            </w:rPr>
            <w:t>Haga clic o pulse aquí para escribir texto.</w:t>
          </w:r>
        </w:p>
      </w:docPartBody>
    </w:docPart>
    <w:docPart>
      <w:docPartPr>
        <w:name w:val="DefaultPlaceholder_-1854013440"/>
        <w:category>
          <w:name w:val="General"/>
          <w:gallery w:val="placeholder"/>
        </w:category>
        <w:types>
          <w:type w:val="bbPlcHdr"/>
        </w:types>
        <w:behaviors>
          <w:behavior w:val="content"/>
        </w:behaviors>
        <w:guid w:val="{FC7DB0C9-26A2-4D4D-BB89-37B1213E3C91}"/>
      </w:docPartPr>
      <w:docPartBody>
        <w:p w:rsidR="00A20DC1" w:rsidRDefault="00BF407C">
          <w:r w:rsidRPr="00FC08C5">
            <w:rPr>
              <w:rStyle w:val="Testosegnaposto"/>
            </w:rPr>
            <w:t>Haga clic o pulse aquí para escribir texto.</w:t>
          </w:r>
        </w:p>
      </w:docPartBody>
    </w:docPart>
    <w:docPart>
      <w:docPartPr>
        <w:name w:val="66ACE96670C84CCBB8782CDF758671F1"/>
        <w:category>
          <w:name w:val="General"/>
          <w:gallery w:val="placeholder"/>
        </w:category>
        <w:types>
          <w:type w:val="bbPlcHdr"/>
        </w:types>
        <w:behaviors>
          <w:behavior w:val="content"/>
        </w:behaviors>
        <w:guid w:val="{589AB974-9882-4FE0-920F-D9549E4502F8}"/>
      </w:docPartPr>
      <w:docPartBody>
        <w:p w:rsidR="007B2E50" w:rsidRDefault="00A20DC1" w:rsidP="00A20DC1">
          <w:pPr>
            <w:pStyle w:val="66ACE96670C84CCBB8782CDF758671F1"/>
          </w:pPr>
          <w:r w:rsidRPr="00B5148D">
            <w:rPr>
              <w:rStyle w:val="Testosegnaposto"/>
            </w:rPr>
            <w:t>Haga clic o pulse aquí para escribir texto.</w:t>
          </w:r>
        </w:p>
      </w:docPartBody>
    </w:docPart>
    <w:docPart>
      <w:docPartPr>
        <w:name w:val="2804777E81DD4EAE8476BDC3326C8995"/>
        <w:category>
          <w:name w:val="General"/>
          <w:gallery w:val="placeholder"/>
        </w:category>
        <w:types>
          <w:type w:val="bbPlcHdr"/>
        </w:types>
        <w:behaviors>
          <w:behavior w:val="content"/>
        </w:behaviors>
        <w:guid w:val="{909656CC-D8E7-484B-914F-CEA0D55D0772}"/>
      </w:docPartPr>
      <w:docPartBody>
        <w:p w:rsidR="007B2E50" w:rsidRDefault="00A20DC1" w:rsidP="00A20DC1">
          <w:pPr>
            <w:pStyle w:val="2804777E81DD4EAE8476BDC3326C8995"/>
          </w:pPr>
          <w:r w:rsidRPr="00F7664A">
            <w:rPr>
              <w:rStyle w:val="Testosegnaposto"/>
            </w:rPr>
            <w:t>Haga clic o pulse aquí para escribir texto.</w:t>
          </w:r>
        </w:p>
      </w:docPartBody>
    </w:docPart>
    <w:docPart>
      <w:docPartPr>
        <w:name w:val="5211B9B818FA4D56A9D74FD3BA2E65E9"/>
        <w:category>
          <w:name w:val="General"/>
          <w:gallery w:val="placeholder"/>
        </w:category>
        <w:types>
          <w:type w:val="bbPlcHdr"/>
        </w:types>
        <w:behaviors>
          <w:behavior w:val="content"/>
        </w:behaviors>
        <w:guid w:val="{76FBFA6A-A4F6-4C42-B233-8CB2ED01E693}"/>
      </w:docPartPr>
      <w:docPartBody>
        <w:p w:rsidR="00C25317" w:rsidRDefault="00C4621F" w:rsidP="00C4621F">
          <w:pPr>
            <w:pStyle w:val="5211B9B818FA4D56A9D74FD3BA2E65E9"/>
          </w:pPr>
          <w:r w:rsidRPr="00FC08C5">
            <w:rPr>
              <w:rStyle w:val="Testosegnaposto"/>
            </w:rPr>
            <w:t>Haga clic o pulse aquí para escribir texto.</w:t>
          </w:r>
        </w:p>
      </w:docPartBody>
    </w:docPart>
    <w:docPart>
      <w:docPartPr>
        <w:name w:val="9FB67D743E73468D816D34E6EAAE1C15"/>
        <w:category>
          <w:name w:val="General"/>
          <w:gallery w:val="placeholder"/>
        </w:category>
        <w:types>
          <w:type w:val="bbPlcHdr"/>
        </w:types>
        <w:behaviors>
          <w:behavior w:val="content"/>
        </w:behaviors>
        <w:guid w:val="{05E6C74E-295A-4523-9989-539D25A4005E}"/>
      </w:docPartPr>
      <w:docPartBody>
        <w:p w:rsidR="00C25317" w:rsidRDefault="00C4621F" w:rsidP="00C4621F">
          <w:pPr>
            <w:pStyle w:val="9FB67D743E73468D816D34E6EAAE1C15"/>
          </w:pPr>
          <w:r w:rsidRPr="00B5148D">
            <w:rPr>
              <w:rStyle w:val="Testosegnaposto"/>
            </w:rPr>
            <w:t>Haga clic o pulse aquí para escribir texto.</w:t>
          </w:r>
        </w:p>
      </w:docPartBody>
    </w:docPart>
    <w:docPart>
      <w:docPartPr>
        <w:name w:val="93CB7B069C314070BC2A9715870C919C"/>
        <w:category>
          <w:name w:val="General"/>
          <w:gallery w:val="placeholder"/>
        </w:category>
        <w:types>
          <w:type w:val="bbPlcHdr"/>
        </w:types>
        <w:behaviors>
          <w:behavior w:val="content"/>
        </w:behaviors>
        <w:guid w:val="{88D68790-AC82-4D5C-BBD7-5BD33B439FE7}"/>
      </w:docPartPr>
      <w:docPartBody>
        <w:p w:rsidR="00AC37AB" w:rsidRDefault="00EE644F" w:rsidP="00EE644F">
          <w:pPr>
            <w:pStyle w:val="93CB7B069C314070BC2A9715870C919C"/>
          </w:pPr>
          <w:r w:rsidRPr="00F837E9">
            <w:rPr>
              <w:rStyle w:val="Testosegnaposto"/>
            </w:rPr>
            <w:t>Haga clic o pulse aquí para escribir texto.</w:t>
          </w:r>
        </w:p>
      </w:docPartBody>
    </w:docPart>
    <w:docPart>
      <w:docPartPr>
        <w:name w:val="5B4590245D0F47CAB0FA692301270ADF"/>
        <w:category>
          <w:name w:val="General"/>
          <w:gallery w:val="placeholder"/>
        </w:category>
        <w:types>
          <w:type w:val="bbPlcHdr"/>
        </w:types>
        <w:behaviors>
          <w:behavior w:val="content"/>
        </w:behaviors>
        <w:guid w:val="{E6C0A554-0662-4637-B339-053727898F15}"/>
      </w:docPartPr>
      <w:docPartBody>
        <w:p w:rsidR="00AA0C8C" w:rsidRDefault="00AC37AB" w:rsidP="00AC37AB">
          <w:pPr>
            <w:pStyle w:val="5B4590245D0F47CAB0FA692301270ADF"/>
          </w:pPr>
          <w:r w:rsidRPr="00B5148D">
            <w:rPr>
              <w:rStyle w:val="Testosegnaposto"/>
            </w:rPr>
            <w:t>Haga clic o pulse aquí para escribir texto.</w:t>
          </w:r>
        </w:p>
      </w:docPartBody>
    </w:docPart>
    <w:docPart>
      <w:docPartPr>
        <w:name w:val="866B916230AE4788B19CAD5549BD62D3"/>
        <w:category>
          <w:name w:val="General"/>
          <w:gallery w:val="placeholder"/>
        </w:category>
        <w:types>
          <w:type w:val="bbPlcHdr"/>
        </w:types>
        <w:behaviors>
          <w:behavior w:val="content"/>
        </w:behaviors>
        <w:guid w:val="{2EA22019-3F50-4D4F-96E8-19BB0C4E672E}"/>
      </w:docPartPr>
      <w:docPartBody>
        <w:p w:rsidR="00AA0C8C" w:rsidRDefault="00AC37AB" w:rsidP="00AC37AB">
          <w:pPr>
            <w:pStyle w:val="866B916230AE4788B19CAD5549BD62D3"/>
          </w:pPr>
          <w:r w:rsidRPr="007853DA">
            <w:rPr>
              <w:rStyle w:val="Testosegnaposto"/>
            </w:rPr>
            <w:t>Haga clic o pulse aquí para escribir texto.</w:t>
          </w:r>
        </w:p>
      </w:docPartBody>
    </w:docPart>
    <w:docPart>
      <w:docPartPr>
        <w:name w:val="B780A4494E9941C1AEF27E16AA2E3767"/>
        <w:category>
          <w:name w:val="General"/>
          <w:gallery w:val="placeholder"/>
        </w:category>
        <w:types>
          <w:type w:val="bbPlcHdr"/>
        </w:types>
        <w:behaviors>
          <w:behavior w:val="content"/>
        </w:behaviors>
        <w:guid w:val="{DA532433-A013-4BA8-9A13-03CB0C207AC1}"/>
      </w:docPartPr>
      <w:docPartBody>
        <w:p w:rsidR="00AA0C8C" w:rsidRDefault="00AC37AB" w:rsidP="00AC37AB">
          <w:pPr>
            <w:pStyle w:val="B780A4494E9941C1AEF27E16AA2E3767"/>
          </w:pPr>
          <w:r w:rsidRPr="007853DA">
            <w:rPr>
              <w:rStyle w:val="Testosegnaposto"/>
            </w:rPr>
            <w:t>Haga clic o pulse aquí para escribir texto.</w:t>
          </w:r>
        </w:p>
      </w:docPartBody>
    </w:docPart>
    <w:docPart>
      <w:docPartPr>
        <w:name w:val="1F2BC93E5C824A829677CAA993694416"/>
        <w:category>
          <w:name w:val="General"/>
          <w:gallery w:val="placeholder"/>
        </w:category>
        <w:types>
          <w:type w:val="bbPlcHdr"/>
        </w:types>
        <w:behaviors>
          <w:behavior w:val="content"/>
        </w:behaviors>
        <w:guid w:val="{83239D8F-49B9-4ED0-8088-8B247357F7AA}"/>
      </w:docPartPr>
      <w:docPartBody>
        <w:p w:rsidR="00AA0C8C" w:rsidRDefault="00AC37AB" w:rsidP="00AC37AB">
          <w:pPr>
            <w:pStyle w:val="1F2BC93E5C824A829677CAA993694416"/>
          </w:pPr>
          <w:r w:rsidRPr="007853DA">
            <w:rPr>
              <w:rStyle w:val="Testosegnaposto"/>
            </w:rPr>
            <w:t>Haga clic o pulse aquí para escribir texto.</w:t>
          </w:r>
        </w:p>
      </w:docPartBody>
    </w:docPart>
    <w:docPart>
      <w:docPartPr>
        <w:name w:val="0CE11EFD6C344CD4AE3AFFEAE0F0008B"/>
        <w:category>
          <w:name w:val="General"/>
          <w:gallery w:val="placeholder"/>
        </w:category>
        <w:types>
          <w:type w:val="bbPlcHdr"/>
        </w:types>
        <w:behaviors>
          <w:behavior w:val="content"/>
        </w:behaviors>
        <w:guid w:val="{667E0576-363A-43B7-81E2-4EA16AFB74DE}"/>
      </w:docPartPr>
      <w:docPartBody>
        <w:p w:rsidR="00AA0C8C" w:rsidRDefault="00AC37AB" w:rsidP="00AC37AB">
          <w:pPr>
            <w:pStyle w:val="0CE11EFD6C344CD4AE3AFFEAE0F0008B"/>
          </w:pPr>
          <w:r w:rsidRPr="007853DA">
            <w:rPr>
              <w:rStyle w:val="Testosegnaposto"/>
            </w:rPr>
            <w:t>Haga clic o pulse aquí para escribir texto.</w:t>
          </w:r>
        </w:p>
      </w:docPartBody>
    </w:docPart>
    <w:docPart>
      <w:docPartPr>
        <w:name w:val="73EF91FEB7AC472A8A98A254F70E0F62"/>
        <w:category>
          <w:name w:val="General"/>
          <w:gallery w:val="placeholder"/>
        </w:category>
        <w:types>
          <w:type w:val="bbPlcHdr"/>
        </w:types>
        <w:behaviors>
          <w:behavior w:val="content"/>
        </w:behaviors>
        <w:guid w:val="{50055D97-6053-43A8-941D-E1833B2BA321}"/>
      </w:docPartPr>
      <w:docPartBody>
        <w:p w:rsidR="00AA0C8C" w:rsidRDefault="00AC37AB" w:rsidP="00AC37AB">
          <w:pPr>
            <w:pStyle w:val="73EF91FEB7AC472A8A98A254F70E0F62"/>
          </w:pPr>
          <w:r w:rsidRPr="007853DA">
            <w:rPr>
              <w:rStyle w:val="Testosegnaposto"/>
            </w:rPr>
            <w:t>Haga clic o pulse aquí para escribir texto.</w:t>
          </w:r>
        </w:p>
      </w:docPartBody>
    </w:docPart>
    <w:docPart>
      <w:docPartPr>
        <w:name w:val="5F34159391694E4F9D22BD6340B0AE26"/>
        <w:category>
          <w:name w:val="General"/>
          <w:gallery w:val="placeholder"/>
        </w:category>
        <w:types>
          <w:type w:val="bbPlcHdr"/>
        </w:types>
        <w:behaviors>
          <w:behavior w:val="content"/>
        </w:behaviors>
        <w:guid w:val="{E58C91DD-C76A-4959-91EC-E41FC05D91AC}"/>
      </w:docPartPr>
      <w:docPartBody>
        <w:p w:rsidR="00AA0C8C" w:rsidRDefault="00AC37AB" w:rsidP="00AC37AB">
          <w:pPr>
            <w:pStyle w:val="5F34159391694E4F9D22BD6340B0AE26"/>
          </w:pPr>
          <w:r w:rsidRPr="007853DA">
            <w:rPr>
              <w:rStyle w:val="Testosegnaposto"/>
            </w:rPr>
            <w:t>Haga clic o pulse aquí para escribir texto.</w:t>
          </w:r>
        </w:p>
      </w:docPartBody>
    </w:docPart>
    <w:docPart>
      <w:docPartPr>
        <w:name w:val="20FB532BCCD5455C89988784718C444B"/>
        <w:category>
          <w:name w:val="General"/>
          <w:gallery w:val="placeholder"/>
        </w:category>
        <w:types>
          <w:type w:val="bbPlcHdr"/>
        </w:types>
        <w:behaviors>
          <w:behavior w:val="content"/>
        </w:behaviors>
        <w:guid w:val="{2E1C659A-9151-43B9-9F51-AA96CCCD121A}"/>
      </w:docPartPr>
      <w:docPartBody>
        <w:p w:rsidR="00366272" w:rsidRDefault="00D50D11" w:rsidP="00D50D11">
          <w:pPr>
            <w:pStyle w:val="20FB532BCCD5455C89988784718C444B"/>
          </w:pPr>
          <w:r w:rsidRPr="00794E27">
            <w:rPr>
              <w:rStyle w:val="Testosegnaposto"/>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badi">
    <w:altName w:val="Abadi"/>
    <w:charset w:val="00"/>
    <w:family w:val="swiss"/>
    <w:pitch w:val="variable"/>
    <w:sig w:usb0="80000003"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07C"/>
    <w:rsid w:val="000840AB"/>
    <w:rsid w:val="001073E2"/>
    <w:rsid w:val="001315A2"/>
    <w:rsid w:val="001B5505"/>
    <w:rsid w:val="00220BE5"/>
    <w:rsid w:val="0023473D"/>
    <w:rsid w:val="00311D49"/>
    <w:rsid w:val="00366272"/>
    <w:rsid w:val="003D5B2B"/>
    <w:rsid w:val="004968A9"/>
    <w:rsid w:val="004B5241"/>
    <w:rsid w:val="006A4A53"/>
    <w:rsid w:val="007243E9"/>
    <w:rsid w:val="007B2E50"/>
    <w:rsid w:val="009129DA"/>
    <w:rsid w:val="009433D9"/>
    <w:rsid w:val="009953BF"/>
    <w:rsid w:val="009A3480"/>
    <w:rsid w:val="00A20DC1"/>
    <w:rsid w:val="00A22E37"/>
    <w:rsid w:val="00AA0C8C"/>
    <w:rsid w:val="00AC37AB"/>
    <w:rsid w:val="00AD1E68"/>
    <w:rsid w:val="00B438C2"/>
    <w:rsid w:val="00B9775B"/>
    <w:rsid w:val="00BE6BC8"/>
    <w:rsid w:val="00BF407C"/>
    <w:rsid w:val="00C11882"/>
    <w:rsid w:val="00C25317"/>
    <w:rsid w:val="00C4621F"/>
    <w:rsid w:val="00CE1F97"/>
    <w:rsid w:val="00D25177"/>
    <w:rsid w:val="00D50D11"/>
    <w:rsid w:val="00E24F02"/>
    <w:rsid w:val="00EA209E"/>
    <w:rsid w:val="00EA2EFE"/>
    <w:rsid w:val="00EB28EC"/>
    <w:rsid w:val="00EB441A"/>
    <w:rsid w:val="00EE644F"/>
    <w:rsid w:val="00F845EF"/>
    <w:rsid w:val="00FC171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CO" w:eastAsia="es-C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D50D11"/>
    <w:rPr>
      <w:color w:val="666666"/>
    </w:rPr>
  </w:style>
  <w:style w:type="paragraph" w:customStyle="1" w:styleId="6C7B64DF7C2C453EA6EC56C67AFA50BD">
    <w:name w:val="6C7B64DF7C2C453EA6EC56C67AFA50BD"/>
    <w:rsid w:val="00BF407C"/>
  </w:style>
  <w:style w:type="paragraph" w:customStyle="1" w:styleId="E73E2191B2A743D6A2FFD37428EA19B2">
    <w:name w:val="E73E2191B2A743D6A2FFD37428EA19B2"/>
    <w:rsid w:val="00BF407C"/>
  </w:style>
  <w:style w:type="paragraph" w:customStyle="1" w:styleId="D42A949F8BDD4896A0F379369785C742">
    <w:name w:val="D42A949F8BDD4896A0F379369785C742"/>
    <w:rsid w:val="00BF407C"/>
  </w:style>
  <w:style w:type="paragraph" w:customStyle="1" w:styleId="9CC010EF5AC745CFA67892B81AE87D25">
    <w:name w:val="9CC010EF5AC745CFA67892B81AE87D25"/>
    <w:rsid w:val="00BF407C"/>
  </w:style>
  <w:style w:type="paragraph" w:customStyle="1" w:styleId="EBE22800DA1146A585E3B9099CA6C433">
    <w:name w:val="EBE22800DA1146A585E3B9099CA6C433"/>
    <w:rsid w:val="00BF407C"/>
  </w:style>
  <w:style w:type="paragraph" w:customStyle="1" w:styleId="0F3A74E06F5B41048ECF53F6CF16B754">
    <w:name w:val="0F3A74E06F5B41048ECF53F6CF16B754"/>
    <w:rsid w:val="00BF407C"/>
  </w:style>
  <w:style w:type="paragraph" w:customStyle="1" w:styleId="20FB532BCCD5455C89988784718C444B">
    <w:name w:val="20FB532BCCD5455C89988784718C444B"/>
    <w:rsid w:val="00D50D11"/>
  </w:style>
  <w:style w:type="paragraph" w:customStyle="1" w:styleId="66ACE96670C84CCBB8782CDF758671F1">
    <w:name w:val="66ACE96670C84CCBB8782CDF758671F1"/>
    <w:rsid w:val="00A20DC1"/>
  </w:style>
  <w:style w:type="paragraph" w:customStyle="1" w:styleId="2804777E81DD4EAE8476BDC3326C8995">
    <w:name w:val="2804777E81DD4EAE8476BDC3326C8995"/>
    <w:rsid w:val="00A20DC1"/>
  </w:style>
  <w:style w:type="paragraph" w:customStyle="1" w:styleId="5211B9B818FA4D56A9D74FD3BA2E65E9">
    <w:name w:val="5211B9B818FA4D56A9D74FD3BA2E65E9"/>
    <w:rsid w:val="00C4621F"/>
  </w:style>
  <w:style w:type="paragraph" w:customStyle="1" w:styleId="9FB67D743E73468D816D34E6EAAE1C15">
    <w:name w:val="9FB67D743E73468D816D34E6EAAE1C15"/>
    <w:rsid w:val="00C4621F"/>
  </w:style>
  <w:style w:type="paragraph" w:customStyle="1" w:styleId="93CB7B069C314070BC2A9715870C919C">
    <w:name w:val="93CB7B069C314070BC2A9715870C919C"/>
    <w:rsid w:val="00EE644F"/>
  </w:style>
  <w:style w:type="paragraph" w:customStyle="1" w:styleId="5B4590245D0F47CAB0FA692301270ADF">
    <w:name w:val="5B4590245D0F47CAB0FA692301270ADF"/>
    <w:rsid w:val="00AC37AB"/>
  </w:style>
  <w:style w:type="paragraph" w:customStyle="1" w:styleId="866B916230AE4788B19CAD5549BD62D3">
    <w:name w:val="866B916230AE4788B19CAD5549BD62D3"/>
    <w:rsid w:val="00AC37AB"/>
  </w:style>
  <w:style w:type="paragraph" w:customStyle="1" w:styleId="B780A4494E9941C1AEF27E16AA2E3767">
    <w:name w:val="B780A4494E9941C1AEF27E16AA2E3767"/>
    <w:rsid w:val="00AC37AB"/>
  </w:style>
  <w:style w:type="paragraph" w:customStyle="1" w:styleId="1F2BC93E5C824A829677CAA993694416">
    <w:name w:val="1F2BC93E5C824A829677CAA993694416"/>
    <w:rsid w:val="00AC37AB"/>
  </w:style>
  <w:style w:type="paragraph" w:customStyle="1" w:styleId="0CE11EFD6C344CD4AE3AFFEAE0F0008B">
    <w:name w:val="0CE11EFD6C344CD4AE3AFFEAE0F0008B"/>
    <w:rsid w:val="00AC37AB"/>
  </w:style>
  <w:style w:type="paragraph" w:customStyle="1" w:styleId="73EF91FEB7AC472A8A98A254F70E0F62">
    <w:name w:val="73EF91FEB7AC472A8A98A254F70E0F62"/>
    <w:rsid w:val="00AC37AB"/>
  </w:style>
  <w:style w:type="paragraph" w:customStyle="1" w:styleId="5F34159391694E4F9D22BD6340B0AE26">
    <w:name w:val="5F34159391694E4F9D22BD6340B0AE26"/>
    <w:rsid w:val="00AC37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DF6F733-F985-4745-89C4-82BCB9163D45}">
  <we:reference id="WA104382081" version="1.55.1.0" store="Omex" storeType="OMEX"/>
  <we:alternateReferences>
    <we:reference id="WA104382081" version="1.55.1.0" store="WA104382081" storeType="OMEX"/>
  </we:alternateReferences>
  <we:properties>
    <we:property name="MENDELEY_BIBLIOGRAPHY_IS_DIRTY" value="true"/>
    <we:property name="MENDELEY_BIBLIOGRAPHY_LAST_MODIFIED" value="1773952640387"/>
    <we:property name="MENDELEY_CITATIONS" value="[{&quot;citationID&quot;:&quot;MENDELEY_CITATION_edf12d08-1b48-422f-857f-8c3aac880949&quot;,&quot;properties&quot;:{&quot;noteIndex&quot;:0},&quot;isEdited&quot;:false,&quot;manualOverride&quot;:{&quot;isManuallyOverridden&quot;:false,&quot;citeprocText&quot;:&quot;(He et al., 2020)&quot;,&quot;manualOverrideText&quot;:&quot;&quot;},&quot;citationTag&quot;:&quot;MENDELEY_CITATION_v3_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&quot;,&quot;citationItems&quot;:[{&quot;id&quot;:&quot;4c7772ff-dee0-3a1d-bb6e-6f9c0f246df9&quot;,&quot;itemData&quot;:{&quot;type&quot;:&quot;article-journal&quot;,&quot;id&quot;:&quot;4c7772ff-dee0-3a1d-bb6e-6f9c0f246df9&quot;,&quot;title&quot;:&quot;Biochar amendment ameliorates soil properties and promotes Miscanthus growth in a coastal saline-alkali soil&quot;,&quot;author&quot;:[{&quot;family&quot;:&quot;He&quot;,&quot;given&quot;:&quot;Kang&quot;,&quot;parse-names&quot;:false,&quot;dropping-particle&quot;:&quot;&quot;,&quot;non-dropping-particle&quot;:&quot;&quot;},{&quot;family&quot;:&quot;He&quot;,&quot;given&quot;:&quot;Guo&quot;,&quot;parse-names&quot;:false,&quot;dropping-particle&quot;:&quot;&quot;,&quot;non-dropping-particle&quot;:&quot;&quot;},{&quot;family&quot;:&quot;Wang&quot;,&quot;given&quot;:&quot;Congpeng&quot;,&quot;parse-names&quot;:false,&quot;dropping-particle&quot;:&quot;&quot;,&quot;non-dropping-particle&quot;:&quot;&quot;},{&quot;family&quot;:&quot;Zhang&quot;,&quot;given&quot;:&quot;Hongpeng&quot;,&quot;parse-names&quot;:false,&quot;dropping-particle&quot;:&quot;&quot;,&quot;non-dropping-particle&quot;:&quot;&quot;},{&quot;family&quot;:&quot;Xu&quot;,&quot;given&quot;:&quot;Yan&quot;,&quot;parse-names&quot;:false,&quot;dropping-particle&quot;:&quot;&quot;,&quot;non-dropping-particle&quot;:&quot;&quot;},{&quot;family&quot;:&quot;Wang&quot;,&quot;given&quot;:&quot;Shumin&quot;,&quot;parse-names&quot;:false,&quot;dropping-particle&quot;:&quot;&quot;,&quot;non-dropping-particle&quot;:&quot;&quot;},{&quot;family&quot;:&quot;Kong&quot;,&quot;given&quot;:&quot;Yingzhen&quot;,&quot;parse-names&quot;:false,&quot;dropping-particle&quot;:&quot;&quot;,&quot;non-dropping-particle&quot;:&quot;&quot;},{&quot;family&quot;:&quot;Zhou&quot;,&quot;given&quot;:&quot;Gongke&quot;,&quot;parse-names&quot;:false,&quot;dropping-particle&quot;:&quot;&quot;,&quot;non-dropping-particle&quot;:&quot;&quot;},{&quot;family&quot;:&quot;Hu&quot;,&quot;given&quot;:&quot;Ruibo&quot;,&quot;parse-names&quot;:false,&quot;dropping-particle&quot;:&quot;&quot;,&quot;non-dropping-particle&quot;:&quot;&quot;}],&quot;container-title&quot;:&quot;Applied Soil Ecology&quot;,&quot;DOI&quot;:&quot;10.1016/j.apsoil.2020.103674&quot;,&quot;ISSN&quot;:&quot;09291393&quot;,&quot;URL&quot;:&quot;https://doi.org/10.1016/j.apsoil.2020.103674&quot;,&quot;issued&quot;:{&quot;date-parts&quot;:[[2020]]},&quot;page&quot;:&quot;103674&quot;,&quot;abstract&quot;:&quot;Biochar amendment has been proposed to be as a promising means to improve soil properties and enhance plant productivity in different types of soils. However, biochar application in the improvement of plant productivity in saline-alkali soils has received less attention. In the present study, we carried out a pot experiment in greenhouse to evaluate the effect of biochar amendment on the growth of Miscanthus lutarioriparius, a promising bioenergy crop, in a coastal saline-alkali soil during a 92-day growth period. The biochar was added at 0, 1.0%, 2.0%, 2.5%, 5.0%, and 10.0% (w/w) levels in a random block design with three replicates. The results showed that biochar applications at 2.0% and 2.5% levels significantly promoted Miscanthus growth by ameliorating the physicochemical and biological properties of the saline-alkali soil. The soil moisture, soil organic matter (SOM), nitrate nitrogen (NO3−-N), available phosphorus (Olsen-P), and concentrations of potassium (K+), calcium (Ca2+) and magnesium (Mg2+) ions were significantly increased, while soil pH, bulk density, ammonium nitrogen (NH4+-N), sodium (Na+) ion, and exchangeable sodium percentage (ESP) contents were substantially reduced. In addition, the soil bacterial community structure and diversity were substantially shifted after the biochar amendment, which in turn affected soil N and P cycling and improved soil physicochemical properties. Meanwhile, biochar application considerably mitigated the salinity stress to Miscanthus plants by activating anti-oxidative enzymes superoxide dismutase (SOD), peroxidase (POD) and catalase (CAT), therefore enhancing the scavenging capability of reactive oxygen species (ROS). Together, our results indicated that biochar amendment effectively promoted Miscanthus growth by ameliorating soil physical, chemical and biological properties, and alleviated salt stress injuries to plants in a coastal saline-alkali soil.&quot;,&quot;publisher&quot;:&quot;Elsevier&quot;,&quot;issue&quot;:&quot;October 2019&quot;,&quot;volume&quot;:&quot;155&quot;,&quot;container-title-short&quot;:&quot;&quot;},&quot;isTemporary&quot;:false}]},{&quot;citationID&quot;:&quot;MENDELEY_CITATION_9321be39-fd45-4715-a893-2af8b1566817&quot;,&quot;properties&quot;:{&quot;noteIndex&quot;:0},&quot;isEdited&quot;:false,&quot;manualOverride&quot;:{&quot;isManuallyOverridden&quot;:false,&quot;citeprocText&quot;:&quot;(Stavi et al., 2021)&quot;,&quot;manualOverrideText&quot;:&quot;&quot;},&quot;citationTag&quot;:&quot;MENDELEY_CITATION_v3_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&quot;,&quot;citationItems&quot;:[{&quot;id&quot;:&quot;367437b3-dc2a-3da2-a7b6-1d6b5dd87fbd&quot;,&quot;itemData&quot;:{&quot;type&quot;:&quot;article&quot;,&quot;id&quot;:&quot;367437b3-dc2a-3da2-a7b6-1d6b5dd87fbd&quot;,&quot;title&quot;:&quot;Soil Salinity and Sodicity in Drylands: A Review of Causes, Effects, Monitoring, and Restoration Measures&quot;,&quot;author&quot;:[{&quot;family&quot;:&quot;Stavi&quot;,&quot;given&quot;:&quot;Ilan&quot;,&quot;parse-names&quot;:false,&quot;dropping-particle&quot;:&quot;&quot;,&quot;non-dropping-particle&quot;:&quot;&quot;},{&quot;family&quot;:&quot;Thevs&quot;,&quot;given&quot;:&quot;Niels&quot;,&quot;parse-names&quot;:false,&quot;dropping-particle&quot;:&quot;&quot;,&quot;non-dropping-particle&quot;:&quot;&quot;},{&quot;family&quot;:&quot;Priori&quot;,&quot;given&quot;:&quot;Simone&quot;,&quot;parse-names&quot;:false,&quot;dropping-particle&quot;:&quot;&quot;,&quot;non-dropping-particle&quot;:&quot;&quot;}],&quot;container-title&quot;:&quot;Frontiers in Environmental Science&quot;,&quot;DOI&quot;:&quot;10.3389/fenvs.2021.712831&quot;,&quot;ISSN&quot;:&quot;2296665X&quot;,&quot;issued&quot;:{&quot;date-parts&quot;:[[2021,8,11]]},&quot;abstract&quot;:&quot;Soil salinization and sodification are common processes that particularly characterize drylands. These processes can be attributed either to natural conditions or anthropogenic activities. While natural causes include factors such as climate, lithology, topography, and pedology, human causes are mostly related to agricultural land-use, and specifically, to irrigated agriculture. The objective of this study was to thoroughly review this topic, while highlighting the major challenges and related opportunities. Over time, the extent of saline, sodic, and saline-sodic croplands has increased, resulting in accelerated land degradation and desertification, decreased agricultural productivity, and consequently jeopardizing environmental and food security. Mapping and monitoring saline soils is an important management tool, aimed at determining the extent and severity of salinization processes. Recent developments in advanced remote sensing methods have improved the efficacy of mapping and monitoring saline soils. Knowledge on prevention, mitigation, and recovery of soil salinity and sodicity has substantially grown over time. This knowledge includes advanced measures for salt flushing and leaching, water-saving irrigation technologies, precision fertilizer systems, chemical restoration, organic and microbial remediation, and phytoremediation of affected lands. Of a particular interest is the development of forestry-related means, with afforestation, reforestation, agroforestry, and silvopasture practices for the recovery of salt-affected soils. The forecasted expansion of drylands and aggravated drying of existing drylands due to climatic change emphasize the importance of this topic.&quot;,&quot;publisher&quot;:&quot;Frontiers Media S.A.&quot;,&quot;volume&quot;:&quot;9&quot;,&quot;container-title-short&quot;:&quot;Front. Environ. Sci.&quot;},&quot;isTemporary&quot;:false}]},{&quot;citationID&quot;:&quot;MENDELEY_CITATION_f22bfe7d-a7ac-49b8-a3d9-d3977c5fd93d&quot;,&quot;properties&quot;:{&quot;noteIndex&quot;:0},&quot;isEdited&quot;:false,&quot;manualOverride&quot;:{&quot;isManuallyOverridden&quot;:false,&quot;citeprocText&quot;:&quot;(Ma et al., 2024)&quot;,&quot;manualOverrideText&quot;:&quot;&quot;},&quot;citationTag&quot;:&quot;MENDELEY_CITATION_v3_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&quot;,&quot;citationItems&quot;:[{&quot;id&quot;:&quot;92df408a-c843-316a-aea1-34eb088274bd&quot;,&quot;itemData&quot;:{&quot;type&quot;:&quot;article-journal&quot;,&quot;id&quot;:&quot;92df408a-c843-316a-aea1-34eb088274bd&quot;,&quot;title&quot;:&quot;Biochar and hydrochar application influence soil ammonia volatilization and the dissolved organic matter in salt-affected soils&quot;,&quot;author&quot;:[{&quot;family&quot;:&quot;Ma&quot;,&quot;given&quot;:&quot;Yaxin&quot;,&quot;parse-names&quot;:false,&quot;dropping-particle&quot;:&quot;&quot;,&quot;non-dropping-particle&quot;:&quot;&quot;},{&quot;family&quot;:&quot;Xie&quot;,&quot;given&quot;:&quot;Wenping&quot;,&quot;parse-names&quot;:false,&quot;dropping-particle&quot;:&quot;&quot;,&quot;non-dropping-particle&quot;:&quot;&quot;},{&quot;family&quot;:&quot;Yao&quot;,&quot;given&quot;:&quot;Rongjiang&quot;,&quot;parse-names&quot;:false,&quot;dropping-particle&quot;:&quot;&quot;,&quot;non-dropping-particle&quot;:&quot;&quot;},{&quot;family&quot;:&quot;Feng&quot;,&quot;given&quot;:&quot;Yanfang&quot;,&quot;parse-names&quot;:false,&quot;dropping-particle&quot;:&quot;&quot;,&quot;non-dropping-particle&quot;:&quot;&quot;},{&quot;family&quot;:&quot;Wang&quot;,&quot;given&quot;:&quot;Xiangping&quot;,&quot;parse-names&quot;:false,&quot;dropping-particle&quot;:&quot;&quot;,&quot;non-dropping-particle&quot;:&quot;&quot;},{&quot;family&quot;:&quot;Xie&quot;,&quot;given&quot;:&quot;Huifang&quot;,&quot;parse-names&quot;:false,&quot;dropping-particle&quot;:&quot;&quot;,&quot;non-dropping-particle&quot;:&quot;&quot;},{&quot;family&quot;:&quot;Feng&quot;,&quot;given&quot;:&quot;Yuanyuan&quot;,&quot;parse-names&quot;:false,&quot;dropping-particle&quot;:&quot;&quot;,&quot;non-dropping-particle&quot;:&quot;&quot;},{&quot;family&quot;:&quot;Yang&quot;,&quot;given&quot;:&quot;Jingsong&quot;,&quot;parse-names&quot;:false,&quot;dropping-particle&quot;:&quot;&quot;,&quot;non-dropping-particle&quot;:&quot;&quot;}],&quot;container-title&quot;:&quot;Science of the Total Environment&quot;,&quot;DOI&quot;:&quot;10.1016/j.scitotenv.2024.171845&quot;,&quot;ISSN&quot;:&quot;18791026&quot;,&quot;PMID&quot;:&quot;38521269&quot;,&quot;issued&quot;:{&quot;date-parts&quot;:[[2024,5,20]]},&quot;abstract&quot;:&quot;Biochar, which including pyrochar (PBC) and hydrochar (HBC), has been tested as a soil enhancer to improve saline soils. However, the effects of PBC and HBC application on ammonia (NH3) volatilization and dissolved organic matter (DOM) in saline paddy soils are poorly understood. In this research, marsh moss-derived PBC and HBC biochar types were applied to paddy saline soils at 0.5 % (w/w) and 1.5 % (w/w) rates to assess their impact on soil NH3 volatilization and DOM using a soil column experiment. The results revealed that soil NH3 volatilization significantly increased by 56.1 % in the treatment with 1.5 % (w/w) HBC compared to the control without PBC or HBC. Conversely, PBC and the lower application rate of HBC led to decrease in NH3 volatilization ranging from 2.4 % to 12.1 %. Floodwater EC is a dominant factor in NH3 emission. Furthermore, the fluorescence intensities of the four fractions (all humic substances) were found to be significantly higher in the 1.5 % (w/w) HBC treatment applied compared to the other treatments, as indicated by parallel factor analysis modeling. This study highlights the potential for soil NH3 losses and DOM leaching in saline paddy soils due to the high application rate of HBC. These findings offer valuable insights into the effects of PBC and HBC on rice paddy saline soil ecosystems.&quot;,&quot;publisher&quot;:&quot;Elsevier B.V.&quot;,&quot;volume&quot;:&quot;926&quot;,&quot;container-title-short&quot;:&quot;&quot;},&quot;isTemporary&quot;:false}]},{&quot;citationID&quot;:&quot;MENDELEY_CITATION_b7318d88-d039-499c-9e67-2350a1d83a00&quot;,&quot;properties&quot;:{&quot;noteIndex&quot;:0},&quot;isEdited&quot;:false,&quot;manualOverride&quot;:{&quot;isManuallyOverridden&quot;:false,&quot;citeprocText&quot;:&quot;(Abbas et al., 2022)&quot;,&quot;manualOverrideText&quot;:&quot;&quot;},&quot;citationTag&quot;:&quot;MENDELEY_CITATION_v3_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&quot;,&quot;citationItems&quot;:[{&quot;id&quot;:&quot;27360973-22fe-3b7a-a8cf-2b9d6147546e&quot;,&quot;itemData&quot;:{&quot;type&quot;:&quot;article-journal&quot;,&quot;id&quot;:&quot;27360973-22fe-3b7a-a8cf-2b9d6147546e&quot;,&quot;title&quot;:&quot;Biochar increases salt tolerance and grain yield of quinoa on saline-sodic soil: multivariate comparison of physiological and oxidative stress attributes&quot;,&quot;author&quot;:[{&quot;family&quot;:&quot;Abbas&quot;,&quot;given&quot;:&quot;Ghulam&quot;,&quot;parse-names&quot;:false,&quot;dropping-particle&quot;:&quot;&quot;,&quot;non-dropping-particle&quot;:&quot;&quot;},{&quot;family&quot;:&quot;Abrar&quot;,&quot;given&quot;:&quot;Muhammad Mohsin&quot;,&quot;parse-names&quot;:false,&quot;dropping-particle&quot;:&quot;&quot;,&quot;non-dropping-particle&quot;:&quot;&quot;},{&quot;family&quot;:&quot;Naeem&quot;,&quot;given&quot;:&quot;Muhammad Asif&quot;,&quot;parse-names&quot;:false,&quot;dropping-particle&quot;:&quot;&quot;,&quot;non-dropping-particle&quot;:&quot;&quot;},{&quot;family&quot;:&quot;Siddiqui&quot;,&quot;given&quot;:&quot;Manzer H.&quot;,&quot;parse-names&quot;:false,&quot;dropping-particle&quot;:&quot;&quot;,&quot;non-dropping-particle&quot;:&quot;&quot;},{&quot;family&quot;:&quot;Ali&quot;,&quot;given&quot;:&quot;Hayssam M.&quot;,&quot;parse-names&quot;:false,&quot;dropping-particle&quot;:&quot;&quot;,&quot;non-dropping-particle&quot;:&quot;&quot;},{&quot;family&quot;:&quot;Li&quot;,&quot;given&quot;:&quot;Yantao&quot;,&quot;parse-names&quot;:false,&quot;dropping-particle&quot;:&quot;&quot;,&quot;non-dropping-particle&quot;:&quot;&quot;},{&quot;family&quot;:&quot;Ahmed&quot;,&quot;given&quot;:&quot;Khalil&quot;,&quot;parse-names&quot;:false,&quot;dropping-particle&quot;:&quot;&quot;,&quot;non-dropping-particle&quot;:&quot;&quot;},{&quot;family&quot;:&quot;Sun&quot;,&quot;given&quot;:&quot;Nan&quot;,&quot;parse-names&quot;:false,&quot;dropping-particle&quot;:&quot;&quot;,&quot;non-dropping-particle&quot;:&quot;&quot;},{&quot;family&quot;:&quot;Xu&quot;,&quot;given&quot;:&quot;Minggang&quot;,&quot;parse-names&quot;:false,&quot;dropping-particle&quot;:&quot;&quot;,&quot;non-dropping-particle&quot;:&quot;&quot;}],&quot;container-title&quot;:&quot;Journal of Soils and Sediments&quot;,&quot;container-title-short&quot;:&quot;J. Soils Sediments&quot;,&quot;DOI&quot;:&quot;10.1007/s11368-022-03159-2&quot;,&quot;ISSN&quot;:&quot;16147480&quot;,&quot;issued&quot;:{&quot;date-parts&quot;:[[2022,5,1]]},&quot;page&quot;:&quot;1446-1459&quot;,&quot;abstract&quot;:&quot;Purpose: Plant growth and grain yield of most of the crops are reduced on saline-sodic soils. Different organic and inorganic amendments have been used to increase plant growth and productivity on salt-affected soils. However, the role of cotton shell biochar (CSBC) for increasing salt tolerance of plants grown on saline-sodic soils has not been investigated yet. Therefore, the current study was intended to estimate the impact of cotton shell biochar (CSBC) addition @1 and 2% for ameliorating Na-induced phytotoxicity in quinoa grown on saline-sodic soil. Materials and methods: Quinoa plants were grown on saline-sodic soil with and without CSBC addition. Different physiological attributes were measured at vegetative stage. Plants were harvested at maturity when growth and grain yield were recorded. Results and discussion: Results revealed that plant biomass, grain yield, stomatal conductance, relative water contents, and chlorophyll contents of quinoa were declined by &gt; 20%, 18%, 23%, 27%, and 16%, respectively under salt stress. Excessive uptake of Na decreased the uptake of K and K:Na, and caused the overproduction of H2O2 (62%) and lipid peroxidation (58%) in quinoa. The CSBC addition @2% was more effective than 1% in ameliorating the negative impacts of Na toxicity on plant growth and physiology. Amendment of saline-sodic soil with 2% CSBC increased plant growth, water contents, stomatal conductance, and chlorophyll contents by 60%, 36%, 41%, and 43%, respectively as compared to saline-sodic soil without CSBC. There was a slight increase in soil EC after the addition of CSBC. Additionally, 2% CSBC limited the uptake of Na and caused a 43%, 48%, and 75% increase in superoxide dismutase (SOD), catalase (CAT), and peroxidase (POD) activities to ameliorate the oxidative stress. Conclusions: It was concluded through multivariate analysis that 2% CSBC was very promising in reducing Na toxicity and increasing plant biomass and grain yield of quinoa in saline-sodic soils.&quot;,&quot;publisher&quot;:&quot;Springer Science and Business Media Deutschland GmbH&quot;,&quot;issue&quot;:&quot;5&quot;,&quot;volume&quot;:&quot;22&quot;},&quot;isTemporary&quot;:false}]},{&quot;citationID&quot;:&quot;MENDELEY_CITATION_ce314ee5-2045-4334-9176-111a89f6e9bf&quot;,&quot;properties&quot;:{&quot;noteIndex&quot;:0},&quot;isEdited&quot;:false,&quot;manualOverride&quot;:{&quot;isManuallyOverridden&quot;:false,&quot;citeprocText&quot;:&quot;(Shahid et al., 2018)&quot;,&quot;manualOverrideText&quot;:&quot;&quot;},&quot;citationTag&quot;:&quot;MENDELEY_CITATION_v3_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&quot;,&quot;citationItems&quot;:[{&quot;id&quot;:&quot;20c08a49-aed2-3797-8006-8d22cd1c9e30&quot;,&quot;itemData&quot;:{&quot;type&quot;:&quot;chapter&quot;,&quot;id&quot;:&quot;20c08a49-aed2-3797-8006-8d22cd1c9e30&quot;,&quot;title&quot;:&quot;Soil Salinity: Historical Perspectives and a World Overview of the Problem&quot;,&quot;author&quot;:[{&quot;family&quot;:&quot;Shahid&quot;,&quot;given&quot;:&quot;Shabbir A.&quot;,&quot;parse-names&quot;:false,&quot;dropping-particle&quot;:&quot;&quot;,&quot;non-dropping-particle&quot;:&quot;&quot;},{&quot;family&quot;:&quot;Zaman&quot;,&quot;given&quot;:&quot;Mohammad&quot;,&quot;parse-names&quot;:false,&quot;dropping-particle&quot;:&quot;&quot;,&quot;non-dropping-particle&quot;:&quot;&quot;},{&quot;family&quot;:&quot;Heng&quot;,&quot;given&quot;:&quot;Lee&quot;,&quot;parse-names&quot;:false,&quot;dropping-particle&quot;:&quot;&quot;,&quot;non-dropping-particle&quot;:&quot;&quot;}],&quot;container-title&quot;:&quot;Guideline for Salinity Assessment, Mitigation and Adaptation Using Nuclear and Related Techniques&quot;,&quot;DOI&quot;:&quot;10.1007/978-3-319-96190-3_2&quot;,&quot;issued&quot;:{&quot;date-parts&quot;:[[2018]]},&quot;page&quot;:&quot;43-53&quot;,&quot;abstract&quot;:&quot;Soil salinity is not a recent phenomenon, it has been reported since centuries where humanity and salinity have lived one aside the other. A good example is from Mesopotamia where the early civilizations first flourished and then failed due to human-induced salinization. A publication `Salt and silt in ancient Mesopotamian agriculture' highlights the history of salinization in Mesopotamia where three episodes (earliest and most serious one affected Southern Iraq from 2400 BC until at least 1700 BC, a milder episode in Central Iraq occurred between 1200 and 900 BC, and the east of Baghdad, became salinized after 1200 AD) have been reported. There are reports clearly revealing that `many societies based on irrigated agriculture have failed', e.g. Mesopotamia and the Viru valley of Peru. The flooding, over-irrigation, seepage, silting, and a rising water table have been reported the main causes of soil salinization. Recent statistics of global extent of soil salinization do not exist, however, various scientists reported extent differently based on different data sources, such as there have been reports like, 10% of the total arable land as being affected by salinity and sodicity, one billion hectares are covered with saline and/or sodic soils, and between 25% and 30% of irrigated lands are salt-affected and essentially commercially unproductive, global distribution of salt-affected soils are 954 million ha, FAO in 1988 presented 932 million ha salt-affected soils, of almost 1500 million ha of dryland agriculture, 32 million ha are salt-affected. Precise information on the recent estimates of global extent of salt-affected soils do not exist, many countries have assessed their soils and soil salinization at the national level, such as Kuwait, United Arab Emirates, Middle East, and Australia etc. Considering the current extent of salt-affected soils the cost of salt-induced land degradation in 2013 was 441 per hectare, a simple benefit transfer suggests the current annual economic losses could be $27 billion.&quot;,&quot;publisher&quot;:&quot;Springer International Publishing&quot;,&quot;container-title-short&quot;:&quot;&quot;},&quot;isTemporary&quot;:false}]},{&quot;citationID&quot;:&quot;MENDELEY_CITATION_98aa62e2-064e-45ed-b131-32d560d67fb4&quot;,&quot;properties&quot;:{&quot;noteIndex&quot;:0},&quot;isEdited&quot;:false,&quot;manualOverride&quot;:{&quot;isManuallyOverridden&quot;:false,&quot;citeprocText&quot;:&quot;(Suarez et al., 2023)&quot;,&quot;manualOverrideText&quot;:&quot;&quot;},&quot;citationTag&quot;:&quot;MENDELEY_CITATION_v3_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&quot;,&quot;citationItems&quot;:[{&quot;id&quot;:&quot;6cd23ca9-22fe-3a98-97c3-d3c8b2d72584&quot;,&quot;itemData&quot;:{&quot;type&quot;:&quot;article-journal&quot;,&quot;id&quot;:&quot;6cd23ca9-22fe-3a98-97c3-d3c8b2d72584&quot;,&quot;title&quot;:&quot;Effect of garden and park waste hydrochar and biochar in soil application: a comparative study&quot;,&quot;author&quot;:[{&quot;family&quot;:&quot;Suarez&quot;,&quot;given&quot;:&quot;Eneko&quot;,&quot;parse-names&quot;:false,&quot;dropping-particle&quot;:&quot;&quot;,&quot;non-dropping-particle&quot;:&quot;&quot;},{&quot;family&quot;:&quot;Tobajas&quot;,&quot;given&quot;:&quot;Montserrat&quot;,&quot;parse-names&quot;:false,&quot;dropping-particle&quot;:&quot;&quot;,&quot;non-dropping-particle&quot;:&quot;&quot;},{&quot;family&quot;:&quot;Mohedano&quot;,&quot;given&quot;:&quot;Angel F.&quot;,&quot;parse-names&quot;:false,&quot;dropping-particle&quot;:&quot;&quot;,&quot;non-dropping-particle&quot;:&quot;&quot;},{&quot;family&quot;:&quot;Reguera&quot;,&quot;given&quot;:&quot;Maria&quot;,&quot;parse-names&quot;:false,&quot;dropping-particle&quot;:&quot;&quot;,&quot;non-dropping-particle&quot;:&quot;&quot;},{&quot;family&quot;:&quot;Esteban&quot;,&quot;given&quot;:&quot;Elvira&quot;,&quot;parse-names&quot;:false,&quot;dropping-particle&quot;:&quot;&quot;,&quot;non-dropping-particle&quot;:&quot;&quot;},{&quot;family&quot;:&quot;la Rubia&quot;,&quot;given&quot;:&quot;Angeles&quot;,&quot;parse-names&quot;:false,&quot;dropping-particle&quot;:&quot;&quot;,&quot;non-dropping-particle&quot;:&quot;de&quot;}],&quot;container-title&quot;:&quot;Biomass Conversion and Biorefinery&quot;,&quot;container-title-short&quot;:&quot;Biomass Convers. Biorefin.&quot;,&quot;DOI&quot;:&quot;10.1007/s13399-023-04015-0&quot;,&quot;ISSN&quot;:&quot;21906823&quot;,&quot;issued&quot;:{&quot;date-parts&quot;:[[2023]]},&quot;abstract&quot;:&quot;Thethermochemical treatments of biowaste yield alternative renewable carbon-rich materials, while achieving waste valorization. These technologies allow to reduce amount of biowaste and enhance its life span avoiding the landfill disposal. The agronomic application as a soil amendment strategy using fresh hydrochar (obtained via the hydrothermal treatment of garden and park waste (GPW) at 180 °C for 1 h), post-treated hydrochar (washed, aged, and thermally treated), and biochar (obtained via the pyrolysis of GPW at 900 °C for 90 min) has been studied and compared in order to stablish the best approach for its valorization. We evaluated the effects of mixing fresh hydrochar (1–5% on dry weight) with different peat-based growth substrates on the seed germination index as well as the fresh and dry weights of Arabidopsis thaliana, Chenopodium quinoa, and Solanum lycopersicum (tomato). We also performed a germination assay with marginal agricultural soil mixed with fresh and post-treated chars as well as biochar using the same doses. All carbonaceous materials complied with the European legal framework being categorized as a class A amendment and present a favorable chemical composition for their agronomic use, carbon sources with a low heavy-metal content, and a high mineral and organic matter content. Application of post-treated hydrochar to the agricultural marginal soil improved the germination index of tomato seeds (by 10–20%) at low dosages (&lt; 3% on dry weight) when washed and thermally treated hydrochar was used. However, fresh hydrochar negatively affected seed germination and plant growth when applied to marginal soil and peat-based growth media, particularly sandy substrates. Washing improved the germination index (by approximately 18%), reduced 90% of the total volatile fatty acid content, and effectively removed furans, amines, amides, pyridines, pyrazines, benzoic compounds, and organic acids that can affect seed germination and plant growth. Because the use of hydrochar in soils for agricultural purposes requires post-treatment to alleviate germination and plant growth inhibition, washing is the most suitable option considering the energy and technological requirements.&quot;,&quot;publisher&quot;:&quot;Springer Science and Business Media Deutschland GmbH&quot;},&quot;isTemporary&quot;:false}]},{&quot;citationID&quot;:&quot;MENDELEY_CITATION_a6c91124-449c-4914-9811-3893bf2366ed&quot;,&quot;properties&quot;:{&quot;noteIndex&quot;:0},&quot;isEdited&quot;:false,&quot;manualOverride&quot;:{&quot;isManuallyOverridden&quot;:true,&quot;citeprocText&quot;:&quot;(Suarez et al., 2023; B. Wu et al., 2024)&quot;,&quot;manualOverrideText&quot;:&quot;(B. Wu et al., 2024)&quot;},&quot;citationTag&quot;:&quot;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&quot;,&quot;citationItems&quot;:[{&quot;id&quot;:&quot;6cd23ca9-22fe-3a98-97c3-d3c8b2d72584&quot;,&quot;itemData&quot;:{&quot;type&quot;:&quot;article-journal&quot;,&quot;id&quot;:&quot;6cd23ca9-22fe-3a98-97c3-d3c8b2d72584&quot;,&quot;title&quot;:&quot;Effect of garden and park waste hydrochar and biochar in soil application: a comparative study&quot;,&quot;author&quot;:[{&quot;family&quot;:&quot;Suarez&quot;,&quot;given&quot;:&quot;Eneko&quot;,&quot;parse-names&quot;:false,&quot;dropping-particle&quot;:&quot;&quot;,&quot;non-dropping-particle&quot;:&quot;&quot;},{&quot;family&quot;:&quot;Tobajas&quot;,&quot;given&quot;:&quot;Montserrat&quot;,&quot;parse-names&quot;:false,&quot;dropping-particle&quot;:&quot;&quot;,&quot;non-dropping-particle&quot;:&quot;&quot;},{&quot;family&quot;:&quot;Mohedano&quot;,&quot;given&quot;:&quot;Angel F.&quot;,&quot;parse-names&quot;:false,&quot;dropping-particle&quot;:&quot;&quot;,&quot;non-dropping-particle&quot;:&quot;&quot;},{&quot;family&quot;:&quot;Reguera&quot;,&quot;given&quot;:&quot;Maria&quot;,&quot;parse-names&quot;:false,&quot;dropping-particle&quot;:&quot;&quot;,&quot;non-dropping-particle&quot;:&quot;&quot;},{&quot;family&quot;:&quot;Esteban&quot;,&quot;given&quot;:&quot;Elvira&quot;,&quot;parse-names&quot;:false,&quot;dropping-particle&quot;:&quot;&quot;,&quot;non-dropping-particle&quot;:&quot;&quot;},{&quot;family&quot;:&quot;la Rubia&quot;,&quot;given&quot;:&quot;Angeles&quot;,&quot;parse-names&quot;:false,&quot;dropping-particle&quot;:&quot;&quot;,&quot;non-dropping-particle&quot;:&quot;de&quot;}],&quot;container-title&quot;:&quot;Biomass Conversion and Biorefinery&quot;,&quot;container-title-short&quot;:&quot;Biomass Convers. Biorefin.&quot;,&quot;DOI&quot;:&quot;10.1007/s13399-023-04015-0&quot;,&quot;ISSN&quot;:&quot;21906823&quot;,&quot;issued&quot;:{&quot;date-parts&quot;:[[2023]]},&quot;page&quot;:&quot;16479-16493&quot;,&quot;abstract&quot;:&quot;Thethermochemical treatments of biowaste yield alternative renewable carbon-rich materials, while achieving waste valorization. These technologies allow to reduce amount of biowaste and enhance its life span avoiding the landfill disposal. The agronomic application as a soil amendment strategy using fresh hydrochar (obtained via the hydrothermal treatment of garden and park waste (GPW) at 180 °C for 1 h), post-treated hydrochar (washed, aged, and thermally treated), and biochar (obtained via the pyrolysis of GPW at 900 °C for 90 min) has been studied and compared in order to stablish the best approach for its valorization. We evaluated the effects of mixing fresh hydrochar (1–5% on dry weight) with different peat-based growth substrates on the seed germination index as well as the fresh and dry weights of Arabidopsis thaliana, Chenopodium quinoa, and Solanum lycopersicum (tomato). We also performed a germination assay with marginal agricultural soil mixed with fresh and post-treated chars as well as biochar using the same doses. All carbonaceous materials complied with the European legal framework being categorized as a class A amendment and present a favorable chemical composition for their agronomic use, carbon sources with a low heavy-metal content, and a high mineral and organic matter content. Application of post-treated hydrochar to the agricultural marginal soil improved the germination index of tomato seeds (by 10–20%) at low dosages (&lt; 3% on dry weight) when washed and thermally treated hydrochar was used. However, fresh hydrochar negatively affected seed germination and plant growth when applied to marginal soil and peat-based growth media, particularly sandy substrates. Washing improved the germination index (by approximately 18%), reduced 90% of the total volatile fatty acid content, and effectively removed furans, amines, amides, pyridines, pyrazines, benzoic compounds, and organic acids that can affect seed germination and plant growth. Because the use of hydrochar in soils for agricultural purposes requires post-treatment to alleviate germination and plant growth inhibition, washing is the most suitable option considering the energy and technological requirements.&quot;,&quot;publisher&quot;:&quot;Springer Science and Business Media Deutschland GmbH&quot;,&quot;issue&quot;:&quot;18&quot;,&quot;volume&quot;:&quot;13&quot;},&quot;isTemporary&quot;:false},{&quot;id&quot;:&quot;cd38ed15-c33e-3954-92aa-4a456c3c1f11&quot;,&quot;itemData&quot;:{&quot;type&quot;:&quot;article-journal&quot;,&quot;id&quot;:&quot;cd38ed15-c33e-3954-92aa-4a456c3c1f11&quot;,&quot;title&quot;:&quot;The effect of biochar on crop productivity and soil salinity and its dependence on experimental conditions in salt-affected soils: a meta-analysis&quot;,&quot;author&quot;:[{&quot;family&quot;:&quot;Wu&quot;,&quot;given&quot;:&quot;Baolin&quot;,&quot;parse-names&quot;:false,&quot;dropping-particle&quot;:&quot;&quot;,&quot;non-dropping-particle&quot;:&quot;&quot;},{&quot;family&quot;:&quot;Yang&quot;,&quot;given&quot;:&quot;Heng&quot;,&quot;parse-names&quot;:false,&quot;dropping-particle&quot;:&quot;&quot;,&quot;non-dropping-particle&quot;:&quot;&quot;},{&quot;family&quot;:&quot;Li&quot;,&quot;given&quot;:&quot;Siyuan&quot;,&quot;parse-names&quot;:false,&quot;dropping-particle&quot;:&quot;&quot;,&quot;non-dropping-particle&quot;:&quot;&quot;},{&quot;family&quot;:&quot;Tao&quot;,&quot;given&quot;:&quot;Jun&quot;,&quot;parse-names&quot;:false,&quot;dropping-particle&quot;:&quot;&quot;,&quot;non-dropping-particle&quot;:&quot;&quot;}],&quot;container-title&quot;:&quot;Carbon Research&quot;,&quot;DOI&quot;:&quot;10.1007/s44246-024-00138-9&quot;,&quot;ISSN&quot;:&quot;27316696&quot;,&quot;issued&quot;:{&quot;date-parts&quot;:[[2024]]},&quot;page&quot;:&quot;1-15&quot;,&quot;abstract&quot;:&quot;Biochar can significantly alter soil properties and therefore can play an important role in increasing the resilience of agricultural systems to salt conditions. To match biochar to salt-affected soil constraints and application needs, a thorough understanding of the impact of biochar, soil properties and experimental conditions on crop productivity and soil salinity is necessary. This meta-analysis (MA) of the available literature for the first time quantitatively assessed the effect of not only biochar applied to salt-affected soils but also that of different salt-affected soil properties on crop productivity and soil salinity. The results showed that biochar was most effective at improving crop productivity in salt-affected soils, with an application rate ranging from 40–50 t/ha, a C/N ratio ranging from 40–60, a pyrolysis temperature ranging from 450–550 °C and a pH ranging from 7–8. Biochar with an EC of &lt; 2 mS/cm, an application rate of 20–30 t/ha, a C/N ratio of &gt; 80 t/ha or a pyrolysis temperature of &lt; 450 °C reduced the soil salinity. Regardless of climatic and soil conditions, biochar applied to salt-affected soils increased crop productivity under different climatic conditions. Biochar increased soil salinity under different temperature and soil pH conditions and decreased soil salinity in salt-affected soils treated with all types of salts. Biochar was most effective at improving crop productivity and soil salinity in sulfate-dominated saline soils. Regardless of the planting and management practices, biochar increased crop productivity in salt-affected soils. The combined application of biochar and inorganic fertilizer significantly increased crop productivity and kept soil salinity unchanged. This meta-analysis provides the first quantitative review of the effect of biochar on crop productivity and soil salinity in salt-affected soils, which is critical for developing engineered biochar to restore salt-affected soils and promote food security. Graphical Abstract: (Figure presented.).&quot;,&quot;publisher&quot;:&quot;Springer Nature&quot;,&quot;issue&quot;:&quot;56&quot;,&quot;volume&quot;:&quot;3&quot;,&quot;container-title-short&quot;:&quot;&quot;},&quot;isTemporary&quot;:false}]},{&quot;citationID&quot;:&quot;MENDELEY_CITATION_3c590156-429a-4240-ae15-e0810648295f&quot;,&quot;properties&quot;:{&quot;noteIndex&quot;:0},&quot;isEdited&quot;:false,&quot;manualOverride&quot;:{&quot;isManuallyOverridden&quot;:false,&quot;citeprocText&quot;:&quot;(Ma et al., 2024)&quot;,&quot;manualOverrideText&quot;:&quot;&quot;},&quot;citationTag&quot;:&quot;MENDELEY_CITATION_v3_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&quot;,&quot;citationItems&quot;:[{&quot;id&quot;:&quot;92df408a-c843-316a-aea1-34eb088274bd&quot;,&quot;itemData&quot;:{&quot;type&quot;:&quot;article-journal&quot;,&quot;id&quot;:&quot;92df408a-c843-316a-aea1-34eb088274bd&quot;,&quot;title&quot;:&quot;Biochar and hydrochar application influence soil ammonia volatilization and the dissolved organic matter in salt-affected soils&quot;,&quot;author&quot;:[{&quot;family&quot;:&quot;Ma&quot;,&quot;given&quot;:&quot;Yaxin&quot;,&quot;parse-names&quot;:false,&quot;dropping-particle&quot;:&quot;&quot;,&quot;non-dropping-particle&quot;:&quot;&quot;},{&quot;family&quot;:&quot;Xie&quot;,&quot;given&quot;:&quot;Wenping&quot;,&quot;parse-names&quot;:false,&quot;dropping-particle&quot;:&quot;&quot;,&quot;non-dropping-particle&quot;:&quot;&quot;},{&quot;family&quot;:&quot;Yao&quot;,&quot;given&quot;:&quot;Rongjiang&quot;,&quot;parse-names&quot;:false,&quot;dropping-particle&quot;:&quot;&quot;,&quot;non-dropping-particle&quot;:&quot;&quot;},{&quot;family&quot;:&quot;Feng&quot;,&quot;given&quot;:&quot;Yanfang&quot;,&quot;parse-names&quot;:false,&quot;dropping-particle&quot;:&quot;&quot;,&quot;non-dropping-particle&quot;:&quot;&quot;},{&quot;family&quot;:&quot;Wang&quot;,&quot;given&quot;:&quot;Xiangping&quot;,&quot;parse-names&quot;:false,&quot;dropping-particle&quot;:&quot;&quot;,&quot;non-dropping-particle&quot;:&quot;&quot;},{&quot;family&quot;:&quot;Xie&quot;,&quot;given&quot;:&quot;Huifang&quot;,&quot;parse-names&quot;:false,&quot;dropping-particle&quot;:&quot;&quot;,&quot;non-dropping-particle&quot;:&quot;&quot;},{&quot;family&quot;:&quot;Feng&quot;,&quot;given&quot;:&quot;Yuanyuan&quot;,&quot;parse-names&quot;:false,&quot;dropping-particle&quot;:&quot;&quot;,&quot;non-dropping-particle&quot;:&quot;&quot;},{&quot;family&quot;:&quot;Yang&quot;,&quot;given&quot;:&quot;Jingsong&quot;,&quot;parse-names&quot;:false,&quot;dropping-particle&quot;:&quot;&quot;,&quot;non-dropping-particle&quot;:&quot;&quot;}],&quot;container-title&quot;:&quot;Science of the Total Environment&quot;,&quot;DOI&quot;:&quot;10.1016/j.scitotenv.2024.171845&quot;,&quot;ISSN&quot;:&quot;18791026&quot;,&quot;PMID&quot;:&quot;38521269&quot;,&quot;issued&quot;:{&quot;date-parts&quot;:[[2024,5,20]]},&quot;abstract&quot;:&quot;Biochar, which including pyrochar (PBC) and hydrochar (HBC), has been tested as a soil enhancer to improve saline soils. However, the effects of PBC and HBC application on ammonia (NH3) volatilization and dissolved organic matter (DOM) in saline paddy soils are poorly understood. In this research, marsh moss-derived PBC and HBC biochar types were applied to paddy saline soils at 0.5 % (w/w) and 1.5 % (w/w) rates to assess their impact on soil NH3 volatilization and DOM using a soil column experiment. The results revealed that soil NH3 volatilization significantly increased by 56.1 % in the treatment with 1.5 % (w/w) HBC compared to the control without PBC or HBC. Conversely, PBC and the lower application rate of HBC led to decrease in NH3 volatilization ranging from 2.4 % to 12.1 %. Floodwater EC is a dominant factor in NH3 emission. Furthermore, the fluorescence intensities of the four fractions (all humic substances) were found to be significantly higher in the 1.5 % (w/w) HBC treatment applied compared to the other treatments, as indicated by parallel factor analysis modeling. This study highlights the potential for soil NH3 losses and DOM leaching in saline paddy soils due to the high application rate of HBC. These findings offer valuable insights into the effects of PBC and HBC on rice paddy saline soil ecosystems.&quot;,&quot;publisher&quot;:&quot;Elsevier B.V.&quot;,&quot;volume&quot;:&quot;926&quot;,&quot;container-title-short&quot;:&quot;&quot;},&quot;isTemporary&quot;:false}]},{&quot;citationID&quot;:&quot;MENDELEY_CITATION_44835c49-bb6d-416f-a30e-4e0f26f03345&quot;,&quot;properties&quot;:{&quot;noteIndex&quot;:0},&quot;isEdited&quot;:false,&quot;manualOverride&quot;:{&quot;isManuallyOverridden&quot;:true,&quot;citeprocText&quot;:&quot;(Nguyen et al., 2022)&quot;,&quot;manualOverrideText&quot;:&quot;(Nguyen et al. (2022)&quot;},&quot;citationTag&quot;:&quot;MENDELEY_CITATION_v3_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&quot;,&quot;citationItems&quot;:[{&quot;id&quot;:&quot;76020325-229d-3a01-892c-5abdc10bfbce&quot;,&quot;itemData&quot;:{&quot;type&quot;:&quot;article-journal&quot;,&quot;id&quot;:&quot;76020325-229d-3a01-892c-5abdc10bfbce&quot;,&quot;title&quot;:&quot;Sodium adsorption isotherm and characterization of biochars produced from various agricultural biomass wastes&quot;,&quot;author&quot;:[{&quot;family&quot;:&quot;Nguyen&quot;,&quot;given&quot;:&quot;Binh Thanh&quot;,&quot;parse-names&quot;:false,&quot;dropping-particle&quot;:&quot;&quot;,&quot;non-dropping-particle&quot;:&quot;&quot;},{&quot;family&quot;:&quot;Dinh&quot;,&quot;given&quot;:&quot;Gai Dai&quot;,&quot;parse-names&quot;:false,&quot;dropping-particle&quot;:&quot;&quot;,&quot;non-dropping-particle&quot;:&quot;&quot;},{&quot;family&quot;:&quot;Dong&quot;,&quot;given&quot;:&quot;Hao Phu&quot;,&quot;parse-names&quot;:false,&quot;dropping-particle&quot;:&quot;&quot;,&quot;non-dropping-particle&quot;:&quot;&quot;},{&quot;family&quot;:&quot;Le&quot;,&quot;given&quot;:&quot;Long Ba&quot;,&quot;parse-names&quot;:false,&quot;dropping-particle&quot;:&quot;&quot;,&quot;non-dropping-particle&quot;:&quot;&quot;}],&quot;container-title&quot;:&quot;Journal of Cleaner Production&quot;,&quot;container-title-short&quot;:&quot;J. Clean. Prod.&quot;,&quot;DOI&quot;:&quot;10.1016/j.jclepro.2022.131250&quot;,&quot;ISSN&quot;:&quot;09596526&quot;,&quot;issued&quot;:{&quot;date-parts&quot;:[[2022,4,20]]},&quot;page&quot;:&quot;131250&quot;,&quot;abstract&quot;:&quot;Agricultural biomass wastes, which may pollute the environment yet are inefficiently managed worldwide, can be recycled into biochar, which is subsequently used to remediate salt-affected environments. This creates value-added or dual benefits of treating the wastes while reclaiming saline water/soil for sustainable development. Nevertheless, a lack of knowledge about the linkage between biochar characteristics and sodium adsorption capacity may restrict the wastes from being recycled. The current study aimed to examine physicochemical, nano/microstructural, and functional-group characteristics of biochar and to assess its sodium isothermal-adsorption properties. Four biochars made from rice husk (RH-BC), corn stalks (CS-BC), longan branch (LA-BC), and coconut coir (CC-BC) were used for an isothermal-adsorption experiment. Scanning Electron Microscopy (SEM), Transmission Electron Microscopy (TEM), Brauner-Emmett-Teller surface area (BET area), pore size distribution, and Fourier Transform Infrared spectroscopy (FTIR) were used to characterize biochars, which were additionally analyzed for 9 parameters. RH-BC had the highest BET area (151 m2 g−1) and porosity, whereas LA-BC exhibited the lowest BET area (10.6 m2 g−1), and LA-BC was more condensed. Functional groups, necessary for cation adsorption, were found in biochars. The maximum adsorption capacity of RH-BC (33.9 mg g−1), estimated by the Langmuir isotherm model, was the highest while that of CC-BC (15.5 mg g−1) was the lowest. The Dubinin-Radushkevich isotherm model showed that the Na adsorption mechanism was dominantly a physical process. The current study provides a feasible value-added and sustainable strategy of recycling agricultural biomass wastes with dual benefits of waste treatment and salt-affected environment remediation, applicable worldwide.&quot;,&quot;publisher&quot;:&quot;Elsevier Ltd&quot;,&quot;volume&quot;:&quot;346&quot;},&quot;isTemporary&quot;:false}]},{&quot;citationID&quot;:&quot;MENDELEY_CITATION_1909f49d-1d5d-43ad-9cbc-c51445efdcec&quot;,&quot;properties&quot;:{&quot;noteIndex&quot;:0},&quot;isEdited&quot;:false,&quot;manualOverride&quot;:{&quot;isManuallyOverridden&quot;:true,&quot;citeprocText&quot;:&quot;(Bkangmo Kontchouo et al., 2025; Cavali et al., 2023; S. Wu et al., 2023)&quot;,&quot;manualOverrideText&quot;:&quot;(Cavali et al., 2023)&quot;},&quot;citationTag&quot;:&quot;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&quot;,&quot;citationItems&quot;:[{&quot;id&quot;:&quot;1cf24e41-15d7-397c-a6a1-4b7f63bd9318&quot;,&quot;itemData&quot;:{&quot;type&quot;:&quot;article-journal&quot;,&quot;id&quot;:&quot;1cf24e41-15d7-397c-a6a1-4b7f63bd9318&quot;,&quot;title&quot;:&quot;Hydrothermal carbonization of cola nut shell: Impact of deep eutectic pretreatment on the property of hydrochar&quot;,&quot;author&quot;:[{&quot;family&quot;:&quot;Bkangmo Kontchouo&quot;,&quot;given&quot;:&quot;Félix Mérimé&quot;,&quot;parse-names&quot;:false,&quot;dropping-particle&quot;:&quot;&quot;,&quot;non-dropping-particle&quot;:&quot;&quot;},{&quot;family&quot;:&quot;Xu&quot;,&quot;given&quot;:&quot;Hao&quot;,&quot;parse-names&quot;:false,&quot;dropping-particle&quot;:&quot;&quot;,&quot;non-dropping-particle&quot;:&quot;&quot;},{&quot;family&quot;:&quot;Ganmo Koutchouo&quot;,&quot;given&quot;:&quot;Marie&quot;,&quot;parse-names&quot;:false,&quot;dropping-particle&quot;:&quot;&quot;,&quot;non-dropping-particle&quot;:&quot;&quot;},{&quot;family&quot;:&quot;Ding&quot;,&quot;given&quot;:&quot;Kuan&quot;,&quot;parse-names&quot;:false,&quot;dropping-particle&quot;:&quot;&quot;,&quot;non-dropping-particle&quot;:&quot;&quot;},{&quot;family&quot;:&quot;Kositanont&quot;,&quot;given&quot;:&quot;Chayanoot&quot;,&quot;parse-names&quot;:false,&quot;dropping-particle&quot;:&quot;&quot;,&quot;non-dropping-particle&quot;:&quot;&quot;},{&quot;family&quot;:&quot;Dokkhan&quot;,&quot;given&quot;:&quot;Chotiros&quot;,&quot;parse-names&quot;:false,&quot;dropping-particle&quot;:&quot;&quot;,&quot;non-dropping-particle&quot;:&quot;&quot;},{&quot;family&quot;:&quot;Lampang&quot;,&quot;given&quot;:&quot;Thipjak Na&quot;,&quot;parse-names&quot;:false,&quot;dropping-particle&quot;:&quot;&quot;,&quot;non-dropping-particle&quot;:&quot;&quot;},{&quot;family&quot;:&quot;Thanachayanont&quot;,&quot;given&quot;:&quot;Chanchana&quot;,&quot;parse-names&quot;:false,&quot;dropping-particle&quot;:&quot;&quot;,&quot;non-dropping-particle&quot;:&quot;&quot;},{&quot;family&quot;:&quot;Hu&quot;,&quot;given&quot;:&quot;Xun&quot;,&quot;parse-names&quot;:false,&quot;dropping-particle&quot;:&quot;&quot;,&quot;non-dropping-particle&quot;:&quot;&quot;},{&quot;family&quot;:&quot;Xu&quot;,&quot;given&quot;:&quot;Chaoyang&quot;,&quot;parse-names&quot;:false,&quot;dropping-particle&quot;:&quot;&quot;,&quot;non-dropping-particle&quot;:&quot;&quot;},{&quot;family&quot;:&quot;Zhang&quot;,&quot;given&quot;:&quot;Shu&quot;,&quot;parse-names&quot;:false,&quot;dropping-particle&quot;:&quot;&quot;,&quot;non-dropping-particle&quot;:&quot;&quot;}],&quot;container-title&quot;:&quot;Industrial Crops and Products&quot;,&quot;container-title-short&quot;:&quot;Ind. Crops Prod.&quot;,&quot;DOI&quot;:&quot;10.1016/j.indcrop.2025.120792&quot;,&quot;ISSN&quot;:&quot;09266690&quot;,&quot;issued&quot;:{&quot;date-parts&quot;:[[2025,5,1]]},&quot;abstract&quot;:&quot;Hydrothermal carbonization of lignocellulosic biomass results in hydrochar with abundant surface functionality and low degree of carbonization. In this work, Cola Shell was subjected to a pretreatment with the Deep Eutectic Solvent (DES) prior to hydrothermal carbonization under different conditions (210 ºC and 260 ºC). The aim was to ascertain the impact of pretreatment with DES on the properties of hydrochars. The results show that pretreatment with DES at 110 ºC favors the disintegration of hemicellulose while promoting the cellulose hydrolysis and dehydration. The lignin removal formed a snow cloud of particles on hydrochar surface, which further undergoes polymerization at a high HTC temperature to form a cluster of fibrous carbonaceous material, contributing to increase the degree of carbonization and thermal stability of hydrochar. DES pretreatment also reduced structural defects while increasing the cellulose crystallinity. In addition, DES pretreatment increased the nitrogen content and energy yield without affecting the calorific value of hydrochar-derived Cola Nut Shell.&quot;,&quot;publisher&quot;:&quot;Elsevier B.V.&quot;,&quot;volume&quot;:&quot;227&quot;},&quot;isTemporary&quot;:false},{&quot;id&quot;:&quot;1218d61b-df0f-3a2a-8af4-04af638425da&quot;,&quot;itemData&quot;:{&quot;type&quot;:&quot;article-journal&quot;,&quot;id&quot;:&quot;1218d61b-df0f-3a2a-8af4-04af638425da&quot;,&quot;title&quot;:&quot;A review on hydrothermal carbonization of potential biomass wastes, characterization and environmental applications of hydrochar, and biorefinery perspectives of the process&quot;,&quot;author&quot;:[{&quot;family&quot;:&quot;Cavali&quot;,&quot;given&quot;:&quot;Matheus&quot;,&quot;parse-names&quot;:false,&quot;dropping-particle&quot;:&quot;&quot;,&quot;non-dropping-particle&quot;:&quot;&quot;},{&quot;family&quot;:&quot;Libardi Junior&quot;,&quot;given&quot;:&quot;Nelson&quot;,&quot;parse-names&quot;:false,&quot;dropping-particle&quot;:&quot;&quot;,&quot;non-dropping-particle&quot;:&quot;&quot;},{&quot;family&quot;:&quot;Sena&quot;,&quot;given&quot;:&quot;Julia Dutra&quot;,&quot;parse-names&quot;:false,&quot;dropping-particle&quot;:&quot;&quot;,&quot;non-dropping-particle&quot;:&quot;de&quot;},{&quot;family&quot;:&quot;Woiciechowski&quot;,&quot;given&quot;:&quot;Adenise Lorenci&quot;,&quot;parse-names&quot;:false,&quot;dropping-particle&quot;:&quot;&quot;,&quot;non-dropping-particle&quot;:&quot;&quot;},{&quot;family&quot;:&quot;Soccol&quot;,&quot;given&quot;:&quot;Carlos Ricardo&quot;,&quot;parse-names&quot;:false,&quot;dropping-particle&quot;:&quot;&quot;,&quot;non-dropping-particle&quot;:&quot;&quot;},{&quot;family&quot;:&quot;Belli Filho&quot;,&quot;given&quot;:&quot;Paulo&quot;,&quot;parse-names&quot;:false,&quot;dropping-particle&quot;:&quot;&quot;,&quot;non-dropping-particle&quot;:&quot;&quot;},{&quot;family&quot;:&quot;Bayard&quot;,&quot;given&quot;:&quot;Rémy&quot;,&quot;parse-names&quot;:false,&quot;dropping-particle&quot;:&quot;&quot;,&quot;non-dropping-particle&quot;:&quot;&quot;},{&quot;family&quot;:&quot;Benbelkacem&quot;,&quot;given&quot;:&quot;Hassen&quot;,&quot;parse-names&quot;:false,&quot;dropping-particle&quot;:&quot;&quot;,&quot;non-dropping-particle&quot;:&quot;&quot;},{&quot;family&quot;:&quot;Castilhos Junior&quot;,&quot;given&quot;:&quot;Armando Borges&quot;,&quot;parse-names&quot;:false,&quot;dropping-particle&quot;:&quot;&quot;,&quot;non-dropping-particle&quot;:&quot;de&quot;}],&quot;container-title&quot;:&quot;Science of the Total Environment&quot;,&quot;DOI&quot;:&quot;10.1016/j.scitotenv.2022.159627&quot;,&quot;ISSN&quot;:&quot;18791026&quot;,&quot;PMID&quot;:&quot;36280070&quot;,&quot;issued&quot;:{&quot;date-parts&quot;:[[2023,1,20]]},&quot;page&quot;:&quot;159627&quot;,&quot;abstract&quot;:&quot;It is imperative to search for appropriate processes to convert wastes into energy, chemicals, and materials to establish a circular bio-economy toward sustainable development. Concerning waste biomass valorization, hydrothermal carbonization (HTC) is a promising route given its advantages over other thermochemical processes. From that perspective, this article reviewed the HTC of potential biomass wastes, the characterization and environmental utilization of hydrochar, and the biorefinery potential of this process. Crop and forestry residues and sewage sludge are two categories of biomass wastes (lignocellulosic and non-lignocellulosic, respectively) readily available for HTC or even co-hydrothermal carbonization (Co-HTC). The temperature, reaction time, and solid-to-liquid ratio utilized in HTC/Co-HTC of those biomass wastes were reported to range from 140 to 370 °C, 0.05 to 48 h, and 1/47 to 1/1, respectively, providing hydrochar yields of up to 94 % according to the process conditions. Hydrochar characterization by different techniques to determine its physicochemical properties is crucial to defining the best applications for this material. In the environmental field, hydrochar might be suitable for removing pollutants from aqueous systems, ameliorating soils, adsorbing atmospheric pollutants, working as an energy carrier, and performing carbon sequestration. But this material could also be employed in other areas (e.g., catalysis). Regarding the effluent from HTC/Co-HTC, this byproduct has the potential for serving as feedstock in other processes, such as anaerobic digestion and microalgae cultivation. These opportunities have aroused the industry interest in HTC since 2010, and the number of industrial-scale HTC plants and patent document applications has increased. The hydrochar patents are concentrated in China (77.6 %), the United States (10.6 %), the Republic of Korea (3.5 %), and Germany (3.5 %). Therefore, considering the possibilities of converting their product (hydrochar) and byproduct (effluent) into energy, chemicals, and materials, HTC or Co-HTC could work as the first step of a biorefinery. And this approach would completely agree with circular bioeconomy principles.&quot;,&quot;publisher&quot;:&quot;Elsevier B.V.&quot;,&quot;volume&quot;:&quot;857&quot;,&quot;container-title-short&quot;:&quot;&quot;},&quot;isTemporary&quot;:false},{&quot;id&quot;:&quot;357ac75a-de69-377b-8669-9ffd89980210&quot;,&quot;itemData&quot;:{&quot;type&quot;:&quot;article-journal&quot;,&quot;id&quot;:&quot;357ac75a-de69-377b-8669-9ffd89980210&quot;,&quot;title&quot;:&quot;Insights into the chemical structure evolution and carbonisation mechanism of biomass during hydrothermal treatment&quot;,&quot;author&quot;:[{&quot;family&quot;:&quot;Wu&quot;,&quot;given&quot;:&quot;Shuang&quot;,&quot;parse-names&quot;:false,&quot;dropping-particle&quot;:&quot;&quot;,&quot;non-dropping-particle&quot;:&quot;&quot;},{&quot;family&quot;:&quot;Wang&quot;,&quot;given&quot;:&quot;Qing&quot;,&quot;parse-names&quot;:false,&quot;dropping-particle&quot;:&quot;&quot;,&quot;non-dropping-particle&quot;:&quot;&quot;},{&quot;family&quot;:&quot;Cui&quot;,&quot;given&quot;:&quot;Da&quot;,&quot;parse-names&quot;:false,&quot;dropping-particle&quot;:&quot;&quot;,&quot;non-dropping-particle&quot;:&quot;&quot;},{&quot;family&quot;:&quot;Wu&quot;,&quot;given&quot;:&quot;Dongyang&quot;,&quot;parse-names&quot;:false,&quot;dropping-particle&quot;:&quot;&quot;,&quot;non-dropping-particle&quot;:&quot;&quot;},{&quot;family&quot;:&quot;Bai&quot;,&quot;given&quot;:&quot;Jingru&quot;,&quot;parse-names&quot;:false,&quot;dropping-particle&quot;:&quot;&quot;,&quot;non-dropping-particle&quot;:&quot;&quot;},{&quot;family&quot;:&quot;Qin&quot;,&quot;given&quot;:&quot;Hong&quot;,&quot;parse-names&quot;:false,&quot;dropping-particle&quot;:&quot;&quot;,&quot;non-dropping-particle&quot;:&quot;&quot;},{&quot;family&quot;:&quot;Xu&quot;,&quot;given&quot;:&quot;Faxing&quot;,&quot;parse-names&quot;:false,&quot;dropping-particle&quot;:&quot;&quot;,&quot;non-dropping-particle&quot;:&quot;&quot;},{&quot;family&quot;:&quot;Wang&quot;,&quot;given&quot;:&quot;Zhenye&quot;,&quot;parse-names&quot;:false,&quot;dropping-particle&quot;:&quot;&quot;,&quot;non-dropping-particle&quot;:&quot;&quot;}],&quot;container-title&quot;:&quot;Journal of the Energy Institute&quot;,&quot;DOI&quot;:&quot;10.1016/j.joei.2023.101257&quot;,&quot;ISSN&quot;:&quot;17460220&quot;,&quot;issued&quot;:{&quot;date-parts&quot;:[[2023,6,1]]},&quot;abstract&quot;:&quot;The thermochemical conversion of biomass energy contributes to the goals of carbon peaking and carbon neutrality. In this paper, the evolution of the chemical structure of corn stalk (CS) during hydrothermal carbonisation (HTC) was investigated and the effect of temperature on the physicochemical properties, carbon skeletal structure, and surface functional groups of the obtained hydrochar was explored. The results indicate that the H/C and O/C atomic ratios of the hydrochar decreased as the HTC temperature increased. The -C-(O, N), –C=O, and O–C=O bonds in the CS rapidly formed aromatic structures through cyclisation, condensation, or polymerisation, which in turn increased the -C-(C, H)/C=C content in the hydrochar. The oxygen-containing functional groups in the CS and hydrochar were mainly carbonyl (C=O), aromatic ring (C=C), ether oxygen bond (C–O), alcohol-phenol oxygen bond (C–OH), and carboxyl (O=C–O) groups. A high HTC temperature lowered the degree of substitution of the aromatic hydrocarbons and increased their degree of condensation. The hydrolysis stage and the formation of aromatic structures were competing processes. At low temperatures, the hydrolysis reaction was dominant and the generation of aromatic structures was secondary. However, at high temperatures, the intermediate compounds underwent transformation after hydrolysis, and the generation of aromatic structures was more competitive.&quot;,&quot;publisher&quot;:&quot;Elsevier B.V.&quot;,&quot;volume&quot;:&quot;108&quot;,&quot;container-title-short&quot;:&quot;&quot;},&quot;isTemporary&quot;:false}]},{&quot;citationID&quot;:&quot;MENDELEY_CITATION_fd03af25-4f57-4e7f-a3c5-e71c6cc7e63a&quot;,&quot;properties&quot;:{&quot;noteIndex&quot;:0},&quot;isEdited&quot;:false,&quot;manualOverride&quot;:{&quot;isManuallyOverridden&quot;:false,&quot;citeprocText&quot;:&quot;(Rahman et al., 2019)&quot;,&quot;manualOverrideText&quot;:&quot;&quot;},&quot;citationTag&quot;:&quot;MENDELEY_CITATION_v3_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&quot;,&quot;citationItems&quot;:[{&quot;id&quot;:&quot;a22bb016-1698-3524-8143-3a0cca97c771&quot;,&quot;itemData&quot;:{&quot;type&quot;:&quot;article-journal&quot;,&quot;id&quot;:&quot;a22bb016-1698-3524-8143-3a0cca97c771&quot;,&quot;title&quot;:&quot;A statistical approach to determine optimal models for IUPAC-classified adsorption isotherms&quot;,&quot;author&quot;:[{&quot;family&quot;:&quot;Rahman&quot;,&quot;given&quot;:&quot;Md Matiar&quot;,&quot;parse-names&quot;:false,&quot;dropping-particle&quot;:&quot;&quot;,&quot;non-dropping-particle&quot;:&quot;&quot;},{&quot;family&quot;:&quot;Muttakin&quot;,&quot;given&quot;:&quot;Mahbubul&quot;,&quot;parse-names&quot;:false,&quot;dropping-particle&quot;:&quot;&quot;,&quot;non-dropping-particle&quot;:&quot;&quot;},{&quot;family&quot;:&quot;Pal&quot;,&quot;given&quot;:&quot;Animesh&quot;,&quot;parse-names&quot;:false,&quot;dropping-particle&quot;:&quot;&quot;,&quot;non-dropping-particle&quot;:&quot;&quot;},{&quot;family&quot;:&quot;Shafiullah&quot;,&quot;given&quot;:&quot;Abu Zar&quot;,&quot;parse-names&quot;:false,&quot;dropping-particle&quot;:&quot;&quot;,&quot;non-dropping-particle&quot;:&quot;&quot;},{&quot;family&quot;:&quot;Saha&quot;,&quot;given&quot;:&quot;Bidyut Baran&quot;,&quot;parse-names&quot;:false,&quot;dropping-particle&quot;:&quot;&quot;,&quot;non-dropping-particle&quot;:&quot;&quot;}],&quot;container-title&quot;:&quot;Energies&quot;,&quot;container-title-short&quot;:&quot;Energies (Basel).&quot;,&quot;DOI&quot;:&quot;10.3390/en12234565&quot;,&quot;ISSN&quot;:&quot;19961073&quot;,&quot;issued&quot;:{&quot;date-parts&quot;:[[2019,11,29]]},&quot;abstract&quot;:&quot;Adsorption heat transformation (AHT) systems can play a major role in protecting our environment by decreasing the usage of fossil fuels and utilizing natural and alternative working fluids. The adsorption isotherm is the most important feature in characterizing an AHT system. There are eight types of International Union of Pure and Applied Chemistry (IUPAC) classified adsorption isotherms for different “adsorbent-adsorbate” pairs with numerous empirical or semi-empirical mathematical models to fit them. Researchers face difficulties in choosing the best isotherm model to describe their experimental findings as there are several models for a single type of adsorption isotherm. This study presents the optimal models for all eight types of isotherms employing several useful statistical approaches such as average error; confidence interval (CI), information criterion (ICs), and proportion tests using bootstrap sampling. Isotherm data of 13 working pairs (which include all eight types of IUPAC isotherms) for AHT applications are extracted from literature and fitted with appropriate models using two error functions. It was found that modified Brunauer–Emmet–Teller (BET) for Type-I(a) and Type-II; Tóth for Type-I(b); GAB for Type-III; Ng et al. model for Type-IV(a) and Type-IV(b); Sun and Chakraborty model for Type-V; and Yahia et al. model for Type-VI are the most appropriate as they ensure less information loss compared to other models. Moreover; the findings are affirmed using selection probability; overall; and pairwise proportion tests. The present findings are important in the rigorous analysis of isotherm data.&quot;,&quot;publisher&quot;:&quot;MDPI AG&quot;,&quot;issue&quot;:&quot;23&quot;,&quot;volume&quot;:&quot;12&quot;},&quot;isTemporary&quot;:false}]},{&quot;citationID&quot;:&quot;MENDELEY_CITATION_e12f9e90-56e7-4af3-b7f7-e7b9443f64e6&quot;,&quot;properties&quot;:{&quot;noteIndex&quot;:0},&quot;isEdited&quot;:false,&quot;manualOverride&quot;:{&quot;isManuallyOverridden&quot;:true,&quot;citeprocText&quot;:&quot;(Danso-Boateng et al., 2022; Ilić et al., 2022)&quot;,&quot;manualOverrideText&quot;:&quot;(Ilić et al., 2022)&quot;},&quot;citationTag&quot;:&quot;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&quot;,&quot;citationItems&quot;:[{&quot;id&quot;:&quot;c88df247-22ef-3ef7-81d9-505a3e067fdf&quot;,&quot;itemData&quot;:{&quot;type&quot;:&quot;article-journal&quot;,&quot;id&quot;:&quot;c88df247-22ef-3ef7-81d9-505a3e067fdf&quot;,&quot;title&quot;:&quot;Surface functional groups and degree of carbonization of selected chars from different processes and feedstock&quot;,&quot;author&quot;:[{&quot;family&quot;:&quot;Ilić&quot;,&quot;given&quot;:&quot;Marija&quot;,&quot;parse-names&quot;:false,&quot;dropping-particle&quot;:&quot;&quot;,&quot;non-dropping-particle&quot;:&quot;&quot;},{&quot;family&quot;:&quot;Haegel&quot;,&quot;given&quot;:&quot;Franz Hubert&quot;,&quot;parse-names&quot;:false,&quot;dropping-particle&quot;:&quot;&quot;,&quot;non-dropping-particle&quot;:&quot;&quot;},{&quot;family&quot;:&quot;Lolić&quot;,&quot;given&quot;:&quot;Aleksandar&quot;,&quot;parse-names&quot;:false,&quot;dropping-particle&quot;:&quot;&quot;,&quot;non-dropping-particle&quot;:&quot;&quot;},{&quot;family&quot;:&quot;Nedić&quot;,&quot;given&quot;:&quot;Zoran&quot;,&quot;parse-names&quot;:false,&quot;dropping-particle&quot;:&quot;&quot;,&quot;non-dropping-particle&quot;:&quot;&quot;},{&quot;family&quot;:&quot;Tosti&quot;,&quot;given&quot;:&quot;Tomislav&quot;,&quot;parse-names&quot;:false,&quot;dropping-particle&quot;:&quot;&quot;,&quot;non-dropping-particle&quot;:&quot;&quot;},{&quot;family&quot;:&quot;Ignjatović&quot;,&quot;given&quot;:&quot;Ivana Sredović&quot;,&quot;parse-names&quot;:false,&quot;dropping-particle&quot;:&quot;&quot;,&quot;non-dropping-particle&quot;:&quot;&quot;},{&quot;family&quot;:&quot;Linden&quot;,&quot;given&quot;:&quot;Andreas&quot;,&quot;parse-names&quot;:false,&quot;dropping-particle&quot;:&quot;&quot;,&quot;non-dropping-particle&quot;:&quot;&quot;},{&quot;family&quot;:&quot;Jablonowski&quot;,&quot;given&quot;:&quot;Nicolai D.&quot;,&quot;parse-names&quot;:false,&quot;dropping-particle&quot;:&quot;&quot;,&quot;non-dropping-particle&quot;:&quot;&quot;},{&quot;family&quot;:&quot;Hartmann&quot;,&quot;given&quot;:&quot;Heinrich&quot;,&quot;parse-names&quot;:false,&quot;dropping-particle&quot;:&quot;&quot;,&quot;non-dropping-particle&quot;:&quot;&quot;}],&quot;container-title&quot;:&quot;PLoS ONE&quot;,&quot;container-title-short&quot;:&quot;PLoS One&quot;,&quot;DOI&quot;:&quot;10.1371/journal.pone.0277365&quot;,&quot;ISSN&quot;:&quot;19326203&quot;,&quot;PMID&quot;:&quot;36395095&quot;,&quot;issued&quot;:{&quot;date-parts&quot;:[[2022,11,1]]},&quot;abstract&quot;:&quot;The knowledge of the structural and chemical properties of biochars is decisive for their application as technical products. For this reason, methods for the characterization of biochars that are generally applicable and allow quality control are highly desired. Several methods that have shown potential in other studies were used to investigate two activated carbons and seven biochars from different processes and feedstock. The chars were chosen to cover a wide range of chemical composition and structural properties as a hardness test for the analytical methods used in this study. Specific problems connected with the pretreatment of samples and drawbacks of some methods for some types of chars could be identified in an integrated consideration of the results from different methods. None of the spectroscopic methods was found to be suitable for the quality control of all types of chars. The most valuable results were obtained by chemical analysis that, however, required the complete determination of the main elements, including that of oxygen, and of inorganic components for adequate results. The combination of X-ray photoelectron spectroscopy (XPS) and FT-IR spectroscopy allows a rough characterization of surface functional groups, but cannot discriminate aliphatic and aromatic OH groups. FT-IR might be a suitable method for the quality control of biochars made at lower temperature. The results of Raman spectroscopy did not well correlate with the amount of sp2 hybridized carbon determined by XPS. A better correlation of XPS data was found with the electrical polarization determined by the method of spectral induced polarization that was used for the first time in conjunction with extensive analytical characterization.&quot;,&quot;publisher&quot;:&quot;Public Library of Science&quot;,&quot;issue&quot;:&quot;11 November&quot;,&quot;volume&quot;:&quot;17&quot;},&quot;isTemporary&quot;:false},{&quot;id&quot;:&quot;d48cb4a1-e76c-304c-8cf7-d2b5ec171f44&quot;,&quot;itemData&quot;:{&quot;type&quot;:&quot;article-journal&quot;,&quot;id&quot;:&quot;d48cb4a1-e76c-304c-8cf7-d2b5ec171f44&quot;,&quot;title&quot;:&quot;Hydrochars produced by hydrothermal carbonisation of seaweed, coconut shell and oak: effect of processing temperature on physicochemical adsorbent characteristics&quot;,&quot;author&quot;:[{&quot;family&quot;:&quot;Danso-Boateng&quot;,&quot;given&quot;:&quot;Eric&quot;,&quot;parse-names&quot;:false,&quot;dropping-particle&quot;:&quot;&quot;,&quot;non-dropping-particle&quot;:&quot;&quot;},{&quot;family&quot;:&quot;Ross&quot;,&quot;given&quot;:&quot;Andrew B.&quot;,&quot;parse-names&quot;:false,&quot;dropping-particle&quot;:&quot;&quot;,&quot;non-dropping-particle&quot;:&quot;&quot;},{&quot;family&quot;:&quot;Mariner&quot;,&quot;given&quot;:&quot;Ted&quot;,&quot;parse-names&quot;:false,&quot;dropping-particle&quot;:&quot;&quot;,&quot;non-dropping-particle&quot;:&quot;&quot;},{&quot;family&quot;:&quot;Hammerton&quot;,&quot;given&quot;:&quot;James&quot;,&quot;parse-names&quot;:false,&quot;dropping-particle&quot;:&quot;&quot;,&quot;non-dropping-particle&quot;:&quot;&quot;},{&quot;family&quot;:&quot;Fitzsimmons&quot;,&quot;given&quot;:&quot;Melissa&quot;,&quot;parse-names&quot;:false,&quot;dropping-particle&quot;:&quot;&quot;,&quot;non-dropping-particle&quot;:&quot;&quot;}],&quot;container-title&quot;:&quot;SN Applied Sciences&quot;,&quot;container-title-short&quot;:&quot;SN Appl. Sci.&quot;,&quot;DOI&quot;:&quot;10.1007/s42452-022-05085-x&quot;,&quot;ISSN&quot;:&quot;25233971&quot;,&quot;issued&quot;:{&quot;date-parts&quot;:[[2022,8,1]]},&quot;abstract&quot;:&quot;The present study addresses the production of hydrochars from brown seaweed (Fucus serratus) (FS-HCs), coconut shell (CS-HCs), and oak (Oak-HCs) as potential adsorbents using hydrothermal carbonisation (HTC). The effect of HTC processing temperature on the physicochemical adsorbent characteristics of the hydrochars is investigated at different temperatures (200, 220, 250 °C) using a hydrothermal batch reactor. Increasing HTC temperature causes the formation of many spheres in CS-HCs and Oak-HCs, increasing their porosity, except FS-HCs. The surface area of the hydrochars increases with increasing HTC temperature; 10.93–12.78 m2/g for FS-HCs, 2.18–21.94 m2/g for CS-HCs, except for Oak-HCs which decreases from 4.89 to 3.09 m2/g. Increasing HTC temperature decreases volatile matter content in the hydrochars, increases fixed carbon content, and decreases H/C ratio (except for FS-HCs) and O/C ratio of the hydrochars. For all the hydrochars, increasing the HTC temperature results in a slight decrease in zeta potential magnitude, with negatively charged surfaces, making them potential adsorbents for cationic pollutants. The study confirms that the HTC process improves key chemical and physical characteristics of the hydrochars compared to the original biomass, and that the physicochemical adsorbent characteristics are enhanced as the processing temperature increases.&quot;,&quot;publisher&quot;:&quot;Springer Nature&quot;,&quot;issue&quot;:&quot;8&quot;,&quot;volume&quot;:&quot;4&quot;},&quot;isTemporary&quot;:false}]},{&quot;citationID&quot;:&quot;MENDELEY_CITATION_86cbba1f-aff6-41b7-be43-eb0fff362825&quot;,&quot;properties&quot;:{&quot;noteIndex&quot;:0},&quot;isEdited&quot;:false,&quot;manualOverride&quot;:{&quot;isManuallyOverridden&quot;:true,&quot;citeprocText&quot;:&quot;(Gómez-Navarro et al., 2023; Meysami et al., 2025; Wen et al., 2025)&quot;,&quot;manualOverrideText&quot;:&quot;(Wen et al., 2025)&quot;},&quot;citationTag&quot;:&quot;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&quot;,&quot;citationItems&quot;:[{&quot;id&quot;:&quot;3dca6d69-71c0-3f4b-88bf-e653b1607ef8&quot;,&quot;itemData&quot;:{&quot;type&quot;:&quot;article-journal&quot;,&quot;id&quot;:&quot;3dca6d69-71c0-3f4b-88bf-e653b1607ef8&quot;,&quot;title&quot;:&quot;Comparative study on combustion characteristics of biomass digestate-derived pyrochar and hydrochar: Insights from structural composition and oxygen-containing groups&quot;,&quot;author&quot;:[{&quot;family&quot;:&quot;Wen&quot;,&quot;given&quot;:&quot;Haifeng&quot;,&quot;parse-names&quot;:false,&quot;dropping-particle&quot;:&quot;&quot;,&quot;non-dropping-particle&quot;:&quot;&quot;},{&quot;family&quot;:&quot;Li&quot;,&quot;given&quot;:&quot;Jixin&quot;,&quot;parse-names&quot;:false,&quot;dropping-particle&quot;:&quot;&quot;,&quot;non-dropping-particle&quot;:&quot;&quot;},{&quot;family&quot;:&quot;Wang&quot;,&quot;given&quot;:&quot;Xin&quot;,&quot;parse-names&quot;:false,&quot;dropping-particle&quot;:&quot;&quot;,&quot;non-dropping-particle&quot;:&quot;&quot;},{&quot;family&quot;:&quot;Mao&quot;,&quot;given&quot;:&quot;Wei&quot;,&quot;parse-names&quot;:false,&quot;dropping-particle&quot;:&quot;&quot;,&quot;non-dropping-particle&quot;:&quot;&quot;},{&quot;family&quot;:&quot;He&quot;,&quot;given&quot;:&quot;Yiyang&quot;,&quot;parse-names&quot;:false,&quot;dropping-particle&quot;:&quot;&quot;,&quot;non-dropping-particle&quot;:&quot;&quot;},{&quot;family&quot;:&quot;Cao&quot;,&quot;given&quot;:&quot;Xiao&quot;,&quot;parse-names&quot;:false,&quot;dropping-particle&quot;:&quot;&quot;,&quot;non-dropping-particle&quot;:&quot;&quot;},{&quot;family&quot;:&quot;Yang&quot;,&quot;given&quot;:&quot;Haiyan&quot;,&quot;parse-names&quot;:false,&quot;dropping-particle&quot;:&quot;&quot;,&quot;non-dropping-particle&quot;:&quot;&quot;},{&quot;family&quot;:&quot;Zhang&quot;,&quot;given&quot;:&quot;Junyu&quot;,&quot;parse-names&quot;:false,&quot;dropping-particle&quot;:&quot;&quot;,&quot;non-dropping-particle&quot;:&quot;&quot;},{&quot;family&quot;:&quot;Xu&quot;,&quot;given&quot;:&quot;Suyun&quot;,&quot;parse-names&quot;:false,&quot;dropping-particle&quot;:&quot;&quot;,&quot;non-dropping-particle&quot;:&quot;&quot;},{&quot;family&quot;:&quot;Gu&quot;,&quot;given&quot;:&quot;Lin&quot;,&quot;parse-names&quot;:false,&quot;dropping-particle&quot;:&quot;&quot;,&quot;non-dropping-particle&quot;:&quot;&quot;}],&quot;container-title&quot;:&quot;Fuel&quot;,&quot;DOI&quot;:&quot;10.1016/j.fuel.2025.134627&quot;,&quot;ISSN&quot;:&quot;00162361&quot;,&quot;issued&quot;:{&quot;date-parts&quot;:[[2025,6,1]]},&quot;abstract&quot;:&quot;The incineration of the digestate from agricultural waste (AW) faces great challenges due to its characteristics such as a low calorific value, high moisture content, and a propensity for rapid corrosion decomposition. This study employed two different thermochemical pretreatment methods, hydrothermal carbonization (HTC) and pyrolysis, to pretreat digestate at various temperatures, comparing their effects on the physicochemical properties of digestate and its combustion reactivity. Characterization results from FTIR, XPS, and Raman analyses showed that hydrochar contains more active functional groups, while pyrochar exhibits a higher degree of carbonization. TGA results revealed a much lower Ti and Eα for hydrochars which had strong correlations with the number of active functional groups such as hydroxyl and carbonyl. O2 adsorption analysis and DFT calculations demonstrated that the presence of oxygenated groups induced electron delocalization and therefore resulted in the production of electrophilic carbon atoms, which facilitated the adsorption of oxygen molecules and triggers a cascade of reactions in the initial stage. The findings will provide valuable information for the thermal conversion of digestate for various combustion purposes.&quot;,&quot;publisher&quot;:&quot;Elsevier Ltd&quot;,&quot;volume&quot;:&quot;389&quot;,&quot;container-title-short&quot;:&quot;&quot;},&quot;isTemporary&quot;:false},{&quot;id&quot;:&quot;81c2f2d6-cc7c-3ad7-bea4-e13d729eddb1&quot;,&quot;itemData&quot;:{&quot;type&quot;:&quot;article-journal&quot;,&quot;id&quot;:&quot;81c2f2d6-cc7c-3ad7-bea4-e13d729eddb1&quot;,&quot;title&quot;:&quot;Comparative thermal and structural analysis of biochar from rapeseed meal and Fraxinus excelsior sawdust&quot;,&quot;author&quot;:[{&quot;family&quot;:&quot;Meysami&quot;,&quot;given&quot;:&quot;Mohammad&quot;,&quot;parse-names&quot;:false,&quot;dropping-particle&quot;:&quot;&quot;,&quot;non-dropping-particle&quot;:&quot;&quot;},{&quot;family&quot;:&quot;Rabie&quot;,&quot;given&quot;:&quot;Amin&quot;,&quot;parse-names&quot;:false,&quot;dropping-particle&quot;:&quot;&quot;,&quot;non-dropping-particle&quot;:&quot;&quot;},{&quot;family&quot;:&quot;Najafabadi&quot;,&quot;given&quot;:&quot;Reza Amini&quot;,&quot;parse-names&quot;:false,&quot;dropping-particle&quot;:&quot;&quot;,&quot;non-dropping-particle&quot;:&quot;&quot;},{&quot;family&quot;:&quot;Meysami&quot;,&quot;given&quot;:&quot;Amirhossein&quot;,&quot;parse-names&quot;:false,&quot;dropping-particle&quot;:&quot;&quot;,&quot;non-dropping-particle&quot;:&quot;&quot;},{&quot;family&quot;:&quot;Isfahani&quot;,&quot;given&quot;:&quot;Taghi&quot;,&quot;parse-names&quot;:false,&quot;dropping-particle&quot;:&quot;&quot;,&quot;non-dropping-particle&quot;:&quot;&quot;}],&quot;container-title&quot;:&quot;Results in Engineering&quot;,&quot;DOI&quot;:&quot;10.1016/j.rineng.2025.106397&quot;,&quot;ISSN&quot;:&quot;25901230&quot;,&quot;issued&quot;:{&quot;date-parts&quot;:[[2025,9,1]]},&quot;abstract&quot;:&quot;This study investigates the production and thermal characterization of biochar derived from two biomass sources: rapeseed meal and sawdust of Fraxinus excelsior. Biochars were produced through slow pyrolysis at 350 °C, and their chemical composition, thermal stability, and carbon structure were analyzed using FTIR, Raman spectroscopy, CHNS analysis, TGA/DTG, and DSC. The results showed high fixed carbon contents of 59.3 % for rapeseed meal and 57.6 % for wood-based biochars, with sulfur contents below 0.1 %. FTIR and Raman analyses confirmed the formation of stable carbonaceous structures with characteristic functional groups. TGA revealed strong thermal stability, with residual masses of 42 % and 47 % at 1000 °C for rapeseed and wood biochars, respectively. DSC analysis demonstrated that wood-derived biochar retained more energy, while rapeseed biochar exhibited higher carbon content. A statistical comparison using bootstrap, effect size, and Bayesian estimation confirmed these trends. Overall, both biochars demonstrate strong potential as sustainable, carbon-rich alternatives for high-temperature industrial applications.&quot;,&quot;publisher&quot;:&quot;Elsevier B.V.&quot;,&quot;volume&quot;:&quot;27&quot;,&quot;container-title-short&quot;:&quot;&quot;},&quot;isTemporary&quot;:false},{&quot;id&quot;:&quot;7954ed1b-e040-3d8c-8ad1-65d40d0a26cc&quot;,&quot;itemData&quot;:{&quot;type&quot;:&quot;article-journal&quot;,&quot;id&quot;:&quot;7954ed1b-e040-3d8c-8ad1-65d40d0a26cc&quot;,&quot;title&quot;:&quot;Evaluation of the Environmental Performance of Adsorbent Materials Prepared from Agave Bagasse for Water Remediation: Solid Waste Management Proposal of the Tequila Industry&quot;,&quot;author&quot;:[{&quot;family&quot;:&quot;Gómez-Navarro&quot;,&quot;given&quot;:&quot;Camila S.&quot;,&quot;parse-names&quot;:false,&quot;dropping-particle&quot;:&quot;&quot;,&quot;non-dropping-particle&quot;:&quot;&quot;},{&quot;family&quot;:&quot;Warren-Vega&quot;,&quot;given&quot;:&quot;Walter M.&quot;,&quot;parse-names&quot;:false,&quot;dropping-particle&quot;:&quot;&quot;,&quot;non-dropping-particle&quot;:&quot;&quot;},{&quot;family&quot;:&quot;Serna-Carrizales&quot;,&quot;given&quot;:&quot;Juan C.&quot;,&quot;parse-names&quot;:false,&quot;dropping-particle&quot;:&quot;&quot;,&quot;non-dropping-particle&quot;:&quot;&quot;},{&quot;family&quot;:&quot;Zárate-Guzmán&quot;,&quot;given&quot;:&quot;Ana I.&quot;,&quot;parse-names&quot;:false,&quot;dropping-particle&quot;:&quot;&quot;,&quot;non-dropping-particle&quot;:&quot;&quot;},{&quot;family&quot;:&quot;Ocampo-Pérez&quot;,&quot;given&quot;:&quot;Raúl&quot;,&quot;parse-names&quot;:false,&quot;dropping-particle&quot;:&quot;&quot;,&quot;non-dropping-particle&quot;:&quot;&quot;},{&quot;family&quot;:&quot;Carrasco-Marín&quot;,&quot;given&quot;:&quot;Francisco&quot;,&quot;parse-names&quot;:false,&quot;dropping-particle&quot;:&quot;&quot;,&quot;non-dropping-particle&quot;:&quot;&quot;},{&quot;family&quot;:&quot;Collins-Martínez&quot;,&quot;given&quot;:&quot;Virginia H.&quot;,&quot;parse-names&quot;:false,&quot;dropping-particle&quot;:&quot;&quot;,&quot;non-dropping-particle&quot;:&quot;&quot;},{&quot;family&quot;:&quot;Niembro-García&quot;,&quot;given&quot;:&quot;Joaquina&quot;,&quot;parse-names&quot;:false,&quot;dropping-particle&quot;:&quot;&quot;,&quot;non-dropping-particle&quot;:&quot;&quot;},{&quot;family&quot;:&quot;Romero-Cano&quot;,&quot;given&quot;:&quot;Luis A.&quot;,&quot;parse-names&quot;:false,&quot;dropping-particle&quot;:&quot;&quot;,&quot;non-dropping-particle&quot;:&quot;&quot;}],&quot;container-title&quot;:&quot;Materials&quot;,&quot;DOI&quot;:&quot;10.3390/ma16010008&quot;,&quot;ISSN&quot;:&quot;19961944&quot;,&quot;issued&quot;:{&quot;date-parts&quot;:[[2023,1,1]]},&quot;abstract&quot;:&quot;In the present research work, the use of agro-industrial waste such as agave bagasse from the tequila industry was carried out. The agave bagasse was treated to obtain biosorbent and hydrochar materials. Direct Blue 86 was used as an adsorbate model to evaluate the performance of both materials. The adsorption studies showed an adsorption capacity of 6.49 mg g−1 in static and 17.7 mg g−1 in dynamic, associated with a physisorption process between functional groups of the material and the dye. The characterization of the biosorbent showed that the material was mainly composed of macroporous fibers with a surface area &lt;5.0 m2 g−1. Elemental analysis showed a majority composition of C (57.19 wt%) and O (37.49 wt%). FTIR and XPS analyses showed that the material had C-O, C=O, -OH, O-C=O, and -NH2 surface groups. RAMAN and TGA were used to evaluate the composition, being cellulose (40.94%), lignin (20.15%), and hemicellulose (3.35%). Finally, the life-cycle assessment at a laboratory scale showed that the proposed biosorbent presents a 17% reduction in several environmental aspects compared to hydrochar, showing promise as an eco-friendly and highly efficient method for the remediation of water contaminated with dye, as well as being a promising alternative for the responsible management of solid waste generated by the tequila industry.&quot;,&quot;publisher&quot;:&quot;MDPI&quot;,&quot;issue&quot;:&quot;1&quot;,&quot;volume&quot;:&quot;16&quot;,&quot;container-title-short&quot;:&quot;&quot;},&quot;isTemporary&quot;:false}]},{&quot;citationID&quot;:&quot;MENDELEY_CITATION_864eabfd-3475-46e7-9655-6e3a7656fc6b&quot;,&quot;properties&quot;:{&quot;noteIndex&quot;:0},&quot;isEdited&quot;:false,&quot;manualOverride&quot;:{&quot;isManuallyOverridden&quot;:false,&quot;citeprocText&quot;:&quot;(Yang et al., 2025)&quot;,&quot;manualOverrideText&quot;:&quot;&quot;},&quot;citationTag&quot;:&quot;MENDELEY_CITATION_v3_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&quot;,&quot;citationItems&quot;:[{&quot;id&quot;:&quot;0650ac2f-ded4-3581-8fa8-35a118c4df5c&quot;,&quot;itemData&quot;:{&quot;type&quot;:&quot;article-journal&quot;,&quot;id&quot;:&quot;0650ac2f-ded4-3581-8fa8-35a118c4df5c&quot;,&quot;title&quot;:&quot;Preparation of highly functionalised biochar from hydrochloric acid activated bagasse for the efficient removal of metal ions&quot;,&quot;author&quot;:[{&quot;family&quot;:&quot;Yang&quot;,&quot;given&quot;:&quot;Mei&quot;,&quot;parse-names&quot;:false,&quot;dropping-particle&quot;:&quot;&quot;,&quot;non-dropping-particle&quot;:&quot;&quot;},{&quot;family&quot;:&quot;Lu&quot;,&quot;given&quot;:&quot;Rimu&quot;,&quot;parse-names&quot;:false,&quot;dropping-particle&quot;:&quot;&quot;,&quot;non-dropping-particle&quot;:&quot;&quot;},{&quot;family&quot;:&quot;Wei&quot;,&quot;given&quot;:&quot;Yichun&quot;,&quot;parse-names&quot;:false,&quot;dropping-particle&quot;:&quot;&quot;,&quot;non-dropping-particle&quot;:&quot;&quot;},{&quot;family&quot;:&quot;Guo&quot;,&quot;given&quot;:&quot;Yingtao&quot;,&quot;parse-names&quot;:false,&quot;dropping-particle&quot;:&quot;&quot;,&quot;non-dropping-particle&quot;:&quot;&quot;},{&quot;family&quot;:&quot;Lan&quot;,&quot;given&quot;:&quot;Lihong&quot;,&quot;parse-names&quot;:false,&quot;dropping-particle&quot;:&quot;&quot;,&quot;non-dropping-particle&quot;:&quot;&quot;},{&quot;family&quot;:&quot;Lu&quot;,&quot;given&quot;:&quot;Jiajun&quot;,&quot;parse-names&quot;:false,&quot;dropping-particle&quot;:&quot;&quot;,&quot;non-dropping-particle&quot;:&quot;&quot;},{&quot;family&quot;:&quot;Liao&quot;,&quot;given&quot;:&quot;Yexin&quot;,&quot;parse-names&quot;:false,&quot;dropping-particle&quot;:&quot;&quot;,&quot;non-dropping-particle&quot;:&quot;&quot;},{&quot;family&quot;:&quot;Li&quot;,&quot;given&quot;:&quot;Heping&quot;,&quot;parse-names&quot;:false,&quot;dropping-particle&quot;:&quot;&quot;,&quot;non-dropping-particle&quot;:&quot;&quot;},{&quot;family&quot;:&quot;Lan&quot;,&quot;given&quot;:&quot;Ping&quot;,&quot;parse-names&quot;:false,&quot;dropping-particle&quot;:&quot;&quot;,&quot;non-dropping-particle&quot;:&quot;&quot;},{&quot;family&quot;:&quot;Kou&quot;,&quot;given&quot;:&quot;Zongliang&quot;,&quot;parse-names&quot;:false,&quot;dropping-particle&quot;:&quot;&quot;,&quot;non-dropping-particle&quot;:&quot;&quot;}],&quot;container-title&quot;:&quot;Process Safety and Environmental Protection&quot;,&quot;DOI&quot;:&quot;10.1016/j.psep.2024.12.117&quot;,&quot;ISSN&quot;:&quot;09575820&quot;,&quot;issued&quot;:{&quot;date-parts&quot;:[[2025,3,1]]},&quot;abstract&quot;:&quot;Hexavalent chromium (Cr(VI)) readily forms oxygenated anions in aqueous solution and is difficult to be adsorbed. Acidic functional groups are able to reduce Cr(VI) to Cr(III) by redox reactions and form stable complexes with Cr(III). In this study, A novel nitrogen-fixing aqueous carbon hydrochar (HC) was prepared through a one-step hydrothermal carbonisation process, using sugarcane bagasse biomass as the raw material and hydrochloric acid as the activator, utilizing the inherent nitrogen-containing properties of bagasse. The activated adsorbent with high acidic functional groups was characterized by FTIR, XPS, BET and XRD. Hydrochloric acid was able to effectively carry out the protonation reaction, characterization and model analyses showed that enriching the surface of the material with acidic functional groups such as carboxylic (-COOH), hydroxyl (-OH) and amino (-NH2) groups, which effectively interacted with Cr(VI) through electrostatic forces and hydrogen bonding, greatly improving the adsorption capacity of Cr(VI). The maximum adsorption capacity and removal rate of Cr(VI) by HC reached 236.51 mg/g and 99.61 %, respectively. After 5 cycles of reuse, the Cr(VI) adsorption capacity of HC was 88.54 mg/g, with the HC maintaining 40.28 % of its original activity, which is sufficient for practical wastewater treatment applications, although further research should focus on method optimization to enhance the long-term effectiveness of adsorbent materials.&quot;,&quot;publisher&quot;:&quot;Institution of Chemical Engineers&quot;,&quot;volume&quot;:&quot;195&quot;,&quot;container-title-short&quot;:&quot;&quot;},&quot;isTemporary&quot;:false}]},{&quot;citationID&quot;:&quot;MENDELEY_CITATION_cbcbb9fe-bc1b-4797-9c7e-728622d91d0e&quot;,&quot;properties&quot;:{&quot;noteIndex&quot;:0},&quot;isEdited&quot;:false,&quot;manualOverride&quot;:{&quot;isManuallyOverridden&quot;:false,&quot;citeprocText&quot;:&quot;(S. Wu et al., 2023)&quot;,&quot;manualOverrideText&quot;:&quot;&quot;},&quot;citationTag&quot;:&quot;MENDELEY_CITATION_v3_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&quot;,&quot;citationItems&quot;:[{&quot;id&quot;:&quot;357ac75a-de69-377b-8669-9ffd89980210&quot;,&quot;itemData&quot;:{&quot;type&quot;:&quot;article-journal&quot;,&quot;id&quot;:&quot;357ac75a-de69-377b-8669-9ffd89980210&quot;,&quot;title&quot;:&quot;Insights into the chemical structure evolution and carbonisation mechanism of biomass during hydrothermal treatment&quot;,&quot;author&quot;:[{&quot;family&quot;:&quot;Wu&quot;,&quot;given&quot;:&quot;Shuang&quot;,&quot;parse-names&quot;:false,&quot;dropping-particle&quot;:&quot;&quot;,&quot;non-dropping-particle&quot;:&quot;&quot;},{&quot;family&quot;:&quot;Wang&quot;,&quot;given&quot;:&quot;Qing&quot;,&quot;parse-names&quot;:false,&quot;dropping-particle&quot;:&quot;&quot;,&quot;non-dropping-particle&quot;:&quot;&quot;},{&quot;family&quot;:&quot;Cui&quot;,&quot;given&quot;:&quot;Da&quot;,&quot;parse-names&quot;:false,&quot;dropping-particle&quot;:&quot;&quot;,&quot;non-dropping-particle&quot;:&quot;&quot;},{&quot;family&quot;:&quot;Wu&quot;,&quot;given&quot;:&quot;Dongyang&quot;,&quot;parse-names&quot;:false,&quot;dropping-particle&quot;:&quot;&quot;,&quot;non-dropping-particle&quot;:&quot;&quot;},{&quot;family&quot;:&quot;Bai&quot;,&quot;given&quot;:&quot;Jingru&quot;,&quot;parse-names&quot;:false,&quot;dropping-particle&quot;:&quot;&quot;,&quot;non-dropping-particle&quot;:&quot;&quot;},{&quot;family&quot;:&quot;Qin&quot;,&quot;given&quot;:&quot;Hong&quot;,&quot;parse-names&quot;:false,&quot;dropping-particle&quot;:&quot;&quot;,&quot;non-dropping-particle&quot;:&quot;&quot;},{&quot;family&quot;:&quot;Xu&quot;,&quot;given&quot;:&quot;Faxing&quot;,&quot;parse-names&quot;:false,&quot;dropping-particle&quot;:&quot;&quot;,&quot;non-dropping-particle&quot;:&quot;&quot;},{&quot;family&quot;:&quot;Wang&quot;,&quot;given&quot;:&quot;Zhenye&quot;,&quot;parse-names&quot;:false,&quot;dropping-particle&quot;:&quot;&quot;,&quot;non-dropping-particle&quot;:&quot;&quot;}],&quot;container-title&quot;:&quot;Journal of the Energy Institute&quot;,&quot;DOI&quot;:&quot;10.1016/j.joei.2023.101257&quot;,&quot;ISSN&quot;:&quot;17460220&quot;,&quot;issued&quot;:{&quot;date-parts&quot;:[[2023,6,1]]},&quot;abstract&quot;:&quot;The thermochemical conversion of biomass energy contributes to the goals of carbon peaking and carbon neutrality. In this paper, the evolution of the chemical structure of corn stalk (CS) during hydrothermal carbonisation (HTC) was investigated and the effect of temperature on the physicochemical properties, carbon skeletal structure, and surface functional groups of the obtained hydrochar was explored. The results indicate that the H/C and O/C atomic ratios of the hydrochar decreased as the HTC temperature increased. The -C-(O, N), –C=O, and O–C=O bonds in the CS rapidly formed aromatic structures through cyclisation, condensation, or polymerisation, which in turn increased the -C-(C, H)/C=C content in the hydrochar. The oxygen-containing functional groups in the CS and hydrochar were mainly carbonyl (C=O), aromatic ring (C=C), ether oxygen bond (C–O), alcohol-phenol oxygen bond (C–OH), and carboxyl (O=C–O) groups. A high HTC temperature lowered the degree of substitution of the aromatic hydrocarbons and increased their degree of condensation. The hydrolysis stage and the formation of aromatic structures were competing processes. At low temperatures, the hydrolysis reaction was dominant and the generation of aromatic structures was secondary. However, at high temperatures, the intermediate compounds underwent transformation after hydrolysis, and the generation of aromatic structures was more competitive.&quot;,&quot;publisher&quot;:&quot;Elsevier B.V.&quot;,&quot;volume&quot;:&quot;108&quot;,&quot;container-title-short&quot;:&quot;&quot;},&quot;isTemporary&quot;:false}]},{&quot;citationID&quot;:&quot;MENDELEY_CITATION_bd1ff397-bd7b-4ef3-b80a-a70465284a39&quot;,&quot;properties&quot;:{&quot;noteIndex&quot;:0},&quot;isEdited&quot;:false,&quot;manualOverride&quot;:{&quot;isManuallyOverridden&quot;:false,&quot;citeprocText&quot;:&quot;(Yang et al., 2025)&quot;,&quot;manualOverrideText&quot;:&quot;&quot;},&quot;citationTag&quot;:&quot;MENDELEY_CITATION_v3_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&quot;,&quot;citationItems&quot;:[{&quot;id&quot;:&quot;0650ac2f-ded4-3581-8fa8-35a118c4df5c&quot;,&quot;itemData&quot;:{&quot;type&quot;:&quot;article-journal&quot;,&quot;id&quot;:&quot;0650ac2f-ded4-3581-8fa8-35a118c4df5c&quot;,&quot;title&quot;:&quot;Preparation of highly functionalised biochar from hydrochloric acid activated bagasse for the efficient removal of metal ions&quot;,&quot;author&quot;:[{&quot;family&quot;:&quot;Yang&quot;,&quot;given&quot;:&quot;Mei&quot;,&quot;parse-names&quot;:false,&quot;dropping-particle&quot;:&quot;&quot;,&quot;non-dropping-particle&quot;:&quot;&quot;},{&quot;family&quot;:&quot;Lu&quot;,&quot;given&quot;:&quot;Rimu&quot;,&quot;parse-names&quot;:false,&quot;dropping-particle&quot;:&quot;&quot;,&quot;non-dropping-particle&quot;:&quot;&quot;},{&quot;family&quot;:&quot;Wei&quot;,&quot;given&quot;:&quot;Yichun&quot;,&quot;parse-names&quot;:false,&quot;dropping-particle&quot;:&quot;&quot;,&quot;non-dropping-particle&quot;:&quot;&quot;},{&quot;family&quot;:&quot;Guo&quot;,&quot;given&quot;:&quot;Yingtao&quot;,&quot;parse-names&quot;:false,&quot;dropping-particle&quot;:&quot;&quot;,&quot;non-dropping-particle&quot;:&quot;&quot;},{&quot;family&quot;:&quot;Lan&quot;,&quot;given&quot;:&quot;Lihong&quot;,&quot;parse-names&quot;:false,&quot;dropping-particle&quot;:&quot;&quot;,&quot;non-dropping-particle&quot;:&quot;&quot;},{&quot;family&quot;:&quot;Lu&quot;,&quot;given&quot;:&quot;Jiajun&quot;,&quot;parse-names&quot;:false,&quot;dropping-particle&quot;:&quot;&quot;,&quot;non-dropping-particle&quot;:&quot;&quot;},{&quot;family&quot;:&quot;Liao&quot;,&quot;given&quot;:&quot;Yexin&quot;,&quot;parse-names&quot;:false,&quot;dropping-particle&quot;:&quot;&quot;,&quot;non-dropping-particle&quot;:&quot;&quot;},{&quot;family&quot;:&quot;Li&quot;,&quot;given&quot;:&quot;Heping&quot;,&quot;parse-names&quot;:false,&quot;dropping-particle&quot;:&quot;&quot;,&quot;non-dropping-particle&quot;:&quot;&quot;},{&quot;family&quot;:&quot;Lan&quot;,&quot;given&quot;:&quot;Ping&quot;,&quot;parse-names&quot;:false,&quot;dropping-particle&quot;:&quot;&quot;,&quot;non-dropping-particle&quot;:&quot;&quot;},{&quot;family&quot;:&quot;Kou&quot;,&quot;given&quot;:&quot;Zongliang&quot;,&quot;parse-names&quot;:false,&quot;dropping-particle&quot;:&quot;&quot;,&quot;non-dropping-particle&quot;:&quot;&quot;}],&quot;container-title&quot;:&quot;Process Safety and Environmental Protection&quot;,&quot;DOI&quot;:&quot;10.1016/j.psep.2024.12.117&quot;,&quot;ISSN&quot;:&quot;09575820&quot;,&quot;issued&quot;:{&quot;date-parts&quot;:[[2025,3,1]]},&quot;abstract&quot;:&quot;Hexavalent chromium (Cr(VI)) readily forms oxygenated anions in aqueous solution and is difficult to be adsorbed. Acidic functional groups are able to reduce Cr(VI) to Cr(III) by redox reactions and form stable complexes with Cr(III). In this study, A novel nitrogen-fixing aqueous carbon hydrochar (HC) was prepared through a one-step hydrothermal carbonisation process, using sugarcane bagasse biomass as the raw material and hydrochloric acid as the activator, utilizing the inherent nitrogen-containing properties of bagasse. The activated adsorbent with high acidic functional groups was characterized by FTIR, XPS, BET and XRD. Hydrochloric acid was able to effectively carry out the protonation reaction, characterization and model analyses showed that enriching the surface of the material with acidic functional groups such as carboxylic (-COOH), hydroxyl (-OH) and amino (-NH2) groups, which effectively interacted with Cr(VI) through electrostatic forces and hydrogen bonding, greatly improving the adsorption capacity of Cr(VI). The maximum adsorption capacity and removal rate of Cr(VI) by HC reached 236.51 mg/g and 99.61 %, respectively. After 5 cycles of reuse, the Cr(VI) adsorption capacity of HC was 88.54 mg/g, with the HC maintaining 40.28 % of its original activity, which is sufficient for practical wastewater treatment applications, although further research should focus on method optimization to enhance the long-term effectiveness of adsorbent materials.&quot;,&quot;publisher&quot;:&quot;Institution of Chemical Engineers&quot;,&quot;volume&quot;:&quot;195&quot;,&quot;container-title-short&quot;:&quot;&quot;},&quot;isTemporary&quot;:false}]},{&quot;citationID&quot;:&quot;MENDELEY_CITATION_50d3a35e-89f2-4cbc-b2d3-5d5b5fcb52a9&quot;,&quot;properties&quot;:{&quot;noteIndex&quot;:0},&quot;isEdited&quot;:false,&quot;manualOverride&quot;:{&quot;isManuallyOverridden&quot;:true,&quot;citeprocText&quot;:&quot;(Bkangmo Kontchouo et al., 2025; Phan et al., 2022)&quot;,&quot;manualOverrideText&quot;:&quot;(Bkangmo Kontchouo et al., 2025)&quot;},&quot;citationTag&quot;:&quot;MENDELEY_CITATION_v3_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&quot;,&quot;citationItems&quot;:[{&quot;id&quot;:&quot;9c1024dc-05b4-3927-a2ce-eec31c4500d6&quot;,&quot;itemData&quot;:{&quot;type&quot;:&quot;article-journal&quot;,&quot;id&quot;:&quot;9c1024dc-05b4-3927-a2ce-eec31c4500d6&quot;,&quot;title&quot;:&quot;Preparation of rice husk hydrochar as an atrazine adsorbent: Optimization, characterization, and adsorption mechanisms&quot;,&quot;author&quot;:[{&quot;family&quot;:&quot;Phan&quot;,&quot;given&quot;:&quot;Kim Anh&quot;,&quot;parse-names&quot;:false,&quot;dropping-particle&quot;:&quot;&quot;,&quot;non-dropping-particle&quot;:&quot;&quot;},{&quot;family&quot;:&quot;Phihusut&quot;,&quot;given&quot;:&quot;Doungkamol&quot;,&quot;parse-names&quot;:false,&quot;dropping-particle&quot;:&quot;&quot;,&quot;non-dropping-particle&quot;:&quot;&quot;},{&quot;family&quot;:&quot;Tuntiwiwattanapun&quot;,&quot;given&quot;:&quot;Nattapong&quot;,&quot;parse-names&quot;:false,&quot;dropping-particle&quot;:&quot;&quot;,&quot;non-dropping-particle&quot;:&quot;&quot;}],&quot;container-title&quot;:&quot;Journal of Environmental Chemical Engineering&quot;,&quot;container-title-short&quot;:&quot;J. Environ. Chem. Eng.&quot;,&quot;DOI&quot;:&quot;10.1016/j.jece.2022.107575&quot;,&quot;ISSN&quot;:&quot;22133437&quot;,&quot;issued&quot;:{&quot;date-parts&quot;:[[2022,6,1]]},&quot;abstract&quot;:&quot;This study aims to develop rice husk hydrochar as an alternative adsorbent for application in atrazine removal. Hydrochar was obtained by microwave-assisted hydrothermal carbonization under different conditions: temperature (150 – 200°C), residence time (20 – 60 min), and liquid to solid ratio (5:1 – 15:1 mL g-1). Surface activation of hydrochar was conducted using various concentrations of KOH and H2O2. The results indicated that hydrochar prepared at higher temperatures, lower liquid to solid ratios, and longer residence times had significantly higher atrazine adsorption capacities. Atrazine adsorption by pristine and activated hydrochars could be best fitted to the pseudo-second-order and Freundlich models. The adsorption capacity of KOH-activated hydrochar was the highest (4.06 mg g-1), which is even greater than that of biochar with higher surface areas. The results of FTIR and XPS demonstrated that activated rice husk hydrochars contained abundant oxygen functional groups, which played a dominant role in atrazine adsorption via hydrogen-bonding interaction.&quot;,&quot;publisher&quot;:&quot;Elsevier Ltd&quot;,&quot;issue&quot;:&quot;3&quot;,&quot;volume&quot;:&quot;10&quot;},&quot;isTemporary&quot;:false},{&quot;id&quot;:&quot;1cf24e41-15d7-397c-a6a1-4b7f63bd9318&quot;,&quot;itemData&quot;:{&quot;type&quot;:&quot;article-journal&quot;,&quot;id&quot;:&quot;1cf24e41-15d7-397c-a6a1-4b7f63bd9318&quot;,&quot;title&quot;:&quot;Hydrothermal carbonization of cola nut shell: Impact of deep eutectic pretreatment on the property of hydrochar&quot;,&quot;author&quot;:[{&quot;family&quot;:&quot;Bkangmo Kontchouo&quot;,&quot;given&quot;:&quot;Félix Mérimé&quot;,&quot;parse-names&quot;:false,&quot;dropping-particle&quot;:&quot;&quot;,&quot;non-dropping-particle&quot;:&quot;&quot;},{&quot;family&quot;:&quot;Xu&quot;,&quot;given&quot;:&quot;Hao&quot;,&quot;parse-names&quot;:false,&quot;dropping-particle&quot;:&quot;&quot;,&quot;non-dropping-particle&quot;:&quot;&quot;},{&quot;family&quot;:&quot;Ganmo Koutchouo&quot;,&quot;given&quot;:&quot;Marie&quot;,&quot;parse-names&quot;:false,&quot;dropping-particle&quot;:&quot;&quot;,&quot;non-dropping-particle&quot;:&quot;&quot;},{&quot;family&quot;:&quot;Ding&quot;,&quot;given&quot;:&quot;Kuan&quot;,&quot;parse-names&quot;:false,&quot;dropping-particle&quot;:&quot;&quot;,&quot;non-dropping-particle&quot;:&quot;&quot;},{&quot;family&quot;:&quot;Kositanont&quot;,&quot;given&quot;:&quot;Chayanoot&quot;,&quot;parse-names&quot;:false,&quot;dropping-particle&quot;:&quot;&quot;,&quot;non-dropping-particle&quot;:&quot;&quot;},{&quot;family&quot;:&quot;Dokkhan&quot;,&quot;given&quot;:&quot;Chotiros&quot;,&quot;parse-names&quot;:false,&quot;dropping-particle&quot;:&quot;&quot;,&quot;non-dropping-particle&quot;:&quot;&quot;},{&quot;family&quot;:&quot;Lampang&quot;,&quot;given&quot;:&quot;Thipjak Na&quot;,&quot;parse-names&quot;:false,&quot;dropping-particle&quot;:&quot;&quot;,&quot;non-dropping-particle&quot;:&quot;&quot;},{&quot;family&quot;:&quot;Thanachayanont&quot;,&quot;given&quot;:&quot;Chanchana&quot;,&quot;parse-names&quot;:false,&quot;dropping-particle&quot;:&quot;&quot;,&quot;non-dropping-particle&quot;:&quot;&quot;},{&quot;family&quot;:&quot;Hu&quot;,&quot;given&quot;:&quot;Xun&quot;,&quot;parse-names&quot;:false,&quot;dropping-particle&quot;:&quot;&quot;,&quot;non-dropping-particle&quot;:&quot;&quot;},{&quot;family&quot;:&quot;Xu&quot;,&quot;given&quot;:&quot;Chaoyang&quot;,&quot;parse-names&quot;:false,&quot;dropping-particle&quot;:&quot;&quot;,&quot;non-dropping-particle&quot;:&quot;&quot;},{&quot;family&quot;:&quot;Zhang&quot;,&quot;given&quot;:&quot;Shu&quot;,&quot;parse-names&quot;:false,&quot;dropping-particle&quot;:&quot;&quot;,&quot;non-dropping-particle&quot;:&quot;&quot;}],&quot;container-title&quot;:&quot;Industrial Crops and Products&quot;,&quot;container-title-short&quot;:&quot;Ind. Crops Prod.&quot;,&quot;DOI&quot;:&quot;10.1016/j.indcrop.2025.120792&quot;,&quot;ISSN&quot;:&quot;09266690&quot;,&quot;issued&quot;:{&quot;date-parts&quot;:[[2025,5,1]]},&quot;abstract&quot;:&quot;Hydrothermal carbonization of lignocellulosic biomass results in hydrochar with abundant surface functionality and low degree of carbonization. In this work, Cola Shell was subjected to a pretreatment with the Deep Eutectic Solvent (DES) prior to hydrothermal carbonization under different conditions (210 ºC and 260 ºC). The aim was to ascertain the impact of pretreatment with DES on the properties of hydrochars. The results show that pretreatment with DES at 110 ºC favors the disintegration of hemicellulose while promoting the cellulose hydrolysis and dehydration. The lignin removal formed a snow cloud of particles on hydrochar surface, which further undergoes polymerization at a high HTC temperature to form a cluster of fibrous carbonaceous material, contributing to increase the degree of carbonization and thermal stability of hydrochar. DES pretreatment also reduced structural defects while increasing the cellulose crystallinity. In addition, DES pretreatment increased the nitrogen content and energy yield without affecting the calorific value of hydrochar-derived Cola Nut Shell.&quot;,&quot;publisher&quot;:&quot;Elsevier B.V.&quot;,&quot;volume&quot;:&quot;227&quot;},&quot;isTemporary&quot;:false}]},{&quot;citationID&quot;:&quot;MENDELEY_CITATION_adf28c0f-d62a-4dff-8e28-5694b03887ee&quot;,&quot;properties&quot;:{&quot;noteIndex&quot;:0},&quot;isEdited&quot;:false,&quot;manualOverride&quot;:{&quot;isManuallyOverridden&quot;:true,&quot;citeprocText&quot;:&quot;(Bkangmo Kontchouo et al., 2025; Danso-Boateng et al., 2022)&quot;,&quot;manualOverrideText&quot;:&quot;(Danso-Boateng et al., 2022)&quot;},&quot;citationTag&quot;:&quot;MENDELEY_CITATION_v3_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&quot;,&quot;citationItems&quot;:[{&quot;id&quot;:&quot;1cf24e41-15d7-397c-a6a1-4b7f63bd9318&quot;,&quot;itemData&quot;:{&quot;type&quot;:&quot;article-journal&quot;,&quot;id&quot;:&quot;1cf24e41-15d7-397c-a6a1-4b7f63bd9318&quot;,&quot;title&quot;:&quot;Hydrothermal carbonization of cola nut shell: Impact of deep eutectic pretreatment on the property of hydrochar&quot;,&quot;author&quot;:[{&quot;family&quot;:&quot;Bkangmo Kontchouo&quot;,&quot;given&quot;:&quot;Félix Mérimé&quot;,&quot;parse-names&quot;:false,&quot;dropping-particle&quot;:&quot;&quot;,&quot;non-dropping-particle&quot;:&quot;&quot;},{&quot;family&quot;:&quot;Xu&quot;,&quot;given&quot;:&quot;Hao&quot;,&quot;parse-names&quot;:false,&quot;dropping-particle&quot;:&quot;&quot;,&quot;non-dropping-particle&quot;:&quot;&quot;},{&quot;family&quot;:&quot;Ganmo Koutchouo&quot;,&quot;given&quot;:&quot;Marie&quot;,&quot;parse-names&quot;:false,&quot;dropping-particle&quot;:&quot;&quot;,&quot;non-dropping-particle&quot;:&quot;&quot;},{&quot;family&quot;:&quot;Ding&quot;,&quot;given&quot;:&quot;Kuan&quot;,&quot;parse-names&quot;:false,&quot;dropping-particle&quot;:&quot;&quot;,&quot;non-dropping-particle&quot;:&quot;&quot;},{&quot;family&quot;:&quot;Kositanont&quot;,&quot;given&quot;:&quot;Chayanoot&quot;,&quot;parse-names&quot;:false,&quot;dropping-particle&quot;:&quot;&quot;,&quot;non-dropping-particle&quot;:&quot;&quot;},{&quot;family&quot;:&quot;Dokkhan&quot;,&quot;given&quot;:&quot;Chotiros&quot;,&quot;parse-names&quot;:false,&quot;dropping-particle&quot;:&quot;&quot;,&quot;non-dropping-particle&quot;:&quot;&quot;},{&quot;family&quot;:&quot;Lampang&quot;,&quot;given&quot;:&quot;Thipjak Na&quot;,&quot;parse-names&quot;:false,&quot;dropping-particle&quot;:&quot;&quot;,&quot;non-dropping-particle&quot;:&quot;&quot;},{&quot;family&quot;:&quot;Thanachayanont&quot;,&quot;given&quot;:&quot;Chanchana&quot;,&quot;parse-names&quot;:false,&quot;dropping-particle&quot;:&quot;&quot;,&quot;non-dropping-particle&quot;:&quot;&quot;},{&quot;family&quot;:&quot;Hu&quot;,&quot;given&quot;:&quot;Xun&quot;,&quot;parse-names&quot;:false,&quot;dropping-particle&quot;:&quot;&quot;,&quot;non-dropping-particle&quot;:&quot;&quot;},{&quot;family&quot;:&quot;Xu&quot;,&quot;given&quot;:&quot;Chaoyang&quot;,&quot;parse-names&quot;:false,&quot;dropping-particle&quot;:&quot;&quot;,&quot;non-dropping-particle&quot;:&quot;&quot;},{&quot;family&quot;:&quot;Zhang&quot;,&quot;given&quot;:&quot;Shu&quot;,&quot;parse-names&quot;:false,&quot;dropping-particle&quot;:&quot;&quot;,&quot;non-dropping-particle&quot;:&quot;&quot;}],&quot;container-title&quot;:&quot;Industrial Crops and Products&quot;,&quot;container-title-short&quot;:&quot;Ind. Crops Prod.&quot;,&quot;DOI&quot;:&quot;10.1016/j.indcrop.2025.120792&quot;,&quot;ISSN&quot;:&quot;09266690&quot;,&quot;issued&quot;:{&quot;date-parts&quot;:[[2025,5,1]]},&quot;abstract&quot;:&quot;Hydrothermal carbonization of lignocellulosic biomass results in hydrochar with abundant surface functionality and low degree of carbonization. In this work, Cola Shell was subjected to a pretreatment with the Deep Eutectic Solvent (DES) prior to hydrothermal carbonization under different conditions (210 ºC and 260 ºC). The aim was to ascertain the impact of pretreatment with DES on the properties of hydrochars. The results show that pretreatment with DES at 110 ºC favors the disintegration of hemicellulose while promoting the cellulose hydrolysis and dehydration. The lignin removal formed a snow cloud of particles on hydrochar surface, which further undergoes polymerization at a high HTC temperature to form a cluster of fibrous carbonaceous material, contributing to increase the degree of carbonization and thermal stability of hydrochar. DES pretreatment also reduced structural defects while increasing the cellulose crystallinity. In addition, DES pretreatment increased the nitrogen content and energy yield without affecting the calorific value of hydrochar-derived Cola Nut Shell.&quot;,&quot;publisher&quot;:&quot;Elsevier B.V.&quot;,&quot;volume&quot;:&quot;227&quot;},&quot;isTemporary&quot;:false},{&quot;id&quot;:&quot;d48cb4a1-e76c-304c-8cf7-d2b5ec171f44&quot;,&quot;itemData&quot;:{&quot;type&quot;:&quot;article-journal&quot;,&quot;id&quot;:&quot;d48cb4a1-e76c-304c-8cf7-d2b5ec171f44&quot;,&quot;title&quot;:&quot;Hydrochars produced by hydrothermal carbonisation of seaweed, coconut shell and oak: effect of processing temperature on physicochemical adsorbent characteristics&quot;,&quot;author&quot;:[{&quot;family&quot;:&quot;Danso-Boateng&quot;,&quot;given&quot;:&quot;Eric&quot;,&quot;parse-names&quot;:false,&quot;dropping-particle&quot;:&quot;&quot;,&quot;non-dropping-particle&quot;:&quot;&quot;},{&quot;family&quot;:&quot;Ross&quot;,&quot;given&quot;:&quot;Andrew B.&quot;,&quot;parse-names&quot;:false,&quot;dropping-particle&quot;:&quot;&quot;,&quot;non-dropping-particle&quot;:&quot;&quot;},{&quot;family&quot;:&quot;Mariner&quot;,&quot;given&quot;:&quot;Ted&quot;,&quot;parse-names&quot;:false,&quot;dropping-particle&quot;:&quot;&quot;,&quot;non-dropping-particle&quot;:&quot;&quot;},{&quot;family&quot;:&quot;Hammerton&quot;,&quot;given&quot;:&quot;James&quot;,&quot;parse-names&quot;:false,&quot;dropping-particle&quot;:&quot;&quot;,&quot;non-dropping-particle&quot;:&quot;&quot;},{&quot;family&quot;:&quot;Fitzsimmons&quot;,&quot;given&quot;:&quot;Melissa&quot;,&quot;parse-names&quot;:false,&quot;dropping-particle&quot;:&quot;&quot;,&quot;non-dropping-particle&quot;:&quot;&quot;}],&quot;container-title&quot;:&quot;SN Applied Sciences&quot;,&quot;container-title-short&quot;:&quot;SN Appl. Sci.&quot;,&quot;DOI&quot;:&quot;10.1007/s42452-022-05085-x&quot;,&quot;ISSN&quot;:&quot;25233971&quot;,&quot;issued&quot;:{&quot;date-parts&quot;:[[2022,8,1]]},&quot;abstract&quot;:&quot;The present study addresses the production of hydrochars from brown seaweed (Fucus serratus) (FS-HCs), coconut shell (CS-HCs), and oak (Oak-HCs) as potential adsorbents using hydrothermal carbonisation (HTC). The effect of HTC processing temperature on the physicochemical adsorbent characteristics of the hydrochars is investigated at different temperatures (200, 220, 250 °C) using a hydrothermal batch reactor. Increasing HTC temperature causes the formation of many spheres in CS-HCs and Oak-HCs, increasing their porosity, except FS-HCs. The surface area of the hydrochars increases with increasing HTC temperature; 10.93–12.78 m2/g for FS-HCs, 2.18–21.94 m2/g for CS-HCs, except for Oak-HCs which decreases from 4.89 to 3.09 m2/g. Increasing HTC temperature decreases volatile matter content in the hydrochars, increases fixed carbon content, and decreases H/C ratio (except for FS-HCs) and O/C ratio of the hydrochars. For all the hydrochars, increasing the HTC temperature results in a slight decrease in zeta potential magnitude, with negatively charged surfaces, making them potential adsorbents for cationic pollutants. The study confirms that the HTC process improves key chemical and physical characteristics of the hydrochars compared to the original biomass, and that the physicochemical adsorbent characteristics are enhanced as the processing temperature increases.&quot;,&quot;publisher&quot;:&quot;Springer Nature&quot;,&quot;issue&quot;:&quot;8&quot;,&quot;volume&quot;:&quot;4&quot;},&quot;isTemporary&quot;:false}]},{&quot;citationID&quot;:&quot;MENDELEY_CITATION_3f8ed18f-b924-47a2-a8aa-a30d48ccdf70&quot;,&quot;properties&quot;:{&quot;noteIndex&quot;:0},&quot;isEdited&quot;:false,&quot;manualOverride&quot;:{&quot;isManuallyOverridden&quot;:true,&quot;citeprocText&quot;:&quot;(S. Wu et al., 2023; Yang et al., 2025)&quot;,&quot;manualOverrideText&quot;:&quot;(S. Wu et al., 2023)&quot;},&quot;citationTag&quot;:&quot;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&quot;,&quot;citationItems&quot;:[{&quot;id&quot;:&quot;357ac75a-de69-377b-8669-9ffd89980210&quot;,&quot;itemData&quot;:{&quot;type&quot;:&quot;article-journal&quot;,&quot;id&quot;:&quot;357ac75a-de69-377b-8669-9ffd89980210&quot;,&quot;title&quot;:&quot;Insights into the chemical structure evolution and carbonisation mechanism of biomass during hydrothermal treatment&quot;,&quot;author&quot;:[{&quot;family&quot;:&quot;Wu&quot;,&quot;given&quot;:&quot;Shuang&quot;,&quot;parse-names&quot;:false,&quot;dropping-particle&quot;:&quot;&quot;,&quot;non-dropping-particle&quot;:&quot;&quot;},{&quot;family&quot;:&quot;Wang&quot;,&quot;given&quot;:&quot;Qing&quot;,&quot;parse-names&quot;:false,&quot;dropping-particle&quot;:&quot;&quot;,&quot;non-dropping-particle&quot;:&quot;&quot;},{&quot;family&quot;:&quot;Cui&quot;,&quot;given&quot;:&quot;Da&quot;,&quot;parse-names&quot;:false,&quot;dropping-particle&quot;:&quot;&quot;,&quot;non-dropping-particle&quot;:&quot;&quot;},{&quot;family&quot;:&quot;Wu&quot;,&quot;given&quot;:&quot;Dongyang&quot;,&quot;parse-names&quot;:false,&quot;dropping-particle&quot;:&quot;&quot;,&quot;non-dropping-particle&quot;:&quot;&quot;},{&quot;family&quot;:&quot;Bai&quot;,&quot;given&quot;:&quot;Jingru&quot;,&quot;parse-names&quot;:false,&quot;dropping-particle&quot;:&quot;&quot;,&quot;non-dropping-particle&quot;:&quot;&quot;},{&quot;family&quot;:&quot;Qin&quot;,&quot;given&quot;:&quot;Hong&quot;,&quot;parse-names&quot;:false,&quot;dropping-particle&quot;:&quot;&quot;,&quot;non-dropping-particle&quot;:&quot;&quot;},{&quot;family&quot;:&quot;Xu&quot;,&quot;given&quot;:&quot;Faxing&quot;,&quot;parse-names&quot;:false,&quot;dropping-particle&quot;:&quot;&quot;,&quot;non-dropping-particle&quot;:&quot;&quot;},{&quot;family&quot;:&quot;Wang&quot;,&quot;given&quot;:&quot;Zhenye&quot;,&quot;parse-names&quot;:false,&quot;dropping-particle&quot;:&quot;&quot;,&quot;non-dropping-particle&quot;:&quot;&quot;}],&quot;container-title&quot;:&quot;Journal of the Energy Institute&quot;,&quot;DOI&quot;:&quot;10.1016/j.joei.2023.101257&quot;,&quot;ISSN&quot;:&quot;17460220&quot;,&quot;issued&quot;:{&quot;date-parts&quot;:[[2023,6,1]]},&quot;abstract&quot;:&quot;The thermochemical conversion of biomass energy contributes to the goals of carbon peaking and carbon neutrality. In this paper, the evolution of the chemical structure of corn stalk (CS) during hydrothermal carbonisation (HTC) was investigated and the effect of temperature on the physicochemical properties, carbon skeletal structure, and surface functional groups of the obtained hydrochar was explored. The results indicate that the H/C and O/C atomic ratios of the hydrochar decreased as the HTC temperature increased. The -C-(O, N), –C=O, and O–C=O bonds in the CS rapidly formed aromatic structures through cyclisation, condensation, or polymerisation, which in turn increased the -C-(C, H)/C=C content in the hydrochar. The oxygen-containing functional groups in the CS and hydrochar were mainly carbonyl (C=O), aromatic ring (C=C), ether oxygen bond (C–O), alcohol-phenol oxygen bond (C–OH), and carboxyl (O=C–O) groups. A high HTC temperature lowered the degree of substitution of the aromatic hydrocarbons and increased their degree of condensation. The hydrolysis stage and the formation of aromatic structures were competing processes. At low temperatures, the hydrolysis reaction was dominant and the generation of aromatic structures was secondary. However, at high temperatures, the intermediate compounds underwent transformation after hydrolysis, and the generation of aromatic structures was more competitive.&quot;,&quot;publisher&quot;:&quot;Elsevier B.V.&quot;,&quot;volume&quot;:&quot;108&quot;,&quot;container-title-short&quot;:&quot;&quot;},&quot;isTemporary&quot;:false},{&quot;id&quot;:&quot;0650ac2f-ded4-3581-8fa8-35a118c4df5c&quot;,&quot;itemData&quot;:{&quot;type&quot;:&quot;article-journal&quot;,&quot;id&quot;:&quot;0650ac2f-ded4-3581-8fa8-35a118c4df5c&quot;,&quot;title&quot;:&quot;Preparation of highly functionalised biochar from hydrochloric acid activated bagasse for the efficient removal of metal ions&quot;,&quot;author&quot;:[{&quot;family&quot;:&quot;Yang&quot;,&quot;given&quot;:&quot;Mei&quot;,&quot;parse-names&quot;:false,&quot;dropping-particle&quot;:&quot;&quot;,&quot;non-dropping-particle&quot;:&quot;&quot;},{&quot;family&quot;:&quot;Lu&quot;,&quot;given&quot;:&quot;Rimu&quot;,&quot;parse-names&quot;:false,&quot;dropping-particle&quot;:&quot;&quot;,&quot;non-dropping-particle&quot;:&quot;&quot;},{&quot;family&quot;:&quot;Wei&quot;,&quot;given&quot;:&quot;Yichun&quot;,&quot;parse-names&quot;:false,&quot;dropping-particle&quot;:&quot;&quot;,&quot;non-dropping-particle&quot;:&quot;&quot;},{&quot;family&quot;:&quot;Guo&quot;,&quot;given&quot;:&quot;Yingtao&quot;,&quot;parse-names&quot;:false,&quot;dropping-particle&quot;:&quot;&quot;,&quot;non-dropping-particle&quot;:&quot;&quot;},{&quot;family&quot;:&quot;Lan&quot;,&quot;given&quot;:&quot;Lihong&quot;,&quot;parse-names&quot;:false,&quot;dropping-particle&quot;:&quot;&quot;,&quot;non-dropping-particle&quot;:&quot;&quot;},{&quot;family&quot;:&quot;Lu&quot;,&quot;given&quot;:&quot;Jiajun&quot;,&quot;parse-names&quot;:false,&quot;dropping-particle&quot;:&quot;&quot;,&quot;non-dropping-particle&quot;:&quot;&quot;},{&quot;family&quot;:&quot;Liao&quot;,&quot;given&quot;:&quot;Yexin&quot;,&quot;parse-names&quot;:false,&quot;dropping-particle&quot;:&quot;&quot;,&quot;non-dropping-particle&quot;:&quot;&quot;},{&quot;family&quot;:&quot;Li&quot;,&quot;given&quot;:&quot;Heping&quot;,&quot;parse-names&quot;:false,&quot;dropping-particle&quot;:&quot;&quot;,&quot;non-dropping-particle&quot;:&quot;&quot;},{&quot;family&quot;:&quot;Lan&quot;,&quot;given&quot;:&quot;Ping&quot;,&quot;parse-names&quot;:false,&quot;dropping-particle&quot;:&quot;&quot;,&quot;non-dropping-particle&quot;:&quot;&quot;},{&quot;family&quot;:&quot;Kou&quot;,&quot;given&quot;:&quot;Zongliang&quot;,&quot;parse-names&quot;:false,&quot;dropping-particle&quot;:&quot;&quot;,&quot;non-dropping-particle&quot;:&quot;&quot;}],&quot;container-title&quot;:&quot;Process Safety and Environmental Protection&quot;,&quot;DOI&quot;:&quot;10.1016/j.psep.2024.12.117&quot;,&quot;ISSN&quot;:&quot;09575820&quot;,&quot;issued&quot;:{&quot;date-parts&quot;:[[2025,3,1]]},&quot;abstract&quot;:&quot;Hexavalent chromium (Cr(VI)) readily forms oxygenated anions in aqueous solution and is difficult to be adsorbed. Acidic functional groups are able to reduce Cr(VI) to Cr(III) by redox reactions and form stable complexes with Cr(III). In this study, A novel nitrogen-fixing aqueous carbon hydrochar (HC) was prepared through a one-step hydrothermal carbonisation process, using sugarcane bagasse biomass as the raw material and hydrochloric acid as the activator, utilizing the inherent nitrogen-containing properties of bagasse. The activated adsorbent with high acidic functional groups was characterized by FTIR, XPS, BET and XRD. Hydrochloric acid was able to effectively carry out the protonation reaction, characterization and model analyses showed that enriching the surface of the material with acidic functional groups such as carboxylic (-COOH), hydroxyl (-OH) and amino (-NH2) groups, which effectively interacted with Cr(VI) through electrostatic forces and hydrogen bonding, greatly improving the adsorption capacity of Cr(VI). The maximum adsorption capacity and removal rate of Cr(VI) by HC reached 236.51 mg/g and 99.61 %, respectively. After 5 cycles of reuse, the Cr(VI) adsorption capacity of HC was 88.54 mg/g, with the HC maintaining 40.28 % of its original activity, which is sufficient for practical wastewater treatment applications, although further research should focus on method optimization to enhance the long-term effectiveness of adsorbent materials.&quot;,&quot;publisher&quot;:&quot;Institution of Chemical Engineers&quot;,&quot;volume&quot;:&quot;195&quot;,&quot;container-title-short&quot;:&quot;&quot;},&quot;isTemporary&quot;:false}]},{&quot;citationID&quot;:&quot;MENDELEY_CITATION_8ad89b39-68a4-4d66-9c28-524645b0efa7&quot;,&quot;properties&quot;:{&quot;noteIndex&quot;:0},&quot;isEdited&quot;:false,&quot;manualOverride&quot;:{&quot;isManuallyOverridden&quot;:false,&quot;citeprocText&quot;:&quot;(Sevilla &amp;#38; Fuertes, 2009)&quot;,&quot;manualOverrideText&quot;:&quot;&quot;},&quot;citationTag&quot;:&quot;MENDELEY_CITATION_v3_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&quot;,&quot;citationItems&quot;:[{&quot;id&quot;:&quot;a22a5a67-a0fc-3584-b44c-ceb9401b6238&quot;,&quot;itemData&quot;:{&quot;type&quot;:&quot;article-journal&quot;,&quot;id&quot;:&quot;a22a5a67-a0fc-3584-b44c-ceb9401b6238&quot;,&quot;title&quot;:&quot;Chemical and structural properties of carbonaceous products obtained by hydrothermal carbonization of saccharides&quot;,&quot;author&quot;:[{&quot;family&quot;:&quot;Sevilla&quot;,&quot;given&quot;:&quot;Marta&quot;,&quot;parse-names&quot;:false,&quot;dropping-particle&quot;:&quot;&quot;,&quot;non-dropping-particle&quot;:&quot;&quot;},{&quot;family&quot;:&quot;Fuertes&quot;,&quot;given&quot;:&quot;Antonio B.&quot;,&quot;parse-names&quot;:false,&quot;dropping-particle&quot;:&quot;&quot;,&quot;non-dropping-particle&quot;:&quot;&quot;}],&quot;container-title&quot;:&quot;Chemistry - A European Journal&quot;,&quot;DOI&quot;:&quot;10.1002/chem.200802097&quot;,&quot;ISSN&quot;:&quot;09476539&quot;,&quot;PMID&quot;:&quot;19248078&quot;,&quot;issued&quot;:{&quot;date-parts&quot;:[[2009,4,14]]},&quot;page&quot;:&quot;4195-4203&quot;,&quot;abstract&quot;:&quot;A carbon-rich solid product, here denoted as hydrochar, has been synthesized by the hydrothermal carbonization of three different saccharides (glucose, sucrose, and starch) at temperatures ranging from 170 to 240 °C. This material is made up of uniform spherical micrometer-sized particles that have a diameter in the 0.4-6 μrn range, which can be modulated by modifying the synthesis conditions (i.e., the concentration of the aqueous saccharide solution, the temperature of the hydrothermal treatment, the reaction time, and type of saccharide). The formation of the carbon-rich solid through the hydrothermal carboniza- tion of saccharides is the consequence of dehydration, condensation, or polymerization and aromatization reactions. The microspheres thus obtained possess, from a chemical point of view, a core-shell structure consisting of a highly aromatic nucleus (hydrophobic) and a hydrophilic shell containing a high concentration of reactive oxygen functional groups (i.e., hydroxyl/phe-nolic, carbonyl, or carboxylic). © 2009 Wiley-VCH Verlag GmbH &amp; Co. KGaA.&quot;,&quot;issue&quot;:&quot;16&quot;,&quot;volume&quot;:&quot;15&quot;,&quot;container-title-short&quot;:&quot;&quot;},&quot;isTemporary&quot;:false}]},{&quot;citationID&quot;:&quot;MENDELEY_CITATION_734171d9-29cb-40c4-a96e-8a3d4d3a7289&quot;,&quot;properties&quot;:{&quot;noteIndex&quot;:0},&quot;isEdited&quot;:false,&quot;manualOverride&quot;:{&quot;isManuallyOverridden&quot;:true,&quot;citeprocText&quot;:&quot;(Medyńska-Juraszek et al., 2021)&quot;,&quot;manualOverrideText&quot;:&quot;Medyńska-Juraszek et al. (2021)&quot;},&quot;citationTag&quot;:&quot;MENDELEY_CITATION_v3_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&quot;,&quot;citationItems&quot;:[{&quot;id&quot;:&quot;7e0f6156-a783-39a1-9b07-809964977dc7&quot;,&quot;itemData&quot;:{&quot;type&quot;:&quot;article-journal&quot;,&quot;id&quot;:&quot;7e0f6156-a783-39a1-9b07-809964977dc7&quot;,&quot;title&quot;:&quot;Characterization and sodium cations sorption capacity of chemically modified biochars produced from agricultural and forestry wastes&quot;,&quot;author&quot;:[{&quot;family&quot;:&quot;Medyńska-Juraszek&quot;,&quot;given&quot;:&quot;Agnieszka&quot;,&quot;parse-names&quot;:false,&quot;dropping-particle&quot;:&quot;&quot;,&quot;non-dropping-particle&quot;:&quot;&quot;},{&quot;family&quot;:&quot;Álvarez&quot;,&quot;given&quot;:&quot;María Luisa&quot;,&quot;parse-names&quot;:false,&quot;dropping-particle&quot;:&quot;&quot;,&quot;non-dropping-particle&quot;:&quot;&quot;},{&quot;family&quot;:&quot;Białowiec&quot;,&quot;given&quot;:&quot;Andrzej&quot;,&quot;parse-names&quot;:false,&quot;dropping-particle&quot;:&quot;&quot;,&quot;non-dropping-particle&quot;:&quot;&quot;},{&quot;family&quot;:&quot;Jerzykiewicz&quot;,&quot;given&quot;:&quot;Maria&quot;,&quot;parse-names&quot;:false,&quot;dropping-particle&quot;:&quot;&quot;,&quot;non-dropping-particle&quot;:&quot;&quot;}],&quot;container-title&quot;:&quot;Materials&quot;,&quot;DOI&quot;:&quot;10.3390/ma14164714&quot;,&quot;ISSN&quot;:&quot;19961944&quot;,&quot;issued&quot;:{&quot;date-parts&quot;:[[2021,8,2]]},&quot;page&quot;:&quot;4714&quot;,&quot;abstract&quot;:&quot;Excessive amounts of sodium cations (Na+) in water is an important limiting factor to reuse poor quality water in agriculture or industry, and recently, much attention has been paid to devel-oping cost-effective and easily available water desalination technology that is not limited to natural resources. Biochar seems to be a promising solution for reducing high loads of inorganic contaminant from water and soil solution, and due to the high availability of biomass in agriculture and forestry, its production for these purposes may become beneficial. In the present research, wheat straw, sunflower husk, and pine-chip biochars produced at 250, 450 and 550 ºC under simple torre-faction/pyrolysis conditions were chemically modified with ethanol or HCl to determine the effect of these activations on Na sorption capacity from aqueous solution. Biochar sorption property meas-urements, such as specific surface area, cation exchange capacity, content of base cations in ex-changeable forms, and structural changes of biochar surface, were performed by FTIR and EPR spectrometry to study the effect of material chemical activation. The sorption capacity of biochars and activated carbons was investigated by performing batch sorption experiments, and adsorption isotherms were tested with Langmuir's and Freundlich's models. The results showed that biochar activation had significant effects on the sorption characteristics of Na+, increasing its capacity (even 10-folds) and inducing the mechanism of ion exchange between biochar and saline solution, especially when ethanol activation was applied. The findings of this study show that biochar produced through torrefaction with ethanol activation requires lower energy demand and carbon footprint and, therefore, is a promising method for studying material applications for environmental and industrial purposes.&quot;,&quot;publisher&quot;:&quot;MDPI AG&quot;,&quot;issue&quot;:&quot;16&quot;,&quot;volume&quot;:&quot;14&quot;,&quot;container-title-short&quot;:&quot;&quot;},&quot;isTemporary&quot;:false}]},{&quot;citationID&quot;:&quot;MENDELEY_CITATION_65b388b3-e688-468c-a833-fcd89c663d0f&quot;,&quot;properties&quot;:{&quot;noteIndex&quot;:0},&quot;isEdited&quot;:false,&quot;manualOverride&quot;:{&quot;isManuallyOverridden&quot;:true,&quot;citeprocText&quot;:&quot;(Nguyen et al., 2022)&quot;,&quot;manualOverrideText&quot;:&quot;Nguyen et al. (2022)&quot;},&quot;citationTag&quot;:&quot;MENDELEY_CITATION_v3_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&quot;,&quot;citationItems&quot;:[{&quot;id&quot;:&quot;76020325-229d-3a01-892c-5abdc10bfbce&quot;,&quot;itemData&quot;:{&quot;type&quot;:&quot;article-journal&quot;,&quot;id&quot;:&quot;76020325-229d-3a01-892c-5abdc10bfbce&quot;,&quot;title&quot;:&quot;Sodium adsorption isotherm and characterization of biochars produced from various agricultural biomass wastes&quot;,&quot;author&quot;:[{&quot;family&quot;:&quot;Nguyen&quot;,&quot;given&quot;:&quot;Binh Thanh&quot;,&quot;parse-names&quot;:false,&quot;dropping-particle&quot;:&quot;&quot;,&quot;non-dropping-particle&quot;:&quot;&quot;},{&quot;family&quot;:&quot;Dinh&quot;,&quot;given&quot;:&quot;Gai Dai&quot;,&quot;parse-names&quot;:false,&quot;dropping-particle&quot;:&quot;&quot;,&quot;non-dropping-particle&quot;:&quot;&quot;},{&quot;family&quot;:&quot;Dong&quot;,&quot;given&quot;:&quot;Hao Phu&quot;,&quot;parse-names&quot;:false,&quot;dropping-particle&quot;:&quot;&quot;,&quot;non-dropping-particle&quot;:&quot;&quot;},{&quot;family&quot;:&quot;Le&quot;,&quot;given&quot;:&quot;Long Ba&quot;,&quot;parse-names&quot;:false,&quot;dropping-particle&quot;:&quot;&quot;,&quot;non-dropping-particle&quot;:&quot;&quot;}],&quot;container-title&quot;:&quot;Journal of Cleaner Production&quot;,&quot;container-title-short&quot;:&quot;J. Clean. Prod.&quot;,&quot;DOI&quot;:&quot;10.1016/j.jclepro.2022.131250&quot;,&quot;ISSN&quot;:&quot;09596526&quot;,&quot;issued&quot;:{&quot;date-parts&quot;:[[2022,4,20]]},&quot;page&quot;:&quot;131250&quot;,&quot;abstract&quot;:&quot;Agricultural biomass wastes, which may pollute the environment yet are inefficiently managed worldwide, can be recycled into biochar, which is subsequently used to remediate salt-affected environments. This creates value-added or dual benefits of treating the wastes while reclaiming saline water/soil for sustainable development. Nevertheless, a lack of knowledge about the linkage between biochar characteristics and sodium adsorption capacity may restrict the wastes from being recycled. The current study aimed to examine physicochemical, nano/microstructural, and functional-group characteristics of biochar and to assess its sodium isothermal-adsorption properties. Four biochars made from rice husk (RH-BC), corn stalks (CS-BC), longan branch (LA-BC), and coconut coir (CC-BC) were used for an isothermal-adsorption experiment. Scanning Electron Microscopy (SEM), Transmission Electron Microscopy (TEM), Brauner-Emmett-Teller surface area (BET area), pore size distribution, and Fourier Transform Infrared spectroscopy (FTIR) were used to characterize biochars, which were additionally analyzed for 9 parameters. RH-BC had the highest BET area (151 m2 g−1) and porosity, whereas LA-BC exhibited the lowest BET area (10.6 m2 g−1), and LA-BC was more condensed. Functional groups, necessary for cation adsorption, were found in biochars. The maximum adsorption capacity of RH-BC (33.9 mg g−1), estimated by the Langmuir isotherm model, was the highest while that of CC-BC (15.5 mg g−1) was the lowest. The Dubinin-Radushkevich isotherm model showed that the Na adsorption mechanism was dominantly a physical process. The current study provides a feasible value-added and sustainable strategy of recycling agricultural biomass wastes with dual benefits of waste treatment and salt-affected environment remediation, applicable worldwide.&quot;,&quot;publisher&quot;:&quot;Elsevier Ltd&quot;,&quot;volume&quot;:&quot;346&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7580FE0EE37CA4080669F95CF653D25" ma:contentTypeVersion="18" ma:contentTypeDescription="Create a new document." ma:contentTypeScope="" ma:versionID="614a3d07a6377f21a6c131c891733a9c">
  <xsd:schema xmlns:xsd="http://www.w3.org/2001/XMLSchema" xmlns:xs="http://www.w3.org/2001/XMLSchema" xmlns:p="http://schemas.microsoft.com/office/2006/metadata/properties" xmlns:ns2="ded4efe4-e63b-4fce-93cf-475183b6c3cc" xmlns:ns3="59711742-df86-44da-8685-9cf8840236bf" targetNamespace="http://schemas.microsoft.com/office/2006/metadata/properties" ma:root="true" ma:fieldsID="86ddb6f0f48b53d4798aba1edfb9c1b0" ns2:_="" ns3:_="">
    <xsd:import namespace="ded4efe4-e63b-4fce-93cf-475183b6c3cc"/>
    <xsd:import namespace="59711742-df86-44da-8685-9cf8840236b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TaxCatchAll" minOccurs="0"/>
                <xsd:element ref="ns2:MediaServiceOCR"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d4efe4-e63b-4fce-93cf-475183b6c3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9eb28b8-418d-4e4f-834a-21a5a75d3e4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9711742-df86-44da-8685-9cf8840236b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891cc2e-2152-4f66-91c3-9c5ddedfec16}" ma:internalName="TaxCatchAll" ma:showField="CatchAllData" ma:web="59711742-df86-44da-8685-9cf8840236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d4efe4-e63b-4fce-93cf-475183b6c3cc">
      <Terms xmlns="http://schemas.microsoft.com/office/infopath/2007/PartnerControls"/>
    </lcf76f155ced4ddcb4097134ff3c332f>
    <TaxCatchAll xmlns="59711742-df86-44da-8685-9cf8840236bf" xsi:nil="true"/>
  </documentManagement>
</p:properties>
</file>

<file path=customXml/itemProps1.xml><?xml version="1.0" encoding="utf-8"?>
<ds:datastoreItem xmlns:ds="http://schemas.openxmlformats.org/officeDocument/2006/customXml" ds:itemID="{41D463A2-A26E-4A43-9BE5-AF28BD82292F}">
  <ds:schemaRefs>
    <ds:schemaRef ds:uri="http://schemas.microsoft.com/sharepoint/v3/contenttype/forms"/>
  </ds:schemaRefs>
</ds:datastoreItem>
</file>

<file path=customXml/itemProps2.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customXml/itemProps3.xml><?xml version="1.0" encoding="utf-8"?>
<ds:datastoreItem xmlns:ds="http://schemas.openxmlformats.org/officeDocument/2006/customXml" ds:itemID="{CEF88975-4560-4527-85F0-32B9B3E541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d4efe4-e63b-4fce-93cf-475183b6c3cc"/>
    <ds:schemaRef ds:uri="59711742-df86-44da-8685-9cf8840236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CCAA9F-29F6-4100-9678-9C22A094AD95}">
  <ds:schemaRefs>
    <ds:schemaRef ds:uri="http://schemas.microsoft.com/office/2006/metadata/properties"/>
    <ds:schemaRef ds:uri="http://schemas.microsoft.com/office/infopath/2007/PartnerControls"/>
    <ds:schemaRef ds:uri="ded4efe4-e63b-4fce-93cf-475183b6c3cc"/>
    <ds:schemaRef ds:uri="59711742-df86-44da-8685-9cf8840236bf"/>
  </ds:schemaRefs>
</ds:datastoreItem>
</file>

<file path=docMetadata/LabelInfo.xml><?xml version="1.0" encoding="utf-8"?>
<clbl:labelList xmlns:clbl="http://schemas.microsoft.com/office/2020/mipLabelMetadata">
  <clbl:label id="{618bab0f-20a4-4de3-a10c-e20cee96bb35}" enabled="0" method="" siteId="{618bab0f-20a4-4de3-a10c-e20cee96bb35}"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3772</Words>
  <Characters>21501</Characters>
  <Application>Microsoft Office Word</Application>
  <DocSecurity>0</DocSecurity>
  <Lines>179</Lines>
  <Paragraphs>50</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25223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Sauro Pierucci</cp:lastModifiedBy>
  <cp:revision>2</cp:revision>
  <cp:lastPrinted>2026-01-31T18:04:00Z</cp:lastPrinted>
  <dcterms:created xsi:type="dcterms:W3CDTF">2026-03-26T09:08:00Z</dcterms:created>
  <dcterms:modified xsi:type="dcterms:W3CDTF">2026-03-26T09:08:00Z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ContentTypeId">
    <vt:lpwstr>0x01010027580FE0EE37CA4080669F95CF653D25</vt:lpwstr>
  </property>
  <property fmtid="{D5CDD505-2E9C-101B-9397-08002B2CF9AE}" pid="5" name="MediaServiceImageTags">
    <vt:lpwstr/>
  </property>
</Properties>
</file>