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1F200D">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1F200D">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1F200D">
        <w:trPr>
          <w:trHeight w:val="68"/>
          <w:jc w:val="center"/>
        </w:trPr>
        <w:tc>
          <w:tcPr>
            <w:tcW w:w="8782"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62BCDA55" w:rsidR="00E978D0" w:rsidRPr="00B57B36" w:rsidRDefault="001F200D" w:rsidP="00E978D0">
      <w:pPr>
        <w:pStyle w:val="CETTitle"/>
      </w:pPr>
      <w:r w:rsidRPr="001F200D">
        <w:t xml:space="preserve">Mapping of Digestate Originating from Norwegian Biogas Plants Using </w:t>
      </w:r>
      <w:r w:rsidR="00D66FEB">
        <w:t>Feedstocks from</w:t>
      </w:r>
      <w:r w:rsidRPr="001F200D">
        <w:t xml:space="preserve"> the Food System</w:t>
      </w:r>
    </w:p>
    <w:p w14:paraId="0488FED2" w14:textId="24524AB5" w:rsidR="00B57E6F" w:rsidRPr="00B57B36" w:rsidRDefault="005159FC" w:rsidP="00B57E6F">
      <w:pPr>
        <w:pStyle w:val="CETAuthors"/>
      </w:pPr>
      <w:r>
        <w:t>Cansu Birgen</w:t>
      </w:r>
      <w:r w:rsidR="00F72C76" w:rsidRPr="00B57B36">
        <w:t>*</w:t>
      </w:r>
      <w:r w:rsidR="00B57E6F" w:rsidRPr="00B57B36">
        <w:t xml:space="preserve">, </w:t>
      </w:r>
      <w:r>
        <w:t>Tom Ståle Nordtvedt</w:t>
      </w:r>
    </w:p>
    <w:p w14:paraId="6B2D21B3" w14:textId="0408D959" w:rsidR="00B57E6F" w:rsidRPr="00B57B36" w:rsidRDefault="00F84934" w:rsidP="00B57E6F">
      <w:pPr>
        <w:pStyle w:val="CETAddress"/>
      </w:pPr>
      <w:r w:rsidRPr="00F84934">
        <w:t>Department of Fisheries and New Biomarine Industry, SINTEF Ocean, 7010 Trondheim, Norway</w:t>
      </w:r>
    </w:p>
    <w:p w14:paraId="73F1267A" w14:textId="180C94EB" w:rsidR="00B57E6F" w:rsidRPr="003B4EA5" w:rsidRDefault="00B57E6F" w:rsidP="00B57E6F">
      <w:pPr>
        <w:pStyle w:val="CETemail"/>
        <w:rPr>
          <w:lang w:val="fr-FR"/>
        </w:rPr>
      </w:pPr>
      <w:r w:rsidRPr="003B4EA5">
        <w:rPr>
          <w:lang w:val="fr-FR"/>
        </w:rPr>
        <w:t>c</w:t>
      </w:r>
      <w:r w:rsidR="002D7503">
        <w:rPr>
          <w:lang w:val="fr-FR"/>
        </w:rPr>
        <w:t>ansu</w:t>
      </w:r>
      <w:r w:rsidRPr="003B4EA5">
        <w:rPr>
          <w:lang w:val="fr-FR"/>
        </w:rPr>
        <w:t>.</w:t>
      </w:r>
      <w:r w:rsidR="002D7503">
        <w:rPr>
          <w:lang w:val="fr-FR"/>
        </w:rPr>
        <w:t>birgen</w:t>
      </w:r>
      <w:r w:rsidRPr="003B4EA5">
        <w:rPr>
          <w:lang w:val="fr-FR"/>
        </w:rPr>
        <w:t>@</w:t>
      </w:r>
      <w:r w:rsidR="002D7503">
        <w:rPr>
          <w:lang w:val="fr-FR"/>
        </w:rPr>
        <w:t>sintef.no</w:t>
      </w:r>
    </w:p>
    <w:p w14:paraId="33CFA268" w14:textId="082577A8" w:rsidR="00733CF1" w:rsidRPr="00733CF1" w:rsidRDefault="004D3A74" w:rsidP="004D3A74">
      <w:pPr>
        <w:pStyle w:val="CETBodytext"/>
        <w:rPr>
          <w:lang w:val="en-GB"/>
        </w:rPr>
      </w:pPr>
      <w:r w:rsidRPr="004D3A74">
        <w:rPr>
          <w:lang w:val="en-GB"/>
        </w:rPr>
        <w:t>Biogas production in Norway is expected to increase substantially, driven mainly by expanded use of livestock manure, food waste, fish sludge, and fish ensilage. While this supports climate mitigation and circular bioeconomy objectives, it will also lead to a significant rise in digestate generation, requiring efficient management. This study quantifies current and future digestate volumes, nutrient content, and energy requirements for downstream processing within the Norwegian food system.</w:t>
      </w:r>
      <w:r w:rsidR="003C5A47">
        <w:rPr>
          <w:lang w:val="en-GB"/>
        </w:rPr>
        <w:t xml:space="preserve"> </w:t>
      </w:r>
      <w:r w:rsidRPr="004D3A74">
        <w:rPr>
          <w:lang w:val="en-GB"/>
        </w:rPr>
        <w:t>Results show that feedstock and digestate volumes are projected to increase more than fourteenfold, with nitrogen and phosphorus contents rising by approximately nineteen times. Future digestate could supply up to 40</w:t>
      </w:r>
      <w:r w:rsidR="001E51B0">
        <w:rPr>
          <w:lang w:val="en-GB"/>
        </w:rPr>
        <w:t xml:space="preserve"> </w:t>
      </w:r>
      <w:r w:rsidRPr="004D3A74">
        <w:rPr>
          <w:lang w:val="en-GB"/>
        </w:rPr>
        <w:t>% of Norway’s agricultural phosphorus demand and about 25</w:t>
      </w:r>
      <w:r w:rsidR="001E51B0">
        <w:rPr>
          <w:lang w:val="en-GB"/>
        </w:rPr>
        <w:t xml:space="preserve"> </w:t>
      </w:r>
      <w:r w:rsidRPr="004D3A74">
        <w:rPr>
          <w:lang w:val="en-GB"/>
        </w:rPr>
        <w:t>% of nitrogen demand, highlighting its potential as a key nutrient</w:t>
      </w:r>
      <w:r w:rsidR="003C5A47">
        <w:rPr>
          <w:lang w:val="en-GB"/>
        </w:rPr>
        <w:t xml:space="preserve"> </w:t>
      </w:r>
      <w:r w:rsidR="003C5A47" w:rsidRPr="003C5A47">
        <w:rPr>
          <w:lang w:val="en-GB"/>
        </w:rPr>
        <w:t>recycling resource. However, energy analysis reveals that digestate drying dominates processing energy demand, accounting for over 99</w:t>
      </w:r>
      <w:r w:rsidR="001E51B0">
        <w:rPr>
          <w:lang w:val="en-GB"/>
        </w:rPr>
        <w:t xml:space="preserve"> </w:t>
      </w:r>
      <w:r w:rsidR="003C5A47" w:rsidRPr="003C5A47">
        <w:rPr>
          <w:lang w:val="en-GB"/>
        </w:rPr>
        <w:t>% of total energy use. These findings underline the need for integrated digestate management strategies that prioritize nutrient recovery while minimizing energy use through enhanced dewatering, partial drying, direct land application, and utilization of surplus heat</w:t>
      </w:r>
      <w:r w:rsidR="00733CF1" w:rsidRPr="00733CF1">
        <w:rPr>
          <w:lang w:val="en-GB"/>
        </w:rPr>
        <w:t>.</w:t>
      </w:r>
    </w:p>
    <w:p w14:paraId="3F964F64" w14:textId="77777777" w:rsidR="00733CF1" w:rsidRPr="00733CF1" w:rsidRDefault="00733CF1" w:rsidP="00733CF1">
      <w:pPr>
        <w:pStyle w:val="CETBodytext"/>
        <w:rPr>
          <w:lang w:val="en-GB"/>
        </w:rPr>
      </w:pPr>
    </w:p>
    <w:p w14:paraId="476B2F2E" w14:textId="77777777" w:rsidR="00600535" w:rsidRPr="00B57B36" w:rsidRDefault="00600535" w:rsidP="00600535">
      <w:pPr>
        <w:pStyle w:val="CETHeading1"/>
        <w:rPr>
          <w:lang w:val="en-GB"/>
        </w:rPr>
      </w:pPr>
      <w:r w:rsidRPr="00B57B36">
        <w:rPr>
          <w:lang w:val="en-GB"/>
        </w:rPr>
        <w:t>Introduction</w:t>
      </w:r>
    </w:p>
    <w:p w14:paraId="064B2040" w14:textId="09EEDC54" w:rsidR="00AD7F16" w:rsidRPr="00B23DA1" w:rsidRDefault="00C43A7A" w:rsidP="00600535">
      <w:pPr>
        <w:pStyle w:val="CETBodytext"/>
        <w:rPr>
          <w:lang w:val="en-GB"/>
        </w:rPr>
      </w:pPr>
      <w:r w:rsidRPr="00C43A7A">
        <w:rPr>
          <w:lang w:val="en-GB"/>
        </w:rPr>
        <w:t>Norwegian biogas production is expected to increase</w:t>
      </w:r>
      <w:r w:rsidR="004D05F4">
        <w:rPr>
          <w:lang w:val="en-GB"/>
        </w:rPr>
        <w:t xml:space="preserve"> considerably in near future</w:t>
      </w:r>
      <w:r w:rsidR="00644D44" w:rsidRPr="00644D44">
        <w:rPr>
          <w:lang w:val="en-GB"/>
        </w:rPr>
        <w:t xml:space="preserve">. According to the Biogas Statistics </w:t>
      </w:r>
      <w:r w:rsidR="001E468D">
        <w:rPr>
          <w:lang w:val="en-GB"/>
        </w:rPr>
        <w:t>(</w:t>
      </w:r>
      <w:r w:rsidR="00644D44" w:rsidRPr="00644D44">
        <w:rPr>
          <w:lang w:val="en-GB"/>
        </w:rPr>
        <w:t>2024</w:t>
      </w:r>
      <w:r w:rsidR="001E468D">
        <w:rPr>
          <w:lang w:val="en-GB"/>
        </w:rPr>
        <w:t>)</w:t>
      </w:r>
      <w:r w:rsidR="00644D44" w:rsidRPr="00644D44">
        <w:rPr>
          <w:lang w:val="en-GB"/>
        </w:rPr>
        <w:t>, approximately 828 GWh of energy was produced from biogas at 66 facilities, with planned expansion to 2,565 GWh from 36 new or expanded facilities 26</w:t>
      </w:r>
      <w:r w:rsidR="007E2DB5">
        <w:rPr>
          <w:lang w:val="en-GB"/>
        </w:rPr>
        <w:t xml:space="preserve"> of which are</w:t>
      </w:r>
      <w:r w:rsidR="00644D44" w:rsidRPr="00644D44">
        <w:rPr>
          <w:lang w:val="en-GB"/>
        </w:rPr>
        <w:t xml:space="preserve"> livestock manure plants with 2,075 GWh</w:t>
      </w:r>
      <w:r w:rsidR="007E2DB5">
        <w:rPr>
          <w:lang w:val="en-GB"/>
        </w:rPr>
        <w:t xml:space="preserve"> </w:t>
      </w:r>
      <w:r w:rsidR="00644D44" w:rsidRPr="00644D44">
        <w:rPr>
          <w:lang w:val="en-GB"/>
        </w:rPr>
        <w:t>and 3</w:t>
      </w:r>
      <w:r w:rsidR="007E2DB5">
        <w:rPr>
          <w:lang w:val="en-GB"/>
        </w:rPr>
        <w:t xml:space="preserve"> of which are</w:t>
      </w:r>
      <w:r w:rsidR="00644D44" w:rsidRPr="00644D44">
        <w:rPr>
          <w:lang w:val="en-GB"/>
        </w:rPr>
        <w:t xml:space="preserve"> food waste plants with 71 GWh</w:t>
      </w:r>
      <w:r w:rsidR="0048404B" w:rsidRPr="0048404B">
        <w:rPr>
          <w:lang w:val="en-GB"/>
        </w:rPr>
        <w:t>.</w:t>
      </w:r>
      <w:r w:rsidR="009A34CB">
        <w:rPr>
          <w:lang w:val="en-GB"/>
        </w:rPr>
        <w:t xml:space="preserve"> These include plants in building, planning and development phases</w:t>
      </w:r>
      <w:r w:rsidR="0039379E">
        <w:rPr>
          <w:lang w:val="en-GB"/>
        </w:rPr>
        <w:t>;</w:t>
      </w:r>
      <w:r w:rsidR="009A34CB">
        <w:rPr>
          <w:lang w:val="en-GB"/>
        </w:rPr>
        <w:t xml:space="preserve"> therefore</w:t>
      </w:r>
      <w:r w:rsidR="0039379E">
        <w:rPr>
          <w:lang w:val="en-GB"/>
        </w:rPr>
        <w:t>,</w:t>
      </w:r>
      <w:r w:rsidR="009A34CB">
        <w:rPr>
          <w:lang w:val="en-GB"/>
        </w:rPr>
        <w:t xml:space="preserve"> the biogas production </w:t>
      </w:r>
      <w:r w:rsidR="00417A48">
        <w:rPr>
          <w:lang w:val="en-GB"/>
        </w:rPr>
        <w:t>potential</w:t>
      </w:r>
      <w:r w:rsidR="009A34CB">
        <w:rPr>
          <w:lang w:val="en-GB"/>
        </w:rPr>
        <w:t xml:space="preserve"> will be realized in different time horizons and “future” refers to all </w:t>
      </w:r>
      <w:r w:rsidR="008832F9">
        <w:rPr>
          <w:lang w:val="en-GB"/>
        </w:rPr>
        <w:t>of them</w:t>
      </w:r>
      <w:r w:rsidR="009A34CB">
        <w:rPr>
          <w:lang w:val="en-GB"/>
        </w:rPr>
        <w:t xml:space="preserve"> in this article.</w:t>
      </w:r>
      <w:r w:rsidR="00931E3C">
        <w:rPr>
          <w:lang w:val="en-GB"/>
        </w:rPr>
        <w:t xml:space="preserve"> </w:t>
      </w:r>
      <w:r w:rsidR="003012E7" w:rsidRPr="003012E7">
        <w:rPr>
          <w:lang w:val="en-GB"/>
        </w:rPr>
        <w:t>Increased attention to improved utilization of livestock manure aims to reduce the climate footprint of land use by diverting manure to biogas production. Direct application of manure as fertilizer is associated with significant environmental impacts, including ammonia volatilization, nutrient leaching to soil and water systems, and emissions of greenhouse gases such as methane (CH</w:t>
      </w:r>
      <w:r w:rsidR="003012E7" w:rsidRPr="003012E7">
        <w:rPr>
          <w:rFonts w:ascii="Cambria Math" w:hAnsi="Cambria Math" w:cs="Cambria Math"/>
          <w:lang w:val="en-GB"/>
        </w:rPr>
        <w:t>₄</w:t>
      </w:r>
      <w:r w:rsidR="003012E7" w:rsidRPr="003012E7">
        <w:rPr>
          <w:lang w:val="en-GB"/>
        </w:rPr>
        <w:t>) and nitrous oxide (N</w:t>
      </w:r>
      <w:r w:rsidR="003012E7" w:rsidRPr="003012E7">
        <w:rPr>
          <w:rFonts w:ascii="Cambria Math" w:hAnsi="Cambria Math" w:cs="Cambria Math"/>
          <w:lang w:val="en-GB"/>
        </w:rPr>
        <w:t>₂</w:t>
      </w:r>
      <w:r w:rsidR="003012E7" w:rsidRPr="003012E7">
        <w:rPr>
          <w:lang w:val="en-GB"/>
        </w:rPr>
        <w:t>O)</w:t>
      </w:r>
      <w:r w:rsidR="00107A6C">
        <w:rPr>
          <w:lang w:val="en-GB"/>
        </w:rPr>
        <w:t xml:space="preserve"> (</w:t>
      </w:r>
      <w:r w:rsidR="00F62692">
        <w:rPr>
          <w:lang w:val="en-GB"/>
        </w:rPr>
        <w:t>Kadam et al., 2024</w:t>
      </w:r>
      <w:r w:rsidR="00107A6C">
        <w:rPr>
          <w:lang w:val="en-GB"/>
        </w:rPr>
        <w:t>)</w:t>
      </w:r>
      <w:r w:rsidR="00B57A85" w:rsidRPr="0048404B">
        <w:rPr>
          <w:lang w:val="en-GB"/>
        </w:rPr>
        <w:t>.</w:t>
      </w:r>
      <w:r w:rsidR="00AA4FF2">
        <w:rPr>
          <w:lang w:val="en-GB"/>
        </w:rPr>
        <w:t xml:space="preserve"> Table 1 shows current and future biogas production using feedstocks</w:t>
      </w:r>
      <w:r w:rsidR="009A34CB">
        <w:rPr>
          <w:lang w:val="en-GB"/>
        </w:rPr>
        <w:t xml:space="preserve"> from Norwegian food system</w:t>
      </w:r>
      <w:r w:rsidR="00AA4FF2">
        <w:rPr>
          <w:lang w:val="en-GB"/>
        </w:rPr>
        <w:t xml:space="preserve"> (</w:t>
      </w:r>
      <w:proofErr w:type="spellStart"/>
      <w:r w:rsidR="00AA4FF2">
        <w:rPr>
          <w:lang w:val="en-GB"/>
        </w:rPr>
        <w:t>Norwaste</w:t>
      </w:r>
      <w:proofErr w:type="spellEnd"/>
      <w:r w:rsidR="00AA4FF2">
        <w:rPr>
          <w:lang w:val="en-GB"/>
        </w:rPr>
        <w:t>, 2024).</w:t>
      </w:r>
    </w:p>
    <w:p w14:paraId="7A0A701E" w14:textId="663AA275" w:rsidR="00EF3091" w:rsidRPr="00B57B36" w:rsidRDefault="00EF3091" w:rsidP="00EF3091">
      <w:pPr>
        <w:pStyle w:val="CETTabletitle"/>
      </w:pPr>
      <w:r w:rsidRPr="00B57B36">
        <w:t xml:space="preserve">Table 1: </w:t>
      </w:r>
      <w:r w:rsidR="0056419A">
        <w:t xml:space="preserve">Current and potential biogas </w:t>
      </w:r>
      <w:r w:rsidR="00062631">
        <w:t xml:space="preserve">production using </w:t>
      </w:r>
      <w:r w:rsidR="006165A9">
        <w:t>feedstocks</w:t>
      </w:r>
      <w:r w:rsidR="00062631">
        <w:t xml:space="preserve"> </w:t>
      </w:r>
      <w:r w:rsidR="006165A9">
        <w:t>from</w:t>
      </w:r>
      <w:r w:rsidR="00062631">
        <w:t xml:space="preserve"> Norwegian food system</w:t>
      </w:r>
      <w:r w:rsidR="00C74B23">
        <w:t>.</w:t>
      </w:r>
    </w:p>
    <w:tbl>
      <w:tblPr>
        <w:tblW w:w="880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602"/>
        <w:gridCol w:w="3252"/>
        <w:gridCol w:w="2491"/>
        <w:gridCol w:w="462"/>
      </w:tblGrid>
      <w:tr w:rsidR="002724D8" w:rsidRPr="00B57B36" w14:paraId="7BD43BF5" w14:textId="77777777" w:rsidTr="00C74B23">
        <w:trPr>
          <w:trHeight w:val="246"/>
        </w:trPr>
        <w:tc>
          <w:tcPr>
            <w:tcW w:w="2602" w:type="dxa"/>
            <w:tcBorders>
              <w:top w:val="single" w:sz="12" w:space="0" w:color="008000"/>
              <w:bottom w:val="single" w:sz="6" w:space="0" w:color="008000"/>
            </w:tcBorders>
            <w:shd w:val="clear" w:color="auto" w:fill="FFFFFF"/>
          </w:tcPr>
          <w:p w14:paraId="7D7C1B64" w14:textId="6489D623" w:rsidR="002724D8" w:rsidRPr="00B57B36" w:rsidRDefault="002724D8" w:rsidP="00B87BCB">
            <w:pPr>
              <w:pStyle w:val="CETBodytext"/>
              <w:rPr>
                <w:lang w:val="en-GB"/>
              </w:rPr>
            </w:pPr>
            <w:r>
              <w:rPr>
                <w:lang w:val="en-GB"/>
              </w:rPr>
              <w:t>Feedstock</w:t>
            </w:r>
            <w:r w:rsidRPr="00B57B36">
              <w:rPr>
                <w:lang w:val="en-GB"/>
              </w:rPr>
              <w:t xml:space="preserve"> </w:t>
            </w:r>
          </w:p>
        </w:tc>
        <w:tc>
          <w:tcPr>
            <w:tcW w:w="3252" w:type="dxa"/>
            <w:tcBorders>
              <w:top w:val="single" w:sz="12" w:space="0" w:color="008000"/>
              <w:bottom w:val="single" w:sz="6" w:space="0" w:color="008000"/>
            </w:tcBorders>
            <w:shd w:val="clear" w:color="auto" w:fill="FFFFFF"/>
          </w:tcPr>
          <w:p w14:paraId="1D33CC22" w14:textId="5070D5FC" w:rsidR="002724D8" w:rsidRPr="00B57B36" w:rsidRDefault="002724D8" w:rsidP="00B87BCB">
            <w:pPr>
              <w:pStyle w:val="CETBodytext"/>
              <w:rPr>
                <w:lang w:val="en-GB"/>
              </w:rPr>
            </w:pPr>
            <w:r>
              <w:rPr>
                <w:lang w:val="en-GB"/>
              </w:rPr>
              <w:t>Current biogas (2024) (GWh)</w:t>
            </w:r>
          </w:p>
        </w:tc>
        <w:tc>
          <w:tcPr>
            <w:tcW w:w="2491" w:type="dxa"/>
            <w:tcBorders>
              <w:top w:val="single" w:sz="12" w:space="0" w:color="008000"/>
              <w:bottom w:val="single" w:sz="6" w:space="0" w:color="008000"/>
            </w:tcBorders>
            <w:shd w:val="clear" w:color="auto" w:fill="FFFFFF"/>
          </w:tcPr>
          <w:p w14:paraId="672AF11E" w14:textId="437C6FB2" w:rsidR="002724D8" w:rsidRPr="00B57B36" w:rsidRDefault="00480AFA" w:rsidP="00B87BCB">
            <w:pPr>
              <w:pStyle w:val="CETBodytext"/>
              <w:rPr>
                <w:lang w:val="en-GB"/>
              </w:rPr>
            </w:pPr>
            <w:r>
              <w:rPr>
                <w:lang w:val="en-GB"/>
              </w:rPr>
              <w:t>Future</w:t>
            </w:r>
            <w:r w:rsidR="002724D8">
              <w:rPr>
                <w:lang w:val="en-GB"/>
              </w:rPr>
              <w:t xml:space="preserve"> biogas (GWh)</w:t>
            </w:r>
          </w:p>
        </w:tc>
        <w:tc>
          <w:tcPr>
            <w:tcW w:w="462" w:type="dxa"/>
            <w:tcBorders>
              <w:top w:val="single" w:sz="12" w:space="0" w:color="008000"/>
              <w:bottom w:val="single" w:sz="6" w:space="0" w:color="008000"/>
            </w:tcBorders>
            <w:shd w:val="clear" w:color="auto" w:fill="FFFFFF"/>
          </w:tcPr>
          <w:p w14:paraId="7570F1A6" w14:textId="77777777" w:rsidR="002724D8" w:rsidRPr="00B57B36" w:rsidRDefault="002724D8" w:rsidP="00B87BCB">
            <w:pPr>
              <w:pStyle w:val="CETBodytext"/>
              <w:ind w:right="-1"/>
              <w:rPr>
                <w:rFonts w:cs="Arial"/>
                <w:szCs w:val="18"/>
                <w:lang w:val="en-GB"/>
              </w:rPr>
            </w:pPr>
          </w:p>
        </w:tc>
      </w:tr>
      <w:tr w:rsidR="002724D8" w:rsidRPr="00B57B36" w14:paraId="6A5F324B" w14:textId="77777777" w:rsidTr="00C74B23">
        <w:trPr>
          <w:trHeight w:val="266"/>
        </w:trPr>
        <w:tc>
          <w:tcPr>
            <w:tcW w:w="2602" w:type="dxa"/>
            <w:shd w:val="clear" w:color="auto" w:fill="FFFFFF"/>
          </w:tcPr>
          <w:p w14:paraId="180D1068" w14:textId="4CE40251" w:rsidR="002724D8" w:rsidRPr="00B57B36" w:rsidRDefault="002724D8" w:rsidP="00B87BCB">
            <w:pPr>
              <w:pStyle w:val="CETBodytext"/>
              <w:rPr>
                <w:lang w:val="en-GB"/>
              </w:rPr>
            </w:pPr>
            <w:r>
              <w:rPr>
                <w:lang w:val="en-GB"/>
              </w:rPr>
              <w:t>Livestock manure</w:t>
            </w:r>
          </w:p>
        </w:tc>
        <w:tc>
          <w:tcPr>
            <w:tcW w:w="3252" w:type="dxa"/>
            <w:shd w:val="clear" w:color="auto" w:fill="FFFFFF"/>
          </w:tcPr>
          <w:p w14:paraId="483B168F" w14:textId="6BEC4580" w:rsidR="002724D8" w:rsidRPr="00B57B36" w:rsidRDefault="00C34A6E" w:rsidP="00B87BCB">
            <w:pPr>
              <w:pStyle w:val="CETBodytext"/>
              <w:rPr>
                <w:lang w:val="en-GB"/>
              </w:rPr>
            </w:pPr>
            <w:r>
              <w:rPr>
                <w:lang w:val="en-GB"/>
              </w:rPr>
              <w:t>26</w:t>
            </w:r>
          </w:p>
        </w:tc>
        <w:tc>
          <w:tcPr>
            <w:tcW w:w="2491" w:type="dxa"/>
            <w:shd w:val="clear" w:color="auto" w:fill="FFFFFF"/>
          </w:tcPr>
          <w:p w14:paraId="1DDD4F4E" w14:textId="564F1E41" w:rsidR="002724D8" w:rsidRPr="00B57B36" w:rsidRDefault="00C34A6E" w:rsidP="00B87BCB">
            <w:pPr>
              <w:pStyle w:val="CETBodytext"/>
              <w:rPr>
                <w:lang w:val="en-GB"/>
              </w:rPr>
            </w:pPr>
            <w:r>
              <w:rPr>
                <w:lang w:val="en-GB"/>
              </w:rPr>
              <w:t>2</w:t>
            </w:r>
            <w:r w:rsidR="00052281">
              <w:rPr>
                <w:lang w:val="en-GB"/>
              </w:rPr>
              <w:t>,</w:t>
            </w:r>
            <w:r>
              <w:rPr>
                <w:lang w:val="en-GB"/>
              </w:rPr>
              <w:t>101</w:t>
            </w:r>
          </w:p>
        </w:tc>
        <w:tc>
          <w:tcPr>
            <w:tcW w:w="462" w:type="dxa"/>
            <w:shd w:val="clear" w:color="auto" w:fill="FFFFFF"/>
          </w:tcPr>
          <w:p w14:paraId="4E3837A1" w14:textId="77777777" w:rsidR="002724D8" w:rsidRPr="00B57B36" w:rsidRDefault="002724D8" w:rsidP="00B87BCB">
            <w:pPr>
              <w:pStyle w:val="CETBodytext"/>
              <w:ind w:right="-1"/>
              <w:rPr>
                <w:rFonts w:cs="Arial"/>
                <w:szCs w:val="18"/>
                <w:lang w:val="en-GB"/>
              </w:rPr>
            </w:pPr>
          </w:p>
        </w:tc>
      </w:tr>
      <w:tr w:rsidR="002724D8" w:rsidRPr="00B57B36" w14:paraId="3FD1C8B0" w14:textId="77777777" w:rsidTr="00C74B23">
        <w:trPr>
          <w:trHeight w:val="278"/>
        </w:trPr>
        <w:tc>
          <w:tcPr>
            <w:tcW w:w="2602" w:type="dxa"/>
            <w:shd w:val="clear" w:color="auto" w:fill="FFFFFF"/>
          </w:tcPr>
          <w:p w14:paraId="61196679" w14:textId="162F3717" w:rsidR="002724D8" w:rsidRPr="00B57B36" w:rsidRDefault="002724D8" w:rsidP="00B87BCB">
            <w:pPr>
              <w:pStyle w:val="CETBodytext"/>
              <w:ind w:right="-1"/>
              <w:rPr>
                <w:rFonts w:cs="Arial"/>
                <w:szCs w:val="18"/>
                <w:lang w:val="en-GB"/>
              </w:rPr>
            </w:pPr>
            <w:r>
              <w:rPr>
                <w:rFonts w:cs="Arial"/>
                <w:szCs w:val="18"/>
                <w:lang w:val="en-GB"/>
              </w:rPr>
              <w:t>Food waste</w:t>
            </w:r>
          </w:p>
        </w:tc>
        <w:tc>
          <w:tcPr>
            <w:tcW w:w="3252" w:type="dxa"/>
            <w:shd w:val="clear" w:color="auto" w:fill="FFFFFF"/>
          </w:tcPr>
          <w:p w14:paraId="267D1A22" w14:textId="3F61935E" w:rsidR="002724D8" w:rsidRPr="00B57B36" w:rsidRDefault="002F716C" w:rsidP="00B87BCB">
            <w:pPr>
              <w:pStyle w:val="CETBodytext"/>
              <w:ind w:right="-1"/>
              <w:rPr>
                <w:rFonts w:cs="Arial"/>
                <w:szCs w:val="18"/>
                <w:lang w:val="en-GB"/>
              </w:rPr>
            </w:pPr>
            <w:r>
              <w:rPr>
                <w:rFonts w:cs="Arial"/>
                <w:szCs w:val="18"/>
                <w:lang w:val="en-GB"/>
              </w:rPr>
              <w:t>254</w:t>
            </w:r>
          </w:p>
        </w:tc>
        <w:tc>
          <w:tcPr>
            <w:tcW w:w="2491" w:type="dxa"/>
            <w:shd w:val="clear" w:color="auto" w:fill="FFFFFF"/>
          </w:tcPr>
          <w:p w14:paraId="28604C97" w14:textId="15040FED" w:rsidR="002724D8" w:rsidRPr="00B57B36" w:rsidRDefault="002F716C" w:rsidP="00B87BCB">
            <w:pPr>
              <w:pStyle w:val="CETBodytext"/>
              <w:ind w:right="-1"/>
              <w:rPr>
                <w:rFonts w:cs="Arial"/>
                <w:szCs w:val="18"/>
                <w:lang w:val="en-GB"/>
              </w:rPr>
            </w:pPr>
            <w:r>
              <w:rPr>
                <w:rFonts w:cs="Arial"/>
                <w:szCs w:val="18"/>
                <w:lang w:val="en-GB"/>
              </w:rPr>
              <w:t>325</w:t>
            </w:r>
          </w:p>
        </w:tc>
        <w:tc>
          <w:tcPr>
            <w:tcW w:w="462" w:type="dxa"/>
            <w:shd w:val="clear" w:color="auto" w:fill="FFFFFF"/>
          </w:tcPr>
          <w:p w14:paraId="11670637" w14:textId="77777777" w:rsidR="002724D8" w:rsidRPr="00B57B36" w:rsidRDefault="002724D8" w:rsidP="00B87BCB">
            <w:pPr>
              <w:pStyle w:val="CETBodytext"/>
              <w:ind w:right="-1"/>
              <w:rPr>
                <w:rFonts w:cs="Arial"/>
                <w:szCs w:val="18"/>
                <w:lang w:val="en-GB"/>
              </w:rPr>
            </w:pPr>
          </w:p>
        </w:tc>
      </w:tr>
      <w:tr w:rsidR="002724D8" w:rsidRPr="00B57B36" w14:paraId="55CBFF30" w14:textId="77777777" w:rsidTr="00C74B23">
        <w:trPr>
          <w:trHeight w:val="266"/>
        </w:trPr>
        <w:tc>
          <w:tcPr>
            <w:tcW w:w="2602" w:type="dxa"/>
            <w:shd w:val="clear" w:color="auto" w:fill="FFFFFF"/>
          </w:tcPr>
          <w:p w14:paraId="2F2837C0" w14:textId="677DCF23" w:rsidR="002724D8" w:rsidRPr="00B57B36" w:rsidRDefault="002724D8" w:rsidP="00B87BCB">
            <w:pPr>
              <w:pStyle w:val="CETBodytext"/>
              <w:ind w:right="-1"/>
              <w:rPr>
                <w:rFonts w:cs="Arial"/>
                <w:szCs w:val="18"/>
                <w:lang w:val="en-GB"/>
              </w:rPr>
            </w:pPr>
            <w:r>
              <w:rPr>
                <w:rFonts w:cs="Arial"/>
                <w:szCs w:val="18"/>
                <w:lang w:val="en-GB"/>
              </w:rPr>
              <w:t>Fish sludge</w:t>
            </w:r>
          </w:p>
        </w:tc>
        <w:tc>
          <w:tcPr>
            <w:tcW w:w="3252" w:type="dxa"/>
            <w:shd w:val="clear" w:color="auto" w:fill="FFFFFF"/>
          </w:tcPr>
          <w:p w14:paraId="34EF8D07" w14:textId="290C25E8" w:rsidR="002724D8" w:rsidRPr="00B57B36" w:rsidRDefault="009E4DB7" w:rsidP="00B87BCB">
            <w:pPr>
              <w:pStyle w:val="CETBodytext"/>
              <w:ind w:right="-1"/>
              <w:rPr>
                <w:rFonts w:cs="Arial"/>
                <w:szCs w:val="18"/>
                <w:lang w:val="en-GB"/>
              </w:rPr>
            </w:pPr>
            <w:r>
              <w:rPr>
                <w:rFonts w:cs="Arial"/>
                <w:szCs w:val="18"/>
                <w:lang w:val="en-GB"/>
              </w:rPr>
              <w:t>17</w:t>
            </w:r>
          </w:p>
        </w:tc>
        <w:tc>
          <w:tcPr>
            <w:tcW w:w="2491" w:type="dxa"/>
            <w:shd w:val="clear" w:color="auto" w:fill="FFFFFF"/>
          </w:tcPr>
          <w:p w14:paraId="65021BEF" w14:textId="5CA061D6" w:rsidR="002724D8" w:rsidRPr="00B57B36" w:rsidRDefault="009E4DB7" w:rsidP="00B87BCB">
            <w:pPr>
              <w:pStyle w:val="CETBodytext"/>
              <w:ind w:right="-1"/>
              <w:rPr>
                <w:rFonts w:cs="Arial"/>
                <w:szCs w:val="18"/>
                <w:lang w:val="en-GB"/>
              </w:rPr>
            </w:pPr>
            <w:r>
              <w:rPr>
                <w:rFonts w:cs="Arial"/>
                <w:szCs w:val="18"/>
                <w:lang w:val="en-GB"/>
              </w:rPr>
              <w:t>164</w:t>
            </w:r>
          </w:p>
        </w:tc>
        <w:tc>
          <w:tcPr>
            <w:tcW w:w="462" w:type="dxa"/>
            <w:shd w:val="clear" w:color="auto" w:fill="FFFFFF"/>
          </w:tcPr>
          <w:p w14:paraId="1CF68A3A" w14:textId="77777777" w:rsidR="002724D8" w:rsidRPr="00B57B36" w:rsidRDefault="002724D8" w:rsidP="00B87BCB">
            <w:pPr>
              <w:pStyle w:val="CETBodytext"/>
              <w:ind w:right="-1"/>
              <w:rPr>
                <w:rFonts w:cs="Arial"/>
                <w:szCs w:val="18"/>
                <w:lang w:val="en-GB"/>
              </w:rPr>
            </w:pPr>
          </w:p>
        </w:tc>
      </w:tr>
      <w:tr w:rsidR="002724D8" w:rsidRPr="00B57B36" w14:paraId="57048D8C" w14:textId="77777777" w:rsidTr="00C74B23">
        <w:trPr>
          <w:trHeight w:val="278"/>
        </w:trPr>
        <w:tc>
          <w:tcPr>
            <w:tcW w:w="2602" w:type="dxa"/>
            <w:shd w:val="clear" w:color="auto" w:fill="FFFFFF"/>
          </w:tcPr>
          <w:p w14:paraId="454C05A8" w14:textId="30B32CA4" w:rsidR="002724D8" w:rsidRPr="00B57B36" w:rsidRDefault="002724D8" w:rsidP="00B87BCB">
            <w:pPr>
              <w:pStyle w:val="CETBodytext"/>
              <w:ind w:right="-1"/>
              <w:rPr>
                <w:rFonts w:cs="Arial"/>
                <w:szCs w:val="18"/>
                <w:lang w:val="en-GB"/>
              </w:rPr>
            </w:pPr>
            <w:r>
              <w:rPr>
                <w:rFonts w:cs="Arial"/>
                <w:szCs w:val="18"/>
                <w:lang w:val="en-GB"/>
              </w:rPr>
              <w:t>Fish ensilage</w:t>
            </w:r>
          </w:p>
        </w:tc>
        <w:tc>
          <w:tcPr>
            <w:tcW w:w="3252" w:type="dxa"/>
            <w:shd w:val="clear" w:color="auto" w:fill="FFFFFF"/>
          </w:tcPr>
          <w:p w14:paraId="1081D121" w14:textId="559F037B" w:rsidR="002724D8" w:rsidRPr="00B57B36" w:rsidRDefault="0022120C" w:rsidP="00B87BCB">
            <w:pPr>
              <w:pStyle w:val="CETBodytext"/>
              <w:ind w:right="-1"/>
              <w:rPr>
                <w:rFonts w:cs="Arial"/>
                <w:szCs w:val="18"/>
                <w:lang w:val="en-GB"/>
              </w:rPr>
            </w:pPr>
            <w:r>
              <w:rPr>
                <w:rFonts w:cs="Arial"/>
                <w:szCs w:val="18"/>
                <w:lang w:val="en-GB"/>
              </w:rPr>
              <w:t>88</w:t>
            </w:r>
          </w:p>
        </w:tc>
        <w:tc>
          <w:tcPr>
            <w:tcW w:w="2491" w:type="dxa"/>
            <w:shd w:val="clear" w:color="auto" w:fill="FFFFFF"/>
          </w:tcPr>
          <w:p w14:paraId="5F40A352" w14:textId="21A02991" w:rsidR="002724D8" w:rsidRPr="00B57B36" w:rsidRDefault="0022120C" w:rsidP="00B87BCB">
            <w:pPr>
              <w:pStyle w:val="CETBodytext"/>
              <w:ind w:right="-1"/>
              <w:rPr>
                <w:rFonts w:cs="Arial"/>
                <w:szCs w:val="18"/>
                <w:lang w:val="en-GB"/>
              </w:rPr>
            </w:pPr>
            <w:r>
              <w:rPr>
                <w:rFonts w:cs="Arial"/>
                <w:szCs w:val="18"/>
                <w:lang w:val="en-GB"/>
              </w:rPr>
              <w:t>143</w:t>
            </w:r>
          </w:p>
        </w:tc>
        <w:tc>
          <w:tcPr>
            <w:tcW w:w="462" w:type="dxa"/>
            <w:shd w:val="clear" w:color="auto" w:fill="FFFFFF"/>
          </w:tcPr>
          <w:p w14:paraId="4DC673CE" w14:textId="77777777" w:rsidR="002724D8" w:rsidRPr="00B57B36" w:rsidRDefault="002724D8" w:rsidP="00B87BCB">
            <w:pPr>
              <w:pStyle w:val="CETBodytext"/>
              <w:ind w:right="-1"/>
              <w:rPr>
                <w:rFonts w:cs="Arial"/>
                <w:szCs w:val="18"/>
                <w:lang w:val="en-GB"/>
              </w:rPr>
            </w:pPr>
          </w:p>
        </w:tc>
      </w:tr>
      <w:tr w:rsidR="00480AFA" w:rsidRPr="00B57B36" w14:paraId="394CDBCF" w14:textId="77777777" w:rsidTr="00C74B23">
        <w:trPr>
          <w:trHeight w:val="278"/>
        </w:trPr>
        <w:tc>
          <w:tcPr>
            <w:tcW w:w="2602" w:type="dxa"/>
            <w:shd w:val="clear" w:color="auto" w:fill="FFFFFF"/>
          </w:tcPr>
          <w:p w14:paraId="37D51402" w14:textId="674015C4" w:rsidR="00480AFA" w:rsidRDefault="00480AFA" w:rsidP="00B87BCB">
            <w:pPr>
              <w:pStyle w:val="CETBodytext"/>
              <w:ind w:right="-1"/>
              <w:rPr>
                <w:rFonts w:cs="Arial"/>
                <w:szCs w:val="18"/>
                <w:lang w:val="en-GB"/>
              </w:rPr>
            </w:pPr>
            <w:r>
              <w:rPr>
                <w:rFonts w:cs="Arial"/>
                <w:szCs w:val="18"/>
                <w:lang w:val="en-GB"/>
              </w:rPr>
              <w:t>Total</w:t>
            </w:r>
          </w:p>
        </w:tc>
        <w:tc>
          <w:tcPr>
            <w:tcW w:w="3252" w:type="dxa"/>
            <w:shd w:val="clear" w:color="auto" w:fill="FFFFFF"/>
          </w:tcPr>
          <w:p w14:paraId="046D65D9" w14:textId="3E47BDD6" w:rsidR="00480AFA" w:rsidRDefault="00480AFA" w:rsidP="00B87BCB">
            <w:pPr>
              <w:pStyle w:val="CETBodytext"/>
              <w:ind w:right="-1"/>
              <w:rPr>
                <w:rFonts w:cs="Arial"/>
                <w:szCs w:val="18"/>
                <w:lang w:val="en-GB"/>
              </w:rPr>
            </w:pPr>
            <w:r>
              <w:rPr>
                <w:rFonts w:cs="Arial"/>
                <w:szCs w:val="18"/>
                <w:lang w:val="en-GB"/>
              </w:rPr>
              <w:t>385</w:t>
            </w:r>
          </w:p>
        </w:tc>
        <w:tc>
          <w:tcPr>
            <w:tcW w:w="2491" w:type="dxa"/>
            <w:shd w:val="clear" w:color="auto" w:fill="FFFFFF"/>
          </w:tcPr>
          <w:p w14:paraId="73E8F67E" w14:textId="34489368" w:rsidR="00480AFA" w:rsidRDefault="00480AFA" w:rsidP="00B87BCB">
            <w:pPr>
              <w:pStyle w:val="CETBodytext"/>
              <w:ind w:right="-1"/>
              <w:rPr>
                <w:rFonts w:cs="Arial"/>
                <w:szCs w:val="18"/>
                <w:lang w:val="en-GB"/>
              </w:rPr>
            </w:pPr>
            <w:r>
              <w:rPr>
                <w:rFonts w:cs="Arial"/>
                <w:szCs w:val="18"/>
                <w:lang w:val="en-GB"/>
              </w:rPr>
              <w:t>2</w:t>
            </w:r>
            <w:r w:rsidR="00052281">
              <w:rPr>
                <w:rFonts w:cs="Arial"/>
                <w:szCs w:val="18"/>
                <w:lang w:val="en-GB"/>
              </w:rPr>
              <w:t>,</w:t>
            </w:r>
            <w:r>
              <w:rPr>
                <w:rFonts w:cs="Arial"/>
                <w:szCs w:val="18"/>
                <w:lang w:val="en-GB"/>
              </w:rPr>
              <w:t>733</w:t>
            </w:r>
          </w:p>
        </w:tc>
        <w:tc>
          <w:tcPr>
            <w:tcW w:w="462" w:type="dxa"/>
            <w:shd w:val="clear" w:color="auto" w:fill="FFFFFF"/>
          </w:tcPr>
          <w:p w14:paraId="4B45369C" w14:textId="77777777" w:rsidR="00480AFA" w:rsidRPr="00B57B36" w:rsidRDefault="00480AFA" w:rsidP="00B87BCB">
            <w:pPr>
              <w:pStyle w:val="CETBodytext"/>
              <w:ind w:right="-1"/>
              <w:rPr>
                <w:rFonts w:cs="Arial"/>
                <w:szCs w:val="18"/>
                <w:lang w:val="en-GB"/>
              </w:rPr>
            </w:pPr>
          </w:p>
        </w:tc>
      </w:tr>
    </w:tbl>
    <w:p w14:paraId="56ABBDAE" w14:textId="76AF6C2F" w:rsidR="00AA4FF2" w:rsidRPr="00B23DA1" w:rsidRDefault="00AA4FF2" w:rsidP="00AA4FF2">
      <w:pPr>
        <w:pStyle w:val="CETBodytext"/>
        <w:rPr>
          <w:lang w:val="en-GB"/>
        </w:rPr>
      </w:pPr>
      <w:r>
        <w:rPr>
          <w:lang w:val="en-GB"/>
        </w:rPr>
        <w:t xml:space="preserve">Household food waste in Norway has long been utilized in biogas production as means of waste management and it will remain significant due to increasing population and </w:t>
      </w:r>
      <w:r w:rsidRPr="0048404B">
        <w:rPr>
          <w:lang w:val="en-GB"/>
        </w:rPr>
        <w:t>improved sorting at the consumer level</w:t>
      </w:r>
      <w:r>
        <w:rPr>
          <w:lang w:val="en-GB"/>
        </w:rPr>
        <w:t xml:space="preserve"> (Birgen et al., 2025). Fish sludge c</w:t>
      </w:r>
      <w:r w:rsidRPr="0002004B">
        <w:rPr>
          <w:lang w:val="en-GB"/>
        </w:rPr>
        <w:t>onsisting of uneaten feed and faecal solids from aquaculture</w:t>
      </w:r>
      <w:r>
        <w:rPr>
          <w:lang w:val="en-GB"/>
        </w:rPr>
        <w:t xml:space="preserve"> is another valuable </w:t>
      </w:r>
      <w:r>
        <w:rPr>
          <w:lang w:val="en-GB"/>
        </w:rPr>
        <w:lastRenderedPageBreak/>
        <w:t xml:space="preserve">feedstock. </w:t>
      </w:r>
      <w:r w:rsidRPr="009403FE">
        <w:rPr>
          <w:lang w:val="en-GB"/>
        </w:rPr>
        <w:t>In Norway, most sludge collection occurs in land</w:t>
      </w:r>
      <w:r w:rsidRPr="009403FE">
        <w:rPr>
          <w:rFonts w:ascii="Cambria Math" w:hAnsi="Cambria Math" w:cs="Cambria Math"/>
          <w:lang w:val="en-GB"/>
        </w:rPr>
        <w:t>‑</w:t>
      </w:r>
      <w:r w:rsidRPr="009403FE">
        <w:rPr>
          <w:lang w:val="en-GB"/>
        </w:rPr>
        <w:t>based salmonid farms</w:t>
      </w:r>
      <w:r>
        <w:rPr>
          <w:lang w:val="en-GB"/>
        </w:rPr>
        <w:t xml:space="preserve"> which is called smolt sludge</w:t>
      </w:r>
      <w:r w:rsidRPr="009403FE">
        <w:rPr>
          <w:lang w:val="en-GB"/>
        </w:rPr>
        <w:t xml:space="preserve">, where solids are </w:t>
      </w:r>
      <w:r>
        <w:rPr>
          <w:lang w:val="en-GB"/>
        </w:rPr>
        <w:t>required to be collected and managed. Even though there is no requirement, there is increasing interest for collection</w:t>
      </w:r>
      <w:r w:rsidRPr="009403FE">
        <w:rPr>
          <w:lang w:val="en-GB"/>
        </w:rPr>
        <w:t xml:space="preserve"> beneath sea cages</w:t>
      </w:r>
      <w:r>
        <w:rPr>
          <w:lang w:val="en-GB"/>
        </w:rPr>
        <w:t xml:space="preserve"> that is called food fish sludge</w:t>
      </w:r>
      <w:r w:rsidRPr="009403FE">
        <w:rPr>
          <w:lang w:val="en-GB"/>
        </w:rPr>
        <w:t xml:space="preserve"> and treatment for nutrient recover</w:t>
      </w:r>
      <w:r>
        <w:rPr>
          <w:lang w:val="en-GB"/>
        </w:rPr>
        <w:t xml:space="preserve">y to </w:t>
      </w:r>
      <w:r w:rsidRPr="009403FE">
        <w:rPr>
          <w:lang w:val="en-GB"/>
        </w:rPr>
        <w:t xml:space="preserve">reduce nutrient discharges and support circular value chain </w:t>
      </w:r>
      <w:r>
        <w:rPr>
          <w:lang w:val="en-GB"/>
        </w:rPr>
        <w:t>(</w:t>
      </w:r>
      <w:proofErr w:type="spellStart"/>
      <w:r w:rsidRPr="00135247">
        <w:rPr>
          <w:lang w:val="en-GB"/>
        </w:rPr>
        <w:t>Böpple</w:t>
      </w:r>
      <w:proofErr w:type="spellEnd"/>
      <w:r>
        <w:rPr>
          <w:lang w:val="en-GB"/>
        </w:rPr>
        <w:t xml:space="preserve"> et al., 2025)</w:t>
      </w:r>
      <w:r w:rsidRPr="0048404B">
        <w:rPr>
          <w:lang w:val="en-GB"/>
        </w:rPr>
        <w:t>.</w:t>
      </w:r>
      <w:r>
        <w:rPr>
          <w:lang w:val="en-GB"/>
        </w:rPr>
        <w:t xml:space="preserve"> Similar to fish sludge, fish ensilage that is acidified fish processing waste has high biogas potential and is forecasted to play an important role in Norwegian biogas production (Sarker, 2020). Therefore, these biogas feedstocks are chosen as the scope of this study being significant for the Norwegian food system. </w:t>
      </w:r>
    </w:p>
    <w:p w14:paraId="1AED3853" w14:textId="51AF22FF" w:rsidR="00600535" w:rsidRPr="00AA168C" w:rsidRDefault="00480AFA" w:rsidP="00AA168C">
      <w:pPr>
        <w:pStyle w:val="CETBodytext"/>
        <w:rPr>
          <w:lang w:val="en-GB"/>
        </w:rPr>
      </w:pPr>
      <w:r>
        <w:rPr>
          <w:lang w:val="en-GB"/>
        </w:rPr>
        <w:t xml:space="preserve">Table 1 shows that biogas production using feedstocks from Norwegian food system will increase 7 times with livestock being the largest contributor by </w:t>
      </w:r>
      <w:r w:rsidR="005755F4">
        <w:rPr>
          <w:lang w:val="en-GB"/>
        </w:rPr>
        <w:t>increasing about 80 times.</w:t>
      </w:r>
      <w:r w:rsidR="009A6805">
        <w:rPr>
          <w:lang w:val="en-GB"/>
        </w:rPr>
        <w:t xml:space="preserve"> </w:t>
      </w:r>
      <w:r w:rsidR="009A6805" w:rsidRPr="0048404B">
        <w:rPr>
          <w:lang w:val="en-GB"/>
        </w:rPr>
        <w:t>This development in biogas production will result in an increased amount of digestate, a byproduct that requires management and further utilization or disposal.</w:t>
      </w:r>
      <w:r w:rsidR="00DF1D56">
        <w:rPr>
          <w:lang w:val="en-GB"/>
        </w:rPr>
        <w:t xml:space="preserve"> </w:t>
      </w:r>
      <w:r w:rsidR="0048404B" w:rsidRPr="0048404B">
        <w:rPr>
          <w:lang w:val="en-GB"/>
        </w:rPr>
        <w:t>Currently, digestate originating mostly from municipal waste treatment plants is used as fertilizer in Norwegian agriculture. These plants are relatively close to agricultural areas, helping to lower storage and transport costs</w:t>
      </w:r>
      <w:r w:rsidR="003C6EED">
        <w:rPr>
          <w:lang w:val="en-GB"/>
        </w:rPr>
        <w:t xml:space="preserve"> (</w:t>
      </w:r>
      <w:proofErr w:type="spellStart"/>
      <w:r w:rsidR="003C6EED" w:rsidRPr="003C6EED">
        <w:rPr>
          <w:lang w:val="en-GB"/>
        </w:rPr>
        <w:t>Kvakkestad</w:t>
      </w:r>
      <w:proofErr w:type="spellEnd"/>
      <w:r w:rsidR="003C6EED">
        <w:rPr>
          <w:lang w:val="en-GB"/>
        </w:rPr>
        <w:t xml:space="preserve"> et al., 2023)</w:t>
      </w:r>
      <w:r w:rsidR="0048404B" w:rsidRPr="0048404B">
        <w:rPr>
          <w:lang w:val="en-GB"/>
        </w:rPr>
        <w:t>. However, new plants using manure and fish sludge do not have the same advantage, as these feedstocks are generated farther away from agricultural areas. This underscores the need for increased knowledge about digestate composition to enable more efficient use as fertilizer</w:t>
      </w:r>
      <w:r w:rsidR="00552D68">
        <w:rPr>
          <w:lang w:val="en-GB"/>
        </w:rPr>
        <w:t xml:space="preserve"> (</w:t>
      </w:r>
      <w:r w:rsidR="00552D68" w:rsidRPr="00552D68">
        <w:t>Skrzypczak</w:t>
      </w:r>
      <w:r w:rsidR="00552D68">
        <w:t xml:space="preserve"> et al., 2024</w:t>
      </w:r>
      <w:r w:rsidR="00552D68">
        <w:rPr>
          <w:lang w:val="en-GB"/>
        </w:rPr>
        <w:t>)</w:t>
      </w:r>
      <w:r w:rsidR="0048404B" w:rsidRPr="0048404B">
        <w:rPr>
          <w:lang w:val="en-GB"/>
        </w:rPr>
        <w:t>, prevent nutrient hotspots, reduce transport and storage costs</w:t>
      </w:r>
      <w:r w:rsidR="00552D68">
        <w:rPr>
          <w:lang w:val="en-GB"/>
        </w:rPr>
        <w:t xml:space="preserve"> (Pandit et al., 2024)</w:t>
      </w:r>
      <w:r w:rsidR="0048404B" w:rsidRPr="0048404B">
        <w:rPr>
          <w:lang w:val="en-GB"/>
        </w:rPr>
        <w:t xml:space="preserve">, and support the development of alternative nutrient-recycling methods. Therefore, this study maps the quality and quantity of digestate originating from </w:t>
      </w:r>
      <w:r w:rsidR="005A3307">
        <w:rPr>
          <w:lang w:val="en-GB"/>
        </w:rPr>
        <w:t>feedstocks</w:t>
      </w:r>
      <w:r w:rsidR="0048404B" w:rsidRPr="0048404B">
        <w:rPr>
          <w:lang w:val="en-GB"/>
        </w:rPr>
        <w:t xml:space="preserve"> of the Norwegian food system.</w:t>
      </w:r>
    </w:p>
    <w:p w14:paraId="5741900F" w14:textId="126DC944" w:rsidR="00453E24" w:rsidRDefault="007F2B70" w:rsidP="00453E24">
      <w:pPr>
        <w:pStyle w:val="CETHeading1"/>
      </w:pPr>
      <w:r>
        <w:t xml:space="preserve"> </w:t>
      </w:r>
      <w:r w:rsidR="00AA168C" w:rsidRPr="007F2B70">
        <w:t>Methodology</w:t>
      </w:r>
    </w:p>
    <w:p w14:paraId="09406386" w14:textId="7B692F2C" w:rsidR="00453E24" w:rsidRDefault="000470B2" w:rsidP="00453E24">
      <w:pPr>
        <w:pStyle w:val="CETBodytext"/>
      </w:pPr>
      <w:r>
        <w:t>Estimation of biogas feedstock and digestate volumes</w:t>
      </w:r>
      <w:r w:rsidR="00A53B5C">
        <w:t xml:space="preserve"> in both wet and dry basis</w:t>
      </w:r>
      <w:r>
        <w:t xml:space="preserve"> and properties</w:t>
      </w:r>
      <w:r w:rsidR="00A53B5C">
        <w:t xml:space="preserve"> of dry matter (DM), nitrogen (N) and phosphorus (P) contents</w:t>
      </w:r>
      <w:r>
        <w:t xml:space="preserve"> are given in sections below</w:t>
      </w:r>
      <w:r w:rsidR="0090274D">
        <w:t xml:space="preserve"> for current and future biogas production. Estimation is done when the numbers are reported directly</w:t>
      </w:r>
      <w:r w:rsidR="00A54A26">
        <w:t xml:space="preserve"> as shown in Figure 1</w:t>
      </w:r>
      <w:r w:rsidR="0090274D">
        <w:t>.</w:t>
      </w:r>
    </w:p>
    <w:p w14:paraId="0636B784" w14:textId="39FE385A" w:rsidR="00453E24" w:rsidRDefault="000470B2" w:rsidP="00453E24">
      <w:pPr>
        <w:pStyle w:val="CETheadingx"/>
      </w:pPr>
      <w:r>
        <w:t>Biogas feedstock volume and properties</w:t>
      </w:r>
    </w:p>
    <w:p w14:paraId="63157AFE" w14:textId="7BFA742A" w:rsidR="00EB2308" w:rsidRDefault="00EB2308" w:rsidP="00EB2308">
      <w:pPr>
        <w:pStyle w:val="CETBodytext"/>
      </w:pPr>
      <w:r>
        <w:t xml:space="preserve">Dry matter (DM) volumes (kt) for the current situation (2024) were obtained from Carbon Limits (2019). Potential DM volumes were calculated from wet weight and DM content for all feedstocks except </w:t>
      </w:r>
      <w:r w:rsidR="0054336D">
        <w:t>smolt</w:t>
      </w:r>
      <w:r>
        <w:t xml:space="preserve"> sludge, which was estimated by extrapolating fish numbers (Bjørndal et al., 2018) and applying a production factor of 0.0000306 t DM per fish (Carbon Limits, 2019). Wet weight volumes were derived from DM volumes and DM content.</w:t>
      </w:r>
    </w:p>
    <w:p w14:paraId="3BF82B24" w14:textId="00875E35" w:rsidR="00EB2308" w:rsidRDefault="00EB2308" w:rsidP="00EB2308">
      <w:pPr>
        <w:pStyle w:val="CETBodytext"/>
      </w:pPr>
      <w:r>
        <w:t xml:space="preserve">Future wet weight volumes for food waste, livestock manure, and </w:t>
      </w:r>
      <w:r w:rsidR="00926075">
        <w:t>smolt</w:t>
      </w:r>
      <w:r>
        <w:t xml:space="preserve"> sludge were calculated from DM volumes and DM content. Fish ensilage was estimated using extrapolated 2017 slaughtered food fish data, assuming 5</w:t>
      </w:r>
      <w:r w:rsidR="00A76641">
        <w:t xml:space="preserve"> </w:t>
      </w:r>
      <w:r>
        <w:t xml:space="preserve">% K2-type by-products sent to biogas (Carbon Limits, 2019). Livestock manure volumes were derived by dividing reported biogas potential (assuming availability factors are included; </w:t>
      </w:r>
      <w:proofErr w:type="spellStart"/>
      <w:r>
        <w:t>Norwaste</w:t>
      </w:r>
      <w:proofErr w:type="spellEnd"/>
      <w:r>
        <w:t xml:space="preserve">, 2024) by biogas yield. Food fish sludge was estimated from </w:t>
      </w:r>
      <w:r w:rsidR="00926075">
        <w:t>smolt</w:t>
      </w:r>
      <w:r>
        <w:t xml:space="preserve"> sludge wet weight using the </w:t>
      </w:r>
      <w:r w:rsidR="00DE20D7">
        <w:t>smolt</w:t>
      </w:r>
      <w:r>
        <w:t>-to-food fish sludge ratio (Bjørndal et al., 2018) and an assumed 5</w:t>
      </w:r>
      <w:r w:rsidR="00A76641">
        <w:t xml:space="preserve"> </w:t>
      </w:r>
      <w:r>
        <w:t xml:space="preserve">% collection rate. A weighted sum of </w:t>
      </w:r>
      <w:r w:rsidR="00DE20D7">
        <w:t>smolt</w:t>
      </w:r>
      <w:r>
        <w:t xml:space="preserve"> and food fish sludge is </w:t>
      </w:r>
      <w:r w:rsidR="00196147">
        <w:t>used</w:t>
      </w:r>
      <w:r w:rsidR="00DE20D7">
        <w:t xml:space="preserve"> in this study and referred to as fish sludge throughout the article.</w:t>
      </w:r>
    </w:p>
    <w:p w14:paraId="6985072B" w14:textId="77777777" w:rsidR="00EF73ED" w:rsidRDefault="00EF73ED" w:rsidP="00EB2308">
      <w:pPr>
        <w:pStyle w:val="CETBodytext"/>
      </w:pPr>
    </w:p>
    <w:p w14:paraId="5C9A6C65" w14:textId="6A846E7C" w:rsidR="005123CD" w:rsidRDefault="005123CD" w:rsidP="00EB2308">
      <w:pPr>
        <w:pStyle w:val="CETBodytext"/>
      </w:pPr>
      <w:r w:rsidRPr="005123CD">
        <w:rPr>
          <w:noProof/>
        </w:rPr>
        <w:drawing>
          <wp:inline distT="0" distB="0" distL="0" distR="0" wp14:anchorId="758F8627" wp14:editId="42241625">
            <wp:extent cx="5423026" cy="1038205"/>
            <wp:effectExtent l="19050" t="19050" r="25400" b="10160"/>
            <wp:docPr id="59424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44292" name=""/>
                    <pic:cNvPicPr/>
                  </pic:nvPicPr>
                  <pic:blipFill rotWithShape="1">
                    <a:blip r:embed="rId13"/>
                    <a:srcRect l="1785" t="10740" r="1021" b="11217"/>
                    <a:stretch>
                      <a:fillRect/>
                    </a:stretch>
                  </pic:blipFill>
                  <pic:spPr bwMode="auto">
                    <a:xfrm>
                      <a:off x="0" y="0"/>
                      <a:ext cx="5423132" cy="1038225"/>
                    </a:xfrm>
                    <a:prstGeom prst="rect">
                      <a:avLst/>
                    </a:prstGeom>
                    <a:ln>
                      <a:solidFill>
                        <a:schemeClr val="bg1">
                          <a:lumMod val="95000"/>
                        </a:schemeClr>
                      </a:solidFill>
                    </a:ln>
                    <a:extLst>
                      <a:ext uri="{53640926-AAD7-44D8-BBD7-CCE9431645EC}">
                        <a14:shadowObscured xmlns:a14="http://schemas.microsoft.com/office/drawing/2010/main"/>
                      </a:ext>
                    </a:extLst>
                  </pic:spPr>
                </pic:pic>
              </a:graphicData>
            </a:graphic>
          </wp:inline>
        </w:drawing>
      </w:r>
    </w:p>
    <w:p w14:paraId="59152D26" w14:textId="1000B02E" w:rsidR="00EF73ED" w:rsidRPr="00EF73ED" w:rsidRDefault="00EF73ED" w:rsidP="00EF73ED">
      <w:pPr>
        <w:pStyle w:val="CETCaption"/>
      </w:pPr>
      <w:r w:rsidRPr="00BD077D">
        <w:rPr>
          <w:rStyle w:val="CETCaptionCarattere"/>
          <w:i/>
        </w:rPr>
        <w:t xml:space="preserve">Figure 1: </w:t>
      </w:r>
      <w:r w:rsidR="00683970">
        <w:rPr>
          <w:rStyle w:val="CETCaptionCarattere"/>
          <w:i/>
        </w:rPr>
        <w:t>Illustration of the methodology followed in this study</w:t>
      </w:r>
      <w:r>
        <w:t>.</w:t>
      </w:r>
    </w:p>
    <w:p w14:paraId="09DC63B1" w14:textId="62A7D03F" w:rsidR="00EB2308" w:rsidRDefault="00EB2308" w:rsidP="00EB2308">
      <w:pPr>
        <w:pStyle w:val="CETBodytext"/>
      </w:pPr>
      <w:r>
        <w:t>Biogas yields (MW</w:t>
      </w:r>
      <w:r w:rsidR="00527C4F">
        <w:t>h</w:t>
      </w:r>
      <w:r>
        <w:t xml:space="preserve"> CH</w:t>
      </w:r>
      <w:r>
        <w:rPr>
          <w:rFonts w:ascii="Cambria Math" w:hAnsi="Cambria Math" w:cs="Cambria Math"/>
        </w:rPr>
        <w:t>₄</w:t>
      </w:r>
      <w:r>
        <w:t xml:space="preserve"> t</w:t>
      </w:r>
      <w:r>
        <w:rPr>
          <w:rFonts w:ascii="Cambria Math" w:hAnsi="Cambria Math" w:cs="Cambria Math"/>
        </w:rPr>
        <w:t>⁻</w:t>
      </w:r>
      <w:r>
        <w:rPr>
          <w:rFonts w:cs="Arial"/>
        </w:rPr>
        <w:t>¹</w:t>
      </w:r>
      <w:r>
        <w:t xml:space="preserve"> DM) for food waste and fish ensilage were taken from Carbon Limits (2019). Livestock manure yields were estimated based on manure composition and animal-specific parameters. Yields for </w:t>
      </w:r>
      <w:r w:rsidR="00C24315">
        <w:t>smolt</w:t>
      </w:r>
      <w:r>
        <w:t xml:space="preserve"> sludge were taken from </w:t>
      </w:r>
      <w:proofErr w:type="spellStart"/>
      <w:r>
        <w:t>Biogass</w:t>
      </w:r>
      <w:proofErr w:type="spellEnd"/>
      <w:r>
        <w:t xml:space="preserve"> Oslofjord and </w:t>
      </w:r>
      <w:proofErr w:type="spellStart"/>
      <w:r>
        <w:t>Avfall</w:t>
      </w:r>
      <w:proofErr w:type="spellEnd"/>
      <w:r>
        <w:t xml:space="preserve"> Norge (2021) and assumed identical for food fish sludge. DM contents were obtained from Carbon Limits (2021) for food waste, EY (2024) for fish ensilage, Bj</w:t>
      </w:r>
      <w:r>
        <w:rPr>
          <w:rFonts w:cs="Arial"/>
        </w:rPr>
        <w:t>ø</w:t>
      </w:r>
      <w:r>
        <w:t xml:space="preserve">rndal et al. (2018) for fish sludges, and are listed for livestock manure in </w:t>
      </w:r>
      <w:r w:rsidR="002E00E5">
        <w:t>(Birgen, 2026)</w:t>
      </w:r>
      <w:r>
        <w:t>.</w:t>
      </w:r>
    </w:p>
    <w:p w14:paraId="3D9131E6" w14:textId="7CCCAD58" w:rsidR="005C2B28" w:rsidRDefault="00EB2308" w:rsidP="00EB2308">
      <w:pPr>
        <w:pStyle w:val="CETBodytext"/>
        <w:rPr>
          <w:lang w:val="en-GB"/>
        </w:rPr>
      </w:pPr>
      <w:r>
        <w:t>Current biogas production (GW</w:t>
      </w:r>
      <w:r w:rsidR="0039379E">
        <w:t>h</w:t>
      </w:r>
      <w:r>
        <w:t xml:space="preserve">) was calculated from DM volumes and biogas yields. Biogas potential for food waste and livestock manure was obtained from </w:t>
      </w:r>
      <w:proofErr w:type="spellStart"/>
      <w:r>
        <w:t>Norwaste</w:t>
      </w:r>
      <w:proofErr w:type="spellEnd"/>
      <w:r>
        <w:t xml:space="preserve"> (2024), while potentials for fish ensilage and fish sludges were calculated from DM volumes and yields</w:t>
      </w:r>
      <w:r w:rsidR="005C2B28" w:rsidRPr="005C2B28">
        <w:rPr>
          <w:lang w:val="en-GB"/>
        </w:rPr>
        <w:t>.</w:t>
      </w:r>
    </w:p>
    <w:p w14:paraId="2A7ACB7B" w14:textId="43DD06A0" w:rsidR="005123CD" w:rsidRPr="005A541D" w:rsidRDefault="007175BB" w:rsidP="00EB2308">
      <w:pPr>
        <w:pStyle w:val="CETBodytext"/>
        <w:rPr>
          <w:lang w:val="en-GB"/>
        </w:rPr>
      </w:pPr>
      <w:r>
        <w:rPr>
          <w:lang w:val="en-GB"/>
        </w:rPr>
        <w:t>Nitrogen and phosphorus contents</w:t>
      </w:r>
      <w:r w:rsidR="00E8424C">
        <w:rPr>
          <w:lang w:val="en-GB"/>
        </w:rPr>
        <w:t xml:space="preserve"> are the properties estimated in this study since</w:t>
      </w:r>
      <w:r w:rsidR="009F42B2">
        <w:rPr>
          <w:lang w:val="en-GB"/>
        </w:rPr>
        <w:t xml:space="preserve"> </w:t>
      </w:r>
      <w:r w:rsidR="001D65FF" w:rsidRPr="001D65FF">
        <w:rPr>
          <w:lang w:val="en-GB"/>
        </w:rPr>
        <w:t>the biogeochemical flows of nitrogen and phosphorus currently exceed the Earth’s safe operating limits</w:t>
      </w:r>
      <w:r w:rsidR="008C11F0">
        <w:rPr>
          <w:lang w:val="en-GB"/>
        </w:rPr>
        <w:t xml:space="preserve"> are defined to be critical to track and </w:t>
      </w:r>
      <w:r w:rsidR="008C11F0">
        <w:rPr>
          <w:lang w:val="en-GB"/>
        </w:rPr>
        <w:lastRenderedPageBreak/>
        <w:t xml:space="preserve">recover </w:t>
      </w:r>
      <w:r w:rsidR="003F0A29">
        <w:rPr>
          <w:lang w:val="en-GB"/>
        </w:rPr>
        <w:t>(Azote, 2023)</w:t>
      </w:r>
      <w:r w:rsidR="001D65FF" w:rsidRPr="001D65FF">
        <w:rPr>
          <w:lang w:val="en-GB"/>
        </w:rPr>
        <w:t>.</w:t>
      </w:r>
      <w:r w:rsidR="00E8424C">
        <w:rPr>
          <w:lang w:val="en-GB"/>
        </w:rPr>
        <w:t xml:space="preserve"> </w:t>
      </w:r>
      <w:r w:rsidR="000D3C17" w:rsidRPr="000D3C17">
        <w:rPr>
          <w:lang w:val="en-GB"/>
        </w:rPr>
        <w:t xml:space="preserve">The nitrogen concentration (kg/t </w:t>
      </w:r>
      <w:r w:rsidR="000D3C17">
        <w:rPr>
          <w:lang w:val="en-GB"/>
        </w:rPr>
        <w:t>DM</w:t>
      </w:r>
      <w:r w:rsidR="000D3C17" w:rsidRPr="000D3C17">
        <w:rPr>
          <w:lang w:val="en-GB"/>
        </w:rPr>
        <w:t xml:space="preserve">) and phosphorus concentration (kg/t </w:t>
      </w:r>
      <w:r w:rsidR="000D3C17">
        <w:rPr>
          <w:lang w:val="en-GB"/>
        </w:rPr>
        <w:t>DM</w:t>
      </w:r>
      <w:r w:rsidR="000D3C17" w:rsidRPr="000D3C17">
        <w:rPr>
          <w:lang w:val="en-GB"/>
        </w:rPr>
        <w:t xml:space="preserve">) on a dry matter basis were obtained for food waste from </w:t>
      </w:r>
      <w:r w:rsidR="00DF7DC9">
        <w:rPr>
          <w:lang w:val="en-GB"/>
        </w:rPr>
        <w:t>(Morken et al., 2015)</w:t>
      </w:r>
      <w:r w:rsidR="000D3C17" w:rsidRPr="000D3C17">
        <w:rPr>
          <w:lang w:val="en-GB"/>
        </w:rPr>
        <w:t xml:space="preserve">, for fish ensilage from </w:t>
      </w:r>
      <w:r w:rsidR="00690148">
        <w:rPr>
          <w:lang w:val="en-GB"/>
        </w:rPr>
        <w:t>(Brod, 2024)</w:t>
      </w:r>
      <w:r w:rsidR="000D3C17" w:rsidRPr="000D3C17">
        <w:rPr>
          <w:lang w:val="en-GB"/>
        </w:rPr>
        <w:t xml:space="preserve"> and </w:t>
      </w:r>
      <w:r w:rsidR="004C25CF">
        <w:rPr>
          <w:lang w:val="en-GB"/>
        </w:rPr>
        <w:t>(</w:t>
      </w:r>
      <w:r w:rsidR="00C5795B">
        <w:rPr>
          <w:lang w:val="en-GB"/>
        </w:rPr>
        <w:t xml:space="preserve">Blytt et al., </w:t>
      </w:r>
      <w:r w:rsidR="00141248">
        <w:rPr>
          <w:lang w:val="en-GB"/>
        </w:rPr>
        <w:t>2017</w:t>
      </w:r>
      <w:r w:rsidR="004C25CF">
        <w:rPr>
          <w:lang w:val="en-GB"/>
        </w:rPr>
        <w:t>)</w:t>
      </w:r>
      <w:r w:rsidR="000D3C17" w:rsidRPr="000D3C17">
        <w:rPr>
          <w:lang w:val="en-GB"/>
        </w:rPr>
        <w:t xml:space="preserve">, for livestock manure from </w:t>
      </w:r>
      <w:r w:rsidR="002E00E5">
        <w:rPr>
          <w:lang w:val="en-GB"/>
        </w:rPr>
        <w:t>(Birgen, 2026)</w:t>
      </w:r>
      <w:r w:rsidR="000D3C17" w:rsidRPr="000D3C17">
        <w:rPr>
          <w:lang w:val="en-GB"/>
        </w:rPr>
        <w:t xml:space="preserve">, for smolt sludge from </w:t>
      </w:r>
      <w:r w:rsidR="00D82E4B">
        <w:rPr>
          <w:lang w:val="en-GB"/>
        </w:rPr>
        <w:t>(Brod and Øgaar</w:t>
      </w:r>
      <w:r w:rsidR="002D39F5">
        <w:rPr>
          <w:lang w:val="en-GB"/>
        </w:rPr>
        <w:t>d, 2023</w:t>
      </w:r>
      <w:r w:rsidR="00D82E4B">
        <w:rPr>
          <w:lang w:val="en-GB"/>
        </w:rPr>
        <w:t>)</w:t>
      </w:r>
      <w:r w:rsidR="000D3C17" w:rsidRPr="000D3C17">
        <w:rPr>
          <w:lang w:val="en-GB"/>
        </w:rPr>
        <w:t xml:space="preserve">, and for </w:t>
      </w:r>
      <w:r w:rsidR="00624922">
        <w:rPr>
          <w:lang w:val="en-GB"/>
        </w:rPr>
        <w:t>food</w:t>
      </w:r>
      <w:r w:rsidR="000D3C17" w:rsidRPr="000D3C17">
        <w:rPr>
          <w:lang w:val="en-GB"/>
        </w:rPr>
        <w:t xml:space="preserve"> fish sludge were estimated by multiplying the nitrogen-to-phosphorus ratio (N/P) of smolt sludge by the phosphorus concentration of </w:t>
      </w:r>
      <w:r w:rsidR="00624922">
        <w:rPr>
          <w:lang w:val="en-GB"/>
        </w:rPr>
        <w:t xml:space="preserve">food </w:t>
      </w:r>
      <w:r w:rsidR="000D3C17" w:rsidRPr="000D3C17">
        <w:rPr>
          <w:lang w:val="en-GB"/>
        </w:rPr>
        <w:t xml:space="preserve">fish sludge </w:t>
      </w:r>
      <w:r w:rsidR="000F7658">
        <w:rPr>
          <w:lang w:val="en-GB"/>
        </w:rPr>
        <w:t>(Blytt et al., 2017)</w:t>
      </w:r>
      <w:r w:rsidR="000D3C17" w:rsidRPr="000D3C17">
        <w:rPr>
          <w:lang w:val="en-GB"/>
        </w:rPr>
        <w:t>.</w:t>
      </w:r>
    </w:p>
    <w:p w14:paraId="18BAFA6F" w14:textId="1C27B3FE" w:rsidR="00453E24" w:rsidRPr="00B57B36" w:rsidRDefault="00465892" w:rsidP="00453E24">
      <w:pPr>
        <w:pStyle w:val="CETheadingx"/>
      </w:pPr>
      <w:r>
        <w:t>Digestate volume and properties</w:t>
      </w:r>
    </w:p>
    <w:p w14:paraId="75D166BC" w14:textId="11110CE1" w:rsidR="00460B13" w:rsidRPr="00B57B36" w:rsidRDefault="001300D5" w:rsidP="00453E24">
      <w:pPr>
        <w:pStyle w:val="CETBodytext"/>
      </w:pPr>
      <w:r>
        <w:t xml:space="preserve">Digestate properties are estimated theoretically using the associated biogas feedstock volume and properties as </w:t>
      </w:r>
      <w:r w:rsidR="00EB368B">
        <w:t>explained in section 2.1</w:t>
      </w:r>
      <w:r w:rsidR="00453E24">
        <w:t>.</w:t>
      </w:r>
      <w:r w:rsidR="00460B13">
        <w:t xml:space="preserve"> </w:t>
      </w:r>
      <w:r w:rsidR="009C2484" w:rsidRPr="009C2484">
        <w:rPr>
          <w:lang w:val="en-GB"/>
        </w:rPr>
        <w:t xml:space="preserve">Digesters in biogas production typically operate at a </w:t>
      </w:r>
      <w:r w:rsidR="009C2484">
        <w:rPr>
          <w:lang w:val="en-GB"/>
        </w:rPr>
        <w:t xml:space="preserve">DM </w:t>
      </w:r>
      <w:r w:rsidR="009C2484" w:rsidRPr="009C2484">
        <w:rPr>
          <w:lang w:val="en-GB"/>
        </w:rPr>
        <w:t>content of approximately 5</w:t>
      </w:r>
      <w:r w:rsidR="00220AAB">
        <w:rPr>
          <w:lang w:val="en-GB"/>
        </w:rPr>
        <w:t xml:space="preserve"> </w:t>
      </w:r>
      <w:r w:rsidR="009C2484" w:rsidRPr="009C2484">
        <w:rPr>
          <w:lang w:val="en-GB"/>
        </w:rPr>
        <w:t>%</w:t>
      </w:r>
      <w:r w:rsidR="00BC4B6A">
        <w:rPr>
          <w:lang w:val="en-GB"/>
        </w:rPr>
        <w:t xml:space="preserve"> </w:t>
      </w:r>
      <w:r w:rsidR="00B448C6">
        <w:rPr>
          <w:lang w:val="en-GB"/>
        </w:rPr>
        <w:t xml:space="preserve">in Norwegian biogas plants </w:t>
      </w:r>
      <w:r w:rsidR="00BC4B6A">
        <w:rPr>
          <w:lang w:val="en-GB"/>
        </w:rPr>
        <w:t>(Ivar, 2025)</w:t>
      </w:r>
      <w:r w:rsidR="009C2484" w:rsidRPr="009C2484">
        <w:rPr>
          <w:lang w:val="en-GB"/>
        </w:rPr>
        <w:t>, which is regulated by adding water to the reactor. In addition, a 50</w:t>
      </w:r>
      <w:r w:rsidR="00220AAB">
        <w:rPr>
          <w:lang w:val="en-GB"/>
        </w:rPr>
        <w:t xml:space="preserve"> </w:t>
      </w:r>
      <w:r w:rsidR="009C2484" w:rsidRPr="009C2484">
        <w:rPr>
          <w:lang w:val="en-GB"/>
        </w:rPr>
        <w:t xml:space="preserve">% reduction in </w:t>
      </w:r>
      <w:r w:rsidR="009C2484">
        <w:rPr>
          <w:lang w:val="en-GB"/>
        </w:rPr>
        <w:t>DM</w:t>
      </w:r>
      <w:r w:rsidR="009C2484" w:rsidRPr="009C2484">
        <w:rPr>
          <w:lang w:val="en-GB"/>
        </w:rPr>
        <w:t xml:space="preserve"> during the anaerobic digestion process can be assumed</w:t>
      </w:r>
      <w:r w:rsidR="00B448C6">
        <w:rPr>
          <w:lang w:val="en-GB"/>
        </w:rPr>
        <w:t xml:space="preserve"> based on a typical range of 50-90</w:t>
      </w:r>
      <w:r w:rsidR="00220AAB">
        <w:rPr>
          <w:lang w:val="en-GB"/>
        </w:rPr>
        <w:t xml:space="preserve"> </w:t>
      </w:r>
      <w:r w:rsidR="00B448C6">
        <w:rPr>
          <w:lang w:val="en-GB"/>
        </w:rPr>
        <w:t>% of volatile solids reduction</w:t>
      </w:r>
      <w:r w:rsidR="00206AF9">
        <w:rPr>
          <w:lang w:val="en-GB"/>
        </w:rPr>
        <w:t xml:space="preserve"> during anaerobic digestion</w:t>
      </w:r>
      <w:r w:rsidR="00B448C6">
        <w:rPr>
          <w:lang w:val="en-GB"/>
        </w:rPr>
        <w:t xml:space="preserve"> (University of Maryland, 2014)</w:t>
      </w:r>
      <w:r w:rsidR="009C2484" w:rsidRPr="009C2484">
        <w:rPr>
          <w:lang w:val="en-GB"/>
        </w:rPr>
        <w:t>. Furthermore, it was assumed that all components constituting the total solids were reduced by 50</w:t>
      </w:r>
      <w:r w:rsidR="006F2978">
        <w:rPr>
          <w:lang w:val="en-GB"/>
        </w:rPr>
        <w:t xml:space="preserve"> </w:t>
      </w:r>
      <w:r w:rsidR="009C2484" w:rsidRPr="009C2484">
        <w:rPr>
          <w:lang w:val="en-GB"/>
        </w:rPr>
        <w:t>%.</w:t>
      </w:r>
      <w:r w:rsidR="006D5C59">
        <w:rPr>
          <w:lang w:val="en-GB"/>
        </w:rPr>
        <w:t xml:space="preserve"> Digestate volume </w:t>
      </w:r>
      <w:r w:rsidR="00171E47">
        <w:rPr>
          <w:lang w:val="en-GB"/>
        </w:rPr>
        <w:t>both in wet and dry basis</w:t>
      </w:r>
      <w:r w:rsidR="0002480B">
        <w:rPr>
          <w:lang w:val="en-GB"/>
        </w:rPr>
        <w:t xml:space="preserve"> as well as N and P contents</w:t>
      </w:r>
      <w:r w:rsidR="00171E47">
        <w:rPr>
          <w:lang w:val="en-GB"/>
        </w:rPr>
        <w:t xml:space="preserve"> are calculated based on these assumptions.</w:t>
      </w:r>
      <w:r w:rsidR="00E92724">
        <w:rPr>
          <w:lang w:val="en-GB"/>
        </w:rPr>
        <w:t xml:space="preserve"> </w:t>
      </w:r>
    </w:p>
    <w:p w14:paraId="677EBFF0" w14:textId="34107F11" w:rsidR="00600535" w:rsidRDefault="004E37FB" w:rsidP="00600535">
      <w:pPr>
        <w:pStyle w:val="CETHeading1"/>
        <w:tabs>
          <w:tab w:val="clear" w:pos="360"/>
          <w:tab w:val="right" w:pos="7100"/>
        </w:tabs>
        <w:jc w:val="both"/>
        <w:rPr>
          <w:lang w:val="en-GB"/>
        </w:rPr>
      </w:pPr>
      <w:r>
        <w:rPr>
          <w:lang w:val="en-GB"/>
        </w:rPr>
        <w:t>Result</w:t>
      </w:r>
      <w:r w:rsidR="00600535" w:rsidRPr="00B57B36">
        <w:rPr>
          <w:lang w:val="en-GB"/>
        </w:rPr>
        <w:t>s</w:t>
      </w:r>
    </w:p>
    <w:p w14:paraId="6F640265" w14:textId="56D86DD9" w:rsidR="00030DAD" w:rsidRPr="00030DAD" w:rsidRDefault="0076184C" w:rsidP="00030DAD">
      <w:pPr>
        <w:pStyle w:val="CETBodytext"/>
        <w:rPr>
          <w:lang w:val="en-GB"/>
        </w:rPr>
      </w:pPr>
      <w:r>
        <w:rPr>
          <w:lang w:val="en-GB"/>
        </w:rPr>
        <w:t>Volume and properties of biogas feedstocks and corresponding digestates</w:t>
      </w:r>
      <w:r w:rsidR="00F857C0">
        <w:rPr>
          <w:lang w:val="en-GB"/>
        </w:rPr>
        <w:t xml:space="preserve"> as well as </w:t>
      </w:r>
      <w:r w:rsidR="00732E9B">
        <w:rPr>
          <w:lang w:val="en-GB"/>
        </w:rPr>
        <w:t>energy requirement for downstream processing of digestate</w:t>
      </w:r>
      <w:r>
        <w:rPr>
          <w:lang w:val="en-GB"/>
        </w:rPr>
        <w:t xml:space="preserve"> are given in sections below.</w:t>
      </w:r>
    </w:p>
    <w:p w14:paraId="04963A06" w14:textId="50B78566" w:rsidR="00600535" w:rsidRPr="00B57B36" w:rsidRDefault="00030DAD" w:rsidP="00FA5F5F">
      <w:pPr>
        <w:pStyle w:val="CETheadingx"/>
      </w:pPr>
      <w:r>
        <w:t>Volume</w:t>
      </w:r>
      <w:r w:rsidR="00FB4A4F">
        <w:t>s</w:t>
      </w:r>
      <w:r>
        <w:t xml:space="preserve"> and properties of biogas feedstocks originated from Norwegian food system</w:t>
      </w:r>
    </w:p>
    <w:p w14:paraId="123CB7DF" w14:textId="7760D5B4" w:rsidR="00600535" w:rsidRDefault="00FB4A4F" w:rsidP="00600535">
      <w:pPr>
        <w:pStyle w:val="CETBodytext"/>
        <w:rPr>
          <w:lang w:val="en-GB"/>
        </w:rPr>
      </w:pPr>
      <w:r>
        <w:rPr>
          <w:lang w:val="en-GB"/>
        </w:rPr>
        <w:t>Table 2 shows v</w:t>
      </w:r>
      <w:r w:rsidRPr="00FB4A4F">
        <w:rPr>
          <w:lang w:val="en-GB"/>
        </w:rPr>
        <w:t>olume</w:t>
      </w:r>
      <w:r>
        <w:rPr>
          <w:lang w:val="en-GB"/>
        </w:rPr>
        <w:t>s</w:t>
      </w:r>
      <w:r w:rsidRPr="00FB4A4F">
        <w:rPr>
          <w:lang w:val="en-GB"/>
        </w:rPr>
        <w:t xml:space="preserve"> of</w:t>
      </w:r>
      <w:r w:rsidR="001B347E">
        <w:rPr>
          <w:lang w:val="en-GB"/>
        </w:rPr>
        <w:t xml:space="preserve"> current and future biogas </w:t>
      </w:r>
      <w:r w:rsidRPr="00FB4A4F">
        <w:rPr>
          <w:lang w:val="en-GB"/>
        </w:rPr>
        <w:t>feedstocks originated from Norwegian food system</w:t>
      </w:r>
      <w:r w:rsidR="00DB653A">
        <w:rPr>
          <w:lang w:val="en-GB"/>
        </w:rPr>
        <w:t>.</w:t>
      </w:r>
    </w:p>
    <w:p w14:paraId="4BD99662" w14:textId="5141D950" w:rsidR="00030DAD" w:rsidRPr="00B57B36" w:rsidRDefault="00030DAD" w:rsidP="00030DAD">
      <w:pPr>
        <w:pStyle w:val="CETTabletitle"/>
      </w:pPr>
      <w:r w:rsidRPr="00B57B36">
        <w:t xml:space="preserve">Table </w:t>
      </w:r>
      <w:r>
        <w:t>2</w:t>
      </w:r>
      <w:r w:rsidRPr="00B57B36">
        <w:t>:</w:t>
      </w:r>
      <w:r w:rsidR="0076184C" w:rsidRPr="0076184C">
        <w:t xml:space="preserve"> </w:t>
      </w:r>
      <w:r w:rsidR="00CD2B0C">
        <w:t>Current and future b</w:t>
      </w:r>
      <w:r w:rsidR="0076184C" w:rsidRPr="0076184C">
        <w:t>iogas feedstock volume</w:t>
      </w:r>
      <w:r w:rsidR="00CD2B0C">
        <w:t>s</w:t>
      </w:r>
      <w:r w:rsidR="006001DC">
        <w:t xml:space="preserve"> in wet and dry basis</w:t>
      </w:r>
      <w:r w:rsidR="004A76F9">
        <w:t xml:space="preserve"> in </w:t>
      </w:r>
      <w:proofErr w:type="spellStart"/>
      <w:r w:rsidR="004A76F9">
        <w:t>kilotonnes</w:t>
      </w:r>
      <w:proofErr w:type="spellEnd"/>
      <w:r w:rsidR="00C74B23">
        <w:t>.</w:t>
      </w:r>
    </w:p>
    <w:tbl>
      <w:tblPr>
        <w:tblW w:w="880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51"/>
        <w:gridCol w:w="1689"/>
        <w:gridCol w:w="1689"/>
        <w:gridCol w:w="1843"/>
        <w:gridCol w:w="1437"/>
      </w:tblGrid>
      <w:tr w:rsidR="00030DAD" w:rsidRPr="00B57B36" w14:paraId="59689DDD" w14:textId="77777777" w:rsidTr="00C74B23">
        <w:trPr>
          <w:trHeight w:val="278"/>
        </w:trPr>
        <w:tc>
          <w:tcPr>
            <w:tcW w:w="2151" w:type="dxa"/>
            <w:tcBorders>
              <w:top w:val="single" w:sz="12" w:space="0" w:color="008000"/>
              <w:bottom w:val="single" w:sz="6" w:space="0" w:color="008000"/>
            </w:tcBorders>
            <w:shd w:val="clear" w:color="auto" w:fill="FFFFFF"/>
          </w:tcPr>
          <w:p w14:paraId="756AFCF3" w14:textId="4EA58160" w:rsidR="00030DAD" w:rsidRPr="00B57B36" w:rsidRDefault="00CD2B0C" w:rsidP="00320E18">
            <w:pPr>
              <w:pStyle w:val="CETBodytext"/>
              <w:rPr>
                <w:lang w:val="en-GB"/>
              </w:rPr>
            </w:pPr>
            <w:r>
              <w:rPr>
                <w:lang w:val="en-GB"/>
              </w:rPr>
              <w:t>Feedstock</w:t>
            </w:r>
          </w:p>
        </w:tc>
        <w:tc>
          <w:tcPr>
            <w:tcW w:w="1689" w:type="dxa"/>
            <w:tcBorders>
              <w:top w:val="single" w:sz="12" w:space="0" w:color="008000"/>
              <w:bottom w:val="single" w:sz="6" w:space="0" w:color="008000"/>
            </w:tcBorders>
            <w:shd w:val="clear" w:color="auto" w:fill="FFFFFF"/>
          </w:tcPr>
          <w:p w14:paraId="2476DDD5" w14:textId="6EE04613" w:rsidR="00030DAD" w:rsidRPr="00B57B36" w:rsidRDefault="00EF3755" w:rsidP="00320E18">
            <w:pPr>
              <w:pStyle w:val="CETBodytext"/>
              <w:rPr>
                <w:lang w:val="en-GB"/>
              </w:rPr>
            </w:pPr>
            <w:r>
              <w:rPr>
                <w:lang w:val="en-GB"/>
              </w:rPr>
              <w:t>Current wet (kt)</w:t>
            </w:r>
          </w:p>
        </w:tc>
        <w:tc>
          <w:tcPr>
            <w:tcW w:w="1689" w:type="dxa"/>
            <w:tcBorders>
              <w:top w:val="single" w:sz="12" w:space="0" w:color="008000"/>
              <w:bottom w:val="single" w:sz="6" w:space="0" w:color="008000"/>
            </w:tcBorders>
            <w:shd w:val="clear" w:color="auto" w:fill="FFFFFF"/>
          </w:tcPr>
          <w:p w14:paraId="7F28E90D" w14:textId="32D98BBC" w:rsidR="00030DAD" w:rsidRPr="00B57B36" w:rsidRDefault="00A16878" w:rsidP="00320E18">
            <w:pPr>
              <w:pStyle w:val="CETBodytext"/>
              <w:rPr>
                <w:lang w:val="en-GB"/>
              </w:rPr>
            </w:pPr>
            <w:r>
              <w:rPr>
                <w:lang w:val="en-GB"/>
              </w:rPr>
              <w:t xml:space="preserve"> Future wet (kt)</w:t>
            </w:r>
          </w:p>
        </w:tc>
        <w:tc>
          <w:tcPr>
            <w:tcW w:w="1843" w:type="dxa"/>
            <w:tcBorders>
              <w:top w:val="single" w:sz="12" w:space="0" w:color="008000"/>
              <w:bottom w:val="single" w:sz="6" w:space="0" w:color="008000"/>
            </w:tcBorders>
            <w:shd w:val="clear" w:color="auto" w:fill="FFFFFF"/>
          </w:tcPr>
          <w:p w14:paraId="5F818C29" w14:textId="3B9080B5" w:rsidR="00030DAD" w:rsidRPr="00B57B36" w:rsidRDefault="00A16878" w:rsidP="00320E18">
            <w:pPr>
              <w:pStyle w:val="CETBodytext"/>
              <w:ind w:right="-1"/>
              <w:rPr>
                <w:rFonts w:cs="Arial"/>
                <w:szCs w:val="18"/>
                <w:lang w:val="en-GB"/>
              </w:rPr>
            </w:pPr>
            <w:r>
              <w:rPr>
                <w:rFonts w:cs="Arial"/>
                <w:szCs w:val="18"/>
                <w:lang w:val="en-GB"/>
              </w:rPr>
              <w:t>Current dry (kt)</w:t>
            </w:r>
          </w:p>
        </w:tc>
        <w:tc>
          <w:tcPr>
            <w:tcW w:w="1437" w:type="dxa"/>
            <w:tcBorders>
              <w:top w:val="single" w:sz="12" w:space="0" w:color="008000"/>
              <w:bottom w:val="single" w:sz="6" w:space="0" w:color="008000"/>
            </w:tcBorders>
            <w:shd w:val="clear" w:color="auto" w:fill="FFFFFF"/>
          </w:tcPr>
          <w:p w14:paraId="07EAE53A" w14:textId="18E22A23" w:rsidR="00030DAD" w:rsidRPr="00B57B36" w:rsidRDefault="006001DC" w:rsidP="00320E18">
            <w:pPr>
              <w:pStyle w:val="CETBodytext"/>
              <w:ind w:right="-1"/>
              <w:rPr>
                <w:rFonts w:cs="Arial"/>
                <w:szCs w:val="18"/>
                <w:lang w:val="en-GB"/>
              </w:rPr>
            </w:pPr>
            <w:r>
              <w:rPr>
                <w:rFonts w:cs="Arial"/>
                <w:szCs w:val="18"/>
                <w:lang w:val="en-GB"/>
              </w:rPr>
              <w:t>Future dry (kt)</w:t>
            </w:r>
          </w:p>
        </w:tc>
      </w:tr>
      <w:tr w:rsidR="00030DAD" w:rsidRPr="00B57B36" w14:paraId="0046B411" w14:textId="77777777" w:rsidTr="00C74B23">
        <w:trPr>
          <w:trHeight w:val="266"/>
        </w:trPr>
        <w:tc>
          <w:tcPr>
            <w:tcW w:w="2151" w:type="dxa"/>
            <w:shd w:val="clear" w:color="auto" w:fill="FFFFFF"/>
          </w:tcPr>
          <w:p w14:paraId="1D7CFF2E" w14:textId="320C9737" w:rsidR="00030DAD" w:rsidRPr="00B57B36" w:rsidRDefault="006033A2" w:rsidP="00320E18">
            <w:pPr>
              <w:pStyle w:val="CETBodytext"/>
              <w:rPr>
                <w:lang w:val="en-GB"/>
              </w:rPr>
            </w:pPr>
            <w:r>
              <w:rPr>
                <w:lang w:val="en-GB"/>
              </w:rPr>
              <w:t>Livestock manure</w:t>
            </w:r>
          </w:p>
        </w:tc>
        <w:tc>
          <w:tcPr>
            <w:tcW w:w="1689" w:type="dxa"/>
            <w:shd w:val="clear" w:color="auto" w:fill="FFFFFF"/>
          </w:tcPr>
          <w:p w14:paraId="5F563DA8" w14:textId="7F836F1F" w:rsidR="00030DAD" w:rsidRPr="00B57B36" w:rsidRDefault="00465EE0" w:rsidP="00320E18">
            <w:pPr>
              <w:pStyle w:val="CETBodytext"/>
              <w:rPr>
                <w:lang w:val="en-GB"/>
              </w:rPr>
            </w:pPr>
            <w:r>
              <w:rPr>
                <w:lang w:val="en-GB"/>
              </w:rPr>
              <w:t>199</w:t>
            </w:r>
          </w:p>
        </w:tc>
        <w:tc>
          <w:tcPr>
            <w:tcW w:w="1689" w:type="dxa"/>
            <w:shd w:val="clear" w:color="auto" w:fill="FFFFFF"/>
          </w:tcPr>
          <w:p w14:paraId="0A884DD8" w14:textId="2E0C2578" w:rsidR="00030DAD" w:rsidRPr="00B57B36" w:rsidRDefault="00B06325" w:rsidP="00320E18">
            <w:pPr>
              <w:pStyle w:val="CETBodytext"/>
              <w:rPr>
                <w:lang w:val="en-GB"/>
              </w:rPr>
            </w:pPr>
            <w:r>
              <w:rPr>
                <w:lang w:val="en-GB"/>
              </w:rPr>
              <w:t>15</w:t>
            </w:r>
            <w:r w:rsidR="00711119">
              <w:rPr>
                <w:lang w:val="en-GB"/>
              </w:rPr>
              <w:t>,</w:t>
            </w:r>
            <w:r>
              <w:rPr>
                <w:lang w:val="en-GB"/>
              </w:rPr>
              <w:t>776</w:t>
            </w:r>
          </w:p>
        </w:tc>
        <w:tc>
          <w:tcPr>
            <w:tcW w:w="1843" w:type="dxa"/>
            <w:shd w:val="clear" w:color="auto" w:fill="FFFFFF"/>
          </w:tcPr>
          <w:p w14:paraId="2A1F1BF4" w14:textId="3DC589A1" w:rsidR="00030DAD" w:rsidRPr="00B57B36" w:rsidRDefault="00B06325" w:rsidP="00320E18">
            <w:pPr>
              <w:pStyle w:val="CETBodytext"/>
              <w:ind w:right="-1"/>
              <w:rPr>
                <w:rFonts w:cs="Arial"/>
                <w:szCs w:val="18"/>
                <w:lang w:val="en-GB"/>
              </w:rPr>
            </w:pPr>
            <w:r>
              <w:rPr>
                <w:rFonts w:cs="Arial"/>
                <w:szCs w:val="18"/>
                <w:lang w:val="en-GB"/>
              </w:rPr>
              <w:t>15</w:t>
            </w:r>
          </w:p>
        </w:tc>
        <w:tc>
          <w:tcPr>
            <w:tcW w:w="1437" w:type="dxa"/>
            <w:shd w:val="clear" w:color="auto" w:fill="FFFFFF"/>
          </w:tcPr>
          <w:p w14:paraId="06803A3C" w14:textId="41A0CF51" w:rsidR="00030DAD" w:rsidRPr="00B57B36" w:rsidRDefault="00DB653A" w:rsidP="00320E18">
            <w:pPr>
              <w:pStyle w:val="CETBodytext"/>
              <w:ind w:right="-1"/>
              <w:rPr>
                <w:rFonts w:cs="Arial"/>
                <w:szCs w:val="18"/>
                <w:lang w:val="en-GB"/>
              </w:rPr>
            </w:pPr>
            <w:r>
              <w:rPr>
                <w:rFonts w:cs="Arial"/>
                <w:szCs w:val="18"/>
                <w:lang w:val="en-GB"/>
              </w:rPr>
              <w:t>1</w:t>
            </w:r>
            <w:r w:rsidR="00711119">
              <w:rPr>
                <w:rFonts w:cs="Arial"/>
                <w:szCs w:val="18"/>
                <w:lang w:val="en-GB"/>
              </w:rPr>
              <w:t>,</w:t>
            </w:r>
            <w:r>
              <w:rPr>
                <w:rFonts w:cs="Arial"/>
                <w:szCs w:val="18"/>
                <w:lang w:val="en-GB"/>
              </w:rPr>
              <w:t>215</w:t>
            </w:r>
          </w:p>
        </w:tc>
      </w:tr>
      <w:tr w:rsidR="006033A2" w:rsidRPr="00B57B36" w14:paraId="29494616" w14:textId="77777777" w:rsidTr="00C74B23">
        <w:trPr>
          <w:trHeight w:val="266"/>
        </w:trPr>
        <w:tc>
          <w:tcPr>
            <w:tcW w:w="2151" w:type="dxa"/>
            <w:shd w:val="clear" w:color="auto" w:fill="FFFFFF"/>
          </w:tcPr>
          <w:p w14:paraId="7A4F2149" w14:textId="687424B6" w:rsidR="006033A2" w:rsidRPr="00B57B36" w:rsidRDefault="006033A2" w:rsidP="00320E18">
            <w:pPr>
              <w:pStyle w:val="CETBodytext"/>
              <w:rPr>
                <w:lang w:val="en-GB"/>
              </w:rPr>
            </w:pPr>
            <w:r>
              <w:rPr>
                <w:lang w:val="en-GB"/>
              </w:rPr>
              <w:t>Food waste</w:t>
            </w:r>
          </w:p>
        </w:tc>
        <w:tc>
          <w:tcPr>
            <w:tcW w:w="1689" w:type="dxa"/>
            <w:shd w:val="clear" w:color="auto" w:fill="FFFFFF"/>
          </w:tcPr>
          <w:p w14:paraId="48BCE5A1" w14:textId="590E7591" w:rsidR="006033A2" w:rsidRPr="00B57B36" w:rsidRDefault="00EB540B" w:rsidP="00320E18">
            <w:pPr>
              <w:pStyle w:val="CETBodytext"/>
              <w:rPr>
                <w:lang w:val="en-GB"/>
              </w:rPr>
            </w:pPr>
            <w:r>
              <w:rPr>
                <w:lang w:val="en-GB"/>
              </w:rPr>
              <w:t>205</w:t>
            </w:r>
          </w:p>
        </w:tc>
        <w:tc>
          <w:tcPr>
            <w:tcW w:w="1689" w:type="dxa"/>
            <w:shd w:val="clear" w:color="auto" w:fill="FFFFFF"/>
          </w:tcPr>
          <w:p w14:paraId="11C231ED" w14:textId="44BA5660" w:rsidR="006033A2" w:rsidRPr="00B57B36" w:rsidRDefault="00EB540B" w:rsidP="00320E18">
            <w:pPr>
              <w:pStyle w:val="CETBodytext"/>
              <w:rPr>
                <w:lang w:val="en-GB"/>
              </w:rPr>
            </w:pPr>
            <w:r>
              <w:rPr>
                <w:lang w:val="en-GB"/>
              </w:rPr>
              <w:t>262</w:t>
            </w:r>
          </w:p>
        </w:tc>
        <w:tc>
          <w:tcPr>
            <w:tcW w:w="1843" w:type="dxa"/>
            <w:shd w:val="clear" w:color="auto" w:fill="FFFFFF"/>
          </w:tcPr>
          <w:p w14:paraId="6201FBCE" w14:textId="5C6818CF" w:rsidR="006033A2" w:rsidRPr="00B57B36" w:rsidRDefault="00EB540B" w:rsidP="00320E18">
            <w:pPr>
              <w:pStyle w:val="CETBodytext"/>
              <w:ind w:right="-1"/>
              <w:rPr>
                <w:rFonts w:cs="Arial"/>
                <w:szCs w:val="18"/>
                <w:lang w:val="en-GB"/>
              </w:rPr>
            </w:pPr>
            <w:r>
              <w:rPr>
                <w:rFonts w:cs="Arial"/>
                <w:szCs w:val="18"/>
                <w:lang w:val="en-GB"/>
              </w:rPr>
              <w:t>61</w:t>
            </w:r>
          </w:p>
        </w:tc>
        <w:tc>
          <w:tcPr>
            <w:tcW w:w="1437" w:type="dxa"/>
            <w:shd w:val="clear" w:color="auto" w:fill="FFFFFF"/>
          </w:tcPr>
          <w:p w14:paraId="0125FC36" w14:textId="4F4B6C9F" w:rsidR="006033A2" w:rsidRPr="00B57B36" w:rsidRDefault="00EB540B" w:rsidP="00320E18">
            <w:pPr>
              <w:pStyle w:val="CETBodytext"/>
              <w:ind w:right="-1"/>
              <w:rPr>
                <w:rFonts w:cs="Arial"/>
                <w:szCs w:val="18"/>
                <w:lang w:val="en-GB"/>
              </w:rPr>
            </w:pPr>
            <w:r>
              <w:rPr>
                <w:rFonts w:cs="Arial"/>
                <w:szCs w:val="18"/>
                <w:lang w:val="en-GB"/>
              </w:rPr>
              <w:t>79</w:t>
            </w:r>
          </w:p>
        </w:tc>
      </w:tr>
      <w:tr w:rsidR="006033A2" w:rsidRPr="00B57B36" w14:paraId="31BE628A" w14:textId="77777777" w:rsidTr="00C74B23">
        <w:trPr>
          <w:trHeight w:val="266"/>
        </w:trPr>
        <w:tc>
          <w:tcPr>
            <w:tcW w:w="2151" w:type="dxa"/>
            <w:shd w:val="clear" w:color="auto" w:fill="FFFFFF"/>
          </w:tcPr>
          <w:p w14:paraId="38F2577B" w14:textId="57E74D51" w:rsidR="006033A2" w:rsidRPr="00B57B36" w:rsidRDefault="003C44AC" w:rsidP="00320E18">
            <w:pPr>
              <w:pStyle w:val="CETBodytext"/>
              <w:rPr>
                <w:lang w:val="en-GB"/>
              </w:rPr>
            </w:pPr>
            <w:r>
              <w:rPr>
                <w:lang w:val="en-GB"/>
              </w:rPr>
              <w:t>Fish sludge</w:t>
            </w:r>
          </w:p>
        </w:tc>
        <w:tc>
          <w:tcPr>
            <w:tcW w:w="1689" w:type="dxa"/>
            <w:shd w:val="clear" w:color="auto" w:fill="FFFFFF"/>
          </w:tcPr>
          <w:p w14:paraId="4412DF8D" w14:textId="5B864000" w:rsidR="006033A2" w:rsidRPr="00B57B36" w:rsidRDefault="000B5E33" w:rsidP="00320E18">
            <w:pPr>
              <w:pStyle w:val="CETBodytext"/>
              <w:rPr>
                <w:lang w:val="en-GB"/>
              </w:rPr>
            </w:pPr>
            <w:r>
              <w:rPr>
                <w:lang w:val="en-GB"/>
              </w:rPr>
              <w:t>38</w:t>
            </w:r>
          </w:p>
        </w:tc>
        <w:tc>
          <w:tcPr>
            <w:tcW w:w="1689" w:type="dxa"/>
            <w:shd w:val="clear" w:color="auto" w:fill="FFFFFF"/>
          </w:tcPr>
          <w:p w14:paraId="23170435" w14:textId="0376E090" w:rsidR="006033A2" w:rsidRPr="00B57B36" w:rsidRDefault="000B5E33" w:rsidP="00320E18">
            <w:pPr>
              <w:pStyle w:val="CETBodytext"/>
              <w:rPr>
                <w:lang w:val="en-GB"/>
              </w:rPr>
            </w:pPr>
            <w:r>
              <w:rPr>
                <w:lang w:val="en-GB"/>
              </w:rPr>
              <w:t>368</w:t>
            </w:r>
          </w:p>
        </w:tc>
        <w:tc>
          <w:tcPr>
            <w:tcW w:w="1843" w:type="dxa"/>
            <w:shd w:val="clear" w:color="auto" w:fill="FFFFFF"/>
          </w:tcPr>
          <w:p w14:paraId="450932E1" w14:textId="48521E2F" w:rsidR="006033A2" w:rsidRPr="00B57B36" w:rsidRDefault="000B5E33" w:rsidP="00320E18">
            <w:pPr>
              <w:pStyle w:val="CETBodytext"/>
              <w:ind w:right="-1"/>
              <w:rPr>
                <w:rFonts w:cs="Arial"/>
                <w:szCs w:val="18"/>
                <w:lang w:val="en-GB"/>
              </w:rPr>
            </w:pPr>
            <w:r>
              <w:rPr>
                <w:rFonts w:cs="Arial"/>
                <w:szCs w:val="18"/>
                <w:lang w:val="en-GB"/>
              </w:rPr>
              <w:t>4</w:t>
            </w:r>
          </w:p>
        </w:tc>
        <w:tc>
          <w:tcPr>
            <w:tcW w:w="1437" w:type="dxa"/>
            <w:shd w:val="clear" w:color="auto" w:fill="FFFFFF"/>
          </w:tcPr>
          <w:p w14:paraId="0CF1C279" w14:textId="45089430" w:rsidR="006033A2" w:rsidRPr="00B57B36" w:rsidRDefault="00C403BB" w:rsidP="00320E18">
            <w:pPr>
              <w:pStyle w:val="CETBodytext"/>
              <w:ind w:right="-1"/>
              <w:rPr>
                <w:rFonts w:cs="Arial"/>
                <w:szCs w:val="18"/>
                <w:lang w:val="en-GB"/>
              </w:rPr>
            </w:pPr>
            <w:r>
              <w:rPr>
                <w:rFonts w:cs="Arial"/>
                <w:szCs w:val="18"/>
                <w:lang w:val="en-GB"/>
              </w:rPr>
              <w:t>37</w:t>
            </w:r>
          </w:p>
        </w:tc>
      </w:tr>
      <w:tr w:rsidR="00030DAD" w:rsidRPr="00B57B36" w14:paraId="4C8AC1A8" w14:textId="77777777" w:rsidTr="00C74B23">
        <w:trPr>
          <w:trHeight w:val="278"/>
        </w:trPr>
        <w:tc>
          <w:tcPr>
            <w:tcW w:w="2151" w:type="dxa"/>
            <w:shd w:val="clear" w:color="auto" w:fill="FFFFFF"/>
          </w:tcPr>
          <w:p w14:paraId="3376A05B" w14:textId="47A100DF" w:rsidR="00030DAD" w:rsidRPr="00B57B36" w:rsidRDefault="003C44AC" w:rsidP="00320E18">
            <w:pPr>
              <w:pStyle w:val="CETBodytext"/>
              <w:ind w:right="-1"/>
              <w:rPr>
                <w:rFonts w:cs="Arial"/>
                <w:szCs w:val="18"/>
                <w:lang w:val="en-GB"/>
              </w:rPr>
            </w:pPr>
            <w:r>
              <w:rPr>
                <w:rFonts w:cs="Arial"/>
                <w:szCs w:val="18"/>
                <w:lang w:val="en-GB"/>
              </w:rPr>
              <w:t>Fish ensilage</w:t>
            </w:r>
          </w:p>
        </w:tc>
        <w:tc>
          <w:tcPr>
            <w:tcW w:w="1689" w:type="dxa"/>
            <w:shd w:val="clear" w:color="auto" w:fill="FFFFFF"/>
          </w:tcPr>
          <w:p w14:paraId="68F29508" w14:textId="62A24A33" w:rsidR="00030DAD" w:rsidRPr="00B57B36" w:rsidRDefault="00C403BB" w:rsidP="00320E18">
            <w:pPr>
              <w:pStyle w:val="CETBodytext"/>
              <w:ind w:right="-1"/>
              <w:rPr>
                <w:rFonts w:cs="Arial"/>
                <w:szCs w:val="18"/>
                <w:lang w:val="en-GB"/>
              </w:rPr>
            </w:pPr>
            <w:r>
              <w:rPr>
                <w:rFonts w:cs="Arial"/>
                <w:szCs w:val="18"/>
                <w:lang w:val="en-GB"/>
              </w:rPr>
              <w:t>59</w:t>
            </w:r>
          </w:p>
        </w:tc>
        <w:tc>
          <w:tcPr>
            <w:tcW w:w="1689" w:type="dxa"/>
            <w:shd w:val="clear" w:color="auto" w:fill="FFFFFF"/>
          </w:tcPr>
          <w:p w14:paraId="3D4C3131" w14:textId="79340F6E" w:rsidR="00030DAD" w:rsidRPr="00B57B36" w:rsidRDefault="00C403BB" w:rsidP="00320E18">
            <w:pPr>
              <w:pStyle w:val="CETBodytext"/>
              <w:ind w:right="-1"/>
              <w:rPr>
                <w:rFonts w:cs="Arial"/>
                <w:szCs w:val="18"/>
                <w:lang w:val="en-GB"/>
              </w:rPr>
            </w:pPr>
            <w:r>
              <w:rPr>
                <w:rFonts w:cs="Arial"/>
                <w:szCs w:val="18"/>
                <w:lang w:val="en-GB"/>
              </w:rPr>
              <w:t>96</w:t>
            </w:r>
          </w:p>
        </w:tc>
        <w:tc>
          <w:tcPr>
            <w:tcW w:w="1843" w:type="dxa"/>
            <w:shd w:val="clear" w:color="auto" w:fill="FFFFFF"/>
          </w:tcPr>
          <w:p w14:paraId="2F08041C" w14:textId="5BBB2C04" w:rsidR="00030DAD" w:rsidRPr="00B57B36" w:rsidRDefault="00C403BB" w:rsidP="00320E18">
            <w:pPr>
              <w:pStyle w:val="CETBodytext"/>
              <w:ind w:right="-1"/>
              <w:rPr>
                <w:rFonts w:cs="Arial"/>
                <w:szCs w:val="18"/>
                <w:lang w:val="en-GB"/>
              </w:rPr>
            </w:pPr>
            <w:r>
              <w:rPr>
                <w:rFonts w:cs="Arial"/>
                <w:szCs w:val="18"/>
                <w:lang w:val="en-GB"/>
              </w:rPr>
              <w:t>18</w:t>
            </w:r>
          </w:p>
        </w:tc>
        <w:tc>
          <w:tcPr>
            <w:tcW w:w="1437" w:type="dxa"/>
            <w:shd w:val="clear" w:color="auto" w:fill="FFFFFF"/>
          </w:tcPr>
          <w:p w14:paraId="619281CF" w14:textId="7A52C153" w:rsidR="00030DAD" w:rsidRPr="00B57B36" w:rsidRDefault="00C403BB" w:rsidP="00320E18">
            <w:pPr>
              <w:pStyle w:val="CETBodytext"/>
              <w:ind w:right="-1"/>
              <w:rPr>
                <w:rFonts w:cs="Arial"/>
                <w:szCs w:val="18"/>
                <w:lang w:val="en-GB"/>
              </w:rPr>
            </w:pPr>
            <w:r>
              <w:rPr>
                <w:rFonts w:cs="Arial"/>
                <w:szCs w:val="18"/>
                <w:lang w:val="en-GB"/>
              </w:rPr>
              <w:t>29</w:t>
            </w:r>
          </w:p>
        </w:tc>
      </w:tr>
      <w:tr w:rsidR="003C44AC" w:rsidRPr="00B57B36" w14:paraId="01C7B437" w14:textId="77777777" w:rsidTr="00C74B23">
        <w:trPr>
          <w:trHeight w:val="278"/>
        </w:trPr>
        <w:tc>
          <w:tcPr>
            <w:tcW w:w="2151" w:type="dxa"/>
            <w:shd w:val="clear" w:color="auto" w:fill="FFFFFF"/>
          </w:tcPr>
          <w:p w14:paraId="2B249FA3" w14:textId="3BF2954E" w:rsidR="003C44AC" w:rsidRDefault="003C44AC" w:rsidP="00320E18">
            <w:pPr>
              <w:pStyle w:val="CETBodytext"/>
              <w:ind w:right="-1"/>
              <w:rPr>
                <w:rFonts w:cs="Arial"/>
                <w:szCs w:val="18"/>
                <w:lang w:val="en-GB"/>
              </w:rPr>
            </w:pPr>
            <w:r>
              <w:rPr>
                <w:rFonts w:cs="Arial"/>
                <w:szCs w:val="18"/>
                <w:lang w:val="en-GB"/>
              </w:rPr>
              <w:t>Total</w:t>
            </w:r>
          </w:p>
        </w:tc>
        <w:tc>
          <w:tcPr>
            <w:tcW w:w="1689" w:type="dxa"/>
            <w:shd w:val="clear" w:color="auto" w:fill="FFFFFF"/>
          </w:tcPr>
          <w:p w14:paraId="370D076F" w14:textId="60A9BBF3" w:rsidR="003C44AC" w:rsidRPr="00B57B36" w:rsidRDefault="001467F7" w:rsidP="00320E18">
            <w:pPr>
              <w:pStyle w:val="CETBodytext"/>
              <w:ind w:right="-1"/>
              <w:rPr>
                <w:rFonts w:cs="Arial"/>
                <w:szCs w:val="18"/>
                <w:lang w:val="en-GB"/>
              </w:rPr>
            </w:pPr>
            <w:r>
              <w:rPr>
                <w:rFonts w:cs="Arial"/>
                <w:szCs w:val="18"/>
                <w:lang w:val="en-GB"/>
              </w:rPr>
              <w:t>500</w:t>
            </w:r>
          </w:p>
        </w:tc>
        <w:tc>
          <w:tcPr>
            <w:tcW w:w="1689" w:type="dxa"/>
            <w:shd w:val="clear" w:color="auto" w:fill="FFFFFF"/>
          </w:tcPr>
          <w:p w14:paraId="09E2F14A" w14:textId="23063EB8" w:rsidR="003C44AC" w:rsidRPr="00B57B36" w:rsidRDefault="00950274" w:rsidP="00320E18">
            <w:pPr>
              <w:pStyle w:val="CETBodytext"/>
              <w:ind w:right="-1"/>
              <w:rPr>
                <w:rFonts w:cs="Arial"/>
                <w:szCs w:val="18"/>
                <w:lang w:val="en-GB"/>
              </w:rPr>
            </w:pPr>
            <w:r>
              <w:rPr>
                <w:rFonts w:cs="Arial"/>
                <w:szCs w:val="18"/>
                <w:lang w:val="en-GB"/>
              </w:rPr>
              <w:t>16</w:t>
            </w:r>
            <w:r w:rsidR="00711119">
              <w:rPr>
                <w:rFonts w:cs="Arial"/>
                <w:szCs w:val="18"/>
                <w:lang w:val="en-GB"/>
              </w:rPr>
              <w:t>,</w:t>
            </w:r>
            <w:r>
              <w:rPr>
                <w:rFonts w:cs="Arial"/>
                <w:szCs w:val="18"/>
                <w:lang w:val="en-GB"/>
              </w:rPr>
              <w:t>501</w:t>
            </w:r>
          </w:p>
        </w:tc>
        <w:tc>
          <w:tcPr>
            <w:tcW w:w="1843" w:type="dxa"/>
            <w:shd w:val="clear" w:color="auto" w:fill="FFFFFF"/>
          </w:tcPr>
          <w:p w14:paraId="624F4DB1" w14:textId="17D6C3D1" w:rsidR="003C44AC" w:rsidRPr="00B57B36" w:rsidRDefault="00950274" w:rsidP="00320E18">
            <w:pPr>
              <w:pStyle w:val="CETBodytext"/>
              <w:ind w:right="-1"/>
              <w:rPr>
                <w:rFonts w:cs="Arial"/>
                <w:szCs w:val="18"/>
                <w:lang w:val="en-GB"/>
              </w:rPr>
            </w:pPr>
            <w:r>
              <w:rPr>
                <w:rFonts w:cs="Arial"/>
                <w:szCs w:val="18"/>
                <w:lang w:val="en-GB"/>
              </w:rPr>
              <w:t>98</w:t>
            </w:r>
          </w:p>
        </w:tc>
        <w:tc>
          <w:tcPr>
            <w:tcW w:w="1437" w:type="dxa"/>
            <w:shd w:val="clear" w:color="auto" w:fill="FFFFFF"/>
          </w:tcPr>
          <w:p w14:paraId="176466C8" w14:textId="513E324A" w:rsidR="003C44AC" w:rsidRPr="00B57B36" w:rsidRDefault="00032B5C" w:rsidP="00320E18">
            <w:pPr>
              <w:pStyle w:val="CETBodytext"/>
              <w:ind w:right="-1"/>
              <w:rPr>
                <w:rFonts w:cs="Arial"/>
                <w:szCs w:val="18"/>
                <w:lang w:val="en-GB"/>
              </w:rPr>
            </w:pPr>
            <w:r>
              <w:rPr>
                <w:rFonts w:cs="Arial"/>
                <w:szCs w:val="18"/>
                <w:lang w:val="en-GB"/>
              </w:rPr>
              <w:t>1</w:t>
            </w:r>
            <w:r w:rsidR="00711119">
              <w:rPr>
                <w:rFonts w:cs="Arial"/>
                <w:szCs w:val="18"/>
                <w:lang w:val="en-GB"/>
              </w:rPr>
              <w:t>,</w:t>
            </w:r>
            <w:r>
              <w:rPr>
                <w:rFonts w:cs="Arial"/>
                <w:szCs w:val="18"/>
                <w:lang w:val="en-GB"/>
              </w:rPr>
              <w:t>359</w:t>
            </w:r>
          </w:p>
        </w:tc>
      </w:tr>
    </w:tbl>
    <w:p w14:paraId="3BB818A4" w14:textId="218D3C88" w:rsidR="00FC6FD2" w:rsidRDefault="00EE1FC8" w:rsidP="00600535">
      <w:pPr>
        <w:pStyle w:val="CETBodytext"/>
        <w:rPr>
          <w:lang w:val="en-GB"/>
        </w:rPr>
      </w:pPr>
      <w:r w:rsidRPr="00EE1FC8">
        <w:rPr>
          <w:lang w:val="en-GB"/>
        </w:rPr>
        <w:t>Table</w:t>
      </w:r>
      <w:r>
        <w:rPr>
          <w:lang w:val="en-GB"/>
        </w:rPr>
        <w:t xml:space="preserve"> 2</w:t>
      </w:r>
      <w:r w:rsidRPr="00EE1FC8">
        <w:rPr>
          <w:lang w:val="en-GB"/>
        </w:rPr>
        <w:t xml:space="preserve"> shows a substantial increase in the </w:t>
      </w:r>
      <w:r w:rsidR="00D07D31">
        <w:rPr>
          <w:lang w:val="en-GB"/>
        </w:rPr>
        <w:t>volume</w:t>
      </w:r>
      <w:r w:rsidRPr="00EE1FC8">
        <w:rPr>
          <w:lang w:val="en-GB"/>
        </w:rPr>
        <w:t xml:space="preserve"> of feedstock, particularly driven by livestock manure. Total wet feedstock increases from 500 kt currently to 16,501 kt in the future, while total dry matter rises from 98 kt to 1,359 kt. Livestock manure dominates this growth, increasing from 199 kt to 15,776 kt on a wet basis and from 15 kt to 1,215 kt on a dry basis</w:t>
      </w:r>
      <w:r w:rsidR="000F4F26">
        <w:rPr>
          <w:lang w:val="en-GB"/>
        </w:rPr>
        <w:t xml:space="preserve"> as a result of initiatives to decrease GHG emissions </w:t>
      </w:r>
      <w:r w:rsidR="001446EE">
        <w:rPr>
          <w:lang w:val="en-GB"/>
        </w:rPr>
        <w:t>occurring due to direct land application</w:t>
      </w:r>
      <w:r w:rsidR="003D5019">
        <w:rPr>
          <w:lang w:val="en-GB"/>
        </w:rPr>
        <w:t xml:space="preserve"> (Kadam et al., 2024)</w:t>
      </w:r>
      <w:r w:rsidRPr="00EE1FC8">
        <w:rPr>
          <w:lang w:val="en-GB"/>
        </w:rPr>
        <w:t>. Food waste shows a modest increase in both wet and dry quantities</w:t>
      </w:r>
      <w:r w:rsidR="003D5019">
        <w:rPr>
          <w:lang w:val="en-GB"/>
        </w:rPr>
        <w:t xml:space="preserve"> </w:t>
      </w:r>
      <w:r w:rsidR="00192D2A">
        <w:rPr>
          <w:lang w:val="en-GB"/>
        </w:rPr>
        <w:t xml:space="preserve">as forecasted </w:t>
      </w:r>
      <w:r w:rsidR="00FA7DAE">
        <w:rPr>
          <w:lang w:val="en-GB"/>
        </w:rPr>
        <w:t>in previous studies (</w:t>
      </w:r>
      <w:r w:rsidR="00C278DB">
        <w:rPr>
          <w:lang w:val="en-GB"/>
        </w:rPr>
        <w:t>Birgen et al., 2025</w:t>
      </w:r>
      <w:r w:rsidR="00FA7DAE">
        <w:rPr>
          <w:lang w:val="en-GB"/>
        </w:rPr>
        <w:t>)</w:t>
      </w:r>
      <w:r w:rsidRPr="00EE1FC8">
        <w:rPr>
          <w:lang w:val="en-GB"/>
        </w:rPr>
        <w:t>, whereas fish sludge and fish ensilage increase notably, especially on a wet basis</w:t>
      </w:r>
      <w:r w:rsidR="00C278DB">
        <w:rPr>
          <w:lang w:val="en-GB"/>
        </w:rPr>
        <w:t xml:space="preserve"> as a result of the </w:t>
      </w:r>
      <w:r w:rsidR="00860E77">
        <w:rPr>
          <w:lang w:val="en-GB"/>
        </w:rPr>
        <w:t xml:space="preserve">initiatives </w:t>
      </w:r>
      <w:r w:rsidR="00F16AFF">
        <w:rPr>
          <w:lang w:val="en-GB"/>
        </w:rPr>
        <w:t>for circular bioeconomy</w:t>
      </w:r>
      <w:r w:rsidRPr="00EE1FC8">
        <w:rPr>
          <w:lang w:val="en-GB"/>
        </w:rPr>
        <w:t xml:space="preserve">. Overall, future feedstock </w:t>
      </w:r>
      <w:r w:rsidR="00FC6FD2">
        <w:rPr>
          <w:lang w:val="en-GB"/>
        </w:rPr>
        <w:t>amount</w:t>
      </w:r>
      <w:r w:rsidRPr="00EE1FC8">
        <w:rPr>
          <w:lang w:val="en-GB"/>
        </w:rPr>
        <w:t xml:space="preserve"> is expected to be significantly higher than current levels, with livestock manure as the main contributor</w:t>
      </w:r>
      <w:r w:rsidR="00FC6FD2">
        <w:rPr>
          <w:lang w:val="en-GB"/>
        </w:rPr>
        <w:t xml:space="preserve">. </w:t>
      </w:r>
      <w:r w:rsidR="005A2376">
        <w:rPr>
          <w:lang w:val="en-GB"/>
        </w:rPr>
        <w:t>Currently 1</w:t>
      </w:r>
      <w:r w:rsidR="00071B97">
        <w:rPr>
          <w:lang w:val="en-GB"/>
        </w:rPr>
        <w:t>,</w:t>
      </w:r>
      <w:r w:rsidR="005A2376">
        <w:rPr>
          <w:lang w:val="en-GB"/>
        </w:rPr>
        <w:t>462 kt process water is used to dilute the DM content from</w:t>
      </w:r>
      <w:r w:rsidR="00E81ED7">
        <w:rPr>
          <w:lang w:val="en-GB"/>
        </w:rPr>
        <w:t xml:space="preserve"> approx.</w:t>
      </w:r>
      <w:r w:rsidR="005A2376">
        <w:rPr>
          <w:lang w:val="en-GB"/>
        </w:rPr>
        <w:t xml:space="preserve"> 20 %</w:t>
      </w:r>
      <w:r w:rsidR="00E81ED7">
        <w:rPr>
          <w:lang w:val="en-GB"/>
        </w:rPr>
        <w:t xml:space="preserve"> (500 kt of which 98 kt is DM)</w:t>
      </w:r>
      <w:r w:rsidR="005A2376">
        <w:rPr>
          <w:lang w:val="en-GB"/>
        </w:rPr>
        <w:t xml:space="preserve"> to 5 % that is the operating concentration </w:t>
      </w:r>
      <w:r w:rsidR="00844D9A">
        <w:rPr>
          <w:lang w:val="en-GB"/>
        </w:rPr>
        <w:t>of</w:t>
      </w:r>
      <w:r w:rsidR="005A2376">
        <w:rPr>
          <w:lang w:val="en-GB"/>
        </w:rPr>
        <w:t xml:space="preserve"> the anaerobic digester.</w:t>
      </w:r>
      <w:r w:rsidR="00071B97">
        <w:rPr>
          <w:lang w:val="en-GB"/>
        </w:rPr>
        <w:t xml:space="preserve"> In future, </w:t>
      </w:r>
      <w:r w:rsidR="00B109F8">
        <w:rPr>
          <w:lang w:val="en-GB"/>
        </w:rPr>
        <w:t xml:space="preserve">necessary </w:t>
      </w:r>
      <w:r w:rsidR="00071B97">
        <w:rPr>
          <w:lang w:val="en-GB"/>
        </w:rPr>
        <w:t>process water is estimated to be 10,675</w:t>
      </w:r>
      <w:r w:rsidR="00AC74E8">
        <w:rPr>
          <w:lang w:val="en-GB"/>
        </w:rPr>
        <w:t xml:space="preserve"> kt to dilute the DM from approx. 8 %</w:t>
      </w:r>
      <w:r w:rsidR="00B109F8">
        <w:rPr>
          <w:lang w:val="en-GB"/>
        </w:rPr>
        <w:t xml:space="preserve"> (</w:t>
      </w:r>
      <w:r w:rsidR="006F5749">
        <w:rPr>
          <w:lang w:val="en-GB"/>
        </w:rPr>
        <w:t>16,501 kt of which 1,359 kt is DM</w:t>
      </w:r>
      <w:r w:rsidR="00B109F8">
        <w:rPr>
          <w:lang w:val="en-GB"/>
        </w:rPr>
        <w:t>)</w:t>
      </w:r>
      <w:r w:rsidR="00AC74E8">
        <w:rPr>
          <w:lang w:val="en-GB"/>
        </w:rPr>
        <w:t xml:space="preserve"> to</w:t>
      </w:r>
      <w:r w:rsidR="00B109F8">
        <w:rPr>
          <w:lang w:val="en-GB"/>
        </w:rPr>
        <w:t xml:space="preserve"> 5 %.</w:t>
      </w:r>
      <w:r w:rsidR="00AC74E8">
        <w:rPr>
          <w:lang w:val="en-GB"/>
        </w:rPr>
        <w:t xml:space="preserve"> </w:t>
      </w:r>
      <w:r w:rsidR="00650586">
        <w:rPr>
          <w:lang w:val="en-GB"/>
        </w:rPr>
        <w:t xml:space="preserve">During anaerobic digestion, 50 % of DM will be consumed (converted into biogas and used for microbial metabolism) and the remaining mass in the digester (wet feedstock and added process water) </w:t>
      </w:r>
      <w:r w:rsidR="00FE68B6">
        <w:rPr>
          <w:lang w:val="en-GB"/>
        </w:rPr>
        <w:t>constitutes</w:t>
      </w:r>
      <w:r w:rsidR="00650586">
        <w:rPr>
          <w:lang w:val="en-GB"/>
        </w:rPr>
        <w:t xml:space="preserve"> digestate</w:t>
      </w:r>
      <w:r w:rsidR="001240D2">
        <w:rPr>
          <w:lang w:val="en-GB"/>
        </w:rPr>
        <w:t xml:space="preserve"> </w:t>
      </w:r>
      <w:r w:rsidR="00FE68B6">
        <w:rPr>
          <w:lang w:val="en-GB"/>
        </w:rPr>
        <w:t>volume</w:t>
      </w:r>
      <w:r w:rsidR="00650586">
        <w:rPr>
          <w:lang w:val="en-GB"/>
        </w:rPr>
        <w:t>.</w:t>
      </w:r>
    </w:p>
    <w:p w14:paraId="088A134E" w14:textId="232DE441" w:rsidR="00600535" w:rsidRPr="00B57B36" w:rsidRDefault="00653393" w:rsidP="00BD077D">
      <w:pPr>
        <w:pStyle w:val="CETCaption"/>
      </w:pPr>
      <w:r>
        <w:rPr>
          <w:noProof/>
        </w:rPr>
        <w:drawing>
          <wp:inline distT="0" distB="0" distL="0" distR="0" wp14:anchorId="7F67B8E7" wp14:editId="3DA45A72">
            <wp:extent cx="2949720" cy="1637414"/>
            <wp:effectExtent l="0" t="0" r="3175" b="1270"/>
            <wp:docPr id="63190644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0399" cy="1687751"/>
                    </a:xfrm>
                    <a:prstGeom prst="rect">
                      <a:avLst/>
                    </a:prstGeom>
                    <a:noFill/>
                    <a:ln>
                      <a:noFill/>
                    </a:ln>
                  </pic:spPr>
                </pic:pic>
              </a:graphicData>
            </a:graphic>
          </wp:inline>
        </w:drawing>
      </w:r>
    </w:p>
    <w:p w14:paraId="65E73FAD" w14:textId="41FE7761" w:rsidR="00600535" w:rsidRDefault="00600535" w:rsidP="00BD077D">
      <w:pPr>
        <w:pStyle w:val="CETCaption"/>
      </w:pPr>
      <w:r w:rsidRPr="00BD077D">
        <w:rPr>
          <w:rStyle w:val="CETCaptionCarattere"/>
          <w:i/>
        </w:rPr>
        <w:t xml:space="preserve">Figure </w:t>
      </w:r>
      <w:r w:rsidR="002E2C26">
        <w:rPr>
          <w:rStyle w:val="CETCaptionCarattere"/>
          <w:i/>
        </w:rPr>
        <w:t>2</w:t>
      </w:r>
      <w:r w:rsidRPr="00BD077D">
        <w:rPr>
          <w:rStyle w:val="CETCaptionCarattere"/>
          <w:i/>
        </w:rPr>
        <w:t xml:space="preserve">: </w:t>
      </w:r>
      <w:r w:rsidR="002A278B">
        <w:rPr>
          <w:rStyle w:val="CETCaptionCarattere"/>
          <w:i/>
        </w:rPr>
        <w:t>Total volume in dry basis, total</w:t>
      </w:r>
      <w:r w:rsidR="00F7534E" w:rsidRPr="00BD077D">
        <w:t xml:space="preserve"> </w:t>
      </w:r>
      <w:r w:rsidR="002A278B">
        <w:t xml:space="preserve">nitrogen and phosphorus </w:t>
      </w:r>
      <w:r w:rsidR="009E19CD">
        <w:t xml:space="preserve">content of biogas feedstocks </w:t>
      </w:r>
      <w:r w:rsidR="00F31D0D">
        <w:t xml:space="preserve">in </w:t>
      </w:r>
      <w:proofErr w:type="spellStart"/>
      <w:r w:rsidR="009E19CD">
        <w:t>kilotonnes</w:t>
      </w:r>
      <w:proofErr w:type="spellEnd"/>
      <w:r w:rsidR="00C74B23">
        <w:t>.</w:t>
      </w:r>
    </w:p>
    <w:p w14:paraId="2549D138" w14:textId="7BC5BDA9" w:rsidR="009E19CD" w:rsidRPr="009E19CD" w:rsidRDefault="00C9683F" w:rsidP="00BD077D">
      <w:pPr>
        <w:pStyle w:val="CETCaption"/>
        <w:rPr>
          <w:i w:val="0"/>
          <w:iCs/>
        </w:rPr>
      </w:pPr>
      <w:r>
        <w:rPr>
          <w:i w:val="0"/>
          <w:iCs/>
        </w:rPr>
        <w:lastRenderedPageBreak/>
        <w:t xml:space="preserve">Figure </w:t>
      </w:r>
      <w:r w:rsidR="002E2C26">
        <w:rPr>
          <w:i w:val="0"/>
          <w:iCs/>
        </w:rPr>
        <w:t>2</w:t>
      </w:r>
      <w:r>
        <w:rPr>
          <w:i w:val="0"/>
          <w:iCs/>
        </w:rPr>
        <w:t xml:space="preserve"> shows that </w:t>
      </w:r>
      <w:r w:rsidR="00336AA1">
        <w:rPr>
          <w:i w:val="0"/>
          <w:iCs/>
        </w:rPr>
        <w:t>volume</w:t>
      </w:r>
      <w:r w:rsidR="004212A8">
        <w:rPr>
          <w:i w:val="0"/>
          <w:iCs/>
        </w:rPr>
        <w:t xml:space="preserve"> of feedstocks utilized in biogas will be about</w:t>
      </w:r>
      <w:r w:rsidR="00014563">
        <w:rPr>
          <w:i w:val="0"/>
          <w:iCs/>
        </w:rPr>
        <w:t xml:space="preserve"> </w:t>
      </w:r>
      <w:r w:rsidR="00187673">
        <w:rPr>
          <w:i w:val="0"/>
          <w:iCs/>
        </w:rPr>
        <w:t>14</w:t>
      </w:r>
      <w:r w:rsidR="004212A8">
        <w:rPr>
          <w:i w:val="0"/>
          <w:iCs/>
        </w:rPr>
        <w:t xml:space="preserve"> times higher</w:t>
      </w:r>
      <w:r w:rsidR="00014563">
        <w:rPr>
          <w:i w:val="0"/>
          <w:iCs/>
        </w:rPr>
        <w:t xml:space="preserve"> than current level</w:t>
      </w:r>
      <w:r w:rsidR="00187673">
        <w:rPr>
          <w:i w:val="0"/>
          <w:iCs/>
        </w:rPr>
        <w:t xml:space="preserve"> while nitrogen and phosphorus levels will be</w:t>
      </w:r>
      <w:r w:rsidR="001F20C0">
        <w:rPr>
          <w:i w:val="0"/>
          <w:iCs/>
        </w:rPr>
        <w:t xml:space="preserve"> </w:t>
      </w:r>
      <w:r w:rsidR="00492BDC">
        <w:rPr>
          <w:i w:val="0"/>
          <w:iCs/>
        </w:rPr>
        <w:t>approximately</w:t>
      </w:r>
      <w:r w:rsidR="00095122">
        <w:rPr>
          <w:i w:val="0"/>
          <w:iCs/>
        </w:rPr>
        <w:t xml:space="preserve"> </w:t>
      </w:r>
      <w:r w:rsidR="001F20C0">
        <w:rPr>
          <w:i w:val="0"/>
          <w:iCs/>
        </w:rPr>
        <w:t>19</w:t>
      </w:r>
      <w:r w:rsidR="00187673">
        <w:rPr>
          <w:i w:val="0"/>
          <w:iCs/>
        </w:rPr>
        <w:t xml:space="preserve"> times higher</w:t>
      </w:r>
      <w:r w:rsidR="00E018CA">
        <w:rPr>
          <w:i w:val="0"/>
          <w:iCs/>
        </w:rPr>
        <w:t xml:space="preserve"> due to increased</w:t>
      </w:r>
      <w:r w:rsidR="00095122">
        <w:rPr>
          <w:i w:val="0"/>
          <w:iCs/>
        </w:rPr>
        <w:t xml:space="preserve"> contributions </w:t>
      </w:r>
      <w:r w:rsidR="00C95A3E">
        <w:rPr>
          <w:i w:val="0"/>
          <w:iCs/>
        </w:rPr>
        <w:t>of feedstocks</w:t>
      </w:r>
      <w:r w:rsidR="008452ED">
        <w:rPr>
          <w:i w:val="0"/>
          <w:iCs/>
        </w:rPr>
        <w:t xml:space="preserve"> containing</w:t>
      </w:r>
      <w:r w:rsidR="00E018CA">
        <w:rPr>
          <w:i w:val="0"/>
          <w:iCs/>
        </w:rPr>
        <w:t xml:space="preserve"> these valuable minerals</w:t>
      </w:r>
      <w:r w:rsidR="008452ED">
        <w:rPr>
          <w:i w:val="0"/>
          <w:iCs/>
        </w:rPr>
        <w:t xml:space="preserve">. </w:t>
      </w:r>
      <w:r w:rsidR="0036358A">
        <w:rPr>
          <w:i w:val="0"/>
          <w:iCs/>
        </w:rPr>
        <w:t xml:space="preserve">This makes it even more important to map the </w:t>
      </w:r>
      <w:r w:rsidR="00507C76">
        <w:rPr>
          <w:i w:val="0"/>
          <w:iCs/>
        </w:rPr>
        <w:t>flows of these to enable possible recover</w:t>
      </w:r>
      <w:r w:rsidR="00A368FF">
        <w:rPr>
          <w:i w:val="0"/>
          <w:iCs/>
        </w:rPr>
        <w:t>y</w:t>
      </w:r>
      <w:r w:rsidR="00507C76">
        <w:rPr>
          <w:i w:val="0"/>
          <w:iCs/>
        </w:rPr>
        <w:t xml:space="preserve"> methods.</w:t>
      </w:r>
    </w:p>
    <w:p w14:paraId="7382C781" w14:textId="0414D89F" w:rsidR="00600535" w:rsidRPr="00B57B36" w:rsidRDefault="00680059" w:rsidP="00FA5F5F">
      <w:pPr>
        <w:pStyle w:val="CETheadingx"/>
      </w:pPr>
      <w:r>
        <w:t xml:space="preserve">Volumes and properties of </w:t>
      </w:r>
      <w:r w:rsidR="00E42EEA">
        <w:t>digestate</w:t>
      </w:r>
      <w:r>
        <w:t xml:space="preserve"> originated from Norwegian food system</w:t>
      </w:r>
    </w:p>
    <w:p w14:paraId="7B2CA322" w14:textId="35AC0750" w:rsidR="00600535" w:rsidRDefault="002D0E9A" w:rsidP="00600535">
      <w:pPr>
        <w:pStyle w:val="CETBodytext"/>
        <w:rPr>
          <w:lang w:val="en-GB"/>
        </w:rPr>
      </w:pPr>
      <w:r>
        <w:rPr>
          <w:lang w:val="en-GB"/>
        </w:rPr>
        <w:t xml:space="preserve">Table 3 shows </w:t>
      </w:r>
      <w:r w:rsidR="007F7AF2">
        <w:rPr>
          <w:lang w:val="en-GB"/>
        </w:rPr>
        <w:t xml:space="preserve">current and future digestate </w:t>
      </w:r>
      <w:r w:rsidR="0036108E">
        <w:rPr>
          <w:lang w:val="en-GB"/>
        </w:rPr>
        <w:t xml:space="preserve">volume in </w:t>
      </w:r>
      <w:r w:rsidR="007F7AF2">
        <w:rPr>
          <w:lang w:val="en-GB"/>
        </w:rPr>
        <w:t xml:space="preserve">wet and dry basis in </w:t>
      </w:r>
      <w:proofErr w:type="spellStart"/>
      <w:r w:rsidR="007F7AF2">
        <w:rPr>
          <w:lang w:val="en-GB"/>
        </w:rPr>
        <w:t>kilotonnes</w:t>
      </w:r>
      <w:proofErr w:type="spellEnd"/>
      <w:r w:rsidR="007F7AF2">
        <w:rPr>
          <w:lang w:val="en-GB"/>
        </w:rPr>
        <w:t xml:space="preserve"> as well as total nitrogen and phosphorus contents in tonnes.</w:t>
      </w:r>
    </w:p>
    <w:p w14:paraId="6BE718E7" w14:textId="2FC76755" w:rsidR="001F0589" w:rsidRPr="00B57B36" w:rsidRDefault="001F0589" w:rsidP="001F0589">
      <w:pPr>
        <w:pStyle w:val="CETTabletitle"/>
      </w:pPr>
      <w:r w:rsidRPr="00B57B36">
        <w:t xml:space="preserve">Table </w:t>
      </w:r>
      <w:r>
        <w:t>3</w:t>
      </w:r>
      <w:r w:rsidRPr="00B57B36">
        <w:t xml:space="preserve">: </w:t>
      </w:r>
      <w:r w:rsidR="00D43721">
        <w:t>Volumes and properties of current and future digestate</w:t>
      </w:r>
      <w:r w:rsidR="00C74B23">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843"/>
        <w:gridCol w:w="1842"/>
        <w:gridCol w:w="1923"/>
        <w:gridCol w:w="1756"/>
      </w:tblGrid>
      <w:tr w:rsidR="001F0589" w:rsidRPr="00B57B36" w14:paraId="5A0502AD" w14:textId="77777777" w:rsidTr="00613C7E">
        <w:trPr>
          <w:trHeight w:val="260"/>
        </w:trPr>
        <w:tc>
          <w:tcPr>
            <w:tcW w:w="1418" w:type="dxa"/>
            <w:tcBorders>
              <w:top w:val="single" w:sz="12" w:space="0" w:color="008000"/>
              <w:bottom w:val="single" w:sz="6" w:space="0" w:color="008000"/>
            </w:tcBorders>
            <w:shd w:val="clear" w:color="auto" w:fill="FFFFFF"/>
          </w:tcPr>
          <w:p w14:paraId="1BB34B2F" w14:textId="3793915A" w:rsidR="001F0589" w:rsidRPr="00B57B36" w:rsidRDefault="001F0589" w:rsidP="00DE7272">
            <w:pPr>
              <w:pStyle w:val="CETBodytext"/>
              <w:rPr>
                <w:lang w:val="en-GB"/>
              </w:rPr>
            </w:pPr>
          </w:p>
        </w:tc>
        <w:tc>
          <w:tcPr>
            <w:tcW w:w="1843" w:type="dxa"/>
            <w:tcBorders>
              <w:top w:val="single" w:sz="12" w:space="0" w:color="008000"/>
              <w:bottom w:val="single" w:sz="6" w:space="0" w:color="008000"/>
            </w:tcBorders>
            <w:shd w:val="clear" w:color="auto" w:fill="FFFFFF"/>
          </w:tcPr>
          <w:p w14:paraId="485807E4" w14:textId="4C8857F7" w:rsidR="001F0589" w:rsidRPr="00B57B36" w:rsidRDefault="004604CB" w:rsidP="00DE7272">
            <w:pPr>
              <w:pStyle w:val="CETBodytext"/>
              <w:rPr>
                <w:lang w:val="en-GB"/>
              </w:rPr>
            </w:pPr>
            <w:r>
              <w:rPr>
                <w:lang w:val="en-GB"/>
              </w:rPr>
              <w:t>Wet volume (kt)</w:t>
            </w:r>
          </w:p>
        </w:tc>
        <w:tc>
          <w:tcPr>
            <w:tcW w:w="1842" w:type="dxa"/>
            <w:tcBorders>
              <w:top w:val="single" w:sz="12" w:space="0" w:color="008000"/>
              <w:bottom w:val="single" w:sz="6" w:space="0" w:color="008000"/>
            </w:tcBorders>
            <w:shd w:val="clear" w:color="auto" w:fill="FFFFFF"/>
          </w:tcPr>
          <w:p w14:paraId="74338A0B" w14:textId="3DA197E5" w:rsidR="001F0589" w:rsidRPr="00B57B36" w:rsidRDefault="004604CB" w:rsidP="00DE7272">
            <w:pPr>
              <w:pStyle w:val="CETBodytext"/>
              <w:rPr>
                <w:lang w:val="en-GB"/>
              </w:rPr>
            </w:pPr>
            <w:r>
              <w:rPr>
                <w:lang w:val="en-GB"/>
              </w:rPr>
              <w:t>Dry volume (kt)</w:t>
            </w:r>
          </w:p>
        </w:tc>
        <w:tc>
          <w:tcPr>
            <w:tcW w:w="1923" w:type="dxa"/>
            <w:tcBorders>
              <w:top w:val="single" w:sz="12" w:space="0" w:color="008000"/>
              <w:bottom w:val="single" w:sz="6" w:space="0" w:color="008000"/>
            </w:tcBorders>
            <w:shd w:val="clear" w:color="auto" w:fill="FFFFFF"/>
          </w:tcPr>
          <w:p w14:paraId="7843CE7D" w14:textId="3FC1332E" w:rsidR="001F0589" w:rsidRPr="00B57B36" w:rsidRDefault="0091580A" w:rsidP="00DE7272">
            <w:pPr>
              <w:pStyle w:val="CETBodytext"/>
              <w:ind w:right="-1"/>
              <w:rPr>
                <w:rFonts w:cs="Arial"/>
                <w:szCs w:val="18"/>
                <w:lang w:val="en-GB"/>
              </w:rPr>
            </w:pPr>
            <w:r>
              <w:rPr>
                <w:rFonts w:cs="Arial"/>
                <w:szCs w:val="18"/>
                <w:lang w:val="en-GB"/>
              </w:rPr>
              <w:t>Total nitrogen (t)</w:t>
            </w:r>
          </w:p>
        </w:tc>
        <w:tc>
          <w:tcPr>
            <w:tcW w:w="1756" w:type="dxa"/>
            <w:tcBorders>
              <w:top w:val="single" w:sz="12" w:space="0" w:color="008000"/>
              <w:bottom w:val="single" w:sz="6" w:space="0" w:color="008000"/>
            </w:tcBorders>
            <w:shd w:val="clear" w:color="auto" w:fill="FFFFFF"/>
          </w:tcPr>
          <w:p w14:paraId="5C559369" w14:textId="73971989" w:rsidR="001F0589" w:rsidRPr="00B57B36" w:rsidRDefault="0091580A" w:rsidP="00DE7272">
            <w:pPr>
              <w:pStyle w:val="CETBodytext"/>
              <w:ind w:right="-1"/>
              <w:rPr>
                <w:rFonts w:cs="Arial"/>
                <w:szCs w:val="18"/>
                <w:lang w:val="en-GB"/>
              </w:rPr>
            </w:pPr>
            <w:r>
              <w:rPr>
                <w:rFonts w:cs="Arial"/>
                <w:szCs w:val="18"/>
                <w:lang w:val="en-GB"/>
              </w:rPr>
              <w:t>Total phosphorus (t)</w:t>
            </w:r>
          </w:p>
        </w:tc>
      </w:tr>
      <w:tr w:rsidR="001F0589" w:rsidRPr="00B57B36" w14:paraId="4CF18898" w14:textId="77777777" w:rsidTr="00613C7E">
        <w:trPr>
          <w:trHeight w:val="249"/>
        </w:trPr>
        <w:tc>
          <w:tcPr>
            <w:tcW w:w="1418" w:type="dxa"/>
            <w:shd w:val="clear" w:color="auto" w:fill="FFFFFF"/>
          </w:tcPr>
          <w:p w14:paraId="0D449765" w14:textId="76B2C34E" w:rsidR="001F0589" w:rsidRPr="00B57B36" w:rsidRDefault="00163D4C" w:rsidP="00DE7272">
            <w:pPr>
              <w:pStyle w:val="CETBodytext"/>
              <w:rPr>
                <w:lang w:val="en-GB"/>
              </w:rPr>
            </w:pPr>
            <w:r>
              <w:rPr>
                <w:lang w:val="en-GB"/>
              </w:rPr>
              <w:t>Current</w:t>
            </w:r>
          </w:p>
        </w:tc>
        <w:tc>
          <w:tcPr>
            <w:tcW w:w="1843" w:type="dxa"/>
            <w:shd w:val="clear" w:color="auto" w:fill="FFFFFF"/>
          </w:tcPr>
          <w:p w14:paraId="1B70AA6D" w14:textId="471CEAD2" w:rsidR="001F0589" w:rsidRPr="00B57B36" w:rsidRDefault="00E35395" w:rsidP="00DE7272">
            <w:pPr>
              <w:pStyle w:val="CETBodytext"/>
              <w:rPr>
                <w:lang w:val="en-GB"/>
              </w:rPr>
            </w:pPr>
            <w:r>
              <w:rPr>
                <w:lang w:val="en-GB"/>
              </w:rPr>
              <w:t>1</w:t>
            </w:r>
            <w:r w:rsidR="00D47379">
              <w:rPr>
                <w:lang w:val="en-GB"/>
              </w:rPr>
              <w:t>,</w:t>
            </w:r>
            <w:r>
              <w:rPr>
                <w:lang w:val="en-GB"/>
              </w:rPr>
              <w:t>913</w:t>
            </w:r>
          </w:p>
        </w:tc>
        <w:tc>
          <w:tcPr>
            <w:tcW w:w="1842" w:type="dxa"/>
            <w:shd w:val="clear" w:color="auto" w:fill="FFFFFF"/>
          </w:tcPr>
          <w:p w14:paraId="4C46DBEF" w14:textId="332E3A39" w:rsidR="001F0589" w:rsidRPr="00B57B36" w:rsidRDefault="00A1769E" w:rsidP="00DE7272">
            <w:pPr>
              <w:pStyle w:val="CETBodytext"/>
              <w:rPr>
                <w:lang w:val="en-GB"/>
              </w:rPr>
            </w:pPr>
            <w:r>
              <w:rPr>
                <w:lang w:val="en-GB"/>
              </w:rPr>
              <w:t>49</w:t>
            </w:r>
          </w:p>
        </w:tc>
        <w:tc>
          <w:tcPr>
            <w:tcW w:w="1923" w:type="dxa"/>
            <w:shd w:val="clear" w:color="auto" w:fill="FFFFFF"/>
          </w:tcPr>
          <w:p w14:paraId="55702C7A" w14:textId="5475C7D7" w:rsidR="001F0589" w:rsidRPr="00B57B36" w:rsidRDefault="00DF660D" w:rsidP="00DE7272">
            <w:pPr>
              <w:pStyle w:val="CETBodytext"/>
              <w:ind w:right="-1"/>
              <w:rPr>
                <w:rFonts w:cs="Arial"/>
                <w:szCs w:val="18"/>
                <w:lang w:val="en-GB"/>
              </w:rPr>
            </w:pPr>
            <w:r>
              <w:rPr>
                <w:rFonts w:cs="Arial"/>
                <w:szCs w:val="18"/>
                <w:lang w:val="en-GB"/>
              </w:rPr>
              <w:t>1</w:t>
            </w:r>
            <w:r w:rsidR="004215E0">
              <w:rPr>
                <w:rFonts w:cs="Arial"/>
                <w:szCs w:val="18"/>
                <w:lang w:val="en-GB"/>
              </w:rPr>
              <w:t>,</w:t>
            </w:r>
            <w:r w:rsidR="00586AB1">
              <w:rPr>
                <w:rFonts w:cs="Arial"/>
                <w:szCs w:val="18"/>
                <w:lang w:val="en-GB"/>
              </w:rPr>
              <w:t>806</w:t>
            </w:r>
          </w:p>
        </w:tc>
        <w:tc>
          <w:tcPr>
            <w:tcW w:w="1756" w:type="dxa"/>
            <w:shd w:val="clear" w:color="auto" w:fill="FFFFFF"/>
          </w:tcPr>
          <w:p w14:paraId="4B671731" w14:textId="2B99F2D8" w:rsidR="001F0589" w:rsidRPr="00B57B36" w:rsidRDefault="00A14F9C" w:rsidP="00DE7272">
            <w:pPr>
              <w:pStyle w:val="CETBodytext"/>
              <w:ind w:right="-1"/>
              <w:rPr>
                <w:rFonts w:cs="Arial"/>
                <w:szCs w:val="18"/>
                <w:lang w:val="en-GB"/>
              </w:rPr>
            </w:pPr>
            <w:r>
              <w:rPr>
                <w:rFonts w:cs="Arial"/>
                <w:szCs w:val="18"/>
                <w:lang w:val="en-GB"/>
              </w:rPr>
              <w:t>384</w:t>
            </w:r>
          </w:p>
        </w:tc>
      </w:tr>
      <w:tr w:rsidR="001F0589" w:rsidRPr="00B57B36" w14:paraId="19122F94" w14:textId="77777777" w:rsidTr="00613C7E">
        <w:trPr>
          <w:trHeight w:val="260"/>
        </w:trPr>
        <w:tc>
          <w:tcPr>
            <w:tcW w:w="1418" w:type="dxa"/>
            <w:shd w:val="clear" w:color="auto" w:fill="FFFFFF"/>
          </w:tcPr>
          <w:p w14:paraId="6912083B" w14:textId="150211A7" w:rsidR="001F0589" w:rsidRPr="00B57B36" w:rsidRDefault="00163D4C" w:rsidP="00DE7272">
            <w:pPr>
              <w:pStyle w:val="CETBodytext"/>
              <w:ind w:right="-1"/>
              <w:rPr>
                <w:rFonts w:cs="Arial"/>
                <w:szCs w:val="18"/>
                <w:lang w:val="en-GB"/>
              </w:rPr>
            </w:pPr>
            <w:r>
              <w:rPr>
                <w:rFonts w:cs="Arial"/>
                <w:szCs w:val="18"/>
                <w:lang w:val="en-GB"/>
              </w:rPr>
              <w:t>Future</w:t>
            </w:r>
          </w:p>
        </w:tc>
        <w:tc>
          <w:tcPr>
            <w:tcW w:w="1843" w:type="dxa"/>
            <w:shd w:val="clear" w:color="auto" w:fill="FFFFFF"/>
          </w:tcPr>
          <w:p w14:paraId="73D2B78A" w14:textId="3B6961EA" w:rsidR="001F0589" w:rsidRPr="00B57B36" w:rsidRDefault="00FB687E" w:rsidP="00DE7272">
            <w:pPr>
              <w:pStyle w:val="CETBodytext"/>
              <w:ind w:right="-1"/>
              <w:rPr>
                <w:rFonts w:cs="Arial"/>
                <w:szCs w:val="18"/>
                <w:lang w:val="en-GB"/>
              </w:rPr>
            </w:pPr>
            <w:r>
              <w:rPr>
                <w:rFonts w:cs="Arial"/>
                <w:szCs w:val="18"/>
                <w:lang w:val="en-GB"/>
              </w:rPr>
              <w:t>26</w:t>
            </w:r>
            <w:r w:rsidR="00D47379">
              <w:rPr>
                <w:rFonts w:cs="Arial"/>
                <w:szCs w:val="18"/>
                <w:lang w:val="en-GB"/>
              </w:rPr>
              <w:t>,</w:t>
            </w:r>
            <w:r>
              <w:rPr>
                <w:rFonts w:cs="Arial"/>
                <w:szCs w:val="18"/>
                <w:lang w:val="en-GB"/>
              </w:rPr>
              <w:t>496</w:t>
            </w:r>
          </w:p>
        </w:tc>
        <w:tc>
          <w:tcPr>
            <w:tcW w:w="1842" w:type="dxa"/>
            <w:shd w:val="clear" w:color="auto" w:fill="FFFFFF"/>
          </w:tcPr>
          <w:p w14:paraId="75D82FDA" w14:textId="5B4A36DA" w:rsidR="001F0589" w:rsidRPr="00B57B36" w:rsidRDefault="00DF660D" w:rsidP="00DE7272">
            <w:pPr>
              <w:pStyle w:val="CETBodytext"/>
              <w:ind w:right="-1"/>
              <w:rPr>
                <w:rFonts w:cs="Arial"/>
                <w:szCs w:val="18"/>
                <w:lang w:val="en-GB"/>
              </w:rPr>
            </w:pPr>
            <w:r>
              <w:rPr>
                <w:rFonts w:cs="Arial"/>
                <w:szCs w:val="18"/>
                <w:lang w:val="en-GB"/>
              </w:rPr>
              <w:t>679</w:t>
            </w:r>
          </w:p>
        </w:tc>
        <w:tc>
          <w:tcPr>
            <w:tcW w:w="1923" w:type="dxa"/>
            <w:shd w:val="clear" w:color="auto" w:fill="FFFFFF"/>
          </w:tcPr>
          <w:p w14:paraId="01B0AED1" w14:textId="54DE2FDD" w:rsidR="001F0589" w:rsidRPr="00B57B36" w:rsidRDefault="00DF660D" w:rsidP="00DE7272">
            <w:pPr>
              <w:pStyle w:val="CETBodytext"/>
              <w:ind w:right="-1"/>
              <w:rPr>
                <w:rFonts w:cs="Arial"/>
                <w:szCs w:val="18"/>
                <w:lang w:val="en-GB"/>
              </w:rPr>
            </w:pPr>
            <w:r>
              <w:rPr>
                <w:rFonts w:cs="Arial"/>
                <w:szCs w:val="18"/>
                <w:lang w:val="en-GB"/>
              </w:rPr>
              <w:t>34</w:t>
            </w:r>
            <w:r w:rsidR="00D47379">
              <w:rPr>
                <w:rFonts w:cs="Arial"/>
                <w:szCs w:val="18"/>
                <w:lang w:val="en-GB"/>
              </w:rPr>
              <w:t>,</w:t>
            </w:r>
            <w:r w:rsidR="00A14F9C">
              <w:rPr>
                <w:rFonts w:cs="Arial"/>
                <w:szCs w:val="18"/>
                <w:lang w:val="en-GB"/>
              </w:rPr>
              <w:t>971</w:t>
            </w:r>
          </w:p>
        </w:tc>
        <w:tc>
          <w:tcPr>
            <w:tcW w:w="1756" w:type="dxa"/>
            <w:shd w:val="clear" w:color="auto" w:fill="FFFFFF"/>
          </w:tcPr>
          <w:p w14:paraId="722F3BB3" w14:textId="6ADF13AA" w:rsidR="001F0589" w:rsidRPr="00B57B36" w:rsidRDefault="00DF660D" w:rsidP="00DE7272">
            <w:pPr>
              <w:pStyle w:val="CETBodytext"/>
              <w:ind w:right="-1"/>
              <w:rPr>
                <w:rFonts w:cs="Arial"/>
                <w:szCs w:val="18"/>
                <w:lang w:val="en-GB"/>
              </w:rPr>
            </w:pPr>
            <w:r>
              <w:rPr>
                <w:rFonts w:cs="Arial"/>
                <w:szCs w:val="18"/>
                <w:lang w:val="en-GB"/>
              </w:rPr>
              <w:t>7</w:t>
            </w:r>
            <w:r w:rsidR="00D47379">
              <w:rPr>
                <w:rFonts w:cs="Arial"/>
                <w:szCs w:val="18"/>
                <w:lang w:val="en-GB"/>
              </w:rPr>
              <w:t>,</w:t>
            </w:r>
            <w:r w:rsidR="00A14F9C">
              <w:rPr>
                <w:rFonts w:cs="Arial"/>
                <w:szCs w:val="18"/>
                <w:lang w:val="en-GB"/>
              </w:rPr>
              <w:t>472</w:t>
            </w:r>
          </w:p>
        </w:tc>
      </w:tr>
    </w:tbl>
    <w:p w14:paraId="72BB80D0" w14:textId="00885DDF" w:rsidR="00F01C06" w:rsidRPr="00154B2E" w:rsidRDefault="006B68A7" w:rsidP="00D37903">
      <w:pPr>
        <w:pStyle w:val="CETBodytext"/>
        <w:rPr>
          <w:lang w:val="en-GB"/>
        </w:rPr>
      </w:pPr>
      <w:r w:rsidRPr="006B68A7">
        <w:rPr>
          <w:bCs/>
          <w:lang w:val="en-GB"/>
        </w:rPr>
        <w:t xml:space="preserve">Table 3 shows a substantial increase in both the volume and nutrient content of digestate in the future scenario compared to current conditions. The wet volume of digestate increases </w:t>
      </w:r>
      <w:r w:rsidR="00D658C6">
        <w:rPr>
          <w:bCs/>
          <w:lang w:val="en-GB"/>
        </w:rPr>
        <w:t>14 times</w:t>
      </w:r>
      <w:r w:rsidRPr="006B68A7">
        <w:rPr>
          <w:bCs/>
          <w:lang w:val="en-GB"/>
        </w:rPr>
        <w:t xml:space="preserve"> </w:t>
      </w:r>
      <w:r w:rsidR="00D658C6">
        <w:rPr>
          <w:bCs/>
          <w:lang w:val="en-GB"/>
        </w:rPr>
        <w:t xml:space="preserve">(from </w:t>
      </w:r>
      <w:r w:rsidRPr="006B68A7">
        <w:rPr>
          <w:bCs/>
          <w:lang w:val="en-GB"/>
        </w:rPr>
        <w:t>1,913 kt to 26,496 kt</w:t>
      </w:r>
      <w:r w:rsidR="00D658C6">
        <w:rPr>
          <w:bCs/>
          <w:lang w:val="en-GB"/>
        </w:rPr>
        <w:t>)</w:t>
      </w:r>
      <w:r w:rsidRPr="006B68A7">
        <w:rPr>
          <w:bCs/>
          <w:lang w:val="en-GB"/>
        </w:rPr>
        <w:t>, while dry matter rises from 49 kt to 679 kt, reflecting the significantly higher input of feedstock to anaerobic digestion systems.</w:t>
      </w:r>
      <w:r w:rsidR="00E52803">
        <w:rPr>
          <w:bCs/>
          <w:lang w:val="en-GB"/>
        </w:rPr>
        <w:t xml:space="preserve"> </w:t>
      </w:r>
      <w:r w:rsidRPr="006B68A7">
        <w:rPr>
          <w:bCs/>
          <w:lang w:val="en-GB"/>
        </w:rPr>
        <w:t>This expansion is accompanied by a pronounced increase in nutrient loads, with total nitrogen rising from 1,806 t to 34,971 t and total phosphorus increasing from 384 t to 7,472 t. These results indicate that future biogas production could generate large quantities of nutrient-rich digestate, representing both an opportunity and a challenge. On one hand, the increased nitrogen and phosphorus content highlights the potential of digestate as a valuable fertilizer and nutrient recycling resource. On the other hand, the substantially higher nutrient concentrations underline the need for careful digestate management, storage, and application strategies to avoid nutrient losses and environmental impacts, particularly in relation to eutrophication and planetary boundary constraints.</w:t>
      </w:r>
      <w:r w:rsidR="00C10228">
        <w:rPr>
          <w:bCs/>
          <w:lang w:val="en-GB"/>
        </w:rPr>
        <w:t xml:space="preserve"> </w:t>
      </w:r>
      <w:r w:rsidR="00C10228" w:rsidRPr="00C10228">
        <w:rPr>
          <w:bCs/>
          <w:lang w:val="en-GB"/>
        </w:rPr>
        <w:t xml:space="preserve">For comparison, 136,900 tonnes of nitrogen and 18,400 tonnes of phosphorus from mineral fertilizer and livestock manure were available from Norwegian agriculture in 2023 </w:t>
      </w:r>
      <w:r w:rsidR="00954D15">
        <w:rPr>
          <w:bCs/>
          <w:lang w:val="en-GB"/>
        </w:rPr>
        <w:t>(</w:t>
      </w:r>
      <w:proofErr w:type="spellStart"/>
      <w:r w:rsidR="00954D15">
        <w:rPr>
          <w:bCs/>
          <w:lang w:val="en-GB"/>
        </w:rPr>
        <w:t>Statistisk</w:t>
      </w:r>
      <w:proofErr w:type="spellEnd"/>
      <w:r w:rsidR="00954D15">
        <w:rPr>
          <w:bCs/>
          <w:lang w:val="en-GB"/>
        </w:rPr>
        <w:t xml:space="preserve"> </w:t>
      </w:r>
      <w:proofErr w:type="spellStart"/>
      <w:r w:rsidR="00954D15">
        <w:rPr>
          <w:bCs/>
          <w:lang w:val="en-GB"/>
        </w:rPr>
        <w:t>sentralbyrå</w:t>
      </w:r>
      <w:proofErr w:type="spellEnd"/>
      <w:r w:rsidR="00954D15">
        <w:rPr>
          <w:bCs/>
          <w:lang w:val="en-GB"/>
        </w:rPr>
        <w:t>, 2024)</w:t>
      </w:r>
      <w:r w:rsidR="00C10228" w:rsidRPr="00C10228">
        <w:rPr>
          <w:bCs/>
          <w:lang w:val="en-GB"/>
        </w:rPr>
        <w:t xml:space="preserve">. Therefore, the phosphorus content in </w:t>
      </w:r>
      <w:r w:rsidR="006702A4">
        <w:rPr>
          <w:bCs/>
          <w:lang w:val="en-GB"/>
        </w:rPr>
        <w:t xml:space="preserve">future digestate from Norwegian food </w:t>
      </w:r>
      <w:r w:rsidR="00B41AD5">
        <w:rPr>
          <w:bCs/>
          <w:lang w:val="en-GB"/>
        </w:rPr>
        <w:t>system</w:t>
      </w:r>
      <w:r w:rsidR="00C10228" w:rsidRPr="00C10228">
        <w:rPr>
          <w:bCs/>
          <w:lang w:val="en-GB"/>
        </w:rPr>
        <w:t xml:space="preserve"> (</w:t>
      </w:r>
      <w:r w:rsidR="007C5B9A">
        <w:rPr>
          <w:bCs/>
          <w:lang w:val="en-GB"/>
        </w:rPr>
        <w:t>7,472</w:t>
      </w:r>
      <w:r w:rsidR="00C10228" w:rsidRPr="00C10228">
        <w:rPr>
          <w:bCs/>
          <w:lang w:val="en-GB"/>
        </w:rPr>
        <w:t xml:space="preserve"> tonnes) could cover</w:t>
      </w:r>
      <w:r w:rsidR="006702A4">
        <w:rPr>
          <w:bCs/>
          <w:lang w:val="en-GB"/>
        </w:rPr>
        <w:t xml:space="preserve"> 40</w:t>
      </w:r>
      <w:r w:rsidR="00D76803">
        <w:rPr>
          <w:bCs/>
          <w:lang w:val="en-GB"/>
        </w:rPr>
        <w:t xml:space="preserve"> </w:t>
      </w:r>
      <w:r w:rsidR="006702A4">
        <w:rPr>
          <w:bCs/>
          <w:lang w:val="en-GB"/>
        </w:rPr>
        <w:t>%</w:t>
      </w:r>
      <w:r w:rsidR="00C10228" w:rsidRPr="00C10228">
        <w:rPr>
          <w:bCs/>
          <w:lang w:val="en-GB"/>
        </w:rPr>
        <w:t xml:space="preserve"> Norway’s phosphorus demand</w:t>
      </w:r>
      <w:r w:rsidR="00B41AD5">
        <w:rPr>
          <w:bCs/>
          <w:lang w:val="en-GB"/>
        </w:rPr>
        <w:t xml:space="preserve"> while nitrogen could cover 25 % of Norway’s demand</w:t>
      </w:r>
      <w:r w:rsidR="00C10228" w:rsidRPr="00C10228">
        <w:rPr>
          <w:bCs/>
          <w:lang w:val="en-GB"/>
        </w:rPr>
        <w:t>.</w:t>
      </w:r>
      <w:r w:rsidR="002C5E2C">
        <w:rPr>
          <w:bCs/>
          <w:lang w:val="en-GB"/>
        </w:rPr>
        <w:t xml:space="preserve"> This will be an important factor for achieving circularity in food system of the country.</w:t>
      </w:r>
      <w:r w:rsidR="002C7B98">
        <w:rPr>
          <w:bCs/>
          <w:lang w:val="en-GB"/>
        </w:rPr>
        <w:t xml:space="preserve"> Figure </w:t>
      </w:r>
      <w:r w:rsidR="002E2C26">
        <w:rPr>
          <w:bCs/>
          <w:lang w:val="en-GB"/>
        </w:rPr>
        <w:t>3</w:t>
      </w:r>
      <w:r w:rsidR="002C7B98">
        <w:rPr>
          <w:bCs/>
          <w:lang w:val="en-GB"/>
        </w:rPr>
        <w:t xml:space="preserve"> shows </w:t>
      </w:r>
      <w:r w:rsidR="002C7B98">
        <w:rPr>
          <w:rStyle w:val="CETCaptionCarattere"/>
          <w:i w:val="0"/>
        </w:rPr>
        <w:t>the contributions of digestates from different biogas feedstocks to total nitrogen and phosphorus content for current situation and future in percentages.</w:t>
      </w:r>
    </w:p>
    <w:p w14:paraId="7C4090B2" w14:textId="3D374D25" w:rsidR="00F01C06" w:rsidRPr="00B57B36" w:rsidRDefault="00F01C06" w:rsidP="00F01C06">
      <w:pPr>
        <w:pStyle w:val="CETCaption"/>
      </w:pPr>
      <w:r>
        <w:rPr>
          <w:noProof/>
        </w:rPr>
        <w:drawing>
          <wp:inline distT="0" distB="0" distL="0" distR="0" wp14:anchorId="1FE5A174" wp14:editId="2D45C4C8">
            <wp:extent cx="4040211" cy="3336966"/>
            <wp:effectExtent l="0" t="0" r="0" b="0"/>
            <wp:docPr id="207701567"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8588" cy="3385182"/>
                    </a:xfrm>
                    <a:prstGeom prst="rect">
                      <a:avLst/>
                    </a:prstGeom>
                    <a:noFill/>
                    <a:ln>
                      <a:noFill/>
                    </a:ln>
                  </pic:spPr>
                </pic:pic>
              </a:graphicData>
            </a:graphic>
          </wp:inline>
        </w:drawing>
      </w:r>
    </w:p>
    <w:p w14:paraId="0B3B47DD" w14:textId="3D1EB026" w:rsidR="00F01C06" w:rsidRDefault="00F01C06" w:rsidP="00F01C06">
      <w:pPr>
        <w:pStyle w:val="CETBodytext"/>
        <w:rPr>
          <w:rStyle w:val="CETCaptionCarattere"/>
          <w:i w:val="0"/>
        </w:rPr>
      </w:pPr>
      <w:r w:rsidRPr="00BD077D">
        <w:rPr>
          <w:rStyle w:val="CETCaptionCarattere"/>
        </w:rPr>
        <w:t xml:space="preserve">Figure </w:t>
      </w:r>
      <w:r w:rsidR="002E2C26">
        <w:rPr>
          <w:rStyle w:val="CETCaptionCarattere"/>
        </w:rPr>
        <w:t>3</w:t>
      </w:r>
      <w:r w:rsidRPr="00BD077D">
        <w:rPr>
          <w:rStyle w:val="CETCaptionCarattere"/>
        </w:rPr>
        <w:t xml:space="preserve">: </w:t>
      </w:r>
      <w:r w:rsidR="002E3CF9">
        <w:rPr>
          <w:rStyle w:val="CETCaptionCarattere"/>
          <w:i w:val="0"/>
        </w:rPr>
        <w:t>Contributions of digestates from different biogas feedstocks to total</w:t>
      </w:r>
      <w:r>
        <w:rPr>
          <w:rStyle w:val="CETCaptionCarattere"/>
          <w:i w:val="0"/>
        </w:rPr>
        <w:t xml:space="preserve"> </w:t>
      </w:r>
      <w:r w:rsidR="002652BA">
        <w:rPr>
          <w:rStyle w:val="CETCaptionCarattere"/>
          <w:i w:val="0"/>
        </w:rPr>
        <w:t xml:space="preserve">nitrogen and phosphorus content </w:t>
      </w:r>
      <w:r w:rsidR="00161B2E">
        <w:rPr>
          <w:rStyle w:val="CETCaptionCarattere"/>
          <w:i w:val="0"/>
        </w:rPr>
        <w:t xml:space="preserve">for </w:t>
      </w:r>
      <w:r w:rsidR="002E3CF9">
        <w:rPr>
          <w:rStyle w:val="CETCaptionCarattere"/>
          <w:i w:val="0"/>
        </w:rPr>
        <w:t>current</w:t>
      </w:r>
      <w:r w:rsidR="00161B2E">
        <w:rPr>
          <w:rStyle w:val="CETCaptionCarattere"/>
          <w:i w:val="0"/>
        </w:rPr>
        <w:t xml:space="preserve"> situation</w:t>
      </w:r>
      <w:r w:rsidR="002E3CF9">
        <w:rPr>
          <w:rStyle w:val="CETCaptionCarattere"/>
          <w:i w:val="0"/>
        </w:rPr>
        <w:t xml:space="preserve"> and future</w:t>
      </w:r>
      <w:r w:rsidR="00580F77">
        <w:rPr>
          <w:rStyle w:val="CETCaptionCarattere"/>
          <w:i w:val="0"/>
        </w:rPr>
        <w:t xml:space="preserve"> in percentages</w:t>
      </w:r>
      <w:r w:rsidR="002E3CF9">
        <w:rPr>
          <w:rStyle w:val="CETCaptionCarattere"/>
          <w:i w:val="0"/>
        </w:rPr>
        <w:t>.</w:t>
      </w:r>
    </w:p>
    <w:p w14:paraId="018B2C93" w14:textId="77777777" w:rsidR="002E00E5" w:rsidRDefault="002E00E5" w:rsidP="006707E0">
      <w:pPr>
        <w:pStyle w:val="CETBodytext"/>
        <w:rPr>
          <w:bCs/>
          <w:lang w:val="en-GB"/>
        </w:rPr>
      </w:pPr>
    </w:p>
    <w:p w14:paraId="51BA1200" w14:textId="32A2321A" w:rsidR="00600535" w:rsidRDefault="00266D4E" w:rsidP="006707E0">
      <w:pPr>
        <w:pStyle w:val="CETBodytext"/>
        <w:rPr>
          <w:bCs/>
          <w:lang w:val="en-GB"/>
        </w:rPr>
      </w:pPr>
      <w:r>
        <w:rPr>
          <w:bCs/>
          <w:lang w:val="en-GB"/>
        </w:rPr>
        <w:t xml:space="preserve">Currently food waste (for nitrogen) and </w:t>
      </w:r>
      <w:r w:rsidR="008D3C44">
        <w:rPr>
          <w:bCs/>
          <w:lang w:val="en-GB"/>
        </w:rPr>
        <w:t>fish ensilage (for phosphorus) are important contributors</w:t>
      </w:r>
      <w:r w:rsidR="009C1148">
        <w:rPr>
          <w:bCs/>
          <w:lang w:val="en-GB"/>
        </w:rPr>
        <w:t xml:space="preserve"> to total amounts of these valuable nutrients. This will be changed in the future due to large</w:t>
      </w:r>
      <w:r w:rsidR="00A659C3">
        <w:rPr>
          <w:bCs/>
          <w:lang w:val="en-GB"/>
        </w:rPr>
        <w:t xml:space="preserve"> amounts of livestock manure entering the biogas market.</w:t>
      </w:r>
    </w:p>
    <w:p w14:paraId="33E2FB69" w14:textId="50397525" w:rsidR="003C563F" w:rsidRPr="00B57B36" w:rsidRDefault="00001774" w:rsidP="003C563F">
      <w:pPr>
        <w:pStyle w:val="CETheadingx"/>
      </w:pPr>
      <w:r>
        <w:t>Energy use for downstream processing of digestate</w:t>
      </w:r>
    </w:p>
    <w:p w14:paraId="0107A87E" w14:textId="59946B1C" w:rsidR="00E52803" w:rsidRDefault="00E52803" w:rsidP="006707E0">
      <w:pPr>
        <w:pStyle w:val="CETBodytext"/>
        <w:rPr>
          <w:bCs/>
          <w:lang w:val="en-GB"/>
        </w:rPr>
      </w:pPr>
      <w:r>
        <w:rPr>
          <w:bCs/>
          <w:lang w:val="en-GB"/>
        </w:rPr>
        <w:t>Digestate has around 2.6 % DM concentration and it is often dewatered for easy transport and storage before use as fertilizer in agricultural lands. Therefore, it is important to consider energy requirement of the downstream processing of digestate even if there is enough market for its utilization.</w:t>
      </w:r>
      <w:r w:rsidRPr="00B126D7">
        <w:t xml:space="preserve"> </w:t>
      </w:r>
      <w:r w:rsidRPr="00B126D7">
        <w:rPr>
          <w:bCs/>
          <w:lang w:val="en-GB"/>
        </w:rPr>
        <w:t>The digestate is</w:t>
      </w:r>
      <w:r>
        <w:rPr>
          <w:bCs/>
          <w:lang w:val="en-GB"/>
        </w:rPr>
        <w:t xml:space="preserve"> usually</w:t>
      </w:r>
      <w:r w:rsidRPr="00B126D7">
        <w:rPr>
          <w:bCs/>
          <w:lang w:val="en-GB"/>
        </w:rPr>
        <w:t xml:space="preserve"> dewatered to a </w:t>
      </w:r>
      <w:r>
        <w:rPr>
          <w:bCs/>
          <w:lang w:val="en-GB"/>
        </w:rPr>
        <w:t>DM</w:t>
      </w:r>
      <w:r w:rsidRPr="00B126D7">
        <w:rPr>
          <w:bCs/>
          <w:lang w:val="en-GB"/>
        </w:rPr>
        <w:t xml:space="preserve"> content of 15–25</w:t>
      </w:r>
      <w:r w:rsidR="007616C2">
        <w:rPr>
          <w:bCs/>
          <w:lang w:val="en-GB"/>
        </w:rPr>
        <w:t xml:space="preserve"> </w:t>
      </w:r>
      <w:r w:rsidRPr="00B126D7">
        <w:rPr>
          <w:bCs/>
          <w:lang w:val="en-GB"/>
        </w:rPr>
        <w:t xml:space="preserve">% using centrifuges, screw presses, filter presses, or other dewatering technologies </w:t>
      </w:r>
      <w:r>
        <w:rPr>
          <w:bCs/>
          <w:lang w:val="en-GB"/>
        </w:rPr>
        <w:t>(</w:t>
      </w:r>
      <w:proofErr w:type="spellStart"/>
      <w:r>
        <w:rPr>
          <w:bCs/>
          <w:lang w:val="en-GB"/>
        </w:rPr>
        <w:t>Miljødirektoratet</w:t>
      </w:r>
      <w:proofErr w:type="spellEnd"/>
      <w:r>
        <w:rPr>
          <w:bCs/>
          <w:lang w:val="en-GB"/>
        </w:rPr>
        <w:t>, 2020)</w:t>
      </w:r>
      <w:r w:rsidRPr="00B126D7">
        <w:rPr>
          <w:bCs/>
          <w:lang w:val="en-GB"/>
        </w:rPr>
        <w:t xml:space="preserve">. The energy demand of centrifuges is 50–60 kWh per tonne of </w:t>
      </w:r>
      <w:r>
        <w:rPr>
          <w:bCs/>
          <w:lang w:val="en-GB"/>
        </w:rPr>
        <w:t>DM</w:t>
      </w:r>
      <w:r w:rsidRPr="00B126D7">
        <w:rPr>
          <w:bCs/>
          <w:lang w:val="en-GB"/>
        </w:rPr>
        <w:t xml:space="preserve">, whereas screw presses require less energy, approximately 20 kWh per tonne of </w:t>
      </w:r>
      <w:r>
        <w:rPr>
          <w:bCs/>
          <w:lang w:val="en-GB"/>
        </w:rPr>
        <w:t>DM</w:t>
      </w:r>
      <w:r w:rsidRPr="00B126D7">
        <w:rPr>
          <w:bCs/>
          <w:lang w:val="en-GB"/>
        </w:rPr>
        <w:t xml:space="preserve"> (including pumping and polymer dosing), with an estimated polymer consumption of 6 kg per tonne of </w:t>
      </w:r>
      <w:r>
        <w:rPr>
          <w:bCs/>
          <w:lang w:val="en-GB"/>
        </w:rPr>
        <w:t>DM</w:t>
      </w:r>
      <w:r w:rsidRPr="00B126D7">
        <w:rPr>
          <w:bCs/>
          <w:lang w:val="en-GB"/>
        </w:rPr>
        <w:t xml:space="preserve"> to produce dewatered digestate with 25</w:t>
      </w:r>
      <w:r w:rsidR="007616C2">
        <w:rPr>
          <w:bCs/>
          <w:lang w:val="en-GB"/>
        </w:rPr>
        <w:t xml:space="preserve"> </w:t>
      </w:r>
      <w:r w:rsidRPr="00B126D7">
        <w:rPr>
          <w:bCs/>
          <w:lang w:val="en-GB"/>
        </w:rPr>
        <w:t xml:space="preserve">% </w:t>
      </w:r>
      <w:r>
        <w:rPr>
          <w:bCs/>
          <w:lang w:val="en-GB"/>
        </w:rPr>
        <w:t>DM (Esteves and Vik, 2020)</w:t>
      </w:r>
      <w:r w:rsidRPr="00B126D7">
        <w:rPr>
          <w:bCs/>
          <w:lang w:val="en-GB"/>
        </w:rPr>
        <w:t>.</w:t>
      </w:r>
      <w:r w:rsidR="004D38D5">
        <w:rPr>
          <w:bCs/>
          <w:lang w:val="en-GB"/>
        </w:rPr>
        <w:t xml:space="preserve"> </w:t>
      </w:r>
      <w:r w:rsidR="00791E06" w:rsidRPr="00791E06">
        <w:rPr>
          <w:bCs/>
          <w:lang w:val="en-GB"/>
        </w:rPr>
        <w:t>Dry digestate (90–95</w:t>
      </w:r>
      <w:r w:rsidR="007616C2">
        <w:rPr>
          <w:bCs/>
          <w:lang w:val="en-GB"/>
        </w:rPr>
        <w:t xml:space="preserve"> </w:t>
      </w:r>
      <w:r w:rsidR="00791E06" w:rsidRPr="00791E06">
        <w:rPr>
          <w:bCs/>
          <w:lang w:val="en-GB"/>
        </w:rPr>
        <w:t xml:space="preserve">% TS) can be produced by applying heat after dewatering, which offers advantages such as easier application on agricultural land and lower storage and transportation costs due to reduced volume. However, this is an energy-intensive process </w:t>
      </w:r>
      <w:r w:rsidR="00ED5375">
        <w:rPr>
          <w:bCs/>
          <w:lang w:val="en-GB"/>
        </w:rPr>
        <w:t>(</w:t>
      </w:r>
      <w:proofErr w:type="spellStart"/>
      <w:r w:rsidR="00ED5375">
        <w:rPr>
          <w:bCs/>
          <w:lang w:val="en-GB"/>
        </w:rPr>
        <w:t>Miljødirektoratet</w:t>
      </w:r>
      <w:proofErr w:type="spellEnd"/>
      <w:r w:rsidR="00ED5375">
        <w:rPr>
          <w:bCs/>
          <w:lang w:val="en-GB"/>
        </w:rPr>
        <w:t>, 2020)</w:t>
      </w:r>
      <w:r w:rsidR="00ED5375" w:rsidRPr="00B126D7">
        <w:rPr>
          <w:bCs/>
          <w:lang w:val="en-GB"/>
        </w:rPr>
        <w:t>.</w:t>
      </w:r>
      <w:r w:rsidR="00791E06" w:rsidRPr="00791E06">
        <w:rPr>
          <w:bCs/>
          <w:lang w:val="en-GB"/>
        </w:rPr>
        <w:t xml:space="preserve"> Theoretically, 2,257 kJ are required to evaporate 1 kg of water </w:t>
      </w:r>
      <w:r w:rsidR="00ED5375">
        <w:rPr>
          <w:bCs/>
          <w:lang w:val="en-GB"/>
        </w:rPr>
        <w:t>(Bjørndal et al., 2018)</w:t>
      </w:r>
      <w:r w:rsidR="00791E06" w:rsidRPr="00791E06">
        <w:rPr>
          <w:bCs/>
          <w:lang w:val="en-GB"/>
        </w:rPr>
        <w:t>.</w:t>
      </w:r>
      <w:r w:rsidR="00ED5375">
        <w:rPr>
          <w:bCs/>
          <w:lang w:val="en-GB"/>
        </w:rPr>
        <w:t xml:space="preserve"> </w:t>
      </w:r>
      <w:r w:rsidR="00486B60">
        <w:rPr>
          <w:bCs/>
          <w:lang w:val="en-GB"/>
        </w:rPr>
        <w:t>Energy requirements of dewatering</w:t>
      </w:r>
      <w:r w:rsidR="00D6295E">
        <w:rPr>
          <w:bCs/>
          <w:lang w:val="en-GB"/>
        </w:rPr>
        <w:t xml:space="preserve"> from 2.6 % to 25 % DM</w:t>
      </w:r>
      <w:r w:rsidR="00486B60">
        <w:rPr>
          <w:bCs/>
          <w:lang w:val="en-GB"/>
        </w:rPr>
        <w:t xml:space="preserve"> and drying</w:t>
      </w:r>
      <w:r w:rsidR="00D6295E">
        <w:rPr>
          <w:bCs/>
          <w:lang w:val="en-GB"/>
        </w:rPr>
        <w:t xml:space="preserve"> from 25 % to 90 % DM</w:t>
      </w:r>
      <w:r w:rsidR="00486B60">
        <w:rPr>
          <w:bCs/>
          <w:lang w:val="en-GB"/>
        </w:rPr>
        <w:t xml:space="preserve"> are estimated for current and future digestate</w:t>
      </w:r>
      <w:r w:rsidR="000B2C3E">
        <w:rPr>
          <w:bCs/>
          <w:lang w:val="en-GB"/>
        </w:rPr>
        <w:t xml:space="preserve"> volumes</w:t>
      </w:r>
      <w:r w:rsidR="007616C2">
        <w:rPr>
          <w:bCs/>
          <w:lang w:val="en-GB"/>
        </w:rPr>
        <w:t xml:space="preserve"> and given in Table 4.</w:t>
      </w:r>
    </w:p>
    <w:p w14:paraId="04ED9600" w14:textId="25E5121B" w:rsidR="008243D6" w:rsidRPr="00B57B36" w:rsidRDefault="008243D6" w:rsidP="008243D6">
      <w:pPr>
        <w:pStyle w:val="CETTabletitle"/>
      </w:pPr>
      <w:r w:rsidRPr="00B57B36">
        <w:t xml:space="preserve">Table </w:t>
      </w:r>
      <w:r>
        <w:t>4</w:t>
      </w:r>
      <w:r w:rsidRPr="00B57B36">
        <w:t xml:space="preserve">: </w:t>
      </w:r>
      <w:r w:rsidR="004D39E0">
        <w:t>Thermal e</w:t>
      </w:r>
      <w:r>
        <w:t>nergy re</w:t>
      </w:r>
      <w:r w:rsidR="00B94E7A">
        <w:t>quirement for processing of current and</w:t>
      </w:r>
      <w:r>
        <w:t xml:space="preserve"> future digestate.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67"/>
        <w:gridCol w:w="2297"/>
        <w:gridCol w:w="2295"/>
        <w:gridCol w:w="2396"/>
      </w:tblGrid>
      <w:tr w:rsidR="005352AC" w:rsidRPr="00B57B36" w14:paraId="65B79BCE" w14:textId="77777777" w:rsidTr="005352AC">
        <w:trPr>
          <w:trHeight w:val="268"/>
        </w:trPr>
        <w:tc>
          <w:tcPr>
            <w:tcW w:w="1767" w:type="dxa"/>
            <w:tcBorders>
              <w:top w:val="single" w:sz="12" w:space="0" w:color="008000"/>
              <w:bottom w:val="single" w:sz="6" w:space="0" w:color="008000"/>
            </w:tcBorders>
            <w:shd w:val="clear" w:color="auto" w:fill="FFFFFF"/>
          </w:tcPr>
          <w:p w14:paraId="29A0384C" w14:textId="77777777" w:rsidR="005352AC" w:rsidRPr="00B57B36" w:rsidRDefault="005352AC" w:rsidP="00DE7272">
            <w:pPr>
              <w:pStyle w:val="CETBodytext"/>
              <w:rPr>
                <w:lang w:val="en-GB"/>
              </w:rPr>
            </w:pPr>
          </w:p>
        </w:tc>
        <w:tc>
          <w:tcPr>
            <w:tcW w:w="2297" w:type="dxa"/>
            <w:tcBorders>
              <w:top w:val="single" w:sz="12" w:space="0" w:color="008000"/>
              <w:bottom w:val="single" w:sz="6" w:space="0" w:color="008000"/>
            </w:tcBorders>
            <w:shd w:val="clear" w:color="auto" w:fill="FFFFFF"/>
          </w:tcPr>
          <w:p w14:paraId="029C7B3A" w14:textId="53039700" w:rsidR="005352AC" w:rsidRPr="00B57B36" w:rsidRDefault="007E237F" w:rsidP="00DE7272">
            <w:pPr>
              <w:pStyle w:val="CETBodytext"/>
              <w:rPr>
                <w:lang w:val="en-GB"/>
              </w:rPr>
            </w:pPr>
            <w:r>
              <w:rPr>
                <w:lang w:val="en-GB"/>
              </w:rPr>
              <w:t>Dewatering (GW</w:t>
            </w:r>
            <w:r w:rsidR="00F509B4">
              <w:rPr>
                <w:lang w:val="en-GB"/>
              </w:rPr>
              <w:t>h</w:t>
            </w:r>
            <w:r>
              <w:rPr>
                <w:lang w:val="en-GB"/>
              </w:rPr>
              <w:t>)</w:t>
            </w:r>
          </w:p>
        </w:tc>
        <w:tc>
          <w:tcPr>
            <w:tcW w:w="2295" w:type="dxa"/>
            <w:tcBorders>
              <w:top w:val="single" w:sz="12" w:space="0" w:color="008000"/>
              <w:bottom w:val="single" w:sz="6" w:space="0" w:color="008000"/>
            </w:tcBorders>
            <w:shd w:val="clear" w:color="auto" w:fill="FFFFFF"/>
          </w:tcPr>
          <w:p w14:paraId="48301BB7" w14:textId="54BF0940" w:rsidR="005352AC" w:rsidRPr="00B57B36" w:rsidRDefault="005352AC" w:rsidP="00DE7272">
            <w:pPr>
              <w:pStyle w:val="CETBodytext"/>
              <w:rPr>
                <w:lang w:val="en-GB"/>
              </w:rPr>
            </w:pPr>
            <w:r>
              <w:rPr>
                <w:lang w:val="en-GB"/>
              </w:rPr>
              <w:t>Dry</w:t>
            </w:r>
            <w:r w:rsidR="001316D4">
              <w:rPr>
                <w:lang w:val="en-GB"/>
              </w:rPr>
              <w:t>ing (GW</w:t>
            </w:r>
            <w:r w:rsidR="00F509B4">
              <w:rPr>
                <w:lang w:val="en-GB"/>
              </w:rPr>
              <w:t>h</w:t>
            </w:r>
            <w:r w:rsidR="001316D4">
              <w:rPr>
                <w:lang w:val="en-GB"/>
              </w:rPr>
              <w:t>)</w:t>
            </w:r>
          </w:p>
        </w:tc>
        <w:tc>
          <w:tcPr>
            <w:tcW w:w="2396" w:type="dxa"/>
            <w:tcBorders>
              <w:top w:val="single" w:sz="12" w:space="0" w:color="008000"/>
              <w:bottom w:val="single" w:sz="6" w:space="0" w:color="008000"/>
            </w:tcBorders>
            <w:shd w:val="clear" w:color="auto" w:fill="FFFFFF"/>
          </w:tcPr>
          <w:p w14:paraId="78A4056F" w14:textId="12F0B2E6" w:rsidR="005352AC" w:rsidRPr="00B57B36" w:rsidRDefault="005352AC" w:rsidP="00DE7272">
            <w:pPr>
              <w:pStyle w:val="CETBodytext"/>
              <w:ind w:right="-1"/>
              <w:rPr>
                <w:rFonts w:cs="Arial"/>
                <w:szCs w:val="18"/>
                <w:lang w:val="en-GB"/>
              </w:rPr>
            </w:pPr>
            <w:r>
              <w:rPr>
                <w:rFonts w:cs="Arial"/>
                <w:szCs w:val="18"/>
                <w:lang w:val="en-GB"/>
              </w:rPr>
              <w:t xml:space="preserve">Total </w:t>
            </w:r>
            <w:r w:rsidR="001316D4">
              <w:rPr>
                <w:rFonts w:cs="Arial"/>
                <w:szCs w:val="18"/>
                <w:lang w:val="en-GB"/>
              </w:rPr>
              <w:t>(GW</w:t>
            </w:r>
            <w:r w:rsidR="00F509B4">
              <w:rPr>
                <w:rFonts w:cs="Arial"/>
                <w:szCs w:val="18"/>
                <w:lang w:val="en-GB"/>
              </w:rPr>
              <w:t>h</w:t>
            </w:r>
            <w:r w:rsidR="001316D4">
              <w:rPr>
                <w:rFonts w:cs="Arial"/>
                <w:szCs w:val="18"/>
                <w:lang w:val="en-GB"/>
              </w:rPr>
              <w:t>)</w:t>
            </w:r>
          </w:p>
        </w:tc>
      </w:tr>
      <w:tr w:rsidR="005352AC" w:rsidRPr="00B57B36" w14:paraId="68AE2F66" w14:textId="77777777" w:rsidTr="005352AC">
        <w:trPr>
          <w:trHeight w:val="257"/>
        </w:trPr>
        <w:tc>
          <w:tcPr>
            <w:tcW w:w="1767" w:type="dxa"/>
            <w:shd w:val="clear" w:color="auto" w:fill="FFFFFF"/>
          </w:tcPr>
          <w:p w14:paraId="4FE12785" w14:textId="77777777" w:rsidR="005352AC" w:rsidRPr="00B57B36" w:rsidRDefault="005352AC" w:rsidP="00DE7272">
            <w:pPr>
              <w:pStyle w:val="CETBodytext"/>
              <w:rPr>
                <w:lang w:val="en-GB"/>
              </w:rPr>
            </w:pPr>
            <w:r>
              <w:rPr>
                <w:lang w:val="en-GB"/>
              </w:rPr>
              <w:t>Current</w:t>
            </w:r>
          </w:p>
        </w:tc>
        <w:tc>
          <w:tcPr>
            <w:tcW w:w="2297" w:type="dxa"/>
            <w:shd w:val="clear" w:color="auto" w:fill="FFFFFF"/>
          </w:tcPr>
          <w:p w14:paraId="0BB5F28F" w14:textId="3041A7A7" w:rsidR="005352AC" w:rsidRPr="00B57B36" w:rsidRDefault="007431BE" w:rsidP="00DE7272">
            <w:pPr>
              <w:pStyle w:val="CETBodytext"/>
              <w:rPr>
                <w:lang w:val="en-GB"/>
              </w:rPr>
            </w:pPr>
            <w:r>
              <w:rPr>
                <w:lang w:val="en-GB"/>
              </w:rPr>
              <w:t>0.98</w:t>
            </w:r>
          </w:p>
        </w:tc>
        <w:tc>
          <w:tcPr>
            <w:tcW w:w="2295" w:type="dxa"/>
            <w:shd w:val="clear" w:color="auto" w:fill="FFFFFF"/>
          </w:tcPr>
          <w:p w14:paraId="5E27183C" w14:textId="53DA067D" w:rsidR="005352AC" w:rsidRPr="00B57B36" w:rsidRDefault="007431BE" w:rsidP="00DE7272">
            <w:pPr>
              <w:pStyle w:val="CETBodytext"/>
              <w:rPr>
                <w:lang w:val="en-GB"/>
              </w:rPr>
            </w:pPr>
            <w:r>
              <w:rPr>
                <w:lang w:val="en-GB"/>
              </w:rPr>
              <w:t>88.84</w:t>
            </w:r>
          </w:p>
        </w:tc>
        <w:tc>
          <w:tcPr>
            <w:tcW w:w="2396" w:type="dxa"/>
            <w:shd w:val="clear" w:color="auto" w:fill="FFFFFF"/>
          </w:tcPr>
          <w:p w14:paraId="1CD9B028" w14:textId="5883FD4F" w:rsidR="005352AC" w:rsidRPr="00B57B36" w:rsidRDefault="00B26D42" w:rsidP="00DE7272">
            <w:pPr>
              <w:pStyle w:val="CETBodytext"/>
              <w:ind w:right="-1"/>
              <w:rPr>
                <w:rFonts w:cs="Arial"/>
                <w:szCs w:val="18"/>
                <w:lang w:val="en-GB"/>
              </w:rPr>
            </w:pPr>
            <w:r>
              <w:rPr>
                <w:rFonts w:cs="Arial"/>
                <w:szCs w:val="18"/>
                <w:lang w:val="en-GB"/>
              </w:rPr>
              <w:t>89.82</w:t>
            </w:r>
          </w:p>
        </w:tc>
      </w:tr>
      <w:tr w:rsidR="005352AC" w:rsidRPr="00B57B36" w14:paraId="233DC2A9" w14:textId="77777777" w:rsidTr="005352AC">
        <w:trPr>
          <w:trHeight w:val="268"/>
        </w:trPr>
        <w:tc>
          <w:tcPr>
            <w:tcW w:w="1767" w:type="dxa"/>
            <w:shd w:val="clear" w:color="auto" w:fill="FFFFFF"/>
          </w:tcPr>
          <w:p w14:paraId="7D5D59C8" w14:textId="77777777" w:rsidR="005352AC" w:rsidRPr="00B57B36" w:rsidRDefault="005352AC" w:rsidP="00DE7272">
            <w:pPr>
              <w:pStyle w:val="CETBodytext"/>
              <w:ind w:right="-1"/>
              <w:rPr>
                <w:rFonts w:cs="Arial"/>
                <w:szCs w:val="18"/>
                <w:lang w:val="en-GB"/>
              </w:rPr>
            </w:pPr>
            <w:r>
              <w:rPr>
                <w:rFonts w:cs="Arial"/>
                <w:szCs w:val="18"/>
                <w:lang w:val="en-GB"/>
              </w:rPr>
              <w:t>Future</w:t>
            </w:r>
          </w:p>
        </w:tc>
        <w:tc>
          <w:tcPr>
            <w:tcW w:w="2297" w:type="dxa"/>
            <w:shd w:val="clear" w:color="auto" w:fill="FFFFFF"/>
          </w:tcPr>
          <w:p w14:paraId="014A45EC" w14:textId="10E961D8" w:rsidR="005352AC" w:rsidRPr="00B57B36" w:rsidRDefault="007431BE" w:rsidP="00DE7272">
            <w:pPr>
              <w:pStyle w:val="CETBodytext"/>
              <w:ind w:right="-1"/>
              <w:rPr>
                <w:rFonts w:cs="Arial"/>
                <w:szCs w:val="18"/>
                <w:lang w:val="en-GB"/>
              </w:rPr>
            </w:pPr>
            <w:r>
              <w:rPr>
                <w:rFonts w:cs="Arial"/>
                <w:szCs w:val="18"/>
                <w:lang w:val="en-GB"/>
              </w:rPr>
              <w:t>13.58</w:t>
            </w:r>
          </w:p>
        </w:tc>
        <w:tc>
          <w:tcPr>
            <w:tcW w:w="2295" w:type="dxa"/>
            <w:shd w:val="clear" w:color="auto" w:fill="FFFFFF"/>
          </w:tcPr>
          <w:p w14:paraId="19691061" w14:textId="3EA6998A" w:rsidR="005352AC" w:rsidRPr="00B57B36" w:rsidRDefault="007431BE" w:rsidP="00DE7272">
            <w:pPr>
              <w:pStyle w:val="CETBodytext"/>
              <w:ind w:right="-1"/>
              <w:rPr>
                <w:rFonts w:cs="Arial"/>
                <w:szCs w:val="18"/>
                <w:lang w:val="en-GB"/>
              </w:rPr>
            </w:pPr>
            <w:r>
              <w:rPr>
                <w:rFonts w:cs="Arial"/>
                <w:szCs w:val="18"/>
                <w:lang w:val="en-GB"/>
              </w:rPr>
              <w:t>1230</w:t>
            </w:r>
            <w:r w:rsidR="00B26D42">
              <w:rPr>
                <w:rFonts w:cs="Arial"/>
                <w:szCs w:val="18"/>
                <w:lang w:val="en-GB"/>
              </w:rPr>
              <w:t>.48</w:t>
            </w:r>
          </w:p>
        </w:tc>
        <w:tc>
          <w:tcPr>
            <w:tcW w:w="2396" w:type="dxa"/>
            <w:shd w:val="clear" w:color="auto" w:fill="FFFFFF"/>
          </w:tcPr>
          <w:p w14:paraId="6EA62211" w14:textId="13DA33B4" w:rsidR="005352AC" w:rsidRPr="00B57B36" w:rsidRDefault="00B26D42" w:rsidP="00DE7272">
            <w:pPr>
              <w:pStyle w:val="CETBodytext"/>
              <w:ind w:right="-1"/>
              <w:rPr>
                <w:rFonts w:cs="Arial"/>
                <w:szCs w:val="18"/>
                <w:lang w:val="en-GB"/>
              </w:rPr>
            </w:pPr>
            <w:r>
              <w:rPr>
                <w:rFonts w:cs="Arial"/>
                <w:szCs w:val="18"/>
                <w:lang w:val="en-GB"/>
              </w:rPr>
              <w:t>1244.06</w:t>
            </w:r>
          </w:p>
        </w:tc>
      </w:tr>
    </w:tbl>
    <w:p w14:paraId="4734F2EF" w14:textId="206C2ACB" w:rsidR="007616C2" w:rsidRDefault="00455BB0" w:rsidP="006707E0">
      <w:pPr>
        <w:pStyle w:val="CETBodytext"/>
        <w:rPr>
          <w:bCs/>
          <w:lang w:val="en-GB"/>
        </w:rPr>
      </w:pPr>
      <w:r w:rsidRPr="00455BB0">
        <w:rPr>
          <w:bCs/>
          <w:lang w:val="en-GB"/>
        </w:rPr>
        <w:t>Drying dominates the total energy demand in both scenarios, accounting for more than 99</w:t>
      </w:r>
      <w:r w:rsidR="001E51B0">
        <w:rPr>
          <w:bCs/>
          <w:lang w:val="en-GB"/>
        </w:rPr>
        <w:t xml:space="preserve"> </w:t>
      </w:r>
      <w:r w:rsidRPr="00455BB0">
        <w:rPr>
          <w:bCs/>
          <w:lang w:val="en-GB"/>
        </w:rPr>
        <w:t>% of the total processing energy. In the future scenario, the energy required for drying rises sharply</w:t>
      </w:r>
      <w:r w:rsidR="006D36E3">
        <w:rPr>
          <w:bCs/>
          <w:lang w:val="en-GB"/>
        </w:rPr>
        <w:t xml:space="preserve">. </w:t>
      </w:r>
      <w:r w:rsidR="003E7552">
        <w:rPr>
          <w:bCs/>
          <w:lang w:val="en-GB"/>
        </w:rPr>
        <w:t>Table 4 shows that total energy</w:t>
      </w:r>
      <w:r w:rsidR="001559F0">
        <w:rPr>
          <w:bCs/>
          <w:lang w:val="en-GB"/>
        </w:rPr>
        <w:t xml:space="preserve"> </w:t>
      </w:r>
      <w:r w:rsidR="00F96027">
        <w:rPr>
          <w:bCs/>
          <w:lang w:val="en-GB"/>
        </w:rPr>
        <w:t xml:space="preserve">requirement for digestate </w:t>
      </w:r>
      <w:r w:rsidR="00311FB3">
        <w:rPr>
          <w:bCs/>
          <w:lang w:val="en-GB"/>
        </w:rPr>
        <w:t>will be 1244.06 GW</w:t>
      </w:r>
      <w:r w:rsidR="00F509B4">
        <w:rPr>
          <w:bCs/>
          <w:lang w:val="en-GB"/>
        </w:rPr>
        <w:t>h</w:t>
      </w:r>
      <w:r w:rsidR="00311FB3">
        <w:rPr>
          <w:bCs/>
          <w:lang w:val="en-GB"/>
        </w:rPr>
        <w:t xml:space="preserve"> if it is entirely dried</w:t>
      </w:r>
      <w:r w:rsidR="00603064">
        <w:rPr>
          <w:bCs/>
          <w:lang w:val="en-GB"/>
        </w:rPr>
        <w:t>. Even though it is not realistic to assume all digestate would be dried as a national strategy</w:t>
      </w:r>
      <w:r w:rsidR="00311FB3">
        <w:rPr>
          <w:bCs/>
          <w:lang w:val="en-GB"/>
        </w:rPr>
        <w:t xml:space="preserve">. </w:t>
      </w:r>
      <w:r w:rsidR="00592561">
        <w:rPr>
          <w:bCs/>
          <w:lang w:val="en-GB"/>
        </w:rPr>
        <w:t>Norway’s electricity use was 136000 GW</w:t>
      </w:r>
      <w:r w:rsidR="00F509B4">
        <w:rPr>
          <w:bCs/>
          <w:lang w:val="en-GB"/>
        </w:rPr>
        <w:t>h</w:t>
      </w:r>
      <w:r w:rsidR="00592561">
        <w:rPr>
          <w:bCs/>
          <w:lang w:val="en-GB"/>
        </w:rPr>
        <w:t xml:space="preserve"> in 2023 as comparison.</w:t>
      </w:r>
      <w:r w:rsidR="006D36E3">
        <w:rPr>
          <w:bCs/>
          <w:lang w:val="en-GB"/>
        </w:rPr>
        <w:t xml:space="preserve"> </w:t>
      </w:r>
      <w:r w:rsidR="006D36E3" w:rsidRPr="006D36E3">
        <w:rPr>
          <w:bCs/>
          <w:lang w:val="en-GB"/>
        </w:rPr>
        <w:t>These results highlight drying as the main energy bottleneck in digestate management, particularly under scenarios with large increases in digestate volumes</w:t>
      </w:r>
      <w:r w:rsidR="00603064">
        <w:rPr>
          <w:bCs/>
          <w:lang w:val="en-GB"/>
        </w:rPr>
        <w:t xml:space="preserve"> even though it is not realistic to assume all digestate would be dried as a national strategy</w:t>
      </w:r>
      <w:r w:rsidR="006D36E3" w:rsidRPr="006D36E3">
        <w:rPr>
          <w:bCs/>
          <w:lang w:val="en-GB"/>
        </w:rPr>
        <w:t>. Although drying offers logistical and agronomic benefits, the very high energy demand may significantly reduce the net energy efficiency of the biogas system unless low-grade waste heat or renewable energy sources are utilized. Consequently, alternative management strategies</w:t>
      </w:r>
      <w:r w:rsidR="002C7B98">
        <w:rPr>
          <w:bCs/>
          <w:lang w:val="en-GB"/>
        </w:rPr>
        <w:t xml:space="preserve"> </w:t>
      </w:r>
      <w:r w:rsidR="006D36E3" w:rsidRPr="006D36E3">
        <w:rPr>
          <w:bCs/>
          <w:lang w:val="en-GB"/>
        </w:rPr>
        <w:t>such as partial drying, enhanced dewatering, or direct land application of liquid digestate</w:t>
      </w:r>
      <w:r w:rsidR="002C7B98">
        <w:rPr>
          <w:bCs/>
          <w:lang w:val="en-GB"/>
        </w:rPr>
        <w:t xml:space="preserve"> or utilization of surplus/waste energy to meet the energy requirement </w:t>
      </w:r>
      <w:r w:rsidR="006D36E3" w:rsidRPr="006D36E3">
        <w:rPr>
          <w:bCs/>
          <w:lang w:val="en-GB"/>
        </w:rPr>
        <w:t>may be more energy-efficient options in future large-scale biogas deployment</w:t>
      </w:r>
      <w:r w:rsidR="00843BA7">
        <w:rPr>
          <w:bCs/>
          <w:lang w:val="en-GB"/>
        </w:rPr>
        <w:t>.</w:t>
      </w:r>
    </w:p>
    <w:p w14:paraId="68D26B83" w14:textId="77777777" w:rsidR="00600535" w:rsidRPr="00B57B36" w:rsidRDefault="00600535" w:rsidP="00600535">
      <w:pPr>
        <w:pStyle w:val="CETHeading1"/>
        <w:rPr>
          <w:lang w:val="en-GB"/>
        </w:rPr>
      </w:pPr>
      <w:r w:rsidRPr="00B57B36">
        <w:rPr>
          <w:lang w:val="en-GB"/>
        </w:rPr>
        <w:t>Conclusions</w:t>
      </w:r>
    </w:p>
    <w:p w14:paraId="52DAFDE0" w14:textId="0B1F81A5" w:rsidR="001D0CFB" w:rsidRPr="00CD20F0" w:rsidRDefault="00170D9F" w:rsidP="00170D9F">
      <w:pPr>
        <w:pStyle w:val="CETBodytext"/>
      </w:pPr>
      <w:r w:rsidRPr="00170D9F">
        <w:rPr>
          <w:lang w:val="en-GB"/>
        </w:rPr>
        <w:t xml:space="preserve">This study </w:t>
      </w:r>
      <w:r w:rsidR="003C0DBB">
        <w:rPr>
          <w:lang w:val="en-GB"/>
        </w:rPr>
        <w:t xml:space="preserve">mapped </w:t>
      </w:r>
      <w:r w:rsidRPr="00170D9F">
        <w:rPr>
          <w:lang w:val="en-GB"/>
        </w:rPr>
        <w:t>quantity, composition, and</w:t>
      </w:r>
      <w:r w:rsidR="00E359E0">
        <w:rPr>
          <w:lang w:val="en-GB"/>
        </w:rPr>
        <w:t xml:space="preserve"> assessed</w:t>
      </w:r>
      <w:r w:rsidRPr="00170D9F">
        <w:rPr>
          <w:lang w:val="en-GB"/>
        </w:rPr>
        <w:t xml:space="preserve"> processing implications of digestate originating from biogas feedstocks within the Norwegian food system. The results demonstrate that the planned expansion of biogas production will lead to a substantial increase in both feedstock use and digestate generation, primarily driven by livestock manure. Total feedstock volumes are projected to increase more than fourteenfold, resulting in a corresponding rise in digestate volumes and nutrient content. This development positions digestate as an increasingly important carrier of recycled nutrients within Norwegian agriculture.</w:t>
      </w:r>
      <w:r>
        <w:rPr>
          <w:lang w:val="en-GB"/>
        </w:rPr>
        <w:t xml:space="preserve"> </w:t>
      </w:r>
      <w:r w:rsidRPr="00170D9F">
        <w:rPr>
          <w:lang w:val="en-GB"/>
        </w:rPr>
        <w:t>The future digestate contains significant amounts of nitrogen and phosphorus, with the potential to supply approximately 25</w:t>
      </w:r>
      <w:r w:rsidR="001E51B0">
        <w:rPr>
          <w:lang w:val="en-GB"/>
        </w:rPr>
        <w:t xml:space="preserve"> </w:t>
      </w:r>
      <w:r w:rsidRPr="00170D9F">
        <w:rPr>
          <w:lang w:val="en-GB"/>
        </w:rPr>
        <w:t>% of Norway’s nitrogen demand and 40</w:t>
      </w:r>
      <w:r w:rsidR="001E51B0">
        <w:rPr>
          <w:lang w:val="en-GB"/>
        </w:rPr>
        <w:t xml:space="preserve"> </w:t>
      </w:r>
      <w:r w:rsidRPr="00170D9F">
        <w:rPr>
          <w:lang w:val="en-GB"/>
        </w:rPr>
        <w:t>% of its phosphorus demand. This highlights digestate’s strong potential to contribute to nutrient circularity, reduce reliance on mineral fertilizers, and mitigate pressures on planetary boundaries related to biogeochemical flows. However, realizing this potential requires careful nutrient management to avoid environmental risks such as eutrophication, ammonia emissions, and nutrient hotspots, particularly as digestate production becomes more geographically decoupled from agricultural land.</w:t>
      </w:r>
      <w:r>
        <w:rPr>
          <w:lang w:val="en-GB"/>
        </w:rPr>
        <w:t xml:space="preserve"> </w:t>
      </w:r>
      <w:r w:rsidRPr="00170D9F">
        <w:rPr>
          <w:lang w:val="en-GB"/>
        </w:rPr>
        <w:t>Energy analysis shows that downstream processing of digestate, especially drying, represents a major challenge. Drying dominates total energy demand and could significantly reduce the net energy benefits of biogas systems if applied at scale without access to surplus heat or renewable energy sources. Consequently, full drying of digestate may not be a viable strategy in all cases.</w:t>
      </w:r>
      <w:r>
        <w:rPr>
          <w:lang w:val="en-GB"/>
        </w:rPr>
        <w:t xml:space="preserve"> </w:t>
      </w:r>
      <w:r w:rsidRPr="00170D9F">
        <w:rPr>
          <w:lang w:val="en-GB"/>
        </w:rPr>
        <w:t xml:space="preserve">Overall, the findings underline the need for integrated digestate management strategies that balance nutrient recovery, energy efficiency, and environmental protection. Enhanced dewatering, partial drying, direct land application of liquid digestate, and utilization of waste heat emerge as promising pathways to support sustainable large-scale biogas deployment in Norway’s evolving food and energy </w:t>
      </w:r>
      <w:r w:rsidR="006F7A65" w:rsidRPr="00170D9F">
        <w:rPr>
          <w:lang w:val="en-GB"/>
        </w:rPr>
        <w:lastRenderedPageBreak/>
        <w:t>system.</w:t>
      </w:r>
      <w:r w:rsidR="00CD20F0">
        <w:rPr>
          <w:lang w:val="en-GB"/>
        </w:rPr>
        <w:t xml:space="preserve"> </w:t>
      </w:r>
      <w:r w:rsidR="00CD20F0" w:rsidRPr="00CD20F0">
        <w:t>Future work should include a comprehensive economic feasibility analysis of the proposed digestate management and processing pathways. This analysis should compare the costs of treatment, transport, and energy use—particularly for drying and dewatering—with the market value of the recovered nutrients as fertilizers. Such an assessment would help determine whether the recovery and utilization of nitrogen and phosphorus from digestate can be economically competitive with conventional mineral fertilizers, and under which conditions these strategies are financially viable.</w:t>
      </w:r>
    </w:p>
    <w:p w14:paraId="424065D3" w14:textId="6E667C28" w:rsidR="00DB4ED8" w:rsidRPr="00527C4F" w:rsidRDefault="00600535" w:rsidP="00196B91">
      <w:pPr>
        <w:pStyle w:val="CETReference"/>
      </w:pPr>
      <w:r w:rsidRPr="00527C4F">
        <w:t>References</w:t>
      </w:r>
    </w:p>
    <w:p w14:paraId="1017F7D9" w14:textId="25145F7A" w:rsidR="00AC7E20" w:rsidRPr="00AC7E20" w:rsidRDefault="00AC7E20" w:rsidP="00AC7E20">
      <w:pPr>
        <w:pStyle w:val="CETReferencetext"/>
      </w:pPr>
      <w:r w:rsidRPr="003F0A29">
        <w:t>Azote for Stockholm Resilience Centre,</w:t>
      </w:r>
      <w:r>
        <w:t xml:space="preserve"> 2023 &lt;</w:t>
      </w:r>
      <w:r w:rsidRPr="00470D5E">
        <w:t>https://www.stockholmresilience.org/research/planetary-boundaries.html</w:t>
      </w:r>
      <w:r>
        <w:t xml:space="preserve">&gt; </w:t>
      </w:r>
      <w:r w:rsidRPr="00470D5E">
        <w:t>accessed 01.07.2025.</w:t>
      </w:r>
    </w:p>
    <w:p w14:paraId="2FFBA1DF" w14:textId="131E6511" w:rsidR="0034419A" w:rsidRPr="0034419A" w:rsidRDefault="0034419A" w:rsidP="0034419A">
      <w:pPr>
        <w:pStyle w:val="CETReferencetext"/>
        <w:rPr>
          <w:lang w:val="nb-NO"/>
        </w:rPr>
      </w:pPr>
      <w:r>
        <w:rPr>
          <w:lang w:val="nb-NO"/>
        </w:rPr>
        <w:t xml:space="preserve">Birgen C., 2026, </w:t>
      </w:r>
      <w:r w:rsidRPr="00C61693">
        <w:rPr>
          <w:lang w:val="nb-NO"/>
        </w:rPr>
        <w:t>Kartlegging av biorest i Norge</w:t>
      </w:r>
      <w:r>
        <w:rPr>
          <w:lang w:val="nb-NO"/>
        </w:rPr>
        <w:t xml:space="preserve">: </w:t>
      </w:r>
      <w:r w:rsidRPr="00C61693">
        <w:rPr>
          <w:lang w:val="nb-NO"/>
        </w:rPr>
        <w:t>Volum, kvalitet, behandling og regelverk</w:t>
      </w:r>
      <w:r>
        <w:rPr>
          <w:lang w:val="nb-NO"/>
        </w:rPr>
        <w:t>.</w:t>
      </w:r>
    </w:p>
    <w:p w14:paraId="60AC1045" w14:textId="4E9E7502" w:rsidR="003C5B5B" w:rsidRDefault="00AE2140" w:rsidP="003C5B5B">
      <w:pPr>
        <w:pStyle w:val="CETReferencetext"/>
      </w:pPr>
      <w:r w:rsidRPr="00AE2140">
        <w:t>Birgen C., Wang L., Becidan M.</w:t>
      </w:r>
      <w:r>
        <w:t xml:space="preserve">, </w:t>
      </w:r>
      <w:r w:rsidR="00D7112D">
        <w:t xml:space="preserve">2025, </w:t>
      </w:r>
      <w:r w:rsidR="00D7112D" w:rsidRPr="00D7112D">
        <w:t>Forecasting End Products in Food Waste Management System for a Circular Future</w:t>
      </w:r>
      <w:r>
        <w:t xml:space="preserve">, </w:t>
      </w:r>
      <w:r w:rsidR="002A30BA" w:rsidRPr="002A30BA">
        <w:t>European biomass conference and exhibition proceedings</w:t>
      </w:r>
      <w:r w:rsidR="00B80450">
        <w:t xml:space="preserve">, </w:t>
      </w:r>
      <w:r w:rsidR="00B80450" w:rsidRPr="00B80450">
        <w:t>9-12 June 2025</w:t>
      </w:r>
      <w:r w:rsidR="00B80450">
        <w:t>, 188-192.</w:t>
      </w:r>
    </w:p>
    <w:p w14:paraId="209702C8" w14:textId="77777777" w:rsidR="00DB4ED8" w:rsidRDefault="00DB4ED8" w:rsidP="00DB4ED8">
      <w:pPr>
        <w:pStyle w:val="CETReferencetext"/>
        <w:rPr>
          <w:lang w:val="nb-NO"/>
        </w:rPr>
      </w:pPr>
      <w:r w:rsidRPr="0096063E">
        <w:rPr>
          <w:lang w:val="nb-NO"/>
        </w:rPr>
        <w:t>Bjørndal</w:t>
      </w:r>
      <w:r>
        <w:rPr>
          <w:lang w:val="nb-NO"/>
        </w:rPr>
        <w:t xml:space="preserve"> T.,</w:t>
      </w:r>
      <w:r w:rsidRPr="0096063E">
        <w:rPr>
          <w:lang w:val="nb-NO"/>
        </w:rPr>
        <w:t xml:space="preserve"> Holte</w:t>
      </w:r>
      <w:r>
        <w:rPr>
          <w:lang w:val="nb-NO"/>
        </w:rPr>
        <w:t xml:space="preserve"> E. A.</w:t>
      </w:r>
      <w:r w:rsidRPr="0096063E">
        <w:rPr>
          <w:lang w:val="nb-NO"/>
        </w:rPr>
        <w:t xml:space="preserve">, </w:t>
      </w:r>
      <w:proofErr w:type="spellStart"/>
      <w:r w:rsidRPr="0096063E">
        <w:rPr>
          <w:lang w:val="nb-NO"/>
        </w:rPr>
        <w:t>Hilmarsen</w:t>
      </w:r>
      <w:proofErr w:type="spellEnd"/>
      <w:r>
        <w:rPr>
          <w:lang w:val="nb-NO"/>
        </w:rPr>
        <w:t xml:space="preserve"> Ø.,</w:t>
      </w:r>
      <w:r w:rsidRPr="0096063E">
        <w:rPr>
          <w:lang w:val="nb-NO"/>
        </w:rPr>
        <w:t xml:space="preserve"> Tusvik</w:t>
      </w:r>
      <w:r>
        <w:rPr>
          <w:lang w:val="nb-NO"/>
        </w:rPr>
        <w:t xml:space="preserve"> A.</w:t>
      </w:r>
      <w:r w:rsidRPr="0096063E">
        <w:rPr>
          <w:lang w:val="nb-NO"/>
        </w:rPr>
        <w:t>,</w:t>
      </w:r>
      <w:r>
        <w:rPr>
          <w:lang w:val="nb-NO"/>
        </w:rPr>
        <w:t xml:space="preserve"> 2018,</w:t>
      </w:r>
      <w:r w:rsidRPr="0096063E">
        <w:rPr>
          <w:lang w:val="nb-NO"/>
        </w:rPr>
        <w:t xml:space="preserve"> Analyse av landbasert oppdrett av laks landbasert og i sjø: Produksjon, økonomi og risiko</w:t>
      </w:r>
      <w:r>
        <w:rPr>
          <w:lang w:val="nb-NO"/>
        </w:rPr>
        <w:t>.</w:t>
      </w:r>
    </w:p>
    <w:p w14:paraId="4F96B55A" w14:textId="77777777" w:rsidR="0034419A" w:rsidRDefault="00DB4ED8" w:rsidP="0034419A">
      <w:pPr>
        <w:pStyle w:val="CETReferencetext"/>
        <w:rPr>
          <w:lang w:val="nb-NO"/>
        </w:rPr>
      </w:pPr>
      <w:proofErr w:type="spellStart"/>
      <w:r w:rsidRPr="00141248">
        <w:rPr>
          <w:lang w:val="nb-NO"/>
        </w:rPr>
        <w:t>Blytt</w:t>
      </w:r>
      <w:proofErr w:type="spellEnd"/>
      <w:r>
        <w:rPr>
          <w:lang w:val="nb-NO"/>
        </w:rPr>
        <w:t xml:space="preserve"> L.D</w:t>
      </w:r>
      <w:r w:rsidRPr="00141248">
        <w:rPr>
          <w:lang w:val="nb-NO"/>
        </w:rPr>
        <w:t xml:space="preserve">, </w:t>
      </w:r>
      <w:proofErr w:type="spellStart"/>
      <w:r w:rsidRPr="00141248">
        <w:rPr>
          <w:lang w:val="nb-NO"/>
        </w:rPr>
        <w:t>Brod</w:t>
      </w:r>
      <w:proofErr w:type="spellEnd"/>
      <w:r>
        <w:rPr>
          <w:lang w:val="nb-NO"/>
        </w:rPr>
        <w:t xml:space="preserve"> E.</w:t>
      </w:r>
      <w:r w:rsidRPr="00141248">
        <w:rPr>
          <w:lang w:val="nb-NO"/>
        </w:rPr>
        <w:t xml:space="preserve">, </w:t>
      </w:r>
      <w:proofErr w:type="spellStart"/>
      <w:r w:rsidRPr="00141248">
        <w:rPr>
          <w:lang w:val="nb-NO"/>
        </w:rPr>
        <w:t>Øgaard</w:t>
      </w:r>
      <w:proofErr w:type="spellEnd"/>
      <w:r>
        <w:rPr>
          <w:lang w:val="nb-NO"/>
        </w:rPr>
        <w:t xml:space="preserve"> A.F.</w:t>
      </w:r>
      <w:r w:rsidRPr="00141248">
        <w:rPr>
          <w:lang w:val="nb-NO"/>
        </w:rPr>
        <w:t>, Johannessen</w:t>
      </w:r>
      <w:r>
        <w:rPr>
          <w:lang w:val="nb-NO"/>
        </w:rPr>
        <w:t xml:space="preserve"> E.</w:t>
      </w:r>
      <w:r w:rsidRPr="00141248">
        <w:rPr>
          <w:lang w:val="nb-NO"/>
        </w:rPr>
        <w:t>, Estevez</w:t>
      </w:r>
      <w:r>
        <w:rPr>
          <w:lang w:val="nb-NO"/>
        </w:rPr>
        <w:t xml:space="preserve"> E.M.E.,</w:t>
      </w:r>
      <w:r w:rsidRPr="00141248">
        <w:rPr>
          <w:lang w:val="nb-NO"/>
        </w:rPr>
        <w:t xml:space="preserve"> Paulsrud</w:t>
      </w:r>
      <w:r>
        <w:rPr>
          <w:lang w:val="nb-NO"/>
        </w:rPr>
        <w:t xml:space="preserve"> B.</w:t>
      </w:r>
      <w:r w:rsidRPr="00141248">
        <w:rPr>
          <w:lang w:val="nb-NO"/>
        </w:rPr>
        <w:t>, Bedre Utnyttelse av Fosfor,</w:t>
      </w:r>
      <w:r>
        <w:rPr>
          <w:lang w:val="nb-NO"/>
        </w:rPr>
        <w:t xml:space="preserve"> 2017,</w:t>
      </w:r>
      <w:r w:rsidRPr="00141248">
        <w:rPr>
          <w:lang w:val="nb-NO"/>
        </w:rPr>
        <w:t xml:space="preserve"> COWI.</w:t>
      </w:r>
    </w:p>
    <w:p w14:paraId="06B598F5" w14:textId="68138308" w:rsidR="00D13F4F" w:rsidRDefault="00D13F4F" w:rsidP="0034419A">
      <w:pPr>
        <w:pStyle w:val="CETReferencetext"/>
      </w:pPr>
      <w:proofErr w:type="spellStart"/>
      <w:r w:rsidRPr="00D13F4F">
        <w:t>Böpple</w:t>
      </w:r>
      <w:proofErr w:type="spellEnd"/>
      <w:r w:rsidRPr="00D13F4F">
        <w:t xml:space="preserve"> H., Brussino G., Engel A., </w:t>
      </w:r>
      <w:proofErr w:type="spellStart"/>
      <w:r w:rsidRPr="00D13F4F">
        <w:t>Breuhaus</w:t>
      </w:r>
      <w:proofErr w:type="spellEnd"/>
      <w:r w:rsidRPr="00D13F4F">
        <w:t xml:space="preserve"> P., </w:t>
      </w:r>
      <w:proofErr w:type="spellStart"/>
      <w:r w:rsidRPr="00D13F4F">
        <w:t>Dopffel</w:t>
      </w:r>
      <w:proofErr w:type="spellEnd"/>
      <w:r w:rsidRPr="00D13F4F">
        <w:t xml:space="preserve"> N., An-</w:t>
      </w:r>
      <w:proofErr w:type="spellStart"/>
      <w:r w:rsidRPr="00D13F4F">
        <w:t>Stepec</w:t>
      </w:r>
      <w:proofErr w:type="spellEnd"/>
      <w:r w:rsidRPr="00D13F4F">
        <w:t xml:space="preserve"> B.A., </w:t>
      </w:r>
      <w:proofErr w:type="spellStart"/>
      <w:r w:rsidRPr="00D13F4F">
        <w:t>Kleinegris</w:t>
      </w:r>
      <w:proofErr w:type="spellEnd"/>
      <w:r w:rsidRPr="00D13F4F">
        <w:t xml:space="preserve"> D.M.</w:t>
      </w:r>
      <w:r w:rsidR="0096063E">
        <w:t>,</w:t>
      </w:r>
      <w:r w:rsidRPr="00D13F4F">
        <w:t xml:space="preserve"> Slegers P.M., 2025</w:t>
      </w:r>
      <w:r w:rsidR="003C5B5B">
        <w:t>,</w:t>
      </w:r>
      <w:r w:rsidRPr="00D13F4F">
        <w:t xml:space="preserve"> Utilization of fish sludge and aquaculture effluent water from Norway for nutrient and energy recovery. Resources, Conservation &amp; Recycling Advances,</w:t>
      </w:r>
      <w:r w:rsidR="003C5B5B">
        <w:t xml:space="preserve"> </w:t>
      </w:r>
      <w:r w:rsidRPr="00D13F4F">
        <w:t>200256.</w:t>
      </w:r>
    </w:p>
    <w:p w14:paraId="2922C9E7" w14:textId="77777777" w:rsidR="0034419A" w:rsidRDefault="0034419A" w:rsidP="0034419A">
      <w:pPr>
        <w:pStyle w:val="CETReferencetext"/>
        <w:rPr>
          <w:lang w:val="nb-NO"/>
        </w:rPr>
      </w:pPr>
      <w:r w:rsidRPr="00527C4F">
        <w:t xml:space="preserve">Brod E., 2024, Biorest </w:t>
      </w:r>
      <w:proofErr w:type="spellStart"/>
      <w:r w:rsidRPr="00527C4F">
        <w:t>fra</w:t>
      </w:r>
      <w:proofErr w:type="spellEnd"/>
      <w:r w:rsidRPr="00527C4F">
        <w:t xml:space="preserve"> marine </w:t>
      </w:r>
      <w:proofErr w:type="spellStart"/>
      <w:r w:rsidRPr="00527C4F">
        <w:t>råstoffer</w:t>
      </w:r>
      <w:proofErr w:type="spellEnd"/>
      <w:r w:rsidRPr="00527C4F">
        <w:t>. </w:t>
      </w:r>
      <w:proofErr w:type="spellStart"/>
      <w:r w:rsidRPr="00690148">
        <w:rPr>
          <w:lang w:val="nb-NO"/>
        </w:rPr>
        <w:t>Jord-og</w:t>
      </w:r>
      <w:proofErr w:type="spellEnd"/>
      <w:r w:rsidRPr="00690148">
        <w:rPr>
          <w:lang w:val="nb-NO"/>
        </w:rPr>
        <w:t xml:space="preserve"> Plantekultur, 151.</w:t>
      </w:r>
    </w:p>
    <w:p w14:paraId="7868146A" w14:textId="77777777" w:rsidR="0034419A" w:rsidRDefault="0034419A" w:rsidP="0034419A">
      <w:pPr>
        <w:pStyle w:val="CETReferencetext"/>
        <w:rPr>
          <w:lang w:val="nb-NO"/>
        </w:rPr>
      </w:pPr>
      <w:proofErr w:type="spellStart"/>
      <w:r w:rsidRPr="00636016">
        <w:rPr>
          <w:lang w:val="nb-NO"/>
        </w:rPr>
        <w:t>Brod</w:t>
      </w:r>
      <w:proofErr w:type="spellEnd"/>
      <w:r w:rsidRPr="00636016">
        <w:rPr>
          <w:lang w:val="nb-NO"/>
        </w:rPr>
        <w:t xml:space="preserve"> E., </w:t>
      </w:r>
      <w:proofErr w:type="spellStart"/>
      <w:r w:rsidRPr="00636016">
        <w:rPr>
          <w:lang w:val="nb-NO"/>
        </w:rPr>
        <w:t>Øgaard</w:t>
      </w:r>
      <w:proofErr w:type="spellEnd"/>
      <w:r w:rsidRPr="00636016">
        <w:rPr>
          <w:lang w:val="nb-NO"/>
        </w:rPr>
        <w:t xml:space="preserve"> A.F.,</w:t>
      </w:r>
      <w:r>
        <w:rPr>
          <w:lang w:val="nb-NO"/>
        </w:rPr>
        <w:t xml:space="preserve"> 2023,</w:t>
      </w:r>
      <w:r w:rsidRPr="00636016">
        <w:rPr>
          <w:lang w:val="nb-NO"/>
        </w:rPr>
        <w:t xml:space="preserve"> </w:t>
      </w:r>
      <w:r w:rsidRPr="00952AA5">
        <w:rPr>
          <w:lang w:val="nb-NO"/>
        </w:rPr>
        <w:t xml:space="preserve">Fiskeslam fra </w:t>
      </w:r>
      <w:proofErr w:type="spellStart"/>
      <w:r w:rsidRPr="00952AA5">
        <w:rPr>
          <w:lang w:val="nb-NO"/>
        </w:rPr>
        <w:t>smolt</w:t>
      </w:r>
      <w:proofErr w:type="spellEnd"/>
      <w:r w:rsidRPr="00952AA5">
        <w:rPr>
          <w:lang w:val="nb-NO"/>
        </w:rPr>
        <w:t>- og postsmoltproduksjon som gjødsel, Norsk Institutt for Bioøkonomi</w:t>
      </w:r>
      <w:r>
        <w:rPr>
          <w:lang w:val="nb-NO"/>
        </w:rPr>
        <w:t>.</w:t>
      </w:r>
    </w:p>
    <w:p w14:paraId="7E41E832" w14:textId="77777777" w:rsidR="001B36A3" w:rsidRDefault="001B36A3" w:rsidP="001B36A3">
      <w:pPr>
        <w:pStyle w:val="CETReferencetext"/>
        <w:rPr>
          <w:lang w:val="nb-NO"/>
        </w:rPr>
      </w:pPr>
      <w:proofErr w:type="spellStart"/>
      <w:r w:rsidRPr="00D815C0">
        <w:rPr>
          <w:lang w:val="nb-NO"/>
        </w:rPr>
        <w:t>C</w:t>
      </w:r>
      <w:r>
        <w:rPr>
          <w:lang w:val="nb-NO"/>
        </w:rPr>
        <w:t>arbon</w:t>
      </w:r>
      <w:proofErr w:type="spellEnd"/>
      <w:r>
        <w:rPr>
          <w:lang w:val="nb-NO"/>
        </w:rPr>
        <w:t xml:space="preserve"> Limits</w:t>
      </w:r>
      <w:r w:rsidRPr="00D815C0">
        <w:rPr>
          <w:lang w:val="nb-NO"/>
        </w:rPr>
        <w:t>,</w:t>
      </w:r>
      <w:r>
        <w:rPr>
          <w:lang w:val="nb-NO"/>
        </w:rPr>
        <w:t xml:space="preserve"> 2019,</w:t>
      </w:r>
      <w:r w:rsidRPr="00D815C0">
        <w:rPr>
          <w:lang w:val="nb-NO"/>
        </w:rPr>
        <w:t xml:space="preserve"> Ressursgrunnlaget for produksjon av biogass i Norge i 2030</w:t>
      </w:r>
      <w:r>
        <w:rPr>
          <w:lang w:val="nb-NO"/>
        </w:rPr>
        <w:t>.</w:t>
      </w:r>
    </w:p>
    <w:p w14:paraId="5B98D4BA" w14:textId="77777777" w:rsidR="001B36A3" w:rsidRDefault="001B36A3" w:rsidP="001B36A3">
      <w:pPr>
        <w:pStyle w:val="CETReferencetext"/>
        <w:rPr>
          <w:lang w:val="nb-NO"/>
        </w:rPr>
      </w:pPr>
      <w:r w:rsidRPr="008C3359">
        <w:rPr>
          <w:lang w:val="nb-NO"/>
        </w:rPr>
        <w:t>Estevez</w:t>
      </w:r>
      <w:r>
        <w:rPr>
          <w:lang w:val="nb-NO"/>
        </w:rPr>
        <w:t xml:space="preserve"> M.M.,</w:t>
      </w:r>
      <w:r w:rsidRPr="008C3359">
        <w:rPr>
          <w:lang w:val="nb-NO"/>
        </w:rPr>
        <w:t xml:space="preserve"> Vik</w:t>
      </w:r>
      <w:r>
        <w:rPr>
          <w:lang w:val="nb-NO"/>
        </w:rPr>
        <w:t xml:space="preserve"> E.A.</w:t>
      </w:r>
      <w:r w:rsidRPr="008C3359">
        <w:rPr>
          <w:lang w:val="nb-NO"/>
        </w:rPr>
        <w:t xml:space="preserve">, </w:t>
      </w:r>
      <w:r>
        <w:rPr>
          <w:lang w:val="nb-NO"/>
        </w:rPr>
        <w:t xml:space="preserve">2020, </w:t>
      </w:r>
      <w:r w:rsidRPr="008C3359">
        <w:rPr>
          <w:lang w:val="nb-NO"/>
        </w:rPr>
        <w:t>Grønn slamhåndtering for mindre landbrukskommuner,</w:t>
      </w:r>
      <w:r>
        <w:rPr>
          <w:lang w:val="nb-NO"/>
        </w:rPr>
        <w:t xml:space="preserve"> </w:t>
      </w:r>
      <w:r w:rsidRPr="008C3359">
        <w:rPr>
          <w:lang w:val="nb-NO"/>
        </w:rPr>
        <w:t>COWI Aquateam.</w:t>
      </w:r>
    </w:p>
    <w:p w14:paraId="0EE20241" w14:textId="77777777" w:rsidR="001B36A3" w:rsidRPr="00527C4F" w:rsidRDefault="001B36A3" w:rsidP="001B36A3">
      <w:pPr>
        <w:pStyle w:val="CETReferencetext"/>
        <w:rPr>
          <w:lang w:val="nb-NO"/>
        </w:rPr>
      </w:pPr>
      <w:r w:rsidRPr="00527C4F">
        <w:rPr>
          <w:lang w:val="nb-NO"/>
        </w:rPr>
        <w:t xml:space="preserve">EY, NIBIO, House G., </w:t>
      </w:r>
      <w:proofErr w:type="spellStart"/>
      <w:r w:rsidRPr="00527C4F">
        <w:rPr>
          <w:lang w:val="nb-NO"/>
        </w:rPr>
        <w:t>ReSourcer</w:t>
      </w:r>
      <w:proofErr w:type="spellEnd"/>
      <w:r w:rsidRPr="00527C4F">
        <w:rPr>
          <w:lang w:val="nb-NO"/>
        </w:rPr>
        <w:t>, 2024, Restråstoff i Trøndelag.</w:t>
      </w:r>
    </w:p>
    <w:p w14:paraId="37DE8CF4" w14:textId="63BEAD89" w:rsidR="001B36A3" w:rsidRPr="001B36A3" w:rsidRDefault="001B36A3" w:rsidP="001B36A3">
      <w:pPr>
        <w:pStyle w:val="CETReferencetext"/>
        <w:rPr>
          <w:lang w:val="nb-NO"/>
        </w:rPr>
      </w:pPr>
      <w:r>
        <w:rPr>
          <w:lang w:val="nb-NO"/>
        </w:rPr>
        <w:t xml:space="preserve">Ivar, 2025, </w:t>
      </w:r>
      <w:r w:rsidRPr="00BC4B6A">
        <w:rPr>
          <w:lang w:val="nb-NO"/>
        </w:rPr>
        <w:t>Slam blir til verdifulle ressurser</w:t>
      </w:r>
      <w:r>
        <w:rPr>
          <w:lang w:val="nb-NO"/>
        </w:rPr>
        <w:t xml:space="preserve"> &lt;</w:t>
      </w:r>
      <w:r w:rsidRPr="00B448C6">
        <w:rPr>
          <w:lang w:val="nb-NO"/>
        </w:rPr>
        <w:t xml:space="preserve"> </w:t>
      </w:r>
      <w:r w:rsidRPr="00BC4B6A">
        <w:rPr>
          <w:lang w:val="nb-NO"/>
        </w:rPr>
        <w:t>https://www.ivar.no/slambehandling/</w:t>
      </w:r>
      <w:r>
        <w:rPr>
          <w:lang w:val="nb-NO"/>
        </w:rPr>
        <w:t xml:space="preserve">&gt; </w:t>
      </w:r>
      <w:proofErr w:type="spellStart"/>
      <w:r>
        <w:rPr>
          <w:lang w:val="nb-NO"/>
        </w:rPr>
        <w:t>accessed</w:t>
      </w:r>
      <w:proofErr w:type="spellEnd"/>
      <w:r>
        <w:rPr>
          <w:lang w:val="nb-NO"/>
        </w:rPr>
        <w:t xml:space="preserve"> 01.07.2025.</w:t>
      </w:r>
    </w:p>
    <w:p w14:paraId="4FF66282" w14:textId="77777777" w:rsidR="001B36A3" w:rsidRDefault="001B36A3" w:rsidP="001B36A3">
      <w:pPr>
        <w:pStyle w:val="CETReferencetext"/>
      </w:pPr>
      <w:r w:rsidRPr="00C10EB2">
        <w:t>Kadam R., Jo S., Lee J., Khanthong K., Jang H.</w:t>
      </w:r>
      <w:r>
        <w:t>,</w:t>
      </w:r>
      <w:r w:rsidRPr="00C10EB2">
        <w:t xml:space="preserve"> Park J., 2024</w:t>
      </w:r>
      <w:r>
        <w:t>,</w:t>
      </w:r>
      <w:r w:rsidRPr="00C10EB2">
        <w:t xml:space="preserve"> A review on the anaerobic co-digestion of livestock manures in the context of sustainable waste management</w:t>
      </w:r>
      <w:r>
        <w:t>,</w:t>
      </w:r>
      <w:r w:rsidRPr="00C10EB2">
        <w:t xml:space="preserve"> Energies, 17(3), 546.</w:t>
      </w:r>
    </w:p>
    <w:p w14:paraId="126F4BDD" w14:textId="77777777" w:rsidR="001B36A3" w:rsidRDefault="001B36A3" w:rsidP="001B36A3">
      <w:pPr>
        <w:pStyle w:val="CETReferencetext"/>
        <w:rPr>
          <w:lang w:val="nb-NO"/>
        </w:rPr>
      </w:pPr>
      <w:r w:rsidRPr="00D614A3">
        <w:rPr>
          <w:lang w:val="nb-NO"/>
        </w:rPr>
        <w:t>Kristiansen</w:t>
      </w:r>
      <w:r>
        <w:rPr>
          <w:lang w:val="nb-NO"/>
        </w:rPr>
        <w:t xml:space="preserve"> T. K., </w:t>
      </w:r>
      <w:r w:rsidRPr="00D614A3">
        <w:rPr>
          <w:lang w:val="nb-NO"/>
        </w:rPr>
        <w:t>Hetland</w:t>
      </w:r>
      <w:r>
        <w:rPr>
          <w:lang w:val="nb-NO"/>
        </w:rPr>
        <w:t xml:space="preserve"> T.</w:t>
      </w:r>
      <w:r w:rsidRPr="00D614A3">
        <w:rPr>
          <w:lang w:val="nb-NO"/>
        </w:rPr>
        <w:t>,</w:t>
      </w:r>
      <w:r>
        <w:rPr>
          <w:lang w:val="nb-NO"/>
        </w:rPr>
        <w:t xml:space="preserve"> 2021,</w:t>
      </w:r>
      <w:r w:rsidRPr="00D614A3">
        <w:rPr>
          <w:lang w:val="nb-NO"/>
        </w:rPr>
        <w:t xml:space="preserve"> Sommeroppgave: Undersøkelse av økende mengde fiskeavfall til biogassproduksjon, Biogass Oslofjord og Avfall Norge.</w:t>
      </w:r>
    </w:p>
    <w:p w14:paraId="0554EE1D" w14:textId="6D90DD14" w:rsidR="001B36A3" w:rsidRPr="00527C4F" w:rsidRDefault="001B36A3" w:rsidP="001B36A3">
      <w:pPr>
        <w:pStyle w:val="CETReferencetext"/>
        <w:rPr>
          <w:lang w:val="nb-NO"/>
        </w:rPr>
      </w:pPr>
      <w:proofErr w:type="spellStart"/>
      <w:r w:rsidRPr="003C6EED">
        <w:t>Kvakkestad</w:t>
      </w:r>
      <w:proofErr w:type="spellEnd"/>
      <w:r w:rsidRPr="003C6EED">
        <w:t xml:space="preserve"> V., Brod E., Flø B.E., </w:t>
      </w:r>
      <w:proofErr w:type="spellStart"/>
      <w:r w:rsidRPr="003C6EED">
        <w:t>Hanserud</w:t>
      </w:r>
      <w:proofErr w:type="spellEnd"/>
      <w:r w:rsidRPr="003C6EED">
        <w:t xml:space="preserve"> O.</w:t>
      </w:r>
      <w:r>
        <w:t>,</w:t>
      </w:r>
      <w:r w:rsidRPr="003C6EED">
        <w:t xml:space="preserve"> Helgesen H., 2023, Circulation of nutrients through bio-based fertilizer products: perspectives from farmers, suppliers, and civil society. </w:t>
      </w:r>
      <w:proofErr w:type="spellStart"/>
      <w:r w:rsidRPr="00527C4F">
        <w:rPr>
          <w:lang w:val="nb-NO"/>
        </w:rPr>
        <w:t>Frontiers</w:t>
      </w:r>
      <w:proofErr w:type="spellEnd"/>
      <w:r w:rsidRPr="00527C4F">
        <w:rPr>
          <w:lang w:val="nb-NO"/>
        </w:rPr>
        <w:t xml:space="preserve"> in </w:t>
      </w:r>
      <w:proofErr w:type="spellStart"/>
      <w:r w:rsidRPr="00527C4F">
        <w:rPr>
          <w:lang w:val="nb-NO"/>
        </w:rPr>
        <w:t>Sustainable</w:t>
      </w:r>
      <w:proofErr w:type="spellEnd"/>
      <w:r w:rsidRPr="00527C4F">
        <w:rPr>
          <w:lang w:val="nb-NO"/>
        </w:rPr>
        <w:t xml:space="preserve"> Food Systems, 7, 1239353.</w:t>
      </w:r>
    </w:p>
    <w:p w14:paraId="5D19D938" w14:textId="17B33F91" w:rsidR="00196B91" w:rsidRDefault="00196B91" w:rsidP="00196B91">
      <w:pPr>
        <w:pStyle w:val="CETReferencetext"/>
        <w:rPr>
          <w:lang w:val="nb-NO"/>
        </w:rPr>
      </w:pPr>
      <w:r w:rsidRPr="00911E91">
        <w:rPr>
          <w:lang w:val="nb-NO"/>
        </w:rPr>
        <w:t xml:space="preserve">Miljødirektoratet, </w:t>
      </w:r>
      <w:r>
        <w:rPr>
          <w:lang w:val="nb-NO"/>
        </w:rPr>
        <w:t xml:space="preserve">2020, </w:t>
      </w:r>
      <w:r w:rsidRPr="00911E91">
        <w:rPr>
          <w:lang w:val="nb-NO"/>
        </w:rPr>
        <w:t>Virkemidler for økt bruk og produksjon av biogass</w:t>
      </w:r>
      <w:r>
        <w:rPr>
          <w:lang w:val="nb-NO"/>
        </w:rPr>
        <w:t xml:space="preserve"> &lt;</w:t>
      </w:r>
      <w:r w:rsidRPr="002A58A3">
        <w:rPr>
          <w:lang w:val="nb-NO"/>
        </w:rPr>
        <w:t>https://www.miljodirektoratet.no/publikasjoner/2020/mars-2020/virkemidler-for-okt-bruk-og-produksjon-av-biogass/</w:t>
      </w:r>
      <w:r>
        <w:rPr>
          <w:lang w:val="nb-NO"/>
        </w:rPr>
        <w:t xml:space="preserve">&gt; </w:t>
      </w:r>
      <w:proofErr w:type="spellStart"/>
      <w:r>
        <w:rPr>
          <w:lang w:val="nb-NO"/>
        </w:rPr>
        <w:t>accessed</w:t>
      </w:r>
      <w:proofErr w:type="spellEnd"/>
      <w:r>
        <w:rPr>
          <w:lang w:val="nb-NO"/>
        </w:rPr>
        <w:t xml:space="preserve"> 01.07.2025.</w:t>
      </w:r>
    </w:p>
    <w:p w14:paraId="2EB94129" w14:textId="77777777" w:rsidR="00196B91" w:rsidRDefault="00196B91" w:rsidP="00196B91">
      <w:pPr>
        <w:pStyle w:val="CETReferencetext"/>
        <w:rPr>
          <w:lang w:val="nb-NO"/>
        </w:rPr>
      </w:pPr>
      <w:r w:rsidRPr="00DF7DC9">
        <w:rPr>
          <w:lang w:val="nb-NO"/>
        </w:rPr>
        <w:t>Morken T.B., Hanssen O.J.</w:t>
      </w:r>
      <w:r>
        <w:rPr>
          <w:lang w:val="nb-NO"/>
        </w:rPr>
        <w:t>,</w:t>
      </w:r>
      <w:r w:rsidRPr="00DF7DC9">
        <w:rPr>
          <w:lang w:val="nb-NO"/>
        </w:rPr>
        <w:t xml:space="preserve"> Sørby I., </w:t>
      </w:r>
      <w:r>
        <w:rPr>
          <w:lang w:val="nb-NO"/>
        </w:rPr>
        <w:t xml:space="preserve">2015, </w:t>
      </w:r>
      <w:r w:rsidRPr="00DF7DC9">
        <w:rPr>
          <w:lang w:val="nb-NO"/>
        </w:rPr>
        <w:t>Biogassproduksjon fra matavfall og møkk fra ku, gris og fjørfe.</w:t>
      </w:r>
    </w:p>
    <w:p w14:paraId="0B378A59" w14:textId="5A0544B3" w:rsidR="0034419A" w:rsidRPr="001B36A3" w:rsidRDefault="00196B91" w:rsidP="00196B91">
      <w:pPr>
        <w:pStyle w:val="CETReferencetext"/>
        <w:rPr>
          <w:lang w:val="nb-NO"/>
        </w:rPr>
      </w:pPr>
      <w:proofErr w:type="spellStart"/>
      <w:r w:rsidRPr="00FE460F">
        <w:rPr>
          <w:lang w:val="nb-NO"/>
        </w:rPr>
        <w:t>Norwaste</w:t>
      </w:r>
      <w:proofErr w:type="spellEnd"/>
      <w:r w:rsidRPr="00FE460F">
        <w:rPr>
          <w:lang w:val="nb-NO"/>
        </w:rPr>
        <w:t>,</w:t>
      </w:r>
      <w:r>
        <w:rPr>
          <w:lang w:val="nb-NO"/>
        </w:rPr>
        <w:t xml:space="preserve"> 2024, </w:t>
      </w:r>
      <w:r w:rsidRPr="00FE460F">
        <w:rPr>
          <w:lang w:val="nb-NO"/>
        </w:rPr>
        <w:t>Bransjestatistikk for biogassbransjen</w:t>
      </w:r>
      <w:r>
        <w:rPr>
          <w:lang w:val="nb-NO"/>
        </w:rPr>
        <w:t xml:space="preserve"> </w:t>
      </w:r>
      <w:r w:rsidRPr="0015110B">
        <w:rPr>
          <w:lang w:val="nb-NO"/>
        </w:rPr>
        <w:t>&lt;https://biogassnorge.no/statistikk</w:t>
      </w:r>
      <w:r w:rsidRPr="00B454F3">
        <w:rPr>
          <w:lang w:val="nb-NO"/>
        </w:rPr>
        <w:t>&gt;</w:t>
      </w:r>
      <w:r>
        <w:rPr>
          <w:lang w:val="nb-NO"/>
        </w:rPr>
        <w:t xml:space="preserve"> </w:t>
      </w:r>
      <w:proofErr w:type="spellStart"/>
      <w:r>
        <w:rPr>
          <w:lang w:val="nb-NO"/>
        </w:rPr>
        <w:t>accessed</w:t>
      </w:r>
      <w:proofErr w:type="spellEnd"/>
      <w:r>
        <w:rPr>
          <w:lang w:val="nb-NO"/>
        </w:rPr>
        <w:t xml:space="preserve"> 01.07.2025.</w:t>
      </w:r>
    </w:p>
    <w:p w14:paraId="56082998" w14:textId="3D1F9699" w:rsidR="00B02C5F" w:rsidRDefault="0046798B" w:rsidP="003C5B5B">
      <w:pPr>
        <w:pStyle w:val="CETReferencetext"/>
      </w:pPr>
      <w:r>
        <w:t xml:space="preserve">Sarker S., 2020, </w:t>
      </w:r>
      <w:r w:rsidR="00B02C5F" w:rsidRPr="00B02C5F">
        <w:t>By-products of fish-oil refinery as potential substrates for biogas production in Norway: A preliminary study</w:t>
      </w:r>
      <w:r>
        <w:t xml:space="preserve">, Results in Engineering, </w:t>
      </w:r>
      <w:r w:rsidR="00B65074">
        <w:t xml:space="preserve">6, </w:t>
      </w:r>
      <w:r w:rsidR="00B65074" w:rsidRPr="00B65074">
        <w:t>100137</w:t>
      </w:r>
      <w:r w:rsidR="00B65074">
        <w:t>.</w:t>
      </w:r>
    </w:p>
    <w:p w14:paraId="180A2370" w14:textId="5B254B0B" w:rsidR="00552D68" w:rsidRDefault="00552D68" w:rsidP="003C5B5B">
      <w:pPr>
        <w:pStyle w:val="CETReferencetext"/>
      </w:pPr>
      <w:r w:rsidRPr="00552D68">
        <w:t xml:space="preserve">Skrzypczak D., Trzaska K., </w:t>
      </w:r>
      <w:proofErr w:type="spellStart"/>
      <w:r w:rsidRPr="00552D68">
        <w:t>Mironiuk</w:t>
      </w:r>
      <w:proofErr w:type="spellEnd"/>
      <w:r w:rsidRPr="00552D68">
        <w:t xml:space="preserve"> M., Mikula K., </w:t>
      </w:r>
      <w:proofErr w:type="spellStart"/>
      <w:r w:rsidRPr="00552D68">
        <w:t>Izydorczyk</w:t>
      </w:r>
      <w:proofErr w:type="spellEnd"/>
      <w:r w:rsidRPr="00552D68">
        <w:t xml:space="preserve"> G., </w:t>
      </w:r>
      <w:proofErr w:type="spellStart"/>
      <w:r w:rsidRPr="00552D68">
        <w:t>Polomska</w:t>
      </w:r>
      <w:proofErr w:type="spellEnd"/>
      <w:r w:rsidRPr="00552D68">
        <w:t xml:space="preserve"> X., Wiśniewski J., Mielko K., Moustakas K.</w:t>
      </w:r>
      <w:r w:rsidR="0096063E">
        <w:t xml:space="preserve">, </w:t>
      </w:r>
      <w:r w:rsidRPr="00552D68">
        <w:t>Chojnacka, K., 2024</w:t>
      </w:r>
      <w:r>
        <w:t>,</w:t>
      </w:r>
      <w:r w:rsidRPr="00552D68">
        <w:t xml:space="preserve"> Recent innovations in fertilization with treated digestate from food waste to recover nutrients for arid agricultural fields. Environmental Science and Pollution Research, 31(29),</w:t>
      </w:r>
      <w:r>
        <w:t xml:space="preserve"> </w:t>
      </w:r>
      <w:r w:rsidRPr="00552D68">
        <w:t>41563-41585.</w:t>
      </w:r>
    </w:p>
    <w:p w14:paraId="3AE6DABC" w14:textId="080AD59B" w:rsidR="00196B91" w:rsidRPr="00E93D89" w:rsidRDefault="00196B91" w:rsidP="00196B91">
      <w:pPr>
        <w:pStyle w:val="CETReferencetext"/>
        <w:rPr>
          <w:lang w:val="nb-NO"/>
        </w:rPr>
      </w:pPr>
      <w:r w:rsidRPr="00E93D89">
        <w:rPr>
          <w:lang w:val="nb-NO"/>
        </w:rPr>
        <w:t xml:space="preserve">Statistisk sentralbyrå, 2024, Bruk av gjødsel i jordbruket &lt;https://www.ssb.no/jord-skog-jakt-og-fiskeri/jordbruk/artikler/bruk-av-gjodsel-i-jordbruket&gt; </w:t>
      </w:r>
      <w:proofErr w:type="spellStart"/>
      <w:r w:rsidRPr="00E93D89">
        <w:rPr>
          <w:lang w:val="nb-NO"/>
        </w:rPr>
        <w:t>accessed</w:t>
      </w:r>
      <w:proofErr w:type="spellEnd"/>
      <w:r w:rsidRPr="00E93D89">
        <w:rPr>
          <w:lang w:val="nb-NO"/>
        </w:rPr>
        <w:t xml:space="preserve"> 01.07.2025.</w:t>
      </w:r>
    </w:p>
    <w:p w14:paraId="0084786B" w14:textId="584DC612" w:rsidR="00552D68" w:rsidRPr="00527C4F" w:rsidRDefault="00552D68" w:rsidP="003C5B5B">
      <w:pPr>
        <w:pStyle w:val="CETReferencetext"/>
      </w:pPr>
      <w:r w:rsidRPr="00552D68">
        <w:t>Pandit A.V., Dittrich N., Strand A.V., Lozach L., Las Heras Hernández M., Reitan K.I.</w:t>
      </w:r>
      <w:r w:rsidR="0096063E">
        <w:t>,</w:t>
      </w:r>
      <w:r w:rsidRPr="00552D68">
        <w:t xml:space="preserve"> Müller, D.B., 2023</w:t>
      </w:r>
      <w:r>
        <w:t>,</w:t>
      </w:r>
      <w:r w:rsidRPr="00552D68">
        <w:t xml:space="preserve"> Circular economy for aquatic food systems: insights from a multiscale phosphorus flow analysis in Norway. </w:t>
      </w:r>
      <w:r w:rsidRPr="00527C4F">
        <w:t>Frontiers in Sustainable Food Systems, 7, 1248984.</w:t>
      </w:r>
    </w:p>
    <w:p w14:paraId="548D982D" w14:textId="0958CD7A" w:rsidR="00206AF9" w:rsidRDefault="00206AF9" w:rsidP="00BC4B6A">
      <w:pPr>
        <w:pStyle w:val="CETReferencetext"/>
      </w:pPr>
      <w:r w:rsidRPr="00206AF9">
        <w:t>University of Maryland, 2014, Anaerobic Digestion: Basic Processes for Biogas</w:t>
      </w:r>
      <w:r>
        <w:t xml:space="preserve"> &lt;</w:t>
      </w:r>
      <w:r w:rsidRPr="00206AF9">
        <w:t xml:space="preserve"> https://enst.umd.edu/sites/enst.umd.edu/files/files/documents/Extension/Anaerobic-Digest_Basic-Processes.pdf</w:t>
      </w:r>
      <w:r>
        <w:t xml:space="preserve">&gt; </w:t>
      </w:r>
      <w:r w:rsidRPr="00206AF9">
        <w:t>accessed 01.07</w:t>
      </w:r>
      <w:r w:rsidR="00196B91">
        <w:t>.2025.</w:t>
      </w:r>
    </w:p>
    <w:p w14:paraId="19C4FC68" w14:textId="7E5F8840" w:rsidR="004628D2" w:rsidRPr="00196B91" w:rsidRDefault="00196B91" w:rsidP="00B856F3">
      <w:pPr>
        <w:pStyle w:val="CETReferencetext"/>
        <w:rPr>
          <w:lang w:val="nb-NO"/>
        </w:rPr>
      </w:pPr>
      <w:r w:rsidRPr="00C8172D">
        <w:rPr>
          <w:lang w:val="nb-NO"/>
        </w:rPr>
        <w:t>Ålund</w:t>
      </w:r>
      <w:r>
        <w:rPr>
          <w:lang w:val="nb-NO"/>
        </w:rPr>
        <w:t xml:space="preserve"> I.</w:t>
      </w:r>
      <w:r w:rsidRPr="00C8172D">
        <w:rPr>
          <w:lang w:val="nb-NO"/>
        </w:rPr>
        <w:t>, Gentile</w:t>
      </w:r>
      <w:r>
        <w:rPr>
          <w:lang w:val="nb-NO"/>
        </w:rPr>
        <w:t xml:space="preserve"> V.</w:t>
      </w:r>
      <w:r w:rsidRPr="00C8172D">
        <w:rPr>
          <w:lang w:val="nb-NO"/>
        </w:rPr>
        <w:t>, Morken</w:t>
      </w:r>
      <w:r>
        <w:rPr>
          <w:lang w:val="nb-NO"/>
        </w:rPr>
        <w:t xml:space="preserve"> J.,</w:t>
      </w:r>
      <w:r w:rsidRPr="00C8172D">
        <w:rPr>
          <w:lang w:val="nb-NO"/>
        </w:rPr>
        <w:t xml:space="preserve"> Sogn</w:t>
      </w:r>
      <w:r>
        <w:rPr>
          <w:lang w:val="nb-NO"/>
        </w:rPr>
        <w:t xml:space="preserve"> T. A.</w:t>
      </w:r>
      <w:r w:rsidRPr="00C8172D">
        <w:rPr>
          <w:lang w:val="nb-NO"/>
        </w:rPr>
        <w:t>,</w:t>
      </w:r>
      <w:r>
        <w:rPr>
          <w:lang w:val="nb-NO"/>
        </w:rPr>
        <w:t xml:space="preserve"> 2021,</w:t>
      </w:r>
      <w:r w:rsidRPr="00C8172D">
        <w:rPr>
          <w:lang w:val="nb-NO"/>
        </w:rPr>
        <w:t xml:space="preserve"> Behandling og disponering av avløpsslam og annet organisk avfall i Norge,» </w:t>
      </w:r>
      <w:proofErr w:type="spellStart"/>
      <w:r w:rsidRPr="00C8172D">
        <w:rPr>
          <w:lang w:val="nb-NO"/>
        </w:rPr>
        <w:t>Carbon</w:t>
      </w:r>
      <w:proofErr w:type="spellEnd"/>
      <w:r w:rsidRPr="00C8172D">
        <w:rPr>
          <w:lang w:val="nb-NO"/>
        </w:rPr>
        <w:t xml:space="preserve"> Limits.</w:t>
      </w:r>
    </w:p>
    <w:sectPr w:rsidR="004628D2" w:rsidRPr="00196B9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E902" w14:textId="77777777" w:rsidR="00CF7A33" w:rsidRDefault="00CF7A33" w:rsidP="004F5E36">
      <w:r>
        <w:separator/>
      </w:r>
    </w:p>
  </w:endnote>
  <w:endnote w:type="continuationSeparator" w:id="0">
    <w:p w14:paraId="57D43284" w14:textId="77777777" w:rsidR="00CF7A33" w:rsidRDefault="00CF7A33"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7967" w14:textId="77777777" w:rsidR="00CF7A33" w:rsidRDefault="00CF7A33" w:rsidP="004F5E36">
      <w:r>
        <w:separator/>
      </w:r>
    </w:p>
  </w:footnote>
  <w:footnote w:type="continuationSeparator" w:id="0">
    <w:p w14:paraId="513EA356" w14:textId="77777777" w:rsidR="00CF7A33" w:rsidRDefault="00CF7A33"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774"/>
    <w:rsid w:val="000027C0"/>
    <w:rsid w:val="000052FB"/>
    <w:rsid w:val="00005884"/>
    <w:rsid w:val="00005A19"/>
    <w:rsid w:val="000117CB"/>
    <w:rsid w:val="00014563"/>
    <w:rsid w:val="0002004B"/>
    <w:rsid w:val="0002125E"/>
    <w:rsid w:val="0002480B"/>
    <w:rsid w:val="00030624"/>
    <w:rsid w:val="00030DAD"/>
    <w:rsid w:val="0003148D"/>
    <w:rsid w:val="00031EEC"/>
    <w:rsid w:val="00032B5C"/>
    <w:rsid w:val="000470B2"/>
    <w:rsid w:val="0005111F"/>
    <w:rsid w:val="00051566"/>
    <w:rsid w:val="00052281"/>
    <w:rsid w:val="000562A9"/>
    <w:rsid w:val="00062631"/>
    <w:rsid w:val="00062A9A"/>
    <w:rsid w:val="00065058"/>
    <w:rsid w:val="00071B97"/>
    <w:rsid w:val="00086C39"/>
    <w:rsid w:val="00095122"/>
    <w:rsid w:val="000A03B2"/>
    <w:rsid w:val="000B05D3"/>
    <w:rsid w:val="000B2C3E"/>
    <w:rsid w:val="000B5520"/>
    <w:rsid w:val="000B5E33"/>
    <w:rsid w:val="000C28C0"/>
    <w:rsid w:val="000C2B06"/>
    <w:rsid w:val="000D0268"/>
    <w:rsid w:val="000D34BE"/>
    <w:rsid w:val="000D3C17"/>
    <w:rsid w:val="000D4A39"/>
    <w:rsid w:val="000E102F"/>
    <w:rsid w:val="000E36F1"/>
    <w:rsid w:val="000E3A73"/>
    <w:rsid w:val="000E414A"/>
    <w:rsid w:val="000E75FD"/>
    <w:rsid w:val="000E7D6E"/>
    <w:rsid w:val="000F093C"/>
    <w:rsid w:val="000F4F26"/>
    <w:rsid w:val="000F7658"/>
    <w:rsid w:val="000F787B"/>
    <w:rsid w:val="00101F02"/>
    <w:rsid w:val="00104856"/>
    <w:rsid w:val="00107A6C"/>
    <w:rsid w:val="00117430"/>
    <w:rsid w:val="0012091F"/>
    <w:rsid w:val="00123CDC"/>
    <w:rsid w:val="00123E4E"/>
    <w:rsid w:val="001240D2"/>
    <w:rsid w:val="00124AAD"/>
    <w:rsid w:val="00126BC2"/>
    <w:rsid w:val="001300D5"/>
    <w:rsid w:val="001308B6"/>
    <w:rsid w:val="0013121F"/>
    <w:rsid w:val="001316D4"/>
    <w:rsid w:val="00131FE6"/>
    <w:rsid w:val="0013263F"/>
    <w:rsid w:val="001331DF"/>
    <w:rsid w:val="00134DE4"/>
    <w:rsid w:val="00135247"/>
    <w:rsid w:val="0014034D"/>
    <w:rsid w:val="00140E76"/>
    <w:rsid w:val="00140FE3"/>
    <w:rsid w:val="00141248"/>
    <w:rsid w:val="001446EE"/>
    <w:rsid w:val="0014478F"/>
    <w:rsid w:val="00144D16"/>
    <w:rsid w:val="001467F7"/>
    <w:rsid w:val="00150E59"/>
    <w:rsid w:val="0015110B"/>
    <w:rsid w:val="00152DE3"/>
    <w:rsid w:val="00154B2E"/>
    <w:rsid w:val="001559F0"/>
    <w:rsid w:val="00161B2E"/>
    <w:rsid w:val="00163D4C"/>
    <w:rsid w:val="00164CF9"/>
    <w:rsid w:val="001667A6"/>
    <w:rsid w:val="00170D9F"/>
    <w:rsid w:val="00171E47"/>
    <w:rsid w:val="00176795"/>
    <w:rsid w:val="00184AD6"/>
    <w:rsid w:val="00185321"/>
    <w:rsid w:val="00187673"/>
    <w:rsid w:val="00192D2A"/>
    <w:rsid w:val="00196147"/>
    <w:rsid w:val="00196B91"/>
    <w:rsid w:val="00197A1C"/>
    <w:rsid w:val="001A4AF7"/>
    <w:rsid w:val="001B0349"/>
    <w:rsid w:val="001B1E93"/>
    <w:rsid w:val="001B347E"/>
    <w:rsid w:val="001B36A3"/>
    <w:rsid w:val="001B47C3"/>
    <w:rsid w:val="001B65C1"/>
    <w:rsid w:val="001C260F"/>
    <w:rsid w:val="001C33F1"/>
    <w:rsid w:val="001C4F85"/>
    <w:rsid w:val="001C684B"/>
    <w:rsid w:val="001D0CFB"/>
    <w:rsid w:val="001D21AF"/>
    <w:rsid w:val="001D53FC"/>
    <w:rsid w:val="001D65FF"/>
    <w:rsid w:val="001E468D"/>
    <w:rsid w:val="001E51B0"/>
    <w:rsid w:val="001F0589"/>
    <w:rsid w:val="001F200D"/>
    <w:rsid w:val="001F20C0"/>
    <w:rsid w:val="001F2DC6"/>
    <w:rsid w:val="001F42A5"/>
    <w:rsid w:val="001F450B"/>
    <w:rsid w:val="001F7B9D"/>
    <w:rsid w:val="00200BAA"/>
    <w:rsid w:val="00201C93"/>
    <w:rsid w:val="00206AF9"/>
    <w:rsid w:val="00220AAB"/>
    <w:rsid w:val="0022120C"/>
    <w:rsid w:val="002224B4"/>
    <w:rsid w:val="00234DA4"/>
    <w:rsid w:val="00240B19"/>
    <w:rsid w:val="00242859"/>
    <w:rsid w:val="002447EF"/>
    <w:rsid w:val="00251550"/>
    <w:rsid w:val="00263B05"/>
    <w:rsid w:val="002652BA"/>
    <w:rsid w:val="00266D4E"/>
    <w:rsid w:val="0027221A"/>
    <w:rsid w:val="002724D8"/>
    <w:rsid w:val="002726E8"/>
    <w:rsid w:val="00275B61"/>
    <w:rsid w:val="00280FAF"/>
    <w:rsid w:val="00282656"/>
    <w:rsid w:val="002909A7"/>
    <w:rsid w:val="00294890"/>
    <w:rsid w:val="00296B83"/>
    <w:rsid w:val="002A278B"/>
    <w:rsid w:val="002A30BA"/>
    <w:rsid w:val="002A58A3"/>
    <w:rsid w:val="002B4015"/>
    <w:rsid w:val="002B5C01"/>
    <w:rsid w:val="002B78CE"/>
    <w:rsid w:val="002C2FB6"/>
    <w:rsid w:val="002C5E2C"/>
    <w:rsid w:val="002C7B98"/>
    <w:rsid w:val="002D0E9A"/>
    <w:rsid w:val="002D39F5"/>
    <w:rsid w:val="002D7503"/>
    <w:rsid w:val="002E00E5"/>
    <w:rsid w:val="002E2C26"/>
    <w:rsid w:val="002E3CF9"/>
    <w:rsid w:val="002E5229"/>
    <w:rsid w:val="002E5FA7"/>
    <w:rsid w:val="002F2DB0"/>
    <w:rsid w:val="002F3309"/>
    <w:rsid w:val="002F3F3D"/>
    <w:rsid w:val="002F716C"/>
    <w:rsid w:val="003008CE"/>
    <w:rsid w:val="003009B7"/>
    <w:rsid w:val="00300E56"/>
    <w:rsid w:val="003012E7"/>
    <w:rsid w:val="0030152C"/>
    <w:rsid w:val="0030469C"/>
    <w:rsid w:val="00310B92"/>
    <w:rsid w:val="00311BA6"/>
    <w:rsid w:val="00311FB3"/>
    <w:rsid w:val="00321CA6"/>
    <w:rsid w:val="00322112"/>
    <w:rsid w:val="00322594"/>
    <w:rsid w:val="00323763"/>
    <w:rsid w:val="00323C5F"/>
    <w:rsid w:val="00330A40"/>
    <w:rsid w:val="00334C09"/>
    <w:rsid w:val="00336AA1"/>
    <w:rsid w:val="0034419A"/>
    <w:rsid w:val="0036108E"/>
    <w:rsid w:val="0036358A"/>
    <w:rsid w:val="003723D4"/>
    <w:rsid w:val="0038119B"/>
    <w:rsid w:val="00381905"/>
    <w:rsid w:val="00384CC8"/>
    <w:rsid w:val="003871FD"/>
    <w:rsid w:val="00387305"/>
    <w:rsid w:val="00387723"/>
    <w:rsid w:val="0039379E"/>
    <w:rsid w:val="00393F7E"/>
    <w:rsid w:val="003A02F7"/>
    <w:rsid w:val="003A1E30"/>
    <w:rsid w:val="003A2829"/>
    <w:rsid w:val="003A7D1C"/>
    <w:rsid w:val="003B304B"/>
    <w:rsid w:val="003B3146"/>
    <w:rsid w:val="003B4EA5"/>
    <w:rsid w:val="003C0DBB"/>
    <w:rsid w:val="003C44AC"/>
    <w:rsid w:val="003C5612"/>
    <w:rsid w:val="003C563F"/>
    <w:rsid w:val="003C5A47"/>
    <w:rsid w:val="003C5B5B"/>
    <w:rsid w:val="003C6EED"/>
    <w:rsid w:val="003D1E02"/>
    <w:rsid w:val="003D2218"/>
    <w:rsid w:val="003D5019"/>
    <w:rsid w:val="003E7552"/>
    <w:rsid w:val="003F015E"/>
    <w:rsid w:val="003F0A29"/>
    <w:rsid w:val="003F3FF1"/>
    <w:rsid w:val="003F56C7"/>
    <w:rsid w:val="00400414"/>
    <w:rsid w:val="0041446B"/>
    <w:rsid w:val="00416E29"/>
    <w:rsid w:val="00417A48"/>
    <w:rsid w:val="004212A8"/>
    <w:rsid w:val="004215E0"/>
    <w:rsid w:val="004262B9"/>
    <w:rsid w:val="0044071E"/>
    <w:rsid w:val="0044329C"/>
    <w:rsid w:val="0045198E"/>
    <w:rsid w:val="00453B6F"/>
    <w:rsid w:val="00453E24"/>
    <w:rsid w:val="00455BB0"/>
    <w:rsid w:val="00457456"/>
    <w:rsid w:val="004577FE"/>
    <w:rsid w:val="00457B9C"/>
    <w:rsid w:val="004604CB"/>
    <w:rsid w:val="00460B13"/>
    <w:rsid w:val="0046164A"/>
    <w:rsid w:val="004628D2"/>
    <w:rsid w:val="00462DCD"/>
    <w:rsid w:val="004648AD"/>
    <w:rsid w:val="00465892"/>
    <w:rsid w:val="00465EE0"/>
    <w:rsid w:val="0046798B"/>
    <w:rsid w:val="004703A9"/>
    <w:rsid w:val="00470D5E"/>
    <w:rsid w:val="004760DE"/>
    <w:rsid w:val="004763D7"/>
    <w:rsid w:val="00480AFA"/>
    <w:rsid w:val="0048404B"/>
    <w:rsid w:val="004868DE"/>
    <w:rsid w:val="00486B60"/>
    <w:rsid w:val="00492BDC"/>
    <w:rsid w:val="00493EF4"/>
    <w:rsid w:val="004A004E"/>
    <w:rsid w:val="004A146C"/>
    <w:rsid w:val="004A24CF"/>
    <w:rsid w:val="004A5E57"/>
    <w:rsid w:val="004A76F9"/>
    <w:rsid w:val="004B3736"/>
    <w:rsid w:val="004B5BBC"/>
    <w:rsid w:val="004C194F"/>
    <w:rsid w:val="004C25CF"/>
    <w:rsid w:val="004C3D1D"/>
    <w:rsid w:val="004C3D84"/>
    <w:rsid w:val="004C4AE4"/>
    <w:rsid w:val="004C6232"/>
    <w:rsid w:val="004C7913"/>
    <w:rsid w:val="004D05F4"/>
    <w:rsid w:val="004D38D5"/>
    <w:rsid w:val="004D39E0"/>
    <w:rsid w:val="004D3A74"/>
    <w:rsid w:val="004E1DAB"/>
    <w:rsid w:val="004E37FB"/>
    <w:rsid w:val="004E4DD6"/>
    <w:rsid w:val="004F5DEE"/>
    <w:rsid w:val="004F5E36"/>
    <w:rsid w:val="0050640B"/>
    <w:rsid w:val="00507B47"/>
    <w:rsid w:val="00507BEF"/>
    <w:rsid w:val="00507C76"/>
    <w:rsid w:val="00507CC9"/>
    <w:rsid w:val="005119A5"/>
    <w:rsid w:val="005123CD"/>
    <w:rsid w:val="005159FC"/>
    <w:rsid w:val="005278B7"/>
    <w:rsid w:val="00527C4F"/>
    <w:rsid w:val="00531B8D"/>
    <w:rsid w:val="00532016"/>
    <w:rsid w:val="005346C8"/>
    <w:rsid w:val="005352AC"/>
    <w:rsid w:val="0054336D"/>
    <w:rsid w:val="00543E7D"/>
    <w:rsid w:val="00547A68"/>
    <w:rsid w:val="00552D68"/>
    <w:rsid w:val="005531C9"/>
    <w:rsid w:val="0056419A"/>
    <w:rsid w:val="005700AD"/>
    <w:rsid w:val="00570C43"/>
    <w:rsid w:val="005755F4"/>
    <w:rsid w:val="00580F77"/>
    <w:rsid w:val="00586AB1"/>
    <w:rsid w:val="00592274"/>
    <w:rsid w:val="00592561"/>
    <w:rsid w:val="00593715"/>
    <w:rsid w:val="005A10F6"/>
    <w:rsid w:val="005A2376"/>
    <w:rsid w:val="005A3307"/>
    <w:rsid w:val="005A541D"/>
    <w:rsid w:val="005B2110"/>
    <w:rsid w:val="005B61E6"/>
    <w:rsid w:val="005C2B28"/>
    <w:rsid w:val="005C77E1"/>
    <w:rsid w:val="005D668A"/>
    <w:rsid w:val="005D6A2F"/>
    <w:rsid w:val="005E0592"/>
    <w:rsid w:val="005E0F9A"/>
    <w:rsid w:val="005E1A82"/>
    <w:rsid w:val="005E794C"/>
    <w:rsid w:val="005E7FAA"/>
    <w:rsid w:val="005F0A28"/>
    <w:rsid w:val="005F0E5E"/>
    <w:rsid w:val="006001DC"/>
    <w:rsid w:val="00600535"/>
    <w:rsid w:val="00603064"/>
    <w:rsid w:val="006033A2"/>
    <w:rsid w:val="00610CD6"/>
    <w:rsid w:val="00613C7E"/>
    <w:rsid w:val="006165A9"/>
    <w:rsid w:val="00620DEE"/>
    <w:rsid w:val="00621D66"/>
    <w:rsid w:val="00621F92"/>
    <w:rsid w:val="0062280A"/>
    <w:rsid w:val="006231E1"/>
    <w:rsid w:val="00624922"/>
    <w:rsid w:val="00625639"/>
    <w:rsid w:val="00631B33"/>
    <w:rsid w:val="00636016"/>
    <w:rsid w:val="0064184D"/>
    <w:rsid w:val="006422CC"/>
    <w:rsid w:val="00644D44"/>
    <w:rsid w:val="00650586"/>
    <w:rsid w:val="00651D18"/>
    <w:rsid w:val="0065211D"/>
    <w:rsid w:val="00653393"/>
    <w:rsid w:val="0065390C"/>
    <w:rsid w:val="00660E3E"/>
    <w:rsid w:val="00662E74"/>
    <w:rsid w:val="00664F9F"/>
    <w:rsid w:val="006702A4"/>
    <w:rsid w:val="006707E0"/>
    <w:rsid w:val="00676FBC"/>
    <w:rsid w:val="00680059"/>
    <w:rsid w:val="00680C23"/>
    <w:rsid w:val="00683970"/>
    <w:rsid w:val="00683E23"/>
    <w:rsid w:val="00690148"/>
    <w:rsid w:val="00693766"/>
    <w:rsid w:val="006A2836"/>
    <w:rsid w:val="006A3281"/>
    <w:rsid w:val="006A54E8"/>
    <w:rsid w:val="006B4888"/>
    <w:rsid w:val="006B68A7"/>
    <w:rsid w:val="006C2E45"/>
    <w:rsid w:val="006C359C"/>
    <w:rsid w:val="006C3F7E"/>
    <w:rsid w:val="006C5579"/>
    <w:rsid w:val="006C578E"/>
    <w:rsid w:val="006C674C"/>
    <w:rsid w:val="006D36E3"/>
    <w:rsid w:val="006D39A7"/>
    <w:rsid w:val="006D5C59"/>
    <w:rsid w:val="006D6E8B"/>
    <w:rsid w:val="006D7209"/>
    <w:rsid w:val="006E1FCF"/>
    <w:rsid w:val="006E737D"/>
    <w:rsid w:val="006F0DB9"/>
    <w:rsid w:val="006F2978"/>
    <w:rsid w:val="006F5749"/>
    <w:rsid w:val="006F7A65"/>
    <w:rsid w:val="00702588"/>
    <w:rsid w:val="00707DD1"/>
    <w:rsid w:val="00711119"/>
    <w:rsid w:val="00713973"/>
    <w:rsid w:val="00714514"/>
    <w:rsid w:val="007175BB"/>
    <w:rsid w:val="00720A24"/>
    <w:rsid w:val="00732386"/>
    <w:rsid w:val="00732E9B"/>
    <w:rsid w:val="00733CF1"/>
    <w:rsid w:val="00733EF4"/>
    <w:rsid w:val="0073514D"/>
    <w:rsid w:val="0074259C"/>
    <w:rsid w:val="007431BE"/>
    <w:rsid w:val="007447F3"/>
    <w:rsid w:val="0075499F"/>
    <w:rsid w:val="007616C2"/>
    <w:rsid w:val="007617CC"/>
    <w:rsid w:val="0076184C"/>
    <w:rsid w:val="00765955"/>
    <w:rsid w:val="007661C8"/>
    <w:rsid w:val="007705BF"/>
    <w:rsid w:val="0077098D"/>
    <w:rsid w:val="007823E5"/>
    <w:rsid w:val="00785BF9"/>
    <w:rsid w:val="00791E06"/>
    <w:rsid w:val="007931FA"/>
    <w:rsid w:val="007A4861"/>
    <w:rsid w:val="007A7BBA"/>
    <w:rsid w:val="007B0C50"/>
    <w:rsid w:val="007B2660"/>
    <w:rsid w:val="007B48F9"/>
    <w:rsid w:val="007B7DD6"/>
    <w:rsid w:val="007C1A43"/>
    <w:rsid w:val="007C2D40"/>
    <w:rsid w:val="007C5B9A"/>
    <w:rsid w:val="007C5BCF"/>
    <w:rsid w:val="007D0951"/>
    <w:rsid w:val="007E237F"/>
    <w:rsid w:val="007E2DB5"/>
    <w:rsid w:val="007F27C8"/>
    <w:rsid w:val="007F2B70"/>
    <w:rsid w:val="007F7AF2"/>
    <w:rsid w:val="0080013E"/>
    <w:rsid w:val="008039A0"/>
    <w:rsid w:val="00813288"/>
    <w:rsid w:val="008168FC"/>
    <w:rsid w:val="00817B9C"/>
    <w:rsid w:val="008243D6"/>
    <w:rsid w:val="00830996"/>
    <w:rsid w:val="008314D7"/>
    <w:rsid w:val="008345F1"/>
    <w:rsid w:val="00843BA7"/>
    <w:rsid w:val="00844D9A"/>
    <w:rsid w:val="008452ED"/>
    <w:rsid w:val="008502EB"/>
    <w:rsid w:val="00851F1B"/>
    <w:rsid w:val="00860E77"/>
    <w:rsid w:val="00865B07"/>
    <w:rsid w:val="008667EA"/>
    <w:rsid w:val="0087637F"/>
    <w:rsid w:val="008832F9"/>
    <w:rsid w:val="00892AD5"/>
    <w:rsid w:val="00897A96"/>
    <w:rsid w:val="008A1512"/>
    <w:rsid w:val="008C11F0"/>
    <w:rsid w:val="008C1BD3"/>
    <w:rsid w:val="008C3359"/>
    <w:rsid w:val="008D1340"/>
    <w:rsid w:val="008D32B9"/>
    <w:rsid w:val="008D3C44"/>
    <w:rsid w:val="008D433B"/>
    <w:rsid w:val="008D4A16"/>
    <w:rsid w:val="008E1E0C"/>
    <w:rsid w:val="008E209A"/>
    <w:rsid w:val="008E45BC"/>
    <w:rsid w:val="008E566E"/>
    <w:rsid w:val="0090161A"/>
    <w:rsid w:val="00901EB6"/>
    <w:rsid w:val="0090274D"/>
    <w:rsid w:val="009041F8"/>
    <w:rsid w:val="00904C62"/>
    <w:rsid w:val="00911E91"/>
    <w:rsid w:val="0091580A"/>
    <w:rsid w:val="00922BA8"/>
    <w:rsid w:val="00924DAC"/>
    <w:rsid w:val="00926075"/>
    <w:rsid w:val="00927058"/>
    <w:rsid w:val="00931E3C"/>
    <w:rsid w:val="00934DAA"/>
    <w:rsid w:val="009403FE"/>
    <w:rsid w:val="00942750"/>
    <w:rsid w:val="009450CE"/>
    <w:rsid w:val="009459BB"/>
    <w:rsid w:val="00946F16"/>
    <w:rsid w:val="00947179"/>
    <w:rsid w:val="00950274"/>
    <w:rsid w:val="0095164B"/>
    <w:rsid w:val="00952AA5"/>
    <w:rsid w:val="00954090"/>
    <w:rsid w:val="00954D15"/>
    <w:rsid w:val="009573E7"/>
    <w:rsid w:val="0096063E"/>
    <w:rsid w:val="0096302D"/>
    <w:rsid w:val="00963E05"/>
    <w:rsid w:val="00964A45"/>
    <w:rsid w:val="00967843"/>
    <w:rsid w:val="00967D54"/>
    <w:rsid w:val="00971028"/>
    <w:rsid w:val="00993B84"/>
    <w:rsid w:val="00996483"/>
    <w:rsid w:val="00996F5A"/>
    <w:rsid w:val="009A34CB"/>
    <w:rsid w:val="009A6805"/>
    <w:rsid w:val="009B0083"/>
    <w:rsid w:val="009B041A"/>
    <w:rsid w:val="009B5CD8"/>
    <w:rsid w:val="009B7105"/>
    <w:rsid w:val="009C08AB"/>
    <w:rsid w:val="009C1148"/>
    <w:rsid w:val="009C2484"/>
    <w:rsid w:val="009C37C3"/>
    <w:rsid w:val="009C4D9B"/>
    <w:rsid w:val="009C7C86"/>
    <w:rsid w:val="009D2FF7"/>
    <w:rsid w:val="009D3D2F"/>
    <w:rsid w:val="009E19CD"/>
    <w:rsid w:val="009E4DB7"/>
    <w:rsid w:val="009E7884"/>
    <w:rsid w:val="009E788A"/>
    <w:rsid w:val="009F0E08"/>
    <w:rsid w:val="009F42B2"/>
    <w:rsid w:val="00A079AE"/>
    <w:rsid w:val="00A1093A"/>
    <w:rsid w:val="00A129CB"/>
    <w:rsid w:val="00A14F9C"/>
    <w:rsid w:val="00A16878"/>
    <w:rsid w:val="00A1763D"/>
    <w:rsid w:val="00A1769E"/>
    <w:rsid w:val="00A17CEC"/>
    <w:rsid w:val="00A26CBB"/>
    <w:rsid w:val="00A27EF0"/>
    <w:rsid w:val="00A368FF"/>
    <w:rsid w:val="00A42361"/>
    <w:rsid w:val="00A474B5"/>
    <w:rsid w:val="00A50B20"/>
    <w:rsid w:val="00A51390"/>
    <w:rsid w:val="00A53B5C"/>
    <w:rsid w:val="00A54A26"/>
    <w:rsid w:val="00A60D13"/>
    <w:rsid w:val="00A659C3"/>
    <w:rsid w:val="00A7223D"/>
    <w:rsid w:val="00A72745"/>
    <w:rsid w:val="00A76641"/>
    <w:rsid w:val="00A76EFC"/>
    <w:rsid w:val="00A87D50"/>
    <w:rsid w:val="00A91010"/>
    <w:rsid w:val="00A97F29"/>
    <w:rsid w:val="00AA168C"/>
    <w:rsid w:val="00AA4FF2"/>
    <w:rsid w:val="00AA702E"/>
    <w:rsid w:val="00AA7D26"/>
    <w:rsid w:val="00AB0964"/>
    <w:rsid w:val="00AB398A"/>
    <w:rsid w:val="00AB5011"/>
    <w:rsid w:val="00AC7368"/>
    <w:rsid w:val="00AC74E8"/>
    <w:rsid w:val="00AC7E20"/>
    <w:rsid w:val="00AD0278"/>
    <w:rsid w:val="00AD0B13"/>
    <w:rsid w:val="00AD16B9"/>
    <w:rsid w:val="00AD7F16"/>
    <w:rsid w:val="00AE16A5"/>
    <w:rsid w:val="00AE2140"/>
    <w:rsid w:val="00AE377D"/>
    <w:rsid w:val="00AF0EBA"/>
    <w:rsid w:val="00AF2F7A"/>
    <w:rsid w:val="00B02C5F"/>
    <w:rsid w:val="00B02C8A"/>
    <w:rsid w:val="00B04627"/>
    <w:rsid w:val="00B06325"/>
    <w:rsid w:val="00B109F8"/>
    <w:rsid w:val="00B126D7"/>
    <w:rsid w:val="00B17FBD"/>
    <w:rsid w:val="00B23DA1"/>
    <w:rsid w:val="00B26D42"/>
    <w:rsid w:val="00B315A6"/>
    <w:rsid w:val="00B31813"/>
    <w:rsid w:val="00B33365"/>
    <w:rsid w:val="00B41AD5"/>
    <w:rsid w:val="00B448C6"/>
    <w:rsid w:val="00B454F3"/>
    <w:rsid w:val="00B50025"/>
    <w:rsid w:val="00B57A85"/>
    <w:rsid w:val="00B57B36"/>
    <w:rsid w:val="00B57E6F"/>
    <w:rsid w:val="00B65074"/>
    <w:rsid w:val="00B67C07"/>
    <w:rsid w:val="00B70337"/>
    <w:rsid w:val="00B80450"/>
    <w:rsid w:val="00B856F3"/>
    <w:rsid w:val="00B8686D"/>
    <w:rsid w:val="00B87B65"/>
    <w:rsid w:val="00B93F69"/>
    <w:rsid w:val="00B94E7A"/>
    <w:rsid w:val="00BA0AB8"/>
    <w:rsid w:val="00BA2020"/>
    <w:rsid w:val="00BA587A"/>
    <w:rsid w:val="00BB1DDC"/>
    <w:rsid w:val="00BB3D23"/>
    <w:rsid w:val="00BC30C9"/>
    <w:rsid w:val="00BC43FB"/>
    <w:rsid w:val="00BC4B6A"/>
    <w:rsid w:val="00BD077D"/>
    <w:rsid w:val="00BE0CD3"/>
    <w:rsid w:val="00BE3E58"/>
    <w:rsid w:val="00BE3F77"/>
    <w:rsid w:val="00BF4D6E"/>
    <w:rsid w:val="00C01616"/>
    <w:rsid w:val="00C0162B"/>
    <w:rsid w:val="00C068ED"/>
    <w:rsid w:val="00C10228"/>
    <w:rsid w:val="00C10EB2"/>
    <w:rsid w:val="00C12368"/>
    <w:rsid w:val="00C208E9"/>
    <w:rsid w:val="00C22E0C"/>
    <w:rsid w:val="00C24315"/>
    <w:rsid w:val="00C267F9"/>
    <w:rsid w:val="00C278DB"/>
    <w:rsid w:val="00C27B09"/>
    <w:rsid w:val="00C30428"/>
    <w:rsid w:val="00C345B1"/>
    <w:rsid w:val="00C34A6E"/>
    <w:rsid w:val="00C40142"/>
    <w:rsid w:val="00C403BB"/>
    <w:rsid w:val="00C43A7A"/>
    <w:rsid w:val="00C50910"/>
    <w:rsid w:val="00C52C3C"/>
    <w:rsid w:val="00C554DB"/>
    <w:rsid w:val="00C57182"/>
    <w:rsid w:val="00C57863"/>
    <w:rsid w:val="00C5795B"/>
    <w:rsid w:val="00C61693"/>
    <w:rsid w:val="00C62392"/>
    <w:rsid w:val="00C638F3"/>
    <w:rsid w:val="00C640AF"/>
    <w:rsid w:val="00C655FD"/>
    <w:rsid w:val="00C74B23"/>
    <w:rsid w:val="00C75407"/>
    <w:rsid w:val="00C8172D"/>
    <w:rsid w:val="00C841C6"/>
    <w:rsid w:val="00C870A8"/>
    <w:rsid w:val="00C94434"/>
    <w:rsid w:val="00C948FE"/>
    <w:rsid w:val="00C95A3E"/>
    <w:rsid w:val="00C9683F"/>
    <w:rsid w:val="00CA0D75"/>
    <w:rsid w:val="00CA1C95"/>
    <w:rsid w:val="00CA5A9C"/>
    <w:rsid w:val="00CC4C20"/>
    <w:rsid w:val="00CC6F2A"/>
    <w:rsid w:val="00CD20F0"/>
    <w:rsid w:val="00CD2B0C"/>
    <w:rsid w:val="00CD3517"/>
    <w:rsid w:val="00CD5FE2"/>
    <w:rsid w:val="00CE458A"/>
    <w:rsid w:val="00CE7C68"/>
    <w:rsid w:val="00CF7A33"/>
    <w:rsid w:val="00D02B4C"/>
    <w:rsid w:val="00D040C4"/>
    <w:rsid w:val="00D07D31"/>
    <w:rsid w:val="00D13F4F"/>
    <w:rsid w:val="00D20AD1"/>
    <w:rsid w:val="00D2582C"/>
    <w:rsid w:val="00D3069C"/>
    <w:rsid w:val="00D3171D"/>
    <w:rsid w:val="00D37903"/>
    <w:rsid w:val="00D43721"/>
    <w:rsid w:val="00D46B7E"/>
    <w:rsid w:val="00D47379"/>
    <w:rsid w:val="00D57C84"/>
    <w:rsid w:val="00D6057D"/>
    <w:rsid w:val="00D614A3"/>
    <w:rsid w:val="00D6295E"/>
    <w:rsid w:val="00D62B34"/>
    <w:rsid w:val="00D658C6"/>
    <w:rsid w:val="00D66FEB"/>
    <w:rsid w:val="00D7112D"/>
    <w:rsid w:val="00D71640"/>
    <w:rsid w:val="00D75E1B"/>
    <w:rsid w:val="00D76803"/>
    <w:rsid w:val="00D815C0"/>
    <w:rsid w:val="00D82E4B"/>
    <w:rsid w:val="00D836C5"/>
    <w:rsid w:val="00D84576"/>
    <w:rsid w:val="00D90D58"/>
    <w:rsid w:val="00DA1399"/>
    <w:rsid w:val="00DA24C6"/>
    <w:rsid w:val="00DA4D7B"/>
    <w:rsid w:val="00DB4ED8"/>
    <w:rsid w:val="00DB653A"/>
    <w:rsid w:val="00DD271C"/>
    <w:rsid w:val="00DD37A1"/>
    <w:rsid w:val="00DE20D7"/>
    <w:rsid w:val="00DE264A"/>
    <w:rsid w:val="00DF1D56"/>
    <w:rsid w:val="00DF369F"/>
    <w:rsid w:val="00DF5072"/>
    <w:rsid w:val="00DF660D"/>
    <w:rsid w:val="00DF7DC9"/>
    <w:rsid w:val="00E018CA"/>
    <w:rsid w:val="00E02D18"/>
    <w:rsid w:val="00E041E7"/>
    <w:rsid w:val="00E2321B"/>
    <w:rsid w:val="00E23CA1"/>
    <w:rsid w:val="00E2466A"/>
    <w:rsid w:val="00E35395"/>
    <w:rsid w:val="00E359E0"/>
    <w:rsid w:val="00E409A8"/>
    <w:rsid w:val="00E42EEA"/>
    <w:rsid w:val="00E47604"/>
    <w:rsid w:val="00E47D61"/>
    <w:rsid w:val="00E50C12"/>
    <w:rsid w:val="00E52803"/>
    <w:rsid w:val="00E65B91"/>
    <w:rsid w:val="00E71C8A"/>
    <w:rsid w:val="00E7209D"/>
    <w:rsid w:val="00E72EAD"/>
    <w:rsid w:val="00E7652C"/>
    <w:rsid w:val="00E77223"/>
    <w:rsid w:val="00E81ED7"/>
    <w:rsid w:val="00E8424C"/>
    <w:rsid w:val="00E8528B"/>
    <w:rsid w:val="00E85B94"/>
    <w:rsid w:val="00E92724"/>
    <w:rsid w:val="00E92E37"/>
    <w:rsid w:val="00E93D89"/>
    <w:rsid w:val="00E966CA"/>
    <w:rsid w:val="00E978D0"/>
    <w:rsid w:val="00EA3EF9"/>
    <w:rsid w:val="00EA4613"/>
    <w:rsid w:val="00EA671D"/>
    <w:rsid w:val="00EA7F91"/>
    <w:rsid w:val="00EB1523"/>
    <w:rsid w:val="00EB2308"/>
    <w:rsid w:val="00EB368B"/>
    <w:rsid w:val="00EB540B"/>
    <w:rsid w:val="00EC0E49"/>
    <w:rsid w:val="00EC101F"/>
    <w:rsid w:val="00EC1D9F"/>
    <w:rsid w:val="00EC248B"/>
    <w:rsid w:val="00EC3784"/>
    <w:rsid w:val="00ED5375"/>
    <w:rsid w:val="00ED661F"/>
    <w:rsid w:val="00ED6A8E"/>
    <w:rsid w:val="00EE0131"/>
    <w:rsid w:val="00EE17B0"/>
    <w:rsid w:val="00EE1FC8"/>
    <w:rsid w:val="00EF06D9"/>
    <w:rsid w:val="00EF0982"/>
    <w:rsid w:val="00EF3091"/>
    <w:rsid w:val="00EF3755"/>
    <w:rsid w:val="00EF73ED"/>
    <w:rsid w:val="00F01C06"/>
    <w:rsid w:val="00F126A5"/>
    <w:rsid w:val="00F16AFF"/>
    <w:rsid w:val="00F23ABC"/>
    <w:rsid w:val="00F3049E"/>
    <w:rsid w:val="00F30C64"/>
    <w:rsid w:val="00F31AC2"/>
    <w:rsid w:val="00F31D0D"/>
    <w:rsid w:val="00F32BA2"/>
    <w:rsid w:val="00F32CDB"/>
    <w:rsid w:val="00F3348F"/>
    <w:rsid w:val="00F37280"/>
    <w:rsid w:val="00F37CDC"/>
    <w:rsid w:val="00F41EE4"/>
    <w:rsid w:val="00F509B4"/>
    <w:rsid w:val="00F565FE"/>
    <w:rsid w:val="00F62692"/>
    <w:rsid w:val="00F62F88"/>
    <w:rsid w:val="00F63A70"/>
    <w:rsid w:val="00F63D8C"/>
    <w:rsid w:val="00F72C76"/>
    <w:rsid w:val="00F74C09"/>
    <w:rsid w:val="00F7534E"/>
    <w:rsid w:val="00F800E8"/>
    <w:rsid w:val="00F84934"/>
    <w:rsid w:val="00F857C0"/>
    <w:rsid w:val="00F93EDF"/>
    <w:rsid w:val="00F96027"/>
    <w:rsid w:val="00FA1802"/>
    <w:rsid w:val="00FA21D0"/>
    <w:rsid w:val="00FA5F5F"/>
    <w:rsid w:val="00FA7DAE"/>
    <w:rsid w:val="00FB04B4"/>
    <w:rsid w:val="00FB4A4F"/>
    <w:rsid w:val="00FB687E"/>
    <w:rsid w:val="00FB730C"/>
    <w:rsid w:val="00FC2695"/>
    <w:rsid w:val="00FC3E03"/>
    <w:rsid w:val="00FC3FC1"/>
    <w:rsid w:val="00FC5E2F"/>
    <w:rsid w:val="00FC6FD2"/>
    <w:rsid w:val="00FC7B5B"/>
    <w:rsid w:val="00FE460F"/>
    <w:rsid w:val="00FE68B6"/>
    <w:rsid w:val="00FF7F4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29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ic document" ma:contentTypeID="0x01010031B82B69D2361148B4D8F7EC156802130800CC413FF6415E924D9D67F8C1D47FB2EB" ma:contentTypeVersion="49" ma:contentTypeDescription="Create a new document." ma:contentTypeScope="" ma:versionID="c5b5dffadc684e1efbec528b7ac75b20">
  <xsd:schema xmlns:xsd="http://www.w3.org/2001/XMLSchema" xmlns:xs="http://www.w3.org/2001/XMLSchema" xmlns:p="http://schemas.microsoft.com/office/2006/metadata/properties" xmlns:ns2="8bbd4995-53b7-43e2-b62f-10947586ac31" xmlns:ns3="178753a5-b254-4108-91ff-51b1a9642fc3" xmlns:ns4="f9fb264d-1960-413e-8a40-f84d4e03ac84" targetNamespace="http://schemas.microsoft.com/office/2006/metadata/properties" ma:root="true" ma:fieldsID="a51581bc0d4641f417701487629f8166" ns2:_="" ns3:_="" ns4:_="">
    <xsd:import namespace="8bbd4995-53b7-43e2-b62f-10947586ac31"/>
    <xsd:import namespace="178753a5-b254-4108-91ff-51b1a9642fc3"/>
    <xsd:import namespace="f9fb264d-1960-413e-8a40-f84d4e03ac84"/>
    <xsd:element name="properties">
      <xsd:complexType>
        <xsd:sequence>
          <xsd:element name="documentManagement">
            <xsd:complexType>
              <xsd:all>
                <xsd:element ref="ns2:CorpSiteSubTitle" minOccurs="0"/>
                <xsd:element ref="ns2:CorpSiteAccess" minOccurs="0"/>
                <xsd:element ref="ns2:CorpSiteClassification" minOccurs="0"/>
                <xsd:element ref="ns2:CorpSiteTags" minOccurs="0"/>
                <xsd:element ref="ns2:CorpSiteReportNumber" minOccurs="0"/>
                <xsd:element ref="ns2:CorpSiteISBN" minOccurs="0"/>
                <xsd:element ref="ns2:CorpSiteMainAuthors" minOccurs="0"/>
                <xsd:element ref="ns2:CorpSiteCoAuthors" minOccurs="0"/>
                <xsd:element ref="ns2:CorpSiteRecipientCompany" minOccurs="0"/>
                <xsd:element ref="ns2:CorpSiteRecipientPerson" minOccurs="0"/>
                <xsd:element ref="ns2:CorpSiteOurRef" minOccurs="0"/>
                <xsd:element ref="ns2:CorpSiteZipAddress" minOccurs="0"/>
                <xsd:element ref="ns2:CorpSiteZipContact" minOccurs="0"/>
                <xsd:element ref="ns2:CorpSiteVATNumber" minOccurs="0"/>
                <xsd:element ref="ns2:CorpSiteInstituteEmail" minOccurs="0"/>
                <xsd:element ref="ns2:CorpDocPageClassificationNbNo" minOccurs="0"/>
                <xsd:element ref="ns2:CorpDocClassificationEnUs" minOccurs="0"/>
                <xsd:element ref="ns2:CorpDocPageClassificationEnUs" minOccurs="0"/>
                <xsd:element ref="ns2:CorpDocClassificationNbNo" minOccurs="0"/>
                <xsd:element ref="ns2:CorpSiteInstituteEnUs" minOccurs="0"/>
                <xsd:element ref="ns2:CorpSiteInstitutePhone" minOccurs="0"/>
                <xsd:element ref="ns2:CorpSiteDocLanguage" minOccurs="0"/>
                <xsd:element ref="ns2:CorpDocInstitute" minOccurs="0"/>
                <xsd:element ref="ns2:CorpDocVersion" minOccurs="0"/>
                <xsd:element ref="ns2:CorpSiteDocumentAuthor" minOccurs="0"/>
                <xsd:element ref="ns2:CorpSiteProjectQA" minOccurs="0"/>
                <xsd:element ref="ns2:CorpSiteProjectOwner" minOccurs="0"/>
                <xsd:element ref="ns2:CorpSiteProjectLeader" minOccurs="0"/>
                <xsd:element ref="ns2:ArchiveStatus" minOccurs="0"/>
                <xsd:element ref="ns2:CorpWorkflowFeedback" minOccurs="0"/>
                <xsd:element ref="ns2:CorpSiteProjectNumber" minOccurs="0"/>
                <xsd:element ref="ns2:CorpSiteProjectNam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CorpWorkflowApproval" minOccurs="0"/>
                <xsd:element ref="ns3:MediaServiceLocation" minOccurs="0"/>
                <xsd:element ref="ns2:CorpDocument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d4995-53b7-43e2-b62f-10947586ac31" elementFormDefault="qualified">
    <xsd:import namespace="http://schemas.microsoft.com/office/2006/documentManagement/types"/>
    <xsd:import namespace="http://schemas.microsoft.com/office/infopath/2007/PartnerControls"/>
    <xsd:element name="CorpSiteSubTitle" ma:index="3" nillable="true" ma:displayName="Undertittel" ma:internalName="CorpSiteSubTitle">
      <xsd:simpleType>
        <xsd:restriction base="dms:Text">
          <xsd:maxLength value="255"/>
        </xsd:restriction>
      </xsd:simpleType>
    </xsd:element>
    <xsd:element name="CorpSiteAccess" ma:index="4" nillable="true" ma:displayName="Lesetilgang" ma:default="Kun navngitte medlemmer" ma:format="Dropdown" ma:internalName="CorpSiteAccess">
      <xsd:simpleType>
        <xsd:restriction base="dms:Choice">
          <xsd:enumeration value="Kun navngitte medlemmer"/>
          <xsd:enumeration value="SINTEF"/>
          <xsd:enumeration value="Institutt"/>
          <xsd:enumeration value="Avdeling"/>
          <xsd:maxLength value="255"/>
        </xsd:restriction>
      </xsd:simpleType>
    </xsd:element>
    <xsd:element name="CorpSiteClassification" ma:index="5" nillable="true" ma:displayName="Gradering" ma:default="Åpen" ma:internalName="CorpSiteClassification">
      <xsd:simpleType>
        <xsd:restriction base="dms:Choice">
          <xsd:enumeration value="Åpen"/>
          <xsd:enumeration value="Fortrolig"/>
          <xsd:enumeration value="Strengt fortrolig"/>
          <xsd:maxLength value="255"/>
        </xsd:restriction>
      </xsd:simpleType>
    </xsd:element>
    <xsd:element name="CorpSiteTags" ma:index="6" nillable="true" ma:displayName="Tags" ma:internalName="CorpSiteTags">
      <xsd:simpleType>
        <xsd:restriction base="dms:Text">
          <xsd:maxLength value="255"/>
        </xsd:restriction>
      </xsd:simpleType>
    </xsd:element>
    <xsd:element name="CorpSiteReportNumber" ma:index="7" nillable="true" ma:displayName="Rapport nummer" ma:internalName="CorpSiteReportNumber">
      <xsd:simpleType>
        <xsd:restriction base="dms:Text">
          <xsd:maxLength value="255"/>
        </xsd:restriction>
      </xsd:simpleType>
    </xsd:element>
    <xsd:element name="CorpSiteISBN" ma:index="8" nillable="true" ma:displayName="ISBN" ma:internalName="CorpSiteISBN">
      <xsd:simpleType>
        <xsd:restriction base="dms:Text">
          <xsd:maxLength value="255"/>
        </xsd:restriction>
      </xsd:simpleType>
    </xsd:element>
    <xsd:element name="CorpSiteMainAuthors" ma:index="9" nillable="true" ma:displayName="Hovedforfattere" ma:internalName="CorpSiteMainAuthors">
      <xsd:simpleType>
        <xsd:restriction base="dms:Text">
          <xsd:maxLength value="255"/>
        </xsd:restriction>
      </xsd:simpleType>
    </xsd:element>
    <xsd:element name="CorpSiteCoAuthors" ma:index="10" nillable="true" ma:displayName="Medforfattere" ma:internalName="CorpSiteCoAuthors">
      <xsd:simpleType>
        <xsd:restriction base="dms:Text">
          <xsd:maxLength value="255"/>
        </xsd:restriction>
      </xsd:simpleType>
    </xsd:element>
    <xsd:element name="CorpSiteRecipientCompany" ma:index="11" nillable="true" ma:displayName="Mottakende selskap" ma:internalName="CorpSiteRecipientCompany">
      <xsd:simpleType>
        <xsd:restriction base="dms:Text">
          <xsd:maxLength value="255"/>
        </xsd:restriction>
      </xsd:simpleType>
    </xsd:element>
    <xsd:element name="CorpSiteRecipientPerson" ma:index="12" nillable="true" ma:displayName="Mottakende person" ma:internalName="CorpSiteRecipientPerson">
      <xsd:simpleType>
        <xsd:restriction base="dms:Text">
          <xsd:maxLength value="255"/>
        </xsd:restriction>
      </xsd:simpleType>
    </xsd:element>
    <xsd:element name="CorpSiteOurRef" ma:index="13" nillable="true" ma:displayName="Vår ref" ma:internalName="CorpSiteOurRef">
      <xsd:simpleType>
        <xsd:restriction base="dms:Text">
          <xsd:maxLength value="255"/>
        </xsd:restriction>
      </xsd:simpleType>
    </xsd:element>
    <xsd:element name="CorpSiteZipAddress" ma:index="14" nillable="true" ma:displayName="Adresse" ma:internalName="CorpSiteZipAddress">
      <xsd:simpleType>
        <xsd:restriction base="dms:Note">
          <xsd:maxLength value="255"/>
        </xsd:restriction>
      </xsd:simpleType>
    </xsd:element>
    <xsd:element name="CorpSiteZipContact" ma:index="15" nillable="true" ma:displayName="Kontakt" ma:internalName="CorpSiteZipContact">
      <xsd:simpleType>
        <xsd:restriction base="dms:Note">
          <xsd:maxLength value="255"/>
        </xsd:restriction>
      </xsd:simpleType>
    </xsd:element>
    <xsd:element name="CorpSiteVATNumber" ma:index="16" nillable="true" ma:displayName="Foretaksnummer" ma:internalName="CorpSiteVATNumber">
      <xsd:simpleType>
        <xsd:restriction base="dms:Text">
          <xsd:maxLength value="255"/>
        </xsd:restriction>
      </xsd:simpleType>
    </xsd:element>
    <xsd:element name="CorpSiteInstituteEmail" ma:index="17" nillable="true" ma:displayName="E-post institutt" ma:internalName="CorpSiteInstituteEmail">
      <xsd:simpleType>
        <xsd:restriction base="dms:Text">
          <xsd:maxLength value="255"/>
        </xsd:restriction>
      </xsd:simpleType>
    </xsd:element>
    <xsd:element name="CorpDocPageClassificationNbNo" ma:index="18" nillable="true" ma:displayName="Gradering Denne Siden" ma:default="Åpen" ma:internalName="CorpDocPageClassificationNbNo">
      <xsd:simpleType>
        <xsd:restriction base="dms:Choice">
          <xsd:enumeration value="Åpen"/>
          <xsd:enumeration value="Intern"/>
          <xsd:enumeration value="Fortrolig"/>
          <xsd:enumeration value="Strengt fortrolig"/>
          <xsd:maxLength value="255"/>
        </xsd:restriction>
      </xsd:simpleType>
    </xsd:element>
    <xsd:element name="CorpDocClassificationEnUs" ma:index="19" nillable="true" ma:displayName="Classification" ma:default="Unrestricted" ma:internalName="CorpDocClassificationEnUs">
      <xsd:simpleType>
        <xsd:restriction base="dms:Choice">
          <xsd:enumeration value="Unrestricted"/>
          <xsd:enumeration value="Internal"/>
          <xsd:enumeration value="Restricted"/>
          <xsd:enumeration value="Confidential"/>
          <xsd:maxLength value="255"/>
        </xsd:restriction>
      </xsd:simpleType>
    </xsd:element>
    <xsd:element name="CorpDocPageClassificationEnUs" ma:index="20" nillable="true" ma:displayName="Classification This Page" ma:default="Unrestricted" ma:internalName="CorpDocPageClassificationEnUs">
      <xsd:simpleType>
        <xsd:restriction base="dms:Choice">
          <xsd:enumeration value="Unrestricted"/>
          <xsd:enumeration value="Internal"/>
          <xsd:enumeration value="Restricted"/>
          <xsd:enumeration value="Confidential"/>
          <xsd:maxLength value="255"/>
        </xsd:restriction>
      </xsd:simpleType>
    </xsd:element>
    <xsd:element name="CorpDocClassificationNbNo" ma:index="21" nillable="true" ma:displayName="Gradering" ma:default="Åpen" ma:internalName="CorpDocClassificationNbNo">
      <xsd:simpleType>
        <xsd:restriction base="dms:Choice">
          <xsd:enumeration value="Åpen"/>
          <xsd:enumeration value="Intern"/>
          <xsd:enumeration value="Fortrolig"/>
          <xsd:enumeration value="Strengt fortrolig"/>
          <xsd:maxLength value="255"/>
        </xsd:restriction>
      </xsd:simpleType>
    </xsd:element>
    <xsd:element name="CorpSiteInstituteEnUs" ma:index="22" nillable="true" ma:displayName="InstituteEng" ma:internalName="CorpSiteInstituteEnUs">
      <xsd:simpleType>
        <xsd:restriction base="dms:Text">
          <xsd:maxLength value="255"/>
        </xsd:restriction>
      </xsd:simpleType>
    </xsd:element>
    <xsd:element name="CorpSiteInstitutePhone" ma:index="23" nillable="true" ma:displayName="Institutt telefon" ma:internalName="CorpSiteInstitutePhone">
      <xsd:simpleType>
        <xsd:restriction base="dms:Text">
          <xsd:maxLength value="255"/>
        </xsd:restriction>
      </xsd:simpleType>
    </xsd:element>
    <xsd:element name="CorpSiteDocLanguage" ma:index="24" nillable="true" ma:displayName="Språk" ma:internalName="CorpSiteDocLanguage">
      <xsd:simpleType>
        <xsd:restriction base="dms:Text">
          <xsd:maxLength value="255"/>
        </xsd:restriction>
      </xsd:simpleType>
    </xsd:element>
    <xsd:element name="CorpDocInstitute" ma:index="25" nillable="true" ma:displayName="Institutt" ma:internalName="CorpDocInstitute">
      <xsd:simpleType>
        <xsd:restriction base="dms:Text">
          <xsd:maxLength value="255"/>
        </xsd:restriction>
      </xsd:simpleType>
    </xsd:element>
    <xsd:element name="CorpDocVersion" ma:index="26" nillable="true" ma:displayName="Versjon" ma:internalName="CorpDocVersion">
      <xsd:simpleType>
        <xsd:restriction base="dms:Text">
          <xsd:maxLength value="255"/>
        </xsd:restriction>
      </xsd:simpleType>
    </xsd:element>
    <xsd:element name="CorpSiteDocumentAuthor" ma:index="27" nillable="true" ma:displayName="Hovedforfatter" ma:hidden="true" ma:internalName="CorpSiteDocum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QA" ma:index="32" nillable="true" ma:displayName="Kvalitestsansvarlig" ma:list="UserInfo" ma:SharePointGroup="0" ma:internalName="CorpSiteProjectQ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Owner" ma:index="33" nillable="true" ma:displayName="Prosjekteier" ma:list="UserInfo" ma:SharePointGroup="0" ma:internalName="CorpSiteProje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rpSiteProjectLeader" ma:index="34" nillable="true" ma:displayName="Prosjektleder" ma:list="UserInfo" ma:SharePointGroup="0" ma:internalName="CorpSiteProjectLea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Status" ma:index="36" nillable="true" ma:displayName="Arkivstatus" ma:internalName="ArchiveStatus">
      <xsd:simpleType>
        <xsd:restriction base="dms:Text">
          <xsd:maxLength value="255"/>
        </xsd:restriction>
      </xsd:simpleType>
    </xsd:element>
    <xsd:element name="CorpWorkflowFeedback" ma:index="37" nillable="true" ma:displayName="Status kvalitetssikring" ma:internalName="CorpWorkflowFeedback">
      <xsd:simpleType>
        <xsd:restriction base="dms:Text">
          <xsd:maxLength value="255"/>
        </xsd:restriction>
      </xsd:simpleType>
    </xsd:element>
    <xsd:element name="CorpSiteProjectNumber" ma:index="39" nillable="true" ma:displayName="Prosjektnummer" ma:default="" ma:internalName="CorpSiteProjectNumber">
      <xsd:simpleType>
        <xsd:restriction base="dms:Text">
          <xsd:maxLength value="255"/>
        </xsd:restriction>
      </xsd:simpleType>
    </xsd:element>
    <xsd:element name="CorpSiteProjectName" ma:index="40" nillable="true" ma:displayName="Prosjektnavn" ma:internalName="CorpSiteProjectName">
      <xsd:simpleType>
        <xsd:restriction base="dms:Text">
          <xsd:maxLength value="255"/>
        </xsd:restriction>
      </xsd:simpleType>
    </xsd:element>
    <xsd:element name="CorpWorkflowApproval" ma:index="52" nillable="true" ma:displayName="Status godkjenning" ma:internalName="CorpWorkflowApproval">
      <xsd:simpleType>
        <xsd:restriction base="dms:Text">
          <xsd:maxLength value="255"/>
        </xsd:restriction>
      </xsd:simpleType>
    </xsd:element>
    <xsd:element name="CorpDocumentDate" ma:index="54" nillable="true" ma:displayName="Dokumentdato" ma:internalName="CorpDocument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753a5-b254-4108-91ff-51b1a9642fc3"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322a372c-f9c2-4fd8-9939-aea158435baa"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Location" ma:index="53" nillable="true" ma:displayName="Location" ma:indexed="true" ma:internalName="MediaServiceLocation"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fb264d-1960-413e-8a40-f84d4e03ac84"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da6698ec-3c84-400d-9c21-e5f7a7322de5}" ma:internalName="TaxCatchAll" ma:showField="CatchAllData" ma:web="f9fb264d-1960-413e-8a40-f84d4e03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8753a5-b254-4108-91ff-51b1a9642fc3">
      <Terms xmlns="http://schemas.microsoft.com/office/infopath/2007/PartnerControls"/>
    </lcf76f155ced4ddcb4097134ff3c332f>
    <TaxCatchAll xmlns="f9fb264d-1960-413e-8a40-f84d4e03ac84" xsi:nil="true"/>
    <CorpSiteZipContact xmlns="8bbd4995-53b7-43e2-b62f-10947586ac31" xsi:nil="true"/>
    <CorpSiteProjectLeader xmlns="8bbd4995-53b7-43e2-b62f-10947586ac31">
      <UserInfo>
        <DisplayName/>
        <AccountId xsi:nil="true"/>
        <AccountType/>
      </UserInfo>
    </CorpSiteProjectLeader>
    <CorpSiteSubTitle xmlns="8bbd4995-53b7-43e2-b62f-10947586ac31" xsi:nil="true"/>
    <CorpSiteTags xmlns="8bbd4995-53b7-43e2-b62f-10947586ac31" xsi:nil="true"/>
    <CorpSiteISBN xmlns="8bbd4995-53b7-43e2-b62f-10947586ac31" xsi:nil="true"/>
    <CorpDocumentDate xmlns="8bbd4995-53b7-43e2-b62f-10947586ac31" xsi:nil="true"/>
    <CorpSiteAccess xmlns="8bbd4995-53b7-43e2-b62f-10947586ac31">Kun navngitte medlemmer</CorpSiteAccess>
    <CorpWorkflowFeedback xmlns="8bbd4995-53b7-43e2-b62f-10947586ac31" xsi:nil="true"/>
    <CorpSiteRecipientPerson xmlns="8bbd4995-53b7-43e2-b62f-10947586ac31" xsi:nil="true"/>
    <CorpSiteProjectNumber xmlns="8bbd4995-53b7-43e2-b62f-10947586ac31" xsi:nil="true"/>
    <CorpDocInstitute xmlns="8bbd4995-53b7-43e2-b62f-10947586ac31" xsi:nil="true"/>
    <CorpSiteProjectName xmlns="8bbd4995-53b7-43e2-b62f-10947586ac31" xsi:nil="true"/>
    <CorpSiteInstitutePhone xmlns="8bbd4995-53b7-43e2-b62f-10947586ac31" xsi:nil="true"/>
    <CorpDocPageClassificationNbNo xmlns="8bbd4995-53b7-43e2-b62f-10947586ac31">Åpen</CorpDocPageClassificationNbNo>
    <CorpDocClassificationEnUs xmlns="8bbd4995-53b7-43e2-b62f-10947586ac31">Unrestricted</CorpDocClassificationEnUs>
    <CorpDocClassificationNbNo xmlns="8bbd4995-53b7-43e2-b62f-10947586ac31">Åpen</CorpDocClassificationNbNo>
    <CorpSiteProjectOwner xmlns="8bbd4995-53b7-43e2-b62f-10947586ac31">
      <UserInfo>
        <DisplayName/>
        <AccountId xsi:nil="true"/>
        <AccountType/>
      </UserInfo>
    </CorpSiteProjectOwner>
    <CorpSiteClassification xmlns="8bbd4995-53b7-43e2-b62f-10947586ac31">Åpen</CorpSiteClassification>
    <CorpSiteInstituteEmail xmlns="8bbd4995-53b7-43e2-b62f-10947586ac31" xsi:nil="true"/>
    <CorpSiteCoAuthors xmlns="8bbd4995-53b7-43e2-b62f-10947586ac31" xsi:nil="true"/>
    <CorpSiteInstituteEnUs xmlns="8bbd4995-53b7-43e2-b62f-10947586ac31" xsi:nil="true"/>
    <CorpSiteDocumentAuthor xmlns="8bbd4995-53b7-43e2-b62f-10947586ac31">
      <UserInfo>
        <DisplayName/>
        <AccountId xsi:nil="true"/>
        <AccountType/>
      </UserInfo>
    </CorpSiteDocumentAuthor>
    <CorpSiteMainAuthors xmlns="8bbd4995-53b7-43e2-b62f-10947586ac31" xsi:nil="true"/>
    <CorpSiteRecipientCompany xmlns="8bbd4995-53b7-43e2-b62f-10947586ac31" xsi:nil="true"/>
    <CorpSiteDocLanguage xmlns="8bbd4995-53b7-43e2-b62f-10947586ac31" xsi:nil="true"/>
    <CorpDocVersion xmlns="8bbd4995-53b7-43e2-b62f-10947586ac31" xsi:nil="true"/>
    <CorpWorkflowApproval xmlns="8bbd4995-53b7-43e2-b62f-10947586ac31" xsi:nil="true"/>
    <CorpSiteZipAddress xmlns="8bbd4995-53b7-43e2-b62f-10947586ac31" xsi:nil="true"/>
    <CorpSiteVATNumber xmlns="8bbd4995-53b7-43e2-b62f-10947586ac31" xsi:nil="true"/>
    <CorpSiteProjectQA xmlns="8bbd4995-53b7-43e2-b62f-10947586ac31">
      <UserInfo>
        <DisplayName/>
        <AccountId xsi:nil="true"/>
        <AccountType/>
      </UserInfo>
    </CorpSiteProjectQA>
    <ArchiveStatus xmlns="8bbd4995-53b7-43e2-b62f-10947586ac31" xsi:nil="true"/>
    <CorpSiteReportNumber xmlns="8bbd4995-53b7-43e2-b62f-10947586ac31" xsi:nil="true"/>
    <CorpSiteOurRef xmlns="8bbd4995-53b7-43e2-b62f-10947586ac31" xsi:nil="true"/>
    <CorpDocPageClassificationEnUs xmlns="8bbd4995-53b7-43e2-b62f-10947586ac31">Unrestricted</CorpDocPageClassificationEnUs>
  </documentManagement>
</p:properties>
</file>

<file path=customXml/itemProps1.xml><?xml version="1.0" encoding="utf-8"?>
<ds:datastoreItem xmlns:ds="http://schemas.openxmlformats.org/officeDocument/2006/customXml" ds:itemID="{B2764C01-1F58-4F00-8136-409FD2B66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d4995-53b7-43e2-b62f-10947586ac31"/>
    <ds:schemaRef ds:uri="178753a5-b254-4108-91ff-51b1a9642fc3"/>
    <ds:schemaRef ds:uri="f9fb264d-1960-413e-8a40-f84d4e03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278E-D3E9-42A4-825F-98664B261F29}">
  <ds:schemaRefs>
    <ds:schemaRef ds:uri="http://schemas.microsoft.com/sharepoint/v3/contenttype/forms"/>
  </ds:schemaRefs>
</ds:datastoreItem>
</file>

<file path=customXml/itemProps3.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customXml/itemProps4.xml><?xml version="1.0" encoding="utf-8"?>
<ds:datastoreItem xmlns:ds="http://schemas.openxmlformats.org/officeDocument/2006/customXml" ds:itemID="{DB9F7A92-65AB-4341-9952-AAF602563B59}">
  <ds:schemaRefs>
    <ds:schemaRef ds:uri="http://schemas.microsoft.com/office/2006/metadata/properties"/>
    <ds:schemaRef ds:uri="http://schemas.microsoft.com/office/infopath/2007/PartnerControls"/>
    <ds:schemaRef ds:uri="178753a5-b254-4108-91ff-51b1a9642fc3"/>
    <ds:schemaRef ds:uri="f9fb264d-1960-413e-8a40-f84d4e03ac84"/>
    <ds:schemaRef ds:uri="8bbd4995-53b7-43e2-b62f-10947586ac31"/>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6</Pages>
  <Words>3549</Words>
  <Characters>20232</Characters>
  <Application>Microsoft Office Word</Application>
  <DocSecurity>0</DocSecurity>
  <Lines>168</Lines>
  <Paragraphs>47</Paragraphs>
  <ScaleCrop>false</ScaleCrop>
  <HeadingPairs>
    <vt:vector size="6" baseType="variant">
      <vt:variant>
        <vt:lpstr>Title</vt:lpstr>
      </vt:variant>
      <vt:variant>
        <vt:i4>1</vt:i4>
      </vt:variant>
      <vt:variant>
        <vt:lpstr>Tittel</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Cansu Birgen</cp:lastModifiedBy>
  <cp:revision>424</cp:revision>
  <cp:lastPrinted>2015-05-12T18:31:00Z</cp:lastPrinted>
  <dcterms:created xsi:type="dcterms:W3CDTF">2025-12-15T13:40:00Z</dcterms:created>
  <dcterms:modified xsi:type="dcterms:W3CDTF">2026-03-22T16:50:00Z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0x01010031B82B69D2361148B4D8F7EC156802130800CC413FF6415E924D9D67F8C1D47FB2EB</vt:lpwstr>
  </property>
  <property fmtid="{D5CDD505-2E9C-101B-9397-08002B2CF9AE}" pid="5" name="MediaServiceImageTags">
    <vt:lpwstr/>
  </property>
</Properties>
</file>