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26B74" w:rsidRPr="00026B74"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026B74" w:rsidRDefault="000A03B2" w:rsidP="00DE264A">
            <w:pPr>
              <w:tabs>
                <w:tab w:val="left" w:pos="-108"/>
              </w:tabs>
              <w:ind w:left="-108"/>
              <w:jc w:val="left"/>
              <w:rPr>
                <w:rFonts w:cs="Arial"/>
                <w:b/>
                <w:bCs/>
                <w:i/>
                <w:iCs/>
                <w:color w:val="000000" w:themeColor="text1"/>
                <w:sz w:val="12"/>
                <w:szCs w:val="12"/>
                <w:lang w:eastAsia="it-IT"/>
              </w:rPr>
            </w:pPr>
            <w:bookmarkStart w:id="0" w:name="_Hlk145068772"/>
            <w:r w:rsidRPr="00026B74">
              <w:rPr>
                <w:rFonts w:ascii="AdvP6960" w:hAnsi="AdvP6960" w:cs="AdvP6960"/>
                <w:noProof/>
                <w:color w:val="000000" w:themeColor="text1"/>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026B74">
              <w:rPr>
                <w:rFonts w:ascii="AdvP6960" w:hAnsi="AdvP6960" w:cs="AdvP6960"/>
                <w:color w:val="000000" w:themeColor="text1"/>
                <w:szCs w:val="18"/>
                <w:lang w:eastAsia="it-IT"/>
              </w:rPr>
              <w:t xml:space="preserve"> </w:t>
            </w:r>
            <w:r w:rsidRPr="00026B74">
              <w:rPr>
                <w:rFonts w:cs="Arial"/>
                <w:b/>
                <w:bCs/>
                <w:i/>
                <w:iCs/>
                <w:color w:val="000000" w:themeColor="text1"/>
                <w:sz w:val="24"/>
                <w:szCs w:val="24"/>
                <w:lang w:eastAsia="it-IT"/>
              </w:rPr>
              <w:t>CHEMICAL ENGINEERING TRANSACTIONS</w:t>
            </w:r>
            <w:r w:rsidRPr="00026B74">
              <w:rPr>
                <w:color w:val="000000" w:themeColor="text1"/>
                <w:sz w:val="24"/>
                <w:szCs w:val="24"/>
                <w:lang w:eastAsia="it-IT"/>
              </w:rPr>
              <w:t xml:space="preserve"> </w:t>
            </w:r>
            <w:r w:rsidRPr="00026B74">
              <w:rPr>
                <w:rFonts w:cs="Arial"/>
                <w:b/>
                <w:bCs/>
                <w:i/>
                <w:iCs/>
                <w:color w:val="000000" w:themeColor="text1"/>
                <w:sz w:val="27"/>
                <w:szCs w:val="27"/>
                <w:lang w:eastAsia="it-IT"/>
              </w:rPr>
              <w:br/>
            </w:r>
          </w:p>
          <w:p w14:paraId="4B780582" w14:textId="753620B8" w:rsidR="000A03B2" w:rsidRPr="00026B74" w:rsidRDefault="00A76EFC" w:rsidP="001D21AF">
            <w:pPr>
              <w:tabs>
                <w:tab w:val="left" w:pos="-108"/>
              </w:tabs>
              <w:ind w:left="-108"/>
              <w:rPr>
                <w:rFonts w:cs="Arial"/>
                <w:b/>
                <w:bCs/>
                <w:i/>
                <w:iCs/>
                <w:color w:val="000000" w:themeColor="text1"/>
                <w:sz w:val="22"/>
                <w:szCs w:val="22"/>
                <w:lang w:eastAsia="it-IT"/>
              </w:rPr>
            </w:pPr>
            <w:r w:rsidRPr="00026B74">
              <w:rPr>
                <w:rFonts w:cs="Arial"/>
                <w:b/>
                <w:bCs/>
                <w:i/>
                <w:iCs/>
                <w:color w:val="000000" w:themeColor="text1"/>
                <w:sz w:val="22"/>
                <w:szCs w:val="22"/>
                <w:lang w:eastAsia="it-IT"/>
              </w:rPr>
              <w:t>VOL.</w:t>
            </w:r>
            <w:r w:rsidR="00785BF9" w:rsidRPr="00026B74">
              <w:rPr>
                <w:rFonts w:cs="Arial"/>
                <w:b/>
                <w:bCs/>
                <w:i/>
                <w:iCs/>
                <w:color w:val="000000" w:themeColor="text1"/>
                <w:sz w:val="22"/>
                <w:szCs w:val="22"/>
                <w:lang w:eastAsia="it-IT"/>
              </w:rPr>
              <w:t xml:space="preserve"> </w:t>
            </w:r>
            <w:r w:rsidR="00AD0278" w:rsidRPr="00026B74">
              <w:rPr>
                <w:rFonts w:cs="Arial"/>
                <w:b/>
                <w:bCs/>
                <w:i/>
                <w:iCs/>
                <w:color w:val="000000" w:themeColor="text1"/>
                <w:sz w:val="22"/>
                <w:szCs w:val="22"/>
                <w:lang w:eastAsia="it-IT"/>
              </w:rPr>
              <w:t>xxx</w:t>
            </w:r>
            <w:r w:rsidR="007B48F9" w:rsidRPr="00026B74">
              <w:rPr>
                <w:rFonts w:cs="Arial"/>
                <w:b/>
                <w:bCs/>
                <w:i/>
                <w:iCs/>
                <w:color w:val="000000" w:themeColor="text1"/>
                <w:sz w:val="22"/>
                <w:szCs w:val="22"/>
                <w:lang w:eastAsia="it-IT"/>
              </w:rPr>
              <w:t>,</w:t>
            </w:r>
            <w:r w:rsidR="00FA5F5F" w:rsidRPr="00026B74">
              <w:rPr>
                <w:rFonts w:cs="Arial"/>
                <w:b/>
                <w:bCs/>
                <w:i/>
                <w:iCs/>
                <w:color w:val="000000" w:themeColor="text1"/>
                <w:sz w:val="22"/>
                <w:szCs w:val="22"/>
                <w:lang w:eastAsia="it-IT"/>
              </w:rPr>
              <w:t xml:space="preserve"> </w:t>
            </w:r>
            <w:r w:rsidR="0030152C" w:rsidRPr="00026B74">
              <w:rPr>
                <w:rFonts w:cs="Arial"/>
                <w:b/>
                <w:bCs/>
                <w:i/>
                <w:iCs/>
                <w:color w:val="000000" w:themeColor="text1"/>
                <w:sz w:val="22"/>
                <w:szCs w:val="22"/>
                <w:lang w:eastAsia="it-IT"/>
              </w:rPr>
              <w:t>202</w:t>
            </w:r>
            <w:r w:rsidR="00AD0278" w:rsidRPr="00026B74">
              <w:rPr>
                <w:rFonts w:cs="Arial"/>
                <w:b/>
                <w:bCs/>
                <w:i/>
                <w:iCs/>
                <w:color w:val="000000" w:themeColor="text1"/>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026B74" w:rsidRDefault="000A03B2" w:rsidP="00CD5FE2">
            <w:pPr>
              <w:spacing w:line="140" w:lineRule="atLeast"/>
              <w:jc w:val="right"/>
              <w:rPr>
                <w:rFonts w:cs="Arial"/>
                <w:color w:val="000000" w:themeColor="text1"/>
                <w:sz w:val="14"/>
                <w:szCs w:val="14"/>
              </w:rPr>
            </w:pPr>
            <w:r w:rsidRPr="00026B74">
              <w:rPr>
                <w:rFonts w:cs="Arial"/>
                <w:color w:val="000000" w:themeColor="text1"/>
                <w:sz w:val="14"/>
                <w:szCs w:val="14"/>
              </w:rPr>
              <w:t>A publication of</w:t>
            </w:r>
          </w:p>
          <w:p w14:paraId="599E5441" w14:textId="77777777" w:rsidR="000A03B2" w:rsidRPr="00026B74" w:rsidRDefault="000A03B2" w:rsidP="00CD5FE2">
            <w:pPr>
              <w:jc w:val="right"/>
              <w:rPr>
                <w:color w:val="000000" w:themeColor="text1"/>
              </w:rPr>
            </w:pPr>
            <w:r w:rsidRPr="00026B74">
              <w:rPr>
                <w:noProof/>
                <w:color w:val="000000" w:themeColor="text1"/>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26B74" w:rsidRPr="00026B74" w14:paraId="380FA3CD" w14:textId="77777777" w:rsidTr="00DE264A">
        <w:trPr>
          <w:trHeight w:val="567"/>
          <w:jc w:val="center"/>
        </w:trPr>
        <w:tc>
          <w:tcPr>
            <w:tcW w:w="6946" w:type="dxa"/>
            <w:vMerge/>
            <w:tcBorders>
              <w:right w:val="single" w:sz="4" w:space="0" w:color="auto"/>
            </w:tcBorders>
          </w:tcPr>
          <w:p w14:paraId="39E5E4C1" w14:textId="77777777" w:rsidR="000A03B2" w:rsidRPr="00026B74" w:rsidRDefault="000A03B2" w:rsidP="00CD5FE2">
            <w:pPr>
              <w:tabs>
                <w:tab w:val="left" w:pos="-108"/>
              </w:tabs>
              <w:rPr>
                <w:color w:val="000000" w:themeColor="text1"/>
              </w:rPr>
            </w:pPr>
          </w:p>
        </w:tc>
        <w:tc>
          <w:tcPr>
            <w:tcW w:w="1843" w:type="dxa"/>
            <w:tcBorders>
              <w:left w:val="single" w:sz="4" w:space="0" w:color="auto"/>
              <w:bottom w:val="nil"/>
              <w:right w:val="single" w:sz="4" w:space="0" w:color="auto"/>
            </w:tcBorders>
          </w:tcPr>
          <w:p w14:paraId="43858A98" w14:textId="77777777" w:rsidR="000A03B2" w:rsidRPr="00026B74" w:rsidRDefault="000A03B2" w:rsidP="00CD5FE2">
            <w:pPr>
              <w:spacing w:line="140" w:lineRule="atLeast"/>
              <w:jc w:val="right"/>
              <w:rPr>
                <w:rFonts w:cs="Arial"/>
                <w:color w:val="000000" w:themeColor="text1"/>
                <w:sz w:val="14"/>
                <w:szCs w:val="14"/>
              </w:rPr>
            </w:pPr>
            <w:r w:rsidRPr="00026B74">
              <w:rPr>
                <w:rFonts w:cs="Arial"/>
                <w:color w:val="000000" w:themeColor="text1"/>
                <w:sz w:val="14"/>
                <w:szCs w:val="14"/>
              </w:rPr>
              <w:t>The Italian Association</w:t>
            </w:r>
          </w:p>
          <w:p w14:paraId="7522B1D2" w14:textId="77777777" w:rsidR="000A03B2" w:rsidRPr="00026B74" w:rsidRDefault="000A03B2" w:rsidP="00CD5FE2">
            <w:pPr>
              <w:spacing w:line="140" w:lineRule="atLeast"/>
              <w:jc w:val="right"/>
              <w:rPr>
                <w:rFonts w:cs="Arial"/>
                <w:color w:val="000000" w:themeColor="text1"/>
                <w:sz w:val="14"/>
                <w:szCs w:val="14"/>
              </w:rPr>
            </w:pPr>
            <w:r w:rsidRPr="00026B74">
              <w:rPr>
                <w:rFonts w:cs="Arial"/>
                <w:color w:val="000000" w:themeColor="text1"/>
                <w:sz w:val="14"/>
                <w:szCs w:val="14"/>
              </w:rPr>
              <w:t>of Chemical Engineering</w:t>
            </w:r>
          </w:p>
          <w:p w14:paraId="4F0CC5DE" w14:textId="47FDB2FC" w:rsidR="000A03B2" w:rsidRPr="00026B74" w:rsidRDefault="000D0268" w:rsidP="00CD5FE2">
            <w:pPr>
              <w:spacing w:line="140" w:lineRule="atLeast"/>
              <w:jc w:val="right"/>
              <w:rPr>
                <w:rFonts w:cs="Arial"/>
                <w:color w:val="000000" w:themeColor="text1"/>
                <w:sz w:val="13"/>
                <w:szCs w:val="13"/>
              </w:rPr>
            </w:pPr>
            <w:r w:rsidRPr="00026B74">
              <w:rPr>
                <w:rFonts w:cs="Arial"/>
                <w:color w:val="000000" w:themeColor="text1"/>
                <w:sz w:val="13"/>
                <w:szCs w:val="13"/>
              </w:rPr>
              <w:t>Online at www.cetjournal.it</w:t>
            </w:r>
          </w:p>
        </w:tc>
      </w:tr>
      <w:tr w:rsidR="00026B74" w:rsidRPr="00026B74" w14:paraId="2D1B7169" w14:textId="77777777" w:rsidTr="00DE264A">
        <w:trPr>
          <w:trHeight w:val="68"/>
          <w:jc w:val="center"/>
        </w:trPr>
        <w:tc>
          <w:tcPr>
            <w:tcW w:w="8789" w:type="dxa"/>
            <w:gridSpan w:val="2"/>
          </w:tcPr>
          <w:p w14:paraId="1D8DD3C9" w14:textId="61229B97" w:rsidR="00AA7D26" w:rsidRPr="00026B74" w:rsidRDefault="004A5E57" w:rsidP="004A5E57">
            <w:pPr>
              <w:ind w:left="-107"/>
              <w:outlineLvl w:val="2"/>
              <w:rPr>
                <w:rFonts w:ascii="Tahoma" w:hAnsi="Tahoma" w:cs="Tahoma"/>
                <w:bCs/>
                <w:color w:val="000000" w:themeColor="text1"/>
                <w:sz w:val="14"/>
                <w:szCs w:val="14"/>
                <w:lang w:val="it-IT" w:eastAsia="it-IT"/>
              </w:rPr>
            </w:pPr>
            <w:r w:rsidRPr="00026B74">
              <w:rPr>
                <w:rFonts w:ascii="Tahoma" w:hAnsi="Tahoma" w:cs="Tahoma"/>
                <w:iCs/>
                <w:color w:val="000000" w:themeColor="text1"/>
                <w:sz w:val="14"/>
                <w:szCs w:val="14"/>
                <w:lang w:val="it-IT" w:eastAsia="it-IT"/>
              </w:rPr>
              <w:t>Guest Editors:</w:t>
            </w:r>
            <w:r w:rsidRPr="00026B74">
              <w:rPr>
                <w:rFonts w:ascii="Tahoma" w:hAnsi="Tahoma" w:cs="Tahoma"/>
                <w:color w:val="000000" w:themeColor="text1"/>
                <w:sz w:val="14"/>
                <w:szCs w:val="14"/>
                <w:shd w:val="clear" w:color="auto" w:fill="FFFFFF"/>
                <w:lang w:val="it-IT"/>
              </w:rPr>
              <w:t xml:space="preserve"> </w:t>
            </w:r>
            <w:r w:rsidR="00EA3EF9" w:rsidRPr="00026B74">
              <w:rPr>
                <w:rFonts w:ascii="Tahoma" w:hAnsi="Tahoma" w:cs="Tahoma"/>
                <w:color w:val="000000" w:themeColor="text1"/>
                <w:sz w:val="14"/>
                <w:szCs w:val="14"/>
                <w:shd w:val="clear" w:color="auto" w:fill="FFFFFF"/>
                <w:lang w:val="it-IT"/>
              </w:rPr>
              <w:t xml:space="preserve">Leonardo Tognotti, </w:t>
            </w:r>
            <w:r w:rsidR="00EA3EF9" w:rsidRPr="00026B74">
              <w:rPr>
                <w:rFonts w:ascii="Tahoma" w:hAnsi="Tahoma" w:cs="Tahoma"/>
                <w:color w:val="000000" w:themeColor="text1"/>
                <w:sz w:val="14"/>
                <w:szCs w:val="14"/>
                <w:lang w:val="it-IT"/>
              </w:rPr>
              <w:t>Rubens Maciel Filho</w:t>
            </w:r>
            <w:r w:rsidR="00EA3EF9" w:rsidRPr="00026B74">
              <w:rPr>
                <w:rFonts w:ascii="Tahoma" w:hAnsi="Tahoma" w:cs="Tahoma"/>
                <w:color w:val="000000" w:themeColor="text1"/>
                <w:sz w:val="14"/>
                <w:szCs w:val="14"/>
                <w:shd w:val="clear" w:color="auto" w:fill="FFFFFF"/>
                <w:lang w:val="it-IT"/>
              </w:rPr>
              <w:t xml:space="preserve">, </w:t>
            </w:r>
            <w:r w:rsidR="00EA3EF9" w:rsidRPr="00026B74">
              <w:rPr>
                <w:rFonts w:ascii="Tahoma" w:hAnsi="Tahoma" w:cs="Tahoma"/>
                <w:color w:val="000000" w:themeColor="text1"/>
                <w:sz w:val="14"/>
                <w:szCs w:val="14"/>
                <w:lang w:val="it-IT"/>
              </w:rPr>
              <w:t>Viatcheslav Kafarov</w:t>
            </w:r>
          </w:p>
          <w:p w14:paraId="1B0F1814" w14:textId="710B7B96" w:rsidR="000A03B2" w:rsidRPr="00026B74" w:rsidRDefault="00AA7D26" w:rsidP="00AA7D26">
            <w:pPr>
              <w:tabs>
                <w:tab w:val="left" w:pos="-108"/>
              </w:tabs>
              <w:spacing w:line="140" w:lineRule="atLeast"/>
              <w:ind w:left="-107"/>
              <w:jc w:val="left"/>
              <w:rPr>
                <w:color w:val="000000" w:themeColor="text1"/>
              </w:rPr>
            </w:pPr>
            <w:r w:rsidRPr="00026B74">
              <w:rPr>
                <w:rFonts w:ascii="Tahoma" w:hAnsi="Tahoma" w:cs="Tahoma"/>
                <w:iCs/>
                <w:color w:val="000000" w:themeColor="text1"/>
                <w:sz w:val="14"/>
                <w:szCs w:val="14"/>
                <w:lang w:eastAsia="it-IT"/>
              </w:rPr>
              <w:t>Copyright © 202</w:t>
            </w:r>
            <w:r w:rsidR="00005884" w:rsidRPr="00026B74">
              <w:rPr>
                <w:rFonts w:ascii="Tahoma" w:hAnsi="Tahoma" w:cs="Tahoma"/>
                <w:iCs/>
                <w:color w:val="000000" w:themeColor="text1"/>
                <w:sz w:val="14"/>
                <w:szCs w:val="14"/>
                <w:lang w:eastAsia="it-IT"/>
              </w:rPr>
              <w:t>6</w:t>
            </w:r>
            <w:r w:rsidRPr="00026B74">
              <w:rPr>
                <w:rFonts w:ascii="Tahoma" w:hAnsi="Tahoma" w:cs="Tahoma"/>
                <w:iCs/>
                <w:color w:val="000000" w:themeColor="text1"/>
                <w:sz w:val="14"/>
                <w:szCs w:val="14"/>
                <w:lang w:eastAsia="it-IT"/>
              </w:rPr>
              <w:t>, AIDIC Servizi S.r.l.</w:t>
            </w:r>
            <w:r w:rsidRPr="00026B74">
              <w:rPr>
                <w:rFonts w:ascii="Tahoma" w:hAnsi="Tahoma" w:cs="Tahoma"/>
                <w:iCs/>
                <w:color w:val="000000" w:themeColor="text1"/>
                <w:sz w:val="14"/>
                <w:szCs w:val="14"/>
                <w:lang w:eastAsia="it-IT"/>
              </w:rPr>
              <w:br/>
            </w:r>
            <w:r w:rsidRPr="00026B74">
              <w:rPr>
                <w:rFonts w:ascii="Tahoma" w:hAnsi="Tahoma" w:cs="Tahoma"/>
                <w:b/>
                <w:iCs/>
                <w:color w:val="000000" w:themeColor="text1"/>
                <w:sz w:val="14"/>
                <w:szCs w:val="14"/>
                <w:lang w:eastAsia="it-IT"/>
              </w:rPr>
              <w:t>ISBN</w:t>
            </w:r>
            <w:r w:rsidRPr="00026B74">
              <w:rPr>
                <w:rFonts w:ascii="Tahoma" w:hAnsi="Tahoma" w:cs="Tahoma"/>
                <w:iCs/>
                <w:color w:val="000000" w:themeColor="text1"/>
                <w:sz w:val="14"/>
                <w:szCs w:val="14"/>
                <w:lang w:eastAsia="it-IT"/>
              </w:rPr>
              <w:t xml:space="preserve"> </w:t>
            </w:r>
            <w:r w:rsidR="00D2582C" w:rsidRPr="00026B74">
              <w:rPr>
                <w:rFonts w:ascii="Tahoma" w:hAnsi="Tahoma" w:cs="Tahoma"/>
                <w:color w:val="000000" w:themeColor="text1"/>
                <w:sz w:val="14"/>
                <w:szCs w:val="14"/>
              </w:rPr>
              <w:t>979-12-81206-</w:t>
            </w:r>
            <w:r w:rsidR="00005884" w:rsidRPr="00026B74">
              <w:rPr>
                <w:rFonts w:ascii="Tahoma" w:hAnsi="Tahoma" w:cs="Tahoma"/>
                <w:color w:val="000000" w:themeColor="text1"/>
                <w:sz w:val="14"/>
                <w:szCs w:val="14"/>
              </w:rPr>
              <w:t>xx</w:t>
            </w:r>
            <w:r w:rsidR="009041F8" w:rsidRPr="00026B74">
              <w:rPr>
                <w:rFonts w:ascii="Tahoma" w:hAnsi="Tahoma" w:cs="Tahoma"/>
                <w:color w:val="000000" w:themeColor="text1"/>
                <w:sz w:val="14"/>
                <w:szCs w:val="14"/>
              </w:rPr>
              <w:t>-</w:t>
            </w:r>
            <w:r w:rsidR="00005884" w:rsidRPr="00026B74">
              <w:rPr>
                <w:rFonts w:ascii="Tahoma" w:hAnsi="Tahoma" w:cs="Tahoma"/>
                <w:color w:val="000000" w:themeColor="text1"/>
                <w:sz w:val="14"/>
                <w:szCs w:val="14"/>
              </w:rPr>
              <w:t>x</w:t>
            </w:r>
            <w:r w:rsidRPr="00026B74">
              <w:rPr>
                <w:rFonts w:ascii="Tahoma" w:hAnsi="Tahoma" w:cs="Tahoma"/>
                <w:iCs/>
                <w:color w:val="000000" w:themeColor="text1"/>
                <w:sz w:val="14"/>
                <w:szCs w:val="14"/>
                <w:lang w:eastAsia="it-IT"/>
              </w:rPr>
              <w:t xml:space="preserve">; </w:t>
            </w:r>
            <w:r w:rsidRPr="00026B74">
              <w:rPr>
                <w:rFonts w:ascii="Tahoma" w:hAnsi="Tahoma" w:cs="Tahoma"/>
                <w:b/>
                <w:iCs/>
                <w:color w:val="000000" w:themeColor="text1"/>
                <w:sz w:val="14"/>
                <w:szCs w:val="14"/>
                <w:lang w:eastAsia="it-IT"/>
              </w:rPr>
              <w:t>ISSN</w:t>
            </w:r>
            <w:r w:rsidRPr="00026B74">
              <w:rPr>
                <w:rFonts w:ascii="Tahoma" w:hAnsi="Tahoma" w:cs="Tahoma"/>
                <w:iCs/>
                <w:color w:val="000000" w:themeColor="text1"/>
                <w:sz w:val="14"/>
                <w:szCs w:val="14"/>
                <w:lang w:eastAsia="it-IT"/>
              </w:rPr>
              <w:t xml:space="preserve"> 2283-9216</w:t>
            </w:r>
          </w:p>
        </w:tc>
      </w:tr>
    </w:tbl>
    <w:bookmarkEnd w:id="0"/>
    <w:p w14:paraId="2E667253" w14:textId="3B6ACC8F" w:rsidR="00E978D0" w:rsidRPr="00026B74" w:rsidRDefault="00F70D33" w:rsidP="00E978D0">
      <w:pPr>
        <w:pStyle w:val="CETTitle"/>
        <w:rPr>
          <w:color w:val="000000" w:themeColor="text1"/>
        </w:rPr>
      </w:pPr>
      <w:r w:rsidRPr="00026B74">
        <w:rPr>
          <w:color w:val="000000" w:themeColor="text1"/>
        </w:rPr>
        <w:t>Consequential Life Cycle Analysis of a Multi-Product Biorefinery from Hass Avocado Seeds in the Colombian Amazon Region: System Expansion Assessment, Monte Carlo, and Sensitivity Analysis</w:t>
      </w:r>
    </w:p>
    <w:p w14:paraId="0488FED2" w14:textId="73B7BB67" w:rsidR="00B57E6F" w:rsidRPr="00026B74" w:rsidRDefault="00C76212" w:rsidP="00B57E6F">
      <w:pPr>
        <w:pStyle w:val="CETAuthors"/>
        <w:rPr>
          <w:color w:val="000000" w:themeColor="text1"/>
          <w:lang w:val="es-PE"/>
        </w:rPr>
      </w:pPr>
      <w:r w:rsidRPr="00026B74">
        <w:rPr>
          <w:color w:val="000000" w:themeColor="text1"/>
          <w:lang w:val="es-PE"/>
        </w:rPr>
        <w:t>Anibal Alviz-Meza</w:t>
      </w:r>
      <w:r w:rsidRPr="00026B74">
        <w:rPr>
          <w:color w:val="000000" w:themeColor="text1"/>
          <w:vertAlign w:val="superscript"/>
          <w:lang w:val="es-PE"/>
        </w:rPr>
        <w:t>*</w:t>
      </w:r>
      <w:r w:rsidR="00FB3DC7" w:rsidRPr="00026B74">
        <w:rPr>
          <w:color w:val="000000" w:themeColor="text1"/>
          <w:lang w:val="es-PE"/>
        </w:rPr>
        <w:t xml:space="preserve"> and </w:t>
      </w:r>
      <w:r w:rsidR="00C97B29" w:rsidRPr="00026B74">
        <w:rPr>
          <w:color w:val="000000" w:themeColor="text1"/>
          <w:lang w:val="es-PE"/>
        </w:rPr>
        <w:t>Ángel</w:t>
      </w:r>
      <w:r w:rsidRPr="00026B74">
        <w:rPr>
          <w:color w:val="000000" w:themeColor="text1"/>
          <w:lang w:val="es-PE"/>
        </w:rPr>
        <w:t xml:space="preserve"> </w:t>
      </w:r>
      <w:r w:rsidR="00895E94" w:rsidRPr="00026B74">
        <w:rPr>
          <w:color w:val="000000" w:themeColor="text1"/>
          <w:lang w:val="es-PE"/>
        </w:rPr>
        <w:t>Darío</w:t>
      </w:r>
      <w:r w:rsidRPr="00026B74">
        <w:rPr>
          <w:color w:val="000000" w:themeColor="text1"/>
          <w:lang w:val="es-PE"/>
        </w:rPr>
        <w:t xml:space="preserve"> </w:t>
      </w:r>
      <w:r w:rsidR="00C97B29" w:rsidRPr="00026B74">
        <w:rPr>
          <w:color w:val="000000" w:themeColor="text1"/>
          <w:lang w:val="es-PE"/>
        </w:rPr>
        <w:t>González-Delgado</w:t>
      </w:r>
    </w:p>
    <w:p w14:paraId="1B06C01A" w14:textId="3E06C222" w:rsidR="004259C5" w:rsidRPr="00026B74" w:rsidRDefault="004259C5" w:rsidP="004259C5">
      <w:pPr>
        <w:pStyle w:val="CETAddress"/>
        <w:rPr>
          <w:color w:val="000000" w:themeColor="text1"/>
        </w:rPr>
      </w:pPr>
      <w:r w:rsidRPr="00026B74">
        <w:rPr>
          <w:color w:val="000000" w:themeColor="text1"/>
        </w:rPr>
        <w:t>Chemical Engineering Department, Nanomaterials and Computer-Aided Process Engineering Research Group (NIPAC), Universidad de Cartagena, Cartagena 130014, Bolívar, Colombia</w:t>
      </w:r>
    </w:p>
    <w:p w14:paraId="73F1267A" w14:textId="43C08C9A" w:rsidR="00B57E6F" w:rsidRPr="00026B74" w:rsidRDefault="004259C5" w:rsidP="004259C5">
      <w:pPr>
        <w:pStyle w:val="CETAddress"/>
        <w:rPr>
          <w:color w:val="000000" w:themeColor="text1"/>
          <w:lang w:val="fr-FR"/>
        </w:rPr>
      </w:pPr>
      <w:hyperlink r:id="rId10" w:history="1">
        <w:r w:rsidRPr="00026B74">
          <w:rPr>
            <w:rStyle w:val="Collegamentoipertestuale"/>
            <w:color w:val="000000" w:themeColor="text1"/>
            <w:lang w:val="fr-FR"/>
          </w:rPr>
          <w:t>aalvizm1@unicartagena.edu.co</w:t>
        </w:r>
      </w:hyperlink>
    </w:p>
    <w:p w14:paraId="0A95974D" w14:textId="77777777" w:rsidR="004259C5" w:rsidRPr="00026B74" w:rsidRDefault="004259C5" w:rsidP="004259C5">
      <w:pPr>
        <w:pStyle w:val="CETAddress"/>
        <w:rPr>
          <w:color w:val="000000" w:themeColor="text1"/>
          <w:lang w:val="fr-FR"/>
        </w:rPr>
      </w:pPr>
    </w:p>
    <w:p w14:paraId="37A61FCE" w14:textId="539D4A5D" w:rsidR="00DA24C6" w:rsidRPr="00026B74" w:rsidRDefault="00A42E1B" w:rsidP="00FB3DC7">
      <w:pPr>
        <w:pStyle w:val="CETBodytext"/>
        <w:rPr>
          <w:color w:val="000000" w:themeColor="text1"/>
        </w:rPr>
      </w:pPr>
      <w:r w:rsidRPr="00026B74">
        <w:rPr>
          <w:color w:val="000000" w:themeColor="text1"/>
          <w:lang w:val="en-GB"/>
        </w:rPr>
        <w:t xml:space="preserve">This study assesses a cascade biorefinery that converts Hass avocado seeds from the Colombian Amazon into three co-products: starch, biodegradable biofilms, and a bioinsecticide, employing a gate-to-gate consequential life cycle assessment. The functional unit is defined as 1000 kg of processed seed, supported by Aspen Plus v12.0 simulations for the life-cycle inventory. System expansion, in accordance with ISO 14044, accounts for the avoided production of market substitutes and addresses </w:t>
      </w:r>
      <w:r w:rsidR="00D1357F" w:rsidRPr="00026B74">
        <w:rPr>
          <w:color w:val="000000" w:themeColor="text1"/>
          <w:lang w:val="en-GB"/>
        </w:rPr>
        <w:t>the multifunctionality of co-products</w:t>
      </w:r>
      <w:r w:rsidRPr="00026B74">
        <w:rPr>
          <w:rFonts w:cs="Arial"/>
          <w:color w:val="000000" w:themeColor="text1"/>
          <w:lang w:val="en-GB"/>
        </w:rPr>
        <w:t xml:space="preserve">. Findings suggest that the biorefinery can provide net benefits relative to the sanitary landfill baseline </w:t>
      </w:r>
      <w:r w:rsidR="003C307A" w:rsidRPr="00026B74">
        <w:rPr>
          <w:rFonts w:cs="Arial"/>
          <w:color w:val="000000" w:themeColor="text1"/>
          <w:lang w:val="en-GB"/>
        </w:rPr>
        <w:t>across climate change</w:t>
      </w:r>
      <w:r w:rsidR="00D30EE3" w:rsidRPr="00026B74">
        <w:rPr>
          <w:rFonts w:cs="Arial"/>
          <w:color w:val="000000" w:themeColor="text1"/>
          <w:lang w:val="en-GB"/>
        </w:rPr>
        <w:t xml:space="preserve"> </w:t>
      </w:r>
      <w:r w:rsidR="00D30EE3" w:rsidRPr="00DC0CD1">
        <w:rPr>
          <w:rFonts w:cs="Arial"/>
          <w:color w:val="000000" w:themeColor="text1"/>
          <w:highlight w:val="yellow"/>
          <w:lang w:val="en-GB"/>
        </w:rPr>
        <w:t>(</w:t>
      </w:r>
      <w:r w:rsidR="00D30EE3" w:rsidRPr="00DC0CD1">
        <w:rPr>
          <w:rFonts w:cs="Arial"/>
          <w:color w:val="000000" w:themeColor="text1"/>
          <w:highlight w:val="yellow"/>
        </w:rPr>
        <w:t>−</w:t>
      </w:r>
      <w:r w:rsidR="002753BD" w:rsidRPr="00DC0CD1">
        <w:rPr>
          <w:rFonts w:cs="Arial"/>
          <w:color w:val="000000" w:themeColor="text1"/>
          <w:highlight w:val="yellow"/>
        </w:rPr>
        <w:t>474</w:t>
      </w:r>
      <w:r w:rsidR="00D30EE3" w:rsidRPr="00DC0CD1">
        <w:rPr>
          <w:rFonts w:cs="Arial"/>
          <w:color w:val="000000" w:themeColor="text1"/>
          <w:highlight w:val="yellow"/>
        </w:rPr>
        <w:t xml:space="preserve"> kg CO</w:t>
      </w:r>
      <w:r w:rsidR="00D30EE3" w:rsidRPr="00DC0CD1">
        <w:rPr>
          <w:rFonts w:ascii="Cambria Math" w:hAnsi="Cambria Math" w:cs="Cambria Math"/>
          <w:color w:val="000000" w:themeColor="text1"/>
          <w:highlight w:val="yellow"/>
        </w:rPr>
        <w:t>₂</w:t>
      </w:r>
      <w:r w:rsidR="00D30EE3" w:rsidRPr="00DC0CD1">
        <w:rPr>
          <w:rFonts w:cs="Arial"/>
          <w:color w:val="000000" w:themeColor="text1"/>
          <w:highlight w:val="yellow"/>
        </w:rPr>
        <w:t xml:space="preserve">-eq/t; </w:t>
      </w:r>
      <w:r w:rsidR="002753BD" w:rsidRPr="00DC0CD1">
        <w:rPr>
          <w:rFonts w:cs="Arial"/>
          <w:color w:val="000000" w:themeColor="text1"/>
          <w:highlight w:val="yellow"/>
        </w:rPr>
        <w:t>P5–P95: −3510 to -778 kg CO</w:t>
      </w:r>
      <w:r w:rsidR="002753BD" w:rsidRPr="00DC0CD1">
        <w:rPr>
          <w:rFonts w:ascii="Cambria Math" w:hAnsi="Cambria Math" w:cs="Cambria Math"/>
          <w:color w:val="000000" w:themeColor="text1"/>
          <w:highlight w:val="yellow"/>
        </w:rPr>
        <w:t>₂</w:t>
      </w:r>
      <w:r w:rsidR="002753BD" w:rsidRPr="00DC0CD1">
        <w:rPr>
          <w:rFonts w:cs="Arial"/>
          <w:color w:val="000000" w:themeColor="text1"/>
          <w:highlight w:val="yellow"/>
        </w:rPr>
        <w:t>-eq/t</w:t>
      </w:r>
      <w:r w:rsidR="00D30EE3" w:rsidRPr="00026B74">
        <w:rPr>
          <w:rFonts w:cs="Arial"/>
          <w:color w:val="000000" w:themeColor="text1"/>
        </w:rPr>
        <w:t>)</w:t>
      </w:r>
      <w:r w:rsidR="003C307A" w:rsidRPr="00026B74">
        <w:rPr>
          <w:rFonts w:cs="Arial"/>
          <w:color w:val="000000" w:themeColor="text1"/>
          <w:lang w:val="en-GB"/>
        </w:rPr>
        <w:t xml:space="preserve"> and </w:t>
      </w:r>
      <w:r w:rsidR="00D30EE3" w:rsidRPr="00026B74">
        <w:rPr>
          <w:rFonts w:cs="Arial"/>
          <w:color w:val="000000" w:themeColor="text1"/>
          <w:lang w:val="en-GB"/>
        </w:rPr>
        <w:t>other</w:t>
      </w:r>
      <w:r w:rsidR="003C307A" w:rsidRPr="00026B74">
        <w:rPr>
          <w:rFonts w:cs="Arial"/>
          <w:color w:val="000000" w:themeColor="text1"/>
          <w:lang w:val="en-GB"/>
        </w:rPr>
        <w:t xml:space="preserve"> m</w:t>
      </w:r>
      <w:r w:rsidR="003C307A" w:rsidRPr="00026B74">
        <w:rPr>
          <w:color w:val="000000" w:themeColor="text1"/>
          <w:lang w:val="en-GB"/>
        </w:rPr>
        <w:t>idpoint categories; however, a Monte Carlo uncertainty analysis indicates sensitivity in the climate change results, particularly with respect to</w:t>
      </w:r>
      <w:r w:rsidRPr="00026B74">
        <w:rPr>
          <w:color w:val="000000" w:themeColor="text1"/>
          <w:lang w:val="en-GB"/>
        </w:rPr>
        <w:t xml:space="preserve"> pesticide substitution levels.</w:t>
      </w:r>
      <w:r w:rsidR="00AE79D8" w:rsidRPr="00026B74">
        <w:rPr>
          <w:color w:val="000000" w:themeColor="text1"/>
          <w:lang w:val="en-GB"/>
        </w:rPr>
        <w:t xml:space="preserve"> </w:t>
      </w:r>
      <w:r w:rsidRPr="00026B74">
        <w:rPr>
          <w:color w:val="000000" w:themeColor="text1"/>
          <w:lang w:val="en-GB"/>
        </w:rPr>
        <w:t xml:space="preserve">Hotspot and scenario analyses identify materials, energy consumption, and waste management as critical factors for environmental enhancements. Overall, this research provides a quantitative, uncertainty-aware foundation for benchmarking avocado seed </w:t>
      </w:r>
      <w:proofErr w:type="spellStart"/>
      <w:r w:rsidRPr="00026B74">
        <w:rPr>
          <w:color w:val="000000" w:themeColor="text1"/>
          <w:lang w:val="en-GB"/>
        </w:rPr>
        <w:t>valorization</w:t>
      </w:r>
      <w:proofErr w:type="spellEnd"/>
      <w:r w:rsidRPr="00026B74">
        <w:rPr>
          <w:color w:val="000000" w:themeColor="text1"/>
          <w:lang w:val="en-GB"/>
        </w:rPr>
        <w:t xml:space="preserve"> against conventional disposal and alternative waste management strategies.</w:t>
      </w:r>
    </w:p>
    <w:p w14:paraId="476B2F2E" w14:textId="77777777" w:rsidR="00600535" w:rsidRPr="00026B74" w:rsidRDefault="00600535" w:rsidP="00600535">
      <w:pPr>
        <w:pStyle w:val="CETHeading1"/>
        <w:rPr>
          <w:color w:val="000000" w:themeColor="text1"/>
          <w:lang w:val="en-GB"/>
        </w:rPr>
      </w:pPr>
      <w:r w:rsidRPr="00026B74">
        <w:rPr>
          <w:color w:val="000000" w:themeColor="text1"/>
          <w:lang w:val="en-GB"/>
        </w:rPr>
        <w:t>Introduction</w:t>
      </w:r>
    </w:p>
    <w:p w14:paraId="2B429823" w14:textId="1268D664" w:rsidR="00C94916" w:rsidRPr="00026B74" w:rsidRDefault="000D475D" w:rsidP="00600535">
      <w:pPr>
        <w:pStyle w:val="CETBodytext"/>
        <w:rPr>
          <w:color w:val="000000" w:themeColor="text1"/>
          <w:lang w:val="en-GB"/>
        </w:rPr>
      </w:pPr>
      <w:r w:rsidRPr="00026B74">
        <w:rPr>
          <w:color w:val="000000" w:themeColor="text1"/>
          <w:lang w:val="en-GB"/>
        </w:rPr>
        <w:t xml:space="preserve">The rapid expansion of avocado consumption and </w:t>
      </w:r>
      <w:r w:rsidR="00D30EE3" w:rsidRPr="00026B74">
        <w:rPr>
          <w:color w:val="000000" w:themeColor="text1"/>
          <w:lang w:val="en-GB"/>
        </w:rPr>
        <w:t>industrialization is creating opportunities to add value to the avocado</w:t>
      </w:r>
      <w:r w:rsidRPr="00026B74">
        <w:rPr>
          <w:color w:val="000000" w:themeColor="text1"/>
          <w:lang w:val="en-GB"/>
        </w:rPr>
        <w:t xml:space="preserve"> production chain. Global production more than tripled between 2000 and 2021, while the Hass avocado has become the preferred variety among consumers</w:t>
      </w:r>
      <w:r w:rsidR="00BD44E9" w:rsidRPr="00026B74">
        <w:rPr>
          <w:color w:val="000000" w:themeColor="text1"/>
          <w:lang w:val="en-GB"/>
        </w:rPr>
        <w:t xml:space="preserve"> </w:t>
      </w:r>
      <w:r w:rsidR="00BD44E9" w:rsidRPr="00026B74">
        <w:rPr>
          <w:color w:val="000000" w:themeColor="text1"/>
          <w:lang w:val="en-GB"/>
        </w:rPr>
        <w:fldChar w:fldCharType="begin" w:fldLock="1"/>
      </w:r>
      <w:r w:rsidR="00BD44E9" w:rsidRPr="00026B74">
        <w:rPr>
          <w:color w:val="000000" w:themeColor="text1"/>
          <w:lang w:val="en-GB"/>
        </w:rPr>
        <w:instrText>ADDIN CSL_CITATION {"citationItems":[{"id":"ITEM-1","itemData":{"DOI":"10.32473/edis-fe1028-2017","author":[{"dropping-particle":"","family":"Hammami","given":"A. Malek","non-dropping-particle":"","parse-names":false,"suffix":""},{"dropping-particle":"","family":"Kuan-Ming","given":"Huang","non-dropping-particle":"","parse-names":false,"suffix":""},{"dropping-particle":"","family":"Guan","given":"Zhengfei","non-dropping-particle":"","parse-names":false,"suffix":""}],"container-title":"EDIS","id":"ITEM-1","issue":"1","issued":{"date-parts":[["2024","8","15"]]},"publisher":"University of Florida George A Smathers Libraries","title":"An Overview of the Avocado Market in the United States","type":"article-journal"},"uris":["http://www.mendeley.com/documents/?uuid=8c0a4cfe-5b1a-307d-b5b4-edbca3d61f15"]}],"mendeley":{"formattedCitation":"(Hammami et al., 2024)","plainTextFormattedCitation":"(Hammami et al., 2024)","previouslyFormattedCitation":"(Hammami et al., 2024)"},"properties":{"noteIndex":0},"schema":"https://github.com/citation-style-language/schema/raw/master/csl-citation.json"}</w:instrText>
      </w:r>
      <w:r w:rsidR="00BD44E9" w:rsidRPr="00026B74">
        <w:rPr>
          <w:color w:val="000000" w:themeColor="text1"/>
          <w:lang w:val="en-GB"/>
        </w:rPr>
        <w:fldChar w:fldCharType="separate"/>
      </w:r>
      <w:r w:rsidR="00BD44E9" w:rsidRPr="00026B74">
        <w:rPr>
          <w:noProof/>
          <w:color w:val="000000" w:themeColor="text1"/>
          <w:lang w:val="en-GB"/>
        </w:rPr>
        <w:t>(Hammami et al., 2024)</w:t>
      </w:r>
      <w:r w:rsidR="00BD44E9" w:rsidRPr="00026B74">
        <w:rPr>
          <w:color w:val="000000" w:themeColor="text1"/>
          <w:lang w:val="en-GB"/>
        </w:rPr>
        <w:fldChar w:fldCharType="end"/>
      </w:r>
      <w:r w:rsidRPr="00026B74">
        <w:rPr>
          <w:color w:val="000000" w:themeColor="text1"/>
          <w:lang w:val="en-GB"/>
        </w:rPr>
        <w:t xml:space="preserve">. This growth exacerbates a typical problem in the bioeconomy: it generates more biomass waste. In avocados, the seed can account for approximately 20% of the fruit's weight and, together with the peel, up to 30% of the total weight, generating considerable solid waste streams that, if not </w:t>
      </w:r>
      <w:proofErr w:type="spellStart"/>
      <w:r w:rsidR="00026B74" w:rsidRPr="00026B74">
        <w:rPr>
          <w:color w:val="000000" w:themeColor="text1"/>
          <w:lang w:val="en-GB"/>
        </w:rPr>
        <w:t>valorized</w:t>
      </w:r>
      <w:proofErr w:type="spellEnd"/>
      <w:r w:rsidRPr="00026B74">
        <w:rPr>
          <w:color w:val="000000" w:themeColor="text1"/>
          <w:lang w:val="en-GB"/>
        </w:rPr>
        <w:t>, end up in</w:t>
      </w:r>
      <w:r w:rsidR="00EE26E9" w:rsidRPr="00026B74">
        <w:rPr>
          <w:color w:val="000000" w:themeColor="text1"/>
          <w:lang w:val="en-GB"/>
        </w:rPr>
        <w:t xml:space="preserve"> sanitary </w:t>
      </w:r>
      <w:r w:rsidRPr="00026B74">
        <w:rPr>
          <w:color w:val="000000" w:themeColor="text1"/>
          <w:lang w:val="en-GB"/>
        </w:rPr>
        <w:t>landfills, thereby contributing to pollution</w:t>
      </w:r>
      <w:r w:rsidR="00BD44E9" w:rsidRPr="00026B74">
        <w:rPr>
          <w:color w:val="000000" w:themeColor="text1"/>
          <w:lang w:val="en-GB"/>
        </w:rPr>
        <w:t xml:space="preserve"> </w:t>
      </w:r>
      <w:r w:rsidR="00BD44E9" w:rsidRPr="00026B74">
        <w:rPr>
          <w:color w:val="000000" w:themeColor="text1"/>
          <w:lang w:val="en-GB"/>
        </w:rPr>
        <w:fldChar w:fldCharType="begin" w:fldLock="1"/>
      </w:r>
      <w:r w:rsidR="00733EFA" w:rsidRPr="00026B74">
        <w:rPr>
          <w:color w:val="000000" w:themeColor="text1"/>
          <w:lang w:val="en-GB"/>
        </w:rPr>
        <w:instrText>ADDIN CSL_CITATION {"citationItems":[{"id":"ITEM-1","itemData":{"DOI":"10.3390/antiox14091032","ISSN":"20763921","abstract":"The growing emphasis on sustainability and circular economy strategies has driven increasing interest in the valorization of agro-industrial by-products. Among these, the peel and seed of avocado (Persea americana), typically discarded during processing, have emerged as promising sources of bioactive compounds, particularly phenolic constituents with recognized antioxidant capacity. This review critically examines the current scientific literature on the phytochemical composition, antioxidant activity, and potential health benefits associated with avocado peel and seed. In addition, it explores recent technological advances in extraction methods and highlights the applicability of these by-products in the formulation of functional foods, nutraceuticals, and other health-related products. Challenges related to safety, bioavailability, and regulatory aspects are also discussed. By consolidating available evidence, this work supports the potential of avocado peel and seed as valuable functional ingredients and contributes to sustainable innovation in the food and health industries.","author":[{"dropping-particle":"","family":"Nascimento","given":"Amanda Priscila Silva","non-dropping-particle":"","parse-names":false,"suffix":""},{"dropping-particle":"","family":"Duarte","given":"Maria Elita Martins","non-dropping-particle":"","parse-names":false,"suffix":""},{"dropping-particle":"","family":"Rocha","given":"Ana Paula Trindade","non-dropping-particle":"","parse-names":false,"suffix":""},{"dropping-particle":"","family":"Barros","given":"Ana Novo","non-dropping-particle":"","parse-names":false,"suffix":""}],"container-title":"Antioxidants 2025, Vol. 14, Page 1032","id":"ITEM-1","issue":"9","issued":{"date-parts":[["2025","8","22"]]},"page":"1032","publisher":"Multidisciplinary Digital Publishing Institute","title":"Valorization of Avocado (Persea americana) Peel and Seed: Functional Potential for Food and Health Applications","type":"article-journal","volume":"14"},"uris":["http://www.mendeley.com/documents/?uuid=9b10108a-a5c1-383e-aabb-089a3e788e24"]}],"mendeley":{"formattedCitation":"(Nascimento et al., 2025)","plainTextFormattedCitation":"(Nascimento et al., 2025)","previouslyFormattedCitation":"(Nascimento et al., 2025)"},"properties":{"noteIndex":0},"schema":"https://github.com/citation-style-language/schema/raw/master/csl-citation.json"}</w:instrText>
      </w:r>
      <w:r w:rsidR="00BD44E9" w:rsidRPr="00026B74">
        <w:rPr>
          <w:color w:val="000000" w:themeColor="text1"/>
          <w:lang w:val="en-GB"/>
        </w:rPr>
        <w:fldChar w:fldCharType="separate"/>
      </w:r>
      <w:r w:rsidR="00BD44E9" w:rsidRPr="00026B74">
        <w:rPr>
          <w:noProof/>
          <w:color w:val="000000" w:themeColor="text1"/>
          <w:lang w:val="en-GB"/>
        </w:rPr>
        <w:t>(Nascimento et al., 2025)</w:t>
      </w:r>
      <w:r w:rsidR="00BD44E9" w:rsidRPr="00026B74">
        <w:rPr>
          <w:color w:val="000000" w:themeColor="text1"/>
          <w:lang w:val="en-GB"/>
        </w:rPr>
        <w:fldChar w:fldCharType="end"/>
      </w:r>
      <w:r w:rsidRPr="00026B74">
        <w:rPr>
          <w:color w:val="000000" w:themeColor="text1"/>
          <w:lang w:val="en-GB"/>
        </w:rPr>
        <w:t xml:space="preserve">. Within a circular bioeconomy framework, cascade biorefineries are attractive because they seek to extract multiple valuable products from the same resource; however, precisely because of this multi-productivity and the interdependencies between processes, environmental assessment requires robust life cycle assessment </w:t>
      </w:r>
      <w:r w:rsidR="00654E78" w:rsidRPr="00026B74">
        <w:rPr>
          <w:color w:val="000000" w:themeColor="text1"/>
          <w:lang w:val="en-GB"/>
        </w:rPr>
        <w:t xml:space="preserve">(LCA) </w:t>
      </w:r>
      <w:r w:rsidRPr="00026B74">
        <w:rPr>
          <w:color w:val="000000" w:themeColor="text1"/>
          <w:lang w:val="en-GB"/>
        </w:rPr>
        <w:t>frameworks that allow for the evaluation of scenarios or technological alternatives with a lower environmental impact</w:t>
      </w:r>
      <w:r w:rsidR="008624C2" w:rsidRPr="00026B74">
        <w:rPr>
          <w:color w:val="000000" w:themeColor="text1"/>
          <w:lang w:val="en-GB"/>
        </w:rPr>
        <w:t>.</w:t>
      </w:r>
      <w:r w:rsidR="005F44C0" w:rsidRPr="00026B74">
        <w:rPr>
          <w:color w:val="000000" w:themeColor="text1"/>
          <w:lang w:val="en-GB"/>
        </w:rPr>
        <w:t xml:space="preserve"> </w:t>
      </w:r>
      <w:r w:rsidR="00654E78" w:rsidRPr="00026B74">
        <w:rPr>
          <w:color w:val="000000" w:themeColor="text1"/>
          <w:lang w:val="en-GB"/>
        </w:rPr>
        <w:t xml:space="preserve">Current research on avocado waste LCA primarily focuses on exploring </w:t>
      </w:r>
      <w:proofErr w:type="spellStart"/>
      <w:r w:rsidR="00654E78" w:rsidRPr="00026B74">
        <w:rPr>
          <w:color w:val="000000" w:themeColor="text1"/>
          <w:lang w:val="en-GB"/>
        </w:rPr>
        <w:t>valorization</w:t>
      </w:r>
      <w:proofErr w:type="spellEnd"/>
      <w:r w:rsidR="00654E78" w:rsidRPr="00026B74">
        <w:rPr>
          <w:color w:val="000000" w:themeColor="text1"/>
          <w:lang w:val="en-GB"/>
        </w:rPr>
        <w:t xml:space="preserve"> options across the entire value chain and comparing different transformation methods, such as producing guacamole, oil, and bioactive compounds, </w:t>
      </w:r>
      <w:r w:rsidR="0025076A" w:rsidRPr="00026B74">
        <w:rPr>
          <w:color w:val="000000" w:themeColor="text1"/>
          <w:lang w:val="en-GB"/>
        </w:rPr>
        <w:t>as well as</w:t>
      </w:r>
      <w:r w:rsidR="00654E78" w:rsidRPr="00026B74">
        <w:rPr>
          <w:color w:val="000000" w:themeColor="text1"/>
          <w:lang w:val="en-GB"/>
        </w:rPr>
        <w:t xml:space="preserve"> management strategies, including fertilizers and biogas. These studies aim to identify hotspots and optimal routes using common midpoint methodologies. A key example is García-Vallejo et al. </w:t>
      </w:r>
      <w:r w:rsidR="00733EFA" w:rsidRPr="00026B74">
        <w:rPr>
          <w:color w:val="000000" w:themeColor="text1"/>
          <w:lang w:val="en-GB"/>
        </w:rPr>
        <w:fldChar w:fldCharType="begin" w:fldLock="1"/>
      </w:r>
      <w:r w:rsidR="00F30D05" w:rsidRPr="00026B74">
        <w:rPr>
          <w:color w:val="000000" w:themeColor="text1"/>
          <w:lang w:val="en-GB"/>
        </w:rPr>
        <w:instrText>ADDIN CSL_CITATION {"citationItems":[{"id":"ITEM-1","itemData":{"DOI":"10.3390/agronomy13092229","ISSN":"20734395","abstract":"This work evaluates the sustainability of small-scale biorefineries as a potential enterprise alternative to be introduced in rural areas based on experimental and simulation data. Four scenarios were evaluated: the first scenario involves the production of guacamole, the second involves the production of animal feed, and the third and fourth scenarios involve the extraction of bioactive compounds and the production of avocado oil or animal feed, respectively. In addition, all scenarios produce biogas and fertilizer. Each of the scenarios were evaluated considering the technical, economic, environmental, and social aspects. As a main result, the first scenario showed the lowest operating and investment costs, as well as the lowest economic profitability (profit margin 35%). On the other hand, the third and fourth scenarios present the highest investment and operating expenses (OpEx USD 6.2 million per year and CapEx USD 1.0 million), but their profit margins are in the 60–70% range. Furthermore, a life-cycle assessment (LCA) was carried out and allows inferring that the transformer link presents the highest environmental impact of the entire value chain and that the carbon footprint for all scenarios ranges between 1.01–2.41 kg (Formula presented.) eq per kg avocado. Similarly, the social impact methodology shows that the proposed scenarios do not present any social risk. Thus, the biorefinery for animal feed, bioactive compounds, biogas, and fertilizer was selected as the best option to be implemented in Caldas.","author":[{"dropping-particle":"","family":"Garcia-Vallejo","given":"Maria Camila","non-dropping-particle":"","parse-names":false,"suffix":""},{"dropping-particle":"","family":"Agudelo Patiño","given":"Tatiana","non-dropping-particle":"","parse-names":false,"suffix":""},{"dropping-particle":"","family":"Poveda-Giraldo","given":"Jhonny Alejandro","non-dropping-particle":"","parse-names":false,"suffix":""},{"dropping-particle":"","family":"Piedrahita-Rodríguez","given":"Sara","non-dropping-particle":"","parse-names":false,"suffix":""},{"dropping-particle":"","family":"Cardona Alzate","given":"Carlos Ariel","non-dropping-particle":"","parse-names":false,"suffix":""}],"container-title":"Agronomy","id":"ITEM-1","issue":"9","issued":{"date-parts":[["2023","9","1"]]},"page":"2229","publisher":"Multidisciplinary Digital Publishing Institute (MDPI)","title":"Alternatives for the Valorization of Avocado Waste Generated in the Different Links of the Value Chain Based on a Life-Cycle Analysis Approach","type":"article-journal","volume":"13"},"uris":["http://www.mendeley.com/documents/?uuid=2dec53ce-01e1-3df8-a3bb-d6e81853249e"]}],"mendeley":{"formattedCitation":"(Garcia-Vallejo et al., 2023)","manualFormatting":"(2023)","plainTextFormattedCitation":"(Garcia-Vallejo et al., 2023)","previouslyFormattedCitation":"(Garcia-Vallejo et al., 2023)"},"properties":{"noteIndex":0},"schema":"https://github.com/citation-style-language/schema/raw/master/csl-citation.json"}</w:instrText>
      </w:r>
      <w:r w:rsidR="00733EFA" w:rsidRPr="00026B74">
        <w:rPr>
          <w:color w:val="000000" w:themeColor="text1"/>
          <w:lang w:val="en-GB"/>
        </w:rPr>
        <w:fldChar w:fldCharType="separate"/>
      </w:r>
      <w:r w:rsidR="00F30D05" w:rsidRPr="00026B74">
        <w:rPr>
          <w:noProof/>
          <w:color w:val="000000" w:themeColor="text1"/>
          <w:lang w:val="en-GB"/>
        </w:rPr>
        <w:t>(2023)</w:t>
      </w:r>
      <w:r w:rsidR="00733EFA" w:rsidRPr="00026B74">
        <w:rPr>
          <w:color w:val="000000" w:themeColor="text1"/>
          <w:lang w:val="en-GB"/>
        </w:rPr>
        <w:fldChar w:fldCharType="end"/>
      </w:r>
      <w:r w:rsidR="00654E78" w:rsidRPr="00026B74">
        <w:rPr>
          <w:color w:val="000000" w:themeColor="text1"/>
          <w:lang w:val="en-GB"/>
        </w:rPr>
        <w:t xml:space="preserve">, which proposes various waste </w:t>
      </w:r>
      <w:proofErr w:type="spellStart"/>
      <w:r w:rsidR="00654E78" w:rsidRPr="00026B74">
        <w:rPr>
          <w:color w:val="000000" w:themeColor="text1"/>
          <w:lang w:val="en-GB"/>
        </w:rPr>
        <w:t>valorization</w:t>
      </w:r>
      <w:proofErr w:type="spellEnd"/>
      <w:r w:rsidR="00654E78" w:rsidRPr="00026B74">
        <w:rPr>
          <w:color w:val="000000" w:themeColor="text1"/>
          <w:lang w:val="en-GB"/>
        </w:rPr>
        <w:t xml:space="preserve"> options across different </w:t>
      </w:r>
      <w:r w:rsidR="0025076A" w:rsidRPr="00026B74">
        <w:rPr>
          <w:color w:val="000000" w:themeColor="text1"/>
          <w:lang w:val="en-GB"/>
        </w:rPr>
        <w:t>stages of the supply chain</w:t>
      </w:r>
      <w:r w:rsidR="00654E78" w:rsidRPr="00026B74">
        <w:rPr>
          <w:color w:val="000000" w:themeColor="text1"/>
          <w:lang w:val="en-GB"/>
        </w:rPr>
        <w:t xml:space="preserve"> and employs LCA to compare scenarios, highlighting the main contributions in supply and processing. Additionally, innovative proposals on avocado-based biorefineries, co-products, and waste management have attracted attention. For instance, Solarte-Toro et al. </w:t>
      </w:r>
      <w:r w:rsidR="00F30D05" w:rsidRPr="00026B74">
        <w:rPr>
          <w:color w:val="000000" w:themeColor="text1"/>
          <w:lang w:val="en-GB"/>
        </w:rPr>
        <w:fldChar w:fldCharType="begin" w:fldLock="1"/>
      </w:r>
      <w:r w:rsidR="00F30D05" w:rsidRPr="00026B74">
        <w:rPr>
          <w:color w:val="000000" w:themeColor="text1"/>
          <w:lang w:val="en-GB"/>
        </w:rPr>
        <w:instrText>ADDIN CSL_CITATION {"citationItems":[{"id":"ITEM-1","itemData":{"DOI":"10.1007/s11356-022-20857-z","ISSN":"16147499","PMID":"35655013","abstract":"The objective of this study is to compare the environmental and social performance of two small-scale avocado biorefineries implanted in a rural zone in the North of Colombia. Two small-scale biorefineries were proposed. Small-B1 addressed to produce avocado oil and animal feed, and Small-B2 focused on the guacamole production. The environmental analysis was done by applying the life cycle assessment methodology. Then, agronomic information and process simulation were required to complete the analysis. Moreover, the water footprint of the avocado crops was estimated. Both biorefineries were compared with the direct avocados production and commercialization. The social assessment was achieved by the estimation of quantitative indicators related to wages, jobs, and working hours. The agricultural carbon and water footprints of the creole avocado crop were 0.59&amp;nbsp;kg CO2-eq/kg and 2.13 m3/kg. In the same way, Small-B1 and Small-B2 obtained a carbon and water footprints of 8.99&amp;nbsp;kg CO2-eq/kg and 6.63 m3/kg and 0.72&amp;nbsp;kg CO2-eq/kg and 1.38 m3/kg, respectively. The hotspots of the creole avocado crop are related to the use of fertilizers and fungicides. Then, new strategies should be implemented to reduce the farmer’s dependency. The social analysis exhibit a high resilience of the Small-B1 biorefinery since a salary increase to worker about 50% can be proposed. In addition, the installation of this biorefinery can create more than ten jobs. A disjunction was found between the economic, environmental, and social analyses. Thus, the need to establish a multidimensional strategy to design sustainable biorefineries is presented.","author":[{"dropping-particle":"","family":"Solarte-Toro","given":"Juan Camilo","non-dropping-particle":"","parse-names":false,"suffix":""},{"dropping-particle":"","family":"Ortiz-Sanchez","given":"Mariana","non-dropping-particle":"","parse-names":false,"suffix":""},{"dropping-particle":"","family":"Cardona Alzate","given":"Carlos Ariel","non-dropping-particle":"","parse-names":false,"suffix":""}],"container-title":"Environmental Science and Pollution Research 2022 30:4","id":"ITEM-1","issue":"4","issued":{"date-parts":[["2022","6","2"]]},"page":"8790-8808","publisher":"Springer","title":"Environmental life cycle assessment (E-LCA) and social impact assessment (SIA) of small-scale biorefineries implemented in rural zones: the avocado (Persea Americana var. Americana) case in Colombia","type":"article-journal","volume":"30"},"uris":["http://www.mendeley.com/documents/?uuid=131ed788-3486-349d-b34c-237df999b964"]}],"mendeley":{"formattedCitation":"(Solarte-Toro et al., 2022)","manualFormatting":"(2022)","plainTextFormattedCitation":"(Solarte-Toro et al., 2022)","previouslyFormattedCitation":"(Solarte-Toro et al., 2022)"},"properties":{"noteIndex":0},"schema":"https://github.com/citation-style-language/schema/raw/master/csl-citation.json"}</w:instrText>
      </w:r>
      <w:r w:rsidR="00F30D05" w:rsidRPr="00026B74">
        <w:rPr>
          <w:color w:val="000000" w:themeColor="text1"/>
          <w:lang w:val="en-GB"/>
        </w:rPr>
        <w:fldChar w:fldCharType="separate"/>
      </w:r>
      <w:r w:rsidR="00F30D05" w:rsidRPr="00026B74">
        <w:rPr>
          <w:noProof/>
          <w:color w:val="000000" w:themeColor="text1"/>
          <w:lang w:val="en-GB"/>
        </w:rPr>
        <w:t>(2022)</w:t>
      </w:r>
      <w:r w:rsidR="00F30D05" w:rsidRPr="00026B74">
        <w:rPr>
          <w:color w:val="000000" w:themeColor="text1"/>
          <w:lang w:val="en-GB"/>
        </w:rPr>
        <w:fldChar w:fldCharType="end"/>
      </w:r>
      <w:r w:rsidR="00654E78" w:rsidRPr="00026B74">
        <w:rPr>
          <w:color w:val="000000" w:themeColor="text1"/>
          <w:lang w:val="en-GB"/>
        </w:rPr>
        <w:t xml:space="preserve"> examined two small-scale biorefinery setups in Colombia, emphasizing the importance of agricultural inputs and comparing the carbon and water footprints. Similarly, research on integrated biorefineries indicates that heat </w:t>
      </w:r>
      <w:r w:rsidR="00654E78" w:rsidRPr="00026B74">
        <w:rPr>
          <w:color w:val="000000" w:themeColor="text1"/>
          <w:lang w:val="en-GB"/>
        </w:rPr>
        <w:lastRenderedPageBreak/>
        <w:t>and steam requirements often dominate environmental impacts, particularly in new designs, where hotspots often involve energy utilities and process materials</w:t>
      </w:r>
      <w:r w:rsidR="00F30D05" w:rsidRPr="00026B74">
        <w:rPr>
          <w:color w:val="000000" w:themeColor="text1"/>
          <w:lang w:val="en-GB"/>
        </w:rPr>
        <w:t xml:space="preserve"> </w:t>
      </w:r>
      <w:r w:rsidR="00F30D05" w:rsidRPr="00026B74">
        <w:rPr>
          <w:color w:val="000000" w:themeColor="text1"/>
          <w:lang w:val="en-GB"/>
        </w:rPr>
        <w:fldChar w:fldCharType="begin" w:fldLock="1"/>
      </w:r>
      <w:r w:rsidR="00E930D1" w:rsidRPr="00026B74">
        <w:rPr>
          <w:color w:val="000000" w:themeColor="text1"/>
          <w:lang w:val="en-GB"/>
        </w:rPr>
        <w:instrText>ADDIN CSL_CITATION {"citationItems":[{"id":"ITEM-1","itemData":{"DOI":"10.1016/j.biombioe.2025.108724","ISSN":"18732909","abstract":"Biomass conversion in biorefineries is seen as a promising alternative for reducing greenhouse gas emissions and environmental degradation. In this study, the use of regionally sourced avocado side streams in biorefineries promotes a circular bioeconomy and supports sustainability targets. A novel thermal-extractive avocado refinery was assessed through Techno-economic Analysis and Life Cycle Assessment. The process converts non-edible avocados using an innovative thermal-extractive method to produce avocado oil, biochar, pulp without fat, chlorophyll-rich extract, and treated peel. Laboratory data supported the process simulation to obtain mass and energy balances. The economic analysis shows a total production cost of 6.89 USD/kg of avocado oil, with the largest contribution from operating expenditures due to high raw material and utility costs. The LCA used a functional unit of 1 kg of avocado oil, handling co-products by subdivision and, when needed, economic allocation. Steam input was identified as the main hotspot for climate change, resource use, and marine eutrophication. Sensitivity analysis of energy-efficiency improvements revealed substantial potential for reducing environmental impacts while improving financial performance.","author":[{"dropping-particle":"","family":"Meramo","given":"Samir","non-dropping-particle":"","parse-names":false,"suffix":""},{"dropping-particle":"","family":"Herrera-Rodríguez","given":"Tamy C.","non-dropping-particle":"","parse-names":false,"suffix":""},{"dropping-particle":"","family":"González-Delgado","given":"Angel D.","non-dropping-particle":"","parse-names":false,"suffix":""}],"container-title":"Biomass and Bioenergy","id":"ITEM-1","issued":{"date-parts":[["2026","4","1"]]},"page":"108724","publisher":"Pergamon","title":"Economic and environmental hotspots of new thermal-extractive avocado biorefinery","type":"article-journal","volume":"207"},"uris":["http://www.mendeley.com/documents/?uuid=6c713b04-b096-315d-8352-2696d64078ae"]}],"mendeley":{"formattedCitation":"(Meramo et al., 2026)","plainTextFormattedCitation":"(Meramo et al., 2026)","previouslyFormattedCitation":"(Meramo et al., 2026)"},"properties":{"noteIndex":0},"schema":"https://github.com/citation-style-language/schema/raw/master/csl-citation.json"}</w:instrText>
      </w:r>
      <w:r w:rsidR="00F30D05" w:rsidRPr="00026B74">
        <w:rPr>
          <w:color w:val="000000" w:themeColor="text1"/>
          <w:lang w:val="en-GB"/>
        </w:rPr>
        <w:fldChar w:fldCharType="separate"/>
      </w:r>
      <w:r w:rsidR="00F30D05" w:rsidRPr="00026B74">
        <w:rPr>
          <w:noProof/>
          <w:color w:val="000000" w:themeColor="text1"/>
          <w:lang w:val="en-GB"/>
        </w:rPr>
        <w:t>(Meramo et al., 2026)</w:t>
      </w:r>
      <w:r w:rsidR="00F30D05" w:rsidRPr="00026B74">
        <w:rPr>
          <w:color w:val="000000" w:themeColor="text1"/>
          <w:lang w:val="en-GB"/>
        </w:rPr>
        <w:fldChar w:fldCharType="end"/>
      </w:r>
      <w:r w:rsidR="00654E78" w:rsidRPr="00026B74">
        <w:rPr>
          <w:color w:val="000000" w:themeColor="text1"/>
          <w:lang w:val="en-GB"/>
        </w:rPr>
        <w:t>.</w:t>
      </w:r>
      <w:r w:rsidR="000B3D22" w:rsidRPr="00026B74">
        <w:rPr>
          <w:color w:val="000000" w:themeColor="text1"/>
          <w:lang w:val="en-GB"/>
        </w:rPr>
        <w:t xml:space="preserve"> </w:t>
      </w:r>
      <w:r w:rsidR="00C56B57" w:rsidRPr="00026B74">
        <w:rPr>
          <w:color w:val="000000" w:themeColor="text1"/>
          <w:lang w:val="en-GB"/>
        </w:rPr>
        <w:t xml:space="preserve">Based on this, it is evident that while there is existing literature on LCAs of avocado value chains and related biorefineries, none specifically examines a multi-product cascade biorefinery based solely on Hass avocado seeds. Additionally, this study avoids system partitioning by using simplified allocations when the design makes it difficult to isolate individual resources. Instead, it uses simulated data from Aspen Plus V12.0 and adopts a consequential approach to system expansion to account for product substitutions in the market, in accordance with ISO 14044. The findings are supported by </w:t>
      </w:r>
      <w:r w:rsidR="00B9537F" w:rsidRPr="00026B74">
        <w:rPr>
          <w:color w:val="000000" w:themeColor="text1"/>
          <w:lang w:val="en-GB"/>
        </w:rPr>
        <w:t>sensitivity analyses, deterministic scenario analyses, and Monte Carlo simulations, which identify key areas for improvement and offer</w:t>
      </w:r>
      <w:r w:rsidR="00C56B57" w:rsidRPr="00026B74">
        <w:rPr>
          <w:color w:val="000000" w:themeColor="text1"/>
          <w:lang w:val="en-GB"/>
        </w:rPr>
        <w:t xml:space="preserve"> recommendations for future research.</w:t>
      </w:r>
    </w:p>
    <w:p w14:paraId="5741900F" w14:textId="762B63A2" w:rsidR="00453E24" w:rsidRPr="00026B74" w:rsidRDefault="00FB596F" w:rsidP="00453E24">
      <w:pPr>
        <w:pStyle w:val="CETHeading1"/>
        <w:rPr>
          <w:color w:val="000000" w:themeColor="text1"/>
        </w:rPr>
      </w:pPr>
      <w:r w:rsidRPr="00026B74">
        <w:rPr>
          <w:color w:val="000000" w:themeColor="text1"/>
        </w:rPr>
        <w:t>Materials and methods</w:t>
      </w:r>
    </w:p>
    <w:p w14:paraId="09406386" w14:textId="507E7AC6" w:rsidR="00453E24" w:rsidRPr="00026B74" w:rsidRDefault="00903B11" w:rsidP="00453E24">
      <w:pPr>
        <w:pStyle w:val="CETBodytext"/>
        <w:rPr>
          <w:color w:val="000000" w:themeColor="text1"/>
        </w:rPr>
      </w:pPr>
      <w:r w:rsidRPr="00026B74">
        <w:rPr>
          <w:color w:val="000000" w:themeColor="text1"/>
        </w:rPr>
        <w:t>This study examines a new biorefinery utilizing Hass avocado seeds from the Colombian Amazon. The environmental performance evaluation considers Colombia's geographical features.</w:t>
      </w:r>
    </w:p>
    <w:p w14:paraId="0636B784" w14:textId="177FD80C" w:rsidR="00453E24" w:rsidRPr="00026B74" w:rsidRDefault="00FB596F" w:rsidP="00453E24">
      <w:pPr>
        <w:pStyle w:val="CETheadingx"/>
        <w:rPr>
          <w:color w:val="000000" w:themeColor="text1"/>
        </w:rPr>
      </w:pPr>
      <w:r w:rsidRPr="00026B74">
        <w:rPr>
          <w:color w:val="000000" w:themeColor="text1"/>
        </w:rPr>
        <w:t>Process</w:t>
      </w:r>
      <w:r w:rsidR="005C463B" w:rsidRPr="00026B74">
        <w:rPr>
          <w:color w:val="000000" w:themeColor="text1"/>
        </w:rPr>
        <w:t>es</w:t>
      </w:r>
      <w:r w:rsidRPr="00026B74">
        <w:rPr>
          <w:color w:val="000000" w:themeColor="text1"/>
        </w:rPr>
        <w:t xml:space="preserve"> description</w:t>
      </w:r>
    </w:p>
    <w:p w14:paraId="59EC8089" w14:textId="65467C81" w:rsidR="002C7470" w:rsidRPr="00026B74" w:rsidRDefault="00857EF0" w:rsidP="00857EF0">
      <w:pPr>
        <w:pStyle w:val="CETBodytext"/>
        <w:rPr>
          <w:color w:val="000000" w:themeColor="text1"/>
        </w:rPr>
      </w:pPr>
      <w:r w:rsidRPr="00026B74">
        <w:rPr>
          <w:color w:val="000000" w:themeColor="text1"/>
          <w:lang w:val="es-PE"/>
        </w:rPr>
        <w:t xml:space="preserve">Aguilar-Vásquez et al. </w:t>
      </w:r>
      <w:r w:rsidR="0015417D" w:rsidRPr="00026B74">
        <w:rPr>
          <w:color w:val="000000" w:themeColor="text1"/>
        </w:rPr>
        <w:fldChar w:fldCharType="begin" w:fldLock="1"/>
      </w:r>
      <w:r w:rsidR="0015417D" w:rsidRPr="00026B74">
        <w:rPr>
          <w:color w:val="000000" w:themeColor="text1"/>
          <w:lang w:val="es-PE"/>
        </w:rPr>
        <w:instrText>ADDIN CSL_CITATION {"citationItems":[{"id":"ITEM-1","itemData":{"DOI":"10.3390/SU17188103/S1","ISSN":"20711050","abstract":"Cascade biorefineries have demonstrated potential due to their ability to further valorize a wide variety of waste, including agricultural residues such as avocado hard waste. The intrinsic safety aspects of these technologies have been scarcely studied. Therefore, an inherent safety analysis was applied to identify and assess the risks of an avocado cascade biorefinery in the Amazon region. Several available databases (online) were used to determine the safety data of the substances in the process, such as CameoChemicals, INCHEM, and NIOSH. Additionally, data from extended mass and energy balance (based on the literature) were collected to assess the process operating conditions. The results show that the process is slightly unsafe, with an overall inherent safety score of 25, and that it achieved a performance of 96% relative to the neutral operating point (24). Chemical risks represented the most critical challenges of the process, with a score of 16, with exothermic reactions, hazardous substances, and dangerous chemical interactions being the most significant sources of risks. On the other hand, the process safety indicator scored 9, indicating that these aspects are not a major source of risk, as the process had mostly low operating conditions (near-environment temperatures and pressures; low inventory), with equipment being the only significant risk factor. Nonetheless, the safety structure subindex for this process was 2, as no clear and recognizable risks existed (at least in the literature) for this type of scheme at the scale analyzed (small scale). This score needs to be studied to properly assess the risks in bioprocesses like cascade biorefineries. Finally, replacing acid hydrolysis with enzymatic hydrolysis, along with another method for bioactive extraction, is recommended to reduce the inherent risks.","author":[{"dropping-particle":"","family":"Aguilar-Vasquez","given":"Eduardo Andres","non-dropping-particle":"","parse-names":false,"suffix":""},{"dropping-particle":"","family":"Rojas-Flores","given":"Segundo","non-dropping-particle":"","parse-names":false,"suffix":""},{"dropping-particle":"","family":"González-Delgado","given":"Ángel Darío","non-dropping-particle":"","parse-names":false,"suffix":""}],"container-title":"Sustainability (Switzerland)","id":"ITEM-1","issue":"18","issued":{"date-parts":[["2025","9","1"]]},"page":"8103","publisher":"Multidisciplinary Digital Publishing Institute (MDPI)","title":"Inherent Safety Analysis of a Cascade Biorefinery for the Utilization of Avocado Hard Waste from the South Colombian Region","type":"article-journal","volume":"17"},"uris":["http://www.mendeley.com/documents/?uuid=a96a5428-4883-32ec-81e8-53faa7b4ade6"]}],"mendeley":{"formattedCitation":"(Aguilar-Vasquez et al., 2025)","manualFormatting":"(2025)","plainTextFormattedCitation":"(Aguilar-Vasquez et al., 2025)"},"properties":{"noteIndex":0},"schema":"https://github.com/citation-style-language/schema/raw/master/csl-citation.json"}</w:instrText>
      </w:r>
      <w:r w:rsidR="0015417D" w:rsidRPr="00026B74">
        <w:rPr>
          <w:color w:val="000000" w:themeColor="text1"/>
        </w:rPr>
        <w:fldChar w:fldCharType="separate"/>
      </w:r>
      <w:r w:rsidR="0015417D" w:rsidRPr="00026B74">
        <w:rPr>
          <w:noProof/>
          <w:color w:val="000000" w:themeColor="text1"/>
          <w:lang w:val="es-PE"/>
        </w:rPr>
        <w:t>(2025)</w:t>
      </w:r>
      <w:r w:rsidR="0015417D" w:rsidRPr="00026B74">
        <w:rPr>
          <w:color w:val="000000" w:themeColor="text1"/>
        </w:rPr>
        <w:fldChar w:fldCharType="end"/>
      </w:r>
      <w:r w:rsidRPr="00026B74">
        <w:rPr>
          <w:color w:val="000000" w:themeColor="text1"/>
          <w:lang w:val="es-PE"/>
        </w:rPr>
        <w:t xml:space="preserve"> </w:t>
      </w:r>
      <w:proofErr w:type="spellStart"/>
      <w:r w:rsidRPr="00026B74">
        <w:rPr>
          <w:color w:val="000000" w:themeColor="text1"/>
          <w:lang w:val="es-PE"/>
        </w:rPr>
        <w:t>propose</w:t>
      </w:r>
      <w:proofErr w:type="spellEnd"/>
      <w:r w:rsidRPr="00026B74">
        <w:rPr>
          <w:color w:val="000000" w:themeColor="text1"/>
          <w:lang w:val="es-PE"/>
        </w:rPr>
        <w:t xml:space="preserve"> a cascade </w:t>
      </w:r>
      <w:proofErr w:type="spellStart"/>
      <w:r w:rsidRPr="00026B74">
        <w:rPr>
          <w:color w:val="000000" w:themeColor="text1"/>
          <w:lang w:val="es-PE"/>
        </w:rPr>
        <w:t>biorefinery</w:t>
      </w:r>
      <w:proofErr w:type="spellEnd"/>
      <w:r w:rsidRPr="00026B74">
        <w:rPr>
          <w:color w:val="000000" w:themeColor="text1"/>
          <w:lang w:val="es-PE"/>
        </w:rPr>
        <w:t xml:space="preserve"> </w:t>
      </w:r>
      <w:proofErr w:type="spellStart"/>
      <w:r w:rsidRPr="00026B74">
        <w:rPr>
          <w:color w:val="000000" w:themeColor="text1"/>
          <w:lang w:val="es-PE"/>
        </w:rPr>
        <w:t>to</w:t>
      </w:r>
      <w:proofErr w:type="spellEnd"/>
      <w:r w:rsidRPr="00026B74">
        <w:rPr>
          <w:color w:val="000000" w:themeColor="text1"/>
          <w:lang w:val="es-PE"/>
        </w:rPr>
        <w:t xml:space="preserve"> </w:t>
      </w:r>
      <w:proofErr w:type="spellStart"/>
      <w:r w:rsidRPr="00026B74">
        <w:rPr>
          <w:color w:val="000000" w:themeColor="text1"/>
          <w:lang w:val="es-PE"/>
        </w:rPr>
        <w:t>valorize</w:t>
      </w:r>
      <w:proofErr w:type="spellEnd"/>
      <w:r w:rsidRPr="00026B74">
        <w:rPr>
          <w:color w:val="000000" w:themeColor="text1"/>
          <w:lang w:val="es-PE"/>
        </w:rPr>
        <w:t xml:space="preserve"> Hass avocado </w:t>
      </w:r>
      <w:proofErr w:type="spellStart"/>
      <w:r w:rsidRPr="00026B74">
        <w:rPr>
          <w:color w:val="000000" w:themeColor="text1"/>
          <w:lang w:val="es-PE"/>
        </w:rPr>
        <w:t>seeds</w:t>
      </w:r>
      <w:proofErr w:type="spellEnd"/>
      <w:r w:rsidRPr="00026B74">
        <w:rPr>
          <w:color w:val="000000" w:themeColor="text1"/>
          <w:lang w:val="es-PE"/>
        </w:rPr>
        <w:t xml:space="preserve"> and produce </w:t>
      </w:r>
      <w:proofErr w:type="spellStart"/>
      <w:r w:rsidRPr="00026B74">
        <w:rPr>
          <w:color w:val="000000" w:themeColor="text1"/>
          <w:lang w:val="es-PE"/>
        </w:rPr>
        <w:t>starch</w:t>
      </w:r>
      <w:proofErr w:type="spellEnd"/>
      <w:r w:rsidRPr="00026B74">
        <w:rPr>
          <w:color w:val="000000" w:themeColor="text1"/>
          <w:lang w:val="es-PE"/>
        </w:rPr>
        <w:t xml:space="preserve">, </w:t>
      </w:r>
      <w:proofErr w:type="spellStart"/>
      <w:r w:rsidRPr="00026B74">
        <w:rPr>
          <w:color w:val="000000" w:themeColor="text1"/>
          <w:lang w:val="es-PE"/>
        </w:rPr>
        <w:t>biofilms</w:t>
      </w:r>
      <w:proofErr w:type="spellEnd"/>
      <w:r w:rsidRPr="00026B74">
        <w:rPr>
          <w:color w:val="000000" w:themeColor="text1"/>
          <w:lang w:val="es-PE"/>
        </w:rPr>
        <w:t xml:space="preserve">, and a </w:t>
      </w:r>
      <w:proofErr w:type="spellStart"/>
      <w:r w:rsidRPr="00026B74">
        <w:rPr>
          <w:color w:val="000000" w:themeColor="text1"/>
          <w:lang w:val="es-PE"/>
        </w:rPr>
        <w:t>biocontrol</w:t>
      </w:r>
      <w:proofErr w:type="spellEnd"/>
      <w:r w:rsidRPr="00026B74">
        <w:rPr>
          <w:color w:val="000000" w:themeColor="text1"/>
          <w:lang w:val="es-PE"/>
        </w:rPr>
        <w:t xml:space="preserve"> </w:t>
      </w:r>
      <w:proofErr w:type="spellStart"/>
      <w:r w:rsidRPr="00026B74">
        <w:rPr>
          <w:color w:val="000000" w:themeColor="text1"/>
          <w:lang w:val="es-PE"/>
        </w:rPr>
        <w:t>agent</w:t>
      </w:r>
      <w:proofErr w:type="spellEnd"/>
      <w:r w:rsidR="007E1E70" w:rsidRPr="00026B74">
        <w:rPr>
          <w:color w:val="000000" w:themeColor="text1"/>
          <w:lang w:val="es-PE"/>
        </w:rPr>
        <w:t xml:space="preserve">, </w:t>
      </w:r>
      <w:proofErr w:type="spellStart"/>
      <w:r w:rsidR="007E1E70" w:rsidRPr="00026B74">
        <w:rPr>
          <w:color w:val="000000" w:themeColor="text1"/>
          <w:lang w:val="es-PE"/>
        </w:rPr>
        <w:t>which</w:t>
      </w:r>
      <w:proofErr w:type="spellEnd"/>
      <w:r w:rsidR="007E1E70" w:rsidRPr="00026B74">
        <w:rPr>
          <w:color w:val="000000" w:themeColor="text1"/>
          <w:lang w:val="es-PE"/>
        </w:rPr>
        <w:t xml:space="preserve"> </w:t>
      </w:r>
      <w:proofErr w:type="spellStart"/>
      <w:r w:rsidR="007E1E70" w:rsidRPr="00026B74">
        <w:rPr>
          <w:color w:val="000000" w:themeColor="text1"/>
          <w:lang w:val="es-PE"/>
        </w:rPr>
        <w:t>is</w:t>
      </w:r>
      <w:proofErr w:type="spellEnd"/>
      <w:r w:rsidR="007E1E70" w:rsidRPr="00026B74">
        <w:rPr>
          <w:color w:val="000000" w:themeColor="text1"/>
          <w:lang w:val="es-PE"/>
        </w:rPr>
        <w:t xml:space="preserve"> </w:t>
      </w:r>
      <w:proofErr w:type="spellStart"/>
      <w:r w:rsidR="007E1E70" w:rsidRPr="00026B74">
        <w:rPr>
          <w:color w:val="000000" w:themeColor="text1"/>
          <w:lang w:val="es-PE"/>
        </w:rPr>
        <w:t>studied</w:t>
      </w:r>
      <w:proofErr w:type="spellEnd"/>
      <w:r w:rsidR="007E1E70" w:rsidRPr="00026B74">
        <w:rPr>
          <w:color w:val="000000" w:themeColor="text1"/>
          <w:lang w:val="es-PE"/>
        </w:rPr>
        <w:t xml:space="preserve"> in </w:t>
      </w:r>
      <w:proofErr w:type="spellStart"/>
      <w:r w:rsidR="007E1E70" w:rsidRPr="00026B74">
        <w:rPr>
          <w:color w:val="000000" w:themeColor="text1"/>
          <w:lang w:val="es-PE"/>
        </w:rPr>
        <w:t>this</w:t>
      </w:r>
      <w:proofErr w:type="spellEnd"/>
      <w:r w:rsidR="007E1E70" w:rsidRPr="00026B74">
        <w:rPr>
          <w:color w:val="000000" w:themeColor="text1"/>
          <w:lang w:val="es-PE"/>
        </w:rPr>
        <w:t xml:space="preserve"> </w:t>
      </w:r>
      <w:proofErr w:type="spellStart"/>
      <w:r w:rsidR="007E1E70" w:rsidRPr="00026B74">
        <w:rPr>
          <w:color w:val="000000" w:themeColor="text1"/>
          <w:lang w:val="es-PE"/>
        </w:rPr>
        <w:t>paper</w:t>
      </w:r>
      <w:proofErr w:type="spellEnd"/>
      <w:r w:rsidR="007E1E70" w:rsidRPr="00026B74">
        <w:rPr>
          <w:color w:val="000000" w:themeColor="text1"/>
          <w:lang w:val="es-PE"/>
        </w:rPr>
        <w:t xml:space="preserve"> and </w:t>
      </w:r>
      <w:proofErr w:type="spellStart"/>
      <w:r w:rsidR="007E1E70" w:rsidRPr="00026B74">
        <w:rPr>
          <w:color w:val="000000" w:themeColor="text1"/>
          <w:lang w:val="es-PE"/>
        </w:rPr>
        <w:t>described</w:t>
      </w:r>
      <w:proofErr w:type="spellEnd"/>
      <w:r w:rsidR="007E1E70" w:rsidRPr="00026B74">
        <w:rPr>
          <w:color w:val="000000" w:themeColor="text1"/>
          <w:lang w:val="es-PE"/>
        </w:rPr>
        <w:t xml:space="preserve"> as </w:t>
      </w:r>
      <w:proofErr w:type="spellStart"/>
      <w:r w:rsidR="007E1E70" w:rsidRPr="00026B74">
        <w:rPr>
          <w:color w:val="000000" w:themeColor="text1"/>
          <w:lang w:val="es-PE"/>
        </w:rPr>
        <w:t>follows</w:t>
      </w:r>
      <w:proofErr w:type="spellEnd"/>
      <w:r w:rsidR="00595A6E" w:rsidRPr="00026B74">
        <w:rPr>
          <w:color w:val="000000" w:themeColor="text1"/>
          <w:lang w:val="es-PE"/>
        </w:rPr>
        <w:t xml:space="preserve"> (</w:t>
      </w:r>
      <w:proofErr w:type="spellStart"/>
      <w:r w:rsidR="00595A6E" w:rsidRPr="00026B74">
        <w:rPr>
          <w:color w:val="000000" w:themeColor="text1"/>
          <w:lang w:val="es-PE"/>
        </w:rPr>
        <w:t>see</w:t>
      </w:r>
      <w:proofErr w:type="spellEnd"/>
      <w:r w:rsidR="00595A6E" w:rsidRPr="00026B74">
        <w:rPr>
          <w:color w:val="000000" w:themeColor="text1"/>
          <w:lang w:val="es-PE"/>
        </w:rPr>
        <w:t xml:space="preserve"> block </w:t>
      </w:r>
      <w:proofErr w:type="spellStart"/>
      <w:r w:rsidR="00595A6E" w:rsidRPr="00026B74">
        <w:rPr>
          <w:color w:val="000000" w:themeColor="text1"/>
          <w:lang w:val="es-PE"/>
        </w:rPr>
        <w:t>diagram</w:t>
      </w:r>
      <w:proofErr w:type="spellEnd"/>
      <w:r w:rsidR="00595A6E" w:rsidRPr="00026B74">
        <w:rPr>
          <w:color w:val="000000" w:themeColor="text1"/>
          <w:lang w:val="es-PE"/>
        </w:rPr>
        <w:t xml:space="preserve"> in </w:t>
      </w:r>
      <w:proofErr w:type="spellStart"/>
      <w:r w:rsidR="00595A6E" w:rsidRPr="00026B74">
        <w:rPr>
          <w:color w:val="000000" w:themeColor="text1"/>
          <w:lang w:val="es-PE"/>
        </w:rPr>
        <w:t>this</w:t>
      </w:r>
      <w:proofErr w:type="spellEnd"/>
      <w:r w:rsidR="00595A6E" w:rsidRPr="00026B74">
        <w:rPr>
          <w:color w:val="000000" w:themeColor="text1"/>
          <w:lang w:val="es-PE"/>
        </w:rPr>
        <w:t xml:space="preserve"> </w:t>
      </w:r>
      <w:proofErr w:type="spellStart"/>
      <w:r w:rsidR="00595A6E" w:rsidRPr="00026B74">
        <w:rPr>
          <w:color w:val="000000" w:themeColor="text1"/>
          <w:lang w:val="es-PE"/>
        </w:rPr>
        <w:t>paper</w:t>
      </w:r>
      <w:proofErr w:type="spellEnd"/>
      <w:r w:rsidR="00595A6E" w:rsidRPr="00026B74">
        <w:rPr>
          <w:color w:val="000000" w:themeColor="text1"/>
          <w:lang w:val="es-PE"/>
        </w:rPr>
        <w:t xml:space="preserve"> </w:t>
      </w:r>
      <w:proofErr w:type="spellStart"/>
      <w:r w:rsidR="00595A6E" w:rsidRPr="00026B74">
        <w:rPr>
          <w:color w:val="000000" w:themeColor="text1"/>
          <w:lang w:val="es-PE"/>
        </w:rPr>
        <w:t>for</w:t>
      </w:r>
      <w:proofErr w:type="spellEnd"/>
      <w:r w:rsidR="00595A6E" w:rsidRPr="00026B74">
        <w:rPr>
          <w:color w:val="000000" w:themeColor="text1"/>
          <w:lang w:val="es-PE"/>
        </w:rPr>
        <w:t xml:space="preserve"> a </w:t>
      </w:r>
      <w:proofErr w:type="spellStart"/>
      <w:r w:rsidR="00595A6E" w:rsidRPr="00026B74">
        <w:rPr>
          <w:color w:val="000000" w:themeColor="text1"/>
          <w:lang w:val="es-PE"/>
        </w:rPr>
        <w:t>better</w:t>
      </w:r>
      <w:proofErr w:type="spellEnd"/>
      <w:r w:rsidR="00595A6E" w:rsidRPr="00026B74">
        <w:rPr>
          <w:color w:val="000000" w:themeColor="text1"/>
          <w:lang w:val="es-PE"/>
        </w:rPr>
        <w:t xml:space="preserve"> </w:t>
      </w:r>
      <w:proofErr w:type="spellStart"/>
      <w:r w:rsidR="00595A6E" w:rsidRPr="00026B74">
        <w:rPr>
          <w:color w:val="000000" w:themeColor="text1"/>
          <w:lang w:val="es-PE"/>
        </w:rPr>
        <w:t>understanding</w:t>
      </w:r>
      <w:proofErr w:type="spellEnd"/>
      <w:r w:rsidR="00595A6E" w:rsidRPr="00026B74">
        <w:rPr>
          <w:color w:val="000000" w:themeColor="text1"/>
          <w:lang w:val="es-PE"/>
        </w:rPr>
        <w:t>)</w:t>
      </w:r>
      <w:r w:rsidRPr="00026B74">
        <w:rPr>
          <w:color w:val="000000" w:themeColor="text1"/>
          <w:lang w:val="es-PE"/>
        </w:rPr>
        <w:t>.</w:t>
      </w:r>
      <w:r w:rsidR="007E1E70" w:rsidRPr="00026B74">
        <w:rPr>
          <w:color w:val="000000" w:themeColor="text1"/>
          <w:lang w:val="es-PE"/>
        </w:rPr>
        <w:t xml:space="preserve"> </w:t>
      </w:r>
      <w:r w:rsidR="007E1E70" w:rsidRPr="00026B74">
        <w:rPr>
          <w:color w:val="000000" w:themeColor="text1"/>
        </w:rPr>
        <w:t xml:space="preserve">The biorefinery </w:t>
      </w:r>
      <w:r w:rsidR="00A801D9" w:rsidRPr="00026B74">
        <w:rPr>
          <w:color w:val="000000" w:themeColor="text1"/>
        </w:rPr>
        <w:t>has</w:t>
      </w:r>
      <w:r w:rsidR="007E1E70" w:rsidRPr="00026B74">
        <w:rPr>
          <w:color w:val="000000" w:themeColor="text1"/>
        </w:rPr>
        <w:t xml:space="preserve"> three primary sections: pretreatment, starch and starch-derived bioplastic production, and polylactic acid bioplastic manufacturing. Approximately 27.4 kg/h of waste is diverted to this process, selected based on a segment of </w:t>
      </w:r>
      <w:r w:rsidR="00002FE1" w:rsidRPr="00026B74">
        <w:rPr>
          <w:color w:val="000000" w:themeColor="text1"/>
        </w:rPr>
        <w:t>Amazon</w:t>
      </w:r>
      <w:r w:rsidR="007E1E70" w:rsidRPr="00026B74">
        <w:rPr>
          <w:color w:val="000000" w:themeColor="text1"/>
        </w:rPr>
        <w:t xml:space="preserve">'s total </w:t>
      </w:r>
      <w:r w:rsidR="00002FE1" w:rsidRPr="00026B74">
        <w:rPr>
          <w:color w:val="000000" w:themeColor="text1"/>
        </w:rPr>
        <w:t xml:space="preserve">Hass </w:t>
      </w:r>
      <w:r w:rsidR="007E1E70" w:rsidRPr="00026B74">
        <w:rPr>
          <w:color w:val="000000" w:themeColor="text1"/>
        </w:rPr>
        <w:t xml:space="preserve">avocado output and a mass-balance computation. Initially, the waste is washed with water to remove impurities, </w:t>
      </w:r>
      <w:r w:rsidR="00A801D9" w:rsidRPr="00026B74">
        <w:rPr>
          <w:color w:val="000000" w:themeColor="text1"/>
        </w:rPr>
        <w:t>then dried</w:t>
      </w:r>
      <w:r w:rsidR="007E1E70" w:rsidRPr="00026B74">
        <w:rPr>
          <w:color w:val="000000" w:themeColor="text1"/>
        </w:rPr>
        <w:t xml:space="preserve"> </w:t>
      </w:r>
      <w:r w:rsidR="00D1357F" w:rsidRPr="00026B74">
        <w:rPr>
          <w:color w:val="000000" w:themeColor="text1"/>
        </w:rPr>
        <w:t>in an oven at 50°C</w:t>
      </w:r>
      <w:r w:rsidR="007E1E70" w:rsidRPr="00026B74">
        <w:rPr>
          <w:color w:val="000000" w:themeColor="text1"/>
        </w:rPr>
        <w:t>. Subsequently, the waste is crushed to a maximum dimension of 3 cm. The ground waste is then segregated</w:t>
      </w:r>
      <w:r w:rsidR="00A801D9" w:rsidRPr="00026B74">
        <w:rPr>
          <w:color w:val="000000" w:themeColor="text1"/>
        </w:rPr>
        <w:t xml:space="preserve"> into raw material and output streams</w:t>
      </w:r>
      <w:r w:rsidR="007E1E70" w:rsidRPr="00026B74">
        <w:rPr>
          <w:color w:val="000000" w:themeColor="text1"/>
        </w:rPr>
        <w:t>.</w:t>
      </w:r>
      <w:r w:rsidR="00A801D9" w:rsidRPr="00026B74">
        <w:rPr>
          <w:color w:val="000000" w:themeColor="text1"/>
        </w:rPr>
        <w:t xml:space="preserve"> </w:t>
      </w:r>
      <w:r w:rsidR="00425120" w:rsidRPr="00026B74">
        <w:rPr>
          <w:color w:val="000000" w:themeColor="text1"/>
        </w:rPr>
        <w:t>60% of the ground hard waste undergoes processing by mixing with a water solution containing 0.3</w:t>
      </w:r>
      <w:r w:rsidR="00A801D9" w:rsidRPr="00026B74">
        <w:rPr>
          <w:color w:val="000000" w:themeColor="text1"/>
        </w:rPr>
        <w:t>% (v/v) sodium metabisulfite to facilitate starch extraction. This mixture is liquefied</w:t>
      </w:r>
      <w:r w:rsidR="00425120" w:rsidRPr="00026B74">
        <w:rPr>
          <w:color w:val="000000" w:themeColor="text1"/>
        </w:rPr>
        <w:t xml:space="preserve"> and filtered, yielding a starch-rich liquid and a bioactive compound-enriched hard-waste</w:t>
      </w:r>
      <w:r w:rsidR="00A801D9" w:rsidRPr="00026B74">
        <w:rPr>
          <w:color w:val="000000" w:themeColor="text1"/>
        </w:rPr>
        <w:t xml:space="preserve"> fraction. The </w:t>
      </w:r>
      <w:r w:rsidR="00425120" w:rsidRPr="00026B74">
        <w:rPr>
          <w:color w:val="000000" w:themeColor="text1"/>
        </w:rPr>
        <w:t>starch-rich</w:t>
      </w:r>
      <w:r w:rsidR="00A801D9" w:rsidRPr="00026B74">
        <w:rPr>
          <w:color w:val="000000" w:themeColor="text1"/>
        </w:rPr>
        <w:t xml:space="preserve"> liquid is then decanted to eliminate residual water and traces of solvents. The solid starch fraction is subsequently washed to remove impurities, immediately dried at 60°C using hot air, and divided into three fractions: pure starch (2.8 kg/h), starch intended for bioplastic production (2.4 kg/h), and a starch film former (0.3 kg/h). The pure starch </w:t>
      </w:r>
      <w:r w:rsidR="00D1357F" w:rsidRPr="00026B74">
        <w:rPr>
          <w:color w:val="000000" w:themeColor="text1"/>
        </w:rPr>
        <w:t>is further dried to reduce its</w:t>
      </w:r>
      <w:r w:rsidR="00425120" w:rsidRPr="00026B74">
        <w:rPr>
          <w:color w:val="000000" w:themeColor="text1"/>
        </w:rPr>
        <w:t xml:space="preserve"> moisture content to below 0.01</w:t>
      </w:r>
      <w:r w:rsidR="00A801D9" w:rsidRPr="00026B74">
        <w:rPr>
          <w:color w:val="000000" w:themeColor="text1"/>
        </w:rPr>
        <w:t xml:space="preserve">%. The starch designated for bioplastic manufacturing is gelatinized </w:t>
      </w:r>
      <w:r w:rsidR="008E5398" w:rsidRPr="00026B74">
        <w:rPr>
          <w:color w:val="000000" w:themeColor="text1"/>
        </w:rPr>
        <w:t>in cellulose and glycerol solutions at 5% and 4% (w/w), respectively, and then dried at 110°C to remove</w:t>
      </w:r>
      <w:r w:rsidR="00A801D9" w:rsidRPr="00026B74">
        <w:rPr>
          <w:color w:val="000000" w:themeColor="text1"/>
        </w:rPr>
        <w:t xml:space="preserve"> residual moisture. </w:t>
      </w:r>
      <w:r w:rsidR="008E5398" w:rsidRPr="00026B74">
        <w:rPr>
          <w:color w:val="000000" w:themeColor="text1"/>
        </w:rPr>
        <w:t>40%</w:t>
      </w:r>
      <w:r w:rsidR="00A801D9" w:rsidRPr="00026B74">
        <w:rPr>
          <w:color w:val="000000" w:themeColor="text1"/>
        </w:rPr>
        <w:t xml:space="preserve"> of the ground hard waste is processed to produce polylactic acid bioplastic. The waste material is subjected to hydrolysis with a 5% acid solution</w:t>
      </w:r>
      <w:r w:rsidR="00F40115" w:rsidRPr="00026B74">
        <w:rPr>
          <w:color w:val="000000" w:themeColor="text1"/>
        </w:rPr>
        <w:t xml:space="preserve"> (sulfuric acid)</w:t>
      </w:r>
      <w:r w:rsidR="00A801D9" w:rsidRPr="00026B74">
        <w:rPr>
          <w:color w:val="000000" w:themeColor="text1"/>
        </w:rPr>
        <w:t xml:space="preserve"> to extract fermentable substrates for Lactobacillus fermentation, which yields lactic acid. A stream of pure calcium hydroxide (20 kg/h) is maintained to regulate the fermentation </w:t>
      </w:r>
      <w:proofErr w:type="spellStart"/>
      <w:r w:rsidR="00A801D9" w:rsidRPr="00026B74">
        <w:rPr>
          <w:color w:val="000000" w:themeColor="text1"/>
        </w:rPr>
        <w:t>pH.</w:t>
      </w:r>
      <w:proofErr w:type="spellEnd"/>
      <w:r w:rsidR="00A801D9" w:rsidRPr="00026B74">
        <w:rPr>
          <w:color w:val="000000" w:themeColor="text1"/>
        </w:rPr>
        <w:t xml:space="preserve"> </w:t>
      </w:r>
      <w:r w:rsidR="00D1357F" w:rsidRPr="00026B74">
        <w:rPr>
          <w:color w:val="000000" w:themeColor="text1"/>
        </w:rPr>
        <w:t>After fermentation, the lactic acid suspension containing residual calcium hydroxide</w:t>
      </w:r>
      <w:r w:rsidR="00A801D9" w:rsidRPr="00026B74">
        <w:rPr>
          <w:color w:val="000000" w:themeColor="text1"/>
        </w:rPr>
        <w:t xml:space="preserve"> is neutralized with sulfuric acid (20 kg/h). The resulting salts are separated via filtration, and water is evaporated. The lactic acid then undergoes </w:t>
      </w:r>
      <w:r w:rsidR="008E5398" w:rsidRPr="00026B74">
        <w:rPr>
          <w:color w:val="000000" w:themeColor="text1"/>
        </w:rPr>
        <w:t>pre-polymerization to produce low-molecular-weight</w:t>
      </w:r>
      <w:r w:rsidR="00A801D9" w:rsidRPr="00026B74">
        <w:rPr>
          <w:color w:val="000000" w:themeColor="text1"/>
        </w:rPr>
        <w:t xml:space="preserve"> polylactic acid, which is subsequently converted into lactides. These lactides are separated from water and residual acids </w:t>
      </w:r>
      <w:r w:rsidR="008E5398" w:rsidRPr="00026B74">
        <w:rPr>
          <w:color w:val="000000" w:themeColor="text1"/>
        </w:rPr>
        <w:t>by flash separation and distillation, with the light fractions recirculated to the pre-polymerization reactor</w:t>
      </w:r>
      <w:r w:rsidR="00554930" w:rsidRPr="00026B74">
        <w:rPr>
          <w:color w:val="000000" w:themeColor="text1"/>
        </w:rPr>
        <w:t>. In contrast,</w:t>
      </w:r>
      <w:r w:rsidR="008E5398" w:rsidRPr="00026B74">
        <w:rPr>
          <w:color w:val="000000" w:themeColor="text1"/>
        </w:rPr>
        <w:t xml:space="preserve"> the purified lactides are polymerized via ring-opening</w:t>
      </w:r>
      <w:r w:rsidR="00A801D9" w:rsidRPr="00026B74">
        <w:rPr>
          <w:color w:val="000000" w:themeColor="text1"/>
        </w:rPr>
        <w:t xml:space="preserve"> polymerization. The final polylactic acid is blended with a starch fraction from </w:t>
      </w:r>
      <w:r w:rsidR="008E5398" w:rsidRPr="00026B74">
        <w:rPr>
          <w:color w:val="000000" w:themeColor="text1"/>
        </w:rPr>
        <w:t>the starch production section</w:t>
      </w:r>
      <w:r w:rsidR="00A801D9" w:rsidRPr="00026B74">
        <w:rPr>
          <w:color w:val="000000" w:themeColor="text1"/>
        </w:rPr>
        <w:t xml:space="preserve"> to produce a bioplastic film.</w:t>
      </w:r>
    </w:p>
    <w:p w14:paraId="582642C6" w14:textId="6BC78A28" w:rsidR="00453E24" w:rsidRPr="00026B74" w:rsidRDefault="00173D8F" w:rsidP="005866DD">
      <w:pPr>
        <w:pStyle w:val="CETheadingx"/>
        <w:rPr>
          <w:color w:val="000000" w:themeColor="text1"/>
        </w:rPr>
      </w:pPr>
      <w:r w:rsidRPr="00026B74">
        <w:rPr>
          <w:color w:val="000000" w:themeColor="text1"/>
        </w:rPr>
        <w:t>Life Cycle Assessment</w:t>
      </w:r>
    </w:p>
    <w:p w14:paraId="610C1D83" w14:textId="1F38DB84" w:rsidR="00E50550" w:rsidRPr="00026B74" w:rsidRDefault="00DB207A" w:rsidP="00E50550">
      <w:pPr>
        <w:pStyle w:val="CETBodytext"/>
        <w:rPr>
          <w:color w:val="000000" w:themeColor="text1"/>
        </w:rPr>
      </w:pPr>
      <w:r w:rsidRPr="00026B74">
        <w:rPr>
          <w:color w:val="000000" w:themeColor="text1"/>
        </w:rPr>
        <w:t xml:space="preserve">The LCA conducted in this study aligns with ISO 14040 and 14044 standards (2006). These standards define the structure of the LCA, covering the objective and scope, life cycle inventory, impact assessment (LCIA), and result interpretation. </w:t>
      </w:r>
      <w:proofErr w:type="spellStart"/>
      <w:r w:rsidRPr="00026B74">
        <w:rPr>
          <w:color w:val="000000" w:themeColor="text1"/>
        </w:rPr>
        <w:t>OpenLCA</w:t>
      </w:r>
      <w:proofErr w:type="spellEnd"/>
      <w:r w:rsidRPr="00026B74">
        <w:rPr>
          <w:color w:val="000000" w:themeColor="text1"/>
        </w:rPr>
        <w:t xml:space="preserve"> 2.6 software was utilized to perform the LCA calculations.</w:t>
      </w:r>
    </w:p>
    <w:p w14:paraId="1DEDD93B" w14:textId="40374F9C" w:rsidR="00DB207A" w:rsidRPr="00026B74" w:rsidRDefault="00DB207A" w:rsidP="00DB207A">
      <w:pPr>
        <w:pStyle w:val="CETHeadingxx"/>
        <w:rPr>
          <w:color w:val="000000" w:themeColor="text1"/>
        </w:rPr>
      </w:pPr>
      <w:r w:rsidRPr="00026B74">
        <w:rPr>
          <w:color w:val="000000" w:themeColor="text1"/>
        </w:rPr>
        <w:t>Goal and scope</w:t>
      </w:r>
    </w:p>
    <w:p w14:paraId="08BF8950" w14:textId="77777777" w:rsidR="0006208F" w:rsidRDefault="001B53D1" w:rsidP="0006208F">
      <w:pPr>
        <w:pStyle w:val="CETBodytext"/>
        <w:rPr>
          <w:color w:val="000000" w:themeColor="text1"/>
        </w:rPr>
      </w:pPr>
      <w:r w:rsidRPr="00026B74">
        <w:rPr>
          <w:color w:val="000000" w:themeColor="text1"/>
        </w:rPr>
        <w:t xml:space="preserve">This investigation </w:t>
      </w:r>
      <w:r w:rsidR="00FE67A2" w:rsidRPr="00026B74">
        <w:rPr>
          <w:color w:val="000000" w:themeColor="text1"/>
        </w:rPr>
        <w:t>evaluates</w:t>
      </w:r>
      <w:r w:rsidRPr="00026B74">
        <w:rPr>
          <w:color w:val="000000" w:themeColor="text1"/>
        </w:rPr>
        <w:t xml:space="preserve"> the environmental performance</w:t>
      </w:r>
      <w:r w:rsidR="009B10E1" w:rsidRPr="00026B74">
        <w:rPr>
          <w:color w:val="000000" w:themeColor="text1"/>
        </w:rPr>
        <w:t xml:space="preserve"> —mainly climate change</w:t>
      </w:r>
      <w:r w:rsidR="009B10E1" w:rsidRPr="00026B74">
        <w:rPr>
          <w:rFonts w:ascii="Tahoma" w:hAnsi="Tahoma" w:cs="Tahoma"/>
          <w:color w:val="000000" w:themeColor="text1"/>
        </w:rPr>
        <w:t>؅</w:t>
      </w:r>
      <w:r w:rsidR="009B10E1" w:rsidRPr="00026B74">
        <w:rPr>
          <w:rFonts w:cs="Arial"/>
          <w:color w:val="000000" w:themeColor="text1"/>
        </w:rPr>
        <w:t>—</w:t>
      </w:r>
      <w:r w:rsidR="009B10E1" w:rsidRPr="00026B74">
        <w:rPr>
          <w:color w:val="000000" w:themeColor="text1"/>
        </w:rPr>
        <w:t xml:space="preserve"> </w:t>
      </w:r>
      <w:r w:rsidRPr="00026B74">
        <w:rPr>
          <w:color w:val="000000" w:themeColor="text1"/>
        </w:rPr>
        <w:t xml:space="preserve">of a cascade biorefinery that transforms Hass avocado seed waste into starch, biofilms, and an insecticide. It emphasizes </w:t>
      </w:r>
      <w:r w:rsidR="00FE67A2" w:rsidRPr="00026B74">
        <w:rPr>
          <w:color w:val="000000" w:themeColor="text1"/>
        </w:rPr>
        <w:t>identifying key impact hotspots and assessing</w:t>
      </w:r>
      <w:r w:rsidRPr="00026B74">
        <w:rPr>
          <w:color w:val="000000" w:themeColor="text1"/>
        </w:rPr>
        <w:t xml:space="preserve"> the robustness of findings through uncertainty and sensitivity analyses. The objective is to </w:t>
      </w:r>
      <w:r w:rsidR="00FE67A2" w:rsidRPr="00026B74">
        <w:rPr>
          <w:color w:val="000000" w:themeColor="text1"/>
        </w:rPr>
        <w:t>understand not only the average environmental impact but also the variability of results under different assumptions, and to determine</w:t>
      </w:r>
      <w:r w:rsidRPr="00026B74">
        <w:rPr>
          <w:color w:val="000000" w:themeColor="text1"/>
        </w:rPr>
        <w:t xml:space="preserve"> whether the biorefinery provides environmental benefits relative to conventional waste management practices.</w:t>
      </w:r>
      <w:r w:rsidR="00D63C76" w:rsidRPr="00026B74">
        <w:rPr>
          <w:color w:val="000000" w:themeColor="text1"/>
        </w:rPr>
        <w:t xml:space="preserve"> </w:t>
      </w:r>
      <w:r w:rsidRPr="00026B74">
        <w:rPr>
          <w:color w:val="000000" w:themeColor="text1"/>
        </w:rPr>
        <w:t xml:space="preserve">The scope of this consequential LCA of the </w:t>
      </w:r>
      <w:r w:rsidR="00FE67A2" w:rsidRPr="00026B74">
        <w:rPr>
          <w:color w:val="000000" w:themeColor="text1"/>
        </w:rPr>
        <w:t xml:space="preserve">multi-product system addresses inquiries into the environmental impacts associated with </w:t>
      </w:r>
      <w:r w:rsidR="00F31DB7" w:rsidRPr="00026B74">
        <w:rPr>
          <w:color w:val="000000" w:themeColor="text1"/>
        </w:rPr>
        <w:t>the multi-product biorefinery</w:t>
      </w:r>
      <w:r w:rsidR="00FE67A2" w:rsidRPr="00026B74">
        <w:rPr>
          <w:color w:val="000000" w:themeColor="text1"/>
        </w:rPr>
        <w:t xml:space="preserve">, the implications of diverting waste from its customary destination, and </w:t>
      </w:r>
      <w:r w:rsidR="00B25DEE" w:rsidRPr="00026B74">
        <w:rPr>
          <w:color w:val="000000" w:themeColor="text1"/>
        </w:rPr>
        <w:t>the extent to which</w:t>
      </w:r>
      <w:r w:rsidR="00FE67A2" w:rsidRPr="00026B74">
        <w:rPr>
          <w:color w:val="000000" w:themeColor="text1"/>
        </w:rPr>
        <w:t xml:space="preserve"> co-products may partially substitute for </w:t>
      </w:r>
      <w:r w:rsidRPr="00026B74">
        <w:rPr>
          <w:color w:val="000000" w:themeColor="text1"/>
        </w:rPr>
        <w:t>market products. The functional unit</w:t>
      </w:r>
      <w:r w:rsidR="00FC5649" w:rsidRPr="00026B74">
        <w:rPr>
          <w:color w:val="000000" w:themeColor="text1"/>
        </w:rPr>
        <w:t xml:space="preserve"> (FU)</w:t>
      </w:r>
      <w:r w:rsidRPr="00026B74">
        <w:rPr>
          <w:color w:val="000000" w:themeColor="text1"/>
        </w:rPr>
        <w:t xml:space="preserve"> is defined as </w:t>
      </w:r>
      <w:r w:rsidR="00FE67A2" w:rsidRPr="00026B74">
        <w:rPr>
          <w:color w:val="000000" w:themeColor="text1"/>
        </w:rPr>
        <w:t xml:space="preserve">1,000 </w:t>
      </w:r>
      <w:r w:rsidR="00E71756" w:rsidRPr="00026B74">
        <w:rPr>
          <w:color w:val="000000" w:themeColor="text1"/>
        </w:rPr>
        <w:t>kg</w:t>
      </w:r>
      <w:r w:rsidR="00686383" w:rsidRPr="00026B74">
        <w:rPr>
          <w:color w:val="000000" w:themeColor="text1"/>
        </w:rPr>
        <w:t xml:space="preserve"> (1 t)</w:t>
      </w:r>
      <w:r w:rsidR="00FE67A2" w:rsidRPr="00026B74">
        <w:rPr>
          <w:color w:val="000000" w:themeColor="text1"/>
        </w:rPr>
        <w:t xml:space="preserve"> of processed Hass avocado seeds</w:t>
      </w:r>
      <w:r w:rsidR="00722321" w:rsidRPr="00026B74">
        <w:rPr>
          <w:color w:val="000000" w:themeColor="text1"/>
        </w:rPr>
        <w:t xml:space="preserve"> (</w:t>
      </w:r>
      <w:r w:rsidR="000259A1" w:rsidRPr="00026B74">
        <w:rPr>
          <w:color w:val="000000" w:themeColor="text1"/>
        </w:rPr>
        <w:t>Cut-off</w:t>
      </w:r>
      <w:r w:rsidR="00722321" w:rsidRPr="00026B74">
        <w:rPr>
          <w:color w:val="000000" w:themeColor="text1"/>
        </w:rPr>
        <w:t>)</w:t>
      </w:r>
      <w:r w:rsidR="00FE67A2" w:rsidRPr="00026B74">
        <w:rPr>
          <w:color w:val="000000" w:themeColor="text1"/>
        </w:rPr>
        <w:t xml:space="preserve">, consistent with industrial scenarios in which </w:t>
      </w:r>
      <w:r w:rsidR="001F4246" w:rsidRPr="00026B74">
        <w:rPr>
          <w:color w:val="000000" w:themeColor="text1"/>
        </w:rPr>
        <w:t>displaced</w:t>
      </w:r>
      <w:r w:rsidR="00FE67A2" w:rsidRPr="00026B74">
        <w:rPr>
          <w:color w:val="000000" w:themeColor="text1"/>
        </w:rPr>
        <w:t xml:space="preserve"> </w:t>
      </w:r>
      <w:r w:rsidR="001F4246" w:rsidRPr="00026B74">
        <w:rPr>
          <w:color w:val="000000" w:themeColor="text1"/>
        </w:rPr>
        <w:t>products</w:t>
      </w:r>
      <w:r w:rsidR="00FE67A2" w:rsidRPr="00026B74">
        <w:rPr>
          <w:color w:val="000000" w:themeColor="text1"/>
        </w:rPr>
        <w:t xml:space="preserve"> </w:t>
      </w:r>
      <w:r w:rsidR="001F4246" w:rsidRPr="00026B74">
        <w:rPr>
          <w:color w:val="000000" w:themeColor="text1"/>
        </w:rPr>
        <w:t xml:space="preserve">are produced </w:t>
      </w:r>
      <w:r w:rsidR="00E248EC" w:rsidRPr="00026B74">
        <w:rPr>
          <w:color w:val="000000" w:themeColor="text1"/>
        </w:rPr>
        <w:t xml:space="preserve">(it implies that the </w:t>
      </w:r>
      <w:r w:rsidR="00E248EC" w:rsidRPr="00026B74">
        <w:rPr>
          <w:color w:val="000000" w:themeColor="text1"/>
        </w:rPr>
        <w:lastRenderedPageBreak/>
        <w:t>27.4 kg/h of avocado seed flow, and all the process streams</w:t>
      </w:r>
      <w:r w:rsidR="004F53F1" w:rsidRPr="00026B74">
        <w:rPr>
          <w:color w:val="000000" w:themeColor="text1"/>
        </w:rPr>
        <w:t>, were</w:t>
      </w:r>
      <w:r w:rsidR="00E248EC" w:rsidRPr="00026B74">
        <w:rPr>
          <w:color w:val="000000" w:themeColor="text1"/>
        </w:rPr>
        <w:t xml:space="preserve"> multiplied by a factor of </w:t>
      </w:r>
      <m:oMath>
        <m:r>
          <w:rPr>
            <w:rFonts w:ascii="Cambria Math" w:hAnsi="Cambria Math"/>
            <w:color w:val="000000" w:themeColor="text1"/>
          </w:rPr>
          <m:t>~</m:t>
        </m:r>
      </m:oMath>
      <w:r w:rsidR="00E248EC" w:rsidRPr="00026B74">
        <w:rPr>
          <w:color w:val="000000" w:themeColor="text1"/>
        </w:rPr>
        <w:t>36.5)</w:t>
      </w:r>
      <w:r w:rsidRPr="00026B74">
        <w:rPr>
          <w:color w:val="000000" w:themeColor="text1"/>
        </w:rPr>
        <w:t xml:space="preserve">. </w:t>
      </w:r>
      <w:r w:rsidR="00D00F3E" w:rsidRPr="00026B74">
        <w:rPr>
          <w:color w:val="000000" w:themeColor="text1"/>
        </w:rPr>
        <w:t xml:space="preserve">Specifically, the </w:t>
      </w:r>
      <w:r w:rsidRPr="00026B74">
        <w:rPr>
          <w:color w:val="000000" w:themeColor="text1"/>
        </w:rPr>
        <w:t xml:space="preserve">comparative scenario involves the current disposal of avocado seeds in a </w:t>
      </w:r>
      <w:r w:rsidR="00EE26E9" w:rsidRPr="00026B74">
        <w:rPr>
          <w:color w:val="000000" w:themeColor="text1"/>
        </w:rPr>
        <w:t>sanitary</w:t>
      </w:r>
      <w:r w:rsidRPr="00026B74">
        <w:rPr>
          <w:color w:val="000000" w:themeColor="text1"/>
        </w:rPr>
        <w:t xml:space="preserve"> landfill, contrasted with </w:t>
      </w:r>
      <w:r w:rsidR="00697821" w:rsidRPr="00026B74">
        <w:rPr>
          <w:color w:val="000000" w:themeColor="text1"/>
        </w:rPr>
        <w:t>100%</w:t>
      </w:r>
      <w:r w:rsidRPr="00026B74">
        <w:rPr>
          <w:color w:val="000000" w:themeColor="text1"/>
        </w:rPr>
        <w:t xml:space="preserve"> </w:t>
      </w:r>
      <w:r w:rsidR="00697821" w:rsidRPr="00026B74">
        <w:rPr>
          <w:color w:val="000000" w:themeColor="text1"/>
        </w:rPr>
        <w:t>replacement of market products</w:t>
      </w:r>
      <w:r w:rsidRPr="00026B74">
        <w:rPr>
          <w:color w:val="000000" w:themeColor="text1"/>
        </w:rPr>
        <w:t xml:space="preserve">. The system boundary encompasses an expanded </w:t>
      </w:r>
      <w:r w:rsidR="00FE67A2" w:rsidRPr="00026B74">
        <w:rPr>
          <w:color w:val="000000" w:themeColor="text1"/>
        </w:rPr>
        <w:t>gate-to-gate</w:t>
      </w:r>
      <w:r w:rsidRPr="00026B74">
        <w:rPr>
          <w:color w:val="000000" w:themeColor="text1"/>
        </w:rPr>
        <w:t xml:space="preserve"> scope</w:t>
      </w:r>
      <w:r w:rsidR="007F4E40" w:rsidRPr="00026B74">
        <w:rPr>
          <w:color w:val="000000" w:themeColor="text1"/>
        </w:rPr>
        <w:t xml:space="preserve"> (see Figure 1)</w:t>
      </w:r>
      <w:r w:rsidRPr="00026B74">
        <w:rPr>
          <w:color w:val="000000" w:themeColor="text1"/>
        </w:rPr>
        <w:t xml:space="preserve">, including upstream inputs such as internal process operations, supply chains for materials and energy, treatment of municipal waste streams and wastewater, and the substitution of market products based on replacement percentages </w:t>
      </w:r>
      <w:r w:rsidR="009B10E1" w:rsidRPr="00026B74">
        <w:rPr>
          <w:color w:val="000000" w:themeColor="text1"/>
        </w:rPr>
        <w:t>used in the</w:t>
      </w:r>
      <w:r w:rsidRPr="00026B74">
        <w:rPr>
          <w:color w:val="000000" w:themeColor="text1"/>
        </w:rPr>
        <w:t xml:space="preserve"> sensitivity analysis. </w:t>
      </w:r>
      <w:r w:rsidR="00E83818" w:rsidRPr="00026B74">
        <w:rPr>
          <w:color w:val="000000" w:themeColor="text1"/>
        </w:rPr>
        <w:t xml:space="preserve">A cradle-to-gate scenario is avoided due to uncertainty </w:t>
      </w:r>
      <w:r w:rsidR="008F7E06" w:rsidRPr="00026B74">
        <w:rPr>
          <w:color w:val="000000" w:themeColor="text1"/>
        </w:rPr>
        <w:t>about the new biorefinery's potential location</w:t>
      </w:r>
      <w:r w:rsidR="00E83818" w:rsidRPr="00026B74">
        <w:rPr>
          <w:color w:val="000000" w:themeColor="text1"/>
        </w:rPr>
        <w:t xml:space="preserve">. </w:t>
      </w:r>
      <w:r w:rsidR="00F31DB7" w:rsidRPr="00026B74">
        <w:rPr>
          <w:color w:val="000000" w:themeColor="text1"/>
        </w:rPr>
        <w:t>Finally, i</w:t>
      </w:r>
      <w:r w:rsidRPr="00026B74">
        <w:rPr>
          <w:color w:val="000000" w:themeColor="text1"/>
        </w:rPr>
        <w:t xml:space="preserve">n accordance with standard practice, contributions deemed </w:t>
      </w:r>
      <w:r w:rsidR="00740913" w:rsidRPr="00026B74">
        <w:rPr>
          <w:color w:val="000000" w:themeColor="text1"/>
        </w:rPr>
        <w:t>marginal</w:t>
      </w:r>
      <w:r w:rsidR="008F7E06" w:rsidRPr="00026B74">
        <w:rPr>
          <w:color w:val="000000" w:themeColor="text1"/>
        </w:rPr>
        <w:t xml:space="preserve"> </w:t>
      </w:r>
      <w:r w:rsidR="00740913" w:rsidRPr="00026B74">
        <w:rPr>
          <w:color w:val="000000" w:themeColor="text1"/>
        </w:rPr>
        <w:t>—infrastructure, capital goods, and labor—</w:t>
      </w:r>
      <w:r w:rsidR="008F7E06" w:rsidRPr="00026B74">
        <w:rPr>
          <w:color w:val="000000" w:themeColor="text1"/>
        </w:rPr>
        <w:t xml:space="preserve"> </w:t>
      </w:r>
      <w:r w:rsidR="009B10E1" w:rsidRPr="00026B74">
        <w:rPr>
          <w:color w:val="000000" w:themeColor="text1"/>
        </w:rPr>
        <w:t xml:space="preserve">were excluded </w:t>
      </w:r>
      <w:r w:rsidR="00740913" w:rsidRPr="00026B74">
        <w:rPr>
          <w:color w:val="000000" w:themeColor="text1"/>
        </w:rPr>
        <w:t>because relevant data were unavailable</w:t>
      </w:r>
      <w:r w:rsidRPr="00026B74">
        <w:rPr>
          <w:color w:val="000000" w:themeColor="text1"/>
        </w:rPr>
        <w:t xml:space="preserve">. To address multifunctionality, the study emphasizes avoiding allocation through system expansion or displacement credits, </w:t>
      </w:r>
      <w:r w:rsidR="008A1A5C" w:rsidRPr="00026B74">
        <w:rPr>
          <w:color w:val="000000" w:themeColor="text1"/>
        </w:rPr>
        <w:t xml:space="preserve">consistent with a </w:t>
      </w:r>
      <w:r w:rsidRPr="00026B74">
        <w:rPr>
          <w:color w:val="000000" w:themeColor="text1"/>
        </w:rPr>
        <w:t xml:space="preserve">consequentialist framework for analyzing a cascade </w:t>
      </w:r>
      <w:r w:rsidR="0006208F" w:rsidRPr="0006208F">
        <w:rPr>
          <w:rFonts w:ascii="Times New Roman" w:hAnsi="Times New Roman"/>
          <w:noProof/>
          <w:sz w:val="24"/>
          <w:szCs w:val="24"/>
          <w:lang w:val="es-PE" w:eastAsia="es-PE"/>
        </w:rPr>
        <w:drawing>
          <wp:anchor distT="0" distB="0" distL="114300" distR="114300" simplePos="0" relativeHeight="251675648" behindDoc="0" locked="0" layoutInCell="1" allowOverlap="1" wp14:anchorId="545EB354" wp14:editId="1C3C7DD6">
            <wp:simplePos x="0" y="0"/>
            <wp:positionH relativeFrom="column">
              <wp:posOffset>-1905</wp:posOffset>
            </wp:positionH>
            <wp:positionV relativeFrom="paragraph">
              <wp:posOffset>1620520</wp:posOffset>
            </wp:positionV>
            <wp:extent cx="4566285" cy="2520950"/>
            <wp:effectExtent l="0" t="0" r="571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6285" cy="252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6B74">
        <w:rPr>
          <w:color w:val="000000" w:themeColor="text1"/>
        </w:rPr>
        <w:t>biorefinery.</w:t>
      </w:r>
    </w:p>
    <w:p w14:paraId="6CD09335" w14:textId="5261B091" w:rsidR="007F4E40" w:rsidRPr="0006208F" w:rsidRDefault="007F4E40" w:rsidP="0006208F">
      <w:pPr>
        <w:pStyle w:val="CETBodytext"/>
        <w:rPr>
          <w:color w:val="000000" w:themeColor="text1"/>
        </w:rPr>
      </w:pPr>
      <w:r w:rsidRPr="00026B74">
        <w:rPr>
          <w:rStyle w:val="CETCaptionCarattere"/>
          <w:color w:val="000000" w:themeColor="text1"/>
        </w:rPr>
        <w:t>Figure 1:</w:t>
      </w:r>
      <w:r w:rsidRPr="00026B74">
        <w:rPr>
          <w:rStyle w:val="CETCaptionCarattere"/>
          <w:i w:val="0"/>
          <w:iCs/>
          <w:color w:val="000000" w:themeColor="text1"/>
        </w:rPr>
        <w:t xml:space="preserve"> </w:t>
      </w:r>
      <w:r w:rsidRPr="00026B74">
        <w:rPr>
          <w:i/>
          <w:iCs/>
          <w:color w:val="000000" w:themeColor="text1"/>
        </w:rPr>
        <w:t>System boundary of the Cascade biorefinery</w:t>
      </w:r>
      <w:r w:rsidRPr="00026B74">
        <w:rPr>
          <w:color w:val="000000" w:themeColor="text1"/>
        </w:rPr>
        <w:t xml:space="preserve"> </w:t>
      </w:r>
    </w:p>
    <w:p w14:paraId="0727924E" w14:textId="492F1FE4" w:rsidR="002C25D3" w:rsidRPr="00026B74" w:rsidRDefault="00433CEC" w:rsidP="00DB207A">
      <w:pPr>
        <w:pStyle w:val="CETHeadingxx"/>
        <w:rPr>
          <w:color w:val="000000" w:themeColor="text1"/>
        </w:rPr>
      </w:pPr>
      <w:r w:rsidRPr="00026B74">
        <w:rPr>
          <w:color w:val="000000" w:themeColor="text1"/>
        </w:rPr>
        <w:t>Life Cycle Inventory modeling</w:t>
      </w:r>
    </w:p>
    <w:p w14:paraId="7B2EC44F" w14:textId="4AB9B210" w:rsidR="00433CEC" w:rsidRPr="00026B74" w:rsidRDefault="008A4820" w:rsidP="00433CEC">
      <w:pPr>
        <w:pStyle w:val="CETBodytext"/>
        <w:rPr>
          <w:color w:val="000000" w:themeColor="text1"/>
        </w:rPr>
      </w:pPr>
      <w:r w:rsidRPr="00026B74">
        <w:rPr>
          <w:color w:val="000000" w:themeColor="text1"/>
        </w:rPr>
        <w:t>Data sources were compiled based on process modeling and simulation of the Hass avocado seed biorefinery. Aspen Plus v12.0 was used to model the production process</w:t>
      </w:r>
      <w:r w:rsidR="001A2631" w:rsidRPr="00026B74">
        <w:rPr>
          <w:color w:val="000000" w:themeColor="text1"/>
        </w:rPr>
        <w:t xml:space="preserve"> (steady-state)</w:t>
      </w:r>
      <w:r w:rsidRPr="00026B74">
        <w:rPr>
          <w:color w:val="000000" w:themeColor="text1"/>
        </w:rPr>
        <w:t>, and energy and mass balances were employed to quantify the life-cycle inventory</w:t>
      </w:r>
      <w:r w:rsidR="00EC38A6" w:rsidRPr="00026B74">
        <w:rPr>
          <w:color w:val="000000" w:themeColor="text1"/>
        </w:rPr>
        <w:t xml:space="preserve"> (see Table 1)</w:t>
      </w:r>
      <w:r w:rsidRPr="00026B74">
        <w:rPr>
          <w:color w:val="000000" w:themeColor="text1"/>
        </w:rPr>
        <w:t xml:space="preserve">. </w:t>
      </w:r>
    </w:p>
    <w:p w14:paraId="00946622" w14:textId="1106D6DF" w:rsidR="001D3ADC" w:rsidRPr="00026B74" w:rsidRDefault="001D3ADC" w:rsidP="001D3ADC">
      <w:pPr>
        <w:pStyle w:val="CETTabletitle"/>
        <w:rPr>
          <w:color w:val="000000" w:themeColor="text1"/>
        </w:rPr>
      </w:pPr>
      <w:r w:rsidRPr="00026B74">
        <w:rPr>
          <w:color w:val="000000" w:themeColor="text1"/>
        </w:rPr>
        <w:t xml:space="preserve">Table 1: </w:t>
      </w:r>
      <w:r w:rsidR="00731A7B" w:rsidRPr="00026B74">
        <w:rPr>
          <w:color w:val="000000" w:themeColor="text1"/>
        </w:rPr>
        <w:t>Summary of inputs, outputs, and emissions of the biorefinery</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52"/>
        <w:gridCol w:w="4477"/>
        <w:gridCol w:w="850"/>
        <w:gridCol w:w="709"/>
      </w:tblGrid>
      <w:tr w:rsidR="00026B74" w:rsidRPr="00026B74" w14:paraId="249CC90A" w14:textId="148D2063" w:rsidTr="006440F8">
        <w:tc>
          <w:tcPr>
            <w:tcW w:w="1052" w:type="dxa"/>
            <w:tcBorders>
              <w:top w:val="single" w:sz="12" w:space="0" w:color="008000"/>
              <w:bottom w:val="single" w:sz="6" w:space="0" w:color="008000"/>
            </w:tcBorders>
            <w:shd w:val="clear" w:color="auto" w:fill="FFFFFF"/>
          </w:tcPr>
          <w:p w14:paraId="581ED6D4" w14:textId="68C9A3F5" w:rsidR="00D54162" w:rsidRPr="00026B74" w:rsidRDefault="00D54162" w:rsidP="00F23E60">
            <w:pPr>
              <w:pStyle w:val="CETBodytext"/>
              <w:rPr>
                <w:color w:val="000000" w:themeColor="text1"/>
                <w:lang w:val="en-GB"/>
              </w:rPr>
            </w:pPr>
            <w:r w:rsidRPr="00026B74">
              <w:rPr>
                <w:color w:val="000000" w:themeColor="text1"/>
                <w:lang w:val="en-GB"/>
              </w:rPr>
              <w:t>Flow type</w:t>
            </w:r>
          </w:p>
        </w:tc>
        <w:tc>
          <w:tcPr>
            <w:tcW w:w="4477" w:type="dxa"/>
            <w:tcBorders>
              <w:top w:val="single" w:sz="12" w:space="0" w:color="008000"/>
              <w:bottom w:val="single" w:sz="6" w:space="0" w:color="008000"/>
            </w:tcBorders>
            <w:shd w:val="clear" w:color="auto" w:fill="FFFFFF"/>
          </w:tcPr>
          <w:p w14:paraId="322470DD" w14:textId="2DBA3617" w:rsidR="00D54162" w:rsidRPr="00026B74" w:rsidRDefault="00D54162" w:rsidP="00F23E60">
            <w:pPr>
              <w:pStyle w:val="CETBodytext"/>
              <w:rPr>
                <w:color w:val="000000" w:themeColor="text1"/>
                <w:lang w:val="en-GB"/>
              </w:rPr>
            </w:pPr>
            <w:r w:rsidRPr="00026B74">
              <w:rPr>
                <w:color w:val="000000" w:themeColor="text1"/>
                <w:lang w:val="en-GB"/>
              </w:rPr>
              <w:t>Flow</w:t>
            </w:r>
          </w:p>
        </w:tc>
        <w:tc>
          <w:tcPr>
            <w:tcW w:w="850" w:type="dxa"/>
            <w:tcBorders>
              <w:top w:val="single" w:sz="12" w:space="0" w:color="008000"/>
              <w:bottom w:val="single" w:sz="6" w:space="0" w:color="008000"/>
            </w:tcBorders>
            <w:shd w:val="clear" w:color="auto" w:fill="FFFFFF"/>
          </w:tcPr>
          <w:p w14:paraId="3B0A982A" w14:textId="2B3E328F" w:rsidR="00D54162" w:rsidRPr="00026B74" w:rsidRDefault="00D54162" w:rsidP="00F23E60">
            <w:pPr>
              <w:pStyle w:val="CETBodytext"/>
              <w:rPr>
                <w:color w:val="000000" w:themeColor="text1"/>
                <w:lang w:val="en-GB"/>
              </w:rPr>
            </w:pPr>
            <w:r w:rsidRPr="00026B74">
              <w:rPr>
                <w:color w:val="000000" w:themeColor="text1"/>
                <w:lang w:val="en-GB"/>
              </w:rPr>
              <w:t xml:space="preserve"> Amount </w:t>
            </w:r>
          </w:p>
        </w:tc>
        <w:tc>
          <w:tcPr>
            <w:tcW w:w="709" w:type="dxa"/>
            <w:tcBorders>
              <w:top w:val="single" w:sz="12" w:space="0" w:color="008000"/>
              <w:bottom w:val="single" w:sz="6" w:space="0" w:color="008000"/>
            </w:tcBorders>
            <w:shd w:val="clear" w:color="auto" w:fill="FFFFFF"/>
          </w:tcPr>
          <w:p w14:paraId="05203CDA" w14:textId="03CACFC9" w:rsidR="00D54162" w:rsidRPr="00026B74" w:rsidRDefault="00D54162" w:rsidP="00F23E60">
            <w:pPr>
              <w:pStyle w:val="CETBodytext"/>
              <w:rPr>
                <w:color w:val="000000" w:themeColor="text1"/>
                <w:lang w:val="en-GB"/>
              </w:rPr>
            </w:pPr>
            <w:r w:rsidRPr="00026B74">
              <w:rPr>
                <w:color w:val="000000" w:themeColor="text1"/>
                <w:lang w:val="en-GB"/>
              </w:rPr>
              <w:t xml:space="preserve"> Unit</w:t>
            </w:r>
          </w:p>
        </w:tc>
      </w:tr>
      <w:tr w:rsidR="00026B74" w:rsidRPr="00026B74" w14:paraId="75166752" w14:textId="5A867753" w:rsidTr="006440F8">
        <w:tc>
          <w:tcPr>
            <w:tcW w:w="1052" w:type="dxa"/>
            <w:vMerge w:val="restart"/>
            <w:shd w:val="clear" w:color="auto" w:fill="FFFFFF"/>
            <w:vAlign w:val="center"/>
          </w:tcPr>
          <w:p w14:paraId="2DD93F3A" w14:textId="08A539A5" w:rsidR="00D54162" w:rsidRPr="00026B74" w:rsidRDefault="00D54162" w:rsidP="00D54162">
            <w:pPr>
              <w:pStyle w:val="CETBodytext"/>
              <w:rPr>
                <w:rFonts w:cs="Arial"/>
                <w:color w:val="000000" w:themeColor="text1"/>
                <w:sz w:val="16"/>
                <w:szCs w:val="16"/>
                <w:lang w:val="en-GB"/>
              </w:rPr>
            </w:pPr>
            <w:r w:rsidRPr="00026B74">
              <w:rPr>
                <w:rFonts w:cs="Arial"/>
                <w:color w:val="000000" w:themeColor="text1"/>
                <w:szCs w:val="18"/>
              </w:rPr>
              <w:t>Input</w:t>
            </w:r>
          </w:p>
        </w:tc>
        <w:tc>
          <w:tcPr>
            <w:tcW w:w="4477" w:type="dxa"/>
            <w:shd w:val="clear" w:color="auto" w:fill="FFFFFF"/>
            <w:vAlign w:val="center"/>
          </w:tcPr>
          <w:p w14:paraId="025B6F90" w14:textId="5983E795" w:rsidR="00D54162" w:rsidRPr="00026B74" w:rsidRDefault="00D54162" w:rsidP="00A911C0">
            <w:pPr>
              <w:pStyle w:val="CETBodytext"/>
              <w:rPr>
                <w:rFonts w:cs="Arial"/>
                <w:color w:val="000000" w:themeColor="text1"/>
                <w:sz w:val="16"/>
                <w:szCs w:val="16"/>
                <w:lang w:val="en-GB"/>
              </w:rPr>
            </w:pPr>
            <w:r w:rsidRPr="00026B74">
              <w:rPr>
                <w:rFonts w:cs="Arial"/>
                <w:color w:val="000000" w:themeColor="text1"/>
                <w:sz w:val="16"/>
                <w:szCs w:val="16"/>
              </w:rPr>
              <w:t>Avocado seed</w:t>
            </w:r>
            <w:r w:rsidR="006440F8" w:rsidRPr="00026B74">
              <w:rPr>
                <w:rFonts w:cs="Arial"/>
                <w:color w:val="000000" w:themeColor="text1"/>
                <w:sz w:val="16"/>
                <w:szCs w:val="16"/>
              </w:rPr>
              <w:t xml:space="preserve"> (</w:t>
            </w:r>
            <w:r w:rsidR="009B7C3E" w:rsidRPr="00026B74">
              <w:rPr>
                <w:rFonts w:cs="Arial"/>
                <w:color w:val="000000" w:themeColor="text1"/>
                <w:sz w:val="16"/>
                <w:szCs w:val="16"/>
              </w:rPr>
              <w:t>Feedstock</w:t>
            </w:r>
            <w:r w:rsidR="006440F8" w:rsidRPr="00026B74">
              <w:rPr>
                <w:rFonts w:cs="Arial"/>
                <w:color w:val="000000" w:themeColor="text1"/>
                <w:sz w:val="16"/>
                <w:szCs w:val="16"/>
              </w:rPr>
              <w:t>)</w:t>
            </w:r>
            <w:r w:rsidR="009B7C3E" w:rsidRPr="00026B74">
              <w:rPr>
                <w:rFonts w:cs="Arial"/>
                <w:color w:val="000000" w:themeColor="text1"/>
                <w:sz w:val="16"/>
                <w:szCs w:val="16"/>
              </w:rPr>
              <w:t xml:space="preserve"> —  Functional Unit</w:t>
            </w:r>
          </w:p>
        </w:tc>
        <w:tc>
          <w:tcPr>
            <w:tcW w:w="850" w:type="dxa"/>
            <w:shd w:val="clear" w:color="auto" w:fill="FFFFFF"/>
            <w:vAlign w:val="center"/>
          </w:tcPr>
          <w:p w14:paraId="08D3927A" w14:textId="70BF8630" w:rsidR="00D54162" w:rsidRPr="00026B74" w:rsidRDefault="00D54162" w:rsidP="00A911C0">
            <w:pPr>
              <w:pStyle w:val="CETBodytext"/>
              <w:rPr>
                <w:rFonts w:cs="Arial"/>
                <w:color w:val="000000" w:themeColor="text1"/>
                <w:sz w:val="16"/>
                <w:szCs w:val="16"/>
              </w:rPr>
            </w:pPr>
            <w:r w:rsidRPr="00026B74">
              <w:rPr>
                <w:rFonts w:cs="Arial"/>
                <w:color w:val="000000" w:themeColor="text1"/>
                <w:sz w:val="16"/>
                <w:szCs w:val="16"/>
              </w:rPr>
              <w:t>1000</w:t>
            </w:r>
          </w:p>
        </w:tc>
        <w:tc>
          <w:tcPr>
            <w:tcW w:w="709" w:type="dxa"/>
            <w:shd w:val="clear" w:color="auto" w:fill="FFFFFF"/>
          </w:tcPr>
          <w:p w14:paraId="739C7F85" w14:textId="00983B23" w:rsidR="00D54162" w:rsidRPr="00026B74" w:rsidRDefault="005F44C0" w:rsidP="00A911C0">
            <w:pPr>
              <w:pStyle w:val="CETBodytext"/>
              <w:rPr>
                <w:rFonts w:cs="Arial"/>
                <w:color w:val="000000" w:themeColor="text1"/>
                <w:sz w:val="16"/>
                <w:szCs w:val="16"/>
              </w:rPr>
            </w:pPr>
            <w:r w:rsidRPr="00026B74">
              <w:rPr>
                <w:rFonts w:cs="Arial"/>
                <w:color w:val="000000" w:themeColor="text1"/>
                <w:sz w:val="16"/>
                <w:szCs w:val="16"/>
              </w:rPr>
              <w:t>kg</w:t>
            </w:r>
          </w:p>
        </w:tc>
      </w:tr>
      <w:tr w:rsidR="00026B74" w:rsidRPr="00026B74" w14:paraId="12D4DE5F" w14:textId="74BC45A0" w:rsidTr="006440F8">
        <w:tc>
          <w:tcPr>
            <w:tcW w:w="1052" w:type="dxa"/>
            <w:vMerge/>
            <w:shd w:val="clear" w:color="auto" w:fill="FFFFFF"/>
            <w:vAlign w:val="center"/>
          </w:tcPr>
          <w:p w14:paraId="1A5A6112" w14:textId="2FA03394" w:rsidR="00D54162" w:rsidRPr="00026B74" w:rsidRDefault="00D54162" w:rsidP="00A911C0">
            <w:pPr>
              <w:pStyle w:val="CETBodytext"/>
              <w:ind w:right="-1"/>
              <w:rPr>
                <w:rFonts w:cs="Arial"/>
                <w:color w:val="000000" w:themeColor="text1"/>
                <w:sz w:val="16"/>
                <w:szCs w:val="16"/>
                <w:lang w:val="en-GB"/>
              </w:rPr>
            </w:pPr>
          </w:p>
        </w:tc>
        <w:tc>
          <w:tcPr>
            <w:tcW w:w="4477" w:type="dxa"/>
            <w:shd w:val="clear" w:color="auto" w:fill="FFFFFF"/>
            <w:vAlign w:val="center"/>
          </w:tcPr>
          <w:p w14:paraId="184AB6A6" w14:textId="61759A13" w:rsidR="00D54162" w:rsidRPr="00026B74" w:rsidRDefault="00D54162" w:rsidP="00A911C0">
            <w:pPr>
              <w:pStyle w:val="CETBodytext"/>
              <w:rPr>
                <w:rFonts w:eastAsia="Cambria Math" w:cs="Arial"/>
                <w:color w:val="000000" w:themeColor="text1"/>
                <w:w w:val="105"/>
                <w:position w:val="5"/>
                <w:sz w:val="16"/>
                <w:szCs w:val="16"/>
              </w:rPr>
            </w:pPr>
            <w:r w:rsidRPr="00026B74">
              <w:rPr>
                <w:rFonts w:cs="Arial"/>
                <w:color w:val="000000" w:themeColor="text1"/>
                <w:sz w:val="16"/>
                <w:szCs w:val="16"/>
              </w:rPr>
              <w:t>Carboxymethyl cellulose, powder</w:t>
            </w:r>
            <w:r w:rsidR="006440F8" w:rsidRPr="00026B74">
              <w:rPr>
                <w:rFonts w:cs="Arial"/>
                <w:color w:val="000000" w:themeColor="text1"/>
                <w:sz w:val="16"/>
                <w:szCs w:val="16"/>
              </w:rPr>
              <w:t xml:space="preserve"> - GLO</w:t>
            </w:r>
          </w:p>
        </w:tc>
        <w:tc>
          <w:tcPr>
            <w:tcW w:w="850" w:type="dxa"/>
            <w:shd w:val="clear" w:color="auto" w:fill="FFFFFF"/>
            <w:vAlign w:val="center"/>
          </w:tcPr>
          <w:p w14:paraId="054DC03F" w14:textId="40C1159E" w:rsidR="00D54162" w:rsidRPr="00026B74" w:rsidRDefault="00D54162" w:rsidP="00A911C0">
            <w:pPr>
              <w:pStyle w:val="CETBodytext"/>
              <w:rPr>
                <w:rFonts w:cs="Arial"/>
                <w:color w:val="000000" w:themeColor="text1"/>
                <w:sz w:val="16"/>
                <w:szCs w:val="16"/>
              </w:rPr>
            </w:pPr>
            <w:r w:rsidRPr="00026B74">
              <w:rPr>
                <w:rFonts w:cs="Arial"/>
                <w:color w:val="000000" w:themeColor="text1"/>
                <w:sz w:val="16"/>
                <w:szCs w:val="16"/>
              </w:rPr>
              <w:t>22.74</w:t>
            </w:r>
          </w:p>
        </w:tc>
        <w:tc>
          <w:tcPr>
            <w:tcW w:w="709" w:type="dxa"/>
            <w:shd w:val="clear" w:color="auto" w:fill="FFFFFF"/>
          </w:tcPr>
          <w:p w14:paraId="75C81404" w14:textId="667D2B07" w:rsidR="00D54162" w:rsidRPr="00026B74" w:rsidRDefault="005F44C0" w:rsidP="00A911C0">
            <w:pPr>
              <w:pStyle w:val="CETBodytext"/>
              <w:rPr>
                <w:rFonts w:cs="Arial"/>
                <w:color w:val="000000" w:themeColor="text1"/>
                <w:sz w:val="16"/>
                <w:szCs w:val="16"/>
              </w:rPr>
            </w:pPr>
            <w:r w:rsidRPr="00026B74">
              <w:rPr>
                <w:rFonts w:cs="Arial"/>
                <w:color w:val="000000" w:themeColor="text1"/>
                <w:sz w:val="16"/>
                <w:szCs w:val="16"/>
              </w:rPr>
              <w:t>kg</w:t>
            </w:r>
          </w:p>
        </w:tc>
      </w:tr>
      <w:tr w:rsidR="00026B74" w:rsidRPr="00026B74" w14:paraId="519925C0" w14:textId="1F08B586" w:rsidTr="006440F8">
        <w:tc>
          <w:tcPr>
            <w:tcW w:w="1052" w:type="dxa"/>
            <w:vMerge/>
            <w:shd w:val="clear" w:color="auto" w:fill="FFFFFF"/>
            <w:vAlign w:val="center"/>
          </w:tcPr>
          <w:p w14:paraId="01F23E35" w14:textId="207F927F" w:rsidR="00D54162" w:rsidRPr="00026B74" w:rsidRDefault="00D54162" w:rsidP="00A911C0">
            <w:pPr>
              <w:pStyle w:val="CETBodytext"/>
              <w:ind w:right="-1"/>
              <w:rPr>
                <w:rFonts w:cs="Arial"/>
                <w:color w:val="000000" w:themeColor="text1"/>
                <w:sz w:val="16"/>
                <w:szCs w:val="16"/>
                <w:lang w:val="en-GB"/>
              </w:rPr>
            </w:pPr>
          </w:p>
        </w:tc>
        <w:tc>
          <w:tcPr>
            <w:tcW w:w="4477" w:type="dxa"/>
            <w:shd w:val="clear" w:color="auto" w:fill="FFFFFF"/>
            <w:vAlign w:val="center"/>
          </w:tcPr>
          <w:p w14:paraId="45492B54" w14:textId="02198178" w:rsidR="00D54162" w:rsidRPr="00026B74" w:rsidRDefault="00D54162" w:rsidP="00A911C0">
            <w:pPr>
              <w:pStyle w:val="CETBodytext"/>
              <w:rPr>
                <w:rFonts w:cs="Arial"/>
                <w:color w:val="000000" w:themeColor="text1"/>
                <w:sz w:val="16"/>
                <w:szCs w:val="16"/>
                <w:lang w:val="en-GB"/>
              </w:rPr>
            </w:pPr>
            <w:r w:rsidRPr="00026B74">
              <w:rPr>
                <w:rFonts w:cs="Arial"/>
                <w:color w:val="000000" w:themeColor="text1"/>
                <w:sz w:val="16"/>
                <w:szCs w:val="16"/>
              </w:rPr>
              <w:t>Ethanol (99.7% w/w, anhydrous)</w:t>
            </w:r>
            <w:r w:rsidR="006440F8" w:rsidRPr="00026B74">
              <w:rPr>
                <w:rFonts w:cs="Arial"/>
                <w:color w:val="000000" w:themeColor="text1"/>
                <w:sz w:val="16"/>
                <w:szCs w:val="16"/>
              </w:rPr>
              <w:t xml:space="preserve"> - GLO</w:t>
            </w:r>
          </w:p>
        </w:tc>
        <w:tc>
          <w:tcPr>
            <w:tcW w:w="850" w:type="dxa"/>
            <w:shd w:val="clear" w:color="auto" w:fill="FFFFFF"/>
            <w:vAlign w:val="center"/>
          </w:tcPr>
          <w:p w14:paraId="23101893" w14:textId="5943F270" w:rsidR="00D54162" w:rsidRPr="00026B74" w:rsidRDefault="00D54162" w:rsidP="00A911C0">
            <w:pPr>
              <w:pStyle w:val="CETBodytext"/>
              <w:rPr>
                <w:rFonts w:cs="Arial"/>
                <w:color w:val="000000" w:themeColor="text1"/>
                <w:sz w:val="16"/>
                <w:szCs w:val="16"/>
              </w:rPr>
            </w:pPr>
            <w:r w:rsidRPr="00026B74">
              <w:rPr>
                <w:rFonts w:cs="Arial"/>
                <w:color w:val="000000" w:themeColor="text1"/>
                <w:sz w:val="16"/>
                <w:szCs w:val="16"/>
              </w:rPr>
              <w:t>620.44</w:t>
            </w:r>
          </w:p>
        </w:tc>
        <w:tc>
          <w:tcPr>
            <w:tcW w:w="709" w:type="dxa"/>
            <w:shd w:val="clear" w:color="auto" w:fill="FFFFFF"/>
          </w:tcPr>
          <w:p w14:paraId="2C28AB2D" w14:textId="23410FC9" w:rsidR="00D54162" w:rsidRPr="00026B74" w:rsidRDefault="005F44C0" w:rsidP="00A911C0">
            <w:pPr>
              <w:pStyle w:val="CETBodytext"/>
              <w:rPr>
                <w:rFonts w:cs="Arial"/>
                <w:color w:val="000000" w:themeColor="text1"/>
                <w:sz w:val="16"/>
                <w:szCs w:val="16"/>
              </w:rPr>
            </w:pPr>
            <w:r w:rsidRPr="00026B74">
              <w:rPr>
                <w:rFonts w:cs="Arial"/>
                <w:color w:val="000000" w:themeColor="text1"/>
                <w:sz w:val="16"/>
                <w:szCs w:val="16"/>
              </w:rPr>
              <w:t>kg</w:t>
            </w:r>
          </w:p>
        </w:tc>
      </w:tr>
      <w:tr w:rsidR="00026B74" w:rsidRPr="00026B74" w14:paraId="36799230" w14:textId="236D6570" w:rsidTr="006440F8">
        <w:tc>
          <w:tcPr>
            <w:tcW w:w="1052" w:type="dxa"/>
            <w:vMerge/>
            <w:shd w:val="clear" w:color="auto" w:fill="FFFFFF"/>
            <w:vAlign w:val="center"/>
          </w:tcPr>
          <w:p w14:paraId="07E0DC1C" w14:textId="1F775EFD" w:rsidR="00D54162" w:rsidRPr="00026B74" w:rsidRDefault="00D54162" w:rsidP="00A911C0">
            <w:pPr>
              <w:pStyle w:val="CETBodytext"/>
              <w:ind w:right="-1"/>
              <w:rPr>
                <w:rFonts w:cs="Arial"/>
                <w:color w:val="000000" w:themeColor="text1"/>
                <w:sz w:val="16"/>
                <w:szCs w:val="16"/>
                <w:lang w:val="en-GB"/>
              </w:rPr>
            </w:pPr>
          </w:p>
        </w:tc>
        <w:tc>
          <w:tcPr>
            <w:tcW w:w="4477" w:type="dxa"/>
            <w:shd w:val="clear" w:color="auto" w:fill="FFFFFF"/>
            <w:vAlign w:val="center"/>
          </w:tcPr>
          <w:p w14:paraId="5868C296" w14:textId="19F5F06E" w:rsidR="00D54162" w:rsidRPr="00026B74" w:rsidRDefault="00D54162" w:rsidP="00A911C0">
            <w:pPr>
              <w:pStyle w:val="CETBodytext"/>
              <w:rPr>
                <w:rFonts w:eastAsia="Cambria Math" w:cs="Arial"/>
                <w:color w:val="000000" w:themeColor="text1"/>
                <w:w w:val="105"/>
                <w:position w:val="5"/>
                <w:sz w:val="16"/>
                <w:szCs w:val="16"/>
              </w:rPr>
            </w:pPr>
            <w:r w:rsidRPr="00026B74">
              <w:rPr>
                <w:rFonts w:cs="Arial"/>
                <w:color w:val="000000" w:themeColor="text1"/>
                <w:sz w:val="16"/>
                <w:szCs w:val="16"/>
              </w:rPr>
              <w:t>Glucose</w:t>
            </w:r>
            <w:r w:rsidR="006440F8" w:rsidRPr="00026B74">
              <w:rPr>
                <w:rFonts w:cs="Arial"/>
                <w:color w:val="000000" w:themeColor="text1"/>
                <w:sz w:val="16"/>
                <w:szCs w:val="16"/>
              </w:rPr>
              <w:t xml:space="preserve"> - </w:t>
            </w:r>
            <w:proofErr w:type="spellStart"/>
            <w:r w:rsidR="006440F8" w:rsidRPr="00026B74">
              <w:rPr>
                <w:rFonts w:cs="Arial"/>
                <w:color w:val="000000" w:themeColor="text1"/>
                <w:sz w:val="16"/>
                <w:szCs w:val="16"/>
              </w:rPr>
              <w:t>RoW</w:t>
            </w:r>
            <w:proofErr w:type="spellEnd"/>
          </w:p>
        </w:tc>
        <w:tc>
          <w:tcPr>
            <w:tcW w:w="850" w:type="dxa"/>
            <w:shd w:val="clear" w:color="auto" w:fill="FFFFFF"/>
            <w:vAlign w:val="center"/>
          </w:tcPr>
          <w:p w14:paraId="45FDD8F9" w14:textId="16811030" w:rsidR="00D54162" w:rsidRPr="00026B74" w:rsidRDefault="00D54162" w:rsidP="00A911C0">
            <w:pPr>
              <w:pStyle w:val="CETBodytext"/>
              <w:rPr>
                <w:rFonts w:cs="Arial"/>
                <w:color w:val="000000" w:themeColor="text1"/>
                <w:sz w:val="16"/>
                <w:szCs w:val="16"/>
              </w:rPr>
            </w:pPr>
            <w:r w:rsidRPr="00026B74">
              <w:rPr>
                <w:rFonts w:cs="Arial"/>
                <w:color w:val="000000" w:themeColor="text1"/>
                <w:sz w:val="16"/>
                <w:szCs w:val="16"/>
              </w:rPr>
              <w:t>52.09</w:t>
            </w:r>
          </w:p>
        </w:tc>
        <w:tc>
          <w:tcPr>
            <w:tcW w:w="709" w:type="dxa"/>
            <w:shd w:val="clear" w:color="auto" w:fill="FFFFFF"/>
          </w:tcPr>
          <w:p w14:paraId="36D951E1" w14:textId="2570FB10" w:rsidR="00D54162" w:rsidRPr="00026B74" w:rsidRDefault="005F44C0" w:rsidP="00A911C0">
            <w:pPr>
              <w:pStyle w:val="CETBodytext"/>
              <w:rPr>
                <w:rFonts w:cs="Arial"/>
                <w:color w:val="000000" w:themeColor="text1"/>
                <w:sz w:val="16"/>
                <w:szCs w:val="16"/>
              </w:rPr>
            </w:pPr>
            <w:r w:rsidRPr="00026B74">
              <w:rPr>
                <w:rFonts w:cs="Arial"/>
                <w:color w:val="000000" w:themeColor="text1"/>
                <w:sz w:val="16"/>
                <w:szCs w:val="16"/>
              </w:rPr>
              <w:t>kg</w:t>
            </w:r>
          </w:p>
        </w:tc>
      </w:tr>
      <w:tr w:rsidR="00026B74" w:rsidRPr="00026B74" w14:paraId="1E57352B" w14:textId="156370C7" w:rsidTr="006440F8">
        <w:tc>
          <w:tcPr>
            <w:tcW w:w="1052" w:type="dxa"/>
            <w:vMerge/>
            <w:shd w:val="clear" w:color="auto" w:fill="FFFFFF"/>
            <w:vAlign w:val="center"/>
          </w:tcPr>
          <w:p w14:paraId="14979BFF" w14:textId="6B28BD52" w:rsidR="005F44C0" w:rsidRPr="00026B74" w:rsidRDefault="005F44C0" w:rsidP="005F44C0">
            <w:pPr>
              <w:pStyle w:val="CETBodytext"/>
              <w:ind w:right="-1"/>
              <w:rPr>
                <w:rFonts w:cs="Arial"/>
                <w:color w:val="000000" w:themeColor="text1"/>
                <w:sz w:val="16"/>
                <w:szCs w:val="16"/>
                <w:lang w:val="en-GB"/>
              </w:rPr>
            </w:pPr>
          </w:p>
        </w:tc>
        <w:tc>
          <w:tcPr>
            <w:tcW w:w="4477" w:type="dxa"/>
            <w:shd w:val="clear" w:color="auto" w:fill="FFFFFF"/>
            <w:vAlign w:val="center"/>
          </w:tcPr>
          <w:p w14:paraId="17484062" w14:textId="38BC46DB" w:rsidR="005F44C0" w:rsidRPr="00026B74" w:rsidRDefault="005F44C0" w:rsidP="005F44C0">
            <w:pPr>
              <w:pStyle w:val="CETBodytext"/>
              <w:rPr>
                <w:rFonts w:cs="Arial"/>
                <w:color w:val="000000" w:themeColor="text1"/>
                <w:sz w:val="16"/>
                <w:szCs w:val="16"/>
                <w:lang w:val="en-GB"/>
              </w:rPr>
            </w:pPr>
            <w:proofErr w:type="spellStart"/>
            <w:r w:rsidRPr="00026B74">
              <w:rPr>
                <w:rFonts w:cs="Arial"/>
                <w:color w:val="000000" w:themeColor="text1"/>
                <w:sz w:val="16"/>
                <w:szCs w:val="16"/>
              </w:rPr>
              <w:t>Glycerine</w:t>
            </w:r>
            <w:proofErr w:type="spellEnd"/>
            <w:r w:rsidRPr="00026B74">
              <w:rPr>
                <w:rFonts w:cs="Arial"/>
                <w:color w:val="000000" w:themeColor="text1"/>
                <w:sz w:val="16"/>
                <w:szCs w:val="16"/>
              </w:rPr>
              <w:t xml:space="preserve"> (proxy used for glycerol)</w:t>
            </w:r>
            <w:r w:rsidR="006440F8" w:rsidRPr="00026B74">
              <w:rPr>
                <w:rFonts w:cs="Arial"/>
                <w:color w:val="000000" w:themeColor="text1"/>
                <w:sz w:val="16"/>
                <w:szCs w:val="16"/>
              </w:rPr>
              <w:t xml:space="preserve"> - </w:t>
            </w:r>
            <w:proofErr w:type="spellStart"/>
            <w:r w:rsidR="006440F8" w:rsidRPr="00026B74">
              <w:rPr>
                <w:rFonts w:cs="Arial"/>
                <w:color w:val="000000" w:themeColor="text1"/>
                <w:sz w:val="16"/>
                <w:szCs w:val="16"/>
              </w:rPr>
              <w:t>RoW</w:t>
            </w:r>
            <w:proofErr w:type="spellEnd"/>
          </w:p>
        </w:tc>
        <w:tc>
          <w:tcPr>
            <w:tcW w:w="850" w:type="dxa"/>
            <w:shd w:val="clear" w:color="auto" w:fill="FFFFFF"/>
            <w:vAlign w:val="center"/>
          </w:tcPr>
          <w:p w14:paraId="49DAB2AA" w14:textId="54F0C932"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36.5</w:t>
            </w:r>
          </w:p>
        </w:tc>
        <w:tc>
          <w:tcPr>
            <w:tcW w:w="709" w:type="dxa"/>
            <w:shd w:val="clear" w:color="auto" w:fill="FFFFFF"/>
          </w:tcPr>
          <w:p w14:paraId="22EA4ECC" w14:textId="4870AAF5"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kg</w:t>
            </w:r>
          </w:p>
        </w:tc>
      </w:tr>
      <w:tr w:rsidR="00026B74" w:rsidRPr="00026B74" w14:paraId="7368F9D4" w14:textId="59B1D42C" w:rsidTr="006440F8">
        <w:tc>
          <w:tcPr>
            <w:tcW w:w="1052" w:type="dxa"/>
            <w:vMerge/>
            <w:shd w:val="clear" w:color="auto" w:fill="FFFFFF"/>
            <w:vAlign w:val="center"/>
          </w:tcPr>
          <w:p w14:paraId="7786ACE5" w14:textId="18FAF03F" w:rsidR="005F44C0" w:rsidRPr="00026B74" w:rsidRDefault="005F44C0" w:rsidP="005F44C0">
            <w:pPr>
              <w:pStyle w:val="CETBodytext"/>
              <w:ind w:right="-1"/>
              <w:rPr>
                <w:rFonts w:cs="Arial"/>
                <w:color w:val="000000" w:themeColor="text1"/>
                <w:sz w:val="16"/>
                <w:szCs w:val="16"/>
                <w:lang w:val="en-GB"/>
              </w:rPr>
            </w:pPr>
          </w:p>
        </w:tc>
        <w:tc>
          <w:tcPr>
            <w:tcW w:w="4477" w:type="dxa"/>
            <w:shd w:val="clear" w:color="auto" w:fill="FFFFFF"/>
            <w:vAlign w:val="center"/>
          </w:tcPr>
          <w:p w14:paraId="04A3D3FE" w14:textId="15B0286B" w:rsidR="005F44C0" w:rsidRPr="00026B74" w:rsidRDefault="005F44C0" w:rsidP="005F44C0">
            <w:pPr>
              <w:pStyle w:val="CETBodytext"/>
              <w:rPr>
                <w:rFonts w:cs="Arial"/>
                <w:color w:val="000000" w:themeColor="text1"/>
                <w:sz w:val="16"/>
                <w:szCs w:val="16"/>
                <w:lang w:val="en-GB"/>
              </w:rPr>
            </w:pPr>
            <w:r w:rsidRPr="00026B74">
              <w:rPr>
                <w:rFonts w:cs="Arial"/>
                <w:color w:val="000000" w:themeColor="text1"/>
                <w:sz w:val="16"/>
                <w:szCs w:val="16"/>
              </w:rPr>
              <w:t>Nitrogen</w:t>
            </w:r>
            <w:r w:rsidR="006440F8" w:rsidRPr="00026B74">
              <w:rPr>
                <w:rFonts w:cs="Arial"/>
                <w:color w:val="000000" w:themeColor="text1"/>
                <w:sz w:val="16"/>
                <w:szCs w:val="16"/>
              </w:rPr>
              <w:t xml:space="preserve"> - </w:t>
            </w:r>
            <w:proofErr w:type="spellStart"/>
            <w:r w:rsidR="006440F8" w:rsidRPr="00026B74">
              <w:rPr>
                <w:rFonts w:cs="Arial"/>
                <w:color w:val="000000" w:themeColor="text1"/>
                <w:sz w:val="16"/>
                <w:szCs w:val="16"/>
              </w:rPr>
              <w:t>RoW</w:t>
            </w:r>
            <w:proofErr w:type="spellEnd"/>
          </w:p>
        </w:tc>
        <w:tc>
          <w:tcPr>
            <w:tcW w:w="850" w:type="dxa"/>
            <w:shd w:val="clear" w:color="auto" w:fill="FFFFFF"/>
            <w:vAlign w:val="center"/>
          </w:tcPr>
          <w:p w14:paraId="1C08620F" w14:textId="20C70B05"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8.98</w:t>
            </w:r>
          </w:p>
        </w:tc>
        <w:tc>
          <w:tcPr>
            <w:tcW w:w="709" w:type="dxa"/>
            <w:shd w:val="clear" w:color="auto" w:fill="FFFFFF"/>
          </w:tcPr>
          <w:p w14:paraId="162574C7" w14:textId="3C43B19B"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kg</w:t>
            </w:r>
          </w:p>
        </w:tc>
      </w:tr>
      <w:tr w:rsidR="00026B74" w:rsidRPr="00026B74" w14:paraId="209ECAA1" w14:textId="108168E5" w:rsidTr="006440F8">
        <w:tc>
          <w:tcPr>
            <w:tcW w:w="1052" w:type="dxa"/>
            <w:vMerge/>
            <w:shd w:val="clear" w:color="auto" w:fill="FFFFFF"/>
            <w:vAlign w:val="center"/>
          </w:tcPr>
          <w:p w14:paraId="4FAA947A" w14:textId="2F2C57D0" w:rsidR="005F44C0" w:rsidRPr="00026B74" w:rsidRDefault="005F44C0" w:rsidP="005F44C0">
            <w:pPr>
              <w:pStyle w:val="CETBodytext"/>
              <w:ind w:right="-1"/>
              <w:rPr>
                <w:rFonts w:cs="Arial"/>
                <w:color w:val="000000" w:themeColor="text1"/>
                <w:sz w:val="16"/>
                <w:szCs w:val="16"/>
                <w:lang w:val="en-GB"/>
              </w:rPr>
            </w:pPr>
          </w:p>
        </w:tc>
        <w:tc>
          <w:tcPr>
            <w:tcW w:w="4477" w:type="dxa"/>
            <w:shd w:val="clear" w:color="auto" w:fill="FFFFFF"/>
            <w:vAlign w:val="center"/>
          </w:tcPr>
          <w:p w14:paraId="5E0EF4B2" w14:textId="1BE8DD77" w:rsidR="005F44C0" w:rsidRPr="00026B74" w:rsidRDefault="005F44C0" w:rsidP="005F44C0">
            <w:pPr>
              <w:pStyle w:val="CETBodytext"/>
              <w:rPr>
                <w:rFonts w:cs="Arial"/>
                <w:color w:val="000000" w:themeColor="text1"/>
                <w:sz w:val="16"/>
                <w:szCs w:val="16"/>
                <w:lang w:val="en-GB"/>
              </w:rPr>
            </w:pPr>
            <w:r w:rsidRPr="00026B74">
              <w:rPr>
                <w:rFonts w:cs="Arial"/>
                <w:color w:val="000000" w:themeColor="text1"/>
                <w:sz w:val="16"/>
                <w:szCs w:val="16"/>
              </w:rPr>
              <w:t>Lime, hydrated (proxy used for calcium hydroxide)</w:t>
            </w:r>
            <w:r w:rsidR="006440F8" w:rsidRPr="00026B74">
              <w:rPr>
                <w:rFonts w:cs="Arial"/>
                <w:color w:val="000000" w:themeColor="text1"/>
                <w:sz w:val="16"/>
                <w:szCs w:val="16"/>
              </w:rPr>
              <w:t xml:space="preserve"> - </w:t>
            </w:r>
            <w:proofErr w:type="spellStart"/>
            <w:r w:rsidR="006440F8" w:rsidRPr="00026B74">
              <w:rPr>
                <w:rFonts w:cs="Arial"/>
                <w:color w:val="000000" w:themeColor="text1"/>
                <w:sz w:val="16"/>
                <w:szCs w:val="16"/>
              </w:rPr>
              <w:t>RoW</w:t>
            </w:r>
            <w:proofErr w:type="spellEnd"/>
          </w:p>
        </w:tc>
        <w:tc>
          <w:tcPr>
            <w:tcW w:w="850" w:type="dxa"/>
            <w:shd w:val="clear" w:color="auto" w:fill="FFFFFF"/>
            <w:vAlign w:val="center"/>
          </w:tcPr>
          <w:p w14:paraId="7ECE2B79" w14:textId="71C0FC83"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735.04</w:t>
            </w:r>
          </w:p>
        </w:tc>
        <w:tc>
          <w:tcPr>
            <w:tcW w:w="709" w:type="dxa"/>
            <w:shd w:val="clear" w:color="auto" w:fill="FFFFFF"/>
          </w:tcPr>
          <w:p w14:paraId="4FA1C4B9" w14:textId="034FB754"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kg</w:t>
            </w:r>
          </w:p>
        </w:tc>
      </w:tr>
      <w:tr w:rsidR="00026B74" w:rsidRPr="00026B74" w14:paraId="5075A760" w14:textId="23939D73" w:rsidTr="006440F8">
        <w:tc>
          <w:tcPr>
            <w:tcW w:w="1052" w:type="dxa"/>
            <w:vMerge/>
            <w:shd w:val="clear" w:color="auto" w:fill="FFFFFF"/>
            <w:vAlign w:val="center"/>
          </w:tcPr>
          <w:p w14:paraId="751E78F3" w14:textId="185EF4E5" w:rsidR="005F44C0" w:rsidRPr="00026B74" w:rsidRDefault="005F44C0" w:rsidP="005F44C0">
            <w:pPr>
              <w:pStyle w:val="CETBodytext"/>
              <w:ind w:right="-1"/>
              <w:rPr>
                <w:rFonts w:cs="Arial"/>
                <w:color w:val="000000" w:themeColor="text1"/>
                <w:sz w:val="16"/>
                <w:szCs w:val="16"/>
                <w:lang w:val="en-GB"/>
              </w:rPr>
            </w:pPr>
          </w:p>
        </w:tc>
        <w:tc>
          <w:tcPr>
            <w:tcW w:w="4477" w:type="dxa"/>
            <w:shd w:val="clear" w:color="auto" w:fill="FFFFFF"/>
            <w:vAlign w:val="center"/>
          </w:tcPr>
          <w:p w14:paraId="2D12F6CB" w14:textId="4C7B2B10" w:rsidR="005F44C0" w:rsidRPr="00026B74" w:rsidRDefault="005F44C0" w:rsidP="005F44C0">
            <w:pPr>
              <w:pStyle w:val="CETBodytext"/>
              <w:rPr>
                <w:rFonts w:eastAsia="Cambria Math" w:cs="Arial"/>
                <w:color w:val="000000" w:themeColor="text1"/>
                <w:w w:val="105"/>
                <w:position w:val="5"/>
                <w:sz w:val="16"/>
                <w:szCs w:val="16"/>
              </w:rPr>
            </w:pPr>
            <w:r w:rsidRPr="00026B74">
              <w:rPr>
                <w:rFonts w:cs="Arial"/>
                <w:color w:val="000000" w:themeColor="text1"/>
                <w:sz w:val="16"/>
                <w:szCs w:val="16"/>
              </w:rPr>
              <w:t>Sodium sulfite (proxy used for sodium metabisulfite)</w:t>
            </w:r>
            <w:r w:rsidR="006440F8" w:rsidRPr="00026B74">
              <w:rPr>
                <w:rFonts w:cs="Arial"/>
                <w:color w:val="000000" w:themeColor="text1"/>
                <w:sz w:val="16"/>
                <w:szCs w:val="16"/>
              </w:rPr>
              <w:t xml:space="preserve"> - </w:t>
            </w:r>
            <w:proofErr w:type="spellStart"/>
            <w:r w:rsidR="006440F8" w:rsidRPr="00026B74">
              <w:rPr>
                <w:rFonts w:cs="Arial"/>
                <w:color w:val="000000" w:themeColor="text1"/>
                <w:sz w:val="16"/>
                <w:szCs w:val="16"/>
              </w:rPr>
              <w:t>RoW</w:t>
            </w:r>
            <w:proofErr w:type="spellEnd"/>
          </w:p>
        </w:tc>
        <w:tc>
          <w:tcPr>
            <w:tcW w:w="850" w:type="dxa"/>
            <w:shd w:val="clear" w:color="auto" w:fill="FFFFFF"/>
            <w:vAlign w:val="center"/>
          </w:tcPr>
          <w:p w14:paraId="4B928E9B" w14:textId="01921DF7"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5.35</w:t>
            </w:r>
          </w:p>
        </w:tc>
        <w:tc>
          <w:tcPr>
            <w:tcW w:w="709" w:type="dxa"/>
            <w:shd w:val="clear" w:color="auto" w:fill="FFFFFF"/>
          </w:tcPr>
          <w:p w14:paraId="710C0630" w14:textId="2E54F3B2"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kg</w:t>
            </w:r>
          </w:p>
        </w:tc>
      </w:tr>
      <w:tr w:rsidR="00026B74" w:rsidRPr="00026B74" w14:paraId="336688F1" w14:textId="746122A8" w:rsidTr="006440F8">
        <w:tc>
          <w:tcPr>
            <w:tcW w:w="1052" w:type="dxa"/>
            <w:vMerge/>
            <w:shd w:val="clear" w:color="auto" w:fill="FFFFFF"/>
            <w:vAlign w:val="center"/>
          </w:tcPr>
          <w:p w14:paraId="301C2E34" w14:textId="30C7D564" w:rsidR="005F44C0" w:rsidRPr="00026B74" w:rsidRDefault="005F44C0" w:rsidP="005F44C0">
            <w:pPr>
              <w:pStyle w:val="CETBodytext"/>
              <w:ind w:right="-1"/>
              <w:rPr>
                <w:rFonts w:cs="Arial"/>
                <w:color w:val="000000" w:themeColor="text1"/>
                <w:sz w:val="16"/>
                <w:szCs w:val="16"/>
                <w:lang w:val="en-GB"/>
              </w:rPr>
            </w:pPr>
          </w:p>
        </w:tc>
        <w:tc>
          <w:tcPr>
            <w:tcW w:w="4477" w:type="dxa"/>
            <w:shd w:val="clear" w:color="auto" w:fill="FFFFFF"/>
            <w:vAlign w:val="center"/>
          </w:tcPr>
          <w:p w14:paraId="44254586" w14:textId="1871138A" w:rsidR="005F44C0" w:rsidRPr="00026B74" w:rsidRDefault="005F44C0" w:rsidP="005F44C0">
            <w:pPr>
              <w:pStyle w:val="CETBodytext"/>
              <w:rPr>
                <w:rFonts w:cs="Arial"/>
                <w:color w:val="000000" w:themeColor="text1"/>
                <w:sz w:val="16"/>
                <w:szCs w:val="16"/>
                <w:lang w:val="en-GB"/>
              </w:rPr>
            </w:pPr>
            <w:r w:rsidRPr="00026B74">
              <w:rPr>
                <w:rFonts w:cs="Arial"/>
                <w:color w:val="000000" w:themeColor="text1"/>
                <w:sz w:val="16"/>
                <w:szCs w:val="16"/>
              </w:rPr>
              <w:t>Sulfuric acid</w:t>
            </w:r>
            <w:r w:rsidR="006440F8" w:rsidRPr="00026B74">
              <w:rPr>
                <w:rFonts w:cs="Arial"/>
                <w:color w:val="000000" w:themeColor="text1"/>
                <w:sz w:val="16"/>
                <w:szCs w:val="16"/>
              </w:rPr>
              <w:t xml:space="preserve"> - </w:t>
            </w:r>
            <w:proofErr w:type="spellStart"/>
            <w:r w:rsidR="006440F8" w:rsidRPr="00026B74">
              <w:rPr>
                <w:rFonts w:cs="Arial"/>
                <w:color w:val="000000" w:themeColor="text1"/>
                <w:sz w:val="16"/>
                <w:szCs w:val="16"/>
              </w:rPr>
              <w:t>RoW</w:t>
            </w:r>
            <w:proofErr w:type="spellEnd"/>
          </w:p>
        </w:tc>
        <w:tc>
          <w:tcPr>
            <w:tcW w:w="850" w:type="dxa"/>
            <w:shd w:val="clear" w:color="auto" w:fill="FFFFFF"/>
            <w:vAlign w:val="center"/>
          </w:tcPr>
          <w:p w14:paraId="64E90E34" w14:textId="0637826B"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953.63</w:t>
            </w:r>
          </w:p>
        </w:tc>
        <w:tc>
          <w:tcPr>
            <w:tcW w:w="709" w:type="dxa"/>
            <w:shd w:val="clear" w:color="auto" w:fill="FFFFFF"/>
          </w:tcPr>
          <w:p w14:paraId="4D7B7D45" w14:textId="376BEE39"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kg</w:t>
            </w:r>
          </w:p>
        </w:tc>
      </w:tr>
      <w:tr w:rsidR="00026B74" w:rsidRPr="00026B74" w14:paraId="3C62578A" w14:textId="4798E896" w:rsidTr="006440F8">
        <w:tc>
          <w:tcPr>
            <w:tcW w:w="1052" w:type="dxa"/>
            <w:vMerge/>
            <w:shd w:val="clear" w:color="auto" w:fill="FFFFFF"/>
            <w:vAlign w:val="center"/>
          </w:tcPr>
          <w:p w14:paraId="6F5570D0" w14:textId="23E3DE99" w:rsidR="005F44C0" w:rsidRPr="00026B74" w:rsidRDefault="005F44C0" w:rsidP="005F44C0">
            <w:pPr>
              <w:pStyle w:val="CETBodytext"/>
              <w:ind w:right="-1"/>
              <w:rPr>
                <w:rFonts w:cs="Arial"/>
                <w:color w:val="000000" w:themeColor="text1"/>
                <w:sz w:val="16"/>
                <w:szCs w:val="16"/>
                <w:lang w:val="en-GB"/>
              </w:rPr>
            </w:pPr>
          </w:p>
        </w:tc>
        <w:tc>
          <w:tcPr>
            <w:tcW w:w="4477" w:type="dxa"/>
            <w:shd w:val="clear" w:color="auto" w:fill="FFFFFF"/>
            <w:vAlign w:val="center"/>
          </w:tcPr>
          <w:p w14:paraId="3BD5D7B8" w14:textId="5B3ADC01" w:rsidR="005F44C0" w:rsidRPr="00026B74" w:rsidRDefault="005F44C0" w:rsidP="005F44C0">
            <w:pPr>
              <w:pStyle w:val="CETBodytext"/>
              <w:rPr>
                <w:rFonts w:eastAsia="Cambria Math" w:cs="Arial"/>
                <w:color w:val="000000" w:themeColor="text1"/>
                <w:spacing w:val="-4"/>
                <w:w w:val="110"/>
                <w:position w:val="5"/>
                <w:sz w:val="16"/>
                <w:szCs w:val="16"/>
              </w:rPr>
            </w:pPr>
            <w:r w:rsidRPr="00026B74">
              <w:rPr>
                <w:rFonts w:cs="Arial"/>
                <w:color w:val="000000" w:themeColor="text1"/>
                <w:sz w:val="16"/>
                <w:szCs w:val="16"/>
              </w:rPr>
              <w:t>Tap water</w:t>
            </w:r>
            <w:r w:rsidR="006440F8" w:rsidRPr="00026B74">
              <w:rPr>
                <w:rFonts w:cs="Arial"/>
                <w:color w:val="000000" w:themeColor="text1"/>
                <w:sz w:val="16"/>
                <w:szCs w:val="16"/>
              </w:rPr>
              <w:t xml:space="preserve"> - CO</w:t>
            </w:r>
          </w:p>
        </w:tc>
        <w:tc>
          <w:tcPr>
            <w:tcW w:w="850" w:type="dxa"/>
            <w:shd w:val="clear" w:color="auto" w:fill="FFFFFF"/>
            <w:vAlign w:val="center"/>
          </w:tcPr>
          <w:p w14:paraId="15C186F0" w14:textId="1949BBC0"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11432.6</w:t>
            </w:r>
          </w:p>
        </w:tc>
        <w:tc>
          <w:tcPr>
            <w:tcW w:w="709" w:type="dxa"/>
            <w:shd w:val="clear" w:color="auto" w:fill="FFFFFF"/>
          </w:tcPr>
          <w:p w14:paraId="501F9703" w14:textId="61DCEDEB"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kg</w:t>
            </w:r>
          </w:p>
        </w:tc>
      </w:tr>
      <w:tr w:rsidR="00026B74" w:rsidRPr="00026B74" w14:paraId="67C112B0" w14:textId="77777777" w:rsidTr="006440F8">
        <w:tc>
          <w:tcPr>
            <w:tcW w:w="1052" w:type="dxa"/>
            <w:vMerge/>
            <w:shd w:val="clear" w:color="auto" w:fill="FFFFFF"/>
            <w:vAlign w:val="center"/>
          </w:tcPr>
          <w:p w14:paraId="39036A7D" w14:textId="77777777" w:rsidR="00D54162" w:rsidRPr="00026B74" w:rsidRDefault="00D54162" w:rsidP="00A911C0">
            <w:pPr>
              <w:pStyle w:val="CETBodytext"/>
              <w:ind w:right="-1"/>
              <w:rPr>
                <w:rFonts w:cs="Arial"/>
                <w:color w:val="000000" w:themeColor="text1"/>
                <w:sz w:val="16"/>
                <w:szCs w:val="16"/>
                <w:lang w:val="en-GB"/>
              </w:rPr>
            </w:pPr>
          </w:p>
        </w:tc>
        <w:tc>
          <w:tcPr>
            <w:tcW w:w="4477" w:type="dxa"/>
            <w:shd w:val="clear" w:color="auto" w:fill="FFFFFF"/>
            <w:vAlign w:val="center"/>
          </w:tcPr>
          <w:p w14:paraId="5319184C" w14:textId="56F85532" w:rsidR="00D54162" w:rsidRPr="00026B74" w:rsidRDefault="00D54162" w:rsidP="00A911C0">
            <w:pPr>
              <w:pStyle w:val="CETBodytext"/>
              <w:rPr>
                <w:rFonts w:cs="Arial"/>
                <w:color w:val="000000" w:themeColor="text1"/>
                <w:sz w:val="16"/>
                <w:szCs w:val="16"/>
              </w:rPr>
            </w:pPr>
            <w:r w:rsidRPr="00026B74">
              <w:rPr>
                <w:rFonts w:cs="Arial"/>
                <w:color w:val="000000" w:themeColor="text1"/>
                <w:sz w:val="16"/>
                <w:szCs w:val="16"/>
              </w:rPr>
              <w:t>Electricity, medium voltage</w:t>
            </w:r>
            <w:r w:rsidR="006440F8" w:rsidRPr="00026B74">
              <w:rPr>
                <w:rFonts w:cs="Arial"/>
                <w:color w:val="000000" w:themeColor="text1"/>
                <w:sz w:val="16"/>
                <w:szCs w:val="16"/>
              </w:rPr>
              <w:t xml:space="preserve"> - CO</w:t>
            </w:r>
          </w:p>
        </w:tc>
        <w:tc>
          <w:tcPr>
            <w:tcW w:w="850" w:type="dxa"/>
            <w:shd w:val="clear" w:color="auto" w:fill="FFFFFF"/>
            <w:vAlign w:val="center"/>
          </w:tcPr>
          <w:p w14:paraId="04C6021D" w14:textId="33ED406E" w:rsidR="00D54162" w:rsidRPr="00026B74" w:rsidRDefault="00D54162" w:rsidP="00A911C0">
            <w:pPr>
              <w:pStyle w:val="CETBodytext"/>
              <w:rPr>
                <w:rFonts w:cs="Arial"/>
                <w:color w:val="000000" w:themeColor="text1"/>
                <w:sz w:val="16"/>
                <w:szCs w:val="16"/>
              </w:rPr>
            </w:pPr>
            <w:r w:rsidRPr="00026B74">
              <w:rPr>
                <w:rFonts w:cs="Arial"/>
                <w:color w:val="000000" w:themeColor="text1"/>
                <w:sz w:val="16"/>
                <w:szCs w:val="16"/>
              </w:rPr>
              <w:t>7384.77</w:t>
            </w:r>
          </w:p>
        </w:tc>
        <w:tc>
          <w:tcPr>
            <w:tcW w:w="709" w:type="dxa"/>
            <w:shd w:val="clear" w:color="auto" w:fill="FFFFFF"/>
          </w:tcPr>
          <w:p w14:paraId="3B4BD898" w14:textId="15B0F16F" w:rsidR="00D54162" w:rsidRPr="00026B74" w:rsidRDefault="00D54162" w:rsidP="00A911C0">
            <w:pPr>
              <w:pStyle w:val="CETBodytext"/>
              <w:rPr>
                <w:rFonts w:cs="Arial"/>
                <w:color w:val="000000" w:themeColor="text1"/>
                <w:sz w:val="16"/>
                <w:szCs w:val="16"/>
              </w:rPr>
            </w:pPr>
            <w:r w:rsidRPr="00026B74">
              <w:rPr>
                <w:rFonts w:cs="Arial"/>
                <w:color w:val="000000" w:themeColor="text1"/>
                <w:sz w:val="16"/>
                <w:szCs w:val="16"/>
              </w:rPr>
              <w:t>kWh</w:t>
            </w:r>
          </w:p>
        </w:tc>
      </w:tr>
      <w:tr w:rsidR="00026B74" w:rsidRPr="00026B74" w14:paraId="59744354" w14:textId="77777777" w:rsidTr="006440F8">
        <w:tc>
          <w:tcPr>
            <w:tcW w:w="1052" w:type="dxa"/>
            <w:vMerge/>
            <w:shd w:val="clear" w:color="auto" w:fill="FFFFFF"/>
            <w:vAlign w:val="center"/>
          </w:tcPr>
          <w:p w14:paraId="06C4F4FF" w14:textId="77777777" w:rsidR="00D54162" w:rsidRPr="00026B74" w:rsidRDefault="00D54162" w:rsidP="00A911C0">
            <w:pPr>
              <w:pStyle w:val="CETBodytext"/>
              <w:ind w:right="-1"/>
              <w:rPr>
                <w:rFonts w:cs="Arial"/>
                <w:color w:val="000000" w:themeColor="text1"/>
                <w:sz w:val="16"/>
                <w:szCs w:val="16"/>
                <w:lang w:val="en-GB"/>
              </w:rPr>
            </w:pPr>
          </w:p>
        </w:tc>
        <w:tc>
          <w:tcPr>
            <w:tcW w:w="4477" w:type="dxa"/>
            <w:shd w:val="clear" w:color="auto" w:fill="FFFFFF"/>
            <w:vAlign w:val="center"/>
          </w:tcPr>
          <w:p w14:paraId="4CF79D53" w14:textId="6DD6076B" w:rsidR="00D54162" w:rsidRPr="00026B74" w:rsidRDefault="00D54162" w:rsidP="00A911C0">
            <w:pPr>
              <w:pStyle w:val="CETBodytext"/>
              <w:rPr>
                <w:rFonts w:cs="Arial"/>
                <w:color w:val="000000" w:themeColor="text1"/>
                <w:sz w:val="16"/>
                <w:szCs w:val="16"/>
              </w:rPr>
            </w:pPr>
            <w:r w:rsidRPr="00026B74">
              <w:rPr>
                <w:rFonts w:cs="Arial"/>
                <w:color w:val="000000" w:themeColor="text1"/>
                <w:sz w:val="16"/>
                <w:szCs w:val="16"/>
              </w:rPr>
              <w:t>Natural gas, high pressure</w:t>
            </w:r>
            <w:r w:rsidR="006440F8" w:rsidRPr="00026B74">
              <w:rPr>
                <w:rFonts w:cs="Arial"/>
                <w:color w:val="000000" w:themeColor="text1"/>
                <w:sz w:val="16"/>
                <w:szCs w:val="16"/>
              </w:rPr>
              <w:t xml:space="preserve"> - CO</w:t>
            </w:r>
          </w:p>
        </w:tc>
        <w:tc>
          <w:tcPr>
            <w:tcW w:w="850" w:type="dxa"/>
            <w:shd w:val="clear" w:color="auto" w:fill="FFFFFF"/>
            <w:vAlign w:val="center"/>
          </w:tcPr>
          <w:p w14:paraId="525B45F4" w14:textId="7243549F" w:rsidR="00D54162" w:rsidRPr="00026B74" w:rsidRDefault="00D54162" w:rsidP="00A911C0">
            <w:pPr>
              <w:pStyle w:val="CETBodytext"/>
              <w:rPr>
                <w:rFonts w:cs="Arial"/>
                <w:color w:val="000000" w:themeColor="text1"/>
                <w:sz w:val="16"/>
                <w:szCs w:val="16"/>
              </w:rPr>
            </w:pPr>
            <w:r w:rsidRPr="00026B74">
              <w:rPr>
                <w:rFonts w:cs="Arial"/>
                <w:color w:val="000000" w:themeColor="text1"/>
                <w:sz w:val="16"/>
                <w:szCs w:val="16"/>
              </w:rPr>
              <w:t>791.77</w:t>
            </w:r>
          </w:p>
        </w:tc>
        <w:tc>
          <w:tcPr>
            <w:tcW w:w="709" w:type="dxa"/>
            <w:shd w:val="clear" w:color="auto" w:fill="FFFFFF"/>
          </w:tcPr>
          <w:p w14:paraId="12978273" w14:textId="078607E4" w:rsidR="00D54162" w:rsidRPr="00026B74" w:rsidRDefault="00D54162" w:rsidP="00A911C0">
            <w:pPr>
              <w:pStyle w:val="CETBodytext"/>
              <w:rPr>
                <w:rFonts w:cs="Arial"/>
                <w:color w:val="000000" w:themeColor="text1"/>
                <w:sz w:val="16"/>
                <w:szCs w:val="16"/>
                <w:vertAlign w:val="superscript"/>
              </w:rPr>
            </w:pPr>
            <w:r w:rsidRPr="00026B74">
              <w:rPr>
                <w:rFonts w:cs="Arial"/>
                <w:color w:val="000000" w:themeColor="text1"/>
                <w:sz w:val="16"/>
                <w:szCs w:val="16"/>
              </w:rPr>
              <w:t>m</w:t>
            </w:r>
            <w:r w:rsidRPr="00026B74">
              <w:rPr>
                <w:rFonts w:cs="Arial"/>
                <w:color w:val="000000" w:themeColor="text1"/>
                <w:sz w:val="16"/>
                <w:szCs w:val="16"/>
                <w:vertAlign w:val="superscript"/>
              </w:rPr>
              <w:t>3</w:t>
            </w:r>
          </w:p>
        </w:tc>
      </w:tr>
      <w:tr w:rsidR="00026B74" w:rsidRPr="00026B74" w14:paraId="189EDD5C" w14:textId="04D272DE" w:rsidTr="006440F8">
        <w:tc>
          <w:tcPr>
            <w:tcW w:w="1052" w:type="dxa"/>
            <w:vMerge w:val="restart"/>
            <w:shd w:val="clear" w:color="auto" w:fill="FFFFFF"/>
            <w:vAlign w:val="center"/>
          </w:tcPr>
          <w:p w14:paraId="2B8C7949" w14:textId="4C97B517" w:rsidR="005F44C0" w:rsidRPr="00026B74" w:rsidRDefault="005F44C0" w:rsidP="005F44C0">
            <w:pPr>
              <w:pStyle w:val="CETBodytext"/>
              <w:ind w:right="-1"/>
              <w:rPr>
                <w:rFonts w:cs="Arial"/>
                <w:color w:val="000000" w:themeColor="text1"/>
                <w:sz w:val="16"/>
                <w:szCs w:val="16"/>
                <w:lang w:val="en-GB"/>
              </w:rPr>
            </w:pPr>
            <w:r w:rsidRPr="00026B74">
              <w:rPr>
                <w:rFonts w:cs="Arial"/>
                <w:color w:val="000000" w:themeColor="text1"/>
                <w:szCs w:val="18"/>
              </w:rPr>
              <w:t>Output</w:t>
            </w:r>
          </w:p>
        </w:tc>
        <w:tc>
          <w:tcPr>
            <w:tcW w:w="4477" w:type="dxa"/>
            <w:shd w:val="clear" w:color="auto" w:fill="FFFFFF"/>
            <w:vAlign w:val="center"/>
          </w:tcPr>
          <w:p w14:paraId="4715BBC3" w14:textId="357D00C6" w:rsidR="005F44C0" w:rsidRPr="00026B74" w:rsidRDefault="005F44C0" w:rsidP="005F44C0">
            <w:pPr>
              <w:pStyle w:val="CETBodytext"/>
              <w:rPr>
                <w:rFonts w:eastAsia="Cambria Math" w:cs="Arial"/>
                <w:color w:val="000000" w:themeColor="text1"/>
                <w:spacing w:val="-4"/>
                <w:w w:val="110"/>
                <w:position w:val="5"/>
                <w:sz w:val="16"/>
                <w:szCs w:val="16"/>
              </w:rPr>
            </w:pPr>
            <w:r w:rsidRPr="00026B74">
              <w:rPr>
                <w:rFonts w:cs="Arial"/>
                <w:color w:val="000000" w:themeColor="text1"/>
                <w:sz w:val="16"/>
                <w:szCs w:val="16"/>
              </w:rPr>
              <w:t>Biofilm 1</w:t>
            </w:r>
            <w:r w:rsidR="006440F8" w:rsidRPr="00026B74">
              <w:rPr>
                <w:rFonts w:cs="Arial"/>
                <w:color w:val="000000" w:themeColor="text1"/>
                <w:sz w:val="16"/>
                <w:szCs w:val="16"/>
              </w:rPr>
              <w:t xml:space="preserve"> (Product)</w:t>
            </w:r>
          </w:p>
        </w:tc>
        <w:tc>
          <w:tcPr>
            <w:tcW w:w="850" w:type="dxa"/>
            <w:shd w:val="clear" w:color="auto" w:fill="FFFFFF"/>
            <w:vAlign w:val="center"/>
          </w:tcPr>
          <w:p w14:paraId="27D1044E" w14:textId="3AAFED60"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137.34</w:t>
            </w:r>
          </w:p>
        </w:tc>
        <w:tc>
          <w:tcPr>
            <w:tcW w:w="709" w:type="dxa"/>
            <w:shd w:val="clear" w:color="auto" w:fill="FFFFFF"/>
          </w:tcPr>
          <w:p w14:paraId="188D67E5" w14:textId="5A692DC0"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kg</w:t>
            </w:r>
          </w:p>
        </w:tc>
      </w:tr>
      <w:tr w:rsidR="00026B74" w:rsidRPr="00026B74" w14:paraId="126E2C11" w14:textId="23ED45D7" w:rsidTr="006440F8">
        <w:tc>
          <w:tcPr>
            <w:tcW w:w="1052" w:type="dxa"/>
            <w:vMerge/>
            <w:shd w:val="clear" w:color="auto" w:fill="FFFFFF"/>
            <w:vAlign w:val="center"/>
          </w:tcPr>
          <w:p w14:paraId="7625F853" w14:textId="135D7C1D" w:rsidR="005F44C0" w:rsidRPr="00026B74" w:rsidRDefault="005F44C0" w:rsidP="005F44C0">
            <w:pPr>
              <w:pStyle w:val="CETBodytext"/>
              <w:ind w:right="-1"/>
              <w:rPr>
                <w:rFonts w:cs="Arial"/>
                <w:color w:val="000000" w:themeColor="text1"/>
                <w:sz w:val="16"/>
                <w:szCs w:val="16"/>
                <w:lang w:val="en-GB"/>
              </w:rPr>
            </w:pPr>
          </w:p>
        </w:tc>
        <w:tc>
          <w:tcPr>
            <w:tcW w:w="4477" w:type="dxa"/>
            <w:shd w:val="clear" w:color="auto" w:fill="FFFFFF"/>
            <w:vAlign w:val="center"/>
          </w:tcPr>
          <w:p w14:paraId="29B47B52" w14:textId="39092B1D" w:rsidR="005F44C0" w:rsidRPr="00026B74" w:rsidRDefault="005F44C0" w:rsidP="005F44C0">
            <w:pPr>
              <w:pStyle w:val="CETBodytext"/>
              <w:rPr>
                <w:rFonts w:cs="Arial"/>
                <w:color w:val="000000" w:themeColor="text1"/>
                <w:sz w:val="16"/>
                <w:szCs w:val="16"/>
                <w:lang w:val="en-GB"/>
              </w:rPr>
            </w:pPr>
            <w:r w:rsidRPr="00026B74">
              <w:rPr>
                <w:rFonts w:cs="Arial"/>
                <w:color w:val="000000" w:themeColor="text1"/>
                <w:sz w:val="16"/>
                <w:szCs w:val="16"/>
              </w:rPr>
              <w:t>Biofilm 2</w:t>
            </w:r>
            <w:r w:rsidR="006440F8" w:rsidRPr="00026B74">
              <w:rPr>
                <w:rFonts w:cs="Arial"/>
                <w:color w:val="000000" w:themeColor="text1"/>
                <w:sz w:val="16"/>
                <w:szCs w:val="16"/>
              </w:rPr>
              <w:t xml:space="preserve"> (Product)</w:t>
            </w:r>
          </w:p>
        </w:tc>
        <w:tc>
          <w:tcPr>
            <w:tcW w:w="850" w:type="dxa"/>
            <w:shd w:val="clear" w:color="auto" w:fill="FFFFFF"/>
            <w:vAlign w:val="center"/>
          </w:tcPr>
          <w:p w14:paraId="0BEBB350" w14:textId="3E5DB80E"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125.54</w:t>
            </w:r>
          </w:p>
        </w:tc>
        <w:tc>
          <w:tcPr>
            <w:tcW w:w="709" w:type="dxa"/>
            <w:shd w:val="clear" w:color="auto" w:fill="FFFFFF"/>
          </w:tcPr>
          <w:p w14:paraId="609D124F" w14:textId="4087DAF1"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kg</w:t>
            </w:r>
          </w:p>
        </w:tc>
      </w:tr>
      <w:tr w:rsidR="00026B74" w:rsidRPr="00026B74" w14:paraId="2A0CAD43" w14:textId="45D46D50" w:rsidTr="006440F8">
        <w:tc>
          <w:tcPr>
            <w:tcW w:w="1052" w:type="dxa"/>
            <w:vMerge/>
            <w:shd w:val="clear" w:color="auto" w:fill="FFFFFF"/>
            <w:vAlign w:val="center"/>
          </w:tcPr>
          <w:p w14:paraId="3E8AB9FC" w14:textId="79E4DBA9" w:rsidR="005F44C0" w:rsidRPr="00026B74" w:rsidRDefault="005F44C0" w:rsidP="005F44C0">
            <w:pPr>
              <w:pStyle w:val="CETBodytext"/>
              <w:ind w:right="-1"/>
              <w:rPr>
                <w:rFonts w:cs="Arial"/>
                <w:color w:val="000000" w:themeColor="text1"/>
                <w:sz w:val="16"/>
                <w:szCs w:val="16"/>
                <w:lang w:val="en-GB"/>
              </w:rPr>
            </w:pPr>
          </w:p>
        </w:tc>
        <w:tc>
          <w:tcPr>
            <w:tcW w:w="4477" w:type="dxa"/>
            <w:shd w:val="clear" w:color="auto" w:fill="FFFFFF"/>
            <w:vAlign w:val="center"/>
          </w:tcPr>
          <w:p w14:paraId="6B0DD827" w14:textId="30DB84BC" w:rsidR="005F44C0" w:rsidRPr="00026B74" w:rsidRDefault="005F44C0" w:rsidP="005F44C0">
            <w:pPr>
              <w:pStyle w:val="CETBodytext"/>
              <w:rPr>
                <w:rFonts w:cs="Arial"/>
                <w:color w:val="000000" w:themeColor="text1"/>
                <w:sz w:val="16"/>
                <w:szCs w:val="16"/>
                <w:lang w:val="en-GB"/>
              </w:rPr>
            </w:pPr>
            <w:r w:rsidRPr="00026B74">
              <w:rPr>
                <w:rFonts w:cs="Arial"/>
                <w:color w:val="000000" w:themeColor="text1"/>
                <w:sz w:val="16"/>
                <w:szCs w:val="16"/>
              </w:rPr>
              <w:t>Bioinsecticide</w:t>
            </w:r>
            <w:r w:rsidR="006440F8" w:rsidRPr="00026B74">
              <w:rPr>
                <w:rFonts w:cs="Arial"/>
                <w:color w:val="000000" w:themeColor="text1"/>
                <w:sz w:val="16"/>
                <w:szCs w:val="16"/>
              </w:rPr>
              <w:t xml:space="preserve"> (Product)</w:t>
            </w:r>
          </w:p>
        </w:tc>
        <w:tc>
          <w:tcPr>
            <w:tcW w:w="850" w:type="dxa"/>
            <w:shd w:val="clear" w:color="auto" w:fill="FFFFFF"/>
            <w:vAlign w:val="center"/>
          </w:tcPr>
          <w:p w14:paraId="0D2A47AF" w14:textId="7181566A"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450.25</w:t>
            </w:r>
          </w:p>
        </w:tc>
        <w:tc>
          <w:tcPr>
            <w:tcW w:w="709" w:type="dxa"/>
            <w:shd w:val="clear" w:color="auto" w:fill="FFFFFF"/>
          </w:tcPr>
          <w:p w14:paraId="0172705B" w14:textId="5B48C8BA"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kg</w:t>
            </w:r>
          </w:p>
        </w:tc>
      </w:tr>
      <w:tr w:rsidR="00026B74" w:rsidRPr="00026B74" w14:paraId="1C76048C" w14:textId="6804CFD4" w:rsidTr="006440F8">
        <w:tc>
          <w:tcPr>
            <w:tcW w:w="1052" w:type="dxa"/>
            <w:vMerge/>
            <w:shd w:val="clear" w:color="auto" w:fill="FFFFFF"/>
            <w:vAlign w:val="center"/>
          </w:tcPr>
          <w:p w14:paraId="186AA72E" w14:textId="36C4A57E" w:rsidR="005F44C0" w:rsidRPr="00026B74" w:rsidRDefault="005F44C0" w:rsidP="005F44C0">
            <w:pPr>
              <w:pStyle w:val="CETBodytext"/>
              <w:ind w:right="-1"/>
              <w:rPr>
                <w:rFonts w:cs="Arial"/>
                <w:color w:val="000000" w:themeColor="text1"/>
                <w:sz w:val="16"/>
                <w:szCs w:val="16"/>
                <w:lang w:val="en-GB"/>
              </w:rPr>
            </w:pPr>
          </w:p>
        </w:tc>
        <w:tc>
          <w:tcPr>
            <w:tcW w:w="4477" w:type="dxa"/>
            <w:shd w:val="clear" w:color="auto" w:fill="FFFFFF"/>
            <w:vAlign w:val="center"/>
          </w:tcPr>
          <w:p w14:paraId="4E9C4283" w14:textId="4E1D5053" w:rsidR="005F44C0" w:rsidRPr="00026B74" w:rsidRDefault="005F44C0" w:rsidP="005F44C0">
            <w:pPr>
              <w:pStyle w:val="CETBodytext"/>
              <w:rPr>
                <w:rFonts w:cs="Arial"/>
                <w:color w:val="000000" w:themeColor="text1"/>
                <w:sz w:val="16"/>
                <w:szCs w:val="16"/>
                <w:lang w:val="en-GB"/>
              </w:rPr>
            </w:pPr>
            <w:r w:rsidRPr="00026B74">
              <w:rPr>
                <w:rFonts w:cs="Arial"/>
                <w:color w:val="000000" w:themeColor="text1"/>
                <w:sz w:val="16"/>
                <w:szCs w:val="16"/>
              </w:rPr>
              <w:t>Starch</w:t>
            </w:r>
            <w:r w:rsidR="006440F8" w:rsidRPr="00026B74">
              <w:rPr>
                <w:rFonts w:cs="Arial"/>
                <w:color w:val="000000" w:themeColor="text1"/>
                <w:sz w:val="16"/>
                <w:szCs w:val="16"/>
              </w:rPr>
              <w:t xml:space="preserve"> (Product)</w:t>
            </w:r>
          </w:p>
        </w:tc>
        <w:tc>
          <w:tcPr>
            <w:tcW w:w="850" w:type="dxa"/>
            <w:shd w:val="clear" w:color="auto" w:fill="FFFFFF"/>
            <w:vAlign w:val="center"/>
          </w:tcPr>
          <w:p w14:paraId="5BB07B46" w14:textId="3A0A3ADB"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70.24</w:t>
            </w:r>
          </w:p>
        </w:tc>
        <w:tc>
          <w:tcPr>
            <w:tcW w:w="709" w:type="dxa"/>
            <w:shd w:val="clear" w:color="auto" w:fill="FFFFFF"/>
          </w:tcPr>
          <w:p w14:paraId="1BA5E3A7" w14:textId="245E887E"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kg</w:t>
            </w:r>
          </w:p>
        </w:tc>
      </w:tr>
      <w:tr w:rsidR="00026B74" w:rsidRPr="00026B74" w14:paraId="1D3371C7" w14:textId="2E4E09FB" w:rsidTr="006440F8">
        <w:tc>
          <w:tcPr>
            <w:tcW w:w="1052" w:type="dxa"/>
            <w:vMerge/>
            <w:shd w:val="clear" w:color="auto" w:fill="FFFFFF"/>
            <w:vAlign w:val="center"/>
          </w:tcPr>
          <w:p w14:paraId="23E7965C" w14:textId="669B2EB3" w:rsidR="005F44C0" w:rsidRPr="00026B74" w:rsidRDefault="005F44C0" w:rsidP="005F44C0">
            <w:pPr>
              <w:pStyle w:val="CETBodytext"/>
              <w:ind w:right="-1"/>
              <w:rPr>
                <w:rFonts w:cs="Arial"/>
                <w:color w:val="000000" w:themeColor="text1"/>
                <w:sz w:val="16"/>
                <w:szCs w:val="16"/>
                <w:lang w:val="en-GB"/>
              </w:rPr>
            </w:pPr>
          </w:p>
        </w:tc>
        <w:tc>
          <w:tcPr>
            <w:tcW w:w="4477" w:type="dxa"/>
            <w:shd w:val="clear" w:color="auto" w:fill="FFFFFF"/>
            <w:vAlign w:val="center"/>
          </w:tcPr>
          <w:p w14:paraId="06801FB1" w14:textId="7DDC4A73" w:rsidR="005F44C0" w:rsidRPr="00026B74" w:rsidRDefault="005F44C0" w:rsidP="005F44C0">
            <w:pPr>
              <w:pStyle w:val="CETBodytext"/>
              <w:rPr>
                <w:rFonts w:cs="Arial"/>
                <w:color w:val="000000" w:themeColor="text1"/>
                <w:sz w:val="16"/>
                <w:szCs w:val="16"/>
                <w:lang w:val="en-GB"/>
              </w:rPr>
            </w:pPr>
            <w:r w:rsidRPr="00026B74">
              <w:rPr>
                <w:rFonts w:cs="Arial"/>
                <w:color w:val="000000" w:themeColor="text1"/>
                <w:sz w:val="16"/>
                <w:szCs w:val="16"/>
              </w:rPr>
              <w:t>Municipal solid waste (same as comparison scenario)</w:t>
            </w:r>
            <w:r w:rsidR="006440F8" w:rsidRPr="00026B74">
              <w:rPr>
                <w:rFonts w:cs="Arial"/>
                <w:color w:val="000000" w:themeColor="text1"/>
                <w:sz w:val="16"/>
                <w:szCs w:val="16"/>
              </w:rPr>
              <w:t xml:space="preserve"> - </w:t>
            </w:r>
            <w:proofErr w:type="spellStart"/>
            <w:r w:rsidR="006440F8" w:rsidRPr="00026B74">
              <w:rPr>
                <w:rFonts w:cs="Arial"/>
                <w:color w:val="000000" w:themeColor="text1"/>
                <w:sz w:val="16"/>
                <w:szCs w:val="16"/>
              </w:rPr>
              <w:t>RoW</w:t>
            </w:r>
            <w:proofErr w:type="spellEnd"/>
          </w:p>
        </w:tc>
        <w:tc>
          <w:tcPr>
            <w:tcW w:w="850" w:type="dxa"/>
            <w:shd w:val="clear" w:color="auto" w:fill="FFFFFF"/>
            <w:vAlign w:val="center"/>
          </w:tcPr>
          <w:p w14:paraId="7C4C7BB9" w14:textId="7FA6D53A"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1816.96</w:t>
            </w:r>
          </w:p>
        </w:tc>
        <w:tc>
          <w:tcPr>
            <w:tcW w:w="709" w:type="dxa"/>
            <w:shd w:val="clear" w:color="auto" w:fill="FFFFFF"/>
          </w:tcPr>
          <w:p w14:paraId="02E1B5BC" w14:textId="769ECE4C"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kg</w:t>
            </w:r>
          </w:p>
        </w:tc>
      </w:tr>
      <w:tr w:rsidR="00026B74" w:rsidRPr="00026B74" w14:paraId="6BC35E3F" w14:textId="77777777" w:rsidTr="006440F8">
        <w:tc>
          <w:tcPr>
            <w:tcW w:w="1052" w:type="dxa"/>
            <w:vMerge/>
            <w:shd w:val="clear" w:color="auto" w:fill="FFFFFF"/>
            <w:vAlign w:val="center"/>
          </w:tcPr>
          <w:p w14:paraId="7CFBAF6C" w14:textId="77777777" w:rsidR="005F44C0" w:rsidRPr="00026B74" w:rsidRDefault="005F44C0" w:rsidP="00A911C0">
            <w:pPr>
              <w:pStyle w:val="CETBodytext"/>
              <w:ind w:right="-1"/>
              <w:rPr>
                <w:rFonts w:cs="Arial"/>
                <w:color w:val="000000" w:themeColor="text1"/>
                <w:sz w:val="16"/>
                <w:szCs w:val="16"/>
                <w:lang w:val="en-GB"/>
              </w:rPr>
            </w:pPr>
          </w:p>
        </w:tc>
        <w:tc>
          <w:tcPr>
            <w:tcW w:w="4477" w:type="dxa"/>
            <w:shd w:val="clear" w:color="auto" w:fill="FFFFFF"/>
            <w:vAlign w:val="center"/>
          </w:tcPr>
          <w:p w14:paraId="5E85C715" w14:textId="31D23C55" w:rsidR="005F44C0" w:rsidRPr="00026B74" w:rsidRDefault="005F44C0" w:rsidP="00A911C0">
            <w:pPr>
              <w:pStyle w:val="CETBodytext"/>
              <w:rPr>
                <w:rFonts w:cs="Arial"/>
                <w:color w:val="000000" w:themeColor="text1"/>
                <w:sz w:val="16"/>
                <w:szCs w:val="16"/>
              </w:rPr>
            </w:pPr>
            <w:r w:rsidRPr="00026B74">
              <w:rPr>
                <w:rFonts w:cs="Arial"/>
                <w:color w:val="000000" w:themeColor="text1"/>
                <w:sz w:val="16"/>
                <w:szCs w:val="16"/>
              </w:rPr>
              <w:t>Wastewater</w:t>
            </w:r>
            <w:r w:rsidR="006440F8" w:rsidRPr="00026B74">
              <w:rPr>
                <w:rFonts w:cs="Arial"/>
                <w:color w:val="000000" w:themeColor="text1"/>
                <w:sz w:val="16"/>
                <w:szCs w:val="16"/>
              </w:rPr>
              <w:t xml:space="preserve"> - </w:t>
            </w:r>
            <w:proofErr w:type="spellStart"/>
            <w:r w:rsidR="006440F8" w:rsidRPr="00026B74">
              <w:rPr>
                <w:rFonts w:cs="Arial"/>
                <w:color w:val="000000" w:themeColor="text1"/>
                <w:sz w:val="16"/>
                <w:szCs w:val="16"/>
              </w:rPr>
              <w:t>RoW</w:t>
            </w:r>
            <w:proofErr w:type="spellEnd"/>
          </w:p>
        </w:tc>
        <w:tc>
          <w:tcPr>
            <w:tcW w:w="850" w:type="dxa"/>
            <w:shd w:val="clear" w:color="auto" w:fill="FFFFFF"/>
            <w:vAlign w:val="center"/>
          </w:tcPr>
          <w:p w14:paraId="4D334C6A" w14:textId="4BA8CCB1" w:rsidR="005F44C0" w:rsidRPr="00026B74" w:rsidRDefault="005F44C0" w:rsidP="00A911C0">
            <w:pPr>
              <w:pStyle w:val="CETBodytext"/>
              <w:rPr>
                <w:rFonts w:cs="Arial"/>
                <w:color w:val="000000" w:themeColor="text1"/>
                <w:sz w:val="16"/>
                <w:szCs w:val="16"/>
              </w:rPr>
            </w:pPr>
            <w:r w:rsidRPr="00026B74">
              <w:rPr>
                <w:rFonts w:cs="Arial"/>
                <w:color w:val="000000" w:themeColor="text1"/>
                <w:sz w:val="16"/>
                <w:szCs w:val="16"/>
              </w:rPr>
              <w:t>5.99</w:t>
            </w:r>
          </w:p>
        </w:tc>
        <w:tc>
          <w:tcPr>
            <w:tcW w:w="709" w:type="dxa"/>
            <w:shd w:val="clear" w:color="auto" w:fill="FFFFFF"/>
          </w:tcPr>
          <w:p w14:paraId="44076BE7" w14:textId="19F0B698" w:rsidR="005F44C0" w:rsidRPr="00026B74" w:rsidRDefault="005F44C0" w:rsidP="00A911C0">
            <w:pPr>
              <w:pStyle w:val="CETBodytext"/>
              <w:rPr>
                <w:rFonts w:cs="Arial"/>
                <w:color w:val="000000" w:themeColor="text1"/>
                <w:sz w:val="16"/>
                <w:szCs w:val="16"/>
              </w:rPr>
            </w:pPr>
            <w:r w:rsidRPr="00026B74">
              <w:rPr>
                <w:rFonts w:cs="Arial"/>
                <w:color w:val="000000" w:themeColor="text1"/>
                <w:sz w:val="16"/>
                <w:szCs w:val="16"/>
              </w:rPr>
              <w:t>m</w:t>
            </w:r>
            <w:r w:rsidRPr="00026B74">
              <w:rPr>
                <w:rFonts w:cs="Arial"/>
                <w:color w:val="000000" w:themeColor="text1"/>
                <w:sz w:val="16"/>
                <w:szCs w:val="16"/>
                <w:vertAlign w:val="superscript"/>
              </w:rPr>
              <w:t>3</w:t>
            </w:r>
          </w:p>
        </w:tc>
      </w:tr>
      <w:tr w:rsidR="00026B74" w:rsidRPr="00026B74" w14:paraId="14AD6E35" w14:textId="6B625DB0" w:rsidTr="006440F8">
        <w:tc>
          <w:tcPr>
            <w:tcW w:w="1052" w:type="dxa"/>
            <w:vMerge/>
            <w:shd w:val="clear" w:color="auto" w:fill="FFFFFF"/>
            <w:vAlign w:val="center"/>
          </w:tcPr>
          <w:p w14:paraId="66BAB4C9" w14:textId="2CC3E49C" w:rsidR="005F44C0" w:rsidRPr="00026B74" w:rsidRDefault="005F44C0" w:rsidP="005F44C0">
            <w:pPr>
              <w:pStyle w:val="CETBodytext"/>
              <w:ind w:right="-1"/>
              <w:rPr>
                <w:rFonts w:cs="Arial"/>
                <w:color w:val="000000" w:themeColor="text1"/>
                <w:sz w:val="16"/>
                <w:szCs w:val="16"/>
                <w:lang w:val="en-GB"/>
              </w:rPr>
            </w:pPr>
          </w:p>
        </w:tc>
        <w:tc>
          <w:tcPr>
            <w:tcW w:w="4477" w:type="dxa"/>
            <w:shd w:val="clear" w:color="auto" w:fill="FFFFFF"/>
            <w:vAlign w:val="center"/>
          </w:tcPr>
          <w:p w14:paraId="23B66AA6" w14:textId="78FBAA81" w:rsidR="005F44C0" w:rsidRPr="00026B74" w:rsidRDefault="005F44C0" w:rsidP="005F44C0">
            <w:pPr>
              <w:pStyle w:val="CETBodytext"/>
              <w:rPr>
                <w:rFonts w:cs="Arial"/>
                <w:color w:val="000000" w:themeColor="text1"/>
                <w:sz w:val="16"/>
                <w:szCs w:val="16"/>
                <w:lang w:val="en-GB"/>
              </w:rPr>
            </w:pPr>
            <w:r w:rsidRPr="00026B74">
              <w:rPr>
                <w:rFonts w:cs="Arial"/>
                <w:color w:val="000000" w:themeColor="text1"/>
                <w:sz w:val="16"/>
                <w:szCs w:val="16"/>
              </w:rPr>
              <w:t>Nitrogen (air emission)</w:t>
            </w:r>
          </w:p>
        </w:tc>
        <w:tc>
          <w:tcPr>
            <w:tcW w:w="850" w:type="dxa"/>
            <w:shd w:val="clear" w:color="auto" w:fill="FFFFFF"/>
            <w:vAlign w:val="center"/>
          </w:tcPr>
          <w:p w14:paraId="28261DCD" w14:textId="69C9065B"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8.98</w:t>
            </w:r>
          </w:p>
        </w:tc>
        <w:tc>
          <w:tcPr>
            <w:tcW w:w="709" w:type="dxa"/>
            <w:shd w:val="clear" w:color="auto" w:fill="FFFFFF"/>
          </w:tcPr>
          <w:p w14:paraId="37B106F9" w14:textId="3395FE4E"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kg</w:t>
            </w:r>
          </w:p>
        </w:tc>
      </w:tr>
      <w:tr w:rsidR="00026B74" w:rsidRPr="00026B74" w14:paraId="1B20ADE9" w14:textId="7BCAB6BB" w:rsidTr="006440F8">
        <w:tc>
          <w:tcPr>
            <w:tcW w:w="1052" w:type="dxa"/>
            <w:vMerge/>
            <w:shd w:val="clear" w:color="auto" w:fill="FFFFFF"/>
            <w:vAlign w:val="center"/>
          </w:tcPr>
          <w:p w14:paraId="582664A8" w14:textId="3E289B03" w:rsidR="005F44C0" w:rsidRPr="00026B74" w:rsidRDefault="005F44C0" w:rsidP="005F44C0">
            <w:pPr>
              <w:pStyle w:val="CETBodytext"/>
              <w:ind w:right="-1"/>
              <w:rPr>
                <w:rFonts w:cs="Arial"/>
                <w:color w:val="000000" w:themeColor="text1"/>
                <w:sz w:val="16"/>
                <w:szCs w:val="16"/>
                <w:lang w:val="en-GB"/>
              </w:rPr>
            </w:pPr>
          </w:p>
        </w:tc>
        <w:tc>
          <w:tcPr>
            <w:tcW w:w="4477" w:type="dxa"/>
            <w:shd w:val="clear" w:color="auto" w:fill="FFFFFF"/>
            <w:vAlign w:val="center"/>
          </w:tcPr>
          <w:p w14:paraId="53F060CA" w14:textId="5617F89A" w:rsidR="005F44C0" w:rsidRPr="00026B74" w:rsidRDefault="005F44C0" w:rsidP="005F44C0">
            <w:pPr>
              <w:pStyle w:val="CETBodytext"/>
              <w:rPr>
                <w:rFonts w:cs="Arial"/>
                <w:color w:val="000000" w:themeColor="text1"/>
                <w:sz w:val="16"/>
                <w:szCs w:val="16"/>
                <w:lang w:val="en-GB"/>
              </w:rPr>
            </w:pPr>
            <w:r w:rsidRPr="00026B74">
              <w:rPr>
                <w:rFonts w:cs="Arial"/>
                <w:color w:val="000000" w:themeColor="text1"/>
                <w:sz w:val="16"/>
                <w:szCs w:val="16"/>
              </w:rPr>
              <w:t xml:space="preserve">Water </w:t>
            </w:r>
            <w:proofErr w:type="spellStart"/>
            <w:r w:rsidRPr="00026B74">
              <w:rPr>
                <w:rFonts w:cs="Arial"/>
                <w:color w:val="000000" w:themeColor="text1"/>
                <w:sz w:val="16"/>
                <w:szCs w:val="16"/>
              </w:rPr>
              <w:t>vapour</w:t>
            </w:r>
            <w:proofErr w:type="spellEnd"/>
            <w:r w:rsidRPr="00026B74">
              <w:rPr>
                <w:rFonts w:cs="Arial"/>
                <w:color w:val="000000" w:themeColor="text1"/>
                <w:sz w:val="16"/>
                <w:szCs w:val="16"/>
              </w:rPr>
              <w:t xml:space="preserve"> (air emission)</w:t>
            </w:r>
          </w:p>
        </w:tc>
        <w:tc>
          <w:tcPr>
            <w:tcW w:w="850" w:type="dxa"/>
            <w:shd w:val="clear" w:color="auto" w:fill="FFFFFF"/>
            <w:vAlign w:val="center"/>
          </w:tcPr>
          <w:p w14:paraId="47BE0477" w14:textId="70A919B6"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3841.79</w:t>
            </w:r>
          </w:p>
        </w:tc>
        <w:tc>
          <w:tcPr>
            <w:tcW w:w="709" w:type="dxa"/>
            <w:shd w:val="clear" w:color="auto" w:fill="FFFFFF"/>
          </w:tcPr>
          <w:p w14:paraId="2AD11108" w14:textId="67723515"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kg</w:t>
            </w:r>
          </w:p>
        </w:tc>
      </w:tr>
      <w:tr w:rsidR="00026B74" w:rsidRPr="00026B74" w14:paraId="244F6603" w14:textId="77777777" w:rsidTr="006440F8">
        <w:tc>
          <w:tcPr>
            <w:tcW w:w="1052" w:type="dxa"/>
            <w:vMerge/>
            <w:shd w:val="clear" w:color="auto" w:fill="FFFFFF"/>
            <w:vAlign w:val="center"/>
          </w:tcPr>
          <w:p w14:paraId="0DF7BF95" w14:textId="77777777" w:rsidR="005F44C0" w:rsidRPr="00026B74" w:rsidRDefault="005F44C0" w:rsidP="005F44C0">
            <w:pPr>
              <w:pStyle w:val="CETBodytext"/>
              <w:ind w:right="-1"/>
              <w:rPr>
                <w:rFonts w:cs="Arial"/>
                <w:color w:val="000000" w:themeColor="text1"/>
                <w:sz w:val="16"/>
                <w:szCs w:val="16"/>
                <w:lang w:val="en-GB"/>
              </w:rPr>
            </w:pPr>
          </w:p>
        </w:tc>
        <w:tc>
          <w:tcPr>
            <w:tcW w:w="4477" w:type="dxa"/>
            <w:shd w:val="clear" w:color="auto" w:fill="FFFFFF"/>
            <w:vAlign w:val="center"/>
          </w:tcPr>
          <w:p w14:paraId="747D8161" w14:textId="5287DA7C"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Carbon dioxide</w:t>
            </w:r>
            <w:r w:rsidR="006440F8" w:rsidRPr="00026B74">
              <w:rPr>
                <w:rFonts w:cs="Arial"/>
                <w:color w:val="000000" w:themeColor="text1"/>
                <w:sz w:val="16"/>
                <w:szCs w:val="16"/>
              </w:rPr>
              <w:t xml:space="preserve"> (air emission)</w:t>
            </w:r>
          </w:p>
        </w:tc>
        <w:tc>
          <w:tcPr>
            <w:tcW w:w="850" w:type="dxa"/>
            <w:shd w:val="clear" w:color="auto" w:fill="FFFFFF"/>
            <w:vAlign w:val="center"/>
          </w:tcPr>
          <w:p w14:paraId="0DD966AB" w14:textId="0EC7A689"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1590.18</w:t>
            </w:r>
          </w:p>
        </w:tc>
        <w:tc>
          <w:tcPr>
            <w:tcW w:w="709" w:type="dxa"/>
            <w:shd w:val="clear" w:color="auto" w:fill="FFFFFF"/>
          </w:tcPr>
          <w:p w14:paraId="68446E7B" w14:textId="667517AB"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kg</w:t>
            </w:r>
          </w:p>
        </w:tc>
      </w:tr>
      <w:tr w:rsidR="00026B74" w:rsidRPr="00026B74" w14:paraId="34F7AADA" w14:textId="77777777" w:rsidTr="006440F8">
        <w:tc>
          <w:tcPr>
            <w:tcW w:w="1052" w:type="dxa"/>
            <w:vMerge/>
            <w:shd w:val="clear" w:color="auto" w:fill="FFFFFF"/>
            <w:vAlign w:val="center"/>
          </w:tcPr>
          <w:p w14:paraId="3C3AFAC1" w14:textId="77777777" w:rsidR="005F44C0" w:rsidRPr="00026B74" w:rsidRDefault="005F44C0" w:rsidP="005F44C0">
            <w:pPr>
              <w:pStyle w:val="CETBodytext"/>
              <w:ind w:right="-1"/>
              <w:rPr>
                <w:rFonts w:cs="Arial"/>
                <w:color w:val="000000" w:themeColor="text1"/>
                <w:sz w:val="16"/>
                <w:szCs w:val="16"/>
                <w:lang w:val="en-GB"/>
              </w:rPr>
            </w:pPr>
          </w:p>
        </w:tc>
        <w:tc>
          <w:tcPr>
            <w:tcW w:w="4477" w:type="dxa"/>
            <w:shd w:val="clear" w:color="auto" w:fill="FFFFFF"/>
            <w:vAlign w:val="center"/>
          </w:tcPr>
          <w:p w14:paraId="3DB294CE" w14:textId="7C48F469"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Methane</w:t>
            </w:r>
            <w:r w:rsidR="006440F8" w:rsidRPr="00026B74">
              <w:rPr>
                <w:rFonts w:cs="Arial"/>
                <w:color w:val="000000" w:themeColor="text1"/>
                <w:sz w:val="16"/>
                <w:szCs w:val="16"/>
              </w:rPr>
              <w:t xml:space="preserve"> (air emission)</w:t>
            </w:r>
          </w:p>
        </w:tc>
        <w:tc>
          <w:tcPr>
            <w:tcW w:w="850" w:type="dxa"/>
            <w:shd w:val="clear" w:color="auto" w:fill="FFFFFF"/>
            <w:vAlign w:val="center"/>
          </w:tcPr>
          <w:p w14:paraId="070382BF" w14:textId="4CCFDE15"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0.02835</w:t>
            </w:r>
          </w:p>
        </w:tc>
        <w:tc>
          <w:tcPr>
            <w:tcW w:w="709" w:type="dxa"/>
            <w:shd w:val="clear" w:color="auto" w:fill="FFFFFF"/>
          </w:tcPr>
          <w:p w14:paraId="2CBBA00C" w14:textId="3B538FCE"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kg</w:t>
            </w:r>
          </w:p>
        </w:tc>
      </w:tr>
      <w:tr w:rsidR="00026B74" w:rsidRPr="00026B74" w14:paraId="5CDDF454" w14:textId="77777777" w:rsidTr="006440F8">
        <w:tc>
          <w:tcPr>
            <w:tcW w:w="1052" w:type="dxa"/>
            <w:vMerge/>
            <w:shd w:val="clear" w:color="auto" w:fill="FFFFFF"/>
            <w:vAlign w:val="center"/>
          </w:tcPr>
          <w:p w14:paraId="4C2B6150" w14:textId="77777777" w:rsidR="005F44C0" w:rsidRPr="00026B74" w:rsidRDefault="005F44C0" w:rsidP="005F44C0">
            <w:pPr>
              <w:pStyle w:val="CETBodytext"/>
              <w:ind w:right="-1"/>
              <w:rPr>
                <w:rFonts w:cs="Arial"/>
                <w:color w:val="000000" w:themeColor="text1"/>
                <w:sz w:val="16"/>
                <w:szCs w:val="16"/>
                <w:lang w:val="en-GB"/>
              </w:rPr>
            </w:pPr>
          </w:p>
        </w:tc>
        <w:tc>
          <w:tcPr>
            <w:tcW w:w="4477" w:type="dxa"/>
            <w:shd w:val="clear" w:color="auto" w:fill="FFFFFF"/>
            <w:vAlign w:val="center"/>
          </w:tcPr>
          <w:p w14:paraId="3741249D" w14:textId="0A298966"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Dinitrogen monoxide</w:t>
            </w:r>
            <w:r w:rsidR="006440F8" w:rsidRPr="00026B74">
              <w:rPr>
                <w:rFonts w:cs="Arial"/>
                <w:color w:val="000000" w:themeColor="text1"/>
                <w:sz w:val="16"/>
                <w:szCs w:val="16"/>
              </w:rPr>
              <w:t xml:space="preserve"> (air emission)</w:t>
            </w:r>
          </w:p>
        </w:tc>
        <w:tc>
          <w:tcPr>
            <w:tcW w:w="850" w:type="dxa"/>
            <w:shd w:val="clear" w:color="auto" w:fill="FFFFFF"/>
            <w:vAlign w:val="center"/>
          </w:tcPr>
          <w:p w14:paraId="592659C0" w14:textId="2B307B66"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0.00283</w:t>
            </w:r>
          </w:p>
        </w:tc>
        <w:tc>
          <w:tcPr>
            <w:tcW w:w="709" w:type="dxa"/>
            <w:shd w:val="clear" w:color="auto" w:fill="FFFFFF"/>
          </w:tcPr>
          <w:p w14:paraId="2F4DF5DD" w14:textId="0FC0B74B" w:rsidR="005F44C0" w:rsidRPr="00026B74" w:rsidRDefault="005F44C0" w:rsidP="005F44C0">
            <w:pPr>
              <w:pStyle w:val="CETBodytext"/>
              <w:rPr>
                <w:rFonts w:cs="Arial"/>
                <w:color w:val="000000" w:themeColor="text1"/>
                <w:sz w:val="16"/>
                <w:szCs w:val="16"/>
              </w:rPr>
            </w:pPr>
            <w:r w:rsidRPr="00026B74">
              <w:rPr>
                <w:rFonts w:cs="Arial"/>
                <w:color w:val="000000" w:themeColor="text1"/>
                <w:sz w:val="16"/>
                <w:szCs w:val="16"/>
              </w:rPr>
              <w:t>kg</w:t>
            </w:r>
          </w:p>
        </w:tc>
      </w:tr>
    </w:tbl>
    <w:p w14:paraId="35CB8D42" w14:textId="38CD8D74" w:rsidR="00704BEC" w:rsidRPr="00026B74" w:rsidRDefault="00704BEC" w:rsidP="00704BEC">
      <w:pPr>
        <w:pStyle w:val="CETBodytext"/>
        <w:rPr>
          <w:color w:val="000000" w:themeColor="text1"/>
        </w:rPr>
      </w:pPr>
      <w:r w:rsidRPr="00026B74">
        <w:rPr>
          <w:color w:val="000000" w:themeColor="text1"/>
        </w:rPr>
        <w:lastRenderedPageBreak/>
        <w:t xml:space="preserve">Reference data were sourced from </w:t>
      </w:r>
      <w:proofErr w:type="spellStart"/>
      <w:r w:rsidRPr="00026B74">
        <w:rPr>
          <w:color w:val="000000" w:themeColor="text1"/>
        </w:rPr>
        <w:t>Ecoinvent</w:t>
      </w:r>
      <w:proofErr w:type="spellEnd"/>
      <w:r w:rsidRPr="00026B74">
        <w:rPr>
          <w:color w:val="000000" w:themeColor="text1"/>
        </w:rPr>
        <w:t xml:space="preserve"> 3.10, including models of waste treatment, raw material production, electricity supply, and other processes. Electricity, natural gas, and water supply are regionalized in Colombia, whereas market materials and products are sourced from the GLO and </w:t>
      </w:r>
      <w:proofErr w:type="spellStart"/>
      <w:r w:rsidRPr="00026B74">
        <w:rPr>
          <w:color w:val="000000" w:themeColor="text1"/>
        </w:rPr>
        <w:t>RoW</w:t>
      </w:r>
      <w:proofErr w:type="spellEnd"/>
      <w:r w:rsidRPr="00026B74">
        <w:rPr>
          <w:color w:val="000000" w:themeColor="text1"/>
        </w:rPr>
        <w:t xml:space="preserve"> categories, with </w:t>
      </w:r>
      <w:proofErr w:type="spellStart"/>
      <w:r w:rsidRPr="00026B74">
        <w:rPr>
          <w:color w:val="000000" w:themeColor="text1"/>
        </w:rPr>
        <w:t>RoW</w:t>
      </w:r>
      <w:proofErr w:type="spellEnd"/>
      <w:r w:rsidRPr="00026B74">
        <w:rPr>
          <w:color w:val="000000" w:themeColor="text1"/>
        </w:rPr>
        <w:t xml:space="preserve"> prioritized </w:t>
      </w:r>
      <w:r w:rsidR="009526C7" w:rsidRPr="00026B74">
        <w:rPr>
          <w:color w:val="000000" w:themeColor="text1"/>
        </w:rPr>
        <w:t>in the database when possible</w:t>
      </w:r>
      <w:r w:rsidRPr="00026B74">
        <w:rPr>
          <w:color w:val="000000" w:themeColor="text1"/>
        </w:rPr>
        <w:t xml:space="preserve">. </w:t>
      </w:r>
      <w:r w:rsidR="001A4139" w:rsidRPr="00026B74">
        <w:rPr>
          <w:color w:val="000000" w:themeColor="text1"/>
        </w:rPr>
        <w:t>In the expanded product system, starch was replaced with maize starch, the biofilms with packaging films made of low-density polyethylene, and the bioinsecticide with an unspecified pesticide</w:t>
      </w:r>
      <w:r w:rsidR="00643534" w:rsidRPr="00026B74">
        <w:rPr>
          <w:color w:val="000000" w:themeColor="text1"/>
        </w:rPr>
        <w:t xml:space="preserve"> (no background dataset was available for a functionally equivalent biobased insecticide or for a specific fossil pesticide consistently matching the intended substitution context)</w:t>
      </w:r>
      <w:r w:rsidR="001A4139" w:rsidRPr="00026B74">
        <w:rPr>
          <w:color w:val="000000" w:themeColor="text1"/>
        </w:rPr>
        <w:t>, all of which were market-for-designated (GLO</w:t>
      </w:r>
      <w:r w:rsidR="002161AC" w:rsidRPr="00026B74">
        <w:rPr>
          <w:color w:val="000000" w:themeColor="text1"/>
        </w:rPr>
        <w:t xml:space="preserve">). </w:t>
      </w:r>
      <w:r w:rsidRPr="00026B74">
        <w:rPr>
          <w:color w:val="000000" w:themeColor="text1"/>
        </w:rPr>
        <w:t xml:space="preserve">As part of the sensitivity analysis, various scenarios of product substitution or displacement from the market, as well as optimization of energy and material use in the process, were explored. Since certain inputs were not available in the </w:t>
      </w:r>
      <w:proofErr w:type="spellStart"/>
      <w:r w:rsidRPr="00026B74">
        <w:rPr>
          <w:color w:val="000000" w:themeColor="text1"/>
        </w:rPr>
        <w:t>OpenLCA</w:t>
      </w:r>
      <w:proofErr w:type="spellEnd"/>
      <w:r w:rsidRPr="00026B74">
        <w:rPr>
          <w:color w:val="000000" w:themeColor="text1"/>
        </w:rPr>
        <w:t xml:space="preserve"> LCI databases, they were represented using proxy flows to maintain inventory consistency and traceability. </w:t>
      </w:r>
      <w:r w:rsidR="009526C7" w:rsidRPr="00026B74">
        <w:rPr>
          <w:color w:val="000000" w:themeColor="text1"/>
        </w:rPr>
        <w:t xml:space="preserve">Hydrated </w:t>
      </w:r>
      <w:r w:rsidR="001B107B" w:rsidRPr="00026B74">
        <w:rPr>
          <w:color w:val="000000" w:themeColor="text1"/>
        </w:rPr>
        <w:t>l</w:t>
      </w:r>
      <w:r w:rsidR="009526C7" w:rsidRPr="00026B74">
        <w:rPr>
          <w:color w:val="000000" w:themeColor="text1"/>
        </w:rPr>
        <w:t>ime</w:t>
      </w:r>
      <w:r w:rsidRPr="00026B74">
        <w:rPr>
          <w:color w:val="000000" w:themeColor="text1"/>
        </w:rPr>
        <w:t xml:space="preserve"> was used as a substitute for calcium hydroxide</w:t>
      </w:r>
      <w:r w:rsidR="004F53F1" w:rsidRPr="00026B74">
        <w:rPr>
          <w:color w:val="000000" w:themeColor="text1"/>
        </w:rPr>
        <w:t>,</w:t>
      </w:r>
      <w:r w:rsidR="0073250A" w:rsidRPr="00026B74">
        <w:rPr>
          <w:color w:val="000000" w:themeColor="text1"/>
        </w:rPr>
        <w:t xml:space="preserve"> as</w:t>
      </w:r>
      <w:r w:rsidRPr="00026B74">
        <w:rPr>
          <w:color w:val="000000" w:themeColor="text1"/>
        </w:rPr>
        <w:t xml:space="preserve"> </w:t>
      </w:r>
      <w:r w:rsidR="0073250A" w:rsidRPr="00026B74">
        <w:rPr>
          <w:color w:val="000000" w:themeColor="text1"/>
        </w:rPr>
        <w:t>it consists mainly of Ca(OH)</w:t>
      </w:r>
      <w:r w:rsidR="0073250A" w:rsidRPr="00026B74">
        <w:rPr>
          <w:rFonts w:ascii="Cambria Math" w:hAnsi="Cambria Math" w:cs="Cambria Math"/>
          <w:color w:val="000000" w:themeColor="text1"/>
        </w:rPr>
        <w:t>₂</w:t>
      </w:r>
      <w:r w:rsidR="0073250A" w:rsidRPr="00026B74">
        <w:rPr>
          <w:color w:val="000000" w:themeColor="text1"/>
        </w:rPr>
        <w:t xml:space="preserve"> and is widely used as a low-cost alkali in aqueous neutralization systems</w:t>
      </w:r>
      <w:r w:rsidRPr="00026B74">
        <w:rPr>
          <w:color w:val="000000" w:themeColor="text1"/>
        </w:rPr>
        <w:t xml:space="preserve">. Sodium sulfite was used as a proxy for sodium metabisulfite because both generate sulfite species in solution and fulfill the same role of inhibiting oxidation. </w:t>
      </w:r>
      <w:r w:rsidR="00C5408B" w:rsidRPr="00026B74">
        <w:rPr>
          <w:color w:val="000000" w:themeColor="text1"/>
        </w:rPr>
        <w:t xml:space="preserve">Finally, because of </w:t>
      </w:r>
      <w:r w:rsidR="00233D29" w:rsidRPr="00026B74">
        <w:rPr>
          <w:color w:val="000000" w:themeColor="text1"/>
        </w:rPr>
        <w:t xml:space="preserve">its influence on the LCIA, </w:t>
      </w:r>
      <w:r w:rsidR="001B107B" w:rsidRPr="00026B74">
        <w:rPr>
          <w:color w:val="000000" w:themeColor="text1"/>
        </w:rPr>
        <w:t xml:space="preserve">hydrated lime </w:t>
      </w:r>
      <w:r w:rsidR="00C5408B" w:rsidRPr="00026B74">
        <w:rPr>
          <w:color w:val="000000" w:themeColor="text1"/>
        </w:rPr>
        <w:t>was included in the sensitivity analysis.</w:t>
      </w:r>
    </w:p>
    <w:p w14:paraId="764D766D" w14:textId="1E837FD3" w:rsidR="004043C8" w:rsidRPr="00026B74" w:rsidRDefault="00253616" w:rsidP="00253616">
      <w:pPr>
        <w:pStyle w:val="CETHeadingxx"/>
        <w:rPr>
          <w:color w:val="000000" w:themeColor="text1"/>
        </w:rPr>
      </w:pPr>
      <w:r w:rsidRPr="00026B74">
        <w:rPr>
          <w:color w:val="000000" w:themeColor="text1"/>
        </w:rPr>
        <w:t>Life Cycle Impact Assessment</w:t>
      </w:r>
    </w:p>
    <w:p w14:paraId="47B85D12" w14:textId="0153E3C9" w:rsidR="00253616" w:rsidRPr="00026B74" w:rsidRDefault="008E6564" w:rsidP="007F3AA6">
      <w:pPr>
        <w:pStyle w:val="CETBodytext"/>
        <w:rPr>
          <w:color w:val="000000" w:themeColor="text1"/>
        </w:rPr>
      </w:pPr>
      <w:r w:rsidRPr="00026B74">
        <w:rPr>
          <w:color w:val="000000" w:themeColor="text1"/>
        </w:rPr>
        <w:t xml:space="preserve">The impact assessment employs the </w:t>
      </w:r>
      <w:proofErr w:type="spellStart"/>
      <w:r w:rsidRPr="00026B74">
        <w:rPr>
          <w:color w:val="000000" w:themeColor="text1"/>
        </w:rPr>
        <w:t>ReCiPe</w:t>
      </w:r>
      <w:proofErr w:type="spellEnd"/>
      <w:r w:rsidRPr="00026B74">
        <w:rPr>
          <w:color w:val="000000" w:themeColor="text1"/>
        </w:rPr>
        <w:t xml:space="preserve"> 2016 Midpoint (H) method (v1.13), with uncertainties expressed as percentiles (</w:t>
      </w:r>
      <w:r w:rsidR="00CE48F3" w:rsidRPr="00026B74">
        <w:rPr>
          <w:color w:val="000000" w:themeColor="text1"/>
        </w:rPr>
        <w:t>P</w:t>
      </w:r>
      <w:r w:rsidRPr="00026B74">
        <w:rPr>
          <w:color w:val="000000" w:themeColor="text1"/>
        </w:rPr>
        <w:t>5–</w:t>
      </w:r>
      <w:r w:rsidR="00CE48F3" w:rsidRPr="00026B74">
        <w:rPr>
          <w:color w:val="000000" w:themeColor="text1"/>
        </w:rPr>
        <w:t>P</w:t>
      </w:r>
      <w:r w:rsidRPr="00026B74">
        <w:rPr>
          <w:color w:val="000000" w:themeColor="text1"/>
        </w:rPr>
        <w:t xml:space="preserve">95) and probabilistic metrics, such as P(biorefinery &lt; </w:t>
      </w:r>
      <w:r w:rsidR="00EE26E9" w:rsidRPr="00026B74">
        <w:rPr>
          <w:color w:val="000000" w:themeColor="text1"/>
        </w:rPr>
        <w:t xml:space="preserve">sanitary </w:t>
      </w:r>
      <w:r w:rsidRPr="00026B74">
        <w:rPr>
          <w:color w:val="000000" w:themeColor="text1"/>
        </w:rPr>
        <w:t xml:space="preserve">landfill), across various categories. Sensitivity analysis focuses on parameters identified as process-dominating. Although </w:t>
      </w:r>
      <w:proofErr w:type="spellStart"/>
      <w:r w:rsidRPr="00026B74">
        <w:rPr>
          <w:color w:val="000000" w:themeColor="text1"/>
        </w:rPr>
        <w:t>ReCiPe</w:t>
      </w:r>
      <w:proofErr w:type="spellEnd"/>
      <w:r w:rsidRPr="00026B74">
        <w:rPr>
          <w:color w:val="000000" w:themeColor="text1"/>
        </w:rPr>
        <w:t xml:space="preserve"> offers a comprehensive range of midpoint categories encompassing diverse environmental aspects pertinent to biorefineries, the analysis concentrates on a selected subset to facilitate interpretation and emphasize key system outcomes: climate change, fossil resource utilization, water consumption, land utilization, freshwater eutrophication, terrestrial acidification, human toxicity (carcinogenicity), and terrestrial ecotoxicity. This selection is justified by their significance in systems </w:t>
      </w:r>
      <w:r w:rsidR="00A9208A" w:rsidRPr="00026B74">
        <w:rPr>
          <w:color w:val="000000" w:themeColor="text1"/>
        </w:rPr>
        <w:t>that are heavily dependent on chemical inputs, energy, and effluent management, as well as by their alignment with the sensitivity and uncertainty analyses performed in</w:t>
      </w:r>
      <w:r w:rsidRPr="00026B74">
        <w:rPr>
          <w:color w:val="000000" w:themeColor="text1"/>
        </w:rPr>
        <w:t xml:space="preserve"> the study.</w:t>
      </w:r>
    </w:p>
    <w:p w14:paraId="58B216B6" w14:textId="47DE3CF4" w:rsidR="008E6564" w:rsidRPr="00026B74" w:rsidRDefault="0013182D" w:rsidP="0013182D">
      <w:pPr>
        <w:pStyle w:val="CETHeadingxx"/>
        <w:rPr>
          <w:color w:val="000000" w:themeColor="text1"/>
        </w:rPr>
      </w:pPr>
      <w:r w:rsidRPr="00026B74">
        <w:rPr>
          <w:color w:val="000000" w:themeColor="text1"/>
        </w:rPr>
        <w:t>Interpretation of results</w:t>
      </w:r>
    </w:p>
    <w:p w14:paraId="33D53DA3" w14:textId="6A15374B" w:rsidR="0013182D" w:rsidRPr="00026B74" w:rsidRDefault="006F08AC" w:rsidP="0013182D">
      <w:pPr>
        <w:pStyle w:val="CETBodytext"/>
        <w:rPr>
          <w:color w:val="000000" w:themeColor="text1"/>
        </w:rPr>
      </w:pPr>
      <w:r w:rsidRPr="00026B74">
        <w:rPr>
          <w:color w:val="000000" w:themeColor="text1"/>
        </w:rPr>
        <w:t xml:space="preserve">The LCIA results are employed to assess the environmental sustainability of the Hass avocado seed cascade biorefinery. A hotspot analysis identifies the primary factors influencing each impact category and highlights opportunities to enhance the system's eco-efficiency. Building upon these hotspots, a sensitivity analysis assesses the model's robustness by varying key input parameters and observing the resulting changes in environmental impacts. Furthermore, an uncertainty analysis, conducted via </w:t>
      </w:r>
      <w:r w:rsidR="009A39CC" w:rsidRPr="00026B74">
        <w:rPr>
          <w:color w:val="000000" w:themeColor="text1"/>
        </w:rPr>
        <w:t>2</w:t>
      </w:r>
      <w:r w:rsidRPr="00026B74">
        <w:rPr>
          <w:color w:val="000000" w:themeColor="text1"/>
        </w:rPr>
        <w:t>000 Monte Carlo</w:t>
      </w:r>
      <w:r w:rsidR="00844D32" w:rsidRPr="00026B74">
        <w:rPr>
          <w:color w:val="000000" w:themeColor="text1"/>
        </w:rPr>
        <w:t xml:space="preserve"> (MC)</w:t>
      </w:r>
      <w:r w:rsidRPr="00026B74">
        <w:rPr>
          <w:color w:val="000000" w:themeColor="text1"/>
        </w:rPr>
        <w:t xml:space="preserve"> simulations, propagates uncertainties in foreground inputs through the Pedigree approach and accounts for background data uncertainties derived from the</w:t>
      </w:r>
      <w:r w:rsidR="00C42762" w:rsidRPr="00026B74">
        <w:rPr>
          <w:color w:val="000000" w:themeColor="text1"/>
        </w:rPr>
        <w:t xml:space="preserve"> selection made in the</w:t>
      </w:r>
      <w:r w:rsidRPr="00026B74">
        <w:rPr>
          <w:color w:val="000000" w:themeColor="text1"/>
        </w:rPr>
        <w:t xml:space="preserve"> </w:t>
      </w:r>
      <w:proofErr w:type="spellStart"/>
      <w:r w:rsidR="000C7CF3" w:rsidRPr="00026B74">
        <w:rPr>
          <w:color w:val="000000" w:themeColor="text1"/>
        </w:rPr>
        <w:t>E</w:t>
      </w:r>
      <w:r w:rsidRPr="00026B74">
        <w:rPr>
          <w:color w:val="000000" w:themeColor="text1"/>
        </w:rPr>
        <w:t>coinvent</w:t>
      </w:r>
      <w:proofErr w:type="spellEnd"/>
      <w:r w:rsidRPr="00026B74">
        <w:rPr>
          <w:color w:val="000000" w:themeColor="text1"/>
        </w:rPr>
        <w:t xml:space="preserve"> datasets. This approach facilitates a statistical evaluation of the impact distribution. The </w:t>
      </w:r>
      <w:r w:rsidR="00643534" w:rsidRPr="00026B74">
        <w:rPr>
          <w:color w:val="000000" w:themeColor="text1"/>
        </w:rPr>
        <w:t>MC</w:t>
      </w:r>
      <w:r w:rsidRPr="00026B74">
        <w:rPr>
          <w:color w:val="000000" w:themeColor="text1"/>
        </w:rPr>
        <w:t xml:space="preserve"> outcomes enable a probabilistic comparison, estimating the probability that the biorefinery yields lower impacts </w:t>
      </w:r>
      <w:r w:rsidR="00643534" w:rsidRPr="00026B74">
        <w:rPr>
          <w:color w:val="000000" w:themeColor="text1"/>
        </w:rPr>
        <w:t>than the sanitary landfill scenario</w:t>
      </w:r>
      <w:r w:rsidRPr="00026B74">
        <w:rPr>
          <w:color w:val="000000" w:themeColor="text1"/>
        </w:rPr>
        <w:t>.</w:t>
      </w:r>
    </w:p>
    <w:p w14:paraId="677EBFF0" w14:textId="4EC8D825" w:rsidR="00600535" w:rsidRPr="00026B74" w:rsidRDefault="00657E88" w:rsidP="00600535">
      <w:pPr>
        <w:pStyle w:val="CETHeading1"/>
        <w:tabs>
          <w:tab w:val="clear" w:pos="360"/>
          <w:tab w:val="right" w:pos="7100"/>
        </w:tabs>
        <w:jc w:val="both"/>
        <w:rPr>
          <w:color w:val="000000" w:themeColor="text1"/>
          <w:lang w:val="en-GB"/>
        </w:rPr>
      </w:pPr>
      <w:r w:rsidRPr="00026B74">
        <w:rPr>
          <w:color w:val="000000" w:themeColor="text1"/>
          <w:lang w:val="en-GB"/>
        </w:rPr>
        <w:t>Results and discussion</w:t>
      </w:r>
    </w:p>
    <w:p w14:paraId="49D329F4" w14:textId="74165CDA" w:rsidR="00F52693" w:rsidRPr="00026B74" w:rsidRDefault="00643534" w:rsidP="00EB3686">
      <w:pPr>
        <w:pStyle w:val="CETBodytext"/>
        <w:rPr>
          <w:color w:val="000000" w:themeColor="text1"/>
        </w:rPr>
      </w:pPr>
      <w:r w:rsidRPr="00026B74">
        <w:rPr>
          <w:noProof/>
          <w:color w:val="000000" w:themeColor="text1"/>
        </w:rPr>
        <w:drawing>
          <wp:anchor distT="0" distB="0" distL="114300" distR="114300" simplePos="0" relativeHeight="251673600" behindDoc="0" locked="0" layoutInCell="1" allowOverlap="1" wp14:anchorId="5C99CC50" wp14:editId="7A98803C">
            <wp:simplePos x="0" y="0"/>
            <wp:positionH relativeFrom="column">
              <wp:posOffset>-3175</wp:posOffset>
            </wp:positionH>
            <wp:positionV relativeFrom="paragraph">
              <wp:posOffset>326965</wp:posOffset>
            </wp:positionV>
            <wp:extent cx="5608708" cy="1967583"/>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708" cy="1967583"/>
                    </a:xfrm>
                    <a:prstGeom prst="rect">
                      <a:avLst/>
                    </a:prstGeom>
                    <a:noFill/>
                  </pic:spPr>
                </pic:pic>
              </a:graphicData>
            </a:graphic>
          </wp:anchor>
        </w:drawing>
      </w:r>
      <w:r w:rsidR="008C0A05" w:rsidRPr="00026B74">
        <w:rPr>
          <w:color w:val="000000" w:themeColor="text1"/>
        </w:rPr>
        <w:t xml:space="preserve">The results of the cascade biorefinery using Hass avocado seeds indicate </w:t>
      </w:r>
      <w:r w:rsidR="001375BB" w:rsidRPr="00026B74">
        <w:rPr>
          <w:color w:val="000000" w:themeColor="text1"/>
        </w:rPr>
        <w:t xml:space="preserve">generally positive environmental impacts across multiple categories when substituting for </w:t>
      </w:r>
      <w:r w:rsidR="008C0A05" w:rsidRPr="00026B74">
        <w:rPr>
          <w:color w:val="000000" w:themeColor="text1"/>
        </w:rPr>
        <w:t>market products on a one-to-one basis</w:t>
      </w:r>
      <w:r w:rsidR="001144CE" w:rsidRPr="00026B74">
        <w:rPr>
          <w:color w:val="000000" w:themeColor="text1"/>
        </w:rPr>
        <w:t xml:space="preserve"> (see Figure 2)</w:t>
      </w:r>
      <w:r w:rsidR="008C0A05" w:rsidRPr="00026B74">
        <w:rPr>
          <w:color w:val="000000" w:themeColor="text1"/>
        </w:rPr>
        <w:t xml:space="preserve">. </w:t>
      </w:r>
    </w:p>
    <w:p w14:paraId="2E946B35" w14:textId="65C2289A" w:rsidR="0069433C" w:rsidRPr="00026B74" w:rsidRDefault="006F5D1D" w:rsidP="00846F6C">
      <w:pPr>
        <w:pStyle w:val="CETCaption"/>
        <w:rPr>
          <w:color w:val="000000" w:themeColor="text1"/>
        </w:rPr>
      </w:pPr>
      <w:r w:rsidRPr="00026B74">
        <w:rPr>
          <w:rStyle w:val="CETCaptionCarattere"/>
          <w:i/>
          <w:color w:val="000000" w:themeColor="text1"/>
        </w:rPr>
        <w:t xml:space="preserve">Figure 2: </w:t>
      </w:r>
      <w:r w:rsidR="003E5631" w:rsidRPr="00026B74">
        <w:rPr>
          <w:color w:val="000000" w:themeColor="text1"/>
        </w:rPr>
        <w:t xml:space="preserve">LCIA results for </w:t>
      </w:r>
      <w:r w:rsidR="003464BB">
        <w:rPr>
          <w:color w:val="000000" w:themeColor="text1"/>
        </w:rPr>
        <w:t>1</w:t>
      </w:r>
      <w:r w:rsidR="003E5631" w:rsidRPr="00026B74">
        <w:rPr>
          <w:color w:val="000000" w:themeColor="text1"/>
        </w:rPr>
        <w:t>000 kg of Hass avocado seeds</w:t>
      </w:r>
      <w:r w:rsidR="00327A08" w:rsidRPr="00026B74">
        <w:rPr>
          <w:color w:val="000000" w:themeColor="text1"/>
        </w:rPr>
        <w:t xml:space="preserve"> </w:t>
      </w:r>
      <w:r w:rsidR="003E5631" w:rsidRPr="00026B74">
        <w:rPr>
          <w:color w:val="000000" w:themeColor="text1"/>
        </w:rPr>
        <w:t xml:space="preserve">(deterministic), </w:t>
      </w:r>
      <w:r w:rsidR="00327A08" w:rsidRPr="00026B74">
        <w:rPr>
          <w:color w:val="000000" w:themeColor="text1"/>
        </w:rPr>
        <w:t>including</w:t>
      </w:r>
      <w:r w:rsidR="003E5631" w:rsidRPr="00026B74">
        <w:rPr>
          <w:color w:val="000000" w:themeColor="text1"/>
        </w:rPr>
        <w:t xml:space="preserve"> 5th and 95th </w:t>
      </w:r>
      <w:r w:rsidR="003464BB">
        <w:rPr>
          <w:color w:val="000000" w:themeColor="text1"/>
        </w:rPr>
        <w:t>percentile</w:t>
      </w:r>
      <w:r w:rsidR="003E5631" w:rsidRPr="00026B74">
        <w:rPr>
          <w:color w:val="000000" w:themeColor="text1"/>
        </w:rPr>
        <w:t xml:space="preserve"> values based on </w:t>
      </w:r>
      <w:r w:rsidR="00844D32" w:rsidRPr="00026B74">
        <w:rPr>
          <w:color w:val="000000" w:themeColor="text1"/>
        </w:rPr>
        <w:t>MC</w:t>
      </w:r>
      <w:r w:rsidR="003E5631" w:rsidRPr="00026B74">
        <w:rPr>
          <w:color w:val="000000" w:themeColor="text1"/>
        </w:rPr>
        <w:t xml:space="preserve"> simulations</w:t>
      </w:r>
    </w:p>
    <w:p w14:paraId="42AC6AE9" w14:textId="30880914" w:rsidR="00EB3686" w:rsidRPr="00026B74" w:rsidRDefault="00A73C52" w:rsidP="00EB3686">
      <w:pPr>
        <w:pStyle w:val="CETBodytext"/>
        <w:rPr>
          <w:rFonts w:cs="Arial"/>
          <w:color w:val="000000" w:themeColor="text1"/>
        </w:rPr>
      </w:pPr>
      <w:r w:rsidRPr="00026B74">
        <w:rPr>
          <w:rFonts w:ascii="Times New Roman" w:hAnsi="Times New Roman"/>
          <w:noProof/>
          <w:color w:val="000000" w:themeColor="text1"/>
          <w:sz w:val="24"/>
          <w:szCs w:val="24"/>
          <w:lang w:val="es-PE" w:eastAsia="es-PE"/>
        </w:rPr>
        <w:drawing>
          <wp:anchor distT="0" distB="0" distL="114300" distR="114300" simplePos="0" relativeHeight="251671552" behindDoc="0" locked="0" layoutInCell="1" allowOverlap="1" wp14:anchorId="6A301507" wp14:editId="45542620">
            <wp:simplePos x="0" y="0"/>
            <wp:positionH relativeFrom="column">
              <wp:posOffset>-14605</wp:posOffset>
            </wp:positionH>
            <wp:positionV relativeFrom="paragraph">
              <wp:posOffset>2478405</wp:posOffset>
            </wp:positionV>
            <wp:extent cx="3847465" cy="3610610"/>
            <wp:effectExtent l="0" t="0" r="635" b="889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7465" cy="3610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C82" w:rsidRPr="00026B74">
        <w:rPr>
          <w:rFonts w:cs="Arial"/>
          <w:color w:val="000000" w:themeColor="text1"/>
        </w:rPr>
        <w:t>Although climate change exhibits a negative deterministic value</w:t>
      </w:r>
      <w:r w:rsidR="0092363D" w:rsidRPr="00026B74">
        <w:rPr>
          <w:rFonts w:cs="Arial"/>
          <w:color w:val="000000" w:themeColor="text1"/>
        </w:rPr>
        <w:t xml:space="preserve"> (−</w:t>
      </w:r>
      <w:r w:rsidR="007B3D16" w:rsidRPr="00026B74">
        <w:rPr>
          <w:rFonts w:cs="Arial"/>
          <w:color w:val="000000" w:themeColor="text1"/>
        </w:rPr>
        <w:t>474</w:t>
      </w:r>
      <w:r w:rsidR="0092363D" w:rsidRPr="00026B74">
        <w:rPr>
          <w:rFonts w:cs="Arial"/>
          <w:color w:val="000000" w:themeColor="text1"/>
        </w:rPr>
        <w:t xml:space="preserve"> kg CO</w:t>
      </w:r>
      <w:r w:rsidR="0092363D" w:rsidRPr="00026B74">
        <w:rPr>
          <w:rFonts w:ascii="Cambria Math" w:hAnsi="Cambria Math" w:cs="Cambria Math"/>
          <w:color w:val="000000" w:themeColor="text1"/>
        </w:rPr>
        <w:t>₂</w:t>
      </w:r>
      <w:r w:rsidR="0092363D" w:rsidRPr="00026B74">
        <w:rPr>
          <w:rFonts w:cs="Arial"/>
          <w:color w:val="000000" w:themeColor="text1"/>
        </w:rPr>
        <w:t>-eq/t</w:t>
      </w:r>
      <w:r w:rsidR="002C60B5" w:rsidRPr="00026B74">
        <w:rPr>
          <w:rFonts w:cs="Arial"/>
          <w:color w:val="000000" w:themeColor="text1"/>
        </w:rPr>
        <w:t>)</w:t>
      </w:r>
      <w:r w:rsidR="00EC4C82" w:rsidRPr="00026B74">
        <w:rPr>
          <w:rFonts w:cs="Arial"/>
          <w:color w:val="000000" w:themeColor="text1"/>
        </w:rPr>
        <w:t>, the extensive Monte Carlo interval in Figure 2</w:t>
      </w:r>
      <w:r w:rsidR="002C60B5" w:rsidRPr="00026B74">
        <w:rPr>
          <w:rFonts w:cs="Arial"/>
          <w:color w:val="000000" w:themeColor="text1"/>
        </w:rPr>
        <w:t xml:space="preserve"> (P5–P95: −</w:t>
      </w:r>
      <w:r w:rsidR="00D2001C" w:rsidRPr="00026B74">
        <w:rPr>
          <w:rFonts w:cs="Arial"/>
          <w:color w:val="000000" w:themeColor="text1"/>
        </w:rPr>
        <w:t>3510</w:t>
      </w:r>
      <w:r w:rsidR="002C60B5" w:rsidRPr="00026B74">
        <w:rPr>
          <w:rFonts w:cs="Arial"/>
          <w:color w:val="000000" w:themeColor="text1"/>
        </w:rPr>
        <w:t xml:space="preserve"> to </w:t>
      </w:r>
      <w:r w:rsidR="00D2001C" w:rsidRPr="00026B74">
        <w:rPr>
          <w:rFonts w:cs="Arial"/>
          <w:color w:val="000000" w:themeColor="text1"/>
        </w:rPr>
        <w:t>-778</w:t>
      </w:r>
      <w:r w:rsidR="002C60B5" w:rsidRPr="00026B74">
        <w:rPr>
          <w:rFonts w:cs="Arial"/>
          <w:color w:val="000000" w:themeColor="text1"/>
        </w:rPr>
        <w:t xml:space="preserve"> kg CO</w:t>
      </w:r>
      <w:r w:rsidR="002C60B5" w:rsidRPr="00026B74">
        <w:rPr>
          <w:rFonts w:ascii="Cambria Math" w:hAnsi="Cambria Math" w:cs="Cambria Math"/>
          <w:color w:val="000000" w:themeColor="text1"/>
        </w:rPr>
        <w:t>₂</w:t>
      </w:r>
      <w:r w:rsidR="002C60B5" w:rsidRPr="00026B74">
        <w:rPr>
          <w:rFonts w:cs="Arial"/>
          <w:color w:val="000000" w:themeColor="text1"/>
        </w:rPr>
        <w:t>-eq/t)</w:t>
      </w:r>
      <w:r w:rsidR="00EC4C82" w:rsidRPr="00026B74">
        <w:rPr>
          <w:rFonts w:cs="Arial"/>
          <w:color w:val="000000" w:themeColor="text1"/>
        </w:rPr>
        <w:t xml:space="preserve"> </w:t>
      </w:r>
      <w:r w:rsidR="007B3D16" w:rsidRPr="00026B74">
        <w:rPr>
          <w:rFonts w:cs="Arial"/>
          <w:color w:val="000000" w:themeColor="text1"/>
        </w:rPr>
        <w:t>and sensitivity scenarios of Figure 3 suggest</w:t>
      </w:r>
      <w:r w:rsidR="00EC4C82" w:rsidRPr="00026B74">
        <w:rPr>
          <w:rFonts w:cs="Arial"/>
          <w:color w:val="000000" w:themeColor="text1"/>
        </w:rPr>
        <w:t xml:space="preserve"> that the </w:t>
      </w:r>
      <w:r w:rsidR="002C60B5" w:rsidRPr="00026B74">
        <w:rPr>
          <w:rFonts w:cs="Arial"/>
          <w:color w:val="000000" w:themeColor="text1"/>
        </w:rPr>
        <w:t>sign of the outcome</w:t>
      </w:r>
      <w:r w:rsidR="00EC4C82" w:rsidRPr="00026B74">
        <w:rPr>
          <w:rFonts w:cs="Arial"/>
          <w:color w:val="000000" w:themeColor="text1"/>
        </w:rPr>
        <w:t xml:space="preserve"> depends on key assumptions regarding yields, substitution factors, end-of-life options, and background data. This indicates a tendency towards an overall </w:t>
      </w:r>
      <w:r w:rsidR="00D86B6A" w:rsidRPr="00026B74">
        <w:rPr>
          <w:rFonts w:cs="Arial"/>
          <w:color w:val="000000" w:themeColor="text1"/>
        </w:rPr>
        <w:t>“</w:t>
      </w:r>
      <w:r w:rsidR="00EC4C82" w:rsidRPr="00026B74">
        <w:rPr>
          <w:rFonts w:cs="Arial"/>
          <w:color w:val="000000" w:themeColor="text1"/>
        </w:rPr>
        <w:t>net benefit</w:t>
      </w:r>
      <w:r w:rsidR="00D86B6A" w:rsidRPr="00026B74">
        <w:rPr>
          <w:rFonts w:cs="Arial"/>
          <w:color w:val="000000" w:themeColor="text1"/>
        </w:rPr>
        <w:t xml:space="preserve">”—as the probability MC results </w:t>
      </w:r>
      <w:r w:rsidR="00671441" w:rsidRPr="00026B74">
        <w:rPr>
          <w:rFonts w:cs="Arial"/>
          <w:color w:val="000000" w:themeColor="text1"/>
        </w:rPr>
        <w:t xml:space="preserve">show when compared with the </w:t>
      </w:r>
      <w:r w:rsidR="00EE26E9" w:rsidRPr="00026B74">
        <w:rPr>
          <w:rFonts w:cs="Arial"/>
          <w:color w:val="000000" w:themeColor="text1"/>
        </w:rPr>
        <w:t xml:space="preserve">sanitary </w:t>
      </w:r>
      <w:r w:rsidR="00671441" w:rsidRPr="00026B74">
        <w:rPr>
          <w:rFonts w:cs="Arial"/>
          <w:color w:val="000000" w:themeColor="text1"/>
        </w:rPr>
        <w:t xml:space="preserve">landfill disposition scenario— </w:t>
      </w:r>
      <w:r w:rsidR="004F53F1" w:rsidRPr="00026B74">
        <w:rPr>
          <w:rFonts w:cs="Arial"/>
          <w:color w:val="000000" w:themeColor="text1"/>
        </w:rPr>
        <w:t>even though</w:t>
      </w:r>
      <w:r w:rsidR="00671441" w:rsidRPr="00026B74">
        <w:rPr>
          <w:rFonts w:cs="Arial"/>
          <w:color w:val="000000" w:themeColor="text1"/>
        </w:rPr>
        <w:t xml:space="preserve"> such an outcome cannot be </w:t>
      </w:r>
      <w:r w:rsidR="00EC4C82" w:rsidRPr="00026B74">
        <w:rPr>
          <w:rFonts w:cs="Arial"/>
          <w:color w:val="000000" w:themeColor="text1"/>
        </w:rPr>
        <w:t>assured</w:t>
      </w:r>
      <w:r w:rsidR="008B5A60" w:rsidRPr="00026B74">
        <w:rPr>
          <w:rFonts w:cs="Arial"/>
          <w:color w:val="000000" w:themeColor="text1"/>
        </w:rPr>
        <w:t>,</w:t>
      </w:r>
      <w:r w:rsidR="00D2001C" w:rsidRPr="00026B74">
        <w:rPr>
          <w:rFonts w:cs="Arial"/>
          <w:color w:val="000000" w:themeColor="text1"/>
        </w:rPr>
        <w:t xml:space="preserve"> as sensitivity analysis suggests</w:t>
      </w:r>
      <w:r w:rsidR="00EC4C82" w:rsidRPr="00026B74">
        <w:rPr>
          <w:rFonts w:cs="Arial"/>
          <w:color w:val="000000" w:themeColor="text1"/>
        </w:rPr>
        <w:t xml:space="preserve">. </w:t>
      </w:r>
      <w:r w:rsidR="00EB3686" w:rsidRPr="00026B74">
        <w:rPr>
          <w:rFonts w:cs="Arial"/>
          <w:color w:val="000000" w:themeColor="text1"/>
        </w:rPr>
        <w:t>Uncertainty analysis indicates that, under certain parameter configurations, the system could become environmentally detrimental even when bioplastics and fossil-based pesticides are entirely replaced</w:t>
      </w:r>
      <w:r w:rsidR="00D2551A" w:rsidRPr="00026B74">
        <w:rPr>
          <w:rFonts w:cs="Arial"/>
          <w:color w:val="000000" w:themeColor="text1"/>
        </w:rPr>
        <w:t xml:space="preserve"> for impact categories such as land use</w:t>
      </w:r>
      <w:r w:rsidR="008B5A60" w:rsidRPr="00026B74">
        <w:rPr>
          <w:rFonts w:cs="Arial"/>
          <w:color w:val="000000" w:themeColor="text1"/>
        </w:rPr>
        <w:t xml:space="preserve"> and</w:t>
      </w:r>
      <w:r w:rsidR="00D2551A" w:rsidRPr="00026B74">
        <w:rPr>
          <w:rFonts w:cs="Arial"/>
          <w:color w:val="000000" w:themeColor="text1"/>
        </w:rPr>
        <w:t xml:space="preserve"> human toxicity (carcinogenic)</w:t>
      </w:r>
      <w:r w:rsidR="00EB3686" w:rsidRPr="00026B74">
        <w:rPr>
          <w:rFonts w:cs="Arial"/>
          <w:color w:val="000000" w:themeColor="text1"/>
        </w:rPr>
        <w:t>. Compared with avocado biorefineries reported in the literature, none of which focus exclusively on waste valorization</w:t>
      </w:r>
      <w:r w:rsidR="00312A14" w:rsidRPr="00026B74">
        <w:rPr>
          <w:rFonts w:cs="Arial"/>
          <w:color w:val="000000" w:themeColor="text1"/>
        </w:rPr>
        <w:t xml:space="preserve"> or system expansion</w:t>
      </w:r>
      <w:r w:rsidR="00EB3686" w:rsidRPr="00026B74">
        <w:rPr>
          <w:rFonts w:cs="Arial"/>
          <w:color w:val="000000" w:themeColor="text1"/>
        </w:rPr>
        <w:t xml:space="preserve">, the main difference lies not only in the numerical values but also in the mechanisms governing the results. </w:t>
      </w:r>
      <w:r w:rsidRPr="00026B74">
        <w:rPr>
          <w:rFonts w:cs="Arial"/>
          <w:color w:val="000000" w:themeColor="text1"/>
        </w:rPr>
        <w:t>In Solarte-Toro et al. (2022), impacts per 1 kg of avocado are positive (0.72–8.99 kg CO</w:t>
      </w:r>
      <w:r w:rsidRPr="00026B74">
        <w:rPr>
          <w:rFonts w:ascii="Cambria Math" w:hAnsi="Cambria Math" w:cs="Cambria Math"/>
          <w:color w:val="000000" w:themeColor="text1"/>
        </w:rPr>
        <w:t>₂</w:t>
      </w:r>
      <w:r w:rsidRPr="00026B74">
        <w:rPr>
          <w:rFonts w:cs="Arial"/>
          <w:color w:val="000000" w:themeColor="text1"/>
        </w:rPr>
        <w:t xml:space="preserve">-eq/kg), indicating that avoiding energy-intensive processes reduces impacts but </w:t>
      </w:r>
      <w:r w:rsidR="00E931A3" w:rsidRPr="00026B74">
        <w:rPr>
          <w:rFonts w:cs="Arial"/>
          <w:color w:val="000000" w:themeColor="text1"/>
        </w:rPr>
        <w:t>does not necessarily</w:t>
      </w:r>
      <w:r w:rsidRPr="00026B74">
        <w:rPr>
          <w:rFonts w:cs="Arial"/>
          <w:color w:val="000000" w:themeColor="text1"/>
        </w:rPr>
        <w:t xml:space="preserve"> reverse the balance — electricity needs are a hotspot in small-scale setups. Similarly, Meramo et al. (2026) highlight energy, mainly electricity and steam (77%) and cooling (15%), as the main impact in </w:t>
      </w:r>
      <w:r w:rsidR="00E931A3" w:rsidRPr="00026B74">
        <w:rPr>
          <w:rFonts w:cs="Arial"/>
          <w:color w:val="000000" w:themeColor="text1"/>
        </w:rPr>
        <w:t>avocado oil-focused</w:t>
      </w:r>
      <w:r w:rsidRPr="00026B74">
        <w:rPr>
          <w:rFonts w:cs="Arial"/>
          <w:color w:val="000000" w:themeColor="text1"/>
        </w:rPr>
        <w:t xml:space="preserve"> biorefineries. In this study, the hotspots appear in materials, </w:t>
      </w:r>
      <w:r w:rsidR="00E931A3" w:rsidRPr="00026B74">
        <w:rPr>
          <w:rFonts w:cs="Arial"/>
          <w:color w:val="000000" w:themeColor="text1"/>
        </w:rPr>
        <w:t>waste, and energy, which is perhaps more similar to the work of García-Vallejo et al. (2023), who report a carbon footprint of 3.71 kg CO</w:t>
      </w:r>
      <w:r w:rsidR="00E931A3" w:rsidRPr="00026B74">
        <w:rPr>
          <w:rFonts w:ascii="Cambria Math" w:hAnsi="Cambria Math" w:cs="Cambria Math"/>
          <w:color w:val="000000" w:themeColor="text1"/>
        </w:rPr>
        <w:t>₂</w:t>
      </w:r>
      <w:r w:rsidR="00E931A3" w:rsidRPr="00026B74">
        <w:rPr>
          <w:rFonts w:cs="Arial"/>
          <w:color w:val="000000" w:themeColor="text1"/>
        </w:rPr>
        <w:t xml:space="preserve">-eq/kg, highly </w:t>
      </w:r>
      <w:r w:rsidR="004F53F1" w:rsidRPr="00026B74">
        <w:rPr>
          <w:rFonts w:cs="Arial"/>
          <w:color w:val="000000" w:themeColor="text1"/>
        </w:rPr>
        <w:t>dependent on</w:t>
      </w:r>
      <w:r w:rsidR="00E931A3" w:rsidRPr="00026B74">
        <w:rPr>
          <w:rFonts w:cs="Arial"/>
          <w:color w:val="000000" w:themeColor="text1"/>
        </w:rPr>
        <w:t xml:space="preserve"> materials, with ethanol </w:t>
      </w:r>
      <w:r w:rsidRPr="00026B74">
        <w:rPr>
          <w:rFonts w:cs="Arial"/>
          <w:color w:val="000000" w:themeColor="text1"/>
        </w:rPr>
        <w:t>accounting for 67% of the climate impact.</w:t>
      </w:r>
    </w:p>
    <w:p w14:paraId="75627D46" w14:textId="7807F5DD" w:rsidR="00846F6C" w:rsidRPr="00026B74" w:rsidRDefault="00846F6C" w:rsidP="00846F6C">
      <w:pPr>
        <w:pStyle w:val="CETCaption"/>
        <w:rPr>
          <w:color w:val="000000" w:themeColor="text1"/>
          <w:lang w:val="en-US" w:eastAsia="es-PE"/>
        </w:rPr>
      </w:pPr>
      <w:r w:rsidRPr="00026B74">
        <w:rPr>
          <w:color w:val="000000" w:themeColor="text1"/>
          <w:lang w:val="en-US" w:eastAsia="es-PE"/>
        </w:rPr>
        <w:t xml:space="preserve">Figure 3: </w:t>
      </w:r>
      <w:r w:rsidR="006B6291" w:rsidRPr="00026B74">
        <w:rPr>
          <w:color w:val="000000" w:themeColor="text1"/>
          <w:lang w:val="en-US" w:eastAsia="es-PE"/>
        </w:rPr>
        <w:t xml:space="preserve">Deterministic sensitivity analysis results using the same FU. The Efficient scenario combines input reductions with a 40% </w:t>
      </w:r>
      <w:r w:rsidR="006440F8" w:rsidRPr="00026B74">
        <w:rPr>
          <w:color w:val="000000" w:themeColor="text1"/>
          <w:lang w:val="en-US" w:eastAsia="es-PE"/>
        </w:rPr>
        <w:t>reduction in pesticide use</w:t>
      </w:r>
      <w:r w:rsidR="006B6291" w:rsidRPr="00026B74">
        <w:rPr>
          <w:color w:val="000000" w:themeColor="text1"/>
          <w:lang w:val="en-US" w:eastAsia="es-PE"/>
        </w:rPr>
        <w:t xml:space="preserve">. Seed disposal in a </w:t>
      </w:r>
      <w:r w:rsidR="00EE26E9" w:rsidRPr="00026B74">
        <w:rPr>
          <w:color w:val="000000" w:themeColor="text1"/>
          <w:lang w:val="en-US" w:eastAsia="es-PE"/>
        </w:rPr>
        <w:t>sanitary</w:t>
      </w:r>
      <w:r w:rsidR="006B6291" w:rsidRPr="00026B74">
        <w:rPr>
          <w:color w:val="000000" w:themeColor="text1"/>
          <w:lang w:val="en-US" w:eastAsia="es-PE"/>
        </w:rPr>
        <w:t xml:space="preserve"> landfill is the comparison scenario</w:t>
      </w:r>
    </w:p>
    <w:p w14:paraId="51F7E0BE" w14:textId="0DC15A62" w:rsidR="005F4F5B" w:rsidRPr="00026B74" w:rsidRDefault="00C93433" w:rsidP="006508F2">
      <w:pPr>
        <w:pStyle w:val="CETBodytext"/>
        <w:rPr>
          <w:color w:val="000000" w:themeColor="text1"/>
          <w:lang w:eastAsia="es-PE"/>
        </w:rPr>
      </w:pPr>
      <w:r w:rsidRPr="00026B74">
        <w:rPr>
          <w:color w:val="000000" w:themeColor="text1"/>
          <w:lang w:eastAsia="es-PE"/>
        </w:rPr>
        <w:t xml:space="preserve">The deterministic analysis revealed that electricity and natural gas are the drivers in the energy category, </w:t>
      </w:r>
      <w:r w:rsidR="00815460" w:rsidRPr="00026B74">
        <w:rPr>
          <w:color w:val="000000" w:themeColor="text1"/>
          <w:lang w:eastAsia="es-PE"/>
        </w:rPr>
        <w:t xml:space="preserve">whereas ethanol and </w:t>
      </w:r>
      <w:r w:rsidR="001B107B" w:rsidRPr="00026B74">
        <w:rPr>
          <w:color w:val="000000" w:themeColor="text1"/>
          <w:lang w:eastAsia="es-PE"/>
        </w:rPr>
        <w:t>hydrated lime</w:t>
      </w:r>
      <w:r w:rsidR="00815460" w:rsidRPr="00026B74">
        <w:rPr>
          <w:color w:val="000000" w:themeColor="text1"/>
          <w:lang w:eastAsia="es-PE"/>
        </w:rPr>
        <w:t xml:space="preserve"> are the drivers in the materials category: one derived from the phenol extraction process for bioinsecticide production and the other used in bioplastics manufacturing via fermentation, respectively</w:t>
      </w:r>
      <w:r w:rsidR="00815460" w:rsidRPr="00026B74">
        <w:rPr>
          <w:color w:val="000000" w:themeColor="text1"/>
        </w:rPr>
        <w:t>. Moreover, most solid waste is produced through the same biofilm production pathway. In essence, restricting biofilm production to the non-fermentation route could substantially mitigate the biorefinery's environmental impacts</w:t>
      </w:r>
      <w:r w:rsidRPr="00026B74">
        <w:rPr>
          <w:color w:val="000000" w:themeColor="text1"/>
          <w:lang w:eastAsia="es-PE"/>
        </w:rPr>
        <w:t xml:space="preserve">. </w:t>
      </w:r>
      <w:r w:rsidR="001B2B45" w:rsidRPr="00026B74">
        <w:rPr>
          <w:color w:val="000000" w:themeColor="text1"/>
          <w:lang w:eastAsia="es-PE"/>
        </w:rPr>
        <w:t>Therefore</w:t>
      </w:r>
      <w:r w:rsidRPr="00026B74">
        <w:rPr>
          <w:color w:val="000000" w:themeColor="text1"/>
          <w:lang w:eastAsia="es-PE"/>
        </w:rPr>
        <w:t xml:space="preserve">, a sensitivity analysis was conducted to assess the impact of not fully replacing equivalent products in the market and to develop scenarios in which the aforementioned environmental impact drivers can be reduced. </w:t>
      </w:r>
      <w:r w:rsidR="00FC6426" w:rsidRPr="00026B74">
        <w:rPr>
          <w:color w:val="000000" w:themeColor="text1"/>
          <w:lang w:eastAsia="es-PE"/>
        </w:rPr>
        <w:t xml:space="preserve">The results shown in Figure 3 demonstrate that reducing </w:t>
      </w:r>
      <w:r w:rsidR="00F76016" w:rsidRPr="00026B74">
        <w:rPr>
          <w:color w:val="000000" w:themeColor="text1"/>
          <w:lang w:eastAsia="es-PE"/>
        </w:rPr>
        <w:t>consumption of electricity, natural gas, ethanol, and calcium hydroxide (</w:t>
      </w:r>
      <w:r w:rsidR="007B3D16" w:rsidRPr="00026B74">
        <w:rPr>
          <w:color w:val="000000" w:themeColor="text1"/>
          <w:lang w:eastAsia="es-PE"/>
        </w:rPr>
        <w:t>hydrated lime</w:t>
      </w:r>
      <w:r w:rsidR="00F76016" w:rsidRPr="00026B74">
        <w:rPr>
          <w:color w:val="000000" w:themeColor="text1"/>
          <w:lang w:eastAsia="es-PE"/>
        </w:rPr>
        <w:t>), and minimizing solid-waste generation,</w:t>
      </w:r>
      <w:r w:rsidR="00FC6426" w:rsidRPr="00026B74">
        <w:rPr>
          <w:color w:val="000000" w:themeColor="text1"/>
          <w:lang w:eastAsia="es-PE"/>
        </w:rPr>
        <w:t xml:space="preserve"> create a more resilient scenario against the impacts of these inputs on climate change and enable the substitution of equivalent products in the market. </w:t>
      </w:r>
      <w:r w:rsidR="00815460" w:rsidRPr="00026B74">
        <w:rPr>
          <w:color w:val="000000" w:themeColor="text1"/>
          <w:lang w:eastAsia="es-PE"/>
        </w:rPr>
        <w:t xml:space="preserve">The </w:t>
      </w:r>
      <w:r w:rsidRPr="00026B74">
        <w:rPr>
          <w:color w:val="000000" w:themeColor="text1"/>
          <w:lang w:eastAsia="es-PE"/>
        </w:rPr>
        <w:t>pesticide replacement factor has the greatest impact on the studied product system</w:t>
      </w:r>
      <w:r w:rsidR="00CA6313" w:rsidRPr="00026B74">
        <w:rPr>
          <w:color w:val="000000" w:themeColor="text1"/>
          <w:lang w:eastAsia="es-PE"/>
        </w:rPr>
        <w:t>—displacements below 80% could be environmentally detrimental to the proposed biorefinery</w:t>
      </w:r>
      <w:r w:rsidRPr="00026B74">
        <w:rPr>
          <w:color w:val="000000" w:themeColor="text1"/>
          <w:lang w:eastAsia="es-PE"/>
        </w:rPr>
        <w:t xml:space="preserve">. </w:t>
      </w:r>
      <w:r w:rsidR="00114821" w:rsidRPr="00026B74">
        <w:rPr>
          <w:color w:val="000000" w:themeColor="text1"/>
          <w:lang w:eastAsia="es-PE"/>
        </w:rPr>
        <w:t>W</w:t>
      </w:r>
      <w:r w:rsidRPr="00026B74">
        <w:rPr>
          <w:color w:val="000000" w:themeColor="text1"/>
          <w:lang w:eastAsia="es-PE"/>
        </w:rPr>
        <w:t xml:space="preserve">hen comparing the results with the </w:t>
      </w:r>
      <w:r w:rsidR="00EE26E9" w:rsidRPr="00026B74">
        <w:rPr>
          <w:color w:val="000000" w:themeColor="text1"/>
          <w:lang w:eastAsia="es-PE"/>
        </w:rPr>
        <w:t xml:space="preserve">sanitary </w:t>
      </w:r>
      <w:r w:rsidRPr="00026B74">
        <w:rPr>
          <w:color w:val="000000" w:themeColor="text1"/>
          <w:lang w:eastAsia="es-PE"/>
        </w:rPr>
        <w:t xml:space="preserve">landfill disposal scenario, the probability plot obtained from </w:t>
      </w:r>
      <w:r w:rsidR="00114821" w:rsidRPr="00026B74">
        <w:rPr>
          <w:color w:val="000000" w:themeColor="text1"/>
          <w:lang w:eastAsia="es-PE"/>
        </w:rPr>
        <w:t>an</w:t>
      </w:r>
      <w:r w:rsidRPr="00026B74">
        <w:rPr>
          <w:color w:val="000000" w:themeColor="text1"/>
          <w:lang w:eastAsia="es-PE"/>
        </w:rPr>
        <w:t xml:space="preserve"> </w:t>
      </w:r>
      <w:r w:rsidR="00114821" w:rsidRPr="00026B74">
        <w:rPr>
          <w:color w:val="000000" w:themeColor="text1"/>
          <w:lang w:eastAsia="es-PE"/>
        </w:rPr>
        <w:t>MC</w:t>
      </w:r>
      <w:r w:rsidRPr="00026B74">
        <w:rPr>
          <w:color w:val="000000" w:themeColor="text1"/>
          <w:lang w:eastAsia="es-PE"/>
        </w:rPr>
        <w:t xml:space="preserve"> analysis for both scenarios (see Figure 4) indicates a statistically significant </w:t>
      </w:r>
      <w:r w:rsidR="00744FE9" w:rsidRPr="00026B74">
        <w:rPr>
          <w:color w:val="000000" w:themeColor="text1"/>
          <w:lang w:eastAsia="es-PE"/>
        </w:rPr>
        <w:t>“</w:t>
      </w:r>
      <w:r w:rsidRPr="00026B74">
        <w:rPr>
          <w:color w:val="000000" w:themeColor="text1"/>
          <w:lang w:eastAsia="es-PE"/>
        </w:rPr>
        <w:t>superiority</w:t>
      </w:r>
      <w:r w:rsidR="00744FE9" w:rsidRPr="00026B74">
        <w:rPr>
          <w:color w:val="000000" w:themeColor="text1"/>
          <w:lang w:eastAsia="es-PE"/>
        </w:rPr>
        <w:t>”</w:t>
      </w:r>
      <w:r w:rsidRPr="00026B74">
        <w:rPr>
          <w:color w:val="000000" w:themeColor="text1"/>
          <w:lang w:eastAsia="es-PE"/>
        </w:rPr>
        <w:t xml:space="preserve"> </w:t>
      </w:r>
      <w:r w:rsidR="00744FE9" w:rsidRPr="00026B74">
        <w:rPr>
          <w:color w:val="000000" w:themeColor="text1"/>
          <w:lang w:eastAsia="es-PE"/>
        </w:rPr>
        <w:t xml:space="preserve">of the biorefinery </w:t>
      </w:r>
      <w:r w:rsidRPr="00026B74">
        <w:rPr>
          <w:color w:val="000000" w:themeColor="text1"/>
          <w:lang w:eastAsia="es-PE"/>
        </w:rPr>
        <w:t xml:space="preserve">in </w:t>
      </w:r>
      <w:r w:rsidR="00114821" w:rsidRPr="00026B74">
        <w:rPr>
          <w:color w:val="000000" w:themeColor="text1"/>
          <w:lang w:eastAsia="es-PE"/>
        </w:rPr>
        <w:t>almost all</w:t>
      </w:r>
      <w:r w:rsidRPr="00026B74">
        <w:rPr>
          <w:color w:val="000000" w:themeColor="text1"/>
          <w:lang w:eastAsia="es-PE"/>
        </w:rPr>
        <w:t xml:space="preserve"> categories. Even so, </w:t>
      </w:r>
      <w:r w:rsidR="005F4F5B" w:rsidRPr="00026B74">
        <w:rPr>
          <w:color w:val="000000" w:themeColor="text1"/>
          <w:lang w:eastAsia="es-PE"/>
        </w:rPr>
        <w:t xml:space="preserve">environmental impacts such as land use and human </w:t>
      </w:r>
      <w:r w:rsidR="00716771" w:rsidRPr="00026B74">
        <w:rPr>
          <w:color w:val="000000" w:themeColor="text1"/>
          <w:lang w:eastAsia="es-PE"/>
        </w:rPr>
        <w:t>toxicity (</w:t>
      </w:r>
      <w:r w:rsidR="005F4F5B" w:rsidRPr="00026B74">
        <w:rPr>
          <w:color w:val="000000" w:themeColor="text1"/>
          <w:lang w:eastAsia="es-PE"/>
        </w:rPr>
        <w:t>carcinogen</w:t>
      </w:r>
      <w:r w:rsidR="00716771" w:rsidRPr="00026B74">
        <w:rPr>
          <w:color w:val="000000" w:themeColor="text1"/>
          <w:lang w:eastAsia="es-PE"/>
        </w:rPr>
        <w:t>ic)</w:t>
      </w:r>
      <w:r w:rsidR="005F4F5B" w:rsidRPr="00026B74">
        <w:rPr>
          <w:color w:val="000000" w:themeColor="text1"/>
          <w:lang w:eastAsia="es-PE"/>
        </w:rPr>
        <w:t xml:space="preserve"> remain categories in which the biorefinery would negatively affect surrounding ecosystems</w:t>
      </w:r>
      <w:r w:rsidR="00716771" w:rsidRPr="00026B74">
        <w:rPr>
          <w:color w:val="000000" w:themeColor="text1"/>
          <w:lang w:eastAsia="es-PE"/>
        </w:rPr>
        <w:t xml:space="preserve">, which points to structural trade-offs associated with inputs and operations that the </w:t>
      </w:r>
      <w:r w:rsidR="00EE26E9" w:rsidRPr="00026B74">
        <w:rPr>
          <w:color w:val="000000" w:themeColor="text1"/>
          <w:lang w:eastAsia="es-PE"/>
        </w:rPr>
        <w:t xml:space="preserve">sanitary </w:t>
      </w:r>
      <w:r w:rsidR="00716771" w:rsidRPr="00026B74">
        <w:rPr>
          <w:color w:val="000000" w:themeColor="text1"/>
          <w:lang w:eastAsia="es-PE"/>
        </w:rPr>
        <w:t xml:space="preserve">landfill lacks —production of auxiliary chemicals, water treatment, waste/effluent management, and background datasets with toxic </w:t>
      </w:r>
      <w:r w:rsidR="00272330" w:rsidRPr="00272330">
        <w:rPr>
          <w:rFonts w:ascii="Times New Roman" w:hAnsi="Times New Roman"/>
          <w:noProof/>
          <w:sz w:val="24"/>
          <w:szCs w:val="24"/>
          <w:lang w:val="es-PE" w:eastAsia="es-PE"/>
        </w:rPr>
        <w:drawing>
          <wp:anchor distT="0" distB="0" distL="114300" distR="114300" simplePos="0" relativeHeight="251674624" behindDoc="0" locked="0" layoutInCell="1" allowOverlap="1" wp14:anchorId="28D5D0B5" wp14:editId="6768E853">
            <wp:simplePos x="0" y="0"/>
            <wp:positionH relativeFrom="column">
              <wp:posOffset>-1905</wp:posOffset>
            </wp:positionH>
            <wp:positionV relativeFrom="paragraph">
              <wp:posOffset>1054735</wp:posOffset>
            </wp:positionV>
            <wp:extent cx="4149090" cy="2538095"/>
            <wp:effectExtent l="0" t="0" r="381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926" b="1204"/>
                    <a:stretch/>
                  </pic:blipFill>
                  <pic:spPr bwMode="auto">
                    <a:xfrm>
                      <a:off x="0" y="0"/>
                      <a:ext cx="4149090" cy="2538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6771" w:rsidRPr="00026B74">
        <w:rPr>
          <w:color w:val="000000" w:themeColor="text1"/>
          <w:lang w:eastAsia="es-PE"/>
        </w:rPr>
        <w:t>profiles</w:t>
      </w:r>
      <w:r w:rsidRPr="00026B74">
        <w:rPr>
          <w:color w:val="000000" w:themeColor="text1"/>
          <w:lang w:eastAsia="es-PE"/>
        </w:rPr>
        <w:t>.</w:t>
      </w:r>
    </w:p>
    <w:p w14:paraId="66C9C696" w14:textId="0AAEA06C" w:rsidR="00F853FC" w:rsidRPr="00026B74" w:rsidRDefault="00A46E53" w:rsidP="005F4F5B">
      <w:pPr>
        <w:pStyle w:val="CETBodytext"/>
        <w:rPr>
          <w:i/>
          <w:iCs/>
          <w:color w:val="000000" w:themeColor="text1"/>
        </w:rPr>
      </w:pPr>
      <w:r w:rsidRPr="00026B74">
        <w:rPr>
          <w:i/>
          <w:iCs/>
          <w:color w:val="000000" w:themeColor="text1"/>
        </w:rPr>
        <w:t xml:space="preserve">Figure 4: </w:t>
      </w:r>
      <w:r w:rsidR="00271BF7" w:rsidRPr="00026B74">
        <w:rPr>
          <w:i/>
          <w:iCs/>
          <w:color w:val="000000" w:themeColor="text1"/>
        </w:rPr>
        <w:t xml:space="preserve">Probability of Biorefinery impacts </w:t>
      </w:r>
      <w:r w:rsidR="00A548F0" w:rsidRPr="00026B74">
        <w:rPr>
          <w:i/>
          <w:iCs/>
          <w:color w:val="000000" w:themeColor="text1"/>
        </w:rPr>
        <w:t>lower</w:t>
      </w:r>
      <w:r w:rsidR="00271BF7" w:rsidRPr="00026B74">
        <w:rPr>
          <w:i/>
          <w:iCs/>
          <w:color w:val="000000" w:themeColor="text1"/>
        </w:rPr>
        <w:t xml:space="preserve"> than in the </w:t>
      </w:r>
      <w:r w:rsidR="00CC5576" w:rsidRPr="00026B74">
        <w:rPr>
          <w:i/>
          <w:iCs/>
          <w:color w:val="000000" w:themeColor="text1"/>
        </w:rPr>
        <w:t>comparison scenario</w:t>
      </w:r>
      <w:r w:rsidR="00271BF7" w:rsidRPr="00026B74">
        <w:rPr>
          <w:i/>
          <w:iCs/>
          <w:color w:val="000000" w:themeColor="text1"/>
        </w:rPr>
        <w:t xml:space="preserve"> through </w:t>
      </w:r>
      <w:r w:rsidR="00A827D2" w:rsidRPr="00026B74">
        <w:rPr>
          <w:i/>
          <w:iCs/>
          <w:color w:val="000000" w:themeColor="text1"/>
        </w:rPr>
        <w:t>MC</w:t>
      </w:r>
      <w:r w:rsidR="00CC5576" w:rsidRPr="00026B74">
        <w:rPr>
          <w:i/>
          <w:iCs/>
          <w:color w:val="000000" w:themeColor="text1"/>
        </w:rPr>
        <w:t xml:space="preserve"> analysis</w:t>
      </w:r>
    </w:p>
    <w:p w14:paraId="68D26B83" w14:textId="7756CE59" w:rsidR="00600535" w:rsidRPr="00026B74" w:rsidRDefault="00600535" w:rsidP="00600535">
      <w:pPr>
        <w:pStyle w:val="CETHeading1"/>
        <w:rPr>
          <w:color w:val="000000" w:themeColor="text1"/>
          <w:lang w:val="en-GB"/>
        </w:rPr>
      </w:pPr>
      <w:r w:rsidRPr="00026B74">
        <w:rPr>
          <w:color w:val="000000" w:themeColor="text1"/>
          <w:lang w:val="en-GB"/>
        </w:rPr>
        <w:t>Conclusions</w:t>
      </w:r>
    </w:p>
    <w:p w14:paraId="52DAFDE0" w14:textId="3C37B1A0" w:rsidR="001D0CFB" w:rsidRPr="00026B74" w:rsidRDefault="00373462" w:rsidP="00770813">
      <w:pPr>
        <w:pStyle w:val="CETBodytext"/>
        <w:rPr>
          <w:color w:val="000000" w:themeColor="text1"/>
          <w:lang w:val="en-GB"/>
        </w:rPr>
      </w:pPr>
      <w:r w:rsidRPr="00026B74">
        <w:rPr>
          <w:color w:val="000000" w:themeColor="text1"/>
          <w:lang w:val="en-GB"/>
        </w:rPr>
        <w:t xml:space="preserve">This research demonstrates that a cascade biorefinery utilizing Hass avocado seeds (FU = 1,000 kg) and evaluated through consequential LCA with system expansion has the potential to yield environmental benefits over </w:t>
      </w:r>
      <w:r w:rsidR="00EE26E9" w:rsidRPr="00026B74">
        <w:rPr>
          <w:color w:val="000000" w:themeColor="text1"/>
          <w:lang w:val="en-GB"/>
        </w:rPr>
        <w:t xml:space="preserve">sanitary </w:t>
      </w:r>
      <w:r w:rsidRPr="00026B74">
        <w:rPr>
          <w:color w:val="000000" w:themeColor="text1"/>
          <w:lang w:val="en-GB"/>
        </w:rPr>
        <w:t xml:space="preserve">landfilling, particularly when byproducts such as bioinsecticides, biofilms, and starch effectively substitute market products. Although the analysis indicates a positive impact on climate change within the deterministic framework, this outcome is not guaranteed and may be reversed under alternative assumptions, as evidenced by Monte Carlo simulations. Key hotspots and sensitivity analyses </w:t>
      </w:r>
      <w:r w:rsidR="008B63B7" w:rsidRPr="00026B74">
        <w:rPr>
          <w:color w:val="000000" w:themeColor="text1"/>
          <w:lang w:val="en-GB"/>
        </w:rPr>
        <w:t>indicate that efforts should focus on reducing material inputs, energy consumption, and solid waste, with the pesticide replacement factor identified as the most influential parameter affecting the system's climate outcomes</w:t>
      </w:r>
      <w:r w:rsidRPr="00026B74">
        <w:rPr>
          <w:color w:val="000000" w:themeColor="text1"/>
          <w:lang w:val="en-GB"/>
        </w:rPr>
        <w:t>.</w:t>
      </w:r>
    </w:p>
    <w:p w14:paraId="4F1327F8" w14:textId="30E34952" w:rsidR="00600535" w:rsidRPr="00026B74" w:rsidRDefault="00600535" w:rsidP="00600535">
      <w:pPr>
        <w:pStyle w:val="CETReference"/>
        <w:rPr>
          <w:color w:val="000000" w:themeColor="text1"/>
          <w:lang w:val="en-US"/>
        </w:rPr>
      </w:pPr>
      <w:r w:rsidRPr="00026B74">
        <w:rPr>
          <w:color w:val="000000" w:themeColor="text1"/>
          <w:lang w:val="en-US"/>
        </w:rPr>
        <w:t>References</w:t>
      </w:r>
    </w:p>
    <w:p w14:paraId="267A6217" w14:textId="01A3FEF1" w:rsidR="00D1417A" w:rsidRPr="00026B74" w:rsidRDefault="00D1417A" w:rsidP="00D1417A">
      <w:pPr>
        <w:pStyle w:val="CETReferencetext"/>
        <w:rPr>
          <w:color w:val="000000" w:themeColor="text1"/>
          <w:lang w:val="en-US" w:eastAsia="es-PE"/>
        </w:rPr>
      </w:pPr>
      <w:r w:rsidRPr="00026B74">
        <w:rPr>
          <w:color w:val="000000" w:themeColor="text1"/>
          <w:lang w:val="en-US" w:eastAsia="es-PE"/>
        </w:rPr>
        <w:t>Aguilar-Vázquez E.A., Rojas-Flores S., González-Delgado Á.D., 2025, Inherent Safety Analysis of a Cascade Biorefinery for the Utilization of Avocado Hard Waste from the South Colombian Region, Sustainability, 17, 8103</w:t>
      </w:r>
    </w:p>
    <w:p w14:paraId="4011DCD4" w14:textId="10D2CA35" w:rsidR="00D1417A" w:rsidRPr="00026B74" w:rsidRDefault="00D1417A" w:rsidP="00D1417A">
      <w:pPr>
        <w:pStyle w:val="CETReferencetext"/>
        <w:rPr>
          <w:color w:val="000000" w:themeColor="text1"/>
          <w:lang w:val="en-US" w:eastAsia="es-PE"/>
        </w:rPr>
      </w:pPr>
      <w:r w:rsidRPr="00026B74">
        <w:rPr>
          <w:color w:val="000000" w:themeColor="text1"/>
          <w:lang w:val="en-US" w:eastAsia="es-PE"/>
        </w:rPr>
        <w:t>García-Vallejo M.C., Agudelo Patiño T., Poveda-Giraldo J.A., Piedrahita-Rodríguez S., Cardona Alzate C.A., 2023, Alternatives for the Valorization of Avocado Waste Generated in the Different Links of the Value Chain Based on a Life-Cycle Analysis Approach, Agronomy, 13, 2229</w:t>
      </w:r>
    </w:p>
    <w:p w14:paraId="08518E01" w14:textId="2F7E06AC" w:rsidR="00D1417A" w:rsidRPr="00026B74" w:rsidRDefault="00D1417A" w:rsidP="00D1417A">
      <w:pPr>
        <w:pStyle w:val="CETReferencetext"/>
        <w:rPr>
          <w:color w:val="000000" w:themeColor="text1"/>
          <w:lang w:val="en-US" w:eastAsia="es-PE"/>
        </w:rPr>
      </w:pPr>
      <w:r w:rsidRPr="00026B74">
        <w:rPr>
          <w:color w:val="000000" w:themeColor="text1"/>
          <w:lang w:val="en-US" w:eastAsia="es-PE"/>
        </w:rPr>
        <w:t>Hammami A.M., Kuan-Ming H., Guan Z., 2024, An Overview of the Avocado Market in the United States, EDIS, 1</w:t>
      </w:r>
    </w:p>
    <w:p w14:paraId="0950A13C" w14:textId="0B78130F" w:rsidR="00D1417A" w:rsidRPr="00026B74" w:rsidRDefault="00D1417A" w:rsidP="00D1417A">
      <w:pPr>
        <w:pStyle w:val="CETReferencetext"/>
        <w:rPr>
          <w:color w:val="000000" w:themeColor="text1"/>
          <w:lang w:val="en-US" w:eastAsia="es-PE"/>
        </w:rPr>
      </w:pPr>
      <w:r w:rsidRPr="00026B74">
        <w:rPr>
          <w:color w:val="000000" w:themeColor="text1"/>
          <w:lang w:val="en-US" w:eastAsia="es-PE"/>
        </w:rPr>
        <w:t>Hurme M., Rahman M., 2005, Implementing inherent safety throughout process lifecycle, Journal of Loss Prevention in the Process Industries, 18, 238–244</w:t>
      </w:r>
    </w:p>
    <w:p w14:paraId="75463264" w14:textId="187FE013" w:rsidR="00D1417A" w:rsidRPr="00026B74" w:rsidRDefault="00D1417A" w:rsidP="00D1417A">
      <w:pPr>
        <w:pStyle w:val="CETReferencetext"/>
        <w:rPr>
          <w:color w:val="000000" w:themeColor="text1"/>
          <w:lang w:val="en-US" w:eastAsia="es-PE"/>
        </w:rPr>
      </w:pPr>
      <w:r w:rsidRPr="00026B74">
        <w:rPr>
          <w:color w:val="000000" w:themeColor="text1"/>
          <w:lang w:val="en-US" w:eastAsia="es-PE"/>
        </w:rPr>
        <w:t>Khan F.I., Amyotte P.R., 2005, I2SI: A comprehensive quantitative tool for inherent safety and cost evaluation, Journal of Loss Prevention in the Process Industries, 18, 310–326</w:t>
      </w:r>
    </w:p>
    <w:p w14:paraId="21081DFE" w14:textId="7CC3EBAA" w:rsidR="00D1417A" w:rsidRPr="00026B74" w:rsidRDefault="00D1417A" w:rsidP="00D1417A">
      <w:pPr>
        <w:pStyle w:val="CETReferencetext"/>
        <w:rPr>
          <w:color w:val="000000" w:themeColor="text1"/>
          <w:lang w:val="en-US" w:eastAsia="es-PE"/>
        </w:rPr>
      </w:pPr>
      <w:r w:rsidRPr="00026B74">
        <w:rPr>
          <w:color w:val="000000" w:themeColor="text1"/>
          <w:lang w:val="en-US" w:eastAsia="es-PE"/>
        </w:rPr>
        <w:t>Meramo S., Herrera-Rodríguez T.C., González-Delgado A.D., 2026, Economic and environmental hotspots of new thermal-extractive avocado biorefinery, Biomass and Bioenergy, 207, 108724</w:t>
      </w:r>
    </w:p>
    <w:p w14:paraId="4F734FE5" w14:textId="0334C825" w:rsidR="00D1417A" w:rsidRPr="00026B74" w:rsidRDefault="00D1417A" w:rsidP="00D1417A">
      <w:pPr>
        <w:pStyle w:val="CETReferencetext"/>
        <w:rPr>
          <w:color w:val="000000" w:themeColor="text1"/>
          <w:lang w:val="en-US" w:eastAsia="es-PE"/>
        </w:rPr>
      </w:pPr>
      <w:r w:rsidRPr="00026B74">
        <w:rPr>
          <w:color w:val="000000" w:themeColor="text1"/>
          <w:lang w:val="en-US" w:eastAsia="es-PE"/>
        </w:rPr>
        <w:t>Nascimento A.P.S., Duarte M.E.M., Rocha A.P.T., Barros A.N., 2025, Valorization of Avocado (</w:t>
      </w:r>
      <w:proofErr w:type="spellStart"/>
      <w:r w:rsidRPr="00026B74">
        <w:rPr>
          <w:color w:val="000000" w:themeColor="text1"/>
          <w:lang w:val="en-US" w:eastAsia="es-PE"/>
        </w:rPr>
        <w:t>Persea</w:t>
      </w:r>
      <w:proofErr w:type="spellEnd"/>
      <w:r w:rsidRPr="00026B74">
        <w:rPr>
          <w:color w:val="000000" w:themeColor="text1"/>
          <w:lang w:val="en-US" w:eastAsia="es-PE"/>
        </w:rPr>
        <w:t xml:space="preserve"> americana) Peel and Seed: Functional Potential for Food and Health Applications, Antioxidants, 14, 1032</w:t>
      </w:r>
    </w:p>
    <w:p w14:paraId="1A80A004" w14:textId="1AEED430" w:rsidR="00E930D1" w:rsidRPr="00026B74" w:rsidRDefault="00D1417A" w:rsidP="00CA72B1">
      <w:pPr>
        <w:pStyle w:val="CETReferencetext"/>
        <w:rPr>
          <w:color w:val="000000" w:themeColor="text1"/>
          <w:lang w:val="en-US"/>
        </w:rPr>
      </w:pPr>
      <w:r w:rsidRPr="00026B74">
        <w:rPr>
          <w:color w:val="000000" w:themeColor="text1"/>
          <w:lang w:val="en-US" w:eastAsia="es-PE"/>
        </w:rPr>
        <w:t>Solarte-Toro J.C., Ortiz-Sánchez M., Cardona Alzate C.A., 2022, Environmental life cycle assessment (E-LCA) and social impact assessment (SIA) of small-scale biorefineries implemented in rural zones: the avocado (</w:t>
      </w:r>
      <w:proofErr w:type="spellStart"/>
      <w:r w:rsidRPr="00026B74">
        <w:rPr>
          <w:color w:val="000000" w:themeColor="text1"/>
          <w:lang w:val="en-US" w:eastAsia="es-PE"/>
        </w:rPr>
        <w:t>Persea</w:t>
      </w:r>
      <w:proofErr w:type="spellEnd"/>
      <w:r w:rsidRPr="00026B74">
        <w:rPr>
          <w:color w:val="000000" w:themeColor="text1"/>
          <w:lang w:val="en-US" w:eastAsia="es-PE"/>
        </w:rPr>
        <w:t xml:space="preserve"> Americana var. Americana) case in Colombia, Environmental Science and Pollution Research, 30, 8790–8808</w:t>
      </w:r>
    </w:p>
    <w:sectPr w:rsidR="00E930D1" w:rsidRPr="00026B74"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7CAED" w14:textId="77777777" w:rsidR="00913D4E" w:rsidRDefault="00913D4E" w:rsidP="004F5E36">
      <w:r>
        <w:separator/>
      </w:r>
    </w:p>
  </w:endnote>
  <w:endnote w:type="continuationSeparator" w:id="0">
    <w:p w14:paraId="17C3FE6A" w14:textId="77777777" w:rsidR="00913D4E" w:rsidRDefault="00913D4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MT">
    <w:altName w:val="Arial"/>
    <w:charset w:val="01"/>
    <w:family w:val="swiss"/>
    <w:pitch w:val="variable"/>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28AFB" w14:textId="77777777" w:rsidR="00913D4E" w:rsidRDefault="00913D4E" w:rsidP="004F5E36">
      <w:r>
        <w:separator/>
      </w:r>
    </w:p>
  </w:footnote>
  <w:footnote w:type="continuationSeparator" w:id="0">
    <w:p w14:paraId="42205E62" w14:textId="77777777" w:rsidR="00913D4E" w:rsidRDefault="00913D4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59740718">
    <w:abstractNumId w:val="10"/>
  </w:num>
  <w:num w:numId="2" w16cid:durableId="407311513">
    <w:abstractNumId w:val="8"/>
  </w:num>
  <w:num w:numId="3" w16cid:durableId="1302416853">
    <w:abstractNumId w:val="3"/>
  </w:num>
  <w:num w:numId="4" w16cid:durableId="1504474974">
    <w:abstractNumId w:val="2"/>
  </w:num>
  <w:num w:numId="5" w16cid:durableId="1009063439">
    <w:abstractNumId w:val="1"/>
  </w:num>
  <w:num w:numId="6" w16cid:durableId="570389344">
    <w:abstractNumId w:val="0"/>
  </w:num>
  <w:num w:numId="7" w16cid:durableId="594947922">
    <w:abstractNumId w:val="9"/>
  </w:num>
  <w:num w:numId="8" w16cid:durableId="1863089677">
    <w:abstractNumId w:val="7"/>
  </w:num>
  <w:num w:numId="9" w16cid:durableId="1652057352">
    <w:abstractNumId w:val="6"/>
  </w:num>
  <w:num w:numId="10" w16cid:durableId="37560311">
    <w:abstractNumId w:val="5"/>
  </w:num>
  <w:num w:numId="11" w16cid:durableId="1533110413">
    <w:abstractNumId w:val="4"/>
  </w:num>
  <w:num w:numId="12" w16cid:durableId="321275593">
    <w:abstractNumId w:val="17"/>
  </w:num>
  <w:num w:numId="13" w16cid:durableId="794062264">
    <w:abstractNumId w:val="12"/>
  </w:num>
  <w:num w:numId="14" w16cid:durableId="2096974808">
    <w:abstractNumId w:val="18"/>
  </w:num>
  <w:num w:numId="15" w16cid:durableId="616331402">
    <w:abstractNumId w:val="20"/>
  </w:num>
  <w:num w:numId="16" w16cid:durableId="344407905">
    <w:abstractNumId w:val="19"/>
  </w:num>
  <w:num w:numId="17" w16cid:durableId="1731146468">
    <w:abstractNumId w:val="11"/>
  </w:num>
  <w:num w:numId="18" w16cid:durableId="477847352">
    <w:abstractNumId w:val="12"/>
    <w:lvlOverride w:ilvl="0">
      <w:startOverride w:val="1"/>
    </w:lvlOverride>
  </w:num>
  <w:num w:numId="19" w16cid:durableId="1442532995">
    <w:abstractNumId w:val="16"/>
  </w:num>
  <w:num w:numId="20" w16cid:durableId="471288027">
    <w:abstractNumId w:val="15"/>
  </w:num>
  <w:num w:numId="21" w16cid:durableId="1648705350">
    <w:abstractNumId w:val="14"/>
  </w:num>
  <w:num w:numId="22" w16cid:durableId="20060812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135"/>
    <w:rsid w:val="000027C0"/>
    <w:rsid w:val="00002FE1"/>
    <w:rsid w:val="000052FB"/>
    <w:rsid w:val="00005884"/>
    <w:rsid w:val="00005A19"/>
    <w:rsid w:val="000117CB"/>
    <w:rsid w:val="000131BE"/>
    <w:rsid w:val="00017882"/>
    <w:rsid w:val="0002257F"/>
    <w:rsid w:val="000259A1"/>
    <w:rsid w:val="00026B74"/>
    <w:rsid w:val="0003148D"/>
    <w:rsid w:val="00031EEC"/>
    <w:rsid w:val="00051566"/>
    <w:rsid w:val="00054119"/>
    <w:rsid w:val="0005535E"/>
    <w:rsid w:val="000562A9"/>
    <w:rsid w:val="0006208F"/>
    <w:rsid w:val="00062A9A"/>
    <w:rsid w:val="00063771"/>
    <w:rsid w:val="00065058"/>
    <w:rsid w:val="00074CEA"/>
    <w:rsid w:val="00080B2D"/>
    <w:rsid w:val="00086C39"/>
    <w:rsid w:val="00091F69"/>
    <w:rsid w:val="000A03B2"/>
    <w:rsid w:val="000B3D22"/>
    <w:rsid w:val="000C0F0E"/>
    <w:rsid w:val="000C7CF3"/>
    <w:rsid w:val="000D0268"/>
    <w:rsid w:val="000D18D4"/>
    <w:rsid w:val="000D34BE"/>
    <w:rsid w:val="000D475D"/>
    <w:rsid w:val="000D5DD8"/>
    <w:rsid w:val="000E102F"/>
    <w:rsid w:val="000E36F1"/>
    <w:rsid w:val="000E3A73"/>
    <w:rsid w:val="000E414A"/>
    <w:rsid w:val="000E75FD"/>
    <w:rsid w:val="000E7D7F"/>
    <w:rsid w:val="000F093C"/>
    <w:rsid w:val="000F21BD"/>
    <w:rsid w:val="000F6F07"/>
    <w:rsid w:val="000F787B"/>
    <w:rsid w:val="00101F02"/>
    <w:rsid w:val="001144CE"/>
    <w:rsid w:val="00114821"/>
    <w:rsid w:val="00115D10"/>
    <w:rsid w:val="0012091F"/>
    <w:rsid w:val="00124A2A"/>
    <w:rsid w:val="00124AAD"/>
    <w:rsid w:val="00126BC2"/>
    <w:rsid w:val="001308B6"/>
    <w:rsid w:val="0013121F"/>
    <w:rsid w:val="0013182D"/>
    <w:rsid w:val="00131FE6"/>
    <w:rsid w:val="0013263F"/>
    <w:rsid w:val="001331DF"/>
    <w:rsid w:val="00134DE4"/>
    <w:rsid w:val="001375BB"/>
    <w:rsid w:val="00140055"/>
    <w:rsid w:val="0014034D"/>
    <w:rsid w:val="00140FE3"/>
    <w:rsid w:val="00144D16"/>
    <w:rsid w:val="00150E59"/>
    <w:rsid w:val="00152D25"/>
    <w:rsid w:val="00152DE3"/>
    <w:rsid w:val="0015417D"/>
    <w:rsid w:val="00157B97"/>
    <w:rsid w:val="00160A0E"/>
    <w:rsid w:val="001640BE"/>
    <w:rsid w:val="00164CF9"/>
    <w:rsid w:val="001667A6"/>
    <w:rsid w:val="00173D8F"/>
    <w:rsid w:val="00184AD6"/>
    <w:rsid w:val="00185EC5"/>
    <w:rsid w:val="001865BD"/>
    <w:rsid w:val="001A2631"/>
    <w:rsid w:val="001A3BDC"/>
    <w:rsid w:val="001A4139"/>
    <w:rsid w:val="001A4AF7"/>
    <w:rsid w:val="001B0349"/>
    <w:rsid w:val="001B107B"/>
    <w:rsid w:val="001B1E93"/>
    <w:rsid w:val="001B2B45"/>
    <w:rsid w:val="001B53D1"/>
    <w:rsid w:val="001B65C1"/>
    <w:rsid w:val="001C260F"/>
    <w:rsid w:val="001C33F1"/>
    <w:rsid w:val="001C684B"/>
    <w:rsid w:val="001C68B0"/>
    <w:rsid w:val="001D0CFB"/>
    <w:rsid w:val="001D21AF"/>
    <w:rsid w:val="001D3ADC"/>
    <w:rsid w:val="001D53FC"/>
    <w:rsid w:val="001E2FF8"/>
    <w:rsid w:val="001E5E81"/>
    <w:rsid w:val="001F3EA6"/>
    <w:rsid w:val="001F4246"/>
    <w:rsid w:val="001F42A5"/>
    <w:rsid w:val="001F4E7B"/>
    <w:rsid w:val="001F7736"/>
    <w:rsid w:val="001F7B9D"/>
    <w:rsid w:val="00201C93"/>
    <w:rsid w:val="00201D3A"/>
    <w:rsid w:val="002024E7"/>
    <w:rsid w:val="002161AC"/>
    <w:rsid w:val="00222493"/>
    <w:rsid w:val="002224B4"/>
    <w:rsid w:val="00223A89"/>
    <w:rsid w:val="00227718"/>
    <w:rsid w:val="00230924"/>
    <w:rsid w:val="00232491"/>
    <w:rsid w:val="00233D29"/>
    <w:rsid w:val="00235AA2"/>
    <w:rsid w:val="00236F9A"/>
    <w:rsid w:val="00240B19"/>
    <w:rsid w:val="002447EF"/>
    <w:rsid w:val="002466C6"/>
    <w:rsid w:val="0025076A"/>
    <w:rsid w:val="00251550"/>
    <w:rsid w:val="002518EF"/>
    <w:rsid w:val="00253616"/>
    <w:rsid w:val="00257EDB"/>
    <w:rsid w:val="00263B05"/>
    <w:rsid w:val="0027034D"/>
    <w:rsid w:val="00271BF7"/>
    <w:rsid w:val="0027221A"/>
    <w:rsid w:val="00272330"/>
    <w:rsid w:val="00274070"/>
    <w:rsid w:val="002753BD"/>
    <w:rsid w:val="00275B61"/>
    <w:rsid w:val="00280FAF"/>
    <w:rsid w:val="00282656"/>
    <w:rsid w:val="00287ACD"/>
    <w:rsid w:val="00296B83"/>
    <w:rsid w:val="002A06BA"/>
    <w:rsid w:val="002B4015"/>
    <w:rsid w:val="002B5C01"/>
    <w:rsid w:val="002B78CE"/>
    <w:rsid w:val="002C25D3"/>
    <w:rsid w:val="002C2FB6"/>
    <w:rsid w:val="002C60B5"/>
    <w:rsid w:val="002C7470"/>
    <w:rsid w:val="002D410C"/>
    <w:rsid w:val="002E1050"/>
    <w:rsid w:val="002E5FA7"/>
    <w:rsid w:val="002E6E35"/>
    <w:rsid w:val="002F3309"/>
    <w:rsid w:val="002F48CB"/>
    <w:rsid w:val="002F53B7"/>
    <w:rsid w:val="003008CE"/>
    <w:rsid w:val="003009B7"/>
    <w:rsid w:val="00300E56"/>
    <w:rsid w:val="0030152C"/>
    <w:rsid w:val="0030281E"/>
    <w:rsid w:val="0030469C"/>
    <w:rsid w:val="0030676E"/>
    <w:rsid w:val="00312A14"/>
    <w:rsid w:val="00321CA6"/>
    <w:rsid w:val="00323763"/>
    <w:rsid w:val="00323C5F"/>
    <w:rsid w:val="003251FD"/>
    <w:rsid w:val="00327A08"/>
    <w:rsid w:val="00334B57"/>
    <w:rsid w:val="00334C04"/>
    <w:rsid w:val="00334C09"/>
    <w:rsid w:val="0034198C"/>
    <w:rsid w:val="00342107"/>
    <w:rsid w:val="00344470"/>
    <w:rsid w:val="003464BB"/>
    <w:rsid w:val="0035258B"/>
    <w:rsid w:val="00353347"/>
    <w:rsid w:val="0036773A"/>
    <w:rsid w:val="003723D4"/>
    <w:rsid w:val="003732B4"/>
    <w:rsid w:val="00373462"/>
    <w:rsid w:val="00374C75"/>
    <w:rsid w:val="00381905"/>
    <w:rsid w:val="00384CC8"/>
    <w:rsid w:val="003871FD"/>
    <w:rsid w:val="003A19DD"/>
    <w:rsid w:val="003A1E30"/>
    <w:rsid w:val="003A2829"/>
    <w:rsid w:val="003A5D03"/>
    <w:rsid w:val="003A7D1C"/>
    <w:rsid w:val="003B304B"/>
    <w:rsid w:val="003B3146"/>
    <w:rsid w:val="003B4EA5"/>
    <w:rsid w:val="003C0688"/>
    <w:rsid w:val="003C307A"/>
    <w:rsid w:val="003C6A50"/>
    <w:rsid w:val="003D1E02"/>
    <w:rsid w:val="003E07F1"/>
    <w:rsid w:val="003E21FF"/>
    <w:rsid w:val="003E3FD4"/>
    <w:rsid w:val="003E5631"/>
    <w:rsid w:val="003F015E"/>
    <w:rsid w:val="00400414"/>
    <w:rsid w:val="004043C8"/>
    <w:rsid w:val="004100DF"/>
    <w:rsid w:val="0041446B"/>
    <w:rsid w:val="004151D3"/>
    <w:rsid w:val="004161D0"/>
    <w:rsid w:val="00425120"/>
    <w:rsid w:val="004253AA"/>
    <w:rsid w:val="004259C5"/>
    <w:rsid w:val="004319E8"/>
    <w:rsid w:val="00433CEC"/>
    <w:rsid w:val="0044071E"/>
    <w:rsid w:val="0044329C"/>
    <w:rsid w:val="004454DA"/>
    <w:rsid w:val="004457AC"/>
    <w:rsid w:val="00452F2E"/>
    <w:rsid w:val="00453BD8"/>
    <w:rsid w:val="00453E24"/>
    <w:rsid w:val="00457456"/>
    <w:rsid w:val="004577FE"/>
    <w:rsid w:val="00457B9C"/>
    <w:rsid w:val="0046164A"/>
    <w:rsid w:val="004628D2"/>
    <w:rsid w:val="00462DCD"/>
    <w:rsid w:val="004648AD"/>
    <w:rsid w:val="004703A9"/>
    <w:rsid w:val="004737C3"/>
    <w:rsid w:val="00474746"/>
    <w:rsid w:val="004760DE"/>
    <w:rsid w:val="004763D7"/>
    <w:rsid w:val="00482EF5"/>
    <w:rsid w:val="00493EF4"/>
    <w:rsid w:val="004A004E"/>
    <w:rsid w:val="004A1F82"/>
    <w:rsid w:val="004A24CF"/>
    <w:rsid w:val="004A5A56"/>
    <w:rsid w:val="004A5E57"/>
    <w:rsid w:val="004B092B"/>
    <w:rsid w:val="004B18E7"/>
    <w:rsid w:val="004B5101"/>
    <w:rsid w:val="004B5D48"/>
    <w:rsid w:val="004C194F"/>
    <w:rsid w:val="004C3D1D"/>
    <w:rsid w:val="004C3D84"/>
    <w:rsid w:val="004C7913"/>
    <w:rsid w:val="004D1A00"/>
    <w:rsid w:val="004E18A5"/>
    <w:rsid w:val="004E4DD6"/>
    <w:rsid w:val="004F2B89"/>
    <w:rsid w:val="004F53F1"/>
    <w:rsid w:val="004F5E36"/>
    <w:rsid w:val="00507B47"/>
    <w:rsid w:val="00507BEF"/>
    <w:rsid w:val="00507CC9"/>
    <w:rsid w:val="005119A5"/>
    <w:rsid w:val="005159F6"/>
    <w:rsid w:val="00522D3B"/>
    <w:rsid w:val="005278B7"/>
    <w:rsid w:val="00532016"/>
    <w:rsid w:val="005346C8"/>
    <w:rsid w:val="005372C3"/>
    <w:rsid w:val="00540B33"/>
    <w:rsid w:val="00543E7D"/>
    <w:rsid w:val="00547A68"/>
    <w:rsid w:val="005531C9"/>
    <w:rsid w:val="00554930"/>
    <w:rsid w:val="005638E9"/>
    <w:rsid w:val="00566D1E"/>
    <w:rsid w:val="0056760B"/>
    <w:rsid w:val="005677D8"/>
    <w:rsid w:val="00570C43"/>
    <w:rsid w:val="00573AC5"/>
    <w:rsid w:val="00580647"/>
    <w:rsid w:val="005852B7"/>
    <w:rsid w:val="005867FF"/>
    <w:rsid w:val="00592274"/>
    <w:rsid w:val="00594BCC"/>
    <w:rsid w:val="00594F03"/>
    <w:rsid w:val="00595A6E"/>
    <w:rsid w:val="005B2110"/>
    <w:rsid w:val="005B5E62"/>
    <w:rsid w:val="005B61E6"/>
    <w:rsid w:val="005B7572"/>
    <w:rsid w:val="005C18BF"/>
    <w:rsid w:val="005C463B"/>
    <w:rsid w:val="005C6E0F"/>
    <w:rsid w:val="005C77E1"/>
    <w:rsid w:val="005D146B"/>
    <w:rsid w:val="005D668A"/>
    <w:rsid w:val="005D6A2F"/>
    <w:rsid w:val="005D6B79"/>
    <w:rsid w:val="005E0592"/>
    <w:rsid w:val="005E11C1"/>
    <w:rsid w:val="005E1A82"/>
    <w:rsid w:val="005E4F90"/>
    <w:rsid w:val="005E70C9"/>
    <w:rsid w:val="005E794C"/>
    <w:rsid w:val="005F0A28"/>
    <w:rsid w:val="005F0E5E"/>
    <w:rsid w:val="005F3922"/>
    <w:rsid w:val="005F44C0"/>
    <w:rsid w:val="005F4F5B"/>
    <w:rsid w:val="005F6361"/>
    <w:rsid w:val="00600535"/>
    <w:rsid w:val="006104AE"/>
    <w:rsid w:val="00610CD6"/>
    <w:rsid w:val="00615D98"/>
    <w:rsid w:val="00617B2B"/>
    <w:rsid w:val="00620336"/>
    <w:rsid w:val="00620DEE"/>
    <w:rsid w:val="00621F92"/>
    <w:rsid w:val="0062280A"/>
    <w:rsid w:val="006231E1"/>
    <w:rsid w:val="00625639"/>
    <w:rsid w:val="00626837"/>
    <w:rsid w:val="0063084C"/>
    <w:rsid w:val="00631B33"/>
    <w:rsid w:val="00632D37"/>
    <w:rsid w:val="006400C6"/>
    <w:rsid w:val="0064184D"/>
    <w:rsid w:val="006422CC"/>
    <w:rsid w:val="00642F03"/>
    <w:rsid w:val="00643534"/>
    <w:rsid w:val="006440F8"/>
    <w:rsid w:val="00646325"/>
    <w:rsid w:val="006508F2"/>
    <w:rsid w:val="00650F3E"/>
    <w:rsid w:val="00651D18"/>
    <w:rsid w:val="00654E20"/>
    <w:rsid w:val="00654E78"/>
    <w:rsid w:val="00657E88"/>
    <w:rsid w:val="00660E3E"/>
    <w:rsid w:val="00662E74"/>
    <w:rsid w:val="00663EAF"/>
    <w:rsid w:val="00664F9F"/>
    <w:rsid w:val="0067104D"/>
    <w:rsid w:val="00671441"/>
    <w:rsid w:val="00671E21"/>
    <w:rsid w:val="00677568"/>
    <w:rsid w:val="00680C23"/>
    <w:rsid w:val="00683E23"/>
    <w:rsid w:val="00686383"/>
    <w:rsid w:val="00693766"/>
    <w:rsid w:val="0069433C"/>
    <w:rsid w:val="00696477"/>
    <w:rsid w:val="00697821"/>
    <w:rsid w:val="006A13E3"/>
    <w:rsid w:val="006A2D3A"/>
    <w:rsid w:val="006A3281"/>
    <w:rsid w:val="006A7F8B"/>
    <w:rsid w:val="006B4888"/>
    <w:rsid w:val="006B6291"/>
    <w:rsid w:val="006C1B84"/>
    <w:rsid w:val="006C2E45"/>
    <w:rsid w:val="006C359C"/>
    <w:rsid w:val="006C5579"/>
    <w:rsid w:val="006D6E8B"/>
    <w:rsid w:val="006D7209"/>
    <w:rsid w:val="006E12A8"/>
    <w:rsid w:val="006E737D"/>
    <w:rsid w:val="006F08AC"/>
    <w:rsid w:val="006F35E5"/>
    <w:rsid w:val="006F5894"/>
    <w:rsid w:val="006F5D1D"/>
    <w:rsid w:val="0070142D"/>
    <w:rsid w:val="00702759"/>
    <w:rsid w:val="00704BEC"/>
    <w:rsid w:val="00705C5C"/>
    <w:rsid w:val="00707DD1"/>
    <w:rsid w:val="00713973"/>
    <w:rsid w:val="007154C6"/>
    <w:rsid w:val="00716771"/>
    <w:rsid w:val="00716E19"/>
    <w:rsid w:val="00717BEA"/>
    <w:rsid w:val="00720A24"/>
    <w:rsid w:val="00722321"/>
    <w:rsid w:val="00725F2F"/>
    <w:rsid w:val="00730C90"/>
    <w:rsid w:val="00731A7B"/>
    <w:rsid w:val="00732386"/>
    <w:rsid w:val="0073250A"/>
    <w:rsid w:val="00733EFA"/>
    <w:rsid w:val="0073514D"/>
    <w:rsid w:val="00740913"/>
    <w:rsid w:val="007424E8"/>
    <w:rsid w:val="007447F3"/>
    <w:rsid w:val="00744FE9"/>
    <w:rsid w:val="007517A0"/>
    <w:rsid w:val="0075499F"/>
    <w:rsid w:val="007617CC"/>
    <w:rsid w:val="007661C8"/>
    <w:rsid w:val="00770813"/>
    <w:rsid w:val="0077098D"/>
    <w:rsid w:val="00785BF9"/>
    <w:rsid w:val="00787F39"/>
    <w:rsid w:val="007914B8"/>
    <w:rsid w:val="007931FA"/>
    <w:rsid w:val="007A21EB"/>
    <w:rsid w:val="007A4861"/>
    <w:rsid w:val="007A7BBA"/>
    <w:rsid w:val="007B0C50"/>
    <w:rsid w:val="007B3D16"/>
    <w:rsid w:val="007B48F9"/>
    <w:rsid w:val="007B6B36"/>
    <w:rsid w:val="007C1A43"/>
    <w:rsid w:val="007D0951"/>
    <w:rsid w:val="007D2082"/>
    <w:rsid w:val="007D2D88"/>
    <w:rsid w:val="007E1E70"/>
    <w:rsid w:val="007F1558"/>
    <w:rsid w:val="007F27C8"/>
    <w:rsid w:val="007F39BB"/>
    <w:rsid w:val="007F3AA6"/>
    <w:rsid w:val="007F4E40"/>
    <w:rsid w:val="007F75A1"/>
    <w:rsid w:val="0080013E"/>
    <w:rsid w:val="00802A58"/>
    <w:rsid w:val="008118EA"/>
    <w:rsid w:val="00813288"/>
    <w:rsid w:val="00815460"/>
    <w:rsid w:val="00816657"/>
    <w:rsid w:val="008168FC"/>
    <w:rsid w:val="0082797D"/>
    <w:rsid w:val="00830996"/>
    <w:rsid w:val="008314D7"/>
    <w:rsid w:val="008345F1"/>
    <w:rsid w:val="00840C7D"/>
    <w:rsid w:val="00841D69"/>
    <w:rsid w:val="00844D32"/>
    <w:rsid w:val="00846F6C"/>
    <w:rsid w:val="00853286"/>
    <w:rsid w:val="00857EF0"/>
    <w:rsid w:val="008610B5"/>
    <w:rsid w:val="0086201F"/>
    <w:rsid w:val="008624C2"/>
    <w:rsid w:val="00864324"/>
    <w:rsid w:val="008647E4"/>
    <w:rsid w:val="00865B07"/>
    <w:rsid w:val="008667EA"/>
    <w:rsid w:val="0087637F"/>
    <w:rsid w:val="00877869"/>
    <w:rsid w:val="00892AD5"/>
    <w:rsid w:val="00895E94"/>
    <w:rsid w:val="008A1512"/>
    <w:rsid w:val="008A1721"/>
    <w:rsid w:val="008A1A5C"/>
    <w:rsid w:val="008A4820"/>
    <w:rsid w:val="008B5A60"/>
    <w:rsid w:val="008B63B7"/>
    <w:rsid w:val="008C0A05"/>
    <w:rsid w:val="008C6324"/>
    <w:rsid w:val="008D1C89"/>
    <w:rsid w:val="008D32B9"/>
    <w:rsid w:val="008D433B"/>
    <w:rsid w:val="008D4A16"/>
    <w:rsid w:val="008E141F"/>
    <w:rsid w:val="008E209A"/>
    <w:rsid w:val="008E3426"/>
    <w:rsid w:val="008E45BC"/>
    <w:rsid w:val="008E4CC2"/>
    <w:rsid w:val="008E5398"/>
    <w:rsid w:val="008E53CB"/>
    <w:rsid w:val="008E566E"/>
    <w:rsid w:val="008E6564"/>
    <w:rsid w:val="008E6E10"/>
    <w:rsid w:val="008E7904"/>
    <w:rsid w:val="008F56AC"/>
    <w:rsid w:val="008F7E06"/>
    <w:rsid w:val="0090161A"/>
    <w:rsid w:val="00901EB6"/>
    <w:rsid w:val="00902FE4"/>
    <w:rsid w:val="00903B11"/>
    <w:rsid w:val="009041F8"/>
    <w:rsid w:val="00904C62"/>
    <w:rsid w:val="009102B1"/>
    <w:rsid w:val="00913D4E"/>
    <w:rsid w:val="009168AE"/>
    <w:rsid w:val="0092205F"/>
    <w:rsid w:val="00922BA8"/>
    <w:rsid w:val="0092363D"/>
    <w:rsid w:val="00924B4B"/>
    <w:rsid w:val="00924DAC"/>
    <w:rsid w:val="00927058"/>
    <w:rsid w:val="00936BAB"/>
    <w:rsid w:val="009374C6"/>
    <w:rsid w:val="00942750"/>
    <w:rsid w:val="009450CE"/>
    <w:rsid w:val="00945510"/>
    <w:rsid w:val="009459BB"/>
    <w:rsid w:val="00947179"/>
    <w:rsid w:val="0095164B"/>
    <w:rsid w:val="009526C7"/>
    <w:rsid w:val="00954090"/>
    <w:rsid w:val="009573E7"/>
    <w:rsid w:val="00963E05"/>
    <w:rsid w:val="00964A45"/>
    <w:rsid w:val="00965D6E"/>
    <w:rsid w:val="00967843"/>
    <w:rsid w:val="00967D54"/>
    <w:rsid w:val="00971028"/>
    <w:rsid w:val="009739BA"/>
    <w:rsid w:val="00973CDF"/>
    <w:rsid w:val="00993B84"/>
    <w:rsid w:val="00996483"/>
    <w:rsid w:val="00996F5A"/>
    <w:rsid w:val="009A39CC"/>
    <w:rsid w:val="009A6253"/>
    <w:rsid w:val="009A6907"/>
    <w:rsid w:val="009B030D"/>
    <w:rsid w:val="009B041A"/>
    <w:rsid w:val="009B08CA"/>
    <w:rsid w:val="009B10E1"/>
    <w:rsid w:val="009B1325"/>
    <w:rsid w:val="009B7C3E"/>
    <w:rsid w:val="009C1CA3"/>
    <w:rsid w:val="009C37C3"/>
    <w:rsid w:val="009C520D"/>
    <w:rsid w:val="009C61C4"/>
    <w:rsid w:val="009C7C86"/>
    <w:rsid w:val="009D2FF7"/>
    <w:rsid w:val="009E7884"/>
    <w:rsid w:val="009E788A"/>
    <w:rsid w:val="009F0E08"/>
    <w:rsid w:val="009F2EDC"/>
    <w:rsid w:val="00A079AE"/>
    <w:rsid w:val="00A1763D"/>
    <w:rsid w:val="00A17CEC"/>
    <w:rsid w:val="00A2052E"/>
    <w:rsid w:val="00A26CBB"/>
    <w:rsid w:val="00A27920"/>
    <w:rsid w:val="00A27EF0"/>
    <w:rsid w:val="00A348D7"/>
    <w:rsid w:val="00A41552"/>
    <w:rsid w:val="00A42361"/>
    <w:rsid w:val="00A42E1B"/>
    <w:rsid w:val="00A46E53"/>
    <w:rsid w:val="00A50B20"/>
    <w:rsid w:val="00A51390"/>
    <w:rsid w:val="00A548F0"/>
    <w:rsid w:val="00A60D13"/>
    <w:rsid w:val="00A67732"/>
    <w:rsid w:val="00A7223D"/>
    <w:rsid w:val="00A72745"/>
    <w:rsid w:val="00A72F8E"/>
    <w:rsid w:val="00A73C52"/>
    <w:rsid w:val="00A76EFC"/>
    <w:rsid w:val="00A801D9"/>
    <w:rsid w:val="00A81D08"/>
    <w:rsid w:val="00A827D2"/>
    <w:rsid w:val="00A877E3"/>
    <w:rsid w:val="00A87D50"/>
    <w:rsid w:val="00A91010"/>
    <w:rsid w:val="00A911C0"/>
    <w:rsid w:val="00A91405"/>
    <w:rsid w:val="00A9208A"/>
    <w:rsid w:val="00A935D8"/>
    <w:rsid w:val="00A95399"/>
    <w:rsid w:val="00A97F29"/>
    <w:rsid w:val="00AA25E8"/>
    <w:rsid w:val="00AA702E"/>
    <w:rsid w:val="00AA7D26"/>
    <w:rsid w:val="00AB0964"/>
    <w:rsid w:val="00AB5011"/>
    <w:rsid w:val="00AC3110"/>
    <w:rsid w:val="00AC7368"/>
    <w:rsid w:val="00AD0278"/>
    <w:rsid w:val="00AD16B9"/>
    <w:rsid w:val="00AD75BC"/>
    <w:rsid w:val="00AE0E4F"/>
    <w:rsid w:val="00AE377D"/>
    <w:rsid w:val="00AE79D8"/>
    <w:rsid w:val="00AE7E50"/>
    <w:rsid w:val="00AF0EBA"/>
    <w:rsid w:val="00AF2FF3"/>
    <w:rsid w:val="00AF46D8"/>
    <w:rsid w:val="00B021CD"/>
    <w:rsid w:val="00B02C8A"/>
    <w:rsid w:val="00B04627"/>
    <w:rsid w:val="00B05DDB"/>
    <w:rsid w:val="00B115E7"/>
    <w:rsid w:val="00B16E3D"/>
    <w:rsid w:val="00B17FBD"/>
    <w:rsid w:val="00B213A1"/>
    <w:rsid w:val="00B23F5B"/>
    <w:rsid w:val="00B252EB"/>
    <w:rsid w:val="00B25471"/>
    <w:rsid w:val="00B25DEE"/>
    <w:rsid w:val="00B315A6"/>
    <w:rsid w:val="00B31813"/>
    <w:rsid w:val="00B32860"/>
    <w:rsid w:val="00B33365"/>
    <w:rsid w:val="00B44FA2"/>
    <w:rsid w:val="00B52263"/>
    <w:rsid w:val="00B57B36"/>
    <w:rsid w:val="00B57E6F"/>
    <w:rsid w:val="00B602EB"/>
    <w:rsid w:val="00B63774"/>
    <w:rsid w:val="00B719CB"/>
    <w:rsid w:val="00B768F7"/>
    <w:rsid w:val="00B82E76"/>
    <w:rsid w:val="00B85EFC"/>
    <w:rsid w:val="00B8686D"/>
    <w:rsid w:val="00B93F69"/>
    <w:rsid w:val="00B9537F"/>
    <w:rsid w:val="00B96764"/>
    <w:rsid w:val="00BB1DDC"/>
    <w:rsid w:val="00BC30C9"/>
    <w:rsid w:val="00BC4EC1"/>
    <w:rsid w:val="00BC597A"/>
    <w:rsid w:val="00BD077D"/>
    <w:rsid w:val="00BD0E3E"/>
    <w:rsid w:val="00BD44E9"/>
    <w:rsid w:val="00BD5355"/>
    <w:rsid w:val="00BE3E58"/>
    <w:rsid w:val="00BF592D"/>
    <w:rsid w:val="00C01616"/>
    <w:rsid w:val="00C0162B"/>
    <w:rsid w:val="00C068ED"/>
    <w:rsid w:val="00C208E9"/>
    <w:rsid w:val="00C22E0C"/>
    <w:rsid w:val="00C23DDB"/>
    <w:rsid w:val="00C345B1"/>
    <w:rsid w:val="00C40142"/>
    <w:rsid w:val="00C42762"/>
    <w:rsid w:val="00C51408"/>
    <w:rsid w:val="00C5168B"/>
    <w:rsid w:val="00C5193F"/>
    <w:rsid w:val="00C52C3C"/>
    <w:rsid w:val="00C5408B"/>
    <w:rsid w:val="00C547B0"/>
    <w:rsid w:val="00C56B57"/>
    <w:rsid w:val="00C57182"/>
    <w:rsid w:val="00C57863"/>
    <w:rsid w:val="00C640AF"/>
    <w:rsid w:val="00C655FD"/>
    <w:rsid w:val="00C75407"/>
    <w:rsid w:val="00C76212"/>
    <w:rsid w:val="00C841C6"/>
    <w:rsid w:val="00C870A8"/>
    <w:rsid w:val="00C93433"/>
    <w:rsid w:val="00C94434"/>
    <w:rsid w:val="00C94916"/>
    <w:rsid w:val="00C97B29"/>
    <w:rsid w:val="00CA0D75"/>
    <w:rsid w:val="00CA1AEF"/>
    <w:rsid w:val="00CA1C95"/>
    <w:rsid w:val="00CA5A9C"/>
    <w:rsid w:val="00CA6313"/>
    <w:rsid w:val="00CA72B1"/>
    <w:rsid w:val="00CB0204"/>
    <w:rsid w:val="00CC24B1"/>
    <w:rsid w:val="00CC3860"/>
    <w:rsid w:val="00CC4C20"/>
    <w:rsid w:val="00CC5576"/>
    <w:rsid w:val="00CD3517"/>
    <w:rsid w:val="00CD5FE2"/>
    <w:rsid w:val="00CE48F3"/>
    <w:rsid w:val="00CE7C68"/>
    <w:rsid w:val="00CF765C"/>
    <w:rsid w:val="00D00F3E"/>
    <w:rsid w:val="00D02328"/>
    <w:rsid w:val="00D02B4C"/>
    <w:rsid w:val="00D02E62"/>
    <w:rsid w:val="00D040C4"/>
    <w:rsid w:val="00D1357F"/>
    <w:rsid w:val="00D1417A"/>
    <w:rsid w:val="00D2001C"/>
    <w:rsid w:val="00D20AD1"/>
    <w:rsid w:val="00D22C30"/>
    <w:rsid w:val="00D2551A"/>
    <w:rsid w:val="00D2582C"/>
    <w:rsid w:val="00D27D65"/>
    <w:rsid w:val="00D30EE3"/>
    <w:rsid w:val="00D3414B"/>
    <w:rsid w:val="00D4633F"/>
    <w:rsid w:val="00D46B7E"/>
    <w:rsid w:val="00D53E01"/>
    <w:rsid w:val="00D54162"/>
    <w:rsid w:val="00D57C84"/>
    <w:rsid w:val="00D6057D"/>
    <w:rsid w:val="00D63C76"/>
    <w:rsid w:val="00D71640"/>
    <w:rsid w:val="00D810A7"/>
    <w:rsid w:val="00D82938"/>
    <w:rsid w:val="00D836C5"/>
    <w:rsid w:val="00D84576"/>
    <w:rsid w:val="00D86B6A"/>
    <w:rsid w:val="00D97E38"/>
    <w:rsid w:val="00DA1399"/>
    <w:rsid w:val="00DA24C6"/>
    <w:rsid w:val="00DA42D7"/>
    <w:rsid w:val="00DA4D7B"/>
    <w:rsid w:val="00DA6B7D"/>
    <w:rsid w:val="00DB207A"/>
    <w:rsid w:val="00DB64CA"/>
    <w:rsid w:val="00DC0CD1"/>
    <w:rsid w:val="00DD271C"/>
    <w:rsid w:val="00DE264A"/>
    <w:rsid w:val="00DE6A80"/>
    <w:rsid w:val="00DF5072"/>
    <w:rsid w:val="00E008C5"/>
    <w:rsid w:val="00E020F1"/>
    <w:rsid w:val="00E02D18"/>
    <w:rsid w:val="00E037FB"/>
    <w:rsid w:val="00E041E7"/>
    <w:rsid w:val="00E05681"/>
    <w:rsid w:val="00E13832"/>
    <w:rsid w:val="00E21294"/>
    <w:rsid w:val="00E23CA1"/>
    <w:rsid w:val="00E248EC"/>
    <w:rsid w:val="00E261EC"/>
    <w:rsid w:val="00E30E37"/>
    <w:rsid w:val="00E3128C"/>
    <w:rsid w:val="00E409A8"/>
    <w:rsid w:val="00E47D61"/>
    <w:rsid w:val="00E50550"/>
    <w:rsid w:val="00E50C12"/>
    <w:rsid w:val="00E65B91"/>
    <w:rsid w:val="00E71756"/>
    <w:rsid w:val="00E7209D"/>
    <w:rsid w:val="00E72EAD"/>
    <w:rsid w:val="00E77223"/>
    <w:rsid w:val="00E80D7B"/>
    <w:rsid w:val="00E83818"/>
    <w:rsid w:val="00E84391"/>
    <w:rsid w:val="00E8528B"/>
    <w:rsid w:val="00E85B94"/>
    <w:rsid w:val="00E930D1"/>
    <w:rsid w:val="00E931A3"/>
    <w:rsid w:val="00E978D0"/>
    <w:rsid w:val="00EA25CF"/>
    <w:rsid w:val="00EA3EF9"/>
    <w:rsid w:val="00EA4613"/>
    <w:rsid w:val="00EA7F91"/>
    <w:rsid w:val="00EB1523"/>
    <w:rsid w:val="00EB3686"/>
    <w:rsid w:val="00EC0ADA"/>
    <w:rsid w:val="00EC0E49"/>
    <w:rsid w:val="00EC101F"/>
    <w:rsid w:val="00EC1D9F"/>
    <w:rsid w:val="00EC3282"/>
    <w:rsid w:val="00EC38A6"/>
    <w:rsid w:val="00EC4C82"/>
    <w:rsid w:val="00EE0131"/>
    <w:rsid w:val="00EE17B0"/>
    <w:rsid w:val="00EE1B9D"/>
    <w:rsid w:val="00EE26E9"/>
    <w:rsid w:val="00EE323B"/>
    <w:rsid w:val="00EF06D9"/>
    <w:rsid w:val="00EF0982"/>
    <w:rsid w:val="00F06ABA"/>
    <w:rsid w:val="00F06E22"/>
    <w:rsid w:val="00F11169"/>
    <w:rsid w:val="00F126A5"/>
    <w:rsid w:val="00F13584"/>
    <w:rsid w:val="00F25E4F"/>
    <w:rsid w:val="00F270DC"/>
    <w:rsid w:val="00F3049E"/>
    <w:rsid w:val="00F30C64"/>
    <w:rsid w:val="00F30D05"/>
    <w:rsid w:val="00F31442"/>
    <w:rsid w:val="00F31DB7"/>
    <w:rsid w:val="00F32BA2"/>
    <w:rsid w:val="00F32CDB"/>
    <w:rsid w:val="00F3348F"/>
    <w:rsid w:val="00F36BC4"/>
    <w:rsid w:val="00F37280"/>
    <w:rsid w:val="00F40115"/>
    <w:rsid w:val="00F41EE4"/>
    <w:rsid w:val="00F47F19"/>
    <w:rsid w:val="00F52693"/>
    <w:rsid w:val="00F565FE"/>
    <w:rsid w:val="00F63A70"/>
    <w:rsid w:val="00F63D8C"/>
    <w:rsid w:val="00F70D33"/>
    <w:rsid w:val="00F74AB3"/>
    <w:rsid w:val="00F7534E"/>
    <w:rsid w:val="00F76016"/>
    <w:rsid w:val="00F834F1"/>
    <w:rsid w:val="00F853FC"/>
    <w:rsid w:val="00F90A41"/>
    <w:rsid w:val="00F93EDF"/>
    <w:rsid w:val="00F94798"/>
    <w:rsid w:val="00FA1802"/>
    <w:rsid w:val="00FA21D0"/>
    <w:rsid w:val="00FA5F5F"/>
    <w:rsid w:val="00FB1243"/>
    <w:rsid w:val="00FB3DC7"/>
    <w:rsid w:val="00FB596F"/>
    <w:rsid w:val="00FB730C"/>
    <w:rsid w:val="00FB7C43"/>
    <w:rsid w:val="00FC1F55"/>
    <w:rsid w:val="00FC2695"/>
    <w:rsid w:val="00FC3E03"/>
    <w:rsid w:val="00FC3FC1"/>
    <w:rsid w:val="00FC5649"/>
    <w:rsid w:val="00FC6426"/>
    <w:rsid w:val="00FE254D"/>
    <w:rsid w:val="00FE2879"/>
    <w:rsid w:val="00FE67A2"/>
    <w:rsid w:val="00FF4514"/>
    <w:rsid w:val="00FF600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6837"/>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4259C5"/>
    <w:rPr>
      <w:color w:val="605E5C"/>
      <w:shd w:val="clear" w:color="auto" w:fill="E1DFDD"/>
    </w:rPr>
  </w:style>
  <w:style w:type="paragraph" w:customStyle="1" w:styleId="TableParagraph">
    <w:name w:val="Table Paragraph"/>
    <w:basedOn w:val="Normale"/>
    <w:uiPriority w:val="1"/>
    <w:qFormat/>
    <w:rsid w:val="00CB0204"/>
    <w:pPr>
      <w:widowControl w:val="0"/>
      <w:tabs>
        <w:tab w:val="clear" w:pos="7100"/>
      </w:tabs>
      <w:autoSpaceDE w:val="0"/>
      <w:autoSpaceDN w:val="0"/>
      <w:spacing w:line="240" w:lineRule="auto"/>
      <w:jc w:val="center"/>
    </w:pPr>
    <w:rPr>
      <w:rFonts w:ascii="Arial MT" w:eastAsia="Arial MT" w:hAnsi="Arial MT" w:cs="Arial MT"/>
      <w:sz w:val="22"/>
      <w:szCs w:val="22"/>
      <w:lang w:val="es-ES"/>
    </w:rPr>
  </w:style>
  <w:style w:type="character" w:styleId="Testosegnaposto">
    <w:name w:val="Placeholder Text"/>
    <w:basedOn w:val="Carpredefinitoparagrafo"/>
    <w:uiPriority w:val="99"/>
    <w:semiHidden/>
    <w:rsid w:val="00E248E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46321">
      <w:bodyDiv w:val="1"/>
      <w:marLeft w:val="0"/>
      <w:marRight w:val="0"/>
      <w:marTop w:val="0"/>
      <w:marBottom w:val="0"/>
      <w:divBdr>
        <w:top w:val="none" w:sz="0" w:space="0" w:color="auto"/>
        <w:left w:val="none" w:sz="0" w:space="0" w:color="auto"/>
        <w:bottom w:val="none" w:sz="0" w:space="0" w:color="auto"/>
        <w:right w:val="none" w:sz="0" w:space="0" w:color="auto"/>
      </w:divBdr>
    </w:div>
    <w:div w:id="203248930">
      <w:bodyDiv w:val="1"/>
      <w:marLeft w:val="0"/>
      <w:marRight w:val="0"/>
      <w:marTop w:val="0"/>
      <w:marBottom w:val="0"/>
      <w:divBdr>
        <w:top w:val="none" w:sz="0" w:space="0" w:color="auto"/>
        <w:left w:val="none" w:sz="0" w:space="0" w:color="auto"/>
        <w:bottom w:val="none" w:sz="0" w:space="0" w:color="auto"/>
        <w:right w:val="none" w:sz="0" w:space="0" w:color="auto"/>
      </w:divBdr>
    </w:div>
    <w:div w:id="295525118">
      <w:bodyDiv w:val="1"/>
      <w:marLeft w:val="0"/>
      <w:marRight w:val="0"/>
      <w:marTop w:val="0"/>
      <w:marBottom w:val="0"/>
      <w:divBdr>
        <w:top w:val="none" w:sz="0" w:space="0" w:color="auto"/>
        <w:left w:val="none" w:sz="0" w:space="0" w:color="auto"/>
        <w:bottom w:val="none" w:sz="0" w:space="0" w:color="auto"/>
        <w:right w:val="none" w:sz="0" w:space="0" w:color="auto"/>
      </w:divBdr>
    </w:div>
    <w:div w:id="321782028">
      <w:bodyDiv w:val="1"/>
      <w:marLeft w:val="0"/>
      <w:marRight w:val="0"/>
      <w:marTop w:val="0"/>
      <w:marBottom w:val="0"/>
      <w:divBdr>
        <w:top w:val="none" w:sz="0" w:space="0" w:color="auto"/>
        <w:left w:val="none" w:sz="0" w:space="0" w:color="auto"/>
        <w:bottom w:val="none" w:sz="0" w:space="0" w:color="auto"/>
        <w:right w:val="none" w:sz="0" w:space="0" w:color="auto"/>
      </w:divBdr>
    </w:div>
    <w:div w:id="349524520">
      <w:bodyDiv w:val="1"/>
      <w:marLeft w:val="0"/>
      <w:marRight w:val="0"/>
      <w:marTop w:val="0"/>
      <w:marBottom w:val="0"/>
      <w:divBdr>
        <w:top w:val="none" w:sz="0" w:space="0" w:color="auto"/>
        <w:left w:val="none" w:sz="0" w:space="0" w:color="auto"/>
        <w:bottom w:val="none" w:sz="0" w:space="0" w:color="auto"/>
        <w:right w:val="none" w:sz="0" w:space="0" w:color="auto"/>
      </w:divBdr>
    </w:div>
    <w:div w:id="387341143">
      <w:bodyDiv w:val="1"/>
      <w:marLeft w:val="0"/>
      <w:marRight w:val="0"/>
      <w:marTop w:val="0"/>
      <w:marBottom w:val="0"/>
      <w:divBdr>
        <w:top w:val="none" w:sz="0" w:space="0" w:color="auto"/>
        <w:left w:val="none" w:sz="0" w:space="0" w:color="auto"/>
        <w:bottom w:val="none" w:sz="0" w:space="0" w:color="auto"/>
        <w:right w:val="none" w:sz="0" w:space="0" w:color="auto"/>
      </w:divBdr>
    </w:div>
    <w:div w:id="565528730">
      <w:bodyDiv w:val="1"/>
      <w:marLeft w:val="0"/>
      <w:marRight w:val="0"/>
      <w:marTop w:val="0"/>
      <w:marBottom w:val="0"/>
      <w:divBdr>
        <w:top w:val="none" w:sz="0" w:space="0" w:color="auto"/>
        <w:left w:val="none" w:sz="0" w:space="0" w:color="auto"/>
        <w:bottom w:val="none" w:sz="0" w:space="0" w:color="auto"/>
        <w:right w:val="none" w:sz="0" w:space="0" w:color="auto"/>
      </w:divBdr>
    </w:div>
    <w:div w:id="619188713">
      <w:bodyDiv w:val="1"/>
      <w:marLeft w:val="0"/>
      <w:marRight w:val="0"/>
      <w:marTop w:val="0"/>
      <w:marBottom w:val="0"/>
      <w:divBdr>
        <w:top w:val="none" w:sz="0" w:space="0" w:color="auto"/>
        <w:left w:val="none" w:sz="0" w:space="0" w:color="auto"/>
        <w:bottom w:val="none" w:sz="0" w:space="0" w:color="auto"/>
        <w:right w:val="none" w:sz="0" w:space="0" w:color="auto"/>
      </w:divBdr>
    </w:div>
    <w:div w:id="67391997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7204">
      <w:bodyDiv w:val="1"/>
      <w:marLeft w:val="0"/>
      <w:marRight w:val="0"/>
      <w:marTop w:val="0"/>
      <w:marBottom w:val="0"/>
      <w:divBdr>
        <w:top w:val="none" w:sz="0" w:space="0" w:color="auto"/>
        <w:left w:val="none" w:sz="0" w:space="0" w:color="auto"/>
        <w:bottom w:val="none" w:sz="0" w:space="0" w:color="auto"/>
        <w:right w:val="none" w:sz="0" w:space="0" w:color="auto"/>
      </w:divBdr>
    </w:div>
    <w:div w:id="969434796">
      <w:bodyDiv w:val="1"/>
      <w:marLeft w:val="0"/>
      <w:marRight w:val="0"/>
      <w:marTop w:val="0"/>
      <w:marBottom w:val="0"/>
      <w:divBdr>
        <w:top w:val="none" w:sz="0" w:space="0" w:color="auto"/>
        <w:left w:val="none" w:sz="0" w:space="0" w:color="auto"/>
        <w:bottom w:val="none" w:sz="0" w:space="0" w:color="auto"/>
        <w:right w:val="none" w:sz="0" w:space="0" w:color="auto"/>
      </w:divBdr>
    </w:div>
    <w:div w:id="1052079988">
      <w:bodyDiv w:val="1"/>
      <w:marLeft w:val="0"/>
      <w:marRight w:val="0"/>
      <w:marTop w:val="0"/>
      <w:marBottom w:val="0"/>
      <w:divBdr>
        <w:top w:val="none" w:sz="0" w:space="0" w:color="auto"/>
        <w:left w:val="none" w:sz="0" w:space="0" w:color="auto"/>
        <w:bottom w:val="none" w:sz="0" w:space="0" w:color="auto"/>
        <w:right w:val="none" w:sz="0" w:space="0" w:color="auto"/>
      </w:divBdr>
    </w:div>
    <w:div w:id="1123039630">
      <w:bodyDiv w:val="1"/>
      <w:marLeft w:val="0"/>
      <w:marRight w:val="0"/>
      <w:marTop w:val="0"/>
      <w:marBottom w:val="0"/>
      <w:divBdr>
        <w:top w:val="none" w:sz="0" w:space="0" w:color="auto"/>
        <w:left w:val="none" w:sz="0" w:space="0" w:color="auto"/>
        <w:bottom w:val="none" w:sz="0" w:space="0" w:color="auto"/>
        <w:right w:val="none" w:sz="0" w:space="0" w:color="auto"/>
      </w:divBdr>
    </w:div>
    <w:div w:id="1138912320">
      <w:bodyDiv w:val="1"/>
      <w:marLeft w:val="0"/>
      <w:marRight w:val="0"/>
      <w:marTop w:val="0"/>
      <w:marBottom w:val="0"/>
      <w:divBdr>
        <w:top w:val="none" w:sz="0" w:space="0" w:color="auto"/>
        <w:left w:val="none" w:sz="0" w:space="0" w:color="auto"/>
        <w:bottom w:val="none" w:sz="0" w:space="0" w:color="auto"/>
        <w:right w:val="none" w:sz="0" w:space="0" w:color="auto"/>
      </w:divBdr>
    </w:div>
    <w:div w:id="1170635434">
      <w:bodyDiv w:val="1"/>
      <w:marLeft w:val="0"/>
      <w:marRight w:val="0"/>
      <w:marTop w:val="0"/>
      <w:marBottom w:val="0"/>
      <w:divBdr>
        <w:top w:val="none" w:sz="0" w:space="0" w:color="auto"/>
        <w:left w:val="none" w:sz="0" w:space="0" w:color="auto"/>
        <w:bottom w:val="none" w:sz="0" w:space="0" w:color="auto"/>
        <w:right w:val="none" w:sz="0" w:space="0" w:color="auto"/>
      </w:divBdr>
    </w:div>
    <w:div w:id="1191457221">
      <w:bodyDiv w:val="1"/>
      <w:marLeft w:val="0"/>
      <w:marRight w:val="0"/>
      <w:marTop w:val="0"/>
      <w:marBottom w:val="0"/>
      <w:divBdr>
        <w:top w:val="none" w:sz="0" w:space="0" w:color="auto"/>
        <w:left w:val="none" w:sz="0" w:space="0" w:color="auto"/>
        <w:bottom w:val="none" w:sz="0" w:space="0" w:color="auto"/>
        <w:right w:val="none" w:sz="0" w:space="0" w:color="auto"/>
      </w:divBdr>
    </w:div>
    <w:div w:id="1214392973">
      <w:bodyDiv w:val="1"/>
      <w:marLeft w:val="0"/>
      <w:marRight w:val="0"/>
      <w:marTop w:val="0"/>
      <w:marBottom w:val="0"/>
      <w:divBdr>
        <w:top w:val="none" w:sz="0" w:space="0" w:color="auto"/>
        <w:left w:val="none" w:sz="0" w:space="0" w:color="auto"/>
        <w:bottom w:val="none" w:sz="0" w:space="0" w:color="auto"/>
        <w:right w:val="none" w:sz="0" w:space="0" w:color="auto"/>
      </w:divBdr>
    </w:div>
    <w:div w:id="1280644227">
      <w:bodyDiv w:val="1"/>
      <w:marLeft w:val="0"/>
      <w:marRight w:val="0"/>
      <w:marTop w:val="0"/>
      <w:marBottom w:val="0"/>
      <w:divBdr>
        <w:top w:val="none" w:sz="0" w:space="0" w:color="auto"/>
        <w:left w:val="none" w:sz="0" w:space="0" w:color="auto"/>
        <w:bottom w:val="none" w:sz="0" w:space="0" w:color="auto"/>
        <w:right w:val="none" w:sz="0" w:space="0" w:color="auto"/>
      </w:divBdr>
    </w:div>
    <w:div w:id="1285423356">
      <w:bodyDiv w:val="1"/>
      <w:marLeft w:val="0"/>
      <w:marRight w:val="0"/>
      <w:marTop w:val="0"/>
      <w:marBottom w:val="0"/>
      <w:divBdr>
        <w:top w:val="none" w:sz="0" w:space="0" w:color="auto"/>
        <w:left w:val="none" w:sz="0" w:space="0" w:color="auto"/>
        <w:bottom w:val="none" w:sz="0" w:space="0" w:color="auto"/>
        <w:right w:val="none" w:sz="0" w:space="0" w:color="auto"/>
      </w:divBdr>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395547364">
      <w:bodyDiv w:val="1"/>
      <w:marLeft w:val="0"/>
      <w:marRight w:val="0"/>
      <w:marTop w:val="0"/>
      <w:marBottom w:val="0"/>
      <w:divBdr>
        <w:top w:val="none" w:sz="0" w:space="0" w:color="auto"/>
        <w:left w:val="none" w:sz="0" w:space="0" w:color="auto"/>
        <w:bottom w:val="none" w:sz="0" w:space="0" w:color="auto"/>
        <w:right w:val="none" w:sz="0" w:space="0" w:color="auto"/>
      </w:divBdr>
    </w:div>
    <w:div w:id="1403210191">
      <w:bodyDiv w:val="1"/>
      <w:marLeft w:val="0"/>
      <w:marRight w:val="0"/>
      <w:marTop w:val="0"/>
      <w:marBottom w:val="0"/>
      <w:divBdr>
        <w:top w:val="none" w:sz="0" w:space="0" w:color="auto"/>
        <w:left w:val="none" w:sz="0" w:space="0" w:color="auto"/>
        <w:bottom w:val="none" w:sz="0" w:space="0" w:color="auto"/>
        <w:right w:val="none" w:sz="0" w:space="0" w:color="auto"/>
      </w:divBdr>
    </w:div>
    <w:div w:id="1427077114">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57337856">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8276282">
      <w:bodyDiv w:val="1"/>
      <w:marLeft w:val="0"/>
      <w:marRight w:val="0"/>
      <w:marTop w:val="0"/>
      <w:marBottom w:val="0"/>
      <w:divBdr>
        <w:top w:val="none" w:sz="0" w:space="0" w:color="auto"/>
        <w:left w:val="none" w:sz="0" w:space="0" w:color="auto"/>
        <w:bottom w:val="none" w:sz="0" w:space="0" w:color="auto"/>
        <w:right w:val="none" w:sz="0" w:space="0" w:color="auto"/>
      </w:divBdr>
    </w:div>
    <w:div w:id="1588033625">
      <w:bodyDiv w:val="1"/>
      <w:marLeft w:val="0"/>
      <w:marRight w:val="0"/>
      <w:marTop w:val="0"/>
      <w:marBottom w:val="0"/>
      <w:divBdr>
        <w:top w:val="none" w:sz="0" w:space="0" w:color="auto"/>
        <w:left w:val="none" w:sz="0" w:space="0" w:color="auto"/>
        <w:bottom w:val="none" w:sz="0" w:space="0" w:color="auto"/>
        <w:right w:val="none" w:sz="0" w:space="0" w:color="auto"/>
      </w:divBdr>
    </w:div>
    <w:div w:id="1621109875">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12897">
      <w:bodyDiv w:val="1"/>
      <w:marLeft w:val="0"/>
      <w:marRight w:val="0"/>
      <w:marTop w:val="0"/>
      <w:marBottom w:val="0"/>
      <w:divBdr>
        <w:top w:val="none" w:sz="0" w:space="0" w:color="auto"/>
        <w:left w:val="none" w:sz="0" w:space="0" w:color="auto"/>
        <w:bottom w:val="none" w:sz="0" w:space="0" w:color="auto"/>
        <w:right w:val="none" w:sz="0" w:space="0" w:color="auto"/>
      </w:divBdr>
    </w:div>
    <w:div w:id="1803646877">
      <w:bodyDiv w:val="1"/>
      <w:marLeft w:val="0"/>
      <w:marRight w:val="0"/>
      <w:marTop w:val="0"/>
      <w:marBottom w:val="0"/>
      <w:divBdr>
        <w:top w:val="none" w:sz="0" w:space="0" w:color="auto"/>
        <w:left w:val="none" w:sz="0" w:space="0" w:color="auto"/>
        <w:bottom w:val="none" w:sz="0" w:space="0" w:color="auto"/>
        <w:right w:val="none" w:sz="0" w:space="0" w:color="auto"/>
      </w:divBdr>
    </w:div>
    <w:div w:id="1904295755">
      <w:bodyDiv w:val="1"/>
      <w:marLeft w:val="0"/>
      <w:marRight w:val="0"/>
      <w:marTop w:val="0"/>
      <w:marBottom w:val="0"/>
      <w:divBdr>
        <w:top w:val="none" w:sz="0" w:space="0" w:color="auto"/>
        <w:left w:val="none" w:sz="0" w:space="0" w:color="auto"/>
        <w:bottom w:val="none" w:sz="0" w:space="0" w:color="auto"/>
        <w:right w:val="none" w:sz="0" w:space="0" w:color="auto"/>
      </w:divBdr>
    </w:div>
    <w:div w:id="1951820127">
      <w:bodyDiv w:val="1"/>
      <w:marLeft w:val="0"/>
      <w:marRight w:val="0"/>
      <w:marTop w:val="0"/>
      <w:marBottom w:val="0"/>
      <w:divBdr>
        <w:top w:val="none" w:sz="0" w:space="0" w:color="auto"/>
        <w:left w:val="none" w:sz="0" w:space="0" w:color="auto"/>
        <w:bottom w:val="none" w:sz="0" w:space="0" w:color="auto"/>
        <w:right w:val="none" w:sz="0" w:space="0" w:color="auto"/>
      </w:divBdr>
    </w:div>
    <w:div w:id="2001541276">
      <w:bodyDiv w:val="1"/>
      <w:marLeft w:val="0"/>
      <w:marRight w:val="0"/>
      <w:marTop w:val="0"/>
      <w:marBottom w:val="0"/>
      <w:divBdr>
        <w:top w:val="none" w:sz="0" w:space="0" w:color="auto"/>
        <w:left w:val="none" w:sz="0" w:space="0" w:color="auto"/>
        <w:bottom w:val="none" w:sz="0" w:space="0" w:color="auto"/>
        <w:right w:val="none" w:sz="0" w:space="0" w:color="auto"/>
      </w:divBdr>
    </w:div>
    <w:div w:id="2012172418">
      <w:bodyDiv w:val="1"/>
      <w:marLeft w:val="0"/>
      <w:marRight w:val="0"/>
      <w:marTop w:val="0"/>
      <w:marBottom w:val="0"/>
      <w:divBdr>
        <w:top w:val="none" w:sz="0" w:space="0" w:color="auto"/>
        <w:left w:val="none" w:sz="0" w:space="0" w:color="auto"/>
        <w:bottom w:val="none" w:sz="0" w:space="0" w:color="auto"/>
        <w:right w:val="none" w:sz="0" w:space="0" w:color="auto"/>
      </w:divBdr>
    </w:div>
    <w:div w:id="2012220562">
      <w:bodyDiv w:val="1"/>
      <w:marLeft w:val="0"/>
      <w:marRight w:val="0"/>
      <w:marTop w:val="0"/>
      <w:marBottom w:val="0"/>
      <w:divBdr>
        <w:top w:val="none" w:sz="0" w:space="0" w:color="auto"/>
        <w:left w:val="none" w:sz="0" w:space="0" w:color="auto"/>
        <w:bottom w:val="none" w:sz="0" w:space="0" w:color="auto"/>
        <w:right w:val="none" w:sz="0" w:space="0" w:color="auto"/>
      </w:divBdr>
    </w:div>
    <w:div w:id="2024162609">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289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alvizm1@unicartagena.edu.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7F89A-D9DF-4DD5-9775-AA9934634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5685</Words>
  <Characters>32407</Characters>
  <Application>Microsoft Office Word</Application>
  <DocSecurity>0</DocSecurity>
  <Lines>270</Lines>
  <Paragraphs>76</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38016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2</cp:revision>
  <cp:lastPrinted>2015-05-12T18:31:00Z</cp:lastPrinted>
  <dcterms:created xsi:type="dcterms:W3CDTF">2026-05-20T08:25:00Z</dcterms:created>
  <dcterms:modified xsi:type="dcterms:W3CDTF">2026-05-20T08:25:00Z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25a2e9a2-f31e-455c-9f32-d45ba819b262</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11th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http://www.zotero.org/styles/multidisciplinary-digital-publishing-institute</vt:lpwstr>
  </property>
  <property fmtid="{D5CDD505-2E9C-101B-9397-08002B2CF9AE}" pid="22" name="Mendeley Recent Style Name 8_1">
    <vt:lpwstr>Multidisciplinary Digital Publishing Institute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Mendeley Citation Style_1">
    <vt:lpwstr>http://www.zotero.org/styles/apa</vt:lpwstr>
  </property>
  <property fmtid="{D5CDD505-2E9C-101B-9397-08002B2CF9AE}" pid="26" name="Mendeley Document_1">
    <vt:lpwstr>True</vt:lpwstr>
  </property>
  <property fmtid="{D5CDD505-2E9C-101B-9397-08002B2CF9AE}" pid="27" name="Mendeley Unique User Id_1">
    <vt:lpwstr>2b1c133f-0588-3904-b132-a2f870b06576</vt:lpwstr>
  </property>
</Properties>
</file>