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F90ADE" w:rsidRPr="00F90ADE"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F90ADE" w:rsidRDefault="000A03B2" w:rsidP="00DE264A">
            <w:pPr>
              <w:tabs>
                <w:tab w:val="left" w:pos="-108"/>
              </w:tabs>
              <w:ind w:left="-108"/>
              <w:jc w:val="left"/>
              <w:rPr>
                <w:rFonts w:cs="Arial"/>
                <w:b/>
                <w:bCs/>
                <w:i/>
                <w:iCs/>
                <w:color w:val="000000" w:themeColor="text1"/>
                <w:sz w:val="12"/>
                <w:szCs w:val="12"/>
                <w:lang w:eastAsia="it-IT"/>
              </w:rPr>
            </w:pPr>
            <w:bookmarkStart w:id="0" w:name="_Hlk145068772"/>
            <w:bookmarkStart w:id="1" w:name="_GoBack"/>
            <w:r w:rsidRPr="00F90ADE">
              <w:rPr>
                <w:rFonts w:ascii="AdvP6960" w:hAnsi="AdvP6960" w:cs="AdvP6960"/>
                <w:noProof/>
                <w:color w:val="000000" w:themeColor="text1"/>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F90ADE">
              <w:rPr>
                <w:rFonts w:ascii="AdvP6960" w:hAnsi="AdvP6960" w:cs="AdvP6960"/>
                <w:color w:val="000000" w:themeColor="text1"/>
                <w:szCs w:val="18"/>
                <w:lang w:eastAsia="it-IT"/>
              </w:rPr>
              <w:t xml:space="preserve"> </w:t>
            </w:r>
            <w:r w:rsidRPr="00F90ADE">
              <w:rPr>
                <w:rFonts w:cs="Arial"/>
                <w:b/>
                <w:bCs/>
                <w:i/>
                <w:iCs/>
                <w:color w:val="000000" w:themeColor="text1"/>
                <w:sz w:val="24"/>
                <w:szCs w:val="24"/>
                <w:lang w:eastAsia="it-IT"/>
              </w:rPr>
              <w:t>CHEMICAL ENGINEERING TRANSACTIONS</w:t>
            </w:r>
            <w:r w:rsidRPr="00F90ADE">
              <w:rPr>
                <w:color w:val="000000" w:themeColor="text1"/>
                <w:sz w:val="24"/>
                <w:szCs w:val="24"/>
                <w:lang w:eastAsia="it-IT"/>
              </w:rPr>
              <w:t xml:space="preserve"> </w:t>
            </w:r>
            <w:r w:rsidRPr="00F90ADE">
              <w:rPr>
                <w:rFonts w:cs="Arial"/>
                <w:b/>
                <w:bCs/>
                <w:i/>
                <w:iCs/>
                <w:color w:val="000000" w:themeColor="text1"/>
                <w:sz w:val="27"/>
                <w:szCs w:val="27"/>
                <w:lang w:eastAsia="it-IT"/>
              </w:rPr>
              <w:br/>
            </w:r>
          </w:p>
          <w:p w14:paraId="4B780582" w14:textId="753620B8" w:rsidR="000A03B2" w:rsidRPr="00F90ADE" w:rsidRDefault="00A76EFC" w:rsidP="001D21AF">
            <w:pPr>
              <w:tabs>
                <w:tab w:val="left" w:pos="-108"/>
              </w:tabs>
              <w:ind w:left="-108"/>
              <w:rPr>
                <w:rFonts w:cs="Arial"/>
                <w:b/>
                <w:bCs/>
                <w:i/>
                <w:iCs/>
                <w:color w:val="000000" w:themeColor="text1"/>
                <w:sz w:val="22"/>
                <w:szCs w:val="22"/>
                <w:lang w:eastAsia="it-IT"/>
              </w:rPr>
            </w:pPr>
            <w:r w:rsidRPr="00F90ADE">
              <w:rPr>
                <w:rFonts w:cs="Arial"/>
                <w:b/>
                <w:bCs/>
                <w:i/>
                <w:iCs/>
                <w:color w:val="000000" w:themeColor="text1"/>
                <w:sz w:val="22"/>
                <w:szCs w:val="22"/>
                <w:lang w:eastAsia="it-IT"/>
              </w:rPr>
              <w:t>VOL.</w:t>
            </w:r>
            <w:r w:rsidR="00785BF9" w:rsidRPr="00F90ADE">
              <w:rPr>
                <w:rFonts w:cs="Arial"/>
                <w:b/>
                <w:bCs/>
                <w:i/>
                <w:iCs/>
                <w:color w:val="000000" w:themeColor="text1"/>
                <w:sz w:val="22"/>
                <w:szCs w:val="22"/>
                <w:lang w:eastAsia="it-IT"/>
              </w:rPr>
              <w:t xml:space="preserve"> </w:t>
            </w:r>
            <w:r w:rsidR="00AD0278" w:rsidRPr="00F90ADE">
              <w:rPr>
                <w:rFonts w:cs="Arial"/>
                <w:b/>
                <w:bCs/>
                <w:i/>
                <w:iCs/>
                <w:color w:val="000000" w:themeColor="text1"/>
                <w:sz w:val="22"/>
                <w:szCs w:val="22"/>
                <w:lang w:eastAsia="it-IT"/>
              </w:rPr>
              <w:t>xxx</w:t>
            </w:r>
            <w:r w:rsidR="007B48F9" w:rsidRPr="00F90ADE">
              <w:rPr>
                <w:rFonts w:cs="Arial"/>
                <w:b/>
                <w:bCs/>
                <w:i/>
                <w:iCs/>
                <w:color w:val="000000" w:themeColor="text1"/>
                <w:sz w:val="22"/>
                <w:szCs w:val="22"/>
                <w:lang w:eastAsia="it-IT"/>
              </w:rPr>
              <w:t>,</w:t>
            </w:r>
            <w:r w:rsidR="00FA5F5F" w:rsidRPr="00F90ADE">
              <w:rPr>
                <w:rFonts w:cs="Arial"/>
                <w:b/>
                <w:bCs/>
                <w:i/>
                <w:iCs/>
                <w:color w:val="000000" w:themeColor="text1"/>
                <w:sz w:val="22"/>
                <w:szCs w:val="22"/>
                <w:lang w:eastAsia="it-IT"/>
              </w:rPr>
              <w:t xml:space="preserve"> </w:t>
            </w:r>
            <w:r w:rsidR="0030152C" w:rsidRPr="00F90ADE">
              <w:rPr>
                <w:rFonts w:cs="Arial"/>
                <w:b/>
                <w:bCs/>
                <w:i/>
                <w:iCs/>
                <w:color w:val="000000" w:themeColor="text1"/>
                <w:sz w:val="22"/>
                <w:szCs w:val="22"/>
                <w:lang w:eastAsia="it-IT"/>
              </w:rPr>
              <w:t>202</w:t>
            </w:r>
            <w:r w:rsidR="00AD0278" w:rsidRPr="00F90ADE">
              <w:rPr>
                <w:rFonts w:cs="Arial"/>
                <w:b/>
                <w:bCs/>
                <w:i/>
                <w:iCs/>
                <w:color w:val="000000" w:themeColor="text1"/>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F90ADE" w:rsidRDefault="000A03B2" w:rsidP="00CD5FE2">
            <w:pPr>
              <w:spacing w:line="140" w:lineRule="atLeast"/>
              <w:jc w:val="right"/>
              <w:rPr>
                <w:rFonts w:cs="Arial"/>
                <w:color w:val="000000" w:themeColor="text1"/>
                <w:sz w:val="14"/>
                <w:szCs w:val="14"/>
              </w:rPr>
            </w:pPr>
            <w:r w:rsidRPr="00F90ADE">
              <w:rPr>
                <w:rFonts w:cs="Arial"/>
                <w:color w:val="000000" w:themeColor="text1"/>
                <w:sz w:val="14"/>
                <w:szCs w:val="14"/>
              </w:rPr>
              <w:t>A publication of</w:t>
            </w:r>
          </w:p>
          <w:p w14:paraId="599E5441" w14:textId="77777777" w:rsidR="000A03B2" w:rsidRPr="00F90ADE" w:rsidRDefault="000A03B2" w:rsidP="00CD5FE2">
            <w:pPr>
              <w:jc w:val="right"/>
              <w:rPr>
                <w:color w:val="000000" w:themeColor="text1"/>
              </w:rPr>
            </w:pPr>
            <w:r w:rsidRPr="00F90ADE">
              <w:rPr>
                <w:noProof/>
                <w:color w:val="000000" w:themeColor="text1"/>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F90ADE" w:rsidRPr="00F90ADE" w14:paraId="380FA3CD" w14:textId="77777777" w:rsidTr="00DE264A">
        <w:trPr>
          <w:trHeight w:val="567"/>
          <w:jc w:val="center"/>
        </w:trPr>
        <w:tc>
          <w:tcPr>
            <w:tcW w:w="6946" w:type="dxa"/>
            <w:vMerge/>
            <w:tcBorders>
              <w:right w:val="single" w:sz="4" w:space="0" w:color="auto"/>
            </w:tcBorders>
          </w:tcPr>
          <w:p w14:paraId="39E5E4C1" w14:textId="77777777" w:rsidR="000A03B2" w:rsidRPr="00F90ADE" w:rsidRDefault="000A03B2" w:rsidP="00CD5FE2">
            <w:pPr>
              <w:tabs>
                <w:tab w:val="left" w:pos="-108"/>
              </w:tabs>
              <w:rPr>
                <w:color w:val="000000" w:themeColor="text1"/>
              </w:rPr>
            </w:pPr>
          </w:p>
        </w:tc>
        <w:tc>
          <w:tcPr>
            <w:tcW w:w="1843" w:type="dxa"/>
            <w:tcBorders>
              <w:left w:val="single" w:sz="4" w:space="0" w:color="auto"/>
              <w:bottom w:val="nil"/>
              <w:right w:val="single" w:sz="4" w:space="0" w:color="auto"/>
            </w:tcBorders>
          </w:tcPr>
          <w:p w14:paraId="43858A98" w14:textId="77777777" w:rsidR="000A03B2" w:rsidRPr="00F90ADE" w:rsidRDefault="000A03B2" w:rsidP="00CD5FE2">
            <w:pPr>
              <w:spacing w:line="140" w:lineRule="atLeast"/>
              <w:jc w:val="right"/>
              <w:rPr>
                <w:rFonts w:cs="Arial"/>
                <w:color w:val="000000" w:themeColor="text1"/>
                <w:sz w:val="14"/>
                <w:szCs w:val="14"/>
              </w:rPr>
            </w:pPr>
            <w:r w:rsidRPr="00F90ADE">
              <w:rPr>
                <w:rFonts w:cs="Arial"/>
                <w:color w:val="000000" w:themeColor="text1"/>
                <w:sz w:val="14"/>
                <w:szCs w:val="14"/>
              </w:rPr>
              <w:t>The Italian Association</w:t>
            </w:r>
          </w:p>
          <w:p w14:paraId="7522B1D2" w14:textId="77777777" w:rsidR="000A03B2" w:rsidRPr="00F90ADE" w:rsidRDefault="000A03B2" w:rsidP="00CD5FE2">
            <w:pPr>
              <w:spacing w:line="140" w:lineRule="atLeast"/>
              <w:jc w:val="right"/>
              <w:rPr>
                <w:rFonts w:cs="Arial"/>
                <w:color w:val="000000" w:themeColor="text1"/>
                <w:sz w:val="14"/>
                <w:szCs w:val="14"/>
              </w:rPr>
            </w:pPr>
            <w:r w:rsidRPr="00F90ADE">
              <w:rPr>
                <w:rFonts w:cs="Arial"/>
                <w:color w:val="000000" w:themeColor="text1"/>
                <w:sz w:val="14"/>
                <w:szCs w:val="14"/>
              </w:rPr>
              <w:t>of Chemical Engineering</w:t>
            </w:r>
          </w:p>
          <w:p w14:paraId="4F0CC5DE" w14:textId="47FDB2FC" w:rsidR="000A03B2" w:rsidRPr="00F90ADE" w:rsidRDefault="000D0268" w:rsidP="00CD5FE2">
            <w:pPr>
              <w:spacing w:line="140" w:lineRule="atLeast"/>
              <w:jc w:val="right"/>
              <w:rPr>
                <w:rFonts w:cs="Arial"/>
                <w:color w:val="000000" w:themeColor="text1"/>
                <w:sz w:val="13"/>
                <w:szCs w:val="13"/>
              </w:rPr>
            </w:pPr>
            <w:r w:rsidRPr="00F90ADE">
              <w:rPr>
                <w:rFonts w:cs="Arial"/>
                <w:color w:val="000000" w:themeColor="text1"/>
                <w:sz w:val="13"/>
                <w:szCs w:val="13"/>
              </w:rPr>
              <w:t>Online at www.cetjournal.it</w:t>
            </w:r>
          </w:p>
        </w:tc>
      </w:tr>
      <w:tr w:rsidR="00F90ADE" w:rsidRPr="00F90ADE" w14:paraId="2D1B7169" w14:textId="77777777" w:rsidTr="00DE264A">
        <w:trPr>
          <w:trHeight w:val="68"/>
          <w:jc w:val="center"/>
        </w:trPr>
        <w:tc>
          <w:tcPr>
            <w:tcW w:w="8789" w:type="dxa"/>
            <w:gridSpan w:val="2"/>
          </w:tcPr>
          <w:p w14:paraId="1D8DD3C9" w14:textId="61229B97" w:rsidR="00AA7D26" w:rsidRPr="00F90ADE" w:rsidRDefault="004A5E57" w:rsidP="004A5E57">
            <w:pPr>
              <w:ind w:left="-107"/>
              <w:outlineLvl w:val="2"/>
              <w:rPr>
                <w:rFonts w:ascii="Tahoma" w:hAnsi="Tahoma" w:cs="Tahoma"/>
                <w:bCs/>
                <w:color w:val="000000" w:themeColor="text1"/>
                <w:sz w:val="14"/>
                <w:szCs w:val="14"/>
                <w:lang w:val="it-IT" w:eastAsia="it-IT"/>
              </w:rPr>
            </w:pPr>
            <w:r w:rsidRPr="00F90ADE">
              <w:rPr>
                <w:rFonts w:ascii="Tahoma" w:hAnsi="Tahoma" w:cs="Tahoma"/>
                <w:iCs/>
                <w:color w:val="000000" w:themeColor="text1"/>
                <w:sz w:val="14"/>
                <w:szCs w:val="14"/>
                <w:lang w:val="it-IT" w:eastAsia="it-IT"/>
              </w:rPr>
              <w:t>Guest Editors:</w:t>
            </w:r>
            <w:r w:rsidRPr="00F90ADE">
              <w:rPr>
                <w:rFonts w:ascii="Tahoma" w:hAnsi="Tahoma" w:cs="Tahoma"/>
                <w:color w:val="000000" w:themeColor="text1"/>
                <w:sz w:val="14"/>
                <w:szCs w:val="14"/>
                <w:shd w:val="clear" w:color="auto" w:fill="FFFFFF"/>
                <w:lang w:val="it-IT"/>
              </w:rPr>
              <w:t xml:space="preserve"> </w:t>
            </w:r>
            <w:r w:rsidR="00EA3EF9" w:rsidRPr="00F90ADE">
              <w:rPr>
                <w:rFonts w:ascii="Tahoma" w:hAnsi="Tahoma" w:cs="Tahoma"/>
                <w:color w:val="000000" w:themeColor="text1"/>
                <w:sz w:val="14"/>
                <w:szCs w:val="14"/>
                <w:shd w:val="clear" w:color="auto" w:fill="FFFFFF"/>
                <w:lang w:val="it-IT"/>
              </w:rPr>
              <w:t xml:space="preserve">Leonardo Tognotti, </w:t>
            </w:r>
            <w:r w:rsidR="00EA3EF9" w:rsidRPr="00F90ADE">
              <w:rPr>
                <w:rFonts w:ascii="Tahoma" w:hAnsi="Tahoma" w:cs="Tahoma"/>
                <w:color w:val="000000" w:themeColor="text1"/>
                <w:sz w:val="14"/>
                <w:szCs w:val="14"/>
                <w:lang w:val="it-IT"/>
              </w:rPr>
              <w:t>Rubens Maciel Filho</w:t>
            </w:r>
            <w:r w:rsidR="00EA3EF9" w:rsidRPr="00F90ADE">
              <w:rPr>
                <w:rFonts w:ascii="Tahoma" w:hAnsi="Tahoma" w:cs="Tahoma"/>
                <w:color w:val="000000" w:themeColor="text1"/>
                <w:sz w:val="14"/>
                <w:szCs w:val="14"/>
                <w:shd w:val="clear" w:color="auto" w:fill="FFFFFF"/>
                <w:lang w:val="it-IT"/>
              </w:rPr>
              <w:t xml:space="preserve">, </w:t>
            </w:r>
            <w:r w:rsidR="00EA3EF9" w:rsidRPr="00F90ADE">
              <w:rPr>
                <w:rFonts w:ascii="Tahoma" w:hAnsi="Tahoma" w:cs="Tahoma"/>
                <w:color w:val="000000" w:themeColor="text1"/>
                <w:sz w:val="14"/>
                <w:szCs w:val="14"/>
                <w:lang w:val="it-IT"/>
              </w:rPr>
              <w:t>Viatcheslav Kafarov</w:t>
            </w:r>
          </w:p>
          <w:p w14:paraId="1B0F1814" w14:textId="710B7B96" w:rsidR="000A03B2" w:rsidRPr="00F90ADE" w:rsidRDefault="00AA7D26" w:rsidP="00AA7D26">
            <w:pPr>
              <w:tabs>
                <w:tab w:val="left" w:pos="-108"/>
              </w:tabs>
              <w:spacing w:line="140" w:lineRule="atLeast"/>
              <w:ind w:left="-107"/>
              <w:jc w:val="left"/>
              <w:rPr>
                <w:color w:val="000000" w:themeColor="text1"/>
              </w:rPr>
            </w:pPr>
            <w:r w:rsidRPr="00F90ADE">
              <w:rPr>
                <w:rFonts w:ascii="Tahoma" w:hAnsi="Tahoma" w:cs="Tahoma"/>
                <w:iCs/>
                <w:color w:val="000000" w:themeColor="text1"/>
                <w:sz w:val="14"/>
                <w:szCs w:val="14"/>
                <w:lang w:eastAsia="it-IT"/>
              </w:rPr>
              <w:t>Copyright © 202</w:t>
            </w:r>
            <w:r w:rsidR="00005884" w:rsidRPr="00F90ADE">
              <w:rPr>
                <w:rFonts w:ascii="Tahoma" w:hAnsi="Tahoma" w:cs="Tahoma"/>
                <w:iCs/>
                <w:color w:val="000000" w:themeColor="text1"/>
                <w:sz w:val="14"/>
                <w:szCs w:val="14"/>
                <w:lang w:eastAsia="it-IT"/>
              </w:rPr>
              <w:t>6</w:t>
            </w:r>
            <w:r w:rsidRPr="00F90ADE">
              <w:rPr>
                <w:rFonts w:ascii="Tahoma" w:hAnsi="Tahoma" w:cs="Tahoma"/>
                <w:iCs/>
                <w:color w:val="000000" w:themeColor="text1"/>
                <w:sz w:val="14"/>
                <w:szCs w:val="14"/>
                <w:lang w:eastAsia="it-IT"/>
              </w:rPr>
              <w:t xml:space="preserve">, AIDIC </w:t>
            </w:r>
            <w:proofErr w:type="spellStart"/>
            <w:r w:rsidRPr="00F90ADE">
              <w:rPr>
                <w:rFonts w:ascii="Tahoma" w:hAnsi="Tahoma" w:cs="Tahoma"/>
                <w:iCs/>
                <w:color w:val="000000" w:themeColor="text1"/>
                <w:sz w:val="14"/>
                <w:szCs w:val="14"/>
                <w:lang w:eastAsia="it-IT"/>
              </w:rPr>
              <w:t>Servizi</w:t>
            </w:r>
            <w:proofErr w:type="spellEnd"/>
            <w:r w:rsidRPr="00F90ADE">
              <w:rPr>
                <w:rFonts w:ascii="Tahoma" w:hAnsi="Tahoma" w:cs="Tahoma"/>
                <w:iCs/>
                <w:color w:val="000000" w:themeColor="text1"/>
                <w:sz w:val="14"/>
                <w:szCs w:val="14"/>
                <w:lang w:eastAsia="it-IT"/>
              </w:rPr>
              <w:t xml:space="preserve"> </w:t>
            </w:r>
            <w:proofErr w:type="spellStart"/>
            <w:r w:rsidRPr="00F90ADE">
              <w:rPr>
                <w:rFonts w:ascii="Tahoma" w:hAnsi="Tahoma" w:cs="Tahoma"/>
                <w:iCs/>
                <w:color w:val="000000" w:themeColor="text1"/>
                <w:sz w:val="14"/>
                <w:szCs w:val="14"/>
                <w:lang w:eastAsia="it-IT"/>
              </w:rPr>
              <w:t>S.r.l</w:t>
            </w:r>
            <w:proofErr w:type="spellEnd"/>
            <w:r w:rsidRPr="00F90ADE">
              <w:rPr>
                <w:rFonts w:ascii="Tahoma" w:hAnsi="Tahoma" w:cs="Tahoma"/>
                <w:iCs/>
                <w:color w:val="000000" w:themeColor="text1"/>
                <w:sz w:val="14"/>
                <w:szCs w:val="14"/>
                <w:lang w:eastAsia="it-IT"/>
              </w:rPr>
              <w:t>.</w:t>
            </w:r>
            <w:r w:rsidRPr="00F90ADE">
              <w:rPr>
                <w:rFonts w:ascii="Tahoma" w:hAnsi="Tahoma" w:cs="Tahoma"/>
                <w:iCs/>
                <w:color w:val="000000" w:themeColor="text1"/>
                <w:sz w:val="14"/>
                <w:szCs w:val="14"/>
                <w:lang w:eastAsia="it-IT"/>
              </w:rPr>
              <w:br/>
            </w:r>
            <w:r w:rsidRPr="00F90ADE">
              <w:rPr>
                <w:rFonts w:ascii="Tahoma" w:hAnsi="Tahoma" w:cs="Tahoma"/>
                <w:b/>
                <w:iCs/>
                <w:color w:val="000000" w:themeColor="text1"/>
                <w:sz w:val="14"/>
                <w:szCs w:val="14"/>
                <w:lang w:eastAsia="it-IT"/>
              </w:rPr>
              <w:t>ISBN</w:t>
            </w:r>
            <w:r w:rsidRPr="00F90ADE">
              <w:rPr>
                <w:rFonts w:ascii="Tahoma" w:hAnsi="Tahoma" w:cs="Tahoma"/>
                <w:iCs/>
                <w:color w:val="000000" w:themeColor="text1"/>
                <w:sz w:val="14"/>
                <w:szCs w:val="14"/>
                <w:lang w:eastAsia="it-IT"/>
              </w:rPr>
              <w:t xml:space="preserve"> </w:t>
            </w:r>
            <w:r w:rsidR="00D2582C" w:rsidRPr="00F90ADE">
              <w:rPr>
                <w:rFonts w:ascii="Tahoma" w:hAnsi="Tahoma" w:cs="Tahoma"/>
                <w:color w:val="000000" w:themeColor="text1"/>
                <w:sz w:val="14"/>
                <w:szCs w:val="14"/>
              </w:rPr>
              <w:t>979-12-81206-</w:t>
            </w:r>
            <w:r w:rsidR="00005884" w:rsidRPr="00F90ADE">
              <w:rPr>
                <w:rFonts w:ascii="Tahoma" w:hAnsi="Tahoma" w:cs="Tahoma"/>
                <w:color w:val="000000" w:themeColor="text1"/>
                <w:sz w:val="14"/>
                <w:szCs w:val="14"/>
              </w:rPr>
              <w:t>xx</w:t>
            </w:r>
            <w:r w:rsidR="009041F8" w:rsidRPr="00F90ADE">
              <w:rPr>
                <w:rFonts w:ascii="Tahoma" w:hAnsi="Tahoma" w:cs="Tahoma"/>
                <w:color w:val="000000" w:themeColor="text1"/>
                <w:sz w:val="14"/>
                <w:szCs w:val="14"/>
              </w:rPr>
              <w:t>-</w:t>
            </w:r>
            <w:r w:rsidR="00005884" w:rsidRPr="00F90ADE">
              <w:rPr>
                <w:rFonts w:ascii="Tahoma" w:hAnsi="Tahoma" w:cs="Tahoma"/>
                <w:color w:val="000000" w:themeColor="text1"/>
                <w:sz w:val="14"/>
                <w:szCs w:val="14"/>
              </w:rPr>
              <w:t>x</w:t>
            </w:r>
            <w:r w:rsidRPr="00F90ADE">
              <w:rPr>
                <w:rFonts w:ascii="Tahoma" w:hAnsi="Tahoma" w:cs="Tahoma"/>
                <w:iCs/>
                <w:color w:val="000000" w:themeColor="text1"/>
                <w:sz w:val="14"/>
                <w:szCs w:val="14"/>
                <w:lang w:eastAsia="it-IT"/>
              </w:rPr>
              <w:t xml:space="preserve">; </w:t>
            </w:r>
            <w:r w:rsidRPr="00F90ADE">
              <w:rPr>
                <w:rFonts w:ascii="Tahoma" w:hAnsi="Tahoma" w:cs="Tahoma"/>
                <w:b/>
                <w:iCs/>
                <w:color w:val="000000" w:themeColor="text1"/>
                <w:sz w:val="14"/>
                <w:szCs w:val="14"/>
                <w:lang w:eastAsia="it-IT"/>
              </w:rPr>
              <w:t>ISSN</w:t>
            </w:r>
            <w:r w:rsidRPr="00F90ADE">
              <w:rPr>
                <w:rFonts w:ascii="Tahoma" w:hAnsi="Tahoma" w:cs="Tahoma"/>
                <w:iCs/>
                <w:color w:val="000000" w:themeColor="text1"/>
                <w:sz w:val="14"/>
                <w:szCs w:val="14"/>
                <w:lang w:eastAsia="it-IT"/>
              </w:rPr>
              <w:t xml:space="preserve"> 2283-9216</w:t>
            </w:r>
          </w:p>
        </w:tc>
      </w:tr>
    </w:tbl>
    <w:bookmarkEnd w:id="0"/>
    <w:p w14:paraId="2E667253" w14:textId="46F3D758" w:rsidR="00E978D0" w:rsidRPr="00F90ADE" w:rsidRDefault="00C76212" w:rsidP="00E978D0">
      <w:pPr>
        <w:pStyle w:val="CETTitle"/>
        <w:rPr>
          <w:color w:val="000000" w:themeColor="text1"/>
        </w:rPr>
      </w:pPr>
      <w:r w:rsidRPr="00F90ADE">
        <w:rPr>
          <w:color w:val="000000" w:themeColor="text1"/>
        </w:rPr>
        <w:t>Inherent Safety Analysis of Large-Scale Production of Magnetic Hydrogel from Native Peruvian Yellow Potato Peel Starch</w:t>
      </w:r>
    </w:p>
    <w:p w14:paraId="0488FED2" w14:textId="15D07F73" w:rsidR="00B57E6F" w:rsidRPr="00F90ADE" w:rsidRDefault="00C76212" w:rsidP="00B57E6F">
      <w:pPr>
        <w:pStyle w:val="CETAuthors"/>
        <w:rPr>
          <w:color w:val="000000" w:themeColor="text1"/>
          <w:lang w:val="es-PE"/>
        </w:rPr>
      </w:pPr>
      <w:r w:rsidRPr="00F90ADE">
        <w:rPr>
          <w:color w:val="000000" w:themeColor="text1"/>
          <w:lang w:val="es-PE"/>
        </w:rPr>
        <w:t>Anibal Alviz-Meza</w:t>
      </w:r>
      <w:r w:rsidR="00B57E6F" w:rsidRPr="00F90ADE">
        <w:rPr>
          <w:color w:val="000000" w:themeColor="text1"/>
          <w:vertAlign w:val="superscript"/>
          <w:lang w:val="es-PE"/>
        </w:rPr>
        <w:t>a</w:t>
      </w:r>
      <w:r w:rsidRPr="00F90ADE">
        <w:rPr>
          <w:color w:val="000000" w:themeColor="text1"/>
          <w:vertAlign w:val="superscript"/>
          <w:lang w:val="es-PE"/>
        </w:rPr>
        <w:t>,*</w:t>
      </w:r>
      <w:r w:rsidR="00B57E6F" w:rsidRPr="00F90ADE">
        <w:rPr>
          <w:color w:val="000000" w:themeColor="text1"/>
          <w:lang w:val="es-PE"/>
        </w:rPr>
        <w:t xml:space="preserve">, </w:t>
      </w:r>
      <w:r w:rsidRPr="00F90ADE">
        <w:rPr>
          <w:color w:val="000000" w:themeColor="text1"/>
          <w:lang w:val="es-PE"/>
        </w:rPr>
        <w:t>María V. Carranza-Oropeza</w:t>
      </w:r>
      <w:r w:rsidRPr="00F90ADE">
        <w:rPr>
          <w:color w:val="000000" w:themeColor="text1"/>
          <w:vertAlign w:val="superscript"/>
          <w:lang w:val="es-PE"/>
        </w:rPr>
        <w:t>b</w:t>
      </w:r>
      <w:r w:rsidR="004259C5" w:rsidRPr="00F90ADE">
        <w:rPr>
          <w:color w:val="000000" w:themeColor="text1"/>
          <w:vertAlign w:val="superscript"/>
          <w:lang w:val="es-PE"/>
        </w:rPr>
        <w:t>,c</w:t>
      </w:r>
      <w:r w:rsidRPr="00F90ADE">
        <w:rPr>
          <w:color w:val="000000" w:themeColor="text1"/>
          <w:lang w:val="es-PE"/>
        </w:rPr>
        <w:t>, Angel D. Gonzalez-Delgado</w:t>
      </w:r>
      <w:r w:rsidRPr="00F90ADE">
        <w:rPr>
          <w:color w:val="000000" w:themeColor="text1"/>
          <w:vertAlign w:val="superscript"/>
          <w:lang w:val="es-PE"/>
        </w:rPr>
        <w:t>a</w:t>
      </w:r>
    </w:p>
    <w:p w14:paraId="1B06C01A" w14:textId="47697347" w:rsidR="004259C5" w:rsidRPr="00F90ADE" w:rsidRDefault="00B57E6F" w:rsidP="004259C5">
      <w:pPr>
        <w:pStyle w:val="CETAddress"/>
        <w:rPr>
          <w:color w:val="000000" w:themeColor="text1"/>
        </w:rPr>
      </w:pPr>
      <w:r w:rsidRPr="00F90ADE">
        <w:rPr>
          <w:color w:val="000000" w:themeColor="text1"/>
          <w:vertAlign w:val="superscript"/>
        </w:rPr>
        <w:t>a</w:t>
      </w:r>
      <w:r w:rsidR="004259C5" w:rsidRPr="00F90ADE">
        <w:rPr>
          <w:color w:val="000000" w:themeColor="text1"/>
        </w:rPr>
        <w:t>Chemical Engineering Department, Nanomaterials and Computer-Aided Process Engineering Research Group (NIPAC), Universidad de Cartagena, Cartagena 130014, Bolívar, Colombia</w:t>
      </w:r>
    </w:p>
    <w:p w14:paraId="4A1A1D2F" w14:textId="102155B4" w:rsidR="004259C5" w:rsidRPr="00F90ADE" w:rsidRDefault="00B57E6F" w:rsidP="004259C5">
      <w:pPr>
        <w:pStyle w:val="CETAddress"/>
        <w:rPr>
          <w:color w:val="000000" w:themeColor="text1"/>
          <w:lang w:val="es-PE"/>
        </w:rPr>
      </w:pPr>
      <w:r w:rsidRPr="00F90ADE">
        <w:rPr>
          <w:color w:val="000000" w:themeColor="text1"/>
          <w:vertAlign w:val="superscript"/>
          <w:lang w:val="es-PE"/>
        </w:rPr>
        <w:t>b</w:t>
      </w:r>
      <w:r w:rsidR="004259C5" w:rsidRPr="00F90ADE">
        <w:rPr>
          <w:color w:val="000000" w:themeColor="text1"/>
          <w:lang w:val="es-PE"/>
        </w:rPr>
        <w:t>Centro de Investigaciones Tecnológicas, Biomédicas y Medioambientales (CITBM), laboratorio de síntesis y caracterización de materiales (SyCAM),</w:t>
      </w:r>
      <w:r w:rsidR="0030281E" w:rsidRPr="00F90ADE">
        <w:rPr>
          <w:color w:val="000000" w:themeColor="text1"/>
          <w:lang w:val="es-PE"/>
        </w:rPr>
        <w:t xml:space="preserve"> Universidad Nacional Mayor de San Marcos,</w:t>
      </w:r>
      <w:r w:rsidR="004259C5" w:rsidRPr="00F90ADE">
        <w:rPr>
          <w:color w:val="000000" w:themeColor="text1"/>
          <w:lang w:val="es-PE"/>
        </w:rPr>
        <w:t xml:space="preserve"> Lima, Peru </w:t>
      </w:r>
    </w:p>
    <w:p w14:paraId="73F1267A" w14:textId="43C08C9A" w:rsidR="00B57E6F" w:rsidRPr="00F90ADE" w:rsidRDefault="00F5050C" w:rsidP="004259C5">
      <w:pPr>
        <w:pStyle w:val="CETAddress"/>
        <w:rPr>
          <w:color w:val="000000" w:themeColor="text1"/>
          <w:lang w:val="fr-FR"/>
        </w:rPr>
      </w:pPr>
      <w:hyperlink r:id="rId10" w:history="1">
        <w:r w:rsidR="004259C5" w:rsidRPr="00F90ADE">
          <w:rPr>
            <w:rStyle w:val="Hipervnculo"/>
            <w:color w:val="000000" w:themeColor="text1"/>
            <w:lang w:val="fr-FR"/>
          </w:rPr>
          <w:t>aalvizm1@unicartagena.edu.co</w:t>
        </w:r>
      </w:hyperlink>
    </w:p>
    <w:p w14:paraId="0A95974D" w14:textId="77777777" w:rsidR="004259C5" w:rsidRPr="00F90ADE" w:rsidRDefault="004259C5" w:rsidP="004259C5">
      <w:pPr>
        <w:pStyle w:val="CETAddress"/>
        <w:rPr>
          <w:color w:val="000000" w:themeColor="text1"/>
          <w:lang w:val="fr-FR"/>
        </w:rPr>
      </w:pPr>
    </w:p>
    <w:p w14:paraId="37A61FCE" w14:textId="0FA0692F" w:rsidR="00DA24C6" w:rsidRPr="00F90ADE" w:rsidRDefault="004319E8" w:rsidP="004319E8">
      <w:pPr>
        <w:pStyle w:val="CETBodytext"/>
        <w:rPr>
          <w:color w:val="000000" w:themeColor="text1"/>
        </w:rPr>
      </w:pPr>
      <w:proofErr w:type="spellStart"/>
      <w:r w:rsidRPr="00F90ADE">
        <w:rPr>
          <w:color w:val="000000" w:themeColor="text1"/>
          <w:lang w:val="en-GB"/>
        </w:rPr>
        <w:t>Agro</w:t>
      </w:r>
      <w:proofErr w:type="spellEnd"/>
      <w:r w:rsidRPr="00F90ADE">
        <w:rPr>
          <w:color w:val="000000" w:themeColor="text1"/>
          <w:lang w:val="en-GB"/>
        </w:rPr>
        <w:t>-industrial waste, such as the peel of native Peruvian potatoes, offers a scalable opportunity to produce functional hydrogels, although the intrinsic safety of these new bioprocesses remains unknown. This work applies the Inherent Safety Index methodology to the production of a magneti</w:t>
      </w:r>
      <w:r w:rsidR="00F77872" w:rsidRPr="00F90ADE">
        <w:rPr>
          <w:color w:val="000000" w:themeColor="text1"/>
          <w:lang w:val="en-GB"/>
        </w:rPr>
        <w:t>c</w:t>
      </w:r>
      <w:r w:rsidRPr="00F90ADE">
        <w:rPr>
          <w:color w:val="000000" w:themeColor="text1"/>
          <w:lang w:val="en-GB"/>
        </w:rPr>
        <w:t xml:space="preserve"> hydrogel synthesized from native Peruvian potato peel starch. </w:t>
      </w:r>
      <w:r w:rsidR="00F77872" w:rsidRPr="00F90ADE">
        <w:rPr>
          <w:color w:val="000000" w:themeColor="text1"/>
          <w:lang w:val="en-GB"/>
        </w:rPr>
        <w:t>T</w:t>
      </w:r>
      <w:r w:rsidRPr="00F90ADE">
        <w:rPr>
          <w:color w:val="000000" w:themeColor="text1"/>
          <w:lang w:val="en-GB"/>
        </w:rPr>
        <w:t>he necessary process data</w:t>
      </w:r>
      <w:r w:rsidR="00F77872" w:rsidRPr="00F90ADE">
        <w:rPr>
          <w:color w:val="000000" w:themeColor="text1"/>
          <w:lang w:val="en-GB"/>
        </w:rPr>
        <w:t xml:space="preserve"> were obtained from an Aspen Plus simulation in previously published work</w:t>
      </w:r>
      <w:r w:rsidRPr="00F90ADE">
        <w:rPr>
          <w:color w:val="000000" w:themeColor="text1"/>
          <w:lang w:val="en-GB"/>
        </w:rPr>
        <w:t xml:space="preserve">. </w:t>
      </w:r>
      <w:r w:rsidR="004D1A00" w:rsidRPr="00F90ADE">
        <w:rPr>
          <w:color w:val="000000" w:themeColor="text1"/>
          <w:lang w:val="en-GB"/>
        </w:rPr>
        <w:t>P</w:t>
      </w:r>
      <w:r w:rsidRPr="00F90ADE">
        <w:rPr>
          <w:color w:val="000000" w:themeColor="text1"/>
          <w:lang w:val="en-GB"/>
        </w:rPr>
        <w:t xml:space="preserve">hysicochemical, toxicological, and reactivity data for the </w:t>
      </w:r>
      <w:r w:rsidR="00C21903" w:rsidRPr="00F90ADE">
        <w:rPr>
          <w:color w:val="000000" w:themeColor="text1"/>
          <w:lang w:val="en-GB"/>
        </w:rPr>
        <w:t>compounds involved were obtained</w:t>
      </w:r>
      <w:r w:rsidRPr="00F90ADE">
        <w:rPr>
          <w:color w:val="000000" w:themeColor="text1"/>
          <w:lang w:val="en-GB"/>
        </w:rPr>
        <w:t xml:space="preserve"> from safety data sheets to develop chemical-hazard </w:t>
      </w:r>
      <w:proofErr w:type="spellStart"/>
      <w:r w:rsidRPr="00F90ADE">
        <w:rPr>
          <w:color w:val="000000" w:themeColor="text1"/>
          <w:lang w:val="en-GB"/>
        </w:rPr>
        <w:t>subindices</w:t>
      </w:r>
      <w:proofErr w:type="spellEnd"/>
      <w:r w:rsidRPr="00F90ADE">
        <w:rPr>
          <w:color w:val="000000" w:themeColor="text1"/>
          <w:lang w:val="en-GB"/>
        </w:rPr>
        <w:t xml:space="preserve">. As a result, the most significant risks were associated with the exothermic nature of graft polymerization, potential oxidizer-fuel interactions between ammonium persulfate and ethanol, and the toxicity and corrosiveness of acrylic acid and iron salts. </w:t>
      </w:r>
      <w:r w:rsidR="00D3414B" w:rsidRPr="00F90ADE">
        <w:rPr>
          <w:color w:val="000000" w:themeColor="text1"/>
          <w:lang w:val="en-GB"/>
        </w:rPr>
        <w:t>Therefore</w:t>
      </w:r>
      <w:r w:rsidRPr="00F90ADE">
        <w:rPr>
          <w:color w:val="000000" w:themeColor="text1"/>
          <w:lang w:val="en-GB"/>
        </w:rPr>
        <w:t xml:space="preserve">, </w:t>
      </w:r>
      <w:r w:rsidR="00D3414B" w:rsidRPr="00F90ADE">
        <w:rPr>
          <w:color w:val="000000" w:themeColor="text1"/>
          <w:lang w:val="en-GB"/>
        </w:rPr>
        <w:t>special safeguards must be considered to avoid risky</w:t>
      </w:r>
      <w:r w:rsidRPr="00F90ADE">
        <w:rPr>
          <w:color w:val="000000" w:themeColor="text1"/>
          <w:lang w:val="en-GB"/>
        </w:rPr>
        <w:t xml:space="preserve"> </w:t>
      </w:r>
      <w:r w:rsidR="00D3414B" w:rsidRPr="00F90ADE">
        <w:rPr>
          <w:color w:val="000000" w:themeColor="text1"/>
          <w:lang w:val="en-GB"/>
        </w:rPr>
        <w:t>operations</w:t>
      </w:r>
      <w:r w:rsidRPr="00F90ADE">
        <w:rPr>
          <w:color w:val="000000" w:themeColor="text1"/>
          <w:lang w:val="en-GB"/>
        </w:rPr>
        <w:t>. The process achieved an overall ISI of 2</w:t>
      </w:r>
      <w:r w:rsidR="00D3414B" w:rsidRPr="00F90ADE">
        <w:rPr>
          <w:color w:val="000000" w:themeColor="text1"/>
          <w:lang w:val="en-GB"/>
        </w:rPr>
        <w:t>7</w:t>
      </w:r>
      <w:r w:rsidRPr="00F90ADE">
        <w:rPr>
          <w:color w:val="000000" w:themeColor="text1"/>
          <w:lang w:val="en-GB"/>
        </w:rPr>
        <w:t xml:space="preserve"> by adding the chemical index of 16 and a process safety index of </w:t>
      </w:r>
      <w:r w:rsidR="00D3414B" w:rsidRPr="00F90ADE">
        <w:rPr>
          <w:color w:val="000000" w:themeColor="text1"/>
          <w:lang w:val="en-GB"/>
        </w:rPr>
        <w:t>11</w:t>
      </w:r>
      <w:r w:rsidRPr="00F90ADE">
        <w:rPr>
          <w:color w:val="000000" w:themeColor="text1"/>
          <w:lang w:val="en-GB"/>
        </w:rPr>
        <w:t xml:space="preserve">. </w:t>
      </w:r>
      <w:r w:rsidR="004D1A00" w:rsidRPr="00F90ADE">
        <w:rPr>
          <w:color w:val="000000" w:themeColor="text1"/>
          <w:lang w:val="en-GB"/>
        </w:rPr>
        <w:t>These</w:t>
      </w:r>
      <w:r w:rsidRPr="00F90ADE">
        <w:rPr>
          <w:color w:val="000000" w:themeColor="text1"/>
          <w:lang w:val="en-GB"/>
        </w:rPr>
        <w:t xml:space="preserve"> results indicate that producing a magneti</w:t>
      </w:r>
      <w:r w:rsidR="00F77872" w:rsidRPr="00F90ADE">
        <w:rPr>
          <w:color w:val="000000" w:themeColor="text1"/>
          <w:lang w:val="en-GB"/>
        </w:rPr>
        <w:t>c</w:t>
      </w:r>
      <w:r w:rsidRPr="00F90ADE">
        <w:rPr>
          <w:color w:val="000000" w:themeColor="text1"/>
          <w:lang w:val="en-GB"/>
        </w:rPr>
        <w:t xml:space="preserve"> hydrogel from native potato peel is </w:t>
      </w:r>
      <w:r w:rsidR="0045430C" w:rsidRPr="00F90ADE">
        <w:rPr>
          <w:color w:val="000000" w:themeColor="text1"/>
          <w:lang w:val="en-GB"/>
        </w:rPr>
        <w:t>potentially hazardous</w:t>
      </w:r>
      <w:r w:rsidR="004D1A00" w:rsidRPr="00F90ADE">
        <w:rPr>
          <w:color w:val="000000" w:themeColor="text1"/>
          <w:lang w:val="en-GB"/>
        </w:rPr>
        <w:t xml:space="preserve"> and </w:t>
      </w:r>
      <w:r w:rsidR="00D3414B" w:rsidRPr="00F90ADE">
        <w:rPr>
          <w:color w:val="000000" w:themeColor="text1"/>
          <w:lang w:val="en-GB"/>
        </w:rPr>
        <w:t>highlight areas for improvement in industrial-scale-up</w:t>
      </w:r>
      <w:r w:rsidRPr="00F90ADE">
        <w:rPr>
          <w:color w:val="000000" w:themeColor="text1"/>
          <w:lang w:val="en-GB"/>
        </w:rPr>
        <w:t>.</w:t>
      </w:r>
    </w:p>
    <w:p w14:paraId="476B2F2E" w14:textId="77777777" w:rsidR="00600535" w:rsidRPr="00F90ADE" w:rsidRDefault="00600535" w:rsidP="00600535">
      <w:pPr>
        <w:pStyle w:val="CETHeading1"/>
        <w:rPr>
          <w:color w:val="000000" w:themeColor="text1"/>
          <w:lang w:val="en-GB"/>
        </w:rPr>
      </w:pPr>
      <w:r w:rsidRPr="00F90ADE">
        <w:rPr>
          <w:color w:val="000000" w:themeColor="text1"/>
          <w:lang w:val="en-GB"/>
        </w:rPr>
        <w:t>Introduction</w:t>
      </w:r>
    </w:p>
    <w:p w14:paraId="23F86FEF" w14:textId="4EE3F140" w:rsidR="00600535" w:rsidRPr="00F90ADE" w:rsidRDefault="00B85EFC" w:rsidP="00600535">
      <w:pPr>
        <w:pStyle w:val="CETBodytext"/>
        <w:rPr>
          <w:color w:val="000000" w:themeColor="text1"/>
          <w:lang w:val="en-GB"/>
        </w:rPr>
      </w:pPr>
      <w:r w:rsidRPr="00F90ADE">
        <w:rPr>
          <w:color w:val="000000" w:themeColor="text1"/>
          <w:lang w:val="en-GB"/>
        </w:rPr>
        <w:t xml:space="preserve">The </w:t>
      </w:r>
      <w:proofErr w:type="spellStart"/>
      <w:r w:rsidRPr="00F90ADE">
        <w:rPr>
          <w:color w:val="000000" w:themeColor="text1"/>
          <w:lang w:val="en-GB"/>
        </w:rPr>
        <w:t>valorization</w:t>
      </w:r>
      <w:proofErr w:type="spellEnd"/>
      <w:r w:rsidRPr="00F90ADE">
        <w:rPr>
          <w:color w:val="000000" w:themeColor="text1"/>
          <w:lang w:val="en-GB"/>
        </w:rPr>
        <w:t xml:space="preserve"> of </w:t>
      </w:r>
      <w:proofErr w:type="spellStart"/>
      <w:r w:rsidRPr="00F90ADE">
        <w:rPr>
          <w:color w:val="000000" w:themeColor="text1"/>
          <w:lang w:val="en-GB"/>
        </w:rPr>
        <w:t>agro</w:t>
      </w:r>
      <w:proofErr w:type="spellEnd"/>
      <w:r w:rsidRPr="00F90ADE">
        <w:rPr>
          <w:color w:val="000000" w:themeColor="text1"/>
          <w:lang w:val="en-GB"/>
        </w:rPr>
        <w:t>-industrial waste through process expansion or the creation of new product-system pathways is a well-established approach within the circular economy, especially when this waste contains biopolymers such as starch. In this context, starch-based hydrogels have garnered attention due to their availability, relatively low cost, and versatility for contaminant adsorption and controlled-release applications</w:t>
      </w:r>
      <w:r w:rsidR="005867FF" w:rsidRPr="00F90ADE">
        <w:rPr>
          <w:color w:val="000000" w:themeColor="text1"/>
          <w:lang w:val="en-GB"/>
        </w:rPr>
        <w:t xml:space="preserve"> </w:t>
      </w:r>
      <w:r w:rsidR="005867FF" w:rsidRPr="00F90ADE">
        <w:rPr>
          <w:color w:val="000000" w:themeColor="text1"/>
          <w:lang w:val="en-GB"/>
        </w:rPr>
        <w:fldChar w:fldCharType="begin" w:fldLock="1"/>
      </w:r>
      <w:r w:rsidR="007D2082" w:rsidRPr="00F90ADE">
        <w:rPr>
          <w:color w:val="000000" w:themeColor="text1"/>
          <w:lang w:val="en-GB"/>
        </w:rPr>
        <w:instrText>ADDIN CSL_CITATION {"citationItems":[{"id":"ITEM-1","itemData":{"DOI":"10.1155/2016/9867859","ISSN":"1687-9430","abstract":"Several kinds of acrylic-acid-grafted-starch (starch/AAc) hydrogels were prepared at room temperature (27°C) by applying 5, 10, 15, 20, and 25 kGy of gamma radiation to 15% AAc aqueous solutions containing 5, 7.5, and 15% of starch. With increment of the radiation dose, gel fraction became higher and attained the maximum (96.5%) at 15 kGy, above which the fraction got lowered. On the other hand, the gel fraction monotonically increased with the starch content. Swelling ratios were lower for the starch/AAc hydrogels prepared with higher gamma-ray doses and so with larger starch contents. Significant promotions of the swelling ratios were demonstrated by hydrolysis with NaOH: 13632 ± 10 % for 15 kGy radiation-dosed [5% starch/15% AAc] hydrogel, while the maximum swelling ratio was 200% for those without the treatment. The authors further investigated the availability of the starch/AAc hydrogel as an adsorbent recovering dye waste from the industrial effluents by adopting methylene blue as a model material; the hydrogels showed high dye-capturing coefficients which increase with the starch ratio. The optimum dye adsorption was found to be 576 mg per g of the hydrogel having 7.5 starch and 15% AAc composition. Two kinetic models, (i) pseudo-first-order and (ii) pseudo-second-order kinetic models, were applied to test the experimental data. The latter provided the best correlation of the experimental data compared to the pseudo-first-order model.","author":[{"dropping-particle":"","family":"Bhuyan","given":"Md Murshed","non-dropping-particle":"","parse-names":false,"suffix":""},{"dropping-particle":"","family":"Dafader","given":"Nirmal Chandra","non-dropping-particle":"","parse-names":false,"suffix":""},{"dropping-particle":"","family":"Hara","given":"Kazuhiro","non-dropping-particle":"","parse-names":false,"suffix":""},{"dropping-particle":"","family":"Okabe","given":"Hirotaka","non-dropping-particle":"","parse-names":false,"suffix":""},{"dropping-particle":"","family":"Hidaka","given":"Yoshiki","non-dropping-particle":"","parse-names":false,"suffix":""},{"dropping-particle":"","family":"Rahman","given":"Md Mizanur","non-dropping-particle":"","parse-names":false,"suffix":""},{"dropping-particle":"","family":"Khan","given":"Mohammad Mizanur Rahman","non-dropping-particle":"","parse-names":false,"suffix":""},{"dropping-particle":"","family":"Rahman","given":"Nazia","non-dropping-particle":"","parse-names":false,"suffix":""}],"container-title":"International Journal of Polymer Science","id":"ITEM-1","issue":"1","issued":{"date-parts":[["2016","1","1"]]},"page":"9867859","publisher":"John Wiley &amp; Sons, Ltd","title":"Synthesis of Potato Starch-Acrylic-Acid Hydrogels by Gamma Radiation and Their Application in Dye Adsorption","type":"article-journal","volume":"2016"},"uris":["http://www.mendeley.com/documents/?uuid=736bf821-f221-34f3-97d2-b06ff7a7baf8"]}],"mendeley":{"formattedCitation":"(Bhuyan et al., 2016)","plainTextFormattedCitation":"(Bhuyan et al., 2016)","previouslyFormattedCitation":"(Bhuyan et al., 2016)"},"properties":{"noteIndex":0},"schema":"https://github.com/citation-style-language/schema/raw/master/csl-citation.json"}</w:instrText>
      </w:r>
      <w:r w:rsidR="005867FF" w:rsidRPr="00F90ADE">
        <w:rPr>
          <w:color w:val="000000" w:themeColor="text1"/>
          <w:lang w:val="en-GB"/>
        </w:rPr>
        <w:fldChar w:fldCharType="separate"/>
      </w:r>
      <w:r w:rsidR="005867FF" w:rsidRPr="00F90ADE">
        <w:rPr>
          <w:noProof/>
          <w:color w:val="000000" w:themeColor="text1"/>
          <w:lang w:val="en-GB"/>
        </w:rPr>
        <w:t>(Bhuyan et al., 2016)</w:t>
      </w:r>
      <w:r w:rsidR="005867FF" w:rsidRPr="00F90ADE">
        <w:rPr>
          <w:color w:val="000000" w:themeColor="text1"/>
          <w:lang w:val="en-GB"/>
        </w:rPr>
        <w:fldChar w:fldCharType="end"/>
      </w:r>
      <w:r w:rsidRPr="00F90ADE">
        <w:rPr>
          <w:color w:val="000000" w:themeColor="text1"/>
          <w:lang w:val="en-GB"/>
        </w:rPr>
        <w:t xml:space="preserve">. This study focuses </w:t>
      </w:r>
      <w:r w:rsidR="00C21903" w:rsidRPr="00F90ADE">
        <w:rPr>
          <w:color w:val="000000" w:themeColor="text1"/>
          <w:lang w:val="en-GB"/>
        </w:rPr>
        <w:t xml:space="preserve">on starch derived from the peel of a native Peruvian potato, which has demonstrated promising economic performance at </w:t>
      </w:r>
      <w:r w:rsidRPr="00F90ADE">
        <w:rPr>
          <w:color w:val="000000" w:themeColor="text1"/>
          <w:lang w:val="en-GB"/>
        </w:rPr>
        <w:t xml:space="preserve">large scale when functionalized with magnetite for easy recovery and reuse </w:t>
      </w:r>
      <w:r w:rsidRPr="00F90ADE">
        <w:rPr>
          <w:color w:val="000000" w:themeColor="text1"/>
          <w:lang w:val="en-GB"/>
        </w:rPr>
        <w:fldChar w:fldCharType="begin" w:fldLock="1"/>
      </w:r>
      <w:r w:rsidRPr="00F90ADE">
        <w:rPr>
          <w:color w:val="000000" w:themeColor="text1"/>
          <w:lang w:val="en-GB"/>
        </w:rPr>
        <w:instrText>ADDIN CSL_CITATION {"citationItems":[{"id":"ITEM-1","itemData":{"DOI":"10.3390/SCI7040181/S1","ISSN":"24134155","abstract":"We conducted a techno-economic feasibility study and assessed the FP2O resilience of an industrial plant producing magnetized hydrogels from Peruvian Amarilla Reyna potato starch. The process includes alkaline pretreatment, grafting with acrylic acid, crosslinking with N, N′-methylenebisacrylamide, and in situ magnetization via Fe3O4 coprecipitation. A total of 12 techno-economic and three financial indicators were analyzed. At the base scale, the total capital investment was 49.78 MMUSD, with raw materials accounting for 92.4% of costs. The economic analysis indicates a payback period of 2.13 years, an IRR of 34.52%, and an NPV of 25.38 MMUSD. The break-even point is at 4760.84 USD/t, with 32.15% capacity utilization, demonstrating operational flexibility to handle demand variations or planned shutdowns. Compared to published techno-economic assessments of lignin- and chitosan-based hydrogels, which involve total capital investments of 236–1248 MMUSD and payback periods in the 6–30-year range, this scheme requires less capital investment and a payback period three to ten times shorter, underscoring its economic competitiveness on an industrial scale.","author":[{"dropping-particle":"","family":"Alviz-Meza","given":"Anibal","non-dropping-particle":"","parse-names":false,"suffix":""},{"dropping-particle":"","family":"Carranza-Oropeza","given":"María Verónica","non-dropping-particle":"","parse-names":false,"suffix":""},{"dropping-particle":"","family":"González-Delgado","given":"Ángel Darío","non-dropping-particle":"","parse-names":false,"suffix":""}],"container-title":"Sci","id":"ITEM-1","issue":"4","issued":{"date-parts":[["2025","12","1"]]},"page":"181","publisher":"Multidisciplinary Digital Publishing Institute (MDPI)","title":"Techno-Economic Assessment and FP2O Technical–Economic Resilience Study of Peruvian Starch-Based Magnetized Hydrogels at Large Scale","type":"article-journal","volume":"7"},"uris":["http://www.mendeley.com/documents/?uuid=6e42a338-23ee-38c0-b441-1990200f5428"]}],"mendeley":{"formattedCitation":"(Alviz-Meza et al., 2025)","plainTextFormattedCitation":"(Alviz-Meza et al., 2025)","previouslyFormattedCitation":"(Alviz-Meza et al., 2025)"},"properties":{"noteIndex":0},"schema":"https://github.com/citation-style-language/schema/raw/master/csl-citation.json"}</w:instrText>
      </w:r>
      <w:r w:rsidRPr="00F90ADE">
        <w:rPr>
          <w:color w:val="000000" w:themeColor="text1"/>
          <w:lang w:val="en-GB"/>
        </w:rPr>
        <w:fldChar w:fldCharType="separate"/>
      </w:r>
      <w:r w:rsidRPr="00F90ADE">
        <w:rPr>
          <w:noProof/>
          <w:color w:val="000000" w:themeColor="text1"/>
          <w:lang w:val="en-GB"/>
        </w:rPr>
        <w:t>(Alviz-Meza et al., 2025)</w:t>
      </w:r>
      <w:r w:rsidRPr="00F90ADE">
        <w:rPr>
          <w:color w:val="000000" w:themeColor="text1"/>
          <w:lang w:val="en-GB"/>
        </w:rPr>
        <w:fldChar w:fldCharType="end"/>
      </w:r>
      <w:r w:rsidRPr="00F90ADE">
        <w:rPr>
          <w:color w:val="000000" w:themeColor="text1"/>
          <w:lang w:val="en-GB"/>
        </w:rPr>
        <w:t>.</w:t>
      </w:r>
      <w:r w:rsidR="005867FF" w:rsidRPr="00F90ADE">
        <w:rPr>
          <w:color w:val="000000" w:themeColor="text1"/>
          <w:lang w:val="en-GB"/>
        </w:rPr>
        <w:t xml:space="preserve"> However, when scaling up the production of these biomaterials from laboratory synthesis to industry, a frequently </w:t>
      </w:r>
      <w:r w:rsidR="00C21903" w:rsidRPr="00F90ADE">
        <w:rPr>
          <w:color w:val="000000" w:themeColor="text1"/>
          <w:lang w:val="en-GB"/>
        </w:rPr>
        <w:t xml:space="preserve">overlooked component emerges </w:t>
      </w:r>
      <w:r w:rsidR="00DB64CA" w:rsidRPr="00F90ADE">
        <w:rPr>
          <w:color w:val="000000" w:themeColor="text1"/>
          <w:lang w:val="en-GB"/>
        </w:rPr>
        <w:t>—</w:t>
      </w:r>
      <w:r w:rsidR="005867FF" w:rsidRPr="00F90ADE">
        <w:rPr>
          <w:color w:val="000000" w:themeColor="text1"/>
          <w:lang w:val="en-GB"/>
        </w:rPr>
        <w:t>the safety of the processes.</w:t>
      </w:r>
    </w:p>
    <w:p w14:paraId="6206993F" w14:textId="45B0BD9F" w:rsidR="005867FF" w:rsidRPr="00F90ADE" w:rsidRDefault="007D2082" w:rsidP="00600535">
      <w:pPr>
        <w:pStyle w:val="CETBodytext"/>
        <w:rPr>
          <w:color w:val="000000" w:themeColor="text1"/>
          <w:lang w:val="en-GB"/>
        </w:rPr>
      </w:pPr>
      <w:r w:rsidRPr="00F90ADE">
        <w:rPr>
          <w:color w:val="000000" w:themeColor="text1"/>
          <w:lang w:val="en-GB"/>
        </w:rPr>
        <w:t>The manufacture of hydrogels involves various reagents and conditions that can directly and indirectly affect process safety and the well-being of personnel involved. For example, the use of acrylic acid and radical polymerization introduces hazards associated with reactivity and exothermicity, potential self-acceleration</w:t>
      </w:r>
      <w:r w:rsidR="00C21903" w:rsidRPr="00F90ADE">
        <w:rPr>
          <w:color w:val="000000" w:themeColor="text1"/>
          <w:lang w:val="en-GB"/>
        </w:rPr>
        <w:t xml:space="preserve">, heat generation, fire, and/or explosion </w:t>
      </w:r>
      <w:r w:rsidRPr="00F90ADE">
        <w:rPr>
          <w:color w:val="000000" w:themeColor="text1"/>
          <w:lang w:val="en-GB"/>
        </w:rPr>
        <w:fldChar w:fldCharType="begin" w:fldLock="1"/>
      </w:r>
      <w:r w:rsidR="00A877E3" w:rsidRPr="00F90ADE">
        <w:rPr>
          <w:color w:val="000000" w:themeColor="text1"/>
          <w:lang w:val="en-GB"/>
        </w:rPr>
        <w:instrText>ADDIN CSL_CITATION {"citationItems":[{"id":"ITEM-1","itemData":{"DOI":"10.3390/PR13051607","ISSN":"2227-9717","abstract":"This study analyzes the risks posed by high-temperature summer conditions to atmospheric storage tanks containing acrylic acid and proposes mitigation measures. Recent increases in heat waves and tropical nights have led to an increase in the temperatures of acrylic acid storage tanks. This temperature increase results in higher vapor pressure and promotes spontaneous polymerization, thereby increasing the risk of explosions in atmospheric storage tanks. Hazard and operability (HAZOP) analysis identified explosions due to pressure buildup as a major risk scenario. To mitigate this risk, a spray-tower system was introduced through a layer of protection analysis (LOPA), which effectively reduced the hazards associated with atmospheric storage tanks. Additionally, the removal of flame-arrester replacement operations not only achieves economic benefits, such as reduced replacement costs and labor time, but also enhances safety by eliminating worker exposure to hazardous chemicals. These findings have significant implications for improving safety at industrial sites and highlight the potential economic benefits of preventing chemical accidents.","author":[{"dropping-particle":"","family":"Jeong","given":"Gabgi","non-dropping-particle":"","parse-names":false,"suffix":""},{"dropping-particle":"","family":"Nam","given":"Minseo","non-dropping-particle":"","parse-names":false,"suffix":""},{"dropping-particle":"","family":"Kim","given":"Jaeyoung","non-dropping-particle":"","parse-names":false,"suffix":""},{"dropping-particle":"","family":"Yoo","given":"Byung Tae","non-dropping-particle":"","parse-names":false,"suffix":""}],"container-title":"Processes 2025, Vol. 13, Page 1607","id":"ITEM-1","issue":"5","issued":{"date-parts":[["2025","5","21"]]},"page":"1607","publisher":"Multidisciplinary Digital Publishing Institute","title":"Study on Risk Mitigation Measures for Atmospheric Storage Tank of Acrylic Acid Due to Abnormal Weather Conditions","type":"article-journal","volume":"13"},"uris":["http://www.mendeley.com/documents/?uuid=3fd59145-defa-30e3-af0a-d46d77622098"]}],"mendeley":{"formattedCitation":"(Jeong et al., 2025)","plainTextFormattedCitation":"(Jeong et al., 2025)","previouslyFormattedCitation":"(Jeong et al., 2025)"},"properties":{"noteIndex":0},"schema":"https://github.com/citation-style-language/schema/raw/master/csl-citation.json"}</w:instrText>
      </w:r>
      <w:r w:rsidRPr="00F90ADE">
        <w:rPr>
          <w:color w:val="000000" w:themeColor="text1"/>
          <w:lang w:val="en-GB"/>
        </w:rPr>
        <w:fldChar w:fldCharType="separate"/>
      </w:r>
      <w:r w:rsidRPr="00F90ADE">
        <w:rPr>
          <w:noProof/>
          <w:color w:val="000000" w:themeColor="text1"/>
          <w:lang w:val="en-GB"/>
        </w:rPr>
        <w:t>(Jeong et al., 2025)</w:t>
      </w:r>
      <w:r w:rsidRPr="00F90ADE">
        <w:rPr>
          <w:color w:val="000000" w:themeColor="text1"/>
          <w:lang w:val="en-GB"/>
        </w:rPr>
        <w:fldChar w:fldCharType="end"/>
      </w:r>
      <w:r w:rsidRPr="00F90ADE">
        <w:rPr>
          <w:color w:val="000000" w:themeColor="text1"/>
          <w:lang w:val="en-GB"/>
        </w:rPr>
        <w:t>. Furthermore, magnetization of Fe</w:t>
      </w:r>
      <w:r w:rsidRPr="00F90ADE">
        <w:rPr>
          <w:rFonts w:ascii="Cambria Math" w:hAnsi="Cambria Math" w:cs="Cambria Math"/>
          <w:color w:val="000000" w:themeColor="text1"/>
          <w:vertAlign w:val="subscript"/>
          <w:lang w:val="en-GB"/>
        </w:rPr>
        <w:t>3</w:t>
      </w:r>
      <w:r w:rsidRPr="00F90ADE">
        <w:rPr>
          <w:color w:val="000000" w:themeColor="text1"/>
          <w:lang w:val="en-GB"/>
        </w:rPr>
        <w:t>O</w:t>
      </w:r>
      <w:r w:rsidRPr="00F90ADE">
        <w:rPr>
          <w:rFonts w:ascii="Cambria Math" w:hAnsi="Cambria Math" w:cs="Cambria Math"/>
          <w:color w:val="000000" w:themeColor="text1"/>
          <w:vertAlign w:val="subscript"/>
          <w:lang w:val="en-GB"/>
        </w:rPr>
        <w:t>4</w:t>
      </w:r>
      <w:r w:rsidRPr="00F90ADE">
        <w:rPr>
          <w:rFonts w:ascii="Cambria Math" w:hAnsi="Cambria Math" w:cs="Cambria Math"/>
          <w:color w:val="000000" w:themeColor="text1"/>
          <w:lang w:val="en-GB"/>
        </w:rPr>
        <w:t>-</w:t>
      </w:r>
      <w:r w:rsidRPr="00F90ADE">
        <w:rPr>
          <w:color w:val="000000" w:themeColor="text1"/>
          <w:lang w:val="en-GB"/>
        </w:rPr>
        <w:t>containing hydrogels typically requires iron salts (Fe</w:t>
      </w:r>
      <w:r w:rsidRPr="00F90ADE">
        <w:rPr>
          <w:color w:val="000000" w:themeColor="text1"/>
          <w:vertAlign w:val="superscript"/>
          <w:lang w:val="en-GB"/>
        </w:rPr>
        <w:t>+2</w:t>
      </w:r>
      <w:r w:rsidRPr="00F90ADE">
        <w:rPr>
          <w:color w:val="000000" w:themeColor="text1"/>
          <w:lang w:val="en-GB"/>
        </w:rPr>
        <w:t>/Fe</w:t>
      </w:r>
      <w:r w:rsidRPr="00F90ADE">
        <w:rPr>
          <w:color w:val="000000" w:themeColor="text1"/>
          <w:vertAlign w:val="superscript"/>
          <w:lang w:val="en-GB"/>
        </w:rPr>
        <w:t>+3</w:t>
      </w:r>
      <w:r w:rsidRPr="00F90ADE">
        <w:rPr>
          <w:color w:val="000000" w:themeColor="text1"/>
          <w:lang w:val="en-GB"/>
        </w:rPr>
        <w:t xml:space="preserve">) and strong bases, which pose </w:t>
      </w:r>
      <w:r w:rsidR="00FC1F55" w:rsidRPr="00F90ADE">
        <w:rPr>
          <w:color w:val="000000" w:themeColor="text1"/>
          <w:lang w:val="en-GB"/>
        </w:rPr>
        <w:t>additional</w:t>
      </w:r>
      <w:r w:rsidRPr="00F90ADE">
        <w:rPr>
          <w:color w:val="000000" w:themeColor="text1"/>
          <w:lang w:val="en-GB"/>
        </w:rPr>
        <w:t xml:space="preserve"> hazards, including corrosiveness and heat generation.</w:t>
      </w:r>
      <w:r w:rsidR="00FC1F55" w:rsidRPr="00F90ADE">
        <w:rPr>
          <w:color w:val="000000" w:themeColor="text1"/>
          <w:lang w:val="en-GB"/>
        </w:rPr>
        <w:t xml:space="preserve"> Within this framework of industrial process engineering, one of the most proactive approaches is the Inherent Safety Index (ISI), whose quantitative methodology enables comparison of process design and scaling alternatives. The ISI separates chemical contributions—intrinsic hazards of substances and reactivity—from process contributions—inventories, operating conditions, equipment, and complexity—</w:t>
      </w:r>
      <w:r w:rsidR="00732CCB" w:rsidRPr="00F90ADE">
        <w:rPr>
          <w:color w:val="000000" w:themeColor="text1"/>
          <w:lang w:val="en-GB"/>
        </w:rPr>
        <w:t>thereby enabling the comparison of process alternatives using</w:t>
      </w:r>
      <w:r w:rsidR="00FC1F55" w:rsidRPr="00F90ADE">
        <w:rPr>
          <w:color w:val="000000" w:themeColor="text1"/>
          <w:lang w:val="en-GB"/>
        </w:rPr>
        <w:t xml:space="preserve"> preliminary information</w:t>
      </w:r>
      <w:r w:rsidR="00F270DC" w:rsidRPr="00F90ADE">
        <w:rPr>
          <w:color w:val="000000" w:themeColor="text1"/>
          <w:lang w:val="en-GB"/>
        </w:rPr>
        <w:t xml:space="preserve"> </w:t>
      </w:r>
      <w:r w:rsidR="00F270DC" w:rsidRPr="00F90ADE">
        <w:rPr>
          <w:color w:val="000000" w:themeColor="text1"/>
          <w:lang w:val="en-GB"/>
        </w:rPr>
        <w:fldChar w:fldCharType="begin" w:fldLock="1"/>
      </w:r>
      <w:r w:rsidR="00F270DC" w:rsidRPr="00F90ADE">
        <w:rPr>
          <w:color w:val="000000" w:themeColor="text1"/>
          <w:lang w:val="en-GB"/>
        </w:rPr>
        <w:instrText>ADDIN CSL_CITATION {"citationItems":[{"id":"ITEM-1","itemData":{"DOI":"10.1016/j.jclepro.2021.127154","ISSN":"09596526","abstract":"Since the inception of inherent safety in the 1970s, impressive progress has been made in using it to shape Friendlier Chemical Processes (FCP) which are largely characterized by proactive and simultaneous augmentation in safety, health, environment, and economic performance. However, a comprehensive survey on its temporal accomplishments over the past four decades is yet to be presented. Especially, the methodologies, typical implementation frameworks, and selection guidelines for the numerous Inherent Safety Metrics (ISMs) remain to be further elucidated. In this context, this work investigates the development spectrum of inherent safety with a primary focus on the ISMs in chemical processes. Firstly, the basic cognition for inherent safety is encapsulated from its origin, early development, principles, implementation stages, and benefits. Subsequently, its current practice for creating FCP is highlighted via synthesizing the implementation spectrum of Inherently Safer Design (ISD), ISMs and selection guidelines, and cost metrics. Meanwhile, the prominent industrial applications in the offshore industry, nuclear industry, dust explosion prevention, and risk-based safety interventions are also presented. Finally, some findings based future research recommendations are concluded as the way forward. In general, this work presents a complete picture of the most concerning contents of inherent safety, which is expected to help researchers and practitioners majoring in chemical process safety to gain a better and faster understanding on its concept and efficacy for shaping FCP.","author":[{"dropping-particle":"","family":"Gao","given":"Xiaoming","non-dropping-particle":"","parse-names":false,"suffix":""},{"dropping-particle":"","family":"Abdul Raman","given":"Abdul Aziz","non-dropping-particle":"","parse-names":false,"suffix":""},{"dropping-particle":"","family":"Hizaddin","given":"Hanee F.","non-dropping-particle":"","parse-names":false,"suffix":""},{"dropping-particle":"","family":"Bello","given":"Mustapha M.","non-dropping-particle":"","parse-names":false,"suffix":""},{"dropping-particle":"","family":"Buthiyappan","given":"Archina","non-dropping-particle":"","parse-names":false,"suffix":""}],"container-title":"Journal of Cleaner Production","id":"ITEM-1","issued":{"date-parts":[["2021","7","10"]]},"publisher":"Elsevier Ltd","title":"Review on the Inherently Safer Design for chemical processes: Past, present and future","type":"article-journal","volume":"305"},"uris":["http://www.mendeley.com/documents/?uuid=26993441-86b6-36fb-b1b8-7759b26f970c"]}],"mendeley":{"formattedCitation":"(Gao et al., 2021)","plainTextFormattedCitation":"(Gao et al., 2021)","previouslyFormattedCitation":"(Gao et al., 2021)"},"properties":{"noteIndex":0},"schema":"https://github.com/citation-style-language/schema/raw/master/csl-citation.json"}</w:instrText>
      </w:r>
      <w:r w:rsidR="00F270DC" w:rsidRPr="00F90ADE">
        <w:rPr>
          <w:color w:val="000000" w:themeColor="text1"/>
          <w:lang w:val="en-GB"/>
        </w:rPr>
        <w:fldChar w:fldCharType="separate"/>
      </w:r>
      <w:r w:rsidR="00F270DC" w:rsidRPr="00F90ADE">
        <w:rPr>
          <w:noProof/>
          <w:color w:val="000000" w:themeColor="text1"/>
          <w:lang w:val="en-GB"/>
        </w:rPr>
        <w:t xml:space="preserve">(Gao et al., </w:t>
      </w:r>
      <w:r w:rsidR="00F270DC" w:rsidRPr="00F90ADE">
        <w:rPr>
          <w:noProof/>
          <w:color w:val="000000" w:themeColor="text1"/>
          <w:lang w:val="en-GB"/>
        </w:rPr>
        <w:lastRenderedPageBreak/>
        <w:t>2021)</w:t>
      </w:r>
      <w:r w:rsidR="00F270DC" w:rsidRPr="00F90ADE">
        <w:rPr>
          <w:color w:val="000000" w:themeColor="text1"/>
          <w:lang w:val="en-GB"/>
        </w:rPr>
        <w:fldChar w:fldCharType="end"/>
      </w:r>
      <w:r w:rsidR="00FC1F55" w:rsidRPr="00F90ADE">
        <w:rPr>
          <w:color w:val="000000" w:themeColor="text1"/>
          <w:lang w:val="en-GB"/>
        </w:rPr>
        <w:t>. In parallel, computational tools and frameworks have applied and extended the inherent safety logic to industrial cases, reinforcing the conceptual maturity of the approach</w:t>
      </w:r>
      <w:r w:rsidR="00F270DC" w:rsidRPr="00F90ADE">
        <w:rPr>
          <w:color w:val="000000" w:themeColor="text1"/>
          <w:lang w:val="en-GB"/>
        </w:rPr>
        <w:t xml:space="preserve"> </w:t>
      </w:r>
      <w:r w:rsidR="00F270DC" w:rsidRPr="00F90ADE">
        <w:rPr>
          <w:color w:val="000000" w:themeColor="text1"/>
          <w:lang w:val="en-GB"/>
        </w:rPr>
        <w:fldChar w:fldCharType="begin" w:fldLock="1"/>
      </w:r>
      <w:r w:rsidR="009739BA" w:rsidRPr="00F90ADE">
        <w:rPr>
          <w:color w:val="000000" w:themeColor="text1"/>
          <w:lang w:val="en-GB"/>
        </w:rPr>
        <w:instrText>ADDIN CSL_CITATION {"citationItems":[{"id":"ITEM-1","itemData":{"DOI":"10.1021/IE0201765","ISSN":"08885885","abstract":"In part 1 of this series, we proposed a systematic methodology for inherent safety analysis during the process route selection stage. In this part, we present the methodology for inherent safety analysis during the flowsheet development stage. An expert system, called iSafe, that implements the methodology has also been developed. One key benefit of automation is substantial reduction in the time and effort required to perform safety analysis. The architecture of iSafe is described and illustrated using an acrylic acid process case study.","author":[{"dropping-particle":"","family":"Palaniappan","given":"Chidambaram","non-dropping-particle":"","parse-names":false,"suffix":""},{"dropping-particle":"","family":"Srinivasan","given":"Rajagopalan","non-dropping-particle":"","parse-names":false,"suffix":""},{"dropping-particle":"","family":"Tan","given":"Reginald B.","non-dropping-particle":"","parse-names":false,"suffix":""}],"container-title":"Industrial and Engineering Chemistry Research","id":"ITEM-1","issue":"26","issued":{"date-parts":[["2002","12","25"]]},"page":"6711-6722","publisher":" American Chemical Society ","title":"Expert System for the Design of Inherently Safer Processes. 2. Flowsheet Development Stage","type":"article-journal","volume":"41"},"uris":["http://www.mendeley.com/documents/?uuid=85c16b81-9189-3002-8871-c5a5c9e0d7a4"]}],"mendeley":{"formattedCitation":"(Palaniappan et al., 2002)","plainTextFormattedCitation":"(Palaniappan et al., 2002)","previouslyFormattedCitation":"(Palaniappan et al., 2002)"},"properties":{"noteIndex":0},"schema":"https://github.com/citation-style-language/schema/raw/master/csl-citation.json"}</w:instrText>
      </w:r>
      <w:r w:rsidR="00F270DC" w:rsidRPr="00F90ADE">
        <w:rPr>
          <w:color w:val="000000" w:themeColor="text1"/>
          <w:lang w:val="en-GB"/>
        </w:rPr>
        <w:fldChar w:fldCharType="separate"/>
      </w:r>
      <w:r w:rsidR="00F270DC" w:rsidRPr="00F90ADE">
        <w:rPr>
          <w:noProof/>
          <w:color w:val="000000" w:themeColor="text1"/>
          <w:lang w:val="en-GB"/>
        </w:rPr>
        <w:t>(Palaniappan et al., 2002)</w:t>
      </w:r>
      <w:r w:rsidR="00F270DC" w:rsidRPr="00F90ADE">
        <w:rPr>
          <w:color w:val="000000" w:themeColor="text1"/>
          <w:lang w:val="en-GB"/>
        </w:rPr>
        <w:fldChar w:fldCharType="end"/>
      </w:r>
      <w:r w:rsidR="00FC1F55" w:rsidRPr="00F90ADE">
        <w:rPr>
          <w:color w:val="000000" w:themeColor="text1"/>
          <w:lang w:val="en-GB"/>
        </w:rPr>
        <w:t>.</w:t>
      </w:r>
    </w:p>
    <w:p w14:paraId="2B429823" w14:textId="35D842CF" w:rsidR="00C94916" w:rsidRPr="00F90ADE" w:rsidRDefault="00C94916" w:rsidP="00600535">
      <w:pPr>
        <w:pStyle w:val="CETBodytext"/>
        <w:rPr>
          <w:color w:val="000000" w:themeColor="text1"/>
          <w:lang w:val="en-GB"/>
        </w:rPr>
      </w:pPr>
      <w:r w:rsidRPr="00F90ADE">
        <w:rPr>
          <w:color w:val="000000" w:themeColor="text1"/>
          <w:lang w:val="en-GB"/>
        </w:rPr>
        <w:t xml:space="preserve">In this regard, the scientific literature </w:t>
      </w:r>
      <w:r w:rsidR="009739BA" w:rsidRPr="00F90ADE">
        <w:rPr>
          <w:color w:val="000000" w:themeColor="text1"/>
          <w:lang w:val="en-GB"/>
        </w:rPr>
        <w:t xml:space="preserve">includes ISI analyses of biomaterials, such as chitosan </w:t>
      </w:r>
      <w:r w:rsidR="00B23F5B" w:rsidRPr="00F90ADE">
        <w:rPr>
          <w:color w:val="000000" w:themeColor="text1"/>
          <w:lang w:val="en-GB"/>
        </w:rPr>
        <w:t xml:space="preserve">and chitosan </w:t>
      </w:r>
      <w:r w:rsidR="009739BA" w:rsidRPr="00F90ADE">
        <w:rPr>
          <w:color w:val="000000" w:themeColor="text1"/>
          <w:lang w:val="en-GB"/>
        </w:rPr>
        <w:t>microbead production, identifying risks related to toxicity and flammability (</w:t>
      </w:r>
      <w:proofErr w:type="spellStart"/>
      <w:r w:rsidR="009739BA" w:rsidRPr="00F90ADE">
        <w:rPr>
          <w:color w:val="000000" w:themeColor="text1"/>
          <w:lang w:val="en-GB"/>
        </w:rPr>
        <w:t>Meramo</w:t>
      </w:r>
      <w:proofErr w:type="spellEnd"/>
      <w:r w:rsidR="009739BA" w:rsidRPr="00F90ADE">
        <w:rPr>
          <w:color w:val="000000" w:themeColor="text1"/>
          <w:lang w:val="en-GB"/>
        </w:rPr>
        <w:t>-Hurtado et al., 2021),</w:t>
      </w:r>
      <w:r w:rsidRPr="00F90ADE">
        <w:rPr>
          <w:color w:val="000000" w:themeColor="text1"/>
          <w:lang w:val="en-GB"/>
        </w:rPr>
        <w:t xml:space="preserve"> and</w:t>
      </w:r>
      <w:r w:rsidR="00B23F5B" w:rsidRPr="00F90ADE">
        <w:rPr>
          <w:color w:val="000000" w:themeColor="text1"/>
          <w:lang w:val="en-GB"/>
        </w:rPr>
        <w:t xml:space="preserve"> to </w:t>
      </w:r>
      <w:r w:rsidR="009739BA" w:rsidRPr="00F90ADE">
        <w:rPr>
          <w:color w:val="000000" w:themeColor="text1"/>
          <w:lang w:val="en-GB"/>
        </w:rPr>
        <w:t>acids/bases, solvents, inventories, and operating conditions</w:t>
      </w:r>
      <w:r w:rsidR="00B23F5B" w:rsidRPr="00F90ADE">
        <w:rPr>
          <w:color w:val="000000" w:themeColor="text1"/>
          <w:lang w:val="en-GB"/>
        </w:rPr>
        <w:t xml:space="preserve"> </w:t>
      </w:r>
      <w:r w:rsidR="00B23F5B" w:rsidRPr="00F90ADE">
        <w:rPr>
          <w:color w:val="000000" w:themeColor="text1"/>
          <w:lang w:val="en-GB"/>
        </w:rPr>
        <w:fldChar w:fldCharType="begin" w:fldLock="1"/>
      </w:r>
      <w:r w:rsidR="00802A58" w:rsidRPr="00F90ADE">
        <w:rPr>
          <w:color w:val="000000" w:themeColor="text1"/>
          <w:lang w:val="en-GB"/>
        </w:rPr>
        <w:instrText>ADDIN CSL_CITATION {"citationItems":[{"id":"ITEM-1","itemData":{"DOI":"10.3390/W13040553","ISSN":"2073-4441","abstract":"Waste valorization strategies are key to achieve more sustainable production within the shrimp industry. The crustacean exoskeletons can be potentially used to obtain value-added products such as chitosan. A comprehensive analysis including both safety and sustainability aspects of chitosan production from shrimp shells is presented in this study. The inherent safety analysis and sustainability evaluation was performed using the Inherent Safety Index (ISI) methodology and the Sustainable Weighted Return on Investment Metric (SWROIM), respectively. The process was designed for a processing capacity of 57,000 t/year. The return on investment (%ROI), potential environmental impact (PEI output), exergy efficiency, and the total inherent safety index (ITI) were used as indicators to evaluate process sustainability. The total inherent safety index was estimated at 25 indicating that the process is inherently unsafe. The main process risks were given by handling of flammable substances, reactivity, and inventory subindices. The overall sustainability evaluation showed a SWROIM of 36.33% indicating that the case study showed higher weighted performance compared to the return on investment metric of 18.08%.","author":[{"dropping-particle":"","family":"Zuorro","given":"Antonio","non-dropping-particle":"","parse-names":false,"suffix":""},{"dropping-particle":"","family":"Moreno-Sader","given":"Kariana Andrea","non-dropping-particle":"","parse-names":false,"suffix":""},{"dropping-particle":"","family":"González-Delgad","given":"Ángel Darío","non-dropping-particle":"","parse-names":false,"suffix":""}],"container-title":"Water 2021, Vol. 13, Page 553","id":"ITEM-1","issue":"4","issued":{"date-parts":[["2021","2","21"]]},"page":"553","publisher":"Multidisciplinary Digital Publishing Institute","title":"Inherent Safety Analysis and Sustainability Evaluation of Chitosan Production from Shrimp Exoskeleton in Colombia","type":"article-journal","volume":"13"},"uris":["http://www.mendeley.com/documents/?uuid=aaa6eb0f-9e10-3c9e-b243-d26d2e616076"]}],"mendeley":{"formattedCitation":"(Zuorro et al., 2021)","plainTextFormattedCitation":"(Zuorro et al., 2021)","previouslyFormattedCitation":"(Zuorro et al., 2021)"},"properties":{"noteIndex":0},"schema":"https://github.com/citation-style-language/schema/raw/master/csl-citation.json"}</w:instrText>
      </w:r>
      <w:r w:rsidR="00B23F5B" w:rsidRPr="00F90ADE">
        <w:rPr>
          <w:color w:val="000000" w:themeColor="text1"/>
          <w:lang w:val="en-GB"/>
        </w:rPr>
        <w:fldChar w:fldCharType="separate"/>
      </w:r>
      <w:r w:rsidR="00B23F5B" w:rsidRPr="00F90ADE">
        <w:rPr>
          <w:noProof/>
          <w:color w:val="000000" w:themeColor="text1"/>
          <w:lang w:val="en-GB"/>
        </w:rPr>
        <w:t>(Zuorro et al., 2021)</w:t>
      </w:r>
      <w:r w:rsidR="00B23F5B" w:rsidRPr="00F90ADE">
        <w:rPr>
          <w:color w:val="000000" w:themeColor="text1"/>
          <w:lang w:val="en-GB"/>
        </w:rPr>
        <w:fldChar w:fldCharType="end"/>
      </w:r>
      <w:r w:rsidR="00B23F5B" w:rsidRPr="00F90ADE">
        <w:rPr>
          <w:color w:val="000000" w:themeColor="text1"/>
          <w:lang w:val="en-GB"/>
        </w:rPr>
        <w:t>, respectively</w:t>
      </w:r>
      <w:r w:rsidR="009739BA" w:rsidRPr="00F90ADE">
        <w:rPr>
          <w:color w:val="000000" w:themeColor="text1"/>
          <w:lang w:val="en-GB"/>
        </w:rPr>
        <w:t>.</w:t>
      </w:r>
      <w:r w:rsidRPr="00F90ADE">
        <w:rPr>
          <w:color w:val="000000" w:themeColor="text1"/>
          <w:lang w:val="en-GB"/>
        </w:rPr>
        <w:t xml:space="preserve"> </w:t>
      </w:r>
      <w:r w:rsidR="009739BA" w:rsidRPr="00F90ADE">
        <w:rPr>
          <w:color w:val="000000" w:themeColor="text1"/>
          <w:lang w:val="en-GB"/>
        </w:rPr>
        <w:t xml:space="preserve">Other industrial polymerization processes </w:t>
      </w:r>
      <w:r w:rsidR="00FF600E" w:rsidRPr="00F90ADE">
        <w:rPr>
          <w:color w:val="000000" w:themeColor="text1"/>
          <w:lang w:val="en-GB"/>
        </w:rPr>
        <w:t>require special care due to exothermic reactions, temperature control, inventory management</w:t>
      </w:r>
      <w:r w:rsidR="009739BA" w:rsidRPr="00F90ADE">
        <w:rPr>
          <w:color w:val="000000" w:themeColor="text1"/>
          <w:lang w:val="en-GB"/>
        </w:rPr>
        <w:t xml:space="preserve">, operating pressures, and solvent handling </w:t>
      </w:r>
      <w:r w:rsidR="009739BA" w:rsidRPr="00F90ADE">
        <w:rPr>
          <w:color w:val="000000" w:themeColor="text1"/>
          <w:lang w:val="en-GB"/>
        </w:rPr>
        <w:fldChar w:fldCharType="begin" w:fldLock="1"/>
      </w:r>
      <w:r w:rsidR="00B23F5B" w:rsidRPr="00F90ADE">
        <w:rPr>
          <w:color w:val="000000" w:themeColor="text1"/>
          <w:lang w:val="en-GB"/>
        </w:rPr>
        <w:instrText>ADDIN CSL_CITATION {"citationItems":[{"id":"ITEM-1","itemData":{"DOI":"10.3390/CHEMENGINEERING7050076","ISSN":"2305-7084","abstract":"In this work, a safety assessment was carried out for the suspension polymerization method, known for the lack of studies about its sustainable performance and long history of chemical accidents. Therefore, a safety analysis was conducted using the inherent safety methodology to assess and determine the inherent risks of the poly(vinyl chloride) (PVC) suspension production process using computer-aided process engineering (CAPE). The indicators were calculated using data from safety databases and the specialized literature, considering downstream stages like vinyl chloride monomer (VCM) recovery, PVC purification and PVC drying. The obtained indicators revealed that the process has a negative performance regarding inherent safety, with a total inherent safety index of 30. The chemical inherent safety index had a value of 19, with the main chemical risk of the process being presented by the vinyl chloride monomer (with a value of 11), along with the risk of the exothermic reactions. The process safety index had a value of 15, highlighting the inventory as the primary concern of the process (with a value of 5), followed by the presence of unsafe equipment such as furnaces, burners, and dryers. The safety structure index had a score of 3, categorizing the process as probably risky, with the reaction and purification stages being more susceptible to accidents. Lastly, it is recommended to reduce the size of the process inventory and to substitute out unsafe process units.","author":[{"dropping-particle":"","family":"González-Delgado","given":"Ángel Darío","non-dropping-particle":"","parse-names":false,"suffix":""},{"dropping-particle":"","family":"Aguilar-Vásquez","given":"Eduardo","non-dropping-particle":"","parse-names":false,"suffix":""},{"dropping-particle":"","family":"Ramos-Olmos","given":"Miguel","non-dropping-particle":"","parse-names":false,"suffix":""}],"container-title":"ChemEngineering 2023, Vol. 7, Page 76","id":"ITEM-1","issue":"5","issued":{"date-parts":[["2023","8","24"]]},"page":"76","publisher":"Multidisciplinary Digital Publishing Institute","title":"Chemical and Process Inherent Safety Analysis of Large-Scale Suspension Poly(Vinyl Chloride) Production","type":"article-journal","volume":"7"},"uris":["http://www.mendeley.com/documents/?uuid=ec8970d9-f510-320f-9bf8-cfa88b6d191d"]}],"mendeley":{"formattedCitation":"(González-Delgado et al., 2023)","plainTextFormattedCitation":"(González-Delgado et al., 2023)","previouslyFormattedCitation":"(González-Delgado et al., 2023)"},"properties":{"noteIndex":0},"schema":"https://github.com/citation-style-language/schema/raw/master/csl-citation.json"}</w:instrText>
      </w:r>
      <w:r w:rsidR="009739BA" w:rsidRPr="00F90ADE">
        <w:rPr>
          <w:color w:val="000000" w:themeColor="text1"/>
          <w:lang w:val="en-GB"/>
        </w:rPr>
        <w:fldChar w:fldCharType="separate"/>
      </w:r>
      <w:r w:rsidR="009739BA" w:rsidRPr="00F90ADE">
        <w:rPr>
          <w:noProof/>
          <w:color w:val="000000" w:themeColor="text1"/>
          <w:lang w:val="en-GB"/>
        </w:rPr>
        <w:t>(González-Delgado et al., 2023)</w:t>
      </w:r>
      <w:r w:rsidR="009739BA" w:rsidRPr="00F90ADE">
        <w:rPr>
          <w:color w:val="000000" w:themeColor="text1"/>
          <w:lang w:val="en-GB"/>
        </w:rPr>
        <w:fldChar w:fldCharType="end"/>
      </w:r>
      <w:r w:rsidRPr="00F90ADE">
        <w:rPr>
          <w:color w:val="000000" w:themeColor="text1"/>
          <w:lang w:val="en-GB"/>
        </w:rPr>
        <w:t>. However, a critical gap remains regarding the integrated assessment of magnetized hydrogel production. Consequently, the novelty of this research lies in addressing this gap by determining the ISI for the synthesis route of magneti</w:t>
      </w:r>
      <w:r w:rsidR="00D57513" w:rsidRPr="00F90ADE">
        <w:rPr>
          <w:color w:val="000000" w:themeColor="text1"/>
          <w:lang w:val="en-GB"/>
        </w:rPr>
        <w:t>c</w:t>
      </w:r>
      <w:r w:rsidRPr="00F90ADE">
        <w:rPr>
          <w:color w:val="000000" w:themeColor="text1"/>
          <w:lang w:val="en-GB"/>
        </w:rPr>
        <w:t xml:space="preserve"> hydrogels using the peel of a native Peruvian potato. This </w:t>
      </w:r>
      <w:r w:rsidR="00C21903" w:rsidRPr="00F90ADE">
        <w:rPr>
          <w:color w:val="000000" w:themeColor="text1"/>
          <w:lang w:val="en-GB"/>
        </w:rPr>
        <w:t>enables, for the first time, the quantification of chemical or process risks associated with incorporating magnetic functionality into a biopolymer matrix</w:t>
      </w:r>
      <w:r w:rsidRPr="00F90ADE">
        <w:rPr>
          <w:color w:val="000000" w:themeColor="text1"/>
          <w:lang w:val="en-GB"/>
        </w:rPr>
        <w:t>. This, in turn, enables recommendations to ensure that this emerging process leads to intrinsically safe scenarios.</w:t>
      </w:r>
      <w:r w:rsidR="00D57513" w:rsidRPr="00F90ADE">
        <w:rPr>
          <w:color w:val="000000" w:themeColor="text1"/>
          <w:lang w:val="en-GB"/>
        </w:rPr>
        <w:t xml:space="preserve"> Finally, given the length of this format, the discussion of the results and their implications is addressed succinctly.</w:t>
      </w:r>
    </w:p>
    <w:p w14:paraId="5741900F" w14:textId="762B63A2" w:rsidR="00453E24" w:rsidRPr="00F90ADE" w:rsidRDefault="00FB596F" w:rsidP="00453E24">
      <w:pPr>
        <w:pStyle w:val="CETHeading1"/>
        <w:rPr>
          <w:color w:val="000000" w:themeColor="text1"/>
        </w:rPr>
      </w:pPr>
      <w:r w:rsidRPr="00F90ADE">
        <w:rPr>
          <w:color w:val="000000" w:themeColor="text1"/>
        </w:rPr>
        <w:t>Materials and methods</w:t>
      </w:r>
    </w:p>
    <w:p w14:paraId="09406386" w14:textId="266F621C" w:rsidR="00453E24" w:rsidRPr="00F90ADE" w:rsidRDefault="00FB596F" w:rsidP="00453E24">
      <w:pPr>
        <w:pStyle w:val="CETBodytext"/>
        <w:rPr>
          <w:color w:val="000000" w:themeColor="text1"/>
        </w:rPr>
      </w:pPr>
      <w:r w:rsidRPr="00F90ADE">
        <w:rPr>
          <w:color w:val="000000" w:themeColor="text1"/>
        </w:rPr>
        <w:t>This section comprises the process description and parameter definitions for the ISI analysis.</w:t>
      </w:r>
    </w:p>
    <w:p w14:paraId="0636B784" w14:textId="1E7BB17B" w:rsidR="00453E24" w:rsidRPr="00F90ADE" w:rsidRDefault="00FB596F" w:rsidP="00453E24">
      <w:pPr>
        <w:pStyle w:val="CETheadingx"/>
        <w:rPr>
          <w:color w:val="000000" w:themeColor="text1"/>
        </w:rPr>
      </w:pPr>
      <w:r w:rsidRPr="00F90ADE">
        <w:rPr>
          <w:color w:val="000000" w:themeColor="text1"/>
        </w:rPr>
        <w:t>Process description</w:t>
      </w:r>
    </w:p>
    <w:p w14:paraId="7C2B0064" w14:textId="3E802326" w:rsidR="00453E24" w:rsidRPr="00F90ADE" w:rsidRDefault="00802A58" w:rsidP="00453E24">
      <w:pPr>
        <w:pStyle w:val="CETBodytext"/>
        <w:rPr>
          <w:color w:val="000000" w:themeColor="text1"/>
        </w:rPr>
      </w:pPr>
      <w:r w:rsidRPr="00F90ADE">
        <w:rPr>
          <w:color w:val="000000" w:themeColor="text1"/>
        </w:rPr>
        <w:t xml:space="preserve">The described process is based on the work of Alviz-Meza et al. </w:t>
      </w:r>
      <w:r w:rsidRPr="00F90ADE">
        <w:rPr>
          <w:color w:val="000000" w:themeColor="text1"/>
        </w:rPr>
        <w:fldChar w:fldCharType="begin" w:fldLock="1"/>
      </w:r>
      <w:r w:rsidR="00FB1243" w:rsidRPr="00F90ADE">
        <w:rPr>
          <w:color w:val="000000" w:themeColor="text1"/>
        </w:rPr>
        <w:instrText>ADDIN CSL_CITATION {"citationItems":[{"id":"ITEM-1","itemData":{"DOI":"10.3390/SCI7040181/S1","ISSN":"24134155","abstract":"We conducted a techno-economic feasibility study and assessed the FP2O resilience of an industrial plant producing magnetized hydrogels from Peruvian Amarilla Reyna potato starch. The process includes alkaline pretreatment, grafting with acrylic acid, crosslinking with N, N′-methylenebisacrylamide, and in situ magnetization via Fe3O4 coprecipitation. A total of 12 techno-economic and three financial indicators were analyzed. At the base scale, the total capital investment was 49.78 MMUSD, with raw materials accounting for 92.4% of costs. The economic analysis indicates a payback period of 2.13 years, an IRR of 34.52%, and an NPV of 25.38 MMUSD. The break-even point is at 4760.84 USD/t, with 32.15% capacity utilization, demonstrating operational flexibility to handle demand variations or planned shutdowns. Compared to published techno-economic assessments of lignin- and chitosan-based hydrogels, which involve total capital investments of 236–1248 MMUSD and payback periods in the 6–30-year range, this scheme requires less capital investment and a payback period three to ten times shorter, underscoring its economic competitiveness on an industrial scale.","author":[{"dropping-particle":"","family":"Alviz-Meza","given":"Anibal","non-dropping-particle":"","parse-names":false,"suffix":""},{"dropping-particle":"","family":"Carranza-Oropeza","given":"María Verónica","non-dropping-particle":"","parse-names":false,"suffix":""},{"dropping-particle":"","family":"González-Delgado","given":"Ángel Darío","non-dropping-particle":"","parse-names":false,"suffix":""}],"container-title":"Sci","id":"ITEM-1","issue":"4","issued":{"date-parts":[["2025","12","1"]]},"page":"181","publisher":"Multidisciplinary Digital Publishing Institute (MDPI)","title":"Techno-Economic Assessment and FP2O Technical–Economic Resilience Study of Peruvian Starch-Based Magnetized Hydrogels at Large Scale","type":"article-journal","volume":"7"},"uris":["http://www.mendeley.com/documents/?uuid=6e42a338-23ee-38c0-b441-1990200f5428"]}],"mendeley":{"formattedCitation":"(Alviz-Meza et al., 2025)","manualFormatting":"(2025)","plainTextFormattedCitation":"(Alviz-Meza et al., 2025)","previouslyFormattedCitation":"(Alviz-Meza et al., 2025)"},"properties":{"noteIndex":0},"schema":"https://github.com/citation-style-language/schema/raw/master/csl-citation.json"}</w:instrText>
      </w:r>
      <w:r w:rsidRPr="00F90ADE">
        <w:rPr>
          <w:color w:val="000000" w:themeColor="text1"/>
        </w:rPr>
        <w:fldChar w:fldCharType="separate"/>
      </w:r>
      <w:r w:rsidRPr="00F90ADE">
        <w:rPr>
          <w:noProof/>
          <w:color w:val="000000" w:themeColor="text1"/>
        </w:rPr>
        <w:t>(2025)</w:t>
      </w:r>
      <w:r w:rsidRPr="00F90ADE">
        <w:rPr>
          <w:color w:val="000000" w:themeColor="text1"/>
        </w:rPr>
        <w:fldChar w:fldCharType="end"/>
      </w:r>
      <w:r w:rsidRPr="00F90ADE">
        <w:rPr>
          <w:color w:val="000000" w:themeColor="text1"/>
        </w:rPr>
        <w:t xml:space="preserve"> for the synthesis and magnetization of hydrogels from native Peruvian potato starch (</w:t>
      </w:r>
      <w:r w:rsidRPr="00F90ADE">
        <w:rPr>
          <w:i/>
          <w:iCs/>
          <w:color w:val="000000" w:themeColor="text1"/>
        </w:rPr>
        <w:t>Amarilla Reyna</w:t>
      </w:r>
      <w:r w:rsidRPr="00F90ADE">
        <w:rPr>
          <w:color w:val="000000" w:themeColor="text1"/>
        </w:rPr>
        <w:t>)</w:t>
      </w:r>
      <w:r w:rsidR="00BB6D32" w:rsidRPr="00F90ADE">
        <w:rPr>
          <w:color w:val="000000" w:themeColor="text1"/>
        </w:rPr>
        <w:t xml:space="preserve"> and its simulation in Aspen Plus V12.0 at an industrial scale</w:t>
      </w:r>
      <w:r w:rsidRPr="00F90ADE">
        <w:rPr>
          <w:color w:val="000000" w:themeColor="text1"/>
        </w:rPr>
        <w:t xml:space="preserve">. The starch is pretreated with NaOH in water to disrupt its </w:t>
      </w:r>
      <w:proofErr w:type="spellStart"/>
      <w:r w:rsidRPr="00F90ADE">
        <w:rPr>
          <w:color w:val="000000" w:themeColor="text1"/>
        </w:rPr>
        <w:t>semicrystalline</w:t>
      </w:r>
      <w:proofErr w:type="spellEnd"/>
      <w:r w:rsidRPr="00F90ADE">
        <w:rPr>
          <w:color w:val="000000" w:themeColor="text1"/>
        </w:rPr>
        <w:t xml:space="preserve"> structure and to expose and/or ionize hydroxyl groups under standard conditions. Polyacrylic acid (PAA) is then grafted onto the starch using acrylic acid (AA) as the monomer and ammonium persulfate (APS) as the initiator, under an inert N</w:t>
      </w:r>
      <w:r w:rsidRPr="00F90ADE">
        <w:rPr>
          <w:rFonts w:ascii="Cambria Math" w:hAnsi="Cambria Math" w:cs="Cambria Math"/>
          <w:color w:val="000000" w:themeColor="text1"/>
        </w:rPr>
        <w:t>₂</w:t>
      </w:r>
      <w:r w:rsidRPr="00F90ADE">
        <w:rPr>
          <w:color w:val="000000" w:themeColor="text1"/>
        </w:rPr>
        <w:t xml:space="preserve"> atmosphere at 65 </w:t>
      </w:r>
      <w:r w:rsidRPr="00F90ADE">
        <w:rPr>
          <w:rFonts w:cs="Arial"/>
          <w:color w:val="000000" w:themeColor="text1"/>
        </w:rPr>
        <w:t>°</w:t>
      </w:r>
      <w:r w:rsidRPr="00F90ADE">
        <w:rPr>
          <w:color w:val="000000" w:themeColor="text1"/>
        </w:rPr>
        <w:t xml:space="preserve">C. Subsequently, crosslinking is performed </w:t>
      </w:r>
      <w:r w:rsidR="00C21903" w:rsidRPr="00F90ADE">
        <w:rPr>
          <w:color w:val="000000" w:themeColor="text1"/>
        </w:rPr>
        <w:t>using MBA (N, N′-</w:t>
      </w:r>
      <w:proofErr w:type="spellStart"/>
      <w:r w:rsidR="00C21903" w:rsidRPr="00F90ADE">
        <w:rPr>
          <w:color w:val="000000" w:themeColor="text1"/>
        </w:rPr>
        <w:t>Methylenebisacrylamide</w:t>
      </w:r>
      <w:proofErr w:type="spellEnd"/>
      <w:r w:rsidR="00C21903" w:rsidRPr="00F90ADE">
        <w:rPr>
          <w:color w:val="000000" w:themeColor="text1"/>
        </w:rPr>
        <w:t>) to form the 3D network</w:t>
      </w:r>
      <w:r w:rsidRPr="00F90ADE">
        <w:rPr>
          <w:color w:val="000000" w:themeColor="text1"/>
        </w:rPr>
        <w:t xml:space="preserve"> at 65 </w:t>
      </w:r>
      <w:r w:rsidRPr="00F90ADE">
        <w:rPr>
          <w:rFonts w:cs="Arial"/>
          <w:color w:val="000000" w:themeColor="text1"/>
        </w:rPr>
        <w:t>°</w:t>
      </w:r>
      <w:r w:rsidRPr="00F90ADE">
        <w:rPr>
          <w:color w:val="000000" w:themeColor="text1"/>
        </w:rPr>
        <w:t xml:space="preserve">C. The mixture is then thermally conditioned at 70 °C. </w:t>
      </w:r>
      <w:r w:rsidR="00C21903" w:rsidRPr="00F90ADE">
        <w:rPr>
          <w:color w:val="000000" w:themeColor="text1"/>
        </w:rPr>
        <w:t xml:space="preserve">To facilitate purification, distilled water is added to remove impurities, and the mixture is then </w:t>
      </w:r>
      <w:r w:rsidRPr="00F90ADE">
        <w:rPr>
          <w:color w:val="000000" w:themeColor="text1"/>
        </w:rPr>
        <w:t xml:space="preserve">filtered. Ethanol is then added, and the mixture is dried (50 °C + filtration), yielding the non-magnetized hydrogel. In situ magnetization is </w:t>
      </w:r>
      <w:r w:rsidR="00C21903" w:rsidRPr="00F90ADE">
        <w:rPr>
          <w:color w:val="000000" w:themeColor="text1"/>
        </w:rPr>
        <w:t xml:space="preserve">achieved by magnetite coprecipitation: the dry hydrogel is mixed with </w:t>
      </w:r>
      <w:proofErr w:type="spellStart"/>
      <w:r w:rsidR="00C21903" w:rsidRPr="00F90ADE">
        <w:rPr>
          <w:color w:val="000000" w:themeColor="text1"/>
        </w:rPr>
        <w:t>FeCl</w:t>
      </w:r>
      <w:proofErr w:type="spellEnd"/>
      <w:r w:rsidR="00C21903" w:rsidRPr="00F90ADE">
        <w:rPr>
          <w:rFonts w:ascii="Cambria Math" w:hAnsi="Cambria Math" w:cs="Cambria Math"/>
          <w:color w:val="000000" w:themeColor="text1"/>
        </w:rPr>
        <w:t>₃</w:t>
      </w:r>
      <w:r w:rsidR="00C21903" w:rsidRPr="00F90ADE">
        <w:rPr>
          <w:rFonts w:cs="Arial"/>
          <w:color w:val="000000" w:themeColor="text1"/>
        </w:rPr>
        <w:t>·</w:t>
      </w:r>
      <w:r w:rsidR="00C21903" w:rsidRPr="00F90ADE">
        <w:rPr>
          <w:color w:val="000000" w:themeColor="text1"/>
        </w:rPr>
        <w:t>6H</w:t>
      </w:r>
      <w:r w:rsidR="00C21903" w:rsidRPr="00F90ADE">
        <w:rPr>
          <w:rFonts w:ascii="Cambria Math" w:hAnsi="Cambria Math" w:cs="Cambria Math"/>
          <w:color w:val="000000" w:themeColor="text1"/>
        </w:rPr>
        <w:t>₂</w:t>
      </w:r>
      <w:r w:rsidR="00C21903" w:rsidRPr="00F90ADE">
        <w:rPr>
          <w:color w:val="000000" w:themeColor="text1"/>
        </w:rPr>
        <w:t xml:space="preserve">O and </w:t>
      </w:r>
      <w:proofErr w:type="spellStart"/>
      <w:r w:rsidR="00C21903" w:rsidRPr="00F90ADE">
        <w:rPr>
          <w:color w:val="000000" w:themeColor="text1"/>
        </w:rPr>
        <w:t>FeSO</w:t>
      </w:r>
      <w:proofErr w:type="spellEnd"/>
      <w:r w:rsidR="00C21903" w:rsidRPr="00F90ADE">
        <w:rPr>
          <w:rFonts w:ascii="Cambria Math" w:hAnsi="Cambria Math" w:cs="Cambria Math"/>
          <w:color w:val="000000" w:themeColor="text1"/>
        </w:rPr>
        <w:t>₄</w:t>
      </w:r>
      <w:r w:rsidR="00C21903" w:rsidRPr="00F90ADE">
        <w:rPr>
          <w:rFonts w:cs="Arial"/>
          <w:color w:val="000000" w:themeColor="text1"/>
        </w:rPr>
        <w:t>·</w:t>
      </w:r>
      <w:r w:rsidR="00C21903" w:rsidRPr="00F90ADE">
        <w:rPr>
          <w:color w:val="000000" w:themeColor="text1"/>
        </w:rPr>
        <w:t>7H</w:t>
      </w:r>
      <w:r w:rsidR="00C21903" w:rsidRPr="00F90ADE">
        <w:rPr>
          <w:rFonts w:ascii="Cambria Math" w:hAnsi="Cambria Math" w:cs="Cambria Math"/>
          <w:color w:val="000000" w:themeColor="text1"/>
        </w:rPr>
        <w:t>₂</w:t>
      </w:r>
      <w:r w:rsidR="00C21903" w:rsidRPr="00F90ADE">
        <w:rPr>
          <w:color w:val="000000" w:themeColor="text1"/>
        </w:rPr>
        <w:t>O (2:1) in N</w:t>
      </w:r>
      <w:r w:rsidR="00C21903" w:rsidRPr="00F90ADE">
        <w:rPr>
          <w:rFonts w:ascii="Cambria Math" w:hAnsi="Cambria Math" w:cs="Cambria Math"/>
          <w:color w:val="000000" w:themeColor="text1"/>
        </w:rPr>
        <w:t>₂</w:t>
      </w:r>
      <w:r w:rsidR="00C21903" w:rsidRPr="00F90ADE">
        <w:rPr>
          <w:color w:val="000000" w:themeColor="text1"/>
        </w:rPr>
        <w:t>-saturated water at a precursor-to-hydrogel ratio of 4:1</w:t>
      </w:r>
      <w:r w:rsidRPr="00F90ADE">
        <w:rPr>
          <w:color w:val="000000" w:themeColor="text1"/>
        </w:rPr>
        <w:t xml:space="preserve"> in a reactor at 80 </w:t>
      </w:r>
      <w:r w:rsidRPr="00F90ADE">
        <w:rPr>
          <w:rFonts w:cs="Arial"/>
          <w:color w:val="000000" w:themeColor="text1"/>
        </w:rPr>
        <w:t>°</w:t>
      </w:r>
      <w:r w:rsidRPr="00F90ADE">
        <w:rPr>
          <w:color w:val="000000" w:themeColor="text1"/>
        </w:rPr>
        <w:t>C and 1 atm. Then, 25% NH</w:t>
      </w:r>
      <w:r w:rsidRPr="00F90ADE">
        <w:rPr>
          <w:rFonts w:ascii="Cambria Math" w:hAnsi="Cambria Math" w:cs="Cambria Math"/>
          <w:color w:val="000000" w:themeColor="text1"/>
        </w:rPr>
        <w:t>₃</w:t>
      </w:r>
      <w:r w:rsidRPr="00F90ADE">
        <w:rPr>
          <w:color w:val="000000" w:themeColor="text1"/>
        </w:rPr>
        <w:t xml:space="preserve"> is added. The magnetized hydrogel is then separated from the supernatant magnetite and impurities by filtration with magnetic assistance, and finally dried</w:t>
      </w:r>
      <w:r w:rsidR="00453BD8" w:rsidRPr="00F90ADE">
        <w:rPr>
          <w:color w:val="000000" w:themeColor="text1"/>
        </w:rPr>
        <w:t xml:space="preserve"> (see Figure 1)</w:t>
      </w:r>
      <w:r w:rsidRPr="00F90ADE">
        <w:rPr>
          <w:color w:val="000000" w:themeColor="text1"/>
        </w:rPr>
        <w:t>.</w:t>
      </w:r>
    </w:p>
    <w:p w14:paraId="616EEF62" w14:textId="77777777" w:rsidR="0082797D" w:rsidRPr="00F90ADE" w:rsidRDefault="0082797D" w:rsidP="00453E24">
      <w:pPr>
        <w:pStyle w:val="CETBodytext"/>
        <w:rPr>
          <w:color w:val="000000" w:themeColor="text1"/>
        </w:rPr>
      </w:pPr>
    </w:p>
    <w:p w14:paraId="39EFF8EF" w14:textId="432C01B0" w:rsidR="0082797D" w:rsidRPr="00F90ADE" w:rsidRDefault="001F3EA6" w:rsidP="00453E24">
      <w:pPr>
        <w:pStyle w:val="CETBodytext"/>
        <w:rPr>
          <w:color w:val="000000" w:themeColor="text1"/>
        </w:rPr>
      </w:pPr>
      <w:r w:rsidRPr="00F90ADE">
        <w:rPr>
          <w:noProof/>
          <w:color w:val="000000" w:themeColor="text1"/>
        </w:rPr>
        <w:drawing>
          <wp:inline distT="0" distB="0" distL="0" distR="0" wp14:anchorId="7670F2E0" wp14:editId="77D96F66">
            <wp:extent cx="3809029" cy="181664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8012" cy="1863855"/>
                    </a:xfrm>
                    <a:prstGeom prst="rect">
                      <a:avLst/>
                    </a:prstGeom>
                    <a:noFill/>
                  </pic:spPr>
                </pic:pic>
              </a:graphicData>
            </a:graphic>
          </wp:inline>
        </w:drawing>
      </w:r>
    </w:p>
    <w:p w14:paraId="59EC8089" w14:textId="11BCEB80" w:rsidR="002C7470" w:rsidRPr="00F90ADE" w:rsidRDefault="002C7470" w:rsidP="002C7470">
      <w:pPr>
        <w:pStyle w:val="CETCaption"/>
        <w:rPr>
          <w:color w:val="000000" w:themeColor="text1"/>
        </w:rPr>
      </w:pPr>
      <w:r w:rsidRPr="00F90ADE">
        <w:rPr>
          <w:rStyle w:val="CETCaptionCarattere"/>
          <w:i/>
          <w:color w:val="000000" w:themeColor="text1"/>
        </w:rPr>
        <w:t xml:space="preserve">Figure 1: </w:t>
      </w:r>
      <w:r w:rsidRPr="00F90ADE">
        <w:rPr>
          <w:color w:val="000000" w:themeColor="text1"/>
        </w:rPr>
        <w:t>Scheme of the magneti</w:t>
      </w:r>
      <w:r w:rsidR="0084062A" w:rsidRPr="00F90ADE">
        <w:rPr>
          <w:color w:val="000000" w:themeColor="text1"/>
        </w:rPr>
        <w:t>c</w:t>
      </w:r>
      <w:r w:rsidRPr="00F90ADE">
        <w:rPr>
          <w:color w:val="000000" w:themeColor="text1"/>
        </w:rPr>
        <w:t xml:space="preserve"> hydrogel production process </w:t>
      </w:r>
    </w:p>
    <w:p w14:paraId="582642C6" w14:textId="08015273" w:rsidR="00453E24" w:rsidRPr="00F90ADE" w:rsidRDefault="00A41552" w:rsidP="005866DD">
      <w:pPr>
        <w:pStyle w:val="CETheadingx"/>
        <w:rPr>
          <w:color w:val="000000" w:themeColor="text1"/>
          <w:lang w:val="en-GB"/>
        </w:rPr>
      </w:pPr>
      <w:r w:rsidRPr="00F90ADE">
        <w:rPr>
          <w:color w:val="000000" w:themeColor="text1"/>
        </w:rPr>
        <w:t>Inherent Safety Analysis</w:t>
      </w:r>
    </w:p>
    <w:p w14:paraId="5AD1CF38" w14:textId="77777777" w:rsidR="007F3AA6" w:rsidRPr="00F90ADE" w:rsidRDefault="00594BCC" w:rsidP="007F3AA6">
      <w:pPr>
        <w:pStyle w:val="CETBodytext"/>
        <w:rPr>
          <w:color w:val="000000" w:themeColor="text1"/>
        </w:rPr>
      </w:pPr>
      <w:r w:rsidRPr="00F90ADE">
        <w:rPr>
          <w:color w:val="000000" w:themeColor="text1"/>
        </w:rPr>
        <w:t xml:space="preserve">This metric enables an objective comparison of design alternatives in the early stages of development. The ISI is calculated using Eq(1), where </w:t>
      </w:r>
      <w:r w:rsidRPr="00F90ADE">
        <w:rPr>
          <w:rFonts w:ascii="Cambria Math" w:eastAsia="Cambria Math" w:hAnsi="Cambria Math"/>
          <w:color w:val="000000" w:themeColor="text1"/>
        </w:rPr>
        <w:t>𝐼</w:t>
      </w:r>
      <w:r w:rsidRPr="00F90ADE">
        <w:rPr>
          <w:rFonts w:ascii="Cambria Math" w:eastAsia="Cambria Math" w:hAnsi="Cambria Math"/>
          <w:color w:val="000000" w:themeColor="text1"/>
          <w:vertAlign w:val="subscript"/>
        </w:rPr>
        <w:t>𝑐ℎ</w:t>
      </w:r>
      <w:r w:rsidRPr="00F90ADE">
        <w:rPr>
          <w:color w:val="000000" w:themeColor="text1"/>
        </w:rPr>
        <w:t xml:space="preserve"> represents the index associated with the chemical properties of the materials, including factors such as heat of reaction, toxicity, flammability, explosivity, and the possibility of unwanted reactions, while </w:t>
      </w:r>
      <w:r w:rsidRPr="00F90ADE">
        <w:rPr>
          <w:rFonts w:ascii="Cambria Math" w:eastAsia="Cambria Math" w:hAnsi="Cambria Math"/>
          <w:color w:val="000000" w:themeColor="text1"/>
          <w:spacing w:val="-5"/>
        </w:rPr>
        <w:t>𝐼</w:t>
      </w:r>
      <w:r w:rsidRPr="00F90ADE">
        <w:rPr>
          <w:rFonts w:ascii="Cambria Math" w:eastAsia="Cambria Math" w:hAnsi="Cambria Math"/>
          <w:color w:val="000000" w:themeColor="text1"/>
          <w:spacing w:val="-5"/>
          <w:vertAlign w:val="subscript"/>
        </w:rPr>
        <w:t>𝑝𝑠</w:t>
      </w:r>
      <w:r w:rsidRPr="00F90ADE">
        <w:rPr>
          <w:color w:val="000000" w:themeColor="text1"/>
        </w:rPr>
        <w:t xml:space="preserve"> evaluates the risks related to the design and operation of the process, considering parameters such as maximum temperature and pressure, the inventory of hazardous substances, the complexity of the system, and the degree of integration between operations.</w:t>
      </w:r>
      <w:r w:rsidR="003E07F1" w:rsidRPr="00F90ADE">
        <w:rPr>
          <w:color w:val="000000" w:themeColor="text1"/>
        </w:rPr>
        <w:t xml:space="preserve"> The Chemical Inherent Safety index (</w:t>
      </w:r>
      <w:r w:rsidR="003E07F1" w:rsidRPr="00F90ADE">
        <w:rPr>
          <w:rFonts w:ascii="Cambria Math" w:eastAsia="Cambria Math" w:hAnsi="Cambria Math"/>
          <w:color w:val="000000" w:themeColor="text1"/>
        </w:rPr>
        <w:t>𝐼</w:t>
      </w:r>
      <w:r w:rsidR="003E07F1" w:rsidRPr="00F90ADE">
        <w:rPr>
          <w:rFonts w:ascii="Cambria Math" w:eastAsia="Cambria Math" w:hAnsi="Cambria Math"/>
          <w:color w:val="000000" w:themeColor="text1"/>
          <w:vertAlign w:val="subscript"/>
        </w:rPr>
        <w:t>𝑐ℎ</w:t>
      </w:r>
      <w:r w:rsidR="003E07F1" w:rsidRPr="00F90ADE">
        <w:rPr>
          <w:color w:val="000000" w:themeColor="text1"/>
        </w:rPr>
        <w:t>) is determined from Eq(2) while the Process Safety Index (</w:t>
      </w:r>
      <w:r w:rsidR="003E07F1" w:rsidRPr="00F90ADE">
        <w:rPr>
          <w:rFonts w:ascii="Cambria Math" w:eastAsia="Cambria Math" w:hAnsi="Cambria Math"/>
          <w:color w:val="000000" w:themeColor="text1"/>
          <w:spacing w:val="-5"/>
        </w:rPr>
        <w:t>𝐼</w:t>
      </w:r>
      <w:r w:rsidR="003E07F1" w:rsidRPr="00F90ADE">
        <w:rPr>
          <w:rFonts w:ascii="Cambria Math" w:eastAsia="Cambria Math" w:hAnsi="Cambria Math"/>
          <w:color w:val="000000" w:themeColor="text1"/>
          <w:spacing w:val="-5"/>
          <w:vertAlign w:val="subscript"/>
        </w:rPr>
        <w:t>𝑝𝑠</w:t>
      </w:r>
      <w:r w:rsidR="003E07F1" w:rsidRPr="00F90ADE">
        <w:rPr>
          <w:color w:val="000000" w:themeColor="text1"/>
        </w:rPr>
        <w:t>) is determined from Eq. (3).</w:t>
      </w:r>
      <w:r w:rsidR="00287ACD" w:rsidRPr="00F90ADE">
        <w:rPr>
          <w:color w:val="000000" w:themeColor="text1"/>
        </w:rPr>
        <w:t xml:space="preserve"> In Eq(2), </w:t>
      </w:r>
      <w:r w:rsidR="00287ACD" w:rsidRPr="00F90ADE">
        <w:rPr>
          <w:rFonts w:ascii="Cambria Math" w:eastAsia="Cambria Math" w:hAnsi="Cambria Math"/>
          <w:color w:val="000000" w:themeColor="text1"/>
          <w:w w:val="110"/>
          <w:szCs w:val="18"/>
        </w:rPr>
        <w:t>𝐼</w:t>
      </w:r>
      <w:r w:rsidR="00287ACD" w:rsidRPr="00F90ADE">
        <w:rPr>
          <w:rFonts w:ascii="Cambria Math" w:eastAsia="Cambria Math" w:hAnsi="Cambria Math"/>
          <w:color w:val="000000" w:themeColor="text1"/>
          <w:w w:val="110"/>
          <w:position w:val="-4"/>
          <w:szCs w:val="18"/>
        </w:rPr>
        <w:t>𝑟s</w:t>
      </w:r>
      <w:r w:rsidR="00287ACD" w:rsidRPr="00F90ADE">
        <w:rPr>
          <w:rFonts w:ascii="Cambria Math" w:eastAsia="Cambria Math" w:hAnsi="Cambria Math"/>
          <w:color w:val="000000" w:themeColor="text1"/>
          <w:w w:val="110"/>
          <w:position w:val="-7"/>
          <w:szCs w:val="18"/>
        </w:rPr>
        <w:t>𝑚𝑎𝑥</w:t>
      </w:r>
      <w:r w:rsidR="00287ACD" w:rsidRPr="00F90ADE">
        <w:rPr>
          <w:color w:val="000000" w:themeColor="text1"/>
        </w:rPr>
        <w:t xml:space="preserve"> represents the main chemical reaction indicator, </w:t>
      </w:r>
      <w:r w:rsidR="00287ACD" w:rsidRPr="00F90ADE">
        <w:rPr>
          <w:rFonts w:ascii="Cambria Math" w:eastAsia="Cambria Math" w:hAnsi="Cambria Math"/>
          <w:color w:val="000000" w:themeColor="text1"/>
          <w:w w:val="110"/>
          <w:szCs w:val="18"/>
        </w:rPr>
        <w:t>𝐼</w:t>
      </w:r>
      <w:r w:rsidR="00287ACD" w:rsidRPr="00F90ADE">
        <w:rPr>
          <w:rFonts w:ascii="Cambria Math" w:eastAsia="Cambria Math" w:hAnsi="Cambria Math"/>
          <w:color w:val="000000" w:themeColor="text1"/>
          <w:w w:val="110"/>
          <w:position w:val="-4"/>
          <w:szCs w:val="18"/>
        </w:rPr>
        <w:t>𝑟s</w:t>
      </w:r>
      <w:r w:rsidR="00287ACD" w:rsidRPr="00F90ADE">
        <w:rPr>
          <w:rFonts w:ascii="Cambria Math" w:eastAsia="Cambria Math" w:hAnsi="Cambria Math"/>
          <w:color w:val="000000" w:themeColor="text1"/>
          <w:w w:val="110"/>
          <w:position w:val="-7"/>
          <w:szCs w:val="18"/>
        </w:rPr>
        <w:t>𝑚𝑎𝑥</w:t>
      </w:r>
      <w:r w:rsidR="00287ACD" w:rsidRPr="00F90ADE">
        <w:rPr>
          <w:color w:val="000000" w:themeColor="text1"/>
        </w:rPr>
        <w:t xml:space="preserve"> secondary chemical reaction, </w:t>
      </w:r>
      <w:r w:rsidR="00287ACD" w:rsidRPr="00F90ADE">
        <w:rPr>
          <w:rFonts w:ascii="Cambria Math" w:eastAsia="Cambria Math" w:hAnsi="Cambria Math"/>
          <w:color w:val="000000" w:themeColor="text1"/>
          <w:w w:val="110"/>
          <w:szCs w:val="18"/>
        </w:rPr>
        <w:t>𝐼</w:t>
      </w:r>
      <w:r w:rsidR="00287ACD" w:rsidRPr="00F90ADE">
        <w:rPr>
          <w:rFonts w:ascii="Cambria Math" w:eastAsia="Cambria Math" w:hAnsi="Cambria Math"/>
          <w:color w:val="000000" w:themeColor="text1"/>
          <w:w w:val="110"/>
          <w:position w:val="-4"/>
          <w:szCs w:val="18"/>
        </w:rPr>
        <w:t>𝑖𝑛𝑡</w:t>
      </w:r>
      <w:r w:rsidR="00287ACD" w:rsidRPr="00F90ADE">
        <w:rPr>
          <w:rFonts w:ascii="Cambria Math" w:eastAsia="Cambria Math" w:hAnsi="Cambria Math"/>
          <w:color w:val="000000" w:themeColor="text1"/>
          <w:w w:val="110"/>
          <w:position w:val="-7"/>
          <w:szCs w:val="18"/>
        </w:rPr>
        <w:t xml:space="preserve">𝑚𝑎𝑥 </w:t>
      </w:r>
      <w:r w:rsidR="00287ACD" w:rsidRPr="00F90ADE">
        <w:rPr>
          <w:color w:val="000000" w:themeColor="text1"/>
        </w:rPr>
        <w:lastRenderedPageBreak/>
        <w:t xml:space="preserve">chemical interaction, </w:t>
      </w:r>
      <w:r w:rsidR="00287ACD" w:rsidRPr="00F90ADE">
        <w:rPr>
          <w:rFonts w:ascii="Cambria Math" w:eastAsia="Cambria Math" w:hAnsi="Cambria Math"/>
          <w:color w:val="000000" w:themeColor="text1"/>
          <w:w w:val="110"/>
          <w:szCs w:val="18"/>
        </w:rPr>
        <w:t>(𝐼</w:t>
      </w:r>
      <w:r w:rsidR="00287ACD" w:rsidRPr="00F90ADE">
        <w:rPr>
          <w:rFonts w:ascii="Cambria Math" w:eastAsia="Cambria Math" w:hAnsi="Cambria Math"/>
          <w:color w:val="000000" w:themeColor="text1"/>
          <w:w w:val="110"/>
          <w:position w:val="-4"/>
          <w:szCs w:val="18"/>
        </w:rPr>
        <w:t>𝑓𝑙</w:t>
      </w:r>
      <w:r w:rsidR="00287ACD" w:rsidRPr="00F90ADE">
        <w:rPr>
          <w:rFonts w:ascii="Cambria Math" w:eastAsia="Cambria Math" w:hAnsi="Cambria Math"/>
          <w:color w:val="000000" w:themeColor="text1"/>
          <w:spacing w:val="61"/>
          <w:w w:val="110"/>
          <w:position w:val="-4"/>
          <w:szCs w:val="18"/>
        </w:rPr>
        <w:t xml:space="preserve"> </w:t>
      </w:r>
      <w:r w:rsidR="00287ACD" w:rsidRPr="00F90ADE">
        <w:rPr>
          <w:rFonts w:ascii="Cambria Math" w:eastAsia="Cambria Math" w:hAnsi="Cambria Math"/>
          <w:color w:val="000000" w:themeColor="text1"/>
          <w:w w:val="110"/>
          <w:szCs w:val="18"/>
        </w:rPr>
        <w:t>+</w:t>
      </w:r>
      <w:r w:rsidR="00287ACD" w:rsidRPr="00F90ADE">
        <w:rPr>
          <w:rFonts w:ascii="Cambria Math" w:eastAsia="Cambria Math" w:hAnsi="Cambria Math"/>
          <w:color w:val="000000" w:themeColor="text1"/>
          <w:spacing w:val="33"/>
          <w:w w:val="110"/>
          <w:szCs w:val="18"/>
        </w:rPr>
        <w:t xml:space="preserve"> </w:t>
      </w:r>
      <w:r w:rsidR="00287ACD" w:rsidRPr="00F90ADE">
        <w:rPr>
          <w:rFonts w:ascii="Cambria Math" w:eastAsia="Cambria Math" w:hAnsi="Cambria Math"/>
          <w:color w:val="000000" w:themeColor="text1"/>
          <w:w w:val="110"/>
          <w:szCs w:val="18"/>
        </w:rPr>
        <w:t>𝐼</w:t>
      </w:r>
      <w:r w:rsidR="00287ACD" w:rsidRPr="00F90ADE">
        <w:rPr>
          <w:rFonts w:ascii="Cambria Math" w:eastAsia="Cambria Math" w:hAnsi="Cambria Math"/>
          <w:color w:val="000000" w:themeColor="text1"/>
          <w:w w:val="110"/>
          <w:position w:val="-4"/>
          <w:szCs w:val="18"/>
        </w:rPr>
        <w:t>𝑒𝑥</w:t>
      </w:r>
      <w:r w:rsidR="00287ACD" w:rsidRPr="00F90ADE">
        <w:rPr>
          <w:rFonts w:ascii="Cambria Math" w:eastAsia="Cambria Math" w:hAnsi="Cambria Math"/>
          <w:color w:val="000000" w:themeColor="text1"/>
          <w:spacing w:val="61"/>
          <w:w w:val="110"/>
          <w:position w:val="-4"/>
          <w:szCs w:val="18"/>
        </w:rPr>
        <w:t xml:space="preserve"> </w:t>
      </w:r>
      <w:r w:rsidR="00287ACD" w:rsidRPr="00F90ADE">
        <w:rPr>
          <w:rFonts w:ascii="Cambria Math" w:eastAsia="Cambria Math" w:hAnsi="Cambria Math"/>
          <w:color w:val="000000" w:themeColor="text1"/>
          <w:w w:val="110"/>
          <w:szCs w:val="18"/>
        </w:rPr>
        <w:t>+</w:t>
      </w:r>
      <w:r w:rsidR="00287ACD" w:rsidRPr="00F90ADE">
        <w:rPr>
          <w:rFonts w:ascii="Cambria Math" w:eastAsia="Cambria Math" w:hAnsi="Cambria Math"/>
          <w:color w:val="000000" w:themeColor="text1"/>
          <w:spacing w:val="34"/>
          <w:w w:val="110"/>
          <w:szCs w:val="18"/>
        </w:rPr>
        <w:t xml:space="preserve"> </w:t>
      </w:r>
      <w:r w:rsidR="00287ACD" w:rsidRPr="00F90ADE">
        <w:rPr>
          <w:rFonts w:ascii="Cambria Math" w:eastAsia="Cambria Math" w:hAnsi="Cambria Math"/>
          <w:color w:val="000000" w:themeColor="text1"/>
          <w:w w:val="110"/>
          <w:szCs w:val="18"/>
        </w:rPr>
        <w:t>𝐼</w:t>
      </w:r>
      <w:r w:rsidR="00287ACD" w:rsidRPr="00F90ADE">
        <w:rPr>
          <w:rFonts w:ascii="Cambria Math" w:eastAsia="Cambria Math" w:hAnsi="Cambria Math"/>
          <w:color w:val="000000" w:themeColor="text1"/>
          <w:w w:val="110"/>
          <w:position w:val="-4"/>
          <w:szCs w:val="18"/>
        </w:rPr>
        <w:t>𝑡𝑜𝑥</w:t>
      </w:r>
      <w:r w:rsidR="00287ACD" w:rsidRPr="00F90ADE">
        <w:rPr>
          <w:rFonts w:ascii="Cambria Math" w:eastAsia="Cambria Math" w:hAnsi="Cambria Math"/>
          <w:color w:val="000000" w:themeColor="text1"/>
          <w:w w:val="110"/>
          <w:szCs w:val="18"/>
        </w:rPr>
        <w:t>)</w:t>
      </w:r>
      <w:r w:rsidR="00287ACD" w:rsidRPr="00F90ADE">
        <w:rPr>
          <w:rFonts w:ascii="Cambria Math" w:eastAsia="Cambria Math" w:hAnsi="Cambria Math"/>
          <w:color w:val="000000" w:themeColor="text1"/>
          <w:w w:val="110"/>
          <w:position w:val="-4"/>
          <w:szCs w:val="18"/>
        </w:rPr>
        <w:t>𝑚𝑎𝑥</w:t>
      </w:r>
      <w:r w:rsidR="00287ACD" w:rsidRPr="00F90ADE">
        <w:rPr>
          <w:rFonts w:ascii="Cambria Math" w:eastAsia="Cambria Math" w:hAnsi="Cambria Math"/>
          <w:color w:val="000000" w:themeColor="text1"/>
          <w:spacing w:val="61"/>
          <w:w w:val="110"/>
          <w:position w:val="-4"/>
          <w:szCs w:val="18"/>
        </w:rPr>
        <w:t xml:space="preserve"> </w:t>
      </w:r>
      <w:r w:rsidR="00287ACD" w:rsidRPr="00F90ADE">
        <w:rPr>
          <w:color w:val="000000" w:themeColor="text1"/>
        </w:rPr>
        <w:t xml:space="preserve">the maximum sum of flammability, explosiveness and toxicity of the substances and </w:t>
      </w:r>
      <w:r w:rsidR="00287ACD" w:rsidRPr="00F90ADE">
        <w:rPr>
          <w:rFonts w:ascii="Cambria Math" w:eastAsia="Cambria Math" w:hAnsi="Cambria Math"/>
          <w:color w:val="000000" w:themeColor="text1"/>
          <w:spacing w:val="-2"/>
          <w:w w:val="110"/>
          <w:szCs w:val="18"/>
        </w:rPr>
        <w:t>𝐼</w:t>
      </w:r>
      <w:r w:rsidR="00287ACD" w:rsidRPr="00F90ADE">
        <w:rPr>
          <w:rFonts w:ascii="Cambria Math" w:eastAsia="Cambria Math" w:hAnsi="Cambria Math"/>
          <w:color w:val="000000" w:themeColor="text1"/>
          <w:spacing w:val="-2"/>
          <w:w w:val="110"/>
          <w:position w:val="-4"/>
          <w:szCs w:val="18"/>
        </w:rPr>
        <w:t>𝑐𝑜𝑟</w:t>
      </w:r>
      <w:r w:rsidR="00287ACD" w:rsidRPr="00F90ADE">
        <w:rPr>
          <w:rFonts w:ascii="Cambria Math" w:eastAsia="Cambria Math" w:hAnsi="Cambria Math"/>
          <w:color w:val="000000" w:themeColor="text1"/>
          <w:spacing w:val="-2"/>
          <w:w w:val="110"/>
          <w:position w:val="-7"/>
          <w:szCs w:val="18"/>
        </w:rPr>
        <w:t>𝑚𝑎𝑥</w:t>
      </w:r>
      <w:r w:rsidR="00287ACD" w:rsidRPr="00F90ADE">
        <w:rPr>
          <w:color w:val="000000" w:themeColor="text1"/>
        </w:rPr>
        <w:t xml:space="preserve"> represents corrosivity. In Eq(3), </w:t>
      </w:r>
      <w:r w:rsidR="00287ACD" w:rsidRPr="00F90ADE">
        <w:rPr>
          <w:rFonts w:ascii="Cambria Math" w:eastAsia="Cambria Math"/>
          <w:color w:val="000000" w:themeColor="text1"/>
          <w:w w:val="105"/>
          <w:szCs w:val="18"/>
        </w:rPr>
        <w:t>𝐼</w:t>
      </w:r>
      <w:r w:rsidR="00287ACD" w:rsidRPr="00F90ADE">
        <w:rPr>
          <w:rFonts w:ascii="Cambria Math" w:eastAsia="Cambria Math"/>
          <w:color w:val="000000" w:themeColor="text1"/>
          <w:w w:val="105"/>
          <w:szCs w:val="18"/>
          <w:vertAlign w:val="subscript"/>
        </w:rPr>
        <w:t>𝐼</w:t>
      </w:r>
      <w:r w:rsidR="00287ACD" w:rsidRPr="00F90ADE">
        <w:rPr>
          <w:color w:val="000000" w:themeColor="text1"/>
        </w:rPr>
        <w:t xml:space="preserve"> represents the inventory indicator, </w:t>
      </w:r>
      <w:r w:rsidR="001865BD" w:rsidRPr="00F90ADE">
        <w:rPr>
          <w:rFonts w:ascii="Cambria Math" w:eastAsia="Cambria Math"/>
          <w:color w:val="000000" w:themeColor="text1"/>
          <w:w w:val="105"/>
          <w:szCs w:val="18"/>
        </w:rPr>
        <w:t>𝐼</w:t>
      </w:r>
      <w:r w:rsidR="001865BD" w:rsidRPr="00F90ADE">
        <w:rPr>
          <w:rFonts w:ascii="Cambria Math" w:eastAsia="Cambria Math"/>
          <w:color w:val="000000" w:themeColor="text1"/>
          <w:w w:val="105"/>
          <w:szCs w:val="18"/>
          <w:vertAlign w:val="subscript"/>
        </w:rPr>
        <w:t>𝑇</w:t>
      </w:r>
      <w:r w:rsidR="001865BD" w:rsidRPr="00F90ADE">
        <w:rPr>
          <w:rFonts w:ascii="Cambria Math" w:eastAsia="Cambria Math"/>
          <w:color w:val="000000" w:themeColor="text1"/>
          <w:w w:val="105"/>
          <w:position w:val="-7"/>
          <w:szCs w:val="18"/>
        </w:rPr>
        <w:t>𝑚𝑎𝑥</w:t>
      </w:r>
      <w:r w:rsidR="00287ACD" w:rsidRPr="00F90ADE">
        <w:rPr>
          <w:color w:val="000000" w:themeColor="text1"/>
        </w:rPr>
        <w:t xml:space="preserve"> maximum process temperature, </w:t>
      </w:r>
      <w:r w:rsidR="001865BD" w:rsidRPr="00F90ADE">
        <w:rPr>
          <w:rFonts w:ascii="Cambria Math" w:eastAsia="Cambria Math"/>
          <w:color w:val="000000" w:themeColor="text1"/>
          <w:w w:val="105"/>
          <w:szCs w:val="18"/>
        </w:rPr>
        <w:t>𝐼</w:t>
      </w:r>
      <w:r w:rsidR="001865BD" w:rsidRPr="00F90ADE">
        <w:rPr>
          <w:rFonts w:ascii="Cambria Math" w:eastAsia="Cambria Math"/>
          <w:color w:val="000000" w:themeColor="text1"/>
          <w:w w:val="105"/>
          <w:szCs w:val="18"/>
          <w:vertAlign w:val="subscript"/>
        </w:rPr>
        <w:t>𝑝</w:t>
      </w:r>
      <w:r w:rsidR="001865BD" w:rsidRPr="00F90ADE">
        <w:rPr>
          <w:rFonts w:ascii="Cambria Math" w:eastAsia="Cambria Math"/>
          <w:color w:val="000000" w:themeColor="text1"/>
          <w:w w:val="105"/>
          <w:position w:val="-7"/>
          <w:szCs w:val="18"/>
        </w:rPr>
        <w:t>𝑚𝑎𝑥</w:t>
      </w:r>
      <w:r w:rsidR="00287ACD" w:rsidRPr="00F90ADE">
        <w:rPr>
          <w:color w:val="000000" w:themeColor="text1"/>
        </w:rPr>
        <w:t xml:space="preserve"> maximum process pressure, </w:t>
      </w:r>
      <w:r w:rsidR="001865BD" w:rsidRPr="00F90ADE">
        <w:rPr>
          <w:rFonts w:ascii="Cambria Math" w:eastAsia="Cambria Math"/>
          <w:color w:val="000000" w:themeColor="text1"/>
          <w:w w:val="105"/>
          <w:szCs w:val="18"/>
        </w:rPr>
        <w:t>𝐼</w:t>
      </w:r>
      <w:r w:rsidR="001865BD" w:rsidRPr="00F90ADE">
        <w:rPr>
          <w:rFonts w:ascii="Cambria Math" w:eastAsia="Cambria Math"/>
          <w:color w:val="000000" w:themeColor="text1"/>
          <w:w w:val="105"/>
          <w:szCs w:val="18"/>
          <w:vertAlign w:val="subscript"/>
        </w:rPr>
        <w:t>𝐸𝑄</w:t>
      </w:r>
      <w:r w:rsidR="001865BD" w:rsidRPr="00F90ADE">
        <w:rPr>
          <w:rFonts w:ascii="Cambria Math" w:eastAsia="Cambria Math"/>
          <w:color w:val="000000" w:themeColor="text1"/>
          <w:w w:val="105"/>
          <w:position w:val="-7"/>
          <w:szCs w:val="18"/>
        </w:rPr>
        <w:t>𝑚𝑎𝑥</w:t>
      </w:r>
      <w:r w:rsidR="00287ACD" w:rsidRPr="00F90ADE">
        <w:rPr>
          <w:color w:val="000000" w:themeColor="text1"/>
        </w:rPr>
        <w:t xml:space="preserve"> equipment risk factor</w:t>
      </w:r>
      <w:r w:rsidR="001865BD" w:rsidRPr="00F90ADE">
        <w:rPr>
          <w:color w:val="000000" w:themeColor="text1"/>
        </w:rPr>
        <w:t>,</w:t>
      </w:r>
      <w:r w:rsidR="00287ACD" w:rsidRPr="00F90ADE">
        <w:rPr>
          <w:color w:val="000000" w:themeColor="text1"/>
        </w:rPr>
        <w:t xml:space="preserve"> and </w:t>
      </w:r>
      <w:r w:rsidR="001865BD" w:rsidRPr="00F90ADE">
        <w:rPr>
          <w:rFonts w:ascii="Cambria Math" w:eastAsia="Cambria Math"/>
          <w:color w:val="000000" w:themeColor="text1"/>
          <w:spacing w:val="-2"/>
          <w:w w:val="105"/>
          <w:szCs w:val="18"/>
        </w:rPr>
        <w:t>𝐼</w:t>
      </w:r>
      <w:r w:rsidR="001865BD" w:rsidRPr="00F90ADE">
        <w:rPr>
          <w:rFonts w:ascii="Cambria Math" w:eastAsia="Cambria Math"/>
          <w:color w:val="000000" w:themeColor="text1"/>
          <w:spacing w:val="-2"/>
          <w:w w:val="105"/>
          <w:szCs w:val="18"/>
          <w:vertAlign w:val="subscript"/>
        </w:rPr>
        <w:t>𝑆𝑇</w:t>
      </w:r>
      <w:r w:rsidR="001865BD" w:rsidRPr="00F90ADE">
        <w:rPr>
          <w:rFonts w:ascii="Cambria Math" w:eastAsia="Cambria Math"/>
          <w:color w:val="000000" w:themeColor="text1"/>
          <w:spacing w:val="-2"/>
          <w:w w:val="105"/>
          <w:position w:val="-7"/>
          <w:szCs w:val="18"/>
        </w:rPr>
        <w:t>𝑚𝑎𝑥</w:t>
      </w:r>
      <w:r w:rsidR="00287ACD" w:rsidRPr="00F90ADE">
        <w:rPr>
          <w:color w:val="000000" w:themeColor="text1"/>
        </w:rPr>
        <w:t xml:space="preserve"> safe process structure.</w:t>
      </w:r>
      <w:r w:rsidR="007F3AA6" w:rsidRPr="00F90ADE">
        <w:rPr>
          <w:color w:val="000000" w:themeColor="text1"/>
        </w:rPr>
        <w:t xml:space="preserve"> Each sub-index's value is assigned based on the specific weights outlined in Table 1.</w:t>
      </w:r>
    </w:p>
    <w:p w14:paraId="3212C7C2" w14:textId="77777777" w:rsidR="003E07F1" w:rsidRPr="00F90ADE" w:rsidRDefault="003E07F1" w:rsidP="003E07F1">
      <w:pPr>
        <w:pStyle w:val="CETBodytext"/>
        <w:rPr>
          <w:color w:val="000000" w:themeColor="text1"/>
        </w:rPr>
      </w:pPr>
    </w:p>
    <w:tbl>
      <w:tblPr>
        <w:tblW w:w="5000" w:type="pct"/>
        <w:tblLook w:val="04A0" w:firstRow="1" w:lastRow="0" w:firstColumn="1" w:lastColumn="0" w:noHBand="0" w:noVBand="1"/>
      </w:tblPr>
      <w:tblGrid>
        <w:gridCol w:w="7983"/>
        <w:gridCol w:w="804"/>
      </w:tblGrid>
      <w:tr w:rsidR="00F90ADE" w:rsidRPr="00F90ADE" w14:paraId="3009B4C3" w14:textId="77777777" w:rsidTr="009374C6">
        <w:tc>
          <w:tcPr>
            <w:tcW w:w="7983" w:type="dxa"/>
            <w:vAlign w:val="center"/>
          </w:tcPr>
          <w:p w14:paraId="4C1D3020" w14:textId="343E1BB6" w:rsidR="00594BCC" w:rsidRPr="00F90ADE" w:rsidRDefault="00594BCC" w:rsidP="00F23E60">
            <w:pPr>
              <w:pStyle w:val="CETEquation"/>
              <w:rPr>
                <w:color w:val="000000" w:themeColor="text1"/>
              </w:rPr>
            </w:pPr>
            <w:r w:rsidRPr="00F90ADE">
              <w:rPr>
                <w:rFonts w:ascii="Cambria Math" w:eastAsia="Cambria Math" w:hAnsi="Cambria Math"/>
                <w:color w:val="000000" w:themeColor="text1"/>
              </w:rPr>
              <w:t>𝐼𝑆𝐼</w:t>
            </w:r>
            <w:r w:rsidRPr="00F90ADE">
              <w:rPr>
                <w:rFonts w:ascii="Cambria Math" w:eastAsia="Cambria Math" w:hAnsi="Cambria Math"/>
                <w:color w:val="000000" w:themeColor="text1"/>
                <w:spacing w:val="78"/>
              </w:rPr>
              <w:t xml:space="preserve"> </w:t>
            </w:r>
            <w:r w:rsidRPr="00F90ADE">
              <w:rPr>
                <w:rFonts w:ascii="Cambria Math" w:eastAsia="Cambria Math" w:hAnsi="Cambria Math"/>
                <w:color w:val="000000" w:themeColor="text1"/>
              </w:rPr>
              <w:t>=</w:t>
            </w:r>
            <w:r w:rsidRPr="00F90ADE">
              <w:rPr>
                <w:rFonts w:ascii="Cambria Math" w:eastAsia="Cambria Math" w:hAnsi="Cambria Math"/>
                <w:color w:val="000000" w:themeColor="text1"/>
                <w:spacing w:val="68"/>
              </w:rPr>
              <w:t xml:space="preserve"> </w:t>
            </w:r>
            <w:r w:rsidRPr="00F90ADE">
              <w:rPr>
                <w:rFonts w:ascii="Cambria Math" w:eastAsia="Cambria Math" w:hAnsi="Cambria Math"/>
                <w:color w:val="000000" w:themeColor="text1"/>
              </w:rPr>
              <w:t>𝐼</w:t>
            </w:r>
            <w:r w:rsidRPr="00F90ADE">
              <w:rPr>
                <w:rFonts w:ascii="Cambria Math" w:eastAsia="Cambria Math" w:hAnsi="Cambria Math"/>
                <w:color w:val="000000" w:themeColor="text1"/>
                <w:vertAlign w:val="subscript"/>
              </w:rPr>
              <w:t>𝑐ℎ</w:t>
            </w:r>
            <w:r w:rsidRPr="00F90ADE">
              <w:rPr>
                <w:rFonts w:ascii="Cambria Math" w:eastAsia="Cambria Math" w:hAnsi="Cambria Math"/>
                <w:color w:val="000000" w:themeColor="text1"/>
                <w:spacing w:val="17"/>
              </w:rPr>
              <w:t xml:space="preserve"> </w:t>
            </w:r>
            <w:r w:rsidRPr="00F90ADE">
              <w:rPr>
                <w:rFonts w:ascii="Cambria Math" w:eastAsia="Cambria Math" w:hAnsi="Cambria Math"/>
                <w:color w:val="000000" w:themeColor="text1"/>
              </w:rPr>
              <w:t>+</w:t>
            </w:r>
            <w:r w:rsidRPr="00F90ADE">
              <w:rPr>
                <w:rFonts w:ascii="Cambria Math" w:eastAsia="Cambria Math" w:hAnsi="Cambria Math"/>
                <w:color w:val="000000" w:themeColor="text1"/>
                <w:spacing w:val="2"/>
              </w:rPr>
              <w:t xml:space="preserve"> </w:t>
            </w:r>
            <w:r w:rsidRPr="00F90ADE">
              <w:rPr>
                <w:rFonts w:ascii="Cambria Math" w:eastAsia="Cambria Math" w:hAnsi="Cambria Math"/>
                <w:color w:val="000000" w:themeColor="text1"/>
                <w:spacing w:val="-5"/>
              </w:rPr>
              <w:t>𝐼</w:t>
            </w:r>
            <w:r w:rsidRPr="00F90ADE">
              <w:rPr>
                <w:rFonts w:ascii="Cambria Math" w:eastAsia="Cambria Math" w:hAnsi="Cambria Math"/>
                <w:color w:val="000000" w:themeColor="text1"/>
                <w:spacing w:val="-5"/>
                <w:vertAlign w:val="subscript"/>
              </w:rPr>
              <w:t>𝑝𝑠</w:t>
            </w:r>
          </w:p>
        </w:tc>
        <w:tc>
          <w:tcPr>
            <w:tcW w:w="804" w:type="dxa"/>
            <w:vAlign w:val="center"/>
          </w:tcPr>
          <w:p w14:paraId="16CC208E" w14:textId="77777777" w:rsidR="00594BCC" w:rsidRPr="00F90ADE" w:rsidRDefault="00594BCC" w:rsidP="00F23E60">
            <w:pPr>
              <w:pStyle w:val="CETEquation"/>
              <w:jc w:val="right"/>
              <w:rPr>
                <w:color w:val="000000" w:themeColor="text1"/>
              </w:rPr>
            </w:pPr>
            <w:r w:rsidRPr="00F90ADE">
              <w:rPr>
                <w:color w:val="000000" w:themeColor="text1"/>
              </w:rPr>
              <w:t>(1)</w:t>
            </w:r>
          </w:p>
        </w:tc>
      </w:tr>
      <w:tr w:rsidR="00F90ADE" w:rsidRPr="00F90ADE" w14:paraId="0B14A93C" w14:textId="77777777" w:rsidTr="009374C6">
        <w:tc>
          <w:tcPr>
            <w:tcW w:w="7983" w:type="dxa"/>
            <w:vAlign w:val="center"/>
          </w:tcPr>
          <w:p w14:paraId="0C0A16DB" w14:textId="634A1B67" w:rsidR="003E07F1" w:rsidRPr="00F90ADE" w:rsidRDefault="00AE0E4F" w:rsidP="00F23E60">
            <w:pPr>
              <w:pStyle w:val="CETEquation"/>
              <w:rPr>
                <w:rFonts w:ascii="Cambria Math" w:eastAsia="Cambria Math" w:hAnsi="Cambria Math"/>
                <w:color w:val="000000" w:themeColor="text1"/>
                <w:szCs w:val="18"/>
              </w:rPr>
            </w:pPr>
            <w:r w:rsidRPr="00F90ADE">
              <w:rPr>
                <w:rFonts w:ascii="Cambria Math" w:eastAsia="Cambria Math" w:hAnsi="Cambria Math"/>
                <w:color w:val="000000" w:themeColor="text1"/>
              </w:rPr>
              <w:t>𝐼</w:t>
            </w:r>
            <w:r w:rsidRPr="00F90ADE">
              <w:rPr>
                <w:rFonts w:ascii="Cambria Math" w:eastAsia="Cambria Math" w:hAnsi="Cambria Math"/>
                <w:color w:val="000000" w:themeColor="text1"/>
                <w:vertAlign w:val="subscript"/>
              </w:rPr>
              <w:t xml:space="preserve">𝑐ℎ = </w:t>
            </w:r>
            <w:proofErr w:type="gramStart"/>
            <w:r w:rsidRPr="00F90ADE">
              <w:rPr>
                <w:rFonts w:ascii="Cambria Math" w:eastAsia="Cambria Math" w:hAnsi="Cambria Math"/>
                <w:color w:val="000000" w:themeColor="text1"/>
                <w:w w:val="110"/>
                <w:szCs w:val="18"/>
              </w:rPr>
              <w:t>𝐼</w:t>
            </w:r>
            <w:r w:rsidRPr="00F90ADE">
              <w:rPr>
                <w:rFonts w:ascii="Cambria Math" w:eastAsia="Cambria Math" w:hAnsi="Cambria Math"/>
                <w:color w:val="000000" w:themeColor="text1"/>
                <w:w w:val="110"/>
                <w:position w:val="-4"/>
                <w:szCs w:val="18"/>
              </w:rPr>
              <w:t>𝑟𝑚</w:t>
            </w:r>
            <w:r w:rsidRPr="00F90ADE">
              <w:rPr>
                <w:rFonts w:ascii="Cambria Math" w:eastAsia="Cambria Math" w:hAnsi="Cambria Math"/>
                <w:color w:val="000000" w:themeColor="text1"/>
                <w:w w:val="110"/>
                <w:position w:val="-7"/>
                <w:szCs w:val="18"/>
              </w:rPr>
              <w:t>𝑚𝑎𝑥</w:t>
            </w:r>
            <w:r w:rsidRPr="00F90ADE">
              <w:rPr>
                <w:rFonts w:ascii="Cambria Math" w:eastAsia="Cambria Math" w:hAnsi="Cambria Math"/>
                <w:color w:val="000000" w:themeColor="text1"/>
                <w:spacing w:val="44"/>
                <w:w w:val="110"/>
                <w:position w:val="-7"/>
                <w:szCs w:val="18"/>
              </w:rPr>
              <w:t xml:space="preserve">  </w:t>
            </w:r>
            <w:r w:rsidRPr="00F90ADE">
              <w:rPr>
                <w:rFonts w:ascii="Cambria Math" w:eastAsia="Cambria Math" w:hAnsi="Cambria Math"/>
                <w:color w:val="000000" w:themeColor="text1"/>
                <w:w w:val="110"/>
                <w:szCs w:val="18"/>
              </w:rPr>
              <w:t>+</w:t>
            </w:r>
            <w:proofErr w:type="gramEnd"/>
            <w:r w:rsidRPr="00F90ADE">
              <w:rPr>
                <w:rFonts w:ascii="Cambria Math" w:eastAsia="Cambria Math" w:hAnsi="Cambria Math"/>
                <w:color w:val="000000" w:themeColor="text1"/>
                <w:spacing w:val="31"/>
                <w:w w:val="110"/>
                <w:szCs w:val="18"/>
              </w:rPr>
              <w:t xml:space="preserve"> </w:t>
            </w:r>
            <w:r w:rsidRPr="00F90ADE">
              <w:rPr>
                <w:rFonts w:ascii="Cambria Math" w:eastAsia="Cambria Math" w:hAnsi="Cambria Math"/>
                <w:color w:val="000000" w:themeColor="text1"/>
                <w:w w:val="110"/>
                <w:szCs w:val="18"/>
              </w:rPr>
              <w:t>𝐼</w:t>
            </w:r>
            <w:r w:rsidRPr="00F90ADE">
              <w:rPr>
                <w:rFonts w:ascii="Cambria Math" w:eastAsia="Cambria Math" w:hAnsi="Cambria Math"/>
                <w:color w:val="000000" w:themeColor="text1"/>
                <w:w w:val="110"/>
                <w:position w:val="-4"/>
                <w:szCs w:val="18"/>
              </w:rPr>
              <w:t>𝑟𝑠</w:t>
            </w:r>
            <w:r w:rsidRPr="00F90ADE">
              <w:rPr>
                <w:rFonts w:ascii="Cambria Math" w:eastAsia="Cambria Math" w:hAnsi="Cambria Math"/>
                <w:color w:val="000000" w:themeColor="text1"/>
                <w:w w:val="110"/>
                <w:position w:val="-7"/>
                <w:szCs w:val="18"/>
              </w:rPr>
              <w:t>𝑚𝑎𝑥</w:t>
            </w:r>
            <w:r w:rsidRPr="00F90ADE">
              <w:rPr>
                <w:rFonts w:ascii="Cambria Math" w:eastAsia="Cambria Math" w:hAnsi="Cambria Math"/>
                <w:color w:val="000000" w:themeColor="text1"/>
                <w:spacing w:val="75"/>
                <w:w w:val="110"/>
                <w:position w:val="-7"/>
                <w:szCs w:val="18"/>
              </w:rPr>
              <w:t xml:space="preserve"> </w:t>
            </w:r>
            <w:r w:rsidRPr="00F90ADE">
              <w:rPr>
                <w:rFonts w:ascii="Cambria Math" w:eastAsia="Cambria Math" w:hAnsi="Cambria Math"/>
                <w:color w:val="000000" w:themeColor="text1"/>
                <w:w w:val="110"/>
                <w:szCs w:val="18"/>
              </w:rPr>
              <w:t>+</w:t>
            </w:r>
            <w:r w:rsidRPr="00F90ADE">
              <w:rPr>
                <w:rFonts w:ascii="Cambria Math" w:eastAsia="Cambria Math" w:hAnsi="Cambria Math"/>
                <w:color w:val="000000" w:themeColor="text1"/>
                <w:spacing w:val="31"/>
                <w:w w:val="110"/>
                <w:szCs w:val="18"/>
              </w:rPr>
              <w:t xml:space="preserve"> </w:t>
            </w:r>
            <w:r w:rsidRPr="00F90ADE">
              <w:rPr>
                <w:rFonts w:ascii="Cambria Math" w:eastAsia="Cambria Math" w:hAnsi="Cambria Math"/>
                <w:color w:val="000000" w:themeColor="text1"/>
                <w:w w:val="110"/>
                <w:szCs w:val="18"/>
              </w:rPr>
              <w:t>𝐼</w:t>
            </w:r>
            <w:r w:rsidRPr="00F90ADE">
              <w:rPr>
                <w:rFonts w:ascii="Cambria Math" w:eastAsia="Cambria Math" w:hAnsi="Cambria Math"/>
                <w:color w:val="000000" w:themeColor="text1"/>
                <w:w w:val="110"/>
                <w:position w:val="-4"/>
                <w:szCs w:val="18"/>
              </w:rPr>
              <w:t>𝑖𝑛𝑡</w:t>
            </w:r>
            <w:r w:rsidRPr="00F90ADE">
              <w:rPr>
                <w:rFonts w:ascii="Cambria Math" w:eastAsia="Cambria Math" w:hAnsi="Cambria Math"/>
                <w:color w:val="000000" w:themeColor="text1"/>
                <w:w w:val="110"/>
                <w:position w:val="-7"/>
                <w:szCs w:val="18"/>
              </w:rPr>
              <w:t>𝑚𝑎𝑥</w:t>
            </w:r>
            <w:r w:rsidRPr="00F90ADE">
              <w:rPr>
                <w:rFonts w:ascii="Cambria Math" w:eastAsia="Cambria Math" w:hAnsi="Cambria Math"/>
                <w:color w:val="000000" w:themeColor="text1"/>
                <w:spacing w:val="73"/>
                <w:w w:val="110"/>
                <w:position w:val="-7"/>
                <w:szCs w:val="18"/>
              </w:rPr>
              <w:t xml:space="preserve"> </w:t>
            </w:r>
            <w:r w:rsidRPr="00F90ADE">
              <w:rPr>
                <w:rFonts w:ascii="Cambria Math" w:eastAsia="Cambria Math" w:hAnsi="Cambria Math"/>
                <w:color w:val="000000" w:themeColor="text1"/>
                <w:w w:val="110"/>
                <w:szCs w:val="18"/>
              </w:rPr>
              <w:t>+</w:t>
            </w:r>
            <w:r w:rsidRPr="00F90ADE">
              <w:rPr>
                <w:rFonts w:ascii="Cambria Math" w:eastAsia="Cambria Math" w:hAnsi="Cambria Math"/>
                <w:color w:val="000000" w:themeColor="text1"/>
                <w:spacing w:val="33"/>
                <w:w w:val="110"/>
                <w:szCs w:val="18"/>
              </w:rPr>
              <w:t xml:space="preserve"> </w:t>
            </w:r>
            <w:r w:rsidRPr="00F90ADE">
              <w:rPr>
                <w:rFonts w:ascii="Cambria Math" w:eastAsia="Cambria Math" w:hAnsi="Cambria Math"/>
                <w:color w:val="000000" w:themeColor="text1"/>
                <w:w w:val="110"/>
                <w:szCs w:val="18"/>
              </w:rPr>
              <w:t>(𝐼</w:t>
            </w:r>
            <w:r w:rsidRPr="00F90ADE">
              <w:rPr>
                <w:rFonts w:ascii="Cambria Math" w:eastAsia="Cambria Math" w:hAnsi="Cambria Math"/>
                <w:color w:val="000000" w:themeColor="text1"/>
                <w:w w:val="110"/>
                <w:position w:val="-4"/>
                <w:szCs w:val="18"/>
              </w:rPr>
              <w:t>𝑓𝑙</w:t>
            </w:r>
            <w:r w:rsidRPr="00F90ADE">
              <w:rPr>
                <w:rFonts w:ascii="Cambria Math" w:eastAsia="Cambria Math" w:hAnsi="Cambria Math"/>
                <w:color w:val="000000" w:themeColor="text1"/>
                <w:spacing w:val="61"/>
                <w:w w:val="110"/>
                <w:position w:val="-4"/>
                <w:szCs w:val="18"/>
              </w:rPr>
              <w:t xml:space="preserve"> </w:t>
            </w:r>
            <w:r w:rsidRPr="00F90ADE">
              <w:rPr>
                <w:rFonts w:ascii="Cambria Math" w:eastAsia="Cambria Math" w:hAnsi="Cambria Math"/>
                <w:color w:val="000000" w:themeColor="text1"/>
                <w:w w:val="110"/>
                <w:szCs w:val="18"/>
              </w:rPr>
              <w:t>+</w:t>
            </w:r>
            <w:r w:rsidRPr="00F90ADE">
              <w:rPr>
                <w:rFonts w:ascii="Cambria Math" w:eastAsia="Cambria Math" w:hAnsi="Cambria Math"/>
                <w:color w:val="000000" w:themeColor="text1"/>
                <w:spacing w:val="33"/>
                <w:w w:val="110"/>
                <w:szCs w:val="18"/>
              </w:rPr>
              <w:t xml:space="preserve"> </w:t>
            </w:r>
            <w:r w:rsidRPr="00F90ADE">
              <w:rPr>
                <w:rFonts w:ascii="Cambria Math" w:eastAsia="Cambria Math" w:hAnsi="Cambria Math"/>
                <w:color w:val="000000" w:themeColor="text1"/>
                <w:w w:val="110"/>
                <w:szCs w:val="18"/>
              </w:rPr>
              <w:t>𝐼</w:t>
            </w:r>
            <w:r w:rsidRPr="00F90ADE">
              <w:rPr>
                <w:rFonts w:ascii="Cambria Math" w:eastAsia="Cambria Math" w:hAnsi="Cambria Math"/>
                <w:color w:val="000000" w:themeColor="text1"/>
                <w:w w:val="110"/>
                <w:position w:val="-4"/>
                <w:szCs w:val="18"/>
              </w:rPr>
              <w:t>𝑒𝑥</w:t>
            </w:r>
            <w:r w:rsidRPr="00F90ADE">
              <w:rPr>
                <w:rFonts w:ascii="Cambria Math" w:eastAsia="Cambria Math" w:hAnsi="Cambria Math"/>
                <w:color w:val="000000" w:themeColor="text1"/>
                <w:spacing w:val="61"/>
                <w:w w:val="110"/>
                <w:position w:val="-4"/>
                <w:szCs w:val="18"/>
              </w:rPr>
              <w:t xml:space="preserve"> </w:t>
            </w:r>
            <w:r w:rsidRPr="00F90ADE">
              <w:rPr>
                <w:rFonts w:ascii="Cambria Math" w:eastAsia="Cambria Math" w:hAnsi="Cambria Math"/>
                <w:color w:val="000000" w:themeColor="text1"/>
                <w:w w:val="110"/>
                <w:szCs w:val="18"/>
              </w:rPr>
              <w:t>+</w:t>
            </w:r>
            <w:r w:rsidRPr="00F90ADE">
              <w:rPr>
                <w:rFonts w:ascii="Cambria Math" w:eastAsia="Cambria Math" w:hAnsi="Cambria Math"/>
                <w:color w:val="000000" w:themeColor="text1"/>
                <w:spacing w:val="34"/>
                <w:w w:val="110"/>
                <w:szCs w:val="18"/>
              </w:rPr>
              <w:t xml:space="preserve"> </w:t>
            </w:r>
            <w:r w:rsidRPr="00F90ADE">
              <w:rPr>
                <w:rFonts w:ascii="Cambria Math" w:eastAsia="Cambria Math" w:hAnsi="Cambria Math"/>
                <w:color w:val="000000" w:themeColor="text1"/>
                <w:w w:val="110"/>
                <w:szCs w:val="18"/>
              </w:rPr>
              <w:t>𝐼</w:t>
            </w:r>
            <w:r w:rsidRPr="00F90ADE">
              <w:rPr>
                <w:rFonts w:ascii="Cambria Math" w:eastAsia="Cambria Math" w:hAnsi="Cambria Math"/>
                <w:color w:val="000000" w:themeColor="text1"/>
                <w:w w:val="110"/>
                <w:position w:val="-4"/>
                <w:szCs w:val="18"/>
              </w:rPr>
              <w:t>𝑡𝑜𝑥</w:t>
            </w:r>
            <w:r w:rsidRPr="00F90ADE">
              <w:rPr>
                <w:rFonts w:ascii="Cambria Math" w:eastAsia="Cambria Math" w:hAnsi="Cambria Math"/>
                <w:color w:val="000000" w:themeColor="text1"/>
                <w:w w:val="110"/>
                <w:szCs w:val="18"/>
              </w:rPr>
              <w:t>)</w:t>
            </w:r>
            <w:r w:rsidRPr="00F90ADE">
              <w:rPr>
                <w:rFonts w:ascii="Cambria Math" w:eastAsia="Cambria Math" w:hAnsi="Cambria Math"/>
                <w:color w:val="000000" w:themeColor="text1"/>
                <w:w w:val="110"/>
                <w:position w:val="-4"/>
                <w:szCs w:val="18"/>
              </w:rPr>
              <w:t>𝑚𝑎𝑥</w:t>
            </w:r>
            <w:r w:rsidRPr="00F90ADE">
              <w:rPr>
                <w:rFonts w:ascii="Cambria Math" w:eastAsia="Cambria Math" w:hAnsi="Cambria Math"/>
                <w:color w:val="000000" w:themeColor="text1"/>
                <w:spacing w:val="61"/>
                <w:w w:val="110"/>
                <w:position w:val="-4"/>
                <w:szCs w:val="18"/>
              </w:rPr>
              <w:t xml:space="preserve"> </w:t>
            </w:r>
            <w:r w:rsidRPr="00F90ADE">
              <w:rPr>
                <w:rFonts w:ascii="Cambria Math" w:eastAsia="Cambria Math" w:hAnsi="Cambria Math"/>
                <w:color w:val="000000" w:themeColor="text1"/>
                <w:w w:val="110"/>
                <w:szCs w:val="18"/>
              </w:rPr>
              <w:t>+</w:t>
            </w:r>
            <w:r w:rsidRPr="00F90ADE">
              <w:rPr>
                <w:rFonts w:ascii="Cambria Math" w:eastAsia="Cambria Math" w:hAnsi="Cambria Math"/>
                <w:color w:val="000000" w:themeColor="text1"/>
                <w:spacing w:val="34"/>
                <w:w w:val="110"/>
                <w:szCs w:val="18"/>
              </w:rPr>
              <w:t xml:space="preserve"> </w:t>
            </w:r>
            <w:r w:rsidRPr="00F90ADE">
              <w:rPr>
                <w:rFonts w:ascii="Cambria Math" w:eastAsia="Cambria Math" w:hAnsi="Cambria Math"/>
                <w:color w:val="000000" w:themeColor="text1"/>
                <w:spacing w:val="-2"/>
                <w:w w:val="110"/>
                <w:szCs w:val="18"/>
              </w:rPr>
              <w:t>𝐼</w:t>
            </w:r>
            <w:r w:rsidRPr="00F90ADE">
              <w:rPr>
                <w:rFonts w:ascii="Cambria Math" w:eastAsia="Cambria Math" w:hAnsi="Cambria Math"/>
                <w:color w:val="000000" w:themeColor="text1"/>
                <w:spacing w:val="-2"/>
                <w:w w:val="110"/>
                <w:position w:val="-4"/>
                <w:szCs w:val="18"/>
              </w:rPr>
              <w:t>𝑐𝑜𝑟</w:t>
            </w:r>
            <w:r w:rsidRPr="00F90ADE">
              <w:rPr>
                <w:rFonts w:ascii="Cambria Math" w:eastAsia="Cambria Math" w:hAnsi="Cambria Math"/>
                <w:color w:val="000000" w:themeColor="text1"/>
                <w:spacing w:val="-2"/>
                <w:w w:val="110"/>
                <w:position w:val="-7"/>
                <w:szCs w:val="18"/>
              </w:rPr>
              <w:t>𝑚𝑎𝑥</w:t>
            </w:r>
          </w:p>
        </w:tc>
        <w:tc>
          <w:tcPr>
            <w:tcW w:w="804" w:type="dxa"/>
            <w:vAlign w:val="center"/>
          </w:tcPr>
          <w:p w14:paraId="7A1B7998" w14:textId="4F1AE98E" w:rsidR="003E07F1" w:rsidRPr="00F90ADE" w:rsidRDefault="003E07F1" w:rsidP="00F23E60">
            <w:pPr>
              <w:pStyle w:val="CETEquation"/>
              <w:jc w:val="right"/>
              <w:rPr>
                <w:color w:val="000000" w:themeColor="text1"/>
              </w:rPr>
            </w:pPr>
            <w:r w:rsidRPr="00F90ADE">
              <w:rPr>
                <w:color w:val="000000" w:themeColor="text1"/>
              </w:rPr>
              <w:t>(2)</w:t>
            </w:r>
          </w:p>
        </w:tc>
      </w:tr>
      <w:tr w:rsidR="00F90ADE" w:rsidRPr="00F90ADE" w14:paraId="465D3388" w14:textId="77777777" w:rsidTr="009374C6">
        <w:tc>
          <w:tcPr>
            <w:tcW w:w="7983" w:type="dxa"/>
            <w:vAlign w:val="center"/>
          </w:tcPr>
          <w:p w14:paraId="4F657A8C" w14:textId="63789D6F" w:rsidR="00594BCC" w:rsidRPr="00F90ADE" w:rsidRDefault="00AE0E4F" w:rsidP="00F23E60">
            <w:pPr>
              <w:pStyle w:val="CETEquation"/>
              <w:rPr>
                <w:rFonts w:ascii="Cambria Math" w:eastAsia="Cambria Math" w:hAnsi="Cambria Math"/>
                <w:color w:val="000000" w:themeColor="text1"/>
                <w:szCs w:val="18"/>
              </w:rPr>
            </w:pPr>
            <w:r w:rsidRPr="00F90ADE">
              <w:rPr>
                <w:rFonts w:ascii="Cambria Math" w:eastAsia="Cambria Math" w:hAnsi="Cambria Math"/>
                <w:color w:val="000000" w:themeColor="text1"/>
              </w:rPr>
              <w:t>𝐼</w:t>
            </w:r>
            <w:proofErr w:type="spellStart"/>
            <w:r w:rsidRPr="00F90ADE">
              <w:rPr>
                <w:rFonts w:ascii="Cambria Math" w:eastAsia="Cambria Math" w:hAnsi="Cambria Math"/>
                <w:i/>
                <w:iCs/>
                <w:color w:val="000000" w:themeColor="text1"/>
                <w:vertAlign w:val="subscript"/>
              </w:rPr>
              <w:t>ps</w:t>
            </w:r>
            <w:proofErr w:type="spellEnd"/>
            <w:r w:rsidRPr="00F90ADE">
              <w:rPr>
                <w:rFonts w:ascii="Cambria Math" w:eastAsia="Cambria Math" w:hAnsi="Cambria Math"/>
                <w:i/>
                <w:iCs/>
                <w:color w:val="000000" w:themeColor="text1"/>
                <w:vertAlign w:val="subscript"/>
              </w:rPr>
              <w:t xml:space="preserve"> </w:t>
            </w:r>
            <w:r w:rsidRPr="00F90ADE">
              <w:rPr>
                <w:rFonts w:ascii="Cambria Math" w:eastAsia="Cambria Math" w:hAnsi="Cambria Math"/>
                <w:color w:val="000000" w:themeColor="text1"/>
                <w:vertAlign w:val="subscript"/>
              </w:rPr>
              <w:t xml:space="preserve">= </w:t>
            </w:r>
            <w:proofErr w:type="gramStart"/>
            <w:r w:rsidRPr="00F90ADE">
              <w:rPr>
                <w:rFonts w:ascii="Cambria Math" w:eastAsia="Cambria Math"/>
                <w:color w:val="000000" w:themeColor="text1"/>
                <w:w w:val="105"/>
                <w:szCs w:val="18"/>
              </w:rPr>
              <w:t>𝐼</w:t>
            </w:r>
            <w:r w:rsidRPr="00F90ADE">
              <w:rPr>
                <w:rFonts w:ascii="Cambria Math" w:eastAsia="Cambria Math"/>
                <w:color w:val="000000" w:themeColor="text1"/>
                <w:w w:val="105"/>
                <w:szCs w:val="18"/>
                <w:vertAlign w:val="subscript"/>
              </w:rPr>
              <w:t>𝐼</w:t>
            </w:r>
            <w:r w:rsidRPr="00F90ADE">
              <w:rPr>
                <w:rFonts w:ascii="Cambria Math" w:eastAsia="Cambria Math"/>
                <w:color w:val="000000" w:themeColor="text1"/>
                <w:spacing w:val="29"/>
                <w:w w:val="105"/>
                <w:szCs w:val="18"/>
              </w:rPr>
              <w:t xml:space="preserve">  </w:t>
            </w:r>
            <w:r w:rsidRPr="00F90ADE">
              <w:rPr>
                <w:rFonts w:ascii="Cambria Math" w:eastAsia="Cambria Math"/>
                <w:color w:val="000000" w:themeColor="text1"/>
                <w:w w:val="105"/>
                <w:szCs w:val="18"/>
              </w:rPr>
              <w:t>+</w:t>
            </w:r>
            <w:proofErr w:type="gramEnd"/>
            <w:r w:rsidRPr="00F90ADE">
              <w:rPr>
                <w:rFonts w:ascii="Cambria Math" w:eastAsia="Cambria Math"/>
                <w:color w:val="000000" w:themeColor="text1"/>
                <w:spacing w:val="51"/>
                <w:w w:val="105"/>
                <w:szCs w:val="18"/>
              </w:rPr>
              <w:t xml:space="preserve"> </w:t>
            </w:r>
            <w:r w:rsidRPr="00F90ADE">
              <w:rPr>
                <w:rFonts w:ascii="Cambria Math" w:eastAsia="Cambria Math"/>
                <w:color w:val="000000" w:themeColor="text1"/>
                <w:w w:val="105"/>
                <w:szCs w:val="18"/>
              </w:rPr>
              <w:t>𝐼</w:t>
            </w:r>
            <w:r w:rsidRPr="00F90ADE">
              <w:rPr>
                <w:rFonts w:ascii="Cambria Math" w:eastAsia="Cambria Math"/>
                <w:color w:val="000000" w:themeColor="text1"/>
                <w:w w:val="105"/>
                <w:szCs w:val="18"/>
                <w:vertAlign w:val="subscript"/>
              </w:rPr>
              <w:t>𝑇</w:t>
            </w:r>
            <w:r w:rsidRPr="00F90ADE">
              <w:rPr>
                <w:rFonts w:ascii="Cambria Math" w:eastAsia="Cambria Math"/>
                <w:color w:val="000000" w:themeColor="text1"/>
                <w:w w:val="105"/>
                <w:position w:val="-7"/>
                <w:szCs w:val="18"/>
              </w:rPr>
              <w:t>𝑚𝑎𝑥</w:t>
            </w:r>
            <w:r w:rsidRPr="00F90ADE">
              <w:rPr>
                <w:rFonts w:ascii="Cambria Math" w:eastAsia="Cambria Math"/>
                <w:color w:val="000000" w:themeColor="text1"/>
                <w:spacing w:val="77"/>
                <w:w w:val="150"/>
                <w:position w:val="-7"/>
                <w:szCs w:val="18"/>
              </w:rPr>
              <w:t xml:space="preserve"> </w:t>
            </w:r>
            <w:r w:rsidRPr="00F90ADE">
              <w:rPr>
                <w:rFonts w:ascii="Cambria Math" w:eastAsia="Cambria Math"/>
                <w:color w:val="000000" w:themeColor="text1"/>
                <w:w w:val="105"/>
                <w:szCs w:val="18"/>
              </w:rPr>
              <w:t>+</w:t>
            </w:r>
            <w:r w:rsidRPr="00F90ADE">
              <w:rPr>
                <w:rFonts w:ascii="Cambria Math" w:eastAsia="Cambria Math"/>
                <w:color w:val="000000" w:themeColor="text1"/>
                <w:spacing w:val="47"/>
                <w:w w:val="105"/>
                <w:szCs w:val="18"/>
              </w:rPr>
              <w:t xml:space="preserve"> </w:t>
            </w:r>
            <w:r w:rsidRPr="00F90ADE">
              <w:rPr>
                <w:rFonts w:ascii="Cambria Math" w:eastAsia="Cambria Math"/>
                <w:color w:val="000000" w:themeColor="text1"/>
                <w:w w:val="105"/>
                <w:szCs w:val="18"/>
              </w:rPr>
              <w:t>𝐼</w:t>
            </w:r>
            <w:r w:rsidRPr="00F90ADE">
              <w:rPr>
                <w:rFonts w:ascii="Cambria Math" w:eastAsia="Cambria Math"/>
                <w:color w:val="000000" w:themeColor="text1"/>
                <w:w w:val="105"/>
                <w:szCs w:val="18"/>
                <w:vertAlign w:val="subscript"/>
              </w:rPr>
              <w:t>𝑝</w:t>
            </w:r>
            <w:r w:rsidRPr="00F90ADE">
              <w:rPr>
                <w:rFonts w:ascii="Cambria Math" w:eastAsia="Cambria Math"/>
                <w:color w:val="000000" w:themeColor="text1"/>
                <w:w w:val="105"/>
                <w:position w:val="-7"/>
                <w:szCs w:val="18"/>
              </w:rPr>
              <w:t>𝑚𝑎𝑥</w:t>
            </w:r>
            <w:r w:rsidRPr="00F90ADE">
              <w:rPr>
                <w:rFonts w:ascii="Cambria Math" w:eastAsia="Cambria Math"/>
                <w:color w:val="000000" w:themeColor="text1"/>
                <w:spacing w:val="74"/>
                <w:w w:val="150"/>
                <w:position w:val="-7"/>
                <w:szCs w:val="18"/>
              </w:rPr>
              <w:t xml:space="preserve"> </w:t>
            </w:r>
            <w:r w:rsidRPr="00F90ADE">
              <w:rPr>
                <w:rFonts w:ascii="Cambria Math" w:eastAsia="Cambria Math"/>
                <w:color w:val="000000" w:themeColor="text1"/>
                <w:w w:val="105"/>
                <w:szCs w:val="18"/>
              </w:rPr>
              <w:t>+</w:t>
            </w:r>
            <w:r w:rsidRPr="00F90ADE">
              <w:rPr>
                <w:rFonts w:ascii="Cambria Math" w:eastAsia="Cambria Math"/>
                <w:color w:val="000000" w:themeColor="text1"/>
                <w:spacing w:val="50"/>
                <w:w w:val="105"/>
                <w:szCs w:val="18"/>
              </w:rPr>
              <w:t xml:space="preserve"> </w:t>
            </w:r>
            <w:r w:rsidRPr="00F90ADE">
              <w:rPr>
                <w:rFonts w:ascii="Cambria Math" w:eastAsia="Cambria Math"/>
                <w:color w:val="000000" w:themeColor="text1"/>
                <w:w w:val="105"/>
                <w:szCs w:val="18"/>
              </w:rPr>
              <w:t>𝐼</w:t>
            </w:r>
            <w:r w:rsidRPr="00F90ADE">
              <w:rPr>
                <w:rFonts w:ascii="Cambria Math" w:eastAsia="Cambria Math"/>
                <w:color w:val="000000" w:themeColor="text1"/>
                <w:w w:val="105"/>
                <w:szCs w:val="18"/>
                <w:vertAlign w:val="subscript"/>
              </w:rPr>
              <w:t>𝐸𝑄</w:t>
            </w:r>
            <w:r w:rsidRPr="00F90ADE">
              <w:rPr>
                <w:rFonts w:ascii="Cambria Math" w:eastAsia="Cambria Math"/>
                <w:color w:val="000000" w:themeColor="text1"/>
                <w:w w:val="105"/>
                <w:position w:val="-7"/>
                <w:szCs w:val="18"/>
              </w:rPr>
              <w:t>𝑚𝑎𝑥</w:t>
            </w:r>
            <w:r w:rsidRPr="00F90ADE">
              <w:rPr>
                <w:rFonts w:ascii="Cambria Math" w:eastAsia="Cambria Math"/>
                <w:color w:val="000000" w:themeColor="text1"/>
                <w:spacing w:val="77"/>
                <w:w w:val="150"/>
                <w:position w:val="-7"/>
                <w:szCs w:val="18"/>
              </w:rPr>
              <w:t xml:space="preserve"> </w:t>
            </w:r>
            <w:r w:rsidRPr="00F90ADE">
              <w:rPr>
                <w:rFonts w:ascii="Cambria Math" w:eastAsia="Cambria Math"/>
                <w:color w:val="000000" w:themeColor="text1"/>
                <w:w w:val="105"/>
                <w:szCs w:val="18"/>
              </w:rPr>
              <w:t>+</w:t>
            </w:r>
            <w:r w:rsidRPr="00F90ADE">
              <w:rPr>
                <w:rFonts w:ascii="Cambria Math" w:eastAsia="Cambria Math"/>
                <w:color w:val="000000" w:themeColor="text1"/>
                <w:spacing w:val="49"/>
                <w:w w:val="105"/>
                <w:szCs w:val="18"/>
              </w:rPr>
              <w:t xml:space="preserve"> </w:t>
            </w:r>
            <w:r w:rsidRPr="00F90ADE">
              <w:rPr>
                <w:rFonts w:ascii="Cambria Math" w:eastAsia="Cambria Math"/>
                <w:color w:val="000000" w:themeColor="text1"/>
                <w:spacing w:val="-2"/>
                <w:w w:val="105"/>
                <w:szCs w:val="18"/>
              </w:rPr>
              <w:t>𝐼</w:t>
            </w:r>
            <w:r w:rsidRPr="00F90ADE">
              <w:rPr>
                <w:rFonts w:ascii="Cambria Math" w:eastAsia="Cambria Math"/>
                <w:color w:val="000000" w:themeColor="text1"/>
                <w:spacing w:val="-2"/>
                <w:w w:val="105"/>
                <w:szCs w:val="18"/>
                <w:vertAlign w:val="subscript"/>
              </w:rPr>
              <w:t>𝑆𝑇</w:t>
            </w:r>
            <w:r w:rsidRPr="00F90ADE">
              <w:rPr>
                <w:rFonts w:ascii="Cambria Math" w:eastAsia="Cambria Math"/>
                <w:color w:val="000000" w:themeColor="text1"/>
                <w:spacing w:val="-2"/>
                <w:w w:val="105"/>
                <w:position w:val="-7"/>
                <w:szCs w:val="18"/>
              </w:rPr>
              <w:t>𝑚𝑎𝑥</w:t>
            </w:r>
          </w:p>
        </w:tc>
        <w:tc>
          <w:tcPr>
            <w:tcW w:w="804" w:type="dxa"/>
            <w:vAlign w:val="center"/>
          </w:tcPr>
          <w:p w14:paraId="031B38C3" w14:textId="56E5A869" w:rsidR="00594BCC" w:rsidRPr="00F90ADE" w:rsidRDefault="003E07F1" w:rsidP="00F23E60">
            <w:pPr>
              <w:pStyle w:val="CETEquation"/>
              <w:jc w:val="right"/>
              <w:rPr>
                <w:color w:val="000000" w:themeColor="text1"/>
              </w:rPr>
            </w:pPr>
            <w:r w:rsidRPr="00F90ADE">
              <w:rPr>
                <w:color w:val="000000" w:themeColor="text1"/>
              </w:rPr>
              <w:t>(3)</w:t>
            </w:r>
          </w:p>
        </w:tc>
      </w:tr>
    </w:tbl>
    <w:p w14:paraId="00946622" w14:textId="517684C9" w:rsidR="001D3ADC" w:rsidRPr="00F90ADE" w:rsidRDefault="001D3ADC" w:rsidP="001D3ADC">
      <w:pPr>
        <w:pStyle w:val="CETTabletitle"/>
        <w:rPr>
          <w:color w:val="000000" w:themeColor="text1"/>
        </w:rPr>
      </w:pPr>
      <w:r w:rsidRPr="00F90ADE">
        <w:rPr>
          <w:color w:val="000000" w:themeColor="text1"/>
        </w:rPr>
        <w:t xml:space="preserve">Table 1: </w:t>
      </w:r>
      <w:r w:rsidR="00CB0204" w:rsidRPr="00F90ADE">
        <w:rPr>
          <w:color w:val="000000" w:themeColor="text1"/>
        </w:rPr>
        <w:t>S</w:t>
      </w:r>
      <w:r w:rsidR="00CB0204" w:rsidRPr="00F90ADE">
        <w:rPr>
          <w:rFonts w:cs="Arial"/>
          <w:color w:val="000000" w:themeColor="text1"/>
          <w:sz w:val="20"/>
          <w:shd w:val="clear" w:color="auto" w:fill="FFFFFF"/>
        </w:rPr>
        <w:t>ummary of the inherent safety sub</w:t>
      </w:r>
      <w:r w:rsidR="008420AC" w:rsidRPr="00F90ADE">
        <w:rPr>
          <w:rFonts w:cs="Arial"/>
          <w:color w:val="000000" w:themeColor="text1"/>
          <w:sz w:val="20"/>
          <w:shd w:val="clear" w:color="auto" w:fill="FFFFFF"/>
        </w:rPr>
        <w:t>-</w:t>
      </w:r>
      <w:r w:rsidR="00CB0204" w:rsidRPr="00F90ADE">
        <w:rPr>
          <w:rFonts w:cs="Arial"/>
          <w:color w:val="000000" w:themeColor="text1"/>
          <w:sz w:val="20"/>
          <w:shd w:val="clear" w:color="auto" w:fill="FFFFFF"/>
        </w:rPr>
        <w:t>indices and their score ranges</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552"/>
        <w:gridCol w:w="1134"/>
        <w:gridCol w:w="1984"/>
      </w:tblGrid>
      <w:tr w:rsidR="00F90ADE" w:rsidRPr="00F90ADE" w14:paraId="249CC90A" w14:textId="77777777" w:rsidTr="007F3AA6">
        <w:tc>
          <w:tcPr>
            <w:tcW w:w="2552" w:type="dxa"/>
            <w:tcBorders>
              <w:top w:val="single" w:sz="12" w:space="0" w:color="008000"/>
              <w:bottom w:val="single" w:sz="6" w:space="0" w:color="008000"/>
            </w:tcBorders>
            <w:shd w:val="clear" w:color="auto" w:fill="FFFFFF"/>
          </w:tcPr>
          <w:p w14:paraId="581ED6D4" w14:textId="10D5525E" w:rsidR="00CB0204" w:rsidRPr="00F90ADE" w:rsidRDefault="00CB0204" w:rsidP="00F23E60">
            <w:pPr>
              <w:pStyle w:val="CETBodytext"/>
              <w:rPr>
                <w:color w:val="000000" w:themeColor="text1"/>
                <w:lang w:val="en-GB"/>
              </w:rPr>
            </w:pPr>
            <w:proofErr w:type="spellStart"/>
            <w:r w:rsidRPr="00F90ADE">
              <w:rPr>
                <w:color w:val="000000" w:themeColor="text1"/>
                <w:lang w:val="en-GB"/>
              </w:rPr>
              <w:t>Subind</w:t>
            </w:r>
            <w:r w:rsidR="008420AC" w:rsidRPr="00F90ADE">
              <w:rPr>
                <w:color w:val="000000" w:themeColor="text1"/>
                <w:lang w:val="en-GB"/>
              </w:rPr>
              <w:t>ex</w:t>
            </w:r>
            <w:proofErr w:type="spellEnd"/>
          </w:p>
        </w:tc>
        <w:tc>
          <w:tcPr>
            <w:tcW w:w="1134" w:type="dxa"/>
            <w:tcBorders>
              <w:top w:val="single" w:sz="12" w:space="0" w:color="008000"/>
              <w:bottom w:val="single" w:sz="6" w:space="0" w:color="008000"/>
            </w:tcBorders>
            <w:shd w:val="clear" w:color="auto" w:fill="FFFFFF"/>
          </w:tcPr>
          <w:p w14:paraId="322470DD" w14:textId="4A67A943" w:rsidR="00CB0204" w:rsidRPr="00F90ADE" w:rsidRDefault="00CB0204" w:rsidP="00F23E60">
            <w:pPr>
              <w:pStyle w:val="CETBodytext"/>
              <w:rPr>
                <w:color w:val="000000" w:themeColor="text1"/>
                <w:lang w:val="en-GB"/>
              </w:rPr>
            </w:pPr>
            <w:r w:rsidRPr="00F90ADE">
              <w:rPr>
                <w:color w:val="000000" w:themeColor="text1"/>
                <w:lang w:val="en-GB"/>
              </w:rPr>
              <w:t>Symbol</w:t>
            </w:r>
          </w:p>
        </w:tc>
        <w:tc>
          <w:tcPr>
            <w:tcW w:w="1984" w:type="dxa"/>
            <w:tcBorders>
              <w:top w:val="single" w:sz="12" w:space="0" w:color="008000"/>
              <w:bottom w:val="single" w:sz="6" w:space="0" w:color="008000"/>
            </w:tcBorders>
            <w:shd w:val="clear" w:color="auto" w:fill="FFFFFF"/>
          </w:tcPr>
          <w:p w14:paraId="3B0A982A" w14:textId="7899491C" w:rsidR="00CB0204" w:rsidRPr="00F90ADE" w:rsidRDefault="00CB0204" w:rsidP="00F23E60">
            <w:pPr>
              <w:pStyle w:val="CETBodytext"/>
              <w:rPr>
                <w:color w:val="000000" w:themeColor="text1"/>
                <w:lang w:val="en-GB"/>
              </w:rPr>
            </w:pPr>
            <w:r w:rsidRPr="00F90ADE">
              <w:rPr>
                <w:color w:val="000000" w:themeColor="text1"/>
                <w:lang w:val="en-GB"/>
              </w:rPr>
              <w:t>Score</w:t>
            </w:r>
          </w:p>
        </w:tc>
      </w:tr>
      <w:tr w:rsidR="00F90ADE" w:rsidRPr="00F90ADE" w14:paraId="75166752" w14:textId="77777777" w:rsidTr="007F3AA6">
        <w:tc>
          <w:tcPr>
            <w:tcW w:w="2552" w:type="dxa"/>
            <w:shd w:val="clear" w:color="auto" w:fill="FFFFFF"/>
          </w:tcPr>
          <w:p w14:paraId="2DD93F3A" w14:textId="46FED51F" w:rsidR="00CB0204" w:rsidRPr="00F90ADE" w:rsidRDefault="007F3AA6" w:rsidP="00CB0204">
            <w:pPr>
              <w:pStyle w:val="CETBodytext"/>
              <w:rPr>
                <w:color w:val="000000" w:themeColor="text1"/>
                <w:lang w:val="en-GB"/>
              </w:rPr>
            </w:pPr>
            <w:r w:rsidRPr="00F90ADE">
              <w:rPr>
                <w:color w:val="000000" w:themeColor="text1"/>
                <w:lang w:val="en-GB"/>
              </w:rPr>
              <w:t>Heat of primary reaction</w:t>
            </w:r>
          </w:p>
        </w:tc>
        <w:tc>
          <w:tcPr>
            <w:tcW w:w="1134" w:type="dxa"/>
            <w:shd w:val="clear" w:color="auto" w:fill="FFFFFF"/>
          </w:tcPr>
          <w:p w14:paraId="025B6F90" w14:textId="20ED7C86" w:rsidR="00CB0204" w:rsidRPr="00F90ADE" w:rsidRDefault="00CB0204" w:rsidP="00CB0204">
            <w:pPr>
              <w:pStyle w:val="CETBodytext"/>
              <w:rPr>
                <w:rFonts w:cs="Arial"/>
                <w:color w:val="000000" w:themeColor="text1"/>
                <w:lang w:val="en-GB"/>
              </w:rPr>
            </w:pPr>
            <w:r w:rsidRPr="00F90ADE">
              <w:rPr>
                <w:rFonts w:ascii="Cambria Math" w:eastAsia="Cambria Math" w:hAnsi="Cambria Math" w:cs="Cambria Math"/>
                <w:color w:val="000000" w:themeColor="text1"/>
                <w:w w:val="105"/>
                <w:position w:val="5"/>
              </w:rPr>
              <w:t>𝐼</w:t>
            </w:r>
            <w:r w:rsidRPr="00F90ADE">
              <w:rPr>
                <w:rFonts w:ascii="Cambria Math" w:eastAsia="Cambria Math" w:hAnsi="Cambria Math" w:cs="Cambria Math"/>
                <w:color w:val="000000" w:themeColor="text1"/>
                <w:w w:val="105"/>
              </w:rPr>
              <w:t>𝑟𝑚</w:t>
            </w:r>
          </w:p>
        </w:tc>
        <w:tc>
          <w:tcPr>
            <w:tcW w:w="1984" w:type="dxa"/>
            <w:shd w:val="clear" w:color="auto" w:fill="FFFFFF"/>
          </w:tcPr>
          <w:p w14:paraId="08D3927A" w14:textId="51CED641" w:rsidR="00CB0204" w:rsidRPr="00F90ADE" w:rsidRDefault="00CB0204" w:rsidP="00CB0204">
            <w:pPr>
              <w:pStyle w:val="CETBodytext"/>
              <w:rPr>
                <w:color w:val="000000" w:themeColor="text1"/>
              </w:rPr>
            </w:pPr>
            <w:r w:rsidRPr="00F90ADE">
              <w:rPr>
                <w:color w:val="000000" w:themeColor="text1"/>
              </w:rPr>
              <w:t>0-4</w:t>
            </w:r>
          </w:p>
        </w:tc>
      </w:tr>
      <w:tr w:rsidR="00F90ADE" w:rsidRPr="00F90ADE" w14:paraId="519925C0" w14:textId="77777777" w:rsidTr="007F3AA6">
        <w:tc>
          <w:tcPr>
            <w:tcW w:w="2552" w:type="dxa"/>
            <w:shd w:val="clear" w:color="auto" w:fill="FFFFFF"/>
          </w:tcPr>
          <w:p w14:paraId="01F23E35" w14:textId="4E6A7C7D" w:rsidR="00CB0204" w:rsidRPr="00F90ADE" w:rsidRDefault="007F3AA6" w:rsidP="00CB0204">
            <w:pPr>
              <w:pStyle w:val="CETBodytext"/>
              <w:rPr>
                <w:color w:val="000000" w:themeColor="text1"/>
                <w:lang w:val="en-GB"/>
              </w:rPr>
            </w:pPr>
            <w:r w:rsidRPr="00F90ADE">
              <w:rPr>
                <w:color w:val="000000" w:themeColor="text1"/>
                <w:lang w:val="en-GB"/>
              </w:rPr>
              <w:t>Heat of secondary reaction</w:t>
            </w:r>
          </w:p>
        </w:tc>
        <w:tc>
          <w:tcPr>
            <w:tcW w:w="1134" w:type="dxa"/>
            <w:shd w:val="clear" w:color="auto" w:fill="FFFFFF"/>
          </w:tcPr>
          <w:p w14:paraId="45492B54" w14:textId="65663D37" w:rsidR="00CB0204" w:rsidRPr="00F90ADE" w:rsidRDefault="00CB0204" w:rsidP="00CB0204">
            <w:pPr>
              <w:pStyle w:val="CETBodytext"/>
              <w:rPr>
                <w:rFonts w:cs="Arial"/>
                <w:color w:val="000000" w:themeColor="text1"/>
                <w:lang w:val="en-GB"/>
              </w:rPr>
            </w:pPr>
            <w:r w:rsidRPr="00F90ADE">
              <w:rPr>
                <w:rFonts w:ascii="Cambria Math" w:eastAsia="Cambria Math" w:hAnsi="Cambria Math" w:cs="Cambria Math"/>
                <w:color w:val="000000" w:themeColor="text1"/>
                <w:w w:val="105"/>
                <w:position w:val="5"/>
              </w:rPr>
              <w:t>𝐼</w:t>
            </w:r>
            <w:r w:rsidRPr="00F90ADE">
              <w:rPr>
                <w:rFonts w:ascii="Cambria Math" w:eastAsia="Cambria Math" w:hAnsi="Cambria Math" w:cs="Cambria Math"/>
                <w:color w:val="000000" w:themeColor="text1"/>
                <w:w w:val="105"/>
              </w:rPr>
              <w:t>𝑟𝑠</w:t>
            </w:r>
          </w:p>
        </w:tc>
        <w:tc>
          <w:tcPr>
            <w:tcW w:w="1984" w:type="dxa"/>
            <w:shd w:val="clear" w:color="auto" w:fill="FFFFFF"/>
          </w:tcPr>
          <w:p w14:paraId="23101893" w14:textId="1E476610" w:rsidR="00CB0204" w:rsidRPr="00F90ADE" w:rsidRDefault="00CB0204" w:rsidP="00CB0204">
            <w:pPr>
              <w:pStyle w:val="CETBodytext"/>
              <w:rPr>
                <w:color w:val="000000" w:themeColor="text1"/>
              </w:rPr>
            </w:pPr>
            <w:r w:rsidRPr="00F90ADE">
              <w:rPr>
                <w:color w:val="000000" w:themeColor="text1"/>
              </w:rPr>
              <w:t>0-4</w:t>
            </w:r>
          </w:p>
        </w:tc>
      </w:tr>
      <w:tr w:rsidR="00F90ADE" w:rsidRPr="00F90ADE" w14:paraId="1E57352B" w14:textId="77777777" w:rsidTr="007F3AA6">
        <w:tc>
          <w:tcPr>
            <w:tcW w:w="2552" w:type="dxa"/>
            <w:shd w:val="clear" w:color="auto" w:fill="FFFFFF"/>
          </w:tcPr>
          <w:p w14:paraId="14979BFF" w14:textId="2F5D4E33" w:rsidR="00CB0204" w:rsidRPr="00F90ADE" w:rsidRDefault="007F3AA6" w:rsidP="00CB0204">
            <w:pPr>
              <w:pStyle w:val="CETBodytext"/>
              <w:rPr>
                <w:color w:val="000000" w:themeColor="text1"/>
                <w:lang w:val="en-GB"/>
              </w:rPr>
            </w:pPr>
            <w:r w:rsidRPr="00F90ADE">
              <w:rPr>
                <w:color w:val="000000" w:themeColor="text1"/>
                <w:lang w:val="en-GB"/>
              </w:rPr>
              <w:t>Chemical interaction</w:t>
            </w:r>
          </w:p>
        </w:tc>
        <w:tc>
          <w:tcPr>
            <w:tcW w:w="1134" w:type="dxa"/>
            <w:shd w:val="clear" w:color="auto" w:fill="FFFFFF"/>
          </w:tcPr>
          <w:p w14:paraId="17484062" w14:textId="342329B0" w:rsidR="00CB0204" w:rsidRPr="00F90ADE" w:rsidRDefault="00CB0204" w:rsidP="00CB0204">
            <w:pPr>
              <w:pStyle w:val="CETBodytext"/>
              <w:rPr>
                <w:rFonts w:cs="Arial"/>
                <w:color w:val="000000" w:themeColor="text1"/>
                <w:lang w:val="en-GB"/>
              </w:rPr>
            </w:pPr>
            <w:r w:rsidRPr="00F90ADE">
              <w:rPr>
                <w:rFonts w:ascii="Cambria Math" w:eastAsia="Cambria Math" w:hAnsi="Cambria Math" w:cs="Cambria Math"/>
                <w:color w:val="000000" w:themeColor="text1"/>
                <w:spacing w:val="-4"/>
                <w:w w:val="110"/>
                <w:position w:val="5"/>
              </w:rPr>
              <w:t>𝐼</w:t>
            </w:r>
            <w:r w:rsidRPr="00F90ADE">
              <w:rPr>
                <w:rFonts w:ascii="Cambria Math" w:eastAsia="Cambria Math" w:hAnsi="Cambria Math" w:cs="Cambria Math"/>
                <w:color w:val="000000" w:themeColor="text1"/>
                <w:spacing w:val="-4"/>
                <w:w w:val="110"/>
              </w:rPr>
              <w:t>𝑖𝑛𝑡</w:t>
            </w:r>
          </w:p>
        </w:tc>
        <w:tc>
          <w:tcPr>
            <w:tcW w:w="1984" w:type="dxa"/>
            <w:shd w:val="clear" w:color="auto" w:fill="FFFFFF"/>
          </w:tcPr>
          <w:p w14:paraId="49DAB2AA" w14:textId="44030F6B" w:rsidR="00CB0204" w:rsidRPr="00F90ADE" w:rsidRDefault="00CB0204" w:rsidP="00CB0204">
            <w:pPr>
              <w:pStyle w:val="CETBodytext"/>
              <w:rPr>
                <w:color w:val="000000" w:themeColor="text1"/>
              </w:rPr>
            </w:pPr>
            <w:r w:rsidRPr="00F90ADE">
              <w:rPr>
                <w:color w:val="000000" w:themeColor="text1"/>
              </w:rPr>
              <w:t>0-4</w:t>
            </w:r>
          </w:p>
        </w:tc>
      </w:tr>
      <w:tr w:rsidR="00F90ADE" w:rsidRPr="00F90ADE" w14:paraId="7368F9D4" w14:textId="77777777" w:rsidTr="007F3AA6">
        <w:tc>
          <w:tcPr>
            <w:tcW w:w="2552" w:type="dxa"/>
            <w:shd w:val="clear" w:color="auto" w:fill="FFFFFF"/>
          </w:tcPr>
          <w:p w14:paraId="7786ACE5" w14:textId="1CA1B252" w:rsidR="00CB0204" w:rsidRPr="00F90ADE" w:rsidRDefault="007F3AA6" w:rsidP="00CB0204">
            <w:pPr>
              <w:pStyle w:val="CETBodytext"/>
              <w:ind w:right="-1"/>
              <w:rPr>
                <w:rFonts w:cs="Arial"/>
                <w:color w:val="000000" w:themeColor="text1"/>
                <w:szCs w:val="18"/>
                <w:lang w:val="en-GB"/>
              </w:rPr>
            </w:pPr>
            <w:r w:rsidRPr="00F90ADE">
              <w:rPr>
                <w:rFonts w:cs="Arial"/>
                <w:color w:val="000000" w:themeColor="text1"/>
                <w:szCs w:val="18"/>
                <w:lang w:val="en-GB"/>
              </w:rPr>
              <w:t>Flammability</w:t>
            </w:r>
          </w:p>
        </w:tc>
        <w:tc>
          <w:tcPr>
            <w:tcW w:w="1134" w:type="dxa"/>
            <w:shd w:val="clear" w:color="auto" w:fill="FFFFFF"/>
          </w:tcPr>
          <w:p w14:paraId="04A3D3FE" w14:textId="4473447A" w:rsidR="00CB0204" w:rsidRPr="00F90ADE" w:rsidRDefault="00CB0204" w:rsidP="00CB0204">
            <w:pPr>
              <w:pStyle w:val="CETBodytext"/>
              <w:rPr>
                <w:rFonts w:cs="Arial"/>
                <w:color w:val="000000" w:themeColor="text1"/>
                <w:lang w:val="en-GB"/>
              </w:rPr>
            </w:pPr>
            <w:r w:rsidRPr="00F90ADE">
              <w:rPr>
                <w:rFonts w:ascii="Cambria Math" w:eastAsia="Cambria Math" w:hAnsi="Cambria Math" w:cs="Cambria Math"/>
                <w:color w:val="000000" w:themeColor="text1"/>
                <w:w w:val="105"/>
                <w:position w:val="5"/>
              </w:rPr>
              <w:t>𝐼</w:t>
            </w:r>
            <w:r w:rsidRPr="00F90ADE">
              <w:rPr>
                <w:rFonts w:ascii="Cambria Math" w:eastAsia="Cambria Math" w:hAnsi="Cambria Math" w:cs="Cambria Math"/>
                <w:color w:val="000000" w:themeColor="text1"/>
                <w:w w:val="105"/>
              </w:rPr>
              <w:t>𝑓𝑙</w:t>
            </w:r>
          </w:p>
        </w:tc>
        <w:tc>
          <w:tcPr>
            <w:tcW w:w="1984" w:type="dxa"/>
            <w:shd w:val="clear" w:color="auto" w:fill="FFFFFF"/>
          </w:tcPr>
          <w:p w14:paraId="1C08620F" w14:textId="1516D689" w:rsidR="00CB0204" w:rsidRPr="00F90ADE" w:rsidRDefault="00CB0204" w:rsidP="00CB0204">
            <w:pPr>
              <w:pStyle w:val="CETBodytext"/>
              <w:rPr>
                <w:color w:val="000000" w:themeColor="text1"/>
              </w:rPr>
            </w:pPr>
            <w:r w:rsidRPr="00F90ADE">
              <w:rPr>
                <w:color w:val="000000" w:themeColor="text1"/>
              </w:rPr>
              <w:t>0-4</w:t>
            </w:r>
          </w:p>
        </w:tc>
      </w:tr>
      <w:tr w:rsidR="00F90ADE" w:rsidRPr="00F90ADE" w14:paraId="209ECAA1" w14:textId="77777777" w:rsidTr="007F3AA6">
        <w:tc>
          <w:tcPr>
            <w:tcW w:w="2552" w:type="dxa"/>
            <w:shd w:val="clear" w:color="auto" w:fill="FFFFFF"/>
          </w:tcPr>
          <w:p w14:paraId="4FAA947A" w14:textId="55080A9E" w:rsidR="00CB0204" w:rsidRPr="00F90ADE" w:rsidRDefault="007F3AA6" w:rsidP="00CB0204">
            <w:pPr>
              <w:pStyle w:val="CETBodytext"/>
              <w:ind w:right="-1"/>
              <w:rPr>
                <w:rFonts w:cs="Arial"/>
                <w:color w:val="000000" w:themeColor="text1"/>
                <w:szCs w:val="18"/>
                <w:lang w:val="en-GB"/>
              </w:rPr>
            </w:pPr>
            <w:r w:rsidRPr="00F90ADE">
              <w:rPr>
                <w:rFonts w:cs="Arial"/>
                <w:color w:val="000000" w:themeColor="text1"/>
                <w:szCs w:val="18"/>
                <w:lang w:val="en-GB"/>
              </w:rPr>
              <w:t>Explosiveness</w:t>
            </w:r>
          </w:p>
        </w:tc>
        <w:tc>
          <w:tcPr>
            <w:tcW w:w="1134" w:type="dxa"/>
            <w:shd w:val="clear" w:color="auto" w:fill="FFFFFF"/>
          </w:tcPr>
          <w:p w14:paraId="5E0EF4B2" w14:textId="283113EC" w:rsidR="00CB0204" w:rsidRPr="00F90ADE" w:rsidRDefault="00CB0204" w:rsidP="00CB0204">
            <w:pPr>
              <w:pStyle w:val="CETBodytext"/>
              <w:rPr>
                <w:rFonts w:cs="Arial"/>
                <w:color w:val="000000" w:themeColor="text1"/>
                <w:lang w:val="en-GB"/>
              </w:rPr>
            </w:pPr>
            <w:r w:rsidRPr="00F90ADE">
              <w:rPr>
                <w:rFonts w:ascii="Cambria Math" w:eastAsia="Cambria Math" w:hAnsi="Cambria Math" w:cs="Cambria Math"/>
                <w:color w:val="000000" w:themeColor="text1"/>
                <w:w w:val="105"/>
                <w:position w:val="5"/>
              </w:rPr>
              <w:t>𝐼</w:t>
            </w:r>
            <w:r w:rsidRPr="00F90ADE">
              <w:rPr>
                <w:rFonts w:ascii="Cambria Math" w:eastAsia="Cambria Math" w:hAnsi="Cambria Math" w:cs="Cambria Math"/>
                <w:color w:val="000000" w:themeColor="text1"/>
                <w:w w:val="105"/>
              </w:rPr>
              <w:t>𝑒𝑥</w:t>
            </w:r>
          </w:p>
        </w:tc>
        <w:tc>
          <w:tcPr>
            <w:tcW w:w="1984" w:type="dxa"/>
            <w:shd w:val="clear" w:color="auto" w:fill="FFFFFF"/>
          </w:tcPr>
          <w:p w14:paraId="7ECE2B79" w14:textId="7DD60984" w:rsidR="00CB0204" w:rsidRPr="00F90ADE" w:rsidRDefault="00CB0204" w:rsidP="00CB0204">
            <w:pPr>
              <w:pStyle w:val="CETBodytext"/>
              <w:rPr>
                <w:color w:val="000000" w:themeColor="text1"/>
              </w:rPr>
            </w:pPr>
            <w:r w:rsidRPr="00F90ADE">
              <w:rPr>
                <w:color w:val="000000" w:themeColor="text1"/>
              </w:rPr>
              <w:t>0-4</w:t>
            </w:r>
          </w:p>
        </w:tc>
      </w:tr>
      <w:tr w:rsidR="00F90ADE" w:rsidRPr="00F90ADE" w14:paraId="336688F1" w14:textId="77777777" w:rsidTr="007F3AA6">
        <w:tc>
          <w:tcPr>
            <w:tcW w:w="2552" w:type="dxa"/>
            <w:shd w:val="clear" w:color="auto" w:fill="FFFFFF"/>
          </w:tcPr>
          <w:p w14:paraId="301C2E34" w14:textId="248E7E0E" w:rsidR="00CB0204" w:rsidRPr="00F90ADE" w:rsidRDefault="007F3AA6" w:rsidP="00CB0204">
            <w:pPr>
              <w:pStyle w:val="CETBodytext"/>
              <w:ind w:right="-1"/>
              <w:rPr>
                <w:rFonts w:cs="Arial"/>
                <w:color w:val="000000" w:themeColor="text1"/>
                <w:szCs w:val="18"/>
                <w:lang w:val="en-GB"/>
              </w:rPr>
            </w:pPr>
            <w:r w:rsidRPr="00F90ADE">
              <w:rPr>
                <w:rFonts w:cs="Arial"/>
                <w:color w:val="000000" w:themeColor="text1"/>
                <w:szCs w:val="18"/>
                <w:lang w:val="en-GB"/>
              </w:rPr>
              <w:t>Toxic exposure</w:t>
            </w:r>
          </w:p>
        </w:tc>
        <w:tc>
          <w:tcPr>
            <w:tcW w:w="1134" w:type="dxa"/>
            <w:shd w:val="clear" w:color="auto" w:fill="FFFFFF"/>
          </w:tcPr>
          <w:p w14:paraId="44254586" w14:textId="1738036B" w:rsidR="00CB0204" w:rsidRPr="00F90ADE" w:rsidRDefault="00CB0204" w:rsidP="00CB0204">
            <w:pPr>
              <w:pStyle w:val="CETBodytext"/>
              <w:rPr>
                <w:rFonts w:cs="Arial"/>
                <w:color w:val="000000" w:themeColor="text1"/>
                <w:lang w:val="en-GB"/>
              </w:rPr>
            </w:pPr>
            <w:r w:rsidRPr="00F90ADE">
              <w:rPr>
                <w:rFonts w:ascii="Cambria Math" w:eastAsia="Cambria Math" w:hAnsi="Cambria Math" w:cs="Cambria Math"/>
                <w:color w:val="000000" w:themeColor="text1"/>
                <w:spacing w:val="-4"/>
                <w:w w:val="110"/>
                <w:position w:val="5"/>
              </w:rPr>
              <w:t>𝐼</w:t>
            </w:r>
            <w:r w:rsidRPr="00F90ADE">
              <w:rPr>
                <w:rFonts w:ascii="Cambria Math" w:eastAsia="Cambria Math" w:hAnsi="Cambria Math" w:cs="Cambria Math"/>
                <w:color w:val="000000" w:themeColor="text1"/>
                <w:spacing w:val="-4"/>
                <w:w w:val="110"/>
              </w:rPr>
              <w:t>𝑡𝑜𝑥</w:t>
            </w:r>
          </w:p>
        </w:tc>
        <w:tc>
          <w:tcPr>
            <w:tcW w:w="1984" w:type="dxa"/>
            <w:shd w:val="clear" w:color="auto" w:fill="FFFFFF"/>
          </w:tcPr>
          <w:p w14:paraId="64E90E34" w14:textId="5AE7DA17" w:rsidR="00CB0204" w:rsidRPr="00F90ADE" w:rsidRDefault="00CB0204" w:rsidP="00CB0204">
            <w:pPr>
              <w:pStyle w:val="CETBodytext"/>
              <w:rPr>
                <w:color w:val="000000" w:themeColor="text1"/>
              </w:rPr>
            </w:pPr>
            <w:r w:rsidRPr="00F90ADE">
              <w:rPr>
                <w:color w:val="000000" w:themeColor="text1"/>
              </w:rPr>
              <w:t>0-6</w:t>
            </w:r>
          </w:p>
        </w:tc>
      </w:tr>
      <w:tr w:rsidR="00F90ADE" w:rsidRPr="00F90ADE" w14:paraId="126E2C11" w14:textId="77777777" w:rsidTr="007F3AA6">
        <w:tc>
          <w:tcPr>
            <w:tcW w:w="2552" w:type="dxa"/>
            <w:shd w:val="clear" w:color="auto" w:fill="FFFFFF"/>
          </w:tcPr>
          <w:p w14:paraId="7625F853" w14:textId="25EDFC82" w:rsidR="00CB0204" w:rsidRPr="00F90ADE" w:rsidRDefault="007F3AA6" w:rsidP="00CB0204">
            <w:pPr>
              <w:pStyle w:val="CETBodytext"/>
              <w:ind w:right="-1"/>
              <w:rPr>
                <w:rFonts w:cs="Arial"/>
                <w:color w:val="000000" w:themeColor="text1"/>
                <w:szCs w:val="18"/>
                <w:lang w:val="en-GB"/>
              </w:rPr>
            </w:pPr>
            <w:r w:rsidRPr="00F90ADE">
              <w:rPr>
                <w:rFonts w:cs="Arial"/>
                <w:color w:val="000000" w:themeColor="text1"/>
                <w:szCs w:val="18"/>
                <w:lang w:val="en-GB"/>
              </w:rPr>
              <w:t>Corrosivity</w:t>
            </w:r>
          </w:p>
        </w:tc>
        <w:tc>
          <w:tcPr>
            <w:tcW w:w="1134" w:type="dxa"/>
            <w:shd w:val="clear" w:color="auto" w:fill="FFFFFF"/>
          </w:tcPr>
          <w:p w14:paraId="29B47B52" w14:textId="0BA6835E" w:rsidR="00CB0204" w:rsidRPr="00F90ADE" w:rsidRDefault="00CB0204" w:rsidP="00CB0204">
            <w:pPr>
              <w:pStyle w:val="CETBodytext"/>
              <w:rPr>
                <w:rFonts w:cs="Arial"/>
                <w:color w:val="000000" w:themeColor="text1"/>
                <w:lang w:val="en-GB"/>
              </w:rPr>
            </w:pPr>
            <w:r w:rsidRPr="00F90ADE">
              <w:rPr>
                <w:rFonts w:ascii="Cambria Math" w:eastAsia="Cambria Math" w:hAnsi="Cambria Math" w:cs="Cambria Math"/>
                <w:color w:val="000000" w:themeColor="text1"/>
                <w:spacing w:val="-4"/>
                <w:w w:val="110"/>
                <w:position w:val="5"/>
              </w:rPr>
              <w:t>𝐼</w:t>
            </w:r>
            <w:r w:rsidRPr="00F90ADE">
              <w:rPr>
                <w:rFonts w:ascii="Cambria Math" w:eastAsia="Cambria Math" w:hAnsi="Cambria Math" w:cs="Cambria Math"/>
                <w:color w:val="000000" w:themeColor="text1"/>
                <w:spacing w:val="-4"/>
                <w:w w:val="110"/>
              </w:rPr>
              <w:t>𝑐𝑜𝑟</w:t>
            </w:r>
          </w:p>
        </w:tc>
        <w:tc>
          <w:tcPr>
            <w:tcW w:w="1984" w:type="dxa"/>
            <w:shd w:val="clear" w:color="auto" w:fill="FFFFFF"/>
          </w:tcPr>
          <w:p w14:paraId="0BEBB350" w14:textId="0E0A6CEA" w:rsidR="00CB0204" w:rsidRPr="00F90ADE" w:rsidRDefault="00CB0204" w:rsidP="00CB0204">
            <w:pPr>
              <w:pStyle w:val="CETBodytext"/>
              <w:rPr>
                <w:color w:val="000000" w:themeColor="text1"/>
              </w:rPr>
            </w:pPr>
            <w:r w:rsidRPr="00F90ADE">
              <w:rPr>
                <w:color w:val="000000" w:themeColor="text1"/>
              </w:rPr>
              <w:t>0-2</w:t>
            </w:r>
          </w:p>
        </w:tc>
      </w:tr>
      <w:tr w:rsidR="00F90ADE" w:rsidRPr="00F90ADE" w14:paraId="2A0CAD43" w14:textId="77777777" w:rsidTr="007F3AA6">
        <w:tc>
          <w:tcPr>
            <w:tcW w:w="2552" w:type="dxa"/>
            <w:shd w:val="clear" w:color="auto" w:fill="FFFFFF"/>
          </w:tcPr>
          <w:p w14:paraId="3E8AB9FC" w14:textId="24CCF518" w:rsidR="00CB0204" w:rsidRPr="00F90ADE" w:rsidRDefault="007F3AA6" w:rsidP="00CB0204">
            <w:pPr>
              <w:pStyle w:val="CETBodytext"/>
              <w:ind w:right="-1"/>
              <w:rPr>
                <w:rFonts w:cs="Arial"/>
                <w:color w:val="000000" w:themeColor="text1"/>
                <w:szCs w:val="18"/>
                <w:lang w:val="en-GB"/>
              </w:rPr>
            </w:pPr>
            <w:r w:rsidRPr="00F90ADE">
              <w:rPr>
                <w:rFonts w:cs="Arial"/>
                <w:color w:val="000000" w:themeColor="text1"/>
                <w:szCs w:val="18"/>
                <w:lang w:val="en-GB"/>
              </w:rPr>
              <w:t>Inventory</w:t>
            </w:r>
          </w:p>
        </w:tc>
        <w:tc>
          <w:tcPr>
            <w:tcW w:w="1134" w:type="dxa"/>
            <w:shd w:val="clear" w:color="auto" w:fill="FFFFFF"/>
          </w:tcPr>
          <w:p w14:paraId="6B0DD827" w14:textId="41011696" w:rsidR="00CB0204" w:rsidRPr="00F90ADE" w:rsidRDefault="00CB0204" w:rsidP="00CB0204">
            <w:pPr>
              <w:pStyle w:val="CETBodytext"/>
              <w:rPr>
                <w:rFonts w:cs="Arial"/>
                <w:color w:val="000000" w:themeColor="text1"/>
                <w:lang w:val="en-GB"/>
              </w:rPr>
            </w:pPr>
            <w:r w:rsidRPr="00F90ADE">
              <w:rPr>
                <w:rFonts w:ascii="Cambria Math" w:eastAsia="Cambria Math" w:hAnsi="Cambria Math" w:cs="Cambria Math"/>
                <w:color w:val="000000" w:themeColor="text1"/>
                <w:w w:val="105"/>
              </w:rPr>
              <w:t>𝐼</w:t>
            </w:r>
            <w:r w:rsidRPr="00F90ADE">
              <w:rPr>
                <w:rFonts w:ascii="Cambria Math" w:eastAsia="Cambria Math" w:hAnsi="Cambria Math" w:cs="Cambria Math"/>
                <w:color w:val="000000" w:themeColor="text1"/>
                <w:w w:val="105"/>
                <w:vertAlign w:val="subscript"/>
              </w:rPr>
              <w:t>𝐼</w:t>
            </w:r>
          </w:p>
        </w:tc>
        <w:tc>
          <w:tcPr>
            <w:tcW w:w="1984" w:type="dxa"/>
            <w:shd w:val="clear" w:color="auto" w:fill="FFFFFF"/>
          </w:tcPr>
          <w:p w14:paraId="0D2A47AF" w14:textId="61CC6091" w:rsidR="00CB0204" w:rsidRPr="00F90ADE" w:rsidRDefault="00CB0204" w:rsidP="00CB0204">
            <w:pPr>
              <w:pStyle w:val="CETBodytext"/>
              <w:rPr>
                <w:color w:val="000000" w:themeColor="text1"/>
              </w:rPr>
            </w:pPr>
            <w:r w:rsidRPr="00F90ADE">
              <w:rPr>
                <w:color w:val="000000" w:themeColor="text1"/>
              </w:rPr>
              <w:t>0-5</w:t>
            </w:r>
          </w:p>
        </w:tc>
      </w:tr>
      <w:tr w:rsidR="00F90ADE" w:rsidRPr="00F90ADE" w14:paraId="1C76048C" w14:textId="77777777" w:rsidTr="007F3AA6">
        <w:tc>
          <w:tcPr>
            <w:tcW w:w="2552" w:type="dxa"/>
            <w:shd w:val="clear" w:color="auto" w:fill="FFFFFF"/>
          </w:tcPr>
          <w:p w14:paraId="186AA72E" w14:textId="5293898B" w:rsidR="00CB0204" w:rsidRPr="00F90ADE" w:rsidRDefault="007F3AA6" w:rsidP="00CB0204">
            <w:pPr>
              <w:pStyle w:val="CETBodytext"/>
              <w:ind w:right="-1"/>
              <w:rPr>
                <w:rFonts w:cs="Arial"/>
                <w:color w:val="000000" w:themeColor="text1"/>
                <w:szCs w:val="18"/>
                <w:lang w:val="en-GB"/>
              </w:rPr>
            </w:pPr>
            <w:r w:rsidRPr="00F90ADE">
              <w:rPr>
                <w:rFonts w:cs="Arial"/>
                <w:color w:val="000000" w:themeColor="text1"/>
                <w:szCs w:val="18"/>
                <w:lang w:val="en-GB"/>
              </w:rPr>
              <w:t>Process temperature</w:t>
            </w:r>
          </w:p>
        </w:tc>
        <w:tc>
          <w:tcPr>
            <w:tcW w:w="1134" w:type="dxa"/>
            <w:shd w:val="clear" w:color="auto" w:fill="FFFFFF"/>
          </w:tcPr>
          <w:p w14:paraId="4E9C4283" w14:textId="78A17FFA" w:rsidR="00CB0204" w:rsidRPr="00F90ADE" w:rsidRDefault="00CB0204" w:rsidP="00CB0204">
            <w:pPr>
              <w:pStyle w:val="CETBodytext"/>
              <w:rPr>
                <w:rFonts w:cs="Arial"/>
                <w:color w:val="000000" w:themeColor="text1"/>
                <w:lang w:val="en-GB"/>
              </w:rPr>
            </w:pPr>
            <w:r w:rsidRPr="00F90ADE">
              <w:rPr>
                <w:rFonts w:ascii="Cambria Math" w:eastAsia="Cambria Math" w:hAnsi="Cambria Math" w:cs="Cambria Math"/>
                <w:color w:val="000000" w:themeColor="text1"/>
                <w:w w:val="105"/>
              </w:rPr>
              <w:t>𝐼</w:t>
            </w:r>
            <w:r w:rsidRPr="00F90ADE">
              <w:rPr>
                <w:rFonts w:ascii="Cambria Math" w:eastAsia="Cambria Math" w:hAnsi="Cambria Math" w:cs="Cambria Math"/>
                <w:color w:val="000000" w:themeColor="text1"/>
                <w:w w:val="105"/>
                <w:vertAlign w:val="subscript"/>
              </w:rPr>
              <w:t>𝑇</w:t>
            </w:r>
          </w:p>
        </w:tc>
        <w:tc>
          <w:tcPr>
            <w:tcW w:w="1984" w:type="dxa"/>
            <w:shd w:val="clear" w:color="auto" w:fill="FFFFFF"/>
          </w:tcPr>
          <w:p w14:paraId="5BB07B46" w14:textId="66B789D6" w:rsidR="00CB0204" w:rsidRPr="00F90ADE" w:rsidRDefault="00CB0204" w:rsidP="00CB0204">
            <w:pPr>
              <w:pStyle w:val="CETBodytext"/>
              <w:rPr>
                <w:color w:val="000000" w:themeColor="text1"/>
              </w:rPr>
            </w:pPr>
            <w:r w:rsidRPr="00F90ADE">
              <w:rPr>
                <w:color w:val="000000" w:themeColor="text1"/>
              </w:rPr>
              <w:t>0-4</w:t>
            </w:r>
          </w:p>
        </w:tc>
      </w:tr>
      <w:tr w:rsidR="00F90ADE" w:rsidRPr="00F90ADE" w14:paraId="1D3371C7" w14:textId="77777777" w:rsidTr="007F3AA6">
        <w:tc>
          <w:tcPr>
            <w:tcW w:w="2552" w:type="dxa"/>
            <w:shd w:val="clear" w:color="auto" w:fill="FFFFFF"/>
          </w:tcPr>
          <w:p w14:paraId="23E7965C" w14:textId="7E071A3B" w:rsidR="00CB0204" w:rsidRPr="00F90ADE" w:rsidRDefault="007F3AA6" w:rsidP="00CB0204">
            <w:pPr>
              <w:pStyle w:val="CETBodytext"/>
              <w:ind w:right="-1"/>
              <w:rPr>
                <w:rFonts w:cs="Arial"/>
                <w:color w:val="000000" w:themeColor="text1"/>
                <w:szCs w:val="18"/>
                <w:lang w:val="en-GB"/>
              </w:rPr>
            </w:pPr>
            <w:r w:rsidRPr="00F90ADE">
              <w:rPr>
                <w:rFonts w:cs="Arial"/>
                <w:color w:val="000000" w:themeColor="text1"/>
                <w:szCs w:val="18"/>
                <w:lang w:val="en-GB"/>
              </w:rPr>
              <w:t>Process pressure</w:t>
            </w:r>
          </w:p>
        </w:tc>
        <w:tc>
          <w:tcPr>
            <w:tcW w:w="1134" w:type="dxa"/>
            <w:shd w:val="clear" w:color="auto" w:fill="FFFFFF"/>
          </w:tcPr>
          <w:p w14:paraId="06801FB1" w14:textId="2A2FC5DD" w:rsidR="00CB0204" w:rsidRPr="00F90ADE" w:rsidRDefault="00CB0204" w:rsidP="00CB0204">
            <w:pPr>
              <w:pStyle w:val="CETBodytext"/>
              <w:rPr>
                <w:rFonts w:cs="Arial"/>
                <w:color w:val="000000" w:themeColor="text1"/>
                <w:lang w:val="en-GB"/>
              </w:rPr>
            </w:pPr>
            <w:r w:rsidRPr="00F90ADE">
              <w:rPr>
                <w:rFonts w:ascii="Cambria Math" w:eastAsia="Cambria Math" w:hAnsi="Cambria Math" w:cs="Cambria Math"/>
                <w:color w:val="000000" w:themeColor="text1"/>
                <w:w w:val="105"/>
              </w:rPr>
              <w:t>𝐼</w:t>
            </w:r>
            <w:r w:rsidRPr="00F90ADE">
              <w:rPr>
                <w:rFonts w:ascii="Cambria Math" w:eastAsia="Cambria Math" w:hAnsi="Cambria Math" w:cs="Cambria Math"/>
                <w:color w:val="000000" w:themeColor="text1"/>
                <w:w w:val="105"/>
                <w:vertAlign w:val="subscript"/>
              </w:rPr>
              <w:t>𝑃</w:t>
            </w:r>
          </w:p>
        </w:tc>
        <w:tc>
          <w:tcPr>
            <w:tcW w:w="1984" w:type="dxa"/>
            <w:shd w:val="clear" w:color="auto" w:fill="FFFFFF"/>
          </w:tcPr>
          <w:p w14:paraId="7C4C7BB9" w14:textId="05C67113" w:rsidR="00CB0204" w:rsidRPr="00F90ADE" w:rsidRDefault="00CB0204" w:rsidP="00CB0204">
            <w:pPr>
              <w:pStyle w:val="CETBodytext"/>
              <w:rPr>
                <w:color w:val="000000" w:themeColor="text1"/>
              </w:rPr>
            </w:pPr>
            <w:r w:rsidRPr="00F90ADE">
              <w:rPr>
                <w:color w:val="000000" w:themeColor="text1"/>
              </w:rPr>
              <w:t>0-4</w:t>
            </w:r>
          </w:p>
        </w:tc>
      </w:tr>
      <w:tr w:rsidR="00F90ADE" w:rsidRPr="00F90ADE" w14:paraId="14AD6E35" w14:textId="77777777" w:rsidTr="007F3AA6">
        <w:tc>
          <w:tcPr>
            <w:tcW w:w="2552" w:type="dxa"/>
            <w:shd w:val="clear" w:color="auto" w:fill="FFFFFF"/>
          </w:tcPr>
          <w:p w14:paraId="66BAB4C9" w14:textId="6576CBB1" w:rsidR="00CB0204" w:rsidRPr="00F90ADE" w:rsidRDefault="007F3AA6" w:rsidP="00CB0204">
            <w:pPr>
              <w:pStyle w:val="CETBodytext"/>
              <w:ind w:right="-1"/>
              <w:rPr>
                <w:rFonts w:cs="Arial"/>
                <w:color w:val="000000" w:themeColor="text1"/>
                <w:szCs w:val="18"/>
                <w:lang w:val="en-GB"/>
              </w:rPr>
            </w:pPr>
            <w:r w:rsidRPr="00F90ADE">
              <w:rPr>
                <w:rFonts w:cs="Arial"/>
                <w:color w:val="000000" w:themeColor="text1"/>
                <w:szCs w:val="18"/>
                <w:lang w:val="en-GB"/>
              </w:rPr>
              <w:t>Equipment safety</w:t>
            </w:r>
          </w:p>
        </w:tc>
        <w:tc>
          <w:tcPr>
            <w:tcW w:w="1134" w:type="dxa"/>
            <w:shd w:val="clear" w:color="auto" w:fill="FFFFFF"/>
          </w:tcPr>
          <w:p w14:paraId="23B66AA6" w14:textId="28ECABD0" w:rsidR="00CB0204" w:rsidRPr="00F90ADE" w:rsidRDefault="00CB0204" w:rsidP="00CB0204">
            <w:pPr>
              <w:pStyle w:val="CETBodytext"/>
              <w:rPr>
                <w:rFonts w:cs="Arial"/>
                <w:color w:val="000000" w:themeColor="text1"/>
                <w:lang w:val="en-GB"/>
              </w:rPr>
            </w:pPr>
            <w:r w:rsidRPr="00F90ADE">
              <w:rPr>
                <w:rFonts w:ascii="Cambria Math" w:eastAsia="Cambria Math" w:hAnsi="Cambria Math" w:cs="Cambria Math"/>
                <w:color w:val="000000" w:themeColor="text1"/>
                <w:position w:val="5"/>
              </w:rPr>
              <w:t>𝐼</w:t>
            </w:r>
            <w:r w:rsidRPr="00F90ADE">
              <w:rPr>
                <w:rFonts w:ascii="Cambria Math" w:eastAsia="Cambria Math" w:hAnsi="Cambria Math" w:cs="Cambria Math"/>
                <w:color w:val="000000" w:themeColor="text1"/>
              </w:rPr>
              <w:t>𝐸𝑄</w:t>
            </w:r>
          </w:p>
        </w:tc>
        <w:tc>
          <w:tcPr>
            <w:tcW w:w="1984" w:type="dxa"/>
            <w:shd w:val="clear" w:color="auto" w:fill="FFFFFF"/>
          </w:tcPr>
          <w:p w14:paraId="28261DCD" w14:textId="1A881019" w:rsidR="00CB0204" w:rsidRPr="00F90ADE" w:rsidRDefault="00CB0204" w:rsidP="00CB0204">
            <w:pPr>
              <w:pStyle w:val="CETBodytext"/>
              <w:rPr>
                <w:color w:val="000000" w:themeColor="text1"/>
              </w:rPr>
            </w:pPr>
            <w:r w:rsidRPr="00F90ADE">
              <w:rPr>
                <w:color w:val="000000" w:themeColor="text1"/>
              </w:rPr>
              <w:t>0-4 (ISBL); 0-3 (OSBL)</w:t>
            </w:r>
          </w:p>
        </w:tc>
      </w:tr>
      <w:tr w:rsidR="00F90ADE" w:rsidRPr="00F90ADE" w14:paraId="1B20ADE9" w14:textId="77777777" w:rsidTr="007F3AA6">
        <w:tc>
          <w:tcPr>
            <w:tcW w:w="2552" w:type="dxa"/>
            <w:shd w:val="clear" w:color="auto" w:fill="FFFFFF"/>
          </w:tcPr>
          <w:p w14:paraId="582664A8" w14:textId="3DEB3BD5" w:rsidR="00CB0204" w:rsidRPr="00F90ADE" w:rsidRDefault="007F3AA6" w:rsidP="00CB0204">
            <w:pPr>
              <w:pStyle w:val="CETBodytext"/>
              <w:ind w:right="-1"/>
              <w:rPr>
                <w:rFonts w:cs="Arial"/>
                <w:color w:val="000000" w:themeColor="text1"/>
                <w:szCs w:val="18"/>
                <w:lang w:val="en-GB"/>
              </w:rPr>
            </w:pPr>
            <w:r w:rsidRPr="00F90ADE">
              <w:rPr>
                <w:rFonts w:cs="Arial"/>
                <w:color w:val="000000" w:themeColor="text1"/>
                <w:szCs w:val="18"/>
                <w:lang w:val="en-GB"/>
              </w:rPr>
              <w:t>Safe structure</w:t>
            </w:r>
          </w:p>
        </w:tc>
        <w:tc>
          <w:tcPr>
            <w:tcW w:w="1134" w:type="dxa"/>
            <w:shd w:val="clear" w:color="auto" w:fill="FFFFFF"/>
          </w:tcPr>
          <w:p w14:paraId="53F060CA" w14:textId="70DE5822" w:rsidR="00CB0204" w:rsidRPr="00F90ADE" w:rsidRDefault="00CB0204" w:rsidP="00CB0204">
            <w:pPr>
              <w:pStyle w:val="CETBodytext"/>
              <w:rPr>
                <w:rFonts w:cs="Arial"/>
                <w:color w:val="000000" w:themeColor="text1"/>
                <w:lang w:val="en-GB"/>
              </w:rPr>
            </w:pPr>
            <w:r w:rsidRPr="00F90ADE">
              <w:rPr>
                <w:rFonts w:ascii="Cambria Math" w:eastAsia="Cambria Math" w:hAnsi="Cambria Math" w:cs="Cambria Math"/>
                <w:color w:val="000000" w:themeColor="text1"/>
                <w:position w:val="5"/>
              </w:rPr>
              <w:t>𝐼</w:t>
            </w:r>
            <w:r w:rsidRPr="00F90ADE">
              <w:rPr>
                <w:rFonts w:ascii="Cambria Math" w:eastAsia="Cambria Math" w:hAnsi="Cambria Math" w:cs="Cambria Math"/>
                <w:color w:val="000000" w:themeColor="text1"/>
              </w:rPr>
              <w:t>𝑆𝑇</w:t>
            </w:r>
          </w:p>
        </w:tc>
        <w:tc>
          <w:tcPr>
            <w:tcW w:w="1984" w:type="dxa"/>
            <w:shd w:val="clear" w:color="auto" w:fill="FFFFFF"/>
          </w:tcPr>
          <w:p w14:paraId="47BE0477" w14:textId="1CE81461" w:rsidR="00CB0204" w:rsidRPr="00F90ADE" w:rsidRDefault="00CB0204" w:rsidP="00CB0204">
            <w:pPr>
              <w:pStyle w:val="CETBodytext"/>
              <w:rPr>
                <w:color w:val="000000" w:themeColor="text1"/>
              </w:rPr>
            </w:pPr>
            <w:r w:rsidRPr="00F90ADE">
              <w:rPr>
                <w:color w:val="000000" w:themeColor="text1"/>
              </w:rPr>
              <w:t>0-5</w:t>
            </w:r>
          </w:p>
        </w:tc>
      </w:tr>
    </w:tbl>
    <w:p w14:paraId="1DA359DE" w14:textId="797F3B00" w:rsidR="007F3AA6" w:rsidRPr="00F90ADE" w:rsidRDefault="007F3AA6" w:rsidP="007F3AA6">
      <w:pPr>
        <w:pStyle w:val="CETBodytext"/>
        <w:rPr>
          <w:color w:val="000000" w:themeColor="text1"/>
        </w:rPr>
      </w:pPr>
    </w:p>
    <w:p w14:paraId="442799B6" w14:textId="5F1A1B85" w:rsidR="007F3AA6" w:rsidRPr="00F90ADE" w:rsidRDefault="007F3AA6" w:rsidP="007F3AA6">
      <w:pPr>
        <w:pStyle w:val="CETBodytext"/>
        <w:rPr>
          <w:color w:val="000000" w:themeColor="text1"/>
        </w:rPr>
      </w:pPr>
      <w:r w:rsidRPr="00F90ADE">
        <w:rPr>
          <w:color w:val="000000" w:themeColor="text1"/>
        </w:rPr>
        <w:t>Chemical reactivity is assessed based on the enthalpy of reaction (∆</w:t>
      </w:r>
      <w:r w:rsidRPr="00F90ADE">
        <w:rPr>
          <w:rFonts w:ascii="Cambria Math" w:hAnsi="Cambria Math" w:cs="Cambria Math"/>
          <w:color w:val="000000" w:themeColor="text1"/>
        </w:rPr>
        <w:t>𝐻</w:t>
      </w:r>
      <w:r w:rsidRPr="00F90ADE">
        <w:rPr>
          <w:rFonts w:ascii="Cambria Math" w:hAnsi="Cambria Math" w:cs="Cambria Math"/>
          <w:color w:val="000000" w:themeColor="text1"/>
          <w:vertAlign w:val="subscript"/>
        </w:rPr>
        <w:t>𝑓</w:t>
      </w:r>
      <w:r w:rsidRPr="00F90ADE">
        <w:rPr>
          <w:color w:val="000000" w:themeColor="text1"/>
        </w:rPr>
        <w:t>), using the highest values observed in both the primary (main product formation) and secondary reactions (not involved in the main product). These sub-indicators evaluate how exothermic a reaction is, with scores ranging from 0 for endothermic reactions (∆</w:t>
      </w:r>
      <w:r w:rsidRPr="00F90ADE">
        <w:rPr>
          <w:rFonts w:ascii="Cambria Math" w:hAnsi="Cambria Math" w:cs="Cambria Math"/>
          <w:color w:val="000000" w:themeColor="text1"/>
        </w:rPr>
        <w:t>𝐻</w:t>
      </w:r>
      <w:r w:rsidRPr="00F90ADE">
        <w:rPr>
          <w:rFonts w:ascii="Cambria Math" w:hAnsi="Cambria Math" w:cs="Cambria Math"/>
          <w:color w:val="000000" w:themeColor="text1"/>
          <w:vertAlign w:val="subscript"/>
        </w:rPr>
        <w:t>𝑓</w:t>
      </w:r>
      <m:oMath>
        <m:r>
          <w:rPr>
            <w:rFonts w:ascii="Cambria Math" w:hAnsi="Cambria Math" w:cs="Cambria Math"/>
            <w:color w:val="000000" w:themeColor="text1"/>
            <w:vertAlign w:val="subscript"/>
          </w:rPr>
          <m:t>≈</m:t>
        </m:r>
      </m:oMath>
      <w:r w:rsidRPr="00F90ADE">
        <w:rPr>
          <w:color w:val="000000" w:themeColor="text1"/>
        </w:rPr>
        <w:t xml:space="preserve">0 </w:t>
      </w:r>
      <w:r w:rsidRPr="00F90ADE">
        <w:rPr>
          <w:rFonts w:ascii="Cambria Math" w:hAnsi="Cambria Math" w:cs="Cambria Math"/>
          <w:color w:val="000000" w:themeColor="text1"/>
        </w:rPr>
        <w:t>𝑗</w:t>
      </w:r>
      <w:r w:rsidRPr="00F90ADE">
        <w:rPr>
          <w:color w:val="000000" w:themeColor="text1"/>
        </w:rPr>
        <w:t>/</w:t>
      </w:r>
      <w:r w:rsidRPr="00F90ADE">
        <w:rPr>
          <w:rFonts w:ascii="Cambria Math" w:hAnsi="Cambria Math" w:cs="Cambria Math"/>
          <w:color w:val="000000" w:themeColor="text1"/>
        </w:rPr>
        <w:t>𝑔</w:t>
      </w:r>
      <w:r w:rsidRPr="00F90ADE">
        <w:rPr>
          <w:color w:val="000000" w:themeColor="text1"/>
        </w:rPr>
        <w:t>) to 4 for highly exothermic reactions (∆</w:t>
      </w:r>
      <w:r w:rsidRPr="00F90ADE">
        <w:rPr>
          <w:rFonts w:ascii="Cambria Math" w:hAnsi="Cambria Math" w:cs="Cambria Math"/>
          <w:color w:val="000000" w:themeColor="text1"/>
        </w:rPr>
        <w:t>𝐻</w:t>
      </w:r>
      <w:r w:rsidRPr="00F90ADE">
        <w:rPr>
          <w:rFonts w:ascii="Cambria Math" w:hAnsi="Cambria Math" w:cs="Cambria Math"/>
          <w:color w:val="000000" w:themeColor="text1"/>
          <w:vertAlign w:val="subscript"/>
        </w:rPr>
        <w:t>𝑓</w:t>
      </w:r>
      <w:r w:rsidRPr="00F90ADE">
        <w:rPr>
          <w:color w:val="000000" w:themeColor="text1"/>
        </w:rPr>
        <w:t xml:space="preserve">≤−3000 </w:t>
      </w:r>
      <w:r w:rsidRPr="00F90ADE">
        <w:rPr>
          <w:rFonts w:ascii="Cambria Math" w:hAnsi="Cambria Math" w:cs="Cambria Math"/>
          <w:color w:val="000000" w:themeColor="text1"/>
        </w:rPr>
        <w:t>𝑗</w:t>
      </w:r>
      <w:r w:rsidRPr="00F90ADE">
        <w:rPr>
          <w:color w:val="000000" w:themeColor="text1"/>
        </w:rPr>
        <w:t>/</w:t>
      </w:r>
      <w:r w:rsidRPr="00F90ADE">
        <w:rPr>
          <w:rFonts w:ascii="Cambria Math" w:hAnsi="Cambria Math" w:cs="Cambria Math"/>
          <w:color w:val="000000" w:themeColor="text1"/>
        </w:rPr>
        <w:t>𝑔</w:t>
      </w:r>
      <w:r w:rsidRPr="00F90ADE">
        <w:rPr>
          <w:color w:val="000000" w:themeColor="text1"/>
        </w:rPr>
        <w:t xml:space="preserve">). Chemical interactions describe unintended reactions among chemicals outside the reactors; the score depends on the severity of possible interactions such as fire (score 4), formation of flammable or toxic gases (score 2 or 3), explosions (score 4), rapid polymerization (score 2 or 3), </w:t>
      </w:r>
      <w:r w:rsidR="00ED3043" w:rsidRPr="00F90ADE">
        <w:rPr>
          <w:color w:val="000000" w:themeColor="text1"/>
        </w:rPr>
        <w:t xml:space="preserve">and </w:t>
      </w:r>
      <w:r w:rsidRPr="00F90ADE">
        <w:rPr>
          <w:color w:val="000000" w:themeColor="text1"/>
        </w:rPr>
        <w:t xml:space="preserve">heat release (score 1 or 3). Flammability assesses how easily a substance can ignite, based on its flash point or boiling point (°C), from nonflammable (score 0) to very flammable (score 4, flash point below 0°C). Explosiveness gauges a gas’s propensity to create explosive air mixtures, measured by the difference between upper and lower explosion limits (UEL-LEL %) — from 0 for nonexplosive to 4 for highly explosive, with a 70–100% difference. Toxicity </w:t>
      </w:r>
      <w:r w:rsidR="00C21903" w:rsidRPr="00F90ADE">
        <w:rPr>
          <w:color w:val="000000" w:themeColor="text1"/>
        </w:rPr>
        <w:t xml:space="preserve">is assessed using the threshold limit value (TLV), expressed in ppm; lower TLV values indicate greater hazard, ranging </w:t>
      </w:r>
      <w:r w:rsidRPr="00F90ADE">
        <w:rPr>
          <w:color w:val="000000" w:themeColor="text1"/>
        </w:rPr>
        <w:t>from 0 for TLV ≥10,000 ppm to 6 for TLV ≤0.1 ppm. Corrosivity reflects the risk of material degradation in equipment, with higher-resistance materials scoring higher (0 for carbon steel to 2 for specialized materials).</w:t>
      </w:r>
    </w:p>
    <w:p w14:paraId="323CB281" w14:textId="3BC7E866" w:rsidR="007F3AA6" w:rsidRPr="00F90ADE" w:rsidRDefault="007F3AA6" w:rsidP="007F3AA6">
      <w:pPr>
        <w:pStyle w:val="CETBodytext"/>
        <w:rPr>
          <w:color w:val="000000" w:themeColor="text1"/>
        </w:rPr>
      </w:pPr>
      <w:r w:rsidRPr="00F90ADE">
        <w:rPr>
          <w:color w:val="000000" w:themeColor="text1"/>
        </w:rPr>
        <w:t xml:space="preserve">The inventory </w:t>
      </w:r>
      <w:proofErr w:type="spellStart"/>
      <w:r w:rsidRPr="00F90ADE">
        <w:rPr>
          <w:color w:val="000000" w:themeColor="text1"/>
        </w:rPr>
        <w:t>subindex</w:t>
      </w:r>
      <w:proofErr w:type="spellEnd"/>
      <w:r w:rsidRPr="00F90ADE">
        <w:rPr>
          <w:color w:val="000000" w:themeColor="text1"/>
        </w:rPr>
        <w:t xml:space="preserve"> assesses risks associated with maintaining specific quantities of substances, applicable within the internal or inside battery limit (ISBL) and the external or outside battery limit (OSBL). These geographical zones define the boundaries of particular processes. The ISBL covers core operations that convert raw materials into products, characterized by dense equipment and piping in a confined space. Conversely, the OSBL includes auxiliary systems</w:t>
      </w:r>
      <w:r w:rsidR="00C21903" w:rsidRPr="00F90ADE">
        <w:rPr>
          <w:color w:val="000000" w:themeColor="text1"/>
        </w:rPr>
        <w:t>, such as storage and utilities, which typically occupy larger</w:t>
      </w:r>
      <w:r w:rsidRPr="00F90ADE">
        <w:rPr>
          <w:color w:val="000000" w:themeColor="text1"/>
        </w:rPr>
        <w:t xml:space="preserve"> open areas. It is based on equipment capacities or flow rates over time (t/h), with the ISBL score ranging from 0 for flows under 1 t/h to 5 for flows of 500 t/h or more. Temperature indicates the system's thermal energy and is classified by the highest process temperature: 0 for 0–70°C, </w:t>
      </w:r>
      <w:r w:rsidR="00ED3043" w:rsidRPr="00F90ADE">
        <w:rPr>
          <w:color w:val="000000" w:themeColor="text1"/>
        </w:rPr>
        <w:t>1 for 70-150 °C,</w:t>
      </w:r>
      <w:r w:rsidR="006D0376" w:rsidRPr="00F90ADE">
        <w:rPr>
          <w:color w:val="000000" w:themeColor="text1"/>
        </w:rPr>
        <w:t xml:space="preserve"> and so forth</w:t>
      </w:r>
      <w:r w:rsidR="00ED3043" w:rsidRPr="00F90ADE">
        <w:rPr>
          <w:color w:val="000000" w:themeColor="text1"/>
        </w:rPr>
        <w:t xml:space="preserve"> until reaching</w:t>
      </w:r>
      <w:r w:rsidRPr="00F90ADE">
        <w:rPr>
          <w:color w:val="000000" w:themeColor="text1"/>
        </w:rPr>
        <w:t xml:space="preserve"> 4 for temperatures above 600°C. Pressure assesses potential leakage risks, with scores based on vacuum or process pressure: </w:t>
      </w:r>
      <w:r w:rsidR="00CA21F3" w:rsidRPr="00F90ADE">
        <w:rPr>
          <w:color w:val="000000" w:themeColor="text1"/>
        </w:rPr>
        <w:t>0</w:t>
      </w:r>
      <w:r w:rsidRPr="00F90ADE">
        <w:rPr>
          <w:color w:val="000000" w:themeColor="text1"/>
        </w:rPr>
        <w:t xml:space="preserve"> for pressures between 0.5 and 5 bar, and 4 for pressures exceeding 200 bar. The equipment safety </w:t>
      </w:r>
      <w:proofErr w:type="spellStart"/>
      <w:r w:rsidRPr="00F90ADE">
        <w:rPr>
          <w:color w:val="000000" w:themeColor="text1"/>
        </w:rPr>
        <w:t>subindex</w:t>
      </w:r>
      <w:proofErr w:type="spellEnd"/>
      <w:r w:rsidRPr="00F90ADE">
        <w:rPr>
          <w:color w:val="000000" w:themeColor="text1"/>
        </w:rPr>
        <w:t xml:space="preserve"> </w:t>
      </w:r>
      <w:r w:rsidR="00C21903" w:rsidRPr="00F90ADE">
        <w:rPr>
          <w:color w:val="000000" w:themeColor="text1"/>
        </w:rPr>
        <w:t>assesses risk by</w:t>
      </w:r>
      <w:r w:rsidRPr="00F90ADE">
        <w:rPr>
          <w:color w:val="000000" w:themeColor="text1"/>
        </w:rPr>
        <w:t xml:space="preserve"> equipment type. Values range from 0 for handling nonflammable, non-toxic materials, up to 4 for furnaces and </w:t>
      </w:r>
      <w:r w:rsidR="00CA21F3" w:rsidRPr="00F90ADE">
        <w:rPr>
          <w:color w:val="000000" w:themeColor="text1"/>
        </w:rPr>
        <w:t>air heaters</w:t>
      </w:r>
      <w:r w:rsidRPr="00F90ADE">
        <w:rPr>
          <w:color w:val="000000" w:themeColor="text1"/>
        </w:rPr>
        <w:t xml:space="preserve">. The safe process structure </w:t>
      </w:r>
      <w:proofErr w:type="spellStart"/>
      <w:r w:rsidRPr="00F90ADE">
        <w:rPr>
          <w:color w:val="000000" w:themeColor="text1"/>
        </w:rPr>
        <w:t>subindex</w:t>
      </w:r>
      <w:proofErr w:type="spellEnd"/>
      <w:r w:rsidRPr="00F90ADE">
        <w:rPr>
          <w:color w:val="000000" w:themeColor="text1"/>
        </w:rPr>
        <w:t xml:space="preserve"> evaluates operational risks from a system engineering perspective, focusing on how well the system functions as a whole. This complex score depends </w:t>
      </w:r>
      <w:r w:rsidRPr="00F90ADE">
        <w:rPr>
          <w:color w:val="000000" w:themeColor="text1"/>
        </w:rPr>
        <w:lastRenderedPageBreak/>
        <w:t xml:space="preserve">on historical data like safety audits, inspection reports, maintenance records, and accident reports. It ranges from 0 for </w:t>
      </w:r>
      <w:r w:rsidR="00CA21F3" w:rsidRPr="00F90ADE">
        <w:rPr>
          <w:color w:val="000000" w:themeColor="text1"/>
        </w:rPr>
        <w:t xml:space="preserve">standard/recommended </w:t>
      </w:r>
      <w:r w:rsidRPr="00F90ADE">
        <w:rPr>
          <w:color w:val="000000" w:themeColor="text1"/>
        </w:rPr>
        <w:t xml:space="preserve">processes </w:t>
      </w:r>
      <w:r w:rsidR="00C21903" w:rsidRPr="00F90ADE">
        <w:rPr>
          <w:color w:val="000000" w:themeColor="text1"/>
        </w:rPr>
        <w:t xml:space="preserve">to 5 for setups with confirmed </w:t>
      </w:r>
      <w:r w:rsidRPr="00F90ADE">
        <w:rPr>
          <w:color w:val="000000" w:themeColor="text1"/>
        </w:rPr>
        <w:t>major accidents.</w:t>
      </w:r>
    </w:p>
    <w:p w14:paraId="21075B0C" w14:textId="06542D50" w:rsidR="007F3AA6" w:rsidRPr="00F90ADE" w:rsidRDefault="007F3AA6" w:rsidP="007F3AA6">
      <w:pPr>
        <w:pStyle w:val="CETBodytext"/>
        <w:rPr>
          <w:color w:val="000000" w:themeColor="text1"/>
        </w:rPr>
      </w:pPr>
      <w:r w:rsidRPr="00F90ADE">
        <w:rPr>
          <w:color w:val="000000" w:themeColor="text1"/>
        </w:rPr>
        <w:t xml:space="preserve">The ISI </w:t>
      </w:r>
      <w:r w:rsidR="00C21903" w:rsidRPr="00F90ADE">
        <w:rPr>
          <w:color w:val="000000" w:themeColor="text1"/>
        </w:rPr>
        <w:t>estimates are conducted using a worst-case scenario approach, which assumes the most hazardous possible conditions</w:t>
      </w:r>
      <w:r w:rsidRPr="00F90ADE">
        <w:rPr>
          <w:color w:val="000000" w:themeColor="text1"/>
        </w:rPr>
        <w:t xml:space="preserve">. A lower index indicates an inherently safer process. Calculations </w:t>
      </w:r>
      <w:r w:rsidR="00C21903" w:rsidRPr="00F90ADE">
        <w:rPr>
          <w:color w:val="000000" w:themeColor="text1"/>
        </w:rPr>
        <w:t xml:space="preserve">account for the maximum values of the </w:t>
      </w:r>
      <w:r w:rsidRPr="00F90ADE">
        <w:rPr>
          <w:color w:val="000000" w:themeColor="text1"/>
        </w:rPr>
        <w:t>flammability, explosivity, and toxicity sub-indices, as well as the highest expected inventory, process temperature, and pressure. The worst interaction between chemicals or equipment</w:t>
      </w:r>
      <w:r w:rsidR="00D57513" w:rsidRPr="00F90ADE">
        <w:rPr>
          <w:color w:val="000000" w:themeColor="text1"/>
        </w:rPr>
        <w:t xml:space="preserve"> and the most severe process structure determines</w:t>
      </w:r>
      <w:r w:rsidRPr="00F90ADE">
        <w:rPr>
          <w:color w:val="000000" w:themeColor="text1"/>
        </w:rPr>
        <w:t xml:space="preserve"> these sub-indices. Finally, an </w:t>
      </w:r>
      <w:r w:rsidRPr="00F90ADE">
        <w:rPr>
          <w:rFonts w:ascii="Cambria Math" w:hAnsi="Cambria Math" w:cs="Cambria Math"/>
          <w:color w:val="000000" w:themeColor="text1"/>
        </w:rPr>
        <w:t>𝐼𝑆𝐼</w:t>
      </w:r>
      <w:r w:rsidRPr="00F90ADE">
        <w:rPr>
          <w:color w:val="000000" w:themeColor="text1"/>
        </w:rPr>
        <w:t xml:space="preserve"> value below 24 indicates an intrinsically safer process, while a higher value indicates an unsafe operation </w:t>
      </w:r>
      <w:r w:rsidRPr="00F90ADE">
        <w:rPr>
          <w:color w:val="000000" w:themeColor="text1"/>
        </w:rPr>
        <w:fldChar w:fldCharType="begin" w:fldLock="1"/>
      </w:r>
      <w:r w:rsidR="00730C90" w:rsidRPr="00F90ADE">
        <w:rPr>
          <w:color w:val="000000" w:themeColor="text1"/>
        </w:rPr>
        <w:instrText>ADDIN CSL_CITATION {"citationItems":[{"id":"ITEM-1","itemData":{"ISBN":"9513853721","author":[{"dropping-particle":"","family":"Heikkilä","given":"Anna-Mari.","non-dropping-particle":"","parse-names":false,"suffix":""}],"id":"ITEM-1","issued":{"date-parts":[["1999"]]},"number-of-pages":"1-132","publisher":"VTT Publications","title":"Inherent safety in process plant design : an index-based approach","type":"book","volume":"384"},"uris":["http://www.mendeley.com/documents/?uuid=12e79d60-85cd-3957-881f-cbfedb5f93d9"]}],"mendeley":{"formattedCitation":"(Heikkilä, 1999)","plainTextFormattedCitation":"(Heikkilä, 1999)","previouslyFormattedCitation":"(Heikkilä, 1999)"},"properties":{"noteIndex":0},"schema":"https://github.com/citation-style-language/schema/raw/master/csl-citation.json"}</w:instrText>
      </w:r>
      <w:r w:rsidRPr="00F90ADE">
        <w:rPr>
          <w:color w:val="000000" w:themeColor="text1"/>
        </w:rPr>
        <w:fldChar w:fldCharType="separate"/>
      </w:r>
      <w:r w:rsidRPr="00F90ADE">
        <w:rPr>
          <w:noProof/>
          <w:color w:val="000000" w:themeColor="text1"/>
        </w:rPr>
        <w:t>(Heikkilä, 1999)</w:t>
      </w:r>
      <w:r w:rsidRPr="00F90ADE">
        <w:rPr>
          <w:color w:val="000000" w:themeColor="text1"/>
        </w:rPr>
        <w:fldChar w:fldCharType="end"/>
      </w:r>
      <w:r w:rsidRPr="00F90ADE">
        <w:rPr>
          <w:color w:val="000000" w:themeColor="text1"/>
        </w:rPr>
        <w:t>.</w:t>
      </w:r>
    </w:p>
    <w:p w14:paraId="677EBFF0" w14:textId="01EE7DA6" w:rsidR="00600535" w:rsidRPr="00F90ADE" w:rsidRDefault="00657E88" w:rsidP="00600535">
      <w:pPr>
        <w:pStyle w:val="CETHeading1"/>
        <w:tabs>
          <w:tab w:val="clear" w:pos="360"/>
          <w:tab w:val="right" w:pos="7100"/>
        </w:tabs>
        <w:jc w:val="both"/>
        <w:rPr>
          <w:color w:val="000000" w:themeColor="text1"/>
          <w:lang w:val="en-GB"/>
        </w:rPr>
      </w:pPr>
      <w:r w:rsidRPr="00F90ADE">
        <w:rPr>
          <w:color w:val="000000" w:themeColor="text1"/>
          <w:lang w:val="en-GB"/>
        </w:rPr>
        <w:t>Results and discussion</w:t>
      </w:r>
    </w:p>
    <w:p w14:paraId="04963A06" w14:textId="394B9DD1" w:rsidR="00600535" w:rsidRPr="00F90ADE" w:rsidRDefault="005E4F90" w:rsidP="00FA5F5F">
      <w:pPr>
        <w:pStyle w:val="CETheadingx"/>
        <w:rPr>
          <w:color w:val="000000" w:themeColor="text1"/>
        </w:rPr>
      </w:pPr>
      <w:r w:rsidRPr="00F90ADE">
        <w:rPr>
          <w:color w:val="000000" w:themeColor="text1"/>
        </w:rPr>
        <w:t>Chemical Inherent Safety</w:t>
      </w:r>
    </w:p>
    <w:p w14:paraId="2153D7C6" w14:textId="6DD944A4" w:rsidR="00D810A7" w:rsidRPr="00F90ADE" w:rsidRDefault="00BC4EC1" w:rsidP="00D810A7">
      <w:pPr>
        <w:pStyle w:val="CETBodytext"/>
        <w:rPr>
          <w:color w:val="000000" w:themeColor="text1"/>
          <w:lang w:val="en-GB"/>
        </w:rPr>
      </w:pPr>
      <w:r w:rsidRPr="00F90ADE">
        <w:rPr>
          <w:rFonts w:ascii="Cambria Math" w:eastAsia="Cambria Math"/>
          <w:color w:val="000000" w:themeColor="text1"/>
          <w:spacing w:val="-5"/>
          <w:w w:val="105"/>
          <w:position w:val="5"/>
        </w:rPr>
        <w:t>𝐼</w:t>
      </w:r>
      <w:r w:rsidRPr="00F90ADE">
        <w:rPr>
          <w:rFonts w:ascii="Cambria Math" w:eastAsia="Cambria Math"/>
          <w:color w:val="000000" w:themeColor="text1"/>
          <w:spacing w:val="-5"/>
          <w:w w:val="105"/>
          <w:sz w:val="17"/>
        </w:rPr>
        <w:t>𝑟𝑚 =</w:t>
      </w:r>
      <w:r w:rsidR="00342107" w:rsidRPr="00F90ADE">
        <w:rPr>
          <w:color w:val="000000" w:themeColor="text1"/>
          <w:lang w:val="en-GB"/>
        </w:rPr>
        <w:t xml:space="preserve"> 2 and </w:t>
      </w:r>
      <w:r w:rsidRPr="00F90ADE">
        <w:rPr>
          <w:rFonts w:ascii="Cambria Math" w:eastAsia="Cambria Math"/>
          <w:color w:val="000000" w:themeColor="text1"/>
          <w:spacing w:val="-5"/>
          <w:w w:val="105"/>
          <w:position w:val="5"/>
        </w:rPr>
        <w:t>𝐼</w:t>
      </w:r>
      <w:r w:rsidRPr="00F90ADE">
        <w:rPr>
          <w:rFonts w:ascii="Cambria Math" w:eastAsia="Cambria Math"/>
          <w:color w:val="000000" w:themeColor="text1"/>
          <w:spacing w:val="-5"/>
          <w:w w:val="105"/>
          <w:sz w:val="17"/>
        </w:rPr>
        <w:t>𝑟</w:t>
      </w:r>
      <w:r w:rsidR="005C6E0F" w:rsidRPr="00F90ADE">
        <w:rPr>
          <w:rFonts w:ascii="Cambria Math" w:eastAsia="Cambria Math"/>
          <w:color w:val="000000" w:themeColor="text1"/>
          <w:spacing w:val="-5"/>
          <w:w w:val="105"/>
          <w:sz w:val="17"/>
        </w:rPr>
        <w:t>s</w:t>
      </w:r>
      <w:r w:rsidRPr="00F90ADE">
        <w:rPr>
          <w:rFonts w:ascii="Cambria Math" w:eastAsia="Cambria Math"/>
          <w:color w:val="000000" w:themeColor="text1"/>
          <w:spacing w:val="-5"/>
          <w:w w:val="105"/>
          <w:sz w:val="17"/>
        </w:rPr>
        <w:t>=</w:t>
      </w:r>
      <w:r w:rsidR="00342107" w:rsidRPr="00F90ADE">
        <w:rPr>
          <w:color w:val="000000" w:themeColor="text1"/>
          <w:lang w:val="en-GB"/>
        </w:rPr>
        <w:t>1 were achieved in the</w:t>
      </w:r>
      <w:r w:rsidR="005C6E0F" w:rsidRPr="00F90ADE">
        <w:rPr>
          <w:color w:val="000000" w:themeColor="text1"/>
          <w:lang w:val="en-GB"/>
        </w:rPr>
        <w:t xml:space="preserve"> heat</w:t>
      </w:r>
      <w:r w:rsidR="00FE254D" w:rsidRPr="00F90ADE">
        <w:rPr>
          <w:color w:val="000000" w:themeColor="text1"/>
          <w:lang w:val="en-GB"/>
        </w:rPr>
        <w:t>-</w:t>
      </w:r>
      <w:r w:rsidR="005C6E0F" w:rsidRPr="00F90ADE">
        <w:rPr>
          <w:color w:val="000000" w:themeColor="text1"/>
          <w:lang w:val="en-GB"/>
        </w:rPr>
        <w:t>of</w:t>
      </w:r>
      <w:r w:rsidR="00FE254D" w:rsidRPr="00F90ADE">
        <w:rPr>
          <w:color w:val="000000" w:themeColor="text1"/>
          <w:lang w:val="en-GB"/>
        </w:rPr>
        <w:t>-</w:t>
      </w:r>
      <w:r w:rsidR="00342107" w:rsidRPr="00F90ADE">
        <w:rPr>
          <w:color w:val="000000" w:themeColor="text1"/>
          <w:lang w:val="en-GB"/>
        </w:rPr>
        <w:t xml:space="preserve">reaction </w:t>
      </w:r>
      <w:proofErr w:type="spellStart"/>
      <w:r w:rsidR="00342107" w:rsidRPr="00F90ADE">
        <w:rPr>
          <w:color w:val="000000" w:themeColor="text1"/>
          <w:lang w:val="en-GB"/>
        </w:rPr>
        <w:t>subin</w:t>
      </w:r>
      <w:r w:rsidR="005C6E0F" w:rsidRPr="00F90ADE">
        <w:rPr>
          <w:color w:val="000000" w:themeColor="text1"/>
          <w:lang w:val="en-GB"/>
        </w:rPr>
        <w:t>d</w:t>
      </w:r>
      <w:r w:rsidR="007F1558" w:rsidRPr="00F90ADE">
        <w:rPr>
          <w:color w:val="000000" w:themeColor="text1"/>
          <w:lang w:val="en-GB"/>
        </w:rPr>
        <w:t>ex</w:t>
      </w:r>
      <w:proofErr w:type="spellEnd"/>
      <w:r w:rsidR="00342107" w:rsidRPr="00F90ADE">
        <w:rPr>
          <w:color w:val="000000" w:themeColor="text1"/>
          <w:lang w:val="en-GB"/>
        </w:rPr>
        <w:t xml:space="preserve"> for the main and secondary reactions of the process, respectively</w:t>
      </w:r>
      <w:r w:rsidR="00E80D7B" w:rsidRPr="00F90ADE">
        <w:rPr>
          <w:color w:val="000000" w:themeColor="text1"/>
          <w:lang w:val="en-GB"/>
        </w:rPr>
        <w:t xml:space="preserve"> (see Table 2)</w:t>
      </w:r>
      <w:r w:rsidR="00342107" w:rsidRPr="00F90ADE">
        <w:rPr>
          <w:color w:val="000000" w:themeColor="text1"/>
          <w:lang w:val="en-GB"/>
        </w:rPr>
        <w:t>. Score 2 stands for a modest reaction for the gra</w:t>
      </w:r>
      <w:r w:rsidR="00DF2B4B" w:rsidRPr="00F90ADE">
        <w:rPr>
          <w:color w:val="000000" w:themeColor="text1"/>
          <w:lang w:val="en-GB"/>
        </w:rPr>
        <w:t>f</w:t>
      </w:r>
      <w:r w:rsidR="00342107" w:rsidRPr="00F90ADE">
        <w:rPr>
          <w:color w:val="000000" w:themeColor="text1"/>
          <w:lang w:val="en-GB"/>
        </w:rPr>
        <w:t>ting process, while score 1 is a slightly exothermic reaction, as in the in situ coprecipitation of magnetite.</w:t>
      </w:r>
      <w:r w:rsidR="0084062A" w:rsidRPr="00F90ADE">
        <w:rPr>
          <w:color w:val="000000" w:themeColor="text1"/>
          <w:lang w:val="en-GB"/>
        </w:rPr>
        <w:t xml:space="preserve"> Jacketed reactors with improved heat removal, distributed temperature monitoring, and tighter control of operating conditions are recommended. Additionally, semi-batch dosing of reactive species would also be beneficial.</w:t>
      </w:r>
    </w:p>
    <w:p w14:paraId="5959A0CA" w14:textId="77777777" w:rsidR="00342107" w:rsidRPr="00F90ADE" w:rsidRDefault="00342107" w:rsidP="00D810A7">
      <w:pPr>
        <w:pStyle w:val="CETBodytext"/>
        <w:rPr>
          <w:color w:val="000000" w:themeColor="text1"/>
        </w:rPr>
      </w:pPr>
    </w:p>
    <w:p w14:paraId="71C1A256" w14:textId="1B45A7F9" w:rsidR="0036773A" w:rsidRPr="00F90ADE" w:rsidRDefault="0036773A" w:rsidP="0036773A">
      <w:pPr>
        <w:pStyle w:val="CETBodytext"/>
        <w:rPr>
          <w:color w:val="000000" w:themeColor="text1"/>
        </w:rPr>
      </w:pPr>
      <w:r w:rsidRPr="00F90ADE">
        <w:rPr>
          <w:color w:val="000000" w:themeColor="text1"/>
        </w:rPr>
        <w:t xml:space="preserve">Table 2: </w:t>
      </w:r>
      <w:r w:rsidR="004457AC" w:rsidRPr="00F90ADE">
        <w:rPr>
          <w:rFonts w:cs="Arial"/>
          <w:color w:val="000000" w:themeColor="text1"/>
          <w:szCs w:val="18"/>
          <w:shd w:val="clear" w:color="auto" w:fill="FFFFFF"/>
        </w:rPr>
        <w:t>Reactions and heat of reactions of the process</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418"/>
        <w:gridCol w:w="5528"/>
        <w:gridCol w:w="992"/>
      </w:tblGrid>
      <w:tr w:rsidR="00F90ADE" w:rsidRPr="00F90ADE" w14:paraId="48C8238F" w14:textId="77777777" w:rsidTr="004457AC">
        <w:tc>
          <w:tcPr>
            <w:tcW w:w="1418" w:type="dxa"/>
            <w:tcBorders>
              <w:top w:val="single" w:sz="12" w:space="0" w:color="008000"/>
              <w:bottom w:val="single" w:sz="6" w:space="0" w:color="008000"/>
            </w:tcBorders>
            <w:shd w:val="clear" w:color="auto" w:fill="FFFFFF"/>
            <w:vAlign w:val="center"/>
          </w:tcPr>
          <w:p w14:paraId="2C7DB98D" w14:textId="68D565A5" w:rsidR="004457AC" w:rsidRPr="00F90ADE" w:rsidRDefault="004457AC" w:rsidP="004457AC">
            <w:pPr>
              <w:pStyle w:val="CETBodytext"/>
              <w:rPr>
                <w:rFonts w:cs="Arial"/>
                <w:color w:val="000000" w:themeColor="text1"/>
                <w:lang w:val="en-GB"/>
              </w:rPr>
            </w:pPr>
            <w:proofErr w:type="spellStart"/>
            <w:r w:rsidRPr="00F90ADE">
              <w:rPr>
                <w:rFonts w:cs="Arial"/>
                <w:b/>
                <w:bCs/>
                <w:color w:val="000000" w:themeColor="text1"/>
                <w:szCs w:val="18"/>
                <w:lang w:val="es-PE" w:eastAsia="es-PE"/>
              </w:rPr>
              <w:t>Reaction</w:t>
            </w:r>
            <w:proofErr w:type="spellEnd"/>
          </w:p>
        </w:tc>
        <w:tc>
          <w:tcPr>
            <w:tcW w:w="5528" w:type="dxa"/>
            <w:tcBorders>
              <w:top w:val="single" w:sz="12" w:space="0" w:color="008000"/>
              <w:bottom w:val="single" w:sz="6" w:space="0" w:color="008000"/>
            </w:tcBorders>
            <w:shd w:val="clear" w:color="auto" w:fill="FFFFFF"/>
            <w:vAlign w:val="center"/>
          </w:tcPr>
          <w:p w14:paraId="6E4416E2" w14:textId="450218D3" w:rsidR="004457AC" w:rsidRPr="00F90ADE" w:rsidRDefault="004457AC" w:rsidP="004457AC">
            <w:pPr>
              <w:pStyle w:val="CETBodytext"/>
              <w:rPr>
                <w:rFonts w:cs="Arial"/>
                <w:color w:val="000000" w:themeColor="text1"/>
                <w:lang w:val="en-GB"/>
              </w:rPr>
            </w:pPr>
            <w:proofErr w:type="spellStart"/>
            <w:r w:rsidRPr="00F90ADE">
              <w:rPr>
                <w:rFonts w:cs="Arial"/>
                <w:b/>
                <w:bCs/>
                <w:color w:val="000000" w:themeColor="text1"/>
                <w:szCs w:val="18"/>
                <w:lang w:val="es-PE" w:eastAsia="es-PE"/>
              </w:rPr>
              <w:t>Type</w:t>
            </w:r>
            <w:proofErr w:type="spellEnd"/>
            <w:r w:rsidRPr="00F90ADE">
              <w:rPr>
                <w:rFonts w:cs="Arial"/>
                <w:b/>
                <w:bCs/>
                <w:color w:val="000000" w:themeColor="text1"/>
                <w:szCs w:val="18"/>
                <w:lang w:val="es-PE" w:eastAsia="es-PE"/>
              </w:rPr>
              <w:t xml:space="preserve"> </w:t>
            </w:r>
            <w:proofErr w:type="spellStart"/>
            <w:r w:rsidRPr="00F90ADE">
              <w:rPr>
                <w:rFonts w:cs="Arial"/>
                <w:b/>
                <w:bCs/>
                <w:color w:val="000000" w:themeColor="text1"/>
                <w:szCs w:val="18"/>
                <w:lang w:val="es-PE" w:eastAsia="es-PE"/>
              </w:rPr>
              <w:t>of</w:t>
            </w:r>
            <w:proofErr w:type="spellEnd"/>
            <w:r w:rsidRPr="00F90ADE">
              <w:rPr>
                <w:rFonts w:cs="Arial"/>
                <w:b/>
                <w:bCs/>
                <w:color w:val="000000" w:themeColor="text1"/>
                <w:szCs w:val="18"/>
                <w:lang w:val="es-PE" w:eastAsia="es-PE"/>
              </w:rPr>
              <w:t xml:space="preserve"> </w:t>
            </w:r>
            <w:proofErr w:type="spellStart"/>
            <w:r w:rsidRPr="00F90ADE">
              <w:rPr>
                <w:rFonts w:cs="Arial"/>
                <w:b/>
                <w:bCs/>
                <w:color w:val="000000" w:themeColor="text1"/>
                <w:szCs w:val="18"/>
                <w:lang w:val="es-PE" w:eastAsia="es-PE"/>
              </w:rPr>
              <w:t>Reaction</w:t>
            </w:r>
            <w:proofErr w:type="spellEnd"/>
          </w:p>
        </w:tc>
        <w:tc>
          <w:tcPr>
            <w:tcW w:w="992" w:type="dxa"/>
            <w:tcBorders>
              <w:top w:val="single" w:sz="12" w:space="0" w:color="008000"/>
              <w:bottom w:val="single" w:sz="6" w:space="0" w:color="008000"/>
            </w:tcBorders>
            <w:shd w:val="clear" w:color="auto" w:fill="FFFFFF"/>
            <w:vAlign w:val="center"/>
          </w:tcPr>
          <w:p w14:paraId="452ED2F0" w14:textId="3582AE4F" w:rsidR="004457AC" w:rsidRPr="00F90ADE" w:rsidRDefault="004457AC" w:rsidP="004457AC">
            <w:pPr>
              <w:pStyle w:val="CETBodytext"/>
              <w:rPr>
                <w:rFonts w:cs="Arial"/>
                <w:color w:val="000000" w:themeColor="text1"/>
                <w:lang w:val="en-GB"/>
              </w:rPr>
            </w:pPr>
            <w:proofErr w:type="spellStart"/>
            <w:r w:rsidRPr="00F90ADE">
              <w:rPr>
                <w:rFonts w:cs="Arial"/>
                <w:b/>
                <w:bCs/>
                <w:color w:val="000000" w:themeColor="text1"/>
                <w:szCs w:val="18"/>
              </w:rPr>
              <w:t>ΔH</w:t>
            </w:r>
            <w:r w:rsidRPr="00F90ADE">
              <w:rPr>
                <w:rFonts w:cs="Arial"/>
                <w:b/>
                <w:bCs/>
                <w:color w:val="000000" w:themeColor="text1"/>
                <w:szCs w:val="18"/>
                <w:vertAlign w:val="subscript"/>
              </w:rPr>
              <w:t>r</w:t>
            </w:r>
            <w:proofErr w:type="spellEnd"/>
            <w:r w:rsidRPr="00F90ADE">
              <w:rPr>
                <w:rFonts w:cs="Arial"/>
                <w:b/>
                <w:bCs/>
                <w:color w:val="000000" w:themeColor="text1"/>
                <w:szCs w:val="18"/>
              </w:rPr>
              <w:t>​ (J/g)</w:t>
            </w:r>
          </w:p>
        </w:tc>
      </w:tr>
      <w:tr w:rsidR="00F90ADE" w:rsidRPr="00F90ADE" w14:paraId="070F2AEF" w14:textId="77777777" w:rsidTr="004457AC">
        <w:tc>
          <w:tcPr>
            <w:tcW w:w="1418" w:type="dxa"/>
            <w:shd w:val="clear" w:color="auto" w:fill="FFFFFF"/>
          </w:tcPr>
          <w:p w14:paraId="410903A9" w14:textId="06FC9BB9" w:rsidR="004457AC" w:rsidRPr="00F90ADE" w:rsidRDefault="004457AC" w:rsidP="00F23E60">
            <w:pPr>
              <w:pStyle w:val="CETBodytext"/>
              <w:rPr>
                <w:color w:val="000000" w:themeColor="text1"/>
                <w:lang w:val="en-GB"/>
              </w:rPr>
            </w:pPr>
            <w:r w:rsidRPr="00F90ADE">
              <w:rPr>
                <w:color w:val="000000" w:themeColor="text1"/>
                <w:lang w:val="en-GB"/>
              </w:rPr>
              <w:t>Grafting</w:t>
            </w:r>
          </w:p>
        </w:tc>
        <w:tc>
          <w:tcPr>
            <w:tcW w:w="5528" w:type="dxa"/>
            <w:shd w:val="clear" w:color="auto" w:fill="FFFFFF"/>
          </w:tcPr>
          <w:p w14:paraId="1F5D4074" w14:textId="77777777" w:rsidR="004457AC" w:rsidRPr="00F90ADE" w:rsidRDefault="004457AC" w:rsidP="00F23E60">
            <w:pPr>
              <w:pStyle w:val="CETBodytext"/>
              <w:rPr>
                <w:i/>
                <w:iCs/>
                <w:color w:val="000000" w:themeColor="text1"/>
                <w:lang w:val="en-GB"/>
              </w:rPr>
            </w:pPr>
            <w:r w:rsidRPr="00F90ADE">
              <w:rPr>
                <w:i/>
                <w:iCs/>
                <w:color w:val="000000" w:themeColor="text1"/>
                <w:lang w:val="en-GB"/>
              </w:rPr>
              <w:t>Main</w:t>
            </w:r>
          </w:p>
          <w:p w14:paraId="11DE34A7" w14:textId="6016753D" w:rsidR="004457AC" w:rsidRPr="00F90ADE" w:rsidRDefault="004457AC" w:rsidP="00F23E60">
            <w:pPr>
              <w:pStyle w:val="CETBodytext"/>
              <w:rPr>
                <w:color w:val="000000" w:themeColor="text1"/>
                <w:lang w:val="en-GB"/>
              </w:rPr>
            </w:pPr>
            <m:oMathPara>
              <m:oMath>
                <m:r>
                  <m:rPr>
                    <m:sty m:val="p"/>
                  </m:rPr>
                  <w:rPr>
                    <w:rFonts w:ascii="Cambria Math" w:hAnsi="Cambria Math" w:cs="Arial"/>
                    <w:color w:val="000000" w:themeColor="text1"/>
                    <w:szCs w:val="18"/>
                    <w:lang w:val="es-PE" w:eastAsia="es-PE"/>
                  </w:rPr>
                  <m:t>Starch-</m:t>
                </m:r>
                <m:sSup>
                  <m:sSupPr>
                    <m:ctrlPr>
                      <w:rPr>
                        <w:rFonts w:ascii="Cambria Math" w:hAnsi="Cambria Math" w:cs="Arial"/>
                        <w:i/>
                        <w:color w:val="000000" w:themeColor="text1"/>
                        <w:szCs w:val="18"/>
                        <w:lang w:eastAsia="es-PE"/>
                      </w:rPr>
                    </m:ctrlPr>
                  </m:sSupPr>
                  <m:e>
                    <m:r>
                      <w:rPr>
                        <w:rFonts w:ascii="Cambria Math" w:hAnsi="Cambria Math" w:cs="Arial"/>
                        <w:color w:val="000000" w:themeColor="text1"/>
                        <w:szCs w:val="18"/>
                        <w:lang w:eastAsia="es-PE"/>
                      </w:rPr>
                      <m:t>O</m:t>
                    </m:r>
                  </m:e>
                  <m:sup>
                    <m:r>
                      <w:rPr>
                        <w:rFonts w:ascii="Cambria Math" w:hAnsi="Cambria Math" w:cs="Arial"/>
                        <w:color w:val="000000" w:themeColor="text1"/>
                        <w:szCs w:val="18"/>
                        <w:lang w:val="es-PE" w:eastAsia="es-PE"/>
                      </w:rPr>
                      <m:t>-</m:t>
                    </m:r>
                  </m:sup>
                </m:sSup>
                <m:r>
                  <w:rPr>
                    <w:rFonts w:ascii="Cambria Math" w:hAnsi="Cambria Math" w:cs="Arial"/>
                    <w:color w:val="000000" w:themeColor="text1"/>
                    <w:szCs w:val="18"/>
                    <w:lang w:eastAsia="es-PE"/>
                  </w:rPr>
                  <m:t>+n</m:t>
                </m:r>
                <m:d>
                  <m:dPr>
                    <m:ctrlPr>
                      <w:rPr>
                        <w:rFonts w:ascii="Cambria Math" w:hAnsi="Cambria Math" w:cs="Arial"/>
                        <w:i/>
                        <w:color w:val="000000" w:themeColor="text1"/>
                        <w:szCs w:val="18"/>
                        <w:lang w:eastAsia="es-PE"/>
                      </w:rPr>
                    </m:ctrlPr>
                  </m:dPr>
                  <m:e>
                    <m:sSub>
                      <m:sSubPr>
                        <m:ctrlPr>
                          <w:rPr>
                            <w:rFonts w:ascii="Cambria Math" w:hAnsi="Cambria Math" w:cs="Cambria Math"/>
                            <w:color w:val="000000" w:themeColor="text1"/>
                            <w:szCs w:val="18"/>
                            <w:lang w:val="es-PE" w:eastAsia="es-PE"/>
                          </w:rPr>
                        </m:ctrlPr>
                      </m:sSubPr>
                      <m:e>
                        <m:r>
                          <w:rPr>
                            <w:rFonts w:ascii="Cambria Math" w:hAnsi="Cambria Math" w:cs="Cambria Math"/>
                            <w:color w:val="000000" w:themeColor="text1"/>
                            <w:szCs w:val="18"/>
                            <w:lang w:val="es-PE" w:eastAsia="es-PE"/>
                          </w:rPr>
                          <m:t>CH</m:t>
                        </m:r>
                      </m:e>
                      <m:sub>
                        <m:r>
                          <w:rPr>
                            <w:rFonts w:ascii="Cambria Math" w:hAnsi="Cambria Math" w:cs="Cambria Math"/>
                            <w:color w:val="000000" w:themeColor="text1"/>
                            <w:szCs w:val="18"/>
                            <w:lang w:val="es-PE" w:eastAsia="es-PE"/>
                          </w:rPr>
                          <m:t>2</m:t>
                        </m:r>
                      </m:sub>
                    </m:sSub>
                    <m:r>
                      <m:rPr>
                        <m:sty m:val="p"/>
                      </m:rPr>
                      <w:rPr>
                        <w:rFonts w:ascii="Cambria Math" w:hAnsi="Cambria Math" w:cs="Arial"/>
                        <w:color w:val="000000" w:themeColor="text1"/>
                        <w:szCs w:val="18"/>
                        <w:lang w:eastAsia="es-PE"/>
                      </w:rPr>
                      <m:t>​=CHCOOH</m:t>
                    </m:r>
                  </m:e>
                </m:d>
                <m:r>
                  <m:rPr>
                    <m:sty m:val="p"/>
                  </m:rPr>
                  <w:rPr>
                    <w:rFonts w:ascii="Cambria Math" w:hAnsi="Cambria Math" w:cs="Cambria Math"/>
                    <w:color w:val="000000" w:themeColor="text1"/>
                    <w:szCs w:val="18"/>
                    <w:lang w:val="es-PE" w:eastAsia="es-PE"/>
                  </w:rPr>
                  <m:t>⟶</m:t>
                </m:r>
                <m:r>
                  <m:rPr>
                    <m:sty m:val="p"/>
                  </m:rPr>
                  <w:rPr>
                    <w:rFonts w:ascii="Cambria Math" w:hAnsi="Cambria Math" w:cs="Arial"/>
                    <w:color w:val="000000" w:themeColor="text1"/>
                    <w:szCs w:val="18"/>
                    <w:lang w:eastAsia="es-PE"/>
                  </w:rPr>
                  <m:t>Starch-g-</m:t>
                </m:r>
                <m:sSup>
                  <m:sSupPr>
                    <m:ctrlPr>
                      <w:rPr>
                        <w:rFonts w:ascii="Cambria Math" w:hAnsi="Cambria Math" w:cs="Arial"/>
                        <w:i/>
                        <w:color w:val="000000" w:themeColor="text1"/>
                        <w:szCs w:val="18"/>
                        <w:lang w:eastAsia="es-PE"/>
                      </w:rPr>
                    </m:ctrlPr>
                  </m:sSupPr>
                  <m:e>
                    <m:r>
                      <w:rPr>
                        <w:rFonts w:ascii="Cambria Math" w:hAnsi="Cambria Math" w:cs="Arial"/>
                        <w:color w:val="000000" w:themeColor="text1"/>
                        <w:szCs w:val="18"/>
                        <w:lang w:eastAsia="es-PE"/>
                      </w:rPr>
                      <m:t>PAA</m:t>
                    </m:r>
                  </m:e>
                  <m:sup>
                    <m:r>
                      <w:rPr>
                        <w:rFonts w:ascii="Cambria Math" w:hAnsi="Cambria Math" w:cs="Arial"/>
                        <w:color w:val="000000" w:themeColor="text1"/>
                        <w:szCs w:val="18"/>
                        <w:lang w:val="es-PE" w:eastAsia="es-PE"/>
                      </w:rPr>
                      <m:t>-</m:t>
                    </m:r>
                  </m:sup>
                </m:sSup>
              </m:oMath>
            </m:oMathPara>
          </w:p>
        </w:tc>
        <w:tc>
          <w:tcPr>
            <w:tcW w:w="992" w:type="dxa"/>
            <w:shd w:val="clear" w:color="auto" w:fill="FFFFFF"/>
          </w:tcPr>
          <w:p w14:paraId="14969E5F" w14:textId="5DE1BD01" w:rsidR="004457AC" w:rsidRPr="00F90ADE" w:rsidRDefault="004457AC" w:rsidP="00F23E60">
            <w:pPr>
              <w:pStyle w:val="CETBodytext"/>
              <w:rPr>
                <w:color w:val="000000" w:themeColor="text1"/>
                <w:lang w:val="en-GB"/>
              </w:rPr>
            </w:pPr>
            <w:r w:rsidRPr="00F90ADE">
              <w:rPr>
                <w:color w:val="000000" w:themeColor="text1"/>
                <w:lang w:val="en-GB"/>
              </w:rPr>
              <w:t xml:space="preserve"> -1075.5</w:t>
            </w:r>
          </w:p>
        </w:tc>
      </w:tr>
      <w:tr w:rsidR="00F90ADE" w:rsidRPr="00F90ADE" w14:paraId="3CC63A5F" w14:textId="77777777" w:rsidTr="004457AC">
        <w:tc>
          <w:tcPr>
            <w:tcW w:w="1418" w:type="dxa"/>
            <w:shd w:val="clear" w:color="auto" w:fill="FFFFFF"/>
          </w:tcPr>
          <w:p w14:paraId="6BEED402" w14:textId="0DED786B" w:rsidR="004457AC" w:rsidRPr="00F90ADE" w:rsidRDefault="004457AC" w:rsidP="00F23E60">
            <w:pPr>
              <w:pStyle w:val="CETBodytext"/>
              <w:ind w:right="-1"/>
              <w:rPr>
                <w:rFonts w:cs="Arial"/>
                <w:color w:val="000000" w:themeColor="text1"/>
                <w:szCs w:val="18"/>
                <w:lang w:val="en-GB"/>
              </w:rPr>
            </w:pPr>
            <w:r w:rsidRPr="00F90ADE">
              <w:rPr>
                <w:rFonts w:cs="Arial"/>
                <w:color w:val="000000" w:themeColor="text1"/>
                <w:szCs w:val="18"/>
                <w:lang w:val="en-GB"/>
              </w:rPr>
              <w:t>Co-precipitation</w:t>
            </w:r>
          </w:p>
        </w:tc>
        <w:tc>
          <w:tcPr>
            <w:tcW w:w="5528" w:type="dxa"/>
            <w:shd w:val="clear" w:color="auto" w:fill="FFFFFF"/>
          </w:tcPr>
          <w:p w14:paraId="0A70D3B7" w14:textId="77777777" w:rsidR="004457AC" w:rsidRPr="00F90ADE" w:rsidRDefault="004457AC" w:rsidP="00F23E60">
            <w:pPr>
              <w:pStyle w:val="CETBodytext"/>
              <w:ind w:right="-1"/>
              <w:rPr>
                <w:rFonts w:cs="Arial"/>
                <w:i/>
                <w:iCs/>
                <w:color w:val="000000" w:themeColor="text1"/>
                <w:szCs w:val="18"/>
                <w:lang w:val="en-GB"/>
              </w:rPr>
            </w:pPr>
            <w:proofErr w:type="spellStart"/>
            <w:r w:rsidRPr="00F90ADE">
              <w:rPr>
                <w:rFonts w:cs="Arial"/>
                <w:i/>
                <w:iCs/>
                <w:color w:val="000000" w:themeColor="text1"/>
                <w:szCs w:val="18"/>
                <w:lang w:val="en-GB"/>
              </w:rPr>
              <w:t>Secundary</w:t>
            </w:r>
            <w:proofErr w:type="spellEnd"/>
          </w:p>
          <w:p w14:paraId="444851FA" w14:textId="257123BD" w:rsidR="004457AC" w:rsidRPr="00F90ADE" w:rsidRDefault="004457AC" w:rsidP="00F23E60">
            <w:pPr>
              <w:pStyle w:val="CETBodytext"/>
              <w:ind w:right="-1"/>
              <w:rPr>
                <w:rFonts w:cs="Arial"/>
                <w:color w:val="000000" w:themeColor="text1"/>
                <w:szCs w:val="18"/>
                <w:lang w:val="en-GB"/>
              </w:rPr>
            </w:pPr>
            <m:oMathPara>
              <m:oMath>
                <m:r>
                  <w:rPr>
                    <w:rFonts w:ascii="Cambria Math" w:hAnsi="Cambria Math" w:cs="Arial"/>
                    <w:color w:val="000000" w:themeColor="text1"/>
                    <w:szCs w:val="18"/>
                    <w:lang w:val="es-PE" w:eastAsia="es-PE"/>
                  </w:rPr>
                  <m:t>Fe</m:t>
                </m:r>
                <m:sSub>
                  <m:sSubPr>
                    <m:ctrlPr>
                      <w:rPr>
                        <w:rFonts w:ascii="Cambria Math" w:hAnsi="Cambria Math" w:cs="Arial"/>
                        <w:color w:val="000000" w:themeColor="text1"/>
                        <w:szCs w:val="18"/>
                        <w:lang w:val="es-PE" w:eastAsia="es-PE"/>
                      </w:rPr>
                    </m:ctrlPr>
                  </m:sSubPr>
                  <m:e>
                    <m:r>
                      <w:rPr>
                        <w:rFonts w:ascii="Cambria Math" w:hAnsi="Cambria Math" w:cs="Arial"/>
                        <w:color w:val="000000" w:themeColor="text1"/>
                        <w:szCs w:val="18"/>
                        <w:lang w:val="es-PE" w:eastAsia="es-PE"/>
                      </w:rPr>
                      <m:t>SO</m:t>
                    </m:r>
                  </m:e>
                  <m:sub>
                    <m:r>
                      <w:rPr>
                        <w:rFonts w:ascii="Cambria Math" w:hAnsi="Cambria Math" w:cs="Arial"/>
                        <w:color w:val="000000" w:themeColor="text1"/>
                        <w:szCs w:val="18"/>
                        <w:lang w:val="es-PE" w:eastAsia="es-PE"/>
                      </w:rPr>
                      <m:t>4</m:t>
                    </m:r>
                  </m:sub>
                </m:sSub>
                <m:r>
                  <w:rPr>
                    <w:rFonts w:ascii="Cambria Math" w:hAnsi="Cambria Math" w:cs="Arial"/>
                    <w:color w:val="000000" w:themeColor="text1"/>
                    <w:szCs w:val="18"/>
                    <w:lang w:val="es-PE" w:eastAsia="es-PE"/>
                  </w:rPr>
                  <m:t>+2Fe</m:t>
                </m:r>
                <m:sSub>
                  <m:sSubPr>
                    <m:ctrlPr>
                      <w:rPr>
                        <w:rFonts w:ascii="Cambria Math" w:hAnsi="Cambria Math" w:cs="Arial"/>
                        <w:color w:val="000000" w:themeColor="text1"/>
                        <w:szCs w:val="18"/>
                        <w:lang w:val="es-PE" w:eastAsia="es-PE"/>
                      </w:rPr>
                    </m:ctrlPr>
                  </m:sSubPr>
                  <m:e>
                    <m:r>
                      <w:rPr>
                        <w:rFonts w:ascii="Cambria Math" w:hAnsi="Cambria Math" w:cs="Arial"/>
                        <w:color w:val="000000" w:themeColor="text1"/>
                        <w:szCs w:val="18"/>
                        <w:lang w:val="es-PE" w:eastAsia="es-PE"/>
                      </w:rPr>
                      <m:t>Cl</m:t>
                    </m:r>
                  </m:e>
                  <m:sub>
                    <m:r>
                      <w:rPr>
                        <w:rFonts w:ascii="Cambria Math" w:hAnsi="Cambria Math" w:cs="Arial"/>
                        <w:color w:val="000000" w:themeColor="text1"/>
                        <w:szCs w:val="18"/>
                        <w:lang w:val="es-PE" w:eastAsia="es-PE"/>
                      </w:rPr>
                      <m:t>3</m:t>
                    </m:r>
                  </m:sub>
                </m:sSub>
                <m:r>
                  <w:rPr>
                    <w:rFonts w:ascii="Cambria Math" w:hAnsi="Cambria Math" w:cs="Arial"/>
                    <w:color w:val="000000" w:themeColor="text1"/>
                    <w:szCs w:val="18"/>
                    <w:lang w:val="es-PE" w:eastAsia="es-PE"/>
                  </w:rPr>
                  <m:t>+8</m:t>
                </m:r>
                <m:sSub>
                  <m:sSubPr>
                    <m:ctrlPr>
                      <w:rPr>
                        <w:rFonts w:ascii="Cambria Math" w:hAnsi="Cambria Math" w:cs="Arial"/>
                        <w:color w:val="000000" w:themeColor="text1"/>
                        <w:szCs w:val="18"/>
                        <w:lang w:val="es-PE" w:eastAsia="es-PE"/>
                      </w:rPr>
                    </m:ctrlPr>
                  </m:sSubPr>
                  <m:e>
                    <m:r>
                      <w:rPr>
                        <w:rFonts w:ascii="Cambria Math" w:hAnsi="Cambria Math" w:cs="Arial"/>
                        <w:color w:val="000000" w:themeColor="text1"/>
                        <w:szCs w:val="18"/>
                        <w:lang w:val="es-PE" w:eastAsia="es-PE"/>
                      </w:rPr>
                      <m:t>NH</m:t>
                    </m:r>
                  </m:e>
                  <m:sub>
                    <m:r>
                      <w:rPr>
                        <w:rFonts w:ascii="Cambria Math" w:hAnsi="Cambria Math" w:cs="Arial"/>
                        <w:color w:val="000000" w:themeColor="text1"/>
                        <w:szCs w:val="18"/>
                        <w:lang w:val="es-PE" w:eastAsia="es-PE"/>
                      </w:rPr>
                      <m:t>3</m:t>
                    </m:r>
                  </m:sub>
                </m:sSub>
                <m:r>
                  <w:rPr>
                    <w:rFonts w:ascii="Cambria Math" w:hAnsi="Cambria Math" w:cs="Arial"/>
                    <w:color w:val="000000" w:themeColor="text1"/>
                    <w:szCs w:val="18"/>
                    <w:lang w:val="es-PE" w:eastAsia="es-PE"/>
                  </w:rPr>
                  <m:t>+4</m:t>
                </m:r>
                <m:sSub>
                  <m:sSubPr>
                    <m:ctrlPr>
                      <w:rPr>
                        <w:rFonts w:ascii="Cambria Math" w:hAnsi="Cambria Math" w:cs="Arial"/>
                        <w:color w:val="000000" w:themeColor="text1"/>
                        <w:szCs w:val="18"/>
                        <w:lang w:val="es-PE" w:eastAsia="es-PE"/>
                      </w:rPr>
                    </m:ctrlPr>
                  </m:sSubPr>
                  <m:e>
                    <m:r>
                      <m:rPr>
                        <m:sty m:val="p"/>
                      </m:rPr>
                      <w:rPr>
                        <w:rFonts w:ascii="Cambria Math" w:hAnsi="Cambria Math" w:cs="Arial"/>
                        <w:color w:val="000000" w:themeColor="text1"/>
                        <w:szCs w:val="18"/>
                        <w:lang w:val="es-PE" w:eastAsia="es-PE"/>
                      </w:rPr>
                      <m:t>H</m:t>
                    </m:r>
                  </m:e>
                  <m:sub>
                    <m:r>
                      <w:rPr>
                        <w:rFonts w:ascii="Cambria Math" w:hAnsi="Cambria Math" w:cs="Arial"/>
                        <w:color w:val="000000" w:themeColor="text1"/>
                        <w:szCs w:val="18"/>
                        <w:lang w:val="es-PE" w:eastAsia="es-PE"/>
                      </w:rPr>
                      <m:t>2</m:t>
                    </m:r>
                  </m:sub>
                </m:sSub>
                <m:r>
                  <m:rPr>
                    <m:sty m:val="p"/>
                  </m:rPr>
                  <w:rPr>
                    <w:rFonts w:ascii="Cambria Math" w:hAnsi="Cambria Math" w:cs="Arial"/>
                    <w:color w:val="000000" w:themeColor="text1"/>
                    <w:szCs w:val="18"/>
                    <w:lang w:val="es-PE" w:eastAsia="es-PE"/>
                  </w:rPr>
                  <m:t>​O</m:t>
                </m:r>
                <m:r>
                  <m:rPr>
                    <m:sty m:val="p"/>
                  </m:rPr>
                  <w:rPr>
                    <w:rFonts w:ascii="Cambria Math" w:hAnsi="Cambria Math" w:cs="Cambria Math"/>
                    <w:color w:val="000000" w:themeColor="text1"/>
                    <w:szCs w:val="18"/>
                    <w:lang w:val="es-PE" w:eastAsia="es-PE"/>
                  </w:rPr>
                  <m:t>⟶</m:t>
                </m:r>
                <m:sSub>
                  <m:sSubPr>
                    <m:ctrlPr>
                      <w:rPr>
                        <w:rFonts w:ascii="Cambria Math" w:hAnsi="Cambria Math" w:cs="Arial"/>
                        <w:color w:val="000000" w:themeColor="text1"/>
                        <w:szCs w:val="18"/>
                        <w:lang w:val="es-PE" w:eastAsia="es-PE"/>
                      </w:rPr>
                    </m:ctrlPr>
                  </m:sSubPr>
                  <m:e>
                    <m:r>
                      <w:rPr>
                        <w:rFonts w:ascii="Cambria Math" w:hAnsi="Cambria Math" w:cs="Arial"/>
                        <w:color w:val="000000" w:themeColor="text1"/>
                        <w:szCs w:val="18"/>
                        <w:lang w:val="es-PE" w:eastAsia="es-PE"/>
                      </w:rPr>
                      <m:t>Fe</m:t>
                    </m:r>
                  </m:e>
                  <m:sub>
                    <m:r>
                      <w:rPr>
                        <w:rFonts w:ascii="Cambria Math" w:hAnsi="Cambria Math" w:cs="Arial"/>
                        <w:color w:val="000000" w:themeColor="text1"/>
                        <w:szCs w:val="18"/>
                        <w:lang w:val="es-PE" w:eastAsia="es-PE"/>
                      </w:rPr>
                      <m:t>3</m:t>
                    </m:r>
                  </m:sub>
                </m:sSub>
                <m:sSub>
                  <m:sSubPr>
                    <m:ctrlPr>
                      <w:rPr>
                        <w:rFonts w:ascii="Cambria Math" w:hAnsi="Cambria Math" w:cs="Arial"/>
                        <w:color w:val="000000" w:themeColor="text1"/>
                        <w:szCs w:val="18"/>
                        <w:lang w:val="es-PE" w:eastAsia="es-PE"/>
                      </w:rPr>
                    </m:ctrlPr>
                  </m:sSubPr>
                  <m:e>
                    <m:r>
                      <w:rPr>
                        <w:rFonts w:ascii="Cambria Math" w:hAnsi="Cambria Math" w:cs="Arial"/>
                        <w:color w:val="000000" w:themeColor="text1"/>
                        <w:szCs w:val="18"/>
                        <w:lang w:val="es-PE" w:eastAsia="es-PE"/>
                      </w:rPr>
                      <m:t>O</m:t>
                    </m:r>
                  </m:e>
                  <m:sub>
                    <m:r>
                      <w:rPr>
                        <w:rFonts w:ascii="Cambria Math" w:hAnsi="Cambria Math" w:cs="Arial"/>
                        <w:color w:val="000000" w:themeColor="text1"/>
                        <w:szCs w:val="18"/>
                        <w:lang w:val="es-PE" w:eastAsia="es-PE"/>
                      </w:rPr>
                      <m:t>4</m:t>
                    </m:r>
                  </m:sub>
                </m:sSub>
                <m:r>
                  <w:rPr>
                    <w:rFonts w:ascii="Cambria Math" w:hAnsi="Cambria Math" w:cs="Arial"/>
                    <w:color w:val="000000" w:themeColor="text1"/>
                    <w:szCs w:val="18"/>
                    <w:lang w:val="es-PE" w:eastAsia="es-PE"/>
                  </w:rPr>
                  <m:t>+6</m:t>
                </m:r>
                <m:sSub>
                  <m:sSubPr>
                    <m:ctrlPr>
                      <w:rPr>
                        <w:rFonts w:ascii="Cambria Math" w:hAnsi="Cambria Math" w:cs="Arial"/>
                        <w:color w:val="000000" w:themeColor="text1"/>
                        <w:szCs w:val="18"/>
                        <w:lang w:val="es-PE" w:eastAsia="es-PE"/>
                      </w:rPr>
                    </m:ctrlPr>
                  </m:sSubPr>
                  <m:e>
                    <m:r>
                      <w:rPr>
                        <w:rFonts w:ascii="Cambria Math" w:hAnsi="Cambria Math" w:cs="Arial"/>
                        <w:color w:val="000000" w:themeColor="text1"/>
                        <w:szCs w:val="18"/>
                        <w:lang w:val="es-PE" w:eastAsia="es-PE"/>
                      </w:rPr>
                      <m:t>NH</m:t>
                    </m:r>
                  </m:e>
                  <m:sub>
                    <m:r>
                      <w:rPr>
                        <w:rFonts w:ascii="Cambria Math" w:hAnsi="Cambria Math" w:cs="Arial"/>
                        <w:color w:val="000000" w:themeColor="text1"/>
                        <w:szCs w:val="18"/>
                        <w:lang w:val="es-PE" w:eastAsia="es-PE"/>
                      </w:rPr>
                      <m:t>4</m:t>
                    </m:r>
                  </m:sub>
                </m:sSub>
                <m:r>
                  <w:rPr>
                    <w:rFonts w:ascii="Cambria Math" w:hAnsi="Cambria Math" w:cs="Arial"/>
                    <w:color w:val="000000" w:themeColor="text1"/>
                    <w:szCs w:val="18"/>
                    <w:lang w:val="es-PE" w:eastAsia="es-PE"/>
                  </w:rPr>
                  <m:t>Cl+</m:t>
                </m:r>
                <m:sSub>
                  <m:sSubPr>
                    <m:ctrlPr>
                      <w:rPr>
                        <w:rFonts w:ascii="Cambria Math" w:hAnsi="Cambria Math" w:cs="Arial"/>
                        <w:color w:val="000000" w:themeColor="text1"/>
                        <w:szCs w:val="18"/>
                        <w:lang w:val="es-PE" w:eastAsia="es-PE"/>
                      </w:rPr>
                    </m:ctrlPr>
                  </m:sSubPr>
                  <m:e>
                    <m:sSub>
                      <m:sSubPr>
                        <m:ctrlPr>
                          <w:rPr>
                            <w:rFonts w:ascii="Cambria Math" w:hAnsi="Cambria Math" w:cs="Arial"/>
                            <w:color w:val="000000" w:themeColor="text1"/>
                            <w:szCs w:val="18"/>
                            <w:lang w:val="es-PE" w:eastAsia="es-PE"/>
                          </w:rPr>
                        </m:ctrlPr>
                      </m:sSubPr>
                      <m:e>
                        <m:r>
                          <w:rPr>
                            <w:rFonts w:ascii="Cambria Math" w:hAnsi="Cambria Math" w:cs="Arial"/>
                            <w:color w:val="000000" w:themeColor="text1"/>
                            <w:szCs w:val="18"/>
                            <w:lang w:val="es-PE" w:eastAsia="es-PE"/>
                          </w:rPr>
                          <m:t>(NH</m:t>
                        </m:r>
                      </m:e>
                      <m:sub>
                        <m:r>
                          <w:rPr>
                            <w:rFonts w:ascii="Cambria Math" w:hAnsi="Cambria Math" w:cs="Arial"/>
                            <w:color w:val="000000" w:themeColor="text1"/>
                            <w:szCs w:val="18"/>
                            <w:lang w:val="es-PE" w:eastAsia="es-PE"/>
                          </w:rPr>
                          <m:t>4</m:t>
                        </m:r>
                      </m:sub>
                    </m:sSub>
                    <m:r>
                      <w:rPr>
                        <w:rFonts w:ascii="Cambria Math" w:hAnsi="Cambria Math" w:cs="Arial"/>
                        <w:color w:val="000000" w:themeColor="text1"/>
                        <w:szCs w:val="18"/>
                        <w:lang w:val="es-PE" w:eastAsia="es-PE"/>
                      </w:rPr>
                      <m:t>)</m:t>
                    </m:r>
                  </m:e>
                  <m:sub>
                    <m:r>
                      <w:rPr>
                        <w:rFonts w:ascii="Cambria Math" w:hAnsi="Cambria Math" w:cs="Arial"/>
                        <w:color w:val="000000" w:themeColor="text1"/>
                        <w:szCs w:val="18"/>
                        <w:lang w:val="es-PE" w:eastAsia="es-PE"/>
                      </w:rPr>
                      <m:t>2</m:t>
                    </m:r>
                  </m:sub>
                </m:sSub>
                <m:sSub>
                  <m:sSubPr>
                    <m:ctrlPr>
                      <w:rPr>
                        <w:rFonts w:ascii="Cambria Math" w:hAnsi="Cambria Math" w:cs="Arial"/>
                        <w:color w:val="000000" w:themeColor="text1"/>
                        <w:szCs w:val="18"/>
                        <w:lang w:val="es-PE" w:eastAsia="es-PE"/>
                      </w:rPr>
                    </m:ctrlPr>
                  </m:sSubPr>
                  <m:e>
                    <m:r>
                      <w:rPr>
                        <w:rFonts w:ascii="Cambria Math" w:hAnsi="Cambria Math" w:cs="Arial"/>
                        <w:color w:val="000000" w:themeColor="text1"/>
                        <w:szCs w:val="18"/>
                        <w:lang w:val="es-PE" w:eastAsia="es-PE"/>
                      </w:rPr>
                      <m:t>SO</m:t>
                    </m:r>
                  </m:e>
                  <m:sub>
                    <m:r>
                      <w:rPr>
                        <w:rFonts w:ascii="Cambria Math" w:hAnsi="Cambria Math" w:cs="Arial"/>
                        <w:color w:val="000000" w:themeColor="text1"/>
                        <w:szCs w:val="18"/>
                        <w:lang w:val="es-PE" w:eastAsia="es-PE"/>
                      </w:rPr>
                      <m:t>4</m:t>
                    </m:r>
                  </m:sub>
                </m:sSub>
              </m:oMath>
            </m:oMathPara>
          </w:p>
        </w:tc>
        <w:tc>
          <w:tcPr>
            <w:tcW w:w="992" w:type="dxa"/>
            <w:shd w:val="clear" w:color="auto" w:fill="FFFFFF"/>
          </w:tcPr>
          <w:p w14:paraId="257DCA66" w14:textId="4E1C3654" w:rsidR="004457AC" w:rsidRPr="00F90ADE" w:rsidRDefault="004457AC" w:rsidP="00F23E60">
            <w:pPr>
              <w:pStyle w:val="CETBodytext"/>
              <w:ind w:right="-1"/>
              <w:rPr>
                <w:rFonts w:cs="Arial"/>
                <w:color w:val="000000" w:themeColor="text1"/>
                <w:szCs w:val="18"/>
                <w:lang w:val="en-GB"/>
              </w:rPr>
            </w:pPr>
            <w:r w:rsidRPr="00F90ADE">
              <w:rPr>
                <w:rFonts w:cs="Arial"/>
                <w:color w:val="000000" w:themeColor="text1"/>
                <w:szCs w:val="18"/>
                <w:lang w:val="en-GB"/>
              </w:rPr>
              <w:t xml:space="preserve"> -466.5</w:t>
            </w:r>
          </w:p>
        </w:tc>
      </w:tr>
    </w:tbl>
    <w:p w14:paraId="18F107B6" w14:textId="47092FB7" w:rsidR="0036773A" w:rsidRPr="00F90ADE" w:rsidRDefault="0036773A" w:rsidP="00D810A7">
      <w:pPr>
        <w:pStyle w:val="CETBodytext"/>
        <w:rPr>
          <w:color w:val="000000" w:themeColor="text1"/>
        </w:rPr>
      </w:pPr>
    </w:p>
    <w:p w14:paraId="119A3561" w14:textId="200F6C96" w:rsidR="00D27D65" w:rsidRPr="00F90ADE" w:rsidRDefault="00D27D65" w:rsidP="00D27D65">
      <w:pPr>
        <w:rPr>
          <w:color w:val="000000" w:themeColor="text1"/>
        </w:rPr>
      </w:pPr>
      <w:r w:rsidRPr="00F90ADE">
        <w:rPr>
          <w:color w:val="000000" w:themeColor="text1"/>
        </w:rPr>
        <w:t>The inherent safety assessment considers the worst-case scenario of contact between Ammonium Persulfate and Ethanol</w:t>
      </w:r>
      <w:r w:rsidR="006C0863" w:rsidRPr="00F90ADE">
        <w:rPr>
          <w:color w:val="000000" w:themeColor="text1"/>
        </w:rPr>
        <w:t>, as this mixture increases the potential for</w:t>
      </w:r>
      <w:r w:rsidR="00174121" w:rsidRPr="00F90ADE">
        <w:rPr>
          <w:color w:val="000000" w:themeColor="text1"/>
        </w:rPr>
        <w:t xml:space="preserve"> fire and explosion</w:t>
      </w:r>
      <w:r w:rsidR="006C0863" w:rsidRPr="00F90ADE">
        <w:rPr>
          <w:color w:val="000000" w:themeColor="text1"/>
        </w:rPr>
        <w:t xml:space="preserve"> </w:t>
      </w:r>
      <w:r w:rsidRPr="00F90ADE">
        <w:rPr>
          <w:color w:val="000000" w:themeColor="text1"/>
        </w:rPr>
        <w:t>(</w:t>
      </w:r>
      <w:r w:rsidRPr="00F90ADE">
        <w:rPr>
          <w:rFonts w:ascii="Cambria Math" w:hAnsi="Cambria Math" w:cs="Cambria Math"/>
          <w:color w:val="000000" w:themeColor="text1"/>
        </w:rPr>
        <w:t>𝐼𝑛𝑡</w:t>
      </w:r>
      <w:r w:rsidRPr="00F90ADE">
        <w:rPr>
          <w:color w:val="000000" w:themeColor="text1"/>
        </w:rPr>
        <w:t xml:space="preserve"> = 4). While engineering controls can prevent this mixing, the inherent safety index </w:t>
      </w:r>
      <w:r w:rsidR="00C21903" w:rsidRPr="00F90ADE">
        <w:rPr>
          <w:color w:val="000000" w:themeColor="text1"/>
        </w:rPr>
        <w:t xml:space="preserve">assesses hazard based on the chemical characteristics of </w:t>
      </w:r>
      <w:r w:rsidRPr="00F90ADE">
        <w:rPr>
          <w:color w:val="000000" w:themeColor="text1"/>
        </w:rPr>
        <w:t>substances in the plant inventory.</w:t>
      </w:r>
      <w:r w:rsidR="00B16E3D" w:rsidRPr="00F90ADE">
        <w:rPr>
          <w:color w:val="000000" w:themeColor="text1"/>
        </w:rPr>
        <w:t xml:space="preserve"> Regarding the hazardous substances </w:t>
      </w:r>
      <w:proofErr w:type="spellStart"/>
      <w:r w:rsidR="007F1558" w:rsidRPr="00F90ADE">
        <w:rPr>
          <w:color w:val="000000" w:themeColor="text1"/>
        </w:rPr>
        <w:t>subindex</w:t>
      </w:r>
      <w:proofErr w:type="spellEnd"/>
      <w:r w:rsidR="007F1558" w:rsidRPr="00F90ADE">
        <w:rPr>
          <w:color w:val="000000" w:themeColor="text1"/>
        </w:rPr>
        <w:t>, toxicity, explosiveness, and flammability indicators were scored using updated safety data sheets from sources such as</w:t>
      </w:r>
      <w:r w:rsidR="00B16E3D" w:rsidRPr="00F90ADE">
        <w:rPr>
          <w:color w:val="000000" w:themeColor="text1"/>
        </w:rPr>
        <w:t xml:space="preserve"> NOAA's Chemical Effects Research Information System, INCHEM (World Health Organization), and the National Institute for Occupational Safety and Health. Table 3 highlights some high-risk substances and their inherent properties. Notably, acrylic acid is identified as the most hazardous with a total score of 7.</w:t>
      </w:r>
    </w:p>
    <w:p w14:paraId="46785679" w14:textId="2780978F" w:rsidR="00D27D65" w:rsidRPr="00F90ADE" w:rsidRDefault="00D27D65" w:rsidP="00D810A7">
      <w:pPr>
        <w:pStyle w:val="CETBodytext"/>
        <w:rPr>
          <w:color w:val="000000" w:themeColor="text1"/>
          <w:lang w:val="en-GB"/>
        </w:rPr>
      </w:pPr>
    </w:p>
    <w:p w14:paraId="24702C8C" w14:textId="40EC18CB" w:rsidR="00650F3E" w:rsidRPr="00F90ADE" w:rsidRDefault="00650F3E" w:rsidP="00650F3E">
      <w:pPr>
        <w:pStyle w:val="CETBodytext"/>
        <w:rPr>
          <w:color w:val="000000" w:themeColor="text1"/>
        </w:rPr>
      </w:pPr>
      <w:r w:rsidRPr="00F90ADE">
        <w:rPr>
          <w:color w:val="000000" w:themeColor="text1"/>
        </w:rPr>
        <w:t xml:space="preserve">Table 3: </w:t>
      </w:r>
      <w:proofErr w:type="spellStart"/>
      <w:r w:rsidRPr="00F90ADE">
        <w:rPr>
          <w:color w:val="000000" w:themeColor="text1"/>
        </w:rPr>
        <w:t>Subind</w:t>
      </w:r>
      <w:r w:rsidR="007F1558" w:rsidRPr="00F90ADE">
        <w:rPr>
          <w:color w:val="000000" w:themeColor="text1"/>
        </w:rPr>
        <w:t>ex</w:t>
      </w:r>
      <w:proofErr w:type="spellEnd"/>
      <w:r w:rsidRPr="00F90ADE">
        <w:rPr>
          <w:color w:val="000000" w:themeColor="text1"/>
        </w:rPr>
        <w:t xml:space="preserve"> for hazardous substances </w:t>
      </w:r>
    </w:p>
    <w:tbl>
      <w:tblPr>
        <w:tblW w:w="0" w:type="auto"/>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1134"/>
        <w:gridCol w:w="4536"/>
        <w:gridCol w:w="426"/>
        <w:gridCol w:w="425"/>
        <w:gridCol w:w="425"/>
      </w:tblGrid>
      <w:tr w:rsidR="00F90ADE" w:rsidRPr="00F90ADE" w14:paraId="5D03A56C" w14:textId="77777777" w:rsidTr="000F21BD">
        <w:tc>
          <w:tcPr>
            <w:tcW w:w="1134" w:type="dxa"/>
            <w:tcBorders>
              <w:top w:val="single" w:sz="12" w:space="0" w:color="008000"/>
              <w:bottom w:val="single" w:sz="6" w:space="0" w:color="008000"/>
            </w:tcBorders>
            <w:shd w:val="clear" w:color="auto" w:fill="FFFFFF"/>
          </w:tcPr>
          <w:p w14:paraId="7E69B9C4" w14:textId="52EBF8AD" w:rsidR="00D22C30" w:rsidRPr="00F90ADE" w:rsidRDefault="00D22C30" w:rsidP="00D22C30">
            <w:pPr>
              <w:pStyle w:val="CETBodytext"/>
              <w:rPr>
                <w:color w:val="000000" w:themeColor="text1"/>
                <w:lang w:val="en-GB"/>
              </w:rPr>
            </w:pPr>
            <w:r w:rsidRPr="00F90ADE">
              <w:rPr>
                <w:color w:val="000000" w:themeColor="text1"/>
                <w:lang w:val="en-GB"/>
              </w:rPr>
              <w:t>Substance</w:t>
            </w:r>
          </w:p>
        </w:tc>
        <w:tc>
          <w:tcPr>
            <w:tcW w:w="4536" w:type="dxa"/>
            <w:tcBorders>
              <w:top w:val="single" w:sz="12" w:space="0" w:color="008000"/>
              <w:bottom w:val="single" w:sz="6" w:space="0" w:color="008000"/>
            </w:tcBorders>
            <w:shd w:val="clear" w:color="auto" w:fill="FFFFFF"/>
          </w:tcPr>
          <w:p w14:paraId="39089C46" w14:textId="3B961ADE" w:rsidR="00D22C30" w:rsidRPr="00F90ADE" w:rsidRDefault="00D22C30" w:rsidP="00D22C30">
            <w:pPr>
              <w:pStyle w:val="CETBodytext"/>
              <w:rPr>
                <w:color w:val="000000" w:themeColor="text1"/>
                <w:lang w:val="en-GB"/>
              </w:rPr>
            </w:pPr>
            <w:r w:rsidRPr="00F90ADE">
              <w:rPr>
                <w:color w:val="000000" w:themeColor="text1"/>
                <w:lang w:val="en-GB"/>
              </w:rPr>
              <w:t xml:space="preserve"> Physicochemical data</w:t>
            </w:r>
          </w:p>
        </w:tc>
        <w:tc>
          <w:tcPr>
            <w:tcW w:w="426" w:type="dxa"/>
            <w:tcBorders>
              <w:top w:val="single" w:sz="12" w:space="0" w:color="008000"/>
              <w:bottom w:val="single" w:sz="6" w:space="0" w:color="008000"/>
            </w:tcBorders>
            <w:shd w:val="clear" w:color="auto" w:fill="FFFFFF"/>
            <w:vAlign w:val="center"/>
          </w:tcPr>
          <w:p w14:paraId="1A5FFDE0" w14:textId="449B1A31" w:rsidR="00D22C30" w:rsidRPr="00F90ADE" w:rsidRDefault="00D22C30" w:rsidP="00D22C30">
            <w:pPr>
              <w:pStyle w:val="CETBodytext"/>
              <w:rPr>
                <w:rFonts w:cs="Arial"/>
                <w:color w:val="000000" w:themeColor="text1"/>
                <w:szCs w:val="18"/>
                <w:lang w:val="en-GB"/>
              </w:rPr>
            </w:pPr>
            <w:r w:rsidRPr="00F90ADE">
              <w:rPr>
                <w:rFonts w:ascii="Cambria Math" w:eastAsia="Cambria Math" w:hAnsi="Cambria Math" w:cs="Cambria Math"/>
                <w:color w:val="000000" w:themeColor="text1"/>
                <w:spacing w:val="-5"/>
                <w:w w:val="105"/>
                <w:position w:val="5"/>
                <w:szCs w:val="18"/>
              </w:rPr>
              <w:t>𝐼</w:t>
            </w:r>
            <w:r w:rsidRPr="00F90ADE">
              <w:rPr>
                <w:rFonts w:ascii="Cambria Math" w:eastAsia="Cambria Math" w:hAnsi="Cambria Math" w:cs="Cambria Math"/>
                <w:color w:val="000000" w:themeColor="text1"/>
                <w:spacing w:val="-5"/>
                <w:w w:val="105"/>
                <w:szCs w:val="18"/>
              </w:rPr>
              <w:t>𝑓𝑙</w:t>
            </w:r>
          </w:p>
        </w:tc>
        <w:tc>
          <w:tcPr>
            <w:tcW w:w="425" w:type="dxa"/>
            <w:tcBorders>
              <w:top w:val="single" w:sz="12" w:space="0" w:color="008000"/>
              <w:bottom w:val="single" w:sz="6" w:space="0" w:color="008000"/>
            </w:tcBorders>
            <w:shd w:val="clear" w:color="auto" w:fill="FFFFFF"/>
            <w:vAlign w:val="center"/>
          </w:tcPr>
          <w:p w14:paraId="6F9B490C" w14:textId="0D489B7A" w:rsidR="00D22C30" w:rsidRPr="00F90ADE" w:rsidRDefault="00D22C30" w:rsidP="00D22C30">
            <w:pPr>
              <w:pStyle w:val="CETBodytext"/>
              <w:ind w:right="-1"/>
              <w:rPr>
                <w:rFonts w:cs="Arial"/>
                <w:color w:val="000000" w:themeColor="text1"/>
                <w:szCs w:val="18"/>
                <w:lang w:val="en-GB"/>
              </w:rPr>
            </w:pPr>
            <w:r w:rsidRPr="00F90ADE">
              <w:rPr>
                <w:rFonts w:ascii="Cambria Math" w:eastAsia="Cambria Math" w:hAnsi="Cambria Math" w:cs="Cambria Math"/>
                <w:color w:val="000000" w:themeColor="text1"/>
                <w:spacing w:val="-5"/>
                <w:w w:val="105"/>
                <w:position w:val="5"/>
                <w:szCs w:val="18"/>
              </w:rPr>
              <w:t>𝐼</w:t>
            </w:r>
            <w:r w:rsidRPr="00F90ADE">
              <w:rPr>
                <w:rFonts w:ascii="Cambria Math" w:eastAsia="Cambria Math" w:hAnsi="Cambria Math" w:cs="Cambria Math"/>
                <w:color w:val="000000" w:themeColor="text1"/>
                <w:spacing w:val="-5"/>
                <w:w w:val="105"/>
                <w:szCs w:val="18"/>
              </w:rPr>
              <w:t>𝑒𝑥</w:t>
            </w:r>
            <w:r w:rsidRPr="00F90ADE">
              <w:rPr>
                <w:rFonts w:cs="Arial"/>
                <w:color w:val="000000" w:themeColor="text1"/>
                <w:szCs w:val="18"/>
                <w:lang w:val="es-PE" w:eastAsia="es-PE"/>
              </w:rPr>
              <w:t>​</w:t>
            </w:r>
          </w:p>
        </w:tc>
        <w:tc>
          <w:tcPr>
            <w:tcW w:w="425" w:type="dxa"/>
            <w:tcBorders>
              <w:top w:val="single" w:sz="12" w:space="0" w:color="008000"/>
              <w:bottom w:val="single" w:sz="6" w:space="0" w:color="008000"/>
            </w:tcBorders>
            <w:shd w:val="clear" w:color="auto" w:fill="FFFFFF"/>
            <w:vAlign w:val="center"/>
          </w:tcPr>
          <w:p w14:paraId="334E46EC" w14:textId="35814A59" w:rsidR="00D22C30" w:rsidRPr="00F90ADE" w:rsidRDefault="00D22C30" w:rsidP="00D22C30">
            <w:pPr>
              <w:pStyle w:val="CETBodytext"/>
              <w:ind w:right="-1"/>
              <w:rPr>
                <w:rFonts w:cs="Arial"/>
                <w:color w:val="000000" w:themeColor="text1"/>
                <w:szCs w:val="18"/>
                <w:lang w:val="en-GB"/>
              </w:rPr>
            </w:pPr>
            <w:r w:rsidRPr="00F90ADE">
              <w:rPr>
                <w:rFonts w:ascii="Cambria Math" w:eastAsia="Cambria Math" w:hAnsi="Cambria Math" w:cs="Cambria Math"/>
                <w:color w:val="000000" w:themeColor="text1"/>
                <w:spacing w:val="-4"/>
                <w:w w:val="110"/>
                <w:position w:val="5"/>
                <w:szCs w:val="18"/>
              </w:rPr>
              <w:t>𝐼</w:t>
            </w:r>
            <w:r w:rsidRPr="00F90ADE">
              <w:rPr>
                <w:rFonts w:ascii="Cambria Math" w:eastAsia="Cambria Math" w:hAnsi="Cambria Math" w:cs="Cambria Math"/>
                <w:color w:val="000000" w:themeColor="text1"/>
                <w:spacing w:val="-4"/>
                <w:w w:val="110"/>
                <w:szCs w:val="18"/>
              </w:rPr>
              <w:t>𝑡𝑜𝑥</w:t>
            </w:r>
            <w:r w:rsidRPr="00F90ADE">
              <w:rPr>
                <w:rFonts w:cs="Arial"/>
                <w:color w:val="000000" w:themeColor="text1"/>
                <w:szCs w:val="18"/>
                <w:lang w:val="es-PE" w:eastAsia="es-PE"/>
              </w:rPr>
              <w:t>​</w:t>
            </w:r>
          </w:p>
        </w:tc>
      </w:tr>
      <w:tr w:rsidR="00F90ADE" w:rsidRPr="00F90ADE" w14:paraId="6E37737E" w14:textId="77777777" w:rsidTr="000F21BD">
        <w:tc>
          <w:tcPr>
            <w:tcW w:w="1134" w:type="dxa"/>
            <w:shd w:val="clear" w:color="auto" w:fill="FFFFFF"/>
            <w:vAlign w:val="center"/>
          </w:tcPr>
          <w:p w14:paraId="6FEE0A55" w14:textId="1ABCEFB6" w:rsidR="00D22C30" w:rsidRPr="00F90ADE" w:rsidRDefault="00D22C30" w:rsidP="00D22C30">
            <w:pPr>
              <w:pStyle w:val="CETBodytext"/>
              <w:rPr>
                <w:rFonts w:cs="Arial"/>
                <w:color w:val="000000" w:themeColor="text1"/>
                <w:szCs w:val="18"/>
                <w:lang w:val="en-GB"/>
              </w:rPr>
            </w:pPr>
            <w:proofErr w:type="spellStart"/>
            <w:r w:rsidRPr="00F90ADE">
              <w:rPr>
                <w:rFonts w:cs="Arial"/>
                <w:color w:val="000000" w:themeColor="text1"/>
                <w:szCs w:val="18"/>
                <w:lang w:val="es-PE" w:eastAsia="es-PE"/>
              </w:rPr>
              <w:t>Acrylic</w:t>
            </w:r>
            <w:proofErr w:type="spellEnd"/>
            <w:r w:rsidRPr="00F90ADE">
              <w:rPr>
                <w:rFonts w:cs="Arial"/>
                <w:color w:val="000000" w:themeColor="text1"/>
                <w:szCs w:val="18"/>
                <w:lang w:val="es-PE" w:eastAsia="es-PE"/>
              </w:rPr>
              <w:t xml:space="preserve"> </w:t>
            </w:r>
            <w:proofErr w:type="spellStart"/>
            <w:r w:rsidRPr="00F90ADE">
              <w:rPr>
                <w:rFonts w:cs="Arial"/>
                <w:color w:val="000000" w:themeColor="text1"/>
                <w:szCs w:val="18"/>
                <w:lang w:val="es-PE" w:eastAsia="es-PE"/>
              </w:rPr>
              <w:t>Acid</w:t>
            </w:r>
            <w:proofErr w:type="spellEnd"/>
          </w:p>
        </w:tc>
        <w:tc>
          <w:tcPr>
            <w:tcW w:w="4536" w:type="dxa"/>
            <w:shd w:val="clear" w:color="auto" w:fill="FFFFFF"/>
            <w:vAlign w:val="center"/>
          </w:tcPr>
          <w:p w14:paraId="37046B61" w14:textId="7E4C0088" w:rsidR="00D22C30" w:rsidRPr="00F90ADE" w:rsidRDefault="00D22C30" w:rsidP="00D22C30">
            <w:pPr>
              <w:spacing w:line="240" w:lineRule="auto"/>
              <w:jc w:val="left"/>
              <w:rPr>
                <w:rFonts w:cs="Arial"/>
                <w:color w:val="000000" w:themeColor="text1"/>
                <w:szCs w:val="18"/>
                <w:lang w:eastAsia="es-PE"/>
              </w:rPr>
            </w:pPr>
            <w:r w:rsidRPr="00F90ADE">
              <w:rPr>
                <w:rFonts w:cs="Arial"/>
                <w:color w:val="000000" w:themeColor="text1"/>
                <w:szCs w:val="18"/>
                <w:lang w:eastAsia="es-PE"/>
              </w:rPr>
              <w:t>Flash Point: 54°C</w:t>
            </w:r>
            <w:r w:rsidR="00AD75BC" w:rsidRPr="00F90ADE">
              <w:rPr>
                <w:rFonts w:cs="Arial"/>
                <w:color w:val="000000" w:themeColor="text1"/>
                <w:szCs w:val="18"/>
                <w:lang w:eastAsia="es-PE"/>
              </w:rPr>
              <w:t xml:space="preserve">, </w:t>
            </w:r>
            <w:r w:rsidRPr="00F90ADE">
              <w:rPr>
                <w:rFonts w:cs="Arial"/>
                <w:color w:val="000000" w:themeColor="text1"/>
                <w:szCs w:val="18"/>
                <w:lang w:eastAsia="es-PE"/>
              </w:rPr>
              <w:t>Explosiveness: 2.4% - 8.0%</w:t>
            </w:r>
          </w:p>
          <w:p w14:paraId="1A0F4083" w14:textId="5D737E4F" w:rsidR="00D22C30" w:rsidRPr="00F90ADE" w:rsidRDefault="00D22C30" w:rsidP="000F21BD">
            <w:pPr>
              <w:spacing w:line="240" w:lineRule="auto"/>
              <w:jc w:val="left"/>
              <w:rPr>
                <w:rFonts w:cs="Arial"/>
                <w:color w:val="000000" w:themeColor="text1"/>
                <w:szCs w:val="18"/>
                <w:lang w:eastAsia="es-PE"/>
              </w:rPr>
            </w:pPr>
            <w:r w:rsidRPr="00F90ADE">
              <w:rPr>
                <w:rFonts w:cs="Arial"/>
                <w:color w:val="000000" w:themeColor="text1"/>
                <w:szCs w:val="18"/>
                <w:lang w:eastAsia="es-PE"/>
              </w:rPr>
              <w:t>Toxicity (TLV): 2 ppm</w:t>
            </w:r>
          </w:p>
        </w:tc>
        <w:tc>
          <w:tcPr>
            <w:tcW w:w="426" w:type="dxa"/>
            <w:shd w:val="clear" w:color="auto" w:fill="FFFFFF"/>
            <w:vAlign w:val="center"/>
          </w:tcPr>
          <w:p w14:paraId="562AAF24" w14:textId="627E8C3D" w:rsidR="00D22C30" w:rsidRPr="00F90ADE" w:rsidRDefault="00D22C30" w:rsidP="00D22C30">
            <w:pPr>
              <w:pStyle w:val="CETBodytext"/>
              <w:rPr>
                <w:rFonts w:cs="Arial"/>
                <w:color w:val="000000" w:themeColor="text1"/>
                <w:szCs w:val="18"/>
                <w:lang w:val="en-GB"/>
              </w:rPr>
            </w:pPr>
            <w:r w:rsidRPr="00F90ADE">
              <w:rPr>
                <w:rFonts w:cs="Arial"/>
                <w:color w:val="000000" w:themeColor="text1"/>
                <w:szCs w:val="18"/>
                <w:lang w:val="es-PE" w:eastAsia="es-PE"/>
              </w:rPr>
              <w:t>2</w:t>
            </w:r>
          </w:p>
        </w:tc>
        <w:tc>
          <w:tcPr>
            <w:tcW w:w="425" w:type="dxa"/>
            <w:shd w:val="clear" w:color="auto" w:fill="FFFFFF"/>
            <w:vAlign w:val="center"/>
          </w:tcPr>
          <w:p w14:paraId="3E8DD1D8" w14:textId="2BD6E2B1" w:rsidR="00D22C30" w:rsidRPr="00F90ADE" w:rsidRDefault="00D22C30" w:rsidP="00D22C30">
            <w:pPr>
              <w:pStyle w:val="CETBodytext"/>
              <w:ind w:right="-1"/>
              <w:rPr>
                <w:rFonts w:cs="Arial"/>
                <w:color w:val="000000" w:themeColor="text1"/>
                <w:szCs w:val="18"/>
                <w:lang w:val="en-GB"/>
              </w:rPr>
            </w:pPr>
            <w:r w:rsidRPr="00F90ADE">
              <w:rPr>
                <w:rFonts w:cs="Arial"/>
                <w:color w:val="000000" w:themeColor="text1"/>
                <w:szCs w:val="18"/>
                <w:lang w:val="es-PE" w:eastAsia="es-PE"/>
              </w:rPr>
              <w:t>1</w:t>
            </w:r>
          </w:p>
        </w:tc>
        <w:tc>
          <w:tcPr>
            <w:tcW w:w="425" w:type="dxa"/>
            <w:shd w:val="clear" w:color="auto" w:fill="FFFFFF"/>
            <w:vAlign w:val="center"/>
          </w:tcPr>
          <w:p w14:paraId="61B8162C" w14:textId="6DC374AB" w:rsidR="00D22C30" w:rsidRPr="00F90ADE" w:rsidRDefault="00D22C30" w:rsidP="00D22C30">
            <w:pPr>
              <w:pStyle w:val="CETBodytext"/>
              <w:ind w:right="-1"/>
              <w:rPr>
                <w:rFonts w:cs="Arial"/>
                <w:color w:val="000000" w:themeColor="text1"/>
                <w:szCs w:val="18"/>
                <w:lang w:val="en-GB"/>
              </w:rPr>
            </w:pPr>
            <w:r w:rsidRPr="00F90ADE">
              <w:rPr>
                <w:rFonts w:cs="Arial"/>
                <w:color w:val="000000" w:themeColor="text1"/>
                <w:szCs w:val="18"/>
                <w:lang w:val="es-PE" w:eastAsia="es-PE"/>
              </w:rPr>
              <w:t>4</w:t>
            </w:r>
          </w:p>
        </w:tc>
      </w:tr>
      <w:tr w:rsidR="00F90ADE" w:rsidRPr="00F90ADE" w14:paraId="4EABE329" w14:textId="77777777" w:rsidTr="000F21BD">
        <w:tc>
          <w:tcPr>
            <w:tcW w:w="1134" w:type="dxa"/>
            <w:shd w:val="clear" w:color="auto" w:fill="FFFFFF"/>
            <w:vAlign w:val="center"/>
          </w:tcPr>
          <w:p w14:paraId="296BDAAD" w14:textId="7E5FB230" w:rsidR="00D22C30" w:rsidRPr="00F90ADE" w:rsidRDefault="00D22C30" w:rsidP="00D22C30">
            <w:pPr>
              <w:pStyle w:val="CETBodytext"/>
              <w:rPr>
                <w:rFonts w:cs="Arial"/>
                <w:color w:val="000000" w:themeColor="text1"/>
                <w:szCs w:val="18"/>
                <w:lang w:val="en-GB"/>
              </w:rPr>
            </w:pPr>
            <w:proofErr w:type="spellStart"/>
            <w:r w:rsidRPr="00F90ADE">
              <w:rPr>
                <w:rFonts w:cs="Arial"/>
                <w:color w:val="000000" w:themeColor="text1"/>
                <w:szCs w:val="18"/>
                <w:lang w:val="es-PE" w:eastAsia="es-PE"/>
              </w:rPr>
              <w:t>Ethanol</w:t>
            </w:r>
            <w:proofErr w:type="spellEnd"/>
          </w:p>
        </w:tc>
        <w:tc>
          <w:tcPr>
            <w:tcW w:w="4536" w:type="dxa"/>
            <w:shd w:val="clear" w:color="auto" w:fill="FFFFFF"/>
            <w:vAlign w:val="center"/>
          </w:tcPr>
          <w:p w14:paraId="1D56BF73" w14:textId="0698CC7D" w:rsidR="00D22C30" w:rsidRPr="00F90ADE" w:rsidRDefault="00D22C30" w:rsidP="00D22C30">
            <w:pPr>
              <w:spacing w:line="240" w:lineRule="auto"/>
              <w:jc w:val="left"/>
              <w:rPr>
                <w:rFonts w:cs="Arial"/>
                <w:color w:val="000000" w:themeColor="text1"/>
                <w:szCs w:val="18"/>
                <w:lang w:eastAsia="es-PE"/>
              </w:rPr>
            </w:pPr>
            <w:r w:rsidRPr="00F90ADE">
              <w:rPr>
                <w:rFonts w:cs="Arial"/>
                <w:color w:val="000000" w:themeColor="text1"/>
                <w:szCs w:val="18"/>
                <w:lang w:eastAsia="es-PE"/>
              </w:rPr>
              <w:t>Flash Point: 13°C</w:t>
            </w:r>
            <w:r w:rsidR="00AD75BC" w:rsidRPr="00F90ADE">
              <w:rPr>
                <w:rFonts w:cs="Arial"/>
                <w:color w:val="000000" w:themeColor="text1"/>
                <w:szCs w:val="18"/>
                <w:lang w:eastAsia="es-PE"/>
              </w:rPr>
              <w:t xml:space="preserve">, </w:t>
            </w:r>
            <w:r w:rsidRPr="00F90ADE">
              <w:rPr>
                <w:rFonts w:cs="Arial"/>
                <w:color w:val="000000" w:themeColor="text1"/>
                <w:szCs w:val="18"/>
                <w:lang w:eastAsia="es-PE"/>
              </w:rPr>
              <w:t>Explosiveness: 3.3% - 19.0%</w:t>
            </w:r>
          </w:p>
          <w:p w14:paraId="29B0E8CE" w14:textId="09BE8D35" w:rsidR="00D22C30" w:rsidRPr="00F90ADE" w:rsidRDefault="00D22C30" w:rsidP="000F21BD">
            <w:pPr>
              <w:spacing w:line="240" w:lineRule="auto"/>
              <w:jc w:val="left"/>
              <w:rPr>
                <w:rFonts w:cs="Arial"/>
                <w:color w:val="000000" w:themeColor="text1"/>
                <w:szCs w:val="18"/>
                <w:lang w:eastAsia="es-PE"/>
              </w:rPr>
            </w:pPr>
            <w:r w:rsidRPr="00F90ADE">
              <w:rPr>
                <w:rFonts w:cs="Arial"/>
                <w:color w:val="000000" w:themeColor="text1"/>
                <w:szCs w:val="18"/>
                <w:lang w:eastAsia="es-PE"/>
              </w:rPr>
              <w:t>Toxicity (TLV): 1000 ppm</w:t>
            </w:r>
          </w:p>
        </w:tc>
        <w:tc>
          <w:tcPr>
            <w:tcW w:w="426" w:type="dxa"/>
            <w:shd w:val="clear" w:color="auto" w:fill="FFFFFF"/>
            <w:vAlign w:val="center"/>
          </w:tcPr>
          <w:p w14:paraId="02DFE508" w14:textId="4CDD920F" w:rsidR="00D22C30" w:rsidRPr="00F90ADE" w:rsidRDefault="00D22C30" w:rsidP="00D22C30">
            <w:pPr>
              <w:pStyle w:val="CETBodytext"/>
              <w:rPr>
                <w:rFonts w:cs="Arial"/>
                <w:color w:val="000000" w:themeColor="text1"/>
                <w:szCs w:val="18"/>
                <w:lang w:val="en-GB"/>
              </w:rPr>
            </w:pPr>
            <w:r w:rsidRPr="00F90ADE">
              <w:rPr>
                <w:rFonts w:cs="Arial"/>
                <w:color w:val="000000" w:themeColor="text1"/>
                <w:szCs w:val="18"/>
                <w:lang w:val="es-PE" w:eastAsia="es-PE"/>
              </w:rPr>
              <w:t>3</w:t>
            </w:r>
          </w:p>
        </w:tc>
        <w:tc>
          <w:tcPr>
            <w:tcW w:w="425" w:type="dxa"/>
            <w:shd w:val="clear" w:color="auto" w:fill="FFFFFF"/>
            <w:vAlign w:val="center"/>
          </w:tcPr>
          <w:p w14:paraId="62620E3D" w14:textId="6B391965" w:rsidR="00D22C30" w:rsidRPr="00F90ADE" w:rsidRDefault="00D22C30" w:rsidP="00D22C30">
            <w:pPr>
              <w:pStyle w:val="CETBodytext"/>
              <w:ind w:right="-1"/>
              <w:rPr>
                <w:rFonts w:cs="Arial"/>
                <w:color w:val="000000" w:themeColor="text1"/>
                <w:szCs w:val="18"/>
                <w:lang w:val="en-GB"/>
              </w:rPr>
            </w:pPr>
            <w:r w:rsidRPr="00F90ADE">
              <w:rPr>
                <w:rFonts w:cs="Arial"/>
                <w:color w:val="000000" w:themeColor="text1"/>
                <w:szCs w:val="18"/>
                <w:lang w:val="es-PE" w:eastAsia="es-PE"/>
              </w:rPr>
              <w:t>1</w:t>
            </w:r>
          </w:p>
        </w:tc>
        <w:tc>
          <w:tcPr>
            <w:tcW w:w="425" w:type="dxa"/>
            <w:shd w:val="clear" w:color="auto" w:fill="FFFFFF"/>
            <w:vAlign w:val="center"/>
          </w:tcPr>
          <w:p w14:paraId="66C92C0D" w14:textId="089030A1" w:rsidR="00D22C30" w:rsidRPr="00F90ADE" w:rsidRDefault="00D22C30" w:rsidP="00D22C30">
            <w:pPr>
              <w:pStyle w:val="CETBodytext"/>
              <w:ind w:right="-1"/>
              <w:rPr>
                <w:rFonts w:cs="Arial"/>
                <w:color w:val="000000" w:themeColor="text1"/>
                <w:szCs w:val="18"/>
                <w:lang w:val="en-GB"/>
              </w:rPr>
            </w:pPr>
            <w:r w:rsidRPr="00F90ADE">
              <w:rPr>
                <w:rFonts w:cs="Arial"/>
                <w:color w:val="000000" w:themeColor="text1"/>
                <w:szCs w:val="18"/>
                <w:lang w:val="es-PE" w:eastAsia="es-PE"/>
              </w:rPr>
              <w:t>2</w:t>
            </w:r>
          </w:p>
        </w:tc>
      </w:tr>
      <w:tr w:rsidR="00F90ADE" w:rsidRPr="00F90ADE" w14:paraId="6FEB4A13" w14:textId="77777777" w:rsidTr="000F21BD">
        <w:tc>
          <w:tcPr>
            <w:tcW w:w="1134" w:type="dxa"/>
            <w:shd w:val="clear" w:color="auto" w:fill="FFFFFF"/>
            <w:vAlign w:val="center"/>
          </w:tcPr>
          <w:p w14:paraId="0E251525" w14:textId="1EA64A8F" w:rsidR="00D22C30" w:rsidRPr="00F90ADE" w:rsidRDefault="00D22C30" w:rsidP="00D22C30">
            <w:pPr>
              <w:pStyle w:val="CETBodytext"/>
              <w:rPr>
                <w:rFonts w:cs="Arial"/>
                <w:color w:val="000000" w:themeColor="text1"/>
                <w:szCs w:val="18"/>
                <w:lang w:val="en-GB"/>
              </w:rPr>
            </w:pPr>
            <w:proofErr w:type="spellStart"/>
            <w:r w:rsidRPr="00F90ADE">
              <w:rPr>
                <w:rFonts w:cs="Arial"/>
                <w:color w:val="000000" w:themeColor="text1"/>
                <w:szCs w:val="18"/>
                <w:lang w:val="es-PE" w:eastAsia="es-PE"/>
              </w:rPr>
              <w:t>Ammonia</w:t>
            </w:r>
            <w:proofErr w:type="spellEnd"/>
            <w:r w:rsidRPr="00F90ADE">
              <w:rPr>
                <w:rFonts w:cs="Arial"/>
                <w:color w:val="000000" w:themeColor="text1"/>
                <w:szCs w:val="18"/>
                <w:lang w:val="es-PE" w:eastAsia="es-PE"/>
              </w:rPr>
              <w:t xml:space="preserve"> </w:t>
            </w:r>
          </w:p>
        </w:tc>
        <w:tc>
          <w:tcPr>
            <w:tcW w:w="4536" w:type="dxa"/>
            <w:shd w:val="clear" w:color="auto" w:fill="FFFFFF"/>
            <w:vAlign w:val="center"/>
          </w:tcPr>
          <w:p w14:paraId="170AAB30" w14:textId="488C5C53" w:rsidR="00D22C30" w:rsidRPr="00F90ADE" w:rsidRDefault="00D22C30" w:rsidP="00D22C30">
            <w:pPr>
              <w:spacing w:line="240" w:lineRule="auto"/>
              <w:jc w:val="left"/>
              <w:rPr>
                <w:rFonts w:cs="Arial"/>
                <w:color w:val="000000" w:themeColor="text1"/>
                <w:szCs w:val="18"/>
                <w:lang w:eastAsia="es-PE"/>
              </w:rPr>
            </w:pPr>
            <w:r w:rsidRPr="00F90ADE">
              <w:rPr>
                <w:rFonts w:cs="Arial"/>
                <w:color w:val="000000" w:themeColor="text1"/>
                <w:szCs w:val="18"/>
                <w:lang w:eastAsia="es-PE"/>
              </w:rPr>
              <w:t>Flash Point: NA</w:t>
            </w:r>
            <w:r w:rsidR="00AD75BC" w:rsidRPr="00F90ADE">
              <w:rPr>
                <w:rFonts w:cs="Arial"/>
                <w:color w:val="000000" w:themeColor="text1"/>
                <w:szCs w:val="18"/>
                <w:lang w:eastAsia="es-PE"/>
              </w:rPr>
              <w:t xml:space="preserve">, </w:t>
            </w:r>
            <w:r w:rsidRPr="00F90ADE">
              <w:rPr>
                <w:rFonts w:cs="Arial"/>
                <w:color w:val="000000" w:themeColor="text1"/>
                <w:szCs w:val="18"/>
                <w:lang w:eastAsia="es-PE"/>
              </w:rPr>
              <w:t>Explosiveness: 15.0% - 28.0%</w:t>
            </w:r>
          </w:p>
          <w:p w14:paraId="3FA8F3EC" w14:textId="053EFB13" w:rsidR="00D22C30" w:rsidRPr="00F90ADE" w:rsidRDefault="00D22C30" w:rsidP="000F21BD">
            <w:pPr>
              <w:spacing w:line="240" w:lineRule="auto"/>
              <w:jc w:val="left"/>
              <w:rPr>
                <w:rFonts w:cs="Arial"/>
                <w:color w:val="000000" w:themeColor="text1"/>
                <w:szCs w:val="18"/>
                <w:lang w:eastAsia="es-PE"/>
              </w:rPr>
            </w:pPr>
            <w:r w:rsidRPr="00F90ADE">
              <w:rPr>
                <w:rFonts w:cs="Arial"/>
                <w:color w:val="000000" w:themeColor="text1"/>
                <w:szCs w:val="18"/>
                <w:lang w:eastAsia="es-PE"/>
              </w:rPr>
              <w:t>Toxicity (TLV): 25 ppm</w:t>
            </w:r>
          </w:p>
        </w:tc>
        <w:tc>
          <w:tcPr>
            <w:tcW w:w="426" w:type="dxa"/>
            <w:shd w:val="clear" w:color="auto" w:fill="FFFFFF"/>
            <w:vAlign w:val="center"/>
          </w:tcPr>
          <w:p w14:paraId="4FA28983" w14:textId="1181AE55" w:rsidR="00D22C30" w:rsidRPr="00F90ADE" w:rsidRDefault="00D22C30" w:rsidP="00D22C30">
            <w:pPr>
              <w:pStyle w:val="CETBodytext"/>
              <w:rPr>
                <w:rFonts w:cs="Arial"/>
                <w:color w:val="000000" w:themeColor="text1"/>
                <w:szCs w:val="18"/>
                <w:lang w:val="en-GB"/>
              </w:rPr>
            </w:pPr>
            <w:r w:rsidRPr="00F90ADE">
              <w:rPr>
                <w:rFonts w:cs="Arial"/>
                <w:color w:val="000000" w:themeColor="text1"/>
                <w:szCs w:val="18"/>
                <w:lang w:val="es-PE" w:eastAsia="es-PE"/>
              </w:rPr>
              <w:t>0</w:t>
            </w:r>
          </w:p>
        </w:tc>
        <w:tc>
          <w:tcPr>
            <w:tcW w:w="425" w:type="dxa"/>
            <w:shd w:val="clear" w:color="auto" w:fill="FFFFFF"/>
            <w:vAlign w:val="center"/>
          </w:tcPr>
          <w:p w14:paraId="29824C32" w14:textId="3709B93D" w:rsidR="00D22C30" w:rsidRPr="00F90ADE" w:rsidRDefault="00D22C30" w:rsidP="00D22C30">
            <w:pPr>
              <w:pStyle w:val="CETBodytext"/>
              <w:ind w:right="-1"/>
              <w:rPr>
                <w:rFonts w:cs="Arial"/>
                <w:color w:val="000000" w:themeColor="text1"/>
                <w:szCs w:val="18"/>
                <w:lang w:val="en-GB"/>
              </w:rPr>
            </w:pPr>
            <w:r w:rsidRPr="00F90ADE">
              <w:rPr>
                <w:rFonts w:cs="Arial"/>
                <w:color w:val="000000" w:themeColor="text1"/>
                <w:szCs w:val="18"/>
                <w:lang w:val="es-PE" w:eastAsia="es-PE"/>
              </w:rPr>
              <w:t>2</w:t>
            </w:r>
          </w:p>
        </w:tc>
        <w:tc>
          <w:tcPr>
            <w:tcW w:w="425" w:type="dxa"/>
            <w:shd w:val="clear" w:color="auto" w:fill="FFFFFF"/>
            <w:vAlign w:val="center"/>
          </w:tcPr>
          <w:p w14:paraId="06B1D955" w14:textId="0B142225" w:rsidR="00D22C30" w:rsidRPr="00F90ADE" w:rsidRDefault="00D22C30" w:rsidP="00D22C30">
            <w:pPr>
              <w:pStyle w:val="CETBodytext"/>
              <w:ind w:right="-1"/>
              <w:rPr>
                <w:rFonts w:cs="Arial"/>
                <w:color w:val="000000" w:themeColor="text1"/>
                <w:szCs w:val="18"/>
                <w:lang w:val="en-GB"/>
              </w:rPr>
            </w:pPr>
            <w:r w:rsidRPr="00F90ADE">
              <w:rPr>
                <w:rFonts w:cs="Arial"/>
                <w:color w:val="000000" w:themeColor="text1"/>
                <w:szCs w:val="18"/>
                <w:lang w:val="es-PE" w:eastAsia="es-PE"/>
              </w:rPr>
              <w:t>3</w:t>
            </w:r>
          </w:p>
        </w:tc>
      </w:tr>
      <w:tr w:rsidR="00F90ADE" w:rsidRPr="00F90ADE" w14:paraId="67FA39B5" w14:textId="77777777" w:rsidTr="000F21BD">
        <w:tc>
          <w:tcPr>
            <w:tcW w:w="1134" w:type="dxa"/>
            <w:shd w:val="clear" w:color="auto" w:fill="FFFFFF"/>
            <w:vAlign w:val="center"/>
          </w:tcPr>
          <w:p w14:paraId="1F29DF3C" w14:textId="1E6E95C6" w:rsidR="00D22C30" w:rsidRPr="00F90ADE" w:rsidRDefault="00D22C30" w:rsidP="00D22C30">
            <w:pPr>
              <w:pStyle w:val="CETBodytext"/>
              <w:rPr>
                <w:rFonts w:cs="Arial"/>
                <w:color w:val="000000" w:themeColor="text1"/>
                <w:szCs w:val="18"/>
                <w:lang w:val="en-GB"/>
              </w:rPr>
            </w:pPr>
            <w:proofErr w:type="spellStart"/>
            <w:r w:rsidRPr="00F90ADE">
              <w:rPr>
                <w:rFonts w:cs="Arial"/>
                <w:color w:val="000000" w:themeColor="text1"/>
                <w:szCs w:val="18"/>
                <w:lang w:val="es-PE" w:eastAsia="es-PE"/>
              </w:rPr>
              <w:t>Ammonium</w:t>
            </w:r>
            <w:proofErr w:type="spellEnd"/>
            <w:r w:rsidRPr="00F90ADE">
              <w:rPr>
                <w:rFonts w:cs="Arial"/>
                <w:color w:val="000000" w:themeColor="text1"/>
                <w:szCs w:val="18"/>
                <w:lang w:val="es-PE" w:eastAsia="es-PE"/>
              </w:rPr>
              <w:t xml:space="preserve"> </w:t>
            </w:r>
            <w:proofErr w:type="spellStart"/>
            <w:r w:rsidRPr="00F90ADE">
              <w:rPr>
                <w:rFonts w:cs="Arial"/>
                <w:color w:val="000000" w:themeColor="text1"/>
                <w:szCs w:val="18"/>
                <w:lang w:val="es-PE" w:eastAsia="es-PE"/>
              </w:rPr>
              <w:t>Persulfate</w:t>
            </w:r>
            <w:proofErr w:type="spellEnd"/>
          </w:p>
        </w:tc>
        <w:tc>
          <w:tcPr>
            <w:tcW w:w="4536" w:type="dxa"/>
            <w:shd w:val="clear" w:color="auto" w:fill="FFFFFF"/>
            <w:vAlign w:val="center"/>
          </w:tcPr>
          <w:p w14:paraId="7857BCF9" w14:textId="460DB758" w:rsidR="00D22C30" w:rsidRPr="00F90ADE" w:rsidRDefault="00D22C30" w:rsidP="00D22C30">
            <w:pPr>
              <w:spacing w:line="240" w:lineRule="auto"/>
              <w:jc w:val="left"/>
              <w:rPr>
                <w:rFonts w:cs="Arial"/>
                <w:color w:val="000000" w:themeColor="text1"/>
                <w:szCs w:val="18"/>
                <w:lang w:eastAsia="es-PE"/>
              </w:rPr>
            </w:pPr>
            <w:r w:rsidRPr="00F90ADE">
              <w:rPr>
                <w:rFonts w:cs="Arial"/>
                <w:color w:val="000000" w:themeColor="text1"/>
                <w:szCs w:val="18"/>
                <w:lang w:eastAsia="es-PE"/>
              </w:rPr>
              <w:t>Flash Point: NA</w:t>
            </w:r>
            <w:r w:rsidR="00AD75BC" w:rsidRPr="00F90ADE">
              <w:rPr>
                <w:rFonts w:cs="Arial"/>
                <w:color w:val="000000" w:themeColor="text1"/>
                <w:szCs w:val="18"/>
                <w:lang w:eastAsia="es-PE"/>
              </w:rPr>
              <w:t xml:space="preserve">, </w:t>
            </w:r>
            <w:r w:rsidRPr="00F90ADE">
              <w:rPr>
                <w:rFonts w:cs="Arial"/>
                <w:color w:val="000000" w:themeColor="text1"/>
                <w:szCs w:val="18"/>
                <w:lang w:eastAsia="es-PE"/>
              </w:rPr>
              <w:t>Explosiveness: NA</w:t>
            </w:r>
          </w:p>
          <w:p w14:paraId="2465C3EF" w14:textId="17D92B72" w:rsidR="00D22C30" w:rsidRPr="00F90ADE" w:rsidRDefault="00D22C30" w:rsidP="000F21BD">
            <w:pPr>
              <w:spacing w:line="240" w:lineRule="auto"/>
              <w:jc w:val="left"/>
              <w:rPr>
                <w:rFonts w:cs="Arial"/>
                <w:color w:val="000000" w:themeColor="text1"/>
                <w:szCs w:val="18"/>
                <w:lang w:eastAsia="es-PE"/>
              </w:rPr>
            </w:pPr>
            <w:r w:rsidRPr="00F90ADE">
              <w:rPr>
                <w:rFonts w:cs="Arial"/>
                <w:color w:val="000000" w:themeColor="text1"/>
                <w:szCs w:val="18"/>
                <w:lang w:eastAsia="es-PE"/>
              </w:rPr>
              <w:t>Toxicity (TLV): 0.01 ppm </w:t>
            </w:r>
          </w:p>
        </w:tc>
        <w:tc>
          <w:tcPr>
            <w:tcW w:w="426" w:type="dxa"/>
            <w:shd w:val="clear" w:color="auto" w:fill="FFFFFF"/>
            <w:vAlign w:val="center"/>
          </w:tcPr>
          <w:p w14:paraId="6F1A7812" w14:textId="7C04E03B" w:rsidR="00D22C30" w:rsidRPr="00F90ADE" w:rsidRDefault="00D22C30" w:rsidP="00D22C30">
            <w:pPr>
              <w:pStyle w:val="CETBodytext"/>
              <w:rPr>
                <w:rFonts w:cs="Arial"/>
                <w:color w:val="000000" w:themeColor="text1"/>
                <w:szCs w:val="18"/>
                <w:lang w:val="en-GB"/>
              </w:rPr>
            </w:pPr>
            <w:r w:rsidRPr="00F90ADE">
              <w:rPr>
                <w:rFonts w:cs="Arial"/>
                <w:color w:val="000000" w:themeColor="text1"/>
                <w:szCs w:val="18"/>
                <w:lang w:val="es-PE" w:eastAsia="es-PE"/>
              </w:rPr>
              <w:t>0</w:t>
            </w:r>
          </w:p>
        </w:tc>
        <w:tc>
          <w:tcPr>
            <w:tcW w:w="425" w:type="dxa"/>
            <w:shd w:val="clear" w:color="auto" w:fill="FFFFFF"/>
            <w:vAlign w:val="center"/>
          </w:tcPr>
          <w:p w14:paraId="657D38FB" w14:textId="621B34A3" w:rsidR="00D22C30" w:rsidRPr="00F90ADE" w:rsidRDefault="00D22C30" w:rsidP="00D22C30">
            <w:pPr>
              <w:pStyle w:val="CETBodytext"/>
              <w:ind w:right="-1"/>
              <w:rPr>
                <w:rFonts w:cs="Arial"/>
                <w:color w:val="000000" w:themeColor="text1"/>
                <w:szCs w:val="18"/>
                <w:lang w:val="en-GB"/>
              </w:rPr>
            </w:pPr>
            <w:r w:rsidRPr="00F90ADE">
              <w:rPr>
                <w:rFonts w:cs="Arial"/>
                <w:color w:val="000000" w:themeColor="text1"/>
                <w:szCs w:val="18"/>
                <w:lang w:val="es-PE" w:eastAsia="es-PE"/>
              </w:rPr>
              <w:t>0</w:t>
            </w:r>
          </w:p>
        </w:tc>
        <w:tc>
          <w:tcPr>
            <w:tcW w:w="425" w:type="dxa"/>
            <w:shd w:val="clear" w:color="auto" w:fill="FFFFFF"/>
            <w:vAlign w:val="center"/>
          </w:tcPr>
          <w:p w14:paraId="0FFFEB80" w14:textId="48BF3F22" w:rsidR="00D22C30" w:rsidRPr="00F90ADE" w:rsidRDefault="00D22C30" w:rsidP="00D22C30">
            <w:pPr>
              <w:pStyle w:val="CETBodytext"/>
              <w:ind w:right="-1"/>
              <w:rPr>
                <w:rFonts w:cs="Arial"/>
                <w:color w:val="000000" w:themeColor="text1"/>
                <w:szCs w:val="18"/>
                <w:lang w:val="en-GB"/>
              </w:rPr>
            </w:pPr>
            <w:r w:rsidRPr="00F90ADE">
              <w:rPr>
                <w:rFonts w:cs="Arial"/>
                <w:color w:val="000000" w:themeColor="text1"/>
                <w:szCs w:val="18"/>
                <w:lang w:val="es-PE" w:eastAsia="es-PE"/>
              </w:rPr>
              <w:t>6</w:t>
            </w:r>
          </w:p>
        </w:tc>
      </w:tr>
      <w:tr w:rsidR="00F90ADE" w:rsidRPr="00F90ADE" w14:paraId="4237DB8E" w14:textId="77777777" w:rsidTr="000F21BD">
        <w:tc>
          <w:tcPr>
            <w:tcW w:w="1134" w:type="dxa"/>
            <w:shd w:val="clear" w:color="auto" w:fill="FFFFFF"/>
            <w:vAlign w:val="center"/>
          </w:tcPr>
          <w:p w14:paraId="68BB5FB3" w14:textId="6BE5E719" w:rsidR="00D22C30" w:rsidRPr="00F90ADE" w:rsidRDefault="00D22C30" w:rsidP="00D22C30">
            <w:pPr>
              <w:pStyle w:val="CETBodytext"/>
              <w:rPr>
                <w:rFonts w:cs="Arial"/>
                <w:color w:val="000000" w:themeColor="text1"/>
                <w:szCs w:val="18"/>
                <w:lang w:val="en-GB"/>
              </w:rPr>
            </w:pPr>
            <w:proofErr w:type="spellStart"/>
            <w:r w:rsidRPr="00F90ADE">
              <w:rPr>
                <w:rFonts w:cs="Arial"/>
                <w:color w:val="000000" w:themeColor="text1"/>
                <w:szCs w:val="18"/>
                <w:lang w:val="es-PE" w:eastAsia="es-PE"/>
              </w:rPr>
              <w:t>Sodium</w:t>
            </w:r>
            <w:proofErr w:type="spellEnd"/>
            <w:r w:rsidRPr="00F90ADE">
              <w:rPr>
                <w:rFonts w:cs="Arial"/>
                <w:color w:val="000000" w:themeColor="text1"/>
                <w:szCs w:val="18"/>
                <w:lang w:val="es-PE" w:eastAsia="es-PE"/>
              </w:rPr>
              <w:t xml:space="preserve"> </w:t>
            </w:r>
            <w:proofErr w:type="spellStart"/>
            <w:r w:rsidRPr="00F90ADE">
              <w:rPr>
                <w:rFonts w:cs="Arial"/>
                <w:color w:val="000000" w:themeColor="text1"/>
                <w:szCs w:val="18"/>
                <w:lang w:val="es-PE" w:eastAsia="es-PE"/>
              </w:rPr>
              <w:t>Hydroxide</w:t>
            </w:r>
            <w:proofErr w:type="spellEnd"/>
          </w:p>
        </w:tc>
        <w:tc>
          <w:tcPr>
            <w:tcW w:w="4536" w:type="dxa"/>
            <w:shd w:val="clear" w:color="auto" w:fill="FFFFFF"/>
            <w:vAlign w:val="center"/>
          </w:tcPr>
          <w:p w14:paraId="33F9F94A" w14:textId="114BD998" w:rsidR="00D22C30" w:rsidRPr="00F90ADE" w:rsidRDefault="00D22C30" w:rsidP="00D22C30">
            <w:pPr>
              <w:spacing w:line="240" w:lineRule="auto"/>
              <w:jc w:val="left"/>
              <w:rPr>
                <w:rFonts w:cs="Arial"/>
                <w:color w:val="000000" w:themeColor="text1"/>
                <w:szCs w:val="18"/>
                <w:lang w:eastAsia="es-PE"/>
              </w:rPr>
            </w:pPr>
            <w:r w:rsidRPr="00F90ADE">
              <w:rPr>
                <w:rFonts w:cs="Arial"/>
                <w:color w:val="000000" w:themeColor="text1"/>
                <w:szCs w:val="18"/>
                <w:lang w:eastAsia="es-PE"/>
              </w:rPr>
              <w:t>Flash Point: NA</w:t>
            </w:r>
            <w:r w:rsidR="00AD75BC" w:rsidRPr="00F90ADE">
              <w:rPr>
                <w:rFonts w:cs="Arial"/>
                <w:color w:val="000000" w:themeColor="text1"/>
                <w:szCs w:val="18"/>
                <w:lang w:eastAsia="es-PE"/>
              </w:rPr>
              <w:t xml:space="preserve">, </w:t>
            </w:r>
            <w:r w:rsidRPr="00F90ADE">
              <w:rPr>
                <w:rFonts w:cs="Arial"/>
                <w:color w:val="000000" w:themeColor="text1"/>
                <w:szCs w:val="18"/>
                <w:lang w:eastAsia="es-PE"/>
              </w:rPr>
              <w:t>Explosiveness: NA</w:t>
            </w:r>
          </w:p>
          <w:p w14:paraId="775356FA" w14:textId="06FD6475" w:rsidR="00D22C30" w:rsidRPr="00F90ADE" w:rsidRDefault="00D22C30" w:rsidP="000F21BD">
            <w:pPr>
              <w:spacing w:line="240" w:lineRule="auto"/>
              <w:jc w:val="left"/>
              <w:rPr>
                <w:rFonts w:cs="Arial"/>
                <w:color w:val="000000" w:themeColor="text1"/>
                <w:szCs w:val="18"/>
                <w:lang w:eastAsia="es-PE"/>
              </w:rPr>
            </w:pPr>
            <w:r w:rsidRPr="00F90ADE">
              <w:rPr>
                <w:rFonts w:cs="Arial"/>
                <w:color w:val="000000" w:themeColor="text1"/>
                <w:szCs w:val="18"/>
                <w:lang w:eastAsia="es-PE"/>
              </w:rPr>
              <w:t>Toxicity (TLV): 1.2 ppm </w:t>
            </w:r>
          </w:p>
        </w:tc>
        <w:tc>
          <w:tcPr>
            <w:tcW w:w="426" w:type="dxa"/>
            <w:shd w:val="clear" w:color="auto" w:fill="FFFFFF"/>
            <w:vAlign w:val="center"/>
          </w:tcPr>
          <w:p w14:paraId="533CA5D0" w14:textId="6B0B8019" w:rsidR="00D22C30" w:rsidRPr="00F90ADE" w:rsidRDefault="00D22C30" w:rsidP="00D22C30">
            <w:pPr>
              <w:pStyle w:val="CETBodytext"/>
              <w:rPr>
                <w:rFonts w:cs="Arial"/>
                <w:color w:val="000000" w:themeColor="text1"/>
                <w:szCs w:val="18"/>
                <w:lang w:val="en-GB"/>
              </w:rPr>
            </w:pPr>
            <w:r w:rsidRPr="00F90ADE">
              <w:rPr>
                <w:rFonts w:cs="Arial"/>
                <w:color w:val="000000" w:themeColor="text1"/>
                <w:szCs w:val="18"/>
                <w:lang w:val="es-PE" w:eastAsia="es-PE"/>
              </w:rPr>
              <w:t>0</w:t>
            </w:r>
          </w:p>
        </w:tc>
        <w:tc>
          <w:tcPr>
            <w:tcW w:w="425" w:type="dxa"/>
            <w:shd w:val="clear" w:color="auto" w:fill="FFFFFF"/>
            <w:vAlign w:val="center"/>
          </w:tcPr>
          <w:p w14:paraId="58B1F31A" w14:textId="333E3685" w:rsidR="00D22C30" w:rsidRPr="00F90ADE" w:rsidRDefault="00D22C30" w:rsidP="00D22C30">
            <w:pPr>
              <w:pStyle w:val="CETBodytext"/>
              <w:ind w:right="-1"/>
              <w:rPr>
                <w:rFonts w:cs="Arial"/>
                <w:color w:val="000000" w:themeColor="text1"/>
                <w:szCs w:val="18"/>
                <w:lang w:val="en-GB"/>
              </w:rPr>
            </w:pPr>
            <w:r w:rsidRPr="00F90ADE">
              <w:rPr>
                <w:rFonts w:cs="Arial"/>
                <w:color w:val="000000" w:themeColor="text1"/>
                <w:szCs w:val="18"/>
                <w:lang w:val="es-PE" w:eastAsia="es-PE"/>
              </w:rPr>
              <w:t>0</w:t>
            </w:r>
          </w:p>
        </w:tc>
        <w:tc>
          <w:tcPr>
            <w:tcW w:w="425" w:type="dxa"/>
            <w:shd w:val="clear" w:color="auto" w:fill="FFFFFF"/>
            <w:vAlign w:val="center"/>
          </w:tcPr>
          <w:p w14:paraId="3DC824C8" w14:textId="74BE5478" w:rsidR="00D22C30" w:rsidRPr="00F90ADE" w:rsidRDefault="00D22C30" w:rsidP="00D22C30">
            <w:pPr>
              <w:pStyle w:val="CETBodytext"/>
              <w:ind w:right="-1"/>
              <w:rPr>
                <w:rFonts w:cs="Arial"/>
                <w:color w:val="000000" w:themeColor="text1"/>
                <w:szCs w:val="18"/>
                <w:lang w:val="en-GB"/>
              </w:rPr>
            </w:pPr>
            <w:r w:rsidRPr="00F90ADE">
              <w:rPr>
                <w:rFonts w:cs="Arial"/>
                <w:color w:val="000000" w:themeColor="text1"/>
                <w:szCs w:val="18"/>
                <w:lang w:val="es-PE" w:eastAsia="es-PE"/>
              </w:rPr>
              <w:t>4</w:t>
            </w:r>
          </w:p>
        </w:tc>
      </w:tr>
      <w:tr w:rsidR="00F90ADE" w:rsidRPr="00F90ADE" w14:paraId="3990A62F" w14:textId="77777777" w:rsidTr="000F21BD">
        <w:tc>
          <w:tcPr>
            <w:tcW w:w="1134" w:type="dxa"/>
            <w:shd w:val="clear" w:color="auto" w:fill="FFFFFF"/>
            <w:vAlign w:val="center"/>
          </w:tcPr>
          <w:p w14:paraId="5401744D" w14:textId="44BB7CB9" w:rsidR="00D22C30" w:rsidRPr="00F90ADE" w:rsidRDefault="00D22C30" w:rsidP="00D22C30">
            <w:pPr>
              <w:pStyle w:val="CETBodytext"/>
              <w:rPr>
                <w:rFonts w:cs="Arial"/>
                <w:color w:val="000000" w:themeColor="text1"/>
                <w:szCs w:val="18"/>
                <w:lang w:val="en-GB"/>
              </w:rPr>
            </w:pPr>
            <w:r w:rsidRPr="00F90ADE">
              <w:rPr>
                <w:rFonts w:cs="Arial"/>
                <w:color w:val="000000" w:themeColor="text1"/>
                <w:szCs w:val="18"/>
                <w:lang w:val="es-PE" w:eastAsia="es-PE"/>
              </w:rPr>
              <w:t>MBA</w:t>
            </w:r>
          </w:p>
        </w:tc>
        <w:tc>
          <w:tcPr>
            <w:tcW w:w="4536" w:type="dxa"/>
            <w:shd w:val="clear" w:color="auto" w:fill="FFFFFF"/>
            <w:vAlign w:val="center"/>
          </w:tcPr>
          <w:p w14:paraId="66584A45" w14:textId="3C3DD66A" w:rsidR="00D22C30" w:rsidRPr="00F90ADE" w:rsidRDefault="00D22C30" w:rsidP="00D22C30">
            <w:pPr>
              <w:spacing w:line="240" w:lineRule="auto"/>
              <w:jc w:val="left"/>
              <w:rPr>
                <w:rFonts w:cs="Arial"/>
                <w:color w:val="000000" w:themeColor="text1"/>
                <w:szCs w:val="18"/>
                <w:lang w:eastAsia="es-PE"/>
              </w:rPr>
            </w:pPr>
            <w:r w:rsidRPr="00F90ADE">
              <w:rPr>
                <w:rFonts w:cs="Arial"/>
                <w:color w:val="000000" w:themeColor="text1"/>
                <w:szCs w:val="18"/>
                <w:lang w:eastAsia="es-PE"/>
              </w:rPr>
              <w:t>Flash Point: 138°C</w:t>
            </w:r>
            <w:r w:rsidR="00AD75BC" w:rsidRPr="00F90ADE">
              <w:rPr>
                <w:rFonts w:cs="Arial"/>
                <w:color w:val="000000" w:themeColor="text1"/>
                <w:szCs w:val="18"/>
                <w:lang w:eastAsia="es-PE"/>
              </w:rPr>
              <w:t xml:space="preserve">, </w:t>
            </w:r>
            <w:r w:rsidRPr="00F90ADE">
              <w:rPr>
                <w:rFonts w:cs="Arial"/>
                <w:color w:val="000000" w:themeColor="text1"/>
                <w:szCs w:val="18"/>
                <w:lang w:eastAsia="es-PE"/>
              </w:rPr>
              <w:t>Explosiveness: NA</w:t>
            </w:r>
          </w:p>
          <w:p w14:paraId="56D77F6B" w14:textId="1D025582" w:rsidR="00D22C30" w:rsidRPr="00F90ADE" w:rsidRDefault="00D22C30" w:rsidP="000F21BD">
            <w:pPr>
              <w:spacing w:line="240" w:lineRule="auto"/>
              <w:jc w:val="left"/>
              <w:rPr>
                <w:rFonts w:cs="Arial"/>
                <w:color w:val="000000" w:themeColor="text1"/>
                <w:szCs w:val="18"/>
                <w:lang w:eastAsia="es-PE"/>
              </w:rPr>
            </w:pPr>
            <w:r w:rsidRPr="00F90ADE">
              <w:rPr>
                <w:rFonts w:cs="Arial"/>
                <w:color w:val="000000" w:themeColor="text1"/>
                <w:szCs w:val="18"/>
                <w:lang w:eastAsia="es-PE"/>
              </w:rPr>
              <w:t>Toxicity (TLV): NA </w:t>
            </w:r>
          </w:p>
        </w:tc>
        <w:tc>
          <w:tcPr>
            <w:tcW w:w="426" w:type="dxa"/>
            <w:shd w:val="clear" w:color="auto" w:fill="FFFFFF"/>
            <w:vAlign w:val="center"/>
          </w:tcPr>
          <w:p w14:paraId="244016B9" w14:textId="4E540C70" w:rsidR="00D22C30" w:rsidRPr="00F90ADE" w:rsidRDefault="00D22C30" w:rsidP="00D22C30">
            <w:pPr>
              <w:pStyle w:val="CETBodytext"/>
              <w:rPr>
                <w:rFonts w:cs="Arial"/>
                <w:color w:val="000000" w:themeColor="text1"/>
                <w:szCs w:val="18"/>
                <w:lang w:val="en-GB"/>
              </w:rPr>
            </w:pPr>
            <w:r w:rsidRPr="00F90ADE">
              <w:rPr>
                <w:rFonts w:cs="Arial"/>
                <w:color w:val="000000" w:themeColor="text1"/>
                <w:szCs w:val="18"/>
                <w:lang w:eastAsia="es-PE"/>
              </w:rPr>
              <w:t>1</w:t>
            </w:r>
          </w:p>
        </w:tc>
        <w:tc>
          <w:tcPr>
            <w:tcW w:w="425" w:type="dxa"/>
            <w:shd w:val="clear" w:color="auto" w:fill="FFFFFF"/>
            <w:vAlign w:val="center"/>
          </w:tcPr>
          <w:p w14:paraId="49B46B6F" w14:textId="096E02A7" w:rsidR="00D22C30" w:rsidRPr="00F90ADE" w:rsidRDefault="00D22C30" w:rsidP="00D22C30">
            <w:pPr>
              <w:pStyle w:val="CETBodytext"/>
              <w:ind w:right="-1"/>
              <w:rPr>
                <w:rFonts w:cs="Arial"/>
                <w:color w:val="000000" w:themeColor="text1"/>
                <w:szCs w:val="18"/>
                <w:lang w:val="en-GB"/>
              </w:rPr>
            </w:pPr>
            <w:r w:rsidRPr="00F90ADE">
              <w:rPr>
                <w:rFonts w:cs="Arial"/>
                <w:color w:val="000000" w:themeColor="text1"/>
                <w:szCs w:val="18"/>
                <w:lang w:eastAsia="es-PE"/>
              </w:rPr>
              <w:t>0</w:t>
            </w:r>
          </w:p>
        </w:tc>
        <w:tc>
          <w:tcPr>
            <w:tcW w:w="425" w:type="dxa"/>
            <w:shd w:val="clear" w:color="auto" w:fill="FFFFFF"/>
            <w:vAlign w:val="center"/>
          </w:tcPr>
          <w:p w14:paraId="298A4BF4" w14:textId="5C686B9A" w:rsidR="00D22C30" w:rsidRPr="00F90ADE" w:rsidRDefault="00D22C30" w:rsidP="00D22C30">
            <w:pPr>
              <w:pStyle w:val="CETBodytext"/>
              <w:ind w:right="-1"/>
              <w:rPr>
                <w:rFonts w:cs="Arial"/>
                <w:color w:val="000000" w:themeColor="text1"/>
                <w:szCs w:val="18"/>
                <w:lang w:val="en-GB"/>
              </w:rPr>
            </w:pPr>
            <w:r w:rsidRPr="00F90ADE">
              <w:rPr>
                <w:rFonts w:cs="Arial"/>
                <w:color w:val="000000" w:themeColor="text1"/>
                <w:szCs w:val="18"/>
                <w:lang w:eastAsia="es-PE"/>
              </w:rPr>
              <w:t>0</w:t>
            </w:r>
          </w:p>
        </w:tc>
      </w:tr>
      <w:tr w:rsidR="00F90ADE" w:rsidRPr="00F90ADE" w14:paraId="129565EA" w14:textId="77777777" w:rsidTr="000F21BD">
        <w:tc>
          <w:tcPr>
            <w:tcW w:w="1134" w:type="dxa"/>
            <w:shd w:val="clear" w:color="auto" w:fill="FFFFFF"/>
            <w:vAlign w:val="center"/>
          </w:tcPr>
          <w:p w14:paraId="7F13B1AC" w14:textId="2CF4CFDC" w:rsidR="00D22C30" w:rsidRPr="00F90ADE" w:rsidRDefault="00D22C30" w:rsidP="00D22C30">
            <w:pPr>
              <w:pStyle w:val="CETBodytext"/>
              <w:rPr>
                <w:rFonts w:cs="Arial"/>
                <w:color w:val="000000" w:themeColor="text1"/>
                <w:szCs w:val="18"/>
                <w:lang w:val="en-GB"/>
              </w:rPr>
            </w:pPr>
            <w:proofErr w:type="spellStart"/>
            <w:r w:rsidRPr="00F90ADE">
              <w:rPr>
                <w:rFonts w:cs="Arial"/>
                <w:color w:val="000000" w:themeColor="text1"/>
                <w:szCs w:val="18"/>
                <w:lang w:val="es-PE" w:eastAsia="es-PE"/>
              </w:rPr>
              <w:t>Ferrous</w:t>
            </w:r>
            <w:proofErr w:type="spellEnd"/>
            <w:r w:rsidRPr="00F90ADE">
              <w:rPr>
                <w:rFonts w:cs="Arial"/>
                <w:color w:val="000000" w:themeColor="text1"/>
                <w:szCs w:val="18"/>
                <w:lang w:val="es-PE" w:eastAsia="es-PE"/>
              </w:rPr>
              <w:t xml:space="preserve"> sulfate</w:t>
            </w:r>
          </w:p>
        </w:tc>
        <w:tc>
          <w:tcPr>
            <w:tcW w:w="4536" w:type="dxa"/>
            <w:shd w:val="clear" w:color="auto" w:fill="FFFFFF"/>
            <w:vAlign w:val="center"/>
          </w:tcPr>
          <w:p w14:paraId="3D77B135" w14:textId="5A60B49E" w:rsidR="00D22C30" w:rsidRPr="00F90ADE" w:rsidRDefault="00D22C30" w:rsidP="00D22C30">
            <w:pPr>
              <w:spacing w:line="240" w:lineRule="auto"/>
              <w:jc w:val="left"/>
              <w:rPr>
                <w:rFonts w:cs="Arial"/>
                <w:color w:val="000000" w:themeColor="text1"/>
                <w:szCs w:val="18"/>
                <w:lang w:eastAsia="es-PE"/>
              </w:rPr>
            </w:pPr>
            <w:r w:rsidRPr="00F90ADE">
              <w:rPr>
                <w:rFonts w:cs="Arial"/>
                <w:color w:val="000000" w:themeColor="text1"/>
                <w:szCs w:val="18"/>
                <w:lang w:eastAsia="es-PE"/>
              </w:rPr>
              <w:t>Flash Point: NA</w:t>
            </w:r>
            <w:r w:rsidR="00AD75BC" w:rsidRPr="00F90ADE">
              <w:rPr>
                <w:rFonts w:cs="Arial"/>
                <w:color w:val="000000" w:themeColor="text1"/>
                <w:szCs w:val="18"/>
                <w:lang w:eastAsia="es-PE"/>
              </w:rPr>
              <w:t xml:space="preserve">, </w:t>
            </w:r>
            <w:r w:rsidRPr="00F90ADE">
              <w:rPr>
                <w:rFonts w:cs="Arial"/>
                <w:color w:val="000000" w:themeColor="text1"/>
                <w:szCs w:val="18"/>
                <w:lang w:eastAsia="es-PE"/>
              </w:rPr>
              <w:t>Explosiveness: NA</w:t>
            </w:r>
          </w:p>
          <w:p w14:paraId="31942260" w14:textId="280E54E2" w:rsidR="00D22C30" w:rsidRPr="00F90ADE" w:rsidRDefault="00D22C30" w:rsidP="000F21BD">
            <w:pPr>
              <w:spacing w:line="240" w:lineRule="auto"/>
              <w:jc w:val="left"/>
              <w:rPr>
                <w:rFonts w:cs="Arial"/>
                <w:color w:val="000000" w:themeColor="text1"/>
                <w:szCs w:val="18"/>
                <w:lang w:eastAsia="es-PE"/>
              </w:rPr>
            </w:pPr>
            <w:r w:rsidRPr="00F90ADE">
              <w:rPr>
                <w:rFonts w:cs="Arial"/>
                <w:color w:val="000000" w:themeColor="text1"/>
                <w:szCs w:val="18"/>
                <w:lang w:eastAsia="es-PE"/>
              </w:rPr>
              <w:t>Toxicity (TLV): 0.3 ppm</w:t>
            </w:r>
          </w:p>
        </w:tc>
        <w:tc>
          <w:tcPr>
            <w:tcW w:w="426" w:type="dxa"/>
            <w:shd w:val="clear" w:color="auto" w:fill="FFFFFF"/>
            <w:vAlign w:val="center"/>
          </w:tcPr>
          <w:p w14:paraId="1AF77F57" w14:textId="145FDE41" w:rsidR="00D22C30" w:rsidRPr="00F90ADE" w:rsidRDefault="00D22C30" w:rsidP="00D22C30">
            <w:pPr>
              <w:pStyle w:val="CETBodytext"/>
              <w:rPr>
                <w:rFonts w:cs="Arial"/>
                <w:color w:val="000000" w:themeColor="text1"/>
                <w:szCs w:val="18"/>
                <w:lang w:val="en-GB"/>
              </w:rPr>
            </w:pPr>
            <w:r w:rsidRPr="00F90ADE">
              <w:rPr>
                <w:rFonts w:cs="Arial"/>
                <w:color w:val="000000" w:themeColor="text1"/>
                <w:szCs w:val="18"/>
                <w:lang w:eastAsia="es-PE"/>
              </w:rPr>
              <w:t>0</w:t>
            </w:r>
          </w:p>
        </w:tc>
        <w:tc>
          <w:tcPr>
            <w:tcW w:w="425" w:type="dxa"/>
            <w:shd w:val="clear" w:color="auto" w:fill="FFFFFF"/>
            <w:vAlign w:val="center"/>
          </w:tcPr>
          <w:p w14:paraId="23DCE481" w14:textId="3CDE1E35" w:rsidR="00D22C30" w:rsidRPr="00F90ADE" w:rsidRDefault="00D22C30" w:rsidP="00D22C30">
            <w:pPr>
              <w:pStyle w:val="CETBodytext"/>
              <w:ind w:right="-1"/>
              <w:rPr>
                <w:rFonts w:cs="Arial"/>
                <w:color w:val="000000" w:themeColor="text1"/>
                <w:szCs w:val="18"/>
                <w:lang w:val="en-GB"/>
              </w:rPr>
            </w:pPr>
            <w:r w:rsidRPr="00F90ADE">
              <w:rPr>
                <w:rFonts w:cs="Arial"/>
                <w:color w:val="000000" w:themeColor="text1"/>
                <w:szCs w:val="18"/>
                <w:lang w:eastAsia="es-PE"/>
              </w:rPr>
              <w:t>0</w:t>
            </w:r>
          </w:p>
        </w:tc>
        <w:tc>
          <w:tcPr>
            <w:tcW w:w="425" w:type="dxa"/>
            <w:shd w:val="clear" w:color="auto" w:fill="FFFFFF"/>
            <w:vAlign w:val="center"/>
          </w:tcPr>
          <w:p w14:paraId="6C36EFAB" w14:textId="3039B2BE" w:rsidR="00D22C30" w:rsidRPr="00F90ADE" w:rsidRDefault="00D22C30" w:rsidP="00D22C30">
            <w:pPr>
              <w:pStyle w:val="CETBodytext"/>
              <w:ind w:right="-1"/>
              <w:rPr>
                <w:rFonts w:cs="Arial"/>
                <w:color w:val="000000" w:themeColor="text1"/>
                <w:szCs w:val="18"/>
                <w:lang w:val="en-GB"/>
              </w:rPr>
            </w:pPr>
            <w:r w:rsidRPr="00F90ADE">
              <w:rPr>
                <w:rFonts w:cs="Arial"/>
                <w:color w:val="000000" w:themeColor="text1"/>
                <w:szCs w:val="18"/>
                <w:lang w:eastAsia="es-PE"/>
              </w:rPr>
              <w:t>5</w:t>
            </w:r>
          </w:p>
        </w:tc>
      </w:tr>
      <w:tr w:rsidR="00F90ADE" w:rsidRPr="00F90ADE" w14:paraId="28E0B671" w14:textId="77777777" w:rsidTr="000F21BD">
        <w:tc>
          <w:tcPr>
            <w:tcW w:w="1134" w:type="dxa"/>
            <w:shd w:val="clear" w:color="auto" w:fill="FFFFFF"/>
            <w:vAlign w:val="center"/>
          </w:tcPr>
          <w:p w14:paraId="60569CFC" w14:textId="308AF48C" w:rsidR="00D22C30" w:rsidRPr="00F90ADE" w:rsidRDefault="00D22C30" w:rsidP="00D22C30">
            <w:pPr>
              <w:pStyle w:val="CETBodytext"/>
              <w:ind w:right="-1"/>
              <w:rPr>
                <w:rFonts w:cs="Arial"/>
                <w:color w:val="000000" w:themeColor="text1"/>
                <w:szCs w:val="18"/>
                <w:lang w:val="en-GB"/>
              </w:rPr>
            </w:pPr>
            <w:proofErr w:type="spellStart"/>
            <w:r w:rsidRPr="00F90ADE">
              <w:rPr>
                <w:rFonts w:cs="Arial"/>
                <w:color w:val="000000" w:themeColor="text1"/>
                <w:szCs w:val="18"/>
                <w:lang w:val="es-PE" w:eastAsia="es-PE"/>
              </w:rPr>
              <w:t>Ferric</w:t>
            </w:r>
            <w:proofErr w:type="spellEnd"/>
            <w:r w:rsidRPr="00F90ADE">
              <w:rPr>
                <w:rFonts w:cs="Arial"/>
                <w:color w:val="000000" w:themeColor="text1"/>
                <w:szCs w:val="18"/>
                <w:lang w:val="es-PE" w:eastAsia="es-PE"/>
              </w:rPr>
              <w:t xml:space="preserve"> </w:t>
            </w:r>
            <w:proofErr w:type="spellStart"/>
            <w:r w:rsidRPr="00F90ADE">
              <w:rPr>
                <w:rFonts w:cs="Arial"/>
                <w:color w:val="000000" w:themeColor="text1"/>
                <w:szCs w:val="18"/>
                <w:lang w:val="es-PE" w:eastAsia="es-PE"/>
              </w:rPr>
              <w:t>Chloride</w:t>
            </w:r>
            <w:proofErr w:type="spellEnd"/>
          </w:p>
        </w:tc>
        <w:tc>
          <w:tcPr>
            <w:tcW w:w="4536" w:type="dxa"/>
            <w:shd w:val="clear" w:color="auto" w:fill="FFFFFF"/>
            <w:vAlign w:val="center"/>
          </w:tcPr>
          <w:p w14:paraId="38FF5588" w14:textId="76BBE504" w:rsidR="00D22C30" w:rsidRPr="00F90ADE" w:rsidRDefault="00D22C30" w:rsidP="00D22C30">
            <w:pPr>
              <w:spacing w:line="240" w:lineRule="auto"/>
              <w:jc w:val="left"/>
              <w:rPr>
                <w:rFonts w:cs="Arial"/>
                <w:color w:val="000000" w:themeColor="text1"/>
                <w:szCs w:val="18"/>
                <w:lang w:eastAsia="es-PE"/>
              </w:rPr>
            </w:pPr>
            <w:r w:rsidRPr="00F90ADE">
              <w:rPr>
                <w:rFonts w:cs="Arial"/>
                <w:color w:val="000000" w:themeColor="text1"/>
                <w:szCs w:val="18"/>
                <w:lang w:eastAsia="es-PE"/>
              </w:rPr>
              <w:t>Flash Point: 160°C</w:t>
            </w:r>
            <w:r w:rsidR="00AD75BC" w:rsidRPr="00F90ADE">
              <w:rPr>
                <w:rFonts w:cs="Arial"/>
                <w:color w:val="000000" w:themeColor="text1"/>
                <w:szCs w:val="18"/>
                <w:lang w:eastAsia="es-PE"/>
              </w:rPr>
              <w:t xml:space="preserve">, </w:t>
            </w:r>
            <w:r w:rsidRPr="00F90ADE">
              <w:rPr>
                <w:rFonts w:cs="Arial"/>
                <w:color w:val="000000" w:themeColor="text1"/>
                <w:szCs w:val="18"/>
                <w:lang w:eastAsia="es-PE"/>
              </w:rPr>
              <w:t>Explosiveness: NA</w:t>
            </w:r>
          </w:p>
          <w:p w14:paraId="75D16542" w14:textId="19EE4863" w:rsidR="00D22C30" w:rsidRPr="00F90ADE" w:rsidRDefault="00D22C30" w:rsidP="000F21BD">
            <w:pPr>
              <w:spacing w:line="240" w:lineRule="auto"/>
              <w:jc w:val="left"/>
              <w:rPr>
                <w:rFonts w:cs="Arial"/>
                <w:color w:val="000000" w:themeColor="text1"/>
                <w:szCs w:val="18"/>
                <w:lang w:eastAsia="es-PE"/>
              </w:rPr>
            </w:pPr>
            <w:r w:rsidRPr="00F90ADE">
              <w:rPr>
                <w:rFonts w:cs="Arial"/>
                <w:color w:val="000000" w:themeColor="text1"/>
                <w:szCs w:val="18"/>
                <w:lang w:eastAsia="es-PE"/>
              </w:rPr>
              <w:t>Toxicity (TLV): 0.2 ppm </w:t>
            </w:r>
          </w:p>
        </w:tc>
        <w:tc>
          <w:tcPr>
            <w:tcW w:w="426" w:type="dxa"/>
            <w:shd w:val="clear" w:color="auto" w:fill="FFFFFF"/>
            <w:vAlign w:val="center"/>
          </w:tcPr>
          <w:p w14:paraId="7D267C86" w14:textId="769956FC" w:rsidR="00D22C30" w:rsidRPr="00F90ADE" w:rsidRDefault="00D22C30" w:rsidP="00D22C30">
            <w:pPr>
              <w:pStyle w:val="CETBodytext"/>
              <w:ind w:right="-1"/>
              <w:rPr>
                <w:rFonts w:cs="Arial"/>
                <w:color w:val="000000" w:themeColor="text1"/>
                <w:szCs w:val="18"/>
                <w:lang w:val="en-GB"/>
              </w:rPr>
            </w:pPr>
            <w:r w:rsidRPr="00F90ADE">
              <w:rPr>
                <w:rFonts w:cs="Arial"/>
                <w:color w:val="000000" w:themeColor="text1"/>
                <w:szCs w:val="18"/>
                <w:lang w:val="es-PE" w:eastAsia="es-PE"/>
              </w:rPr>
              <w:t>1</w:t>
            </w:r>
          </w:p>
        </w:tc>
        <w:tc>
          <w:tcPr>
            <w:tcW w:w="425" w:type="dxa"/>
            <w:shd w:val="clear" w:color="auto" w:fill="FFFFFF"/>
            <w:vAlign w:val="center"/>
          </w:tcPr>
          <w:p w14:paraId="48842215" w14:textId="73AAF8AE" w:rsidR="00D22C30" w:rsidRPr="00F90ADE" w:rsidRDefault="00D22C30" w:rsidP="00D22C30">
            <w:pPr>
              <w:pStyle w:val="CETBodytext"/>
              <w:ind w:right="-1"/>
              <w:rPr>
                <w:rFonts w:cs="Arial"/>
                <w:color w:val="000000" w:themeColor="text1"/>
                <w:szCs w:val="18"/>
                <w:lang w:val="en-GB"/>
              </w:rPr>
            </w:pPr>
            <w:r w:rsidRPr="00F90ADE">
              <w:rPr>
                <w:rFonts w:cs="Arial"/>
                <w:color w:val="000000" w:themeColor="text1"/>
                <w:szCs w:val="18"/>
                <w:lang w:val="es-PE" w:eastAsia="es-PE"/>
              </w:rPr>
              <w:t>0</w:t>
            </w:r>
          </w:p>
        </w:tc>
        <w:tc>
          <w:tcPr>
            <w:tcW w:w="425" w:type="dxa"/>
            <w:shd w:val="clear" w:color="auto" w:fill="FFFFFF"/>
            <w:vAlign w:val="center"/>
          </w:tcPr>
          <w:p w14:paraId="101C4DC8" w14:textId="01132439" w:rsidR="00D22C30" w:rsidRPr="00F90ADE" w:rsidRDefault="00D22C30" w:rsidP="00D22C30">
            <w:pPr>
              <w:pStyle w:val="CETBodytext"/>
              <w:ind w:right="-1"/>
              <w:rPr>
                <w:rFonts w:cs="Arial"/>
                <w:color w:val="000000" w:themeColor="text1"/>
                <w:szCs w:val="18"/>
                <w:lang w:val="en-GB"/>
              </w:rPr>
            </w:pPr>
            <w:r w:rsidRPr="00F90ADE">
              <w:rPr>
                <w:rFonts w:cs="Arial"/>
                <w:color w:val="000000" w:themeColor="text1"/>
                <w:szCs w:val="18"/>
                <w:lang w:val="es-PE" w:eastAsia="es-PE"/>
              </w:rPr>
              <w:t>5</w:t>
            </w:r>
          </w:p>
        </w:tc>
      </w:tr>
    </w:tbl>
    <w:p w14:paraId="0B430053" w14:textId="214DB155" w:rsidR="00650F3E" w:rsidRPr="00F90ADE" w:rsidRDefault="00650F3E" w:rsidP="00D810A7">
      <w:pPr>
        <w:pStyle w:val="CETBodytext"/>
        <w:rPr>
          <w:color w:val="000000" w:themeColor="text1"/>
          <w:lang w:val="en-GB"/>
        </w:rPr>
      </w:pPr>
    </w:p>
    <w:p w14:paraId="3C98CC7E" w14:textId="55938300" w:rsidR="00AD75BC" w:rsidRPr="00F90ADE" w:rsidRDefault="00AD75BC" w:rsidP="00D810A7">
      <w:pPr>
        <w:pStyle w:val="CETBodytext"/>
        <w:rPr>
          <w:color w:val="000000" w:themeColor="text1"/>
          <w:lang w:val="en-GB"/>
        </w:rPr>
      </w:pPr>
      <w:r w:rsidRPr="00F90ADE">
        <w:rPr>
          <w:color w:val="000000" w:themeColor="text1"/>
          <w:lang w:val="en-GB"/>
        </w:rPr>
        <w:t xml:space="preserve">Regarding the </w:t>
      </w:r>
      <w:proofErr w:type="spellStart"/>
      <w:r w:rsidRPr="00F90ADE">
        <w:rPr>
          <w:color w:val="000000" w:themeColor="text1"/>
          <w:lang w:val="en-GB"/>
        </w:rPr>
        <w:t>Su</w:t>
      </w:r>
      <w:r w:rsidR="00EB0E0B" w:rsidRPr="00F90ADE">
        <w:rPr>
          <w:color w:val="000000" w:themeColor="text1"/>
          <w:lang w:val="en-GB"/>
        </w:rPr>
        <w:t>b</w:t>
      </w:r>
      <w:r w:rsidRPr="00F90ADE">
        <w:rPr>
          <w:color w:val="000000" w:themeColor="text1"/>
          <w:lang w:val="en-GB"/>
        </w:rPr>
        <w:t>index</w:t>
      </w:r>
      <w:proofErr w:type="spellEnd"/>
      <w:r w:rsidRPr="00F90ADE">
        <w:rPr>
          <w:color w:val="000000" w:themeColor="text1"/>
          <w:lang w:val="en-GB"/>
        </w:rPr>
        <w:t xml:space="preserve"> of corrosivity, ferric chloride was found to be the compound requiring the most caution, as it is a strong oxidizer that induces localized corrosion in common stainless steels; therefore, it is not recommended to store it in carbon steel, and 304/316 stainless steels are generally a poor choice, </w:t>
      </w:r>
      <w:r w:rsidR="00EB0E0B" w:rsidRPr="00F90ADE">
        <w:rPr>
          <w:color w:val="000000" w:themeColor="text1"/>
          <w:lang w:val="en-GB"/>
        </w:rPr>
        <w:t>leading to</w:t>
      </w:r>
      <w:r w:rsidRPr="00F90ADE">
        <w:rPr>
          <w:color w:val="000000" w:themeColor="text1"/>
          <w:lang w:val="en-GB"/>
        </w:rPr>
        <w:t xml:space="preserve"> special materials</w:t>
      </w:r>
      <w:r w:rsidR="008610B5" w:rsidRPr="00F90ADE">
        <w:rPr>
          <w:color w:val="000000" w:themeColor="text1"/>
          <w:lang w:val="en-GB"/>
        </w:rPr>
        <w:t xml:space="preserve"> —score 2 in </w:t>
      </w:r>
      <w:proofErr w:type="spellStart"/>
      <w:r w:rsidR="008610B5" w:rsidRPr="00F90ADE">
        <w:rPr>
          <w:i/>
          <w:iCs/>
          <w:color w:val="000000" w:themeColor="text1"/>
          <w:lang w:val="en-GB"/>
        </w:rPr>
        <w:t>I</w:t>
      </w:r>
      <w:r w:rsidR="008610B5" w:rsidRPr="00F90ADE">
        <w:rPr>
          <w:i/>
          <w:iCs/>
          <w:color w:val="000000" w:themeColor="text1"/>
          <w:vertAlign w:val="subscript"/>
          <w:lang w:val="en-GB"/>
        </w:rPr>
        <w:t>cor</w:t>
      </w:r>
      <w:proofErr w:type="spellEnd"/>
      <w:r w:rsidR="008610B5" w:rsidRPr="00F90ADE">
        <w:rPr>
          <w:color w:val="000000" w:themeColor="text1"/>
          <w:lang w:val="en-GB"/>
        </w:rPr>
        <w:t>—</w:t>
      </w:r>
      <w:r w:rsidRPr="00F90ADE">
        <w:rPr>
          <w:color w:val="000000" w:themeColor="text1"/>
          <w:lang w:val="en-GB"/>
        </w:rPr>
        <w:t xml:space="preserve"> for its storage</w:t>
      </w:r>
      <w:r w:rsidR="00730C90" w:rsidRPr="00F90ADE">
        <w:rPr>
          <w:color w:val="000000" w:themeColor="text1"/>
          <w:lang w:val="en-GB"/>
        </w:rPr>
        <w:t xml:space="preserve"> </w:t>
      </w:r>
      <w:r w:rsidR="00730C90" w:rsidRPr="00F90ADE">
        <w:rPr>
          <w:color w:val="000000" w:themeColor="text1"/>
          <w:lang w:val="en-GB"/>
        </w:rPr>
        <w:fldChar w:fldCharType="begin" w:fldLock="1"/>
      </w:r>
      <w:r w:rsidR="00A27920" w:rsidRPr="00F90ADE">
        <w:rPr>
          <w:color w:val="000000" w:themeColor="text1"/>
          <w:lang w:val="en-GB"/>
        </w:rPr>
        <w:instrText>ADDIN CSL_CITATION {"citationItems":[{"id":"ITEM-1","itemData":{"DOI":"10.1016/1044-5803(95)00099-2","ISSN":"1044-5803","abstract":"The corrosion behavior of type 304L and type 316L austenitic stainless steels, produced by powder metallurgy, when exposed to a ferric chloride solution was studied. The exposures were conducted according to ASTM G48-76, Method A. The influence of ferric chloride concentration and exposure temperature on the corrosion kinetics of these materials was evaluated. A mechanism is proposed to explain the associated morphology observed in the microstructures produced after exposure of these P/M alloys to the aggressive medium. © 1995.","author":[{"dropping-particle":"","family":"Otero","given":"E.","non-dropping-particle":"","parse-names":false,"suffix":""},{"dropping-particle":"","family":"Pardo","given":"A.","non-dropping-particle":"","parse-names":false,"suffix":""},{"dropping-particle":"V.","family":"Utrilla","given":"M.","non-dropping-particle":"","parse-names":false,"suffix":""},{"dropping-particle":"","family":"Sáenz","given":"E.","non-dropping-particle":"","parse-names":false,"suffix":""},{"dropping-particle":"","family":"Perez","given":"F. J.","non-dropping-particle":"","parse-names":false,"suffix":""}],"container-title":"Materials Characterization","id":"ITEM-1","issue":"3","issued":{"date-parts":[["1995","10","1"]]},"page":"145-151","publisher":"Elsevier","title":"Influence of microstructure on the corrosion resistance of AISI type 304L and type 316L sintered stainless steels exposed to ferric chloride solution","type":"article-journal","volume":"35"},"uris":["http://www.mendeley.com/documents/?uuid=cd2bc981-2f56-3b9c-b9ab-a08a4dc2f798"]}],"mendeley":{"formattedCitation":"(Otero et al., 1995)","plainTextFormattedCitation":"(Otero et al., 1995)","previouslyFormattedCitation":"(Otero et al., 1995)"},"properties":{"noteIndex":0},"schema":"https://github.com/citation-style-language/schema/raw/master/csl-citation.json"}</w:instrText>
      </w:r>
      <w:r w:rsidR="00730C90" w:rsidRPr="00F90ADE">
        <w:rPr>
          <w:color w:val="000000" w:themeColor="text1"/>
          <w:lang w:val="en-GB"/>
        </w:rPr>
        <w:fldChar w:fldCharType="separate"/>
      </w:r>
      <w:r w:rsidR="00730C90" w:rsidRPr="00F90ADE">
        <w:rPr>
          <w:noProof/>
          <w:color w:val="000000" w:themeColor="text1"/>
          <w:lang w:val="en-GB"/>
        </w:rPr>
        <w:t>(Otero et al., 1995)</w:t>
      </w:r>
      <w:r w:rsidR="00730C90" w:rsidRPr="00F90ADE">
        <w:rPr>
          <w:color w:val="000000" w:themeColor="text1"/>
          <w:lang w:val="en-GB"/>
        </w:rPr>
        <w:fldChar w:fldCharType="end"/>
      </w:r>
      <w:r w:rsidRPr="00F90ADE">
        <w:rPr>
          <w:color w:val="000000" w:themeColor="text1"/>
          <w:lang w:val="en-GB"/>
        </w:rPr>
        <w:t>.</w:t>
      </w:r>
      <w:r w:rsidR="00573AC5" w:rsidRPr="00F90ADE">
        <w:rPr>
          <w:color w:val="000000" w:themeColor="text1"/>
          <w:lang w:val="en-GB"/>
        </w:rPr>
        <w:t xml:space="preserve"> Finally, as </w:t>
      </w:r>
      <w:r w:rsidR="00157B97" w:rsidRPr="00F90ADE">
        <w:rPr>
          <w:color w:val="000000" w:themeColor="text1"/>
          <w:lang w:val="en-GB"/>
        </w:rPr>
        <w:t xml:space="preserve">shown in Figure 2, </w:t>
      </w:r>
      <w:r w:rsidR="00EB0E0B" w:rsidRPr="00F90ADE">
        <w:rPr>
          <w:color w:val="000000" w:themeColor="text1"/>
          <w:lang w:val="en-GB"/>
        </w:rPr>
        <w:t xml:space="preserve">the chemical safety index shows that chemical interactions and the </w:t>
      </w:r>
      <w:r w:rsidR="00573AC5" w:rsidRPr="00F90ADE">
        <w:rPr>
          <w:color w:val="000000" w:themeColor="text1"/>
          <w:lang w:val="en-GB"/>
        </w:rPr>
        <w:t>hazard</w:t>
      </w:r>
      <w:r w:rsidR="00EB0E0B" w:rsidRPr="00F90ADE">
        <w:rPr>
          <w:color w:val="000000" w:themeColor="text1"/>
          <w:lang w:val="en-GB"/>
        </w:rPr>
        <w:t xml:space="preserve">ous substances </w:t>
      </w:r>
      <w:proofErr w:type="spellStart"/>
      <w:r w:rsidR="00EB0E0B" w:rsidRPr="00F90ADE">
        <w:rPr>
          <w:color w:val="000000" w:themeColor="text1"/>
          <w:lang w:val="en-GB"/>
        </w:rPr>
        <w:t>subindex</w:t>
      </w:r>
      <w:proofErr w:type="spellEnd"/>
      <w:r w:rsidR="00573AC5" w:rsidRPr="00F90ADE">
        <w:rPr>
          <w:color w:val="000000" w:themeColor="text1"/>
          <w:lang w:val="en-GB"/>
        </w:rPr>
        <w:t xml:space="preserve"> are the main concerns.</w:t>
      </w:r>
    </w:p>
    <w:p w14:paraId="5AA7A77D" w14:textId="4CECAA0F" w:rsidR="00E037FB" w:rsidRPr="00F90ADE" w:rsidRDefault="00467D1F" w:rsidP="00E037FB">
      <w:pPr>
        <w:tabs>
          <w:tab w:val="clear" w:pos="7100"/>
        </w:tabs>
        <w:spacing w:before="100" w:beforeAutospacing="1" w:after="100" w:afterAutospacing="1" w:line="240" w:lineRule="auto"/>
        <w:jc w:val="left"/>
        <w:rPr>
          <w:rFonts w:ascii="Times New Roman" w:hAnsi="Times New Roman"/>
          <w:color w:val="000000" w:themeColor="text1"/>
          <w:sz w:val="24"/>
          <w:szCs w:val="24"/>
          <w:lang w:val="es-PE" w:eastAsia="es-PE"/>
        </w:rPr>
      </w:pPr>
      <w:r w:rsidRPr="00F90ADE">
        <w:rPr>
          <w:rFonts w:ascii="Times New Roman" w:hAnsi="Times New Roman"/>
          <w:noProof/>
          <w:color w:val="000000" w:themeColor="text1"/>
          <w:sz w:val="24"/>
          <w:szCs w:val="24"/>
          <w:lang w:val="es-PE" w:eastAsia="es-PE"/>
        </w:rPr>
        <w:lastRenderedPageBreak/>
        <w:drawing>
          <wp:inline distT="0" distB="0" distL="0" distR="0" wp14:anchorId="1E67D050" wp14:editId="054C415E">
            <wp:extent cx="2481813" cy="189286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9784" cy="1914199"/>
                    </a:xfrm>
                    <a:prstGeom prst="rect">
                      <a:avLst/>
                    </a:prstGeom>
                    <a:noFill/>
                  </pic:spPr>
                </pic:pic>
              </a:graphicData>
            </a:graphic>
          </wp:inline>
        </w:drawing>
      </w:r>
    </w:p>
    <w:p w14:paraId="6C84D39A" w14:textId="092E4666" w:rsidR="00E80D7B" w:rsidRPr="00F90ADE" w:rsidRDefault="00E80D7B" w:rsidP="00E80D7B">
      <w:pPr>
        <w:pStyle w:val="CETCaption"/>
        <w:rPr>
          <w:color w:val="000000" w:themeColor="text1"/>
        </w:rPr>
      </w:pPr>
      <w:r w:rsidRPr="00F90ADE">
        <w:rPr>
          <w:rStyle w:val="CETCaptionCarattere"/>
          <w:i/>
          <w:color w:val="000000" w:themeColor="text1"/>
        </w:rPr>
        <w:t xml:space="preserve">Figure 2: </w:t>
      </w:r>
      <w:r w:rsidR="008A1721" w:rsidRPr="00F90ADE">
        <w:rPr>
          <w:color w:val="000000" w:themeColor="text1"/>
        </w:rPr>
        <w:t>Chemical</w:t>
      </w:r>
      <w:r w:rsidR="008A1721" w:rsidRPr="00F90ADE">
        <w:rPr>
          <w:rFonts w:cs="Arial"/>
          <w:color w:val="000000" w:themeColor="text1"/>
          <w:sz w:val="20"/>
          <w:shd w:val="clear" w:color="auto" w:fill="FFFFFF"/>
        </w:rPr>
        <w:t xml:space="preserve"> safety indicators for the production of magneti</w:t>
      </w:r>
      <w:r w:rsidR="001463C9" w:rsidRPr="00F90ADE">
        <w:rPr>
          <w:rFonts w:cs="Arial"/>
          <w:color w:val="000000" w:themeColor="text1"/>
          <w:sz w:val="20"/>
          <w:shd w:val="clear" w:color="auto" w:fill="FFFFFF"/>
        </w:rPr>
        <w:t>c</w:t>
      </w:r>
      <w:r w:rsidR="008A1721" w:rsidRPr="00F90ADE">
        <w:rPr>
          <w:rFonts w:cs="Arial"/>
          <w:color w:val="000000" w:themeColor="text1"/>
          <w:sz w:val="20"/>
          <w:shd w:val="clear" w:color="auto" w:fill="FFFFFF"/>
        </w:rPr>
        <w:t xml:space="preserve"> hydrogel</w:t>
      </w:r>
    </w:p>
    <w:p w14:paraId="7FCAEBE5" w14:textId="42DBE842" w:rsidR="00B32860" w:rsidRPr="00F90ADE" w:rsidRDefault="00AE7E50" w:rsidP="00B32860">
      <w:pPr>
        <w:pStyle w:val="CETheadingx"/>
        <w:rPr>
          <w:color w:val="000000" w:themeColor="text1"/>
        </w:rPr>
      </w:pPr>
      <w:r w:rsidRPr="00F90ADE">
        <w:rPr>
          <w:color w:val="000000" w:themeColor="text1"/>
        </w:rPr>
        <w:t>Process</w:t>
      </w:r>
      <w:r w:rsidR="00B32860" w:rsidRPr="00F90ADE">
        <w:rPr>
          <w:color w:val="000000" w:themeColor="text1"/>
        </w:rPr>
        <w:t xml:space="preserve"> Inherent Safety</w:t>
      </w:r>
    </w:p>
    <w:p w14:paraId="0969F88F" w14:textId="36BEFDAC" w:rsidR="001E5E81" w:rsidRPr="00F90ADE" w:rsidRDefault="007F75A1" w:rsidP="001E5E81">
      <w:pPr>
        <w:pStyle w:val="CETBodytext"/>
        <w:rPr>
          <w:rFonts w:ascii="Cambria Math" w:eastAsia="Cambria Math"/>
          <w:color w:val="000000" w:themeColor="text1"/>
          <w:w w:val="105"/>
          <w:szCs w:val="18"/>
        </w:rPr>
      </w:pPr>
      <w:r w:rsidRPr="00F90ADE">
        <w:rPr>
          <w:color w:val="000000" w:themeColor="text1"/>
        </w:rPr>
        <w:t xml:space="preserve">For the inventory sub-indicator, only the internal battery of the process (ISBL) was included, </w:t>
      </w:r>
      <w:r w:rsidR="001463C9" w:rsidRPr="00F90ADE">
        <w:rPr>
          <w:color w:val="000000" w:themeColor="text1"/>
        </w:rPr>
        <w:t>as OSBL was not defined;</w:t>
      </w:r>
      <w:r w:rsidRPr="00F90ADE">
        <w:rPr>
          <w:color w:val="000000" w:themeColor="text1"/>
        </w:rPr>
        <w:t xml:space="preserve"> that process area is addressed in later design stages, such as detailed engineering. In this analysis, the mass within each piece of process equipment was measured over a hydraulic retention time of 1 h. </w:t>
      </w:r>
      <w:r w:rsidR="00A27920" w:rsidRPr="00F90ADE">
        <w:rPr>
          <w:color w:val="000000" w:themeColor="text1"/>
        </w:rPr>
        <w:t xml:space="preserve">As described in section 2.1, the highest pressure and temperature of the study process are 1 atm and 80°C. While the total mass inventory of the process </w:t>
      </w:r>
      <w:r w:rsidR="00AB5073" w:rsidRPr="00F90ADE">
        <w:rPr>
          <w:color w:val="000000" w:themeColor="text1"/>
        </w:rPr>
        <w:t>was</w:t>
      </w:r>
      <w:r w:rsidR="00A27920" w:rsidRPr="00F90ADE">
        <w:rPr>
          <w:color w:val="000000" w:themeColor="text1"/>
        </w:rPr>
        <w:t xml:space="preserve"> 316.17 t, as detailed in the supplementary material of our previous study </w:t>
      </w:r>
      <w:r w:rsidR="00A27920" w:rsidRPr="00F90ADE">
        <w:rPr>
          <w:color w:val="000000" w:themeColor="text1"/>
        </w:rPr>
        <w:fldChar w:fldCharType="begin" w:fldLock="1"/>
      </w:r>
      <w:r w:rsidR="003251FD" w:rsidRPr="00F90ADE">
        <w:rPr>
          <w:color w:val="000000" w:themeColor="text1"/>
        </w:rPr>
        <w:instrText>ADDIN CSL_CITATION {"citationItems":[{"id":"ITEM-1","itemData":{"DOI":"10.3390/SCI7040181/S1","ISSN":"24134155","abstract":"We conducted a techno-economic feasibility study and assessed the FP2O resilience of an industrial plant producing magnetized hydrogels from Peruvian Amarilla Reyna potato starch. The process includes alkaline pretreatment, grafting with acrylic acid, crosslinking with N, N′-methylenebisacrylamide, and in situ magnetization via Fe3O4 coprecipitation. A total of 12 techno-economic and three financial indicators were analyzed. At the base scale, the total capital investment was 49.78 MMUSD, with raw materials accounting for 92.4% of costs. The economic analysis indicates a payback period of 2.13 years, an IRR of 34.52%, and an NPV of 25.38 MMUSD. The break-even point is at 4760.84 USD/t, with 32.15% capacity utilization, demonstrating operational flexibility to handle demand variations or planned shutdowns. Compared to published techno-economic assessments of lignin- and chitosan-based hydrogels, which involve total capital investments of 236–1248 MMUSD and payback periods in the 6–30-year range, this scheme requires less capital investment and a payback period three to ten times shorter, underscoring its economic competitiveness on an industrial scale.","author":[{"dropping-particle":"","family":"Alviz-Meza","given":"Anibal","non-dropping-particle":"","parse-names":false,"suffix":""},{"dropping-particle":"","family":"Carranza-Oropeza","given":"María Verónica","non-dropping-particle":"","parse-names":false,"suffix":""},{"dropping-particle":"","family":"González-Delgado","given":"Ángel Darío","non-dropping-particle":"","parse-names":false,"suffix":""}],"container-title":"Sci","id":"ITEM-1","issue":"4","issued":{"date-parts":[["2025","12","1"]]},"page":"181","publisher":"Multidisciplinary Digital Publishing Institute (MDPI)","title":"Techno-Economic Assessment and FP2O Technical–Economic Resilience Study of Peruvian Starch-Based Magnetized Hydrogels at Large Scale","type":"article-journal","volume":"7"},"uris":["http://www.mendeley.com/documents/?uuid=6e42a338-23ee-38c0-b441-1990200f5428"]}],"mendeley":{"formattedCitation":"(Alviz-Meza et al., 2025)","plainTextFormattedCitation":"(Alviz-Meza et al., 2025)","previouslyFormattedCitation":"(Alviz-Meza et al., 2025)"},"properties":{"noteIndex":0},"schema":"https://github.com/citation-style-language/schema/raw/master/csl-citation.json"}</w:instrText>
      </w:r>
      <w:r w:rsidR="00A27920" w:rsidRPr="00F90ADE">
        <w:rPr>
          <w:color w:val="000000" w:themeColor="text1"/>
        </w:rPr>
        <w:fldChar w:fldCharType="separate"/>
      </w:r>
      <w:r w:rsidR="00A27920" w:rsidRPr="00F90ADE">
        <w:rPr>
          <w:noProof/>
          <w:color w:val="000000" w:themeColor="text1"/>
        </w:rPr>
        <w:t>(Alviz-Meza et al., 2025)</w:t>
      </w:r>
      <w:r w:rsidR="00A27920" w:rsidRPr="00F90ADE">
        <w:rPr>
          <w:color w:val="000000" w:themeColor="text1"/>
        </w:rPr>
        <w:fldChar w:fldCharType="end"/>
      </w:r>
      <w:r w:rsidR="00A27920" w:rsidRPr="00F90ADE">
        <w:rPr>
          <w:color w:val="000000" w:themeColor="text1"/>
        </w:rPr>
        <w:t xml:space="preserve">. </w:t>
      </w:r>
      <w:r w:rsidR="006A7F8B" w:rsidRPr="00F90ADE">
        <w:rPr>
          <w:color w:val="000000" w:themeColor="text1"/>
        </w:rPr>
        <w:t xml:space="preserve">As a consequence, </w:t>
      </w:r>
      <w:r w:rsidR="006A7F8B" w:rsidRPr="00F90ADE">
        <w:rPr>
          <w:rFonts w:ascii="Cambria Math" w:eastAsia="Cambria Math"/>
          <w:color w:val="000000" w:themeColor="text1"/>
          <w:spacing w:val="-5"/>
        </w:rPr>
        <w:t>𝐼</w:t>
      </w:r>
      <w:r w:rsidR="006A7F8B" w:rsidRPr="00F90ADE">
        <w:rPr>
          <w:rFonts w:ascii="Cambria Math" w:eastAsia="Cambria Math"/>
          <w:color w:val="000000" w:themeColor="text1"/>
          <w:spacing w:val="-5"/>
          <w:vertAlign w:val="subscript"/>
        </w:rPr>
        <w:t xml:space="preserve">𝐼 </w:t>
      </w:r>
      <w:r w:rsidR="006A7F8B" w:rsidRPr="00F90ADE">
        <w:rPr>
          <w:rFonts w:ascii="Cambria Math" w:eastAsia="Cambria Math"/>
          <w:color w:val="000000" w:themeColor="text1"/>
          <w:spacing w:val="-5"/>
        </w:rPr>
        <w:t>=</w:t>
      </w:r>
      <w:r w:rsidR="006A7F8B" w:rsidRPr="00F90ADE">
        <w:rPr>
          <w:rFonts w:ascii="Cambria Math" w:eastAsia="Cambria Math"/>
          <w:color w:val="000000" w:themeColor="text1"/>
          <w:spacing w:val="-5"/>
          <w:vertAlign w:val="subscript"/>
        </w:rPr>
        <w:t xml:space="preserve"> </w:t>
      </w:r>
      <w:r w:rsidR="006A7F8B" w:rsidRPr="00F90ADE">
        <w:rPr>
          <w:rFonts w:ascii="Cambria Math" w:eastAsia="Cambria Math"/>
          <w:color w:val="000000" w:themeColor="text1"/>
          <w:spacing w:val="-5"/>
        </w:rPr>
        <w:t xml:space="preserve">4, </w:t>
      </w:r>
      <w:r w:rsidR="006A7F8B" w:rsidRPr="00F90ADE">
        <w:rPr>
          <w:rFonts w:ascii="Cambria Math" w:eastAsia="Cambria Math"/>
          <w:color w:val="000000" w:themeColor="text1"/>
          <w:w w:val="105"/>
          <w:szCs w:val="18"/>
        </w:rPr>
        <w:t>𝐼</w:t>
      </w:r>
      <w:r w:rsidR="006A7F8B" w:rsidRPr="00F90ADE">
        <w:rPr>
          <w:rFonts w:ascii="Cambria Math" w:eastAsia="Cambria Math"/>
          <w:i/>
          <w:iCs/>
          <w:color w:val="000000" w:themeColor="text1"/>
          <w:w w:val="105"/>
          <w:szCs w:val="18"/>
          <w:vertAlign w:val="subscript"/>
        </w:rPr>
        <w:t>T, max</w:t>
      </w:r>
      <w:r w:rsidR="006A7F8B" w:rsidRPr="00F90ADE">
        <w:rPr>
          <w:rFonts w:ascii="Cambria Math" w:eastAsia="Cambria Math"/>
          <w:color w:val="000000" w:themeColor="text1"/>
          <w:w w:val="105"/>
          <w:szCs w:val="18"/>
        </w:rPr>
        <w:t>= 1, and</w:t>
      </w:r>
      <w:r w:rsidR="00AB5073" w:rsidRPr="00F90ADE">
        <w:rPr>
          <w:rFonts w:ascii="Cambria Math" w:eastAsia="Cambria Math"/>
          <w:color w:val="000000" w:themeColor="text1"/>
          <w:w w:val="105"/>
          <w:szCs w:val="18"/>
        </w:rPr>
        <w:t xml:space="preserve"> </w:t>
      </w:r>
      <w:r w:rsidR="006A7F8B" w:rsidRPr="00F90ADE">
        <w:rPr>
          <w:rFonts w:ascii="Cambria Math" w:eastAsia="Cambria Math"/>
          <w:color w:val="000000" w:themeColor="text1"/>
          <w:w w:val="105"/>
          <w:szCs w:val="18"/>
        </w:rPr>
        <w:t>𝐼</w:t>
      </w:r>
      <w:proofErr w:type="spellStart"/>
      <w:r w:rsidR="006A7F8B" w:rsidRPr="00F90ADE">
        <w:rPr>
          <w:rFonts w:ascii="Cambria Math" w:eastAsia="Cambria Math"/>
          <w:i/>
          <w:iCs/>
          <w:color w:val="000000" w:themeColor="text1"/>
          <w:w w:val="105"/>
          <w:szCs w:val="18"/>
          <w:vertAlign w:val="subscript"/>
        </w:rPr>
        <w:t>P,max</w:t>
      </w:r>
      <w:proofErr w:type="spellEnd"/>
      <w:r w:rsidR="006A7F8B" w:rsidRPr="00F90ADE">
        <w:rPr>
          <w:rFonts w:ascii="Cambria Math" w:eastAsia="Cambria Math"/>
          <w:color w:val="000000" w:themeColor="text1"/>
          <w:w w:val="105"/>
          <w:szCs w:val="18"/>
        </w:rPr>
        <w:t>=0.</w:t>
      </w:r>
    </w:p>
    <w:p w14:paraId="0FA887A8" w14:textId="3C4C47F4" w:rsidR="008D1C89" w:rsidRPr="00F90ADE" w:rsidRDefault="00232491" w:rsidP="001E5E81">
      <w:pPr>
        <w:pStyle w:val="CETBodytext"/>
        <w:rPr>
          <w:color w:val="000000" w:themeColor="text1"/>
        </w:rPr>
      </w:pPr>
      <w:r w:rsidRPr="00F90ADE">
        <w:rPr>
          <w:color w:val="000000" w:themeColor="text1"/>
        </w:rPr>
        <w:t xml:space="preserve">Furthermore, regarding the process equipment safety sub-indicator, it is considered that, although the grafting and crosslinking reactions of acrylic acid are highly exothermic —runaway polymerization risk—, the reactors can be considered high-risk because once runaway polymerization begins, restoring normal conditions is difficult because the gel effect auto-accelerates the reaction due to the viscous medium and high heat rate production </w:t>
      </w:r>
      <w:r w:rsidRPr="00F90ADE">
        <w:rPr>
          <w:color w:val="000000" w:themeColor="text1"/>
        </w:rPr>
        <w:fldChar w:fldCharType="begin" w:fldLock="1"/>
      </w:r>
      <w:r w:rsidR="00DA42D7" w:rsidRPr="00F90ADE">
        <w:rPr>
          <w:color w:val="000000" w:themeColor="text1"/>
        </w:rPr>
        <w:instrText>ADDIN CSL_CITATION {"citationItems":[{"id":"ITEM-1","itemData":{"DOI":"10.1016/J.PSEP.2019.08.003","ISSN":"0957-5820","abstract":"To clarify the thermal hazards of acrylic acid runaway polymerization, the amount of energy release and the products in each event of the polymerization sequence were investigated. The thermal hazard was analyzed using accelerating rate calorimetry (ARC), Karl-Fisher titration, and thermogravimetry-differential thermal analysis-mass spectrometry (TG-DTA-MS). The present study revealed that acrylic acid generates water, which increases the impact of tank destruction when the tank filling level is more than 15%. In addition, the Michael addition reaction of acrylic acid induces the monomer to polymerize due to its exotherm and produce Michael adducts, which generate larger amounts of gases and water than does the monomer. Therefore, the accumulation of Michael adducts increases the frequency of crack initiation in the tank, as well as the potential for tank destruction, due to the presence of monomer and water in the tank at a lower filling level than in the case of monomer alone. The present study determined that the accumulation of Michael adducts is the worst case scenario for accidents caused by acrylic acid.","author":[{"dropping-particle":"","family":"Fujita","given":"Michiya","non-dropping-particle":"","parse-names":false,"suffix":""},{"dropping-particle":"","family":"Izato","given":"Yu ichiro","non-dropping-particle":"","parse-names":false,"suffix":""},{"dropping-particle":"","family":"Iizuka","given":"Yoshiaki","non-dropping-particle":"","parse-names":false,"suffix":""},{"dropping-particle":"","family":"Miyake","given":"Atsumi","non-dropping-particle":"","parse-names":false,"suffix":""}],"container-title":"Process Safety and Environmental Protection","id":"ITEM-1","issued":{"date-parts":[["2019","9","1"]]},"page":"339-347","publisher":"Elsevier","title":"Thermal hazard evaluation of runaway polymerization of acrylic acid","type":"article-journal","volume":"129"},"uris":["http://www.mendeley.com/documents/?uuid=97bef0b2-02ec-31d3-99e9-734eca79799a"]}],"mendeley":{"formattedCitation":"(Fujita et al., 2019)","plainTextFormattedCitation":"(Fujita et al., 2019)","previouslyFormattedCitation":"(Fujita et al., 2019)"},"properties":{"noteIndex":0},"schema":"https://github.com/citation-style-language/schema/raw/master/csl-citation.json"}</w:instrText>
      </w:r>
      <w:r w:rsidRPr="00F90ADE">
        <w:rPr>
          <w:color w:val="000000" w:themeColor="text1"/>
        </w:rPr>
        <w:fldChar w:fldCharType="separate"/>
      </w:r>
      <w:r w:rsidRPr="00F90ADE">
        <w:rPr>
          <w:noProof/>
          <w:color w:val="000000" w:themeColor="text1"/>
        </w:rPr>
        <w:t>(Fujita et al., 2019)</w:t>
      </w:r>
      <w:r w:rsidRPr="00F90ADE">
        <w:rPr>
          <w:color w:val="000000" w:themeColor="text1"/>
        </w:rPr>
        <w:fldChar w:fldCharType="end"/>
      </w:r>
      <w:r w:rsidRPr="00F90ADE">
        <w:rPr>
          <w:color w:val="000000" w:themeColor="text1"/>
        </w:rPr>
        <w:t xml:space="preserve">. Therefore, despite the low pressure and high dilution of these processes, their exothermic nature justifies </w:t>
      </w:r>
      <w:r w:rsidR="008D1C89" w:rsidRPr="00F90ADE">
        <w:rPr>
          <w:color w:val="000000" w:themeColor="text1"/>
        </w:rPr>
        <w:t xml:space="preserve">classification in the </w:t>
      </w:r>
      <w:r w:rsidRPr="00F90ADE">
        <w:rPr>
          <w:color w:val="000000" w:themeColor="text1"/>
        </w:rPr>
        <w:t>high-risk reactor</w:t>
      </w:r>
      <w:r w:rsidR="008D1C89" w:rsidRPr="00F90ADE">
        <w:rPr>
          <w:color w:val="000000" w:themeColor="text1"/>
        </w:rPr>
        <w:t xml:space="preserve"> category</w:t>
      </w:r>
      <w:r w:rsidR="00140055" w:rsidRPr="00F90ADE">
        <w:rPr>
          <w:color w:val="000000" w:themeColor="text1"/>
        </w:rPr>
        <w:t xml:space="preserve"> (</w:t>
      </w:r>
      <w:r w:rsidR="00140055" w:rsidRPr="00F90ADE">
        <w:rPr>
          <w:rFonts w:ascii="Cambria Math" w:eastAsia="Cambria Math" w:hAnsi="Cambria Math" w:cs="Cambria Math"/>
          <w:color w:val="000000" w:themeColor="text1"/>
          <w:position w:val="5"/>
        </w:rPr>
        <w:t>𝐼</w:t>
      </w:r>
      <w:r w:rsidR="00140055" w:rsidRPr="00F90ADE">
        <w:rPr>
          <w:rFonts w:ascii="Cambria Math" w:eastAsia="Cambria Math" w:hAnsi="Cambria Math" w:cs="Cambria Math"/>
          <w:color w:val="000000" w:themeColor="text1"/>
        </w:rPr>
        <w:t>𝐸𝑄=</w:t>
      </w:r>
      <w:r w:rsidR="00235AA2" w:rsidRPr="00F90ADE">
        <w:rPr>
          <w:rFonts w:ascii="Cambria Math" w:eastAsia="Cambria Math" w:hAnsi="Cambria Math" w:cs="Cambria Math"/>
          <w:color w:val="000000" w:themeColor="text1"/>
        </w:rPr>
        <w:t>3</w:t>
      </w:r>
      <w:r w:rsidR="00140055" w:rsidRPr="00F90ADE">
        <w:rPr>
          <w:color w:val="000000" w:themeColor="text1"/>
        </w:rPr>
        <w:t>)</w:t>
      </w:r>
      <w:r w:rsidR="008D1C89" w:rsidRPr="00F90ADE">
        <w:rPr>
          <w:color w:val="000000" w:themeColor="text1"/>
        </w:rPr>
        <w:t>.</w:t>
      </w:r>
    </w:p>
    <w:p w14:paraId="6692A027" w14:textId="5E43C047" w:rsidR="009B030D" w:rsidRPr="00F90ADE" w:rsidRDefault="009B030D" w:rsidP="001E5E81">
      <w:pPr>
        <w:pStyle w:val="CETBodytext"/>
        <w:rPr>
          <w:color w:val="000000" w:themeColor="text1"/>
          <w:lang w:val="en-GB"/>
        </w:rPr>
      </w:pPr>
      <w:r w:rsidRPr="00F90ADE">
        <w:rPr>
          <w:color w:val="000000" w:themeColor="text1"/>
        </w:rPr>
        <w:t xml:space="preserve">Finally, the score assigned to the process safety sub-index is </w:t>
      </w:r>
      <w:r w:rsidRPr="00F90ADE">
        <w:rPr>
          <w:i/>
          <w:iCs/>
          <w:color w:val="000000" w:themeColor="text1"/>
        </w:rPr>
        <w:t>I</w:t>
      </w:r>
      <w:r w:rsidRPr="00F90ADE">
        <w:rPr>
          <w:i/>
          <w:iCs/>
          <w:color w:val="000000" w:themeColor="text1"/>
          <w:vertAlign w:val="subscript"/>
        </w:rPr>
        <w:t>ST</w:t>
      </w:r>
      <w:r w:rsidRPr="00F90ADE">
        <w:rPr>
          <w:color w:val="000000" w:themeColor="text1"/>
        </w:rPr>
        <w:t xml:space="preserve"> = 3, indicating that the overall plant configuration is based on a </w:t>
      </w:r>
      <w:r w:rsidR="00AB5073" w:rsidRPr="00F90ADE">
        <w:rPr>
          <w:color w:val="000000" w:themeColor="text1"/>
        </w:rPr>
        <w:t>likely unsafe process</w:t>
      </w:r>
      <w:r w:rsidRPr="00F90ADE">
        <w:rPr>
          <w:color w:val="000000" w:themeColor="text1"/>
        </w:rPr>
        <w:t xml:space="preserve">. Even with inherently safe alternatives to mitigate risks, the possibility of a runaway polymerization reaction </w:t>
      </w:r>
      <w:r w:rsidR="00AB5073" w:rsidRPr="00F90ADE">
        <w:rPr>
          <w:color w:val="000000" w:themeColor="text1"/>
        </w:rPr>
        <w:t>demands</w:t>
      </w:r>
      <w:r w:rsidRPr="00F90ADE">
        <w:rPr>
          <w:color w:val="000000" w:themeColor="text1"/>
        </w:rPr>
        <w:t xml:space="preserve"> a less conservative approach to evaluating this index. Particularly during the radical polymerization stage</w:t>
      </w:r>
      <w:r w:rsidR="00DA42D7" w:rsidRPr="00F90ADE">
        <w:rPr>
          <w:color w:val="000000" w:themeColor="text1"/>
        </w:rPr>
        <w:t xml:space="preserve"> </w:t>
      </w:r>
      <w:r w:rsidRPr="00F90ADE">
        <w:rPr>
          <w:color w:val="000000" w:themeColor="text1"/>
        </w:rPr>
        <w:t>—AA + APS + MBA—</w:t>
      </w:r>
      <w:r w:rsidR="00DA42D7" w:rsidRPr="00F90ADE">
        <w:rPr>
          <w:color w:val="000000" w:themeColor="text1"/>
        </w:rPr>
        <w:t xml:space="preserve"> </w:t>
      </w:r>
      <w:r w:rsidR="00AB5073" w:rsidRPr="00F90ADE">
        <w:rPr>
          <w:color w:val="000000" w:themeColor="text1"/>
        </w:rPr>
        <w:t>i</w:t>
      </w:r>
      <w:r w:rsidRPr="00F90ADE">
        <w:rPr>
          <w:color w:val="000000" w:themeColor="text1"/>
        </w:rPr>
        <w:t>n a gelling medium, the reaction can self-accelerate, making it difficult to return to normal conditions if a runaway occurs. The process flow</w:t>
      </w:r>
      <w:r w:rsidR="00AB5073" w:rsidRPr="00F90ADE">
        <w:rPr>
          <w:color w:val="000000" w:themeColor="text1"/>
        </w:rPr>
        <w:t xml:space="preserve"> </w:t>
      </w:r>
      <w:r w:rsidRPr="00F90ADE">
        <w:rPr>
          <w:color w:val="000000" w:themeColor="text1"/>
        </w:rPr>
        <w:t>—alkaline pretreatment, grafting, crosslinking, and coprecipitation—</w:t>
      </w:r>
      <w:r w:rsidR="00AB5073" w:rsidRPr="00F90ADE">
        <w:rPr>
          <w:color w:val="000000" w:themeColor="text1"/>
        </w:rPr>
        <w:t xml:space="preserve"> </w:t>
      </w:r>
      <w:r w:rsidRPr="00F90ADE">
        <w:rPr>
          <w:color w:val="000000" w:themeColor="text1"/>
        </w:rPr>
        <w:t xml:space="preserve">comprises a sequence of unit operations sensitive to temperature control, dosing, and </w:t>
      </w:r>
      <w:proofErr w:type="spellStart"/>
      <w:r w:rsidRPr="00F90ADE">
        <w:rPr>
          <w:color w:val="000000" w:themeColor="text1"/>
        </w:rPr>
        <w:t>inerting</w:t>
      </w:r>
      <w:proofErr w:type="spellEnd"/>
      <w:r w:rsidRPr="00F90ADE">
        <w:rPr>
          <w:color w:val="000000" w:themeColor="text1"/>
        </w:rPr>
        <w:t>. Furthermore, some industrial accidents associated with AA polymerization processes have been reported</w:t>
      </w:r>
      <w:r w:rsidR="00DA42D7" w:rsidRPr="00F90ADE">
        <w:rPr>
          <w:color w:val="000000" w:themeColor="text1"/>
        </w:rPr>
        <w:t xml:space="preserve"> </w:t>
      </w:r>
      <w:r w:rsidR="00DA42D7" w:rsidRPr="00F90ADE">
        <w:rPr>
          <w:color w:val="000000" w:themeColor="text1"/>
        </w:rPr>
        <w:fldChar w:fldCharType="begin" w:fldLock="1"/>
      </w:r>
      <w:r w:rsidR="00D02328" w:rsidRPr="00F90ADE">
        <w:rPr>
          <w:color w:val="000000" w:themeColor="text1"/>
        </w:rPr>
        <w:instrText>ADDIN CSL_CITATION {"citationItems":[{"id":"ITEM-1","itemData":{"DOI":"10.1002/PRS.10310;ISSUE:ISSUE:DOI","ISSN":"10668527","abstract":"Consequences of acrylic resin reactor runaways can be devastating, as it is evident in investigation reports of industrial accidents. Critical in preventing major accidents is the safety screening of any acrylic resin formula to be manufactured in large scale. Computer model simulations facilitate the evaluation of \"layers of protection\" against acrylic polymerization runaways. This work describes the adaptation of a chemical process dynamic simulator (DuPontTM TMODSTM) for use in simulating acrylic polymerization runaways. \"Loss of cooling\" and \"monomer pooling (accumulation)\" scenarios are the causes of these runaways. Simulations show that scenarios leading to \"monomer pooling\" result in more energetic runaways and to larger emergency relief capacity requirements than \"loss of cooling\" scenarios. © 2009 American Institute of Chemical Engineers.","author":[{"dropping-particle":"","family":"Kalfas","given":"George","non-dropping-particle":"","parse-names":false,"suffix":""},{"dropping-particle":"","family":"Krieger","given":"Todd","non-dropping-particle":"","parse-names":false,"suffix":""},{"dropping-particle":"","family":"Wilcox","given":"Ross","non-dropping-particle":"","parse-names":false,"suffix":""}],"container-title":"Process Safety Progress","id":"ITEM-1","issue":"3","issued":{"date-parts":[["2009","9","1"]]},"page":"275-281","publisher":"John Wiley &amp; Sons, Ltd","title":"Improvements in the safety screening of resin manufacturing processes","type":"article-journal","volume":"28"},"uris":["http://www.mendeley.com/documents/?uuid=78dd1861-3d0f-35a7-8424-d2a8a38b1a1e"]}],"mendeley":{"formattedCitation":"(Kalfas et al., 2009)","plainTextFormattedCitation":"(Kalfas et al., 2009)","previouslyFormattedCitation":"(Kalfas et al., 2009)"},"properties":{"noteIndex":0},"schema":"https://github.com/citation-style-language/schema/raw/master/csl-citation.json"}</w:instrText>
      </w:r>
      <w:r w:rsidR="00DA42D7" w:rsidRPr="00F90ADE">
        <w:rPr>
          <w:color w:val="000000" w:themeColor="text1"/>
        </w:rPr>
        <w:fldChar w:fldCharType="separate"/>
      </w:r>
      <w:r w:rsidR="00DA42D7" w:rsidRPr="00F90ADE">
        <w:rPr>
          <w:noProof/>
          <w:color w:val="000000" w:themeColor="text1"/>
        </w:rPr>
        <w:t>(Kalfas et al., 2009)</w:t>
      </w:r>
      <w:r w:rsidR="00DA42D7" w:rsidRPr="00F90ADE">
        <w:rPr>
          <w:color w:val="000000" w:themeColor="text1"/>
        </w:rPr>
        <w:fldChar w:fldCharType="end"/>
      </w:r>
      <w:r w:rsidRPr="00F90ADE">
        <w:rPr>
          <w:color w:val="000000" w:themeColor="text1"/>
        </w:rPr>
        <w:t>.</w:t>
      </w:r>
      <w:r w:rsidR="00157B97" w:rsidRPr="00F90ADE">
        <w:rPr>
          <w:color w:val="000000" w:themeColor="text1"/>
        </w:rPr>
        <w:t xml:space="preserve"> </w:t>
      </w:r>
      <w:r w:rsidR="00157B97" w:rsidRPr="00F90ADE">
        <w:rPr>
          <w:color w:val="000000" w:themeColor="text1"/>
          <w:lang w:val="en-GB"/>
        </w:rPr>
        <w:t xml:space="preserve">As shown in Figure 3, </w:t>
      </w:r>
      <w:r w:rsidR="00AB5073" w:rsidRPr="00F90ADE">
        <w:rPr>
          <w:color w:val="000000" w:themeColor="text1"/>
          <w:lang w:val="en-GB"/>
        </w:rPr>
        <w:t xml:space="preserve">for </w:t>
      </w:r>
      <w:r w:rsidR="00C21903" w:rsidRPr="00F90ADE">
        <w:rPr>
          <w:color w:val="000000" w:themeColor="text1"/>
          <w:lang w:val="en-GB"/>
        </w:rPr>
        <w:t>the process safety index, inventory, equipment safety, and structural safety are the primary</w:t>
      </w:r>
      <w:r w:rsidR="00157B97" w:rsidRPr="00F90ADE">
        <w:rPr>
          <w:color w:val="000000" w:themeColor="text1"/>
          <w:lang w:val="en-GB"/>
        </w:rPr>
        <w:t xml:space="preserve"> concerns.</w:t>
      </w:r>
    </w:p>
    <w:p w14:paraId="68345D2D" w14:textId="4DCD88BF" w:rsidR="00467D1F" w:rsidRPr="00F90ADE" w:rsidRDefault="00467D1F" w:rsidP="001E5E81">
      <w:pPr>
        <w:pStyle w:val="CETBodytext"/>
        <w:rPr>
          <w:color w:val="000000" w:themeColor="text1"/>
        </w:rPr>
      </w:pPr>
      <w:r w:rsidRPr="00F90ADE">
        <w:rPr>
          <w:noProof/>
          <w:color w:val="000000" w:themeColor="text1"/>
        </w:rPr>
        <w:drawing>
          <wp:inline distT="0" distB="0" distL="0" distR="0" wp14:anchorId="3240AC74" wp14:editId="6460B59B">
            <wp:extent cx="2490405" cy="1887260"/>
            <wp:effectExtent l="0" t="0" r="571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3155" cy="1904500"/>
                    </a:xfrm>
                    <a:prstGeom prst="rect">
                      <a:avLst/>
                    </a:prstGeom>
                    <a:noFill/>
                  </pic:spPr>
                </pic:pic>
              </a:graphicData>
            </a:graphic>
          </wp:inline>
        </w:drawing>
      </w:r>
    </w:p>
    <w:p w14:paraId="07131B94" w14:textId="6EB383FF" w:rsidR="00F36BC4" w:rsidRPr="00F90ADE" w:rsidRDefault="00F36BC4" w:rsidP="00F36BC4">
      <w:pPr>
        <w:pStyle w:val="CETCaption"/>
        <w:rPr>
          <w:rFonts w:cs="Arial"/>
          <w:color w:val="000000" w:themeColor="text1"/>
          <w:sz w:val="20"/>
          <w:shd w:val="clear" w:color="auto" w:fill="FFFFFF"/>
        </w:rPr>
      </w:pPr>
      <w:r w:rsidRPr="00F90ADE">
        <w:rPr>
          <w:rStyle w:val="CETCaptionCarattere"/>
          <w:i/>
          <w:color w:val="000000" w:themeColor="text1"/>
        </w:rPr>
        <w:t xml:space="preserve">Figure 3: </w:t>
      </w:r>
      <w:r w:rsidRPr="00F90ADE">
        <w:rPr>
          <w:color w:val="000000" w:themeColor="text1"/>
        </w:rPr>
        <w:t>Process</w:t>
      </w:r>
      <w:r w:rsidRPr="00F90ADE">
        <w:rPr>
          <w:rFonts w:cs="Arial"/>
          <w:color w:val="000000" w:themeColor="text1"/>
          <w:sz w:val="20"/>
          <w:shd w:val="clear" w:color="auto" w:fill="FFFFFF"/>
        </w:rPr>
        <w:t xml:space="preserve"> safety indicators for the production of magneti</w:t>
      </w:r>
      <w:r w:rsidR="001463C9" w:rsidRPr="00F90ADE">
        <w:rPr>
          <w:rFonts w:cs="Arial"/>
          <w:color w:val="000000" w:themeColor="text1"/>
          <w:sz w:val="20"/>
          <w:shd w:val="clear" w:color="auto" w:fill="FFFFFF"/>
        </w:rPr>
        <w:t>c</w:t>
      </w:r>
      <w:r w:rsidRPr="00F90ADE">
        <w:rPr>
          <w:rFonts w:cs="Arial"/>
          <w:color w:val="000000" w:themeColor="text1"/>
          <w:sz w:val="20"/>
          <w:shd w:val="clear" w:color="auto" w:fill="FFFFFF"/>
        </w:rPr>
        <w:t xml:space="preserve"> hydrogel</w:t>
      </w:r>
    </w:p>
    <w:p w14:paraId="5B0DDADE" w14:textId="3BF83465" w:rsidR="00580647" w:rsidRPr="00F90ADE" w:rsidRDefault="00580647" w:rsidP="00580647">
      <w:pPr>
        <w:pStyle w:val="CETBodytext"/>
        <w:rPr>
          <w:color w:val="000000" w:themeColor="text1"/>
          <w:shd w:val="clear" w:color="auto" w:fill="FFFFFF"/>
        </w:rPr>
      </w:pPr>
      <w:r w:rsidRPr="00F90ADE">
        <w:rPr>
          <w:color w:val="000000" w:themeColor="text1"/>
          <w:shd w:val="clear" w:color="auto" w:fill="FFFFFF"/>
        </w:rPr>
        <w:t xml:space="preserve">The analysis </w:t>
      </w:r>
      <w:r w:rsidR="00C21903" w:rsidRPr="00F90ADE">
        <w:rPr>
          <w:color w:val="000000" w:themeColor="text1"/>
          <w:shd w:val="clear" w:color="auto" w:fill="FFFFFF"/>
        </w:rPr>
        <w:t xml:space="preserve">yields </w:t>
      </w:r>
      <w:r w:rsidR="00C21903" w:rsidRPr="00F90ADE">
        <w:rPr>
          <w:rFonts w:ascii="Cambria Math" w:hAnsi="Cambria Math" w:cs="Cambria Math"/>
          <w:color w:val="000000" w:themeColor="text1"/>
          <w:shd w:val="clear" w:color="auto" w:fill="FFFFFF"/>
        </w:rPr>
        <w:t>𝐼</w:t>
      </w:r>
      <w:r w:rsidR="00C21903" w:rsidRPr="00F90ADE">
        <w:rPr>
          <w:rFonts w:ascii="Cambria Math" w:hAnsi="Cambria Math" w:cs="Cambria Math"/>
          <w:color w:val="000000" w:themeColor="text1"/>
          <w:shd w:val="clear" w:color="auto" w:fill="FFFFFF"/>
          <w:vertAlign w:val="subscript"/>
        </w:rPr>
        <w:t>𝑐ℎ</w:t>
      </w:r>
      <w:r w:rsidR="00C21903" w:rsidRPr="00F90ADE">
        <w:rPr>
          <w:color w:val="000000" w:themeColor="text1"/>
          <w:shd w:val="clear" w:color="auto" w:fill="FFFFFF"/>
        </w:rPr>
        <w:t xml:space="preserve"> = 16 for chemical inherent safety and </w:t>
      </w:r>
      <w:r w:rsidR="00C21903" w:rsidRPr="00F90ADE">
        <w:rPr>
          <w:rFonts w:ascii="Cambria Math" w:hAnsi="Cambria Math" w:cs="Cambria Math"/>
          <w:color w:val="000000" w:themeColor="text1"/>
          <w:shd w:val="clear" w:color="auto" w:fill="FFFFFF"/>
        </w:rPr>
        <w:t>𝐼</w:t>
      </w:r>
      <w:r w:rsidR="00C21903" w:rsidRPr="00F90ADE">
        <w:rPr>
          <w:rFonts w:ascii="Cambria Math" w:hAnsi="Cambria Math" w:cs="Cambria Math"/>
          <w:color w:val="000000" w:themeColor="text1"/>
          <w:shd w:val="clear" w:color="auto" w:fill="FFFFFF"/>
          <w:vertAlign w:val="subscript"/>
        </w:rPr>
        <w:t>𝑝𝑠</w:t>
      </w:r>
      <w:r w:rsidRPr="00F90ADE">
        <w:rPr>
          <w:color w:val="000000" w:themeColor="text1"/>
          <w:shd w:val="clear" w:color="auto" w:fill="FFFFFF"/>
        </w:rPr>
        <w:t xml:space="preserve"> = 11 for process inherent safety, for a total of 27 (see Figure 4), indicating that the process of producing magneti</w:t>
      </w:r>
      <w:r w:rsidR="00DE0A5A" w:rsidRPr="00F90ADE">
        <w:rPr>
          <w:color w:val="000000" w:themeColor="text1"/>
          <w:shd w:val="clear" w:color="auto" w:fill="FFFFFF"/>
        </w:rPr>
        <w:t>c</w:t>
      </w:r>
      <w:r w:rsidRPr="00F90ADE">
        <w:rPr>
          <w:color w:val="000000" w:themeColor="text1"/>
          <w:shd w:val="clear" w:color="auto" w:fill="FFFFFF"/>
        </w:rPr>
        <w:t xml:space="preserve"> hydrogels from native Peruvian potato peel starch is intrinsically unsafe.</w:t>
      </w:r>
      <w:r w:rsidR="0030676E" w:rsidRPr="00F90ADE">
        <w:rPr>
          <w:color w:val="000000" w:themeColor="text1"/>
          <w:shd w:val="clear" w:color="auto" w:fill="FFFFFF"/>
        </w:rPr>
        <w:t xml:space="preserve"> In bioprocesses for the manufacture of hydrogels or comparable polymers, the </w:t>
      </w:r>
      <w:r w:rsidR="0030676E" w:rsidRPr="00F90ADE">
        <w:rPr>
          <w:color w:val="000000" w:themeColor="text1"/>
          <w:shd w:val="clear" w:color="auto" w:fill="FFFFFF"/>
        </w:rPr>
        <w:lastRenderedPageBreak/>
        <w:t xml:space="preserve">industrial production of </w:t>
      </w:r>
      <w:proofErr w:type="spellStart"/>
      <w:r w:rsidR="0030676E" w:rsidRPr="00F90ADE">
        <w:rPr>
          <w:color w:val="000000" w:themeColor="text1"/>
          <w:shd w:val="clear" w:color="auto" w:fill="FFFFFF"/>
        </w:rPr>
        <w:t>TiO</w:t>
      </w:r>
      <w:proofErr w:type="spellEnd"/>
      <w:r w:rsidR="0030676E" w:rsidRPr="00F90ADE">
        <w:rPr>
          <w:rFonts w:ascii="Cambria Math" w:hAnsi="Cambria Math" w:cs="Cambria Math"/>
          <w:color w:val="000000" w:themeColor="text1"/>
          <w:shd w:val="clear" w:color="auto" w:fill="FFFFFF"/>
        </w:rPr>
        <w:t>₂</w:t>
      </w:r>
      <w:r w:rsidR="0030676E" w:rsidRPr="00F90ADE">
        <w:rPr>
          <w:color w:val="000000" w:themeColor="text1"/>
          <w:shd w:val="clear" w:color="auto" w:fill="FFFFFF"/>
        </w:rPr>
        <w:t xml:space="preserve">-modified chitosan microspheres has </w:t>
      </w:r>
      <w:r w:rsidR="009B1786" w:rsidRPr="00F90ADE">
        <w:rPr>
          <w:color w:val="000000" w:themeColor="text1"/>
          <w:shd w:val="clear" w:color="auto" w:fill="FFFFFF"/>
        </w:rPr>
        <w:t>been evaluated with an</w:t>
      </w:r>
      <w:r w:rsidR="0030676E" w:rsidRPr="00F90ADE">
        <w:rPr>
          <w:color w:val="000000" w:themeColor="text1"/>
          <w:shd w:val="clear" w:color="auto" w:fill="FFFFFF"/>
        </w:rPr>
        <w:t xml:space="preserve"> ISI of 28 (</w:t>
      </w:r>
      <w:r w:rsidR="0030676E" w:rsidRPr="00F90ADE">
        <w:rPr>
          <w:i/>
          <w:iCs/>
          <w:color w:val="000000" w:themeColor="text1"/>
          <w:shd w:val="clear" w:color="auto" w:fill="FFFFFF"/>
        </w:rPr>
        <w:t>I</w:t>
      </w:r>
      <w:r w:rsidR="0030676E" w:rsidRPr="00F90ADE">
        <w:rPr>
          <w:i/>
          <w:iCs/>
          <w:color w:val="000000" w:themeColor="text1"/>
          <w:shd w:val="clear" w:color="auto" w:fill="FFFFFF"/>
          <w:vertAlign w:val="subscript"/>
        </w:rPr>
        <w:t>ch</w:t>
      </w:r>
      <w:r w:rsidR="0030676E" w:rsidRPr="00F90ADE">
        <w:rPr>
          <w:color w:val="000000" w:themeColor="text1"/>
          <w:shd w:val="clear" w:color="auto" w:fill="FFFFFF"/>
        </w:rPr>
        <w:t xml:space="preserve"> = 16; </w:t>
      </w:r>
      <w:proofErr w:type="spellStart"/>
      <w:r w:rsidR="0030676E" w:rsidRPr="00F90ADE">
        <w:rPr>
          <w:i/>
          <w:iCs/>
          <w:color w:val="000000" w:themeColor="text1"/>
          <w:shd w:val="clear" w:color="auto" w:fill="FFFFFF"/>
        </w:rPr>
        <w:t>I</w:t>
      </w:r>
      <w:r w:rsidR="0030676E" w:rsidRPr="00F90ADE">
        <w:rPr>
          <w:i/>
          <w:iCs/>
          <w:color w:val="000000" w:themeColor="text1"/>
          <w:shd w:val="clear" w:color="auto" w:fill="FFFFFF"/>
          <w:vertAlign w:val="subscript"/>
        </w:rPr>
        <w:t>ps</w:t>
      </w:r>
      <w:proofErr w:type="spellEnd"/>
      <w:r w:rsidR="0030676E" w:rsidRPr="00F90ADE">
        <w:rPr>
          <w:color w:val="000000" w:themeColor="text1"/>
          <w:shd w:val="clear" w:color="auto" w:fill="FFFFFF"/>
        </w:rPr>
        <w:t xml:space="preserve"> = 12), indicating a risk level </w:t>
      </w:r>
      <w:r w:rsidR="00C21903" w:rsidRPr="00F90ADE">
        <w:rPr>
          <w:color w:val="000000" w:themeColor="text1"/>
          <w:shd w:val="clear" w:color="auto" w:fill="FFFFFF"/>
        </w:rPr>
        <w:t>comparable to</w:t>
      </w:r>
      <w:r w:rsidR="0030676E" w:rsidRPr="00F90ADE">
        <w:rPr>
          <w:color w:val="000000" w:themeColor="text1"/>
          <w:shd w:val="clear" w:color="auto" w:fill="FFFFFF"/>
        </w:rPr>
        <w:t xml:space="preserve"> handling titanium isopropoxide</w:t>
      </w:r>
      <w:r w:rsidR="00D02328" w:rsidRPr="00F90ADE">
        <w:rPr>
          <w:color w:val="000000" w:themeColor="text1"/>
          <w:shd w:val="clear" w:color="auto" w:fill="FFFFFF"/>
        </w:rPr>
        <w:t xml:space="preserve"> </w:t>
      </w:r>
      <w:r w:rsidR="00D02328" w:rsidRPr="00F90ADE">
        <w:rPr>
          <w:color w:val="000000" w:themeColor="text1"/>
          <w:shd w:val="clear" w:color="auto" w:fill="FFFFFF"/>
        </w:rPr>
        <w:fldChar w:fldCharType="begin" w:fldLock="1"/>
      </w:r>
      <w:r w:rsidR="00D02328" w:rsidRPr="00F90ADE">
        <w:rPr>
          <w:color w:val="000000" w:themeColor="text1"/>
          <w:shd w:val="clear" w:color="auto" w:fill="FFFFFF"/>
        </w:rPr>
        <w:instrText>ADDIN CSL_CITATION {"citationItems":[{"id":"ITEM-1","itemData":{"DOI":"10.3390/BIOM11040568","ISSN":"2218273X","PMID":"33924286","abstract":"In this study, the inherent safety analysis of large-scale production of chitosan microbeads modified with TiO2 nanoparticles was developed using the Inherent Safety Index (ISI) methodology. This topology was structured based on two main stages: (i) Green-based synthesis of TiO2 nanoparticles based on lemongrass oil extraction and titanium isopropoxide (TTIP) hydrolysis, and (ii) Chitosan gelation and modification with nanoparticles. Stage (i) is divided into two subprocesses for accomplishing TiO2 synthesis, lemongrass oil extraction and TiO2 production. The plant was designed to produce 2033 t/year of chitosan microbeads, taking crude chitosan, lemongrass, and TTIP as the primary raw materials. The process was evaluated through the ISI methodology to identify improvement opportunity areas based on a diagnosis of process risks. This work used industrial-scale process inventory data of the analyzed production process from mass and energy balances and the process operating conditions. The ISI method comprises the Chemical Inherent Safety Index (CSI) and Process Inherent Safety Index (PSI) to assess a whole chemical process from a holistic perspective, and for this process, it reflected a global score of 28. Specifically, CSI and PSI delivered scores of 16 and 12, respectively. The analysis showed that the most significant risks are related to TTIP handling and its physical-chemical properties due to its toxicity and flammability. Insights about this process′ s safety performance were obtained, indicating higher risks than those from recommended standards.","author":[{"dropping-particle":"","family":"Meramo-Hurtado","given":"Samir","non-dropping-particle":"","parse-names":false,"suffix":""},{"dropping-particle":"","family":"Ceballos-Arrieta","given":"Nicolas","non-dropping-particle":"","parse-names":false,"suffix":""},{"dropping-particle":"","family":"Cortes-Caballero","given":"Jose","non-dropping-particle":"","parse-names":false,"suffix":""},{"dropping-particle":"","family":"Leon-Pulido","given":"Jeffrey","non-dropping-particle":"","parse-names":false,"suffix":""},{"dropping-particle":"","family":"Gonzalez-Quiroga","given":"Arturo","non-dropping-particle":"","parse-names":false,"suffix":""},{"dropping-particle":"","family":"Gonzalez-Delgado","given":"Ángel Dario","non-dropping-particle":"","parse-names":false,"suffix":""}],"container-title":"Biomolecules","id":"ITEM-1","issue":"4","issued":{"date-parts":[["2021","4","1"]]},"page":"568","publisher":"MDPI AG","title":"Inherent Safety Assessment of Industrial-Scale Production of Chitosan Microbeads Modified with TiO2 Nanoparticles","type":"article-journal","volume":"11"},"uris":["http://www.mendeley.com/documents/?uuid=c9a651ea-4fc8-35ca-8336-518a3a8965ee"]}],"mendeley":{"formattedCitation":"(Meramo-Hurtado et al., 2021)","plainTextFormattedCitation":"(Meramo-Hurtado et al., 2021)","previouslyFormattedCitation":"(Meramo-Hurtado et al., 2021)"},"properties":{"noteIndex":0},"schema":"https://github.com/citation-style-language/schema/raw/master/csl-citation.json"}</w:instrText>
      </w:r>
      <w:r w:rsidR="00D02328" w:rsidRPr="00F90ADE">
        <w:rPr>
          <w:color w:val="000000" w:themeColor="text1"/>
          <w:shd w:val="clear" w:color="auto" w:fill="FFFFFF"/>
        </w:rPr>
        <w:fldChar w:fldCharType="separate"/>
      </w:r>
      <w:r w:rsidR="00D02328" w:rsidRPr="00F90ADE">
        <w:rPr>
          <w:noProof/>
          <w:color w:val="000000" w:themeColor="text1"/>
          <w:shd w:val="clear" w:color="auto" w:fill="FFFFFF"/>
        </w:rPr>
        <w:t>(Meramo-Hurtado et al., 2021)</w:t>
      </w:r>
      <w:r w:rsidR="00D02328" w:rsidRPr="00F90ADE">
        <w:rPr>
          <w:color w:val="000000" w:themeColor="text1"/>
          <w:shd w:val="clear" w:color="auto" w:fill="FFFFFF"/>
        </w:rPr>
        <w:fldChar w:fldCharType="end"/>
      </w:r>
      <w:r w:rsidR="0030676E" w:rsidRPr="00F90ADE">
        <w:rPr>
          <w:color w:val="000000" w:themeColor="text1"/>
          <w:shd w:val="clear" w:color="auto" w:fill="FFFFFF"/>
        </w:rPr>
        <w:t>. In industrial polymerization processes, higher scores are expected. For instance, PVC suspension production reports an ISI of 30 (</w:t>
      </w:r>
      <w:r w:rsidR="0030676E" w:rsidRPr="00F90ADE">
        <w:rPr>
          <w:i/>
          <w:iCs/>
          <w:color w:val="000000" w:themeColor="text1"/>
          <w:shd w:val="clear" w:color="auto" w:fill="FFFFFF"/>
        </w:rPr>
        <w:t>I</w:t>
      </w:r>
      <w:r w:rsidR="0030676E" w:rsidRPr="00F90ADE">
        <w:rPr>
          <w:i/>
          <w:iCs/>
          <w:color w:val="000000" w:themeColor="text1"/>
          <w:shd w:val="clear" w:color="auto" w:fill="FFFFFF"/>
          <w:vertAlign w:val="subscript"/>
        </w:rPr>
        <w:t>ch</w:t>
      </w:r>
      <w:r w:rsidR="0030676E" w:rsidRPr="00F90ADE">
        <w:rPr>
          <w:color w:val="000000" w:themeColor="text1"/>
          <w:shd w:val="clear" w:color="auto" w:fill="FFFFFF"/>
        </w:rPr>
        <w:t xml:space="preserve"> = 19; </w:t>
      </w:r>
      <w:proofErr w:type="spellStart"/>
      <w:r w:rsidR="0030676E" w:rsidRPr="00F90ADE">
        <w:rPr>
          <w:i/>
          <w:iCs/>
          <w:color w:val="000000" w:themeColor="text1"/>
          <w:shd w:val="clear" w:color="auto" w:fill="FFFFFF"/>
        </w:rPr>
        <w:t>I</w:t>
      </w:r>
      <w:r w:rsidR="0030676E" w:rsidRPr="00F90ADE">
        <w:rPr>
          <w:i/>
          <w:iCs/>
          <w:color w:val="000000" w:themeColor="text1"/>
          <w:shd w:val="clear" w:color="auto" w:fill="FFFFFF"/>
          <w:vertAlign w:val="subscript"/>
        </w:rPr>
        <w:t>ps</w:t>
      </w:r>
      <w:proofErr w:type="spellEnd"/>
      <w:r w:rsidR="0030676E" w:rsidRPr="00F90ADE">
        <w:rPr>
          <w:color w:val="000000" w:themeColor="text1"/>
          <w:shd w:val="clear" w:color="auto" w:fill="FFFFFF"/>
        </w:rPr>
        <w:t xml:space="preserve"> = 15), driven by inventories, critical equipment, and the hazards of vinyl chloride</w:t>
      </w:r>
      <w:r w:rsidR="00D02328" w:rsidRPr="00F90ADE">
        <w:rPr>
          <w:color w:val="000000" w:themeColor="text1"/>
          <w:shd w:val="clear" w:color="auto" w:fill="FFFFFF"/>
        </w:rPr>
        <w:t xml:space="preserve"> </w:t>
      </w:r>
      <w:r w:rsidR="00D02328" w:rsidRPr="00F90ADE">
        <w:rPr>
          <w:color w:val="000000" w:themeColor="text1"/>
          <w:shd w:val="clear" w:color="auto" w:fill="FFFFFF"/>
        </w:rPr>
        <w:fldChar w:fldCharType="begin" w:fldLock="1"/>
      </w:r>
      <w:r w:rsidR="00D02328" w:rsidRPr="00F90ADE">
        <w:rPr>
          <w:color w:val="000000" w:themeColor="text1"/>
          <w:shd w:val="clear" w:color="auto" w:fill="FFFFFF"/>
        </w:rPr>
        <w:instrText>ADDIN CSL_CITATION {"citationItems":[{"id":"ITEM-1","itemData":{"DOI":"10.3390/CHEMENGINEERING7050076","ISSN":"2305-7084","abstract":"In this work, a safety assessment was carried out for the suspension polymerization method, known for the lack of studies about its sustainable performance and long history of chemical accidents. Therefore, a safety analysis was conducted using the inherent safety methodology to assess and determine the inherent risks of the poly(vinyl chloride) (PVC) suspension production process using computer-aided process engineering (CAPE). The indicators were calculated using data from safety databases and the specialized literature, considering downstream stages like vinyl chloride monomer (VCM) recovery, PVC purification and PVC drying. The obtained indicators revealed that the process has a negative performance regarding inherent safety, with a total inherent safety index of 30. The chemical inherent safety index had a value of 19, with the main chemical risk of the process being presented by the vinyl chloride monomer (with a value of 11), along with the risk of the exothermic reactions. The process safety index had a value of 15, highlighting the inventory as the primary concern of the process (with a value of 5), followed by the presence of unsafe equipment such as furnaces, burners, and dryers. The safety structure index had a score of 3, categorizing the process as probably risky, with the reaction and purification stages being more susceptible to accidents. Lastly, it is recommended to reduce the size of the process inventory and to substitute out unsafe process units.","author":[{"dropping-particle":"","family":"González-Delgado","given":"Ángel Darío","non-dropping-particle":"","parse-names":false,"suffix":""},{"dropping-particle":"","family":"Aguilar-Vásquez","given":"Eduardo","non-dropping-particle":"","parse-names":false,"suffix":""},{"dropping-particle":"","family":"Ramos-Olmos","given":"Miguel","non-dropping-particle":"","parse-names":false,"suffix":""}],"container-title":"ChemEngineering 2023, Vol. 7, Page 76","id":"ITEM-1","issue":"5","issued":{"date-parts":[["2023","8","24"]]},"page":"76","publisher":"Multidisciplinary Digital Publishing Institute","title":"Chemical and Process Inherent Safety Analysis of Large-Scale Suspension Poly(Vinyl Chloride) Production","type":"article-journal","volume":"7"},"uris":["http://www.mendeley.com/documents/?uuid=ec8970d9-f510-320f-9bf8-cfa88b6d191d"]}],"mendeley":{"formattedCitation":"(González-Delgado et al., 2023)","plainTextFormattedCitation":"(González-Delgado et al., 2023)"},"properties":{"noteIndex":0},"schema":"https://github.com/citation-style-language/schema/raw/master/csl-citation.json"}</w:instrText>
      </w:r>
      <w:r w:rsidR="00D02328" w:rsidRPr="00F90ADE">
        <w:rPr>
          <w:color w:val="000000" w:themeColor="text1"/>
          <w:shd w:val="clear" w:color="auto" w:fill="FFFFFF"/>
        </w:rPr>
        <w:fldChar w:fldCharType="separate"/>
      </w:r>
      <w:r w:rsidR="00D02328" w:rsidRPr="00F90ADE">
        <w:rPr>
          <w:noProof/>
          <w:color w:val="000000" w:themeColor="text1"/>
          <w:shd w:val="clear" w:color="auto" w:fill="FFFFFF"/>
        </w:rPr>
        <w:t>(González-Delgado et al., 2023)</w:t>
      </w:r>
      <w:r w:rsidR="00D02328" w:rsidRPr="00F90ADE">
        <w:rPr>
          <w:color w:val="000000" w:themeColor="text1"/>
          <w:shd w:val="clear" w:color="auto" w:fill="FFFFFF"/>
        </w:rPr>
        <w:fldChar w:fldCharType="end"/>
      </w:r>
      <w:r w:rsidR="0030676E" w:rsidRPr="00F90ADE">
        <w:rPr>
          <w:color w:val="000000" w:themeColor="text1"/>
          <w:shd w:val="clear" w:color="auto" w:fill="FFFFFF"/>
        </w:rPr>
        <w:t xml:space="preserve">. All of these processes would be </w:t>
      </w:r>
      <w:r w:rsidR="00C21903" w:rsidRPr="00F90ADE">
        <w:rPr>
          <w:color w:val="000000" w:themeColor="text1"/>
          <w:shd w:val="clear" w:color="auto" w:fill="FFFFFF"/>
        </w:rPr>
        <w:t xml:space="preserve">classified as inherently unsafe due to the potentially hazardous reagents used in </w:t>
      </w:r>
      <w:r w:rsidR="0030676E" w:rsidRPr="00F90ADE">
        <w:rPr>
          <w:color w:val="000000" w:themeColor="text1"/>
          <w:shd w:val="clear" w:color="auto" w:fill="FFFFFF"/>
        </w:rPr>
        <w:t>polymerization.</w:t>
      </w:r>
      <w:r w:rsidR="000C09C3" w:rsidRPr="00F90ADE">
        <w:rPr>
          <w:color w:val="000000" w:themeColor="text1"/>
          <w:shd w:val="clear" w:color="auto" w:fill="FFFFFF"/>
        </w:rPr>
        <w:t xml:space="preserve"> Finally, since the data in this study are based on simulations, this risk estimate is only an approximation that provides a partial risk profile for extrapolating to the </w:t>
      </w:r>
      <w:r w:rsidR="00154738" w:rsidRPr="00F90ADE">
        <w:rPr>
          <w:rFonts w:ascii="Times New Roman" w:hAnsi="Times New Roman"/>
          <w:noProof/>
          <w:color w:val="000000" w:themeColor="text1"/>
          <w:sz w:val="24"/>
          <w:szCs w:val="24"/>
          <w:lang w:val="es-PE" w:eastAsia="es-PE"/>
        </w:rPr>
        <w:drawing>
          <wp:anchor distT="0" distB="0" distL="114300" distR="114300" simplePos="0" relativeHeight="251658240" behindDoc="0" locked="0" layoutInCell="1" allowOverlap="1" wp14:anchorId="1D54927E" wp14:editId="495369B8">
            <wp:simplePos x="0" y="0"/>
            <wp:positionH relativeFrom="column">
              <wp:posOffset>-2540</wp:posOffset>
            </wp:positionH>
            <wp:positionV relativeFrom="paragraph">
              <wp:posOffset>1185048</wp:posOffset>
            </wp:positionV>
            <wp:extent cx="2248142" cy="1543547"/>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t="3842" b="4622"/>
                    <a:stretch/>
                  </pic:blipFill>
                  <pic:spPr bwMode="auto">
                    <a:xfrm>
                      <a:off x="0" y="0"/>
                      <a:ext cx="2248142" cy="1543547"/>
                    </a:xfrm>
                    <a:prstGeom prst="rect">
                      <a:avLst/>
                    </a:prstGeom>
                    <a:noFill/>
                    <a:ln>
                      <a:noFill/>
                    </a:ln>
                    <a:extLst>
                      <a:ext uri="{53640926-AAD7-44D8-BBD7-CCE9431645EC}">
                        <a14:shadowObscured xmlns:a14="http://schemas.microsoft.com/office/drawing/2010/main"/>
                      </a:ext>
                    </a:extLst>
                  </pic:spPr>
                </pic:pic>
              </a:graphicData>
            </a:graphic>
          </wp:anchor>
        </w:drawing>
      </w:r>
      <w:r w:rsidR="000C09C3" w:rsidRPr="00F90ADE">
        <w:rPr>
          <w:color w:val="000000" w:themeColor="text1"/>
          <w:shd w:val="clear" w:color="auto" w:fill="FFFFFF"/>
        </w:rPr>
        <w:t>industry as a whole.</w:t>
      </w:r>
    </w:p>
    <w:p w14:paraId="0584D871" w14:textId="7F86AE7F" w:rsidR="009F2EDC" w:rsidRPr="00F90ADE" w:rsidRDefault="009F2EDC" w:rsidP="009F2EDC">
      <w:pPr>
        <w:pStyle w:val="CETCaption"/>
        <w:rPr>
          <w:color w:val="000000" w:themeColor="text1"/>
        </w:rPr>
      </w:pPr>
      <w:r w:rsidRPr="00F90ADE">
        <w:rPr>
          <w:rStyle w:val="CETCaptionCarattere"/>
          <w:i/>
          <w:color w:val="000000" w:themeColor="text1"/>
        </w:rPr>
        <w:t xml:space="preserve">Figure 4: </w:t>
      </w:r>
      <w:r w:rsidR="008324DB" w:rsidRPr="00F90ADE">
        <w:rPr>
          <w:rStyle w:val="CETCaptionCarattere"/>
          <w:i/>
          <w:color w:val="000000" w:themeColor="text1"/>
        </w:rPr>
        <w:t>ISI</w:t>
      </w:r>
      <w:r w:rsidRPr="00F90ADE">
        <w:rPr>
          <w:rFonts w:cs="Arial"/>
          <w:color w:val="000000" w:themeColor="text1"/>
          <w:sz w:val="20"/>
          <w:shd w:val="clear" w:color="auto" w:fill="FFFFFF"/>
        </w:rPr>
        <w:t xml:space="preserve"> for the production of magneti</w:t>
      </w:r>
      <w:r w:rsidR="001463C9" w:rsidRPr="00F90ADE">
        <w:rPr>
          <w:rFonts w:cs="Arial"/>
          <w:color w:val="000000" w:themeColor="text1"/>
          <w:sz w:val="20"/>
          <w:shd w:val="clear" w:color="auto" w:fill="FFFFFF"/>
        </w:rPr>
        <w:t>c</w:t>
      </w:r>
      <w:r w:rsidRPr="00F90ADE">
        <w:rPr>
          <w:rFonts w:cs="Arial"/>
          <w:color w:val="000000" w:themeColor="text1"/>
          <w:sz w:val="20"/>
          <w:shd w:val="clear" w:color="auto" w:fill="FFFFFF"/>
        </w:rPr>
        <w:t xml:space="preserve"> hydrogel</w:t>
      </w:r>
    </w:p>
    <w:p w14:paraId="68D26B83" w14:textId="77777777" w:rsidR="00600535" w:rsidRPr="00F90ADE" w:rsidRDefault="00600535" w:rsidP="00600535">
      <w:pPr>
        <w:pStyle w:val="CETHeading1"/>
        <w:rPr>
          <w:color w:val="000000" w:themeColor="text1"/>
          <w:lang w:val="en-GB"/>
        </w:rPr>
      </w:pPr>
      <w:r w:rsidRPr="00F90ADE">
        <w:rPr>
          <w:color w:val="000000" w:themeColor="text1"/>
          <w:lang w:val="en-GB"/>
        </w:rPr>
        <w:t>Conclusions</w:t>
      </w:r>
    </w:p>
    <w:p w14:paraId="52DAFDE0" w14:textId="25155F66" w:rsidR="001D0CFB" w:rsidRPr="00F90ADE" w:rsidRDefault="00770813" w:rsidP="00770813">
      <w:pPr>
        <w:pStyle w:val="CETBodytext"/>
        <w:rPr>
          <w:color w:val="000000" w:themeColor="text1"/>
          <w:lang w:val="en-GB"/>
        </w:rPr>
      </w:pPr>
      <w:r w:rsidRPr="00F90ADE">
        <w:rPr>
          <w:color w:val="000000" w:themeColor="text1"/>
          <w:lang w:val="en-GB"/>
        </w:rPr>
        <w:t xml:space="preserve">This study presents a safety profile for the large-scale production of magnetized hydrogels from Peruvian yellow potato peel waste. </w:t>
      </w:r>
      <w:r w:rsidR="00515E64" w:rsidRPr="00F90ADE">
        <w:rPr>
          <w:color w:val="000000" w:themeColor="text1"/>
          <w:lang w:val="en-GB"/>
        </w:rPr>
        <w:t xml:space="preserve">Using process simulation and the Inherent Safety Index (ISI) methodology, the proposed technological route was found to operate at </w:t>
      </w:r>
      <w:r w:rsidR="008746B7" w:rsidRPr="00F90ADE">
        <w:rPr>
          <w:color w:val="000000" w:themeColor="text1"/>
          <w:lang w:val="en-GB"/>
        </w:rPr>
        <w:t>a potentially hazardous risk level, with a score of 27, primarily</w:t>
      </w:r>
      <w:r w:rsidR="00515E64" w:rsidRPr="00F90ADE">
        <w:rPr>
          <w:color w:val="000000" w:themeColor="text1"/>
          <w:lang w:val="en-GB"/>
        </w:rPr>
        <w:t xml:space="preserve"> due to the use of acrylic acid. </w:t>
      </w:r>
      <w:r w:rsidRPr="00F90ADE">
        <w:rPr>
          <w:color w:val="000000" w:themeColor="text1"/>
          <w:lang w:val="en-GB"/>
        </w:rPr>
        <w:t>Even so, this process is presented as a viable alternative for preparing magneti</w:t>
      </w:r>
      <w:r w:rsidR="007E14B6" w:rsidRPr="00F90ADE">
        <w:rPr>
          <w:color w:val="000000" w:themeColor="text1"/>
          <w:lang w:val="en-GB"/>
        </w:rPr>
        <w:t>c</w:t>
      </w:r>
      <w:r w:rsidRPr="00F90ADE">
        <w:rPr>
          <w:color w:val="000000" w:themeColor="text1"/>
          <w:lang w:val="en-GB"/>
        </w:rPr>
        <w:t xml:space="preserve"> hydrogels for use as adsorbents for contaminants in aqueous media.</w:t>
      </w:r>
    </w:p>
    <w:p w14:paraId="4F1327F8" w14:textId="77777777" w:rsidR="00600535" w:rsidRPr="00F90ADE" w:rsidRDefault="00600535" w:rsidP="00600535">
      <w:pPr>
        <w:pStyle w:val="CETReference"/>
        <w:rPr>
          <w:color w:val="000000" w:themeColor="text1"/>
          <w:lang w:val="en-US"/>
        </w:rPr>
      </w:pPr>
      <w:r w:rsidRPr="00F90ADE">
        <w:rPr>
          <w:color w:val="000000" w:themeColor="text1"/>
          <w:lang w:val="en-US"/>
        </w:rPr>
        <w:t>References</w:t>
      </w:r>
    </w:p>
    <w:p w14:paraId="3A5138E7" w14:textId="5C074024" w:rsidR="00E84391" w:rsidRPr="00F90ADE" w:rsidRDefault="00E84391" w:rsidP="00E84391">
      <w:pPr>
        <w:pStyle w:val="CETReferencetext"/>
        <w:rPr>
          <w:color w:val="000000" w:themeColor="text1"/>
        </w:rPr>
      </w:pPr>
      <w:r w:rsidRPr="00F90ADE">
        <w:rPr>
          <w:color w:val="000000" w:themeColor="text1"/>
        </w:rPr>
        <w:t>Alviz-Meza A., Carranza-</w:t>
      </w:r>
      <w:proofErr w:type="spellStart"/>
      <w:r w:rsidRPr="00F90ADE">
        <w:rPr>
          <w:color w:val="000000" w:themeColor="text1"/>
        </w:rPr>
        <w:t>Oropeza</w:t>
      </w:r>
      <w:proofErr w:type="spellEnd"/>
      <w:r w:rsidRPr="00F90ADE">
        <w:rPr>
          <w:color w:val="000000" w:themeColor="text1"/>
        </w:rPr>
        <w:t xml:space="preserve"> M.V.,</w:t>
      </w:r>
      <w:r w:rsidR="00621E19" w:rsidRPr="00F90ADE">
        <w:rPr>
          <w:color w:val="000000" w:themeColor="text1"/>
        </w:rPr>
        <w:t xml:space="preserve"> </w:t>
      </w:r>
      <w:r w:rsidRPr="00F90ADE">
        <w:rPr>
          <w:color w:val="000000" w:themeColor="text1"/>
        </w:rPr>
        <w:t>Gonz</w:t>
      </w:r>
      <w:r w:rsidR="0005667A" w:rsidRPr="00F90ADE">
        <w:rPr>
          <w:color w:val="000000" w:themeColor="text1"/>
        </w:rPr>
        <w:t>a</w:t>
      </w:r>
      <w:r w:rsidRPr="00F90ADE">
        <w:rPr>
          <w:color w:val="000000" w:themeColor="text1"/>
        </w:rPr>
        <w:t xml:space="preserve">lez-Delgado </w:t>
      </w:r>
      <w:r w:rsidR="000005BF" w:rsidRPr="00F90ADE">
        <w:rPr>
          <w:color w:val="000000" w:themeColor="text1"/>
        </w:rPr>
        <w:t>A</w:t>
      </w:r>
      <w:r w:rsidRPr="00F90ADE">
        <w:rPr>
          <w:color w:val="000000" w:themeColor="text1"/>
        </w:rPr>
        <w:t xml:space="preserve">.D., 2025, Techno-Economic Assessment and FP2O Technical–Economic Resilience Study of Peruvian Starch-Based Magnetized Hydrogels </w:t>
      </w:r>
      <w:proofErr w:type="gramStart"/>
      <w:r w:rsidRPr="00F90ADE">
        <w:rPr>
          <w:color w:val="000000" w:themeColor="text1"/>
        </w:rPr>
        <w:t>at Large</w:t>
      </w:r>
      <w:proofErr w:type="gramEnd"/>
      <w:r w:rsidRPr="00F90ADE">
        <w:rPr>
          <w:color w:val="000000" w:themeColor="text1"/>
        </w:rPr>
        <w:t xml:space="preserve"> Scale, Sci, 7, 181</w:t>
      </w:r>
    </w:p>
    <w:p w14:paraId="0BD67DB1" w14:textId="749654AE" w:rsidR="00E84391" w:rsidRPr="00F90ADE" w:rsidRDefault="00E84391" w:rsidP="00E84391">
      <w:pPr>
        <w:pStyle w:val="CETReferencetext"/>
        <w:rPr>
          <w:color w:val="000000" w:themeColor="text1"/>
        </w:rPr>
      </w:pPr>
      <w:proofErr w:type="spellStart"/>
      <w:r w:rsidRPr="00F90ADE">
        <w:rPr>
          <w:color w:val="000000" w:themeColor="text1"/>
        </w:rPr>
        <w:t>Bhuyan</w:t>
      </w:r>
      <w:proofErr w:type="spellEnd"/>
      <w:r w:rsidRPr="00F90ADE">
        <w:rPr>
          <w:color w:val="000000" w:themeColor="text1"/>
        </w:rPr>
        <w:t xml:space="preserve"> M.M., </w:t>
      </w:r>
      <w:proofErr w:type="spellStart"/>
      <w:r w:rsidRPr="00F90ADE">
        <w:rPr>
          <w:color w:val="000000" w:themeColor="text1"/>
        </w:rPr>
        <w:t>Dafader</w:t>
      </w:r>
      <w:proofErr w:type="spellEnd"/>
      <w:r w:rsidRPr="00F90ADE">
        <w:rPr>
          <w:color w:val="000000" w:themeColor="text1"/>
        </w:rPr>
        <w:t xml:space="preserve"> N.C., Hara K., Okabe H., Hidaka Y., Rahman M.M., Khan M.M.R., Rahman N., 2016, Synthesis of Potato Starch-Acrylic-Acid Hydrogels by Gamma Radiation and Their Application in Dye Adsorption, International Journal of Polymer Science, 2016, 9867859</w:t>
      </w:r>
    </w:p>
    <w:p w14:paraId="33917DF7" w14:textId="3DEFBB67" w:rsidR="00E84391" w:rsidRPr="00F90ADE" w:rsidRDefault="00E84391" w:rsidP="00E84391">
      <w:pPr>
        <w:pStyle w:val="CETReferencetext"/>
        <w:rPr>
          <w:color w:val="000000" w:themeColor="text1"/>
        </w:rPr>
      </w:pPr>
      <w:r w:rsidRPr="00F90ADE">
        <w:rPr>
          <w:color w:val="000000" w:themeColor="text1"/>
        </w:rPr>
        <w:t xml:space="preserve">Fujita M., </w:t>
      </w:r>
      <w:proofErr w:type="spellStart"/>
      <w:r w:rsidRPr="00F90ADE">
        <w:rPr>
          <w:color w:val="000000" w:themeColor="text1"/>
        </w:rPr>
        <w:t>Izato</w:t>
      </w:r>
      <w:proofErr w:type="spellEnd"/>
      <w:r w:rsidRPr="00F90ADE">
        <w:rPr>
          <w:color w:val="000000" w:themeColor="text1"/>
        </w:rPr>
        <w:t xml:space="preserve"> Y., Iizuka Y., Miyake A., 2019, Thermal hazard evaluation of runaway polymerization of acrylic acid, Process Safety and Environmental Protection, 129, 339–347 </w:t>
      </w:r>
    </w:p>
    <w:p w14:paraId="0C80E17E" w14:textId="2EC29F8E" w:rsidR="00E84391" w:rsidRPr="00F90ADE" w:rsidRDefault="00E84391" w:rsidP="00E84391">
      <w:pPr>
        <w:pStyle w:val="CETReferencetext"/>
        <w:rPr>
          <w:color w:val="000000" w:themeColor="text1"/>
        </w:rPr>
      </w:pPr>
      <w:r w:rsidRPr="00F90ADE">
        <w:rPr>
          <w:color w:val="000000" w:themeColor="text1"/>
        </w:rPr>
        <w:t xml:space="preserve">Gao X., Abdul Raman A.A., </w:t>
      </w:r>
      <w:proofErr w:type="spellStart"/>
      <w:r w:rsidRPr="00F90ADE">
        <w:rPr>
          <w:color w:val="000000" w:themeColor="text1"/>
        </w:rPr>
        <w:t>Hizaddin</w:t>
      </w:r>
      <w:proofErr w:type="spellEnd"/>
      <w:r w:rsidRPr="00F90ADE">
        <w:rPr>
          <w:color w:val="000000" w:themeColor="text1"/>
        </w:rPr>
        <w:t xml:space="preserve"> H.F., Bello M.M., </w:t>
      </w:r>
      <w:proofErr w:type="spellStart"/>
      <w:r w:rsidRPr="00F90ADE">
        <w:rPr>
          <w:color w:val="000000" w:themeColor="text1"/>
        </w:rPr>
        <w:t>Buthiyappan</w:t>
      </w:r>
      <w:proofErr w:type="spellEnd"/>
      <w:r w:rsidRPr="00F90ADE">
        <w:rPr>
          <w:color w:val="000000" w:themeColor="text1"/>
        </w:rPr>
        <w:t xml:space="preserve"> A., 2021, Review on the Inherently Safer Design for </w:t>
      </w:r>
      <w:r w:rsidR="00511F16" w:rsidRPr="00F90ADE">
        <w:rPr>
          <w:color w:val="000000" w:themeColor="text1"/>
        </w:rPr>
        <w:t>C</w:t>
      </w:r>
      <w:r w:rsidRPr="00F90ADE">
        <w:rPr>
          <w:color w:val="000000" w:themeColor="text1"/>
        </w:rPr>
        <w:t xml:space="preserve">hemical </w:t>
      </w:r>
      <w:r w:rsidR="00511F16" w:rsidRPr="00F90ADE">
        <w:rPr>
          <w:color w:val="000000" w:themeColor="text1"/>
        </w:rPr>
        <w:t>P</w:t>
      </w:r>
      <w:r w:rsidRPr="00F90ADE">
        <w:rPr>
          <w:color w:val="000000" w:themeColor="text1"/>
        </w:rPr>
        <w:t>rocesses: Past, present and future, Journal of Cleaner Production, 305, 127154</w:t>
      </w:r>
    </w:p>
    <w:p w14:paraId="79DECB3B" w14:textId="0122F52B" w:rsidR="00E84391" w:rsidRPr="00F90ADE" w:rsidRDefault="00E84391" w:rsidP="00E84391">
      <w:pPr>
        <w:pStyle w:val="CETReferencetext"/>
        <w:rPr>
          <w:color w:val="000000" w:themeColor="text1"/>
        </w:rPr>
      </w:pPr>
      <w:r w:rsidRPr="00F90ADE">
        <w:rPr>
          <w:color w:val="000000" w:themeColor="text1"/>
        </w:rPr>
        <w:t>Gonz</w:t>
      </w:r>
      <w:r w:rsidR="0005667A" w:rsidRPr="00F90ADE">
        <w:rPr>
          <w:color w:val="000000" w:themeColor="text1"/>
        </w:rPr>
        <w:t>a</w:t>
      </w:r>
      <w:r w:rsidRPr="00F90ADE">
        <w:rPr>
          <w:color w:val="000000" w:themeColor="text1"/>
        </w:rPr>
        <w:t xml:space="preserve">lez-Delgado </w:t>
      </w:r>
      <w:r w:rsidR="0005667A" w:rsidRPr="00F90ADE">
        <w:rPr>
          <w:color w:val="000000" w:themeColor="text1"/>
        </w:rPr>
        <w:t>A</w:t>
      </w:r>
      <w:r w:rsidRPr="00F90ADE">
        <w:rPr>
          <w:color w:val="000000" w:themeColor="text1"/>
        </w:rPr>
        <w:t xml:space="preserve">.D., Aguilar-Vásquez E., Ramos-Olmos M., 2023, Chemical and Process Inherent Safety Analysis of Large-Scale Suspension </w:t>
      </w:r>
      <w:proofErr w:type="gramStart"/>
      <w:r w:rsidRPr="00F90ADE">
        <w:rPr>
          <w:color w:val="000000" w:themeColor="text1"/>
        </w:rPr>
        <w:t>Poly(</w:t>
      </w:r>
      <w:proofErr w:type="gramEnd"/>
      <w:r w:rsidRPr="00F90ADE">
        <w:rPr>
          <w:color w:val="000000" w:themeColor="text1"/>
        </w:rPr>
        <w:t xml:space="preserve">Vinyl Chloride) Production, </w:t>
      </w:r>
      <w:proofErr w:type="spellStart"/>
      <w:r w:rsidRPr="00F90ADE">
        <w:rPr>
          <w:color w:val="000000" w:themeColor="text1"/>
        </w:rPr>
        <w:t>ChemEngineering</w:t>
      </w:r>
      <w:proofErr w:type="spellEnd"/>
      <w:r w:rsidRPr="00F90ADE">
        <w:rPr>
          <w:color w:val="000000" w:themeColor="text1"/>
        </w:rPr>
        <w:t>, 7, 76</w:t>
      </w:r>
    </w:p>
    <w:p w14:paraId="51D8F0CE" w14:textId="73D4CF13" w:rsidR="00E84391" w:rsidRPr="00F90ADE" w:rsidRDefault="00E84391" w:rsidP="00E84391">
      <w:pPr>
        <w:pStyle w:val="CETReferencetext"/>
        <w:rPr>
          <w:color w:val="000000" w:themeColor="text1"/>
        </w:rPr>
      </w:pPr>
      <w:proofErr w:type="spellStart"/>
      <w:r w:rsidRPr="00F90ADE">
        <w:rPr>
          <w:color w:val="000000" w:themeColor="text1"/>
        </w:rPr>
        <w:t>Heikkilä</w:t>
      </w:r>
      <w:proofErr w:type="spellEnd"/>
      <w:r w:rsidRPr="00F90ADE">
        <w:rPr>
          <w:color w:val="000000" w:themeColor="text1"/>
        </w:rPr>
        <w:t xml:space="preserve"> A.</w:t>
      </w:r>
      <w:r w:rsidR="00DC20D7" w:rsidRPr="00F90ADE">
        <w:rPr>
          <w:color w:val="000000" w:themeColor="text1"/>
        </w:rPr>
        <w:t xml:space="preserve"> </w:t>
      </w:r>
      <w:r w:rsidRPr="00F90ADE">
        <w:rPr>
          <w:color w:val="000000" w:themeColor="text1"/>
        </w:rPr>
        <w:t xml:space="preserve">M., 1999, Inherent </w:t>
      </w:r>
      <w:r w:rsidR="00511F16" w:rsidRPr="00F90ADE">
        <w:rPr>
          <w:color w:val="000000" w:themeColor="text1"/>
        </w:rPr>
        <w:t>S</w:t>
      </w:r>
      <w:r w:rsidRPr="00F90ADE">
        <w:rPr>
          <w:color w:val="000000" w:themeColor="text1"/>
        </w:rPr>
        <w:t xml:space="preserve">afety in </w:t>
      </w:r>
      <w:r w:rsidR="00511F16" w:rsidRPr="00F90ADE">
        <w:rPr>
          <w:color w:val="000000" w:themeColor="text1"/>
        </w:rPr>
        <w:t>P</w:t>
      </w:r>
      <w:r w:rsidRPr="00F90ADE">
        <w:rPr>
          <w:color w:val="000000" w:themeColor="text1"/>
        </w:rPr>
        <w:t xml:space="preserve">rocess </w:t>
      </w:r>
      <w:r w:rsidR="00511F16" w:rsidRPr="00F90ADE">
        <w:rPr>
          <w:color w:val="000000" w:themeColor="text1"/>
        </w:rPr>
        <w:t>P</w:t>
      </w:r>
      <w:r w:rsidRPr="00F90ADE">
        <w:rPr>
          <w:color w:val="000000" w:themeColor="text1"/>
        </w:rPr>
        <w:t xml:space="preserve">lant </w:t>
      </w:r>
      <w:r w:rsidR="00511F16" w:rsidRPr="00F90ADE">
        <w:rPr>
          <w:color w:val="000000" w:themeColor="text1"/>
        </w:rPr>
        <w:t>D</w:t>
      </w:r>
      <w:r w:rsidRPr="00F90ADE">
        <w:rPr>
          <w:color w:val="000000" w:themeColor="text1"/>
        </w:rPr>
        <w:t xml:space="preserve">esign: </w:t>
      </w:r>
      <w:r w:rsidR="00764F8A" w:rsidRPr="00F90ADE">
        <w:rPr>
          <w:color w:val="000000" w:themeColor="text1"/>
        </w:rPr>
        <w:t>A</w:t>
      </w:r>
      <w:r w:rsidRPr="00F90ADE">
        <w:rPr>
          <w:color w:val="000000" w:themeColor="text1"/>
        </w:rPr>
        <w:t xml:space="preserve">n </w:t>
      </w:r>
      <w:r w:rsidR="00511F16" w:rsidRPr="00F90ADE">
        <w:rPr>
          <w:color w:val="000000" w:themeColor="text1"/>
        </w:rPr>
        <w:t>I</w:t>
      </w:r>
      <w:r w:rsidRPr="00F90ADE">
        <w:rPr>
          <w:color w:val="000000" w:themeColor="text1"/>
        </w:rPr>
        <w:t>ndex-</w:t>
      </w:r>
      <w:r w:rsidR="00511F16" w:rsidRPr="00F90ADE">
        <w:rPr>
          <w:color w:val="000000" w:themeColor="text1"/>
        </w:rPr>
        <w:t>B</w:t>
      </w:r>
      <w:r w:rsidRPr="00F90ADE">
        <w:rPr>
          <w:color w:val="000000" w:themeColor="text1"/>
        </w:rPr>
        <w:t xml:space="preserve">ased </w:t>
      </w:r>
      <w:r w:rsidR="00511F16" w:rsidRPr="00F90ADE">
        <w:rPr>
          <w:color w:val="000000" w:themeColor="text1"/>
        </w:rPr>
        <w:t>A</w:t>
      </w:r>
      <w:r w:rsidRPr="00F90ADE">
        <w:rPr>
          <w:color w:val="000000" w:themeColor="text1"/>
        </w:rPr>
        <w:t>pproach, VTT Publications, Vol 384, Espoo, Finland</w:t>
      </w:r>
    </w:p>
    <w:p w14:paraId="744A419A" w14:textId="09258C07" w:rsidR="00E84391" w:rsidRPr="00F90ADE" w:rsidRDefault="00E84391" w:rsidP="00E84391">
      <w:pPr>
        <w:pStyle w:val="CETReferencetext"/>
        <w:rPr>
          <w:color w:val="000000" w:themeColor="text1"/>
        </w:rPr>
      </w:pPr>
      <w:proofErr w:type="spellStart"/>
      <w:r w:rsidRPr="00F90ADE">
        <w:rPr>
          <w:color w:val="000000" w:themeColor="text1"/>
        </w:rPr>
        <w:t>Jeong</w:t>
      </w:r>
      <w:proofErr w:type="spellEnd"/>
      <w:r w:rsidRPr="00F90ADE">
        <w:rPr>
          <w:color w:val="000000" w:themeColor="text1"/>
        </w:rPr>
        <w:t xml:space="preserve"> G., Nam M., Kim J., </w:t>
      </w:r>
      <w:proofErr w:type="spellStart"/>
      <w:r w:rsidRPr="00F90ADE">
        <w:rPr>
          <w:color w:val="000000" w:themeColor="text1"/>
        </w:rPr>
        <w:t>Yoo</w:t>
      </w:r>
      <w:proofErr w:type="spellEnd"/>
      <w:r w:rsidRPr="00F90ADE">
        <w:rPr>
          <w:color w:val="000000" w:themeColor="text1"/>
        </w:rPr>
        <w:t xml:space="preserve"> B.T., 2025, Study on Risk Mitigation Measures for Atmospheric Storage Tank of Acrylic Acid Due to Abnormal Weather Conditions, Processes, 13, 1607</w:t>
      </w:r>
    </w:p>
    <w:p w14:paraId="1ACB42DF" w14:textId="5FF2AF66" w:rsidR="00E84391" w:rsidRPr="00F90ADE" w:rsidRDefault="00E84391" w:rsidP="00E84391">
      <w:pPr>
        <w:pStyle w:val="CETReferencetext"/>
        <w:rPr>
          <w:color w:val="000000" w:themeColor="text1"/>
        </w:rPr>
      </w:pPr>
      <w:proofErr w:type="spellStart"/>
      <w:r w:rsidRPr="00F90ADE">
        <w:rPr>
          <w:color w:val="000000" w:themeColor="text1"/>
        </w:rPr>
        <w:t>Kalfas</w:t>
      </w:r>
      <w:proofErr w:type="spellEnd"/>
      <w:r w:rsidRPr="00F90ADE">
        <w:rPr>
          <w:color w:val="000000" w:themeColor="text1"/>
        </w:rPr>
        <w:t xml:space="preserve"> G., Krieger T., Wilcox R., 2009, Improvements in the </w:t>
      </w:r>
      <w:r w:rsidR="00511F16" w:rsidRPr="00F90ADE">
        <w:rPr>
          <w:color w:val="000000" w:themeColor="text1"/>
        </w:rPr>
        <w:t>S</w:t>
      </w:r>
      <w:r w:rsidRPr="00F90ADE">
        <w:rPr>
          <w:color w:val="000000" w:themeColor="text1"/>
        </w:rPr>
        <w:t xml:space="preserve">afety </w:t>
      </w:r>
      <w:r w:rsidR="00511F16" w:rsidRPr="00F90ADE">
        <w:rPr>
          <w:color w:val="000000" w:themeColor="text1"/>
        </w:rPr>
        <w:t>S</w:t>
      </w:r>
      <w:r w:rsidRPr="00F90ADE">
        <w:rPr>
          <w:color w:val="000000" w:themeColor="text1"/>
        </w:rPr>
        <w:t xml:space="preserve">creening of </w:t>
      </w:r>
      <w:r w:rsidR="00511F16" w:rsidRPr="00F90ADE">
        <w:rPr>
          <w:color w:val="000000" w:themeColor="text1"/>
        </w:rPr>
        <w:t>R</w:t>
      </w:r>
      <w:r w:rsidRPr="00F90ADE">
        <w:rPr>
          <w:color w:val="000000" w:themeColor="text1"/>
        </w:rPr>
        <w:t xml:space="preserve">esin </w:t>
      </w:r>
      <w:r w:rsidR="00511F16" w:rsidRPr="00F90ADE">
        <w:rPr>
          <w:color w:val="000000" w:themeColor="text1"/>
        </w:rPr>
        <w:t>M</w:t>
      </w:r>
      <w:r w:rsidRPr="00F90ADE">
        <w:rPr>
          <w:color w:val="000000" w:themeColor="text1"/>
        </w:rPr>
        <w:t xml:space="preserve">anufacturing </w:t>
      </w:r>
      <w:r w:rsidR="00511F16" w:rsidRPr="00F90ADE">
        <w:rPr>
          <w:color w:val="000000" w:themeColor="text1"/>
        </w:rPr>
        <w:t>P</w:t>
      </w:r>
      <w:r w:rsidRPr="00F90ADE">
        <w:rPr>
          <w:color w:val="000000" w:themeColor="text1"/>
        </w:rPr>
        <w:t>rocesses, Process Safety Progress, 28, 275–281</w:t>
      </w:r>
    </w:p>
    <w:p w14:paraId="31AEC1A7" w14:textId="7447CEA9" w:rsidR="00E84391" w:rsidRPr="00F90ADE" w:rsidRDefault="00E84391" w:rsidP="00E84391">
      <w:pPr>
        <w:pStyle w:val="CETReferencetext"/>
        <w:rPr>
          <w:color w:val="000000" w:themeColor="text1"/>
        </w:rPr>
      </w:pPr>
      <w:proofErr w:type="spellStart"/>
      <w:r w:rsidRPr="00F90ADE">
        <w:rPr>
          <w:color w:val="000000" w:themeColor="text1"/>
        </w:rPr>
        <w:t>Meramo</w:t>
      </w:r>
      <w:proofErr w:type="spellEnd"/>
      <w:r w:rsidRPr="00F90ADE">
        <w:rPr>
          <w:color w:val="000000" w:themeColor="text1"/>
        </w:rPr>
        <w:t>-Hurtado S., Ceballos-Arrieta N., Cortes-Caballero J., Leon-Pulido J., Gonzalez-Quiroga A.,</w:t>
      </w:r>
      <w:r w:rsidR="00D54E5A" w:rsidRPr="00F90ADE">
        <w:rPr>
          <w:color w:val="000000" w:themeColor="text1"/>
        </w:rPr>
        <w:t xml:space="preserve"> </w:t>
      </w:r>
      <w:r w:rsidRPr="00F90ADE">
        <w:rPr>
          <w:color w:val="000000" w:themeColor="text1"/>
        </w:rPr>
        <w:t>Gonzalez-Delgado Á.D., 2021, Inherent Safety Assessment of Industrial-Scale Production of Chitosan Microbeads Modified with TiO</w:t>
      </w:r>
      <w:r w:rsidRPr="00F90ADE">
        <w:rPr>
          <w:color w:val="000000" w:themeColor="text1"/>
          <w:vertAlign w:val="subscript"/>
        </w:rPr>
        <w:t>2</w:t>
      </w:r>
      <w:r w:rsidRPr="00F90ADE">
        <w:rPr>
          <w:color w:val="000000" w:themeColor="text1"/>
        </w:rPr>
        <w:t xml:space="preserve"> Nanoparticles, Biomolecules, 11, 568</w:t>
      </w:r>
    </w:p>
    <w:p w14:paraId="1973FCD4" w14:textId="45299317" w:rsidR="00E84391" w:rsidRPr="00F90ADE" w:rsidRDefault="00E84391" w:rsidP="00E84391">
      <w:pPr>
        <w:pStyle w:val="CETReferencetext"/>
        <w:rPr>
          <w:color w:val="000000" w:themeColor="text1"/>
        </w:rPr>
      </w:pPr>
      <w:r w:rsidRPr="00F90ADE">
        <w:rPr>
          <w:color w:val="000000" w:themeColor="text1"/>
        </w:rPr>
        <w:t xml:space="preserve">Otero E., Pardo A., </w:t>
      </w:r>
      <w:proofErr w:type="spellStart"/>
      <w:r w:rsidRPr="00F90ADE">
        <w:rPr>
          <w:color w:val="000000" w:themeColor="text1"/>
        </w:rPr>
        <w:t>Utrilla</w:t>
      </w:r>
      <w:proofErr w:type="spellEnd"/>
      <w:r w:rsidRPr="00F90ADE">
        <w:rPr>
          <w:color w:val="000000" w:themeColor="text1"/>
        </w:rPr>
        <w:t xml:space="preserve"> M.V., S</w:t>
      </w:r>
      <w:r w:rsidR="0005667A" w:rsidRPr="00F90ADE">
        <w:rPr>
          <w:color w:val="000000" w:themeColor="text1"/>
        </w:rPr>
        <w:t>a</w:t>
      </w:r>
      <w:r w:rsidRPr="00F90ADE">
        <w:rPr>
          <w:color w:val="000000" w:themeColor="text1"/>
        </w:rPr>
        <w:t xml:space="preserve">enz E., Perez F.J., 1995, Influence of </w:t>
      </w:r>
      <w:r w:rsidR="00511F16" w:rsidRPr="00F90ADE">
        <w:rPr>
          <w:color w:val="000000" w:themeColor="text1"/>
        </w:rPr>
        <w:t>M</w:t>
      </w:r>
      <w:r w:rsidRPr="00F90ADE">
        <w:rPr>
          <w:color w:val="000000" w:themeColor="text1"/>
        </w:rPr>
        <w:t xml:space="preserve">icrostructure on the </w:t>
      </w:r>
      <w:r w:rsidR="00511F16" w:rsidRPr="00F90ADE">
        <w:rPr>
          <w:color w:val="000000" w:themeColor="text1"/>
        </w:rPr>
        <w:t>C</w:t>
      </w:r>
      <w:r w:rsidRPr="00F90ADE">
        <w:rPr>
          <w:color w:val="000000" w:themeColor="text1"/>
        </w:rPr>
        <w:t xml:space="preserve">orrosion </w:t>
      </w:r>
      <w:r w:rsidR="00511F16" w:rsidRPr="00F90ADE">
        <w:rPr>
          <w:color w:val="000000" w:themeColor="text1"/>
        </w:rPr>
        <w:t>R</w:t>
      </w:r>
      <w:r w:rsidRPr="00F90ADE">
        <w:rPr>
          <w:color w:val="000000" w:themeColor="text1"/>
        </w:rPr>
        <w:t xml:space="preserve">esistance of AISI </w:t>
      </w:r>
      <w:r w:rsidR="00511F16" w:rsidRPr="00F90ADE">
        <w:rPr>
          <w:color w:val="000000" w:themeColor="text1"/>
        </w:rPr>
        <w:t>T</w:t>
      </w:r>
      <w:r w:rsidRPr="00F90ADE">
        <w:rPr>
          <w:color w:val="000000" w:themeColor="text1"/>
        </w:rPr>
        <w:t xml:space="preserve">ype 304L and </w:t>
      </w:r>
      <w:r w:rsidR="00511F16" w:rsidRPr="00F90ADE">
        <w:rPr>
          <w:color w:val="000000" w:themeColor="text1"/>
        </w:rPr>
        <w:t>T</w:t>
      </w:r>
      <w:r w:rsidRPr="00F90ADE">
        <w:rPr>
          <w:color w:val="000000" w:themeColor="text1"/>
        </w:rPr>
        <w:t xml:space="preserve">ype 316L </w:t>
      </w:r>
      <w:r w:rsidR="00511F16" w:rsidRPr="00F90ADE">
        <w:rPr>
          <w:color w:val="000000" w:themeColor="text1"/>
        </w:rPr>
        <w:t>S</w:t>
      </w:r>
      <w:r w:rsidRPr="00F90ADE">
        <w:rPr>
          <w:color w:val="000000" w:themeColor="text1"/>
        </w:rPr>
        <w:t xml:space="preserve">intered </w:t>
      </w:r>
      <w:r w:rsidR="00511F16" w:rsidRPr="00F90ADE">
        <w:rPr>
          <w:color w:val="000000" w:themeColor="text1"/>
        </w:rPr>
        <w:t>S</w:t>
      </w:r>
      <w:r w:rsidRPr="00F90ADE">
        <w:rPr>
          <w:color w:val="000000" w:themeColor="text1"/>
        </w:rPr>
        <w:t xml:space="preserve">tainless </w:t>
      </w:r>
      <w:r w:rsidR="00511F16" w:rsidRPr="00F90ADE">
        <w:rPr>
          <w:color w:val="000000" w:themeColor="text1"/>
        </w:rPr>
        <w:t>S</w:t>
      </w:r>
      <w:r w:rsidRPr="00F90ADE">
        <w:rPr>
          <w:color w:val="000000" w:themeColor="text1"/>
        </w:rPr>
        <w:t xml:space="preserve">teels </w:t>
      </w:r>
      <w:r w:rsidR="00511F16" w:rsidRPr="00F90ADE">
        <w:rPr>
          <w:color w:val="000000" w:themeColor="text1"/>
        </w:rPr>
        <w:t>E</w:t>
      </w:r>
      <w:r w:rsidRPr="00F90ADE">
        <w:rPr>
          <w:color w:val="000000" w:themeColor="text1"/>
        </w:rPr>
        <w:t xml:space="preserve">xposed to </w:t>
      </w:r>
      <w:r w:rsidR="00511F16" w:rsidRPr="00F90ADE">
        <w:rPr>
          <w:color w:val="000000" w:themeColor="text1"/>
        </w:rPr>
        <w:t>F</w:t>
      </w:r>
      <w:r w:rsidRPr="00F90ADE">
        <w:rPr>
          <w:color w:val="000000" w:themeColor="text1"/>
        </w:rPr>
        <w:t xml:space="preserve">erric </w:t>
      </w:r>
      <w:r w:rsidR="00511F16" w:rsidRPr="00F90ADE">
        <w:rPr>
          <w:color w:val="000000" w:themeColor="text1"/>
        </w:rPr>
        <w:t>C</w:t>
      </w:r>
      <w:r w:rsidRPr="00F90ADE">
        <w:rPr>
          <w:color w:val="000000" w:themeColor="text1"/>
        </w:rPr>
        <w:t xml:space="preserve">hloride </w:t>
      </w:r>
      <w:r w:rsidR="00511F16" w:rsidRPr="00F90ADE">
        <w:rPr>
          <w:color w:val="000000" w:themeColor="text1"/>
        </w:rPr>
        <w:t>S</w:t>
      </w:r>
      <w:r w:rsidRPr="00F90ADE">
        <w:rPr>
          <w:color w:val="000000" w:themeColor="text1"/>
        </w:rPr>
        <w:t>olution, Materials Characterization, 35, 145–151</w:t>
      </w:r>
    </w:p>
    <w:p w14:paraId="370E721B" w14:textId="13C3BB52" w:rsidR="00E84391" w:rsidRPr="00F90ADE" w:rsidRDefault="00E84391" w:rsidP="00E84391">
      <w:pPr>
        <w:pStyle w:val="CETReferencetext"/>
        <w:rPr>
          <w:color w:val="000000" w:themeColor="text1"/>
        </w:rPr>
      </w:pPr>
      <w:proofErr w:type="spellStart"/>
      <w:r w:rsidRPr="00F90ADE">
        <w:rPr>
          <w:color w:val="000000" w:themeColor="text1"/>
        </w:rPr>
        <w:t>Palaniappan</w:t>
      </w:r>
      <w:proofErr w:type="spellEnd"/>
      <w:r w:rsidRPr="00F90ADE">
        <w:rPr>
          <w:color w:val="000000" w:themeColor="text1"/>
        </w:rPr>
        <w:t xml:space="preserve"> C., Srinivasan R., Tan R.B., 2002, Expert System for the Design of Inherently Safer Processes. 2. Flowsheet Development Stage, Industrial and Engineering Chemistry Research, 41, 6711–6722</w:t>
      </w:r>
    </w:p>
    <w:p w14:paraId="19C4FC68" w14:textId="1F73CDFF" w:rsidR="004628D2" w:rsidRPr="00F90ADE" w:rsidRDefault="00E84391" w:rsidP="006F35E5">
      <w:pPr>
        <w:pStyle w:val="CETReferencetext"/>
        <w:rPr>
          <w:color w:val="000000" w:themeColor="text1"/>
        </w:rPr>
      </w:pPr>
      <w:proofErr w:type="spellStart"/>
      <w:r w:rsidRPr="00F90ADE">
        <w:rPr>
          <w:color w:val="000000" w:themeColor="text1"/>
        </w:rPr>
        <w:t>Zuorro</w:t>
      </w:r>
      <w:proofErr w:type="spellEnd"/>
      <w:r w:rsidRPr="00F90ADE">
        <w:rPr>
          <w:color w:val="000000" w:themeColor="text1"/>
        </w:rPr>
        <w:t xml:space="preserve"> A., Moreno-</w:t>
      </w:r>
      <w:proofErr w:type="spellStart"/>
      <w:r w:rsidRPr="00F90ADE">
        <w:rPr>
          <w:color w:val="000000" w:themeColor="text1"/>
        </w:rPr>
        <w:t>Sader</w:t>
      </w:r>
      <w:proofErr w:type="spellEnd"/>
      <w:r w:rsidRPr="00F90ADE">
        <w:rPr>
          <w:color w:val="000000" w:themeColor="text1"/>
        </w:rPr>
        <w:t xml:space="preserve"> K.A.,</w:t>
      </w:r>
      <w:r w:rsidR="00621E19" w:rsidRPr="00F90ADE">
        <w:rPr>
          <w:color w:val="000000" w:themeColor="text1"/>
        </w:rPr>
        <w:t xml:space="preserve"> </w:t>
      </w:r>
      <w:r w:rsidRPr="00F90ADE">
        <w:rPr>
          <w:color w:val="000000" w:themeColor="text1"/>
        </w:rPr>
        <w:t>Gonz</w:t>
      </w:r>
      <w:r w:rsidR="0005667A" w:rsidRPr="00F90ADE">
        <w:rPr>
          <w:color w:val="000000" w:themeColor="text1"/>
        </w:rPr>
        <w:t>a</w:t>
      </w:r>
      <w:r w:rsidRPr="00F90ADE">
        <w:rPr>
          <w:color w:val="000000" w:themeColor="text1"/>
        </w:rPr>
        <w:t>lez-Delgad</w:t>
      </w:r>
      <w:r w:rsidR="0005667A" w:rsidRPr="00F90ADE">
        <w:rPr>
          <w:color w:val="000000" w:themeColor="text1"/>
        </w:rPr>
        <w:t>o</w:t>
      </w:r>
      <w:r w:rsidRPr="00F90ADE">
        <w:rPr>
          <w:color w:val="000000" w:themeColor="text1"/>
        </w:rPr>
        <w:t xml:space="preserve"> </w:t>
      </w:r>
      <w:r w:rsidR="0005667A" w:rsidRPr="00F90ADE">
        <w:rPr>
          <w:color w:val="000000" w:themeColor="text1"/>
        </w:rPr>
        <w:t>A</w:t>
      </w:r>
      <w:r w:rsidRPr="00F90ADE">
        <w:rPr>
          <w:color w:val="000000" w:themeColor="text1"/>
        </w:rPr>
        <w:t>.D., 2021, Inherent Safety Analysis and Sustainability Evaluation of Chitosan Production from Shrimp Exoskeleton in Colombia, Water, 13, 5</w:t>
      </w:r>
      <w:bookmarkEnd w:id="1"/>
    </w:p>
    <w:sectPr w:rsidR="004628D2" w:rsidRPr="00F90ADE"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08AC1" w14:textId="77777777" w:rsidR="00F5050C" w:rsidRDefault="00F5050C" w:rsidP="004F5E36">
      <w:r>
        <w:separator/>
      </w:r>
    </w:p>
  </w:endnote>
  <w:endnote w:type="continuationSeparator" w:id="0">
    <w:p w14:paraId="06F55CB9" w14:textId="77777777" w:rsidR="00F5050C" w:rsidRDefault="00F5050C"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MT">
    <w:altName w:val="Arial"/>
    <w:charset w:val="01"/>
    <w:family w:val="swiss"/>
    <w:pitch w:val="variable"/>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8A526" w14:textId="77777777" w:rsidR="00F5050C" w:rsidRDefault="00F5050C" w:rsidP="004F5E36">
      <w:r>
        <w:separator/>
      </w:r>
    </w:p>
  </w:footnote>
  <w:footnote w:type="continuationSeparator" w:id="0">
    <w:p w14:paraId="5421C85A" w14:textId="77777777" w:rsidR="00F5050C" w:rsidRDefault="00F5050C"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2"/>
  </w:num>
  <w:num w:numId="14">
    <w:abstractNumId w:val="18"/>
  </w:num>
  <w:num w:numId="15">
    <w:abstractNumId w:val="20"/>
  </w:num>
  <w:num w:numId="16">
    <w:abstractNumId w:val="19"/>
  </w:num>
  <w:num w:numId="17">
    <w:abstractNumId w:val="11"/>
  </w:num>
  <w:num w:numId="18">
    <w:abstractNumId w:val="12"/>
    <w:lvlOverride w:ilvl="0">
      <w:startOverride w:val="1"/>
    </w:lvlOverride>
  </w:num>
  <w:num w:numId="19">
    <w:abstractNumId w:val="16"/>
  </w:num>
  <w:num w:numId="20">
    <w:abstractNumId w:val="15"/>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05BF"/>
    <w:rsid w:val="000027C0"/>
    <w:rsid w:val="000052FB"/>
    <w:rsid w:val="00005884"/>
    <w:rsid w:val="00005A19"/>
    <w:rsid w:val="000117CB"/>
    <w:rsid w:val="000131BE"/>
    <w:rsid w:val="0003148D"/>
    <w:rsid w:val="00031EEC"/>
    <w:rsid w:val="00051566"/>
    <w:rsid w:val="000562A9"/>
    <w:rsid w:val="0005667A"/>
    <w:rsid w:val="00062A9A"/>
    <w:rsid w:val="00063771"/>
    <w:rsid w:val="00065058"/>
    <w:rsid w:val="00070E2B"/>
    <w:rsid w:val="00086C39"/>
    <w:rsid w:val="000A03B2"/>
    <w:rsid w:val="000B25F1"/>
    <w:rsid w:val="000C09C3"/>
    <w:rsid w:val="000C0F0E"/>
    <w:rsid w:val="000D0268"/>
    <w:rsid w:val="000D34BE"/>
    <w:rsid w:val="000E102F"/>
    <w:rsid w:val="000E36F1"/>
    <w:rsid w:val="000E3A73"/>
    <w:rsid w:val="000E414A"/>
    <w:rsid w:val="000E75FD"/>
    <w:rsid w:val="000F093C"/>
    <w:rsid w:val="000F21BD"/>
    <w:rsid w:val="000F787B"/>
    <w:rsid w:val="00101F02"/>
    <w:rsid w:val="0012091F"/>
    <w:rsid w:val="00124AAD"/>
    <w:rsid w:val="00126BC2"/>
    <w:rsid w:val="001308B6"/>
    <w:rsid w:val="0013121F"/>
    <w:rsid w:val="00131FE6"/>
    <w:rsid w:val="0013263F"/>
    <w:rsid w:val="001331DF"/>
    <w:rsid w:val="00134DE4"/>
    <w:rsid w:val="00140055"/>
    <w:rsid w:val="0014034D"/>
    <w:rsid w:val="00140FE3"/>
    <w:rsid w:val="00144D16"/>
    <w:rsid w:val="001463C9"/>
    <w:rsid w:val="00150E59"/>
    <w:rsid w:val="00152DE3"/>
    <w:rsid w:val="00154738"/>
    <w:rsid w:val="00157B97"/>
    <w:rsid w:val="00164CF9"/>
    <w:rsid w:val="001667A6"/>
    <w:rsid w:val="00174121"/>
    <w:rsid w:val="00184AD6"/>
    <w:rsid w:val="001865BD"/>
    <w:rsid w:val="001A4AF7"/>
    <w:rsid w:val="001B0349"/>
    <w:rsid w:val="001B1E93"/>
    <w:rsid w:val="001B65C1"/>
    <w:rsid w:val="001C260F"/>
    <w:rsid w:val="001C33F1"/>
    <w:rsid w:val="001C684B"/>
    <w:rsid w:val="001D0CFB"/>
    <w:rsid w:val="001D21AF"/>
    <w:rsid w:val="001D3ADC"/>
    <w:rsid w:val="001D53FC"/>
    <w:rsid w:val="001E5E81"/>
    <w:rsid w:val="001F3EA6"/>
    <w:rsid w:val="001F42A5"/>
    <w:rsid w:val="001F7B9D"/>
    <w:rsid w:val="001F7ED8"/>
    <w:rsid w:val="00201C93"/>
    <w:rsid w:val="002224B4"/>
    <w:rsid w:val="00232491"/>
    <w:rsid w:val="00235AA2"/>
    <w:rsid w:val="00240B19"/>
    <w:rsid w:val="002447EF"/>
    <w:rsid w:val="00251550"/>
    <w:rsid w:val="00263B05"/>
    <w:rsid w:val="0027221A"/>
    <w:rsid w:val="00275B61"/>
    <w:rsid w:val="00280FAF"/>
    <w:rsid w:val="00282656"/>
    <w:rsid w:val="00287ACD"/>
    <w:rsid w:val="00296B83"/>
    <w:rsid w:val="002B4015"/>
    <w:rsid w:val="002B5C01"/>
    <w:rsid w:val="002B78CE"/>
    <w:rsid w:val="002C2FB6"/>
    <w:rsid w:val="002C7470"/>
    <w:rsid w:val="002E5FA7"/>
    <w:rsid w:val="002F3309"/>
    <w:rsid w:val="003008CE"/>
    <w:rsid w:val="003009B7"/>
    <w:rsid w:val="00300E56"/>
    <w:rsid w:val="0030152C"/>
    <w:rsid w:val="0030281E"/>
    <w:rsid w:val="0030469C"/>
    <w:rsid w:val="0030676E"/>
    <w:rsid w:val="00321CA6"/>
    <w:rsid w:val="00323763"/>
    <w:rsid w:val="00323C5F"/>
    <w:rsid w:val="003251FD"/>
    <w:rsid w:val="00334C09"/>
    <w:rsid w:val="00342107"/>
    <w:rsid w:val="00345670"/>
    <w:rsid w:val="00346FE7"/>
    <w:rsid w:val="0035258B"/>
    <w:rsid w:val="0036773A"/>
    <w:rsid w:val="003723D4"/>
    <w:rsid w:val="00381905"/>
    <w:rsid w:val="00384CC8"/>
    <w:rsid w:val="003871FD"/>
    <w:rsid w:val="003A1E30"/>
    <w:rsid w:val="003A2829"/>
    <w:rsid w:val="003A7D1C"/>
    <w:rsid w:val="003B304B"/>
    <w:rsid w:val="003B3146"/>
    <w:rsid w:val="003B4EA5"/>
    <w:rsid w:val="003B7116"/>
    <w:rsid w:val="003D1E02"/>
    <w:rsid w:val="003E07F1"/>
    <w:rsid w:val="003E21FF"/>
    <w:rsid w:val="003F015E"/>
    <w:rsid w:val="003F6050"/>
    <w:rsid w:val="00400414"/>
    <w:rsid w:val="0041446B"/>
    <w:rsid w:val="004151D3"/>
    <w:rsid w:val="004259C5"/>
    <w:rsid w:val="004319E8"/>
    <w:rsid w:val="0044071E"/>
    <w:rsid w:val="0044329C"/>
    <w:rsid w:val="004457AC"/>
    <w:rsid w:val="00453BD8"/>
    <w:rsid w:val="00453E24"/>
    <w:rsid w:val="0045430C"/>
    <w:rsid w:val="00457456"/>
    <w:rsid w:val="004577FE"/>
    <w:rsid w:val="00457B9C"/>
    <w:rsid w:val="0046164A"/>
    <w:rsid w:val="004628D2"/>
    <w:rsid w:val="00462DCD"/>
    <w:rsid w:val="004648AD"/>
    <w:rsid w:val="00467D1F"/>
    <w:rsid w:val="004703A9"/>
    <w:rsid w:val="004760DE"/>
    <w:rsid w:val="004763D7"/>
    <w:rsid w:val="00493EF4"/>
    <w:rsid w:val="004A004E"/>
    <w:rsid w:val="004A24CF"/>
    <w:rsid w:val="004A5E57"/>
    <w:rsid w:val="004C194F"/>
    <w:rsid w:val="004C3D1D"/>
    <w:rsid w:val="004C3D84"/>
    <w:rsid w:val="004C7913"/>
    <w:rsid w:val="004D1A00"/>
    <w:rsid w:val="004E4DD6"/>
    <w:rsid w:val="004F5E36"/>
    <w:rsid w:val="00507B47"/>
    <w:rsid w:val="00507BEF"/>
    <w:rsid w:val="00507CC9"/>
    <w:rsid w:val="005119A5"/>
    <w:rsid w:val="00511F16"/>
    <w:rsid w:val="005159F6"/>
    <w:rsid w:val="00515E64"/>
    <w:rsid w:val="005278B7"/>
    <w:rsid w:val="00532016"/>
    <w:rsid w:val="005346C8"/>
    <w:rsid w:val="00543E7D"/>
    <w:rsid w:val="00547A68"/>
    <w:rsid w:val="005531C9"/>
    <w:rsid w:val="00570C43"/>
    <w:rsid w:val="00572AC7"/>
    <w:rsid w:val="00573AC5"/>
    <w:rsid w:val="00580647"/>
    <w:rsid w:val="005867FF"/>
    <w:rsid w:val="00592274"/>
    <w:rsid w:val="00594BCC"/>
    <w:rsid w:val="005B2110"/>
    <w:rsid w:val="005B61E6"/>
    <w:rsid w:val="005C6E0F"/>
    <w:rsid w:val="005C77E1"/>
    <w:rsid w:val="005D668A"/>
    <w:rsid w:val="005D6A2F"/>
    <w:rsid w:val="005E0592"/>
    <w:rsid w:val="005E1A82"/>
    <w:rsid w:val="005E4F90"/>
    <w:rsid w:val="005E70C9"/>
    <w:rsid w:val="005E794C"/>
    <w:rsid w:val="005F0A28"/>
    <w:rsid w:val="005F0E5E"/>
    <w:rsid w:val="00600535"/>
    <w:rsid w:val="00610CD6"/>
    <w:rsid w:val="00620DEE"/>
    <w:rsid w:val="00621E19"/>
    <w:rsid w:val="00621F92"/>
    <w:rsid w:val="0062280A"/>
    <w:rsid w:val="006231E1"/>
    <w:rsid w:val="00625639"/>
    <w:rsid w:val="00631B33"/>
    <w:rsid w:val="00632D37"/>
    <w:rsid w:val="0064184D"/>
    <w:rsid w:val="006422CC"/>
    <w:rsid w:val="00650F3E"/>
    <w:rsid w:val="00651D18"/>
    <w:rsid w:val="00657E88"/>
    <w:rsid w:val="00660E3E"/>
    <w:rsid w:val="00662E74"/>
    <w:rsid w:val="00664F9F"/>
    <w:rsid w:val="00680C23"/>
    <w:rsid w:val="00683E23"/>
    <w:rsid w:val="00693766"/>
    <w:rsid w:val="006A0E80"/>
    <w:rsid w:val="006A3281"/>
    <w:rsid w:val="006A7F8B"/>
    <w:rsid w:val="006B4888"/>
    <w:rsid w:val="006C0863"/>
    <w:rsid w:val="006C2E45"/>
    <w:rsid w:val="006C359C"/>
    <w:rsid w:val="006C5579"/>
    <w:rsid w:val="006D0376"/>
    <w:rsid w:val="006D6E8B"/>
    <w:rsid w:val="006D7209"/>
    <w:rsid w:val="006E3BA8"/>
    <w:rsid w:val="006E737D"/>
    <w:rsid w:val="006F35E5"/>
    <w:rsid w:val="00707DD1"/>
    <w:rsid w:val="00713973"/>
    <w:rsid w:val="00716E19"/>
    <w:rsid w:val="00720A24"/>
    <w:rsid w:val="00730C90"/>
    <w:rsid w:val="00732386"/>
    <w:rsid w:val="00732CCB"/>
    <w:rsid w:val="00733B2E"/>
    <w:rsid w:val="0073514D"/>
    <w:rsid w:val="007447F3"/>
    <w:rsid w:val="0075499F"/>
    <w:rsid w:val="007617CC"/>
    <w:rsid w:val="00764F8A"/>
    <w:rsid w:val="007661C8"/>
    <w:rsid w:val="00770813"/>
    <w:rsid w:val="0077098D"/>
    <w:rsid w:val="00785BF9"/>
    <w:rsid w:val="007931FA"/>
    <w:rsid w:val="007A4861"/>
    <w:rsid w:val="007A7BBA"/>
    <w:rsid w:val="007B0C50"/>
    <w:rsid w:val="007B48F9"/>
    <w:rsid w:val="007C1A43"/>
    <w:rsid w:val="007D0951"/>
    <w:rsid w:val="007D2082"/>
    <w:rsid w:val="007E14B6"/>
    <w:rsid w:val="007E5888"/>
    <w:rsid w:val="007F1558"/>
    <w:rsid w:val="007F27C8"/>
    <w:rsid w:val="007F39BB"/>
    <w:rsid w:val="007F3AA6"/>
    <w:rsid w:val="007F75A1"/>
    <w:rsid w:val="0080013E"/>
    <w:rsid w:val="00802A58"/>
    <w:rsid w:val="00803337"/>
    <w:rsid w:val="00813288"/>
    <w:rsid w:val="008168FC"/>
    <w:rsid w:val="0082797D"/>
    <w:rsid w:val="00830996"/>
    <w:rsid w:val="008314D7"/>
    <w:rsid w:val="008324DB"/>
    <w:rsid w:val="008345F1"/>
    <w:rsid w:val="0084062A"/>
    <w:rsid w:val="00841D69"/>
    <w:rsid w:val="008420AC"/>
    <w:rsid w:val="00846F7F"/>
    <w:rsid w:val="008610B5"/>
    <w:rsid w:val="00865B07"/>
    <w:rsid w:val="008667EA"/>
    <w:rsid w:val="008746B7"/>
    <w:rsid w:val="0087637F"/>
    <w:rsid w:val="00892AD5"/>
    <w:rsid w:val="008A1512"/>
    <w:rsid w:val="008A1721"/>
    <w:rsid w:val="008D1C89"/>
    <w:rsid w:val="008D32B9"/>
    <w:rsid w:val="008D433B"/>
    <w:rsid w:val="008D4A16"/>
    <w:rsid w:val="008E209A"/>
    <w:rsid w:val="008E3426"/>
    <w:rsid w:val="008E45BC"/>
    <w:rsid w:val="008E566E"/>
    <w:rsid w:val="008E7904"/>
    <w:rsid w:val="0090161A"/>
    <w:rsid w:val="00901EB6"/>
    <w:rsid w:val="009041F8"/>
    <w:rsid w:val="00904C62"/>
    <w:rsid w:val="00922BA8"/>
    <w:rsid w:val="00924DAC"/>
    <w:rsid w:val="00927058"/>
    <w:rsid w:val="009374C6"/>
    <w:rsid w:val="00942750"/>
    <w:rsid w:val="009450CE"/>
    <w:rsid w:val="00945510"/>
    <w:rsid w:val="009459BB"/>
    <w:rsid w:val="00947179"/>
    <w:rsid w:val="0095164B"/>
    <w:rsid w:val="00954090"/>
    <w:rsid w:val="00955139"/>
    <w:rsid w:val="009573E7"/>
    <w:rsid w:val="00963E05"/>
    <w:rsid w:val="00964A45"/>
    <w:rsid w:val="00967843"/>
    <w:rsid w:val="00967D54"/>
    <w:rsid w:val="00971028"/>
    <w:rsid w:val="009739BA"/>
    <w:rsid w:val="00993B84"/>
    <w:rsid w:val="00996483"/>
    <w:rsid w:val="00996F5A"/>
    <w:rsid w:val="009A6907"/>
    <w:rsid w:val="009B030D"/>
    <w:rsid w:val="009B041A"/>
    <w:rsid w:val="009B1786"/>
    <w:rsid w:val="009C37C3"/>
    <w:rsid w:val="009C7C86"/>
    <w:rsid w:val="009D2FF7"/>
    <w:rsid w:val="009E7884"/>
    <w:rsid w:val="009E788A"/>
    <w:rsid w:val="009F0E08"/>
    <w:rsid w:val="009F2EDC"/>
    <w:rsid w:val="00A079AE"/>
    <w:rsid w:val="00A1763D"/>
    <w:rsid w:val="00A17CEC"/>
    <w:rsid w:val="00A26CBB"/>
    <w:rsid w:val="00A27920"/>
    <w:rsid w:val="00A27EF0"/>
    <w:rsid w:val="00A41552"/>
    <w:rsid w:val="00A42361"/>
    <w:rsid w:val="00A50B20"/>
    <w:rsid w:val="00A51390"/>
    <w:rsid w:val="00A60D13"/>
    <w:rsid w:val="00A7223D"/>
    <w:rsid w:val="00A72745"/>
    <w:rsid w:val="00A76EFC"/>
    <w:rsid w:val="00A877E3"/>
    <w:rsid w:val="00A87D50"/>
    <w:rsid w:val="00A91010"/>
    <w:rsid w:val="00A97F29"/>
    <w:rsid w:val="00AA702E"/>
    <w:rsid w:val="00AA7D26"/>
    <w:rsid w:val="00AB0964"/>
    <w:rsid w:val="00AB5011"/>
    <w:rsid w:val="00AB5073"/>
    <w:rsid w:val="00AC7368"/>
    <w:rsid w:val="00AD0278"/>
    <w:rsid w:val="00AD16B9"/>
    <w:rsid w:val="00AD75BC"/>
    <w:rsid w:val="00AE0E4F"/>
    <w:rsid w:val="00AE377D"/>
    <w:rsid w:val="00AE7E50"/>
    <w:rsid w:val="00AF0EBA"/>
    <w:rsid w:val="00AF46D8"/>
    <w:rsid w:val="00B02C8A"/>
    <w:rsid w:val="00B04627"/>
    <w:rsid w:val="00B16E3D"/>
    <w:rsid w:val="00B17FBD"/>
    <w:rsid w:val="00B23F5B"/>
    <w:rsid w:val="00B25EA6"/>
    <w:rsid w:val="00B315A6"/>
    <w:rsid w:val="00B31813"/>
    <w:rsid w:val="00B32860"/>
    <w:rsid w:val="00B33365"/>
    <w:rsid w:val="00B57B36"/>
    <w:rsid w:val="00B57E6F"/>
    <w:rsid w:val="00B85EFC"/>
    <w:rsid w:val="00B8686D"/>
    <w:rsid w:val="00B93F69"/>
    <w:rsid w:val="00BB1DDC"/>
    <w:rsid w:val="00BB6D32"/>
    <w:rsid w:val="00BC30C9"/>
    <w:rsid w:val="00BC4EC1"/>
    <w:rsid w:val="00BD077D"/>
    <w:rsid w:val="00BE3E58"/>
    <w:rsid w:val="00C01616"/>
    <w:rsid w:val="00C0162B"/>
    <w:rsid w:val="00C068ED"/>
    <w:rsid w:val="00C208E9"/>
    <w:rsid w:val="00C21903"/>
    <w:rsid w:val="00C22E0C"/>
    <w:rsid w:val="00C345B1"/>
    <w:rsid w:val="00C40142"/>
    <w:rsid w:val="00C52C3C"/>
    <w:rsid w:val="00C57182"/>
    <w:rsid w:val="00C57863"/>
    <w:rsid w:val="00C640AF"/>
    <w:rsid w:val="00C655FD"/>
    <w:rsid w:val="00C75407"/>
    <w:rsid w:val="00C76212"/>
    <w:rsid w:val="00C841C6"/>
    <w:rsid w:val="00C870A8"/>
    <w:rsid w:val="00C87F98"/>
    <w:rsid w:val="00C94434"/>
    <w:rsid w:val="00C94916"/>
    <w:rsid w:val="00C97154"/>
    <w:rsid w:val="00CA0D75"/>
    <w:rsid w:val="00CA1C95"/>
    <w:rsid w:val="00CA21F3"/>
    <w:rsid w:val="00CA5A9C"/>
    <w:rsid w:val="00CB0204"/>
    <w:rsid w:val="00CC4C20"/>
    <w:rsid w:val="00CD3517"/>
    <w:rsid w:val="00CD5FE2"/>
    <w:rsid w:val="00CE7C68"/>
    <w:rsid w:val="00CF33C2"/>
    <w:rsid w:val="00CF765C"/>
    <w:rsid w:val="00D02328"/>
    <w:rsid w:val="00D02B4C"/>
    <w:rsid w:val="00D040C4"/>
    <w:rsid w:val="00D20AD1"/>
    <w:rsid w:val="00D22C30"/>
    <w:rsid w:val="00D2582C"/>
    <w:rsid w:val="00D27D65"/>
    <w:rsid w:val="00D3414B"/>
    <w:rsid w:val="00D46B7E"/>
    <w:rsid w:val="00D54E5A"/>
    <w:rsid w:val="00D57513"/>
    <w:rsid w:val="00D57C84"/>
    <w:rsid w:val="00D6057D"/>
    <w:rsid w:val="00D71640"/>
    <w:rsid w:val="00D810A7"/>
    <w:rsid w:val="00D836C5"/>
    <w:rsid w:val="00D84576"/>
    <w:rsid w:val="00DA1399"/>
    <w:rsid w:val="00DA24C6"/>
    <w:rsid w:val="00DA42D7"/>
    <w:rsid w:val="00DA4D7B"/>
    <w:rsid w:val="00DB64CA"/>
    <w:rsid w:val="00DC20D7"/>
    <w:rsid w:val="00DD271C"/>
    <w:rsid w:val="00DE0A5A"/>
    <w:rsid w:val="00DE264A"/>
    <w:rsid w:val="00DF2B4B"/>
    <w:rsid w:val="00DF5072"/>
    <w:rsid w:val="00E02D18"/>
    <w:rsid w:val="00E037FB"/>
    <w:rsid w:val="00E041E7"/>
    <w:rsid w:val="00E23CA1"/>
    <w:rsid w:val="00E261EC"/>
    <w:rsid w:val="00E409A8"/>
    <w:rsid w:val="00E457F1"/>
    <w:rsid w:val="00E47D61"/>
    <w:rsid w:val="00E50C12"/>
    <w:rsid w:val="00E65B91"/>
    <w:rsid w:val="00E7209D"/>
    <w:rsid w:val="00E72EAD"/>
    <w:rsid w:val="00E77223"/>
    <w:rsid w:val="00E80D7B"/>
    <w:rsid w:val="00E84391"/>
    <w:rsid w:val="00E8528B"/>
    <w:rsid w:val="00E85B94"/>
    <w:rsid w:val="00E978D0"/>
    <w:rsid w:val="00EA3EF9"/>
    <w:rsid w:val="00EA4613"/>
    <w:rsid w:val="00EA7F91"/>
    <w:rsid w:val="00EB0E0B"/>
    <w:rsid w:val="00EB1523"/>
    <w:rsid w:val="00EC0E49"/>
    <w:rsid w:val="00EC101F"/>
    <w:rsid w:val="00EC1D9F"/>
    <w:rsid w:val="00EC3282"/>
    <w:rsid w:val="00ED3043"/>
    <w:rsid w:val="00EE0131"/>
    <w:rsid w:val="00EE17B0"/>
    <w:rsid w:val="00EF06D9"/>
    <w:rsid w:val="00EF0982"/>
    <w:rsid w:val="00F126A5"/>
    <w:rsid w:val="00F25E4F"/>
    <w:rsid w:val="00F270DC"/>
    <w:rsid w:val="00F3049E"/>
    <w:rsid w:val="00F30C64"/>
    <w:rsid w:val="00F32BA2"/>
    <w:rsid w:val="00F32CDB"/>
    <w:rsid w:val="00F3348F"/>
    <w:rsid w:val="00F36BC4"/>
    <w:rsid w:val="00F37280"/>
    <w:rsid w:val="00F41EE4"/>
    <w:rsid w:val="00F5050C"/>
    <w:rsid w:val="00F565FE"/>
    <w:rsid w:val="00F63A70"/>
    <w:rsid w:val="00F63D8C"/>
    <w:rsid w:val="00F7534E"/>
    <w:rsid w:val="00F77872"/>
    <w:rsid w:val="00F90ADE"/>
    <w:rsid w:val="00F93EDF"/>
    <w:rsid w:val="00FA1802"/>
    <w:rsid w:val="00FA21D0"/>
    <w:rsid w:val="00FA5F5F"/>
    <w:rsid w:val="00FB1243"/>
    <w:rsid w:val="00FB596F"/>
    <w:rsid w:val="00FB730C"/>
    <w:rsid w:val="00FC1F55"/>
    <w:rsid w:val="00FC2695"/>
    <w:rsid w:val="00FC3E03"/>
    <w:rsid w:val="00FC3FC1"/>
    <w:rsid w:val="00FE254D"/>
    <w:rsid w:val="00FF600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CET Top_page"/>
    <w:rsid w:val="00650F3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ario">
    <w:name w:val="annotation reference"/>
    <w:basedOn w:val="Fuentedeprrafopredeter"/>
    <w:uiPriority w:val="99"/>
    <w:semiHidden/>
    <w:unhideWhenUsed/>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24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aconnmeros">
    <w:name w:val="List Number"/>
    <w:basedOn w:val="Normal"/>
    <w:uiPriority w:val="99"/>
    <w:semiHidden/>
    <w:unhideWhenUsed/>
    <w:rsid w:val="0003148D"/>
    <w:pPr>
      <w:numPr>
        <w:numId w:val="2"/>
      </w:numPr>
      <w:contextualSpacing/>
    </w:pPr>
  </w:style>
  <w:style w:type="paragraph" w:styleId="Listaconnmeros2">
    <w:name w:val="List Number 2"/>
    <w:basedOn w:val="Normal"/>
    <w:uiPriority w:val="99"/>
    <w:semiHidden/>
    <w:unhideWhenUsed/>
    <w:rsid w:val="0003148D"/>
    <w:pPr>
      <w:numPr>
        <w:numId w:val="3"/>
      </w:numPr>
      <w:contextualSpacing/>
    </w:pPr>
  </w:style>
  <w:style w:type="paragraph" w:styleId="Listaconnmeros3">
    <w:name w:val="List Number 3"/>
    <w:basedOn w:val="Normal"/>
    <w:uiPriority w:val="99"/>
    <w:semiHidden/>
    <w:unhideWhenUsed/>
    <w:rsid w:val="0003148D"/>
    <w:pPr>
      <w:numPr>
        <w:numId w:val="4"/>
      </w:numPr>
      <w:contextualSpacing/>
    </w:pPr>
  </w:style>
  <w:style w:type="paragraph" w:styleId="Listaconnmeros4">
    <w:name w:val="List Number 4"/>
    <w:basedOn w:val="Normal"/>
    <w:uiPriority w:val="99"/>
    <w:semiHidden/>
    <w:unhideWhenUsed/>
    <w:rsid w:val="0003148D"/>
    <w:pPr>
      <w:numPr>
        <w:numId w:val="5"/>
      </w:numPr>
      <w:contextualSpacing/>
    </w:pPr>
  </w:style>
  <w:style w:type="paragraph" w:styleId="Listaconnmeros5">
    <w:name w:val="List Number 5"/>
    <w:basedOn w:val="Normal"/>
    <w:uiPriority w:val="99"/>
    <w:semiHidden/>
    <w:unhideWhenUsed/>
    <w:rsid w:val="0003148D"/>
    <w:pPr>
      <w:numPr>
        <w:numId w:val="6"/>
      </w:numPr>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numPr>
        <w:numId w:val="7"/>
      </w:numPr>
      <w:contextualSpacing/>
    </w:pPr>
  </w:style>
  <w:style w:type="paragraph" w:styleId="Listaconvietas2">
    <w:name w:val="List Bullet 2"/>
    <w:basedOn w:val="Normal"/>
    <w:uiPriority w:val="99"/>
    <w:semiHidden/>
    <w:unhideWhenUsed/>
    <w:rsid w:val="0003148D"/>
    <w:pPr>
      <w:numPr>
        <w:numId w:val="8"/>
      </w:numPr>
      <w:contextualSpacing/>
    </w:pPr>
  </w:style>
  <w:style w:type="paragraph" w:styleId="Listaconvietas3">
    <w:name w:val="List Bullet 3"/>
    <w:basedOn w:val="Normal"/>
    <w:uiPriority w:val="99"/>
    <w:semiHidden/>
    <w:unhideWhenUsed/>
    <w:rsid w:val="0003148D"/>
    <w:pPr>
      <w:numPr>
        <w:numId w:val="9"/>
      </w:numPr>
      <w:contextualSpacing/>
    </w:pPr>
  </w:style>
  <w:style w:type="paragraph" w:styleId="Listaconvietas4">
    <w:name w:val="List Bullet 4"/>
    <w:basedOn w:val="Normal"/>
    <w:uiPriority w:val="99"/>
    <w:semiHidden/>
    <w:unhideWhenUsed/>
    <w:rsid w:val="0003148D"/>
    <w:pPr>
      <w:numPr>
        <w:numId w:val="10"/>
      </w:numPr>
      <w:contextualSpacing/>
    </w:pPr>
  </w:style>
  <w:style w:type="paragraph" w:styleId="Listaconvietas5">
    <w:name w:val="List Bullet 5"/>
    <w:basedOn w:val="Normal"/>
    <w:uiPriority w:val="99"/>
    <w:semiHidden/>
    <w:unhideWhenUsed/>
    <w:rsid w:val="0003148D"/>
    <w:pPr>
      <w:numPr>
        <w:numId w:val="11"/>
      </w:numPr>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rsid w:val="0003148D"/>
    <w:pPr>
      <w:spacing w:line="240" w:lineRule="auto"/>
    </w:pPr>
  </w:style>
  <w:style w:type="character" w:customStyle="1" w:styleId="TextocomentarioCar">
    <w:name w:val="Texto comentario Car"/>
    <w:basedOn w:val="Fuentedeprrafopredeter"/>
    <w:link w:val="Textocomentario"/>
    <w:uiPriority w:val="99"/>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rrafodelista">
    <w:name w:val="List Paragraph"/>
    <w:basedOn w:val="Normal"/>
    <w:uiPriority w:val="34"/>
    <w:rsid w:val="00280FAF"/>
    <w:pPr>
      <w:ind w:left="720"/>
      <w:contextualSpacing/>
    </w:pPr>
  </w:style>
  <w:style w:type="character" w:customStyle="1" w:styleId="gmail-apple-converted-space">
    <w:name w:val="gmail-apple-converted-space"/>
    <w:basedOn w:val="Fuentedeprrafopredeter"/>
    <w:rsid w:val="00005A19"/>
  </w:style>
  <w:style w:type="character" w:styleId="Mencinsinresolver">
    <w:name w:val="Unresolved Mention"/>
    <w:basedOn w:val="Fuentedeprrafopredeter"/>
    <w:uiPriority w:val="99"/>
    <w:semiHidden/>
    <w:unhideWhenUsed/>
    <w:rsid w:val="004259C5"/>
    <w:rPr>
      <w:color w:val="605E5C"/>
      <w:shd w:val="clear" w:color="auto" w:fill="E1DFDD"/>
    </w:rPr>
  </w:style>
  <w:style w:type="paragraph" w:customStyle="1" w:styleId="TableParagraph">
    <w:name w:val="Table Paragraph"/>
    <w:basedOn w:val="Normal"/>
    <w:uiPriority w:val="1"/>
    <w:qFormat/>
    <w:rsid w:val="00CB0204"/>
    <w:pPr>
      <w:widowControl w:val="0"/>
      <w:tabs>
        <w:tab w:val="clear" w:pos="7100"/>
      </w:tabs>
      <w:autoSpaceDE w:val="0"/>
      <w:autoSpaceDN w:val="0"/>
      <w:spacing w:line="240" w:lineRule="auto"/>
      <w:jc w:val="center"/>
    </w:pPr>
    <w:rPr>
      <w:rFonts w:ascii="Arial MT" w:eastAsia="Arial MT" w:hAnsi="Arial MT" w:cs="Arial MT"/>
      <w:sz w:val="22"/>
      <w:szCs w:val="22"/>
      <w:lang w:val="es-ES"/>
    </w:rPr>
  </w:style>
  <w:style w:type="character" w:styleId="Textodelmarcadordeposicin">
    <w:name w:val="Placeholder Text"/>
    <w:basedOn w:val="Fuentedeprrafopredeter"/>
    <w:uiPriority w:val="99"/>
    <w:semiHidden/>
    <w:rsid w:val="00ED30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46321">
      <w:bodyDiv w:val="1"/>
      <w:marLeft w:val="0"/>
      <w:marRight w:val="0"/>
      <w:marTop w:val="0"/>
      <w:marBottom w:val="0"/>
      <w:divBdr>
        <w:top w:val="none" w:sz="0" w:space="0" w:color="auto"/>
        <w:left w:val="none" w:sz="0" w:space="0" w:color="auto"/>
        <w:bottom w:val="none" w:sz="0" w:space="0" w:color="auto"/>
        <w:right w:val="none" w:sz="0" w:space="0" w:color="auto"/>
      </w:divBdr>
    </w:div>
    <w:div w:id="232786530">
      <w:bodyDiv w:val="1"/>
      <w:marLeft w:val="0"/>
      <w:marRight w:val="0"/>
      <w:marTop w:val="0"/>
      <w:marBottom w:val="0"/>
      <w:divBdr>
        <w:top w:val="none" w:sz="0" w:space="0" w:color="auto"/>
        <w:left w:val="none" w:sz="0" w:space="0" w:color="auto"/>
        <w:bottom w:val="none" w:sz="0" w:space="0" w:color="auto"/>
        <w:right w:val="none" w:sz="0" w:space="0" w:color="auto"/>
      </w:divBdr>
    </w:div>
    <w:div w:id="565528730">
      <w:bodyDiv w:val="1"/>
      <w:marLeft w:val="0"/>
      <w:marRight w:val="0"/>
      <w:marTop w:val="0"/>
      <w:marBottom w:val="0"/>
      <w:divBdr>
        <w:top w:val="none" w:sz="0" w:space="0" w:color="auto"/>
        <w:left w:val="none" w:sz="0" w:space="0" w:color="auto"/>
        <w:bottom w:val="none" w:sz="0" w:space="0" w:color="auto"/>
        <w:right w:val="none" w:sz="0" w:space="0" w:color="auto"/>
      </w:divBdr>
    </w:div>
    <w:div w:id="603802243">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7204">
      <w:bodyDiv w:val="1"/>
      <w:marLeft w:val="0"/>
      <w:marRight w:val="0"/>
      <w:marTop w:val="0"/>
      <w:marBottom w:val="0"/>
      <w:divBdr>
        <w:top w:val="none" w:sz="0" w:space="0" w:color="auto"/>
        <w:left w:val="none" w:sz="0" w:space="0" w:color="auto"/>
        <w:bottom w:val="none" w:sz="0" w:space="0" w:color="auto"/>
        <w:right w:val="none" w:sz="0" w:space="0" w:color="auto"/>
      </w:divBdr>
    </w:div>
    <w:div w:id="1105464784">
      <w:bodyDiv w:val="1"/>
      <w:marLeft w:val="0"/>
      <w:marRight w:val="0"/>
      <w:marTop w:val="0"/>
      <w:marBottom w:val="0"/>
      <w:divBdr>
        <w:top w:val="none" w:sz="0" w:space="0" w:color="auto"/>
        <w:left w:val="none" w:sz="0" w:space="0" w:color="auto"/>
        <w:bottom w:val="none" w:sz="0" w:space="0" w:color="auto"/>
        <w:right w:val="none" w:sz="0" w:space="0" w:color="auto"/>
      </w:divBdr>
    </w:div>
    <w:div w:id="1170635434">
      <w:bodyDiv w:val="1"/>
      <w:marLeft w:val="0"/>
      <w:marRight w:val="0"/>
      <w:marTop w:val="0"/>
      <w:marBottom w:val="0"/>
      <w:divBdr>
        <w:top w:val="none" w:sz="0" w:space="0" w:color="auto"/>
        <w:left w:val="none" w:sz="0" w:space="0" w:color="auto"/>
        <w:bottom w:val="none" w:sz="0" w:space="0" w:color="auto"/>
        <w:right w:val="none" w:sz="0" w:space="0" w:color="auto"/>
      </w:divBdr>
    </w:div>
    <w:div w:id="1285423356">
      <w:bodyDiv w:val="1"/>
      <w:marLeft w:val="0"/>
      <w:marRight w:val="0"/>
      <w:marTop w:val="0"/>
      <w:marBottom w:val="0"/>
      <w:divBdr>
        <w:top w:val="none" w:sz="0" w:space="0" w:color="auto"/>
        <w:left w:val="none" w:sz="0" w:space="0" w:color="auto"/>
        <w:bottom w:val="none" w:sz="0" w:space="0" w:color="auto"/>
        <w:right w:val="none" w:sz="0" w:space="0" w:color="auto"/>
      </w:divBdr>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18276282">
      <w:bodyDiv w:val="1"/>
      <w:marLeft w:val="0"/>
      <w:marRight w:val="0"/>
      <w:marTop w:val="0"/>
      <w:marBottom w:val="0"/>
      <w:divBdr>
        <w:top w:val="none" w:sz="0" w:space="0" w:color="auto"/>
        <w:left w:val="none" w:sz="0" w:space="0" w:color="auto"/>
        <w:bottom w:val="none" w:sz="0" w:space="0" w:color="auto"/>
        <w:right w:val="none" w:sz="0" w:space="0" w:color="auto"/>
      </w:divBdr>
    </w:div>
    <w:div w:id="1588033625">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20562">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alvizm1@unicartagena.edu.c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CBC4C-2313-4065-B0C7-E91DD1AD0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9063</Words>
  <Characters>49847</Characters>
  <Application>Microsoft Office Word</Application>
  <DocSecurity>0</DocSecurity>
  <Lines>415</Lines>
  <Paragraphs>117</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58793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ANIBAL  ALVIZ MEZA</cp:lastModifiedBy>
  <cp:revision>2</cp:revision>
  <cp:lastPrinted>2015-05-12T18:31:00Z</cp:lastPrinted>
  <dcterms:created xsi:type="dcterms:W3CDTF">2026-04-14T18:50:00Z</dcterms:created>
  <dcterms:modified xsi:type="dcterms:W3CDTF">2026-04-14T18:50:00Z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25a2e9a2-f31e-455c-9f32-d45ba819b262</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http://www.zotero.org/styles/multidisciplinary-digital-publishing-institute</vt:lpwstr>
  </property>
  <property fmtid="{D5CDD505-2E9C-101B-9397-08002B2CF9AE}" pid="22" name="Mendeley Recent Style Name 8_1">
    <vt:lpwstr>Multidisciplinary Digital Publishing Institute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Mendeley Citation Style_1">
    <vt:lpwstr>http://www.zotero.org/styles/apa</vt:lpwstr>
  </property>
  <property fmtid="{D5CDD505-2E9C-101B-9397-08002B2CF9AE}" pid="26" name="Mendeley Document_1">
    <vt:lpwstr>True</vt:lpwstr>
  </property>
  <property fmtid="{D5CDD505-2E9C-101B-9397-08002B2CF9AE}" pid="27" name="Mendeley Unique User Id_1">
    <vt:lpwstr>2b1c133f-0588-3904-b132-a2f870b06576</vt:lpwstr>
  </property>
</Properties>
</file>