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1B69FD" w14:paraId="2A131A54" w14:textId="77777777" w:rsidTr="00EF582E">
        <w:trPr>
          <w:trHeight w:val="852"/>
          <w:jc w:val="center"/>
        </w:trPr>
        <w:tc>
          <w:tcPr>
            <w:tcW w:w="6940" w:type="dxa"/>
            <w:vMerge w:val="restart"/>
            <w:tcBorders>
              <w:right w:val="single" w:sz="4" w:space="0" w:color="auto"/>
            </w:tcBorders>
          </w:tcPr>
          <w:p w14:paraId="38C3D2BA" w14:textId="77777777" w:rsidR="000A03B2" w:rsidRPr="001B69FD" w:rsidRDefault="000A03B2" w:rsidP="00DE264A">
            <w:pPr>
              <w:tabs>
                <w:tab w:val="left" w:pos="-108"/>
              </w:tabs>
              <w:ind w:left="-108"/>
              <w:jc w:val="left"/>
              <w:rPr>
                <w:rFonts w:cs="Arial"/>
                <w:b/>
                <w:bCs/>
                <w:i/>
                <w:iCs/>
                <w:color w:val="000066"/>
                <w:sz w:val="12"/>
                <w:szCs w:val="12"/>
                <w:lang w:eastAsia="it-IT"/>
              </w:rPr>
            </w:pPr>
            <w:bookmarkStart w:id="0" w:name="_Hlk145068772"/>
            <w:r w:rsidRPr="001B69FD">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1B69FD">
              <w:rPr>
                <w:rFonts w:ascii="AdvP6960" w:hAnsi="AdvP6960" w:cs="AdvP6960"/>
                <w:color w:val="241F20"/>
                <w:szCs w:val="18"/>
                <w:lang w:eastAsia="it-IT"/>
              </w:rPr>
              <w:t xml:space="preserve"> </w:t>
            </w:r>
            <w:r w:rsidRPr="001B69FD">
              <w:rPr>
                <w:rFonts w:cs="Arial"/>
                <w:b/>
                <w:bCs/>
                <w:i/>
                <w:iCs/>
                <w:color w:val="000066"/>
                <w:sz w:val="24"/>
                <w:szCs w:val="24"/>
                <w:lang w:eastAsia="it-IT"/>
              </w:rPr>
              <w:t>CHEMICAL ENGINEERING</w:t>
            </w:r>
            <w:r w:rsidRPr="001B69FD">
              <w:rPr>
                <w:rFonts w:cs="Arial"/>
                <w:b/>
                <w:bCs/>
                <w:i/>
                <w:iCs/>
                <w:color w:val="0033FF"/>
                <w:sz w:val="24"/>
                <w:szCs w:val="24"/>
                <w:lang w:eastAsia="it-IT"/>
              </w:rPr>
              <w:t xml:space="preserve"> </w:t>
            </w:r>
            <w:r w:rsidRPr="001B69FD">
              <w:rPr>
                <w:rFonts w:cs="Arial"/>
                <w:b/>
                <w:bCs/>
                <w:i/>
                <w:iCs/>
                <w:color w:val="666666"/>
                <w:sz w:val="24"/>
                <w:szCs w:val="24"/>
                <w:lang w:eastAsia="it-IT"/>
              </w:rPr>
              <w:t>TRANSACTIONS</w:t>
            </w:r>
            <w:r w:rsidRPr="001B69FD">
              <w:rPr>
                <w:color w:val="333333"/>
                <w:sz w:val="24"/>
                <w:szCs w:val="24"/>
                <w:lang w:eastAsia="it-IT"/>
              </w:rPr>
              <w:t xml:space="preserve"> </w:t>
            </w:r>
            <w:r w:rsidRPr="001B69FD">
              <w:rPr>
                <w:rFonts w:cs="Arial"/>
                <w:b/>
                <w:bCs/>
                <w:i/>
                <w:iCs/>
                <w:color w:val="000066"/>
                <w:sz w:val="27"/>
                <w:szCs w:val="27"/>
                <w:lang w:eastAsia="it-IT"/>
              </w:rPr>
              <w:br/>
            </w:r>
          </w:p>
          <w:p w14:paraId="4B780582" w14:textId="753620B8" w:rsidR="000A03B2" w:rsidRPr="001B69FD" w:rsidRDefault="00A76EFC" w:rsidP="001D21AF">
            <w:pPr>
              <w:tabs>
                <w:tab w:val="left" w:pos="-108"/>
              </w:tabs>
              <w:ind w:left="-108"/>
              <w:rPr>
                <w:rFonts w:cs="Arial"/>
                <w:b/>
                <w:bCs/>
                <w:i/>
                <w:iCs/>
                <w:color w:val="000066"/>
                <w:sz w:val="22"/>
                <w:szCs w:val="22"/>
                <w:lang w:eastAsia="it-IT"/>
              </w:rPr>
            </w:pPr>
            <w:r w:rsidRPr="001B69FD">
              <w:rPr>
                <w:rFonts w:cs="Arial"/>
                <w:b/>
                <w:bCs/>
                <w:i/>
                <w:iCs/>
                <w:color w:val="000066"/>
                <w:sz w:val="22"/>
                <w:szCs w:val="22"/>
                <w:lang w:eastAsia="it-IT"/>
              </w:rPr>
              <w:t>VOL.</w:t>
            </w:r>
            <w:r w:rsidR="00785BF9" w:rsidRPr="001B69FD">
              <w:rPr>
                <w:rFonts w:cs="Arial"/>
                <w:b/>
                <w:bCs/>
                <w:i/>
                <w:iCs/>
                <w:color w:val="000066"/>
                <w:sz w:val="22"/>
                <w:szCs w:val="22"/>
                <w:lang w:eastAsia="it-IT"/>
              </w:rPr>
              <w:t xml:space="preserve"> </w:t>
            </w:r>
            <w:r w:rsidR="00AD0278" w:rsidRPr="001B69FD">
              <w:rPr>
                <w:rFonts w:cs="Arial"/>
                <w:b/>
                <w:bCs/>
                <w:i/>
                <w:iCs/>
                <w:color w:val="000066"/>
                <w:sz w:val="22"/>
                <w:szCs w:val="22"/>
                <w:lang w:eastAsia="it-IT"/>
              </w:rPr>
              <w:t>xxx</w:t>
            </w:r>
            <w:r w:rsidR="007B48F9" w:rsidRPr="001B69FD">
              <w:rPr>
                <w:rFonts w:cs="Arial"/>
                <w:b/>
                <w:bCs/>
                <w:i/>
                <w:iCs/>
                <w:color w:val="000066"/>
                <w:sz w:val="22"/>
                <w:szCs w:val="22"/>
                <w:lang w:eastAsia="it-IT"/>
              </w:rPr>
              <w:t>,</w:t>
            </w:r>
            <w:r w:rsidR="00FA5F5F" w:rsidRPr="001B69FD">
              <w:rPr>
                <w:rFonts w:cs="Arial"/>
                <w:b/>
                <w:bCs/>
                <w:i/>
                <w:iCs/>
                <w:color w:val="000066"/>
                <w:sz w:val="22"/>
                <w:szCs w:val="22"/>
                <w:lang w:eastAsia="it-IT"/>
              </w:rPr>
              <w:t xml:space="preserve"> </w:t>
            </w:r>
            <w:r w:rsidR="0030152C" w:rsidRPr="001B69FD">
              <w:rPr>
                <w:rFonts w:cs="Arial"/>
                <w:b/>
                <w:bCs/>
                <w:i/>
                <w:iCs/>
                <w:color w:val="000066"/>
                <w:sz w:val="22"/>
                <w:szCs w:val="22"/>
                <w:lang w:eastAsia="it-IT"/>
              </w:rPr>
              <w:t>202</w:t>
            </w:r>
            <w:r w:rsidR="00AD0278" w:rsidRPr="001B69FD">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1B69FD" w:rsidRDefault="000A03B2" w:rsidP="00CD5FE2">
            <w:pPr>
              <w:spacing w:line="140" w:lineRule="atLeast"/>
              <w:jc w:val="right"/>
              <w:rPr>
                <w:rFonts w:cs="Arial"/>
                <w:sz w:val="14"/>
                <w:szCs w:val="14"/>
              </w:rPr>
            </w:pPr>
            <w:r w:rsidRPr="001B69FD">
              <w:rPr>
                <w:rFonts w:cs="Arial"/>
                <w:sz w:val="14"/>
                <w:szCs w:val="14"/>
              </w:rPr>
              <w:t>A publication of</w:t>
            </w:r>
          </w:p>
          <w:p w14:paraId="599E5441" w14:textId="77777777" w:rsidR="000A03B2" w:rsidRPr="001B69FD" w:rsidRDefault="000A03B2" w:rsidP="00CD5FE2">
            <w:pPr>
              <w:jc w:val="right"/>
            </w:pPr>
            <w:r w:rsidRPr="001B69FD">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1B69FD" w14:paraId="380FA3CD" w14:textId="77777777" w:rsidTr="00EF582E">
        <w:trPr>
          <w:trHeight w:val="567"/>
          <w:jc w:val="center"/>
        </w:trPr>
        <w:tc>
          <w:tcPr>
            <w:tcW w:w="6940" w:type="dxa"/>
            <w:vMerge/>
            <w:tcBorders>
              <w:right w:val="single" w:sz="4" w:space="0" w:color="auto"/>
            </w:tcBorders>
          </w:tcPr>
          <w:p w14:paraId="39E5E4C1" w14:textId="77777777" w:rsidR="000A03B2" w:rsidRPr="001B69FD"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1B69FD" w:rsidRDefault="000A03B2" w:rsidP="00CD5FE2">
            <w:pPr>
              <w:spacing w:line="140" w:lineRule="atLeast"/>
              <w:jc w:val="right"/>
              <w:rPr>
                <w:rFonts w:cs="Arial"/>
                <w:sz w:val="14"/>
                <w:szCs w:val="14"/>
              </w:rPr>
            </w:pPr>
            <w:r w:rsidRPr="001B69FD">
              <w:rPr>
                <w:rFonts w:cs="Arial"/>
                <w:sz w:val="14"/>
                <w:szCs w:val="14"/>
              </w:rPr>
              <w:t>The Italian Association</w:t>
            </w:r>
          </w:p>
          <w:p w14:paraId="7522B1D2" w14:textId="77777777" w:rsidR="000A03B2" w:rsidRPr="001B69FD" w:rsidRDefault="000A03B2" w:rsidP="00CD5FE2">
            <w:pPr>
              <w:spacing w:line="140" w:lineRule="atLeast"/>
              <w:jc w:val="right"/>
              <w:rPr>
                <w:rFonts w:cs="Arial"/>
                <w:sz w:val="14"/>
                <w:szCs w:val="14"/>
              </w:rPr>
            </w:pPr>
            <w:r w:rsidRPr="001B69FD">
              <w:rPr>
                <w:rFonts w:cs="Arial"/>
                <w:sz w:val="14"/>
                <w:szCs w:val="14"/>
              </w:rPr>
              <w:t>of Chemical Engineering</w:t>
            </w:r>
          </w:p>
          <w:p w14:paraId="4F0CC5DE" w14:textId="47FDB2FC" w:rsidR="000A03B2" w:rsidRPr="001B69FD" w:rsidRDefault="000D0268" w:rsidP="00CD5FE2">
            <w:pPr>
              <w:spacing w:line="140" w:lineRule="atLeast"/>
              <w:jc w:val="right"/>
              <w:rPr>
                <w:rFonts w:cs="Arial"/>
                <w:sz w:val="13"/>
                <w:szCs w:val="13"/>
              </w:rPr>
            </w:pPr>
            <w:r w:rsidRPr="001B69FD">
              <w:rPr>
                <w:rFonts w:cs="Arial"/>
                <w:sz w:val="13"/>
                <w:szCs w:val="13"/>
              </w:rPr>
              <w:t>Online at www.cetjournal.it</w:t>
            </w:r>
          </w:p>
        </w:tc>
      </w:tr>
      <w:tr w:rsidR="000A03B2" w:rsidRPr="001B69FD" w14:paraId="2D1B7169" w14:textId="77777777" w:rsidTr="00EF582E">
        <w:trPr>
          <w:trHeight w:val="68"/>
          <w:jc w:val="center"/>
        </w:trPr>
        <w:tc>
          <w:tcPr>
            <w:tcW w:w="8782" w:type="dxa"/>
            <w:gridSpan w:val="2"/>
          </w:tcPr>
          <w:p w14:paraId="1D8DD3C9" w14:textId="61229B97" w:rsidR="00AA7D26" w:rsidRPr="001B69FD" w:rsidRDefault="004A5E57" w:rsidP="004A5E57">
            <w:pPr>
              <w:ind w:left="-107"/>
              <w:outlineLvl w:val="2"/>
              <w:rPr>
                <w:rFonts w:ascii="Tahoma" w:hAnsi="Tahoma" w:cs="Tahoma"/>
                <w:bCs/>
                <w:color w:val="000000"/>
                <w:sz w:val="14"/>
                <w:szCs w:val="14"/>
                <w:lang w:eastAsia="it-IT"/>
              </w:rPr>
            </w:pPr>
            <w:r w:rsidRPr="001B69FD">
              <w:rPr>
                <w:rFonts w:ascii="Tahoma" w:hAnsi="Tahoma" w:cs="Tahoma"/>
                <w:iCs/>
                <w:color w:val="333333"/>
                <w:sz w:val="14"/>
                <w:szCs w:val="14"/>
                <w:lang w:eastAsia="it-IT"/>
              </w:rPr>
              <w:t>Guest Editors:</w:t>
            </w:r>
            <w:r w:rsidRPr="001B69FD">
              <w:rPr>
                <w:rFonts w:ascii="Tahoma" w:hAnsi="Tahoma" w:cs="Tahoma"/>
                <w:color w:val="000000"/>
                <w:sz w:val="14"/>
                <w:szCs w:val="14"/>
                <w:shd w:val="clear" w:color="auto" w:fill="FFFFFF"/>
              </w:rPr>
              <w:t xml:space="preserve"> </w:t>
            </w:r>
            <w:r w:rsidR="00EA3EF9" w:rsidRPr="001B69FD">
              <w:rPr>
                <w:rFonts w:ascii="Tahoma" w:hAnsi="Tahoma" w:cs="Tahoma"/>
                <w:color w:val="000000"/>
                <w:sz w:val="14"/>
                <w:szCs w:val="14"/>
                <w:shd w:val="clear" w:color="auto" w:fill="FFFFFF"/>
              </w:rPr>
              <w:t xml:space="preserve">Leonardo Tognotti, </w:t>
            </w:r>
            <w:r w:rsidR="00EA3EF9" w:rsidRPr="001B69FD">
              <w:rPr>
                <w:rFonts w:ascii="Tahoma" w:hAnsi="Tahoma" w:cs="Tahoma"/>
                <w:color w:val="000000"/>
                <w:sz w:val="14"/>
                <w:szCs w:val="14"/>
              </w:rPr>
              <w:t>Rubens Maciel Filho</w:t>
            </w:r>
            <w:r w:rsidR="00EA3EF9" w:rsidRPr="001B69FD">
              <w:rPr>
                <w:rFonts w:ascii="Tahoma" w:hAnsi="Tahoma" w:cs="Tahoma"/>
                <w:color w:val="000000"/>
                <w:sz w:val="14"/>
                <w:szCs w:val="14"/>
                <w:shd w:val="clear" w:color="auto" w:fill="FFFFFF"/>
              </w:rPr>
              <w:t xml:space="preserve">, </w:t>
            </w:r>
            <w:r w:rsidR="00EA3EF9" w:rsidRPr="001B69FD">
              <w:rPr>
                <w:rFonts w:ascii="Tahoma" w:hAnsi="Tahoma" w:cs="Tahoma"/>
                <w:color w:val="000000"/>
                <w:sz w:val="14"/>
                <w:szCs w:val="14"/>
              </w:rPr>
              <w:t>Viatcheslav Kafarov</w:t>
            </w:r>
          </w:p>
          <w:p w14:paraId="1B0F1814" w14:textId="710B7B96" w:rsidR="000A03B2" w:rsidRPr="001B69FD" w:rsidRDefault="00AA7D26" w:rsidP="00AA7D26">
            <w:pPr>
              <w:tabs>
                <w:tab w:val="left" w:pos="-108"/>
              </w:tabs>
              <w:spacing w:line="140" w:lineRule="atLeast"/>
              <w:ind w:left="-107"/>
              <w:jc w:val="left"/>
            </w:pPr>
            <w:r w:rsidRPr="001B69FD">
              <w:rPr>
                <w:rFonts w:ascii="Tahoma" w:hAnsi="Tahoma" w:cs="Tahoma"/>
                <w:iCs/>
                <w:color w:val="333333"/>
                <w:sz w:val="14"/>
                <w:szCs w:val="14"/>
                <w:lang w:eastAsia="it-IT"/>
              </w:rPr>
              <w:t>Copyright © 202</w:t>
            </w:r>
            <w:r w:rsidR="00005884" w:rsidRPr="001B69FD">
              <w:rPr>
                <w:rFonts w:ascii="Tahoma" w:hAnsi="Tahoma" w:cs="Tahoma"/>
                <w:iCs/>
                <w:color w:val="333333"/>
                <w:sz w:val="14"/>
                <w:szCs w:val="14"/>
                <w:lang w:eastAsia="it-IT"/>
              </w:rPr>
              <w:t>6</w:t>
            </w:r>
            <w:r w:rsidRPr="001B69FD">
              <w:rPr>
                <w:rFonts w:ascii="Tahoma" w:hAnsi="Tahoma" w:cs="Tahoma"/>
                <w:iCs/>
                <w:color w:val="333333"/>
                <w:sz w:val="14"/>
                <w:szCs w:val="14"/>
                <w:lang w:eastAsia="it-IT"/>
              </w:rPr>
              <w:t xml:space="preserve">, AIDIC Servizi </w:t>
            </w:r>
            <w:proofErr w:type="spellStart"/>
            <w:r w:rsidRPr="001B69FD">
              <w:rPr>
                <w:rFonts w:ascii="Tahoma" w:hAnsi="Tahoma" w:cs="Tahoma"/>
                <w:iCs/>
                <w:color w:val="333333"/>
                <w:sz w:val="14"/>
                <w:szCs w:val="14"/>
                <w:lang w:eastAsia="it-IT"/>
              </w:rPr>
              <w:t>S.r.l</w:t>
            </w:r>
            <w:proofErr w:type="spellEnd"/>
            <w:r w:rsidRPr="001B69FD">
              <w:rPr>
                <w:rFonts w:ascii="Tahoma" w:hAnsi="Tahoma" w:cs="Tahoma"/>
                <w:iCs/>
                <w:color w:val="333333"/>
                <w:sz w:val="14"/>
                <w:szCs w:val="14"/>
                <w:lang w:eastAsia="it-IT"/>
              </w:rPr>
              <w:t>.</w:t>
            </w:r>
            <w:r w:rsidRPr="001B69FD">
              <w:rPr>
                <w:rFonts w:ascii="Tahoma" w:hAnsi="Tahoma" w:cs="Tahoma"/>
                <w:iCs/>
                <w:color w:val="333333"/>
                <w:sz w:val="14"/>
                <w:szCs w:val="14"/>
                <w:lang w:eastAsia="it-IT"/>
              </w:rPr>
              <w:br/>
            </w:r>
            <w:r w:rsidRPr="001B69FD">
              <w:rPr>
                <w:rFonts w:ascii="Tahoma" w:hAnsi="Tahoma" w:cs="Tahoma"/>
                <w:b/>
                <w:iCs/>
                <w:color w:val="000000"/>
                <w:sz w:val="14"/>
                <w:szCs w:val="14"/>
                <w:lang w:eastAsia="it-IT"/>
              </w:rPr>
              <w:t>ISBN</w:t>
            </w:r>
            <w:r w:rsidRPr="001B69FD">
              <w:rPr>
                <w:rFonts w:ascii="Tahoma" w:hAnsi="Tahoma" w:cs="Tahoma"/>
                <w:iCs/>
                <w:color w:val="000000"/>
                <w:sz w:val="14"/>
                <w:szCs w:val="14"/>
                <w:lang w:eastAsia="it-IT"/>
              </w:rPr>
              <w:t xml:space="preserve"> </w:t>
            </w:r>
            <w:r w:rsidR="00D2582C" w:rsidRPr="001B69FD">
              <w:rPr>
                <w:rFonts w:ascii="Tahoma" w:hAnsi="Tahoma" w:cs="Tahoma"/>
                <w:sz w:val="14"/>
                <w:szCs w:val="14"/>
              </w:rPr>
              <w:t>979-12-81206-</w:t>
            </w:r>
            <w:r w:rsidR="00005884" w:rsidRPr="001B69FD">
              <w:rPr>
                <w:rFonts w:ascii="Tahoma" w:hAnsi="Tahoma" w:cs="Tahoma"/>
                <w:sz w:val="14"/>
                <w:szCs w:val="14"/>
              </w:rPr>
              <w:t>xx</w:t>
            </w:r>
            <w:r w:rsidR="009041F8" w:rsidRPr="001B69FD">
              <w:rPr>
                <w:rFonts w:ascii="Tahoma" w:hAnsi="Tahoma" w:cs="Tahoma"/>
                <w:sz w:val="14"/>
                <w:szCs w:val="14"/>
              </w:rPr>
              <w:t>-</w:t>
            </w:r>
            <w:r w:rsidR="00005884" w:rsidRPr="001B69FD">
              <w:rPr>
                <w:rFonts w:ascii="Tahoma" w:hAnsi="Tahoma" w:cs="Tahoma"/>
                <w:sz w:val="14"/>
                <w:szCs w:val="14"/>
              </w:rPr>
              <w:t>x</w:t>
            </w:r>
            <w:r w:rsidRPr="001B69FD">
              <w:rPr>
                <w:rFonts w:ascii="Tahoma" w:hAnsi="Tahoma" w:cs="Tahoma"/>
                <w:iCs/>
                <w:color w:val="333333"/>
                <w:sz w:val="14"/>
                <w:szCs w:val="14"/>
                <w:lang w:eastAsia="it-IT"/>
              </w:rPr>
              <w:t xml:space="preserve">; </w:t>
            </w:r>
            <w:r w:rsidRPr="001B69FD">
              <w:rPr>
                <w:rFonts w:ascii="Tahoma" w:hAnsi="Tahoma" w:cs="Tahoma"/>
                <w:b/>
                <w:iCs/>
                <w:color w:val="333333"/>
                <w:sz w:val="14"/>
                <w:szCs w:val="14"/>
                <w:lang w:eastAsia="it-IT"/>
              </w:rPr>
              <w:t>ISSN</w:t>
            </w:r>
            <w:r w:rsidRPr="001B69FD">
              <w:rPr>
                <w:rFonts w:ascii="Tahoma" w:hAnsi="Tahoma" w:cs="Tahoma"/>
                <w:iCs/>
                <w:color w:val="333333"/>
                <w:sz w:val="14"/>
                <w:szCs w:val="14"/>
                <w:lang w:eastAsia="it-IT"/>
              </w:rPr>
              <w:t xml:space="preserve"> 2283-9216</w:t>
            </w:r>
          </w:p>
        </w:tc>
      </w:tr>
    </w:tbl>
    <w:bookmarkEnd w:id="0"/>
    <w:p w14:paraId="77D6AB5A" w14:textId="4B54872C" w:rsidR="004F30D0" w:rsidRPr="001B69FD" w:rsidRDefault="00EF582E" w:rsidP="00B57E6F">
      <w:pPr>
        <w:pStyle w:val="CETAuthors"/>
        <w:rPr>
          <w:noProof w:val="0"/>
          <w:sz w:val="32"/>
        </w:rPr>
      </w:pPr>
      <w:r w:rsidRPr="001B69FD">
        <w:rPr>
          <w:noProof w:val="0"/>
          <w:sz w:val="32"/>
        </w:rPr>
        <w:t>Experimental Investigation of Gas</w:t>
      </w:r>
      <w:r w:rsidR="000B590F" w:rsidRPr="001B69FD">
        <w:rPr>
          <w:noProof w:val="0"/>
          <w:sz w:val="32"/>
        </w:rPr>
        <w:t>-</w:t>
      </w:r>
      <w:r w:rsidRPr="001B69FD">
        <w:rPr>
          <w:noProof w:val="0"/>
          <w:sz w:val="32"/>
        </w:rPr>
        <w:t>Liquid Hydrodynamics in a Pilot-Scale Stirred Vessel with Non-Newtonian Fluids for biomethane production applications</w:t>
      </w:r>
    </w:p>
    <w:p w14:paraId="44CA9644" w14:textId="3D2771E7" w:rsidR="00B3569A" w:rsidRPr="001B69FD" w:rsidRDefault="00A21E84" w:rsidP="00B57E6F">
      <w:pPr>
        <w:pStyle w:val="CETAddress"/>
        <w:rPr>
          <w:sz w:val="24"/>
          <w:lang w:val="it-IT"/>
        </w:rPr>
      </w:pPr>
      <w:r w:rsidRPr="001B69FD">
        <w:rPr>
          <w:sz w:val="24"/>
          <w:lang w:val="it-IT"/>
        </w:rPr>
        <w:t>Federico Alberini</w:t>
      </w:r>
      <w:r w:rsidR="00084E1B" w:rsidRPr="001B69FD">
        <w:rPr>
          <w:sz w:val="24"/>
          <w:lang w:val="it-IT"/>
        </w:rPr>
        <w:t>*</w:t>
      </w:r>
      <w:r w:rsidRPr="001B69FD">
        <w:rPr>
          <w:sz w:val="24"/>
          <w:lang w:val="it-IT"/>
        </w:rPr>
        <w:t xml:space="preserve">, </w:t>
      </w:r>
      <w:r w:rsidR="00B3569A" w:rsidRPr="001B69FD">
        <w:rPr>
          <w:sz w:val="24"/>
          <w:lang w:val="it-IT"/>
        </w:rPr>
        <w:t>Giuseppina Montante, Alessandro Paglianti</w:t>
      </w:r>
    </w:p>
    <w:p w14:paraId="5B31B505" w14:textId="77777777" w:rsidR="00B3569A" w:rsidRPr="001B69FD" w:rsidRDefault="00B3569A" w:rsidP="00B57E6F">
      <w:pPr>
        <w:pStyle w:val="CETAddress"/>
        <w:rPr>
          <w:sz w:val="24"/>
          <w:lang w:val="it-IT"/>
        </w:rPr>
      </w:pPr>
    </w:p>
    <w:p w14:paraId="6B2D21B3" w14:textId="70EF9649" w:rsidR="00B57E6F" w:rsidRPr="001B69FD" w:rsidRDefault="00F117CA" w:rsidP="00B57E6F">
      <w:pPr>
        <w:pStyle w:val="CETAddress"/>
        <w:rPr>
          <w:lang w:val="en-US"/>
        </w:rPr>
      </w:pPr>
      <w:r w:rsidRPr="001B69FD">
        <w:rPr>
          <w:lang w:val="en-US"/>
        </w:rPr>
        <w:t>Department of Industrial Chemistry ‘Toso Montanari’, University of Bologna, Via Piero Gobetti 85, 40129, Bologna, Italy.</w:t>
      </w:r>
      <w:r w:rsidR="00B57E6F" w:rsidRPr="001B69FD">
        <w:rPr>
          <w:lang w:val="en-US"/>
        </w:rPr>
        <w:t xml:space="preserve"> </w:t>
      </w:r>
    </w:p>
    <w:p w14:paraId="73F1267A" w14:textId="46096FE7" w:rsidR="00B57E6F" w:rsidRPr="001B69FD" w:rsidRDefault="00C80BC8" w:rsidP="00B57E6F">
      <w:pPr>
        <w:pStyle w:val="CETemail"/>
        <w:rPr>
          <w:lang w:val="fr-FR"/>
        </w:rPr>
      </w:pPr>
      <w:r w:rsidRPr="001B69FD">
        <w:rPr>
          <w:lang w:val="fr-FR"/>
        </w:rPr>
        <w:t>Corresponding author: federico.alberini@unibo.it</w:t>
      </w:r>
    </w:p>
    <w:p w14:paraId="37A61FCE" w14:textId="786AE19C" w:rsidR="00DA24C6" w:rsidRPr="001B69FD" w:rsidRDefault="000742E8" w:rsidP="003019ED">
      <w:pPr>
        <w:pStyle w:val="CETBodytext"/>
      </w:pPr>
      <w:r w:rsidRPr="001B69FD">
        <w:t>Accurate understanding of gas–liquid systems involving non-Newtonian fluids is essential for the design and optimization of processes such as biomethane production. In this work, a pilot-scale stirred tank was experimentally investigated to assess the influence of non-Newtonian rheology on power consumption and bubble dynamics under gassed conditions. The system consisted of a baffled cylindrical vessel (T = 0.48 m) equipped with a Rushton turbine, using air as the dispersed phase. Carboxymethyl cellulose (CMC) solutions at concentrations of 0.25% and 0.5% w/w were employed to simulate shear-thinning fluids representative of anaerobic digestion media.</w:t>
      </w:r>
      <w:r w:rsidR="00BA02C7" w:rsidRPr="001B69FD">
        <w:t xml:space="preserve"> </w:t>
      </w:r>
      <w:proofErr w:type="gramStart"/>
      <w:r w:rsidRPr="001B69FD">
        <w:t>Rheological</w:t>
      </w:r>
      <w:proofErr w:type="gramEnd"/>
      <w:r w:rsidRPr="001B69FD">
        <w:t xml:space="preserve"> measurements confirmed pronounced shear-thinning behavior, with increasing consistency index and decreasing flow behavior index at higher polymer concentrations. Power consumption was significantly affected by fluid rheology, while gas injection led to a reduction in power number for both solutions. Surface tension values remained close to those of water, indicating a limited contribution of interfacial effects.</w:t>
      </w:r>
      <w:r w:rsidR="00BA02C7" w:rsidRPr="001B69FD">
        <w:t xml:space="preserve"> </w:t>
      </w:r>
      <w:r w:rsidRPr="001B69FD">
        <w:t xml:space="preserve">Bubble size distributions, obtained through optical imaging and image analysis, showed a clear shift toward smaller and more uniform bubbles in CMC solutions compared to water. This behavior suggests that bubble breakup and coalescence are primarily governed by rheological properties rather than surface tension variations. </w:t>
      </w:r>
    </w:p>
    <w:p w14:paraId="476B2F2E" w14:textId="77777777" w:rsidR="00600535" w:rsidRPr="001B69FD" w:rsidRDefault="00600535" w:rsidP="00600535">
      <w:pPr>
        <w:pStyle w:val="CETHeading1"/>
        <w:rPr>
          <w:lang w:val="en-GB"/>
        </w:rPr>
      </w:pPr>
      <w:r w:rsidRPr="001B69FD">
        <w:rPr>
          <w:lang w:val="en-GB"/>
        </w:rPr>
        <w:t>Introduction</w:t>
      </w:r>
    </w:p>
    <w:p w14:paraId="3AF2D1CE" w14:textId="31F86010" w:rsidR="005E061B" w:rsidRPr="001B69FD" w:rsidRDefault="005E061B" w:rsidP="005E061B">
      <w:pPr>
        <w:pStyle w:val="CETBodytext"/>
      </w:pPr>
      <w:r w:rsidRPr="001B69FD">
        <w:t>Multiphase gas</w:t>
      </w:r>
      <w:r w:rsidR="00D11EF5" w:rsidRPr="001B69FD">
        <w:t>-</w:t>
      </w:r>
      <w:r w:rsidRPr="001B69FD">
        <w:t xml:space="preserve">liquid systems are widely encountered in industrial applications such as biomethane production, where mass transfer, mixing, and reaction rates strongly depend on hydrodynamic conditions (Jensen et al., 2021). </w:t>
      </w:r>
      <w:proofErr w:type="gramStart"/>
      <w:r w:rsidRPr="001B69FD">
        <w:t>The description</w:t>
      </w:r>
      <w:proofErr w:type="gramEnd"/>
      <w:r w:rsidRPr="001B69FD">
        <w:t xml:space="preserve"> of these systems is therefore essential for process design and optimization. In recent years, computational fluid dynamics (CFD) has become a valuable tool for analyzing and predicting the behavior of such systems (Wu, 2013). However, its predictive capability is closely linked to the availability of reliable experimental data for model development and validation.</w:t>
      </w:r>
      <w:r w:rsidR="00806FB4" w:rsidRPr="001B69FD">
        <w:t xml:space="preserve"> </w:t>
      </w:r>
      <w:r w:rsidRPr="001B69FD">
        <w:t>The situation becomes more complex when the liquid phase exhibits non-Newtonian behavior, as commonly observed in slurries, fermentation broths, and other process fluids. In these cases, the apparent viscosity depends on the local shear rate, which varies significantly within the reactor. This introduces additional challenges in both experimental characterization and numerical modelling. In particular, the coupling between flow field and rheology leads to strongly non-linear system behavior, which is difficult to capture using conventional modelling approaches.</w:t>
      </w:r>
      <w:r w:rsidR="00806FB4" w:rsidRPr="001B69FD">
        <w:t xml:space="preserve"> </w:t>
      </w:r>
      <w:r w:rsidRPr="001B69FD">
        <w:t>Most CFD models for gas</w:t>
      </w:r>
      <w:r w:rsidR="005078DA" w:rsidRPr="001B69FD">
        <w:t>-</w:t>
      </w:r>
      <w:r w:rsidRPr="001B69FD">
        <w:t>liquid systems rely on closure relations originally developed for Newtonian fluids</w:t>
      </w:r>
      <w:r w:rsidR="00E906B5" w:rsidRPr="001B69FD">
        <w:t xml:space="preserve"> </w:t>
      </w:r>
      <w:r w:rsidR="00B23094" w:rsidRPr="001B69FD">
        <w:t>(Li et al., 2025)</w:t>
      </w:r>
      <w:r w:rsidRPr="001B69FD">
        <w:t xml:space="preserve">. </w:t>
      </w:r>
      <w:r w:rsidR="00D83BC8" w:rsidRPr="001B69FD">
        <w:t>Therefore</w:t>
      </w:r>
      <w:r w:rsidRPr="001B69FD">
        <w:t>, they often fail to properly describe key phenomena such as shear-dependent viscosity, viscoelastic effects, and their influence on bubble breakup, coalescence, and size distribution. This limitation highlights the need for new modelling strategies supported by experimental data specifically obtained for non-Newtonian systems. Relevant quantities typically include gas holdup, bubble size distribution, local void fraction, and power consumption (Niño, 2022</w:t>
      </w:r>
      <w:r w:rsidR="001C1648" w:rsidRPr="001B69FD">
        <w:t xml:space="preserve">; </w:t>
      </w:r>
      <w:r w:rsidR="002C3EC4" w:rsidRPr="001B69FD">
        <w:t>Shiue et al., 2025</w:t>
      </w:r>
      <w:r w:rsidRPr="001B69FD">
        <w:t>).</w:t>
      </w:r>
      <w:r w:rsidR="00806FB4" w:rsidRPr="001B69FD">
        <w:t xml:space="preserve"> </w:t>
      </w:r>
      <w:r w:rsidRPr="001B69FD">
        <w:t>In this context, pilot-scale experiments play an important role by providing data under conditions closer to industrial operation compared to laboratory-scale studies. They allow for a more realistic representation of flow regimes, turbulence levels, and bubble interactions, which are influenced by both Reynolds number and fluid rheology. This is particularly relevant for understanding the interplay between turbulence, bubble dynamics, and non-Newtonian properties in gas–liquid systems.</w:t>
      </w:r>
      <w:r w:rsidR="00806FB4" w:rsidRPr="001B69FD">
        <w:t xml:space="preserve"> </w:t>
      </w:r>
      <w:r w:rsidRPr="001B69FD">
        <w:t xml:space="preserve">In the present work, experimental measurements were carried out in a pilot-scale stirred vessel with a tank diameter of 0.48 m, </w:t>
      </w:r>
      <w:r w:rsidRPr="001B69FD">
        <w:lastRenderedPageBreak/>
        <w:t>equipped with a Rushton turbine installed at a clearance ratio C/T = 0.5. Shear-thinning fluids were reproduced using CMC solutions, which are commonly adopted as model fluids for anaerobic digestion processes (Singh et al., 2020). The experimental campaign included power consumption measurements over a range of operating conditions, both in single-phase and gas</w:t>
      </w:r>
      <w:r w:rsidR="00D83BC8" w:rsidRPr="001B69FD">
        <w:t>-</w:t>
      </w:r>
      <w:r w:rsidRPr="001B69FD">
        <w:t>liquid regimes. In addition, bubble size distributions were determined through optical imaging techniques, providing further insight into the effect of rheology on gas dispersion.</w:t>
      </w:r>
    </w:p>
    <w:p w14:paraId="5741900F" w14:textId="67369554" w:rsidR="00453E24" w:rsidRPr="001B69FD" w:rsidRDefault="003F430F" w:rsidP="00453E24">
      <w:pPr>
        <w:pStyle w:val="CETHeading1"/>
      </w:pPr>
      <w:r w:rsidRPr="001B69FD">
        <w:t>Material and methods</w:t>
      </w:r>
    </w:p>
    <w:p w14:paraId="5E67D4AC" w14:textId="594D46F5" w:rsidR="00400294" w:rsidRPr="001B69FD" w:rsidRDefault="006F7C9D" w:rsidP="00D003FF">
      <w:pPr>
        <w:pStyle w:val="CETHeading1"/>
        <w:numPr>
          <w:ilvl w:val="0"/>
          <w:numId w:val="0"/>
        </w:numPr>
        <w:tabs>
          <w:tab w:val="right" w:pos="7100"/>
        </w:tabs>
        <w:jc w:val="both"/>
        <w:rPr>
          <w:b w:val="0"/>
          <w:sz w:val="18"/>
        </w:rPr>
      </w:pPr>
      <w:r w:rsidRPr="001B69FD">
        <w:rPr>
          <w:b w:val="0"/>
          <w:sz w:val="18"/>
        </w:rPr>
        <w:t>In this work, a representative stirred configuration commonly adopted in the literature was selected. The system consists of a cylindrical vessel with a tank diameter T=0.48 m, equipped with four vertical baffles of width equal to T/10 and a flat bottom. Mixing is provided by</w:t>
      </w:r>
      <w:r w:rsidR="00C83677" w:rsidRPr="001B69FD">
        <w:rPr>
          <w:b w:val="0"/>
          <w:sz w:val="18"/>
        </w:rPr>
        <w:t xml:space="preserve"> </w:t>
      </w:r>
      <w:r w:rsidRPr="001B69FD">
        <w:rPr>
          <w:b w:val="0"/>
          <w:sz w:val="18"/>
        </w:rPr>
        <w:t xml:space="preserve">a Rushton turbine </w:t>
      </w:r>
      <w:r w:rsidR="006640B6" w:rsidRPr="001B69FD">
        <w:rPr>
          <w:b w:val="0"/>
          <w:sz w:val="18"/>
        </w:rPr>
        <w:t>driven by an electric motor</w:t>
      </w:r>
      <w:r w:rsidR="00E322FE" w:rsidRPr="001B69FD">
        <w:rPr>
          <w:b w:val="0"/>
          <w:sz w:val="18"/>
        </w:rPr>
        <w:t xml:space="preserve"> (M)</w:t>
      </w:r>
      <w:r w:rsidR="00790705" w:rsidRPr="001B69FD">
        <w:rPr>
          <w:b w:val="0"/>
          <w:sz w:val="18"/>
        </w:rPr>
        <w:t>. The</w:t>
      </w:r>
      <w:r w:rsidRPr="001B69FD">
        <w:rPr>
          <w:b w:val="0"/>
          <w:sz w:val="18"/>
        </w:rPr>
        <w:t xml:space="preserve"> impeller diameter</w:t>
      </w:r>
      <w:r w:rsidR="00790705" w:rsidRPr="001B69FD">
        <w:rPr>
          <w:b w:val="0"/>
          <w:sz w:val="18"/>
        </w:rPr>
        <w:t xml:space="preserve"> is </w:t>
      </w:r>
      <w:r w:rsidRPr="001B69FD">
        <w:rPr>
          <w:b w:val="0"/>
          <w:sz w:val="18"/>
        </w:rPr>
        <w:t>D=T/3; both the disk and blade thickness are equal to 0.0029 m. The impeller is positioned at a clearance</w:t>
      </w:r>
      <w:r w:rsidR="00E7232F" w:rsidRPr="001B69FD">
        <w:rPr>
          <w:b w:val="0"/>
          <w:sz w:val="18"/>
        </w:rPr>
        <w:t>,</w:t>
      </w:r>
      <w:r w:rsidRPr="001B69FD">
        <w:rPr>
          <w:b w:val="0"/>
          <w:sz w:val="18"/>
        </w:rPr>
        <w:t xml:space="preserve"> </w:t>
      </w:r>
      <w:r w:rsidR="00E7232F" w:rsidRPr="001B69FD">
        <w:rPr>
          <w:rFonts w:ascii="Cambria Math" w:hAnsi="Cambria Math" w:cs="Cambria Math"/>
          <w:b w:val="0"/>
          <w:sz w:val="18"/>
        </w:rPr>
        <w:t xml:space="preserve">C, </w:t>
      </w:r>
      <w:r w:rsidR="00E7232F" w:rsidRPr="001B69FD">
        <w:rPr>
          <w:b w:val="0"/>
          <w:sz w:val="18"/>
        </w:rPr>
        <w:t>such</w:t>
      </w:r>
      <w:r w:rsidRPr="001B69FD">
        <w:rPr>
          <w:b w:val="0"/>
          <w:sz w:val="18"/>
        </w:rPr>
        <w:t xml:space="preserve"> that C/T=1/2. For all experiments, the liquid filling height was fixed at H/T=1.4, corresponding to a liquid volume V=122 L. A schematic of the system is shown in Fig. 1. As illustrated, a gas sparger is located below the impeller to supply air to the </w:t>
      </w:r>
      <w:r w:rsidR="00A21E84" w:rsidRPr="001B69FD">
        <w:rPr>
          <w:b w:val="0"/>
          <w:sz w:val="18"/>
        </w:rPr>
        <w:t>liquid</w:t>
      </w:r>
      <w:r w:rsidRPr="001B69FD">
        <w:rPr>
          <w:b w:val="0"/>
          <w:sz w:val="18"/>
        </w:rPr>
        <w:t>. The sparger outlet is positioned at 0</w:t>
      </w:r>
      <w:r w:rsidR="00D005E5" w:rsidRPr="001B69FD">
        <w:rPr>
          <w:b w:val="0"/>
          <w:sz w:val="18"/>
        </w:rPr>
        <w:t>.</w:t>
      </w:r>
      <w:r w:rsidRPr="001B69FD">
        <w:rPr>
          <w:b w:val="0"/>
          <w:sz w:val="18"/>
        </w:rPr>
        <w:t>18</w:t>
      </w:r>
      <w:r w:rsidR="0078117F" w:rsidRPr="001B69FD">
        <w:rPr>
          <w:b w:val="0"/>
          <w:sz w:val="18"/>
        </w:rPr>
        <w:t xml:space="preserve"> </w:t>
      </w:r>
      <w:r w:rsidRPr="001B69FD">
        <w:rPr>
          <w:b w:val="0"/>
          <w:sz w:val="18"/>
        </w:rPr>
        <w:t xml:space="preserve">T from the </w:t>
      </w:r>
      <w:r w:rsidR="00225F21" w:rsidRPr="001B69FD">
        <w:rPr>
          <w:b w:val="0"/>
          <w:sz w:val="18"/>
        </w:rPr>
        <w:t>bottom tank</w:t>
      </w:r>
      <w:r w:rsidRPr="001B69FD">
        <w:rPr>
          <w:b w:val="0"/>
          <w:sz w:val="18"/>
        </w:rPr>
        <w:t>. The sparger has a diameter of approximately 0.2</w:t>
      </w:r>
      <w:r w:rsidR="0078117F" w:rsidRPr="001B69FD">
        <w:rPr>
          <w:b w:val="0"/>
          <w:sz w:val="18"/>
        </w:rPr>
        <w:t xml:space="preserve"> </w:t>
      </w:r>
      <w:r w:rsidRPr="001B69FD">
        <w:rPr>
          <w:b w:val="0"/>
          <w:sz w:val="18"/>
        </w:rPr>
        <w:t>T and is equipped with 36 evenly distributed holes.</w:t>
      </w:r>
      <w:r w:rsidR="00B3172B" w:rsidRPr="001B69FD">
        <w:rPr>
          <w:b w:val="0"/>
          <w:sz w:val="18"/>
        </w:rPr>
        <w:t xml:space="preserve"> </w:t>
      </w:r>
    </w:p>
    <w:p w14:paraId="08877975" w14:textId="684D7120" w:rsidR="008051BB" w:rsidRPr="001B69FD" w:rsidRDefault="009D4B52" w:rsidP="008051BB">
      <w:pPr>
        <w:pStyle w:val="CETCaption"/>
        <w:jc w:val="center"/>
        <w:rPr>
          <w:rStyle w:val="CETCaptionCarattere"/>
          <w:i/>
        </w:rPr>
      </w:pPr>
      <w:bookmarkStart w:id="1" w:name="_Hlk218856743"/>
      <w:r w:rsidRPr="001B69FD">
        <w:rPr>
          <w:rStyle w:val="CETCaptionCarattere"/>
          <w:i/>
          <w:noProof/>
        </w:rPr>
        <w:drawing>
          <wp:inline distT="0" distB="0" distL="0" distR="0" wp14:anchorId="43461331" wp14:editId="7AE411FB">
            <wp:extent cx="1016721" cy="2209800"/>
            <wp:effectExtent l="0" t="0" r="0" b="0"/>
            <wp:docPr id="10038038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3481" cy="2246228"/>
                    </a:xfrm>
                    <a:prstGeom prst="rect">
                      <a:avLst/>
                    </a:prstGeom>
                    <a:noFill/>
                  </pic:spPr>
                </pic:pic>
              </a:graphicData>
            </a:graphic>
          </wp:inline>
        </w:drawing>
      </w:r>
    </w:p>
    <w:p w14:paraId="61A3EEED" w14:textId="7ECD00F5" w:rsidR="0031568E" w:rsidRPr="001B69FD" w:rsidRDefault="00C121B6" w:rsidP="000B3D37">
      <w:pPr>
        <w:pStyle w:val="CETCaption"/>
      </w:pPr>
      <w:r w:rsidRPr="001B69FD">
        <w:rPr>
          <w:rStyle w:val="CETCaptionCarattere"/>
          <w:i/>
        </w:rPr>
        <w:t>F</w:t>
      </w:r>
      <w:r w:rsidR="000B3D37" w:rsidRPr="001B69FD">
        <w:rPr>
          <w:rStyle w:val="CETCaptionCarattere"/>
          <w:i/>
        </w:rPr>
        <w:t xml:space="preserve">igure 1: </w:t>
      </w:r>
      <w:r w:rsidR="005161ED" w:rsidRPr="001B69FD">
        <w:rPr>
          <w:rStyle w:val="CETCaptionCarattere"/>
          <w:i/>
        </w:rPr>
        <w:t xml:space="preserve">Experimental rig set-up: </w:t>
      </w:r>
      <w:r w:rsidR="00DA5EC8" w:rsidRPr="001B69FD">
        <w:rPr>
          <w:rStyle w:val="CETCaptionCarattere"/>
          <w:i/>
        </w:rPr>
        <w:t>vessel configuration</w:t>
      </w:r>
      <w:r w:rsidR="008051BB" w:rsidRPr="001B69FD">
        <w:rPr>
          <w:rStyle w:val="CETCaptionCarattere"/>
          <w:i/>
        </w:rPr>
        <w:t>.</w:t>
      </w:r>
    </w:p>
    <w:bookmarkEnd w:id="1"/>
    <w:p w14:paraId="68561B27" w14:textId="05BBAC13" w:rsidR="004074C1" w:rsidRPr="001B69FD" w:rsidRDefault="00475812" w:rsidP="00D56EAC">
      <w:pPr>
        <w:pStyle w:val="CETHeading1"/>
        <w:numPr>
          <w:ilvl w:val="0"/>
          <w:numId w:val="0"/>
        </w:numPr>
        <w:jc w:val="both"/>
        <w:rPr>
          <w:b w:val="0"/>
          <w:sz w:val="18"/>
        </w:rPr>
      </w:pPr>
      <w:r w:rsidRPr="001B69FD">
        <w:rPr>
          <w:b w:val="0"/>
          <w:sz w:val="18"/>
        </w:rPr>
        <w:t xml:space="preserve">To perform the BSD analysis, </w:t>
      </w:r>
      <w:r w:rsidR="00DE6423" w:rsidRPr="001B69FD">
        <w:rPr>
          <w:b w:val="0"/>
          <w:sz w:val="18"/>
        </w:rPr>
        <w:t>a</w:t>
      </w:r>
      <w:r w:rsidRPr="001B69FD">
        <w:rPr>
          <w:b w:val="0"/>
          <w:sz w:val="18"/>
        </w:rPr>
        <w:t xml:space="preserve"> digital camera was used and positioned at a suitable distance from the vessel wall to ensure a sufficiently wide field of view. The distance between the camera and the vessel surface was </w:t>
      </w:r>
      <w:r w:rsidR="00AF1789" w:rsidRPr="001B69FD">
        <w:rPr>
          <w:b w:val="0"/>
          <w:sz w:val="18"/>
        </w:rPr>
        <w:t>0.</w:t>
      </w:r>
      <w:r w:rsidRPr="001B69FD">
        <w:rPr>
          <w:b w:val="0"/>
          <w:sz w:val="18"/>
        </w:rPr>
        <w:t xml:space="preserve">207 m. The </w:t>
      </w:r>
      <w:r w:rsidR="00F31631" w:rsidRPr="001B69FD">
        <w:rPr>
          <w:b w:val="0"/>
          <w:sz w:val="18"/>
        </w:rPr>
        <w:t>analyzed</w:t>
      </w:r>
      <w:r w:rsidRPr="001B69FD">
        <w:rPr>
          <w:b w:val="0"/>
          <w:sz w:val="18"/>
        </w:rPr>
        <w:t xml:space="preserve"> area includes a section </w:t>
      </w:r>
      <w:r w:rsidR="005B0504" w:rsidRPr="001B69FD">
        <w:rPr>
          <w:b w:val="0"/>
          <w:sz w:val="18"/>
        </w:rPr>
        <w:t>(interrogation zone)</w:t>
      </w:r>
      <w:r w:rsidR="005B0504" w:rsidRPr="001B69FD">
        <w:t xml:space="preserve"> </w:t>
      </w:r>
      <w:r w:rsidR="005B0504" w:rsidRPr="001B69FD">
        <w:rPr>
          <w:b w:val="0"/>
          <w:sz w:val="18"/>
        </w:rPr>
        <w:t xml:space="preserve">of the vessel </w:t>
      </w:r>
      <w:r w:rsidRPr="001B69FD">
        <w:rPr>
          <w:b w:val="0"/>
          <w:sz w:val="18"/>
        </w:rPr>
        <w:t xml:space="preserve">wall located between </w:t>
      </w:r>
      <w:r w:rsidR="00954C2F" w:rsidRPr="001B69FD">
        <w:rPr>
          <w:b w:val="0"/>
          <w:sz w:val="18"/>
        </w:rPr>
        <w:t>0.</w:t>
      </w:r>
      <w:r w:rsidRPr="001B69FD">
        <w:rPr>
          <w:b w:val="0"/>
          <w:sz w:val="18"/>
        </w:rPr>
        <w:t xml:space="preserve">41 m and </w:t>
      </w:r>
      <w:r w:rsidR="00954C2F" w:rsidRPr="001B69FD">
        <w:rPr>
          <w:b w:val="0"/>
          <w:sz w:val="18"/>
        </w:rPr>
        <w:t>0.</w:t>
      </w:r>
      <w:r w:rsidRPr="001B69FD">
        <w:rPr>
          <w:b w:val="0"/>
          <w:sz w:val="18"/>
        </w:rPr>
        <w:t xml:space="preserve">49 m from the bottom of the vessel, with a width of </w:t>
      </w:r>
      <w:r w:rsidR="005B0504" w:rsidRPr="001B69FD">
        <w:rPr>
          <w:b w:val="0"/>
          <w:sz w:val="18"/>
        </w:rPr>
        <w:t>0.0</w:t>
      </w:r>
      <w:r w:rsidRPr="001B69FD">
        <w:rPr>
          <w:b w:val="0"/>
          <w:sz w:val="18"/>
        </w:rPr>
        <w:t>8 m</w:t>
      </w:r>
      <w:r w:rsidR="00CA37CA" w:rsidRPr="001B69FD">
        <w:rPr>
          <w:b w:val="0"/>
          <w:sz w:val="18"/>
        </w:rPr>
        <w:t xml:space="preserve"> and a radial position </w:t>
      </w:r>
      <w:r w:rsidR="00DC5C11" w:rsidRPr="001B69FD">
        <w:rPr>
          <w:b w:val="0"/>
          <w:sz w:val="18"/>
        </w:rPr>
        <w:t>relative to tank center of 0.</w:t>
      </w:r>
      <w:r w:rsidR="001B69FD" w:rsidRPr="001B69FD">
        <w:rPr>
          <w:b w:val="0"/>
          <w:sz w:val="18"/>
        </w:rPr>
        <w:t>24</w:t>
      </w:r>
      <w:r w:rsidR="001B69FD" w:rsidRPr="001B69FD">
        <w:rPr>
          <w:b w:val="0"/>
          <w:sz w:val="18"/>
        </w:rPr>
        <w:t xml:space="preserve"> </w:t>
      </w:r>
      <w:r w:rsidR="00DC5C11" w:rsidRPr="001B69FD">
        <w:rPr>
          <w:b w:val="0"/>
          <w:sz w:val="18"/>
        </w:rPr>
        <w:t>m</w:t>
      </w:r>
      <w:r w:rsidRPr="001B69FD">
        <w:rPr>
          <w:b w:val="0"/>
          <w:sz w:val="18"/>
        </w:rPr>
        <w:t>.</w:t>
      </w:r>
      <w:r w:rsidRPr="001B69FD">
        <w:rPr>
          <w:b w:val="0"/>
          <w:sz w:val="18"/>
        </w:rPr>
        <w:t xml:space="preserve"> The camera was focused on the vessel wall </w:t>
      </w:r>
      <w:r w:rsidR="00A8583C" w:rsidRPr="001B69FD">
        <w:rPr>
          <w:b w:val="0"/>
          <w:sz w:val="18"/>
        </w:rPr>
        <w:t>to</w:t>
      </w:r>
      <w:r w:rsidRPr="001B69FD">
        <w:rPr>
          <w:b w:val="0"/>
          <w:sz w:val="18"/>
        </w:rPr>
        <w:t xml:space="preserve"> capture only the bubbles </w:t>
      </w:r>
      <w:r w:rsidR="00954C2F" w:rsidRPr="001B69FD">
        <w:rPr>
          <w:b w:val="0"/>
          <w:sz w:val="18"/>
        </w:rPr>
        <w:t>near</w:t>
      </w:r>
      <w:r w:rsidRPr="001B69FD">
        <w:rPr>
          <w:b w:val="0"/>
          <w:sz w:val="18"/>
        </w:rPr>
        <w:t xml:space="preserve"> the </w:t>
      </w:r>
      <w:r w:rsidR="00906FEF" w:rsidRPr="001B69FD">
        <w:rPr>
          <w:b w:val="0"/>
          <w:sz w:val="18"/>
        </w:rPr>
        <w:t>inner</w:t>
      </w:r>
      <w:r w:rsidRPr="001B69FD">
        <w:rPr>
          <w:b w:val="0"/>
          <w:sz w:val="18"/>
        </w:rPr>
        <w:t xml:space="preserve"> wall, while excluding those present in the bulk of the system.</w:t>
      </w:r>
      <w:r w:rsidR="008F007B" w:rsidRPr="001B69FD">
        <w:rPr>
          <w:b w:val="0"/>
          <w:sz w:val="18"/>
        </w:rPr>
        <w:t xml:space="preserve"> </w:t>
      </w:r>
      <w:r w:rsidR="00983FAA" w:rsidRPr="001B69FD">
        <w:rPr>
          <w:b w:val="0"/>
          <w:sz w:val="18"/>
        </w:rPr>
        <w:t>The images are obtained using the principle of backlighting, by positioning the light source opposite the camera, with the vessel placed between them.</w:t>
      </w:r>
      <w:r w:rsidR="00400294" w:rsidRPr="001B69FD">
        <w:rPr>
          <w:b w:val="0"/>
          <w:sz w:val="18"/>
        </w:rPr>
        <w:t xml:space="preserve"> </w:t>
      </w:r>
      <w:r w:rsidRPr="001B69FD">
        <w:rPr>
          <w:b w:val="0"/>
          <w:sz w:val="18"/>
        </w:rPr>
        <w:t xml:space="preserve">The acquisition procedure is based on capturing images of bubbles within the interrogation zone. </w:t>
      </w:r>
      <w:r w:rsidR="00405362" w:rsidRPr="001B69FD">
        <w:rPr>
          <w:b w:val="0"/>
          <w:sz w:val="18"/>
        </w:rPr>
        <w:t>The</w:t>
      </w:r>
      <w:r w:rsidRPr="001B69FD">
        <w:rPr>
          <w:b w:val="0"/>
          <w:sz w:val="18"/>
        </w:rPr>
        <w:t xml:space="preserve"> first step in the </w:t>
      </w:r>
      <w:r w:rsidR="00405362" w:rsidRPr="001B69FD">
        <w:rPr>
          <w:b w:val="0"/>
          <w:sz w:val="18"/>
        </w:rPr>
        <w:t xml:space="preserve">image </w:t>
      </w:r>
      <w:r w:rsidRPr="001B69FD">
        <w:rPr>
          <w:b w:val="0"/>
          <w:sz w:val="18"/>
        </w:rPr>
        <w:t xml:space="preserve">analysis </w:t>
      </w:r>
      <w:r w:rsidR="009B07B1" w:rsidRPr="001B69FD">
        <w:rPr>
          <w:b w:val="0"/>
          <w:sz w:val="18"/>
        </w:rPr>
        <w:t>was t</w:t>
      </w:r>
      <w:r w:rsidR="00BB5BD6" w:rsidRPr="001B69FD">
        <w:rPr>
          <w:b w:val="0"/>
          <w:sz w:val="18"/>
        </w:rPr>
        <w:t>h</w:t>
      </w:r>
      <w:r w:rsidR="009B07B1" w:rsidRPr="001B69FD">
        <w:rPr>
          <w:b w:val="0"/>
          <w:sz w:val="18"/>
        </w:rPr>
        <w:t>e</w:t>
      </w:r>
      <w:r w:rsidRPr="001B69FD">
        <w:rPr>
          <w:b w:val="0"/>
          <w:sz w:val="18"/>
        </w:rPr>
        <w:t xml:space="preserve"> calibrat</w:t>
      </w:r>
      <w:r w:rsidR="00BB5BD6" w:rsidRPr="001B69FD">
        <w:rPr>
          <w:b w:val="0"/>
          <w:sz w:val="18"/>
        </w:rPr>
        <w:t>ion</w:t>
      </w:r>
      <w:r w:rsidRPr="001B69FD">
        <w:rPr>
          <w:b w:val="0"/>
          <w:sz w:val="18"/>
        </w:rPr>
        <w:t xml:space="preserve"> obtain</w:t>
      </w:r>
      <w:r w:rsidR="00BB5BD6" w:rsidRPr="001B69FD">
        <w:rPr>
          <w:b w:val="0"/>
          <w:sz w:val="18"/>
        </w:rPr>
        <w:t>ing</w:t>
      </w:r>
      <w:r w:rsidRPr="001B69FD">
        <w:rPr>
          <w:b w:val="0"/>
          <w:sz w:val="18"/>
        </w:rPr>
        <w:t xml:space="preserve"> a scale factor relating pixel dimensions to the actual system dimensions. For this purpose, a ruler was placed inside the </w:t>
      </w:r>
      <w:r w:rsidR="00EA13B8" w:rsidRPr="001B69FD">
        <w:rPr>
          <w:b w:val="0"/>
          <w:sz w:val="18"/>
        </w:rPr>
        <w:t>vessel,</w:t>
      </w:r>
      <w:r w:rsidRPr="001B69FD">
        <w:rPr>
          <w:b w:val="0"/>
          <w:sz w:val="18"/>
        </w:rPr>
        <w:t xml:space="preserve"> and a single image was acquired and used as the calibration image. </w:t>
      </w:r>
      <w:r w:rsidR="00385BC6" w:rsidRPr="001B69FD">
        <w:rPr>
          <w:b w:val="0"/>
          <w:sz w:val="18"/>
        </w:rPr>
        <w:t xml:space="preserve">The bubble size distribution (BSD) was obtained by post-processing the acquired images using the </w:t>
      </w:r>
      <w:proofErr w:type="spellStart"/>
      <w:r w:rsidR="00385BC6" w:rsidRPr="001B69FD">
        <w:rPr>
          <w:b w:val="0"/>
          <w:sz w:val="18"/>
        </w:rPr>
        <w:t>DynamicStudio</w:t>
      </w:r>
      <w:proofErr w:type="spellEnd"/>
      <w:r w:rsidR="00385BC6" w:rsidRPr="001B69FD">
        <w:rPr>
          <w:b w:val="0"/>
          <w:sz w:val="18"/>
        </w:rPr>
        <w:t xml:space="preserve"> 7.6 software and the Adaptive Shadow Tracking (AST) algorithm (</w:t>
      </w:r>
      <w:r w:rsidR="00C376E5" w:rsidRPr="001B69FD">
        <w:rPr>
          <w:b w:val="0"/>
          <w:sz w:val="18"/>
        </w:rPr>
        <w:t>Maluta et al., 2023</w:t>
      </w:r>
      <w:r w:rsidR="00385BC6" w:rsidRPr="001B69FD">
        <w:rPr>
          <w:b w:val="0"/>
          <w:sz w:val="18"/>
        </w:rPr>
        <w:t xml:space="preserve">). The bubble detection principle is based on isolating and measuring the </w:t>
      </w:r>
      <w:r w:rsidR="00A436D2" w:rsidRPr="001B69FD">
        <w:rPr>
          <w:b w:val="0"/>
          <w:sz w:val="18"/>
        </w:rPr>
        <w:t xml:space="preserve">bubble </w:t>
      </w:r>
      <w:r w:rsidR="001B69FD" w:rsidRPr="001B69FD">
        <w:rPr>
          <w:b w:val="0"/>
          <w:sz w:val="18"/>
        </w:rPr>
        <w:t>boundaries</w:t>
      </w:r>
      <w:r w:rsidR="00385BC6" w:rsidRPr="001B69FD">
        <w:rPr>
          <w:b w:val="0"/>
          <w:sz w:val="18"/>
        </w:rPr>
        <w:t xml:space="preserve"> produced by the bubbles under back-illumination. Prior to shadow segmentation, a filter was applied to remove random Gaussian noise</w:t>
      </w:r>
      <w:r w:rsidR="001E4EA4" w:rsidRPr="001B69FD">
        <w:rPr>
          <w:b w:val="0"/>
          <w:sz w:val="18"/>
        </w:rPr>
        <w:t xml:space="preserve">. </w:t>
      </w:r>
      <w:r w:rsidR="00385BC6" w:rsidRPr="001B69FD">
        <w:rPr>
          <w:b w:val="0"/>
          <w:sz w:val="18"/>
        </w:rPr>
        <w:t>Out-of-focus bubbles were excluded from the analysis, and a minimum allowable bubble eccentricity of 0.5 was imposed. The eccentricity was defined as the ratio of the bubble minor axis to its major axis.</w:t>
      </w:r>
      <w:r w:rsidR="0005629C" w:rsidRPr="001B69FD">
        <w:rPr>
          <w:b w:val="0"/>
          <w:sz w:val="18"/>
        </w:rPr>
        <w:t xml:space="preserve"> More details about the methodology can be found in </w:t>
      </w:r>
      <w:r w:rsidR="0041635A" w:rsidRPr="001B69FD">
        <w:rPr>
          <w:b w:val="0"/>
          <w:sz w:val="18"/>
        </w:rPr>
        <w:t>previous</w:t>
      </w:r>
      <w:r w:rsidR="00B75D7E" w:rsidRPr="001B69FD">
        <w:rPr>
          <w:b w:val="0"/>
          <w:sz w:val="18"/>
        </w:rPr>
        <w:t xml:space="preserve"> work</w:t>
      </w:r>
      <w:r w:rsidR="0005629C" w:rsidRPr="001B69FD">
        <w:rPr>
          <w:b w:val="0"/>
          <w:sz w:val="18"/>
        </w:rPr>
        <w:t xml:space="preserve"> </w:t>
      </w:r>
      <w:r w:rsidR="00B75D7E" w:rsidRPr="001B69FD">
        <w:rPr>
          <w:b w:val="0"/>
          <w:sz w:val="18"/>
        </w:rPr>
        <w:t>(</w:t>
      </w:r>
      <w:r w:rsidR="0005629C" w:rsidRPr="001B69FD">
        <w:rPr>
          <w:b w:val="0"/>
          <w:sz w:val="18"/>
        </w:rPr>
        <w:t>Alberini et al</w:t>
      </w:r>
      <w:r w:rsidR="00B75D7E" w:rsidRPr="001B69FD">
        <w:rPr>
          <w:b w:val="0"/>
          <w:sz w:val="18"/>
        </w:rPr>
        <w:t xml:space="preserve">, </w:t>
      </w:r>
      <w:r w:rsidR="00C376E5" w:rsidRPr="001B69FD">
        <w:rPr>
          <w:b w:val="0"/>
          <w:sz w:val="18"/>
        </w:rPr>
        <w:t>2024</w:t>
      </w:r>
      <w:r w:rsidR="00B75D7E" w:rsidRPr="001B69FD">
        <w:rPr>
          <w:b w:val="0"/>
          <w:sz w:val="18"/>
        </w:rPr>
        <w:t>)</w:t>
      </w:r>
      <w:r w:rsidR="00385BC6" w:rsidRPr="001B69FD">
        <w:rPr>
          <w:b w:val="0"/>
          <w:sz w:val="18"/>
        </w:rPr>
        <w:t>.</w:t>
      </w:r>
      <w:r w:rsidR="0041635A" w:rsidRPr="001B69FD">
        <w:rPr>
          <w:b w:val="0"/>
          <w:sz w:val="18"/>
        </w:rPr>
        <w:t xml:space="preserve"> </w:t>
      </w:r>
      <w:r w:rsidR="004B4EA3" w:rsidRPr="001B69FD">
        <w:rPr>
          <w:b w:val="0"/>
          <w:sz w:val="18"/>
        </w:rPr>
        <w:t xml:space="preserve">The mimic continuous phase fluids used in this work were </w:t>
      </w:r>
      <w:r w:rsidR="005422C8" w:rsidRPr="001B69FD">
        <w:rPr>
          <w:b w:val="0"/>
          <w:sz w:val="18"/>
        </w:rPr>
        <w:t>Carboxy methyl cellulose</w:t>
      </w:r>
      <w:r w:rsidR="00612DEE" w:rsidRPr="001B69FD">
        <w:rPr>
          <w:b w:val="0"/>
          <w:sz w:val="18"/>
        </w:rPr>
        <w:t xml:space="preserve"> (CMC</w:t>
      </w:r>
      <w:r w:rsidR="00F83B0C" w:rsidRPr="001B69FD">
        <w:rPr>
          <w:b w:val="0"/>
          <w:sz w:val="18"/>
        </w:rPr>
        <w:t>)</w:t>
      </w:r>
      <w:r w:rsidR="005422C8" w:rsidRPr="001B69FD">
        <w:rPr>
          <w:b w:val="0"/>
          <w:sz w:val="18"/>
        </w:rPr>
        <w:t xml:space="preserve"> dispersions</w:t>
      </w:r>
      <w:r w:rsidR="00AF76F5" w:rsidRPr="001B69FD">
        <w:rPr>
          <w:b w:val="0"/>
          <w:sz w:val="18"/>
        </w:rPr>
        <w:t>, precisely 0.25% and 0.5% w/w.</w:t>
      </w:r>
      <w:r w:rsidR="00EB2753" w:rsidRPr="001B69FD">
        <w:rPr>
          <w:b w:val="0"/>
          <w:sz w:val="18"/>
        </w:rPr>
        <w:t xml:space="preserve"> The range of the </w:t>
      </w:r>
      <w:r w:rsidR="00F12A85" w:rsidRPr="001B69FD">
        <w:rPr>
          <w:b w:val="0"/>
          <w:sz w:val="18"/>
        </w:rPr>
        <w:t xml:space="preserve">impeller speeds </w:t>
      </w:r>
      <w:proofErr w:type="gramStart"/>
      <w:r w:rsidR="00F12A85" w:rsidRPr="001B69FD">
        <w:rPr>
          <w:b w:val="0"/>
          <w:sz w:val="18"/>
        </w:rPr>
        <w:t>investigated,</w:t>
      </w:r>
      <w:proofErr w:type="gramEnd"/>
      <w:r w:rsidR="00EB2753" w:rsidRPr="001B69FD">
        <w:rPr>
          <w:b w:val="0"/>
          <w:sz w:val="18"/>
        </w:rPr>
        <w:t xml:space="preserve"> was between 3 to 7 </w:t>
      </w:r>
      <w:proofErr w:type="spellStart"/>
      <w:r w:rsidR="00EB2753" w:rsidRPr="001B69FD">
        <w:rPr>
          <w:b w:val="0"/>
          <w:sz w:val="18"/>
        </w:rPr>
        <w:t>rps</w:t>
      </w:r>
      <w:proofErr w:type="spellEnd"/>
      <w:r w:rsidR="003A18B2" w:rsidRPr="001B69FD">
        <w:rPr>
          <w:b w:val="0"/>
          <w:sz w:val="18"/>
        </w:rPr>
        <w:t xml:space="preserve"> and the gas flow rate </w:t>
      </w:r>
      <w:r w:rsidR="00AC0C57" w:rsidRPr="001B69FD">
        <w:rPr>
          <w:b w:val="0"/>
          <w:sz w:val="18"/>
        </w:rPr>
        <w:t>was between</w:t>
      </w:r>
      <w:r w:rsidR="003A18B2" w:rsidRPr="001B69FD">
        <w:rPr>
          <w:b w:val="0"/>
          <w:sz w:val="18"/>
        </w:rPr>
        <w:t xml:space="preserve"> 10 to 60 L min</w:t>
      </w:r>
      <w:r w:rsidR="003A18B2" w:rsidRPr="001B69FD">
        <w:rPr>
          <w:b w:val="0"/>
          <w:sz w:val="18"/>
          <w:vertAlign w:val="superscript"/>
        </w:rPr>
        <w:t>-1</w:t>
      </w:r>
      <w:r w:rsidR="003A18B2" w:rsidRPr="001B69FD">
        <w:rPr>
          <w:b w:val="0"/>
          <w:sz w:val="18"/>
        </w:rPr>
        <w:t>.</w:t>
      </w:r>
      <w:r w:rsidR="005D7AD3" w:rsidRPr="001B69FD">
        <w:rPr>
          <w:b w:val="0"/>
          <w:sz w:val="18"/>
        </w:rPr>
        <w:t xml:space="preserve"> </w:t>
      </w:r>
      <w:r w:rsidR="001A6003" w:rsidRPr="001B69FD">
        <w:rPr>
          <w:b w:val="0"/>
          <w:sz w:val="18"/>
        </w:rPr>
        <w:t xml:space="preserve">The CMC solutions rheology </w:t>
      </w:r>
      <w:r w:rsidR="00B75D7E" w:rsidRPr="001B69FD">
        <w:rPr>
          <w:b w:val="0"/>
          <w:sz w:val="18"/>
        </w:rPr>
        <w:t xml:space="preserve">was </w:t>
      </w:r>
      <w:r w:rsidR="001A6003" w:rsidRPr="001B69FD">
        <w:rPr>
          <w:b w:val="0"/>
          <w:sz w:val="18"/>
        </w:rPr>
        <w:t xml:space="preserve">determined </w:t>
      </w:r>
      <w:r w:rsidR="00B75D7E" w:rsidRPr="001B69FD">
        <w:rPr>
          <w:b w:val="0"/>
          <w:sz w:val="18"/>
        </w:rPr>
        <w:t xml:space="preserve">by </w:t>
      </w:r>
      <w:r w:rsidR="001A6003" w:rsidRPr="001B69FD">
        <w:rPr>
          <w:b w:val="0"/>
          <w:sz w:val="18"/>
        </w:rPr>
        <w:t xml:space="preserve">an Anton Paar Physica MCR301 rotational rheometer, using a stainless-steel hollow bob B-DG26 and cup C-DG26/SS according to DIN 54453. </w:t>
      </w:r>
      <w:r w:rsidR="0041635A" w:rsidRPr="001B69FD">
        <w:rPr>
          <w:b w:val="0"/>
          <w:sz w:val="18"/>
        </w:rPr>
        <w:t xml:space="preserve"> </w:t>
      </w:r>
      <w:r w:rsidR="001A6003" w:rsidRPr="001B69FD">
        <w:rPr>
          <w:b w:val="0"/>
          <w:sz w:val="18"/>
        </w:rPr>
        <w:t>For each solution of CMC, the shear rate was varied between 0.1</w:t>
      </w:r>
      <w:r w:rsidR="0078117F" w:rsidRPr="001B69FD">
        <w:rPr>
          <w:b w:val="0"/>
          <w:sz w:val="18"/>
        </w:rPr>
        <w:t xml:space="preserve"> </w:t>
      </w:r>
      <w:r w:rsidR="001A6003" w:rsidRPr="001B69FD">
        <w:rPr>
          <w:b w:val="0"/>
          <w:sz w:val="18"/>
        </w:rPr>
        <w:t>s</w:t>
      </w:r>
      <w:r w:rsidR="001A6003" w:rsidRPr="001B69FD">
        <w:rPr>
          <w:b w:val="0"/>
          <w:sz w:val="18"/>
          <w:vertAlign w:val="superscript"/>
        </w:rPr>
        <w:t>-1</w:t>
      </w:r>
      <w:r w:rsidR="001A6003" w:rsidRPr="001B69FD">
        <w:rPr>
          <w:b w:val="0"/>
          <w:sz w:val="18"/>
        </w:rPr>
        <w:t xml:space="preserve"> and 500</w:t>
      </w:r>
      <w:r w:rsidR="0078117F" w:rsidRPr="001B69FD">
        <w:rPr>
          <w:b w:val="0"/>
          <w:sz w:val="18"/>
        </w:rPr>
        <w:t xml:space="preserve"> </w:t>
      </w:r>
      <w:r w:rsidR="001A6003" w:rsidRPr="001B69FD">
        <w:rPr>
          <w:b w:val="0"/>
          <w:sz w:val="18"/>
        </w:rPr>
        <w:t>s</w:t>
      </w:r>
      <w:r w:rsidR="001A6003" w:rsidRPr="001B69FD">
        <w:rPr>
          <w:b w:val="0"/>
          <w:sz w:val="18"/>
          <w:vertAlign w:val="superscript"/>
        </w:rPr>
        <w:t>-</w:t>
      </w:r>
      <w:proofErr w:type="gramStart"/>
      <w:r w:rsidR="001A6003" w:rsidRPr="001B69FD">
        <w:rPr>
          <w:b w:val="0"/>
          <w:sz w:val="18"/>
          <w:vertAlign w:val="superscript"/>
        </w:rPr>
        <w:t>1</w:t>
      </w:r>
      <w:proofErr w:type="gramEnd"/>
      <w:r w:rsidR="001A6003" w:rsidRPr="001B69FD">
        <w:rPr>
          <w:b w:val="0"/>
          <w:sz w:val="18"/>
        </w:rPr>
        <w:t xml:space="preserve"> and a flow ramp was obtained. The measurements were carried out in triplicates at T=22°C.</w:t>
      </w:r>
      <w:r w:rsidR="00D56EAC" w:rsidRPr="001B69FD">
        <w:rPr>
          <w:b w:val="0"/>
          <w:sz w:val="18"/>
        </w:rPr>
        <w:t xml:space="preserve"> </w:t>
      </w:r>
      <w:r w:rsidR="004074C1" w:rsidRPr="001B69FD">
        <w:rPr>
          <w:b w:val="0"/>
          <w:sz w:val="18"/>
        </w:rPr>
        <w:t>Moreover</w:t>
      </w:r>
      <w:r w:rsidR="00E2376E" w:rsidRPr="001B69FD">
        <w:rPr>
          <w:b w:val="0"/>
          <w:sz w:val="18"/>
        </w:rPr>
        <w:t xml:space="preserve">, </w:t>
      </w:r>
      <w:r w:rsidR="004074C1" w:rsidRPr="001B69FD">
        <w:rPr>
          <w:b w:val="0"/>
          <w:sz w:val="18"/>
        </w:rPr>
        <w:t xml:space="preserve">the surface tension of the CMC solutions was measured using a </w:t>
      </w:r>
      <w:proofErr w:type="spellStart"/>
      <w:r w:rsidR="004074C1" w:rsidRPr="001B69FD">
        <w:rPr>
          <w:b w:val="0"/>
          <w:sz w:val="18"/>
        </w:rPr>
        <w:t>Krüss</w:t>
      </w:r>
      <w:proofErr w:type="spellEnd"/>
      <w:r w:rsidR="004074C1" w:rsidRPr="001B69FD">
        <w:rPr>
          <w:b w:val="0"/>
          <w:sz w:val="18"/>
        </w:rPr>
        <w:t xml:space="preserve"> K10ST tensiometer equipped with a Du </w:t>
      </w:r>
      <w:proofErr w:type="spellStart"/>
      <w:r w:rsidR="004074C1" w:rsidRPr="001B69FD">
        <w:rPr>
          <w:b w:val="0"/>
          <w:sz w:val="18"/>
        </w:rPr>
        <w:t>Noüy</w:t>
      </w:r>
      <w:proofErr w:type="spellEnd"/>
      <w:r w:rsidR="004074C1" w:rsidRPr="001B69FD">
        <w:rPr>
          <w:b w:val="0"/>
          <w:sz w:val="18"/>
        </w:rPr>
        <w:t xml:space="preserve"> ring. Measurements were carried out to determine the surface tension under equilibrium conditions for the different CMC concentrations.</w:t>
      </w:r>
      <w:r w:rsidR="00D56EAC" w:rsidRPr="001B69FD">
        <w:rPr>
          <w:b w:val="0"/>
          <w:sz w:val="18"/>
        </w:rPr>
        <w:t xml:space="preserve"> </w:t>
      </w:r>
      <w:r w:rsidR="004074C1" w:rsidRPr="001B69FD">
        <w:rPr>
          <w:b w:val="0"/>
          <w:sz w:val="18"/>
        </w:rPr>
        <w:t>Surface tension measurements were repeated three times at 22°C to assess repeatability.</w:t>
      </w:r>
      <w:r w:rsidR="00D56EAC" w:rsidRPr="001B69FD">
        <w:rPr>
          <w:b w:val="0"/>
          <w:sz w:val="18"/>
        </w:rPr>
        <w:t xml:space="preserve"> Finally, </w:t>
      </w:r>
      <w:r w:rsidR="00234345" w:rsidRPr="001B69FD">
        <w:rPr>
          <w:b w:val="0"/>
          <w:sz w:val="18"/>
        </w:rPr>
        <w:t xml:space="preserve">power measurements were </w:t>
      </w:r>
      <w:r w:rsidR="00234345" w:rsidRPr="001B69FD">
        <w:rPr>
          <w:b w:val="0"/>
          <w:sz w:val="18"/>
        </w:rPr>
        <w:lastRenderedPageBreak/>
        <w:t xml:space="preserve">obtained using an in-line </w:t>
      </w:r>
      <w:r w:rsidR="00234345" w:rsidRPr="001B69FD">
        <w:rPr>
          <w:b w:val="0"/>
          <w:color w:val="000000" w:themeColor="text1"/>
          <w:sz w:val="18"/>
        </w:rPr>
        <w:t>Kistler 4502.0</w:t>
      </w:r>
      <w:r w:rsidR="006B1E7C" w:rsidRPr="001B69FD">
        <w:rPr>
          <w:b w:val="0"/>
          <w:color w:val="000000" w:themeColor="text1"/>
          <w:sz w:val="18"/>
        </w:rPr>
        <w:t>20</w:t>
      </w:r>
      <w:r w:rsidR="00283F52" w:rsidRPr="001B69FD">
        <w:rPr>
          <w:b w:val="0"/>
          <w:color w:val="000000" w:themeColor="text1"/>
          <w:sz w:val="18"/>
        </w:rPr>
        <w:t xml:space="preserve">RAU </w:t>
      </w:r>
      <w:r w:rsidR="00234345" w:rsidRPr="001B69FD">
        <w:rPr>
          <w:b w:val="0"/>
          <w:color w:val="000000" w:themeColor="text1"/>
          <w:sz w:val="18"/>
        </w:rPr>
        <w:t>torque sensor (</w:t>
      </w:r>
      <w:r w:rsidR="00283F52" w:rsidRPr="001B69FD">
        <w:rPr>
          <w:b w:val="0"/>
          <w:color w:val="000000" w:themeColor="text1"/>
          <w:sz w:val="18"/>
        </w:rPr>
        <w:t>20</w:t>
      </w:r>
      <w:r w:rsidR="00234345" w:rsidRPr="001B69FD">
        <w:rPr>
          <w:b w:val="0"/>
          <w:color w:val="000000" w:themeColor="text1"/>
          <w:sz w:val="18"/>
        </w:rPr>
        <w:t xml:space="preserve"> Nm range), which provided instantaneous torque (Γ) and rotational speed (N)</w:t>
      </w:r>
      <w:r w:rsidR="009443D7" w:rsidRPr="001B69FD">
        <w:rPr>
          <w:b w:val="0"/>
          <w:color w:val="000000" w:themeColor="text1"/>
          <w:sz w:val="18"/>
        </w:rPr>
        <w:t xml:space="preserve"> (Mandolini et al., 2023)</w:t>
      </w:r>
      <w:r w:rsidR="00234345" w:rsidRPr="001B69FD">
        <w:rPr>
          <w:b w:val="0"/>
          <w:color w:val="000000" w:themeColor="text1"/>
          <w:sz w:val="18"/>
        </w:rPr>
        <w:t>.</w:t>
      </w:r>
    </w:p>
    <w:p w14:paraId="677EBFF0" w14:textId="29DF0253" w:rsidR="00600535" w:rsidRPr="001B69FD" w:rsidRDefault="00ED46D2" w:rsidP="00ED46D2">
      <w:pPr>
        <w:pStyle w:val="CETHeading1"/>
      </w:pPr>
      <w:r w:rsidRPr="001B69FD">
        <w:t>Results and discussion</w:t>
      </w:r>
    </w:p>
    <w:p w14:paraId="6B68E3EB" w14:textId="77777777" w:rsidR="0065596A" w:rsidRPr="001B69FD" w:rsidRDefault="0065596A" w:rsidP="0041635A">
      <w:pPr>
        <w:pStyle w:val="CETBodytext"/>
      </w:pPr>
    </w:p>
    <w:p w14:paraId="2E562C00" w14:textId="1BD82F2F" w:rsidR="004577FE" w:rsidRPr="001B69FD" w:rsidRDefault="00F57DFD" w:rsidP="006064B4">
      <w:pPr>
        <w:pStyle w:val="CETListbullets"/>
        <w:ind w:left="0" w:firstLine="0"/>
      </w:pPr>
      <w:r w:rsidRPr="001B69FD">
        <w:t xml:space="preserve">The mimic fluids, exhibiting non-Newtonian rheology with shear-thinning </w:t>
      </w:r>
      <w:r w:rsidR="00A459F2" w:rsidRPr="001B69FD">
        <w:t>behaviour</w:t>
      </w:r>
      <w:r w:rsidRPr="001B69FD">
        <w:t xml:space="preserve">, representative of feed characteristics typically encountered in biomethane anaerobic digestion processes, are </w:t>
      </w:r>
      <w:r w:rsidR="00B75D7E" w:rsidRPr="001B69FD">
        <w:t xml:space="preserve">often </w:t>
      </w:r>
      <w:r w:rsidR="000217DD" w:rsidRPr="001B69FD">
        <w:t xml:space="preserve">described by a power law rheological model as </w:t>
      </w:r>
      <w:r w:rsidR="00A668A3" w:rsidRPr="001B69FD">
        <w:t>showed</w:t>
      </w:r>
      <w:r w:rsidR="000217DD" w:rsidRPr="001B69FD">
        <w:t xml:space="preserve"> in eq.1.</w:t>
      </w:r>
    </w:p>
    <w:tbl>
      <w:tblPr>
        <w:tblW w:w="5000" w:type="pct"/>
        <w:tblLook w:val="04A0" w:firstRow="1" w:lastRow="0" w:firstColumn="1" w:lastColumn="0" w:noHBand="0" w:noVBand="1"/>
      </w:tblPr>
      <w:tblGrid>
        <w:gridCol w:w="7983"/>
        <w:gridCol w:w="804"/>
      </w:tblGrid>
      <w:tr w:rsidR="004577FE" w:rsidRPr="001B69FD" w14:paraId="18DE34A8" w14:textId="77777777" w:rsidTr="009E7884">
        <w:tc>
          <w:tcPr>
            <w:tcW w:w="8188" w:type="dxa"/>
            <w:vAlign w:val="center"/>
          </w:tcPr>
          <w:p w14:paraId="3AE2D949" w14:textId="73298E08" w:rsidR="004577FE" w:rsidRPr="001B69FD" w:rsidRDefault="00C77E37" w:rsidP="009E7884">
            <w:pPr>
              <w:pStyle w:val="CETEquation"/>
            </w:pPr>
            <m:oMathPara>
              <m:oMath>
                <m:r>
                  <w:rPr>
                    <w:rFonts w:ascii="Cambria Math" w:hAnsi="Cambria Math"/>
                  </w:rPr>
                  <m:t xml:space="preserve">τ=K </m:t>
                </m:r>
                <m:sSup>
                  <m:sSupPr>
                    <m:ctrlPr>
                      <w:rPr>
                        <w:rFonts w:ascii="Cambria Math" w:hAnsi="Cambria Math"/>
                        <w:i/>
                      </w:rPr>
                    </m:ctrlPr>
                  </m:sSupPr>
                  <m:e>
                    <m:r>
                      <w:rPr>
                        <w:rFonts w:ascii="Cambria Math" w:hAnsi="Cambria Math"/>
                      </w:rPr>
                      <m:t>γ</m:t>
                    </m:r>
                  </m:e>
                  <m:sup>
                    <m:r>
                      <w:rPr>
                        <w:rFonts w:ascii="Cambria Math" w:hAnsi="Cambria Math"/>
                      </w:rPr>
                      <m:t>n</m:t>
                    </m:r>
                  </m:sup>
                </m:sSup>
              </m:oMath>
            </m:oMathPara>
          </w:p>
        </w:tc>
        <w:tc>
          <w:tcPr>
            <w:tcW w:w="815" w:type="dxa"/>
            <w:vAlign w:val="center"/>
          </w:tcPr>
          <w:p w14:paraId="2BB6A4D4" w14:textId="77777777" w:rsidR="004577FE" w:rsidRPr="001B69FD" w:rsidRDefault="004577FE" w:rsidP="009E7884">
            <w:pPr>
              <w:pStyle w:val="CETEquation"/>
              <w:jc w:val="right"/>
            </w:pPr>
            <w:r w:rsidRPr="001B69FD">
              <w:t>(1)</w:t>
            </w:r>
          </w:p>
        </w:tc>
      </w:tr>
    </w:tbl>
    <w:p w14:paraId="05ABAE6A" w14:textId="73A15F43" w:rsidR="001F33AC" w:rsidRPr="001B69FD" w:rsidRDefault="00FC60BC" w:rsidP="0081473F">
      <w:pPr>
        <w:pStyle w:val="CETheadingx"/>
        <w:jc w:val="center"/>
      </w:pPr>
      <w:r w:rsidRPr="001B69FD">
        <w:rPr>
          <w:noProof/>
        </w:rPr>
        <w:drawing>
          <wp:inline distT="0" distB="0" distL="0" distR="0" wp14:anchorId="3A90A143" wp14:editId="3044FD5D">
            <wp:extent cx="3147617" cy="1885950"/>
            <wp:effectExtent l="0" t="0" r="0" b="0"/>
            <wp:docPr id="2079177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4435" cy="1896027"/>
                    </a:xfrm>
                    <a:prstGeom prst="rect">
                      <a:avLst/>
                    </a:prstGeom>
                    <a:noFill/>
                  </pic:spPr>
                </pic:pic>
              </a:graphicData>
            </a:graphic>
          </wp:inline>
        </w:drawing>
      </w:r>
    </w:p>
    <w:tbl>
      <w:tblPr>
        <w:tblStyle w:val="TableGrid"/>
        <w:tblW w:w="0" w:type="auto"/>
        <w:jc w:val="center"/>
        <w:tblLook w:val="04A0" w:firstRow="1" w:lastRow="0" w:firstColumn="1" w:lastColumn="0" w:noHBand="0" w:noVBand="1"/>
      </w:tblPr>
      <w:tblGrid>
        <w:gridCol w:w="2405"/>
        <w:gridCol w:w="1134"/>
        <w:gridCol w:w="1134"/>
        <w:gridCol w:w="992"/>
      </w:tblGrid>
      <w:tr w:rsidR="006528F0" w:rsidRPr="001B69FD" w14:paraId="6BD15C60" w14:textId="77777777" w:rsidTr="00651015">
        <w:trPr>
          <w:jc w:val="center"/>
        </w:trPr>
        <w:tc>
          <w:tcPr>
            <w:tcW w:w="2405" w:type="dxa"/>
          </w:tcPr>
          <w:p w14:paraId="67E0ECC6" w14:textId="6EE10897" w:rsidR="006528F0" w:rsidRPr="001B69FD" w:rsidRDefault="00651015" w:rsidP="00651015">
            <w:pPr>
              <w:pStyle w:val="CETBodytext"/>
              <w:jc w:val="center"/>
            </w:pPr>
            <w:r w:rsidRPr="001B69FD">
              <w:t>F</w:t>
            </w:r>
            <w:r w:rsidR="00D44E9C" w:rsidRPr="001B69FD">
              <w:t>luid</w:t>
            </w:r>
          </w:p>
        </w:tc>
        <w:tc>
          <w:tcPr>
            <w:tcW w:w="1134" w:type="dxa"/>
          </w:tcPr>
          <w:p w14:paraId="3AE85374" w14:textId="7EF185C4" w:rsidR="006528F0" w:rsidRPr="001B69FD" w:rsidRDefault="009443D7" w:rsidP="00651015">
            <w:pPr>
              <w:pStyle w:val="CETBodytext"/>
              <w:jc w:val="center"/>
            </w:pPr>
            <w:r w:rsidRPr="001B69FD">
              <w:t>n</w:t>
            </w:r>
            <w:r w:rsidR="00D90A71" w:rsidRPr="001B69FD">
              <w:t xml:space="preserve"> </w:t>
            </w:r>
            <w:r w:rsidR="00793C0E" w:rsidRPr="001B69FD">
              <w:t>[-]</w:t>
            </w:r>
          </w:p>
        </w:tc>
        <w:tc>
          <w:tcPr>
            <w:tcW w:w="1134" w:type="dxa"/>
          </w:tcPr>
          <w:p w14:paraId="7DD655B7" w14:textId="3A911701" w:rsidR="006528F0" w:rsidRPr="001B69FD" w:rsidRDefault="00E76BE2" w:rsidP="00651015">
            <w:pPr>
              <w:pStyle w:val="CETBodytext"/>
              <w:jc w:val="center"/>
            </w:pPr>
            <w:r w:rsidRPr="001B69FD">
              <w:t>K</w:t>
            </w:r>
            <w:r w:rsidR="00793C0E" w:rsidRPr="001B69FD">
              <w:t xml:space="preserve"> [Pa s</w:t>
            </w:r>
            <w:r w:rsidR="008A6D22" w:rsidRPr="001B69FD">
              <w:rPr>
                <w:vertAlign w:val="superscript"/>
              </w:rPr>
              <w:t>n-1</w:t>
            </w:r>
            <w:r w:rsidR="008A6D22" w:rsidRPr="001B69FD">
              <w:t>]</w:t>
            </w:r>
          </w:p>
        </w:tc>
        <w:tc>
          <w:tcPr>
            <w:tcW w:w="992" w:type="dxa"/>
          </w:tcPr>
          <w:p w14:paraId="22A33FC0" w14:textId="7835BE58" w:rsidR="006528F0" w:rsidRPr="001B69FD" w:rsidRDefault="001D04F5" w:rsidP="00651015">
            <w:pPr>
              <w:pStyle w:val="CETBodytext"/>
              <w:jc w:val="center"/>
            </w:pPr>
            <w:r w:rsidRPr="001B69FD">
              <w:t xml:space="preserve">% </w:t>
            </w:r>
            <w:r w:rsidR="00E76BE2" w:rsidRPr="001B69FD">
              <w:t>error</w:t>
            </w:r>
          </w:p>
        </w:tc>
      </w:tr>
      <w:tr w:rsidR="00D44E9C" w:rsidRPr="001B69FD" w14:paraId="68217483" w14:textId="77777777" w:rsidTr="00651015">
        <w:trPr>
          <w:jc w:val="center"/>
        </w:trPr>
        <w:tc>
          <w:tcPr>
            <w:tcW w:w="2405" w:type="dxa"/>
          </w:tcPr>
          <w:p w14:paraId="59D1AE7B" w14:textId="34FBF6E0" w:rsidR="00D44E9C" w:rsidRPr="001B69FD" w:rsidRDefault="00D44E9C" w:rsidP="00651015">
            <w:pPr>
              <w:pStyle w:val="CETBodytext"/>
              <w:jc w:val="center"/>
            </w:pPr>
            <w:r w:rsidRPr="001B69FD">
              <w:t>0.25% w/w CMC in water</w:t>
            </w:r>
          </w:p>
        </w:tc>
        <w:tc>
          <w:tcPr>
            <w:tcW w:w="1134" w:type="dxa"/>
          </w:tcPr>
          <w:p w14:paraId="5C1F9C31" w14:textId="6576D2ED" w:rsidR="00D44E9C" w:rsidRPr="001B69FD" w:rsidRDefault="001D04F5" w:rsidP="00651015">
            <w:pPr>
              <w:pStyle w:val="CETBodytext"/>
              <w:jc w:val="center"/>
            </w:pPr>
            <w:r w:rsidRPr="001B69FD">
              <w:t>0.61</w:t>
            </w:r>
          </w:p>
        </w:tc>
        <w:tc>
          <w:tcPr>
            <w:tcW w:w="1134" w:type="dxa"/>
          </w:tcPr>
          <w:p w14:paraId="43B7F923" w14:textId="08E386A6" w:rsidR="00D44E9C" w:rsidRPr="001B69FD" w:rsidRDefault="001D04F5" w:rsidP="00651015">
            <w:pPr>
              <w:pStyle w:val="CETBodytext"/>
              <w:jc w:val="center"/>
            </w:pPr>
            <w:r w:rsidRPr="001B69FD">
              <w:t>0.33</w:t>
            </w:r>
          </w:p>
        </w:tc>
        <w:tc>
          <w:tcPr>
            <w:tcW w:w="992" w:type="dxa"/>
          </w:tcPr>
          <w:p w14:paraId="03DD9ECB" w14:textId="1A2837B9" w:rsidR="00D44E9C" w:rsidRPr="001B69FD" w:rsidRDefault="003E6BD2" w:rsidP="00651015">
            <w:pPr>
              <w:pStyle w:val="CETBodytext"/>
              <w:jc w:val="center"/>
            </w:pPr>
            <w:r w:rsidRPr="001B69FD">
              <w:t>8.89</w:t>
            </w:r>
          </w:p>
        </w:tc>
      </w:tr>
      <w:tr w:rsidR="00D44E9C" w:rsidRPr="001B69FD" w14:paraId="56E3DEA3" w14:textId="77777777" w:rsidTr="00651015">
        <w:trPr>
          <w:jc w:val="center"/>
        </w:trPr>
        <w:tc>
          <w:tcPr>
            <w:tcW w:w="2405" w:type="dxa"/>
          </w:tcPr>
          <w:p w14:paraId="667FAA37" w14:textId="574F2EAB" w:rsidR="00D44E9C" w:rsidRPr="001B69FD" w:rsidRDefault="00D44E9C" w:rsidP="00651015">
            <w:pPr>
              <w:pStyle w:val="CETBodytext"/>
              <w:jc w:val="center"/>
            </w:pPr>
            <w:r w:rsidRPr="001B69FD">
              <w:t>0.5% w/w CMC in water</w:t>
            </w:r>
          </w:p>
        </w:tc>
        <w:tc>
          <w:tcPr>
            <w:tcW w:w="1134" w:type="dxa"/>
          </w:tcPr>
          <w:p w14:paraId="4AB1FE02" w14:textId="37364DEB" w:rsidR="00D44E9C" w:rsidRPr="001B69FD" w:rsidRDefault="003E6BD2" w:rsidP="00651015">
            <w:pPr>
              <w:pStyle w:val="CETBodytext"/>
              <w:jc w:val="center"/>
            </w:pPr>
            <w:r w:rsidRPr="001B69FD">
              <w:t>0.54</w:t>
            </w:r>
          </w:p>
        </w:tc>
        <w:tc>
          <w:tcPr>
            <w:tcW w:w="1134" w:type="dxa"/>
          </w:tcPr>
          <w:p w14:paraId="296A8080" w14:textId="781BBBDA" w:rsidR="00D44E9C" w:rsidRPr="001B69FD" w:rsidRDefault="003E6BD2" w:rsidP="00651015">
            <w:pPr>
              <w:pStyle w:val="CETBodytext"/>
              <w:jc w:val="center"/>
            </w:pPr>
            <w:r w:rsidRPr="001B69FD">
              <w:t>0.78</w:t>
            </w:r>
          </w:p>
        </w:tc>
        <w:tc>
          <w:tcPr>
            <w:tcW w:w="992" w:type="dxa"/>
          </w:tcPr>
          <w:p w14:paraId="75D065F2" w14:textId="60251F78" w:rsidR="00D44E9C" w:rsidRPr="001B69FD" w:rsidRDefault="003F7C8E" w:rsidP="00651015">
            <w:pPr>
              <w:pStyle w:val="CETBodytext"/>
              <w:jc w:val="center"/>
            </w:pPr>
            <w:r w:rsidRPr="001B69FD">
              <w:t>4.23</w:t>
            </w:r>
          </w:p>
        </w:tc>
      </w:tr>
    </w:tbl>
    <w:p w14:paraId="0EFD1B29" w14:textId="7BE1E7A9" w:rsidR="00612DEE" w:rsidRPr="001B69FD" w:rsidRDefault="003F622C" w:rsidP="00E71E38">
      <w:pPr>
        <w:pStyle w:val="CETBodytext"/>
        <w:rPr>
          <w:i/>
          <w:iCs/>
        </w:rPr>
      </w:pPr>
      <w:r w:rsidRPr="001B69FD">
        <w:rPr>
          <w:i/>
          <w:iCs/>
        </w:rPr>
        <w:t>Fi</w:t>
      </w:r>
      <w:r w:rsidR="009C3F99" w:rsidRPr="001B69FD">
        <w:rPr>
          <w:i/>
          <w:iCs/>
        </w:rPr>
        <w:t xml:space="preserve">gure 2: </w:t>
      </w:r>
      <w:r w:rsidR="00227B31" w:rsidRPr="001B69FD">
        <w:rPr>
          <w:i/>
          <w:iCs/>
        </w:rPr>
        <w:t>R</w:t>
      </w:r>
      <w:r w:rsidR="009C3F99" w:rsidRPr="001B69FD">
        <w:rPr>
          <w:i/>
          <w:iCs/>
        </w:rPr>
        <w:t>heological power law parameters for mimic fluids</w:t>
      </w:r>
      <w:r w:rsidR="00612DEE" w:rsidRPr="001B69FD">
        <w:rPr>
          <w:i/>
          <w:iCs/>
        </w:rPr>
        <w:t xml:space="preserve"> obtained using CMC solutions.</w:t>
      </w:r>
    </w:p>
    <w:p w14:paraId="5409E6DB" w14:textId="77777777" w:rsidR="009C3F99" w:rsidRPr="001B69FD" w:rsidRDefault="009C3F99" w:rsidP="00E71E38">
      <w:pPr>
        <w:pStyle w:val="CETBodytext"/>
      </w:pPr>
    </w:p>
    <w:p w14:paraId="51BA1200" w14:textId="62A929C3" w:rsidR="00600535" w:rsidRPr="001B69FD" w:rsidRDefault="00E71E38" w:rsidP="00E71E38">
      <w:pPr>
        <w:pStyle w:val="CETBodytext"/>
        <w:rPr>
          <w:lang w:val="en-GB"/>
        </w:rPr>
      </w:pPr>
      <w:r w:rsidRPr="001B69FD">
        <w:t>Figure 2 reports the values of the power-law rheological parameters, namely the flow behavior index (n) and the consistency index (K), obtained for CMC solutions at concentrations of 0.25% and 0.5%</w:t>
      </w:r>
      <w:r w:rsidR="00B75D7E" w:rsidRPr="001B69FD">
        <w:t xml:space="preserve"> </w:t>
      </w:r>
      <w:r w:rsidR="00396012" w:rsidRPr="001B69FD">
        <w:t>w/w</w:t>
      </w:r>
      <w:r w:rsidRPr="001B69FD">
        <w:t xml:space="preserve">. For both concentrations, the flow behavior index is lower than unity, confirming the shear-thinning (pseudoplastic) nature of the fluids. Increasing the CMC concentration from 0.25% to 0.5% leads to a decrease in n, indicating a more pronounced shear-thinning behavior at higher polymer content. At the same time, the consistency index K increases significantly with concentration, reflecting the increase in apparent viscosity and resistance to flow. Overall, these results are consistent with the expected rheological behavior of CMC solutions, where higher polymer concentrations enhance fluid consistency while intensifying non-Newtonian effects. </w:t>
      </w:r>
    </w:p>
    <w:p w14:paraId="6E6B5CB1" w14:textId="77777777" w:rsidR="00E71E38" w:rsidRPr="001B69FD" w:rsidRDefault="00E71E38" w:rsidP="00E71E38">
      <w:pPr>
        <w:pStyle w:val="CETBodytex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4418"/>
      </w:tblGrid>
      <w:tr w:rsidR="00E66A3B" w:rsidRPr="001B69FD" w14:paraId="507AD1D6" w14:textId="77777777" w:rsidTr="002A0299">
        <w:tc>
          <w:tcPr>
            <w:tcW w:w="4388" w:type="dxa"/>
          </w:tcPr>
          <w:p w14:paraId="0288728F" w14:textId="4EBED7B4" w:rsidR="00734501" w:rsidRPr="001B69FD" w:rsidRDefault="002A0299" w:rsidP="002A0299">
            <w:pPr>
              <w:pStyle w:val="CETBodytext"/>
              <w:jc w:val="center"/>
              <w:rPr>
                <w:i/>
                <w:lang w:val="en-GB"/>
              </w:rPr>
            </w:pPr>
            <w:r w:rsidRPr="001B69FD">
              <w:rPr>
                <w:i/>
              </w:rPr>
              <w:t>a)</w:t>
            </w:r>
          </w:p>
        </w:tc>
        <w:tc>
          <w:tcPr>
            <w:tcW w:w="4389" w:type="dxa"/>
          </w:tcPr>
          <w:p w14:paraId="479F9743" w14:textId="04DB4ED0" w:rsidR="00734501" w:rsidRPr="001B69FD" w:rsidRDefault="002A0299" w:rsidP="002A0299">
            <w:pPr>
              <w:pStyle w:val="CETBodytext"/>
              <w:jc w:val="center"/>
              <w:rPr>
                <w:i/>
                <w:lang w:val="en-GB"/>
              </w:rPr>
            </w:pPr>
            <w:r w:rsidRPr="001B69FD">
              <w:rPr>
                <w:i/>
                <w:lang w:val="en-GB"/>
              </w:rPr>
              <w:t>b)</w:t>
            </w:r>
          </w:p>
        </w:tc>
      </w:tr>
      <w:tr w:rsidR="00E66A3B" w:rsidRPr="001B69FD" w14:paraId="7C83E66B" w14:textId="77777777" w:rsidTr="002A0299">
        <w:tc>
          <w:tcPr>
            <w:tcW w:w="4388" w:type="dxa"/>
          </w:tcPr>
          <w:p w14:paraId="12D0F030" w14:textId="7C1A8125" w:rsidR="00734501" w:rsidRPr="001B69FD" w:rsidRDefault="00F84447" w:rsidP="00E71E38">
            <w:pPr>
              <w:pStyle w:val="CETBodytext"/>
              <w:rPr>
                <w:i/>
                <w:lang w:val="en-GB"/>
              </w:rPr>
            </w:pPr>
            <w:r w:rsidRPr="001B69FD">
              <w:rPr>
                <w:i/>
                <w:noProof/>
                <w:lang w:val="en-GB"/>
              </w:rPr>
              <w:drawing>
                <wp:inline distT="0" distB="0" distL="0" distR="0" wp14:anchorId="40916D9A" wp14:editId="263C82E5">
                  <wp:extent cx="2748742" cy="1629769"/>
                  <wp:effectExtent l="0" t="0" r="0" b="8890"/>
                  <wp:docPr id="234211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1814" cy="1661236"/>
                          </a:xfrm>
                          <a:prstGeom prst="rect">
                            <a:avLst/>
                          </a:prstGeom>
                          <a:noFill/>
                        </pic:spPr>
                      </pic:pic>
                    </a:graphicData>
                  </a:graphic>
                </wp:inline>
              </w:drawing>
            </w:r>
          </w:p>
        </w:tc>
        <w:tc>
          <w:tcPr>
            <w:tcW w:w="4389" w:type="dxa"/>
          </w:tcPr>
          <w:p w14:paraId="749B150F" w14:textId="4CCE3AE8" w:rsidR="00734501" w:rsidRPr="001B69FD" w:rsidRDefault="009A5919" w:rsidP="00E71E38">
            <w:pPr>
              <w:pStyle w:val="CETBodytext"/>
              <w:rPr>
                <w:i/>
                <w:lang w:val="en-GB"/>
              </w:rPr>
            </w:pPr>
            <w:r w:rsidRPr="001B69FD">
              <w:rPr>
                <w:i/>
                <w:noProof/>
                <w:lang w:val="en-GB"/>
              </w:rPr>
              <w:drawing>
                <wp:inline distT="0" distB="0" distL="0" distR="0" wp14:anchorId="346638B8" wp14:editId="32D2E8CC">
                  <wp:extent cx="2772220" cy="1620000"/>
                  <wp:effectExtent l="0" t="0" r="9525" b="0"/>
                  <wp:docPr id="21281803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2220" cy="1620000"/>
                          </a:xfrm>
                          <a:prstGeom prst="rect">
                            <a:avLst/>
                          </a:prstGeom>
                          <a:noFill/>
                        </pic:spPr>
                      </pic:pic>
                    </a:graphicData>
                  </a:graphic>
                </wp:inline>
              </w:drawing>
            </w:r>
          </w:p>
        </w:tc>
      </w:tr>
    </w:tbl>
    <w:p w14:paraId="2851EFF6" w14:textId="38FC2875" w:rsidR="002A0299" w:rsidRPr="001B69FD" w:rsidRDefault="002A0299" w:rsidP="002A0299">
      <w:pPr>
        <w:pStyle w:val="CETBodytext"/>
        <w:rPr>
          <w:i/>
          <w:iCs/>
        </w:rPr>
      </w:pPr>
      <w:r w:rsidRPr="001B69FD">
        <w:rPr>
          <w:i/>
          <w:iCs/>
        </w:rPr>
        <w:t xml:space="preserve">Figure </w:t>
      </w:r>
      <w:r w:rsidR="00CA0ABA" w:rsidRPr="001B69FD">
        <w:rPr>
          <w:i/>
          <w:iCs/>
        </w:rPr>
        <w:t>3</w:t>
      </w:r>
      <w:r w:rsidRPr="001B69FD">
        <w:rPr>
          <w:i/>
          <w:iCs/>
        </w:rPr>
        <w:t xml:space="preserve">: </w:t>
      </w:r>
      <w:r w:rsidR="00CA0ABA" w:rsidRPr="001B69FD">
        <w:rPr>
          <w:i/>
          <w:iCs/>
        </w:rPr>
        <w:t>Power consumption</w:t>
      </w:r>
      <w:r w:rsidR="009D213F" w:rsidRPr="001B69FD">
        <w:rPr>
          <w:i/>
          <w:iCs/>
        </w:rPr>
        <w:t xml:space="preserve"> (P)</w:t>
      </w:r>
      <w:r w:rsidR="00CA0ABA" w:rsidRPr="001B69FD">
        <w:rPr>
          <w:i/>
          <w:iCs/>
        </w:rPr>
        <w:t xml:space="preserve">: a) ratio between </w:t>
      </w:r>
      <w:r w:rsidR="00CD7111" w:rsidRPr="001B69FD">
        <w:rPr>
          <w:i/>
          <w:iCs/>
        </w:rPr>
        <w:t xml:space="preserve">Power number for the CMC solution over the power number </w:t>
      </w:r>
      <w:r w:rsidR="0050438A" w:rsidRPr="001B69FD">
        <w:rPr>
          <w:i/>
          <w:iCs/>
        </w:rPr>
        <w:t>for only water without gas</w:t>
      </w:r>
      <w:r w:rsidR="00713825" w:rsidRPr="001B69FD">
        <w:rPr>
          <w:i/>
          <w:iCs/>
        </w:rPr>
        <w:t xml:space="preserve">, </w:t>
      </w:r>
      <w:r w:rsidR="00211FC3" w:rsidRPr="001B69FD">
        <w:rPr>
          <w:i/>
          <w:iCs/>
        </w:rPr>
        <w:t>w</w:t>
      </w:r>
      <w:r w:rsidR="00713825" w:rsidRPr="001B69FD">
        <w:rPr>
          <w:i/>
          <w:iCs/>
        </w:rPr>
        <w:t xml:space="preserve">here the Po is defined as </w:t>
      </w:r>
      <m:oMath>
        <m:r>
          <w:rPr>
            <w:rFonts w:ascii="Cambria Math" w:hAnsi="Cambria Math"/>
          </w:rPr>
          <m:t>Po=</m:t>
        </m:r>
        <m:f>
          <m:fPr>
            <m:ctrlPr>
              <w:rPr>
                <w:rFonts w:ascii="Cambria Math" w:hAnsi="Cambria Math"/>
                <w:iCs/>
              </w:rPr>
            </m:ctrlPr>
          </m:fPr>
          <m:num>
            <m:r>
              <w:rPr>
                <w:rFonts w:ascii="Cambria Math" w:hAnsi="Cambria Math"/>
              </w:rPr>
              <m:t>P</m:t>
            </m:r>
            <m:ctrlPr>
              <w:rPr>
                <w:rFonts w:ascii="Cambria Math" w:hAnsi="Cambria Math"/>
                <w:i/>
                <w:iCs/>
              </w:rPr>
            </m:ctrlPr>
          </m:num>
          <m:den>
            <m:r>
              <m:rPr>
                <m:sty m:val="p"/>
              </m:rPr>
              <w:rPr>
                <w:rFonts w:ascii="Cambria Math" w:hAnsi="Cambria Math"/>
              </w:rPr>
              <m:t>ρ</m:t>
            </m:r>
            <m:sSup>
              <m:sSupPr>
                <m:ctrlPr>
                  <w:rPr>
                    <w:rFonts w:ascii="Cambria Math" w:hAnsi="Cambria Math"/>
                    <w:iCs/>
                  </w:rPr>
                </m:ctrlPr>
              </m:sSupPr>
              <m:e>
                <m:r>
                  <w:rPr>
                    <w:rFonts w:ascii="Cambria Math" w:hAnsi="Cambria Math"/>
                  </w:rPr>
                  <m:t>N</m:t>
                </m:r>
              </m:e>
              <m:sup>
                <m:r>
                  <w:rPr>
                    <w:rFonts w:ascii="Cambria Math" w:hAnsi="Cambria Math"/>
                  </w:rPr>
                  <m:t>3</m:t>
                </m:r>
              </m:sup>
            </m:sSup>
            <m:sSup>
              <m:sSupPr>
                <m:ctrlPr>
                  <w:rPr>
                    <w:rFonts w:ascii="Cambria Math" w:hAnsi="Cambria Math"/>
                    <w:iCs/>
                  </w:rPr>
                </m:ctrlPr>
              </m:sSupPr>
              <m:e>
                <m:r>
                  <w:rPr>
                    <w:rFonts w:ascii="Cambria Math" w:hAnsi="Cambria Math"/>
                  </w:rPr>
                  <m:t>D</m:t>
                </m:r>
              </m:e>
              <m:sup>
                <m:r>
                  <w:rPr>
                    <w:rFonts w:ascii="Cambria Math" w:hAnsi="Cambria Math"/>
                  </w:rPr>
                  <m:t>5</m:t>
                </m:r>
              </m:sup>
            </m:sSup>
            <m:ctrlPr>
              <w:rPr>
                <w:rFonts w:ascii="Cambria Math" w:hAnsi="Cambria Math"/>
                <w:i/>
                <w:iCs/>
              </w:rPr>
            </m:ctrlPr>
          </m:den>
        </m:f>
        <m:r>
          <w:rPr>
            <w:rFonts w:ascii="Cambria Math" w:hAnsi="Cambria Math"/>
          </w:rPr>
          <m:t xml:space="preserve"> </m:t>
        </m:r>
      </m:oMath>
      <w:r w:rsidR="009B6854" w:rsidRPr="001B69FD">
        <w:rPr>
          <w:i/>
          <w:iCs/>
        </w:rPr>
        <w:t>; ef</w:t>
      </w:r>
      <w:r w:rsidR="0050438A" w:rsidRPr="001B69FD">
        <w:rPr>
          <w:i/>
          <w:iCs/>
        </w:rPr>
        <w:t xml:space="preserve">fect of gas flow rate at fixed impeller </w:t>
      </w:r>
      <w:r w:rsidR="00F422EC" w:rsidRPr="001B69FD">
        <w:rPr>
          <w:i/>
          <w:iCs/>
        </w:rPr>
        <w:t>speed at</w:t>
      </w:r>
      <w:r w:rsidR="0050438A" w:rsidRPr="001B69FD">
        <w:rPr>
          <w:i/>
          <w:iCs/>
        </w:rPr>
        <w:t xml:space="preserve"> N=3 </w:t>
      </w:r>
      <w:proofErr w:type="spellStart"/>
      <w:r w:rsidR="0050438A" w:rsidRPr="001B69FD">
        <w:rPr>
          <w:i/>
          <w:iCs/>
        </w:rPr>
        <w:t>rps</w:t>
      </w:r>
      <w:proofErr w:type="spellEnd"/>
      <w:r w:rsidR="009A14B7" w:rsidRPr="001B69FD">
        <w:rPr>
          <w:i/>
          <w:iCs/>
        </w:rPr>
        <w:t xml:space="preserve"> </w:t>
      </w:r>
      <w:r w:rsidR="007825EE" w:rsidRPr="001B69FD">
        <w:rPr>
          <w:i/>
          <w:iCs/>
        </w:rPr>
        <w:t>,</w:t>
      </w:r>
      <w:r w:rsidR="007825EE" w:rsidRPr="001B69FD">
        <w:rPr>
          <w:i/>
          <w:iCs/>
          <w:lang w:val="en-GB"/>
        </w:rPr>
        <w:t xml:space="preserve"> flow numbers (</w:t>
      </w:r>
      <m:oMath>
        <m:r>
          <w:rPr>
            <w:rFonts w:ascii="Cambria Math" w:hAnsi="Cambria Math"/>
            <w:lang w:val="en-GB"/>
          </w:rPr>
          <m:t>Fl=</m:t>
        </m:r>
        <m:f>
          <m:fPr>
            <m:ctrlPr>
              <w:rPr>
                <w:rFonts w:ascii="Cambria Math" w:hAnsi="Cambria Math"/>
                <w:i/>
                <w:iCs/>
                <w:lang w:val="en-GB"/>
              </w:rPr>
            </m:ctrlPr>
          </m:fPr>
          <m:num>
            <m:sSub>
              <m:sSubPr>
                <m:ctrlPr>
                  <w:rPr>
                    <w:rFonts w:ascii="Cambria Math" w:hAnsi="Cambria Math"/>
                    <w:i/>
                    <w:iCs/>
                    <w:lang w:val="en-GB"/>
                  </w:rPr>
                </m:ctrlPr>
              </m:sSubPr>
              <m:e>
                <m:r>
                  <w:rPr>
                    <w:rFonts w:ascii="Cambria Math" w:hAnsi="Cambria Math"/>
                    <w:lang w:val="en-GB"/>
                  </w:rPr>
                  <m:t>Q</m:t>
                </m:r>
              </m:e>
              <m:sub>
                <m:r>
                  <w:rPr>
                    <w:rFonts w:ascii="Cambria Math" w:hAnsi="Cambria Math"/>
                    <w:lang w:val="en-GB"/>
                  </w:rPr>
                  <m:t>g</m:t>
                </m:r>
              </m:sub>
            </m:sSub>
          </m:num>
          <m:den>
            <m:r>
              <w:rPr>
                <w:rFonts w:ascii="Cambria Math" w:hAnsi="Cambria Math"/>
                <w:lang w:val="en-GB"/>
              </w:rPr>
              <m:t>N</m:t>
            </m:r>
            <m:sSup>
              <m:sSupPr>
                <m:ctrlPr>
                  <w:rPr>
                    <w:rFonts w:ascii="Cambria Math" w:hAnsi="Cambria Math"/>
                    <w:i/>
                    <w:iCs/>
                    <w:lang w:val="en-GB"/>
                  </w:rPr>
                </m:ctrlPr>
              </m:sSupPr>
              <m:e>
                <m:r>
                  <w:rPr>
                    <w:rFonts w:ascii="Cambria Math" w:hAnsi="Cambria Math"/>
                    <w:lang w:val="en-GB"/>
                  </w:rPr>
                  <m:t>D</m:t>
                </m:r>
              </m:e>
              <m:sup>
                <m:r>
                  <w:rPr>
                    <w:rFonts w:ascii="Cambria Math" w:hAnsi="Cambria Math"/>
                    <w:lang w:val="en-GB"/>
                  </w:rPr>
                  <m:t>3</m:t>
                </m:r>
              </m:sup>
            </m:sSup>
          </m:den>
        </m:f>
      </m:oMath>
      <w:r w:rsidR="007825EE" w:rsidRPr="001B69FD">
        <w:rPr>
          <w:i/>
          <w:iCs/>
          <w:lang w:val="en-GB"/>
        </w:rPr>
        <w:t xml:space="preserve">) </w:t>
      </w:r>
      <w:r w:rsidR="007825EE" w:rsidRPr="001B69FD">
        <w:rPr>
          <w:i/>
          <w:iCs/>
        </w:rPr>
        <w:t>vers</w:t>
      </w:r>
      <w:r w:rsidR="00F552D4" w:rsidRPr="001B69FD">
        <w:rPr>
          <w:i/>
          <w:iCs/>
        </w:rPr>
        <w:t>us</w:t>
      </w:r>
      <w:r w:rsidR="009A14B7" w:rsidRPr="001B69FD">
        <w:rPr>
          <w:i/>
          <w:iCs/>
        </w:rPr>
        <w:t xml:space="preserve"> the power number.</w:t>
      </w:r>
    </w:p>
    <w:p w14:paraId="15164387" w14:textId="77777777" w:rsidR="00BC148A" w:rsidRPr="001B69FD" w:rsidRDefault="00BC148A" w:rsidP="00E71E38">
      <w:pPr>
        <w:pStyle w:val="CETBodytext"/>
        <w:rPr>
          <w:i/>
        </w:rPr>
      </w:pPr>
    </w:p>
    <w:p w14:paraId="031546C3" w14:textId="08F486B4" w:rsidR="00A41B63" w:rsidRPr="001B69FD" w:rsidRDefault="00C325EE" w:rsidP="00BC148A">
      <w:pPr>
        <w:pStyle w:val="CETBodytext"/>
        <w:rPr>
          <w:iCs/>
        </w:rPr>
      </w:pPr>
      <w:r w:rsidRPr="001B69FD">
        <w:rPr>
          <w:iCs/>
        </w:rPr>
        <w:t>F</w:t>
      </w:r>
      <w:r w:rsidR="00BC148A" w:rsidRPr="001B69FD">
        <w:rPr>
          <w:iCs/>
        </w:rPr>
        <w:t>igure</w:t>
      </w:r>
      <w:r w:rsidR="008C0275" w:rsidRPr="001B69FD">
        <w:rPr>
          <w:iCs/>
        </w:rPr>
        <w:t xml:space="preserve"> 3a</w:t>
      </w:r>
      <w:r w:rsidR="00BC148A" w:rsidRPr="001B69FD">
        <w:rPr>
          <w:iCs/>
        </w:rPr>
        <w:t xml:space="preserve"> shows the trend of the power number ratio</w:t>
      </w:r>
      <w:r w:rsidR="008C0275" w:rsidRPr="001B69FD">
        <w:rPr>
          <w:iCs/>
        </w:rPr>
        <w:t>, between CMC solutions and water,</w:t>
      </w:r>
      <w:r w:rsidR="00BC148A" w:rsidRPr="001B69FD">
        <w:rPr>
          <w:iCs/>
        </w:rPr>
        <w:t xml:space="preserve"> as a function of the impeller rotational speed N, with the gas flow rate set to zero. </w:t>
      </w:r>
    </w:p>
    <w:p w14:paraId="3598C5DB" w14:textId="11A8A85F" w:rsidR="00A84A7D" w:rsidRPr="001B69FD" w:rsidRDefault="00BC148A" w:rsidP="00BC148A">
      <w:pPr>
        <w:pStyle w:val="CETBodytext"/>
        <w:rPr>
          <w:iCs/>
        </w:rPr>
      </w:pPr>
      <w:r w:rsidRPr="001B69FD">
        <w:rPr>
          <w:iCs/>
        </w:rPr>
        <w:lastRenderedPageBreak/>
        <w:t>For both CMC concentrations (0.25% and 0.5% w/w), the power number ratio remains relatively constant over the investigated range of rotational speeds, indicating a weak dependence on N</w:t>
      </w:r>
      <w:r w:rsidR="00644668" w:rsidRPr="001B69FD">
        <w:rPr>
          <w:iCs/>
        </w:rPr>
        <w:t xml:space="preserve">, as previously observed is similar system by </w:t>
      </w:r>
      <w:r w:rsidR="00644668" w:rsidRPr="001B69FD">
        <w:t>Shiue et al.  (202</w:t>
      </w:r>
      <w:r w:rsidR="00070F10" w:rsidRPr="001B69FD">
        <w:t>5).</w:t>
      </w:r>
      <w:r w:rsidRPr="001B69FD">
        <w:rPr>
          <w:iCs/>
        </w:rPr>
        <w:t xml:space="preserve"> However, the ratio is consistently lower for the 0.5% w/w CMC solution compared to the 0.25% w/w solution, reflecting the stronger non-Newtonian effects and higher apparent viscosity at the higher polymer concentration, which </w:t>
      </w:r>
      <w:r w:rsidR="00FE752E" w:rsidRPr="001B69FD">
        <w:rPr>
          <w:iCs/>
        </w:rPr>
        <w:t>reduces</w:t>
      </w:r>
      <w:r w:rsidRPr="001B69FD">
        <w:rPr>
          <w:iCs/>
        </w:rPr>
        <w:t xml:space="preserve"> the power </w:t>
      </w:r>
      <w:r w:rsidR="00FA728A" w:rsidRPr="001B69FD">
        <w:rPr>
          <w:iCs/>
        </w:rPr>
        <w:t>number</w:t>
      </w:r>
      <w:r w:rsidRPr="001B69FD">
        <w:rPr>
          <w:iCs/>
        </w:rPr>
        <w:t xml:space="preserve"> relative to water</w:t>
      </w:r>
      <w:r w:rsidR="00A379B4" w:rsidRPr="001B69FD">
        <w:rPr>
          <w:iCs/>
        </w:rPr>
        <w:t>,</w:t>
      </w:r>
      <w:r w:rsidR="00B14668" w:rsidRPr="001B69FD">
        <w:rPr>
          <w:iCs/>
        </w:rPr>
        <w:t xml:space="preserve"> which is an indication that the regime in the vessel is shifted in the transitional regime</w:t>
      </w:r>
      <w:r w:rsidRPr="001B69FD">
        <w:rPr>
          <w:iCs/>
        </w:rPr>
        <w:t>.</w:t>
      </w:r>
      <w:r w:rsidR="00042B3F" w:rsidRPr="001B69FD">
        <w:rPr>
          <w:iCs/>
        </w:rPr>
        <w:t xml:space="preserve"> </w:t>
      </w:r>
      <w:r w:rsidR="000300BB" w:rsidRPr="001B69FD">
        <w:rPr>
          <w:iCs/>
        </w:rPr>
        <w:t xml:space="preserve">Shiue et al. (2025) observed a similar </w:t>
      </w:r>
      <w:r w:rsidR="003809F7" w:rsidRPr="001B69FD">
        <w:rPr>
          <w:iCs/>
        </w:rPr>
        <w:t>trend;</w:t>
      </w:r>
      <w:r w:rsidR="005D49D6" w:rsidRPr="001B69FD">
        <w:rPr>
          <w:iCs/>
        </w:rPr>
        <w:t xml:space="preserve"> </w:t>
      </w:r>
      <w:r w:rsidR="00062331" w:rsidRPr="001B69FD">
        <w:rPr>
          <w:iCs/>
        </w:rPr>
        <w:t>particularly l</w:t>
      </w:r>
      <w:r w:rsidR="000300BB" w:rsidRPr="001B69FD">
        <w:rPr>
          <w:iCs/>
        </w:rPr>
        <w:t xml:space="preserve">arger impeller speeds </w:t>
      </w:r>
      <w:r w:rsidR="00062331" w:rsidRPr="001B69FD">
        <w:rPr>
          <w:iCs/>
        </w:rPr>
        <w:t>were</w:t>
      </w:r>
      <w:r w:rsidR="000300BB" w:rsidRPr="001B69FD">
        <w:rPr>
          <w:iCs/>
        </w:rPr>
        <w:t xml:space="preserve"> required as the viscosity rises</w:t>
      </w:r>
      <w:r w:rsidR="00062331" w:rsidRPr="001B69FD">
        <w:rPr>
          <w:iCs/>
        </w:rPr>
        <w:t xml:space="preserve"> </w:t>
      </w:r>
      <w:r w:rsidR="000300BB" w:rsidRPr="001B69FD">
        <w:rPr>
          <w:iCs/>
        </w:rPr>
        <w:t>due to shear-thinning characteristics</w:t>
      </w:r>
      <w:r w:rsidR="00062331" w:rsidRPr="001B69FD">
        <w:rPr>
          <w:iCs/>
        </w:rPr>
        <w:t>.</w:t>
      </w:r>
      <w:r w:rsidR="003809F7" w:rsidRPr="001B69FD">
        <w:rPr>
          <w:iCs/>
        </w:rPr>
        <w:t xml:space="preserve"> </w:t>
      </w:r>
      <w:r w:rsidR="00C325EE" w:rsidRPr="001B69FD">
        <w:rPr>
          <w:iCs/>
        </w:rPr>
        <w:t>Figure</w:t>
      </w:r>
      <w:r w:rsidR="00A15628" w:rsidRPr="001B69FD">
        <w:rPr>
          <w:iCs/>
        </w:rPr>
        <w:t xml:space="preserve"> 3b</w:t>
      </w:r>
      <w:r w:rsidRPr="001B69FD">
        <w:rPr>
          <w:iCs/>
        </w:rPr>
        <w:t xml:space="preserve"> presents the power number as a function of gas flow rate at a constant rotational speed of N=</w:t>
      </w:r>
      <w:r w:rsidR="00822847" w:rsidRPr="001B69FD">
        <w:rPr>
          <w:iCs/>
        </w:rPr>
        <w:t>3</w:t>
      </w:r>
      <w:r w:rsidRPr="001B69FD">
        <w:rPr>
          <w:iCs/>
        </w:rPr>
        <w:t xml:space="preserve"> </w:t>
      </w:r>
      <w:proofErr w:type="spellStart"/>
      <w:r w:rsidRPr="001B69FD">
        <w:rPr>
          <w:iCs/>
        </w:rPr>
        <w:t>rps</w:t>
      </w:r>
      <w:proofErr w:type="spellEnd"/>
      <w:r w:rsidRPr="001B69FD">
        <w:rPr>
          <w:iCs/>
        </w:rPr>
        <w:t>. For both CMC solutions, the power number decreases as the gas flow rate increases, demonstrating the typical gas-induced power reduction due to gas holdup</w:t>
      </w:r>
      <w:r w:rsidR="00A379B4" w:rsidRPr="001B69FD">
        <w:rPr>
          <w:iCs/>
        </w:rPr>
        <w:t>, gas accumulation on the rear of the impeller blades</w:t>
      </w:r>
      <w:r w:rsidR="0041635A" w:rsidRPr="001B69FD">
        <w:rPr>
          <w:iCs/>
        </w:rPr>
        <w:t xml:space="preserve"> </w:t>
      </w:r>
      <w:r w:rsidRPr="001B69FD">
        <w:rPr>
          <w:iCs/>
        </w:rPr>
        <w:t>and reduced effective liquid density around the impeller.</w:t>
      </w:r>
      <w:r w:rsidR="00744636" w:rsidRPr="001B69FD">
        <w:rPr>
          <w:iCs/>
        </w:rPr>
        <w:t xml:space="preserve"> Moreover</w:t>
      </w:r>
      <w:r w:rsidR="003809F7" w:rsidRPr="001B69FD">
        <w:rPr>
          <w:iCs/>
        </w:rPr>
        <w:t>,</w:t>
      </w:r>
      <w:r w:rsidR="00744636" w:rsidRPr="001B69FD">
        <w:rPr>
          <w:iCs/>
        </w:rPr>
        <w:t xml:space="preserve"> this suggests that the rheology affects </w:t>
      </w:r>
      <w:proofErr w:type="gramStart"/>
      <w:r w:rsidR="00744636" w:rsidRPr="001B69FD">
        <w:rPr>
          <w:iCs/>
        </w:rPr>
        <w:t>the power</w:t>
      </w:r>
      <w:proofErr w:type="gramEnd"/>
      <w:r w:rsidR="00744636" w:rsidRPr="001B69FD">
        <w:rPr>
          <w:iCs/>
        </w:rPr>
        <w:t xml:space="preserve">, gas hold-up, and most likely the </w:t>
      </w:r>
      <w:r w:rsidR="003809F7" w:rsidRPr="001B69FD">
        <w:rPr>
          <w:iCs/>
        </w:rPr>
        <w:t>mass transfer</w:t>
      </w:r>
      <w:r w:rsidR="00744636" w:rsidRPr="001B69FD">
        <w:rPr>
          <w:iCs/>
        </w:rPr>
        <w:t xml:space="preserve"> as </w:t>
      </w:r>
      <w:r w:rsidR="003809F7" w:rsidRPr="001B69FD">
        <w:rPr>
          <w:iCs/>
        </w:rPr>
        <w:t>observed</w:t>
      </w:r>
      <w:r w:rsidR="00744636" w:rsidRPr="001B69FD">
        <w:rPr>
          <w:iCs/>
        </w:rPr>
        <w:t xml:space="preserve"> previously by throughout the </w:t>
      </w:r>
      <w:r w:rsidR="00744636" w:rsidRPr="001B69FD">
        <w:t>Shiue et al.  (2025).</w:t>
      </w:r>
      <w:r w:rsidR="003809F7" w:rsidRPr="001B69FD">
        <w:rPr>
          <w:iCs/>
        </w:rPr>
        <w:t xml:space="preserve"> </w:t>
      </w:r>
      <w:r w:rsidRPr="001B69FD">
        <w:rPr>
          <w:iCs/>
        </w:rPr>
        <w:t>At all gas flow rates, the 0.25% w/w CMC solution exhibits higher power numbers than the 0.5% w/w solution, again indicating that increasing CMC concentration leads to lower power</w:t>
      </w:r>
      <w:r w:rsidR="004F31CA" w:rsidRPr="001B69FD">
        <w:rPr>
          <w:iCs/>
        </w:rPr>
        <w:t xml:space="preserve"> number</w:t>
      </w:r>
      <w:r w:rsidRPr="001B69FD">
        <w:rPr>
          <w:iCs/>
        </w:rPr>
        <w:t xml:space="preserve"> under </w:t>
      </w:r>
      <w:proofErr w:type="gramStart"/>
      <w:r w:rsidRPr="001B69FD">
        <w:rPr>
          <w:iCs/>
        </w:rPr>
        <w:t>gassed</w:t>
      </w:r>
      <w:proofErr w:type="gramEnd"/>
      <w:r w:rsidRPr="001B69FD">
        <w:rPr>
          <w:iCs/>
        </w:rPr>
        <w:t xml:space="preserve"> conditions.</w:t>
      </w:r>
      <w:r w:rsidR="0041635A" w:rsidRPr="001B69FD">
        <w:rPr>
          <w:iCs/>
        </w:rPr>
        <w:t xml:space="preserve"> </w:t>
      </w:r>
      <w:r w:rsidRPr="001B69FD">
        <w:rPr>
          <w:iCs/>
        </w:rPr>
        <w:t xml:space="preserve">Overall, the results highlight that CMC concentration has a stronger influence on power </w:t>
      </w:r>
      <w:proofErr w:type="gramStart"/>
      <w:r w:rsidR="00524C38" w:rsidRPr="001B69FD">
        <w:rPr>
          <w:iCs/>
        </w:rPr>
        <w:t>number</w:t>
      </w:r>
      <w:r w:rsidR="00D36154" w:rsidRPr="001B69FD">
        <w:rPr>
          <w:iCs/>
        </w:rPr>
        <w:t xml:space="preserve"> </w:t>
      </w:r>
      <w:r w:rsidRPr="001B69FD">
        <w:rPr>
          <w:iCs/>
        </w:rPr>
        <w:t xml:space="preserve"> than</w:t>
      </w:r>
      <w:proofErr w:type="gramEnd"/>
      <w:r w:rsidRPr="001B69FD">
        <w:rPr>
          <w:iCs/>
        </w:rPr>
        <w:t xml:space="preserve"> impeller speed in un</w:t>
      </w:r>
      <w:r w:rsidR="004F31CA" w:rsidRPr="001B69FD">
        <w:rPr>
          <w:iCs/>
        </w:rPr>
        <w:t>-</w:t>
      </w:r>
      <w:r w:rsidRPr="001B69FD">
        <w:rPr>
          <w:iCs/>
        </w:rPr>
        <w:t>gassed conditions, while gas flow rate significantly affects the power number for both solutions at fixed rotational speed.</w:t>
      </w:r>
    </w:p>
    <w:p w14:paraId="7BF80A7F" w14:textId="39C8EF80" w:rsidR="005D121C" w:rsidRPr="001B69FD" w:rsidRDefault="005D121C" w:rsidP="00BC148A">
      <w:pPr>
        <w:pStyle w:val="CETBodytext"/>
        <w:rPr>
          <w:iCs/>
        </w:rPr>
      </w:pPr>
      <w:r w:rsidRPr="001B69FD">
        <w:rPr>
          <w:iCs/>
        </w:rPr>
        <w:t xml:space="preserve">The </w:t>
      </w:r>
      <w:r w:rsidR="00FE7C8A" w:rsidRPr="001B69FD">
        <w:rPr>
          <w:iCs/>
        </w:rPr>
        <w:t>recorded averaged</w:t>
      </w:r>
      <w:r w:rsidR="00A80CF6" w:rsidRPr="001B69FD">
        <w:rPr>
          <w:iCs/>
        </w:rPr>
        <w:t xml:space="preserve"> </w:t>
      </w:r>
      <w:r w:rsidRPr="001B69FD">
        <w:rPr>
          <w:iCs/>
        </w:rPr>
        <w:t>values</w:t>
      </w:r>
      <w:r w:rsidR="008A1E50" w:rsidRPr="001B69FD">
        <w:rPr>
          <w:iCs/>
        </w:rPr>
        <w:t xml:space="preserve"> of the surface tension</w:t>
      </w:r>
      <w:r w:rsidR="00A80CF6" w:rsidRPr="001B69FD">
        <w:rPr>
          <w:iCs/>
        </w:rPr>
        <w:t xml:space="preserve"> (</w:t>
      </w:r>
      <w:r w:rsidR="00FE7C8A" w:rsidRPr="001B69FD">
        <w:rPr>
          <w:iCs/>
        </w:rPr>
        <w:t>T</w:t>
      </w:r>
      <w:r w:rsidR="00A80CF6" w:rsidRPr="001B69FD">
        <w:rPr>
          <w:iCs/>
        </w:rPr>
        <w:t xml:space="preserve">able 1) </w:t>
      </w:r>
      <w:r w:rsidRPr="001B69FD">
        <w:rPr>
          <w:iCs/>
        </w:rPr>
        <w:t xml:space="preserve">show a small but noticeable variation, which is only slightly lower than that of pure water at the same temperature. This indicates that, at this concentration, CMC exhibits a limited surface-tension-reducing effect. The observed variability is consistent with the known sensitivity of the Du </w:t>
      </w:r>
      <w:proofErr w:type="spellStart"/>
      <w:r w:rsidRPr="001B69FD">
        <w:rPr>
          <w:iCs/>
        </w:rPr>
        <w:t>Noüy</w:t>
      </w:r>
      <w:proofErr w:type="spellEnd"/>
      <w:r w:rsidRPr="001B69FD">
        <w:rPr>
          <w:iCs/>
        </w:rPr>
        <w:t xml:space="preserve"> ring method and the time-dependent surface adsorption behavior of polymer solutions. Repeating the measurement three times improves confidence in the result and highlights the importance of consistent equilibration time, careful ring cleaning, and stable temperature control </w:t>
      </w:r>
      <w:r w:rsidR="00FE7C8A" w:rsidRPr="001B69FD">
        <w:rPr>
          <w:iCs/>
        </w:rPr>
        <w:t xml:space="preserve">were used </w:t>
      </w:r>
      <w:r w:rsidRPr="001B69FD">
        <w:rPr>
          <w:iCs/>
        </w:rPr>
        <w:t>to minimize experimental uncertainty.</w:t>
      </w:r>
    </w:p>
    <w:p w14:paraId="6A5167CF" w14:textId="788309F3" w:rsidR="00600535" w:rsidRPr="001B69FD" w:rsidRDefault="00600535" w:rsidP="00DE3C69">
      <w:pPr>
        <w:pStyle w:val="CETTabletitle"/>
        <w:jc w:val="center"/>
      </w:pPr>
      <w:r w:rsidRPr="001B69FD">
        <w:t xml:space="preserve">Table 1: </w:t>
      </w:r>
      <w:r w:rsidR="00A379B4" w:rsidRPr="001B69FD">
        <w:t>S</w:t>
      </w:r>
      <w:r w:rsidR="00905FF4" w:rsidRPr="001B69FD">
        <w:t xml:space="preserve">urface </w:t>
      </w:r>
      <w:r w:rsidR="00A379B4" w:rsidRPr="001B69FD">
        <w:t xml:space="preserve">tension </w:t>
      </w:r>
      <w:r w:rsidR="00905FF4" w:rsidRPr="001B69FD">
        <w:t>for the CMC solutions</w:t>
      </w:r>
    </w:p>
    <w:tbl>
      <w:tblPr>
        <w:tblW w:w="0" w:type="auto"/>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276"/>
        <w:gridCol w:w="992"/>
        <w:gridCol w:w="1134"/>
      </w:tblGrid>
      <w:tr w:rsidR="00584DDC" w:rsidRPr="001B69FD" w14:paraId="4B29AA51" w14:textId="77777777" w:rsidTr="00DE3C69">
        <w:trPr>
          <w:jc w:val="center"/>
        </w:trPr>
        <w:tc>
          <w:tcPr>
            <w:tcW w:w="1276" w:type="dxa"/>
            <w:tcBorders>
              <w:top w:val="single" w:sz="12" w:space="0" w:color="008000"/>
              <w:bottom w:val="single" w:sz="6" w:space="0" w:color="008000"/>
              <w:right w:val="single" w:sz="4" w:space="0" w:color="auto"/>
              <w:tl2br w:val="single" w:sz="4" w:space="0" w:color="auto"/>
            </w:tcBorders>
            <w:shd w:val="clear" w:color="auto" w:fill="FFFFFF"/>
          </w:tcPr>
          <w:p w14:paraId="500859EC" w14:textId="028AB031" w:rsidR="00584DDC" w:rsidRPr="001B69FD" w:rsidRDefault="00584DDC" w:rsidP="00DE3C69">
            <w:pPr>
              <w:pStyle w:val="CETBodytext"/>
              <w:jc w:val="center"/>
              <w:rPr>
                <w:lang w:val="en-GB"/>
              </w:rPr>
            </w:pPr>
          </w:p>
        </w:tc>
        <w:tc>
          <w:tcPr>
            <w:tcW w:w="992" w:type="dxa"/>
            <w:tcBorders>
              <w:top w:val="single" w:sz="12" w:space="0" w:color="008000"/>
              <w:left w:val="single" w:sz="4" w:space="0" w:color="auto"/>
              <w:bottom w:val="single" w:sz="6" w:space="0" w:color="008000"/>
            </w:tcBorders>
            <w:shd w:val="clear" w:color="auto" w:fill="FFFFFF"/>
          </w:tcPr>
          <w:p w14:paraId="6B6E97E3" w14:textId="60933905" w:rsidR="00584DDC" w:rsidRPr="001B69FD" w:rsidRDefault="00584DDC" w:rsidP="00DE3C69">
            <w:pPr>
              <w:pStyle w:val="CETBodytext"/>
              <w:jc w:val="center"/>
              <w:rPr>
                <w:lang w:val="en-GB"/>
              </w:rPr>
            </w:pPr>
            <w:r w:rsidRPr="001B69FD">
              <w:rPr>
                <w:lang w:val="en-GB"/>
              </w:rPr>
              <w:t>0.25%w/w CMC</w:t>
            </w:r>
          </w:p>
        </w:tc>
        <w:tc>
          <w:tcPr>
            <w:tcW w:w="1134" w:type="dxa"/>
            <w:tcBorders>
              <w:top w:val="single" w:sz="12" w:space="0" w:color="008000"/>
              <w:bottom w:val="single" w:sz="6" w:space="0" w:color="008000"/>
              <w:right w:val="single" w:sz="4" w:space="0" w:color="auto"/>
            </w:tcBorders>
            <w:shd w:val="clear" w:color="auto" w:fill="FFFFFF"/>
          </w:tcPr>
          <w:p w14:paraId="0CC5C18D" w14:textId="6B17CD94" w:rsidR="00584DDC" w:rsidRPr="001B69FD" w:rsidRDefault="00584DDC" w:rsidP="00DE3C69">
            <w:pPr>
              <w:pStyle w:val="CETBodytext"/>
              <w:jc w:val="center"/>
              <w:rPr>
                <w:lang w:val="en-GB"/>
              </w:rPr>
            </w:pPr>
            <w:r w:rsidRPr="001B69FD">
              <w:rPr>
                <w:lang w:val="en-GB"/>
              </w:rPr>
              <w:t>0.5%w/w CMC</w:t>
            </w:r>
          </w:p>
        </w:tc>
      </w:tr>
      <w:tr w:rsidR="00584DDC" w:rsidRPr="001B69FD" w14:paraId="18FA68DB" w14:textId="77777777" w:rsidTr="00DE3C69">
        <w:trPr>
          <w:jc w:val="center"/>
        </w:trPr>
        <w:tc>
          <w:tcPr>
            <w:tcW w:w="1276" w:type="dxa"/>
            <w:tcBorders>
              <w:right w:val="single" w:sz="4" w:space="0" w:color="auto"/>
            </w:tcBorders>
            <w:shd w:val="clear" w:color="auto" w:fill="FFFFFF"/>
          </w:tcPr>
          <w:p w14:paraId="45CA0744" w14:textId="77777777" w:rsidR="00584DDC" w:rsidRPr="001B69FD" w:rsidRDefault="00584DDC" w:rsidP="00DE3C69">
            <w:pPr>
              <w:pStyle w:val="CETBodytext"/>
              <w:jc w:val="center"/>
              <w:rPr>
                <w:lang w:val="en-GB"/>
              </w:rPr>
            </w:pPr>
            <w:r w:rsidRPr="001B69FD">
              <w:rPr>
                <w:lang w:val="en-GB"/>
              </w:rPr>
              <w:t>Surface tension</w:t>
            </w:r>
          </w:p>
          <w:p w14:paraId="1877D42D" w14:textId="0EF23601" w:rsidR="00584DDC" w:rsidRPr="001B69FD" w:rsidRDefault="00905FF4" w:rsidP="00DE3C69">
            <w:pPr>
              <w:pStyle w:val="CETBodytext"/>
              <w:jc w:val="center"/>
              <w:rPr>
                <w:lang w:val="en-GB"/>
              </w:rPr>
            </w:pPr>
            <w:r w:rsidRPr="001B69FD">
              <w:rPr>
                <w:lang w:val="en-GB"/>
              </w:rPr>
              <w:t>[</w:t>
            </w:r>
            <w:proofErr w:type="spellStart"/>
            <w:r w:rsidR="00807893" w:rsidRPr="001B69FD">
              <w:rPr>
                <w:lang w:val="en-GB"/>
              </w:rPr>
              <w:t>m</w:t>
            </w:r>
            <w:r w:rsidR="00584DDC" w:rsidRPr="001B69FD">
              <w:rPr>
                <w:lang w:val="en-GB"/>
              </w:rPr>
              <w:t>N</w:t>
            </w:r>
            <w:proofErr w:type="spellEnd"/>
            <w:r w:rsidR="00807893" w:rsidRPr="001B69FD">
              <w:rPr>
                <w:lang w:val="en-GB"/>
              </w:rPr>
              <w:t>/m</w:t>
            </w:r>
            <w:r w:rsidRPr="001B69FD">
              <w:rPr>
                <w:lang w:val="en-GB"/>
              </w:rPr>
              <w:t>]</w:t>
            </w:r>
          </w:p>
        </w:tc>
        <w:tc>
          <w:tcPr>
            <w:tcW w:w="992" w:type="dxa"/>
            <w:tcBorders>
              <w:left w:val="single" w:sz="4" w:space="0" w:color="auto"/>
            </w:tcBorders>
            <w:shd w:val="clear" w:color="auto" w:fill="FFFFFF"/>
            <w:vAlign w:val="center"/>
          </w:tcPr>
          <w:p w14:paraId="48136FAE" w14:textId="28F6B67E" w:rsidR="00584DDC" w:rsidRPr="001B69FD" w:rsidRDefault="00973010" w:rsidP="00DE3C69">
            <w:pPr>
              <w:pStyle w:val="CETBodytext"/>
              <w:jc w:val="center"/>
              <w:rPr>
                <w:lang w:val="en-GB"/>
              </w:rPr>
            </w:pPr>
            <w:r w:rsidRPr="001B69FD">
              <w:rPr>
                <w:lang w:val="en-GB"/>
              </w:rPr>
              <w:t>71.2</w:t>
            </w:r>
          </w:p>
        </w:tc>
        <w:tc>
          <w:tcPr>
            <w:tcW w:w="1134" w:type="dxa"/>
            <w:tcBorders>
              <w:right w:val="single" w:sz="4" w:space="0" w:color="auto"/>
            </w:tcBorders>
            <w:shd w:val="clear" w:color="auto" w:fill="FFFFFF"/>
            <w:vAlign w:val="center"/>
          </w:tcPr>
          <w:p w14:paraId="2CB03BEE" w14:textId="2D7E95D3" w:rsidR="00584DDC" w:rsidRPr="001B69FD" w:rsidRDefault="00973010" w:rsidP="00DE3C69">
            <w:pPr>
              <w:pStyle w:val="CETBodytext"/>
              <w:jc w:val="center"/>
              <w:rPr>
                <w:lang w:val="en-GB"/>
              </w:rPr>
            </w:pPr>
            <w:r w:rsidRPr="001B69FD">
              <w:rPr>
                <w:lang w:val="en-GB"/>
              </w:rPr>
              <w:t>68.6</w:t>
            </w:r>
          </w:p>
        </w:tc>
      </w:tr>
    </w:tbl>
    <w:p w14:paraId="24D72072" w14:textId="0D7653AB" w:rsidR="00A61671" w:rsidRPr="001B69FD" w:rsidRDefault="00A61671" w:rsidP="00A61671">
      <w:pPr>
        <w:pStyle w:val="CETBodytext"/>
        <w:jc w:val="center"/>
        <w:rPr>
          <w:i/>
          <w:iCs/>
          <w:lang w:val="en-GB"/>
        </w:rPr>
      </w:pPr>
      <w:r w:rsidRPr="001B69FD">
        <w:rPr>
          <w:i/>
          <w:iCs/>
          <w:noProof/>
          <w:lang w:val="en-GB"/>
        </w:rPr>
        <w:drawing>
          <wp:inline distT="0" distB="0" distL="0" distR="0" wp14:anchorId="0F747342" wp14:editId="66E15355">
            <wp:extent cx="4087636" cy="3390314"/>
            <wp:effectExtent l="0" t="0" r="8255" b="635"/>
            <wp:docPr id="2" name="Picture 1" descr="A collage of different images of different shapes&#10;&#10;AI-generated content may be incorrect.">
              <a:extLst xmlns:a="http://schemas.openxmlformats.org/drawingml/2006/main">
                <a:ext uri="{FF2B5EF4-FFF2-40B4-BE49-F238E27FC236}">
                  <a16:creationId xmlns:a16="http://schemas.microsoft.com/office/drawing/2014/main" id="{57221A3C-8801-18BB-A351-60B3205BF4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lage of different images of different shapes&#10;&#10;AI-generated content may be incorrect.">
                      <a:extLst>
                        <a:ext uri="{FF2B5EF4-FFF2-40B4-BE49-F238E27FC236}">
                          <a16:creationId xmlns:a16="http://schemas.microsoft.com/office/drawing/2014/main" id="{57221A3C-8801-18BB-A351-60B3205BF443}"/>
                        </a:ext>
                      </a:extLst>
                    </pic:cNvPr>
                    <pic:cNvPicPr>
                      <a:picLocks noChangeAspect="1"/>
                    </pic:cNvPicPr>
                  </pic:nvPicPr>
                  <pic:blipFill>
                    <a:blip r:embed="rId14"/>
                    <a:stretch>
                      <a:fillRect/>
                    </a:stretch>
                  </pic:blipFill>
                  <pic:spPr>
                    <a:xfrm>
                      <a:off x="0" y="0"/>
                      <a:ext cx="4142175" cy="3435549"/>
                    </a:xfrm>
                    <a:prstGeom prst="rect">
                      <a:avLst/>
                    </a:prstGeom>
                  </pic:spPr>
                </pic:pic>
              </a:graphicData>
            </a:graphic>
          </wp:inline>
        </w:drawing>
      </w:r>
    </w:p>
    <w:p w14:paraId="668FF504" w14:textId="5EFCD6BF" w:rsidR="00D47E7B" w:rsidRPr="001B69FD" w:rsidRDefault="00D47E7B" w:rsidP="00D47E7B">
      <w:pPr>
        <w:pStyle w:val="CETBodytext"/>
        <w:rPr>
          <w:i/>
          <w:iCs/>
          <w:lang w:val="en-GB"/>
        </w:rPr>
      </w:pPr>
      <w:r w:rsidRPr="001B69FD">
        <w:rPr>
          <w:i/>
          <w:iCs/>
          <w:lang w:val="en-GB"/>
        </w:rPr>
        <w:t xml:space="preserve">Figure </w:t>
      </w:r>
      <w:r w:rsidR="00810C35" w:rsidRPr="001B69FD">
        <w:rPr>
          <w:i/>
          <w:iCs/>
          <w:lang w:val="en-GB"/>
        </w:rPr>
        <w:t>4</w:t>
      </w:r>
      <w:r w:rsidRPr="001B69FD">
        <w:rPr>
          <w:i/>
          <w:iCs/>
          <w:lang w:val="en-GB"/>
        </w:rPr>
        <w:t>: Selected images</w:t>
      </w:r>
      <w:r w:rsidR="00E10FB5" w:rsidRPr="001B69FD">
        <w:rPr>
          <w:i/>
          <w:iCs/>
          <w:lang w:val="en-GB"/>
        </w:rPr>
        <w:t xml:space="preserve"> </w:t>
      </w:r>
      <w:r w:rsidR="00BC0F43" w:rsidRPr="001B69FD">
        <w:rPr>
          <w:i/>
          <w:iCs/>
          <w:lang w:val="en-GB"/>
        </w:rPr>
        <w:t>for</w:t>
      </w:r>
      <w:r w:rsidRPr="001B69FD">
        <w:rPr>
          <w:i/>
          <w:iCs/>
          <w:lang w:val="en-GB"/>
        </w:rPr>
        <w:t xml:space="preserve"> </w:t>
      </w:r>
      <w:r w:rsidR="00AD6D86" w:rsidRPr="001B69FD">
        <w:rPr>
          <w:i/>
          <w:iCs/>
          <w:lang w:val="en-GB"/>
        </w:rPr>
        <w:t>different flow number</w:t>
      </w:r>
      <w:r w:rsidR="007825EE" w:rsidRPr="001B69FD">
        <w:rPr>
          <w:i/>
          <w:iCs/>
          <w:lang w:val="en-GB"/>
        </w:rPr>
        <w:t>s</w:t>
      </w:r>
      <w:r w:rsidR="00AD6D86" w:rsidRPr="001B69FD">
        <w:rPr>
          <w:i/>
          <w:iCs/>
          <w:lang w:val="en-GB"/>
        </w:rPr>
        <w:t xml:space="preserve"> </w:t>
      </w:r>
      <w:r w:rsidR="00713825" w:rsidRPr="001B69FD">
        <w:rPr>
          <w:i/>
          <w:iCs/>
          <w:lang w:val="en-GB"/>
        </w:rPr>
        <w:t xml:space="preserve">with </w:t>
      </w:r>
      <w:r w:rsidRPr="001B69FD">
        <w:rPr>
          <w:i/>
          <w:iCs/>
          <w:lang w:val="en-GB"/>
        </w:rPr>
        <w:t xml:space="preserve">N=5 </w:t>
      </w:r>
      <w:proofErr w:type="spellStart"/>
      <w:r w:rsidRPr="001B69FD">
        <w:rPr>
          <w:i/>
          <w:iCs/>
          <w:lang w:val="en-GB"/>
        </w:rPr>
        <w:t>rps</w:t>
      </w:r>
      <w:proofErr w:type="spellEnd"/>
      <w:r w:rsidR="00BC0F43" w:rsidRPr="001B69FD">
        <w:rPr>
          <w:i/>
          <w:iCs/>
          <w:lang w:val="en-GB"/>
        </w:rPr>
        <w:t xml:space="preserve"> varying </w:t>
      </w:r>
      <w:r w:rsidR="001775A5" w:rsidRPr="001B69FD">
        <w:rPr>
          <w:i/>
          <w:iCs/>
          <w:lang w:val="en-GB"/>
        </w:rPr>
        <w:t>gas flow rate (</w:t>
      </w:r>
      <w:proofErr w:type="spellStart"/>
      <w:r w:rsidR="001775A5" w:rsidRPr="001B69FD">
        <w:rPr>
          <w:i/>
          <w:iCs/>
          <w:lang w:val="en-GB"/>
        </w:rPr>
        <w:t>Q</w:t>
      </w:r>
      <w:r w:rsidR="001775A5" w:rsidRPr="001B69FD">
        <w:rPr>
          <w:i/>
          <w:iCs/>
          <w:vertAlign w:val="subscript"/>
          <w:lang w:val="en-GB"/>
        </w:rPr>
        <w:t>g</w:t>
      </w:r>
      <w:proofErr w:type="spellEnd"/>
      <w:r w:rsidR="0041635A" w:rsidRPr="001B69FD">
        <w:rPr>
          <w:i/>
          <w:iCs/>
          <w:lang w:val="en-GB"/>
        </w:rPr>
        <w:t>, in L/</w:t>
      </w:r>
      <w:r w:rsidR="00F00D59" w:rsidRPr="001B69FD">
        <w:rPr>
          <w:i/>
          <w:iCs/>
          <w:lang w:val="en-GB"/>
        </w:rPr>
        <w:t>min</w:t>
      </w:r>
      <w:r w:rsidR="001775A5" w:rsidRPr="001B69FD">
        <w:rPr>
          <w:i/>
          <w:iCs/>
          <w:lang w:val="en-GB"/>
        </w:rPr>
        <w:t xml:space="preserve">) and the </w:t>
      </w:r>
      <w:r w:rsidR="00810C35" w:rsidRPr="001B69FD">
        <w:rPr>
          <w:i/>
          <w:iCs/>
          <w:lang w:val="en-GB"/>
        </w:rPr>
        <w:t>percentage of CMC on the continuous phase.</w:t>
      </w:r>
    </w:p>
    <w:p w14:paraId="281084EB" w14:textId="509A19B6" w:rsidR="0065596A" w:rsidRPr="001B69FD" w:rsidRDefault="00A379B4" w:rsidP="00F965D7">
      <w:pPr>
        <w:pStyle w:val="CETHeading1"/>
        <w:numPr>
          <w:ilvl w:val="0"/>
          <w:numId w:val="0"/>
        </w:numPr>
        <w:jc w:val="both"/>
        <w:rPr>
          <w:b w:val="0"/>
          <w:bCs/>
          <w:noProof/>
          <w:sz w:val="18"/>
          <w:szCs w:val="18"/>
          <w:lang w:val="en-GB"/>
        </w:rPr>
      </w:pPr>
      <w:r w:rsidRPr="001B69FD">
        <w:rPr>
          <w:b w:val="0"/>
          <w:bCs/>
          <w:noProof/>
          <w:sz w:val="18"/>
          <w:szCs w:val="18"/>
          <w:lang w:val="en-GB"/>
        </w:rPr>
        <w:lastRenderedPageBreak/>
        <w:t>F</w:t>
      </w:r>
      <w:r w:rsidR="008A134D" w:rsidRPr="001B69FD">
        <w:rPr>
          <w:b w:val="0"/>
          <w:bCs/>
          <w:noProof/>
          <w:sz w:val="18"/>
          <w:szCs w:val="18"/>
          <w:lang w:val="en-GB"/>
        </w:rPr>
        <w:t xml:space="preserve">igure </w:t>
      </w:r>
      <w:r w:rsidRPr="001B69FD">
        <w:rPr>
          <w:b w:val="0"/>
          <w:bCs/>
          <w:noProof/>
          <w:sz w:val="18"/>
          <w:szCs w:val="18"/>
          <w:lang w:val="en-GB"/>
        </w:rPr>
        <w:t xml:space="preserve">4 </w:t>
      </w:r>
      <w:r w:rsidR="008A134D" w:rsidRPr="001B69FD">
        <w:rPr>
          <w:b w:val="0"/>
          <w:bCs/>
          <w:noProof/>
          <w:sz w:val="18"/>
          <w:szCs w:val="18"/>
          <w:lang w:val="en-GB"/>
        </w:rPr>
        <w:t>presents selected images acquired at a constant rotational speed of N = 5 rps, illustrating the effect of gas flow rate (Q</w:t>
      </w:r>
      <w:r w:rsidR="008A134D" w:rsidRPr="001B69FD">
        <w:rPr>
          <w:b w:val="0"/>
          <w:bCs/>
          <w:noProof/>
          <w:sz w:val="18"/>
          <w:szCs w:val="18"/>
          <w:vertAlign w:val="subscript"/>
          <w:lang w:val="en-GB"/>
        </w:rPr>
        <w:t>g</w:t>
      </w:r>
      <w:r w:rsidR="008A134D" w:rsidRPr="001B69FD">
        <w:rPr>
          <w:b w:val="0"/>
          <w:bCs/>
          <w:noProof/>
          <w:sz w:val="18"/>
          <w:szCs w:val="18"/>
          <w:lang w:val="en-GB"/>
        </w:rPr>
        <w:t xml:space="preserve">) and CMC concentration in the continuous phase on bubble </w:t>
      </w:r>
      <w:r w:rsidRPr="001B69FD">
        <w:rPr>
          <w:b w:val="0"/>
          <w:bCs/>
          <w:noProof/>
          <w:sz w:val="18"/>
          <w:szCs w:val="18"/>
          <w:lang w:val="en-GB"/>
        </w:rPr>
        <w:t xml:space="preserve">size </w:t>
      </w:r>
      <w:r w:rsidR="008A134D" w:rsidRPr="001B69FD">
        <w:rPr>
          <w:b w:val="0"/>
          <w:bCs/>
          <w:noProof/>
          <w:sz w:val="18"/>
          <w:szCs w:val="18"/>
          <w:lang w:val="en-GB"/>
        </w:rPr>
        <w:t xml:space="preserve">and morphology. At </w:t>
      </w:r>
      <w:r w:rsidR="008E5773" w:rsidRPr="001B69FD">
        <w:rPr>
          <w:b w:val="0"/>
          <w:bCs/>
          <w:noProof/>
          <w:sz w:val="18"/>
          <w:szCs w:val="18"/>
          <w:lang w:val="en-GB"/>
        </w:rPr>
        <w:t>0</w:t>
      </w:r>
      <w:r w:rsidR="008A134D" w:rsidRPr="001B69FD">
        <w:rPr>
          <w:b w:val="0"/>
          <w:bCs/>
          <w:noProof/>
          <w:sz w:val="18"/>
          <w:szCs w:val="18"/>
          <w:lang w:val="en-GB"/>
        </w:rPr>
        <w:t xml:space="preserve"> CMC</w:t>
      </w:r>
      <w:r w:rsidR="008E5773" w:rsidRPr="001B69FD">
        <w:rPr>
          <w:b w:val="0"/>
          <w:bCs/>
          <w:noProof/>
          <w:sz w:val="18"/>
          <w:szCs w:val="18"/>
          <w:lang w:val="en-GB"/>
        </w:rPr>
        <w:t xml:space="preserve"> </w:t>
      </w:r>
      <w:r w:rsidR="00DB12E4" w:rsidRPr="001B69FD">
        <w:rPr>
          <w:b w:val="0"/>
          <w:bCs/>
          <w:noProof/>
          <w:sz w:val="18"/>
          <w:szCs w:val="18"/>
          <w:lang w:val="en-GB"/>
        </w:rPr>
        <w:t xml:space="preserve">content </w:t>
      </w:r>
      <w:r w:rsidR="008E5773" w:rsidRPr="001B69FD">
        <w:rPr>
          <w:b w:val="0"/>
          <w:bCs/>
          <w:noProof/>
          <w:sz w:val="18"/>
          <w:szCs w:val="18"/>
          <w:lang w:val="en-GB"/>
        </w:rPr>
        <w:t>(hence water as continuous phase)</w:t>
      </w:r>
      <w:r w:rsidR="008A134D" w:rsidRPr="001B69FD">
        <w:rPr>
          <w:b w:val="0"/>
          <w:bCs/>
          <w:noProof/>
          <w:sz w:val="18"/>
          <w:szCs w:val="18"/>
          <w:lang w:val="en-GB"/>
        </w:rPr>
        <w:t xml:space="preserve"> and</w:t>
      </w:r>
      <w:r w:rsidR="008E5773" w:rsidRPr="001B69FD">
        <w:rPr>
          <w:b w:val="0"/>
          <w:bCs/>
          <w:noProof/>
          <w:sz w:val="18"/>
          <w:szCs w:val="18"/>
          <w:lang w:val="en-GB"/>
        </w:rPr>
        <w:t xml:space="preserve"> for the different</w:t>
      </w:r>
      <w:r w:rsidR="008A134D" w:rsidRPr="001B69FD">
        <w:rPr>
          <w:b w:val="0"/>
          <w:bCs/>
          <w:noProof/>
          <w:sz w:val="18"/>
          <w:szCs w:val="18"/>
          <w:lang w:val="en-GB"/>
        </w:rPr>
        <w:t xml:space="preserve"> gas flow rates, the system is characterized by larger, more irregular bubbles and frequent bubble interactions, indicating active breakup and coalescence processes. As the gas flow rate increases, bubble density increases and deformation becomes more pronounced due to enhanced hydrodynamic stresses. Conversely, increasing the CMC percentage in the continuous phase leads to a clear transition toward smaller, more uniformly distributed bubbles, with reduced evidence of coalescence even at higher gas flow rates. This behavior is consistent with the rheological properties of CMC solutions, where increased viscosity and viscoelastic effects damp interfacial motion and stabilize bubbles against coalescence. The</w:t>
      </w:r>
      <w:r w:rsidR="006B1417" w:rsidRPr="001B69FD">
        <w:rPr>
          <w:b w:val="0"/>
          <w:bCs/>
          <w:noProof/>
          <w:sz w:val="18"/>
          <w:szCs w:val="18"/>
          <w:lang w:val="en-GB"/>
        </w:rPr>
        <w:t xml:space="preserve"> qualitatively</w:t>
      </w:r>
      <w:r w:rsidR="008A134D" w:rsidRPr="001B69FD">
        <w:rPr>
          <w:b w:val="0"/>
          <w:bCs/>
          <w:noProof/>
          <w:sz w:val="18"/>
          <w:szCs w:val="18"/>
          <w:lang w:val="en-GB"/>
        </w:rPr>
        <w:t xml:space="preserve"> visual observations </w:t>
      </w:r>
      <w:r w:rsidR="006B1417" w:rsidRPr="001B69FD">
        <w:rPr>
          <w:b w:val="0"/>
          <w:bCs/>
          <w:noProof/>
          <w:sz w:val="18"/>
          <w:szCs w:val="18"/>
          <w:lang w:val="en-GB"/>
        </w:rPr>
        <w:t xml:space="preserve">are </w:t>
      </w:r>
      <w:r w:rsidR="008A134D" w:rsidRPr="001B69FD">
        <w:rPr>
          <w:b w:val="0"/>
          <w:bCs/>
          <w:noProof/>
          <w:sz w:val="18"/>
          <w:szCs w:val="18"/>
          <w:lang w:val="en-GB"/>
        </w:rPr>
        <w:t>support</w:t>
      </w:r>
      <w:r w:rsidR="006B1417" w:rsidRPr="001B69FD">
        <w:rPr>
          <w:b w:val="0"/>
          <w:bCs/>
          <w:noProof/>
          <w:sz w:val="18"/>
          <w:szCs w:val="18"/>
          <w:lang w:val="en-GB"/>
        </w:rPr>
        <w:t>ed by</w:t>
      </w:r>
      <w:r w:rsidR="008A134D" w:rsidRPr="001B69FD">
        <w:rPr>
          <w:b w:val="0"/>
          <w:bCs/>
          <w:noProof/>
          <w:sz w:val="18"/>
          <w:szCs w:val="18"/>
          <w:lang w:val="en-GB"/>
        </w:rPr>
        <w:t xml:space="preserve"> the quantitative </w:t>
      </w:r>
      <w:r w:rsidRPr="001B69FD">
        <w:rPr>
          <w:b w:val="0"/>
          <w:bCs/>
          <w:noProof/>
          <w:sz w:val="18"/>
          <w:szCs w:val="18"/>
          <w:lang w:val="en-GB"/>
        </w:rPr>
        <w:t>cumulative density function (</w:t>
      </w:r>
      <w:r w:rsidR="008A134D" w:rsidRPr="001B69FD">
        <w:rPr>
          <w:b w:val="0"/>
          <w:bCs/>
          <w:noProof/>
          <w:sz w:val="18"/>
          <w:szCs w:val="18"/>
          <w:lang w:val="en-GB"/>
        </w:rPr>
        <w:t>CDF</w:t>
      </w:r>
      <w:r w:rsidRPr="001B69FD">
        <w:rPr>
          <w:b w:val="0"/>
          <w:bCs/>
          <w:noProof/>
          <w:sz w:val="18"/>
          <w:szCs w:val="18"/>
          <w:lang w:val="en-GB"/>
        </w:rPr>
        <w:t>)</w:t>
      </w:r>
      <w:r w:rsidR="008A134D" w:rsidRPr="001B69FD">
        <w:rPr>
          <w:b w:val="0"/>
          <w:bCs/>
          <w:noProof/>
          <w:sz w:val="18"/>
          <w:szCs w:val="18"/>
          <w:lang w:val="en-GB"/>
        </w:rPr>
        <w:t xml:space="preserve"> analysis, </w:t>
      </w:r>
      <w:r w:rsidR="006B1417" w:rsidRPr="001B69FD">
        <w:rPr>
          <w:b w:val="0"/>
          <w:bCs/>
          <w:noProof/>
          <w:sz w:val="18"/>
          <w:szCs w:val="18"/>
          <w:lang w:val="en-GB"/>
        </w:rPr>
        <w:t>showed in Figure 5.</w:t>
      </w:r>
    </w:p>
    <w:p w14:paraId="7986EC0B" w14:textId="076751CB" w:rsidR="00EA310C" w:rsidRPr="001B69FD" w:rsidRDefault="00F03D14" w:rsidP="00DE3C69">
      <w:pPr>
        <w:pStyle w:val="CETHeading1"/>
        <w:numPr>
          <w:ilvl w:val="0"/>
          <w:numId w:val="0"/>
        </w:numPr>
        <w:jc w:val="center"/>
        <w:rPr>
          <w:lang w:val="en-GB"/>
        </w:rPr>
      </w:pPr>
      <w:r w:rsidRPr="001B69FD">
        <w:rPr>
          <w:noProof/>
          <w:lang w:val="en-GB"/>
        </w:rPr>
        <w:drawing>
          <wp:inline distT="0" distB="0" distL="0" distR="0" wp14:anchorId="3790FEF7" wp14:editId="7091528E">
            <wp:extent cx="3041952" cy="1701338"/>
            <wp:effectExtent l="0" t="0" r="6350" b="0"/>
            <wp:docPr id="19976905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l="6613" t="7846" r="9991" b="9132"/>
                    <a:stretch>
                      <a:fillRect/>
                    </a:stretch>
                  </pic:blipFill>
                  <pic:spPr bwMode="auto">
                    <a:xfrm>
                      <a:off x="0" y="0"/>
                      <a:ext cx="3088671" cy="1727468"/>
                    </a:xfrm>
                    <a:prstGeom prst="rect">
                      <a:avLst/>
                    </a:prstGeom>
                    <a:noFill/>
                    <a:ln>
                      <a:noFill/>
                    </a:ln>
                    <a:extLst>
                      <a:ext uri="{53640926-AAD7-44D8-BBD7-CCE9431645EC}">
                        <a14:shadowObscured xmlns:a14="http://schemas.microsoft.com/office/drawing/2010/main"/>
                      </a:ext>
                    </a:extLst>
                  </pic:spPr>
                </pic:pic>
              </a:graphicData>
            </a:graphic>
          </wp:inline>
        </w:drawing>
      </w:r>
    </w:p>
    <w:p w14:paraId="35224846" w14:textId="2FF76005" w:rsidR="00EA310C" w:rsidRPr="001B69FD" w:rsidRDefault="00DE3C69" w:rsidP="00A010E0">
      <w:pPr>
        <w:pStyle w:val="CETBodytext"/>
        <w:rPr>
          <w:i/>
          <w:iCs/>
          <w:lang w:val="en-GB"/>
        </w:rPr>
      </w:pPr>
      <w:r w:rsidRPr="001B69FD">
        <w:rPr>
          <w:i/>
          <w:iCs/>
          <w:lang w:val="en-GB"/>
        </w:rPr>
        <w:t xml:space="preserve">Figure </w:t>
      </w:r>
      <w:r w:rsidR="00810C35" w:rsidRPr="001B69FD">
        <w:rPr>
          <w:i/>
          <w:iCs/>
          <w:lang w:val="en-GB"/>
        </w:rPr>
        <w:t>5</w:t>
      </w:r>
      <w:r w:rsidRPr="001B69FD">
        <w:rPr>
          <w:i/>
          <w:iCs/>
          <w:lang w:val="en-GB"/>
        </w:rPr>
        <w:t xml:space="preserve">: </w:t>
      </w:r>
      <w:r w:rsidR="001A51B5" w:rsidRPr="001B69FD">
        <w:rPr>
          <w:i/>
          <w:iCs/>
          <w:lang w:val="en-GB"/>
        </w:rPr>
        <w:t>S</w:t>
      </w:r>
      <w:r w:rsidR="006C4986" w:rsidRPr="001B69FD">
        <w:rPr>
          <w:i/>
          <w:iCs/>
          <w:lang w:val="en-GB"/>
        </w:rPr>
        <w:t xml:space="preserve">elected results for a </w:t>
      </w:r>
      <w:r w:rsidR="0074419C" w:rsidRPr="001B69FD">
        <w:rPr>
          <w:i/>
          <w:iCs/>
          <w:lang w:val="en-GB"/>
        </w:rPr>
        <w:t xml:space="preserve">gas flowrate of 60 L/min and N=5 </w:t>
      </w:r>
      <w:proofErr w:type="spellStart"/>
      <w:r w:rsidR="0074419C" w:rsidRPr="001B69FD">
        <w:rPr>
          <w:i/>
          <w:iCs/>
          <w:lang w:val="en-GB"/>
        </w:rPr>
        <w:t>rps</w:t>
      </w:r>
      <w:proofErr w:type="spellEnd"/>
      <w:r w:rsidR="001A51B5" w:rsidRPr="001B69FD">
        <w:rPr>
          <w:i/>
          <w:iCs/>
          <w:lang w:val="en-GB"/>
        </w:rPr>
        <w:t>. Comparison of CDF distributions</w:t>
      </w:r>
      <w:r w:rsidRPr="001B69FD">
        <w:rPr>
          <w:i/>
          <w:iCs/>
          <w:lang w:val="en-GB"/>
        </w:rPr>
        <w:t xml:space="preserve"> </w:t>
      </w:r>
      <w:r w:rsidR="001A51B5" w:rsidRPr="001B69FD">
        <w:rPr>
          <w:i/>
          <w:iCs/>
          <w:lang w:val="en-GB"/>
        </w:rPr>
        <w:t xml:space="preserve">for the </w:t>
      </w:r>
      <w:r w:rsidRPr="001B69FD">
        <w:rPr>
          <w:i/>
          <w:iCs/>
          <w:lang w:val="en-GB"/>
        </w:rPr>
        <w:t>equivalent diameters</w:t>
      </w:r>
      <w:r w:rsidR="00A010E0" w:rsidRPr="001B69FD">
        <w:rPr>
          <w:i/>
          <w:iCs/>
          <w:lang w:val="en-GB"/>
        </w:rPr>
        <w:t xml:space="preserve"> using water and 0.25% w/w CMC solution </w:t>
      </w:r>
      <w:r w:rsidR="00A379B4" w:rsidRPr="001B69FD">
        <w:rPr>
          <w:i/>
          <w:iCs/>
          <w:lang w:val="en-GB"/>
        </w:rPr>
        <w:t xml:space="preserve">as </w:t>
      </w:r>
      <w:r w:rsidR="00A010E0" w:rsidRPr="001B69FD">
        <w:rPr>
          <w:i/>
          <w:iCs/>
          <w:lang w:val="en-GB"/>
        </w:rPr>
        <w:t>continuous phases.</w:t>
      </w:r>
      <w:r w:rsidRPr="001B69FD">
        <w:rPr>
          <w:i/>
          <w:iCs/>
          <w:lang w:val="en-GB"/>
        </w:rPr>
        <w:t xml:space="preserve"> </w:t>
      </w:r>
    </w:p>
    <w:p w14:paraId="0C4DC4CF" w14:textId="77777777" w:rsidR="00B63780" w:rsidRPr="001B69FD" w:rsidRDefault="00B63780" w:rsidP="00B63780">
      <w:pPr>
        <w:pStyle w:val="CETBodytext"/>
        <w:rPr>
          <w:iCs/>
        </w:rPr>
      </w:pPr>
    </w:p>
    <w:p w14:paraId="29D8DCDE" w14:textId="50A3A2D5" w:rsidR="00EA310C" w:rsidRPr="001B69FD" w:rsidRDefault="00D63D8F" w:rsidP="00B63780">
      <w:pPr>
        <w:pStyle w:val="CETBodytext"/>
        <w:rPr>
          <w:iCs/>
        </w:rPr>
      </w:pPr>
      <w:r w:rsidRPr="001B69FD">
        <w:rPr>
          <w:iCs/>
        </w:rPr>
        <w:t xml:space="preserve">Figure </w:t>
      </w:r>
      <w:r w:rsidR="00810C35" w:rsidRPr="001B69FD">
        <w:rPr>
          <w:iCs/>
        </w:rPr>
        <w:t>5</w:t>
      </w:r>
      <w:r w:rsidRPr="001B69FD">
        <w:rPr>
          <w:iCs/>
        </w:rPr>
        <w:t xml:space="preserve"> compares the cumulative density function (CDF) of equivalent bubble diameters obtained using water and a 0.25% w/w CMC solution as continuous phases at a gas flow rate of 60 L/min and a rotational speed of N = 5 </w:t>
      </w:r>
      <w:proofErr w:type="spellStart"/>
      <w:r w:rsidRPr="001B69FD">
        <w:rPr>
          <w:iCs/>
        </w:rPr>
        <w:t>rps</w:t>
      </w:r>
      <w:proofErr w:type="spellEnd"/>
      <w:r w:rsidRPr="001B69FD">
        <w:rPr>
          <w:iCs/>
        </w:rPr>
        <w:t xml:space="preserve">. The CDF for the CMC solution is clearly shifted toward </w:t>
      </w:r>
      <w:r w:rsidR="00116775" w:rsidRPr="001B69FD">
        <w:rPr>
          <w:iCs/>
        </w:rPr>
        <w:t>smaller</w:t>
      </w:r>
      <w:r w:rsidRPr="001B69FD">
        <w:rPr>
          <w:iCs/>
        </w:rPr>
        <w:t xml:space="preserve"> equivalent diameters compared with water, indicating </w:t>
      </w:r>
      <w:r w:rsidR="00B63780" w:rsidRPr="001B69FD">
        <w:rPr>
          <w:iCs/>
        </w:rPr>
        <w:t xml:space="preserve">the presence of different dynamics in the system </w:t>
      </w:r>
      <w:r w:rsidRPr="001B69FD">
        <w:rPr>
          <w:iCs/>
        </w:rPr>
        <w:t xml:space="preserve">and the formation of </w:t>
      </w:r>
      <w:r w:rsidR="00B63780" w:rsidRPr="001B69FD">
        <w:rPr>
          <w:iCs/>
        </w:rPr>
        <w:t>smaller</w:t>
      </w:r>
      <w:r w:rsidRPr="001B69FD">
        <w:rPr>
          <w:iCs/>
        </w:rPr>
        <w:t xml:space="preserve"> bubbles. This behavior is</w:t>
      </w:r>
      <w:r w:rsidR="005C0AFE" w:rsidRPr="001B69FD">
        <w:rPr>
          <w:iCs/>
        </w:rPr>
        <w:t xml:space="preserve"> not explained only</w:t>
      </w:r>
      <w:r w:rsidRPr="001B69FD">
        <w:rPr>
          <w:iCs/>
        </w:rPr>
        <w:t xml:space="preserve"> with the surface tension measurements, which showed only a slight reduction in surface tension for the 0.25% w/w CMC solution (≈70 </w:t>
      </w:r>
      <w:proofErr w:type="spellStart"/>
      <w:r w:rsidRPr="001B69FD">
        <w:rPr>
          <w:iCs/>
        </w:rPr>
        <w:t>mN</w:t>
      </w:r>
      <w:proofErr w:type="spellEnd"/>
      <w:r w:rsidRPr="001B69FD">
        <w:rPr>
          <w:iCs/>
        </w:rPr>
        <w:t xml:space="preserve">/m) relative to pure water at 22 °C. Since the surface tension remains close to that of water, interfacial tension reduction alone cannot account for the observed </w:t>
      </w:r>
      <w:r w:rsidR="005C0AFE" w:rsidRPr="001B69FD">
        <w:rPr>
          <w:iCs/>
        </w:rPr>
        <w:t>shift</w:t>
      </w:r>
      <w:r w:rsidRPr="001B69FD">
        <w:rPr>
          <w:iCs/>
        </w:rPr>
        <w:t xml:space="preserve"> in bubble size. Instead, the results suggest that the increased viscosity and elastic effects of the polymer solution play a dominant role in suppressing bubble </w:t>
      </w:r>
      <w:r w:rsidR="002E7DD5" w:rsidRPr="001B69FD">
        <w:rPr>
          <w:iCs/>
        </w:rPr>
        <w:t>coalescence</w:t>
      </w:r>
      <w:r w:rsidRPr="001B69FD">
        <w:rPr>
          <w:iCs/>
        </w:rPr>
        <w:t>. Together, the surface tension and CDF results indicate that, at this concentration, CMC influences bubble dynamics primarily through rheological effects rather than interfacial tension reduction.</w:t>
      </w:r>
      <w:r w:rsidR="002E7DD5" w:rsidRPr="001B69FD">
        <w:rPr>
          <w:iCs/>
        </w:rPr>
        <w:t xml:space="preserve"> Similar results were observed also with the other CMC solution.</w:t>
      </w:r>
    </w:p>
    <w:p w14:paraId="67353397" w14:textId="0CF5873E" w:rsidR="00CC55C9" w:rsidRPr="001B69FD" w:rsidRDefault="00CC55C9" w:rsidP="00B63780">
      <w:pPr>
        <w:pStyle w:val="CETBodytext"/>
        <w:rPr>
          <w:iCs/>
        </w:rPr>
      </w:pPr>
      <w:r w:rsidRPr="001B69FD">
        <w:rPr>
          <w:iCs/>
        </w:rPr>
        <w:t xml:space="preserve">These findings are especially important for numerical simulation purposes, as they highlight the limitations of models that rely solely on surface </w:t>
      </w:r>
      <w:r w:rsidR="0041635A" w:rsidRPr="001B69FD">
        <w:rPr>
          <w:iCs/>
        </w:rPr>
        <w:t>tension-based</w:t>
      </w:r>
      <w:r w:rsidRPr="001B69FD">
        <w:rPr>
          <w:iCs/>
        </w:rPr>
        <w:t xml:space="preserve"> correlations for bubble breakup and coalescence</w:t>
      </w:r>
      <w:r w:rsidR="008263E2" w:rsidRPr="001B69FD">
        <w:rPr>
          <w:iCs/>
        </w:rPr>
        <w:t xml:space="preserve"> when non-Newtonian fluids</w:t>
      </w:r>
      <w:r w:rsidR="0078117F" w:rsidRPr="001B69FD">
        <w:rPr>
          <w:iCs/>
        </w:rPr>
        <w:t xml:space="preserve"> </w:t>
      </w:r>
      <w:r w:rsidR="00ED62C1" w:rsidRPr="001B69FD">
        <w:rPr>
          <w:iCs/>
        </w:rPr>
        <w:t>are involved</w:t>
      </w:r>
      <w:r w:rsidRPr="001B69FD">
        <w:rPr>
          <w:iCs/>
        </w:rPr>
        <w:t xml:space="preserve">. For CMC solutions, accurate simulations must account for non-Newtonian rheology, viscoelastic stresses, and their influence on interfacial dynamics, which directly affect bubble size distributions. Neglecting these effects may lead to significant discrepancies between predicted and experimental results, even when surface tension values are </w:t>
      </w:r>
      <w:r w:rsidR="00AD04E1" w:rsidRPr="001B69FD">
        <w:rPr>
          <w:iCs/>
        </w:rPr>
        <w:t>like</w:t>
      </w:r>
      <w:r w:rsidRPr="001B69FD">
        <w:rPr>
          <w:iCs/>
        </w:rPr>
        <w:t xml:space="preserve"> those of water. Therefore, the present results emphasize the need for rheology-aware multiphase models when simulating gas–liquid systems involving polymer solutions. Similar trends were also observed for the other CMC solutions investigated, confirming the robustness of this conclusion.</w:t>
      </w:r>
    </w:p>
    <w:p w14:paraId="68D26B83" w14:textId="7F3B87E2" w:rsidR="00600535" w:rsidRPr="001B69FD" w:rsidRDefault="00600535" w:rsidP="00600535">
      <w:pPr>
        <w:pStyle w:val="CETHeading1"/>
        <w:rPr>
          <w:lang w:val="en-GB"/>
        </w:rPr>
      </w:pPr>
      <w:r w:rsidRPr="001B69FD">
        <w:rPr>
          <w:lang w:val="en-GB"/>
        </w:rPr>
        <w:t>Conclusions</w:t>
      </w:r>
    </w:p>
    <w:p w14:paraId="0CD04123" w14:textId="79F5A756" w:rsidR="00810C2A" w:rsidRPr="001B69FD" w:rsidRDefault="00810C2A" w:rsidP="00810C2A">
      <w:pPr>
        <w:pStyle w:val="CETHeadingxx"/>
        <w:rPr>
          <w:bCs w:val="0"/>
          <w:lang w:val="en-GB"/>
        </w:rPr>
      </w:pPr>
      <w:r w:rsidRPr="001B69FD">
        <w:rPr>
          <w:bCs w:val="0"/>
          <w:lang w:val="en-GB"/>
        </w:rPr>
        <w:t>This study provides a comprehensive experimental analysis of gas</w:t>
      </w:r>
      <w:r w:rsidR="005D3D11" w:rsidRPr="001B69FD">
        <w:rPr>
          <w:bCs w:val="0"/>
          <w:lang w:val="en-GB"/>
        </w:rPr>
        <w:t>-</w:t>
      </w:r>
      <w:r w:rsidRPr="001B69FD">
        <w:rPr>
          <w:bCs w:val="0"/>
          <w:lang w:val="en-GB"/>
        </w:rPr>
        <w:t xml:space="preserve">liquid hydrodynamics in a pilot-scale stirred vessel operating with non-Newtonian, shear-thinning continuous phases. Using CMC solutions as representative mimic fluids, the results demonstrate that fluid rheology plays a dominant role in determining power consumption, bubble morphology, and bubble size distribution under both un-gassed and gassed conditions. While increasing CMC concentration significantly affected apparent viscosity and power number, surface tension measurements showed only minor deviations from that of water, indicating that interfacial tension reduction alone cannot explain the observed changes in bubble dynamics. High-speed imaging and quantitative bubble size distribution analysis revealed a clear transition toward smaller and more uniformly distributed bubbles in CMC solutions, accompanied by a marked suppression of bubble coalescence. These effects are attributed to the shear-dependent viscosity and viscoelastic stresses of the polymeric solutions, which modify local hydrodynamics and interfacial behaviour. Importantly, these findings were consistent across </w:t>
      </w:r>
      <w:r w:rsidRPr="001B69FD">
        <w:rPr>
          <w:bCs w:val="0"/>
          <w:lang w:val="en-GB"/>
        </w:rPr>
        <w:lastRenderedPageBreak/>
        <w:t>operating conditions and CMC concentrations, confirming the robustness of the observed trends. From a modelling perspective, the results emphasize that conventional multiphase approaches based on Newtonian assumptions and surface tension</w:t>
      </w:r>
      <w:r w:rsidR="005D3D11" w:rsidRPr="001B69FD">
        <w:rPr>
          <w:bCs w:val="0"/>
          <w:lang w:val="en-GB"/>
        </w:rPr>
        <w:t>-</w:t>
      </w:r>
      <w:r w:rsidRPr="001B69FD">
        <w:rPr>
          <w:bCs w:val="0"/>
          <w:lang w:val="en-GB"/>
        </w:rPr>
        <w:t>driven closures are insufficient to accurately describe gas</w:t>
      </w:r>
      <w:r w:rsidR="005D3D11" w:rsidRPr="001B69FD">
        <w:rPr>
          <w:bCs w:val="0"/>
          <w:lang w:val="en-GB"/>
        </w:rPr>
        <w:t>-</w:t>
      </w:r>
      <w:r w:rsidRPr="001B69FD">
        <w:rPr>
          <w:bCs w:val="0"/>
          <w:lang w:val="en-GB"/>
        </w:rPr>
        <w:t>non-Newtonian liquid systems. The experimental data presented here provide valuable pilot-scale benchmarks for the development and validation of rheology-aware CFD models that explicitly account for non-Newtonian viscosity and elastic effects. Such models are essential for reliable scale-up and optimization of industrial processes, particularly in applications such as anaerobic digestion and biomethane production, where complex fluid behaviour strongly influences reactor performance.</w:t>
      </w:r>
    </w:p>
    <w:p w14:paraId="7A5EEAB6" w14:textId="77777777" w:rsidR="00D510BD" w:rsidRPr="001B69FD" w:rsidRDefault="00D510BD" w:rsidP="00810C2A">
      <w:pPr>
        <w:pStyle w:val="CETHeadingxx"/>
        <w:rPr>
          <w:bCs w:val="0"/>
          <w:lang w:val="en-GB"/>
        </w:rPr>
      </w:pPr>
    </w:p>
    <w:p w14:paraId="07A6D20F" w14:textId="56EE3E13" w:rsidR="00280FAF" w:rsidRPr="001B69FD" w:rsidRDefault="00280FAF" w:rsidP="00810C2A">
      <w:pPr>
        <w:pStyle w:val="CETHeadingxx"/>
        <w:rPr>
          <w:lang w:val="en-GB"/>
        </w:rPr>
        <w:sectPr w:rsidR="00280FAF" w:rsidRPr="001B69FD" w:rsidSect="008314D7">
          <w:type w:val="continuous"/>
          <w:pgSz w:w="11906" w:h="16838" w:code="9"/>
          <w:pgMar w:top="1701" w:right="1418" w:bottom="1701" w:left="1701" w:header="1701" w:footer="0" w:gutter="0"/>
          <w:cols w:space="708"/>
          <w:formProt w:val="0"/>
          <w:titlePg/>
          <w:docGrid w:linePitch="360"/>
        </w:sectPr>
      </w:pPr>
      <w:r w:rsidRPr="001B69FD">
        <w:t>Nomenclature</w:t>
      </w:r>
    </w:p>
    <w:p w14:paraId="75EAED6F" w14:textId="77777777" w:rsidR="00D60919" w:rsidRPr="001B69FD" w:rsidRDefault="001D55C7" w:rsidP="00D60919">
      <w:pPr>
        <w:pStyle w:val="CETBodytext"/>
        <w:jc w:val="left"/>
        <w:rPr>
          <w:rFonts w:eastAsia="SimSun"/>
        </w:rPr>
      </w:pPr>
      <w:proofErr w:type="gramStart"/>
      <w:r w:rsidRPr="001B69FD">
        <w:rPr>
          <w:rFonts w:eastAsia="SimSun"/>
        </w:rPr>
        <w:t>C  Impeller</w:t>
      </w:r>
      <w:proofErr w:type="gramEnd"/>
      <w:r w:rsidRPr="001B69FD">
        <w:rPr>
          <w:rFonts w:eastAsia="SimSun"/>
        </w:rPr>
        <w:t xml:space="preserve"> clearance from the tank bottom (m)</w:t>
      </w:r>
    </w:p>
    <w:p w14:paraId="22BF35FA" w14:textId="153A39F7" w:rsidR="001D55C7" w:rsidRPr="001B69FD" w:rsidRDefault="001D55C7" w:rsidP="00D60919">
      <w:pPr>
        <w:pStyle w:val="CETBodytext"/>
        <w:jc w:val="left"/>
        <w:rPr>
          <w:rFonts w:eastAsia="SimSun"/>
        </w:rPr>
      </w:pPr>
      <w:proofErr w:type="gramStart"/>
      <w:r w:rsidRPr="001B69FD">
        <w:rPr>
          <w:rFonts w:eastAsia="SimSun"/>
        </w:rPr>
        <w:t>D </w:t>
      </w:r>
      <w:r w:rsidR="00D60919" w:rsidRPr="001B69FD">
        <w:rPr>
          <w:rFonts w:eastAsia="SimSun"/>
        </w:rPr>
        <w:t xml:space="preserve"> </w:t>
      </w:r>
      <w:r w:rsidRPr="001B69FD">
        <w:rPr>
          <w:rFonts w:eastAsia="SimSun"/>
        </w:rPr>
        <w:t>Impeller</w:t>
      </w:r>
      <w:proofErr w:type="gramEnd"/>
      <w:r w:rsidRPr="001B69FD">
        <w:rPr>
          <w:rFonts w:eastAsia="SimSun"/>
        </w:rPr>
        <w:t xml:space="preserve"> diameter (m)</w:t>
      </w:r>
    </w:p>
    <w:p w14:paraId="1C867CC2" w14:textId="1F7A0BA6" w:rsidR="001D55C7" w:rsidRPr="001B69FD" w:rsidRDefault="001D55C7" w:rsidP="00D60919">
      <w:pPr>
        <w:pStyle w:val="CETBodytext"/>
        <w:jc w:val="left"/>
        <w:rPr>
          <w:rFonts w:eastAsia="SimSun"/>
        </w:rPr>
      </w:pPr>
      <w:r w:rsidRPr="001B69FD">
        <w:rPr>
          <w:rFonts w:eastAsia="SimSun"/>
        </w:rPr>
        <w:t xml:space="preserve">H </w:t>
      </w:r>
      <w:r w:rsidR="00D60919" w:rsidRPr="001B69FD">
        <w:rPr>
          <w:rFonts w:eastAsia="SimSun"/>
        </w:rPr>
        <w:t xml:space="preserve">  </w:t>
      </w:r>
      <w:r w:rsidR="00703A17" w:rsidRPr="001B69FD">
        <w:rPr>
          <w:rFonts w:eastAsia="SimSun"/>
        </w:rPr>
        <w:t xml:space="preserve"> </w:t>
      </w:r>
      <w:r w:rsidR="00D60919" w:rsidRPr="001B69FD">
        <w:rPr>
          <w:rFonts w:eastAsia="SimSun"/>
        </w:rPr>
        <w:t xml:space="preserve"> </w:t>
      </w:r>
      <w:r w:rsidRPr="001B69FD">
        <w:rPr>
          <w:rFonts w:eastAsia="SimSun"/>
        </w:rPr>
        <w:t>Liquid height in the vessel (m)</w:t>
      </w:r>
    </w:p>
    <w:p w14:paraId="159D9990" w14:textId="63720ACB" w:rsidR="0071733B" w:rsidRPr="001B69FD" w:rsidRDefault="0071733B" w:rsidP="00D60919">
      <w:pPr>
        <w:pStyle w:val="CETBodytext"/>
        <w:jc w:val="left"/>
        <w:rPr>
          <w:rFonts w:eastAsia="SimSun"/>
        </w:rPr>
      </w:pPr>
      <w:r w:rsidRPr="001B69FD">
        <w:rPr>
          <w:rFonts w:eastAsia="SimSun"/>
        </w:rPr>
        <w:t>Fl   Flow Number (–)</w:t>
      </w:r>
    </w:p>
    <w:p w14:paraId="60604812" w14:textId="573BCCC5" w:rsidR="001D55C7" w:rsidRPr="001B69FD" w:rsidRDefault="001D55C7" w:rsidP="00D60919">
      <w:pPr>
        <w:pStyle w:val="CETBodytext"/>
        <w:jc w:val="left"/>
        <w:rPr>
          <w:rFonts w:eastAsia="SimSun"/>
        </w:rPr>
      </w:pPr>
      <w:proofErr w:type="gramStart"/>
      <w:r w:rsidRPr="001B69FD">
        <w:rPr>
          <w:rFonts w:eastAsia="SimSun"/>
        </w:rPr>
        <w:t>K  </w:t>
      </w:r>
      <w:r w:rsidR="00D60919" w:rsidRPr="001B69FD">
        <w:rPr>
          <w:rFonts w:eastAsia="SimSun"/>
        </w:rPr>
        <w:t>C</w:t>
      </w:r>
      <w:r w:rsidRPr="001B69FD">
        <w:rPr>
          <w:rFonts w:eastAsia="SimSun"/>
        </w:rPr>
        <w:t>onsistency</w:t>
      </w:r>
      <w:proofErr w:type="gramEnd"/>
      <w:r w:rsidRPr="001B69FD">
        <w:rPr>
          <w:rFonts w:eastAsia="SimSun"/>
        </w:rPr>
        <w:t xml:space="preserve"> index </w:t>
      </w:r>
      <w:r w:rsidR="00D60919" w:rsidRPr="001B69FD">
        <w:rPr>
          <w:rFonts w:eastAsia="SimSun"/>
        </w:rPr>
        <w:t>(</w:t>
      </w:r>
      <w:proofErr w:type="spellStart"/>
      <w:r w:rsidRPr="001B69FD">
        <w:rPr>
          <w:rFonts w:eastAsia="SimSun"/>
        </w:rPr>
        <w:t>Pa·s</w:t>
      </w:r>
      <w:r w:rsidRPr="001B69FD">
        <w:rPr>
          <w:rFonts w:eastAsia="SimSun"/>
          <w:vertAlign w:val="superscript"/>
        </w:rPr>
        <w:t>n</w:t>
      </w:r>
      <w:proofErr w:type="spellEnd"/>
      <w:r w:rsidR="00D60919" w:rsidRPr="001B69FD">
        <w:rPr>
          <w:rFonts w:eastAsia="SimSun"/>
        </w:rPr>
        <w:t>)</w:t>
      </w:r>
    </w:p>
    <w:p w14:paraId="68B9B37A" w14:textId="0F9DE4C1" w:rsidR="001D55C7" w:rsidRPr="001B69FD" w:rsidRDefault="001D55C7" w:rsidP="00D60919">
      <w:pPr>
        <w:pStyle w:val="CETBodytext"/>
        <w:jc w:val="left"/>
        <w:rPr>
          <w:rFonts w:eastAsia="SimSun"/>
        </w:rPr>
      </w:pPr>
      <w:proofErr w:type="gramStart"/>
      <w:r w:rsidRPr="001B69FD">
        <w:rPr>
          <w:rFonts w:eastAsia="SimSun"/>
        </w:rPr>
        <w:t>n  Flow</w:t>
      </w:r>
      <w:proofErr w:type="gramEnd"/>
      <w:r w:rsidRPr="001B69FD">
        <w:rPr>
          <w:rFonts w:eastAsia="SimSun"/>
        </w:rPr>
        <w:t xml:space="preserve"> behavior index (–)</w:t>
      </w:r>
    </w:p>
    <w:p w14:paraId="37274077" w14:textId="7DC37EA1" w:rsidR="001D55C7" w:rsidRPr="001B69FD" w:rsidRDefault="001D55C7" w:rsidP="00D60919">
      <w:pPr>
        <w:pStyle w:val="CETBodytext"/>
        <w:jc w:val="left"/>
        <w:rPr>
          <w:rFonts w:eastAsia="SimSun"/>
        </w:rPr>
      </w:pPr>
      <w:proofErr w:type="gramStart"/>
      <w:r w:rsidRPr="001B69FD">
        <w:rPr>
          <w:rFonts w:eastAsia="SimSun"/>
        </w:rPr>
        <w:t>N  Impeller</w:t>
      </w:r>
      <w:proofErr w:type="gramEnd"/>
      <w:r w:rsidRPr="001B69FD">
        <w:rPr>
          <w:rFonts w:eastAsia="SimSun"/>
        </w:rPr>
        <w:t xml:space="preserve"> rotational speed (</w:t>
      </w:r>
      <w:proofErr w:type="spellStart"/>
      <w:r w:rsidRPr="001B69FD">
        <w:rPr>
          <w:rFonts w:eastAsia="SimSun"/>
        </w:rPr>
        <w:t>rps</w:t>
      </w:r>
      <w:proofErr w:type="spellEnd"/>
      <w:r w:rsidRPr="001B69FD">
        <w:rPr>
          <w:rFonts w:eastAsia="SimSun"/>
        </w:rPr>
        <w:t>)</w:t>
      </w:r>
    </w:p>
    <w:p w14:paraId="77E0D358" w14:textId="281DAF68" w:rsidR="001D55C7" w:rsidRPr="001B69FD" w:rsidRDefault="001D55C7" w:rsidP="00D60919">
      <w:pPr>
        <w:pStyle w:val="CETBodytext"/>
        <w:jc w:val="left"/>
        <w:rPr>
          <w:rFonts w:eastAsia="SimSun"/>
        </w:rPr>
      </w:pPr>
      <w:r w:rsidRPr="001B69FD">
        <w:rPr>
          <w:rFonts w:eastAsia="SimSun"/>
        </w:rPr>
        <w:t xml:space="preserve">P </w:t>
      </w:r>
      <w:r w:rsidR="00D60919" w:rsidRPr="001B69FD">
        <w:rPr>
          <w:rFonts w:eastAsia="SimSun"/>
        </w:rPr>
        <w:t xml:space="preserve">   </w:t>
      </w:r>
      <w:r w:rsidR="00703A17" w:rsidRPr="001B69FD">
        <w:rPr>
          <w:rFonts w:eastAsia="SimSun"/>
        </w:rPr>
        <w:t xml:space="preserve"> </w:t>
      </w:r>
      <w:r w:rsidRPr="001B69FD">
        <w:rPr>
          <w:rFonts w:eastAsia="SimSun"/>
        </w:rPr>
        <w:t>Power consumption (W)</w:t>
      </w:r>
    </w:p>
    <w:p w14:paraId="0718C711" w14:textId="2626EE70" w:rsidR="001D55C7" w:rsidRPr="001B69FD" w:rsidRDefault="00D60919" w:rsidP="00D60919">
      <w:pPr>
        <w:pStyle w:val="CETBodytext"/>
        <w:jc w:val="left"/>
        <w:rPr>
          <w:rFonts w:eastAsia="SimSun"/>
        </w:rPr>
      </w:pPr>
      <w:r w:rsidRPr="001B69FD">
        <w:rPr>
          <w:rFonts w:eastAsia="SimSun"/>
        </w:rPr>
        <w:t>Po</w:t>
      </w:r>
      <w:r w:rsidR="001D55C7" w:rsidRPr="001B69FD">
        <w:rPr>
          <w:rFonts w:eastAsia="SimSun"/>
        </w:rPr>
        <w:t xml:space="preserve"> </w:t>
      </w:r>
      <w:r w:rsidR="00703A17" w:rsidRPr="001B69FD">
        <w:rPr>
          <w:rFonts w:eastAsia="SimSun"/>
        </w:rPr>
        <w:t xml:space="preserve">  </w:t>
      </w:r>
      <w:r w:rsidR="001D55C7" w:rsidRPr="001B69FD">
        <w:rPr>
          <w:rFonts w:eastAsia="SimSun"/>
        </w:rPr>
        <w:t>Power number (–)</w:t>
      </w:r>
    </w:p>
    <w:p w14:paraId="5C998076" w14:textId="75FFC455" w:rsidR="001D55C7" w:rsidRPr="001B69FD" w:rsidRDefault="001D55C7" w:rsidP="00D60919">
      <w:pPr>
        <w:pStyle w:val="CETBodytext"/>
        <w:jc w:val="left"/>
        <w:rPr>
          <w:rFonts w:eastAsia="SimSun"/>
        </w:rPr>
      </w:pPr>
      <w:proofErr w:type="spellStart"/>
      <w:r w:rsidRPr="001B69FD">
        <w:rPr>
          <w:rFonts w:eastAsia="SimSun"/>
        </w:rPr>
        <w:t>Q</w:t>
      </w:r>
      <w:r w:rsidRPr="001B69FD">
        <w:rPr>
          <w:rFonts w:eastAsia="SimSun"/>
          <w:vertAlign w:val="subscript"/>
        </w:rPr>
        <w:t>g</w:t>
      </w:r>
      <w:proofErr w:type="spellEnd"/>
      <w:r w:rsidR="00D60919" w:rsidRPr="001B69FD">
        <w:rPr>
          <w:rFonts w:eastAsia="SimSun"/>
          <w:vertAlign w:val="subscript"/>
        </w:rPr>
        <w:t xml:space="preserve"> </w:t>
      </w:r>
      <w:r w:rsidR="00703A17" w:rsidRPr="001B69FD">
        <w:rPr>
          <w:rFonts w:eastAsia="SimSun"/>
          <w:vertAlign w:val="subscript"/>
        </w:rPr>
        <w:t xml:space="preserve">   </w:t>
      </w:r>
      <w:r w:rsidRPr="001B69FD">
        <w:rPr>
          <w:rFonts w:eastAsia="SimSun"/>
        </w:rPr>
        <w:t>Gas flow rate (L·min</w:t>
      </w:r>
      <w:r w:rsidRPr="001B69FD">
        <w:rPr>
          <w:rFonts w:eastAsia="SimSun"/>
          <w:vertAlign w:val="superscript"/>
        </w:rPr>
        <w:t>-1</w:t>
      </w:r>
      <w:r w:rsidRPr="001B69FD">
        <w:rPr>
          <w:rFonts w:eastAsia="SimSun"/>
        </w:rPr>
        <w:t>)</w:t>
      </w:r>
    </w:p>
    <w:p w14:paraId="07E20BEF" w14:textId="3A701A5F" w:rsidR="001D55C7" w:rsidRPr="001B69FD" w:rsidRDefault="001D55C7" w:rsidP="00D60919">
      <w:pPr>
        <w:pStyle w:val="CETBodytext"/>
        <w:jc w:val="left"/>
        <w:rPr>
          <w:rFonts w:eastAsia="SimSun"/>
        </w:rPr>
      </w:pPr>
      <w:proofErr w:type="gramStart"/>
      <w:r w:rsidRPr="001B69FD">
        <w:rPr>
          <w:rFonts w:eastAsia="SimSun"/>
        </w:rPr>
        <w:t>Re</w:t>
      </w:r>
      <w:r w:rsidR="00703A17" w:rsidRPr="001B69FD">
        <w:rPr>
          <w:rFonts w:eastAsia="SimSun"/>
        </w:rPr>
        <w:t xml:space="preserve"> </w:t>
      </w:r>
      <w:r w:rsidRPr="001B69FD">
        <w:rPr>
          <w:rFonts w:eastAsia="SimSun"/>
        </w:rPr>
        <w:t xml:space="preserve"> Reynolds</w:t>
      </w:r>
      <w:proofErr w:type="gramEnd"/>
      <w:r w:rsidRPr="001B69FD">
        <w:rPr>
          <w:rFonts w:eastAsia="SimSun"/>
        </w:rPr>
        <w:t xml:space="preserve"> number (–)</w:t>
      </w:r>
    </w:p>
    <w:p w14:paraId="05F073DE" w14:textId="79B071DE" w:rsidR="001D55C7" w:rsidRPr="001B69FD" w:rsidRDefault="001D55C7" w:rsidP="00D60919">
      <w:pPr>
        <w:pStyle w:val="CETBodytext"/>
        <w:jc w:val="left"/>
        <w:rPr>
          <w:rFonts w:eastAsia="SimSun"/>
        </w:rPr>
      </w:pPr>
      <w:r w:rsidRPr="001B69FD">
        <w:rPr>
          <w:rFonts w:eastAsia="SimSun"/>
        </w:rPr>
        <w:t xml:space="preserve">T </w:t>
      </w:r>
      <w:r w:rsidR="00D60919" w:rsidRPr="001B69FD">
        <w:rPr>
          <w:rFonts w:eastAsia="SimSun"/>
        </w:rPr>
        <w:t xml:space="preserve">  </w:t>
      </w:r>
      <w:r w:rsidR="00703A17" w:rsidRPr="001B69FD">
        <w:rPr>
          <w:rFonts w:eastAsia="SimSun"/>
        </w:rPr>
        <w:t xml:space="preserve"> </w:t>
      </w:r>
      <w:r w:rsidRPr="001B69FD">
        <w:rPr>
          <w:rFonts w:eastAsia="SimSun"/>
        </w:rPr>
        <w:t>Tank diameter (m)</w:t>
      </w:r>
    </w:p>
    <w:p w14:paraId="7499CD48" w14:textId="199EB50D" w:rsidR="001D55C7" w:rsidRPr="001B69FD" w:rsidRDefault="001D55C7" w:rsidP="00D60919">
      <w:pPr>
        <w:pStyle w:val="CETBodytext"/>
        <w:jc w:val="left"/>
        <w:rPr>
          <w:rFonts w:eastAsia="SimSun"/>
        </w:rPr>
      </w:pPr>
      <w:r w:rsidRPr="001B69FD">
        <w:rPr>
          <w:rFonts w:eastAsia="SimSun"/>
        </w:rPr>
        <w:t>V Liquid volume (m</w:t>
      </w:r>
      <w:r w:rsidRPr="001B69FD">
        <w:rPr>
          <w:rFonts w:eastAsia="SimSun"/>
          <w:vertAlign w:val="superscript"/>
        </w:rPr>
        <w:t>3</w:t>
      </w:r>
      <w:r w:rsidRPr="001B69FD">
        <w:rPr>
          <w:rFonts w:eastAsia="SimSun"/>
        </w:rPr>
        <w:t>)</w:t>
      </w:r>
    </w:p>
    <w:p w14:paraId="4B6547DB" w14:textId="5A3CC881" w:rsidR="001D55C7" w:rsidRPr="001B69FD" w:rsidRDefault="00081ECE" w:rsidP="00D60919">
      <w:pPr>
        <w:pStyle w:val="CETBodytext"/>
        <w:jc w:val="left"/>
        <w:rPr>
          <w:rFonts w:eastAsia="SimSun"/>
        </w:rPr>
      </w:pPr>
      <w:r w:rsidRPr="001B69FD">
        <w:rPr>
          <w:rFonts w:eastAsia="SimSun" w:cs="Arial"/>
        </w:rPr>
        <w:t xml:space="preserve">ρ    density (kg </w:t>
      </w:r>
      <w:r w:rsidR="00A754FE" w:rsidRPr="001B69FD">
        <w:rPr>
          <w:rFonts w:eastAsia="SimSun" w:cs="Arial"/>
        </w:rPr>
        <w:t>m</w:t>
      </w:r>
      <w:r w:rsidR="00A754FE" w:rsidRPr="001B69FD">
        <w:rPr>
          <w:rFonts w:eastAsia="SimSun" w:cs="Arial"/>
          <w:vertAlign w:val="superscript"/>
        </w:rPr>
        <w:t>-3</w:t>
      </w:r>
      <w:r w:rsidR="00A754FE" w:rsidRPr="001B69FD">
        <w:rPr>
          <w:rFonts w:eastAsia="SimSun" w:cs="Arial"/>
        </w:rPr>
        <w:t>)</w:t>
      </w:r>
      <w:r w:rsidR="00A754FE" w:rsidRPr="001B69FD">
        <w:rPr>
          <w:rFonts w:eastAsia="SimSun" w:cs="Arial"/>
        </w:rPr>
        <w:br/>
      </w:r>
      <w:r w:rsidRPr="001B69FD">
        <w:rPr>
          <w:rFonts w:eastAsia="SimSun" w:cs="Arial"/>
        </w:rPr>
        <w:t>τ</w:t>
      </w:r>
      <w:r w:rsidRPr="001B69FD">
        <w:rPr>
          <w:rFonts w:eastAsia="SimSun"/>
        </w:rPr>
        <w:t xml:space="preserve">     Shear</w:t>
      </w:r>
      <w:r w:rsidR="001D55C7" w:rsidRPr="001B69FD">
        <w:rPr>
          <w:rFonts w:eastAsia="SimSun"/>
        </w:rPr>
        <w:t xml:space="preserve"> stress (Pa)</w:t>
      </w:r>
    </w:p>
    <w:p w14:paraId="59D31844" w14:textId="27346322" w:rsidR="00A760A0" w:rsidRPr="001B69FD" w:rsidRDefault="00703A17" w:rsidP="000D5A36">
      <w:pPr>
        <w:pStyle w:val="CETBodytext"/>
        <w:jc w:val="left"/>
      </w:pPr>
      <w:r w:rsidRPr="001B69FD">
        <w:rPr>
          <w:rFonts w:eastAsia="SimSun" w:cs="Arial"/>
        </w:rPr>
        <w:t xml:space="preserve">γ  </w:t>
      </w:r>
      <w:r w:rsidRPr="001B69FD">
        <w:rPr>
          <w:rFonts w:eastAsia="SimSun"/>
        </w:rPr>
        <w:t xml:space="preserve">  </w:t>
      </w:r>
      <w:r w:rsidR="001D55C7" w:rsidRPr="001B69FD">
        <w:rPr>
          <w:rFonts w:eastAsia="SimSun"/>
        </w:rPr>
        <w:t>Shear ra</w:t>
      </w:r>
      <w:r w:rsidR="003A1BF9" w:rsidRPr="001B69FD">
        <w:rPr>
          <w:rFonts w:eastAsia="SimSun"/>
        </w:rPr>
        <w:t>te (s</w:t>
      </w:r>
      <w:r w:rsidR="003A1BF9" w:rsidRPr="001B69FD">
        <w:rPr>
          <w:rFonts w:eastAsia="SimSun"/>
          <w:vertAlign w:val="superscript"/>
        </w:rPr>
        <w:t>-1</w:t>
      </w:r>
      <w:r w:rsidR="003A1BF9" w:rsidRPr="001B69FD">
        <w:rPr>
          <w:rFonts w:eastAsia="SimSun"/>
        </w:rPr>
        <w:t>)</w:t>
      </w:r>
      <w:r w:rsidR="000D5A36" w:rsidRPr="001B69FD">
        <w:t xml:space="preserve"> </w:t>
      </w:r>
    </w:p>
    <w:p w14:paraId="2A2650B8" w14:textId="77777777" w:rsidR="00D2230B" w:rsidRPr="001B69FD" w:rsidRDefault="00D2230B" w:rsidP="00D2230B">
      <w:pPr>
        <w:pStyle w:val="CETBodytext"/>
        <w:jc w:val="left"/>
        <w:rPr>
          <w:rFonts w:eastAsia="SimSun"/>
        </w:rPr>
      </w:pPr>
    </w:p>
    <w:p w14:paraId="53CC1568" w14:textId="72B879D2" w:rsidR="00D2230B" w:rsidRPr="001B69FD" w:rsidRDefault="00D2230B" w:rsidP="00D2230B">
      <w:pPr>
        <w:pStyle w:val="CETBodytext"/>
        <w:jc w:val="left"/>
        <w:rPr>
          <w:rFonts w:eastAsia="SimSun"/>
        </w:rPr>
      </w:pPr>
      <w:r w:rsidRPr="001B69FD">
        <w:rPr>
          <w:rFonts w:eastAsia="SimSun"/>
        </w:rPr>
        <w:t>Abbreviations</w:t>
      </w:r>
    </w:p>
    <w:p w14:paraId="32F74984" w14:textId="77777777" w:rsidR="00D2230B" w:rsidRPr="001B69FD" w:rsidRDefault="00D2230B" w:rsidP="000D5A36">
      <w:pPr>
        <w:pStyle w:val="CETBodytext"/>
        <w:jc w:val="left"/>
        <w:rPr>
          <w:rFonts w:eastAsia="SimSun"/>
        </w:rPr>
      </w:pPr>
    </w:p>
    <w:p w14:paraId="7D7CFD2D" w14:textId="7B8185CF" w:rsidR="000D5A36" w:rsidRPr="001B69FD" w:rsidRDefault="000D5A36" w:rsidP="000D5A36">
      <w:pPr>
        <w:pStyle w:val="CETBodytext"/>
        <w:jc w:val="left"/>
        <w:rPr>
          <w:rFonts w:eastAsia="SimSun"/>
        </w:rPr>
      </w:pPr>
      <w:r w:rsidRPr="001B69FD">
        <w:rPr>
          <w:rFonts w:eastAsia="SimSun"/>
        </w:rPr>
        <w:t>AST Adaptive Shadow Tracking</w:t>
      </w:r>
    </w:p>
    <w:p w14:paraId="3F0991E5" w14:textId="6C8D712B" w:rsidR="000D5A36" w:rsidRPr="001B69FD" w:rsidRDefault="000D5A36" w:rsidP="000D5A36">
      <w:pPr>
        <w:pStyle w:val="CETBodytext"/>
        <w:jc w:val="left"/>
        <w:rPr>
          <w:rFonts w:eastAsia="SimSun"/>
        </w:rPr>
      </w:pPr>
      <w:r w:rsidRPr="001B69FD">
        <w:rPr>
          <w:rFonts w:eastAsia="SimSun"/>
        </w:rPr>
        <w:t>BSD Bubble Size Distribution</w:t>
      </w:r>
    </w:p>
    <w:p w14:paraId="6D2EE36B" w14:textId="77777777" w:rsidR="000D5A36" w:rsidRPr="001B69FD" w:rsidRDefault="000D5A36" w:rsidP="000D5A36">
      <w:pPr>
        <w:pStyle w:val="CETBodytext"/>
        <w:jc w:val="left"/>
        <w:rPr>
          <w:rFonts w:eastAsia="SimSun"/>
        </w:rPr>
      </w:pPr>
      <w:r w:rsidRPr="001B69FD">
        <w:rPr>
          <w:rFonts w:eastAsia="SimSun"/>
        </w:rPr>
        <w:t>CDF Cumulative Density Function</w:t>
      </w:r>
    </w:p>
    <w:p w14:paraId="3AD768EC" w14:textId="77777777" w:rsidR="000D5A36" w:rsidRPr="001B69FD" w:rsidRDefault="000D5A36" w:rsidP="000D5A36">
      <w:pPr>
        <w:pStyle w:val="CETBodytext"/>
        <w:jc w:val="left"/>
        <w:rPr>
          <w:rFonts w:eastAsia="SimSun"/>
        </w:rPr>
      </w:pPr>
      <w:r w:rsidRPr="001B69FD">
        <w:rPr>
          <w:rFonts w:eastAsia="SimSun"/>
        </w:rPr>
        <w:t>CFD Computational Fluid Dynamics</w:t>
      </w:r>
    </w:p>
    <w:p w14:paraId="74E0F2AF" w14:textId="77777777" w:rsidR="000D5A36" w:rsidRPr="001B69FD" w:rsidRDefault="000D5A36" w:rsidP="000D5A36">
      <w:pPr>
        <w:pStyle w:val="CETBodytext"/>
        <w:jc w:val="left"/>
        <w:rPr>
          <w:rFonts w:eastAsia="SimSun"/>
        </w:rPr>
      </w:pPr>
      <w:r w:rsidRPr="001B69FD">
        <w:rPr>
          <w:rFonts w:eastAsia="SimSun"/>
        </w:rPr>
        <w:t>CMC Carboxymethyl Cellulose</w:t>
      </w:r>
    </w:p>
    <w:p w14:paraId="1D4E7578" w14:textId="4251FDD6" w:rsidR="00703A17" w:rsidRPr="001B69FD" w:rsidRDefault="000D5A36" w:rsidP="000D5A36">
      <w:pPr>
        <w:pStyle w:val="CETBodytext"/>
        <w:jc w:val="left"/>
        <w:rPr>
          <w:rFonts w:eastAsia="SimSun"/>
        </w:rPr>
      </w:pPr>
      <w:proofErr w:type="spellStart"/>
      <w:r w:rsidRPr="001B69FD">
        <w:rPr>
          <w:rFonts w:eastAsia="SimSun"/>
        </w:rPr>
        <w:t>rps</w:t>
      </w:r>
      <w:proofErr w:type="spellEnd"/>
      <w:r w:rsidRPr="001B69FD">
        <w:rPr>
          <w:rFonts w:eastAsia="SimSun"/>
        </w:rPr>
        <w:t> Revolutions per second</w:t>
      </w:r>
      <w:r w:rsidR="001D55C7" w:rsidRPr="001B69FD">
        <w:rPr>
          <w:rFonts w:eastAsia="SimSun"/>
        </w:rPr>
        <w:t xml:space="preserve"> (s</w:t>
      </w:r>
      <w:r w:rsidR="001D55C7" w:rsidRPr="001B69FD">
        <w:rPr>
          <w:rFonts w:eastAsia="SimSun"/>
          <w:vertAlign w:val="superscript"/>
        </w:rPr>
        <w:t>-1</w:t>
      </w:r>
      <w:r w:rsidR="001D55C7" w:rsidRPr="001B69FD">
        <w:rPr>
          <w:rFonts w:eastAsia="SimSun"/>
        </w:rPr>
        <w:t>)</w:t>
      </w:r>
    </w:p>
    <w:p w14:paraId="3C6BC13E" w14:textId="33C91DEF" w:rsidR="00EA5C83" w:rsidRPr="001B69FD" w:rsidRDefault="00EA5C83" w:rsidP="000D5A36">
      <w:pPr>
        <w:pStyle w:val="CETBodytext"/>
        <w:jc w:val="left"/>
        <w:rPr>
          <w:rFonts w:eastAsia="SimSun"/>
        </w:rPr>
      </w:pPr>
      <w:r w:rsidRPr="001B69FD">
        <w:rPr>
          <w:rFonts w:eastAsia="SimSun"/>
        </w:rPr>
        <w:t>w/w   weight/weight</w:t>
      </w:r>
    </w:p>
    <w:p w14:paraId="3DD38C95" w14:textId="77777777" w:rsidR="00703A17" w:rsidRPr="001B69FD" w:rsidRDefault="00703A17" w:rsidP="00703A17">
      <w:pPr>
        <w:pStyle w:val="CETBodytext"/>
        <w:jc w:val="left"/>
        <w:rPr>
          <w:rFonts w:eastAsia="SimSun"/>
        </w:rPr>
      </w:pPr>
    </w:p>
    <w:p w14:paraId="045AA9BB" w14:textId="77777777" w:rsidR="000D5A36" w:rsidRPr="001B69FD" w:rsidRDefault="000D5A36" w:rsidP="00600535">
      <w:pPr>
        <w:pStyle w:val="CETAcknowledgementstitle"/>
        <w:sectPr w:rsidR="000D5A36" w:rsidRPr="001B69FD" w:rsidSect="000D5A36">
          <w:type w:val="continuous"/>
          <w:pgSz w:w="11906" w:h="16838" w:code="9"/>
          <w:pgMar w:top="1701" w:right="1418" w:bottom="1701" w:left="1701" w:header="1701" w:footer="0" w:gutter="0"/>
          <w:cols w:num="2" w:space="708"/>
          <w:formProt w:val="0"/>
          <w:titlePg/>
          <w:docGrid w:linePitch="360"/>
        </w:sectPr>
      </w:pPr>
    </w:p>
    <w:p w14:paraId="054DD103" w14:textId="77777777" w:rsidR="0065596A" w:rsidRPr="001B69FD" w:rsidRDefault="0065596A" w:rsidP="00600535">
      <w:pPr>
        <w:pStyle w:val="CETAcknowledgementstitle"/>
      </w:pPr>
    </w:p>
    <w:p w14:paraId="459D05E6" w14:textId="06C66CEF" w:rsidR="00600535" w:rsidRPr="001B69FD" w:rsidRDefault="00600535" w:rsidP="00600535">
      <w:pPr>
        <w:pStyle w:val="CETAcknowledgementstitle"/>
      </w:pPr>
      <w:r w:rsidRPr="001B69FD">
        <w:t>Acknowledgments</w:t>
      </w:r>
    </w:p>
    <w:p w14:paraId="33F8138F" w14:textId="1EE625F7" w:rsidR="00600535" w:rsidRPr="001B69FD" w:rsidRDefault="00F22F59" w:rsidP="00600535">
      <w:pPr>
        <w:pStyle w:val="CETBodytext"/>
        <w:rPr>
          <w:lang w:val="en-GB"/>
        </w:rPr>
      </w:pPr>
      <w:r w:rsidRPr="001B69FD">
        <w:rPr>
          <w:lang w:val="en-GB"/>
        </w:rPr>
        <w:t xml:space="preserve">The contribution of </w:t>
      </w:r>
      <w:proofErr w:type="spellStart"/>
      <w:r w:rsidR="00401933" w:rsidRPr="001B69FD">
        <w:rPr>
          <w:lang w:val="en-GB"/>
        </w:rPr>
        <w:t>H</w:t>
      </w:r>
      <w:r w:rsidR="00D82A38" w:rsidRPr="001B69FD">
        <w:rPr>
          <w:lang w:val="en-GB"/>
        </w:rPr>
        <w:t>é</w:t>
      </w:r>
      <w:r w:rsidR="00401933" w:rsidRPr="001B69FD">
        <w:rPr>
          <w:lang w:val="en-GB"/>
        </w:rPr>
        <w:t>l</w:t>
      </w:r>
      <w:r w:rsidR="00D82A38" w:rsidRPr="001B69FD">
        <w:rPr>
          <w:lang w:val="en-GB"/>
        </w:rPr>
        <w:t>è</w:t>
      </w:r>
      <w:r w:rsidR="00401933" w:rsidRPr="001B69FD">
        <w:rPr>
          <w:lang w:val="en-GB"/>
        </w:rPr>
        <w:t>n</w:t>
      </w:r>
      <w:proofErr w:type="spellEnd"/>
      <w:r w:rsidR="00401933" w:rsidRPr="001B69FD">
        <w:rPr>
          <w:lang w:val="en-GB"/>
        </w:rPr>
        <w:t xml:space="preserve"> Jacquier</w:t>
      </w:r>
      <w:r w:rsidRPr="001B69FD">
        <w:rPr>
          <w:lang w:val="en-GB"/>
        </w:rPr>
        <w:t xml:space="preserve"> in carrying out the experimental </w:t>
      </w:r>
      <w:r w:rsidR="00AD04E1" w:rsidRPr="001B69FD">
        <w:rPr>
          <w:lang w:val="en-GB"/>
        </w:rPr>
        <w:t>program</w:t>
      </w:r>
      <w:r w:rsidRPr="001B69FD">
        <w:rPr>
          <w:lang w:val="en-GB"/>
        </w:rPr>
        <w:t xml:space="preserve"> is gratefully acknowledged</w:t>
      </w:r>
      <w:r w:rsidR="00AD04E1" w:rsidRPr="001B69FD">
        <w:rPr>
          <w:lang w:val="en-GB"/>
        </w:rPr>
        <w:t>.</w:t>
      </w:r>
    </w:p>
    <w:p w14:paraId="428B022A" w14:textId="265F4CE4" w:rsidR="00E65B91" w:rsidRPr="001B69FD" w:rsidRDefault="00E65B91" w:rsidP="00600535">
      <w:pPr>
        <w:pStyle w:val="CETReferencetext"/>
      </w:pPr>
    </w:p>
    <w:p w14:paraId="31159B93" w14:textId="3EE8DD8E" w:rsidR="00D510BD" w:rsidRPr="001B69FD" w:rsidRDefault="00D510BD" w:rsidP="00600535">
      <w:pPr>
        <w:pStyle w:val="CETReferencetext"/>
        <w:rPr>
          <w:b/>
          <w:bCs/>
          <w:lang w:val="en-US"/>
        </w:rPr>
      </w:pPr>
      <w:r w:rsidRPr="001B69FD">
        <w:rPr>
          <w:b/>
          <w:bCs/>
          <w:lang w:val="en-US"/>
        </w:rPr>
        <w:t>References</w:t>
      </w:r>
    </w:p>
    <w:p w14:paraId="4CA13D40" w14:textId="5DC78D6F" w:rsidR="00C376E5" w:rsidRPr="001B69FD" w:rsidRDefault="00C376E5" w:rsidP="00C376E5">
      <w:pPr>
        <w:pStyle w:val="CETReferencetext"/>
      </w:pPr>
      <w:r w:rsidRPr="001B69FD">
        <w:rPr>
          <w:lang w:val="en-US"/>
        </w:rPr>
        <w:t xml:space="preserve">Alberini, F., Nerini, F., Mandolini, N., Maluta, F., Paglianti, A., Di Pasquale, N.D., Montante, G., 2024, </w:t>
      </w:r>
      <w:r w:rsidRPr="001B69FD">
        <w:t xml:space="preserve">On the reliability of image analysis for bubble size distribution measurements in electrolyte solutions in stirred reactors, Chemical Engineering Journal Advances, 20, art. no. 100658. </w:t>
      </w:r>
    </w:p>
    <w:p w14:paraId="60B7AFBE" w14:textId="7D9316F1" w:rsidR="00C376E5" w:rsidRPr="001B69FD" w:rsidRDefault="00C376E5" w:rsidP="00C376E5">
      <w:pPr>
        <w:pStyle w:val="CETReferencetext"/>
      </w:pPr>
      <w:r w:rsidRPr="001B69FD">
        <w:t>Jensen, M.B., Ottosen, L.D.M., Kofoed, M.V.W., 2021, H2 gas-liquid mass transfer: A key element in biological Power-to-Gas methanation, Renewable and Sustainable Energy Reviews, 147.</w:t>
      </w:r>
    </w:p>
    <w:p w14:paraId="3227464B" w14:textId="2D0E4E0C" w:rsidR="00D2230B" w:rsidRPr="001B69FD" w:rsidRDefault="00D2230B" w:rsidP="00C376E5">
      <w:pPr>
        <w:pStyle w:val="CETReferencetext"/>
      </w:pPr>
      <w:r w:rsidRPr="001B69FD">
        <w:t xml:space="preserve">Li, X., Hu, Q., Zhang, R., Chen, J., Wang, L., Jiang, Z., Hong, C., Liu, H., Ren, L., Li, G., Li, H., &amp; Chen, K. (2025). Enhanced mixing and mass transfer of non-Newtonian fluids for DHA production via </w:t>
      </w:r>
      <w:proofErr w:type="spellStart"/>
      <w:r w:rsidRPr="001B69FD">
        <w:t>Schizochytrium</w:t>
      </w:r>
      <w:proofErr w:type="spellEnd"/>
      <w:r w:rsidRPr="001B69FD">
        <w:t xml:space="preserve"> sp. fermentation. Bioresource Technology, 438.</w:t>
      </w:r>
    </w:p>
    <w:p w14:paraId="01DDF0A8" w14:textId="611D8071" w:rsidR="00C376E5" w:rsidRPr="001B69FD" w:rsidRDefault="00C376E5" w:rsidP="00C376E5">
      <w:pPr>
        <w:pStyle w:val="CETReferencetext"/>
      </w:pPr>
      <w:r w:rsidRPr="001B69FD">
        <w:rPr>
          <w:lang w:val="en-US"/>
        </w:rPr>
        <w:t xml:space="preserve">Maluta, F., Alberini, F., Paglianti, A., Montante, G., 2023, </w:t>
      </w:r>
      <w:r w:rsidRPr="001B69FD">
        <w:t>Hydrodynamics, power consumption and bubble size distribution in gas-liquid stirred tanks, Chemical Engineering Research and Design, 194, 582 – 596.</w:t>
      </w:r>
    </w:p>
    <w:p w14:paraId="7B5BC148" w14:textId="63EF1A43" w:rsidR="009443D7" w:rsidRPr="001B69FD" w:rsidRDefault="009443D7" w:rsidP="009443D7">
      <w:pPr>
        <w:pStyle w:val="CETReferencetext"/>
        <w:rPr>
          <w:lang w:val="it-IT"/>
        </w:rPr>
      </w:pPr>
      <w:r w:rsidRPr="001B69FD">
        <w:rPr>
          <w:lang w:val="it-IT"/>
        </w:rPr>
        <w:t xml:space="preserve">Mandolini, </w:t>
      </w:r>
      <w:proofErr w:type="spellStart"/>
      <w:proofErr w:type="gramStart"/>
      <w:r w:rsidRPr="001B69FD">
        <w:rPr>
          <w:lang w:val="it-IT"/>
        </w:rPr>
        <w:t>N.,Alberini</w:t>
      </w:r>
      <w:proofErr w:type="spellEnd"/>
      <w:proofErr w:type="gramEnd"/>
      <w:r w:rsidRPr="001B69FD">
        <w:rPr>
          <w:lang w:val="it-IT"/>
        </w:rPr>
        <w:t xml:space="preserve">, </w:t>
      </w:r>
      <w:proofErr w:type="spellStart"/>
      <w:proofErr w:type="gramStart"/>
      <w:r w:rsidRPr="001B69FD">
        <w:rPr>
          <w:lang w:val="it-IT"/>
        </w:rPr>
        <w:t>F.,Maluta</w:t>
      </w:r>
      <w:proofErr w:type="spellEnd"/>
      <w:proofErr w:type="gramEnd"/>
      <w:r w:rsidRPr="001B69FD">
        <w:rPr>
          <w:lang w:val="it-IT"/>
        </w:rPr>
        <w:t xml:space="preserve">, </w:t>
      </w:r>
      <w:proofErr w:type="spellStart"/>
      <w:proofErr w:type="gramStart"/>
      <w:r w:rsidRPr="001B69FD">
        <w:rPr>
          <w:lang w:val="it-IT"/>
        </w:rPr>
        <w:t>F.,Montante</w:t>
      </w:r>
      <w:proofErr w:type="spellEnd"/>
      <w:proofErr w:type="gramEnd"/>
      <w:r w:rsidRPr="001B69FD">
        <w:rPr>
          <w:lang w:val="it-IT"/>
        </w:rPr>
        <w:t xml:space="preserve">, </w:t>
      </w:r>
      <w:proofErr w:type="spellStart"/>
      <w:proofErr w:type="gramStart"/>
      <w:r w:rsidRPr="001B69FD">
        <w:rPr>
          <w:lang w:val="it-IT"/>
        </w:rPr>
        <w:t>G.,Paglianti</w:t>
      </w:r>
      <w:proofErr w:type="spellEnd"/>
      <w:proofErr w:type="gramEnd"/>
      <w:r w:rsidRPr="001B69FD">
        <w:rPr>
          <w:lang w:val="it-IT"/>
        </w:rPr>
        <w:t xml:space="preserve"> A., 2024, Chemical Engineering </w:t>
      </w:r>
      <w:proofErr w:type="spellStart"/>
      <w:r w:rsidRPr="001B69FD">
        <w:rPr>
          <w:lang w:val="it-IT"/>
        </w:rPr>
        <w:t>Transactions</w:t>
      </w:r>
      <w:proofErr w:type="spellEnd"/>
      <w:r w:rsidRPr="001B69FD">
        <w:rPr>
          <w:lang w:val="it-IT"/>
        </w:rPr>
        <w:t>, 110, pp. 289–294.</w:t>
      </w:r>
    </w:p>
    <w:p w14:paraId="3A660E56" w14:textId="6D480BB9" w:rsidR="00C376E5" w:rsidRPr="001B69FD" w:rsidRDefault="00C376E5" w:rsidP="00C376E5">
      <w:pPr>
        <w:pStyle w:val="CETReferencetext"/>
      </w:pPr>
      <w:r w:rsidRPr="001B69FD">
        <w:rPr>
          <w:lang w:val="en-US"/>
        </w:rPr>
        <w:t xml:space="preserve">Niño, L., </w:t>
      </w:r>
      <w:proofErr w:type="spellStart"/>
      <w:r w:rsidRPr="001B69FD">
        <w:rPr>
          <w:lang w:val="en-US"/>
        </w:rPr>
        <w:t>Gelves</w:t>
      </w:r>
      <w:proofErr w:type="spellEnd"/>
      <w:r w:rsidRPr="001B69FD">
        <w:rPr>
          <w:lang w:val="en-US"/>
        </w:rPr>
        <w:t xml:space="preserve">-Zambrano, R., Ali, H., Solsvik, J., Jakobsen, </w:t>
      </w:r>
      <w:proofErr w:type="gramStart"/>
      <w:r w:rsidRPr="001B69FD">
        <w:rPr>
          <w:lang w:val="en-US"/>
        </w:rPr>
        <w:t>H. ,</w:t>
      </w:r>
      <w:proofErr w:type="gramEnd"/>
      <w:r w:rsidRPr="001B69FD">
        <w:rPr>
          <w:lang w:val="en-US"/>
        </w:rPr>
        <w:t xml:space="preserve"> 2022, </w:t>
      </w:r>
      <w:r w:rsidRPr="001B69FD">
        <w:t>Numerical determination of bubble size distribution in Newtonian and non-Newtonian fluid flows based on the complete turbulence spectrum, Chemical Engineering Science, 253, art. no. 117543.</w:t>
      </w:r>
    </w:p>
    <w:p w14:paraId="7840C0A6" w14:textId="36135112" w:rsidR="00C376E5" w:rsidRPr="001B69FD" w:rsidRDefault="00C376E5" w:rsidP="00C376E5">
      <w:pPr>
        <w:pStyle w:val="CETReferencetext"/>
      </w:pPr>
      <w:r w:rsidRPr="001B69FD">
        <w:rPr>
          <w:lang w:val="en-US"/>
        </w:rPr>
        <w:t xml:space="preserve">Singh, B., Szamosi, Z., </w:t>
      </w:r>
      <w:proofErr w:type="spellStart"/>
      <w:r w:rsidRPr="001B69FD">
        <w:rPr>
          <w:lang w:val="en-US"/>
        </w:rPr>
        <w:t>Siménfalvi</w:t>
      </w:r>
      <w:proofErr w:type="spellEnd"/>
      <w:r w:rsidRPr="001B69FD">
        <w:rPr>
          <w:lang w:val="en-US"/>
        </w:rPr>
        <w:t xml:space="preserve">, Z., 2020, </w:t>
      </w:r>
      <w:r w:rsidRPr="001B69FD">
        <w:t>Impact of mixing intensity and duration on biogas production in an anaerobic digester: a review Critical Reviews in Biotechnology, 40, 508 – 521.</w:t>
      </w:r>
    </w:p>
    <w:p w14:paraId="3DACFD37" w14:textId="292720EF" w:rsidR="001A5FCB" w:rsidRPr="001B69FD" w:rsidRDefault="001A5FCB" w:rsidP="00C376E5">
      <w:pPr>
        <w:pStyle w:val="CETReferencetext"/>
      </w:pPr>
      <w:r w:rsidRPr="001B69FD">
        <w:t>Shiue, A., Hu, Q., Ye, Y. J., Jeng, J. C.,</w:t>
      </w:r>
      <w:r w:rsidR="00FF4048" w:rsidRPr="001B69FD">
        <w:t xml:space="preserve"> </w:t>
      </w:r>
      <w:r w:rsidRPr="001B69FD">
        <w:t>Leggett, G. (2025). Gas</w:t>
      </w:r>
      <w:r w:rsidR="00FF4048" w:rsidRPr="001B69FD">
        <w:t>-</w:t>
      </w:r>
      <w:r w:rsidRPr="001B69FD">
        <w:t>liquid mixing performance of a non-Newtonian fluid in a multiple-impeller agitated tank. Journal of Chemical Technology and Biotechnology, 100(1), 104-120.</w:t>
      </w:r>
    </w:p>
    <w:p w14:paraId="3BC6597E" w14:textId="1E19DFE8" w:rsidR="00D510BD" w:rsidRPr="001B69FD" w:rsidRDefault="00C376E5" w:rsidP="00C376E5">
      <w:pPr>
        <w:pStyle w:val="CETReferencetext"/>
      </w:pPr>
      <w:r w:rsidRPr="001B69FD">
        <w:t>Wu, B. Advances in the use of CFD to characterize, design and optimize bioenergy systems, 2013, Computers and Electronics in Agriculture, 93, 195 – 208.</w:t>
      </w:r>
    </w:p>
    <w:p w14:paraId="03CEA04C" w14:textId="77777777" w:rsidR="00C52C3C" w:rsidRDefault="00C52C3C" w:rsidP="00E65B91">
      <w:pPr>
        <w:pStyle w:val="CETReferencetext"/>
      </w:pPr>
    </w:p>
    <w:p w14:paraId="28E8379D" w14:textId="77777777" w:rsidR="00C52C3C" w:rsidRDefault="00C52C3C" w:rsidP="00E65B91">
      <w:pPr>
        <w:pStyle w:val="CETReferencetext"/>
      </w:pPr>
    </w:p>
    <w:p w14:paraId="6FAA4342" w14:textId="77777777" w:rsidR="00C52C3C" w:rsidRDefault="00C52C3C" w:rsidP="00E65B91">
      <w:pPr>
        <w:pStyle w:val="CETReferencetext"/>
      </w:pPr>
    </w:p>
    <w:p w14:paraId="19C4FC68" w14:textId="77777777" w:rsidR="004628D2" w:rsidRDefault="004628D2" w:rsidP="00FA5F5F">
      <w:pPr>
        <w:pStyle w:val="CETHeading1"/>
        <w:numPr>
          <w:ilvl w:val="0"/>
          <w:numId w:val="0"/>
        </w:numPr>
      </w:pP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88EB" w14:textId="77777777" w:rsidR="004579FA" w:rsidRDefault="004579FA" w:rsidP="004F5E36">
      <w:r>
        <w:separator/>
      </w:r>
    </w:p>
  </w:endnote>
  <w:endnote w:type="continuationSeparator" w:id="0">
    <w:p w14:paraId="0BB51866" w14:textId="77777777" w:rsidR="004579FA" w:rsidRDefault="004579FA"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D4A2" w14:textId="77777777" w:rsidR="004579FA" w:rsidRDefault="004579FA" w:rsidP="004F5E36">
      <w:r>
        <w:separator/>
      </w:r>
    </w:p>
  </w:footnote>
  <w:footnote w:type="continuationSeparator" w:id="0">
    <w:p w14:paraId="7A26E32D" w14:textId="77777777" w:rsidR="004579FA" w:rsidRDefault="004579FA"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2BE114EA"/>
    <w:multiLevelType w:val="hybridMultilevel"/>
    <w:tmpl w:val="047450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23674C2"/>
    <w:multiLevelType w:val="hybridMultilevel"/>
    <w:tmpl w:val="F4948DEC"/>
    <w:lvl w:ilvl="0" w:tplc="90D810F6">
      <w:numFmt w:val="bullet"/>
      <w:lvlText w:val="•"/>
      <w:lvlJc w:val="left"/>
      <w:pPr>
        <w:ind w:left="3260" w:hanging="2900"/>
      </w:pPr>
      <w:rPr>
        <w:rFonts w:ascii="Arial" w:eastAsia="SimSu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2995868">
    <w:abstractNumId w:val="10"/>
  </w:num>
  <w:num w:numId="2" w16cid:durableId="1949384219">
    <w:abstractNumId w:val="8"/>
  </w:num>
  <w:num w:numId="3" w16cid:durableId="1140920904">
    <w:abstractNumId w:val="3"/>
  </w:num>
  <w:num w:numId="4" w16cid:durableId="554894968">
    <w:abstractNumId w:val="2"/>
  </w:num>
  <w:num w:numId="5" w16cid:durableId="950865714">
    <w:abstractNumId w:val="1"/>
  </w:num>
  <w:num w:numId="6" w16cid:durableId="508450017">
    <w:abstractNumId w:val="0"/>
  </w:num>
  <w:num w:numId="7" w16cid:durableId="377825156">
    <w:abstractNumId w:val="9"/>
  </w:num>
  <w:num w:numId="8" w16cid:durableId="334000547">
    <w:abstractNumId w:val="7"/>
  </w:num>
  <w:num w:numId="9" w16cid:durableId="953637809">
    <w:abstractNumId w:val="6"/>
  </w:num>
  <w:num w:numId="10" w16cid:durableId="2094668817">
    <w:abstractNumId w:val="5"/>
  </w:num>
  <w:num w:numId="11" w16cid:durableId="166210917">
    <w:abstractNumId w:val="4"/>
  </w:num>
  <w:num w:numId="12" w16cid:durableId="1850290607">
    <w:abstractNumId w:val="18"/>
  </w:num>
  <w:num w:numId="13" w16cid:durableId="1413772606">
    <w:abstractNumId w:val="13"/>
  </w:num>
  <w:num w:numId="14" w16cid:durableId="1957130281">
    <w:abstractNumId w:val="19"/>
  </w:num>
  <w:num w:numId="15" w16cid:durableId="1601639339">
    <w:abstractNumId w:val="22"/>
  </w:num>
  <w:num w:numId="16" w16cid:durableId="1639842209">
    <w:abstractNumId w:val="21"/>
  </w:num>
  <w:num w:numId="17" w16cid:durableId="1336419538">
    <w:abstractNumId w:val="12"/>
  </w:num>
  <w:num w:numId="18" w16cid:durableId="2147119375">
    <w:abstractNumId w:val="13"/>
    <w:lvlOverride w:ilvl="0">
      <w:startOverride w:val="1"/>
    </w:lvlOverride>
  </w:num>
  <w:num w:numId="19" w16cid:durableId="23867045">
    <w:abstractNumId w:val="17"/>
  </w:num>
  <w:num w:numId="20" w16cid:durableId="313721063">
    <w:abstractNumId w:val="16"/>
  </w:num>
  <w:num w:numId="21" w16cid:durableId="1081372294">
    <w:abstractNumId w:val="15"/>
  </w:num>
  <w:num w:numId="22" w16cid:durableId="36440493">
    <w:abstractNumId w:val="14"/>
  </w:num>
  <w:num w:numId="23" w16cid:durableId="1501041439">
    <w:abstractNumId w:val="11"/>
  </w:num>
  <w:num w:numId="24" w16cid:durableId="17780585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2FA0"/>
    <w:rsid w:val="000052FB"/>
    <w:rsid w:val="00005884"/>
    <w:rsid w:val="00005A19"/>
    <w:rsid w:val="000117CB"/>
    <w:rsid w:val="0001435B"/>
    <w:rsid w:val="000217DD"/>
    <w:rsid w:val="000300BB"/>
    <w:rsid w:val="0003148D"/>
    <w:rsid w:val="00031EEC"/>
    <w:rsid w:val="00042B3F"/>
    <w:rsid w:val="00051566"/>
    <w:rsid w:val="0005629C"/>
    <w:rsid w:val="000562A9"/>
    <w:rsid w:val="00057FB3"/>
    <w:rsid w:val="00060F76"/>
    <w:rsid w:val="00062331"/>
    <w:rsid w:val="00062A9A"/>
    <w:rsid w:val="00065058"/>
    <w:rsid w:val="00070F10"/>
    <w:rsid w:val="000742E8"/>
    <w:rsid w:val="00075A17"/>
    <w:rsid w:val="00081ECE"/>
    <w:rsid w:val="00084E1B"/>
    <w:rsid w:val="00086C39"/>
    <w:rsid w:val="00092419"/>
    <w:rsid w:val="000A03B2"/>
    <w:rsid w:val="000B3D37"/>
    <w:rsid w:val="000B590F"/>
    <w:rsid w:val="000D0268"/>
    <w:rsid w:val="000D34BE"/>
    <w:rsid w:val="000D5A36"/>
    <w:rsid w:val="000E102F"/>
    <w:rsid w:val="000E36F1"/>
    <w:rsid w:val="000E3A73"/>
    <w:rsid w:val="000E414A"/>
    <w:rsid w:val="000E75FD"/>
    <w:rsid w:val="000F093C"/>
    <w:rsid w:val="000F787B"/>
    <w:rsid w:val="00101F02"/>
    <w:rsid w:val="00116775"/>
    <w:rsid w:val="00117345"/>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1168"/>
    <w:rsid w:val="00164CF9"/>
    <w:rsid w:val="001667A6"/>
    <w:rsid w:val="00167AF4"/>
    <w:rsid w:val="001775A5"/>
    <w:rsid w:val="00181962"/>
    <w:rsid w:val="00184AD6"/>
    <w:rsid w:val="00184D79"/>
    <w:rsid w:val="001951A4"/>
    <w:rsid w:val="001A4AF7"/>
    <w:rsid w:val="001A51B5"/>
    <w:rsid w:val="001A5FCB"/>
    <w:rsid w:val="001A6003"/>
    <w:rsid w:val="001B0349"/>
    <w:rsid w:val="001B1E93"/>
    <w:rsid w:val="001B65C1"/>
    <w:rsid w:val="001B69FD"/>
    <w:rsid w:val="001C1648"/>
    <w:rsid w:val="001C260F"/>
    <w:rsid w:val="001C33F1"/>
    <w:rsid w:val="001C684B"/>
    <w:rsid w:val="001D04F5"/>
    <w:rsid w:val="001D0CFB"/>
    <w:rsid w:val="001D21AF"/>
    <w:rsid w:val="001D22E0"/>
    <w:rsid w:val="001D53FC"/>
    <w:rsid w:val="001D55C7"/>
    <w:rsid w:val="001E4EA4"/>
    <w:rsid w:val="001F33AC"/>
    <w:rsid w:val="001F42A5"/>
    <w:rsid w:val="001F7B9D"/>
    <w:rsid w:val="002007DC"/>
    <w:rsid w:val="00201C93"/>
    <w:rsid w:val="00211FC3"/>
    <w:rsid w:val="00214F80"/>
    <w:rsid w:val="00221442"/>
    <w:rsid w:val="002224B4"/>
    <w:rsid w:val="00225F21"/>
    <w:rsid w:val="00227B31"/>
    <w:rsid w:val="00234345"/>
    <w:rsid w:val="00240B19"/>
    <w:rsid w:val="002447EF"/>
    <w:rsid w:val="00251550"/>
    <w:rsid w:val="0025259E"/>
    <w:rsid w:val="00263B05"/>
    <w:rsid w:val="002658B3"/>
    <w:rsid w:val="0027221A"/>
    <w:rsid w:val="00275B61"/>
    <w:rsid w:val="00280FAF"/>
    <w:rsid w:val="00282656"/>
    <w:rsid w:val="00283F52"/>
    <w:rsid w:val="00284B9B"/>
    <w:rsid w:val="00295E31"/>
    <w:rsid w:val="00296B83"/>
    <w:rsid w:val="002A0299"/>
    <w:rsid w:val="002B4015"/>
    <w:rsid w:val="002B5C01"/>
    <w:rsid w:val="002B78CE"/>
    <w:rsid w:val="002C2FB6"/>
    <w:rsid w:val="002C3EC4"/>
    <w:rsid w:val="002D3081"/>
    <w:rsid w:val="002E5FA7"/>
    <w:rsid w:val="002E7DD5"/>
    <w:rsid w:val="002F3309"/>
    <w:rsid w:val="003008CE"/>
    <w:rsid w:val="003009B7"/>
    <w:rsid w:val="00300E56"/>
    <w:rsid w:val="0030152C"/>
    <w:rsid w:val="003019ED"/>
    <w:rsid w:val="0030469C"/>
    <w:rsid w:val="0031568E"/>
    <w:rsid w:val="00321CA6"/>
    <w:rsid w:val="00323763"/>
    <w:rsid w:val="00323C5F"/>
    <w:rsid w:val="00334C09"/>
    <w:rsid w:val="003370AD"/>
    <w:rsid w:val="003723D4"/>
    <w:rsid w:val="003809F7"/>
    <w:rsid w:val="00381905"/>
    <w:rsid w:val="00384CC8"/>
    <w:rsid w:val="00385BC6"/>
    <w:rsid w:val="00386457"/>
    <w:rsid w:val="003871FD"/>
    <w:rsid w:val="00396012"/>
    <w:rsid w:val="003A18B2"/>
    <w:rsid w:val="003A1BF9"/>
    <w:rsid w:val="003A1E30"/>
    <w:rsid w:val="003A2829"/>
    <w:rsid w:val="003A7D1C"/>
    <w:rsid w:val="003B304B"/>
    <w:rsid w:val="003B3146"/>
    <w:rsid w:val="003B4EA5"/>
    <w:rsid w:val="003C2FAF"/>
    <w:rsid w:val="003D1E02"/>
    <w:rsid w:val="003E61DB"/>
    <w:rsid w:val="003E6BD2"/>
    <w:rsid w:val="003F015E"/>
    <w:rsid w:val="003F430F"/>
    <w:rsid w:val="003F622C"/>
    <w:rsid w:val="003F7C8E"/>
    <w:rsid w:val="00400294"/>
    <w:rsid w:val="00400414"/>
    <w:rsid w:val="00401933"/>
    <w:rsid w:val="00405362"/>
    <w:rsid w:val="004074C1"/>
    <w:rsid w:val="0041446B"/>
    <w:rsid w:val="00415744"/>
    <w:rsid w:val="0041635A"/>
    <w:rsid w:val="00417701"/>
    <w:rsid w:val="0044071E"/>
    <w:rsid w:val="0044329C"/>
    <w:rsid w:val="00445C01"/>
    <w:rsid w:val="00453E24"/>
    <w:rsid w:val="00457456"/>
    <w:rsid w:val="004577FE"/>
    <w:rsid w:val="004579FA"/>
    <w:rsid w:val="00457B9C"/>
    <w:rsid w:val="0046164A"/>
    <w:rsid w:val="004628D2"/>
    <w:rsid w:val="00462DCD"/>
    <w:rsid w:val="004648AD"/>
    <w:rsid w:val="004703A9"/>
    <w:rsid w:val="00472DEA"/>
    <w:rsid w:val="00475812"/>
    <w:rsid w:val="004760DE"/>
    <w:rsid w:val="004763D7"/>
    <w:rsid w:val="00493EF4"/>
    <w:rsid w:val="004A004E"/>
    <w:rsid w:val="004A24CF"/>
    <w:rsid w:val="004A5E57"/>
    <w:rsid w:val="004B4EA3"/>
    <w:rsid w:val="004C194F"/>
    <w:rsid w:val="004C3D1D"/>
    <w:rsid w:val="004C3D84"/>
    <w:rsid w:val="004C7913"/>
    <w:rsid w:val="004D52D6"/>
    <w:rsid w:val="004E4DD6"/>
    <w:rsid w:val="004F30D0"/>
    <w:rsid w:val="004F31CA"/>
    <w:rsid w:val="004F5E36"/>
    <w:rsid w:val="004F6221"/>
    <w:rsid w:val="00503A4E"/>
    <w:rsid w:val="0050438A"/>
    <w:rsid w:val="005078DA"/>
    <w:rsid w:val="00507B47"/>
    <w:rsid w:val="00507BEF"/>
    <w:rsid w:val="00507CC9"/>
    <w:rsid w:val="005119A5"/>
    <w:rsid w:val="005161ED"/>
    <w:rsid w:val="00516D8C"/>
    <w:rsid w:val="00524C38"/>
    <w:rsid w:val="00525269"/>
    <w:rsid w:val="005278B7"/>
    <w:rsid w:val="00530ADC"/>
    <w:rsid w:val="00532016"/>
    <w:rsid w:val="005346C8"/>
    <w:rsid w:val="00537F30"/>
    <w:rsid w:val="005422C8"/>
    <w:rsid w:val="00543E7D"/>
    <w:rsid w:val="00547A68"/>
    <w:rsid w:val="005531C9"/>
    <w:rsid w:val="00565AC6"/>
    <w:rsid w:val="00570C43"/>
    <w:rsid w:val="005739B5"/>
    <w:rsid w:val="00584DDC"/>
    <w:rsid w:val="0059162D"/>
    <w:rsid w:val="00592274"/>
    <w:rsid w:val="005B0504"/>
    <w:rsid w:val="005B2110"/>
    <w:rsid w:val="005B61E6"/>
    <w:rsid w:val="005C0AFE"/>
    <w:rsid w:val="005C77E1"/>
    <w:rsid w:val="005D121C"/>
    <w:rsid w:val="005D29DE"/>
    <w:rsid w:val="005D3D11"/>
    <w:rsid w:val="005D49D6"/>
    <w:rsid w:val="005D668A"/>
    <w:rsid w:val="005D6A2F"/>
    <w:rsid w:val="005D7AD3"/>
    <w:rsid w:val="005E0592"/>
    <w:rsid w:val="005E061B"/>
    <w:rsid w:val="005E1A82"/>
    <w:rsid w:val="005E207A"/>
    <w:rsid w:val="005E794C"/>
    <w:rsid w:val="005F0A28"/>
    <w:rsid w:val="005F0E5E"/>
    <w:rsid w:val="00600535"/>
    <w:rsid w:val="006064B4"/>
    <w:rsid w:val="00610CD6"/>
    <w:rsid w:val="00612DEE"/>
    <w:rsid w:val="00613FA6"/>
    <w:rsid w:val="00616AD9"/>
    <w:rsid w:val="00620DEE"/>
    <w:rsid w:val="00621F92"/>
    <w:rsid w:val="0062280A"/>
    <w:rsid w:val="006231E1"/>
    <w:rsid w:val="00625639"/>
    <w:rsid w:val="00631B33"/>
    <w:rsid w:val="006334F9"/>
    <w:rsid w:val="0064184D"/>
    <w:rsid w:val="006422CC"/>
    <w:rsid w:val="00644668"/>
    <w:rsid w:val="00651015"/>
    <w:rsid w:val="00651D18"/>
    <w:rsid w:val="006528F0"/>
    <w:rsid w:val="0065596A"/>
    <w:rsid w:val="00660E3E"/>
    <w:rsid w:val="00662E74"/>
    <w:rsid w:val="006640B6"/>
    <w:rsid w:val="006642E6"/>
    <w:rsid w:val="00664F9F"/>
    <w:rsid w:val="00680C23"/>
    <w:rsid w:val="00683E23"/>
    <w:rsid w:val="0068644E"/>
    <w:rsid w:val="00693766"/>
    <w:rsid w:val="006A3281"/>
    <w:rsid w:val="006A765F"/>
    <w:rsid w:val="006B1417"/>
    <w:rsid w:val="006B1E7C"/>
    <w:rsid w:val="006B4888"/>
    <w:rsid w:val="006B7A2F"/>
    <w:rsid w:val="006C11A9"/>
    <w:rsid w:val="006C2E45"/>
    <w:rsid w:val="006C359C"/>
    <w:rsid w:val="006C4986"/>
    <w:rsid w:val="006C5579"/>
    <w:rsid w:val="006D240D"/>
    <w:rsid w:val="006D6E8B"/>
    <w:rsid w:val="006D7209"/>
    <w:rsid w:val="006E737D"/>
    <w:rsid w:val="006F4A10"/>
    <w:rsid w:val="006F7C9D"/>
    <w:rsid w:val="00703A17"/>
    <w:rsid w:val="00707DD1"/>
    <w:rsid w:val="00713034"/>
    <w:rsid w:val="00713825"/>
    <w:rsid w:val="00713973"/>
    <w:rsid w:val="0071733B"/>
    <w:rsid w:val="00720A24"/>
    <w:rsid w:val="00732386"/>
    <w:rsid w:val="00734501"/>
    <w:rsid w:val="0073514D"/>
    <w:rsid w:val="0074419C"/>
    <w:rsid w:val="00744636"/>
    <w:rsid w:val="007447F3"/>
    <w:rsid w:val="0075443D"/>
    <w:rsid w:val="0075499F"/>
    <w:rsid w:val="007603FA"/>
    <w:rsid w:val="007612D1"/>
    <w:rsid w:val="007617CC"/>
    <w:rsid w:val="007661C8"/>
    <w:rsid w:val="0077098D"/>
    <w:rsid w:val="00774A2D"/>
    <w:rsid w:val="0078117F"/>
    <w:rsid w:val="007825EE"/>
    <w:rsid w:val="007830B7"/>
    <w:rsid w:val="00785BF9"/>
    <w:rsid w:val="00790705"/>
    <w:rsid w:val="007931FA"/>
    <w:rsid w:val="00793C0E"/>
    <w:rsid w:val="007A4861"/>
    <w:rsid w:val="007A7BBA"/>
    <w:rsid w:val="007B0C50"/>
    <w:rsid w:val="007B1156"/>
    <w:rsid w:val="007B48F9"/>
    <w:rsid w:val="007C1A43"/>
    <w:rsid w:val="007C4E31"/>
    <w:rsid w:val="007D0951"/>
    <w:rsid w:val="007D572A"/>
    <w:rsid w:val="007E3DB8"/>
    <w:rsid w:val="007F27C8"/>
    <w:rsid w:val="007F533E"/>
    <w:rsid w:val="0080013E"/>
    <w:rsid w:val="008051BB"/>
    <w:rsid w:val="00806FB4"/>
    <w:rsid w:val="00807893"/>
    <w:rsid w:val="00810C2A"/>
    <w:rsid w:val="00810C35"/>
    <w:rsid w:val="00813288"/>
    <w:rsid w:val="0081473F"/>
    <w:rsid w:val="008168FC"/>
    <w:rsid w:val="008202FA"/>
    <w:rsid w:val="00822847"/>
    <w:rsid w:val="008244EE"/>
    <w:rsid w:val="008263E2"/>
    <w:rsid w:val="00830996"/>
    <w:rsid w:val="008314D7"/>
    <w:rsid w:val="008345F1"/>
    <w:rsid w:val="00865B07"/>
    <w:rsid w:val="008667EA"/>
    <w:rsid w:val="0087637F"/>
    <w:rsid w:val="00884112"/>
    <w:rsid w:val="00892AD5"/>
    <w:rsid w:val="008A134D"/>
    <w:rsid w:val="008A1512"/>
    <w:rsid w:val="008A1E50"/>
    <w:rsid w:val="008A35BC"/>
    <w:rsid w:val="008A6D22"/>
    <w:rsid w:val="008C0275"/>
    <w:rsid w:val="008C22F2"/>
    <w:rsid w:val="008D32B9"/>
    <w:rsid w:val="008D433B"/>
    <w:rsid w:val="008D4A16"/>
    <w:rsid w:val="008E209A"/>
    <w:rsid w:val="008E45BC"/>
    <w:rsid w:val="008E566E"/>
    <w:rsid w:val="008E5773"/>
    <w:rsid w:val="008F007B"/>
    <w:rsid w:val="008F099A"/>
    <w:rsid w:val="0090161A"/>
    <w:rsid w:val="00901EB6"/>
    <w:rsid w:val="009041F8"/>
    <w:rsid w:val="00904C62"/>
    <w:rsid w:val="00905FF4"/>
    <w:rsid w:val="00906FEF"/>
    <w:rsid w:val="00921934"/>
    <w:rsid w:val="00922BA8"/>
    <w:rsid w:val="00923926"/>
    <w:rsid w:val="00924DAC"/>
    <w:rsid w:val="00927058"/>
    <w:rsid w:val="0092768E"/>
    <w:rsid w:val="00942750"/>
    <w:rsid w:val="009443D7"/>
    <w:rsid w:val="009450CE"/>
    <w:rsid w:val="009459BB"/>
    <w:rsid w:val="00947179"/>
    <w:rsid w:val="0095164B"/>
    <w:rsid w:val="00954090"/>
    <w:rsid w:val="00954C2F"/>
    <w:rsid w:val="009573E7"/>
    <w:rsid w:val="00963E05"/>
    <w:rsid w:val="00964A45"/>
    <w:rsid w:val="00967843"/>
    <w:rsid w:val="00967D54"/>
    <w:rsid w:val="00971028"/>
    <w:rsid w:val="00973010"/>
    <w:rsid w:val="00983FAA"/>
    <w:rsid w:val="00993B84"/>
    <w:rsid w:val="00996483"/>
    <w:rsid w:val="00996F5A"/>
    <w:rsid w:val="009A14B7"/>
    <w:rsid w:val="009A5919"/>
    <w:rsid w:val="009A5D1D"/>
    <w:rsid w:val="009B041A"/>
    <w:rsid w:val="009B07B1"/>
    <w:rsid w:val="009B6854"/>
    <w:rsid w:val="009C1FC9"/>
    <w:rsid w:val="009C37C3"/>
    <w:rsid w:val="009C3F99"/>
    <w:rsid w:val="009C701D"/>
    <w:rsid w:val="009C70D3"/>
    <w:rsid w:val="009C7C86"/>
    <w:rsid w:val="009D1344"/>
    <w:rsid w:val="009D213F"/>
    <w:rsid w:val="009D2FF7"/>
    <w:rsid w:val="009D4B52"/>
    <w:rsid w:val="009E7884"/>
    <w:rsid w:val="009E788A"/>
    <w:rsid w:val="009F0E08"/>
    <w:rsid w:val="00A010E0"/>
    <w:rsid w:val="00A079AE"/>
    <w:rsid w:val="00A15628"/>
    <w:rsid w:val="00A1763D"/>
    <w:rsid w:val="00A17CEC"/>
    <w:rsid w:val="00A21E84"/>
    <w:rsid w:val="00A26CBB"/>
    <w:rsid w:val="00A27EF0"/>
    <w:rsid w:val="00A318C4"/>
    <w:rsid w:val="00A34245"/>
    <w:rsid w:val="00A379B4"/>
    <w:rsid w:val="00A41B63"/>
    <w:rsid w:val="00A42361"/>
    <w:rsid w:val="00A436D2"/>
    <w:rsid w:val="00A459F2"/>
    <w:rsid w:val="00A50B20"/>
    <w:rsid w:val="00A51390"/>
    <w:rsid w:val="00A60B3D"/>
    <w:rsid w:val="00A60D13"/>
    <w:rsid w:val="00A61671"/>
    <w:rsid w:val="00A66658"/>
    <w:rsid w:val="00A668A3"/>
    <w:rsid w:val="00A7223D"/>
    <w:rsid w:val="00A72745"/>
    <w:rsid w:val="00A754FE"/>
    <w:rsid w:val="00A760A0"/>
    <w:rsid w:val="00A76EFC"/>
    <w:rsid w:val="00A80CF6"/>
    <w:rsid w:val="00A84A7D"/>
    <w:rsid w:val="00A8583C"/>
    <w:rsid w:val="00A87D50"/>
    <w:rsid w:val="00A91010"/>
    <w:rsid w:val="00A97F29"/>
    <w:rsid w:val="00AA702E"/>
    <w:rsid w:val="00AA7D26"/>
    <w:rsid w:val="00AB0964"/>
    <w:rsid w:val="00AB4F14"/>
    <w:rsid w:val="00AB5011"/>
    <w:rsid w:val="00AC0C57"/>
    <w:rsid w:val="00AC7368"/>
    <w:rsid w:val="00AD0278"/>
    <w:rsid w:val="00AD04E1"/>
    <w:rsid w:val="00AD16B9"/>
    <w:rsid w:val="00AD6D86"/>
    <w:rsid w:val="00AE377D"/>
    <w:rsid w:val="00AE3F5A"/>
    <w:rsid w:val="00AF0EBA"/>
    <w:rsid w:val="00AF1789"/>
    <w:rsid w:val="00AF76F5"/>
    <w:rsid w:val="00B02C8A"/>
    <w:rsid w:val="00B04627"/>
    <w:rsid w:val="00B14668"/>
    <w:rsid w:val="00B1524A"/>
    <w:rsid w:val="00B17FBD"/>
    <w:rsid w:val="00B23094"/>
    <w:rsid w:val="00B315A6"/>
    <w:rsid w:val="00B3172B"/>
    <w:rsid w:val="00B31813"/>
    <w:rsid w:val="00B33365"/>
    <w:rsid w:val="00B34BF9"/>
    <w:rsid w:val="00B3569A"/>
    <w:rsid w:val="00B50DBE"/>
    <w:rsid w:val="00B56CE9"/>
    <w:rsid w:val="00B57B36"/>
    <w:rsid w:val="00B57E6F"/>
    <w:rsid w:val="00B63780"/>
    <w:rsid w:val="00B6391B"/>
    <w:rsid w:val="00B71653"/>
    <w:rsid w:val="00B73FBE"/>
    <w:rsid w:val="00B75D7E"/>
    <w:rsid w:val="00B8686D"/>
    <w:rsid w:val="00B93F69"/>
    <w:rsid w:val="00BA02C7"/>
    <w:rsid w:val="00BB1DDC"/>
    <w:rsid w:val="00BB5BD6"/>
    <w:rsid w:val="00BC0F43"/>
    <w:rsid w:val="00BC148A"/>
    <w:rsid w:val="00BC2846"/>
    <w:rsid w:val="00BC30C9"/>
    <w:rsid w:val="00BD077D"/>
    <w:rsid w:val="00BE3E58"/>
    <w:rsid w:val="00C01616"/>
    <w:rsid w:val="00C0162B"/>
    <w:rsid w:val="00C068ED"/>
    <w:rsid w:val="00C121B6"/>
    <w:rsid w:val="00C208E9"/>
    <w:rsid w:val="00C22E0C"/>
    <w:rsid w:val="00C23026"/>
    <w:rsid w:val="00C325EE"/>
    <w:rsid w:val="00C345B1"/>
    <w:rsid w:val="00C376E5"/>
    <w:rsid w:val="00C40142"/>
    <w:rsid w:val="00C52C3C"/>
    <w:rsid w:val="00C55852"/>
    <w:rsid w:val="00C57182"/>
    <w:rsid w:val="00C57863"/>
    <w:rsid w:val="00C640AF"/>
    <w:rsid w:val="00C655FD"/>
    <w:rsid w:val="00C75407"/>
    <w:rsid w:val="00C77E37"/>
    <w:rsid w:val="00C80BC8"/>
    <w:rsid w:val="00C83677"/>
    <w:rsid w:val="00C83B6D"/>
    <w:rsid w:val="00C841C6"/>
    <w:rsid w:val="00C870A8"/>
    <w:rsid w:val="00C94434"/>
    <w:rsid w:val="00CA0ABA"/>
    <w:rsid w:val="00CA0D75"/>
    <w:rsid w:val="00CA1C95"/>
    <w:rsid w:val="00CA37CA"/>
    <w:rsid w:val="00CA4160"/>
    <w:rsid w:val="00CA5A9C"/>
    <w:rsid w:val="00CB002D"/>
    <w:rsid w:val="00CC4C20"/>
    <w:rsid w:val="00CC55C9"/>
    <w:rsid w:val="00CD3517"/>
    <w:rsid w:val="00CD5FE2"/>
    <w:rsid w:val="00CD7111"/>
    <w:rsid w:val="00CE795E"/>
    <w:rsid w:val="00CE7C68"/>
    <w:rsid w:val="00CF08E5"/>
    <w:rsid w:val="00CF5FB1"/>
    <w:rsid w:val="00D003FF"/>
    <w:rsid w:val="00D005E5"/>
    <w:rsid w:val="00D02B4C"/>
    <w:rsid w:val="00D040C4"/>
    <w:rsid w:val="00D11EF5"/>
    <w:rsid w:val="00D13CF9"/>
    <w:rsid w:val="00D20AD1"/>
    <w:rsid w:val="00D21D31"/>
    <w:rsid w:val="00D2230B"/>
    <w:rsid w:val="00D23130"/>
    <w:rsid w:val="00D2582C"/>
    <w:rsid w:val="00D36154"/>
    <w:rsid w:val="00D44E9C"/>
    <w:rsid w:val="00D46B7E"/>
    <w:rsid w:val="00D47E7B"/>
    <w:rsid w:val="00D510BD"/>
    <w:rsid w:val="00D56EAC"/>
    <w:rsid w:val="00D57C84"/>
    <w:rsid w:val="00D601F1"/>
    <w:rsid w:val="00D6057D"/>
    <w:rsid w:val="00D60919"/>
    <w:rsid w:val="00D611E2"/>
    <w:rsid w:val="00D63D8F"/>
    <w:rsid w:val="00D70F77"/>
    <w:rsid w:val="00D71640"/>
    <w:rsid w:val="00D7540B"/>
    <w:rsid w:val="00D82A38"/>
    <w:rsid w:val="00D836C5"/>
    <w:rsid w:val="00D83BC8"/>
    <w:rsid w:val="00D84576"/>
    <w:rsid w:val="00D90A71"/>
    <w:rsid w:val="00DA1399"/>
    <w:rsid w:val="00DA24C6"/>
    <w:rsid w:val="00DA4D7B"/>
    <w:rsid w:val="00DA5EC8"/>
    <w:rsid w:val="00DB12E4"/>
    <w:rsid w:val="00DB1339"/>
    <w:rsid w:val="00DB64B4"/>
    <w:rsid w:val="00DB7298"/>
    <w:rsid w:val="00DC5C11"/>
    <w:rsid w:val="00DD271C"/>
    <w:rsid w:val="00DE264A"/>
    <w:rsid w:val="00DE3C69"/>
    <w:rsid w:val="00DE6423"/>
    <w:rsid w:val="00DF242D"/>
    <w:rsid w:val="00DF364A"/>
    <w:rsid w:val="00DF5072"/>
    <w:rsid w:val="00E02D18"/>
    <w:rsid w:val="00E041E7"/>
    <w:rsid w:val="00E10FB5"/>
    <w:rsid w:val="00E2376E"/>
    <w:rsid w:val="00E23CA1"/>
    <w:rsid w:val="00E322FE"/>
    <w:rsid w:val="00E32BBD"/>
    <w:rsid w:val="00E36BAC"/>
    <w:rsid w:val="00E409A8"/>
    <w:rsid w:val="00E47D61"/>
    <w:rsid w:val="00E50C12"/>
    <w:rsid w:val="00E577AC"/>
    <w:rsid w:val="00E608A4"/>
    <w:rsid w:val="00E65B91"/>
    <w:rsid w:val="00E66A3B"/>
    <w:rsid w:val="00E71E38"/>
    <w:rsid w:val="00E7209D"/>
    <w:rsid w:val="00E7232F"/>
    <w:rsid w:val="00E72EAD"/>
    <w:rsid w:val="00E765E7"/>
    <w:rsid w:val="00E76BE2"/>
    <w:rsid w:val="00E77223"/>
    <w:rsid w:val="00E8528B"/>
    <w:rsid w:val="00E85B94"/>
    <w:rsid w:val="00E906B5"/>
    <w:rsid w:val="00E978D0"/>
    <w:rsid w:val="00EA13B8"/>
    <w:rsid w:val="00EA310C"/>
    <w:rsid w:val="00EA3EF9"/>
    <w:rsid w:val="00EA4613"/>
    <w:rsid w:val="00EA5C83"/>
    <w:rsid w:val="00EA7F91"/>
    <w:rsid w:val="00EB1523"/>
    <w:rsid w:val="00EB2753"/>
    <w:rsid w:val="00EC0E49"/>
    <w:rsid w:val="00EC101F"/>
    <w:rsid w:val="00EC1D9F"/>
    <w:rsid w:val="00ED46D2"/>
    <w:rsid w:val="00ED62C1"/>
    <w:rsid w:val="00EE0131"/>
    <w:rsid w:val="00EE17B0"/>
    <w:rsid w:val="00EF06D9"/>
    <w:rsid w:val="00EF0982"/>
    <w:rsid w:val="00EF0E71"/>
    <w:rsid w:val="00EF582E"/>
    <w:rsid w:val="00F00D59"/>
    <w:rsid w:val="00F0127D"/>
    <w:rsid w:val="00F03D14"/>
    <w:rsid w:val="00F0428A"/>
    <w:rsid w:val="00F117CA"/>
    <w:rsid w:val="00F126A5"/>
    <w:rsid w:val="00F12A85"/>
    <w:rsid w:val="00F22F59"/>
    <w:rsid w:val="00F3049E"/>
    <w:rsid w:val="00F30C64"/>
    <w:rsid w:val="00F31631"/>
    <w:rsid w:val="00F32BA2"/>
    <w:rsid w:val="00F32CDB"/>
    <w:rsid w:val="00F3348F"/>
    <w:rsid w:val="00F37280"/>
    <w:rsid w:val="00F41EE4"/>
    <w:rsid w:val="00F422EC"/>
    <w:rsid w:val="00F442A9"/>
    <w:rsid w:val="00F552D4"/>
    <w:rsid w:val="00F565FE"/>
    <w:rsid w:val="00F57DFD"/>
    <w:rsid w:val="00F63A70"/>
    <w:rsid w:val="00F63D8C"/>
    <w:rsid w:val="00F67B8F"/>
    <w:rsid w:val="00F7534E"/>
    <w:rsid w:val="00F83B0C"/>
    <w:rsid w:val="00F84447"/>
    <w:rsid w:val="00F87BE7"/>
    <w:rsid w:val="00F91F4C"/>
    <w:rsid w:val="00F93EDF"/>
    <w:rsid w:val="00F965D7"/>
    <w:rsid w:val="00FA1802"/>
    <w:rsid w:val="00FA21D0"/>
    <w:rsid w:val="00FA5F5F"/>
    <w:rsid w:val="00FA728A"/>
    <w:rsid w:val="00FB730C"/>
    <w:rsid w:val="00FC2695"/>
    <w:rsid w:val="00FC3E03"/>
    <w:rsid w:val="00FC3FC1"/>
    <w:rsid w:val="00FC60BC"/>
    <w:rsid w:val="00FE752E"/>
    <w:rsid w:val="00FE7C8A"/>
    <w:rsid w:val="00FF404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D611E2"/>
    <w:pPr>
      <w:keepNext/>
      <w:suppressAutoHyphens/>
      <w:spacing w:before="120" w:after="120" w:line="240" w:lineRule="auto"/>
      <w:jc w:val="both"/>
    </w:pPr>
    <w:rPr>
      <w:rFonts w:ascii="Arial" w:eastAsia="Times New Roman" w:hAnsi="Arial" w:cs="Times New Roman"/>
      <w:bCs/>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D611E2"/>
    <w:rPr>
      <w:rFonts w:ascii="Arial" w:eastAsia="Times New Roman" w:hAnsi="Arial" w:cs="Times New Roman"/>
      <w:bCs/>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val="0"/>
      <w:bCs/>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9D1344"/>
    <w:rPr>
      <w:color w:val="605E5C"/>
      <w:shd w:val="clear" w:color="auto" w:fill="E1DFDD"/>
    </w:rPr>
  </w:style>
  <w:style w:type="character" w:styleId="PlaceholderText">
    <w:name w:val="Placeholder Text"/>
    <w:basedOn w:val="DefaultParagraphFont"/>
    <w:uiPriority w:val="99"/>
    <w:semiHidden/>
    <w:rsid w:val="005739B5"/>
    <w:rPr>
      <w:color w:val="666666"/>
    </w:rPr>
  </w:style>
  <w:style w:type="paragraph" w:styleId="Revision">
    <w:name w:val="Revision"/>
    <w:hidden/>
    <w:uiPriority w:val="99"/>
    <w:semiHidden/>
    <w:rsid w:val="0041635A"/>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3238</Words>
  <Characters>18459</Characters>
  <Application>Microsoft Office Word</Application>
  <DocSecurity>0</DocSecurity>
  <Lines>153</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Federico Alberini</cp:lastModifiedBy>
  <cp:revision>13</cp:revision>
  <cp:lastPrinted>2015-05-12T18:31:00Z</cp:lastPrinted>
  <dcterms:created xsi:type="dcterms:W3CDTF">2026-04-21T14:20:00Z</dcterms:created>
  <dcterms:modified xsi:type="dcterms:W3CDTF">2026-04-21T14:32:00Z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