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B526A3">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B526A3">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B526A3">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9061070" w:rsidR="00E978D0" w:rsidRPr="00B57B36" w:rsidRDefault="00B526A3" w:rsidP="00E978D0">
      <w:pPr>
        <w:pStyle w:val="CETTitle"/>
      </w:pPr>
      <w:r w:rsidRPr="00B526A3">
        <w:t>GENERATION OF SOLID AND LIQUID BIOFUELS BY PYROLYSIS OF SUGARCANE BAGASS</w:t>
      </w:r>
      <w:r>
        <w:t>E</w:t>
      </w:r>
    </w:p>
    <w:p w14:paraId="0488FED2" w14:textId="6CFFAD03" w:rsidR="00B57E6F" w:rsidRPr="004570DB" w:rsidRDefault="00B526A3" w:rsidP="00B57E6F">
      <w:pPr>
        <w:pStyle w:val="CETAuthors"/>
        <w:rPr>
          <w:lang w:val="pt-BR"/>
        </w:rPr>
      </w:pPr>
      <w:r w:rsidRPr="004570DB">
        <w:rPr>
          <w:lang w:val="pt-BR"/>
        </w:rPr>
        <w:t>Marina C. Fernandes</w:t>
      </w:r>
      <w:r w:rsidR="004570DB" w:rsidRPr="004570DB">
        <w:rPr>
          <w:lang w:val="pt-BR"/>
        </w:rPr>
        <w:t>*</w:t>
      </w:r>
      <w:r w:rsidRPr="004570DB">
        <w:rPr>
          <w:lang w:val="pt-BR"/>
        </w:rPr>
        <w:t>, Éricles V. Nascimento, Gustavo P. Valença, Telma T. Franco</w:t>
      </w:r>
      <w:r w:rsidRPr="004570DB">
        <w:rPr>
          <w:lang w:val="pt-BR"/>
        </w:rPr>
        <w:t xml:space="preserve"> </w:t>
      </w:r>
    </w:p>
    <w:p w14:paraId="6B2D21B3" w14:textId="1D44F4A5" w:rsidR="00B57E6F" w:rsidRPr="00B57B36" w:rsidRDefault="00B526A3" w:rsidP="00B57E6F">
      <w:pPr>
        <w:pStyle w:val="CETAddress"/>
      </w:pPr>
      <w:r w:rsidRPr="00B526A3">
        <w:t>Process Engineering Department, School of Chemical Engineering – University of Campinas (UNICAMP),</w:t>
      </w:r>
      <w:r>
        <w:t xml:space="preserve"> </w:t>
      </w:r>
      <w:r w:rsidRPr="00B526A3">
        <w:t>Campinas, São Paulo, Brazil</w:t>
      </w:r>
      <w:r w:rsidR="00B57E6F" w:rsidRPr="00B57B36">
        <w:t xml:space="preserve"> </w:t>
      </w:r>
    </w:p>
    <w:p w14:paraId="73F1267A" w14:textId="78BD1E6A" w:rsidR="00B57E6F" w:rsidRPr="003B4EA5" w:rsidRDefault="004570DB" w:rsidP="00B57E6F">
      <w:pPr>
        <w:pStyle w:val="CETemail"/>
        <w:rPr>
          <w:lang w:val="fr-FR"/>
        </w:rPr>
      </w:pPr>
      <w:r>
        <w:t xml:space="preserve"> </w:t>
      </w:r>
      <w:r w:rsidR="00B526A3" w:rsidRPr="00B526A3">
        <w:t>mcampanerfernandes@gmail.com</w:t>
      </w:r>
    </w:p>
    <w:p w14:paraId="0D04C593" w14:textId="43C4349E" w:rsidR="004570DB" w:rsidRDefault="004570DB" w:rsidP="00600535">
      <w:pPr>
        <w:pStyle w:val="CETBodytext"/>
        <w:rPr>
          <w:lang w:val="en-GB"/>
        </w:rPr>
      </w:pPr>
      <w:r w:rsidRPr="004570DB">
        <w:rPr>
          <w:lang w:val="en-GB"/>
        </w:rPr>
        <w:t xml:space="preserve">Several environmental impacts are associated with the intensive use of energy from non-renewable sources, such as fossil fuels. To reduce this dependence, the global demand for renewable alternatives has been increasing. In this context, the Brazilian energy matrix stands out for being predominantly composed of clean sources, a result of </w:t>
      </w:r>
      <w:r w:rsidRPr="004570DB">
        <w:rPr>
          <w:lang w:val="en-GB"/>
        </w:rPr>
        <w:t>favourable</w:t>
      </w:r>
      <w:r w:rsidRPr="004570DB">
        <w:rPr>
          <w:lang w:val="en-GB"/>
        </w:rPr>
        <w:t xml:space="preserve"> climatic and edaphic conditions. Brazil is the world’s largest producer of sugarcane, which makes the biomass from this crop a particularly promising alternative for energy generation. Among its residues, sugarcane bagasse has high energetic potential, as it can be converted into valuable products such as biofuels. The pyrolysis of this residue generates biofuels with lower environmental impact compared to fossil resources, producing three main fractions: biochar, bio-oil (acid extract and bio-oil), and gas. Therefore, the aim of this study was to evaluate the yield of these products from the pyrolysis of sugarcane bagasse, varying the processing time and applied temperature. It was observed that the lowest temperature (400 °C) </w:t>
      </w:r>
      <w:r w:rsidRPr="004570DB">
        <w:rPr>
          <w:lang w:val="en-GB"/>
        </w:rPr>
        <w:t>favoured</w:t>
      </w:r>
      <w:r w:rsidRPr="004570DB">
        <w:rPr>
          <w:lang w:val="en-GB"/>
        </w:rPr>
        <w:t xml:space="preserve"> the formation of solids (biochar), while the intermediate temperature (500 °C) resulted in the highest liquid production. The highest temperature (600 °C), in turn, provided the greatest gas yield. The highest higher heating value (HHV) of the biochar, 31.0 MJ/kg, was obtained at 600 °C. For the bio-oil, the highest HHV, 25.2 MJ/kg, occurred at the intermediate temperature of 500 °C</w:t>
      </w:r>
      <w:r>
        <w:rPr>
          <w:lang w:val="en-GB"/>
        </w:rPr>
        <w:t>.</w:t>
      </w:r>
    </w:p>
    <w:p w14:paraId="476B2F2E" w14:textId="77777777" w:rsidR="00600535" w:rsidRPr="00B57B36" w:rsidRDefault="00600535" w:rsidP="00600535">
      <w:pPr>
        <w:pStyle w:val="CETHeading1"/>
        <w:rPr>
          <w:lang w:val="en-GB"/>
        </w:rPr>
      </w:pPr>
      <w:r w:rsidRPr="00B57B36">
        <w:rPr>
          <w:lang w:val="en-GB"/>
        </w:rPr>
        <w:t>Introduction</w:t>
      </w:r>
    </w:p>
    <w:p w14:paraId="4E09D224" w14:textId="67981A6C" w:rsidR="005216B6" w:rsidRDefault="005216B6" w:rsidP="005216B6">
      <w:pPr>
        <w:pStyle w:val="CETBodytext"/>
      </w:pPr>
      <w:r>
        <w:t>Climate change associated with the intensified use of fossil fuels has raised global concerns. The increased consumption of these non-renewable sources, the depletion of global reserves, and the rise in atmospheric concentrations of pollutant gases, known as greenhouse gases (GHGs), have driven the search for alternative energy sources with lower climatic impact. In this context, the use of biomass as a renewable energy source stands out as a promising strategy for mitigating GHG emissions (</w:t>
      </w:r>
      <w:proofErr w:type="spellStart"/>
      <w:r w:rsidRPr="00AF0069">
        <w:t>F</w:t>
      </w:r>
      <w:r w:rsidRPr="00AF0069">
        <w:t>ardhyanti</w:t>
      </w:r>
      <w:proofErr w:type="spellEnd"/>
      <w:r w:rsidRPr="00AF0069">
        <w:t xml:space="preserve"> et al., 2022</w:t>
      </w:r>
      <w:r w:rsidR="00AF0069" w:rsidRPr="00AF0069">
        <w:t>)</w:t>
      </w:r>
    </w:p>
    <w:p w14:paraId="69CF95F4" w14:textId="54C9E2AA" w:rsidR="005216B6" w:rsidRDefault="005216B6" w:rsidP="005216B6">
      <w:pPr>
        <w:pStyle w:val="CETBodytext"/>
      </w:pPr>
      <w:r>
        <w:t>Brazil is the world’s largest producer of sugarcane</w:t>
      </w:r>
      <w:r w:rsidR="003879A6">
        <w:t xml:space="preserve"> (</w:t>
      </w:r>
      <w:proofErr w:type="spellStart"/>
      <w:r w:rsidR="003879A6">
        <w:t>N</w:t>
      </w:r>
      <w:r w:rsidR="003879A6" w:rsidRPr="003879A6">
        <w:t>achiluk</w:t>
      </w:r>
      <w:proofErr w:type="spellEnd"/>
      <w:r w:rsidR="003879A6" w:rsidRPr="003879A6">
        <w:t xml:space="preserve">, </w:t>
      </w:r>
      <w:r w:rsidR="003879A6">
        <w:t>K</w:t>
      </w:r>
      <w:r w:rsidR="003879A6" w:rsidRPr="003879A6">
        <w:t>, 2021</w:t>
      </w:r>
      <w:r w:rsidR="003879A6">
        <w:t xml:space="preserve">) </w:t>
      </w:r>
      <w:r>
        <w:t xml:space="preserve">and the processing of this raw material generates a significant </w:t>
      </w:r>
      <w:proofErr w:type="gramStart"/>
      <w:r>
        <w:t>amount</w:t>
      </w:r>
      <w:proofErr w:type="gramEnd"/>
      <w:r>
        <w:t xml:space="preserve"> of by-products and residues with high potential for reuse, either for agricultural soil application or for energy purposes. It is estimated that the processing of one metric ton of sugarcane generates approximately 280 kg of bagasse and 170 kg of straw (</w:t>
      </w:r>
      <w:proofErr w:type="spellStart"/>
      <w:r w:rsidR="003879A6">
        <w:t>E</w:t>
      </w:r>
      <w:r w:rsidR="003879A6" w:rsidRPr="003879A6">
        <w:t>mbrapa</w:t>
      </w:r>
      <w:proofErr w:type="spellEnd"/>
      <w:r w:rsidR="003879A6" w:rsidRPr="003879A6">
        <w:t xml:space="preserve">, </w:t>
      </w:r>
      <w:r w:rsidRPr="003879A6">
        <w:t>2022</w:t>
      </w:r>
      <w:r w:rsidR="003879A6" w:rsidRPr="003879A6">
        <w:t>).</w:t>
      </w:r>
    </w:p>
    <w:p w14:paraId="5BB89A8A" w14:textId="527F7FD9" w:rsidR="005216B6" w:rsidRDefault="005216B6" w:rsidP="005216B6">
      <w:pPr>
        <w:pStyle w:val="CETBodytext"/>
      </w:pPr>
      <w:r>
        <w:t xml:space="preserve">Sugarcane bagasse is a fibrous residue resulting from the milling process used to extract the juice. This material presents </w:t>
      </w:r>
      <w:r w:rsidR="00756E4E">
        <w:t>favorable</w:t>
      </w:r>
      <w:r>
        <w:t xml:space="preserve"> physicochemical characteristics for industrial applications, such as low </w:t>
      </w:r>
      <w:proofErr w:type="spellStart"/>
      <w:r>
        <w:t>sulfur</w:t>
      </w:r>
      <w:proofErr w:type="spellEnd"/>
      <w:r>
        <w:t xml:space="preserve"> and ash contents, which, when compared to conventional fuels, contribute to reduced emissions of atmospheric pollutants. In addition, its high cellulose and volatile matter content enhances its performance in energy generation processes (</w:t>
      </w:r>
      <w:r w:rsidR="00EE434A" w:rsidRPr="00EE434A">
        <w:t>Toscano Miranda et al., 2021</w:t>
      </w:r>
      <w:r w:rsidRPr="00EE434A">
        <w:t>).</w:t>
      </w:r>
    </w:p>
    <w:p w14:paraId="540D855C" w14:textId="370B3A82" w:rsidR="005216B6" w:rsidRDefault="005216B6" w:rsidP="005216B6">
      <w:pPr>
        <w:pStyle w:val="CETBodytext"/>
      </w:pPr>
      <w:r>
        <w:t>Among the thermochemical routes for converting biomass into higher value-added products, pyrolysis stands out as a thermal decomposition process carried out in the absence of oxygen, capable of converting biomass into three main products: biochar, bio-oil, and gas</w:t>
      </w:r>
      <w:r w:rsidR="00AF0069">
        <w:t xml:space="preserve"> (</w:t>
      </w:r>
      <w:proofErr w:type="spellStart"/>
      <w:r w:rsidR="00AF0069" w:rsidRPr="00AF0069">
        <w:t>Fardhyanti</w:t>
      </w:r>
      <w:proofErr w:type="spellEnd"/>
      <w:r w:rsidR="00AF0069" w:rsidRPr="00AF0069">
        <w:t xml:space="preserve"> et al., 2022</w:t>
      </w:r>
      <w:r w:rsidR="00AF0069" w:rsidRPr="00AF0069">
        <w:t>)</w:t>
      </w:r>
      <w:r w:rsidRPr="00AF0069">
        <w:t>.</w:t>
      </w:r>
      <w:r>
        <w:t xml:space="preserve"> Variations in operational conditions allow the formation of each of these fractions to be directed and maximized (</w:t>
      </w:r>
      <w:r w:rsidR="00AF0069" w:rsidRPr="00AF0069">
        <w:t xml:space="preserve">Toscano Miranda </w:t>
      </w:r>
      <w:r w:rsidRPr="00AF0069">
        <w:t>et al., 2021).</w:t>
      </w:r>
    </w:p>
    <w:p w14:paraId="25C20379" w14:textId="292731BF" w:rsidR="005216B6" w:rsidRDefault="005216B6" w:rsidP="005216B6">
      <w:pPr>
        <w:pStyle w:val="CETBodytext"/>
      </w:pPr>
      <w:r>
        <w:t>Several studies reported in the literature have investigated the pyrolysis of sugarcane bagasse, evaluating the influence of operational conditions on product yields and properties (</w:t>
      </w:r>
      <w:proofErr w:type="spellStart"/>
      <w:r w:rsidRPr="00EE434A">
        <w:t>Fardhyanti</w:t>
      </w:r>
      <w:proofErr w:type="spellEnd"/>
      <w:r w:rsidRPr="00EE434A">
        <w:t xml:space="preserve"> et al., 2022).</w:t>
      </w:r>
      <w:r>
        <w:t xml:space="preserve"> In general, </w:t>
      </w:r>
      <w:r>
        <w:lastRenderedPageBreak/>
        <w:t>temperatures around 500 °C favor bio-oil production, while higher temperatures promote an increase in the gas fraction</w:t>
      </w:r>
      <w:r w:rsidR="00D663D4">
        <w:t xml:space="preserve"> (Sohaib et al</w:t>
      </w:r>
      <w:r>
        <w:t>.</w:t>
      </w:r>
      <w:r w:rsidR="00D663D4">
        <w:t>, 2017)</w:t>
      </w:r>
      <w:r w:rsidR="00BC7FF5">
        <w:t>.</w:t>
      </w:r>
    </w:p>
    <w:p w14:paraId="1F0C05C3" w14:textId="77777777" w:rsidR="005216B6" w:rsidRDefault="005216B6" w:rsidP="005216B6">
      <w:pPr>
        <w:pStyle w:val="CETBodytext"/>
      </w:pPr>
      <w:r>
        <w:t>However, the combined evaluation of operational parameters, especially temperature and residence time, in relation to product distribution and their energy properties, such as the higher heating value (HHV), is still limited in the literature, highlighting the need for studies that consider the simultaneous effect of these variables on the determination of the energetic potential of the products.</w:t>
      </w:r>
    </w:p>
    <w:p w14:paraId="12DB1910" w14:textId="77777777" w:rsidR="005216B6" w:rsidRDefault="005216B6" w:rsidP="005216B6">
      <w:pPr>
        <w:pStyle w:val="CETBodytext"/>
      </w:pPr>
      <w:r>
        <w:t>Thus, this study proposes to evaluate the production of biochar, bio-oil, and gas from sugarcane bagasse through the pyrolysis process, as well as their potential use as clean energy sources, based on physicochemical analyses.</w:t>
      </w:r>
    </w:p>
    <w:p w14:paraId="5741900F" w14:textId="2E755799" w:rsidR="00453E24" w:rsidRDefault="005216B6" w:rsidP="00453E24">
      <w:pPr>
        <w:pStyle w:val="CETHeading1"/>
      </w:pPr>
      <w:r>
        <w:t>M</w:t>
      </w:r>
      <w:r w:rsidRPr="005216B6">
        <w:t>ethodology</w:t>
      </w:r>
    </w:p>
    <w:p w14:paraId="0BA0C4BA" w14:textId="54F30228" w:rsidR="00D91F61" w:rsidRPr="00D91F61" w:rsidRDefault="00D91F61" w:rsidP="00D91F61">
      <w:pPr>
        <w:pStyle w:val="CETBodytext"/>
      </w:pPr>
      <w:r w:rsidRPr="00D91F61">
        <w:t>The methodology used in this study is described below.</w:t>
      </w:r>
    </w:p>
    <w:p w14:paraId="0636B784" w14:textId="1BF67FC3" w:rsidR="00453E24" w:rsidRDefault="005216B6" w:rsidP="00453E24">
      <w:pPr>
        <w:pStyle w:val="CETheadingx"/>
      </w:pPr>
      <w:r w:rsidRPr="005216B6">
        <w:t>Biomass Characterization</w:t>
      </w:r>
    </w:p>
    <w:p w14:paraId="7C2B0064" w14:textId="56DF5E49" w:rsidR="00453E24" w:rsidRDefault="005216B6" w:rsidP="00453E24">
      <w:pPr>
        <w:pStyle w:val="CETBodytext"/>
      </w:pPr>
      <w:r w:rsidRPr="005216B6">
        <w:t>Sugarcane bagasse was obtained from a sugar mill located in the Campinas region, Brazil. The biomass was milled using a CARVOMILL 300 hammer mill to ensure sample homogeneity, followed by particle size distribution analysis. Physicochemical characterization included the determination of moisture content, volatile matter, ash, and fixed carbon, performed in triplicate according to ASTM D1762-8.</w:t>
      </w:r>
    </w:p>
    <w:p w14:paraId="18BAFA6F" w14:textId="2417DC06" w:rsidR="00453E24" w:rsidRPr="00B57B36" w:rsidRDefault="005216B6" w:rsidP="00453E24">
      <w:pPr>
        <w:pStyle w:val="CETheadingx"/>
      </w:pPr>
      <w:r w:rsidRPr="005216B6">
        <w:t>Pyrolysis process</w:t>
      </w:r>
    </w:p>
    <w:p w14:paraId="582642C6" w14:textId="447164D5" w:rsidR="00453E24" w:rsidRDefault="001D57C7" w:rsidP="00453E24">
      <w:pPr>
        <w:pStyle w:val="CETBodytext"/>
        <w:rPr>
          <w:lang w:val="en-GB"/>
        </w:rPr>
      </w:pPr>
      <w:r w:rsidRPr="001D57C7">
        <w:rPr>
          <w:lang w:val="en-GB"/>
        </w:rPr>
        <w:t>The pyrolysis process was conducted in a fixed-bed reactor operating in batch mode (Figure 1), under a closed system configuration to minimize the presence of oxygen during the experiments. The reactor was fed with 150 g of sugarcane bagasse, and two independent variables were evaluated: temperature and residence time. The experiments were carried out at temperatures of 400, 500, and 600 °C. The heating time corresponded to the period required for the reactor to reach the desired temperature. The residence time was defined as the time during which the reactor was maintained at the target temperature, with values of 0, 15, and 30 minutes. The time count was initiated once the reactor reached the set temperature. A residence time of 0 minutes indicates that the reactor was turned off immediately after reaching the target temperature, without any holding time. The same procedure was applied for all evaluated temperatures. The yields of the solid (char) and liquid (bio-oil and acidic extract) products were calculated based on Equation 1</w:t>
      </w:r>
      <w:r>
        <w:rPr>
          <w:lang w:val="en-GB"/>
        </w:rPr>
        <w:t>.</w:t>
      </w:r>
    </w:p>
    <w:p w14:paraId="2DB79EEF" w14:textId="4B4257EB" w:rsidR="001D57C7" w:rsidRDefault="001D57C7" w:rsidP="001D57C7">
      <w:pPr>
        <w:pStyle w:val="CETBodytext"/>
        <w:spacing w:before="240" w:after="240"/>
        <w:rPr>
          <w:lang w:val="en-GB"/>
        </w:rPr>
      </w:pPr>
      <w:r w:rsidRPr="00034CE9">
        <w:rPr>
          <w:rFonts w:ascii="Times New Roman" w:hAnsi="Times New Roman"/>
          <w:noProof/>
          <w:lang w:eastAsia="pt-BR"/>
        </w:rPr>
        <w:drawing>
          <wp:inline distT="0" distB="0" distL="0" distR="0" wp14:anchorId="4B33BE1E" wp14:editId="2068EF60">
            <wp:extent cx="3657361" cy="2047240"/>
            <wp:effectExtent l="0" t="0" r="635" b="0"/>
            <wp:docPr id="18779837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83708" name=""/>
                    <pic:cNvPicPr/>
                  </pic:nvPicPr>
                  <pic:blipFill rotWithShape="1">
                    <a:blip r:embed="rId10"/>
                    <a:srcRect l="689" t="2125"/>
                    <a:stretch/>
                  </pic:blipFill>
                  <pic:spPr bwMode="auto">
                    <a:xfrm>
                      <a:off x="0" y="0"/>
                      <a:ext cx="3657361" cy="2047240"/>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6FA6BA" w14:textId="76F82864" w:rsidR="001D57C7" w:rsidRDefault="001D57C7" w:rsidP="00453E24">
      <w:pPr>
        <w:pStyle w:val="CETBodytext"/>
        <w:rPr>
          <w:lang w:val="en-GB"/>
        </w:rPr>
      </w:pPr>
      <w:r w:rsidRPr="00BD077D">
        <w:rPr>
          <w:rStyle w:val="CETCaptionCarattere"/>
        </w:rPr>
        <w:t xml:space="preserve">Figure 1: </w:t>
      </w:r>
      <w:r w:rsidRPr="001D57C7">
        <w:rPr>
          <w:rStyle w:val="CETCaptionCarattere"/>
        </w:rPr>
        <w:t>Pyrolysis process of sugarcane bagasse</w:t>
      </w:r>
      <w:r w:rsidRPr="001D57C7">
        <w:rPr>
          <w:rStyle w:val="CETCaptionCarattere"/>
        </w:rPr>
        <w:t xml:space="preserve"> </w:t>
      </w:r>
    </w:p>
    <w:p w14:paraId="39B4DDB3" w14:textId="77777777" w:rsidR="001D57C7" w:rsidRDefault="001D57C7" w:rsidP="00453E24">
      <w:pPr>
        <w:pStyle w:val="CETBodytext"/>
        <w:rPr>
          <w:lang w:val="en-GB"/>
        </w:rPr>
      </w:pPr>
    </w:p>
    <w:tbl>
      <w:tblPr>
        <w:tblW w:w="5000" w:type="pct"/>
        <w:tblLook w:val="04A0" w:firstRow="1" w:lastRow="0" w:firstColumn="1" w:lastColumn="0" w:noHBand="0" w:noVBand="1"/>
      </w:tblPr>
      <w:tblGrid>
        <w:gridCol w:w="7984"/>
        <w:gridCol w:w="803"/>
      </w:tblGrid>
      <w:tr w:rsidR="001D57C7" w:rsidRPr="00B57B36" w14:paraId="457A126C" w14:textId="77777777" w:rsidTr="00C049AB">
        <w:tc>
          <w:tcPr>
            <w:tcW w:w="8188" w:type="dxa"/>
            <w:vAlign w:val="center"/>
          </w:tcPr>
          <w:p w14:paraId="618209CF" w14:textId="658C60ED" w:rsidR="001D57C7" w:rsidRPr="001D57C7" w:rsidRDefault="001D57C7" w:rsidP="001D57C7">
            <w:pPr>
              <w:pStyle w:val="CETEquation"/>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 xml:space="preserve">150 </m:t>
                        </m:r>
                      </m:e>
                      <m:sub>
                        <m:r>
                          <w:rPr>
                            <w:rFonts w:ascii="Cambria Math" w:hAnsi="Cambria Math"/>
                          </w:rPr>
                          <m:t>g</m:t>
                        </m:r>
                      </m:sub>
                    </m:sSub>
                  </m:den>
                </m:f>
                <m:r>
                  <w:rPr>
                    <w:rFonts w:ascii="Cambria Math" w:hAnsi="Cambria Math"/>
                  </w:rPr>
                  <m:t xml:space="preserve"> x 100 </m:t>
                </m:r>
                <m:r>
                  <w:rPr>
                    <w:rFonts w:ascii="Cambria Math" w:hAnsi="Cambria Math"/>
                  </w:rPr>
                  <m:t>%</m:t>
                </m:r>
              </m:oMath>
            </m:oMathPara>
          </w:p>
        </w:tc>
        <w:tc>
          <w:tcPr>
            <w:tcW w:w="815" w:type="dxa"/>
            <w:vAlign w:val="center"/>
          </w:tcPr>
          <w:p w14:paraId="54BF2EFA" w14:textId="77777777" w:rsidR="001D57C7" w:rsidRPr="00B57B36" w:rsidRDefault="001D57C7" w:rsidP="001D57C7">
            <w:pPr>
              <w:pStyle w:val="CETEquation"/>
              <w:jc w:val="right"/>
            </w:pPr>
            <w:r w:rsidRPr="00B57B36">
              <w:t>(1)</w:t>
            </w:r>
          </w:p>
        </w:tc>
      </w:tr>
    </w:tbl>
    <w:p w14:paraId="304EFE64" w14:textId="77777777" w:rsidR="001D57C7" w:rsidRDefault="001D57C7" w:rsidP="00453E24">
      <w:pPr>
        <w:pStyle w:val="CETBodytext"/>
        <w:rPr>
          <w:lang w:val="en-GB"/>
        </w:rPr>
      </w:pPr>
    </w:p>
    <w:p w14:paraId="4EDFB385" w14:textId="2BA62DFF" w:rsidR="001D57C7" w:rsidRPr="00B57B36" w:rsidRDefault="00756E4E" w:rsidP="001D57C7">
      <w:pPr>
        <w:pStyle w:val="CETheadingx"/>
      </w:pPr>
      <w:r w:rsidRPr="00756E4E">
        <w:t>Characterization of Solid and Liquid Products</w:t>
      </w:r>
    </w:p>
    <w:p w14:paraId="71D3500C" w14:textId="34BD0604" w:rsidR="001D57C7" w:rsidRDefault="001D57C7" w:rsidP="00453E24">
      <w:pPr>
        <w:pStyle w:val="CETBodytext"/>
        <w:rPr>
          <w:lang w:val="en-GB"/>
        </w:rPr>
      </w:pPr>
      <w:r w:rsidRPr="001D57C7">
        <w:rPr>
          <w:lang w:val="en-GB"/>
        </w:rPr>
        <w:t xml:space="preserve">The obtained char was characterized in terms of moisture, volatile matter, ash, and fixed carbon, according to ASTM D1762-84. This procedure was performed in triplicate. Based on the results of the proximate analysis, it was observed that temperature was the most relevant factor affecting the results when compared to time. Therefore, the char samples obtained at the same temperature were grouped for the determination of the higher </w:t>
      </w:r>
      <w:r w:rsidRPr="001D57C7">
        <w:rPr>
          <w:lang w:val="en-GB"/>
        </w:rPr>
        <w:lastRenderedPageBreak/>
        <w:t>heating value, in accordance with ASTM D5865-13. For the liquid product, the phases were separated by decantation, allowing the separation of the acidic extract and the bio-oil. Subsequently, the bio-oils obtained at the same temperatures were grouped, and their higher heating value (HHV) was determined in accordance with ASTM D5865-13. Further details on the experimental procedures can be found in Fernandes (2024).</w:t>
      </w:r>
    </w:p>
    <w:p w14:paraId="677EBFF0" w14:textId="7A6BC82B" w:rsidR="00600535" w:rsidRPr="00B57B36" w:rsidRDefault="00756E4E" w:rsidP="00600535">
      <w:pPr>
        <w:pStyle w:val="CETHeading1"/>
        <w:tabs>
          <w:tab w:val="clear" w:pos="360"/>
          <w:tab w:val="right" w:pos="7100"/>
        </w:tabs>
        <w:jc w:val="both"/>
        <w:rPr>
          <w:lang w:val="en-GB"/>
        </w:rPr>
      </w:pPr>
      <w:r w:rsidRPr="00756E4E">
        <w:rPr>
          <w:lang w:val="en-GB"/>
        </w:rPr>
        <w:t>Results and discussions</w:t>
      </w:r>
      <w:r w:rsidRPr="00756E4E">
        <w:rPr>
          <w:lang w:val="en-GB"/>
        </w:rPr>
        <w:t xml:space="preserve"> </w:t>
      </w:r>
    </w:p>
    <w:p w14:paraId="50FB6BF3" w14:textId="4EE0E135" w:rsidR="00756E4E" w:rsidRPr="00D91F61" w:rsidRDefault="00D91F61" w:rsidP="00756E4E">
      <w:pPr>
        <w:pStyle w:val="CETBodytext"/>
      </w:pPr>
      <w:r w:rsidRPr="00D91F61">
        <w:t>The results and discussion are presented below.</w:t>
      </w:r>
    </w:p>
    <w:p w14:paraId="04963A06" w14:textId="355F671B" w:rsidR="00600535" w:rsidRPr="00B57B36" w:rsidRDefault="00756E4E" w:rsidP="00FA5F5F">
      <w:pPr>
        <w:pStyle w:val="CETheadingx"/>
      </w:pPr>
      <w:r w:rsidRPr="00756E4E">
        <w:t>Characterization of Sugarcane Bagasse</w:t>
      </w:r>
      <w:r w:rsidRPr="00756E4E">
        <w:t xml:space="preserve"> </w:t>
      </w:r>
    </w:p>
    <w:p w14:paraId="359899A6" w14:textId="5C737977" w:rsidR="00756E4E" w:rsidRDefault="00756E4E" w:rsidP="00600535">
      <w:pPr>
        <w:pStyle w:val="CETBodytext"/>
        <w:rPr>
          <w:lang w:val="en-GB"/>
        </w:rPr>
      </w:pPr>
      <w:r w:rsidRPr="00756E4E">
        <w:rPr>
          <w:lang w:val="en-GB"/>
        </w:rPr>
        <w:t xml:space="preserve">The particle size distribution of sugarcane bagasse is presented in Figure 2. The calculated Sauter mean diameter was 0.32 mm, indicating a fine and relatively homogeneous particle profile. The particle size of sugarcane bagasse directly influences product yields in the pyrolysis process. In the study by Sohaib et al. (2017), different particle sizes (0.1, 0.3, and 0.5 mm) were evaluated, and it was observed that larger particle sizes (0.5 mm) </w:t>
      </w:r>
      <w:r w:rsidRPr="00756E4E">
        <w:rPr>
          <w:lang w:val="en-GB"/>
        </w:rPr>
        <w:t>favour</w:t>
      </w:r>
      <w:r w:rsidRPr="00756E4E">
        <w:rPr>
          <w:lang w:val="en-GB"/>
        </w:rPr>
        <w:t xml:space="preserve"> an increase in biochar and gas yields. Comparable particle sizes for milled sugarcane bagasse have been reported in previous studies, such as that of El-Sayed and Mostafa (2014). Differences in particle size values reported in the literature are commonly related to the milling process.</w:t>
      </w:r>
    </w:p>
    <w:p w14:paraId="770E05C4" w14:textId="2486AA95" w:rsidR="00756E4E" w:rsidRDefault="00756E4E" w:rsidP="00756E4E">
      <w:pPr>
        <w:pStyle w:val="CETBodytext"/>
        <w:spacing w:before="240" w:after="240"/>
        <w:rPr>
          <w:lang w:val="en-GB"/>
        </w:rPr>
      </w:pPr>
      <w:r w:rsidRPr="00C96DDC">
        <w:rPr>
          <w:rFonts w:ascii="Times New Roman" w:hAnsi="Times New Roman"/>
          <w:noProof/>
        </w:rPr>
        <w:drawing>
          <wp:inline distT="0" distB="0" distL="0" distR="0" wp14:anchorId="5D4AD332" wp14:editId="1A95006E">
            <wp:extent cx="3566477" cy="280910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83131" cy="2822220"/>
                    </a:xfrm>
                    <a:prstGeom prst="rect">
                      <a:avLst/>
                    </a:prstGeom>
                  </pic:spPr>
                </pic:pic>
              </a:graphicData>
            </a:graphic>
          </wp:inline>
        </w:drawing>
      </w:r>
    </w:p>
    <w:p w14:paraId="26618602" w14:textId="0CC05DB3" w:rsidR="00756E4E" w:rsidRDefault="00756E4E" w:rsidP="00756E4E">
      <w:pPr>
        <w:pStyle w:val="CETBodytext"/>
        <w:rPr>
          <w:lang w:val="en-GB"/>
        </w:rPr>
      </w:pPr>
      <w:r w:rsidRPr="00BD077D">
        <w:rPr>
          <w:rStyle w:val="CETCaptionCarattere"/>
        </w:rPr>
        <w:t xml:space="preserve">Figure </w:t>
      </w:r>
      <w:r>
        <w:rPr>
          <w:rStyle w:val="CETCaptionCarattere"/>
        </w:rPr>
        <w:t>2</w:t>
      </w:r>
      <w:r w:rsidRPr="00BD077D">
        <w:rPr>
          <w:rStyle w:val="CETCaptionCarattere"/>
        </w:rPr>
        <w:t xml:space="preserve">: </w:t>
      </w:r>
      <w:r w:rsidRPr="00756E4E">
        <w:rPr>
          <w:rStyle w:val="CETCaptionCarattere"/>
        </w:rPr>
        <w:t>Particle size distribution of sugarcane bagasse</w:t>
      </w:r>
    </w:p>
    <w:p w14:paraId="5DDD47DC" w14:textId="77777777" w:rsidR="00756E4E" w:rsidRDefault="00756E4E" w:rsidP="00600535">
      <w:pPr>
        <w:pStyle w:val="CETBodytext"/>
        <w:rPr>
          <w:lang w:val="en-GB"/>
        </w:rPr>
      </w:pPr>
    </w:p>
    <w:p w14:paraId="27CB2948" w14:textId="4D48FBD1" w:rsidR="00756E4E" w:rsidRDefault="00756E4E" w:rsidP="00600535">
      <w:pPr>
        <w:pStyle w:val="CETBodytext"/>
        <w:rPr>
          <w:lang w:val="en-GB"/>
        </w:rPr>
      </w:pPr>
      <w:r w:rsidRPr="00756E4E">
        <w:rPr>
          <w:lang w:val="en-GB"/>
        </w:rPr>
        <w:t>The proximate analysis results of sugarcane bagasse, obtained in triplicate, are summarized in Table 1. The biomass presented a high volatile matter content (approximately 83</w:t>
      </w:r>
      <w:r w:rsidR="00D54973">
        <w:rPr>
          <w:lang w:val="en-GB"/>
        </w:rPr>
        <w:t xml:space="preserve"> </w:t>
      </w:r>
      <w:r w:rsidRPr="00756E4E">
        <w:rPr>
          <w:lang w:val="en-GB"/>
        </w:rPr>
        <w:t xml:space="preserve">%), which is a </w:t>
      </w:r>
      <w:r w:rsidRPr="00756E4E">
        <w:rPr>
          <w:lang w:val="en-GB"/>
        </w:rPr>
        <w:t>favourable</w:t>
      </w:r>
      <w:r w:rsidRPr="00756E4E">
        <w:rPr>
          <w:lang w:val="en-GB"/>
        </w:rPr>
        <w:t xml:space="preserve"> characteristic for thermochemical conversion processes targeting liquid fuel production. Comparable proximate composition values for sugarcane bagasse have been reported in the literature, including the studies by Sohaib et al. (2017) and Montoya et al. (2015), supporting the consistency of the results obtained in this work.</w:t>
      </w:r>
    </w:p>
    <w:p w14:paraId="1220F311" w14:textId="3866CAB1" w:rsidR="00756E4E" w:rsidRPr="00B57B36" w:rsidRDefault="00756E4E" w:rsidP="00756E4E">
      <w:pPr>
        <w:pStyle w:val="CETTabletitle"/>
      </w:pPr>
      <w:r w:rsidRPr="00B57B36">
        <w:t xml:space="preserve">Table 1: </w:t>
      </w:r>
      <w:r w:rsidRPr="00756E4E">
        <w:t>Proximate analysis results of sugarcane bagasse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72"/>
        <w:gridCol w:w="1673"/>
        <w:gridCol w:w="1673"/>
        <w:gridCol w:w="1673"/>
        <w:gridCol w:w="1673"/>
      </w:tblGrid>
      <w:tr w:rsidR="00756E4E" w:rsidRPr="00B57B36" w14:paraId="3C0743C2" w14:textId="77777777" w:rsidTr="009C6FBD">
        <w:tc>
          <w:tcPr>
            <w:tcW w:w="1672" w:type="dxa"/>
            <w:tcBorders>
              <w:top w:val="single" w:sz="12" w:space="0" w:color="008000"/>
              <w:bottom w:val="single" w:sz="6" w:space="0" w:color="008000"/>
            </w:tcBorders>
            <w:shd w:val="clear" w:color="auto" w:fill="FFFFFF"/>
          </w:tcPr>
          <w:p w14:paraId="15199C29" w14:textId="775B3432" w:rsidR="00756E4E" w:rsidRPr="00B57B36" w:rsidRDefault="00756E4E" w:rsidP="00D54973">
            <w:pPr>
              <w:pStyle w:val="CETBodytext"/>
              <w:tabs>
                <w:tab w:val="clear" w:pos="7100"/>
              </w:tabs>
              <w:rPr>
                <w:lang w:val="en-GB"/>
              </w:rPr>
            </w:pPr>
            <w:r w:rsidRPr="001D512D">
              <w:t>Sample</w:t>
            </w:r>
          </w:p>
        </w:tc>
        <w:tc>
          <w:tcPr>
            <w:tcW w:w="1673" w:type="dxa"/>
            <w:tcBorders>
              <w:top w:val="single" w:sz="12" w:space="0" w:color="008000"/>
              <w:bottom w:val="single" w:sz="6" w:space="0" w:color="008000"/>
            </w:tcBorders>
            <w:shd w:val="clear" w:color="auto" w:fill="FFFFFF"/>
          </w:tcPr>
          <w:p w14:paraId="1288813A" w14:textId="549C7DC1" w:rsidR="00756E4E" w:rsidRPr="00B57B36" w:rsidRDefault="00756E4E" w:rsidP="00D54973">
            <w:pPr>
              <w:pStyle w:val="CETBodytext"/>
              <w:tabs>
                <w:tab w:val="clear" w:pos="7100"/>
              </w:tabs>
              <w:rPr>
                <w:lang w:val="en-GB"/>
              </w:rPr>
            </w:pPr>
            <w:r w:rsidRPr="001D512D">
              <w:t>Moisture (%)</w:t>
            </w:r>
          </w:p>
        </w:tc>
        <w:tc>
          <w:tcPr>
            <w:tcW w:w="1673" w:type="dxa"/>
            <w:tcBorders>
              <w:top w:val="single" w:sz="12" w:space="0" w:color="008000"/>
              <w:bottom w:val="single" w:sz="6" w:space="0" w:color="008000"/>
            </w:tcBorders>
            <w:shd w:val="clear" w:color="auto" w:fill="FFFFFF"/>
          </w:tcPr>
          <w:p w14:paraId="19D2479E" w14:textId="6AF91347" w:rsidR="00756E4E" w:rsidRPr="00B57B36" w:rsidRDefault="00756E4E" w:rsidP="00D54973">
            <w:pPr>
              <w:pStyle w:val="CETBodytext"/>
              <w:tabs>
                <w:tab w:val="clear" w:pos="7100"/>
              </w:tabs>
              <w:rPr>
                <w:lang w:val="en-GB"/>
              </w:rPr>
            </w:pPr>
            <w:r w:rsidRPr="001D512D">
              <w:t>Volatile matter (%)</w:t>
            </w:r>
          </w:p>
        </w:tc>
        <w:tc>
          <w:tcPr>
            <w:tcW w:w="1673" w:type="dxa"/>
            <w:tcBorders>
              <w:top w:val="single" w:sz="12" w:space="0" w:color="008000"/>
              <w:bottom w:val="single" w:sz="6" w:space="0" w:color="008000"/>
            </w:tcBorders>
            <w:shd w:val="clear" w:color="auto" w:fill="FFFFFF"/>
          </w:tcPr>
          <w:p w14:paraId="33123F0F" w14:textId="706577A9" w:rsidR="00756E4E" w:rsidRPr="00B57B36" w:rsidRDefault="00756E4E" w:rsidP="00D54973">
            <w:pPr>
              <w:pStyle w:val="CETBodytext"/>
              <w:tabs>
                <w:tab w:val="clear" w:pos="7100"/>
              </w:tabs>
              <w:ind w:right="-1"/>
              <w:rPr>
                <w:rFonts w:cs="Arial"/>
                <w:szCs w:val="18"/>
                <w:lang w:val="en-GB"/>
              </w:rPr>
            </w:pPr>
            <w:r w:rsidRPr="001D512D">
              <w:t>Ash (%)</w:t>
            </w:r>
          </w:p>
        </w:tc>
        <w:tc>
          <w:tcPr>
            <w:tcW w:w="1673" w:type="dxa"/>
            <w:tcBorders>
              <w:top w:val="single" w:sz="12" w:space="0" w:color="008000"/>
              <w:bottom w:val="single" w:sz="6" w:space="0" w:color="008000"/>
            </w:tcBorders>
            <w:shd w:val="clear" w:color="auto" w:fill="FFFFFF"/>
          </w:tcPr>
          <w:p w14:paraId="5E09E0F0" w14:textId="7FAC8BBF" w:rsidR="00756E4E" w:rsidRPr="00B57B36" w:rsidRDefault="00756E4E" w:rsidP="00D54973">
            <w:pPr>
              <w:pStyle w:val="CETBodytext"/>
              <w:tabs>
                <w:tab w:val="clear" w:pos="7100"/>
              </w:tabs>
              <w:ind w:right="-1"/>
              <w:rPr>
                <w:rFonts w:cs="Arial"/>
                <w:szCs w:val="18"/>
                <w:lang w:val="en-GB"/>
              </w:rPr>
            </w:pPr>
            <w:r w:rsidRPr="001D512D">
              <w:t>Fixed carbon (%)</w:t>
            </w:r>
          </w:p>
        </w:tc>
      </w:tr>
      <w:tr w:rsidR="00D54973" w:rsidRPr="00B57B36" w14:paraId="228F78C0" w14:textId="77777777" w:rsidTr="009C6FBD">
        <w:tc>
          <w:tcPr>
            <w:tcW w:w="1672" w:type="dxa"/>
            <w:shd w:val="clear" w:color="auto" w:fill="FFFFFF"/>
          </w:tcPr>
          <w:p w14:paraId="7DBF4AE1" w14:textId="1A66CCB4" w:rsidR="00D54973" w:rsidRPr="00B57B36" w:rsidRDefault="00D54973" w:rsidP="00D54973">
            <w:pPr>
              <w:pStyle w:val="CETBodytext"/>
              <w:tabs>
                <w:tab w:val="clear" w:pos="7100"/>
              </w:tabs>
              <w:rPr>
                <w:lang w:val="en-GB"/>
              </w:rPr>
            </w:pPr>
            <w:r w:rsidRPr="00141B92">
              <w:t>1</w:t>
            </w:r>
          </w:p>
        </w:tc>
        <w:tc>
          <w:tcPr>
            <w:tcW w:w="1673" w:type="dxa"/>
            <w:shd w:val="clear" w:color="auto" w:fill="FFFFFF"/>
          </w:tcPr>
          <w:p w14:paraId="2EA89F09" w14:textId="74C7DE4B" w:rsidR="00D54973" w:rsidRPr="00B57B36" w:rsidRDefault="00D54973" w:rsidP="00D54973">
            <w:pPr>
              <w:pStyle w:val="CETBodytext"/>
              <w:tabs>
                <w:tab w:val="clear" w:pos="7100"/>
              </w:tabs>
              <w:rPr>
                <w:lang w:val="en-GB"/>
              </w:rPr>
            </w:pPr>
            <w:r w:rsidRPr="00141B92">
              <w:t>7.7</w:t>
            </w:r>
          </w:p>
        </w:tc>
        <w:tc>
          <w:tcPr>
            <w:tcW w:w="1673" w:type="dxa"/>
            <w:shd w:val="clear" w:color="auto" w:fill="FFFFFF"/>
          </w:tcPr>
          <w:p w14:paraId="15E9FB82" w14:textId="32A7D956" w:rsidR="00D54973" w:rsidRPr="00B57B36" w:rsidRDefault="00D54973" w:rsidP="00D54973">
            <w:pPr>
              <w:pStyle w:val="CETBodytext"/>
              <w:tabs>
                <w:tab w:val="clear" w:pos="7100"/>
              </w:tabs>
              <w:rPr>
                <w:lang w:val="en-GB"/>
              </w:rPr>
            </w:pPr>
            <w:r w:rsidRPr="00141B92">
              <w:t>82.2</w:t>
            </w:r>
          </w:p>
        </w:tc>
        <w:tc>
          <w:tcPr>
            <w:tcW w:w="1673" w:type="dxa"/>
            <w:shd w:val="clear" w:color="auto" w:fill="FFFFFF"/>
          </w:tcPr>
          <w:p w14:paraId="4C625888" w14:textId="6C4975E8" w:rsidR="00D54973" w:rsidRPr="00B57B36" w:rsidRDefault="00D54973" w:rsidP="00D54973">
            <w:pPr>
              <w:pStyle w:val="CETBodytext"/>
              <w:tabs>
                <w:tab w:val="clear" w:pos="7100"/>
              </w:tabs>
              <w:ind w:right="-1"/>
              <w:rPr>
                <w:rFonts w:cs="Arial"/>
                <w:szCs w:val="18"/>
                <w:lang w:val="en-GB"/>
              </w:rPr>
            </w:pPr>
            <w:r w:rsidRPr="00141B92">
              <w:t>3.0</w:t>
            </w:r>
          </w:p>
        </w:tc>
        <w:tc>
          <w:tcPr>
            <w:tcW w:w="1673" w:type="dxa"/>
            <w:shd w:val="clear" w:color="auto" w:fill="FFFFFF"/>
          </w:tcPr>
          <w:p w14:paraId="73EB3CFC" w14:textId="593D31ED" w:rsidR="00D54973" w:rsidRPr="00B57B36" w:rsidRDefault="00D54973" w:rsidP="00D54973">
            <w:pPr>
              <w:pStyle w:val="CETBodytext"/>
              <w:tabs>
                <w:tab w:val="clear" w:pos="7100"/>
              </w:tabs>
              <w:ind w:right="-1"/>
              <w:rPr>
                <w:rFonts w:cs="Arial"/>
                <w:szCs w:val="18"/>
                <w:lang w:val="en-GB"/>
              </w:rPr>
            </w:pPr>
            <w:r w:rsidRPr="00141B92">
              <w:t>14.8</w:t>
            </w:r>
          </w:p>
        </w:tc>
      </w:tr>
      <w:tr w:rsidR="00D54973" w:rsidRPr="00B57B36" w14:paraId="7EA00A22" w14:textId="77777777" w:rsidTr="009C6FBD">
        <w:tc>
          <w:tcPr>
            <w:tcW w:w="1672" w:type="dxa"/>
            <w:shd w:val="clear" w:color="auto" w:fill="FFFFFF"/>
          </w:tcPr>
          <w:p w14:paraId="0B0CBE3C" w14:textId="1BB139A0" w:rsidR="00D54973" w:rsidRPr="00B57B36" w:rsidRDefault="00D54973" w:rsidP="00D54973">
            <w:pPr>
              <w:pStyle w:val="CETBodytext"/>
              <w:tabs>
                <w:tab w:val="clear" w:pos="7100"/>
              </w:tabs>
              <w:rPr>
                <w:lang w:val="en-GB"/>
              </w:rPr>
            </w:pPr>
            <w:r w:rsidRPr="00141B92">
              <w:t>2</w:t>
            </w:r>
          </w:p>
        </w:tc>
        <w:tc>
          <w:tcPr>
            <w:tcW w:w="1673" w:type="dxa"/>
            <w:shd w:val="clear" w:color="auto" w:fill="FFFFFF"/>
          </w:tcPr>
          <w:p w14:paraId="02EAB148" w14:textId="78FC7182" w:rsidR="00D54973" w:rsidRPr="00B57B36" w:rsidRDefault="00D54973" w:rsidP="00D54973">
            <w:pPr>
              <w:pStyle w:val="CETBodytext"/>
              <w:tabs>
                <w:tab w:val="clear" w:pos="7100"/>
              </w:tabs>
              <w:rPr>
                <w:lang w:val="en-GB"/>
              </w:rPr>
            </w:pPr>
            <w:r w:rsidRPr="00141B92">
              <w:t>7.8</w:t>
            </w:r>
          </w:p>
        </w:tc>
        <w:tc>
          <w:tcPr>
            <w:tcW w:w="1673" w:type="dxa"/>
            <w:shd w:val="clear" w:color="auto" w:fill="FFFFFF"/>
          </w:tcPr>
          <w:p w14:paraId="009FD474" w14:textId="079B85E3" w:rsidR="00D54973" w:rsidRPr="00B57B36" w:rsidRDefault="00D54973" w:rsidP="00D54973">
            <w:pPr>
              <w:pStyle w:val="CETBodytext"/>
              <w:tabs>
                <w:tab w:val="clear" w:pos="7100"/>
              </w:tabs>
              <w:rPr>
                <w:lang w:val="en-GB"/>
              </w:rPr>
            </w:pPr>
            <w:r w:rsidRPr="00141B92">
              <w:t>84.1</w:t>
            </w:r>
          </w:p>
        </w:tc>
        <w:tc>
          <w:tcPr>
            <w:tcW w:w="1673" w:type="dxa"/>
            <w:shd w:val="clear" w:color="auto" w:fill="FFFFFF"/>
          </w:tcPr>
          <w:p w14:paraId="0EA60996" w14:textId="746BFA1A" w:rsidR="00D54973" w:rsidRPr="00B57B36" w:rsidRDefault="00D54973" w:rsidP="00D54973">
            <w:pPr>
              <w:pStyle w:val="CETBodytext"/>
              <w:tabs>
                <w:tab w:val="clear" w:pos="7100"/>
              </w:tabs>
              <w:ind w:right="-1"/>
              <w:rPr>
                <w:rFonts w:cs="Arial"/>
                <w:szCs w:val="18"/>
                <w:lang w:val="en-GB"/>
              </w:rPr>
            </w:pPr>
            <w:r w:rsidRPr="00141B92">
              <w:t>2.3</w:t>
            </w:r>
          </w:p>
        </w:tc>
        <w:tc>
          <w:tcPr>
            <w:tcW w:w="1673" w:type="dxa"/>
            <w:shd w:val="clear" w:color="auto" w:fill="FFFFFF"/>
          </w:tcPr>
          <w:p w14:paraId="12CA86BF" w14:textId="6D66B0D4" w:rsidR="00D54973" w:rsidRPr="00B57B36" w:rsidRDefault="00D54973" w:rsidP="00D54973">
            <w:pPr>
              <w:pStyle w:val="CETBodytext"/>
              <w:tabs>
                <w:tab w:val="clear" w:pos="7100"/>
              </w:tabs>
              <w:ind w:right="-1"/>
              <w:rPr>
                <w:rFonts w:cs="Arial"/>
                <w:szCs w:val="18"/>
                <w:lang w:val="en-GB"/>
              </w:rPr>
            </w:pPr>
            <w:r w:rsidRPr="00141B92">
              <w:t>13.7</w:t>
            </w:r>
          </w:p>
        </w:tc>
      </w:tr>
      <w:tr w:rsidR="00D54973" w:rsidRPr="00B57B36" w14:paraId="01597C6D" w14:textId="77777777" w:rsidTr="009C6FBD">
        <w:tc>
          <w:tcPr>
            <w:tcW w:w="1672" w:type="dxa"/>
            <w:shd w:val="clear" w:color="auto" w:fill="FFFFFF"/>
          </w:tcPr>
          <w:p w14:paraId="59E7C6C8" w14:textId="179A98BF" w:rsidR="00D54973" w:rsidRPr="00B57B36" w:rsidRDefault="00D54973" w:rsidP="00D54973">
            <w:pPr>
              <w:pStyle w:val="CETBodytext"/>
              <w:tabs>
                <w:tab w:val="clear" w:pos="7100"/>
              </w:tabs>
              <w:rPr>
                <w:lang w:val="en-GB"/>
              </w:rPr>
            </w:pPr>
            <w:r w:rsidRPr="00141B92">
              <w:t>3</w:t>
            </w:r>
          </w:p>
        </w:tc>
        <w:tc>
          <w:tcPr>
            <w:tcW w:w="1673" w:type="dxa"/>
            <w:shd w:val="clear" w:color="auto" w:fill="FFFFFF"/>
          </w:tcPr>
          <w:p w14:paraId="2BC1DA7F" w14:textId="20E2A83D" w:rsidR="00D54973" w:rsidRPr="00B57B36" w:rsidRDefault="00D54973" w:rsidP="00D54973">
            <w:pPr>
              <w:pStyle w:val="CETBodytext"/>
              <w:tabs>
                <w:tab w:val="clear" w:pos="7100"/>
              </w:tabs>
              <w:rPr>
                <w:lang w:val="en-GB"/>
              </w:rPr>
            </w:pPr>
            <w:r w:rsidRPr="00141B92">
              <w:t>7.6</w:t>
            </w:r>
          </w:p>
        </w:tc>
        <w:tc>
          <w:tcPr>
            <w:tcW w:w="1673" w:type="dxa"/>
            <w:shd w:val="clear" w:color="auto" w:fill="FFFFFF"/>
          </w:tcPr>
          <w:p w14:paraId="46E80CEF" w14:textId="325CDF43" w:rsidR="00D54973" w:rsidRPr="00B57B36" w:rsidRDefault="00D54973" w:rsidP="00D54973">
            <w:pPr>
              <w:pStyle w:val="CETBodytext"/>
              <w:tabs>
                <w:tab w:val="clear" w:pos="7100"/>
              </w:tabs>
              <w:rPr>
                <w:lang w:val="en-GB"/>
              </w:rPr>
            </w:pPr>
            <w:r w:rsidRPr="00141B92">
              <w:t>83.8</w:t>
            </w:r>
          </w:p>
        </w:tc>
        <w:tc>
          <w:tcPr>
            <w:tcW w:w="1673" w:type="dxa"/>
            <w:shd w:val="clear" w:color="auto" w:fill="FFFFFF"/>
          </w:tcPr>
          <w:p w14:paraId="4F44FBA6" w14:textId="2FEDE289" w:rsidR="00D54973" w:rsidRPr="00B57B36" w:rsidRDefault="00D54973" w:rsidP="00D54973">
            <w:pPr>
              <w:pStyle w:val="CETBodytext"/>
              <w:tabs>
                <w:tab w:val="clear" w:pos="7100"/>
              </w:tabs>
              <w:ind w:right="-1"/>
              <w:rPr>
                <w:rFonts w:cs="Arial"/>
                <w:szCs w:val="18"/>
                <w:lang w:val="en-GB"/>
              </w:rPr>
            </w:pPr>
            <w:r w:rsidRPr="00141B92">
              <w:t>2.3</w:t>
            </w:r>
          </w:p>
        </w:tc>
        <w:tc>
          <w:tcPr>
            <w:tcW w:w="1673" w:type="dxa"/>
            <w:shd w:val="clear" w:color="auto" w:fill="FFFFFF"/>
          </w:tcPr>
          <w:p w14:paraId="2476EC71" w14:textId="54186966" w:rsidR="00D54973" w:rsidRPr="00B57B36" w:rsidRDefault="00D54973" w:rsidP="00D54973">
            <w:pPr>
              <w:pStyle w:val="CETBodytext"/>
              <w:tabs>
                <w:tab w:val="clear" w:pos="7100"/>
              </w:tabs>
              <w:ind w:right="-1"/>
              <w:rPr>
                <w:rFonts w:cs="Arial"/>
                <w:szCs w:val="18"/>
                <w:lang w:val="en-GB"/>
              </w:rPr>
            </w:pPr>
            <w:r w:rsidRPr="00141B92">
              <w:t>13.9</w:t>
            </w:r>
          </w:p>
        </w:tc>
      </w:tr>
      <w:tr w:rsidR="00D54973" w:rsidRPr="00B57B36" w14:paraId="4C1A430F" w14:textId="77777777" w:rsidTr="009C6FBD">
        <w:tc>
          <w:tcPr>
            <w:tcW w:w="1672" w:type="dxa"/>
            <w:shd w:val="clear" w:color="auto" w:fill="FFFFFF"/>
          </w:tcPr>
          <w:p w14:paraId="7518121F" w14:textId="479060C5" w:rsidR="00D54973" w:rsidRPr="00B57B36" w:rsidRDefault="00D54973" w:rsidP="00D54973">
            <w:pPr>
              <w:pStyle w:val="CETBodytext"/>
              <w:tabs>
                <w:tab w:val="clear" w:pos="7100"/>
              </w:tabs>
              <w:ind w:right="-1"/>
              <w:rPr>
                <w:rFonts w:cs="Arial"/>
                <w:szCs w:val="18"/>
                <w:lang w:val="en-GB"/>
              </w:rPr>
            </w:pPr>
            <w:r w:rsidRPr="00141B92">
              <w:t>Average</w:t>
            </w:r>
          </w:p>
        </w:tc>
        <w:tc>
          <w:tcPr>
            <w:tcW w:w="1673" w:type="dxa"/>
            <w:shd w:val="clear" w:color="auto" w:fill="FFFFFF"/>
          </w:tcPr>
          <w:p w14:paraId="377C2E31" w14:textId="08DD42EE" w:rsidR="00D54973" w:rsidRPr="00B57B36" w:rsidRDefault="00D54973" w:rsidP="00D54973">
            <w:pPr>
              <w:pStyle w:val="CETBodytext"/>
              <w:tabs>
                <w:tab w:val="clear" w:pos="7100"/>
              </w:tabs>
              <w:ind w:right="-1"/>
              <w:rPr>
                <w:rFonts w:cs="Arial"/>
                <w:szCs w:val="18"/>
                <w:lang w:val="en-GB"/>
              </w:rPr>
            </w:pPr>
            <w:r w:rsidRPr="00141B92">
              <w:t>7.7 ± 0.0</w:t>
            </w:r>
          </w:p>
        </w:tc>
        <w:tc>
          <w:tcPr>
            <w:tcW w:w="1673" w:type="dxa"/>
            <w:shd w:val="clear" w:color="auto" w:fill="FFFFFF"/>
          </w:tcPr>
          <w:p w14:paraId="3204DC40" w14:textId="2B5D6460" w:rsidR="00D54973" w:rsidRPr="00B57B36" w:rsidRDefault="00D54973" w:rsidP="00D54973">
            <w:pPr>
              <w:pStyle w:val="CETBodytext"/>
              <w:tabs>
                <w:tab w:val="clear" w:pos="7100"/>
              </w:tabs>
              <w:ind w:right="-1"/>
              <w:rPr>
                <w:rFonts w:cs="Arial"/>
                <w:szCs w:val="18"/>
                <w:lang w:val="en-GB"/>
              </w:rPr>
            </w:pPr>
            <w:r w:rsidRPr="00141B92">
              <w:t>83.4 ± 0.6</w:t>
            </w:r>
          </w:p>
        </w:tc>
        <w:tc>
          <w:tcPr>
            <w:tcW w:w="1673" w:type="dxa"/>
            <w:shd w:val="clear" w:color="auto" w:fill="FFFFFF"/>
          </w:tcPr>
          <w:p w14:paraId="7F8263E7" w14:textId="38E08E64" w:rsidR="00D54973" w:rsidRPr="00B57B36" w:rsidRDefault="00D54973" w:rsidP="00D54973">
            <w:pPr>
              <w:pStyle w:val="CETBodytext"/>
              <w:tabs>
                <w:tab w:val="clear" w:pos="7100"/>
              </w:tabs>
              <w:ind w:right="-1"/>
              <w:rPr>
                <w:rFonts w:cs="Arial"/>
                <w:szCs w:val="18"/>
                <w:lang w:val="en-GB"/>
              </w:rPr>
            </w:pPr>
            <w:r w:rsidRPr="00141B92">
              <w:t>2.5 ± 0.2</w:t>
            </w:r>
          </w:p>
        </w:tc>
        <w:tc>
          <w:tcPr>
            <w:tcW w:w="1673" w:type="dxa"/>
            <w:shd w:val="clear" w:color="auto" w:fill="FFFFFF"/>
          </w:tcPr>
          <w:p w14:paraId="483FA142" w14:textId="19C3722A" w:rsidR="00D54973" w:rsidRPr="00B57B36" w:rsidRDefault="00D54973" w:rsidP="00D54973">
            <w:pPr>
              <w:pStyle w:val="CETBodytext"/>
              <w:tabs>
                <w:tab w:val="clear" w:pos="7100"/>
              </w:tabs>
              <w:ind w:right="-1"/>
              <w:rPr>
                <w:rFonts w:cs="Arial"/>
                <w:szCs w:val="18"/>
                <w:lang w:val="en-GB"/>
              </w:rPr>
            </w:pPr>
            <w:r w:rsidRPr="00141B92">
              <w:t>14.1 ± 0.3</w:t>
            </w:r>
          </w:p>
        </w:tc>
      </w:tr>
    </w:tbl>
    <w:p w14:paraId="43A19FE7" w14:textId="77777777" w:rsidR="00756E4E" w:rsidRDefault="00756E4E" w:rsidP="00600535">
      <w:pPr>
        <w:pStyle w:val="CETBodytext"/>
        <w:rPr>
          <w:lang w:val="en-GB"/>
        </w:rPr>
      </w:pPr>
    </w:p>
    <w:p w14:paraId="2E562C00" w14:textId="4051072C" w:rsidR="004577FE" w:rsidRPr="00B57B36" w:rsidRDefault="00600535" w:rsidP="00D54973">
      <w:pPr>
        <w:pStyle w:val="CETBodytext"/>
      </w:pPr>
      <w:r w:rsidRPr="00B57B36">
        <w:rPr>
          <w:lang w:val="en-GB"/>
        </w:rPr>
        <w:t xml:space="preserve"> </w:t>
      </w:r>
    </w:p>
    <w:p w14:paraId="1F96CA21" w14:textId="22AEAE1C" w:rsidR="00600535" w:rsidRPr="00B57B36" w:rsidRDefault="00D54973" w:rsidP="00FA5F5F">
      <w:pPr>
        <w:pStyle w:val="CETheadingx"/>
      </w:pPr>
      <w:r w:rsidRPr="00D54973">
        <w:t>Pyrolysis Product Yields</w:t>
      </w:r>
      <w:r w:rsidRPr="00D54973">
        <w:t xml:space="preserve"> </w:t>
      </w:r>
    </w:p>
    <w:p w14:paraId="4A215C9A" w14:textId="77777777" w:rsidR="00D54973" w:rsidRPr="00D54973" w:rsidRDefault="00D54973" w:rsidP="00D54973">
      <w:pPr>
        <w:pStyle w:val="CETBodytext"/>
        <w:rPr>
          <w:lang w:val="en-GB"/>
        </w:rPr>
      </w:pPr>
      <w:r w:rsidRPr="00D54973">
        <w:rPr>
          <w:lang w:val="en-GB"/>
        </w:rPr>
        <w:t xml:space="preserve">The yields of the solid (biochar) and liquid (acid extract + bio-oil) fractions obtained from sugarcane bagasse pyrolysis were calculated using Equation 1, while the yield of non-condensable gases was determined by mass </w:t>
      </w:r>
      <w:r w:rsidRPr="00D54973">
        <w:rPr>
          <w:lang w:val="en-GB"/>
        </w:rPr>
        <w:lastRenderedPageBreak/>
        <w:t>balance. Since the processing time showed no significant effect when compared to temperature, the results are presented as average values for each temperature, as shown in Table 2.</w:t>
      </w:r>
    </w:p>
    <w:p w14:paraId="450BABB4" w14:textId="531AFCF6" w:rsidR="009C6FBD" w:rsidRPr="00B57B36" w:rsidRDefault="009C6FBD" w:rsidP="009C6FBD">
      <w:pPr>
        <w:pStyle w:val="CETTabletitle"/>
      </w:pPr>
      <w:r w:rsidRPr="00B57B36">
        <w:t xml:space="preserve">Table </w:t>
      </w:r>
      <w:r>
        <w:t>2</w:t>
      </w:r>
      <w:r w:rsidRPr="00B57B36">
        <w:t xml:space="preserve">: </w:t>
      </w:r>
      <w:r w:rsidRPr="009C6FBD">
        <w:t>Average product yields</w:t>
      </w:r>
      <w:r w:rsidRPr="009C6FBD">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31"/>
        <w:gridCol w:w="1531"/>
        <w:gridCol w:w="1531"/>
        <w:gridCol w:w="1531"/>
      </w:tblGrid>
      <w:tr w:rsidR="009C6FBD" w:rsidRPr="00B57B36" w14:paraId="51F33973" w14:textId="77777777" w:rsidTr="00C049AB">
        <w:tc>
          <w:tcPr>
            <w:tcW w:w="1531" w:type="dxa"/>
            <w:tcBorders>
              <w:top w:val="single" w:sz="12" w:space="0" w:color="008000"/>
              <w:bottom w:val="single" w:sz="6" w:space="0" w:color="008000"/>
            </w:tcBorders>
            <w:shd w:val="clear" w:color="auto" w:fill="FFFFFF"/>
          </w:tcPr>
          <w:p w14:paraId="6BC6FCF1" w14:textId="11575030" w:rsidR="009C6FBD" w:rsidRPr="00B57B36" w:rsidRDefault="009C6FBD" w:rsidP="009C6FBD">
            <w:pPr>
              <w:pStyle w:val="CETBodytext"/>
              <w:tabs>
                <w:tab w:val="clear" w:pos="7100"/>
              </w:tabs>
              <w:rPr>
                <w:lang w:val="en-GB"/>
              </w:rPr>
            </w:pPr>
            <w:r w:rsidRPr="006540C0">
              <w:t>Temperature (°C)</w:t>
            </w:r>
          </w:p>
        </w:tc>
        <w:tc>
          <w:tcPr>
            <w:tcW w:w="1531" w:type="dxa"/>
            <w:tcBorders>
              <w:top w:val="single" w:sz="12" w:space="0" w:color="008000"/>
              <w:bottom w:val="single" w:sz="6" w:space="0" w:color="008000"/>
            </w:tcBorders>
            <w:shd w:val="clear" w:color="auto" w:fill="FFFFFF"/>
          </w:tcPr>
          <w:p w14:paraId="4BE2A09D" w14:textId="29A8BDA1" w:rsidR="009C6FBD" w:rsidRPr="00B57B36" w:rsidRDefault="009C6FBD" w:rsidP="009C6FBD">
            <w:pPr>
              <w:pStyle w:val="CETBodytext"/>
              <w:tabs>
                <w:tab w:val="clear" w:pos="7100"/>
              </w:tabs>
              <w:rPr>
                <w:lang w:val="en-GB"/>
              </w:rPr>
            </w:pPr>
            <w:r w:rsidRPr="006540C0">
              <w:t>Solid (%)</w:t>
            </w:r>
          </w:p>
        </w:tc>
        <w:tc>
          <w:tcPr>
            <w:tcW w:w="1531" w:type="dxa"/>
            <w:tcBorders>
              <w:top w:val="single" w:sz="12" w:space="0" w:color="008000"/>
              <w:bottom w:val="single" w:sz="6" w:space="0" w:color="008000"/>
            </w:tcBorders>
            <w:shd w:val="clear" w:color="auto" w:fill="FFFFFF"/>
          </w:tcPr>
          <w:p w14:paraId="503872A3" w14:textId="3D9BC25D" w:rsidR="009C6FBD" w:rsidRPr="00B57B36" w:rsidRDefault="009C6FBD" w:rsidP="009C6FBD">
            <w:pPr>
              <w:pStyle w:val="CETBodytext"/>
              <w:tabs>
                <w:tab w:val="clear" w:pos="7100"/>
              </w:tabs>
              <w:rPr>
                <w:lang w:val="en-GB"/>
              </w:rPr>
            </w:pPr>
            <w:r w:rsidRPr="006540C0">
              <w:t>Liquid (%)</w:t>
            </w:r>
          </w:p>
        </w:tc>
        <w:tc>
          <w:tcPr>
            <w:tcW w:w="1531" w:type="dxa"/>
            <w:tcBorders>
              <w:top w:val="single" w:sz="12" w:space="0" w:color="008000"/>
              <w:bottom w:val="single" w:sz="6" w:space="0" w:color="008000"/>
            </w:tcBorders>
            <w:shd w:val="clear" w:color="auto" w:fill="FFFFFF"/>
          </w:tcPr>
          <w:p w14:paraId="2092BB9F" w14:textId="0A6BD518" w:rsidR="009C6FBD" w:rsidRPr="00B57B36" w:rsidRDefault="009C6FBD" w:rsidP="009C6FBD">
            <w:pPr>
              <w:pStyle w:val="CETBodytext"/>
              <w:tabs>
                <w:tab w:val="clear" w:pos="7100"/>
              </w:tabs>
              <w:ind w:right="-1"/>
              <w:rPr>
                <w:rFonts w:cs="Arial"/>
                <w:szCs w:val="18"/>
                <w:lang w:val="en-GB"/>
              </w:rPr>
            </w:pPr>
            <w:r w:rsidRPr="006540C0">
              <w:t>Gas (%)</w:t>
            </w:r>
          </w:p>
        </w:tc>
      </w:tr>
      <w:tr w:rsidR="009C6FBD" w:rsidRPr="00B57B36" w14:paraId="5AB87FCC" w14:textId="77777777" w:rsidTr="00C049AB">
        <w:tc>
          <w:tcPr>
            <w:tcW w:w="1531" w:type="dxa"/>
            <w:shd w:val="clear" w:color="auto" w:fill="FFFFFF"/>
          </w:tcPr>
          <w:p w14:paraId="7AEFCD76" w14:textId="0EE8C339" w:rsidR="009C6FBD" w:rsidRPr="00B57B36" w:rsidRDefault="009C6FBD" w:rsidP="009C6FBD">
            <w:pPr>
              <w:pStyle w:val="CETBodytext"/>
              <w:tabs>
                <w:tab w:val="clear" w:pos="7100"/>
              </w:tabs>
              <w:rPr>
                <w:lang w:val="en-GB"/>
              </w:rPr>
            </w:pPr>
            <w:r w:rsidRPr="006540C0">
              <w:t>400</w:t>
            </w:r>
          </w:p>
        </w:tc>
        <w:tc>
          <w:tcPr>
            <w:tcW w:w="1531" w:type="dxa"/>
            <w:shd w:val="clear" w:color="auto" w:fill="FFFFFF"/>
          </w:tcPr>
          <w:p w14:paraId="5CAA1C28" w14:textId="2227C437" w:rsidR="009C6FBD" w:rsidRPr="00B57B36" w:rsidRDefault="009C6FBD" w:rsidP="009C6FBD">
            <w:pPr>
              <w:pStyle w:val="CETBodytext"/>
              <w:tabs>
                <w:tab w:val="clear" w:pos="7100"/>
              </w:tabs>
              <w:rPr>
                <w:lang w:val="en-GB"/>
              </w:rPr>
            </w:pPr>
            <w:r w:rsidRPr="006540C0">
              <w:t>33 ± 1</w:t>
            </w:r>
          </w:p>
        </w:tc>
        <w:tc>
          <w:tcPr>
            <w:tcW w:w="1531" w:type="dxa"/>
            <w:shd w:val="clear" w:color="auto" w:fill="FFFFFF"/>
          </w:tcPr>
          <w:p w14:paraId="050700C7" w14:textId="787DB360" w:rsidR="009C6FBD" w:rsidRPr="00B57B36" w:rsidRDefault="009C6FBD" w:rsidP="009C6FBD">
            <w:pPr>
              <w:pStyle w:val="CETBodytext"/>
              <w:tabs>
                <w:tab w:val="clear" w:pos="7100"/>
              </w:tabs>
              <w:rPr>
                <w:lang w:val="en-GB"/>
              </w:rPr>
            </w:pPr>
            <w:r w:rsidRPr="006540C0">
              <w:t>41 ± 1</w:t>
            </w:r>
          </w:p>
        </w:tc>
        <w:tc>
          <w:tcPr>
            <w:tcW w:w="1531" w:type="dxa"/>
            <w:shd w:val="clear" w:color="auto" w:fill="FFFFFF"/>
          </w:tcPr>
          <w:p w14:paraId="78B58863" w14:textId="7AD50444" w:rsidR="009C6FBD" w:rsidRPr="00B57B36" w:rsidRDefault="009C6FBD" w:rsidP="009C6FBD">
            <w:pPr>
              <w:pStyle w:val="CETBodytext"/>
              <w:tabs>
                <w:tab w:val="clear" w:pos="7100"/>
              </w:tabs>
              <w:ind w:right="-1"/>
              <w:rPr>
                <w:rFonts w:cs="Arial"/>
                <w:szCs w:val="18"/>
                <w:lang w:val="en-GB"/>
              </w:rPr>
            </w:pPr>
            <w:r w:rsidRPr="006540C0">
              <w:t>25 ± 1</w:t>
            </w:r>
          </w:p>
        </w:tc>
      </w:tr>
      <w:tr w:rsidR="009C6FBD" w:rsidRPr="00B57B36" w14:paraId="30A3989A" w14:textId="77777777" w:rsidTr="00C049AB">
        <w:tc>
          <w:tcPr>
            <w:tcW w:w="1531" w:type="dxa"/>
            <w:shd w:val="clear" w:color="auto" w:fill="FFFFFF"/>
          </w:tcPr>
          <w:p w14:paraId="730B976A" w14:textId="14800F00" w:rsidR="009C6FBD" w:rsidRPr="00B57B36" w:rsidRDefault="009C6FBD" w:rsidP="009C6FBD">
            <w:pPr>
              <w:pStyle w:val="CETBodytext"/>
              <w:tabs>
                <w:tab w:val="clear" w:pos="7100"/>
              </w:tabs>
              <w:rPr>
                <w:lang w:val="en-GB"/>
              </w:rPr>
            </w:pPr>
            <w:r w:rsidRPr="006540C0">
              <w:t>500</w:t>
            </w:r>
          </w:p>
        </w:tc>
        <w:tc>
          <w:tcPr>
            <w:tcW w:w="1531" w:type="dxa"/>
            <w:shd w:val="clear" w:color="auto" w:fill="FFFFFF"/>
          </w:tcPr>
          <w:p w14:paraId="1EBCA356" w14:textId="26F27C3A" w:rsidR="009C6FBD" w:rsidRPr="00B57B36" w:rsidRDefault="009C6FBD" w:rsidP="009C6FBD">
            <w:pPr>
              <w:pStyle w:val="CETBodytext"/>
              <w:tabs>
                <w:tab w:val="clear" w:pos="7100"/>
              </w:tabs>
              <w:rPr>
                <w:lang w:val="en-GB"/>
              </w:rPr>
            </w:pPr>
            <w:r w:rsidRPr="006540C0">
              <w:t>28 ± 0</w:t>
            </w:r>
          </w:p>
        </w:tc>
        <w:tc>
          <w:tcPr>
            <w:tcW w:w="1531" w:type="dxa"/>
            <w:shd w:val="clear" w:color="auto" w:fill="FFFFFF"/>
          </w:tcPr>
          <w:p w14:paraId="45D2EE63" w14:textId="3DE7CE6F" w:rsidR="009C6FBD" w:rsidRPr="00B57B36" w:rsidRDefault="009C6FBD" w:rsidP="009C6FBD">
            <w:pPr>
              <w:pStyle w:val="CETBodytext"/>
              <w:tabs>
                <w:tab w:val="clear" w:pos="7100"/>
              </w:tabs>
              <w:rPr>
                <w:lang w:val="en-GB"/>
              </w:rPr>
            </w:pPr>
            <w:r w:rsidRPr="006540C0">
              <w:t>42 ± 2</w:t>
            </w:r>
          </w:p>
        </w:tc>
        <w:tc>
          <w:tcPr>
            <w:tcW w:w="1531" w:type="dxa"/>
            <w:shd w:val="clear" w:color="auto" w:fill="FFFFFF"/>
          </w:tcPr>
          <w:p w14:paraId="48102521" w14:textId="46E2F470" w:rsidR="009C6FBD" w:rsidRPr="00B57B36" w:rsidRDefault="009C6FBD" w:rsidP="009C6FBD">
            <w:pPr>
              <w:pStyle w:val="CETBodytext"/>
              <w:tabs>
                <w:tab w:val="clear" w:pos="7100"/>
              </w:tabs>
              <w:ind w:right="-1"/>
              <w:rPr>
                <w:rFonts w:cs="Arial"/>
                <w:szCs w:val="18"/>
                <w:lang w:val="en-GB"/>
              </w:rPr>
            </w:pPr>
            <w:r w:rsidRPr="006540C0">
              <w:t>31 ± 2</w:t>
            </w:r>
          </w:p>
        </w:tc>
      </w:tr>
      <w:tr w:rsidR="009C6FBD" w:rsidRPr="00B57B36" w14:paraId="5D25A3CB" w14:textId="77777777" w:rsidTr="00C049AB">
        <w:tc>
          <w:tcPr>
            <w:tcW w:w="1531" w:type="dxa"/>
            <w:shd w:val="clear" w:color="auto" w:fill="FFFFFF"/>
          </w:tcPr>
          <w:p w14:paraId="0A12E9FD" w14:textId="7FF96B7F" w:rsidR="009C6FBD" w:rsidRPr="00B57B36" w:rsidRDefault="009C6FBD" w:rsidP="009C6FBD">
            <w:pPr>
              <w:pStyle w:val="CETBodytext"/>
              <w:tabs>
                <w:tab w:val="clear" w:pos="7100"/>
              </w:tabs>
              <w:ind w:right="-1"/>
              <w:rPr>
                <w:rFonts w:cs="Arial"/>
                <w:szCs w:val="18"/>
                <w:lang w:val="en-GB"/>
              </w:rPr>
            </w:pPr>
            <w:r w:rsidRPr="006540C0">
              <w:t>600</w:t>
            </w:r>
          </w:p>
        </w:tc>
        <w:tc>
          <w:tcPr>
            <w:tcW w:w="1531" w:type="dxa"/>
            <w:shd w:val="clear" w:color="auto" w:fill="FFFFFF"/>
          </w:tcPr>
          <w:p w14:paraId="12A743AA" w14:textId="1E9DD309" w:rsidR="009C6FBD" w:rsidRPr="00B57B36" w:rsidRDefault="009C6FBD" w:rsidP="009C6FBD">
            <w:pPr>
              <w:pStyle w:val="CETBodytext"/>
              <w:tabs>
                <w:tab w:val="clear" w:pos="7100"/>
              </w:tabs>
              <w:ind w:right="-1"/>
              <w:rPr>
                <w:rFonts w:cs="Arial"/>
                <w:szCs w:val="18"/>
                <w:lang w:val="en-GB"/>
              </w:rPr>
            </w:pPr>
            <w:r w:rsidRPr="006540C0">
              <w:t>25 ± 0</w:t>
            </w:r>
          </w:p>
        </w:tc>
        <w:tc>
          <w:tcPr>
            <w:tcW w:w="1531" w:type="dxa"/>
            <w:shd w:val="clear" w:color="auto" w:fill="FFFFFF"/>
          </w:tcPr>
          <w:p w14:paraId="35DB7F70" w14:textId="27B5C954" w:rsidR="009C6FBD" w:rsidRPr="00B57B36" w:rsidRDefault="009C6FBD" w:rsidP="009C6FBD">
            <w:pPr>
              <w:pStyle w:val="CETBodytext"/>
              <w:tabs>
                <w:tab w:val="clear" w:pos="7100"/>
              </w:tabs>
              <w:ind w:right="-1"/>
              <w:rPr>
                <w:rFonts w:cs="Arial"/>
                <w:szCs w:val="18"/>
                <w:lang w:val="en-GB"/>
              </w:rPr>
            </w:pPr>
            <w:r w:rsidRPr="006540C0">
              <w:t>35 ± 1</w:t>
            </w:r>
          </w:p>
        </w:tc>
        <w:tc>
          <w:tcPr>
            <w:tcW w:w="1531" w:type="dxa"/>
            <w:shd w:val="clear" w:color="auto" w:fill="FFFFFF"/>
          </w:tcPr>
          <w:p w14:paraId="40B4CBBF" w14:textId="03F952D1" w:rsidR="009C6FBD" w:rsidRPr="00B57B36" w:rsidRDefault="009C6FBD" w:rsidP="009C6FBD">
            <w:pPr>
              <w:pStyle w:val="CETBodytext"/>
              <w:tabs>
                <w:tab w:val="clear" w:pos="7100"/>
              </w:tabs>
              <w:ind w:right="-1"/>
              <w:rPr>
                <w:rFonts w:cs="Arial"/>
                <w:szCs w:val="18"/>
                <w:lang w:val="en-GB"/>
              </w:rPr>
            </w:pPr>
            <w:r w:rsidRPr="006540C0">
              <w:t>40 ± 1</w:t>
            </w:r>
          </w:p>
        </w:tc>
      </w:tr>
    </w:tbl>
    <w:p w14:paraId="08099012" w14:textId="77777777" w:rsidR="009C6FBD" w:rsidRDefault="009C6FBD" w:rsidP="009C6FBD">
      <w:pPr>
        <w:pStyle w:val="CETBodytext"/>
        <w:rPr>
          <w:lang w:val="en-GB"/>
        </w:rPr>
      </w:pPr>
    </w:p>
    <w:p w14:paraId="2D50BB0D" w14:textId="03F15752" w:rsidR="00D54973" w:rsidRPr="00D54973" w:rsidRDefault="00D54973" w:rsidP="00D54973">
      <w:pPr>
        <w:pStyle w:val="CETBodytext"/>
        <w:rPr>
          <w:lang w:val="en-GB"/>
        </w:rPr>
      </w:pPr>
      <w:r w:rsidRPr="00D54973">
        <w:rPr>
          <w:lang w:val="en-GB"/>
        </w:rPr>
        <w:t xml:space="preserve">As observed in Table 2, increasing temperature led to a progressive increase in gas yield, accompanied by a reduction in solid product formation. Liquid production was </w:t>
      </w:r>
      <w:proofErr w:type="spellStart"/>
      <w:r w:rsidRPr="00D54973">
        <w:rPr>
          <w:lang w:val="en-GB"/>
        </w:rPr>
        <w:t>favored</w:t>
      </w:r>
      <w:proofErr w:type="spellEnd"/>
      <w:r w:rsidRPr="00D54973">
        <w:rPr>
          <w:lang w:val="en-GB"/>
        </w:rPr>
        <w:t xml:space="preserve"> at intermediate temperatures, reaching a maximum average yield of 42</w:t>
      </w:r>
      <w:r>
        <w:rPr>
          <w:lang w:val="en-GB"/>
        </w:rPr>
        <w:t xml:space="preserve"> </w:t>
      </w:r>
      <w:r w:rsidRPr="00D54973">
        <w:rPr>
          <w:lang w:val="en-GB"/>
        </w:rPr>
        <w:t xml:space="preserve">% at 500 °C. This </w:t>
      </w:r>
      <w:proofErr w:type="spellStart"/>
      <w:r w:rsidRPr="00D54973">
        <w:rPr>
          <w:lang w:val="en-GB"/>
        </w:rPr>
        <w:t>behavior</w:t>
      </w:r>
      <w:proofErr w:type="spellEnd"/>
      <w:r w:rsidRPr="00D54973">
        <w:rPr>
          <w:lang w:val="en-GB"/>
        </w:rPr>
        <w:t xml:space="preserve"> can be explained by the thermal degradation mechanism of the main biomass components, namely cellulose, hemicellulose, and lignin, whose decomposition occurs over different temperature ranges.</w:t>
      </w:r>
    </w:p>
    <w:p w14:paraId="65E73FAD" w14:textId="129A0C39" w:rsidR="00600535" w:rsidRPr="00D54973" w:rsidRDefault="00D54973" w:rsidP="00D54973">
      <w:pPr>
        <w:pStyle w:val="CETBodytext"/>
        <w:rPr>
          <w:lang w:val="en-GB"/>
        </w:rPr>
      </w:pPr>
      <w:r w:rsidRPr="00D54973">
        <w:rPr>
          <w:lang w:val="en-GB"/>
        </w:rPr>
        <w:t>This trend is consistent with previous studies on sugarcane bagasse pyrolysis, such as that reported by Sohaib et al. (2017), who observed the highest bio-oil yield at 500 °C in a bench-scale reactor.</w:t>
      </w:r>
      <w:r w:rsidR="00F7534E" w:rsidRPr="00BD077D">
        <w:t xml:space="preserve"> </w:t>
      </w:r>
    </w:p>
    <w:p w14:paraId="7382C781" w14:textId="1760610E" w:rsidR="00600535" w:rsidRPr="00B57B36" w:rsidRDefault="00D54973" w:rsidP="00FA5F5F">
      <w:pPr>
        <w:pStyle w:val="CETheadingx"/>
      </w:pPr>
      <w:r w:rsidRPr="00D54973">
        <w:t>Physicochemical Analysis of Biochar and Bio-oil</w:t>
      </w:r>
      <w:r w:rsidRPr="00D54973">
        <w:t xml:space="preserve"> </w:t>
      </w:r>
    </w:p>
    <w:p w14:paraId="65157E43" w14:textId="60A2B819" w:rsidR="00D54973" w:rsidRDefault="00D54973" w:rsidP="00D54973">
      <w:pPr>
        <w:pStyle w:val="CETBodytext"/>
        <w:rPr>
          <w:lang w:val="en-GB"/>
        </w:rPr>
      </w:pPr>
      <w:r w:rsidRPr="00D54973">
        <w:rPr>
          <w:lang w:val="en-GB"/>
        </w:rPr>
        <w:t xml:space="preserve">The proximate analysis of the biochar produced by pyrolysis indicated that the material obtained at the highest temperature (600 °C) exhibited a lower moisture content, a </w:t>
      </w:r>
      <w:proofErr w:type="spellStart"/>
      <w:r w:rsidRPr="00D54973">
        <w:rPr>
          <w:lang w:val="en-GB"/>
        </w:rPr>
        <w:t>behavior</w:t>
      </w:r>
      <w:proofErr w:type="spellEnd"/>
      <w:r w:rsidRPr="00D54973">
        <w:rPr>
          <w:lang w:val="en-GB"/>
        </w:rPr>
        <w:t xml:space="preserve"> expected due to the greater removal of water promoted by elevated temperatures. It was also observed that the volatile matter content progressively decreased with increasing temperature, varying from 39.3</w:t>
      </w:r>
      <w:r>
        <w:rPr>
          <w:lang w:val="en-GB"/>
        </w:rPr>
        <w:t xml:space="preserve"> </w:t>
      </w:r>
      <w:r w:rsidRPr="00D54973">
        <w:rPr>
          <w:lang w:val="en-GB"/>
        </w:rPr>
        <w:t>% at 400 °C to 12.4</w:t>
      </w:r>
      <w:r>
        <w:rPr>
          <w:lang w:val="en-GB"/>
        </w:rPr>
        <w:t xml:space="preserve"> </w:t>
      </w:r>
      <w:r w:rsidRPr="00D54973">
        <w:rPr>
          <w:lang w:val="en-GB"/>
        </w:rPr>
        <w:t>% at 600 °C, reflecting the intensification of thermal degradation of the biomass, with a consequent increase in ash and fixed carbon contents. In comparison with the original biomass, which presented an ash content of 2.50</w:t>
      </w:r>
      <w:r>
        <w:rPr>
          <w:lang w:val="en-GB"/>
        </w:rPr>
        <w:t xml:space="preserve"> </w:t>
      </w:r>
      <w:r w:rsidRPr="00D54973">
        <w:rPr>
          <w:lang w:val="en-GB"/>
        </w:rPr>
        <w:t>%, the biochar exhibited higher values, predominantly above 3.4</w:t>
      </w:r>
      <w:r>
        <w:rPr>
          <w:lang w:val="en-GB"/>
        </w:rPr>
        <w:t xml:space="preserve"> </w:t>
      </w:r>
      <w:r w:rsidRPr="00D54973">
        <w:rPr>
          <w:lang w:val="en-GB"/>
        </w:rPr>
        <w:t>%, associated with the concentration of mineral material remaining after carbonization (Toscano Miranda et al., 2021). The Table 3 presents the higher heating value results of the char produced by pyrolysis.</w:t>
      </w:r>
    </w:p>
    <w:p w14:paraId="71E8B689" w14:textId="189A8EE4" w:rsidR="009C6FBD" w:rsidRPr="00B57B36" w:rsidRDefault="009C6FBD" w:rsidP="009C6FBD">
      <w:pPr>
        <w:pStyle w:val="CETTabletitle"/>
      </w:pPr>
      <w:r w:rsidRPr="00B57B36">
        <w:t xml:space="preserve">Table </w:t>
      </w:r>
      <w:r>
        <w:t>3</w:t>
      </w:r>
      <w:r w:rsidRPr="00B57B36">
        <w:t xml:space="preserve">: </w:t>
      </w:r>
      <w:r w:rsidRPr="009C6FBD">
        <w:t>Results of the higher heating value of the biochar obtained by pyrolysis</w:t>
      </w:r>
      <w:r w:rsidRPr="009C6FBD">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31"/>
        <w:gridCol w:w="1531"/>
        <w:gridCol w:w="1531"/>
        <w:gridCol w:w="1531"/>
      </w:tblGrid>
      <w:tr w:rsidR="009C6FBD" w:rsidRPr="00B57B36" w14:paraId="03B6273E" w14:textId="77777777" w:rsidTr="00C049AB">
        <w:tc>
          <w:tcPr>
            <w:tcW w:w="1531" w:type="dxa"/>
            <w:tcBorders>
              <w:top w:val="single" w:sz="12" w:space="0" w:color="008000"/>
              <w:bottom w:val="single" w:sz="6" w:space="0" w:color="008000"/>
            </w:tcBorders>
            <w:shd w:val="clear" w:color="auto" w:fill="FFFFFF"/>
          </w:tcPr>
          <w:p w14:paraId="07AFA839" w14:textId="3297E8BF" w:rsidR="009C6FBD" w:rsidRPr="00B57B36" w:rsidRDefault="009C6FBD" w:rsidP="009C6FBD">
            <w:pPr>
              <w:pStyle w:val="CETBodytext"/>
              <w:tabs>
                <w:tab w:val="clear" w:pos="7100"/>
              </w:tabs>
              <w:rPr>
                <w:lang w:val="en-GB"/>
              </w:rPr>
            </w:pPr>
            <w:r w:rsidRPr="00AE2B79">
              <w:t>Sample</w:t>
            </w:r>
          </w:p>
        </w:tc>
        <w:tc>
          <w:tcPr>
            <w:tcW w:w="1531" w:type="dxa"/>
            <w:tcBorders>
              <w:top w:val="single" w:sz="12" w:space="0" w:color="008000"/>
              <w:bottom w:val="single" w:sz="6" w:space="0" w:color="008000"/>
            </w:tcBorders>
            <w:shd w:val="clear" w:color="auto" w:fill="FFFFFF"/>
          </w:tcPr>
          <w:p w14:paraId="78D54F52" w14:textId="19955524" w:rsidR="009C6FBD" w:rsidRPr="00B57B36" w:rsidRDefault="009C6FBD" w:rsidP="009C6FBD">
            <w:pPr>
              <w:pStyle w:val="CETBodytext"/>
              <w:tabs>
                <w:tab w:val="clear" w:pos="7100"/>
              </w:tabs>
              <w:rPr>
                <w:lang w:val="en-GB"/>
              </w:rPr>
            </w:pPr>
            <w:r w:rsidRPr="00AE2B79">
              <w:t>400°C</w:t>
            </w:r>
          </w:p>
        </w:tc>
        <w:tc>
          <w:tcPr>
            <w:tcW w:w="1531" w:type="dxa"/>
            <w:tcBorders>
              <w:top w:val="single" w:sz="12" w:space="0" w:color="008000"/>
              <w:bottom w:val="single" w:sz="6" w:space="0" w:color="008000"/>
            </w:tcBorders>
            <w:shd w:val="clear" w:color="auto" w:fill="FFFFFF"/>
          </w:tcPr>
          <w:p w14:paraId="2A50FAF8" w14:textId="624E025C" w:rsidR="009C6FBD" w:rsidRPr="00B57B36" w:rsidRDefault="009C6FBD" w:rsidP="009C6FBD">
            <w:pPr>
              <w:pStyle w:val="CETBodytext"/>
              <w:tabs>
                <w:tab w:val="clear" w:pos="7100"/>
              </w:tabs>
              <w:rPr>
                <w:lang w:val="en-GB"/>
              </w:rPr>
            </w:pPr>
            <w:r w:rsidRPr="00AE2B79">
              <w:t>500°C</w:t>
            </w:r>
          </w:p>
        </w:tc>
        <w:tc>
          <w:tcPr>
            <w:tcW w:w="1531" w:type="dxa"/>
            <w:tcBorders>
              <w:top w:val="single" w:sz="12" w:space="0" w:color="008000"/>
              <w:bottom w:val="single" w:sz="6" w:space="0" w:color="008000"/>
            </w:tcBorders>
            <w:shd w:val="clear" w:color="auto" w:fill="FFFFFF"/>
          </w:tcPr>
          <w:p w14:paraId="7FB8D16F" w14:textId="2D4ADE08" w:rsidR="009C6FBD" w:rsidRPr="00B57B36" w:rsidRDefault="009C6FBD" w:rsidP="009C6FBD">
            <w:pPr>
              <w:pStyle w:val="CETBodytext"/>
              <w:tabs>
                <w:tab w:val="clear" w:pos="7100"/>
              </w:tabs>
              <w:ind w:right="-1"/>
              <w:rPr>
                <w:rFonts w:cs="Arial"/>
                <w:szCs w:val="18"/>
                <w:lang w:val="en-GB"/>
              </w:rPr>
            </w:pPr>
            <w:r w:rsidRPr="00AE2B79">
              <w:t>600°C</w:t>
            </w:r>
          </w:p>
        </w:tc>
      </w:tr>
      <w:tr w:rsidR="009C6FBD" w:rsidRPr="00B57B36" w14:paraId="164A3F3A" w14:textId="77777777" w:rsidTr="00C049AB">
        <w:tc>
          <w:tcPr>
            <w:tcW w:w="1531" w:type="dxa"/>
            <w:shd w:val="clear" w:color="auto" w:fill="FFFFFF"/>
          </w:tcPr>
          <w:p w14:paraId="7E0C14EA" w14:textId="780E50DB" w:rsidR="009C6FBD" w:rsidRPr="00B57B36" w:rsidRDefault="009C6FBD" w:rsidP="009C6FBD">
            <w:pPr>
              <w:pStyle w:val="CETBodytext"/>
              <w:tabs>
                <w:tab w:val="clear" w:pos="7100"/>
              </w:tabs>
              <w:rPr>
                <w:lang w:val="en-GB"/>
              </w:rPr>
            </w:pPr>
            <w:r w:rsidRPr="00AE2B79">
              <w:t>A (MJ/kg)</w:t>
            </w:r>
          </w:p>
        </w:tc>
        <w:tc>
          <w:tcPr>
            <w:tcW w:w="1531" w:type="dxa"/>
            <w:shd w:val="clear" w:color="auto" w:fill="FFFFFF"/>
          </w:tcPr>
          <w:p w14:paraId="308B5955" w14:textId="4A449D0E" w:rsidR="009C6FBD" w:rsidRPr="00B57B36" w:rsidRDefault="009C6FBD" w:rsidP="009C6FBD">
            <w:pPr>
              <w:pStyle w:val="CETBodytext"/>
              <w:tabs>
                <w:tab w:val="clear" w:pos="7100"/>
              </w:tabs>
              <w:rPr>
                <w:lang w:val="en-GB"/>
              </w:rPr>
            </w:pPr>
            <w:r w:rsidRPr="00AE2B79">
              <w:t>28.5</w:t>
            </w:r>
          </w:p>
        </w:tc>
        <w:tc>
          <w:tcPr>
            <w:tcW w:w="1531" w:type="dxa"/>
            <w:shd w:val="clear" w:color="auto" w:fill="FFFFFF"/>
          </w:tcPr>
          <w:p w14:paraId="6CEEE353" w14:textId="425564A4" w:rsidR="009C6FBD" w:rsidRPr="00B57B36" w:rsidRDefault="009C6FBD" w:rsidP="009C6FBD">
            <w:pPr>
              <w:pStyle w:val="CETBodytext"/>
              <w:tabs>
                <w:tab w:val="clear" w:pos="7100"/>
              </w:tabs>
              <w:rPr>
                <w:lang w:val="en-GB"/>
              </w:rPr>
            </w:pPr>
            <w:r w:rsidRPr="00AE2B79">
              <w:t>29.7</w:t>
            </w:r>
          </w:p>
        </w:tc>
        <w:tc>
          <w:tcPr>
            <w:tcW w:w="1531" w:type="dxa"/>
            <w:shd w:val="clear" w:color="auto" w:fill="FFFFFF"/>
          </w:tcPr>
          <w:p w14:paraId="2393D201" w14:textId="41139F6F" w:rsidR="009C6FBD" w:rsidRPr="00B57B36" w:rsidRDefault="009C6FBD" w:rsidP="009C6FBD">
            <w:pPr>
              <w:pStyle w:val="CETBodytext"/>
              <w:tabs>
                <w:tab w:val="clear" w:pos="7100"/>
              </w:tabs>
              <w:ind w:right="-1"/>
              <w:rPr>
                <w:rFonts w:cs="Arial"/>
                <w:szCs w:val="18"/>
                <w:lang w:val="en-GB"/>
              </w:rPr>
            </w:pPr>
            <w:r w:rsidRPr="00AE2B79">
              <w:t>31.0</w:t>
            </w:r>
          </w:p>
        </w:tc>
      </w:tr>
      <w:tr w:rsidR="009C6FBD" w:rsidRPr="00B57B36" w14:paraId="02AD81D4" w14:textId="77777777" w:rsidTr="00C049AB">
        <w:tc>
          <w:tcPr>
            <w:tcW w:w="1531" w:type="dxa"/>
            <w:shd w:val="clear" w:color="auto" w:fill="FFFFFF"/>
          </w:tcPr>
          <w:p w14:paraId="39686285" w14:textId="08587E53" w:rsidR="009C6FBD" w:rsidRPr="00B57B36" w:rsidRDefault="009C6FBD" w:rsidP="009C6FBD">
            <w:pPr>
              <w:pStyle w:val="CETBodytext"/>
              <w:tabs>
                <w:tab w:val="clear" w:pos="7100"/>
              </w:tabs>
              <w:rPr>
                <w:lang w:val="en-GB"/>
              </w:rPr>
            </w:pPr>
            <w:r w:rsidRPr="00AE2B79">
              <w:t>B (MJ/kg)</w:t>
            </w:r>
          </w:p>
        </w:tc>
        <w:tc>
          <w:tcPr>
            <w:tcW w:w="1531" w:type="dxa"/>
            <w:shd w:val="clear" w:color="auto" w:fill="FFFFFF"/>
          </w:tcPr>
          <w:p w14:paraId="749868F9" w14:textId="144FA7C6" w:rsidR="009C6FBD" w:rsidRPr="00B57B36" w:rsidRDefault="009C6FBD" w:rsidP="009C6FBD">
            <w:pPr>
              <w:pStyle w:val="CETBodytext"/>
              <w:tabs>
                <w:tab w:val="clear" w:pos="7100"/>
              </w:tabs>
              <w:rPr>
                <w:lang w:val="en-GB"/>
              </w:rPr>
            </w:pPr>
            <w:r w:rsidRPr="00AE2B79">
              <w:t>28.2</w:t>
            </w:r>
          </w:p>
        </w:tc>
        <w:tc>
          <w:tcPr>
            <w:tcW w:w="1531" w:type="dxa"/>
            <w:shd w:val="clear" w:color="auto" w:fill="FFFFFF"/>
          </w:tcPr>
          <w:p w14:paraId="15FFFE70" w14:textId="1E9DDBE0" w:rsidR="009C6FBD" w:rsidRPr="00B57B36" w:rsidRDefault="009C6FBD" w:rsidP="009C6FBD">
            <w:pPr>
              <w:pStyle w:val="CETBodytext"/>
              <w:tabs>
                <w:tab w:val="clear" w:pos="7100"/>
              </w:tabs>
              <w:rPr>
                <w:lang w:val="en-GB"/>
              </w:rPr>
            </w:pPr>
            <w:r w:rsidRPr="00AE2B79">
              <w:t>30.4</w:t>
            </w:r>
          </w:p>
        </w:tc>
        <w:tc>
          <w:tcPr>
            <w:tcW w:w="1531" w:type="dxa"/>
            <w:shd w:val="clear" w:color="auto" w:fill="FFFFFF"/>
          </w:tcPr>
          <w:p w14:paraId="18D0CA68" w14:textId="56C794EC" w:rsidR="009C6FBD" w:rsidRPr="00B57B36" w:rsidRDefault="009C6FBD" w:rsidP="009C6FBD">
            <w:pPr>
              <w:pStyle w:val="CETBodytext"/>
              <w:tabs>
                <w:tab w:val="clear" w:pos="7100"/>
              </w:tabs>
              <w:ind w:right="-1"/>
              <w:rPr>
                <w:rFonts w:cs="Arial"/>
                <w:szCs w:val="18"/>
                <w:lang w:val="en-GB"/>
              </w:rPr>
            </w:pPr>
            <w:r w:rsidRPr="00AE2B79">
              <w:t>31.0</w:t>
            </w:r>
          </w:p>
        </w:tc>
      </w:tr>
      <w:tr w:rsidR="009C6FBD" w:rsidRPr="00B57B36" w14:paraId="17D984D4" w14:textId="77777777" w:rsidTr="00C049AB">
        <w:tc>
          <w:tcPr>
            <w:tcW w:w="1531" w:type="dxa"/>
            <w:shd w:val="clear" w:color="auto" w:fill="FFFFFF"/>
          </w:tcPr>
          <w:p w14:paraId="6BFB15A1" w14:textId="35273D8C" w:rsidR="009C6FBD" w:rsidRPr="00B57B36" w:rsidRDefault="009C6FBD" w:rsidP="009C6FBD">
            <w:pPr>
              <w:pStyle w:val="CETBodytext"/>
              <w:tabs>
                <w:tab w:val="clear" w:pos="7100"/>
              </w:tabs>
              <w:ind w:right="-1"/>
              <w:rPr>
                <w:rFonts w:cs="Arial"/>
                <w:szCs w:val="18"/>
                <w:lang w:val="en-GB"/>
              </w:rPr>
            </w:pPr>
            <w:r w:rsidRPr="00AE2B79">
              <w:t>Average</w:t>
            </w:r>
          </w:p>
        </w:tc>
        <w:tc>
          <w:tcPr>
            <w:tcW w:w="1531" w:type="dxa"/>
            <w:shd w:val="clear" w:color="auto" w:fill="FFFFFF"/>
          </w:tcPr>
          <w:p w14:paraId="1A79B0E9" w14:textId="2F9F91C8" w:rsidR="009C6FBD" w:rsidRPr="00B57B36" w:rsidRDefault="009C6FBD" w:rsidP="009C6FBD">
            <w:pPr>
              <w:pStyle w:val="CETBodytext"/>
              <w:tabs>
                <w:tab w:val="clear" w:pos="7100"/>
              </w:tabs>
              <w:ind w:right="-1"/>
              <w:rPr>
                <w:rFonts w:cs="Arial"/>
                <w:szCs w:val="18"/>
                <w:lang w:val="en-GB"/>
              </w:rPr>
            </w:pPr>
            <w:r w:rsidRPr="00AE2B79">
              <w:t>28.4 ± 0.2</w:t>
            </w:r>
          </w:p>
        </w:tc>
        <w:tc>
          <w:tcPr>
            <w:tcW w:w="1531" w:type="dxa"/>
            <w:shd w:val="clear" w:color="auto" w:fill="FFFFFF"/>
          </w:tcPr>
          <w:p w14:paraId="49849204" w14:textId="35F39F86" w:rsidR="009C6FBD" w:rsidRPr="00B57B36" w:rsidRDefault="009C6FBD" w:rsidP="009C6FBD">
            <w:pPr>
              <w:pStyle w:val="CETBodytext"/>
              <w:tabs>
                <w:tab w:val="clear" w:pos="7100"/>
              </w:tabs>
              <w:ind w:right="-1"/>
              <w:rPr>
                <w:rFonts w:cs="Arial"/>
                <w:szCs w:val="18"/>
                <w:lang w:val="en-GB"/>
              </w:rPr>
            </w:pPr>
            <w:r w:rsidRPr="00AE2B79">
              <w:t>30.1 ± 0.4</w:t>
            </w:r>
          </w:p>
        </w:tc>
        <w:tc>
          <w:tcPr>
            <w:tcW w:w="1531" w:type="dxa"/>
            <w:shd w:val="clear" w:color="auto" w:fill="FFFFFF"/>
          </w:tcPr>
          <w:p w14:paraId="7DE28635" w14:textId="347D5CD3" w:rsidR="009C6FBD" w:rsidRPr="00B57B36" w:rsidRDefault="009C6FBD" w:rsidP="009C6FBD">
            <w:pPr>
              <w:pStyle w:val="CETBodytext"/>
              <w:tabs>
                <w:tab w:val="clear" w:pos="7100"/>
              </w:tabs>
              <w:ind w:right="-1"/>
              <w:rPr>
                <w:rFonts w:cs="Arial"/>
                <w:szCs w:val="18"/>
                <w:lang w:val="en-GB"/>
              </w:rPr>
            </w:pPr>
            <w:r w:rsidRPr="00AE2B79">
              <w:t>31.0 ± 0.0</w:t>
            </w:r>
          </w:p>
        </w:tc>
      </w:tr>
    </w:tbl>
    <w:p w14:paraId="0EC96E25" w14:textId="77777777" w:rsidR="009C6FBD" w:rsidRDefault="009C6FBD" w:rsidP="009C6FBD">
      <w:pPr>
        <w:pStyle w:val="CETBodytext"/>
        <w:rPr>
          <w:lang w:val="en-GB"/>
        </w:rPr>
      </w:pPr>
    </w:p>
    <w:p w14:paraId="33799222" w14:textId="4DC43DD6" w:rsidR="00D54973" w:rsidRDefault="00D54973" w:rsidP="00D54973">
      <w:pPr>
        <w:pStyle w:val="CETBodytext"/>
        <w:rPr>
          <w:lang w:val="en-GB"/>
        </w:rPr>
      </w:pPr>
      <w:r w:rsidRPr="00D54973">
        <w:rPr>
          <w:lang w:val="en-GB"/>
        </w:rPr>
        <w:t xml:space="preserve">The biochar produced by pyrolysis at 600 °C exhibited the highest higher heating value, reaching 31 MJ/kg, whereas the lowest value, 28.4 MJ/kg, was observed for the material obtained at the lowest temperature. The increase in the higher heating value is related to the fixed carbon content of the material, which tends to increase with rising pyrolysis temperature. Different heating value results were reported by </w:t>
      </w:r>
      <w:proofErr w:type="spellStart"/>
      <w:r w:rsidRPr="00D54973">
        <w:rPr>
          <w:lang w:val="en-GB"/>
        </w:rPr>
        <w:t>Warma</w:t>
      </w:r>
      <w:proofErr w:type="spellEnd"/>
      <w:r w:rsidRPr="00D54973">
        <w:rPr>
          <w:lang w:val="en-GB"/>
        </w:rPr>
        <w:t xml:space="preserve"> and Mondal (2017), who obtained a value of 24.31 MJ/kg for the char generated from biomass pyrolysis. Additionally, the higher heating value of the bio-oil was also determined, and the corresponding results are presented in Table 4.</w:t>
      </w:r>
    </w:p>
    <w:p w14:paraId="7D433B54" w14:textId="1C029371" w:rsidR="009C6FBD" w:rsidRPr="00B57B36" w:rsidRDefault="009C6FBD" w:rsidP="009C6FBD">
      <w:pPr>
        <w:pStyle w:val="CETTabletitle"/>
      </w:pPr>
      <w:r w:rsidRPr="00B57B36">
        <w:t xml:space="preserve">Table </w:t>
      </w:r>
      <w:r>
        <w:t>4</w:t>
      </w:r>
      <w:r w:rsidRPr="00B57B36">
        <w:t xml:space="preserve">: </w:t>
      </w:r>
      <w:r w:rsidRPr="009C6FBD">
        <w:t>Results of the higher heating value of the bio-oil obtained by pyrolysis</w:t>
      </w:r>
      <w:r w:rsidRPr="009C6FBD">
        <w:t xml:space="preserve"> </w:t>
      </w:r>
      <w:r w:rsidRPr="009C6FBD">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31"/>
        <w:gridCol w:w="1531"/>
        <w:gridCol w:w="1531"/>
        <w:gridCol w:w="1531"/>
      </w:tblGrid>
      <w:tr w:rsidR="009C6FBD" w:rsidRPr="00B57B36" w14:paraId="774B257F" w14:textId="77777777" w:rsidTr="00C049AB">
        <w:tc>
          <w:tcPr>
            <w:tcW w:w="1531" w:type="dxa"/>
            <w:tcBorders>
              <w:top w:val="single" w:sz="12" w:space="0" w:color="008000"/>
              <w:bottom w:val="single" w:sz="6" w:space="0" w:color="008000"/>
            </w:tcBorders>
            <w:shd w:val="clear" w:color="auto" w:fill="FFFFFF"/>
          </w:tcPr>
          <w:p w14:paraId="17480738" w14:textId="417F42D7" w:rsidR="009C6FBD" w:rsidRPr="00B57B36" w:rsidRDefault="009C6FBD" w:rsidP="009C6FBD">
            <w:pPr>
              <w:pStyle w:val="CETBodytext"/>
              <w:tabs>
                <w:tab w:val="clear" w:pos="7100"/>
              </w:tabs>
              <w:rPr>
                <w:lang w:val="en-GB"/>
              </w:rPr>
            </w:pPr>
            <w:r w:rsidRPr="00900B48">
              <w:t>Sample</w:t>
            </w:r>
          </w:p>
        </w:tc>
        <w:tc>
          <w:tcPr>
            <w:tcW w:w="1531" w:type="dxa"/>
            <w:tcBorders>
              <w:top w:val="single" w:sz="12" w:space="0" w:color="008000"/>
              <w:bottom w:val="single" w:sz="6" w:space="0" w:color="008000"/>
            </w:tcBorders>
            <w:shd w:val="clear" w:color="auto" w:fill="FFFFFF"/>
          </w:tcPr>
          <w:p w14:paraId="4149B301" w14:textId="48EC1DE6" w:rsidR="009C6FBD" w:rsidRPr="00B57B36" w:rsidRDefault="009C6FBD" w:rsidP="009C6FBD">
            <w:pPr>
              <w:pStyle w:val="CETBodytext"/>
              <w:tabs>
                <w:tab w:val="clear" w:pos="7100"/>
              </w:tabs>
              <w:rPr>
                <w:lang w:val="en-GB"/>
              </w:rPr>
            </w:pPr>
            <w:r w:rsidRPr="00900B48">
              <w:t>400°C</w:t>
            </w:r>
          </w:p>
        </w:tc>
        <w:tc>
          <w:tcPr>
            <w:tcW w:w="1531" w:type="dxa"/>
            <w:tcBorders>
              <w:top w:val="single" w:sz="12" w:space="0" w:color="008000"/>
              <w:bottom w:val="single" w:sz="6" w:space="0" w:color="008000"/>
            </w:tcBorders>
            <w:shd w:val="clear" w:color="auto" w:fill="FFFFFF"/>
          </w:tcPr>
          <w:p w14:paraId="43650807" w14:textId="3585F8BA" w:rsidR="009C6FBD" w:rsidRPr="00B57B36" w:rsidRDefault="009C6FBD" w:rsidP="009C6FBD">
            <w:pPr>
              <w:pStyle w:val="CETBodytext"/>
              <w:tabs>
                <w:tab w:val="clear" w:pos="7100"/>
              </w:tabs>
              <w:rPr>
                <w:lang w:val="en-GB"/>
              </w:rPr>
            </w:pPr>
            <w:r w:rsidRPr="00900B48">
              <w:t>500°C</w:t>
            </w:r>
          </w:p>
        </w:tc>
        <w:tc>
          <w:tcPr>
            <w:tcW w:w="1531" w:type="dxa"/>
            <w:tcBorders>
              <w:top w:val="single" w:sz="12" w:space="0" w:color="008000"/>
              <w:bottom w:val="single" w:sz="6" w:space="0" w:color="008000"/>
            </w:tcBorders>
            <w:shd w:val="clear" w:color="auto" w:fill="FFFFFF"/>
          </w:tcPr>
          <w:p w14:paraId="15F1C625" w14:textId="7C09EAC7" w:rsidR="009C6FBD" w:rsidRPr="00B57B36" w:rsidRDefault="009C6FBD" w:rsidP="009C6FBD">
            <w:pPr>
              <w:pStyle w:val="CETBodytext"/>
              <w:tabs>
                <w:tab w:val="clear" w:pos="7100"/>
              </w:tabs>
              <w:ind w:right="-1"/>
              <w:rPr>
                <w:rFonts w:cs="Arial"/>
                <w:szCs w:val="18"/>
                <w:lang w:val="en-GB"/>
              </w:rPr>
            </w:pPr>
            <w:r w:rsidRPr="00900B48">
              <w:t>600°C</w:t>
            </w:r>
          </w:p>
        </w:tc>
      </w:tr>
      <w:tr w:rsidR="009C6FBD" w:rsidRPr="00B57B36" w14:paraId="39714EC5" w14:textId="77777777" w:rsidTr="00C049AB">
        <w:tc>
          <w:tcPr>
            <w:tcW w:w="1531" w:type="dxa"/>
            <w:shd w:val="clear" w:color="auto" w:fill="FFFFFF"/>
          </w:tcPr>
          <w:p w14:paraId="18EA71D9" w14:textId="1E81F39D" w:rsidR="009C6FBD" w:rsidRPr="00B57B36" w:rsidRDefault="009C6FBD" w:rsidP="009C6FBD">
            <w:pPr>
              <w:pStyle w:val="CETBodytext"/>
              <w:tabs>
                <w:tab w:val="clear" w:pos="7100"/>
              </w:tabs>
              <w:rPr>
                <w:lang w:val="en-GB"/>
              </w:rPr>
            </w:pPr>
            <w:r w:rsidRPr="00900B48">
              <w:t>A (MJ/kg)</w:t>
            </w:r>
          </w:p>
        </w:tc>
        <w:tc>
          <w:tcPr>
            <w:tcW w:w="1531" w:type="dxa"/>
            <w:shd w:val="clear" w:color="auto" w:fill="FFFFFF"/>
          </w:tcPr>
          <w:p w14:paraId="751E5D48" w14:textId="0A9361E9" w:rsidR="009C6FBD" w:rsidRPr="00B57B36" w:rsidRDefault="009C6FBD" w:rsidP="009C6FBD">
            <w:pPr>
              <w:pStyle w:val="CETBodytext"/>
              <w:tabs>
                <w:tab w:val="clear" w:pos="7100"/>
              </w:tabs>
              <w:rPr>
                <w:lang w:val="en-GB"/>
              </w:rPr>
            </w:pPr>
            <w:r w:rsidRPr="00900B48">
              <w:t>23.4</w:t>
            </w:r>
          </w:p>
        </w:tc>
        <w:tc>
          <w:tcPr>
            <w:tcW w:w="1531" w:type="dxa"/>
            <w:shd w:val="clear" w:color="auto" w:fill="FFFFFF"/>
          </w:tcPr>
          <w:p w14:paraId="28ED8FFD" w14:textId="0887C18A" w:rsidR="009C6FBD" w:rsidRPr="00B57B36" w:rsidRDefault="009C6FBD" w:rsidP="009C6FBD">
            <w:pPr>
              <w:pStyle w:val="CETBodytext"/>
              <w:tabs>
                <w:tab w:val="clear" w:pos="7100"/>
              </w:tabs>
              <w:rPr>
                <w:lang w:val="en-GB"/>
              </w:rPr>
            </w:pPr>
            <w:r w:rsidRPr="00900B48">
              <w:t>25.2</w:t>
            </w:r>
          </w:p>
        </w:tc>
        <w:tc>
          <w:tcPr>
            <w:tcW w:w="1531" w:type="dxa"/>
            <w:shd w:val="clear" w:color="auto" w:fill="FFFFFF"/>
          </w:tcPr>
          <w:p w14:paraId="3CB9A810" w14:textId="57AC6219" w:rsidR="009C6FBD" w:rsidRPr="00B57B36" w:rsidRDefault="009C6FBD" w:rsidP="009C6FBD">
            <w:pPr>
              <w:pStyle w:val="CETBodytext"/>
              <w:tabs>
                <w:tab w:val="clear" w:pos="7100"/>
              </w:tabs>
              <w:ind w:right="-1"/>
              <w:rPr>
                <w:rFonts w:cs="Arial"/>
                <w:szCs w:val="18"/>
                <w:lang w:val="en-GB"/>
              </w:rPr>
            </w:pPr>
            <w:r w:rsidRPr="00900B48">
              <w:t>24.6</w:t>
            </w:r>
          </w:p>
        </w:tc>
      </w:tr>
      <w:tr w:rsidR="009C6FBD" w:rsidRPr="00B57B36" w14:paraId="344EC2B9" w14:textId="77777777" w:rsidTr="00C049AB">
        <w:tc>
          <w:tcPr>
            <w:tcW w:w="1531" w:type="dxa"/>
            <w:shd w:val="clear" w:color="auto" w:fill="FFFFFF"/>
          </w:tcPr>
          <w:p w14:paraId="4AE7B70E" w14:textId="226B7786" w:rsidR="009C6FBD" w:rsidRPr="00B57B36" w:rsidRDefault="009C6FBD" w:rsidP="009C6FBD">
            <w:pPr>
              <w:pStyle w:val="CETBodytext"/>
              <w:tabs>
                <w:tab w:val="clear" w:pos="7100"/>
              </w:tabs>
              <w:rPr>
                <w:lang w:val="en-GB"/>
              </w:rPr>
            </w:pPr>
            <w:r w:rsidRPr="00900B48">
              <w:t>B (MJ/kg)</w:t>
            </w:r>
          </w:p>
        </w:tc>
        <w:tc>
          <w:tcPr>
            <w:tcW w:w="1531" w:type="dxa"/>
            <w:shd w:val="clear" w:color="auto" w:fill="FFFFFF"/>
          </w:tcPr>
          <w:p w14:paraId="3666659C" w14:textId="7EC0AF55" w:rsidR="009C6FBD" w:rsidRPr="00B57B36" w:rsidRDefault="009C6FBD" w:rsidP="009C6FBD">
            <w:pPr>
              <w:pStyle w:val="CETBodytext"/>
              <w:tabs>
                <w:tab w:val="clear" w:pos="7100"/>
              </w:tabs>
              <w:rPr>
                <w:lang w:val="en-GB"/>
              </w:rPr>
            </w:pPr>
            <w:r w:rsidRPr="00900B48">
              <w:t>23.3</w:t>
            </w:r>
          </w:p>
        </w:tc>
        <w:tc>
          <w:tcPr>
            <w:tcW w:w="1531" w:type="dxa"/>
            <w:shd w:val="clear" w:color="auto" w:fill="FFFFFF"/>
          </w:tcPr>
          <w:p w14:paraId="1154DD21" w14:textId="1A8CE30E" w:rsidR="009C6FBD" w:rsidRPr="00B57B36" w:rsidRDefault="009C6FBD" w:rsidP="009C6FBD">
            <w:pPr>
              <w:pStyle w:val="CETBodytext"/>
              <w:tabs>
                <w:tab w:val="clear" w:pos="7100"/>
              </w:tabs>
              <w:rPr>
                <w:lang w:val="en-GB"/>
              </w:rPr>
            </w:pPr>
            <w:r w:rsidRPr="00900B48">
              <w:t>24.9</w:t>
            </w:r>
          </w:p>
        </w:tc>
        <w:tc>
          <w:tcPr>
            <w:tcW w:w="1531" w:type="dxa"/>
            <w:shd w:val="clear" w:color="auto" w:fill="FFFFFF"/>
          </w:tcPr>
          <w:p w14:paraId="7FB3EB17" w14:textId="5BE89282" w:rsidR="009C6FBD" w:rsidRPr="00B57B36" w:rsidRDefault="009C6FBD" w:rsidP="009C6FBD">
            <w:pPr>
              <w:pStyle w:val="CETBodytext"/>
              <w:tabs>
                <w:tab w:val="clear" w:pos="7100"/>
              </w:tabs>
              <w:ind w:right="-1"/>
              <w:rPr>
                <w:rFonts w:cs="Arial"/>
                <w:szCs w:val="18"/>
                <w:lang w:val="en-GB"/>
              </w:rPr>
            </w:pPr>
            <w:r w:rsidRPr="00900B48">
              <w:t>23.9</w:t>
            </w:r>
          </w:p>
        </w:tc>
      </w:tr>
      <w:tr w:rsidR="009C6FBD" w:rsidRPr="00B57B36" w14:paraId="71F6F227" w14:textId="77777777" w:rsidTr="00C049AB">
        <w:tc>
          <w:tcPr>
            <w:tcW w:w="1531" w:type="dxa"/>
            <w:shd w:val="clear" w:color="auto" w:fill="FFFFFF"/>
          </w:tcPr>
          <w:p w14:paraId="4C91064D" w14:textId="0F776DD7" w:rsidR="009C6FBD" w:rsidRPr="00B57B36" w:rsidRDefault="009C6FBD" w:rsidP="009C6FBD">
            <w:pPr>
              <w:pStyle w:val="CETBodytext"/>
              <w:tabs>
                <w:tab w:val="clear" w:pos="7100"/>
              </w:tabs>
              <w:ind w:right="-1"/>
              <w:rPr>
                <w:rFonts w:cs="Arial"/>
                <w:szCs w:val="18"/>
                <w:lang w:val="en-GB"/>
              </w:rPr>
            </w:pPr>
            <w:r w:rsidRPr="00900B48">
              <w:t>Average</w:t>
            </w:r>
          </w:p>
        </w:tc>
        <w:tc>
          <w:tcPr>
            <w:tcW w:w="1531" w:type="dxa"/>
            <w:shd w:val="clear" w:color="auto" w:fill="FFFFFF"/>
          </w:tcPr>
          <w:p w14:paraId="72ABA2AB" w14:textId="49B66CBD" w:rsidR="009C6FBD" w:rsidRPr="00B57B36" w:rsidRDefault="009C6FBD" w:rsidP="009C6FBD">
            <w:pPr>
              <w:pStyle w:val="CETBodytext"/>
              <w:tabs>
                <w:tab w:val="clear" w:pos="7100"/>
              </w:tabs>
              <w:ind w:right="-1"/>
              <w:rPr>
                <w:rFonts w:cs="Arial"/>
                <w:szCs w:val="18"/>
                <w:lang w:val="en-GB"/>
              </w:rPr>
            </w:pPr>
            <w:r w:rsidRPr="00900B48">
              <w:t>23.4 ± 0.0</w:t>
            </w:r>
          </w:p>
        </w:tc>
        <w:tc>
          <w:tcPr>
            <w:tcW w:w="1531" w:type="dxa"/>
            <w:shd w:val="clear" w:color="auto" w:fill="FFFFFF"/>
          </w:tcPr>
          <w:p w14:paraId="3D8C6D23" w14:textId="3862BEDC" w:rsidR="009C6FBD" w:rsidRPr="00B57B36" w:rsidRDefault="009C6FBD" w:rsidP="009C6FBD">
            <w:pPr>
              <w:pStyle w:val="CETBodytext"/>
              <w:tabs>
                <w:tab w:val="clear" w:pos="7100"/>
              </w:tabs>
              <w:ind w:right="-1"/>
              <w:rPr>
                <w:rFonts w:cs="Arial"/>
                <w:szCs w:val="18"/>
                <w:lang w:val="en-GB"/>
              </w:rPr>
            </w:pPr>
            <w:r w:rsidRPr="00900B48">
              <w:t>25.1 ± 0.2</w:t>
            </w:r>
          </w:p>
        </w:tc>
        <w:tc>
          <w:tcPr>
            <w:tcW w:w="1531" w:type="dxa"/>
            <w:shd w:val="clear" w:color="auto" w:fill="FFFFFF"/>
          </w:tcPr>
          <w:p w14:paraId="4F43AAA9" w14:textId="371D9471" w:rsidR="009C6FBD" w:rsidRPr="00B57B36" w:rsidRDefault="009C6FBD" w:rsidP="009C6FBD">
            <w:pPr>
              <w:pStyle w:val="CETBodytext"/>
              <w:tabs>
                <w:tab w:val="clear" w:pos="7100"/>
              </w:tabs>
              <w:ind w:right="-1"/>
              <w:rPr>
                <w:rFonts w:cs="Arial"/>
                <w:szCs w:val="18"/>
                <w:lang w:val="en-GB"/>
              </w:rPr>
            </w:pPr>
            <w:r w:rsidRPr="00900B48">
              <w:t>24.3 ± 0.3</w:t>
            </w:r>
          </w:p>
        </w:tc>
      </w:tr>
    </w:tbl>
    <w:p w14:paraId="7AA1742C" w14:textId="77777777" w:rsidR="00D54973" w:rsidRDefault="00D54973" w:rsidP="00D54973">
      <w:pPr>
        <w:pStyle w:val="CETBodytext"/>
        <w:rPr>
          <w:lang w:val="en-GB"/>
        </w:rPr>
      </w:pPr>
    </w:p>
    <w:p w14:paraId="6A5167CF" w14:textId="3A509E72" w:rsidR="00600535" w:rsidRPr="00D54973" w:rsidRDefault="00D54973" w:rsidP="00D54973">
      <w:pPr>
        <w:pStyle w:val="CETBodytext"/>
        <w:rPr>
          <w:lang w:val="en-GB"/>
        </w:rPr>
      </w:pPr>
      <w:r w:rsidRPr="00D54973">
        <w:rPr>
          <w:lang w:val="en-GB"/>
        </w:rPr>
        <w:t>The higher heating value of the bio-oil ranged from 23.4 to 25.1 MJ/</w:t>
      </w:r>
      <w:proofErr w:type="gramStart"/>
      <w:r w:rsidRPr="00D54973">
        <w:rPr>
          <w:lang w:val="en-GB"/>
        </w:rPr>
        <w:t>kg,</w:t>
      </w:r>
      <w:proofErr w:type="gramEnd"/>
      <w:r w:rsidRPr="00D54973">
        <w:rPr>
          <w:lang w:val="en-GB"/>
        </w:rPr>
        <w:t xml:space="preserve"> values higher than the 4.1 MJ/kg reported by </w:t>
      </w:r>
      <w:proofErr w:type="spellStart"/>
      <w:r w:rsidRPr="00D54973">
        <w:rPr>
          <w:lang w:val="en-GB"/>
        </w:rPr>
        <w:t>Fardhyanti</w:t>
      </w:r>
      <w:proofErr w:type="spellEnd"/>
      <w:r w:rsidRPr="00D54973">
        <w:rPr>
          <w:lang w:val="en-GB"/>
        </w:rPr>
        <w:t xml:space="preserve"> et al. (2022). This difference may be associated with the moisture content of the bagasse used as the feedstock. It was observed that the bio-oil obtained at 500 °C exhibited the highest HHV, possibly due to the higher concentration of volatile matter and fixed carbon compared to the products generated at 400 °C and 600 °C. Overall, the bio-oil produced in this study presents a lower HHV than fossil fuels, whose typical values range from 42 to 45 MJ/kg</w:t>
      </w:r>
      <w:r w:rsidR="00DF677B">
        <w:rPr>
          <w:lang w:val="en-GB"/>
        </w:rPr>
        <w:t xml:space="preserve"> (</w:t>
      </w:r>
      <w:r w:rsidR="00DF677B" w:rsidRPr="00DF677B">
        <w:rPr>
          <w:lang w:val="en-GB"/>
        </w:rPr>
        <w:t>V</w:t>
      </w:r>
      <w:r w:rsidR="00DF677B" w:rsidRPr="00DF677B">
        <w:rPr>
          <w:lang w:val="en-GB"/>
        </w:rPr>
        <w:t>arma &amp; Mondal, 2017</w:t>
      </w:r>
      <w:r w:rsidR="00DF677B" w:rsidRPr="00DF677B">
        <w:rPr>
          <w:lang w:val="en-GB"/>
        </w:rPr>
        <w:t>)</w:t>
      </w:r>
      <w:r w:rsidRPr="00DF677B">
        <w:rPr>
          <w:lang w:val="en-GB"/>
        </w:rPr>
        <w:t>.</w:t>
      </w:r>
      <w:r w:rsidRPr="00D54973">
        <w:rPr>
          <w:lang w:val="en-GB"/>
        </w:rPr>
        <w:t xml:space="preserve"> However, the evaluation of its application as a liquid fuel should consider other physicochemical properties, such as viscosity, flash point, acidity, density, and elemental composition (C, H, N, and S). Nevertheless, bio-oil can be used for the production of chemicals or as a fuel in engines, boilers, and turbines </w:t>
      </w:r>
      <w:r w:rsidR="00DF677B">
        <w:rPr>
          <w:lang w:val="en-GB"/>
        </w:rPr>
        <w:t>(</w:t>
      </w:r>
      <w:r w:rsidRPr="00DF677B">
        <w:rPr>
          <w:lang w:val="en-GB"/>
        </w:rPr>
        <w:t>Toscano Miranda et al., 2021</w:t>
      </w:r>
      <w:r w:rsidR="00DF677B">
        <w:rPr>
          <w:lang w:val="en-GB"/>
        </w:rPr>
        <w:t>)</w:t>
      </w:r>
    </w:p>
    <w:p w14:paraId="68D26B83" w14:textId="77777777" w:rsidR="00600535" w:rsidRPr="00B57B36" w:rsidRDefault="00600535" w:rsidP="00600535">
      <w:pPr>
        <w:pStyle w:val="CETHeading1"/>
        <w:rPr>
          <w:lang w:val="en-GB"/>
        </w:rPr>
      </w:pPr>
      <w:r w:rsidRPr="00B57B36">
        <w:rPr>
          <w:lang w:val="en-GB"/>
        </w:rPr>
        <w:lastRenderedPageBreak/>
        <w:t>Conclusions</w:t>
      </w:r>
    </w:p>
    <w:p w14:paraId="52DAFDE0" w14:textId="76F132C4" w:rsidR="001D0CFB" w:rsidRDefault="00D54973" w:rsidP="00D54973">
      <w:pPr>
        <w:pStyle w:val="CETBodytext"/>
        <w:rPr>
          <w:lang w:val="en-GB"/>
        </w:rPr>
      </w:pPr>
      <w:r w:rsidRPr="00D54973">
        <w:rPr>
          <w:lang w:val="en-GB"/>
        </w:rPr>
        <w:t xml:space="preserve">The results of this study indicate that sugarcane bagasse is a promising feedstock for thermochemical conversion into value-added products, mainly due to its high volatile matter content (83.4%) and low moisture content (7.7%). The pyrolysis experiments showed that temperature was the dominant operational parameter, presenting a stronger influence on product distribution than residence time. Within the evaluated temperature range (400–600 °C), distinct trends in product yields were observed. Liquid production reached its maximum at 500 °C, whereas higher temperatures </w:t>
      </w:r>
      <w:r w:rsidR="009C6FBD" w:rsidRPr="00D54973">
        <w:rPr>
          <w:lang w:val="en-GB"/>
        </w:rPr>
        <w:t>favoured</w:t>
      </w:r>
      <w:r w:rsidRPr="00D54973">
        <w:rPr>
          <w:lang w:val="en-GB"/>
        </w:rPr>
        <w:t xml:space="preserve"> the formation of gaseous products, with the highest gas yield occurring at 600 °C. These results highlight the role of temperature in controlling the distribution of pyrolysis products. Regarding fuel properties, the biochar obtained at 600 °C exhibited the highest higher heating value, reaching 31 MJ/kg, while the maximum higher heating value of the bio-oil (25.1 MJ/kg) was obtained at 500 °C. Although the energy content of the bio-oil remains lower than that of conventional fossil fuels, the generated products, biochar, bio-oil, and gas, demonstrate potential for application as alternative and more sustainable energy sources</w:t>
      </w:r>
      <w:r>
        <w:rPr>
          <w:lang w:val="en-GB"/>
        </w:rPr>
        <w:t>.</w:t>
      </w:r>
    </w:p>
    <w:p w14:paraId="07A6D20F" w14:textId="0ECF229E"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Nomenclature</w:t>
      </w:r>
    </w:p>
    <w:p w14:paraId="057B0845" w14:textId="793BDE48" w:rsidR="00820FAE" w:rsidRDefault="00820FAE" w:rsidP="00280FAF">
      <w:pPr>
        <w:pStyle w:val="CETBodytext"/>
        <w:jc w:val="left"/>
        <w:rPr>
          <w:rFonts w:eastAsia="SimSun"/>
        </w:rPr>
      </w:pPr>
      <w:r>
        <w:rPr>
          <w:rFonts w:eastAsia="SimSun"/>
        </w:rPr>
        <w:t xml:space="preserve">ºC – </w:t>
      </w:r>
      <w:r w:rsidR="00E40EB9">
        <w:rPr>
          <w:rFonts w:eastAsia="SimSun"/>
        </w:rPr>
        <w:t>degrees Celsius</w:t>
      </w:r>
    </w:p>
    <w:p w14:paraId="4B24CF71" w14:textId="4A5E6F3E" w:rsidR="00820FAE" w:rsidRDefault="00820FAE" w:rsidP="00280FAF">
      <w:pPr>
        <w:pStyle w:val="CETBodytext"/>
        <w:jc w:val="left"/>
        <w:rPr>
          <w:rFonts w:eastAsia="SimSun"/>
        </w:rPr>
      </w:pPr>
      <w:r w:rsidRPr="00820FAE">
        <w:rPr>
          <w:rFonts w:eastAsia="SimSun"/>
        </w:rPr>
        <w:t>MJ/kg</w:t>
      </w:r>
      <w:r>
        <w:rPr>
          <w:rFonts w:eastAsia="SimSun"/>
        </w:rPr>
        <w:t xml:space="preserve"> – </w:t>
      </w:r>
      <w:r w:rsidR="00E40EB9">
        <w:rPr>
          <w:rFonts w:eastAsia="SimSun"/>
        </w:rPr>
        <w:t>megajoule per kilogram</w:t>
      </w:r>
    </w:p>
    <w:p w14:paraId="773754E2" w14:textId="451FCD8D" w:rsidR="00820FAE" w:rsidRDefault="00820FAE" w:rsidP="00280FAF">
      <w:pPr>
        <w:pStyle w:val="CETBodytext"/>
        <w:jc w:val="left"/>
        <w:rPr>
          <w:rFonts w:eastAsia="SimSun"/>
        </w:rPr>
      </w:pPr>
      <w:r>
        <w:rPr>
          <w:rFonts w:eastAsia="SimSun"/>
        </w:rPr>
        <w:t xml:space="preserve">mm – </w:t>
      </w:r>
      <w:proofErr w:type="spellStart"/>
      <w:r w:rsidR="00E40EB9">
        <w:rPr>
          <w:rFonts w:eastAsia="SimSun"/>
        </w:rPr>
        <w:t>millimetres</w:t>
      </w:r>
      <w:proofErr w:type="spellEnd"/>
    </w:p>
    <w:p w14:paraId="389563C6" w14:textId="4CD9FE2E" w:rsidR="00820FAE" w:rsidRDefault="00820FAE" w:rsidP="00280FAF">
      <w:pPr>
        <w:pStyle w:val="CETBodytext"/>
        <w:jc w:val="left"/>
        <w:rPr>
          <w:rFonts w:eastAsia="SimSun"/>
        </w:rPr>
      </w:pPr>
      <w:r>
        <w:rPr>
          <w:rFonts w:eastAsia="SimSun"/>
        </w:rPr>
        <w:t xml:space="preserve">% - </w:t>
      </w:r>
      <w:r w:rsidR="00E40EB9">
        <w:rPr>
          <w:rFonts w:eastAsia="SimSun"/>
        </w:rPr>
        <w:t>percentage</w:t>
      </w:r>
    </w:p>
    <w:p w14:paraId="2724957A" w14:textId="61EC9712" w:rsidR="00820FAE" w:rsidRDefault="00820FAE" w:rsidP="00280FAF">
      <w:pPr>
        <w:pStyle w:val="CETBodytext"/>
        <w:jc w:val="left"/>
        <w:rPr>
          <w:rFonts w:eastAsia="SimSun"/>
        </w:rPr>
      </w:pPr>
      <w:r>
        <w:rPr>
          <w:rFonts w:eastAsia="SimSun"/>
        </w:rPr>
        <w:t>Y</w:t>
      </w:r>
      <w:r>
        <w:rPr>
          <w:rFonts w:eastAsia="SimSun"/>
          <w:vertAlign w:val="subscript"/>
        </w:rPr>
        <w:t>i</w:t>
      </w:r>
      <w:r>
        <w:rPr>
          <w:rFonts w:eastAsia="SimSun"/>
        </w:rPr>
        <w:t xml:space="preserve"> – </w:t>
      </w:r>
      <w:r w:rsidR="00E40EB9">
        <w:rPr>
          <w:rFonts w:eastAsia="SimSun"/>
        </w:rPr>
        <w:t>yield fraction, %</w:t>
      </w:r>
    </w:p>
    <w:p w14:paraId="50A2A53A" w14:textId="2461C31B" w:rsidR="00820FAE" w:rsidRDefault="00820FAE" w:rsidP="00280FAF">
      <w:pPr>
        <w:pStyle w:val="CETBodytext"/>
        <w:jc w:val="left"/>
        <w:rPr>
          <w:rFonts w:eastAsia="SimSun"/>
        </w:rPr>
      </w:pPr>
      <w:r>
        <w:rPr>
          <w:rFonts w:eastAsia="SimSun"/>
        </w:rPr>
        <w:t>M</w:t>
      </w:r>
      <w:r>
        <w:rPr>
          <w:rFonts w:eastAsia="SimSun"/>
          <w:vertAlign w:val="subscript"/>
        </w:rPr>
        <w:t>i</w:t>
      </w:r>
      <w:r>
        <w:rPr>
          <w:rFonts w:eastAsia="SimSun"/>
        </w:rPr>
        <w:t xml:space="preserve"> – </w:t>
      </w:r>
      <w:r w:rsidR="00E40EB9" w:rsidRPr="00E40EB9">
        <w:rPr>
          <w:rFonts w:eastAsia="SimSun"/>
        </w:rPr>
        <w:t xml:space="preserve">mass obtained of component </w:t>
      </w:r>
      <w:proofErr w:type="spellStart"/>
      <w:r w:rsidR="00E40EB9" w:rsidRPr="00E40EB9">
        <w:rPr>
          <w:rFonts w:eastAsia="SimSun"/>
        </w:rPr>
        <w:t>i</w:t>
      </w:r>
      <w:proofErr w:type="spellEnd"/>
    </w:p>
    <w:p w14:paraId="17D8D11D" w14:textId="484F5D09" w:rsidR="00820FAE" w:rsidRPr="00E40EB9" w:rsidRDefault="00820FAE" w:rsidP="00280FAF">
      <w:pPr>
        <w:pStyle w:val="CETBodytext"/>
        <w:jc w:val="left"/>
        <w:rPr>
          <w:rFonts w:eastAsia="SimSun"/>
          <w:lang w:val="pt-BR"/>
        </w:rPr>
      </w:pPr>
      <w:r w:rsidRPr="00E40EB9">
        <w:rPr>
          <w:rFonts w:eastAsia="SimSun"/>
          <w:lang w:val="pt-BR"/>
        </w:rPr>
        <w:t xml:space="preserve">g – </w:t>
      </w:r>
      <w:proofErr w:type="spellStart"/>
      <w:proofErr w:type="gramStart"/>
      <w:r w:rsidR="00E40EB9" w:rsidRPr="00E40EB9">
        <w:rPr>
          <w:rFonts w:eastAsia="SimSun"/>
          <w:lang w:val="pt-BR"/>
        </w:rPr>
        <w:t>grams</w:t>
      </w:r>
      <w:proofErr w:type="spellEnd"/>
      <w:proofErr w:type="gramEnd"/>
    </w:p>
    <w:p w14:paraId="32393B06" w14:textId="1BDCC4FD" w:rsidR="00820FAE" w:rsidRPr="00E40EB9" w:rsidRDefault="00820FAE" w:rsidP="00280FAF">
      <w:pPr>
        <w:pStyle w:val="CETBodytext"/>
        <w:jc w:val="left"/>
        <w:rPr>
          <w:rFonts w:eastAsia="SimSun"/>
          <w:lang w:val="pt-BR"/>
        </w:rPr>
      </w:pPr>
      <w:r w:rsidRPr="00E40EB9">
        <w:rPr>
          <w:rFonts w:eastAsia="SimSun"/>
          <w:lang w:val="pt-BR"/>
        </w:rPr>
        <w:t xml:space="preserve">C – </w:t>
      </w:r>
      <w:r w:rsidR="00E40EB9">
        <w:rPr>
          <w:rFonts w:eastAsia="SimSun"/>
          <w:lang w:val="pt-BR"/>
        </w:rPr>
        <w:t>C</w:t>
      </w:r>
      <w:r w:rsidR="00E40EB9" w:rsidRPr="00E40EB9">
        <w:rPr>
          <w:rFonts w:eastAsia="SimSun"/>
          <w:lang w:val="pt-BR"/>
        </w:rPr>
        <w:t>arbon</w:t>
      </w:r>
    </w:p>
    <w:p w14:paraId="2FF490BE" w14:textId="1AD07DE1" w:rsidR="00820FAE" w:rsidRPr="00E40EB9" w:rsidRDefault="00820FAE" w:rsidP="00280FAF">
      <w:pPr>
        <w:pStyle w:val="CETBodytext"/>
        <w:jc w:val="left"/>
        <w:rPr>
          <w:rFonts w:eastAsia="SimSun"/>
          <w:lang w:val="pt-BR"/>
        </w:rPr>
      </w:pPr>
      <w:r w:rsidRPr="00E40EB9">
        <w:rPr>
          <w:rFonts w:eastAsia="SimSun"/>
          <w:lang w:val="pt-BR"/>
        </w:rPr>
        <w:t xml:space="preserve">H – </w:t>
      </w:r>
      <w:proofErr w:type="spellStart"/>
      <w:r w:rsidR="00E40EB9">
        <w:rPr>
          <w:rFonts w:eastAsia="SimSun"/>
          <w:lang w:val="pt-BR"/>
        </w:rPr>
        <w:t>Hydrogen</w:t>
      </w:r>
      <w:proofErr w:type="spellEnd"/>
    </w:p>
    <w:p w14:paraId="6CB094C6" w14:textId="1C4D8DF7" w:rsidR="00820FAE" w:rsidRPr="00E40EB9" w:rsidRDefault="00820FAE" w:rsidP="00280FAF">
      <w:pPr>
        <w:pStyle w:val="CETBodytext"/>
        <w:jc w:val="left"/>
        <w:rPr>
          <w:rFonts w:eastAsia="SimSun"/>
          <w:lang w:val="pt-BR"/>
        </w:rPr>
      </w:pPr>
      <w:r w:rsidRPr="00E40EB9">
        <w:rPr>
          <w:rFonts w:eastAsia="SimSun"/>
          <w:lang w:val="pt-BR"/>
        </w:rPr>
        <w:t xml:space="preserve">N – </w:t>
      </w:r>
      <w:proofErr w:type="spellStart"/>
      <w:r w:rsidR="00E40EB9">
        <w:rPr>
          <w:rFonts w:eastAsia="SimSun"/>
          <w:lang w:val="pt-BR"/>
        </w:rPr>
        <w:t>N</w:t>
      </w:r>
      <w:r w:rsidR="00E40EB9" w:rsidRPr="00E40EB9">
        <w:rPr>
          <w:rFonts w:eastAsia="SimSun"/>
          <w:lang w:val="pt-BR"/>
        </w:rPr>
        <w:t>itrogen</w:t>
      </w:r>
      <w:proofErr w:type="spellEnd"/>
    </w:p>
    <w:p w14:paraId="38BFE636" w14:textId="3131B4D6" w:rsidR="00820FAE" w:rsidRPr="00E40EB9" w:rsidRDefault="00820FAE" w:rsidP="00280FAF">
      <w:pPr>
        <w:pStyle w:val="CETBodytext"/>
        <w:jc w:val="left"/>
        <w:rPr>
          <w:rFonts w:eastAsia="SimSun"/>
          <w:lang w:val="pt-BR"/>
        </w:rPr>
        <w:sectPr w:rsidR="00820FAE" w:rsidRPr="00E40EB9" w:rsidSect="008314D7">
          <w:type w:val="continuous"/>
          <w:pgSz w:w="11906" w:h="16838" w:code="9"/>
          <w:pgMar w:top="1701" w:right="1418" w:bottom="1701" w:left="1701" w:header="1701" w:footer="0" w:gutter="0"/>
          <w:cols w:num="2" w:space="708"/>
          <w:formProt w:val="0"/>
          <w:titlePg/>
          <w:docGrid w:linePitch="360"/>
        </w:sectPr>
      </w:pPr>
      <w:r w:rsidRPr="00E40EB9">
        <w:rPr>
          <w:rFonts w:eastAsia="SimSun"/>
          <w:lang w:val="pt-BR"/>
        </w:rPr>
        <w:t xml:space="preserve">S – </w:t>
      </w:r>
      <w:proofErr w:type="spellStart"/>
      <w:r w:rsidR="00E40EB9">
        <w:rPr>
          <w:rFonts w:eastAsia="SimSun"/>
          <w:lang w:val="pt-BR"/>
        </w:rPr>
        <w:t>S</w:t>
      </w:r>
      <w:r w:rsidR="00E40EB9" w:rsidRPr="00E40EB9">
        <w:rPr>
          <w:rFonts w:eastAsia="SimSun"/>
          <w:lang w:val="pt-BR"/>
        </w:rPr>
        <w:t>ul</w:t>
      </w:r>
      <w:r w:rsidR="00E40EB9">
        <w:rPr>
          <w:rFonts w:eastAsia="SimSun"/>
          <w:lang w:val="pt-BR"/>
        </w:rPr>
        <w:t>fur</w:t>
      </w:r>
      <w:proofErr w:type="spellEnd"/>
    </w:p>
    <w:p w14:paraId="459D05E6" w14:textId="77777777" w:rsidR="00600535" w:rsidRPr="00B57B36" w:rsidRDefault="00600535" w:rsidP="00600535">
      <w:pPr>
        <w:pStyle w:val="CETAcknowledgementstitle"/>
      </w:pPr>
      <w:r w:rsidRPr="00B57B36">
        <w:t>Acknowledgments</w:t>
      </w:r>
    </w:p>
    <w:p w14:paraId="33F8138F" w14:textId="7850E46E" w:rsidR="00600535" w:rsidRPr="00B57B36" w:rsidRDefault="009C6FBD" w:rsidP="00600535">
      <w:pPr>
        <w:pStyle w:val="CETBodytext"/>
        <w:rPr>
          <w:lang w:val="en-GB"/>
        </w:rPr>
      </w:pPr>
      <w:r w:rsidRPr="009C6FBD">
        <w:rPr>
          <w:lang w:val="en-GB"/>
        </w:rPr>
        <w:t>The authors would like to thank the State University of Campinas (UNICAMP), the Chemical Engineering School, the Coordination for the Improvement of Higher Education (CAPES) – Finance Code 001 and São Paulo Research Foundation (Grant #2024/04660-0) (FAPESP).</w:t>
      </w:r>
    </w:p>
    <w:p w14:paraId="3CA004D4" w14:textId="33D8689E" w:rsidR="00820FAE" w:rsidRDefault="00600535" w:rsidP="00FF6AFA">
      <w:pPr>
        <w:pStyle w:val="CETReference"/>
      </w:pPr>
      <w:r w:rsidRPr="00B57B36">
        <w:t>References</w:t>
      </w:r>
    </w:p>
    <w:p w14:paraId="660D4C2D" w14:textId="77777777" w:rsidR="00C055B0" w:rsidRDefault="00C055B0" w:rsidP="00820FAE">
      <w:pPr>
        <w:pStyle w:val="CETReferencetext"/>
      </w:pPr>
      <w:r w:rsidRPr="00C055B0">
        <w:t>Bridgwater A.V., 2012, Review of fast pyrolysis of biomass and product upgrading, Biomass and Bioenergy, 38, 68–94.</w:t>
      </w:r>
    </w:p>
    <w:p w14:paraId="6AA42891" w14:textId="77777777" w:rsidR="00C055B0" w:rsidRDefault="00C055B0" w:rsidP="00820FAE">
      <w:pPr>
        <w:pStyle w:val="CETReferencetext"/>
      </w:pPr>
      <w:r w:rsidRPr="00C055B0">
        <w:t xml:space="preserve">El-Sayed S.A., Mostafa M.E., 2014, Analysis of grain size statistic and particle size distribution of biomass powders, Waste and Biomass </w:t>
      </w:r>
      <w:proofErr w:type="spellStart"/>
      <w:r w:rsidRPr="00C055B0">
        <w:t>Valorization</w:t>
      </w:r>
      <w:proofErr w:type="spellEnd"/>
      <w:r w:rsidRPr="00C055B0">
        <w:t>, 5, 1005–1018.</w:t>
      </w:r>
    </w:p>
    <w:p w14:paraId="041993F4" w14:textId="31EDF3F0" w:rsidR="00C055B0" w:rsidRPr="00C055B0" w:rsidRDefault="00C055B0" w:rsidP="00820FAE">
      <w:pPr>
        <w:pStyle w:val="CETReferencetext"/>
        <w:rPr>
          <w:lang w:val="pt-BR"/>
        </w:rPr>
      </w:pPr>
      <w:r w:rsidRPr="00C055B0">
        <w:rPr>
          <w:lang w:val="pt-BR"/>
        </w:rPr>
        <w:t xml:space="preserve">Embrapa, </w:t>
      </w:r>
      <w:r>
        <w:rPr>
          <w:lang w:val="pt-BR"/>
        </w:rPr>
        <w:t>2022</w:t>
      </w:r>
      <w:r w:rsidRPr="00C055B0">
        <w:rPr>
          <w:lang w:val="pt-BR"/>
        </w:rPr>
        <w:t xml:space="preserve">, Cana, Embrapa &lt;embrapa.br/agencia-de-informacao-tecnologica/cultivos/cana/pos-producao/processamento-da-cana-de-acucar/outros-produtos&gt; </w:t>
      </w:r>
      <w:proofErr w:type="spellStart"/>
      <w:r w:rsidRPr="00C055B0">
        <w:rPr>
          <w:lang w:val="pt-BR"/>
        </w:rPr>
        <w:t>accessed</w:t>
      </w:r>
      <w:proofErr w:type="spellEnd"/>
      <w:r w:rsidRPr="00C055B0">
        <w:rPr>
          <w:lang w:val="pt-BR"/>
        </w:rPr>
        <w:t xml:space="preserve"> 06.02.2024.</w:t>
      </w:r>
    </w:p>
    <w:p w14:paraId="1B1D2223" w14:textId="77777777" w:rsidR="00C055B0" w:rsidRDefault="00C055B0" w:rsidP="00820FAE">
      <w:pPr>
        <w:pStyle w:val="CETReferencetext"/>
      </w:pPr>
      <w:proofErr w:type="spellStart"/>
      <w:r w:rsidRPr="00C055B0">
        <w:t>Fardhyanti</w:t>
      </w:r>
      <w:proofErr w:type="spellEnd"/>
      <w:r w:rsidRPr="00C055B0">
        <w:t xml:space="preserve"> D.S., Megawati, </w:t>
      </w:r>
      <w:proofErr w:type="spellStart"/>
      <w:r w:rsidRPr="00C055B0">
        <w:t>Chafidz</w:t>
      </w:r>
      <w:proofErr w:type="spellEnd"/>
      <w:r w:rsidRPr="00C055B0">
        <w:t xml:space="preserve"> A., </w:t>
      </w:r>
      <w:proofErr w:type="spellStart"/>
      <w:r w:rsidRPr="00C055B0">
        <w:t>Prasetlawan</w:t>
      </w:r>
      <w:proofErr w:type="spellEnd"/>
      <w:r w:rsidRPr="00C055B0">
        <w:t xml:space="preserve"> H., </w:t>
      </w:r>
      <w:proofErr w:type="spellStart"/>
      <w:r w:rsidRPr="00C055B0">
        <w:t>Raharjo</w:t>
      </w:r>
      <w:proofErr w:type="spellEnd"/>
      <w:r w:rsidRPr="00C055B0">
        <w:t xml:space="preserve"> P.T., </w:t>
      </w:r>
      <w:proofErr w:type="spellStart"/>
      <w:r w:rsidRPr="00C055B0">
        <w:t>Hablbah</w:t>
      </w:r>
      <w:proofErr w:type="spellEnd"/>
      <w:r w:rsidRPr="00C055B0">
        <w:t xml:space="preserve"> U., </w:t>
      </w:r>
      <w:proofErr w:type="spellStart"/>
      <w:r w:rsidRPr="00C055B0">
        <w:t>Abasaeed</w:t>
      </w:r>
      <w:proofErr w:type="spellEnd"/>
      <w:r w:rsidRPr="00C055B0">
        <w:t xml:space="preserve"> A.E., 2022, Production of bio-oil from sugarcane bagasse by fast pyrolysis and removal of phenolic compounds, Biomass Conversion and Biorefinery, 12, 1–11.</w:t>
      </w:r>
    </w:p>
    <w:p w14:paraId="1AB11305" w14:textId="10324234" w:rsidR="00C055B0" w:rsidRDefault="00C055B0" w:rsidP="00FF6AFA">
      <w:pPr>
        <w:pStyle w:val="CETReferencetext"/>
        <w:rPr>
          <w:lang w:val="pt-BR"/>
        </w:rPr>
      </w:pPr>
      <w:r w:rsidRPr="00C055B0">
        <w:rPr>
          <w:lang w:val="pt-BR"/>
        </w:rPr>
        <w:t xml:space="preserve">Fernandes M.C., 2024, </w:t>
      </w:r>
      <w:proofErr w:type="spellStart"/>
      <w:r w:rsidRPr="00C055B0">
        <w:rPr>
          <w:lang w:val="pt-BR"/>
        </w:rPr>
        <w:t>Evaluation</w:t>
      </w:r>
      <w:proofErr w:type="spellEnd"/>
      <w:r w:rsidRPr="00C055B0">
        <w:rPr>
          <w:lang w:val="pt-BR"/>
        </w:rPr>
        <w:t xml:space="preserve"> </w:t>
      </w:r>
      <w:proofErr w:type="spellStart"/>
      <w:r w:rsidRPr="00C055B0">
        <w:rPr>
          <w:lang w:val="pt-BR"/>
        </w:rPr>
        <w:t>of</w:t>
      </w:r>
      <w:proofErr w:type="spellEnd"/>
      <w:r w:rsidRPr="00C055B0">
        <w:rPr>
          <w:lang w:val="pt-BR"/>
        </w:rPr>
        <w:t xml:space="preserve"> </w:t>
      </w:r>
      <w:proofErr w:type="spellStart"/>
      <w:r w:rsidRPr="00C055B0">
        <w:rPr>
          <w:lang w:val="pt-BR"/>
        </w:rPr>
        <w:t>bio-oil</w:t>
      </w:r>
      <w:proofErr w:type="spellEnd"/>
      <w:r w:rsidRPr="00C055B0">
        <w:rPr>
          <w:lang w:val="pt-BR"/>
        </w:rPr>
        <w:t xml:space="preserve"> </w:t>
      </w:r>
      <w:proofErr w:type="spellStart"/>
      <w:r w:rsidRPr="00C055B0">
        <w:rPr>
          <w:lang w:val="pt-BR"/>
        </w:rPr>
        <w:t>and</w:t>
      </w:r>
      <w:proofErr w:type="spellEnd"/>
      <w:r w:rsidRPr="00C055B0">
        <w:rPr>
          <w:lang w:val="pt-BR"/>
        </w:rPr>
        <w:t xml:space="preserve"> </w:t>
      </w:r>
      <w:proofErr w:type="spellStart"/>
      <w:r w:rsidRPr="00C055B0">
        <w:rPr>
          <w:lang w:val="pt-BR"/>
        </w:rPr>
        <w:t>biochar</w:t>
      </w:r>
      <w:proofErr w:type="spellEnd"/>
      <w:r w:rsidRPr="00C055B0">
        <w:rPr>
          <w:lang w:val="pt-BR"/>
        </w:rPr>
        <w:t xml:space="preserve"> </w:t>
      </w:r>
      <w:proofErr w:type="spellStart"/>
      <w:r w:rsidRPr="00C055B0">
        <w:rPr>
          <w:lang w:val="pt-BR"/>
        </w:rPr>
        <w:t>production</w:t>
      </w:r>
      <w:proofErr w:type="spellEnd"/>
      <w:r w:rsidRPr="00C055B0">
        <w:rPr>
          <w:lang w:val="pt-BR"/>
        </w:rPr>
        <w:t xml:space="preserve"> </w:t>
      </w:r>
      <w:proofErr w:type="spellStart"/>
      <w:r w:rsidRPr="00C055B0">
        <w:rPr>
          <w:lang w:val="pt-BR"/>
        </w:rPr>
        <w:t>through</w:t>
      </w:r>
      <w:proofErr w:type="spellEnd"/>
      <w:r w:rsidRPr="00C055B0">
        <w:rPr>
          <w:lang w:val="pt-BR"/>
        </w:rPr>
        <w:t xml:space="preserve"> </w:t>
      </w:r>
      <w:proofErr w:type="spellStart"/>
      <w:r w:rsidRPr="00C055B0">
        <w:rPr>
          <w:lang w:val="pt-BR"/>
        </w:rPr>
        <w:t>pyrolysis</w:t>
      </w:r>
      <w:proofErr w:type="spellEnd"/>
      <w:r w:rsidRPr="00C055B0">
        <w:rPr>
          <w:lang w:val="pt-BR"/>
        </w:rPr>
        <w:t xml:space="preserve"> </w:t>
      </w:r>
      <w:proofErr w:type="spellStart"/>
      <w:r w:rsidRPr="00C055B0">
        <w:rPr>
          <w:lang w:val="pt-BR"/>
        </w:rPr>
        <w:t>of</w:t>
      </w:r>
      <w:proofErr w:type="spellEnd"/>
      <w:r w:rsidRPr="00C055B0">
        <w:rPr>
          <w:lang w:val="pt-BR"/>
        </w:rPr>
        <w:t xml:space="preserve"> </w:t>
      </w:r>
      <w:proofErr w:type="spellStart"/>
      <w:r w:rsidRPr="00C055B0">
        <w:rPr>
          <w:lang w:val="pt-BR"/>
        </w:rPr>
        <w:t>sugarcane</w:t>
      </w:r>
      <w:proofErr w:type="spellEnd"/>
      <w:r w:rsidRPr="00C055B0">
        <w:rPr>
          <w:lang w:val="pt-BR"/>
        </w:rPr>
        <w:t xml:space="preserve"> bagasse, </w:t>
      </w:r>
      <w:proofErr w:type="spellStart"/>
      <w:r w:rsidRPr="00C055B0">
        <w:rPr>
          <w:lang w:val="pt-BR"/>
        </w:rPr>
        <w:t>MSc</w:t>
      </w:r>
      <w:proofErr w:type="spellEnd"/>
      <w:r w:rsidRPr="00C055B0">
        <w:rPr>
          <w:lang w:val="pt-BR"/>
        </w:rPr>
        <w:t xml:space="preserve"> </w:t>
      </w:r>
      <w:proofErr w:type="spellStart"/>
      <w:r w:rsidRPr="00C055B0">
        <w:rPr>
          <w:lang w:val="pt-BR"/>
        </w:rPr>
        <w:t>Thesis</w:t>
      </w:r>
      <w:proofErr w:type="spellEnd"/>
      <w:r w:rsidRPr="00C055B0">
        <w:rPr>
          <w:lang w:val="pt-BR"/>
        </w:rPr>
        <w:t xml:space="preserve">, Universidade Estadual de Campinas, Campinas, </w:t>
      </w:r>
      <w:proofErr w:type="spellStart"/>
      <w:r w:rsidRPr="00C055B0">
        <w:rPr>
          <w:lang w:val="pt-BR"/>
        </w:rPr>
        <w:t>Brazil</w:t>
      </w:r>
      <w:proofErr w:type="spellEnd"/>
      <w:r w:rsidRPr="00C055B0">
        <w:rPr>
          <w:lang w:val="pt-BR"/>
        </w:rPr>
        <w:t xml:space="preserve"> &lt;repositorio.unicamp.br/Acervo/Detalhe/1500309&gt;.</w:t>
      </w:r>
    </w:p>
    <w:p w14:paraId="03825576" w14:textId="73227F55" w:rsidR="00FF6AFA" w:rsidRDefault="00FF6AFA" w:rsidP="00FF6AFA">
      <w:pPr>
        <w:pStyle w:val="CETReferencetext"/>
        <w:rPr>
          <w:lang w:val="pt-BR"/>
        </w:rPr>
      </w:pPr>
      <w:r w:rsidRPr="00FF6AFA">
        <w:rPr>
          <w:lang w:val="pt-BR"/>
        </w:rPr>
        <w:t xml:space="preserve">Fernandes M.C., Nascimento E.V., Figueiró C.G., Valença G.P., Franco T.T., 2024, </w:t>
      </w:r>
      <w:proofErr w:type="spellStart"/>
      <w:r w:rsidRPr="00FF6AFA">
        <w:rPr>
          <w:lang w:val="pt-BR"/>
        </w:rPr>
        <w:t>Evaluation</w:t>
      </w:r>
      <w:proofErr w:type="spellEnd"/>
      <w:r w:rsidRPr="00FF6AFA">
        <w:rPr>
          <w:lang w:val="pt-BR"/>
        </w:rPr>
        <w:t xml:space="preserve"> </w:t>
      </w:r>
      <w:proofErr w:type="spellStart"/>
      <w:r w:rsidRPr="00FF6AFA">
        <w:rPr>
          <w:lang w:val="pt-BR"/>
        </w:rPr>
        <w:t>of</w:t>
      </w:r>
      <w:proofErr w:type="spellEnd"/>
      <w:r w:rsidRPr="00FF6AFA">
        <w:rPr>
          <w:lang w:val="pt-BR"/>
        </w:rPr>
        <w:t xml:space="preserve"> </w:t>
      </w:r>
      <w:proofErr w:type="spellStart"/>
      <w:r w:rsidRPr="00FF6AFA">
        <w:rPr>
          <w:lang w:val="pt-BR"/>
        </w:rPr>
        <w:t>the</w:t>
      </w:r>
      <w:proofErr w:type="spellEnd"/>
      <w:r w:rsidRPr="00FF6AFA">
        <w:rPr>
          <w:lang w:val="pt-BR"/>
        </w:rPr>
        <w:t xml:space="preserve"> </w:t>
      </w:r>
      <w:proofErr w:type="spellStart"/>
      <w:r w:rsidRPr="00FF6AFA">
        <w:rPr>
          <w:lang w:val="pt-BR"/>
        </w:rPr>
        <w:t>potential</w:t>
      </w:r>
      <w:proofErr w:type="spellEnd"/>
      <w:r w:rsidRPr="00FF6AFA">
        <w:rPr>
          <w:lang w:val="pt-BR"/>
        </w:rPr>
        <w:t xml:space="preserve"> </w:t>
      </w:r>
      <w:proofErr w:type="spellStart"/>
      <w:r w:rsidRPr="00FF6AFA">
        <w:rPr>
          <w:lang w:val="pt-BR"/>
        </w:rPr>
        <w:t>of</w:t>
      </w:r>
      <w:proofErr w:type="spellEnd"/>
      <w:r w:rsidRPr="00FF6AFA">
        <w:rPr>
          <w:lang w:val="pt-BR"/>
        </w:rPr>
        <w:t xml:space="preserve"> </w:t>
      </w:r>
      <w:proofErr w:type="spellStart"/>
      <w:r w:rsidRPr="00FF6AFA">
        <w:rPr>
          <w:lang w:val="pt-BR"/>
        </w:rPr>
        <w:t>sugarcane</w:t>
      </w:r>
      <w:proofErr w:type="spellEnd"/>
      <w:r w:rsidRPr="00FF6AFA">
        <w:rPr>
          <w:lang w:val="pt-BR"/>
        </w:rPr>
        <w:t xml:space="preserve"> bagasse for </w:t>
      </w:r>
      <w:proofErr w:type="spellStart"/>
      <w:r w:rsidRPr="00FF6AFA">
        <w:rPr>
          <w:lang w:val="pt-BR"/>
        </w:rPr>
        <w:t>obtaining</w:t>
      </w:r>
      <w:proofErr w:type="spellEnd"/>
      <w:r w:rsidRPr="00FF6AFA">
        <w:rPr>
          <w:lang w:val="pt-BR"/>
        </w:rPr>
        <w:t xml:space="preserve"> </w:t>
      </w:r>
      <w:proofErr w:type="spellStart"/>
      <w:r w:rsidRPr="00FF6AFA">
        <w:rPr>
          <w:lang w:val="pt-BR"/>
        </w:rPr>
        <w:t>charcoal</w:t>
      </w:r>
      <w:proofErr w:type="spellEnd"/>
      <w:r w:rsidRPr="00FF6AFA">
        <w:rPr>
          <w:lang w:val="pt-BR"/>
        </w:rPr>
        <w:t xml:space="preserve">, </w:t>
      </w:r>
      <w:proofErr w:type="spellStart"/>
      <w:r w:rsidRPr="00FF6AFA">
        <w:rPr>
          <w:lang w:val="pt-BR"/>
        </w:rPr>
        <w:t>bio-oil</w:t>
      </w:r>
      <w:proofErr w:type="spellEnd"/>
      <w:r w:rsidRPr="00FF6AFA">
        <w:rPr>
          <w:lang w:val="pt-BR"/>
        </w:rPr>
        <w:t xml:space="preserve">, </w:t>
      </w:r>
      <w:proofErr w:type="spellStart"/>
      <w:r w:rsidRPr="00FF6AFA">
        <w:rPr>
          <w:lang w:val="pt-BR"/>
        </w:rPr>
        <w:t>and</w:t>
      </w:r>
      <w:proofErr w:type="spellEnd"/>
      <w:r w:rsidRPr="00FF6AFA">
        <w:rPr>
          <w:lang w:val="pt-BR"/>
        </w:rPr>
        <w:t xml:space="preserve"> </w:t>
      </w:r>
      <w:proofErr w:type="spellStart"/>
      <w:r w:rsidRPr="00FF6AFA">
        <w:rPr>
          <w:lang w:val="pt-BR"/>
        </w:rPr>
        <w:t>gas</w:t>
      </w:r>
      <w:proofErr w:type="spellEnd"/>
      <w:r w:rsidRPr="00FF6AFA">
        <w:rPr>
          <w:lang w:val="pt-BR"/>
        </w:rPr>
        <w:t xml:space="preserve"> </w:t>
      </w:r>
      <w:proofErr w:type="spellStart"/>
      <w:r w:rsidRPr="00FF6AFA">
        <w:rPr>
          <w:lang w:val="pt-BR"/>
        </w:rPr>
        <w:t>through</w:t>
      </w:r>
      <w:proofErr w:type="spellEnd"/>
      <w:r w:rsidRPr="00FF6AFA">
        <w:rPr>
          <w:lang w:val="pt-BR"/>
        </w:rPr>
        <w:t xml:space="preserve"> fast </w:t>
      </w:r>
      <w:proofErr w:type="spellStart"/>
      <w:r w:rsidRPr="00FF6AFA">
        <w:rPr>
          <w:lang w:val="pt-BR"/>
        </w:rPr>
        <w:t>pyrolysis</w:t>
      </w:r>
      <w:proofErr w:type="spellEnd"/>
      <w:r w:rsidRPr="00FF6AFA">
        <w:rPr>
          <w:lang w:val="pt-BR"/>
        </w:rPr>
        <w:t xml:space="preserve"> </w:t>
      </w:r>
      <w:proofErr w:type="spellStart"/>
      <w:r w:rsidRPr="00FF6AFA">
        <w:rPr>
          <w:lang w:val="pt-BR"/>
        </w:rPr>
        <w:t>process</w:t>
      </w:r>
      <w:proofErr w:type="spellEnd"/>
      <w:r w:rsidRPr="00FF6AFA">
        <w:rPr>
          <w:lang w:val="pt-BR"/>
        </w:rPr>
        <w:t xml:space="preserve"> </w:t>
      </w:r>
      <w:proofErr w:type="spellStart"/>
      <w:r w:rsidRPr="00FF6AFA">
        <w:rPr>
          <w:lang w:val="pt-BR"/>
        </w:rPr>
        <w:t>under</w:t>
      </w:r>
      <w:proofErr w:type="spellEnd"/>
      <w:r w:rsidRPr="00FF6AFA">
        <w:rPr>
          <w:lang w:val="pt-BR"/>
        </w:rPr>
        <w:t xml:space="preserve"> </w:t>
      </w:r>
      <w:proofErr w:type="spellStart"/>
      <w:r w:rsidRPr="00FF6AFA">
        <w:rPr>
          <w:lang w:val="pt-BR"/>
        </w:rPr>
        <w:t>different</w:t>
      </w:r>
      <w:proofErr w:type="spellEnd"/>
      <w:r w:rsidRPr="00FF6AFA">
        <w:rPr>
          <w:lang w:val="pt-BR"/>
        </w:rPr>
        <w:t xml:space="preserve"> </w:t>
      </w:r>
      <w:proofErr w:type="spellStart"/>
      <w:r w:rsidRPr="00FF6AFA">
        <w:rPr>
          <w:lang w:val="pt-BR"/>
        </w:rPr>
        <w:t>operational</w:t>
      </w:r>
      <w:proofErr w:type="spellEnd"/>
      <w:r w:rsidRPr="00FF6AFA">
        <w:rPr>
          <w:lang w:val="pt-BR"/>
        </w:rPr>
        <w:t xml:space="preserve"> </w:t>
      </w:r>
      <w:proofErr w:type="spellStart"/>
      <w:r w:rsidRPr="00FF6AFA">
        <w:rPr>
          <w:lang w:val="pt-BR"/>
        </w:rPr>
        <w:t>conditions</w:t>
      </w:r>
      <w:proofErr w:type="spellEnd"/>
      <w:r w:rsidRPr="00FF6AFA">
        <w:rPr>
          <w:lang w:val="pt-BR"/>
        </w:rPr>
        <w:t xml:space="preserve">, </w:t>
      </w:r>
      <w:proofErr w:type="spellStart"/>
      <w:r w:rsidRPr="00FF6AFA">
        <w:rPr>
          <w:lang w:val="pt-BR"/>
        </w:rPr>
        <w:t>Proceedings</w:t>
      </w:r>
      <w:proofErr w:type="spellEnd"/>
      <w:r w:rsidRPr="00FF6AFA">
        <w:rPr>
          <w:lang w:val="pt-BR"/>
        </w:rPr>
        <w:t xml:space="preserve"> </w:t>
      </w:r>
      <w:proofErr w:type="spellStart"/>
      <w:r w:rsidRPr="00FF6AFA">
        <w:rPr>
          <w:lang w:val="pt-BR"/>
        </w:rPr>
        <w:t>of</w:t>
      </w:r>
      <w:proofErr w:type="spellEnd"/>
      <w:r w:rsidRPr="00FF6AFA">
        <w:rPr>
          <w:lang w:val="pt-BR"/>
        </w:rPr>
        <w:t xml:space="preserve"> </w:t>
      </w:r>
      <w:proofErr w:type="spellStart"/>
      <w:r w:rsidRPr="00FF6AFA">
        <w:rPr>
          <w:lang w:val="pt-BR"/>
        </w:rPr>
        <w:t>the</w:t>
      </w:r>
      <w:proofErr w:type="spellEnd"/>
      <w:r w:rsidRPr="00FF6AFA">
        <w:rPr>
          <w:lang w:val="pt-BR"/>
        </w:rPr>
        <w:t xml:space="preserve"> I Congresso Brasileiro de Biotecnologia Industrial (COBBIND 2024), Florianópolis, </w:t>
      </w:r>
      <w:proofErr w:type="spellStart"/>
      <w:r w:rsidRPr="00FF6AFA">
        <w:rPr>
          <w:lang w:val="pt-BR"/>
        </w:rPr>
        <w:t>Brazil</w:t>
      </w:r>
      <w:proofErr w:type="spellEnd"/>
      <w:r w:rsidRPr="00FF6AFA">
        <w:rPr>
          <w:lang w:val="pt-BR"/>
        </w:rPr>
        <w:t xml:space="preserve">, </w:t>
      </w:r>
      <w:proofErr w:type="spellStart"/>
      <w:r w:rsidRPr="00FF6AFA">
        <w:rPr>
          <w:lang w:val="pt-BR"/>
        </w:rPr>
        <w:t>Paper</w:t>
      </w:r>
      <w:proofErr w:type="spellEnd"/>
      <w:r w:rsidRPr="00FF6AFA">
        <w:rPr>
          <w:lang w:val="pt-BR"/>
        </w:rPr>
        <w:t xml:space="preserve"> ID: 19359 &lt;attitudepromo.iweventos.com.br/evento/cobbind2024/trabalhosaprovados/naintegra/19359&gt;.</w:t>
      </w:r>
    </w:p>
    <w:p w14:paraId="4C028BD2" w14:textId="0D7BD3CC" w:rsidR="00FF6AFA" w:rsidRDefault="00FF6AFA" w:rsidP="00FF6AFA">
      <w:pPr>
        <w:pStyle w:val="CETReferencetext"/>
        <w:rPr>
          <w:lang w:val="en-US"/>
        </w:rPr>
      </w:pPr>
      <w:r w:rsidRPr="00FF6AFA">
        <w:rPr>
          <w:lang w:val="en-US"/>
        </w:rPr>
        <w:t xml:space="preserve">Fernandes M.C., Nascimento É.V., </w:t>
      </w:r>
      <w:proofErr w:type="spellStart"/>
      <w:r w:rsidRPr="00FF6AFA">
        <w:rPr>
          <w:lang w:val="en-US"/>
        </w:rPr>
        <w:t>Valença</w:t>
      </w:r>
      <w:proofErr w:type="spellEnd"/>
      <w:r w:rsidRPr="00FF6AFA">
        <w:rPr>
          <w:lang w:val="en-US"/>
        </w:rPr>
        <w:t xml:space="preserve"> G.P., Franco T.T., 2025, Sugarcane bagasse as a renewable energy source: Life cycle assessment, Proceedings of the 9th European Process Intensification Conference (EPIC 2025), Athens, Greece, 4–6 June 2025.</w:t>
      </w:r>
    </w:p>
    <w:p w14:paraId="6BD1F44C" w14:textId="6278EC95" w:rsidR="00FF6AFA" w:rsidRDefault="00FF6AFA" w:rsidP="00FF6AFA">
      <w:pPr>
        <w:pStyle w:val="CETReferencetext"/>
      </w:pPr>
      <w:r w:rsidRPr="00FF6AFA">
        <w:t xml:space="preserve">Montoya J.I., Valdés C., </w:t>
      </w:r>
      <w:proofErr w:type="spellStart"/>
      <w:r w:rsidRPr="00FF6AFA">
        <w:t>Chejne</w:t>
      </w:r>
      <w:proofErr w:type="spellEnd"/>
      <w:r w:rsidRPr="00FF6AFA">
        <w:t xml:space="preserve"> F., Gómez C.A., Blanco A., </w:t>
      </w:r>
      <w:proofErr w:type="spellStart"/>
      <w:r w:rsidRPr="00FF6AFA">
        <w:t>Marrugo</w:t>
      </w:r>
      <w:proofErr w:type="spellEnd"/>
      <w:r w:rsidRPr="00FF6AFA">
        <w:t xml:space="preserve"> G., Osorio J., Castilho E., </w:t>
      </w:r>
      <w:proofErr w:type="spellStart"/>
      <w:r w:rsidRPr="00FF6AFA">
        <w:t>Aristóbulo</w:t>
      </w:r>
      <w:proofErr w:type="spellEnd"/>
      <w:r w:rsidRPr="00FF6AFA">
        <w:t xml:space="preserve"> J., </w:t>
      </w:r>
      <w:proofErr w:type="spellStart"/>
      <w:r w:rsidRPr="00FF6AFA">
        <w:t>Acero</w:t>
      </w:r>
      <w:proofErr w:type="spellEnd"/>
      <w:r w:rsidRPr="00FF6AFA">
        <w:t xml:space="preserve"> J., 2015, Bio-oil production from Colombian bagasse by fast pyrolysis in a fluidized bed: An experimental study, Journal of Analytical and Applied Pyrolysis, 112, 379–387.</w:t>
      </w:r>
    </w:p>
    <w:p w14:paraId="30B03EA1" w14:textId="77777777" w:rsidR="00FF6AFA" w:rsidRDefault="00FF6AFA" w:rsidP="00820FAE">
      <w:pPr>
        <w:pStyle w:val="CETReferencetext"/>
        <w:rPr>
          <w:lang w:val="en-US"/>
        </w:rPr>
      </w:pPr>
      <w:proofErr w:type="spellStart"/>
      <w:r w:rsidRPr="00FF6AFA">
        <w:rPr>
          <w:lang w:val="en-US"/>
        </w:rPr>
        <w:t>Nachiluk</w:t>
      </w:r>
      <w:proofErr w:type="spellEnd"/>
      <w:r w:rsidRPr="00FF6AFA">
        <w:rPr>
          <w:lang w:val="en-US"/>
        </w:rPr>
        <w:t xml:space="preserve"> K., 2021, Increase in sugar production and exports mark the 2020/21 sugarcane harvest, </w:t>
      </w:r>
      <w:proofErr w:type="spellStart"/>
      <w:r w:rsidRPr="00FF6AFA">
        <w:rPr>
          <w:lang w:val="en-US"/>
        </w:rPr>
        <w:t>Análises</w:t>
      </w:r>
      <w:proofErr w:type="spellEnd"/>
      <w:r w:rsidRPr="00FF6AFA">
        <w:rPr>
          <w:lang w:val="en-US"/>
        </w:rPr>
        <w:t xml:space="preserve"> e </w:t>
      </w:r>
      <w:proofErr w:type="spellStart"/>
      <w:r w:rsidRPr="00FF6AFA">
        <w:rPr>
          <w:lang w:val="en-US"/>
        </w:rPr>
        <w:t>Indicadores</w:t>
      </w:r>
      <w:proofErr w:type="spellEnd"/>
      <w:r w:rsidRPr="00FF6AFA">
        <w:rPr>
          <w:lang w:val="en-US"/>
        </w:rPr>
        <w:t xml:space="preserve"> do </w:t>
      </w:r>
      <w:proofErr w:type="spellStart"/>
      <w:r w:rsidRPr="00FF6AFA">
        <w:rPr>
          <w:lang w:val="en-US"/>
        </w:rPr>
        <w:t>Agronegócio</w:t>
      </w:r>
      <w:proofErr w:type="spellEnd"/>
      <w:r w:rsidRPr="00FF6AFA">
        <w:rPr>
          <w:lang w:val="en-US"/>
        </w:rPr>
        <w:t>, 16, 1–5, São Paulo, Brazil &lt;iea.sp.gov.br/out/</w:t>
      </w:r>
      <w:proofErr w:type="spellStart"/>
      <w:r w:rsidRPr="00FF6AFA">
        <w:rPr>
          <w:lang w:val="en-US"/>
        </w:rPr>
        <w:t>TerTexto.php?codTexto</w:t>
      </w:r>
      <w:proofErr w:type="spellEnd"/>
      <w:r w:rsidRPr="00FF6AFA">
        <w:rPr>
          <w:lang w:val="en-US"/>
        </w:rPr>
        <w:t>=15925&gt; accessed 06.02.2024 (in Portuguese).</w:t>
      </w:r>
    </w:p>
    <w:p w14:paraId="766355C2" w14:textId="77777777" w:rsidR="00FF6AFA" w:rsidRDefault="00FF6AFA" w:rsidP="00FF6AFA">
      <w:pPr>
        <w:pStyle w:val="CETReferencetext"/>
        <w:rPr>
          <w:lang w:val="en-US"/>
        </w:rPr>
      </w:pPr>
      <w:r w:rsidRPr="00FF6AFA">
        <w:rPr>
          <w:lang w:val="en-US"/>
        </w:rPr>
        <w:t>Sohaib Q., Muhammad A., Younas M., 2017, Fast pyrolysis of sugarcane bagasse: Effect of pyrolysis conditions on final product distribution and properties, Energy Sources Part A: Recovery, Utilization, and Environmental Effects, 39, 184–190.</w:t>
      </w:r>
    </w:p>
    <w:p w14:paraId="5A00D15F" w14:textId="0697534D" w:rsidR="00FF6AFA" w:rsidRPr="00FF6AFA" w:rsidRDefault="00FF6AFA" w:rsidP="00FF6AFA">
      <w:pPr>
        <w:pStyle w:val="CETReferencetext"/>
        <w:rPr>
          <w:lang w:val="en-US"/>
        </w:rPr>
      </w:pPr>
      <w:r w:rsidRPr="00FF6AFA">
        <w:lastRenderedPageBreak/>
        <w:t xml:space="preserve">Toscano Miranda N., Motta I.L., </w:t>
      </w:r>
      <w:proofErr w:type="spellStart"/>
      <w:r w:rsidRPr="00FF6AFA">
        <w:t>Maciel</w:t>
      </w:r>
      <w:proofErr w:type="spellEnd"/>
      <w:r w:rsidRPr="00FF6AFA">
        <w:t xml:space="preserve"> Filho R., </w:t>
      </w:r>
      <w:proofErr w:type="spellStart"/>
      <w:r w:rsidRPr="00FF6AFA">
        <w:t>Maciel</w:t>
      </w:r>
      <w:proofErr w:type="spellEnd"/>
      <w:r w:rsidRPr="00FF6AFA">
        <w:t xml:space="preserve"> M.R.W., 2021, Sugarcane bagasse pyrolysis: A review of operating conditions and product properties, Renewable and Sustainable Energy Reviews, 149, 111394.</w:t>
      </w:r>
    </w:p>
    <w:p w14:paraId="00BA3D4F" w14:textId="683BA904" w:rsidR="00C52C3C" w:rsidRDefault="00FF6AFA" w:rsidP="00E65B91">
      <w:pPr>
        <w:pStyle w:val="CETReferencetext"/>
      </w:pPr>
      <w:r w:rsidRPr="00FF6AFA">
        <w:t>Varma A.K., Mondal P., 2017, Pyrolysis of sugarcane bagasse in semi batch reactor: Effects of process parameters on product yields and characterization of products, Industrial Crops and Products, 95, 704–717.</w:t>
      </w:r>
    </w:p>
    <w:p w14:paraId="03CEA04C" w14:textId="77777777" w:rsidR="00C52C3C" w:rsidRDefault="00C52C3C" w:rsidP="00E65B91">
      <w:pPr>
        <w:pStyle w:val="CETReferencetext"/>
      </w:pPr>
    </w:p>
    <w:p w14:paraId="28E8379D" w14:textId="77777777" w:rsidR="00C52C3C" w:rsidRDefault="00C52C3C" w:rsidP="00E65B91">
      <w:pPr>
        <w:pStyle w:val="CETReferencetext"/>
      </w:pPr>
    </w:p>
    <w:p w14:paraId="6FAA4342" w14:textId="77777777" w:rsidR="00C52C3C" w:rsidRDefault="00C52C3C" w:rsidP="00E65B91">
      <w:pPr>
        <w:pStyle w:val="CETReferencetext"/>
      </w:pPr>
    </w:p>
    <w:p w14:paraId="5A13856B" w14:textId="77777777"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7A82" w14:textId="77777777" w:rsidR="006D043D" w:rsidRDefault="006D043D" w:rsidP="004F5E36">
      <w:r>
        <w:separator/>
      </w:r>
    </w:p>
  </w:endnote>
  <w:endnote w:type="continuationSeparator" w:id="0">
    <w:p w14:paraId="557C1983" w14:textId="77777777" w:rsidR="006D043D" w:rsidRDefault="006D043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71D6" w14:textId="77777777" w:rsidR="006D043D" w:rsidRDefault="006D043D" w:rsidP="004F5E36">
      <w:r>
        <w:separator/>
      </w:r>
    </w:p>
  </w:footnote>
  <w:footnote w:type="continuationSeparator" w:id="0">
    <w:p w14:paraId="116201BD" w14:textId="77777777" w:rsidR="006D043D" w:rsidRDefault="006D043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5E808AF"/>
    <w:multiLevelType w:val="multilevel"/>
    <w:tmpl w:val="B368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2"/>
  </w:num>
  <w:num w:numId="14" w16cid:durableId="145903400">
    <w:abstractNumId w:val="19"/>
  </w:num>
  <w:num w:numId="15" w16cid:durableId="19162326">
    <w:abstractNumId w:val="21"/>
  </w:num>
  <w:num w:numId="16" w16cid:durableId="1977102699">
    <w:abstractNumId w:val="20"/>
  </w:num>
  <w:num w:numId="17" w16cid:durableId="860774865">
    <w:abstractNumId w:val="11"/>
  </w:num>
  <w:num w:numId="18" w16cid:durableId="313221457">
    <w:abstractNumId w:val="12"/>
    <w:lvlOverride w:ilvl="0">
      <w:startOverride w:val="1"/>
    </w:lvlOverride>
  </w:num>
  <w:num w:numId="19" w16cid:durableId="534971577">
    <w:abstractNumId w:val="17"/>
  </w:num>
  <w:num w:numId="20" w16cid:durableId="1150947773">
    <w:abstractNumId w:val="16"/>
  </w:num>
  <w:num w:numId="21" w16cid:durableId="124660497">
    <w:abstractNumId w:val="14"/>
  </w:num>
  <w:num w:numId="22" w16cid:durableId="2099861471">
    <w:abstractNumId w:val="13"/>
  </w:num>
  <w:num w:numId="23" w16cid:durableId="1010762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64E4"/>
    <w:rsid w:val="0003148D"/>
    <w:rsid w:val="00031EEC"/>
    <w:rsid w:val="00051566"/>
    <w:rsid w:val="000562A9"/>
    <w:rsid w:val="00062A9A"/>
    <w:rsid w:val="00065058"/>
    <w:rsid w:val="00086C39"/>
    <w:rsid w:val="000A03B2"/>
    <w:rsid w:val="000D0268"/>
    <w:rsid w:val="000D34BE"/>
    <w:rsid w:val="000E102F"/>
    <w:rsid w:val="000E36F1"/>
    <w:rsid w:val="000E3A73"/>
    <w:rsid w:val="000E414A"/>
    <w:rsid w:val="000E75FD"/>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60F"/>
    <w:rsid w:val="001C33F1"/>
    <w:rsid w:val="001C684B"/>
    <w:rsid w:val="001D0CFB"/>
    <w:rsid w:val="001D21AF"/>
    <w:rsid w:val="001D53FC"/>
    <w:rsid w:val="001D57C7"/>
    <w:rsid w:val="001F42A5"/>
    <w:rsid w:val="001F7B9D"/>
    <w:rsid w:val="00201C93"/>
    <w:rsid w:val="002224B4"/>
    <w:rsid w:val="00240B19"/>
    <w:rsid w:val="002447EF"/>
    <w:rsid w:val="00251550"/>
    <w:rsid w:val="00263B05"/>
    <w:rsid w:val="0027221A"/>
    <w:rsid w:val="00275B61"/>
    <w:rsid w:val="00280FAF"/>
    <w:rsid w:val="00282656"/>
    <w:rsid w:val="00296B83"/>
    <w:rsid w:val="002B4015"/>
    <w:rsid w:val="002B5C01"/>
    <w:rsid w:val="002B78CE"/>
    <w:rsid w:val="002C2FB6"/>
    <w:rsid w:val="002E5FA7"/>
    <w:rsid w:val="002F3309"/>
    <w:rsid w:val="003008CE"/>
    <w:rsid w:val="003009B7"/>
    <w:rsid w:val="00300E56"/>
    <w:rsid w:val="0030152C"/>
    <w:rsid w:val="0030469C"/>
    <w:rsid w:val="00321CA6"/>
    <w:rsid w:val="00323763"/>
    <w:rsid w:val="00323C5F"/>
    <w:rsid w:val="0032560F"/>
    <w:rsid w:val="00334C09"/>
    <w:rsid w:val="003723D4"/>
    <w:rsid w:val="00381905"/>
    <w:rsid w:val="00384CC8"/>
    <w:rsid w:val="003871FD"/>
    <w:rsid w:val="003879A6"/>
    <w:rsid w:val="003A1E30"/>
    <w:rsid w:val="003A2829"/>
    <w:rsid w:val="003A7D1C"/>
    <w:rsid w:val="003B304B"/>
    <w:rsid w:val="003B3146"/>
    <w:rsid w:val="003B4EA5"/>
    <w:rsid w:val="003D1E02"/>
    <w:rsid w:val="003F015E"/>
    <w:rsid w:val="00400414"/>
    <w:rsid w:val="0041446B"/>
    <w:rsid w:val="0044071E"/>
    <w:rsid w:val="0044329C"/>
    <w:rsid w:val="00453E24"/>
    <w:rsid w:val="004570DB"/>
    <w:rsid w:val="00457456"/>
    <w:rsid w:val="004577FE"/>
    <w:rsid w:val="00457B9C"/>
    <w:rsid w:val="0046164A"/>
    <w:rsid w:val="004628D2"/>
    <w:rsid w:val="00462DCD"/>
    <w:rsid w:val="004648AD"/>
    <w:rsid w:val="004703A9"/>
    <w:rsid w:val="004760DE"/>
    <w:rsid w:val="004763D7"/>
    <w:rsid w:val="00493EF4"/>
    <w:rsid w:val="004A004E"/>
    <w:rsid w:val="004A24CF"/>
    <w:rsid w:val="004A5E57"/>
    <w:rsid w:val="004C194F"/>
    <w:rsid w:val="004C3D1D"/>
    <w:rsid w:val="004C3D84"/>
    <w:rsid w:val="004C7913"/>
    <w:rsid w:val="004E4DD6"/>
    <w:rsid w:val="004F5E36"/>
    <w:rsid w:val="00507B47"/>
    <w:rsid w:val="00507BEF"/>
    <w:rsid w:val="00507CC9"/>
    <w:rsid w:val="005119A5"/>
    <w:rsid w:val="005216B6"/>
    <w:rsid w:val="005278B7"/>
    <w:rsid w:val="00532016"/>
    <w:rsid w:val="005346C8"/>
    <w:rsid w:val="00543E7D"/>
    <w:rsid w:val="00547A68"/>
    <w:rsid w:val="005531C9"/>
    <w:rsid w:val="00570C43"/>
    <w:rsid w:val="00592274"/>
    <w:rsid w:val="005B2110"/>
    <w:rsid w:val="005B61E6"/>
    <w:rsid w:val="005C77E1"/>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4888"/>
    <w:rsid w:val="006C2E45"/>
    <w:rsid w:val="006C359C"/>
    <w:rsid w:val="006C5579"/>
    <w:rsid w:val="006D043D"/>
    <w:rsid w:val="006D6E8B"/>
    <w:rsid w:val="006D7209"/>
    <w:rsid w:val="006E737D"/>
    <w:rsid w:val="00707DD1"/>
    <w:rsid w:val="00713973"/>
    <w:rsid w:val="00720A24"/>
    <w:rsid w:val="00732386"/>
    <w:rsid w:val="0073514D"/>
    <w:rsid w:val="007447F3"/>
    <w:rsid w:val="0075499F"/>
    <w:rsid w:val="00756E4E"/>
    <w:rsid w:val="007617CC"/>
    <w:rsid w:val="007661C8"/>
    <w:rsid w:val="0077098D"/>
    <w:rsid w:val="00785BF9"/>
    <w:rsid w:val="007931FA"/>
    <w:rsid w:val="007A4861"/>
    <w:rsid w:val="007A7BBA"/>
    <w:rsid w:val="007B0C50"/>
    <w:rsid w:val="007B48F9"/>
    <w:rsid w:val="007C1A43"/>
    <w:rsid w:val="007D0951"/>
    <w:rsid w:val="007F27C8"/>
    <w:rsid w:val="0080013E"/>
    <w:rsid w:val="00813288"/>
    <w:rsid w:val="008168FC"/>
    <w:rsid w:val="00820FAE"/>
    <w:rsid w:val="00830996"/>
    <w:rsid w:val="008314D7"/>
    <w:rsid w:val="008345F1"/>
    <w:rsid w:val="00865B07"/>
    <w:rsid w:val="008667EA"/>
    <w:rsid w:val="0087637F"/>
    <w:rsid w:val="00892AD5"/>
    <w:rsid w:val="008A1512"/>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C37C3"/>
    <w:rsid w:val="009C6FBD"/>
    <w:rsid w:val="009C7C86"/>
    <w:rsid w:val="009D2FF7"/>
    <w:rsid w:val="009E7884"/>
    <w:rsid w:val="009E788A"/>
    <w:rsid w:val="009F0E08"/>
    <w:rsid w:val="00A079AE"/>
    <w:rsid w:val="00A1763D"/>
    <w:rsid w:val="00A17CEC"/>
    <w:rsid w:val="00A26CBB"/>
    <w:rsid w:val="00A27EF0"/>
    <w:rsid w:val="00A42361"/>
    <w:rsid w:val="00A50B20"/>
    <w:rsid w:val="00A51390"/>
    <w:rsid w:val="00A60D13"/>
    <w:rsid w:val="00A7223D"/>
    <w:rsid w:val="00A72745"/>
    <w:rsid w:val="00A76EFC"/>
    <w:rsid w:val="00A87D50"/>
    <w:rsid w:val="00A91010"/>
    <w:rsid w:val="00A97F29"/>
    <w:rsid w:val="00AA702E"/>
    <w:rsid w:val="00AA7D26"/>
    <w:rsid w:val="00AB0964"/>
    <w:rsid w:val="00AB5011"/>
    <w:rsid w:val="00AC7368"/>
    <w:rsid w:val="00AD0278"/>
    <w:rsid w:val="00AD16B9"/>
    <w:rsid w:val="00AE377D"/>
    <w:rsid w:val="00AF0069"/>
    <w:rsid w:val="00AF0EBA"/>
    <w:rsid w:val="00B02C8A"/>
    <w:rsid w:val="00B04627"/>
    <w:rsid w:val="00B17FBD"/>
    <w:rsid w:val="00B315A6"/>
    <w:rsid w:val="00B31813"/>
    <w:rsid w:val="00B33365"/>
    <w:rsid w:val="00B526A3"/>
    <w:rsid w:val="00B57B36"/>
    <w:rsid w:val="00B57E6F"/>
    <w:rsid w:val="00B8686D"/>
    <w:rsid w:val="00B93F69"/>
    <w:rsid w:val="00BB1DDC"/>
    <w:rsid w:val="00BC30C9"/>
    <w:rsid w:val="00BC7FF5"/>
    <w:rsid w:val="00BD077D"/>
    <w:rsid w:val="00BE3E58"/>
    <w:rsid w:val="00C01616"/>
    <w:rsid w:val="00C0162B"/>
    <w:rsid w:val="00C055B0"/>
    <w:rsid w:val="00C068ED"/>
    <w:rsid w:val="00C208E9"/>
    <w:rsid w:val="00C22E0C"/>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46B7E"/>
    <w:rsid w:val="00D54973"/>
    <w:rsid w:val="00D57C84"/>
    <w:rsid w:val="00D6057D"/>
    <w:rsid w:val="00D663D4"/>
    <w:rsid w:val="00D71640"/>
    <w:rsid w:val="00D836C5"/>
    <w:rsid w:val="00D84576"/>
    <w:rsid w:val="00D91F61"/>
    <w:rsid w:val="00DA1399"/>
    <w:rsid w:val="00DA24C6"/>
    <w:rsid w:val="00DA4D7B"/>
    <w:rsid w:val="00DD271C"/>
    <w:rsid w:val="00DE264A"/>
    <w:rsid w:val="00DF5072"/>
    <w:rsid w:val="00DF677B"/>
    <w:rsid w:val="00E02D18"/>
    <w:rsid w:val="00E041E7"/>
    <w:rsid w:val="00E23CA1"/>
    <w:rsid w:val="00E409A8"/>
    <w:rsid w:val="00E40EB9"/>
    <w:rsid w:val="00E47D61"/>
    <w:rsid w:val="00E50C12"/>
    <w:rsid w:val="00E65B91"/>
    <w:rsid w:val="00E7209D"/>
    <w:rsid w:val="00E72EAD"/>
    <w:rsid w:val="00E77223"/>
    <w:rsid w:val="00E8528B"/>
    <w:rsid w:val="00E85B94"/>
    <w:rsid w:val="00E978D0"/>
    <w:rsid w:val="00EA3EF9"/>
    <w:rsid w:val="00EA4613"/>
    <w:rsid w:val="00EA7F91"/>
    <w:rsid w:val="00EB1523"/>
    <w:rsid w:val="00EC0E49"/>
    <w:rsid w:val="00EC101F"/>
    <w:rsid w:val="00EC1D9F"/>
    <w:rsid w:val="00EE0131"/>
    <w:rsid w:val="00EE17B0"/>
    <w:rsid w:val="00EE434A"/>
    <w:rsid w:val="00EF06D9"/>
    <w:rsid w:val="00EF0982"/>
    <w:rsid w:val="00F126A5"/>
    <w:rsid w:val="00F24266"/>
    <w:rsid w:val="00F3049E"/>
    <w:rsid w:val="00F30C64"/>
    <w:rsid w:val="00F32BA2"/>
    <w:rsid w:val="00F32CDB"/>
    <w:rsid w:val="00F3348F"/>
    <w:rsid w:val="00F37280"/>
    <w:rsid w:val="00F41EE4"/>
    <w:rsid w:val="00F565FE"/>
    <w:rsid w:val="00F63A70"/>
    <w:rsid w:val="00F63D8C"/>
    <w:rsid w:val="00F7534E"/>
    <w:rsid w:val="00F93EDF"/>
    <w:rsid w:val="00FA1802"/>
    <w:rsid w:val="00FA21D0"/>
    <w:rsid w:val="00FA5F5F"/>
    <w:rsid w:val="00FB730C"/>
    <w:rsid w:val="00FC2695"/>
    <w:rsid w:val="00FC3E03"/>
    <w:rsid w:val="00FC3FC1"/>
    <w:rsid w:val="00FF6AF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MenoPendente">
    <w:name w:val="Unresolved Mention"/>
    <w:basedOn w:val="Fontepargpadro"/>
    <w:uiPriority w:val="99"/>
    <w:semiHidden/>
    <w:unhideWhenUsed/>
    <w:rsid w:val="00B52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92732685">
      <w:bodyDiv w:val="1"/>
      <w:marLeft w:val="0"/>
      <w:marRight w:val="0"/>
      <w:marTop w:val="0"/>
      <w:marBottom w:val="0"/>
      <w:divBdr>
        <w:top w:val="none" w:sz="0" w:space="0" w:color="auto"/>
        <w:left w:val="none" w:sz="0" w:space="0" w:color="auto"/>
        <w:bottom w:val="none" w:sz="0" w:space="0" w:color="auto"/>
        <w:right w:val="none" w:sz="0" w:space="0" w:color="auto"/>
      </w:divBdr>
      <w:divsChild>
        <w:div w:id="196889444">
          <w:marLeft w:val="0"/>
          <w:marRight w:val="0"/>
          <w:marTop w:val="0"/>
          <w:marBottom w:val="0"/>
          <w:divBdr>
            <w:top w:val="none" w:sz="0" w:space="0" w:color="auto"/>
            <w:left w:val="none" w:sz="0" w:space="0" w:color="auto"/>
            <w:bottom w:val="none" w:sz="0" w:space="0" w:color="auto"/>
            <w:right w:val="none" w:sz="0" w:space="0" w:color="auto"/>
          </w:divBdr>
          <w:divsChild>
            <w:div w:id="1605651658">
              <w:marLeft w:val="0"/>
              <w:marRight w:val="0"/>
              <w:marTop w:val="0"/>
              <w:marBottom w:val="0"/>
              <w:divBdr>
                <w:top w:val="none" w:sz="0" w:space="0" w:color="auto"/>
                <w:left w:val="none" w:sz="0" w:space="0" w:color="auto"/>
                <w:bottom w:val="none" w:sz="0" w:space="0" w:color="auto"/>
                <w:right w:val="none" w:sz="0" w:space="0" w:color="auto"/>
              </w:divBdr>
              <w:divsChild>
                <w:div w:id="2066222720">
                  <w:marLeft w:val="0"/>
                  <w:marRight w:val="0"/>
                  <w:marTop w:val="0"/>
                  <w:marBottom w:val="0"/>
                  <w:divBdr>
                    <w:top w:val="none" w:sz="0" w:space="0" w:color="auto"/>
                    <w:left w:val="none" w:sz="0" w:space="0" w:color="auto"/>
                    <w:bottom w:val="none" w:sz="0" w:space="0" w:color="auto"/>
                    <w:right w:val="none" w:sz="0" w:space="0" w:color="auto"/>
                  </w:divBdr>
                  <w:divsChild>
                    <w:div w:id="471020367">
                      <w:marLeft w:val="0"/>
                      <w:marRight w:val="0"/>
                      <w:marTop w:val="0"/>
                      <w:marBottom w:val="0"/>
                      <w:divBdr>
                        <w:top w:val="none" w:sz="0" w:space="0" w:color="auto"/>
                        <w:left w:val="none" w:sz="0" w:space="0" w:color="auto"/>
                        <w:bottom w:val="none" w:sz="0" w:space="0" w:color="auto"/>
                        <w:right w:val="none" w:sz="0" w:space="0" w:color="auto"/>
                      </w:divBdr>
                      <w:divsChild>
                        <w:div w:id="662199106">
                          <w:marLeft w:val="0"/>
                          <w:marRight w:val="0"/>
                          <w:marTop w:val="0"/>
                          <w:marBottom w:val="0"/>
                          <w:divBdr>
                            <w:top w:val="none" w:sz="0" w:space="0" w:color="auto"/>
                            <w:left w:val="none" w:sz="0" w:space="0" w:color="auto"/>
                            <w:bottom w:val="none" w:sz="0" w:space="0" w:color="auto"/>
                            <w:right w:val="none" w:sz="0" w:space="0" w:color="auto"/>
                          </w:divBdr>
                          <w:divsChild>
                            <w:div w:id="10132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3217">
      <w:bodyDiv w:val="1"/>
      <w:marLeft w:val="0"/>
      <w:marRight w:val="0"/>
      <w:marTop w:val="0"/>
      <w:marBottom w:val="0"/>
      <w:divBdr>
        <w:top w:val="none" w:sz="0" w:space="0" w:color="auto"/>
        <w:left w:val="none" w:sz="0" w:space="0" w:color="auto"/>
        <w:bottom w:val="none" w:sz="0" w:space="0" w:color="auto"/>
        <w:right w:val="none" w:sz="0" w:space="0" w:color="auto"/>
      </w:divBdr>
      <w:divsChild>
        <w:div w:id="920917597">
          <w:marLeft w:val="0"/>
          <w:marRight w:val="0"/>
          <w:marTop w:val="0"/>
          <w:marBottom w:val="0"/>
          <w:divBdr>
            <w:top w:val="none" w:sz="0" w:space="0" w:color="auto"/>
            <w:left w:val="none" w:sz="0" w:space="0" w:color="auto"/>
            <w:bottom w:val="none" w:sz="0" w:space="0" w:color="auto"/>
            <w:right w:val="none" w:sz="0" w:space="0" w:color="auto"/>
          </w:divBdr>
          <w:divsChild>
            <w:div w:id="1453943353">
              <w:marLeft w:val="0"/>
              <w:marRight w:val="0"/>
              <w:marTop w:val="0"/>
              <w:marBottom w:val="0"/>
              <w:divBdr>
                <w:top w:val="none" w:sz="0" w:space="0" w:color="auto"/>
                <w:left w:val="none" w:sz="0" w:space="0" w:color="auto"/>
                <w:bottom w:val="none" w:sz="0" w:space="0" w:color="auto"/>
                <w:right w:val="none" w:sz="0" w:space="0" w:color="auto"/>
              </w:divBdr>
              <w:divsChild>
                <w:div w:id="615677499">
                  <w:marLeft w:val="0"/>
                  <w:marRight w:val="0"/>
                  <w:marTop w:val="0"/>
                  <w:marBottom w:val="0"/>
                  <w:divBdr>
                    <w:top w:val="none" w:sz="0" w:space="0" w:color="auto"/>
                    <w:left w:val="none" w:sz="0" w:space="0" w:color="auto"/>
                    <w:bottom w:val="none" w:sz="0" w:space="0" w:color="auto"/>
                    <w:right w:val="none" w:sz="0" w:space="0" w:color="auto"/>
                  </w:divBdr>
                  <w:divsChild>
                    <w:div w:id="1675840615">
                      <w:marLeft w:val="0"/>
                      <w:marRight w:val="0"/>
                      <w:marTop w:val="0"/>
                      <w:marBottom w:val="0"/>
                      <w:divBdr>
                        <w:top w:val="none" w:sz="0" w:space="0" w:color="auto"/>
                        <w:left w:val="none" w:sz="0" w:space="0" w:color="auto"/>
                        <w:bottom w:val="none" w:sz="0" w:space="0" w:color="auto"/>
                        <w:right w:val="none" w:sz="0" w:space="0" w:color="auto"/>
                      </w:divBdr>
                      <w:divsChild>
                        <w:div w:id="775564921">
                          <w:marLeft w:val="0"/>
                          <w:marRight w:val="0"/>
                          <w:marTop w:val="0"/>
                          <w:marBottom w:val="0"/>
                          <w:divBdr>
                            <w:top w:val="none" w:sz="0" w:space="0" w:color="auto"/>
                            <w:left w:val="none" w:sz="0" w:space="0" w:color="auto"/>
                            <w:bottom w:val="none" w:sz="0" w:space="0" w:color="auto"/>
                            <w:right w:val="none" w:sz="0" w:space="0" w:color="auto"/>
                          </w:divBdr>
                          <w:divsChild>
                            <w:div w:id="240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2808</Words>
  <Characters>15169</Characters>
  <Application>Microsoft Office Word</Application>
  <DocSecurity>0</DocSecurity>
  <Lines>126</Lines>
  <Paragraphs>35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Usuário</cp:lastModifiedBy>
  <cp:revision>12</cp:revision>
  <cp:lastPrinted>2015-05-12T18:31:00Z</cp:lastPrinted>
  <dcterms:created xsi:type="dcterms:W3CDTF">2026-04-03T00:40:00Z</dcterms:created>
  <dcterms:modified xsi:type="dcterms:W3CDTF">2026-04-03T03:53:00Z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197bb4b0-6861-4b4d-bf9d-32b70980ce61</vt:lpwstr>
  </property>
</Properties>
</file>