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0C5A61" w14:paraId="2A131A54" w14:textId="77777777" w:rsidTr="00DE264A">
        <w:trPr>
          <w:trHeight w:val="852"/>
          <w:jc w:val="center"/>
        </w:trPr>
        <w:tc>
          <w:tcPr>
            <w:tcW w:w="6946" w:type="dxa"/>
            <w:vMerge w:val="restart"/>
            <w:tcBorders>
              <w:right w:val="single" w:sz="4" w:space="0" w:color="auto"/>
            </w:tcBorders>
          </w:tcPr>
          <w:p w14:paraId="38C3D2BA" w14:textId="77777777" w:rsidR="000A03B2" w:rsidRPr="000C5A61" w:rsidRDefault="000A03B2" w:rsidP="00DE264A">
            <w:pPr>
              <w:tabs>
                <w:tab w:val="left" w:pos="-108"/>
              </w:tabs>
              <w:ind w:left="-108"/>
              <w:jc w:val="left"/>
              <w:rPr>
                <w:rFonts w:cs="Arial"/>
                <w:b/>
                <w:bCs/>
                <w:i/>
                <w:iCs/>
                <w:color w:val="000066"/>
                <w:sz w:val="12"/>
                <w:szCs w:val="12"/>
                <w:lang w:eastAsia="it-IT"/>
              </w:rPr>
            </w:pPr>
            <w:bookmarkStart w:id="0" w:name="_Hlk145068772"/>
            <w:r w:rsidRPr="000C5A61">
              <w:rPr>
                <w:rFonts w:ascii="AdvP6960" w:hAnsi="AdvP6960" w:cs="AdvP6960"/>
                <w:noProof/>
                <w:color w:val="241F20"/>
                <w:szCs w:val="18"/>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0C5A61">
              <w:rPr>
                <w:rFonts w:ascii="AdvP6960" w:hAnsi="AdvP6960" w:cs="AdvP6960"/>
                <w:color w:val="241F20"/>
                <w:szCs w:val="18"/>
                <w:lang w:eastAsia="it-IT"/>
              </w:rPr>
              <w:t xml:space="preserve"> </w:t>
            </w:r>
            <w:r w:rsidRPr="000C5A61">
              <w:rPr>
                <w:rFonts w:cs="Arial"/>
                <w:b/>
                <w:bCs/>
                <w:i/>
                <w:iCs/>
                <w:color w:val="000066"/>
                <w:sz w:val="24"/>
                <w:szCs w:val="24"/>
                <w:lang w:eastAsia="it-IT"/>
              </w:rPr>
              <w:t>CHEMICAL ENGINEERING</w:t>
            </w:r>
            <w:r w:rsidRPr="000C5A61">
              <w:rPr>
                <w:rFonts w:cs="Arial"/>
                <w:b/>
                <w:bCs/>
                <w:i/>
                <w:iCs/>
                <w:color w:val="0033FF"/>
                <w:sz w:val="24"/>
                <w:szCs w:val="24"/>
                <w:lang w:eastAsia="it-IT"/>
              </w:rPr>
              <w:t xml:space="preserve"> </w:t>
            </w:r>
            <w:r w:rsidRPr="000C5A61">
              <w:rPr>
                <w:rFonts w:cs="Arial"/>
                <w:b/>
                <w:bCs/>
                <w:i/>
                <w:iCs/>
                <w:color w:val="666666"/>
                <w:sz w:val="24"/>
                <w:szCs w:val="24"/>
                <w:lang w:eastAsia="it-IT"/>
              </w:rPr>
              <w:t>TRANSACTIONS</w:t>
            </w:r>
            <w:r w:rsidRPr="000C5A61">
              <w:rPr>
                <w:color w:val="333333"/>
                <w:sz w:val="24"/>
                <w:szCs w:val="24"/>
                <w:lang w:eastAsia="it-IT"/>
              </w:rPr>
              <w:t xml:space="preserve"> </w:t>
            </w:r>
            <w:r w:rsidRPr="000C5A61">
              <w:rPr>
                <w:rFonts w:cs="Arial"/>
                <w:b/>
                <w:bCs/>
                <w:i/>
                <w:iCs/>
                <w:color w:val="000066"/>
                <w:sz w:val="27"/>
                <w:szCs w:val="27"/>
                <w:lang w:eastAsia="it-IT"/>
              </w:rPr>
              <w:br/>
            </w:r>
          </w:p>
          <w:p w14:paraId="4B780582" w14:textId="753620B8" w:rsidR="000A03B2" w:rsidRPr="000C5A61" w:rsidRDefault="00A76EFC" w:rsidP="001D21AF">
            <w:pPr>
              <w:tabs>
                <w:tab w:val="left" w:pos="-108"/>
              </w:tabs>
              <w:ind w:left="-108"/>
              <w:rPr>
                <w:rFonts w:cs="Arial"/>
                <w:b/>
                <w:bCs/>
                <w:i/>
                <w:iCs/>
                <w:color w:val="000066"/>
                <w:sz w:val="22"/>
                <w:szCs w:val="22"/>
                <w:lang w:eastAsia="it-IT"/>
              </w:rPr>
            </w:pPr>
            <w:r w:rsidRPr="000C5A61">
              <w:rPr>
                <w:rFonts w:cs="Arial"/>
                <w:b/>
                <w:bCs/>
                <w:i/>
                <w:iCs/>
                <w:color w:val="000066"/>
                <w:sz w:val="22"/>
                <w:szCs w:val="22"/>
                <w:lang w:eastAsia="it-IT"/>
              </w:rPr>
              <w:t>VOL.</w:t>
            </w:r>
            <w:r w:rsidR="00785BF9" w:rsidRPr="000C5A61">
              <w:rPr>
                <w:rFonts w:cs="Arial"/>
                <w:b/>
                <w:bCs/>
                <w:i/>
                <w:iCs/>
                <w:color w:val="000066"/>
                <w:sz w:val="22"/>
                <w:szCs w:val="22"/>
                <w:lang w:eastAsia="it-IT"/>
              </w:rPr>
              <w:t xml:space="preserve"> </w:t>
            </w:r>
            <w:r w:rsidR="00AD0278" w:rsidRPr="000C5A61">
              <w:rPr>
                <w:rFonts w:cs="Arial"/>
                <w:b/>
                <w:bCs/>
                <w:i/>
                <w:iCs/>
                <w:color w:val="000066"/>
                <w:sz w:val="22"/>
                <w:szCs w:val="22"/>
                <w:lang w:eastAsia="it-IT"/>
              </w:rPr>
              <w:t>xxx</w:t>
            </w:r>
            <w:r w:rsidR="007B48F9" w:rsidRPr="000C5A61">
              <w:rPr>
                <w:rFonts w:cs="Arial"/>
                <w:b/>
                <w:bCs/>
                <w:i/>
                <w:iCs/>
                <w:color w:val="000066"/>
                <w:sz w:val="22"/>
                <w:szCs w:val="22"/>
                <w:lang w:eastAsia="it-IT"/>
              </w:rPr>
              <w:t>,</w:t>
            </w:r>
            <w:r w:rsidR="00FA5F5F" w:rsidRPr="000C5A61">
              <w:rPr>
                <w:rFonts w:cs="Arial"/>
                <w:b/>
                <w:bCs/>
                <w:i/>
                <w:iCs/>
                <w:color w:val="000066"/>
                <w:sz w:val="22"/>
                <w:szCs w:val="22"/>
                <w:lang w:eastAsia="it-IT"/>
              </w:rPr>
              <w:t xml:space="preserve"> </w:t>
            </w:r>
            <w:r w:rsidR="0030152C" w:rsidRPr="000C5A61">
              <w:rPr>
                <w:rFonts w:cs="Arial"/>
                <w:b/>
                <w:bCs/>
                <w:i/>
                <w:iCs/>
                <w:color w:val="000066"/>
                <w:sz w:val="22"/>
                <w:szCs w:val="22"/>
                <w:lang w:eastAsia="it-IT"/>
              </w:rPr>
              <w:t>202</w:t>
            </w:r>
            <w:r w:rsidR="00AD0278" w:rsidRPr="000C5A61">
              <w:rPr>
                <w:rFonts w:cs="Arial"/>
                <w:b/>
                <w:bCs/>
                <w:i/>
                <w:iCs/>
                <w:color w:val="000066"/>
                <w:sz w:val="22"/>
                <w:szCs w:val="22"/>
                <w:lang w:eastAsia="it-IT"/>
              </w:rPr>
              <w:t>6</w:t>
            </w:r>
          </w:p>
        </w:tc>
        <w:tc>
          <w:tcPr>
            <w:tcW w:w="1843" w:type="dxa"/>
            <w:tcBorders>
              <w:left w:val="single" w:sz="4" w:space="0" w:color="auto"/>
              <w:bottom w:val="nil"/>
              <w:right w:val="single" w:sz="4" w:space="0" w:color="auto"/>
            </w:tcBorders>
          </w:tcPr>
          <w:p w14:paraId="56782132" w14:textId="77777777" w:rsidR="000A03B2" w:rsidRPr="000C5A61" w:rsidRDefault="000A03B2" w:rsidP="00CD5FE2">
            <w:pPr>
              <w:spacing w:line="140" w:lineRule="atLeast"/>
              <w:jc w:val="right"/>
              <w:rPr>
                <w:rFonts w:cs="Arial"/>
                <w:sz w:val="14"/>
                <w:szCs w:val="14"/>
              </w:rPr>
            </w:pPr>
            <w:r w:rsidRPr="000C5A61">
              <w:rPr>
                <w:rFonts w:cs="Arial"/>
                <w:sz w:val="14"/>
                <w:szCs w:val="14"/>
              </w:rPr>
              <w:t>A publication of</w:t>
            </w:r>
          </w:p>
          <w:p w14:paraId="599E5441" w14:textId="77777777" w:rsidR="000A03B2" w:rsidRPr="000C5A61" w:rsidRDefault="000A03B2" w:rsidP="00CD5FE2">
            <w:pPr>
              <w:jc w:val="right"/>
            </w:pPr>
            <w:r w:rsidRPr="000C5A61">
              <w:rPr>
                <w:noProof/>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0C5A61" w14:paraId="380FA3CD" w14:textId="77777777" w:rsidTr="00DE264A">
        <w:trPr>
          <w:trHeight w:val="567"/>
          <w:jc w:val="center"/>
        </w:trPr>
        <w:tc>
          <w:tcPr>
            <w:tcW w:w="6946" w:type="dxa"/>
            <w:vMerge/>
            <w:tcBorders>
              <w:right w:val="single" w:sz="4" w:space="0" w:color="auto"/>
            </w:tcBorders>
          </w:tcPr>
          <w:p w14:paraId="39E5E4C1" w14:textId="77777777" w:rsidR="000A03B2" w:rsidRPr="000C5A61" w:rsidRDefault="000A03B2" w:rsidP="00CD5FE2">
            <w:pPr>
              <w:tabs>
                <w:tab w:val="left" w:pos="-108"/>
              </w:tabs>
            </w:pPr>
          </w:p>
        </w:tc>
        <w:tc>
          <w:tcPr>
            <w:tcW w:w="1843" w:type="dxa"/>
            <w:tcBorders>
              <w:left w:val="single" w:sz="4" w:space="0" w:color="auto"/>
              <w:bottom w:val="nil"/>
              <w:right w:val="single" w:sz="4" w:space="0" w:color="auto"/>
            </w:tcBorders>
          </w:tcPr>
          <w:p w14:paraId="43858A98" w14:textId="77777777" w:rsidR="000A03B2" w:rsidRPr="000C5A61" w:rsidRDefault="000A03B2" w:rsidP="00CD5FE2">
            <w:pPr>
              <w:spacing w:line="140" w:lineRule="atLeast"/>
              <w:jc w:val="right"/>
              <w:rPr>
                <w:rFonts w:cs="Arial"/>
                <w:sz w:val="14"/>
                <w:szCs w:val="14"/>
              </w:rPr>
            </w:pPr>
            <w:r w:rsidRPr="000C5A61">
              <w:rPr>
                <w:rFonts w:cs="Arial"/>
                <w:sz w:val="14"/>
                <w:szCs w:val="14"/>
              </w:rPr>
              <w:t>The Italian Association</w:t>
            </w:r>
          </w:p>
          <w:p w14:paraId="7522B1D2" w14:textId="77777777" w:rsidR="000A03B2" w:rsidRPr="000C5A61" w:rsidRDefault="000A03B2" w:rsidP="00CD5FE2">
            <w:pPr>
              <w:spacing w:line="140" w:lineRule="atLeast"/>
              <w:jc w:val="right"/>
              <w:rPr>
                <w:rFonts w:cs="Arial"/>
                <w:sz w:val="14"/>
                <w:szCs w:val="14"/>
              </w:rPr>
            </w:pPr>
            <w:r w:rsidRPr="000C5A61">
              <w:rPr>
                <w:rFonts w:cs="Arial"/>
                <w:sz w:val="14"/>
                <w:szCs w:val="14"/>
              </w:rPr>
              <w:t>of Chemical Engineering</w:t>
            </w:r>
          </w:p>
          <w:p w14:paraId="4F0CC5DE" w14:textId="47FDB2FC" w:rsidR="000A03B2" w:rsidRPr="000C5A61" w:rsidRDefault="000D0268" w:rsidP="00CD5FE2">
            <w:pPr>
              <w:spacing w:line="140" w:lineRule="atLeast"/>
              <w:jc w:val="right"/>
              <w:rPr>
                <w:rFonts w:cs="Arial"/>
                <w:sz w:val="13"/>
                <w:szCs w:val="13"/>
              </w:rPr>
            </w:pPr>
            <w:r w:rsidRPr="000C5A61">
              <w:rPr>
                <w:rFonts w:cs="Arial"/>
                <w:sz w:val="13"/>
                <w:szCs w:val="13"/>
              </w:rPr>
              <w:t>Online at www.cetjournal.it</w:t>
            </w:r>
          </w:p>
        </w:tc>
      </w:tr>
      <w:tr w:rsidR="000A03B2" w:rsidRPr="000C5A61" w14:paraId="2D1B7169" w14:textId="77777777" w:rsidTr="00DE264A">
        <w:trPr>
          <w:trHeight w:val="68"/>
          <w:jc w:val="center"/>
        </w:trPr>
        <w:tc>
          <w:tcPr>
            <w:tcW w:w="8789" w:type="dxa"/>
            <w:gridSpan w:val="2"/>
          </w:tcPr>
          <w:p w14:paraId="1D8DD3C9" w14:textId="61229B97" w:rsidR="00AA7D26" w:rsidRPr="000C5A61" w:rsidRDefault="004A5E57" w:rsidP="004A5E57">
            <w:pPr>
              <w:ind w:left="-107"/>
              <w:outlineLvl w:val="2"/>
              <w:rPr>
                <w:rFonts w:ascii="Tahoma" w:hAnsi="Tahoma" w:cs="Tahoma"/>
                <w:bCs/>
                <w:color w:val="000000"/>
                <w:sz w:val="14"/>
                <w:szCs w:val="14"/>
                <w:lang w:eastAsia="it-IT"/>
              </w:rPr>
            </w:pPr>
            <w:r w:rsidRPr="000C5A61">
              <w:rPr>
                <w:rFonts w:ascii="Tahoma" w:hAnsi="Tahoma" w:cs="Tahoma"/>
                <w:iCs/>
                <w:color w:val="333333"/>
                <w:sz w:val="14"/>
                <w:szCs w:val="14"/>
                <w:lang w:eastAsia="it-IT"/>
              </w:rPr>
              <w:t>Guest Editors:</w:t>
            </w:r>
            <w:r w:rsidRPr="000C5A61">
              <w:rPr>
                <w:rFonts w:ascii="Tahoma" w:hAnsi="Tahoma" w:cs="Tahoma"/>
                <w:color w:val="000000"/>
                <w:sz w:val="14"/>
                <w:szCs w:val="14"/>
                <w:shd w:val="clear" w:color="auto" w:fill="FFFFFF"/>
              </w:rPr>
              <w:t xml:space="preserve"> </w:t>
            </w:r>
            <w:r w:rsidR="00EA3EF9" w:rsidRPr="000C5A61">
              <w:rPr>
                <w:rFonts w:ascii="Tahoma" w:hAnsi="Tahoma" w:cs="Tahoma"/>
                <w:color w:val="000000"/>
                <w:sz w:val="14"/>
                <w:szCs w:val="14"/>
                <w:shd w:val="clear" w:color="auto" w:fill="FFFFFF"/>
              </w:rPr>
              <w:t xml:space="preserve">Leonardo Tognotti, </w:t>
            </w:r>
            <w:r w:rsidR="00EA3EF9" w:rsidRPr="000C5A61">
              <w:rPr>
                <w:rFonts w:ascii="Tahoma" w:hAnsi="Tahoma" w:cs="Tahoma"/>
                <w:color w:val="000000"/>
                <w:sz w:val="14"/>
                <w:szCs w:val="14"/>
              </w:rPr>
              <w:t>Rubens Maciel Filho</w:t>
            </w:r>
            <w:r w:rsidR="00EA3EF9" w:rsidRPr="000C5A61">
              <w:rPr>
                <w:rFonts w:ascii="Tahoma" w:hAnsi="Tahoma" w:cs="Tahoma"/>
                <w:color w:val="000000"/>
                <w:sz w:val="14"/>
                <w:szCs w:val="14"/>
                <w:shd w:val="clear" w:color="auto" w:fill="FFFFFF"/>
              </w:rPr>
              <w:t xml:space="preserve">, </w:t>
            </w:r>
            <w:r w:rsidR="00EA3EF9" w:rsidRPr="000C5A61">
              <w:rPr>
                <w:rFonts w:ascii="Tahoma" w:hAnsi="Tahoma" w:cs="Tahoma"/>
                <w:color w:val="000000"/>
                <w:sz w:val="14"/>
                <w:szCs w:val="14"/>
              </w:rPr>
              <w:t>Viatcheslav Kafarov</w:t>
            </w:r>
          </w:p>
          <w:p w14:paraId="1B0F1814" w14:textId="710B7B96" w:rsidR="000A03B2" w:rsidRPr="000C5A61" w:rsidRDefault="00AA7D26" w:rsidP="00AA7D26">
            <w:pPr>
              <w:tabs>
                <w:tab w:val="left" w:pos="-108"/>
              </w:tabs>
              <w:spacing w:line="140" w:lineRule="atLeast"/>
              <w:ind w:left="-107"/>
              <w:jc w:val="left"/>
            </w:pPr>
            <w:r w:rsidRPr="000C5A61">
              <w:rPr>
                <w:rFonts w:ascii="Tahoma" w:hAnsi="Tahoma" w:cs="Tahoma"/>
                <w:iCs/>
                <w:color w:val="333333"/>
                <w:sz w:val="14"/>
                <w:szCs w:val="14"/>
                <w:lang w:eastAsia="it-IT"/>
              </w:rPr>
              <w:t>Copyright © 202</w:t>
            </w:r>
            <w:r w:rsidR="00005884" w:rsidRPr="000C5A61">
              <w:rPr>
                <w:rFonts w:ascii="Tahoma" w:hAnsi="Tahoma" w:cs="Tahoma"/>
                <w:iCs/>
                <w:color w:val="333333"/>
                <w:sz w:val="14"/>
                <w:szCs w:val="14"/>
                <w:lang w:eastAsia="it-IT"/>
              </w:rPr>
              <w:t>6</w:t>
            </w:r>
            <w:r w:rsidRPr="000C5A61">
              <w:rPr>
                <w:rFonts w:ascii="Tahoma" w:hAnsi="Tahoma" w:cs="Tahoma"/>
                <w:iCs/>
                <w:color w:val="333333"/>
                <w:sz w:val="14"/>
                <w:szCs w:val="14"/>
                <w:lang w:eastAsia="it-IT"/>
              </w:rPr>
              <w:t>, AIDIC Servizi S.r.l.</w:t>
            </w:r>
            <w:r w:rsidRPr="000C5A61">
              <w:rPr>
                <w:rFonts w:ascii="Tahoma" w:hAnsi="Tahoma" w:cs="Tahoma"/>
                <w:iCs/>
                <w:color w:val="333333"/>
                <w:sz w:val="14"/>
                <w:szCs w:val="14"/>
                <w:lang w:eastAsia="it-IT"/>
              </w:rPr>
              <w:br/>
            </w:r>
            <w:r w:rsidRPr="000C5A61">
              <w:rPr>
                <w:rFonts w:ascii="Tahoma" w:hAnsi="Tahoma" w:cs="Tahoma"/>
                <w:b/>
                <w:iCs/>
                <w:color w:val="000000"/>
                <w:sz w:val="14"/>
                <w:szCs w:val="14"/>
                <w:lang w:eastAsia="it-IT"/>
              </w:rPr>
              <w:t>ISBN</w:t>
            </w:r>
            <w:r w:rsidRPr="000C5A61">
              <w:rPr>
                <w:rFonts w:ascii="Tahoma" w:hAnsi="Tahoma" w:cs="Tahoma"/>
                <w:iCs/>
                <w:color w:val="000000"/>
                <w:sz w:val="14"/>
                <w:szCs w:val="14"/>
                <w:lang w:eastAsia="it-IT"/>
              </w:rPr>
              <w:t xml:space="preserve"> </w:t>
            </w:r>
            <w:r w:rsidR="00D2582C" w:rsidRPr="000C5A61">
              <w:rPr>
                <w:rFonts w:ascii="Tahoma" w:hAnsi="Tahoma" w:cs="Tahoma"/>
                <w:sz w:val="14"/>
                <w:szCs w:val="14"/>
              </w:rPr>
              <w:t>979-12-81206-</w:t>
            </w:r>
            <w:r w:rsidR="00005884" w:rsidRPr="000C5A61">
              <w:rPr>
                <w:rFonts w:ascii="Tahoma" w:hAnsi="Tahoma" w:cs="Tahoma"/>
                <w:sz w:val="14"/>
                <w:szCs w:val="14"/>
              </w:rPr>
              <w:t>xx</w:t>
            </w:r>
            <w:r w:rsidR="009041F8" w:rsidRPr="000C5A61">
              <w:rPr>
                <w:rFonts w:ascii="Tahoma" w:hAnsi="Tahoma" w:cs="Tahoma"/>
                <w:sz w:val="14"/>
                <w:szCs w:val="14"/>
              </w:rPr>
              <w:t>-</w:t>
            </w:r>
            <w:r w:rsidR="00005884" w:rsidRPr="000C5A61">
              <w:rPr>
                <w:rFonts w:ascii="Tahoma" w:hAnsi="Tahoma" w:cs="Tahoma"/>
                <w:sz w:val="14"/>
                <w:szCs w:val="14"/>
              </w:rPr>
              <w:t>x</w:t>
            </w:r>
            <w:r w:rsidRPr="000C5A61">
              <w:rPr>
                <w:rFonts w:ascii="Tahoma" w:hAnsi="Tahoma" w:cs="Tahoma"/>
                <w:iCs/>
                <w:color w:val="333333"/>
                <w:sz w:val="14"/>
                <w:szCs w:val="14"/>
                <w:lang w:eastAsia="it-IT"/>
              </w:rPr>
              <w:t xml:space="preserve">; </w:t>
            </w:r>
            <w:r w:rsidRPr="000C5A61">
              <w:rPr>
                <w:rFonts w:ascii="Tahoma" w:hAnsi="Tahoma" w:cs="Tahoma"/>
                <w:b/>
                <w:iCs/>
                <w:color w:val="333333"/>
                <w:sz w:val="14"/>
                <w:szCs w:val="14"/>
                <w:lang w:eastAsia="it-IT"/>
              </w:rPr>
              <w:t>ISSN</w:t>
            </w:r>
            <w:r w:rsidRPr="000C5A61">
              <w:rPr>
                <w:rFonts w:ascii="Tahoma" w:hAnsi="Tahoma" w:cs="Tahoma"/>
                <w:iCs/>
                <w:color w:val="333333"/>
                <w:sz w:val="14"/>
                <w:szCs w:val="14"/>
                <w:lang w:eastAsia="it-IT"/>
              </w:rPr>
              <w:t xml:space="preserve"> 2283-9216</w:t>
            </w:r>
          </w:p>
        </w:tc>
      </w:tr>
    </w:tbl>
    <w:bookmarkEnd w:id="0"/>
    <w:p w14:paraId="2E667253" w14:textId="054B39C8" w:rsidR="00E978D0" w:rsidRPr="000C5A61" w:rsidRDefault="004E5E6A" w:rsidP="00E978D0">
      <w:pPr>
        <w:pStyle w:val="CETTitle"/>
      </w:pPr>
      <w:r w:rsidRPr="000C5A61">
        <w:t xml:space="preserve">Assessing the </w:t>
      </w:r>
      <w:r w:rsidR="0003006D" w:rsidRPr="000C5A61">
        <w:t>I</w:t>
      </w:r>
      <w:r w:rsidRPr="000C5A61">
        <w:t xml:space="preserve">mpact of the National Program for Rational and Efficient Use of Energy on the </w:t>
      </w:r>
      <w:r w:rsidR="0003006D" w:rsidRPr="000C5A61">
        <w:t>D</w:t>
      </w:r>
      <w:r w:rsidRPr="000C5A61">
        <w:t xml:space="preserve">esign of a </w:t>
      </w:r>
      <w:r w:rsidR="0003006D" w:rsidRPr="000C5A61">
        <w:t>B</w:t>
      </w:r>
      <w:r w:rsidRPr="000C5A61">
        <w:t xml:space="preserve">iomass </w:t>
      </w:r>
      <w:r w:rsidR="0003006D" w:rsidRPr="000C5A61">
        <w:t>G</w:t>
      </w:r>
      <w:r w:rsidRPr="000C5A61">
        <w:t xml:space="preserve">asifier </w:t>
      </w:r>
      <w:r w:rsidR="0003006D" w:rsidRPr="000C5A61">
        <w:t>I</w:t>
      </w:r>
      <w:r w:rsidRPr="000C5A61">
        <w:t xml:space="preserve">ntegrated with a </w:t>
      </w:r>
      <w:r w:rsidR="0003006D" w:rsidRPr="000C5A61">
        <w:t>P</w:t>
      </w:r>
      <w:r w:rsidRPr="000C5A61">
        <w:t>hotovoltaic-</w:t>
      </w:r>
      <w:r w:rsidR="0003006D" w:rsidRPr="000C5A61">
        <w:t>W</w:t>
      </w:r>
      <w:r w:rsidRPr="000C5A61">
        <w:t xml:space="preserve">ind </w:t>
      </w:r>
      <w:r w:rsidR="0003006D" w:rsidRPr="000C5A61">
        <w:t>E</w:t>
      </w:r>
      <w:r w:rsidRPr="000C5A61">
        <w:t xml:space="preserve">nergy </w:t>
      </w:r>
      <w:r w:rsidR="0003006D" w:rsidRPr="000C5A61">
        <w:t>S</w:t>
      </w:r>
      <w:r w:rsidRPr="000C5A61">
        <w:t xml:space="preserve">ystem. Case </w:t>
      </w:r>
      <w:r w:rsidR="0003006D" w:rsidRPr="000C5A61">
        <w:t>S</w:t>
      </w:r>
      <w:r w:rsidRPr="000C5A61">
        <w:t>tudy: Silos, Colombia</w:t>
      </w:r>
    </w:p>
    <w:p w14:paraId="0488FED2" w14:textId="3656C172" w:rsidR="00B57E6F" w:rsidRPr="000C5A61" w:rsidRDefault="004E5E6A" w:rsidP="00B57E6F">
      <w:pPr>
        <w:pStyle w:val="CETAuthors"/>
        <w:rPr>
          <w:noProof w:val="0"/>
        </w:rPr>
      </w:pPr>
      <w:r w:rsidRPr="000C5A61">
        <w:rPr>
          <w:noProof w:val="0"/>
        </w:rPr>
        <w:t xml:space="preserve">Nicolas </w:t>
      </w:r>
      <w:proofErr w:type="spellStart"/>
      <w:r w:rsidRPr="000C5A61">
        <w:rPr>
          <w:noProof w:val="0"/>
        </w:rPr>
        <w:t>Cabrera</w:t>
      </w:r>
      <w:r w:rsidRPr="000C5A61">
        <w:rPr>
          <w:noProof w:val="0"/>
          <w:vertAlign w:val="superscript"/>
        </w:rPr>
        <w:t>a</w:t>
      </w:r>
      <w:proofErr w:type="spellEnd"/>
      <w:r w:rsidRPr="000C5A61">
        <w:rPr>
          <w:noProof w:val="0"/>
          <w:vertAlign w:val="superscript"/>
        </w:rPr>
        <w:t>,</w:t>
      </w:r>
      <w:r w:rsidRPr="000C5A61">
        <w:rPr>
          <w:noProof w:val="0"/>
        </w:rPr>
        <w:t>*, A.M. Rosso-</w:t>
      </w:r>
      <w:proofErr w:type="spellStart"/>
      <w:r w:rsidRPr="000C5A61">
        <w:rPr>
          <w:noProof w:val="0"/>
        </w:rPr>
        <w:t>Cerón</w:t>
      </w:r>
      <w:r w:rsidRPr="000C5A61">
        <w:rPr>
          <w:noProof w:val="0"/>
          <w:vertAlign w:val="superscript"/>
        </w:rPr>
        <w:t>b</w:t>
      </w:r>
      <w:proofErr w:type="spellEnd"/>
      <w:r w:rsidRPr="000C5A61">
        <w:rPr>
          <w:noProof w:val="0"/>
        </w:rPr>
        <w:t xml:space="preserve">, Viatcheslav </w:t>
      </w:r>
      <w:proofErr w:type="spellStart"/>
      <w:r w:rsidRPr="000C5A61">
        <w:rPr>
          <w:noProof w:val="0"/>
        </w:rPr>
        <w:t>Kafarov</w:t>
      </w:r>
      <w:r w:rsidRPr="000C5A61">
        <w:rPr>
          <w:noProof w:val="0"/>
          <w:vertAlign w:val="superscript"/>
        </w:rPr>
        <w:t>a</w:t>
      </w:r>
      <w:proofErr w:type="spellEnd"/>
      <w:r w:rsidRPr="000C5A61">
        <w:rPr>
          <w:noProof w:val="0"/>
        </w:rPr>
        <w:t>, Andrés F. León</w:t>
      </w:r>
      <w:r w:rsidR="00BC458D" w:rsidRPr="000C5A61">
        <w:rPr>
          <w:noProof w:val="0"/>
        </w:rPr>
        <w:t xml:space="preserve"> </w:t>
      </w:r>
      <w:proofErr w:type="spellStart"/>
      <w:r w:rsidRPr="000C5A61">
        <w:rPr>
          <w:noProof w:val="0"/>
        </w:rPr>
        <w:t>Esteban</w:t>
      </w:r>
      <w:r w:rsidRPr="000C5A61">
        <w:rPr>
          <w:noProof w:val="0"/>
          <w:vertAlign w:val="superscript"/>
        </w:rPr>
        <w:t>c</w:t>
      </w:r>
      <w:proofErr w:type="spellEnd"/>
    </w:p>
    <w:p w14:paraId="6B2D21B3" w14:textId="5D5B9A3F" w:rsidR="00B57E6F" w:rsidRPr="000C5A61" w:rsidRDefault="00B57E6F" w:rsidP="00B57E6F">
      <w:pPr>
        <w:pStyle w:val="CETAddress"/>
        <w:rPr>
          <w:noProof w:val="0"/>
        </w:rPr>
      </w:pPr>
      <w:proofErr w:type="spellStart"/>
      <w:r w:rsidRPr="000C5A61">
        <w:rPr>
          <w:noProof w:val="0"/>
          <w:vertAlign w:val="superscript"/>
        </w:rPr>
        <w:t>a</w:t>
      </w:r>
      <w:r w:rsidR="004E5E6A" w:rsidRPr="000C5A61">
        <w:rPr>
          <w:noProof w:val="0"/>
        </w:rPr>
        <w:t>Department</w:t>
      </w:r>
      <w:proofErr w:type="spellEnd"/>
      <w:r w:rsidR="004E5E6A" w:rsidRPr="000C5A61">
        <w:rPr>
          <w:noProof w:val="0"/>
        </w:rPr>
        <w:t xml:space="preserve"> of Chemical Engineering, Carrera 27 Calle 9, Universidad Industrial de Santander, Bucaramanga, Colombia</w:t>
      </w:r>
      <w:r w:rsidRPr="000C5A61">
        <w:rPr>
          <w:noProof w:val="0"/>
        </w:rPr>
        <w:t xml:space="preserve"> </w:t>
      </w:r>
    </w:p>
    <w:p w14:paraId="3D72B0B0" w14:textId="5C777E2F" w:rsidR="00B57E6F" w:rsidRPr="000C5A61" w:rsidRDefault="00B57E6F" w:rsidP="00B57E6F">
      <w:pPr>
        <w:pStyle w:val="CETAddress"/>
        <w:rPr>
          <w:noProof w:val="0"/>
        </w:rPr>
      </w:pPr>
      <w:proofErr w:type="spellStart"/>
      <w:r w:rsidRPr="000C5A61">
        <w:rPr>
          <w:noProof w:val="0"/>
          <w:vertAlign w:val="superscript"/>
        </w:rPr>
        <w:t>b</w:t>
      </w:r>
      <w:r w:rsidR="004E5E6A" w:rsidRPr="000C5A61">
        <w:rPr>
          <w:noProof w:val="0"/>
        </w:rPr>
        <w:t>Department</w:t>
      </w:r>
      <w:proofErr w:type="spellEnd"/>
      <w:r w:rsidR="004E5E6A" w:rsidRPr="000C5A61">
        <w:rPr>
          <w:noProof w:val="0"/>
        </w:rPr>
        <w:t xml:space="preserve"> of Chemical Engineering, Cl. 5 No. 3-93, </w:t>
      </w:r>
      <w:proofErr w:type="spellStart"/>
      <w:r w:rsidR="004E5E6A" w:rsidRPr="000C5A61">
        <w:rPr>
          <w:noProof w:val="0"/>
        </w:rPr>
        <w:t>Kilometro</w:t>
      </w:r>
      <w:proofErr w:type="spellEnd"/>
      <w:r w:rsidR="004E5E6A" w:rsidRPr="000C5A61">
        <w:rPr>
          <w:noProof w:val="0"/>
        </w:rPr>
        <w:t xml:space="preserve"> 1 </w:t>
      </w:r>
      <w:proofErr w:type="spellStart"/>
      <w:r w:rsidR="004E5E6A" w:rsidRPr="000C5A61">
        <w:rPr>
          <w:noProof w:val="0"/>
        </w:rPr>
        <w:t>Vía</w:t>
      </w:r>
      <w:proofErr w:type="spellEnd"/>
      <w:r w:rsidR="004E5E6A" w:rsidRPr="000C5A61">
        <w:rPr>
          <w:noProof w:val="0"/>
        </w:rPr>
        <w:t xml:space="preserve"> Bucaramanga, Universidad de Pamplona, Pamplona, Norte de Santander, Colombia</w:t>
      </w:r>
      <w:r w:rsidRPr="000C5A61">
        <w:rPr>
          <w:noProof w:val="0"/>
        </w:rPr>
        <w:t xml:space="preserve"> </w:t>
      </w:r>
    </w:p>
    <w:p w14:paraId="380C96A2" w14:textId="5188F4D5" w:rsidR="004E5E6A" w:rsidRPr="000C5A61" w:rsidRDefault="004E5E6A" w:rsidP="00B57E6F">
      <w:pPr>
        <w:pStyle w:val="CETAddress"/>
        <w:rPr>
          <w:noProof w:val="0"/>
        </w:rPr>
      </w:pPr>
      <w:r w:rsidRPr="000C5A61">
        <w:rPr>
          <w:noProof w:val="0"/>
          <w:vertAlign w:val="superscript"/>
        </w:rPr>
        <w:t>c</w:t>
      </w:r>
      <w:r w:rsidRPr="000C5A61">
        <w:rPr>
          <w:noProof w:val="0"/>
        </w:rPr>
        <w:t xml:space="preserve">Department of Electrical, Electronic and Telecommunications Engineering, Carrera 27 Calle 9, Universidad Industrial de Santander, Bucaramanga, Colombia </w:t>
      </w:r>
    </w:p>
    <w:p w14:paraId="73F1267A" w14:textId="34D53E62" w:rsidR="00B57E6F" w:rsidRPr="000C5A61" w:rsidRDefault="00041A38" w:rsidP="00B57E6F">
      <w:pPr>
        <w:pStyle w:val="CETemail"/>
        <w:rPr>
          <w:noProof w:val="0"/>
        </w:rPr>
      </w:pPr>
      <w:r w:rsidRPr="000C5A61">
        <w:rPr>
          <w:noProof w:val="0"/>
        </w:rPr>
        <w:t>nicolas2238039@correo.uis.edu.co</w:t>
      </w:r>
    </w:p>
    <w:p w14:paraId="40988D21" w14:textId="7B4800CC" w:rsidR="00211406" w:rsidRPr="000C5A61" w:rsidRDefault="007E68BC" w:rsidP="007E68BC">
      <w:pPr>
        <w:pStyle w:val="CETBodytext"/>
        <w:rPr>
          <w:lang w:val="en-GB"/>
        </w:rPr>
      </w:pPr>
      <w:r w:rsidRPr="000C5A61">
        <w:rPr>
          <w:lang w:val="en-GB"/>
        </w:rPr>
        <w:t>This study evaluates the impact of the public policy known as the Programme for the Rational and Efficient Use of Energy (PROURE) on electricity demand forecasting and the resulting energy matrix for the municipality of Silos, Colombia. The proposed energy matrices are obtained using a multi-objective mixed-integer linear programming (MOMILP) model that simultaneously minimises the net present value (NPV) and total C</w:t>
      </w:r>
      <w:r w:rsidR="00A406A1" w:rsidRPr="000C5A61">
        <w:rPr>
          <w:lang w:val="en-GB"/>
        </w:rPr>
        <w:t>O</w:t>
      </w:r>
      <w:r w:rsidR="00A406A1" w:rsidRPr="000C5A61">
        <w:rPr>
          <w:vertAlign w:val="subscript"/>
          <w:lang w:val="en-GB"/>
        </w:rPr>
        <w:t>2</w:t>
      </w:r>
      <w:r w:rsidRPr="000C5A61">
        <w:rPr>
          <w:lang w:val="en-GB"/>
        </w:rPr>
        <w:t xml:space="preserve"> emissions. The technologies considered include solar photovoltaic panels and wind turbines integrated with biomass gasifiers, aiming to mitigate the environmental impacts associated with biomass waste while promoting the circular economy. The results indicate that compliance with the strategies established in the PROURE policy effectively reduces electricity demand by approximately 19%. This reduction leads to decreases in system financial costs ranging from 9.79% to 11.65% and reductions in total CO</w:t>
      </w:r>
      <w:r w:rsidRPr="000C5A61">
        <w:rPr>
          <w:vertAlign w:val="subscript"/>
          <w:lang w:val="en-GB"/>
        </w:rPr>
        <w:t>2</w:t>
      </w:r>
      <w:r w:rsidRPr="000C5A61">
        <w:rPr>
          <w:lang w:val="en-GB"/>
        </w:rPr>
        <w:t xml:space="preserve"> emissions between 32.02% and 36.09%. These findings highlight the importance of implementing the PROURE policy, supported by government economic incentives or the adoption of dynamic tariff schemes in the electricity market, as key mechanisms for promoting a sustainable energy transition and mitigating potential congestion in transmission lines. Furthermore, the proposed methodology provides a robust decision-support tool for stakeholders and policymakers, enabling the assessment of the financial and environmental feasibility of PROURE implementation in energy planning projects across different geographical contexts</w:t>
      </w:r>
      <w:r w:rsidR="00C34759" w:rsidRPr="000C5A61">
        <w:rPr>
          <w:lang w:val="en-GB"/>
        </w:rPr>
        <w:t>.</w:t>
      </w:r>
    </w:p>
    <w:p w14:paraId="476B2F2E" w14:textId="77777777" w:rsidR="00600535" w:rsidRPr="000C5A61" w:rsidRDefault="00600535" w:rsidP="005E1D22">
      <w:pPr>
        <w:pStyle w:val="CETHeading1"/>
        <w:spacing w:before="60" w:after="60"/>
        <w:rPr>
          <w:lang w:val="en-GB"/>
        </w:rPr>
      </w:pPr>
      <w:r w:rsidRPr="000C5A61">
        <w:rPr>
          <w:lang w:val="en-GB"/>
        </w:rPr>
        <w:t>Introduction</w:t>
      </w:r>
    </w:p>
    <w:p w14:paraId="20F04AB0" w14:textId="2E03A55C" w:rsidR="00BD7DDE" w:rsidRPr="000C5A61" w:rsidRDefault="001F481A" w:rsidP="00600535">
      <w:pPr>
        <w:pStyle w:val="CETBodytext"/>
        <w:rPr>
          <w:lang w:val="en-GB"/>
        </w:rPr>
      </w:pPr>
      <w:r w:rsidRPr="000C5A61">
        <w:rPr>
          <w:lang w:val="en-GB"/>
        </w:rPr>
        <w:t xml:space="preserve">The growing need </w:t>
      </w:r>
      <w:r w:rsidR="00437270" w:rsidRPr="000C5A61">
        <w:rPr>
          <w:lang w:val="en-GB"/>
        </w:rPr>
        <w:t xml:space="preserve">to move towards decarbonisation in response to climate change has driven the adoption of various international laws and agreements, including the Paris Agreement, the Conferences of the Parties (COP) and the Sustainable Development Goals. In this context, the share of renewable energy in the global </w:t>
      </w:r>
      <w:r w:rsidR="000851CA" w:rsidRPr="000C5A61">
        <w:rPr>
          <w:lang w:val="en-GB"/>
        </w:rPr>
        <w:t>energy matrix</w:t>
      </w:r>
      <w:r w:rsidR="00437270" w:rsidRPr="000C5A61">
        <w:rPr>
          <w:lang w:val="en-GB"/>
        </w:rPr>
        <w:t xml:space="preserve"> has increased significantly in recent years, reaching approximately 41% of global electricity generation (Low</w:t>
      </w:r>
      <w:r w:rsidR="006947F2" w:rsidRPr="000C5A61">
        <w:rPr>
          <w:lang w:val="en-GB"/>
        </w:rPr>
        <w:t>-</w:t>
      </w:r>
      <w:r w:rsidR="00437270" w:rsidRPr="000C5A61">
        <w:rPr>
          <w:lang w:val="en-GB"/>
        </w:rPr>
        <w:t xml:space="preserve">Carbon Power, 2024). </w:t>
      </w:r>
      <w:r w:rsidR="007E497D" w:rsidRPr="000C5A61">
        <w:rPr>
          <w:lang w:val="en-GB"/>
        </w:rPr>
        <w:t>This fast deployment of unconventional technologies has increased the importance of the electricity grid. The grid is the fundamental component for transmitting energy from generation systems to the end consumer. However, a considerable part of the electricity infrastructure is old, and given the rapid growth of new technologies, this creates the risk that electricity grids will become a bottleneck for the energy transition and affect the security of electricity supply, potentially causing congestion in the electricity grid. Consequently, it is estimated that an investment of around 584 billion EUR is needed to modernise electricity grids. This amount represents a significant fraction of the total investment cost required to achieve the energy transition in the electricity sector (Messias R. et al., 2025).</w:t>
      </w:r>
      <w:r w:rsidR="00355B9F" w:rsidRPr="000C5A61">
        <w:rPr>
          <w:lang w:val="en-GB"/>
        </w:rPr>
        <w:t xml:space="preserve"> </w:t>
      </w:r>
      <w:r w:rsidR="00BD7DDE" w:rsidRPr="000C5A61">
        <w:rPr>
          <w:lang w:val="en-GB"/>
        </w:rPr>
        <w:t xml:space="preserve">Due to these high costs, as well as the associated risks and regulatory and permitting barriers, among others, various public policies have been developed to prolong the modernisation and maintenance processes and guarantee the security of the electricity supply. </w:t>
      </w:r>
      <w:r w:rsidR="00BD7DDE" w:rsidRPr="000C5A61">
        <w:rPr>
          <w:lang w:val="en-GB"/>
        </w:rPr>
        <w:lastRenderedPageBreak/>
        <w:t>These policies include demand management, the integration of energy storage systems, building modernisation, digitalisation and increased energy efficiency (UPME, 2022). However, increased energy efficiency stands out among these strategies, as in many cases it can be implemented progressively, with relatively low investment costs and without requiring abrupt changes in end-user behaviour.</w:t>
      </w:r>
    </w:p>
    <w:p w14:paraId="71168F40" w14:textId="29D0D2E9" w:rsidR="009D7A68" w:rsidRPr="000C5A61" w:rsidRDefault="009D7A68" w:rsidP="009D7A68">
      <w:pPr>
        <w:pStyle w:val="CETBodytext"/>
        <w:rPr>
          <w:lang w:val="en-GB"/>
        </w:rPr>
      </w:pPr>
      <w:r w:rsidRPr="000C5A61">
        <w:rPr>
          <w:lang w:val="en-GB"/>
        </w:rPr>
        <w:t>Tajudeen (2015) analysed the role of energy efficiency and consumer behaviour in shaping energy demand and CO</w:t>
      </w:r>
      <w:r w:rsidRPr="000C5A61">
        <w:rPr>
          <w:vertAlign w:val="subscript"/>
          <w:lang w:val="en-GB"/>
        </w:rPr>
        <w:t>2</w:t>
      </w:r>
      <w:r w:rsidRPr="000C5A61">
        <w:rPr>
          <w:lang w:val="en-GB"/>
        </w:rPr>
        <w:t xml:space="preserve"> emissions in Nigeria using a structural time series model. The results demonstrated that consumer behaviour is a significant determinant of demand projections and, consequently, of C</w:t>
      </w:r>
      <w:r w:rsidR="00511157" w:rsidRPr="000C5A61">
        <w:rPr>
          <w:lang w:val="en-GB"/>
        </w:rPr>
        <w:t>O</w:t>
      </w:r>
      <w:r w:rsidR="00511157" w:rsidRPr="000C5A61">
        <w:rPr>
          <w:vertAlign w:val="subscript"/>
          <w:lang w:val="en-GB"/>
        </w:rPr>
        <w:t>2</w:t>
      </w:r>
      <w:r w:rsidRPr="000C5A61">
        <w:rPr>
          <w:lang w:val="en-GB"/>
        </w:rPr>
        <w:t xml:space="preserve"> emissions. These findings underscore the importance of implementing policies that promote investment in energy-efficient technologies, the application of CO</w:t>
      </w:r>
      <w:r w:rsidRPr="000C5A61">
        <w:rPr>
          <w:vertAlign w:val="subscript"/>
          <w:lang w:val="en-GB"/>
        </w:rPr>
        <w:t>2</w:t>
      </w:r>
      <w:r w:rsidRPr="000C5A61">
        <w:rPr>
          <w:lang w:val="en-GB"/>
        </w:rPr>
        <w:t xml:space="preserve"> taxation, and the reduction of import tariffs on energy-efficient machinery.</w:t>
      </w:r>
    </w:p>
    <w:p w14:paraId="6C3501DB" w14:textId="41090D58" w:rsidR="009D7A68" w:rsidRPr="000C5A61" w:rsidRDefault="009D7A68" w:rsidP="009D7A68">
      <w:pPr>
        <w:pStyle w:val="CETBodytext"/>
        <w:rPr>
          <w:lang w:val="en-GB"/>
        </w:rPr>
      </w:pPr>
      <w:r w:rsidRPr="000C5A61">
        <w:rPr>
          <w:lang w:val="en-GB"/>
        </w:rPr>
        <w:t>Pappis et al. (2021) employed the Open-Source Energy Modelling System (OSeMOSYS) to assess the impacts of three scenarios</w:t>
      </w:r>
      <w:r w:rsidR="00DA549F" w:rsidRPr="000C5A61">
        <w:rPr>
          <w:lang w:val="en-GB"/>
        </w:rPr>
        <w:t xml:space="preserve">, </w:t>
      </w:r>
      <w:r w:rsidRPr="000C5A61">
        <w:rPr>
          <w:lang w:val="en-GB"/>
        </w:rPr>
        <w:t>public policy, slow development, and big business</w:t>
      </w:r>
      <w:r w:rsidR="00DA549F" w:rsidRPr="000C5A61">
        <w:rPr>
          <w:lang w:val="en-GB"/>
        </w:rPr>
        <w:t xml:space="preserve">, </w:t>
      </w:r>
      <w:r w:rsidRPr="000C5A61">
        <w:rPr>
          <w:lang w:val="en-GB"/>
        </w:rPr>
        <w:t>on energy planning in Ethiopia. Their results indicated that the public policy scenario facilitates greater penetration of renewable energy technologies, improves access to energy for a large share of the population, and promotes an increase in energy exports.</w:t>
      </w:r>
    </w:p>
    <w:p w14:paraId="489522FF" w14:textId="7E3DE827" w:rsidR="009D7A68" w:rsidRPr="000C5A61" w:rsidRDefault="009D7A68" w:rsidP="009D7A68">
      <w:pPr>
        <w:pStyle w:val="CETBodytext"/>
        <w:rPr>
          <w:lang w:val="en-GB"/>
        </w:rPr>
      </w:pPr>
      <w:r w:rsidRPr="000C5A61">
        <w:rPr>
          <w:lang w:val="en-GB"/>
        </w:rPr>
        <w:t>Similarly, Messias et al. (2025) developed a mathematical model incorporating the effects of public policies aimed at enabling active consumer participation in the electricity market through energy production, storage, and sales. The results showed that such policies can significantly contribute to the decarbonisation of the electricity, thermal, and transport sectors, serving as a complementary approach for the design of energy-efficient hybrid systems.</w:t>
      </w:r>
    </w:p>
    <w:p w14:paraId="3426450C" w14:textId="2ACFD006" w:rsidR="00F10FFC" w:rsidRPr="000C5A61" w:rsidRDefault="009D7A68" w:rsidP="009D7A68">
      <w:pPr>
        <w:pStyle w:val="CETBodytext"/>
        <w:rPr>
          <w:lang w:val="en-GB"/>
        </w:rPr>
      </w:pPr>
      <w:r w:rsidRPr="000C5A61">
        <w:rPr>
          <w:lang w:val="en-GB"/>
        </w:rPr>
        <w:t>In the Colombian context, Villamizar-Villamizar et al. (2024) estimated energy demand in the municipality of Pamplona under three scenarios</w:t>
      </w:r>
      <w:r w:rsidR="004E6C45" w:rsidRPr="000C5A61">
        <w:rPr>
          <w:lang w:val="en-GB"/>
        </w:rPr>
        <w:t xml:space="preserve">, </w:t>
      </w:r>
      <w:r w:rsidRPr="000C5A61">
        <w:rPr>
          <w:lang w:val="en-GB"/>
        </w:rPr>
        <w:t>energy efficiency, trend, and post-COVID</w:t>
      </w:r>
      <w:r w:rsidR="004E6C45" w:rsidRPr="000C5A61">
        <w:rPr>
          <w:lang w:val="en-GB"/>
        </w:rPr>
        <w:t xml:space="preserve">, </w:t>
      </w:r>
      <w:r w:rsidRPr="000C5A61">
        <w:rPr>
          <w:lang w:val="en-GB"/>
        </w:rPr>
        <w:t>using the LEAP modelling tool. Their findings emphasised the need for strategic energy planning and the integration of energy efficiency measures to support a sustainable energy transition</w:t>
      </w:r>
      <w:r w:rsidR="00F10FFC" w:rsidRPr="000C5A61">
        <w:rPr>
          <w:lang w:val="en-GB"/>
        </w:rPr>
        <w:t>.</w:t>
      </w:r>
    </w:p>
    <w:p w14:paraId="1D0BBCA3" w14:textId="24416FA7" w:rsidR="00173A9E" w:rsidRPr="000C5A61" w:rsidRDefault="00173A9E" w:rsidP="00173A9E">
      <w:pPr>
        <w:pStyle w:val="CETBodytext"/>
        <w:rPr>
          <w:lang w:val="en-GB"/>
        </w:rPr>
      </w:pPr>
      <w:r w:rsidRPr="000C5A61">
        <w:rPr>
          <w:lang w:val="en-GB"/>
        </w:rPr>
        <w:t>In accordance with the above and an additional literature review, there is a lack of international literature and an absence of studies in the Colombian context that explicitly quantify the direct impact of public energy efficiency policies on regional energy planning outcomes. In particular, existing studies rarely assess how a specific public policy</w:t>
      </w:r>
      <w:r w:rsidR="00F81A97" w:rsidRPr="000C5A61">
        <w:rPr>
          <w:lang w:val="en-GB"/>
        </w:rPr>
        <w:t xml:space="preserve">, </w:t>
      </w:r>
      <w:r w:rsidRPr="000C5A61">
        <w:rPr>
          <w:lang w:val="en-GB"/>
        </w:rPr>
        <w:t>such as the PROURE policy in Colombia</w:t>
      </w:r>
      <w:r w:rsidR="00F81A97" w:rsidRPr="000C5A61">
        <w:rPr>
          <w:lang w:val="en-GB"/>
        </w:rPr>
        <w:t xml:space="preserve">, </w:t>
      </w:r>
      <w:r w:rsidRPr="000C5A61">
        <w:rPr>
          <w:lang w:val="en-GB"/>
        </w:rPr>
        <w:t>modifies electricity demand trajectories and, through a cascading effect, alters the optimal configuration of energy systems in terms of installed capacities, total system costs, and C</w:t>
      </w:r>
      <w:r w:rsidR="00BB746A" w:rsidRPr="000C5A61">
        <w:rPr>
          <w:lang w:val="en-GB"/>
        </w:rPr>
        <w:t>O</w:t>
      </w:r>
      <w:r w:rsidR="00BB746A" w:rsidRPr="000C5A61">
        <w:rPr>
          <w:vertAlign w:val="subscript"/>
          <w:lang w:val="en-GB"/>
        </w:rPr>
        <w:t>2</w:t>
      </w:r>
      <w:r w:rsidRPr="000C5A61">
        <w:rPr>
          <w:lang w:val="en-GB"/>
        </w:rPr>
        <w:t xml:space="preserve"> emissions over the planning horizon.</w:t>
      </w:r>
    </w:p>
    <w:p w14:paraId="3B0A55C6" w14:textId="63FFDA1F" w:rsidR="002A1D62" w:rsidRPr="000C5A61" w:rsidRDefault="00780839" w:rsidP="00173A9E">
      <w:pPr>
        <w:pStyle w:val="CETBodytext"/>
        <w:rPr>
          <w:lang w:val="en-GB"/>
        </w:rPr>
      </w:pPr>
      <w:r w:rsidRPr="000C5A61">
        <w:rPr>
          <w:lang w:val="en-GB"/>
        </w:rPr>
        <w:t>To address this gap, this study assesses the impact of implementing the PROURE policy on electricity demand and, consequently, the change in the optimal solution to an energy planning problem, compared to a scenario based on trends (business as usual)</w:t>
      </w:r>
      <w:r w:rsidR="00173A9E" w:rsidRPr="000C5A61">
        <w:rPr>
          <w:lang w:val="en-GB"/>
        </w:rPr>
        <w:t>. To this end, a multi-objective mixed-integer linear programming (MOMILP) model is developed to assess policy and trend scenarios, aiming to minimise the net present value (NPV) and total C</w:t>
      </w:r>
      <w:r w:rsidR="00564F87" w:rsidRPr="000C5A61">
        <w:rPr>
          <w:lang w:val="en-GB"/>
        </w:rPr>
        <w:t>O</w:t>
      </w:r>
      <w:r w:rsidR="00564F87" w:rsidRPr="000C5A61">
        <w:rPr>
          <w:vertAlign w:val="subscript"/>
          <w:lang w:val="en-GB"/>
        </w:rPr>
        <w:t>2</w:t>
      </w:r>
      <w:r w:rsidR="00173A9E" w:rsidRPr="000C5A61">
        <w:rPr>
          <w:lang w:val="en-GB"/>
        </w:rPr>
        <w:t xml:space="preserve"> emissions, while accounting for operational, regulatory, and budgetary constraints.</w:t>
      </w:r>
      <w:r w:rsidR="00BB746A" w:rsidRPr="000C5A61">
        <w:rPr>
          <w:lang w:val="en-GB"/>
        </w:rPr>
        <w:t xml:space="preserve"> </w:t>
      </w:r>
      <w:r w:rsidR="00173A9E" w:rsidRPr="000C5A61">
        <w:rPr>
          <w:lang w:val="en-GB"/>
        </w:rPr>
        <w:t xml:space="preserve">The model considers photovoltaic solar panels, wind turbines, and biomass gasifiers, supported by diesel power plants. Among these technologies, biomass gasifiers play a strategic role, as they enable the valorisation of locally available biomass resources, promote circular economy principles, and contribute to reducing environmental impacts in regions characterised by high volumes of surplus agricultural </w:t>
      </w:r>
      <w:r w:rsidRPr="000C5A61">
        <w:rPr>
          <w:lang w:val="en-GB"/>
        </w:rPr>
        <w:t>waste.</w:t>
      </w:r>
    </w:p>
    <w:p w14:paraId="46DA7633" w14:textId="50DA336B" w:rsidR="00F51CEB" w:rsidRPr="000C5A61" w:rsidRDefault="00A10AA1" w:rsidP="005E1D22">
      <w:pPr>
        <w:pStyle w:val="CETHeading1"/>
        <w:spacing w:before="60" w:after="60"/>
        <w:rPr>
          <w:lang w:val="en-GB"/>
        </w:rPr>
      </w:pPr>
      <w:r w:rsidRPr="000C5A61">
        <w:rPr>
          <w:lang w:val="en-GB"/>
        </w:rPr>
        <w:t>P</w:t>
      </w:r>
      <w:r w:rsidR="003858AA" w:rsidRPr="000C5A61">
        <w:rPr>
          <w:lang w:val="en-GB"/>
        </w:rPr>
        <w:t>ublic policy</w:t>
      </w:r>
    </w:p>
    <w:p w14:paraId="0D223E2E" w14:textId="157A0C63" w:rsidR="005B489C" w:rsidRPr="000C5A61" w:rsidRDefault="003A6646" w:rsidP="00E625FA">
      <w:pPr>
        <w:pStyle w:val="CETBodytext"/>
        <w:rPr>
          <w:lang w:val="en-GB"/>
        </w:rPr>
      </w:pPr>
      <w:r w:rsidRPr="000C5A61">
        <w:rPr>
          <w:lang w:val="en-GB"/>
        </w:rPr>
        <w:t xml:space="preserve">Public energy policy </w:t>
      </w:r>
      <w:r w:rsidR="008C2B7E" w:rsidRPr="000C5A61">
        <w:rPr>
          <w:lang w:val="en-GB"/>
        </w:rPr>
        <w:t>considered is</w:t>
      </w:r>
      <w:r w:rsidRPr="000C5A61">
        <w:rPr>
          <w:lang w:val="en-GB"/>
        </w:rPr>
        <w:t xml:space="preserve"> the third version of PROURE</w:t>
      </w:r>
      <w:r w:rsidR="008C2B7E" w:rsidRPr="000C5A61">
        <w:rPr>
          <w:lang w:val="en-GB"/>
        </w:rPr>
        <w:t xml:space="preserve"> </w:t>
      </w:r>
      <w:r w:rsidRPr="000C5A61">
        <w:rPr>
          <w:lang w:val="en-GB"/>
        </w:rPr>
        <w:t>for the 2022–2030 period, prepared by the UPME. This version was formally adopted by the Ministry of Mines and Energy through Resolution 40156 of April 29, 2022. The plan establishes guidelines and indicative targets aimed at reducing final energy consumption, improving energy efficiency, and mitigating greenhouse gas emissions.</w:t>
      </w:r>
      <w:r w:rsidR="00E625FA" w:rsidRPr="000C5A61">
        <w:rPr>
          <w:lang w:val="en-GB"/>
        </w:rPr>
        <w:t xml:space="preserve"> </w:t>
      </w:r>
      <w:r w:rsidR="007F4B67" w:rsidRPr="000C5A61">
        <w:rPr>
          <w:lang w:val="en-GB"/>
        </w:rPr>
        <w:t>The policy prioritises efficiency measures in residential end uses, including the replacement of household appliances, efficient lighting, improving the energy performance of buildings, fuel substitution and the promotion of good energy use practices</w:t>
      </w:r>
      <w:r w:rsidR="00E625FA" w:rsidRPr="000C5A61">
        <w:rPr>
          <w:lang w:val="en-GB"/>
        </w:rPr>
        <w:t>. PROURE also incorporates regulatory and economic instruments</w:t>
      </w:r>
      <w:r w:rsidR="0034121C" w:rsidRPr="000C5A61">
        <w:rPr>
          <w:lang w:val="en-GB"/>
        </w:rPr>
        <w:t xml:space="preserve">, </w:t>
      </w:r>
      <w:r w:rsidR="00E625FA" w:rsidRPr="000C5A61">
        <w:rPr>
          <w:lang w:val="en-GB"/>
        </w:rPr>
        <w:t>such as energy labelling, incentive schemes, and consumer information mechanisms</w:t>
      </w:r>
      <w:r w:rsidR="0034121C" w:rsidRPr="000C5A61">
        <w:rPr>
          <w:lang w:val="en-GB"/>
        </w:rPr>
        <w:t xml:space="preserve">, </w:t>
      </w:r>
      <w:r w:rsidR="00E625FA" w:rsidRPr="000C5A61">
        <w:rPr>
          <w:lang w:val="en-GB"/>
        </w:rPr>
        <w:t>to encourage the adoption of efficient technologies and reduce barriers to implementation. These measures aim to progressively lower residential electricity demand and ease pressure on the electricity infrastructure, supporting national energy transition and sustainability objectives.</w:t>
      </w:r>
      <w:r w:rsidR="0034121C" w:rsidRPr="000C5A61">
        <w:rPr>
          <w:lang w:val="en-GB"/>
        </w:rPr>
        <w:t xml:space="preserve"> </w:t>
      </w:r>
      <w:r w:rsidR="00E625FA" w:rsidRPr="000C5A61">
        <w:rPr>
          <w:lang w:val="en-GB"/>
        </w:rPr>
        <w:t>Although PROURE covers additional strategies, such as energy storage, sustainable buildings, electric mobility, and grid digitalisation, these are not considered in this study due to their limited short- to medium-term economic viability, as indicated by cost–benefit ratios below unity (UPME, 2022).</w:t>
      </w:r>
    </w:p>
    <w:p w14:paraId="33344B91" w14:textId="6A8FC34C" w:rsidR="005B489C" w:rsidRPr="000C5A61" w:rsidRDefault="001C3499" w:rsidP="00572356">
      <w:pPr>
        <w:pStyle w:val="CETHeading1"/>
        <w:spacing w:before="60" w:after="60"/>
        <w:rPr>
          <w:lang w:val="en-GB"/>
        </w:rPr>
      </w:pPr>
      <w:r w:rsidRPr="000C5A61">
        <w:rPr>
          <w:lang w:val="en-GB"/>
        </w:rPr>
        <w:t>Methodology</w:t>
      </w:r>
    </w:p>
    <w:p w14:paraId="4F0C93B6" w14:textId="11781DFC" w:rsidR="00343EDE" w:rsidRPr="000C5A61" w:rsidRDefault="00B70555" w:rsidP="00600535">
      <w:pPr>
        <w:pStyle w:val="CETBodytext"/>
        <w:rPr>
          <w:lang w:val="en-GB"/>
        </w:rPr>
      </w:pPr>
      <w:r w:rsidRPr="000C5A61">
        <w:rPr>
          <w:lang w:val="en-GB"/>
        </w:rPr>
        <w:t>The proposed methodology is divided into two sections: demand forecasting and the structuring of the MOMILP optimisation model</w:t>
      </w:r>
      <w:r w:rsidR="00582A01" w:rsidRPr="000C5A61">
        <w:rPr>
          <w:lang w:val="en-GB"/>
        </w:rPr>
        <w:t>.</w:t>
      </w:r>
    </w:p>
    <w:p w14:paraId="61A9B77A" w14:textId="278863C1" w:rsidR="00600535" w:rsidRPr="000C5A61" w:rsidRDefault="00F57AE4" w:rsidP="00572356">
      <w:pPr>
        <w:pStyle w:val="CETheadingx"/>
        <w:rPr>
          <w:lang w:val="en-GB"/>
        </w:rPr>
      </w:pPr>
      <w:r w:rsidRPr="000C5A61">
        <w:rPr>
          <w:lang w:val="en-GB"/>
        </w:rPr>
        <w:t>Electricity demand</w:t>
      </w:r>
    </w:p>
    <w:p w14:paraId="2B4730DA" w14:textId="4BC5B18A" w:rsidR="00A45EF6" w:rsidRPr="000C5A61" w:rsidRDefault="00F102E6" w:rsidP="00625DC0">
      <w:pPr>
        <w:pStyle w:val="CETBodytext"/>
        <w:rPr>
          <w:lang w:val="en-GB"/>
        </w:rPr>
      </w:pPr>
      <w:r w:rsidRPr="000C5A61">
        <w:rPr>
          <w:lang w:val="en-GB"/>
        </w:rPr>
        <w:t>Electricity demand is projected under the trend and PROURE public policy implementation scenarios for the case study of Silos, Colombia</w:t>
      </w:r>
      <w:r w:rsidR="00F57AE4" w:rsidRPr="000C5A61">
        <w:rPr>
          <w:lang w:val="en-GB"/>
        </w:rPr>
        <w:t>.</w:t>
      </w:r>
    </w:p>
    <w:p w14:paraId="05160B32" w14:textId="32EA07BA" w:rsidR="00BF0BEE" w:rsidRPr="000C5A61" w:rsidRDefault="00BF0BEE" w:rsidP="00572356">
      <w:pPr>
        <w:pStyle w:val="CETBodytext"/>
        <w:spacing w:before="60" w:after="60"/>
        <w:rPr>
          <w:b/>
          <w:bCs/>
          <w:lang w:val="en-GB"/>
        </w:rPr>
      </w:pPr>
      <w:r w:rsidRPr="000C5A61">
        <w:rPr>
          <w:b/>
          <w:bCs/>
          <w:lang w:val="en-GB"/>
        </w:rPr>
        <w:lastRenderedPageBreak/>
        <w:t>3.1.1 Cas</w:t>
      </w:r>
      <w:r w:rsidR="00593A19" w:rsidRPr="000C5A61">
        <w:rPr>
          <w:b/>
          <w:bCs/>
          <w:lang w:val="en-GB"/>
        </w:rPr>
        <w:t>e study</w:t>
      </w:r>
    </w:p>
    <w:p w14:paraId="46F95138" w14:textId="38D6BA37" w:rsidR="00BF0BEE" w:rsidRPr="000C5A61" w:rsidRDefault="003D73D4" w:rsidP="003D73D4">
      <w:pPr>
        <w:pStyle w:val="CETBodytext"/>
        <w:rPr>
          <w:lang w:val="en-GB"/>
        </w:rPr>
      </w:pPr>
      <w:r w:rsidRPr="000C5A61">
        <w:rPr>
          <w:lang w:val="en-GB"/>
        </w:rPr>
        <w:t>The municipality of Silos, Colombia, was selected as a case study because 64.6% of its area is located within the Santurbán Páramo, a strategic ecosystem responsible for supplying potable water to approximately 2.5 million people. In addition, the local economy is based mainly on agriculture. The region consists of a municipal capital connected to the National Interconnected System and decentralised areas that depend mainly on diesel-powered electricity generation plants.</w:t>
      </w:r>
      <w:r w:rsidR="00885EFC" w:rsidRPr="000C5A61">
        <w:rPr>
          <w:lang w:val="en-GB"/>
        </w:rPr>
        <w:t xml:space="preserve"> </w:t>
      </w:r>
      <w:r w:rsidRPr="000C5A61">
        <w:rPr>
          <w:lang w:val="en-GB"/>
        </w:rPr>
        <w:t>Considering 2018 as the baseline, the municipality has a population of 7,046 inhabitants and an annual electricity demand of 2,861.13 kWh. Solar radiation and wind speed data were obtained from the NASA POWER tool. Information associated w</w:t>
      </w:r>
      <w:bookmarkStart w:id="1" w:name="_GoBack"/>
      <w:bookmarkEnd w:id="1"/>
      <w:r w:rsidRPr="000C5A61">
        <w:rPr>
          <w:lang w:val="en-GB"/>
        </w:rPr>
        <w:t>ith biomass availability in the region was extracted from the AGRONET database, while the other input parameters necessary for model implementation were collected from official sources, including IRENA, the Single Information System (SUI), the Mining and Energy Planning Unit (UPME), and the Ministry of Mines and Energy.</w:t>
      </w:r>
      <w:r w:rsidR="00885EFC" w:rsidRPr="000C5A61">
        <w:rPr>
          <w:lang w:val="en-GB"/>
        </w:rPr>
        <w:t xml:space="preserve"> </w:t>
      </w:r>
      <w:r w:rsidRPr="000C5A61">
        <w:rPr>
          <w:lang w:val="en-GB"/>
        </w:rPr>
        <w:t>Among the different agricultural residues identified, potatoes were selected as the primary source for the biomass gasifier, as they have a moisture content of less than 40%, which favours their efficient use in electricity generation.</w:t>
      </w:r>
    </w:p>
    <w:p w14:paraId="0C995BD9" w14:textId="349FB0CA" w:rsidR="000F618F" w:rsidRPr="000C5A61" w:rsidRDefault="00BF0BEE" w:rsidP="00572356">
      <w:pPr>
        <w:pStyle w:val="CETBodytext"/>
        <w:spacing w:before="60" w:after="60"/>
        <w:rPr>
          <w:b/>
          <w:bCs/>
          <w:lang w:val="en-GB"/>
        </w:rPr>
      </w:pPr>
      <w:r w:rsidRPr="000C5A61">
        <w:rPr>
          <w:b/>
          <w:bCs/>
          <w:lang w:val="en-GB"/>
        </w:rPr>
        <w:t xml:space="preserve">3.1.2 </w:t>
      </w:r>
      <w:r w:rsidR="00A61FCA" w:rsidRPr="000C5A61">
        <w:rPr>
          <w:b/>
          <w:bCs/>
          <w:lang w:val="en-GB"/>
        </w:rPr>
        <w:t>Scenarios</w:t>
      </w:r>
    </w:p>
    <w:p w14:paraId="4A576993" w14:textId="1CD5F9C9" w:rsidR="00661A02" w:rsidRPr="000C5A61" w:rsidRDefault="00A61FCA" w:rsidP="00D60656">
      <w:pPr>
        <w:pStyle w:val="CETBodytext"/>
        <w:rPr>
          <w:lang w:val="en-GB"/>
        </w:rPr>
      </w:pPr>
      <w:r w:rsidRPr="000C5A61">
        <w:rPr>
          <w:lang w:val="en-GB"/>
        </w:rPr>
        <w:t>The scenarios analysed correspond to the trend scenario and the scenario of 100% compliance with Colombia's PROURE public policy. The trend scenario is based on the projection of electricity demand using growth rates obtained from historical data from the Single Information System (SUI) and information reported by Becerra J. (2024). The policy scenario, meanwhile, considers the electricity demand projection incorporating the increases in energy efficiency established by the PROURE policy. The electricity demand projections for both scenarios were obtained using the time series analysis tool in the LEAP software</w:t>
      </w:r>
      <w:r w:rsidR="00D60656" w:rsidRPr="000C5A61">
        <w:rPr>
          <w:lang w:val="en-GB"/>
        </w:rPr>
        <w:t>.</w:t>
      </w:r>
    </w:p>
    <w:p w14:paraId="628AA77A" w14:textId="1F0BCFAC" w:rsidR="00661A02" w:rsidRPr="000C5A61" w:rsidRDefault="00EC7849" w:rsidP="00572356">
      <w:pPr>
        <w:pStyle w:val="CETBodytext"/>
        <w:spacing w:before="60" w:after="60"/>
        <w:rPr>
          <w:b/>
          <w:bCs/>
          <w:lang w:val="en-GB"/>
        </w:rPr>
      </w:pPr>
      <w:r w:rsidRPr="000C5A61">
        <w:rPr>
          <w:b/>
          <w:bCs/>
          <w:lang w:val="en-GB"/>
        </w:rPr>
        <w:t xml:space="preserve">3.2 </w:t>
      </w:r>
      <w:r w:rsidR="002B395B" w:rsidRPr="000C5A61">
        <w:rPr>
          <w:b/>
          <w:bCs/>
          <w:lang w:val="en-GB"/>
        </w:rPr>
        <w:t>Optimisation model</w:t>
      </w:r>
    </w:p>
    <w:p w14:paraId="20A038A6" w14:textId="1D5431E0" w:rsidR="008A70BD" w:rsidRPr="000C5A61" w:rsidRDefault="002B395B" w:rsidP="0011488F">
      <w:pPr>
        <w:pStyle w:val="CETBodytext"/>
        <w:rPr>
          <w:lang w:val="en-GB"/>
        </w:rPr>
      </w:pPr>
      <w:r w:rsidRPr="000C5A61">
        <w:rPr>
          <w:lang w:val="en-GB"/>
        </w:rPr>
        <w:t xml:space="preserve">The structured optimisation model used in this study is described in Cabrera N. et al. (2025) and corresponds to a MOMILP model. This mathematical model seeks to minimise the </w:t>
      </w:r>
      <w:r w:rsidR="008B737D" w:rsidRPr="000C5A61">
        <w:rPr>
          <w:lang w:val="en-GB"/>
        </w:rPr>
        <w:t>NPV,</w:t>
      </w:r>
      <w:r w:rsidRPr="000C5A61">
        <w:rPr>
          <w:lang w:val="en-GB"/>
        </w:rPr>
        <w:t xml:space="preserve"> and total CO</w:t>
      </w:r>
      <w:r w:rsidRPr="000C5A61">
        <w:rPr>
          <w:vertAlign w:val="subscript"/>
          <w:lang w:val="en-GB"/>
        </w:rPr>
        <w:t>2</w:t>
      </w:r>
      <w:r w:rsidRPr="000C5A61">
        <w:rPr>
          <w:lang w:val="en-GB"/>
        </w:rPr>
        <w:t xml:space="preserve"> emissions generated, while considering operational, design and budget constraints. The technologies evaluated include photovoltaic solar panels, wind turbines and biomass gasifiers, with diesel power plants as backup systems to ensure the reliability of the electricity supply</w:t>
      </w:r>
      <w:r w:rsidR="00F20CD8" w:rsidRPr="000C5A61">
        <w:rPr>
          <w:lang w:val="en-GB"/>
        </w:rPr>
        <w:t>. The planning horizon was set at 20 years</w:t>
      </w:r>
      <w:r w:rsidR="007C650D" w:rsidRPr="000C5A61">
        <w:rPr>
          <w:lang w:val="en-GB"/>
        </w:rPr>
        <w:t>.</w:t>
      </w:r>
      <w:r w:rsidR="0011488F" w:rsidRPr="000C5A61">
        <w:rPr>
          <w:lang w:val="en-GB"/>
        </w:rPr>
        <w:t xml:space="preserve"> </w:t>
      </w:r>
    </w:p>
    <w:p w14:paraId="3BA19F80" w14:textId="0D833950" w:rsidR="008A70BD" w:rsidRPr="000C5A61" w:rsidRDefault="008A70BD" w:rsidP="008A70BD">
      <w:pPr>
        <w:pStyle w:val="CETBodytext"/>
        <w:rPr>
          <w:lang w:val="en-GB"/>
        </w:rPr>
      </w:pPr>
      <w:r w:rsidRPr="000C5A61">
        <w:rPr>
          <w:lang w:val="en-GB"/>
        </w:rPr>
        <w:t>Biomass gasifiers are included in the model as a strategic technology due to their potential to valorise the large volumes of locally available residual biomass, mitigate the environmental impacts associated with its inadequate disposal, support the transition towards cleaner fuels promoted by the PROURE public policy, and contribute to the development of a circular economy. However, under purely economic optimisation criteria, the model tends to exclude this technology, as its investment and operating costs, as well as its associated C</w:t>
      </w:r>
      <w:r w:rsidR="00936349" w:rsidRPr="000C5A61">
        <w:rPr>
          <w:lang w:val="en-GB"/>
        </w:rPr>
        <w:t>O</w:t>
      </w:r>
      <w:r w:rsidR="00936349" w:rsidRPr="000C5A61">
        <w:rPr>
          <w:vertAlign w:val="subscript"/>
          <w:lang w:val="en-GB"/>
        </w:rPr>
        <w:t>2</w:t>
      </w:r>
      <w:r w:rsidRPr="000C5A61">
        <w:rPr>
          <w:lang w:val="en-GB"/>
        </w:rPr>
        <w:t xml:space="preserve"> emissions, are higher than those of other available alternatives, particularly in a context of relatively low electricity demand. For this reason, the constraint defined in Eq(1) was introduced as a deliberate modelling decision to ensure the representation of biomass gasifiers in the optimal </w:t>
      </w:r>
      <w:r w:rsidR="000851CA" w:rsidRPr="000C5A61">
        <w:rPr>
          <w:lang w:val="en-GB"/>
        </w:rPr>
        <w:t>energy matrix</w:t>
      </w:r>
      <w:r w:rsidRPr="000C5A61">
        <w:rPr>
          <w:lang w:val="en-GB"/>
        </w:rPr>
        <w:t>. This constraint imposes a minimum contribution of 2% of the total energy generated (</w:t>
      </w:r>
      <m:oMath>
        <m:r>
          <w:rPr>
            <w:rFonts w:ascii="Cambria Math" w:eastAsiaTheme="minorEastAsia" w:hAnsi="Cambria Math" w:cs="Arial"/>
            <w:szCs w:val="18"/>
            <w:lang w:val="en-GB"/>
          </w:rPr>
          <m:t>En</m:t>
        </m:r>
        <m:sSub>
          <m:sSubPr>
            <m:ctrlPr>
              <w:rPr>
                <w:rFonts w:ascii="Cambria Math" w:eastAsiaTheme="minorEastAsia" w:hAnsi="Cambria Math" w:cs="Arial"/>
                <w:i/>
                <w:szCs w:val="18"/>
                <w:lang w:val="en-GB"/>
              </w:rPr>
            </m:ctrlPr>
          </m:sSubPr>
          <m:e>
            <m:r>
              <w:rPr>
                <w:rFonts w:ascii="Cambria Math" w:eastAsiaTheme="minorEastAsia" w:hAnsi="Cambria Math" w:cs="Arial"/>
                <w:szCs w:val="18"/>
                <w:lang w:val="en-GB"/>
              </w:rPr>
              <m:t>G_Total</m:t>
            </m:r>
          </m:e>
          <m:sub>
            <m:r>
              <w:rPr>
                <w:rFonts w:ascii="Cambria Math" w:eastAsiaTheme="minorEastAsia" w:hAnsi="Cambria Math" w:cs="Arial"/>
                <w:szCs w:val="18"/>
                <w:lang w:val="en-GB"/>
              </w:rPr>
              <m:t>p,t</m:t>
            </m:r>
          </m:sub>
        </m:sSub>
      </m:oMath>
      <w:r w:rsidRPr="000C5A61">
        <w:rPr>
          <w:lang w:val="en-GB"/>
        </w:rPr>
        <w:t>) by all plants p over time periods t, supplied by biomass gasifiers (</w:t>
      </w:r>
      <m:oMath>
        <m:r>
          <w:rPr>
            <w:rFonts w:ascii="Cambria Math" w:hAnsi="Cambria Math"/>
            <w:lang w:val="en-GB"/>
          </w:rPr>
          <m:t>E</m:t>
        </m:r>
        <m:r>
          <w:rPr>
            <w:rFonts w:ascii="Cambria Math" w:eastAsiaTheme="minorEastAsia" w:hAnsi="Cambria Math" w:cs="Arial"/>
            <w:sz w:val="20"/>
            <w:lang w:val="en-GB"/>
          </w:rPr>
          <m:t>n</m:t>
        </m:r>
        <m:sSub>
          <m:sSubPr>
            <m:ctrlPr>
              <w:rPr>
                <w:rFonts w:ascii="Cambria Math" w:eastAsiaTheme="minorEastAsia" w:hAnsi="Cambria Math" w:cs="Arial"/>
                <w:i/>
                <w:sz w:val="20"/>
                <w:lang w:val="en-GB"/>
              </w:rPr>
            </m:ctrlPr>
          </m:sSubPr>
          <m:e>
            <m:r>
              <w:rPr>
                <w:rFonts w:ascii="Cambria Math" w:eastAsiaTheme="minorEastAsia" w:hAnsi="Cambria Math" w:cs="Arial"/>
                <w:sz w:val="20"/>
                <w:lang w:val="en-GB"/>
              </w:rPr>
              <m:t>G</m:t>
            </m:r>
          </m:e>
          <m:sub>
            <m:r>
              <w:rPr>
                <w:rFonts w:ascii="Cambria Math" w:eastAsiaTheme="minorEastAsia" w:hAnsi="Cambria Math" w:cs="Arial"/>
                <w:sz w:val="20"/>
                <w:lang w:val="en-GB"/>
              </w:rPr>
              <m:t>p=bg, t</m:t>
            </m:r>
          </m:sub>
        </m:sSub>
      </m:oMath>
      <w:r w:rsidRPr="000C5A61">
        <w:rPr>
          <w:lang w:val="en-GB"/>
        </w:rPr>
        <w:t>). The selected threshold does not aim to artificially favour this technology, but rather to guarantee its inclusion at a realistic and limited scale, consistent with the territorial conditions and with the maximum feasible contribution identified by the model across the analysed scenarios. This methodological choice allows the assessment of the systemic impacts of incorporating a strategically relevant but economically disadvantaged technology, without distorting the overall optimisation results.</w:t>
      </w:r>
    </w:p>
    <w:tbl>
      <w:tblPr>
        <w:tblStyle w:val="Tablaconcuadrcula1"/>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5"/>
        <w:gridCol w:w="452"/>
      </w:tblGrid>
      <w:tr w:rsidR="00557230" w:rsidRPr="000C5A61" w14:paraId="0A99A289" w14:textId="77777777" w:rsidTr="0090545B">
        <w:tc>
          <w:tcPr>
            <w:tcW w:w="4743" w:type="pct"/>
            <w:hideMark/>
          </w:tcPr>
          <w:p w14:paraId="722E6F6E" w14:textId="2B636804" w:rsidR="00557230" w:rsidRPr="000C5A61" w:rsidRDefault="000C08D0" w:rsidP="0090545B">
            <w:pPr>
              <w:rPr>
                <w:rFonts w:eastAsiaTheme="minorEastAsia" w:cs="Arial"/>
                <w:iCs/>
                <w:sz w:val="20"/>
              </w:rPr>
            </w:pPr>
            <m:oMath>
              <m:nary>
                <m:naryPr>
                  <m:chr m:val="∑"/>
                  <m:limLoc m:val="undOvr"/>
                  <m:supHide m:val="1"/>
                  <m:ctrlPr>
                    <w:rPr>
                      <w:rFonts w:ascii="Cambria Math" w:eastAsiaTheme="minorEastAsia" w:hAnsi="Cambria Math" w:cs="Arial"/>
                      <w:i/>
                      <w:szCs w:val="18"/>
                    </w:rPr>
                  </m:ctrlPr>
                </m:naryPr>
                <m:sub>
                  <m:r>
                    <w:rPr>
                      <w:rFonts w:ascii="Cambria Math" w:eastAsiaTheme="minorEastAsia" w:hAnsi="Cambria Math" w:cs="Arial"/>
                      <w:szCs w:val="18"/>
                    </w:rPr>
                    <m:t>t</m:t>
                  </m:r>
                </m:sub>
                <m:sup/>
                <m:e>
                  <m:r>
                    <w:rPr>
                      <w:rFonts w:ascii="Cambria Math" w:eastAsiaTheme="minorEastAsia" w:hAnsi="Cambria Math" w:cs="Arial"/>
                      <w:szCs w:val="18"/>
                    </w:rPr>
                    <m:t>En</m:t>
                  </m:r>
                  <m:sSub>
                    <m:sSubPr>
                      <m:ctrlPr>
                        <w:rPr>
                          <w:rFonts w:ascii="Cambria Math" w:eastAsiaTheme="minorEastAsia" w:hAnsi="Cambria Math" w:cs="Arial"/>
                          <w:i/>
                          <w:szCs w:val="18"/>
                        </w:rPr>
                      </m:ctrlPr>
                    </m:sSubPr>
                    <m:e>
                      <m:r>
                        <w:rPr>
                          <w:rFonts w:ascii="Cambria Math" w:eastAsiaTheme="minorEastAsia" w:hAnsi="Cambria Math" w:cs="Arial"/>
                          <w:szCs w:val="18"/>
                        </w:rPr>
                        <m:t>G</m:t>
                      </m:r>
                    </m:e>
                    <m:sub>
                      <m:r>
                        <w:rPr>
                          <w:rFonts w:ascii="Cambria Math" w:eastAsiaTheme="minorEastAsia" w:hAnsi="Cambria Math" w:cs="Arial"/>
                          <w:szCs w:val="18"/>
                        </w:rPr>
                        <m:t>p</m:t>
                      </m:r>
                      <m:r>
                        <w:rPr>
                          <w:rFonts w:ascii="Cambria Math" w:eastAsiaTheme="minorEastAsia" w:hAnsi="Cambria Math" w:cs="Arial"/>
                          <w:szCs w:val="18"/>
                        </w:rPr>
                        <m:t>=</m:t>
                      </m:r>
                      <m:r>
                        <w:rPr>
                          <w:rFonts w:ascii="Cambria Math" w:eastAsiaTheme="minorEastAsia" w:hAnsi="Cambria Math" w:cs="Arial"/>
                          <w:szCs w:val="18"/>
                        </w:rPr>
                        <m:t>bg</m:t>
                      </m:r>
                      <m:r>
                        <w:rPr>
                          <w:rFonts w:ascii="Cambria Math" w:eastAsiaTheme="minorEastAsia" w:hAnsi="Cambria Math" w:cs="Arial"/>
                          <w:szCs w:val="18"/>
                        </w:rPr>
                        <m:t xml:space="preserve">, </m:t>
                      </m:r>
                      <m:r>
                        <w:rPr>
                          <w:rFonts w:ascii="Cambria Math" w:eastAsiaTheme="minorEastAsia" w:hAnsi="Cambria Math" w:cs="Arial"/>
                          <w:szCs w:val="18"/>
                        </w:rPr>
                        <m:t>t</m:t>
                      </m:r>
                    </m:sub>
                  </m:sSub>
                </m:e>
              </m:nary>
              <m:r>
                <w:rPr>
                  <w:rFonts w:ascii="Cambria Math" w:eastAsiaTheme="minorEastAsia" w:hAnsi="Cambria Math" w:cs="Arial"/>
                  <w:szCs w:val="18"/>
                </w:rPr>
                <m:t>≥ 0.02</m:t>
              </m:r>
              <m:r>
                <w:rPr>
                  <w:rFonts w:ascii="Cambria Math" w:eastAsiaTheme="minorEastAsia" w:hAnsi="Cambria Math" w:cs="Arial"/>
                  <w:szCs w:val="18"/>
                </w:rPr>
                <m:t>*</m:t>
              </m:r>
              <m:nary>
                <m:naryPr>
                  <m:chr m:val="∑"/>
                  <m:limLoc m:val="undOvr"/>
                  <m:supHide m:val="1"/>
                  <m:ctrlPr>
                    <w:rPr>
                      <w:rFonts w:ascii="Cambria Math" w:eastAsiaTheme="minorEastAsia" w:hAnsi="Cambria Math" w:cs="Arial"/>
                      <w:i/>
                      <w:szCs w:val="18"/>
                    </w:rPr>
                  </m:ctrlPr>
                </m:naryPr>
                <m:sub>
                  <m:r>
                    <w:rPr>
                      <w:rFonts w:ascii="Cambria Math" w:eastAsiaTheme="minorEastAsia" w:hAnsi="Cambria Math" w:cs="Arial"/>
                      <w:szCs w:val="18"/>
                    </w:rPr>
                    <m:t>t</m:t>
                  </m:r>
                </m:sub>
                <m:sup/>
                <m:e>
                  <m:r>
                    <w:rPr>
                      <w:rFonts w:ascii="Cambria Math" w:eastAsiaTheme="minorEastAsia" w:hAnsi="Cambria Math" w:cs="Arial"/>
                      <w:szCs w:val="18"/>
                    </w:rPr>
                    <m:t>[</m:t>
                  </m:r>
                  <m:nary>
                    <m:naryPr>
                      <m:chr m:val="∑"/>
                      <m:limLoc m:val="undOvr"/>
                      <m:supHide m:val="1"/>
                      <m:ctrlPr>
                        <w:rPr>
                          <w:rFonts w:ascii="Cambria Math" w:eastAsiaTheme="minorEastAsia" w:hAnsi="Cambria Math" w:cs="Arial"/>
                          <w:i/>
                          <w:szCs w:val="18"/>
                        </w:rPr>
                      </m:ctrlPr>
                    </m:naryPr>
                    <m:sub>
                      <m:r>
                        <w:rPr>
                          <w:rFonts w:ascii="Cambria Math" w:eastAsiaTheme="minorEastAsia" w:hAnsi="Cambria Math" w:cs="Arial"/>
                          <w:szCs w:val="18"/>
                        </w:rPr>
                        <m:t>p</m:t>
                      </m:r>
                    </m:sub>
                    <m:sup/>
                    <m:e>
                      <m:r>
                        <w:rPr>
                          <w:rFonts w:ascii="Cambria Math" w:eastAsiaTheme="minorEastAsia" w:hAnsi="Cambria Math" w:cs="Arial"/>
                          <w:szCs w:val="18"/>
                        </w:rPr>
                        <m:t>En</m:t>
                      </m:r>
                      <m:sSub>
                        <m:sSubPr>
                          <m:ctrlPr>
                            <w:rPr>
                              <w:rFonts w:ascii="Cambria Math" w:eastAsiaTheme="minorEastAsia" w:hAnsi="Cambria Math" w:cs="Arial"/>
                              <w:i/>
                              <w:szCs w:val="18"/>
                            </w:rPr>
                          </m:ctrlPr>
                        </m:sSubPr>
                        <m:e>
                          <m:r>
                            <w:rPr>
                              <w:rFonts w:ascii="Cambria Math" w:eastAsiaTheme="minorEastAsia" w:hAnsi="Cambria Math" w:cs="Arial"/>
                              <w:szCs w:val="18"/>
                            </w:rPr>
                            <m:t>G</m:t>
                          </m:r>
                          <m:r>
                            <w:rPr>
                              <w:rFonts w:ascii="Cambria Math" w:eastAsiaTheme="minorEastAsia" w:hAnsi="Cambria Math" w:cs="Arial"/>
                              <w:szCs w:val="18"/>
                            </w:rPr>
                            <m:t>_</m:t>
                          </m:r>
                          <m:r>
                            <w:rPr>
                              <w:rFonts w:ascii="Cambria Math" w:eastAsiaTheme="minorEastAsia" w:hAnsi="Cambria Math" w:cs="Arial"/>
                              <w:szCs w:val="18"/>
                            </w:rPr>
                            <m:t>Total</m:t>
                          </m:r>
                        </m:e>
                        <m:sub>
                          <m:r>
                            <w:rPr>
                              <w:rFonts w:ascii="Cambria Math" w:eastAsiaTheme="minorEastAsia" w:hAnsi="Cambria Math" w:cs="Arial"/>
                              <w:szCs w:val="18"/>
                            </w:rPr>
                            <m:t>p</m:t>
                          </m:r>
                          <m:r>
                            <w:rPr>
                              <w:rFonts w:ascii="Cambria Math" w:eastAsiaTheme="minorEastAsia" w:hAnsi="Cambria Math" w:cs="Arial"/>
                              <w:szCs w:val="18"/>
                            </w:rPr>
                            <m:t>,</m:t>
                          </m:r>
                          <m:r>
                            <w:rPr>
                              <w:rFonts w:ascii="Cambria Math" w:eastAsiaTheme="minorEastAsia" w:hAnsi="Cambria Math" w:cs="Arial"/>
                              <w:szCs w:val="18"/>
                            </w:rPr>
                            <m:t>t</m:t>
                          </m:r>
                        </m:sub>
                      </m:sSub>
                    </m:e>
                  </m:nary>
                  <m:r>
                    <w:rPr>
                      <w:rFonts w:ascii="Cambria Math" w:eastAsiaTheme="minorEastAsia" w:hAnsi="Cambria Math" w:cs="Arial"/>
                      <w:szCs w:val="18"/>
                    </w:rPr>
                    <m:t>]</m:t>
                  </m:r>
                </m:e>
              </m:nary>
            </m:oMath>
            <w:r w:rsidR="00557230" w:rsidRPr="000C5A61">
              <w:rPr>
                <w:rFonts w:eastAsiaTheme="minorEastAsia" w:cs="Arial"/>
                <w:iCs/>
                <w:sz w:val="20"/>
              </w:rPr>
              <w:t xml:space="preserve"> </w:t>
            </w:r>
          </w:p>
          <w:p w14:paraId="7A75B130" w14:textId="77777777" w:rsidR="00557230" w:rsidRPr="000C5A61" w:rsidRDefault="00557230" w:rsidP="0090545B">
            <w:pPr>
              <w:rPr>
                <w:rFonts w:cs="Arial"/>
              </w:rPr>
            </w:pPr>
          </w:p>
        </w:tc>
        <w:tc>
          <w:tcPr>
            <w:tcW w:w="257" w:type="pct"/>
            <w:hideMark/>
          </w:tcPr>
          <w:p w14:paraId="101B83BD" w14:textId="6DC76094" w:rsidR="00557230" w:rsidRPr="000C5A61" w:rsidRDefault="00557230" w:rsidP="0090545B">
            <w:pPr>
              <w:jc w:val="right"/>
              <w:rPr>
                <w:rFonts w:cs="Arial"/>
              </w:rPr>
            </w:pPr>
            <w:r w:rsidRPr="000C5A61">
              <w:rPr>
                <w:rFonts w:cs="Arial"/>
              </w:rPr>
              <w:t>(</w:t>
            </w:r>
            <w:r w:rsidR="000D71D3" w:rsidRPr="000C5A61">
              <w:rPr>
                <w:rFonts w:cs="Arial"/>
              </w:rPr>
              <w:t>1</w:t>
            </w:r>
            <w:r w:rsidRPr="000C5A61">
              <w:rPr>
                <w:rFonts w:cs="Arial"/>
              </w:rPr>
              <w:t>)</w:t>
            </w:r>
          </w:p>
        </w:tc>
      </w:tr>
    </w:tbl>
    <w:p w14:paraId="189CEAEB" w14:textId="40D889E2" w:rsidR="007C650D" w:rsidRPr="000C5A61" w:rsidRDefault="00A12C08" w:rsidP="00572356">
      <w:pPr>
        <w:pStyle w:val="CETHeading1"/>
        <w:spacing w:before="60" w:after="60"/>
        <w:rPr>
          <w:lang w:val="en-GB"/>
        </w:rPr>
      </w:pPr>
      <w:r w:rsidRPr="000C5A61">
        <w:rPr>
          <w:lang w:val="en-GB"/>
        </w:rPr>
        <w:t xml:space="preserve">Results </w:t>
      </w:r>
      <w:r w:rsidR="001C3499" w:rsidRPr="000C5A61">
        <w:rPr>
          <w:lang w:val="en-GB"/>
        </w:rPr>
        <w:t>and</w:t>
      </w:r>
      <w:r w:rsidRPr="000C5A61">
        <w:rPr>
          <w:lang w:val="en-GB"/>
        </w:rPr>
        <w:t xml:space="preserve"> </w:t>
      </w:r>
      <w:r w:rsidR="001C3499" w:rsidRPr="000C5A61">
        <w:rPr>
          <w:lang w:val="en-GB"/>
        </w:rPr>
        <w:t>analysis</w:t>
      </w:r>
    </w:p>
    <w:p w14:paraId="075F03E9" w14:textId="5BC51C33" w:rsidR="00A12C08" w:rsidRPr="000C5A61" w:rsidRDefault="008B737D" w:rsidP="00A12C08">
      <w:pPr>
        <w:pStyle w:val="CETBodytext"/>
        <w:rPr>
          <w:lang w:val="en-GB"/>
        </w:rPr>
      </w:pPr>
      <w:r w:rsidRPr="000C5A61">
        <w:rPr>
          <w:lang w:val="en-GB"/>
        </w:rPr>
        <w:t xml:space="preserve">This section </w:t>
      </w:r>
      <w:r w:rsidR="00114062" w:rsidRPr="000C5A61">
        <w:rPr>
          <w:lang w:val="en-GB"/>
        </w:rPr>
        <w:t>presents</w:t>
      </w:r>
      <w:r w:rsidRPr="000C5A61">
        <w:rPr>
          <w:lang w:val="en-GB"/>
        </w:rPr>
        <w:t xml:space="preserve"> the results of the electricity demand projection in the scenarios considered, as well as its influence on the design of energy planning projects.</w:t>
      </w:r>
    </w:p>
    <w:p w14:paraId="54510A37" w14:textId="2AB56AF0" w:rsidR="00976481" w:rsidRPr="000C5A61" w:rsidRDefault="00976481" w:rsidP="00572356">
      <w:pPr>
        <w:pStyle w:val="CETBodytext"/>
        <w:spacing w:before="60" w:after="60"/>
        <w:rPr>
          <w:b/>
          <w:bCs/>
          <w:lang w:val="en-GB"/>
        </w:rPr>
      </w:pPr>
      <w:r w:rsidRPr="000C5A61">
        <w:rPr>
          <w:b/>
          <w:bCs/>
          <w:lang w:val="en-GB"/>
        </w:rPr>
        <w:t xml:space="preserve">4.1 </w:t>
      </w:r>
      <w:r w:rsidR="00A92E0D" w:rsidRPr="000C5A61">
        <w:rPr>
          <w:b/>
          <w:bCs/>
          <w:lang w:val="en-GB"/>
        </w:rPr>
        <w:t>Electricity demand forecast</w:t>
      </w:r>
    </w:p>
    <w:p w14:paraId="31A93DFB" w14:textId="41B27E14" w:rsidR="00AD684C" w:rsidRPr="000C5A61" w:rsidRDefault="00A92E0D" w:rsidP="00A12C08">
      <w:pPr>
        <w:pStyle w:val="CETBodytext"/>
        <w:rPr>
          <w:lang w:val="en-GB"/>
        </w:rPr>
      </w:pPr>
      <w:r w:rsidRPr="000C5A61">
        <w:rPr>
          <w:lang w:val="en-GB"/>
        </w:rPr>
        <w:t xml:space="preserve">Figure 1 shows the projected electricity demand for the residential sector in the municipality of Silos under the scenarios analysed. In the trend scenario, an annual growth rate of 1.7% is observed, while under the PROURE policy, this rate is reduced to 0.72%. As a result, the implementation of the PROURE policy allows for a reduction in electricity consumption in 2040 compared to the trend scenario, reaching a final electricity demand of 3,350 kWh, which represents an approximate decrease of 19% compared to the projected demand of 4,145 kWh in the trend scenario. </w:t>
      </w:r>
      <w:r w:rsidR="003E6AD1" w:rsidRPr="000C5A61">
        <w:rPr>
          <w:lang w:val="en-GB"/>
        </w:rPr>
        <w:t>Therefore, these results show that replacing technological equipment, adopting good energy use practices, implementing efficient lighting systems, changing fuels, and improving the energy performance of buildings constitute an effective strategy that should be implemented in communities</w:t>
      </w:r>
      <w:r w:rsidRPr="000C5A61">
        <w:rPr>
          <w:lang w:val="en-GB"/>
        </w:rPr>
        <w:t>. These measures significantly reduce electricity demand and, consequently, decrease CO</w:t>
      </w:r>
      <w:r w:rsidRPr="000C5A61">
        <w:rPr>
          <w:vertAlign w:val="subscript"/>
          <w:lang w:val="en-GB"/>
        </w:rPr>
        <w:t>2</w:t>
      </w:r>
      <w:r w:rsidRPr="000C5A61">
        <w:rPr>
          <w:lang w:val="en-GB"/>
        </w:rPr>
        <w:t xml:space="preserve"> emissions</w:t>
      </w:r>
      <w:r w:rsidR="00013F1C" w:rsidRPr="000C5A61">
        <w:rPr>
          <w:lang w:val="en-GB"/>
        </w:rPr>
        <w:t xml:space="preserve">, </w:t>
      </w:r>
      <w:r w:rsidR="0044274E" w:rsidRPr="000C5A61">
        <w:rPr>
          <w:lang w:val="en-GB"/>
        </w:rPr>
        <w:t>installed generation capacity</w:t>
      </w:r>
      <w:r w:rsidRPr="000C5A61">
        <w:rPr>
          <w:lang w:val="en-GB"/>
        </w:rPr>
        <w:t xml:space="preserve"> associated with the national energy matrix, as well as the costs of modernising and maintaining existing electricity grids, while also helping to prevent possible congestion in transmission lines.</w:t>
      </w:r>
    </w:p>
    <w:p w14:paraId="5422965E" w14:textId="77777777" w:rsidR="00AA44B0" w:rsidRPr="000C5A61" w:rsidRDefault="00AA44B0" w:rsidP="00AA44B0">
      <w:pPr>
        <w:pStyle w:val="CETBodytext"/>
        <w:rPr>
          <w:lang w:val="en-GB"/>
        </w:rPr>
      </w:pPr>
      <w:r w:rsidRPr="000C5A61">
        <w:rPr>
          <w:noProof/>
          <w:lang w:val="en-GB"/>
        </w:rPr>
        <w:lastRenderedPageBreak/>
        <w:drawing>
          <wp:inline distT="0" distB="0" distL="0" distR="0" wp14:anchorId="77FED630" wp14:editId="4ADA6976">
            <wp:extent cx="4493260" cy="1399309"/>
            <wp:effectExtent l="0" t="0" r="2540" b="0"/>
            <wp:docPr id="1480101215" name="Imagen 1" descr="Gráfico, Gráfico de líne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101215" name="Imagen 1" descr="Gráfico, Gráfico de líneas&#10;&#10;El contenido generado por IA puede ser incorrecto."/>
                    <pic:cNvPicPr>
                      <a:picLocks noChangeAspect="1" noChangeArrowheads="1"/>
                    </pic:cNvPicPr>
                  </pic:nvPicPr>
                  <pic:blipFill rotWithShape="1">
                    <a:blip r:embed="rId10">
                      <a:extLst>
                        <a:ext uri="{28A0092B-C50C-407E-A947-70E740481C1C}">
                          <a14:useLocalDpi xmlns:a14="http://schemas.microsoft.com/office/drawing/2010/main" val="0"/>
                        </a:ext>
                      </a:extLst>
                    </a:blip>
                    <a:srcRect t="3649" b="9236"/>
                    <a:stretch>
                      <a:fillRect/>
                    </a:stretch>
                  </pic:blipFill>
                  <pic:spPr bwMode="auto">
                    <a:xfrm>
                      <a:off x="0" y="0"/>
                      <a:ext cx="4497442" cy="1400611"/>
                    </a:xfrm>
                    <a:prstGeom prst="rect">
                      <a:avLst/>
                    </a:prstGeom>
                    <a:noFill/>
                    <a:ln>
                      <a:noFill/>
                    </a:ln>
                    <a:extLst>
                      <a:ext uri="{53640926-AAD7-44D8-BBD7-CCE9431645EC}">
                        <a14:shadowObscured xmlns:a14="http://schemas.microsoft.com/office/drawing/2010/main"/>
                      </a:ext>
                    </a:extLst>
                  </pic:spPr>
                </pic:pic>
              </a:graphicData>
            </a:graphic>
          </wp:inline>
        </w:drawing>
      </w:r>
    </w:p>
    <w:p w14:paraId="1D90B954" w14:textId="6616D480" w:rsidR="00AA44B0" w:rsidRPr="000C5A61" w:rsidRDefault="00AA44B0" w:rsidP="00AA44B0">
      <w:pPr>
        <w:pStyle w:val="CETBodytext"/>
        <w:spacing w:after="60"/>
        <w:rPr>
          <w:i/>
          <w:iCs/>
          <w:lang w:val="en-GB"/>
        </w:rPr>
      </w:pPr>
      <w:r w:rsidRPr="000C5A61">
        <w:rPr>
          <w:i/>
          <w:iCs/>
          <w:lang w:val="en-GB"/>
        </w:rPr>
        <w:t xml:space="preserve">Figure 1: Forecast of electricity demand in the </w:t>
      </w:r>
      <w:r w:rsidR="00AA24B4" w:rsidRPr="000C5A61">
        <w:rPr>
          <w:i/>
          <w:iCs/>
          <w:lang w:val="en-GB"/>
        </w:rPr>
        <w:t>trend</w:t>
      </w:r>
      <w:r w:rsidRPr="000C5A61">
        <w:rPr>
          <w:i/>
          <w:iCs/>
          <w:lang w:val="en-GB"/>
        </w:rPr>
        <w:t xml:space="preserve"> and PROURE scenarios.</w:t>
      </w:r>
    </w:p>
    <w:p w14:paraId="6E042185" w14:textId="341826AE" w:rsidR="0034121C" w:rsidRPr="000C5A61" w:rsidRDefault="0034121C" w:rsidP="0034121C">
      <w:pPr>
        <w:pStyle w:val="CETBodytext"/>
        <w:spacing w:before="60" w:after="60"/>
        <w:rPr>
          <w:b/>
          <w:bCs/>
          <w:lang w:val="en-GB"/>
        </w:rPr>
      </w:pPr>
      <w:r w:rsidRPr="000C5A61">
        <w:rPr>
          <w:b/>
          <w:bCs/>
          <w:lang w:val="en-GB"/>
        </w:rPr>
        <w:t>4.2 Proposed energy planning project</w:t>
      </w:r>
    </w:p>
    <w:p w14:paraId="2F86D68A" w14:textId="703CDCB5" w:rsidR="0034121C" w:rsidRPr="000C5A61" w:rsidRDefault="0034121C" w:rsidP="0034121C">
      <w:pPr>
        <w:pStyle w:val="CETBodytext"/>
        <w:rPr>
          <w:lang w:val="en-GB"/>
        </w:rPr>
      </w:pPr>
      <w:r w:rsidRPr="000C5A61">
        <w:rPr>
          <w:lang w:val="en-GB"/>
        </w:rPr>
        <w:t xml:space="preserve">This section </w:t>
      </w:r>
      <w:r w:rsidR="0009763A" w:rsidRPr="000C5A61">
        <w:rPr>
          <w:lang w:val="en-GB"/>
        </w:rPr>
        <w:t>presents</w:t>
      </w:r>
      <w:r w:rsidRPr="000C5A61">
        <w:rPr>
          <w:lang w:val="en-GB"/>
        </w:rPr>
        <w:t xml:space="preserve"> the resulting energy matrices proposed to meet electricity demand under the trend and PROURE scenarios, as well as their subsequent comparison.</w:t>
      </w:r>
    </w:p>
    <w:p w14:paraId="53E5B25C" w14:textId="77777777" w:rsidR="0000568C" w:rsidRPr="000C5A61" w:rsidRDefault="0000568C" w:rsidP="0000568C">
      <w:pPr>
        <w:pStyle w:val="CETBodytext"/>
        <w:spacing w:before="60" w:after="60"/>
        <w:rPr>
          <w:b/>
          <w:bCs/>
          <w:lang w:val="en-GB"/>
        </w:rPr>
      </w:pPr>
      <w:r w:rsidRPr="000C5A61">
        <w:rPr>
          <w:b/>
          <w:bCs/>
          <w:lang w:val="en-GB"/>
        </w:rPr>
        <w:t>4.2.1 Energy matrix – trend scenario</w:t>
      </w:r>
    </w:p>
    <w:p w14:paraId="2054BDDA" w14:textId="049260FF" w:rsidR="0034121C" w:rsidRPr="000C5A61" w:rsidRDefault="0000568C" w:rsidP="00C97BED">
      <w:pPr>
        <w:pStyle w:val="CETBodytext"/>
        <w:rPr>
          <w:lang w:val="en-GB"/>
        </w:rPr>
      </w:pPr>
      <w:r w:rsidRPr="000C5A61">
        <w:rPr>
          <w:lang w:val="en-GB"/>
        </w:rPr>
        <w:t>The alternatives obtained from the Pareto diagram between NPV and CO</w:t>
      </w:r>
      <w:r w:rsidRPr="000C5A61">
        <w:rPr>
          <w:vertAlign w:val="subscript"/>
          <w:lang w:val="en-GB"/>
        </w:rPr>
        <w:t>2</w:t>
      </w:r>
      <w:r w:rsidRPr="000C5A61">
        <w:rPr>
          <w:lang w:val="en-GB"/>
        </w:rPr>
        <w:t xml:space="preserve"> emissions for the trend scenario are shown in Figure 2. Negative NPV values represent gains associated with the sale of surplus electricity. The Pareto diagram shows an inverse relationship between the two objective functions, indicating that prioritising the environmental factor increases the financial cost of the system, and vice versa. The cash flow analysis shows gains ranging from 714.57 USD to 694.41 USD, while total CO</w:t>
      </w:r>
      <w:r w:rsidRPr="000C5A61">
        <w:rPr>
          <w:vertAlign w:val="subscript"/>
          <w:lang w:val="en-GB"/>
        </w:rPr>
        <w:t>2</w:t>
      </w:r>
      <w:r w:rsidRPr="000C5A61">
        <w:rPr>
          <w:lang w:val="en-GB"/>
        </w:rPr>
        <w:t xml:space="preserve"> emissions vary between 169 kgCO</w:t>
      </w:r>
      <w:r w:rsidRPr="000C5A61">
        <w:rPr>
          <w:vertAlign w:val="subscript"/>
          <w:lang w:val="en-GB"/>
        </w:rPr>
        <w:t>2</w:t>
      </w:r>
      <w:r w:rsidRPr="000C5A61">
        <w:rPr>
          <w:lang w:val="en-GB"/>
        </w:rPr>
        <w:t>-eq and 153 kgCO</w:t>
      </w:r>
      <w:r w:rsidRPr="000C5A61">
        <w:rPr>
          <w:vertAlign w:val="subscript"/>
          <w:lang w:val="en-GB"/>
        </w:rPr>
        <w:t>2</w:t>
      </w:r>
      <w:r w:rsidRPr="000C5A61">
        <w:rPr>
          <w:lang w:val="en-GB"/>
        </w:rPr>
        <w:t>-eq, respectively. Additionally, the Pareto diagram shows non-convex behaviour, characterised by an abrupt decrease in NPV between alternatives A7 and A8, while the reduction in emissions occurs gradually. This behaviour can be associated with a significant decrease in the energy generated by one of the power plants.</w:t>
      </w:r>
    </w:p>
    <w:p w14:paraId="250CEF21" w14:textId="79C2E804" w:rsidR="006C6651" w:rsidRPr="000C5A61" w:rsidRDefault="00190E45" w:rsidP="00013BA3">
      <w:pPr>
        <w:pStyle w:val="CETBodytext"/>
        <w:rPr>
          <w:lang w:val="en-GB"/>
        </w:rPr>
      </w:pPr>
      <w:r w:rsidRPr="000C5A61">
        <w:rPr>
          <w:noProof/>
          <w:lang w:val="en-GB"/>
        </w:rPr>
        <w:drawing>
          <wp:inline distT="0" distB="0" distL="0" distR="0" wp14:anchorId="21A908C4" wp14:editId="02C915CA">
            <wp:extent cx="3412911" cy="1468120"/>
            <wp:effectExtent l="0" t="0" r="0" b="0"/>
            <wp:docPr id="1966202954" name="Imagen 1" descr="Gráfico, Gráfico de líne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202954" name="Imagen 1" descr="Gráfico, Gráfico de líneas&#10;&#10;El contenido generado por IA puede ser incorrecto."/>
                    <pic:cNvPicPr/>
                  </pic:nvPicPr>
                  <pic:blipFill>
                    <a:blip r:embed="rId11"/>
                    <a:stretch>
                      <a:fillRect/>
                    </a:stretch>
                  </pic:blipFill>
                  <pic:spPr>
                    <a:xfrm>
                      <a:off x="0" y="0"/>
                      <a:ext cx="3473905" cy="1494357"/>
                    </a:xfrm>
                    <a:prstGeom prst="rect">
                      <a:avLst/>
                    </a:prstGeom>
                  </pic:spPr>
                </pic:pic>
              </a:graphicData>
            </a:graphic>
          </wp:inline>
        </w:drawing>
      </w:r>
    </w:p>
    <w:p w14:paraId="3AEA27B4" w14:textId="32FF5D69" w:rsidR="00697686" w:rsidRPr="000C5A61" w:rsidRDefault="00784518" w:rsidP="00825E33">
      <w:pPr>
        <w:pStyle w:val="CETBodytext"/>
        <w:spacing w:after="120"/>
        <w:rPr>
          <w:i/>
          <w:iCs/>
          <w:lang w:val="en-GB"/>
        </w:rPr>
      </w:pPr>
      <w:r w:rsidRPr="000C5A61">
        <w:rPr>
          <w:i/>
          <w:iCs/>
          <w:lang w:val="en-GB"/>
        </w:rPr>
        <w:t>Figure 2: Pareto diagram in the trend scenario</w:t>
      </w:r>
      <w:r w:rsidR="00697686" w:rsidRPr="000C5A61">
        <w:rPr>
          <w:i/>
          <w:iCs/>
          <w:lang w:val="en-GB"/>
        </w:rPr>
        <w:t>.</w:t>
      </w:r>
    </w:p>
    <w:p w14:paraId="744E4C97" w14:textId="7B154A61" w:rsidR="00F308B3" w:rsidRPr="000C5A61" w:rsidRDefault="00983B7E" w:rsidP="00F96D27">
      <w:pPr>
        <w:spacing w:after="60"/>
      </w:pPr>
      <w:r w:rsidRPr="000C5A61">
        <w:t>T</w:t>
      </w:r>
      <w:r w:rsidR="00784518" w:rsidRPr="000C5A61">
        <w:t>he total energy generated and the total installed capacities of each technology considered throughout the planning horizon</w:t>
      </w:r>
      <w:r w:rsidRPr="000C5A61">
        <w:t xml:space="preserve"> </w:t>
      </w:r>
      <w:r w:rsidR="00334ACD" w:rsidRPr="000C5A61">
        <w:t>is provided in Table 1</w:t>
      </w:r>
      <w:r w:rsidR="00784518" w:rsidRPr="000C5A61">
        <w:t>. The biomass gasifier maintains an installed capacity of 0.015 kW and a total annual generation of 29</w:t>
      </w:r>
      <w:r w:rsidR="00DA16FC" w:rsidRPr="000C5A61">
        <w:t>.</w:t>
      </w:r>
      <w:r w:rsidR="00784518" w:rsidRPr="000C5A61">
        <w:t>83 kWh, as a result of the restriction incorporated in Eq(1). Additionally, there is a reduction in the installed capacities and energy generated by wind turbines and diesel plants. In the case of diesel plants, this decrease is due to their high CO</w:t>
      </w:r>
      <w:r w:rsidR="00784518" w:rsidRPr="000C5A61">
        <w:rPr>
          <w:vertAlign w:val="subscript"/>
        </w:rPr>
        <w:t>2</w:t>
      </w:r>
      <w:r w:rsidR="00784518" w:rsidRPr="000C5A61">
        <w:t xml:space="preserve"> emissions, while for wind turbines it is explained by the low wind speeds in the case study and their higher costs compared to photovoltaic solar panels, which limits their share in the energy matrix. Consequently, the most favoured technology for installation is photovoltaic solar panels, which account for 58% of the total energy generated in alternative A10.</w:t>
      </w:r>
    </w:p>
    <w:p w14:paraId="477953C8" w14:textId="65040E27" w:rsidR="0020197C" w:rsidRPr="000C5A61" w:rsidRDefault="00E34061" w:rsidP="0020197C">
      <w:pPr>
        <w:rPr>
          <w:rFonts w:cs="Arial"/>
          <w:i/>
          <w:iCs/>
        </w:rPr>
      </w:pPr>
      <w:r w:rsidRPr="000C5A61">
        <w:rPr>
          <w:rFonts w:cs="Arial"/>
          <w:i/>
          <w:iCs/>
        </w:rPr>
        <w:t>Table 1: Total energy generated and total installed capacity of the energy matrix in the trend scenario</w:t>
      </w:r>
      <w:r w:rsidR="006F67A9" w:rsidRPr="000C5A61">
        <w:rPr>
          <w:rFonts w:cs="Arial"/>
          <w:i/>
          <w:iCs/>
        </w:rPr>
        <w:t>.</w:t>
      </w:r>
      <w:r w:rsidR="0020197C" w:rsidRPr="000C5A61">
        <w:rPr>
          <w:rFonts w:cs="Arial"/>
          <w:i/>
          <w:iCs/>
        </w:rPr>
        <w:t xml:space="preserve"> </w:t>
      </w:r>
    </w:p>
    <w:tbl>
      <w:tblPr>
        <w:tblW w:w="5000" w:type="pct"/>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097"/>
        <w:gridCol w:w="2037"/>
        <w:gridCol w:w="1583"/>
        <w:gridCol w:w="1945"/>
        <w:gridCol w:w="2125"/>
      </w:tblGrid>
      <w:tr w:rsidR="0020197C" w:rsidRPr="000C5A61" w14:paraId="713B3C20" w14:textId="77777777" w:rsidTr="0090545B">
        <w:tc>
          <w:tcPr>
            <w:tcW w:w="5000" w:type="pct"/>
            <w:gridSpan w:val="5"/>
            <w:tcBorders>
              <w:top w:val="single" w:sz="12" w:space="0" w:color="008000"/>
              <w:bottom w:val="single" w:sz="6" w:space="0" w:color="008000"/>
            </w:tcBorders>
            <w:shd w:val="clear" w:color="auto" w:fill="FFFFFF"/>
          </w:tcPr>
          <w:p w14:paraId="148FF1C8" w14:textId="407E81C1" w:rsidR="0020197C" w:rsidRPr="000C5A61" w:rsidRDefault="00E34061" w:rsidP="0090545B">
            <w:pPr>
              <w:pStyle w:val="CETBodytext"/>
              <w:jc w:val="center"/>
              <w:rPr>
                <w:szCs w:val="18"/>
                <w:lang w:val="en-GB"/>
              </w:rPr>
            </w:pPr>
            <w:r w:rsidRPr="000C5A61">
              <w:rPr>
                <w:szCs w:val="18"/>
                <w:lang w:val="en-GB"/>
              </w:rPr>
              <w:t>Total energy generated (kWh) – Total installed capacity (kW)</w:t>
            </w:r>
          </w:p>
        </w:tc>
      </w:tr>
      <w:tr w:rsidR="0020197C" w:rsidRPr="000C5A61" w14:paraId="44BDC543" w14:textId="77777777" w:rsidTr="00692387">
        <w:tc>
          <w:tcPr>
            <w:tcW w:w="624" w:type="pct"/>
            <w:shd w:val="clear" w:color="auto" w:fill="FFFFFF"/>
          </w:tcPr>
          <w:p w14:paraId="087E99DB" w14:textId="77777777" w:rsidR="0020197C" w:rsidRPr="000C5A61" w:rsidRDefault="0020197C" w:rsidP="0090545B">
            <w:pPr>
              <w:pStyle w:val="CETBodytext"/>
              <w:rPr>
                <w:szCs w:val="18"/>
                <w:lang w:val="en-GB"/>
              </w:rPr>
            </w:pPr>
            <w:r w:rsidRPr="000C5A61">
              <w:rPr>
                <w:rFonts w:cs="Arial"/>
                <w:szCs w:val="18"/>
                <w:lang w:val="en-GB"/>
              </w:rPr>
              <w:t>Alternative</w:t>
            </w:r>
          </w:p>
        </w:tc>
        <w:tc>
          <w:tcPr>
            <w:tcW w:w="1159" w:type="pct"/>
            <w:shd w:val="clear" w:color="auto" w:fill="FFFFFF"/>
          </w:tcPr>
          <w:p w14:paraId="7BE10E58" w14:textId="64B35CC1" w:rsidR="0020197C" w:rsidRPr="000C5A61" w:rsidRDefault="00EC7780" w:rsidP="0090545B">
            <w:pPr>
              <w:pStyle w:val="CETBodytext"/>
              <w:rPr>
                <w:szCs w:val="18"/>
                <w:lang w:val="en-GB"/>
              </w:rPr>
            </w:pPr>
            <w:r w:rsidRPr="000C5A61">
              <w:rPr>
                <w:rFonts w:cs="Arial"/>
                <w:szCs w:val="18"/>
                <w:lang w:val="en-GB"/>
              </w:rPr>
              <w:t>Biomass</w:t>
            </w:r>
            <w:r w:rsidR="00C46F28" w:rsidRPr="000C5A61">
              <w:rPr>
                <w:rFonts w:cs="Arial"/>
                <w:szCs w:val="18"/>
                <w:lang w:val="en-GB"/>
              </w:rPr>
              <w:t xml:space="preserve"> gasifier</w:t>
            </w:r>
          </w:p>
        </w:tc>
        <w:tc>
          <w:tcPr>
            <w:tcW w:w="901" w:type="pct"/>
            <w:shd w:val="clear" w:color="auto" w:fill="FFFFFF"/>
          </w:tcPr>
          <w:p w14:paraId="03F0311F" w14:textId="27B3B48B" w:rsidR="0020197C" w:rsidRPr="000C5A61" w:rsidRDefault="00C46F28" w:rsidP="0090545B">
            <w:pPr>
              <w:pStyle w:val="CETBodytext"/>
              <w:rPr>
                <w:szCs w:val="18"/>
                <w:lang w:val="en-GB"/>
              </w:rPr>
            </w:pPr>
            <w:r w:rsidRPr="000C5A61">
              <w:rPr>
                <w:szCs w:val="18"/>
                <w:lang w:val="en-GB"/>
              </w:rPr>
              <w:t>Diesel plants</w:t>
            </w:r>
          </w:p>
        </w:tc>
        <w:tc>
          <w:tcPr>
            <w:tcW w:w="1107" w:type="pct"/>
            <w:shd w:val="clear" w:color="auto" w:fill="FFFFFF"/>
          </w:tcPr>
          <w:p w14:paraId="30991C26" w14:textId="01EAB428" w:rsidR="0020197C" w:rsidRPr="000C5A61" w:rsidRDefault="00C46F28" w:rsidP="0090545B">
            <w:pPr>
              <w:pStyle w:val="CETBodytext"/>
              <w:ind w:right="-1"/>
              <w:rPr>
                <w:rFonts w:cs="Arial"/>
                <w:szCs w:val="18"/>
                <w:lang w:val="en-GB"/>
              </w:rPr>
            </w:pPr>
            <w:r w:rsidRPr="000C5A61">
              <w:rPr>
                <w:rFonts w:cs="Arial"/>
                <w:szCs w:val="18"/>
                <w:lang w:val="en-GB"/>
              </w:rPr>
              <w:t>Wind turbines</w:t>
            </w:r>
          </w:p>
        </w:tc>
        <w:tc>
          <w:tcPr>
            <w:tcW w:w="1209" w:type="pct"/>
            <w:shd w:val="clear" w:color="auto" w:fill="FFFFFF"/>
          </w:tcPr>
          <w:p w14:paraId="7CD9A5E2" w14:textId="1459D9E8" w:rsidR="0020197C" w:rsidRPr="000C5A61" w:rsidRDefault="00997CB0" w:rsidP="0090545B">
            <w:pPr>
              <w:pStyle w:val="CETBodytext"/>
              <w:ind w:right="-1"/>
              <w:rPr>
                <w:rFonts w:cs="Arial"/>
                <w:szCs w:val="18"/>
                <w:lang w:val="en-GB"/>
              </w:rPr>
            </w:pPr>
            <w:r w:rsidRPr="000C5A61">
              <w:rPr>
                <w:rFonts w:cs="Arial"/>
                <w:szCs w:val="18"/>
                <w:lang w:val="en-GB"/>
              </w:rPr>
              <w:t xml:space="preserve">Photovoltaic </w:t>
            </w:r>
            <w:r w:rsidR="00692387" w:rsidRPr="000C5A61">
              <w:rPr>
                <w:rFonts w:cs="Arial"/>
                <w:szCs w:val="18"/>
                <w:lang w:val="en-GB"/>
              </w:rPr>
              <w:t xml:space="preserve">solar </w:t>
            </w:r>
            <w:r w:rsidRPr="000C5A61">
              <w:rPr>
                <w:rFonts w:cs="Arial"/>
                <w:szCs w:val="18"/>
                <w:lang w:val="en-GB"/>
              </w:rPr>
              <w:t>panels</w:t>
            </w:r>
          </w:p>
        </w:tc>
      </w:tr>
      <w:tr w:rsidR="001E528F" w:rsidRPr="000C5A61" w14:paraId="51DB5512" w14:textId="77777777" w:rsidTr="00692387">
        <w:tc>
          <w:tcPr>
            <w:tcW w:w="624" w:type="pct"/>
            <w:shd w:val="clear" w:color="auto" w:fill="FFFFFF"/>
          </w:tcPr>
          <w:p w14:paraId="3F45866A" w14:textId="77777777" w:rsidR="001E528F" w:rsidRPr="000C5A61" w:rsidRDefault="001E528F" w:rsidP="001E528F">
            <w:pPr>
              <w:pStyle w:val="CETBodytext"/>
              <w:ind w:right="-1"/>
              <w:rPr>
                <w:rFonts w:cs="Arial"/>
                <w:szCs w:val="18"/>
                <w:lang w:val="en-GB"/>
              </w:rPr>
            </w:pPr>
            <w:r w:rsidRPr="000C5A61">
              <w:rPr>
                <w:rFonts w:cs="Arial"/>
                <w:szCs w:val="18"/>
                <w:lang w:val="en-GB"/>
              </w:rPr>
              <w:t>A1</w:t>
            </w:r>
          </w:p>
        </w:tc>
        <w:tc>
          <w:tcPr>
            <w:tcW w:w="1159" w:type="pct"/>
            <w:shd w:val="clear" w:color="auto" w:fill="FFFFFF"/>
            <w:vAlign w:val="bottom"/>
          </w:tcPr>
          <w:p w14:paraId="694259A3" w14:textId="7AD35EA0" w:rsidR="001E528F" w:rsidRPr="000C5A61" w:rsidRDefault="001E528F" w:rsidP="001E528F">
            <w:pPr>
              <w:pStyle w:val="CETBodytext"/>
              <w:ind w:right="-1"/>
              <w:rPr>
                <w:rFonts w:cs="Arial"/>
                <w:szCs w:val="18"/>
                <w:lang w:val="en-GB"/>
              </w:rPr>
            </w:pPr>
            <w:r w:rsidRPr="000C5A61">
              <w:rPr>
                <w:rFonts w:cs="Arial"/>
                <w:color w:val="000000"/>
                <w:szCs w:val="18"/>
                <w:lang w:val="en-GB"/>
              </w:rPr>
              <w:t>29.83 - 0.015</w:t>
            </w:r>
          </w:p>
        </w:tc>
        <w:tc>
          <w:tcPr>
            <w:tcW w:w="901" w:type="pct"/>
            <w:shd w:val="clear" w:color="auto" w:fill="FFFFFF"/>
            <w:vAlign w:val="bottom"/>
          </w:tcPr>
          <w:p w14:paraId="3175A6D8" w14:textId="677F10EE" w:rsidR="001E528F" w:rsidRPr="000C5A61" w:rsidRDefault="001E528F" w:rsidP="001E528F">
            <w:pPr>
              <w:pStyle w:val="CETBodytext"/>
              <w:ind w:right="-1"/>
              <w:rPr>
                <w:rFonts w:cs="Arial"/>
                <w:szCs w:val="18"/>
                <w:lang w:val="en-GB"/>
              </w:rPr>
            </w:pPr>
            <w:r w:rsidRPr="000C5A61">
              <w:rPr>
                <w:rFonts w:cs="Arial"/>
                <w:color w:val="000000"/>
                <w:szCs w:val="18"/>
                <w:lang w:val="en-GB"/>
              </w:rPr>
              <w:t>188.52 - 0.036</w:t>
            </w:r>
          </w:p>
        </w:tc>
        <w:tc>
          <w:tcPr>
            <w:tcW w:w="1107" w:type="pct"/>
            <w:shd w:val="clear" w:color="auto" w:fill="FFFFFF"/>
            <w:vAlign w:val="bottom"/>
          </w:tcPr>
          <w:p w14:paraId="098E8423" w14:textId="65D5DD02" w:rsidR="001E528F" w:rsidRPr="000C5A61" w:rsidRDefault="001E528F" w:rsidP="001E528F">
            <w:pPr>
              <w:pStyle w:val="CETBodytext"/>
              <w:ind w:right="-1"/>
              <w:rPr>
                <w:rFonts w:cs="Arial"/>
                <w:szCs w:val="18"/>
                <w:lang w:val="en-GB"/>
              </w:rPr>
            </w:pPr>
            <w:r w:rsidRPr="000C5A61">
              <w:rPr>
                <w:rFonts w:cs="Arial"/>
                <w:color w:val="000000"/>
                <w:szCs w:val="18"/>
                <w:lang w:val="en-GB"/>
              </w:rPr>
              <w:t>791.76 - 0.025</w:t>
            </w:r>
          </w:p>
        </w:tc>
        <w:tc>
          <w:tcPr>
            <w:tcW w:w="1209" w:type="pct"/>
            <w:shd w:val="clear" w:color="auto" w:fill="FFFFFF"/>
            <w:vAlign w:val="bottom"/>
          </w:tcPr>
          <w:p w14:paraId="3B6FFA1F" w14:textId="7D45F16B" w:rsidR="001E528F" w:rsidRPr="000C5A61" w:rsidRDefault="001E528F" w:rsidP="001E528F">
            <w:pPr>
              <w:pStyle w:val="CETBodytext"/>
              <w:ind w:right="-1"/>
              <w:rPr>
                <w:rFonts w:cs="Arial"/>
                <w:szCs w:val="18"/>
                <w:lang w:val="en-GB"/>
              </w:rPr>
            </w:pPr>
            <w:r w:rsidRPr="000C5A61">
              <w:rPr>
                <w:rFonts w:cs="Arial"/>
                <w:color w:val="000000"/>
                <w:szCs w:val="18"/>
                <w:lang w:val="en-GB"/>
              </w:rPr>
              <w:t>481.73 - 0.06</w:t>
            </w:r>
            <w:r w:rsidR="00692387" w:rsidRPr="000C5A61">
              <w:rPr>
                <w:rFonts w:cs="Arial"/>
                <w:color w:val="000000"/>
                <w:szCs w:val="18"/>
                <w:lang w:val="en-GB"/>
              </w:rPr>
              <w:t>0</w:t>
            </w:r>
          </w:p>
        </w:tc>
      </w:tr>
      <w:tr w:rsidR="001E528F" w:rsidRPr="000C5A61" w14:paraId="31F0DBF9" w14:textId="77777777" w:rsidTr="00692387">
        <w:tc>
          <w:tcPr>
            <w:tcW w:w="624" w:type="pct"/>
            <w:shd w:val="clear" w:color="auto" w:fill="FFFFFF"/>
          </w:tcPr>
          <w:p w14:paraId="665B7D43" w14:textId="77777777" w:rsidR="001E528F" w:rsidRPr="000C5A61" w:rsidRDefault="001E528F" w:rsidP="001E528F">
            <w:pPr>
              <w:pStyle w:val="CETBodytext"/>
              <w:ind w:right="-1"/>
              <w:rPr>
                <w:rFonts w:cs="Arial"/>
                <w:szCs w:val="18"/>
                <w:lang w:val="en-GB"/>
              </w:rPr>
            </w:pPr>
            <w:r w:rsidRPr="000C5A61">
              <w:rPr>
                <w:rFonts w:cs="Arial"/>
                <w:szCs w:val="18"/>
                <w:lang w:val="en-GB"/>
              </w:rPr>
              <w:t>A2</w:t>
            </w:r>
          </w:p>
        </w:tc>
        <w:tc>
          <w:tcPr>
            <w:tcW w:w="1159" w:type="pct"/>
            <w:shd w:val="clear" w:color="auto" w:fill="FFFFFF"/>
            <w:vAlign w:val="bottom"/>
          </w:tcPr>
          <w:p w14:paraId="5EE1587E" w14:textId="19E215D7" w:rsidR="001E528F" w:rsidRPr="000C5A61" w:rsidRDefault="001E528F" w:rsidP="001E528F">
            <w:pPr>
              <w:pStyle w:val="CETBodytext"/>
              <w:ind w:right="-1"/>
              <w:rPr>
                <w:rFonts w:cs="Arial"/>
                <w:szCs w:val="18"/>
                <w:lang w:val="en-GB"/>
              </w:rPr>
            </w:pPr>
            <w:r w:rsidRPr="000C5A61">
              <w:rPr>
                <w:rFonts w:cs="Arial"/>
                <w:color w:val="000000"/>
                <w:szCs w:val="18"/>
                <w:lang w:val="en-GB"/>
              </w:rPr>
              <w:t>29.83 - 0.015</w:t>
            </w:r>
          </w:p>
        </w:tc>
        <w:tc>
          <w:tcPr>
            <w:tcW w:w="901" w:type="pct"/>
            <w:shd w:val="clear" w:color="auto" w:fill="FFFFFF"/>
            <w:vAlign w:val="bottom"/>
          </w:tcPr>
          <w:p w14:paraId="060CBBDC" w14:textId="10B968E9" w:rsidR="001E528F" w:rsidRPr="000C5A61" w:rsidRDefault="001E528F" w:rsidP="001E528F">
            <w:pPr>
              <w:pStyle w:val="CETBodytext"/>
              <w:ind w:right="-1"/>
              <w:rPr>
                <w:rFonts w:cs="Arial"/>
                <w:szCs w:val="18"/>
                <w:lang w:val="en-GB"/>
              </w:rPr>
            </w:pPr>
            <w:r w:rsidRPr="000C5A61">
              <w:rPr>
                <w:rFonts w:cs="Arial"/>
                <w:color w:val="000000"/>
                <w:szCs w:val="18"/>
                <w:lang w:val="en-GB"/>
              </w:rPr>
              <w:t>184.44 - 0.036</w:t>
            </w:r>
          </w:p>
        </w:tc>
        <w:tc>
          <w:tcPr>
            <w:tcW w:w="1107" w:type="pct"/>
            <w:shd w:val="clear" w:color="auto" w:fill="FFFFFF"/>
            <w:vAlign w:val="bottom"/>
          </w:tcPr>
          <w:p w14:paraId="318F917B" w14:textId="588C921B" w:rsidR="001E528F" w:rsidRPr="000C5A61" w:rsidRDefault="001E528F" w:rsidP="001E528F">
            <w:pPr>
              <w:pStyle w:val="CETBodytext"/>
              <w:ind w:right="-1"/>
              <w:rPr>
                <w:rFonts w:cs="Arial"/>
                <w:szCs w:val="18"/>
                <w:lang w:val="en-GB"/>
              </w:rPr>
            </w:pPr>
            <w:r w:rsidRPr="000C5A61">
              <w:rPr>
                <w:rFonts w:cs="Arial"/>
                <w:color w:val="000000"/>
                <w:szCs w:val="18"/>
                <w:lang w:val="en-GB"/>
              </w:rPr>
              <w:t>800.75 - 0.025</w:t>
            </w:r>
          </w:p>
        </w:tc>
        <w:tc>
          <w:tcPr>
            <w:tcW w:w="1209" w:type="pct"/>
            <w:shd w:val="clear" w:color="auto" w:fill="FFFFFF"/>
            <w:vAlign w:val="bottom"/>
          </w:tcPr>
          <w:p w14:paraId="6BCCFC1D" w14:textId="7F4B988B" w:rsidR="001E528F" w:rsidRPr="000C5A61" w:rsidRDefault="001E528F" w:rsidP="001E528F">
            <w:pPr>
              <w:pStyle w:val="CETBodytext"/>
              <w:ind w:right="-1"/>
              <w:rPr>
                <w:rFonts w:cs="Arial"/>
                <w:szCs w:val="18"/>
                <w:lang w:val="en-GB"/>
              </w:rPr>
            </w:pPr>
            <w:r w:rsidRPr="000C5A61">
              <w:rPr>
                <w:rFonts w:cs="Arial"/>
                <w:color w:val="000000"/>
                <w:szCs w:val="18"/>
                <w:lang w:val="en-GB"/>
              </w:rPr>
              <w:t>476.82 - 0.06</w:t>
            </w:r>
            <w:r w:rsidR="00692387" w:rsidRPr="000C5A61">
              <w:rPr>
                <w:rFonts w:cs="Arial"/>
                <w:color w:val="000000"/>
                <w:szCs w:val="18"/>
                <w:lang w:val="en-GB"/>
              </w:rPr>
              <w:t>0</w:t>
            </w:r>
          </w:p>
        </w:tc>
      </w:tr>
      <w:tr w:rsidR="001E528F" w:rsidRPr="000C5A61" w14:paraId="3D840D87" w14:textId="77777777" w:rsidTr="00692387">
        <w:tc>
          <w:tcPr>
            <w:tcW w:w="624" w:type="pct"/>
            <w:shd w:val="clear" w:color="auto" w:fill="FFFFFF"/>
          </w:tcPr>
          <w:p w14:paraId="0033A79E" w14:textId="77777777" w:rsidR="001E528F" w:rsidRPr="000C5A61" w:rsidRDefault="001E528F" w:rsidP="001E528F">
            <w:pPr>
              <w:pStyle w:val="CETBodytext"/>
              <w:ind w:right="-1"/>
              <w:rPr>
                <w:rFonts w:cs="Arial"/>
                <w:szCs w:val="18"/>
                <w:lang w:val="en-GB"/>
              </w:rPr>
            </w:pPr>
            <w:r w:rsidRPr="000C5A61">
              <w:rPr>
                <w:rFonts w:cs="Arial"/>
                <w:szCs w:val="18"/>
                <w:lang w:val="en-GB"/>
              </w:rPr>
              <w:t>A3</w:t>
            </w:r>
          </w:p>
        </w:tc>
        <w:tc>
          <w:tcPr>
            <w:tcW w:w="1159" w:type="pct"/>
            <w:shd w:val="clear" w:color="auto" w:fill="FFFFFF"/>
            <w:vAlign w:val="bottom"/>
          </w:tcPr>
          <w:p w14:paraId="58B208CD" w14:textId="116C9A5F" w:rsidR="001E528F" w:rsidRPr="000C5A61" w:rsidRDefault="001E528F" w:rsidP="001E528F">
            <w:pPr>
              <w:pStyle w:val="CETBodytext"/>
              <w:ind w:right="-1"/>
              <w:rPr>
                <w:rFonts w:cs="Arial"/>
                <w:szCs w:val="18"/>
                <w:lang w:val="en-GB"/>
              </w:rPr>
            </w:pPr>
            <w:r w:rsidRPr="000C5A61">
              <w:rPr>
                <w:rFonts w:cs="Arial"/>
                <w:color w:val="000000"/>
                <w:szCs w:val="18"/>
                <w:lang w:val="en-GB"/>
              </w:rPr>
              <w:t>29.83 - 0.015</w:t>
            </w:r>
          </w:p>
        </w:tc>
        <w:tc>
          <w:tcPr>
            <w:tcW w:w="901" w:type="pct"/>
            <w:shd w:val="clear" w:color="auto" w:fill="FFFFFF"/>
            <w:vAlign w:val="bottom"/>
          </w:tcPr>
          <w:p w14:paraId="4108875A" w14:textId="33FA5C15" w:rsidR="001E528F" w:rsidRPr="000C5A61" w:rsidRDefault="001E528F" w:rsidP="001E528F">
            <w:pPr>
              <w:pStyle w:val="CETBodytext"/>
              <w:ind w:right="-1"/>
              <w:rPr>
                <w:rFonts w:cs="Arial"/>
                <w:szCs w:val="18"/>
                <w:lang w:val="en-GB"/>
              </w:rPr>
            </w:pPr>
            <w:r w:rsidRPr="000C5A61">
              <w:rPr>
                <w:rFonts w:cs="Arial"/>
                <w:color w:val="000000"/>
                <w:szCs w:val="18"/>
                <w:lang w:val="en-GB"/>
              </w:rPr>
              <w:t>183.92 - 0.036</w:t>
            </w:r>
          </w:p>
        </w:tc>
        <w:tc>
          <w:tcPr>
            <w:tcW w:w="1107" w:type="pct"/>
            <w:shd w:val="clear" w:color="auto" w:fill="FFFFFF"/>
            <w:vAlign w:val="bottom"/>
          </w:tcPr>
          <w:p w14:paraId="7F3D589D" w14:textId="23CE03BB" w:rsidR="001E528F" w:rsidRPr="000C5A61" w:rsidRDefault="001E528F" w:rsidP="001E528F">
            <w:pPr>
              <w:pStyle w:val="CETBodytext"/>
              <w:ind w:right="-1"/>
              <w:rPr>
                <w:rFonts w:cs="Arial"/>
                <w:szCs w:val="18"/>
                <w:lang w:val="en-GB"/>
              </w:rPr>
            </w:pPr>
            <w:r w:rsidRPr="000C5A61">
              <w:rPr>
                <w:rFonts w:cs="Arial"/>
                <w:color w:val="000000"/>
                <w:szCs w:val="18"/>
                <w:lang w:val="en-GB"/>
              </w:rPr>
              <w:t>785.99 - 0.025</w:t>
            </w:r>
          </w:p>
        </w:tc>
        <w:tc>
          <w:tcPr>
            <w:tcW w:w="1209" w:type="pct"/>
            <w:shd w:val="clear" w:color="auto" w:fill="FFFFFF"/>
            <w:vAlign w:val="bottom"/>
          </w:tcPr>
          <w:p w14:paraId="6F7D85D4" w14:textId="1228044F" w:rsidR="001E528F" w:rsidRPr="000C5A61" w:rsidRDefault="001E528F" w:rsidP="001E528F">
            <w:pPr>
              <w:pStyle w:val="CETBodytext"/>
              <w:ind w:right="-1"/>
              <w:rPr>
                <w:rFonts w:cs="Arial"/>
                <w:szCs w:val="18"/>
                <w:lang w:val="en-GB"/>
              </w:rPr>
            </w:pPr>
            <w:r w:rsidRPr="000C5A61">
              <w:rPr>
                <w:rFonts w:cs="Arial"/>
                <w:color w:val="000000"/>
                <w:szCs w:val="18"/>
                <w:lang w:val="en-GB"/>
              </w:rPr>
              <w:t>492.10 - 0.06</w:t>
            </w:r>
            <w:r w:rsidR="00692387" w:rsidRPr="000C5A61">
              <w:rPr>
                <w:rFonts w:cs="Arial"/>
                <w:color w:val="000000"/>
                <w:szCs w:val="18"/>
                <w:lang w:val="en-GB"/>
              </w:rPr>
              <w:t>0</w:t>
            </w:r>
          </w:p>
        </w:tc>
      </w:tr>
      <w:tr w:rsidR="001E528F" w:rsidRPr="000C5A61" w14:paraId="2DDDE4B5" w14:textId="77777777" w:rsidTr="00692387">
        <w:tc>
          <w:tcPr>
            <w:tcW w:w="624" w:type="pct"/>
            <w:shd w:val="clear" w:color="auto" w:fill="FFFFFF"/>
          </w:tcPr>
          <w:p w14:paraId="0E07C318" w14:textId="77777777" w:rsidR="001E528F" w:rsidRPr="000C5A61" w:rsidRDefault="001E528F" w:rsidP="001E528F">
            <w:pPr>
              <w:pStyle w:val="CETBodytext"/>
              <w:ind w:right="-1"/>
              <w:rPr>
                <w:rFonts w:cs="Arial"/>
                <w:szCs w:val="18"/>
                <w:lang w:val="en-GB"/>
              </w:rPr>
            </w:pPr>
            <w:r w:rsidRPr="000C5A61">
              <w:rPr>
                <w:rFonts w:cs="Arial"/>
                <w:szCs w:val="18"/>
                <w:lang w:val="en-GB"/>
              </w:rPr>
              <w:t>A4</w:t>
            </w:r>
          </w:p>
        </w:tc>
        <w:tc>
          <w:tcPr>
            <w:tcW w:w="1159" w:type="pct"/>
            <w:shd w:val="clear" w:color="auto" w:fill="FFFFFF"/>
            <w:vAlign w:val="bottom"/>
          </w:tcPr>
          <w:p w14:paraId="5AD43B65" w14:textId="0E6AEA02" w:rsidR="001E528F" w:rsidRPr="000C5A61" w:rsidRDefault="001E528F" w:rsidP="001E528F">
            <w:pPr>
              <w:pStyle w:val="CETBodytext"/>
              <w:ind w:right="-1"/>
              <w:rPr>
                <w:rFonts w:cs="Arial"/>
                <w:szCs w:val="18"/>
                <w:lang w:val="en-GB"/>
              </w:rPr>
            </w:pPr>
            <w:r w:rsidRPr="000C5A61">
              <w:rPr>
                <w:rFonts w:cs="Arial"/>
                <w:color w:val="000000"/>
                <w:szCs w:val="18"/>
                <w:lang w:val="en-GB"/>
              </w:rPr>
              <w:t>29.83 - 0.015</w:t>
            </w:r>
          </w:p>
        </w:tc>
        <w:tc>
          <w:tcPr>
            <w:tcW w:w="901" w:type="pct"/>
            <w:shd w:val="clear" w:color="auto" w:fill="FFFFFF"/>
            <w:vAlign w:val="bottom"/>
          </w:tcPr>
          <w:p w14:paraId="1AF77D11" w14:textId="26AB5644" w:rsidR="001E528F" w:rsidRPr="000C5A61" w:rsidRDefault="001E528F" w:rsidP="001E528F">
            <w:pPr>
              <w:pStyle w:val="CETBodytext"/>
              <w:ind w:right="-1"/>
              <w:rPr>
                <w:rFonts w:cs="Arial"/>
                <w:szCs w:val="18"/>
                <w:lang w:val="en-GB"/>
              </w:rPr>
            </w:pPr>
            <w:r w:rsidRPr="000C5A61">
              <w:rPr>
                <w:rFonts w:cs="Arial"/>
                <w:color w:val="000000"/>
                <w:szCs w:val="18"/>
                <w:lang w:val="en-GB"/>
              </w:rPr>
              <w:t>181.62 - 0.036</w:t>
            </w:r>
          </w:p>
        </w:tc>
        <w:tc>
          <w:tcPr>
            <w:tcW w:w="1107" w:type="pct"/>
            <w:shd w:val="clear" w:color="auto" w:fill="FFFFFF"/>
            <w:vAlign w:val="bottom"/>
          </w:tcPr>
          <w:p w14:paraId="2385B3D1" w14:textId="3171E252" w:rsidR="001E528F" w:rsidRPr="000C5A61" w:rsidRDefault="001E528F" w:rsidP="001E528F">
            <w:pPr>
              <w:pStyle w:val="CETBodytext"/>
              <w:ind w:right="-1"/>
              <w:rPr>
                <w:rFonts w:cs="Arial"/>
                <w:szCs w:val="18"/>
                <w:lang w:val="en-GB"/>
              </w:rPr>
            </w:pPr>
            <w:r w:rsidRPr="000C5A61">
              <w:rPr>
                <w:rFonts w:cs="Arial"/>
                <w:color w:val="000000"/>
                <w:szCs w:val="18"/>
                <w:lang w:val="en-GB"/>
              </w:rPr>
              <w:t>798.73 - 0.025</w:t>
            </w:r>
          </w:p>
        </w:tc>
        <w:tc>
          <w:tcPr>
            <w:tcW w:w="1209" w:type="pct"/>
            <w:shd w:val="clear" w:color="auto" w:fill="FFFFFF"/>
            <w:vAlign w:val="bottom"/>
          </w:tcPr>
          <w:p w14:paraId="5B502D12" w14:textId="243A0F43" w:rsidR="001E528F" w:rsidRPr="000C5A61" w:rsidRDefault="001E528F" w:rsidP="001E528F">
            <w:pPr>
              <w:pStyle w:val="CETBodytext"/>
              <w:ind w:right="-1"/>
              <w:rPr>
                <w:rFonts w:cs="Arial"/>
                <w:szCs w:val="18"/>
                <w:lang w:val="en-GB"/>
              </w:rPr>
            </w:pPr>
            <w:r w:rsidRPr="000C5A61">
              <w:rPr>
                <w:rFonts w:cs="Arial"/>
                <w:color w:val="000000"/>
                <w:szCs w:val="18"/>
                <w:lang w:val="en-GB"/>
              </w:rPr>
              <w:t>481.66 - 0.06</w:t>
            </w:r>
            <w:r w:rsidR="00692387" w:rsidRPr="000C5A61">
              <w:rPr>
                <w:rFonts w:cs="Arial"/>
                <w:color w:val="000000"/>
                <w:szCs w:val="18"/>
                <w:lang w:val="en-GB"/>
              </w:rPr>
              <w:t>0</w:t>
            </w:r>
          </w:p>
        </w:tc>
      </w:tr>
      <w:tr w:rsidR="001E528F" w:rsidRPr="000C5A61" w14:paraId="14877D55" w14:textId="77777777" w:rsidTr="00692387">
        <w:tc>
          <w:tcPr>
            <w:tcW w:w="624" w:type="pct"/>
            <w:shd w:val="clear" w:color="auto" w:fill="FFFFFF"/>
          </w:tcPr>
          <w:p w14:paraId="349BAD13" w14:textId="77777777" w:rsidR="001E528F" w:rsidRPr="000C5A61" w:rsidRDefault="001E528F" w:rsidP="001E528F">
            <w:pPr>
              <w:pStyle w:val="CETBodytext"/>
              <w:ind w:right="-1"/>
              <w:rPr>
                <w:rFonts w:cs="Arial"/>
                <w:szCs w:val="18"/>
                <w:lang w:val="en-GB"/>
              </w:rPr>
            </w:pPr>
            <w:r w:rsidRPr="000C5A61">
              <w:rPr>
                <w:rFonts w:cs="Arial"/>
                <w:szCs w:val="18"/>
                <w:lang w:val="en-GB"/>
              </w:rPr>
              <w:t>A5</w:t>
            </w:r>
          </w:p>
        </w:tc>
        <w:tc>
          <w:tcPr>
            <w:tcW w:w="1159" w:type="pct"/>
            <w:shd w:val="clear" w:color="auto" w:fill="FFFFFF"/>
            <w:vAlign w:val="bottom"/>
          </w:tcPr>
          <w:p w14:paraId="534B8A04" w14:textId="36A00ABF" w:rsidR="001E528F" w:rsidRPr="000C5A61" w:rsidRDefault="001E528F" w:rsidP="001E528F">
            <w:pPr>
              <w:pStyle w:val="CETBodytext"/>
              <w:ind w:right="-1"/>
              <w:rPr>
                <w:rFonts w:cs="Arial"/>
                <w:szCs w:val="18"/>
                <w:lang w:val="en-GB"/>
              </w:rPr>
            </w:pPr>
            <w:r w:rsidRPr="000C5A61">
              <w:rPr>
                <w:rFonts w:cs="Arial"/>
                <w:color w:val="000000"/>
                <w:szCs w:val="18"/>
                <w:lang w:val="en-GB"/>
              </w:rPr>
              <w:t>29.83 - 0.015</w:t>
            </w:r>
          </w:p>
        </w:tc>
        <w:tc>
          <w:tcPr>
            <w:tcW w:w="901" w:type="pct"/>
            <w:shd w:val="clear" w:color="auto" w:fill="FFFFFF"/>
            <w:vAlign w:val="bottom"/>
          </w:tcPr>
          <w:p w14:paraId="13FAACAC" w14:textId="161930DE" w:rsidR="001E528F" w:rsidRPr="000C5A61" w:rsidRDefault="001E528F" w:rsidP="001E528F">
            <w:pPr>
              <w:pStyle w:val="CETBodytext"/>
              <w:ind w:right="-1"/>
              <w:rPr>
                <w:rFonts w:cs="Arial"/>
                <w:szCs w:val="18"/>
                <w:lang w:val="en-GB"/>
              </w:rPr>
            </w:pPr>
            <w:r w:rsidRPr="000C5A61">
              <w:rPr>
                <w:rFonts w:cs="Arial"/>
                <w:color w:val="000000"/>
                <w:szCs w:val="18"/>
                <w:lang w:val="en-GB"/>
              </w:rPr>
              <w:t>179.32 - 0.036</w:t>
            </w:r>
          </w:p>
        </w:tc>
        <w:tc>
          <w:tcPr>
            <w:tcW w:w="1107" w:type="pct"/>
            <w:shd w:val="clear" w:color="auto" w:fill="FFFFFF"/>
            <w:vAlign w:val="bottom"/>
          </w:tcPr>
          <w:p w14:paraId="12BF0792" w14:textId="79041EE8" w:rsidR="001E528F" w:rsidRPr="000C5A61" w:rsidRDefault="001E528F" w:rsidP="001E528F">
            <w:pPr>
              <w:pStyle w:val="CETBodytext"/>
              <w:ind w:right="-1"/>
              <w:rPr>
                <w:rFonts w:cs="Arial"/>
                <w:szCs w:val="18"/>
                <w:lang w:val="en-GB"/>
              </w:rPr>
            </w:pPr>
            <w:r w:rsidRPr="000C5A61">
              <w:rPr>
                <w:rFonts w:cs="Arial"/>
                <w:color w:val="000000"/>
                <w:szCs w:val="18"/>
                <w:lang w:val="en-GB"/>
              </w:rPr>
              <w:t>818.72 - 0.025</w:t>
            </w:r>
          </w:p>
        </w:tc>
        <w:tc>
          <w:tcPr>
            <w:tcW w:w="1209" w:type="pct"/>
            <w:shd w:val="clear" w:color="auto" w:fill="FFFFFF"/>
            <w:vAlign w:val="bottom"/>
          </w:tcPr>
          <w:p w14:paraId="459231A6" w14:textId="62683888" w:rsidR="001E528F" w:rsidRPr="000C5A61" w:rsidRDefault="001E528F" w:rsidP="001E528F">
            <w:pPr>
              <w:pStyle w:val="CETBodytext"/>
              <w:ind w:right="-1"/>
              <w:rPr>
                <w:rFonts w:cs="Arial"/>
                <w:szCs w:val="18"/>
                <w:lang w:val="en-GB"/>
              </w:rPr>
            </w:pPr>
            <w:r w:rsidRPr="000C5A61">
              <w:rPr>
                <w:rFonts w:cs="Arial"/>
                <w:color w:val="000000"/>
                <w:szCs w:val="18"/>
                <w:lang w:val="en-GB"/>
              </w:rPr>
              <w:t>463.98 - 0.06</w:t>
            </w:r>
            <w:r w:rsidR="00692387" w:rsidRPr="000C5A61">
              <w:rPr>
                <w:rFonts w:cs="Arial"/>
                <w:color w:val="000000"/>
                <w:szCs w:val="18"/>
                <w:lang w:val="en-GB"/>
              </w:rPr>
              <w:t>0</w:t>
            </w:r>
          </w:p>
        </w:tc>
      </w:tr>
      <w:tr w:rsidR="001E528F" w:rsidRPr="000C5A61" w14:paraId="0177F6B4" w14:textId="77777777" w:rsidTr="00692387">
        <w:tc>
          <w:tcPr>
            <w:tcW w:w="624" w:type="pct"/>
            <w:shd w:val="clear" w:color="auto" w:fill="FFFFFF"/>
          </w:tcPr>
          <w:p w14:paraId="2CDFD90E" w14:textId="77777777" w:rsidR="001E528F" w:rsidRPr="000C5A61" w:rsidRDefault="001E528F" w:rsidP="001E528F">
            <w:pPr>
              <w:pStyle w:val="CETBodytext"/>
              <w:ind w:right="-1"/>
              <w:rPr>
                <w:rFonts w:cs="Arial"/>
                <w:szCs w:val="18"/>
                <w:lang w:val="en-GB"/>
              </w:rPr>
            </w:pPr>
            <w:r w:rsidRPr="000C5A61">
              <w:rPr>
                <w:rFonts w:cs="Arial"/>
                <w:szCs w:val="18"/>
                <w:lang w:val="en-GB"/>
              </w:rPr>
              <w:t>A6</w:t>
            </w:r>
          </w:p>
        </w:tc>
        <w:tc>
          <w:tcPr>
            <w:tcW w:w="1159" w:type="pct"/>
            <w:shd w:val="clear" w:color="auto" w:fill="FFFFFF"/>
            <w:vAlign w:val="bottom"/>
          </w:tcPr>
          <w:p w14:paraId="2296CA40" w14:textId="34C907D2" w:rsidR="001E528F" w:rsidRPr="000C5A61" w:rsidRDefault="001E528F" w:rsidP="001E528F">
            <w:pPr>
              <w:pStyle w:val="CETBodytext"/>
              <w:ind w:right="-1"/>
              <w:rPr>
                <w:rFonts w:cs="Arial"/>
                <w:szCs w:val="18"/>
                <w:lang w:val="en-GB"/>
              </w:rPr>
            </w:pPr>
            <w:r w:rsidRPr="000C5A61">
              <w:rPr>
                <w:rFonts w:cs="Arial"/>
                <w:color w:val="000000"/>
                <w:szCs w:val="18"/>
                <w:lang w:val="en-GB"/>
              </w:rPr>
              <w:t>29.83 - 0.015</w:t>
            </w:r>
          </w:p>
        </w:tc>
        <w:tc>
          <w:tcPr>
            <w:tcW w:w="901" w:type="pct"/>
            <w:shd w:val="clear" w:color="auto" w:fill="FFFFFF"/>
            <w:vAlign w:val="bottom"/>
          </w:tcPr>
          <w:p w14:paraId="0DD9BCC4" w14:textId="5F747709" w:rsidR="001E528F" w:rsidRPr="000C5A61" w:rsidRDefault="001E528F" w:rsidP="001E528F">
            <w:pPr>
              <w:pStyle w:val="CETBodytext"/>
              <w:ind w:right="-1"/>
              <w:rPr>
                <w:rFonts w:cs="Arial"/>
                <w:szCs w:val="18"/>
                <w:lang w:val="en-GB"/>
              </w:rPr>
            </w:pPr>
            <w:r w:rsidRPr="000C5A61">
              <w:rPr>
                <w:rFonts w:cs="Arial"/>
                <w:color w:val="000000"/>
                <w:szCs w:val="18"/>
                <w:lang w:val="en-GB"/>
              </w:rPr>
              <w:t>177.02 - 0.036</w:t>
            </w:r>
          </w:p>
        </w:tc>
        <w:tc>
          <w:tcPr>
            <w:tcW w:w="1107" w:type="pct"/>
            <w:shd w:val="clear" w:color="auto" w:fill="FFFFFF"/>
            <w:vAlign w:val="bottom"/>
          </w:tcPr>
          <w:p w14:paraId="752B5190" w14:textId="2E22902F" w:rsidR="001E528F" w:rsidRPr="000C5A61" w:rsidRDefault="001E528F" w:rsidP="001E528F">
            <w:pPr>
              <w:pStyle w:val="CETBodytext"/>
              <w:ind w:right="-1"/>
              <w:rPr>
                <w:rFonts w:cs="Arial"/>
                <w:szCs w:val="18"/>
                <w:lang w:val="en-GB"/>
              </w:rPr>
            </w:pPr>
            <w:r w:rsidRPr="000C5A61">
              <w:rPr>
                <w:rFonts w:cs="Arial"/>
                <w:color w:val="000000"/>
                <w:szCs w:val="18"/>
                <w:lang w:val="en-GB"/>
              </w:rPr>
              <w:t>818.53 - 0.025</w:t>
            </w:r>
          </w:p>
        </w:tc>
        <w:tc>
          <w:tcPr>
            <w:tcW w:w="1209" w:type="pct"/>
            <w:shd w:val="clear" w:color="auto" w:fill="FFFFFF"/>
            <w:vAlign w:val="bottom"/>
          </w:tcPr>
          <w:p w14:paraId="19E50184" w14:textId="534DA647" w:rsidR="001E528F" w:rsidRPr="000C5A61" w:rsidRDefault="001E528F" w:rsidP="001E528F">
            <w:pPr>
              <w:pStyle w:val="CETBodytext"/>
              <w:ind w:right="-1"/>
              <w:rPr>
                <w:rFonts w:cs="Arial"/>
                <w:szCs w:val="18"/>
                <w:lang w:val="en-GB"/>
              </w:rPr>
            </w:pPr>
            <w:r w:rsidRPr="000C5A61">
              <w:rPr>
                <w:rFonts w:cs="Arial"/>
                <w:color w:val="000000"/>
                <w:szCs w:val="18"/>
                <w:lang w:val="en-GB"/>
              </w:rPr>
              <w:t>466.46 - 0.06</w:t>
            </w:r>
            <w:r w:rsidR="00692387" w:rsidRPr="000C5A61">
              <w:rPr>
                <w:rFonts w:cs="Arial"/>
                <w:color w:val="000000"/>
                <w:szCs w:val="18"/>
                <w:lang w:val="en-GB"/>
              </w:rPr>
              <w:t>0</w:t>
            </w:r>
          </w:p>
        </w:tc>
      </w:tr>
      <w:tr w:rsidR="001E528F" w:rsidRPr="000C5A61" w14:paraId="057A58D2" w14:textId="77777777" w:rsidTr="00692387">
        <w:tc>
          <w:tcPr>
            <w:tcW w:w="624" w:type="pct"/>
            <w:shd w:val="clear" w:color="auto" w:fill="FFFFFF"/>
          </w:tcPr>
          <w:p w14:paraId="72401162" w14:textId="77777777" w:rsidR="001E528F" w:rsidRPr="000C5A61" w:rsidRDefault="001E528F" w:rsidP="001E528F">
            <w:pPr>
              <w:pStyle w:val="CETBodytext"/>
              <w:ind w:right="-1"/>
              <w:rPr>
                <w:rFonts w:cs="Arial"/>
                <w:szCs w:val="18"/>
                <w:lang w:val="en-GB"/>
              </w:rPr>
            </w:pPr>
            <w:r w:rsidRPr="000C5A61">
              <w:rPr>
                <w:rFonts w:cs="Arial"/>
                <w:szCs w:val="18"/>
                <w:lang w:val="en-GB"/>
              </w:rPr>
              <w:t>A7</w:t>
            </w:r>
          </w:p>
        </w:tc>
        <w:tc>
          <w:tcPr>
            <w:tcW w:w="1159" w:type="pct"/>
            <w:shd w:val="clear" w:color="auto" w:fill="FFFFFF"/>
            <w:vAlign w:val="bottom"/>
          </w:tcPr>
          <w:p w14:paraId="1EE7CD13" w14:textId="1F3DD33D" w:rsidR="001E528F" w:rsidRPr="000C5A61" w:rsidRDefault="001E528F" w:rsidP="001E528F">
            <w:pPr>
              <w:pStyle w:val="CETBodytext"/>
              <w:ind w:right="-1"/>
              <w:rPr>
                <w:rFonts w:cs="Arial"/>
                <w:szCs w:val="18"/>
                <w:lang w:val="en-GB"/>
              </w:rPr>
            </w:pPr>
            <w:r w:rsidRPr="000C5A61">
              <w:rPr>
                <w:rFonts w:cs="Arial"/>
                <w:color w:val="000000"/>
                <w:szCs w:val="18"/>
                <w:lang w:val="en-GB"/>
              </w:rPr>
              <w:t>29.83 - 0.015</w:t>
            </w:r>
          </w:p>
        </w:tc>
        <w:tc>
          <w:tcPr>
            <w:tcW w:w="901" w:type="pct"/>
            <w:shd w:val="clear" w:color="auto" w:fill="FFFFFF"/>
            <w:vAlign w:val="bottom"/>
          </w:tcPr>
          <w:p w14:paraId="3DB30348" w14:textId="12076B90" w:rsidR="001E528F" w:rsidRPr="000C5A61" w:rsidRDefault="001E528F" w:rsidP="001E528F">
            <w:pPr>
              <w:pStyle w:val="CETBodytext"/>
              <w:ind w:right="-1"/>
              <w:rPr>
                <w:rFonts w:cs="Arial"/>
                <w:szCs w:val="18"/>
                <w:lang w:val="en-GB"/>
              </w:rPr>
            </w:pPr>
            <w:r w:rsidRPr="000C5A61">
              <w:rPr>
                <w:rFonts w:cs="Arial"/>
                <w:color w:val="000000"/>
                <w:szCs w:val="18"/>
                <w:lang w:val="en-GB"/>
              </w:rPr>
              <w:t>174.72 - 0.036</w:t>
            </w:r>
          </w:p>
        </w:tc>
        <w:tc>
          <w:tcPr>
            <w:tcW w:w="1107" w:type="pct"/>
            <w:shd w:val="clear" w:color="auto" w:fill="FFFFFF"/>
            <w:vAlign w:val="bottom"/>
          </w:tcPr>
          <w:p w14:paraId="1791AF89" w14:textId="7F02361C" w:rsidR="001E528F" w:rsidRPr="000C5A61" w:rsidRDefault="001E528F" w:rsidP="001E528F">
            <w:pPr>
              <w:pStyle w:val="CETBodytext"/>
              <w:ind w:right="-1"/>
              <w:rPr>
                <w:rFonts w:cs="Arial"/>
                <w:szCs w:val="18"/>
                <w:lang w:val="en-GB"/>
              </w:rPr>
            </w:pPr>
            <w:r w:rsidRPr="000C5A61">
              <w:rPr>
                <w:rFonts w:cs="Arial"/>
                <w:color w:val="000000"/>
                <w:szCs w:val="18"/>
                <w:lang w:val="en-GB"/>
              </w:rPr>
              <w:t>797.20 - 0.027</w:t>
            </w:r>
          </w:p>
        </w:tc>
        <w:tc>
          <w:tcPr>
            <w:tcW w:w="1209" w:type="pct"/>
            <w:shd w:val="clear" w:color="auto" w:fill="FFFFFF"/>
            <w:vAlign w:val="bottom"/>
          </w:tcPr>
          <w:p w14:paraId="4B07CE18" w14:textId="64F0C8B5" w:rsidR="001E528F" w:rsidRPr="000C5A61" w:rsidRDefault="001E528F" w:rsidP="001E528F">
            <w:pPr>
              <w:pStyle w:val="CETBodytext"/>
              <w:ind w:right="-1"/>
              <w:rPr>
                <w:rFonts w:cs="Arial"/>
                <w:szCs w:val="18"/>
                <w:lang w:val="en-GB"/>
              </w:rPr>
            </w:pPr>
            <w:r w:rsidRPr="000C5A61">
              <w:rPr>
                <w:rFonts w:cs="Arial"/>
                <w:color w:val="000000"/>
                <w:szCs w:val="18"/>
                <w:lang w:val="en-GB"/>
              </w:rPr>
              <w:t>490.1</w:t>
            </w:r>
            <w:r w:rsidR="00692387" w:rsidRPr="000C5A61">
              <w:rPr>
                <w:rFonts w:cs="Arial"/>
                <w:color w:val="000000"/>
                <w:szCs w:val="18"/>
                <w:lang w:val="en-GB"/>
              </w:rPr>
              <w:t>0</w:t>
            </w:r>
            <w:r w:rsidRPr="000C5A61">
              <w:rPr>
                <w:rFonts w:cs="Arial"/>
                <w:color w:val="000000"/>
                <w:szCs w:val="18"/>
                <w:lang w:val="en-GB"/>
              </w:rPr>
              <w:t xml:space="preserve"> - 0.06</w:t>
            </w:r>
            <w:r w:rsidR="00692387" w:rsidRPr="000C5A61">
              <w:rPr>
                <w:rFonts w:cs="Arial"/>
                <w:color w:val="000000"/>
                <w:szCs w:val="18"/>
                <w:lang w:val="en-GB"/>
              </w:rPr>
              <w:t>0</w:t>
            </w:r>
          </w:p>
        </w:tc>
      </w:tr>
      <w:tr w:rsidR="001E528F" w:rsidRPr="000C5A61" w14:paraId="0A9A2FBB" w14:textId="77777777" w:rsidTr="00692387">
        <w:tc>
          <w:tcPr>
            <w:tcW w:w="624" w:type="pct"/>
            <w:shd w:val="clear" w:color="auto" w:fill="FFFFFF"/>
          </w:tcPr>
          <w:p w14:paraId="41AE2B8F" w14:textId="77777777" w:rsidR="001E528F" w:rsidRPr="000C5A61" w:rsidRDefault="001E528F" w:rsidP="001E528F">
            <w:pPr>
              <w:pStyle w:val="CETBodytext"/>
              <w:ind w:right="-1"/>
              <w:rPr>
                <w:rFonts w:cs="Arial"/>
                <w:szCs w:val="18"/>
                <w:lang w:val="en-GB"/>
              </w:rPr>
            </w:pPr>
            <w:r w:rsidRPr="000C5A61">
              <w:rPr>
                <w:rFonts w:cs="Arial"/>
                <w:szCs w:val="18"/>
                <w:lang w:val="en-GB"/>
              </w:rPr>
              <w:t>A8</w:t>
            </w:r>
          </w:p>
        </w:tc>
        <w:tc>
          <w:tcPr>
            <w:tcW w:w="1159" w:type="pct"/>
            <w:shd w:val="clear" w:color="auto" w:fill="FFFFFF"/>
            <w:vAlign w:val="bottom"/>
          </w:tcPr>
          <w:p w14:paraId="51C9DA6D" w14:textId="21DD9DBC" w:rsidR="001E528F" w:rsidRPr="000C5A61" w:rsidRDefault="001E528F" w:rsidP="001E528F">
            <w:pPr>
              <w:pStyle w:val="CETBodytext"/>
              <w:ind w:right="-1"/>
              <w:rPr>
                <w:rFonts w:cs="Arial"/>
                <w:szCs w:val="18"/>
                <w:lang w:val="en-GB"/>
              </w:rPr>
            </w:pPr>
            <w:r w:rsidRPr="000C5A61">
              <w:rPr>
                <w:rFonts w:cs="Arial"/>
                <w:color w:val="000000"/>
                <w:szCs w:val="18"/>
                <w:lang w:val="en-GB"/>
              </w:rPr>
              <w:t>29.83 - 0.015</w:t>
            </w:r>
          </w:p>
        </w:tc>
        <w:tc>
          <w:tcPr>
            <w:tcW w:w="901" w:type="pct"/>
            <w:shd w:val="clear" w:color="auto" w:fill="FFFFFF"/>
            <w:vAlign w:val="bottom"/>
          </w:tcPr>
          <w:p w14:paraId="47CD5A65" w14:textId="41B63E3E" w:rsidR="001E528F" w:rsidRPr="000C5A61" w:rsidRDefault="001E528F" w:rsidP="001E528F">
            <w:pPr>
              <w:pStyle w:val="CETBodytext"/>
              <w:ind w:right="-1"/>
              <w:rPr>
                <w:rFonts w:cs="Arial"/>
                <w:szCs w:val="18"/>
                <w:lang w:val="en-GB"/>
              </w:rPr>
            </w:pPr>
            <w:r w:rsidRPr="000C5A61">
              <w:rPr>
                <w:rFonts w:cs="Arial"/>
                <w:color w:val="000000"/>
                <w:szCs w:val="18"/>
                <w:lang w:val="en-GB"/>
              </w:rPr>
              <w:t>172.42 - 0.035</w:t>
            </w:r>
          </w:p>
        </w:tc>
        <w:tc>
          <w:tcPr>
            <w:tcW w:w="1107" w:type="pct"/>
            <w:shd w:val="clear" w:color="auto" w:fill="FFFFFF"/>
            <w:vAlign w:val="bottom"/>
          </w:tcPr>
          <w:p w14:paraId="2C11A384" w14:textId="12E2C49D" w:rsidR="001E528F" w:rsidRPr="000C5A61" w:rsidRDefault="001E528F" w:rsidP="001E528F">
            <w:pPr>
              <w:pStyle w:val="CETBodytext"/>
              <w:ind w:right="-1"/>
              <w:rPr>
                <w:rFonts w:cs="Arial"/>
                <w:szCs w:val="18"/>
                <w:lang w:val="en-GB"/>
              </w:rPr>
            </w:pPr>
            <w:r w:rsidRPr="000C5A61">
              <w:rPr>
                <w:rFonts w:cs="Arial"/>
                <w:color w:val="000000"/>
                <w:szCs w:val="18"/>
                <w:lang w:val="en-GB"/>
              </w:rPr>
              <w:t>521.37 - 0.02</w:t>
            </w:r>
            <w:r w:rsidR="00692387" w:rsidRPr="000C5A61">
              <w:rPr>
                <w:rFonts w:cs="Arial"/>
                <w:color w:val="000000"/>
                <w:szCs w:val="18"/>
                <w:lang w:val="en-GB"/>
              </w:rPr>
              <w:t>0</w:t>
            </w:r>
          </w:p>
        </w:tc>
        <w:tc>
          <w:tcPr>
            <w:tcW w:w="1209" w:type="pct"/>
            <w:shd w:val="clear" w:color="auto" w:fill="FFFFFF"/>
            <w:vAlign w:val="bottom"/>
          </w:tcPr>
          <w:p w14:paraId="3BBADC17" w14:textId="0450BC92" w:rsidR="001E528F" w:rsidRPr="000C5A61" w:rsidRDefault="001E528F" w:rsidP="001E528F">
            <w:pPr>
              <w:pStyle w:val="CETBodytext"/>
              <w:ind w:right="-1"/>
              <w:rPr>
                <w:rFonts w:cs="Arial"/>
                <w:szCs w:val="18"/>
                <w:lang w:val="en-GB"/>
              </w:rPr>
            </w:pPr>
            <w:r w:rsidRPr="000C5A61">
              <w:rPr>
                <w:rFonts w:cs="Arial"/>
                <w:color w:val="000000"/>
                <w:szCs w:val="18"/>
                <w:lang w:val="en-GB"/>
              </w:rPr>
              <w:t>768.23 - 0.092</w:t>
            </w:r>
          </w:p>
        </w:tc>
      </w:tr>
      <w:tr w:rsidR="001E528F" w:rsidRPr="000C5A61" w14:paraId="385C53AD" w14:textId="77777777" w:rsidTr="00692387">
        <w:tc>
          <w:tcPr>
            <w:tcW w:w="624" w:type="pct"/>
            <w:shd w:val="clear" w:color="auto" w:fill="FFFFFF"/>
          </w:tcPr>
          <w:p w14:paraId="5825D673" w14:textId="77777777" w:rsidR="001E528F" w:rsidRPr="000C5A61" w:rsidRDefault="001E528F" w:rsidP="001E528F">
            <w:pPr>
              <w:pStyle w:val="CETBodytext"/>
              <w:ind w:right="-1"/>
              <w:rPr>
                <w:rFonts w:cs="Arial"/>
                <w:szCs w:val="18"/>
                <w:lang w:val="en-GB"/>
              </w:rPr>
            </w:pPr>
            <w:r w:rsidRPr="000C5A61">
              <w:rPr>
                <w:rFonts w:cs="Arial"/>
                <w:szCs w:val="18"/>
                <w:lang w:val="en-GB"/>
              </w:rPr>
              <w:t>A9</w:t>
            </w:r>
          </w:p>
        </w:tc>
        <w:tc>
          <w:tcPr>
            <w:tcW w:w="1159" w:type="pct"/>
            <w:shd w:val="clear" w:color="auto" w:fill="FFFFFF"/>
            <w:vAlign w:val="bottom"/>
          </w:tcPr>
          <w:p w14:paraId="3EA0D87D" w14:textId="4DF8EF37" w:rsidR="001E528F" w:rsidRPr="000C5A61" w:rsidRDefault="001E528F" w:rsidP="001E528F">
            <w:pPr>
              <w:pStyle w:val="CETBodytext"/>
              <w:ind w:right="-1"/>
              <w:rPr>
                <w:rFonts w:cs="Arial"/>
                <w:szCs w:val="18"/>
                <w:lang w:val="en-GB"/>
              </w:rPr>
            </w:pPr>
            <w:r w:rsidRPr="000C5A61">
              <w:rPr>
                <w:rFonts w:cs="Arial"/>
                <w:color w:val="000000"/>
                <w:szCs w:val="18"/>
                <w:lang w:val="en-GB"/>
              </w:rPr>
              <w:t>29.83 - 0.015</w:t>
            </w:r>
          </w:p>
        </w:tc>
        <w:tc>
          <w:tcPr>
            <w:tcW w:w="901" w:type="pct"/>
            <w:shd w:val="clear" w:color="auto" w:fill="FFFFFF"/>
            <w:vAlign w:val="bottom"/>
          </w:tcPr>
          <w:p w14:paraId="3B9DFDAA" w14:textId="077E9C94" w:rsidR="001E528F" w:rsidRPr="000C5A61" w:rsidRDefault="001E528F" w:rsidP="001E528F">
            <w:pPr>
              <w:pStyle w:val="CETBodytext"/>
              <w:ind w:right="-1"/>
              <w:rPr>
                <w:rFonts w:cs="Arial"/>
                <w:szCs w:val="18"/>
                <w:lang w:val="en-GB"/>
              </w:rPr>
            </w:pPr>
            <w:r w:rsidRPr="000C5A61">
              <w:rPr>
                <w:rFonts w:cs="Arial"/>
                <w:color w:val="000000"/>
                <w:szCs w:val="18"/>
                <w:lang w:val="en-GB"/>
              </w:rPr>
              <w:t>170.12 - 0.035</w:t>
            </w:r>
          </w:p>
        </w:tc>
        <w:tc>
          <w:tcPr>
            <w:tcW w:w="1107" w:type="pct"/>
            <w:shd w:val="clear" w:color="auto" w:fill="FFFFFF"/>
            <w:vAlign w:val="bottom"/>
          </w:tcPr>
          <w:p w14:paraId="37193CD3" w14:textId="209D7901" w:rsidR="001E528F" w:rsidRPr="000C5A61" w:rsidRDefault="001E528F" w:rsidP="001E528F">
            <w:pPr>
              <w:pStyle w:val="CETBodytext"/>
              <w:ind w:right="-1"/>
              <w:rPr>
                <w:rFonts w:cs="Arial"/>
                <w:szCs w:val="18"/>
                <w:lang w:val="en-GB"/>
              </w:rPr>
            </w:pPr>
            <w:r w:rsidRPr="000C5A61">
              <w:rPr>
                <w:rFonts w:cs="Arial"/>
                <w:color w:val="000000"/>
                <w:szCs w:val="18"/>
                <w:lang w:val="en-GB"/>
              </w:rPr>
              <w:t>469.18 - 0.02</w:t>
            </w:r>
            <w:r w:rsidR="00692387" w:rsidRPr="000C5A61">
              <w:rPr>
                <w:rFonts w:cs="Arial"/>
                <w:color w:val="000000"/>
                <w:szCs w:val="18"/>
                <w:lang w:val="en-GB"/>
              </w:rPr>
              <w:t>0</w:t>
            </w:r>
          </w:p>
        </w:tc>
        <w:tc>
          <w:tcPr>
            <w:tcW w:w="1209" w:type="pct"/>
            <w:shd w:val="clear" w:color="auto" w:fill="FFFFFF"/>
            <w:vAlign w:val="bottom"/>
          </w:tcPr>
          <w:p w14:paraId="5E3F2ADD" w14:textId="285EE756" w:rsidR="001E528F" w:rsidRPr="000C5A61" w:rsidRDefault="001E528F" w:rsidP="001E528F">
            <w:pPr>
              <w:pStyle w:val="CETBodytext"/>
              <w:ind w:right="-1"/>
              <w:rPr>
                <w:rFonts w:cs="Arial"/>
                <w:szCs w:val="18"/>
                <w:lang w:val="en-GB"/>
              </w:rPr>
            </w:pPr>
            <w:r w:rsidRPr="000C5A61">
              <w:rPr>
                <w:rFonts w:cs="Arial"/>
                <w:color w:val="000000"/>
                <w:szCs w:val="18"/>
                <w:lang w:val="en-GB"/>
              </w:rPr>
              <w:t>822.71 - 0.093</w:t>
            </w:r>
          </w:p>
        </w:tc>
      </w:tr>
      <w:tr w:rsidR="001E528F" w:rsidRPr="000C5A61" w14:paraId="4152AA0A" w14:textId="77777777" w:rsidTr="00692387">
        <w:tc>
          <w:tcPr>
            <w:tcW w:w="624" w:type="pct"/>
            <w:shd w:val="clear" w:color="auto" w:fill="FFFFFF"/>
          </w:tcPr>
          <w:p w14:paraId="4902E332" w14:textId="77777777" w:rsidR="001E528F" w:rsidRPr="000C5A61" w:rsidRDefault="001E528F" w:rsidP="001E528F">
            <w:pPr>
              <w:pStyle w:val="CETBodytext"/>
              <w:ind w:right="-1"/>
              <w:rPr>
                <w:rFonts w:cs="Arial"/>
                <w:szCs w:val="18"/>
                <w:lang w:val="en-GB"/>
              </w:rPr>
            </w:pPr>
            <w:r w:rsidRPr="000C5A61">
              <w:rPr>
                <w:rFonts w:cs="Arial"/>
                <w:szCs w:val="18"/>
                <w:lang w:val="en-GB"/>
              </w:rPr>
              <w:t>A10</w:t>
            </w:r>
          </w:p>
        </w:tc>
        <w:tc>
          <w:tcPr>
            <w:tcW w:w="1159" w:type="pct"/>
            <w:shd w:val="clear" w:color="auto" w:fill="FFFFFF"/>
            <w:vAlign w:val="bottom"/>
          </w:tcPr>
          <w:p w14:paraId="0ED2DCB8" w14:textId="61FDFA7A" w:rsidR="001E528F" w:rsidRPr="000C5A61" w:rsidRDefault="001E528F" w:rsidP="001E528F">
            <w:pPr>
              <w:pStyle w:val="CETBodytext"/>
              <w:ind w:right="-1"/>
              <w:rPr>
                <w:rFonts w:cs="Arial"/>
                <w:szCs w:val="18"/>
                <w:lang w:val="en-GB"/>
              </w:rPr>
            </w:pPr>
            <w:r w:rsidRPr="000C5A61">
              <w:rPr>
                <w:rFonts w:cs="Arial"/>
                <w:color w:val="000000"/>
                <w:szCs w:val="18"/>
                <w:lang w:val="en-GB"/>
              </w:rPr>
              <w:t>29.83 - 0.015</w:t>
            </w:r>
          </w:p>
        </w:tc>
        <w:tc>
          <w:tcPr>
            <w:tcW w:w="901" w:type="pct"/>
            <w:shd w:val="clear" w:color="auto" w:fill="FFFFFF"/>
            <w:vAlign w:val="bottom"/>
          </w:tcPr>
          <w:p w14:paraId="4A6A335E" w14:textId="1F499B41" w:rsidR="001E528F" w:rsidRPr="000C5A61" w:rsidRDefault="001E528F" w:rsidP="001E528F">
            <w:pPr>
              <w:pStyle w:val="CETBodytext"/>
              <w:ind w:right="-1"/>
              <w:rPr>
                <w:rFonts w:cs="Arial"/>
                <w:szCs w:val="18"/>
                <w:lang w:val="en-GB"/>
              </w:rPr>
            </w:pPr>
            <w:r w:rsidRPr="000C5A61">
              <w:rPr>
                <w:rFonts w:cs="Arial"/>
                <w:color w:val="000000"/>
                <w:szCs w:val="18"/>
                <w:lang w:val="en-GB"/>
              </w:rPr>
              <w:t>167.81 - 0.035</w:t>
            </w:r>
          </w:p>
        </w:tc>
        <w:tc>
          <w:tcPr>
            <w:tcW w:w="1107" w:type="pct"/>
            <w:shd w:val="clear" w:color="auto" w:fill="FFFFFF"/>
            <w:vAlign w:val="bottom"/>
          </w:tcPr>
          <w:p w14:paraId="674183A6" w14:textId="5437D728" w:rsidR="001E528F" w:rsidRPr="000C5A61" w:rsidRDefault="001E528F" w:rsidP="001E528F">
            <w:pPr>
              <w:pStyle w:val="CETBodytext"/>
              <w:ind w:right="-1"/>
              <w:rPr>
                <w:rFonts w:cs="Arial"/>
                <w:szCs w:val="18"/>
                <w:lang w:val="en-GB"/>
              </w:rPr>
            </w:pPr>
            <w:r w:rsidRPr="000C5A61">
              <w:rPr>
                <w:rFonts w:cs="Arial"/>
                <w:color w:val="000000"/>
                <w:szCs w:val="18"/>
                <w:lang w:val="en-GB"/>
              </w:rPr>
              <w:t>427.08 - 0.02</w:t>
            </w:r>
            <w:r w:rsidR="00692387" w:rsidRPr="000C5A61">
              <w:rPr>
                <w:rFonts w:cs="Arial"/>
                <w:color w:val="000000"/>
                <w:szCs w:val="18"/>
                <w:lang w:val="en-GB"/>
              </w:rPr>
              <w:t>0</w:t>
            </w:r>
          </w:p>
        </w:tc>
        <w:tc>
          <w:tcPr>
            <w:tcW w:w="1209" w:type="pct"/>
            <w:shd w:val="clear" w:color="auto" w:fill="FFFFFF"/>
            <w:vAlign w:val="bottom"/>
          </w:tcPr>
          <w:p w14:paraId="576463BA" w14:textId="5BDD8DDB" w:rsidR="001E528F" w:rsidRPr="000C5A61" w:rsidRDefault="001E528F" w:rsidP="001E528F">
            <w:pPr>
              <w:pStyle w:val="CETBodytext"/>
              <w:ind w:right="-1"/>
              <w:rPr>
                <w:rFonts w:cs="Arial"/>
                <w:szCs w:val="18"/>
                <w:lang w:val="en-GB"/>
              </w:rPr>
            </w:pPr>
            <w:r w:rsidRPr="000C5A61">
              <w:rPr>
                <w:rFonts w:cs="Arial"/>
                <w:color w:val="000000"/>
                <w:szCs w:val="18"/>
                <w:lang w:val="en-GB"/>
              </w:rPr>
              <w:t>867.12 - 0.095</w:t>
            </w:r>
          </w:p>
        </w:tc>
      </w:tr>
    </w:tbl>
    <w:p w14:paraId="38A536C6" w14:textId="6D26521C" w:rsidR="00A703AF" w:rsidRPr="000C5A61" w:rsidRDefault="00A703AF" w:rsidP="00572356">
      <w:pPr>
        <w:pStyle w:val="CETBodytext"/>
        <w:spacing w:before="60" w:after="60"/>
        <w:rPr>
          <w:b/>
          <w:bCs/>
          <w:lang w:val="en-GB"/>
        </w:rPr>
      </w:pPr>
      <w:r w:rsidRPr="000C5A61">
        <w:rPr>
          <w:b/>
          <w:bCs/>
          <w:lang w:val="en-GB"/>
        </w:rPr>
        <w:lastRenderedPageBreak/>
        <w:t>4.2.</w:t>
      </w:r>
      <w:r w:rsidR="00DF4756" w:rsidRPr="000C5A61">
        <w:rPr>
          <w:b/>
          <w:bCs/>
          <w:lang w:val="en-GB"/>
        </w:rPr>
        <w:t>2</w:t>
      </w:r>
      <w:r w:rsidRPr="000C5A61">
        <w:rPr>
          <w:b/>
          <w:bCs/>
          <w:lang w:val="en-GB"/>
        </w:rPr>
        <w:t xml:space="preserve"> </w:t>
      </w:r>
      <w:r w:rsidR="00D63D7F" w:rsidRPr="000C5A61">
        <w:rPr>
          <w:b/>
          <w:bCs/>
          <w:lang w:val="en-GB"/>
        </w:rPr>
        <w:t>Energy matrix – PROURE scenario</w:t>
      </w:r>
    </w:p>
    <w:p w14:paraId="40F6D0E3" w14:textId="7B2D85D3" w:rsidR="000551E8" w:rsidRPr="000C5A61" w:rsidRDefault="003C7488" w:rsidP="0003004B">
      <w:pPr>
        <w:pStyle w:val="CETBodytext"/>
        <w:rPr>
          <w:lang w:val="en-GB"/>
        </w:rPr>
      </w:pPr>
      <w:r w:rsidRPr="000C5A61">
        <w:rPr>
          <w:lang w:val="en-GB"/>
        </w:rPr>
        <w:t>The Pareto-optimal alternatives obtained for the PROURE scenario are illustrated in Figure 3, highlighting a clear trade-off between the financial and environmental performance of the system</w:t>
      </w:r>
      <w:r w:rsidR="00D63D7F" w:rsidRPr="000C5A61">
        <w:rPr>
          <w:lang w:val="en-GB"/>
        </w:rPr>
        <w:t>. The results indicate that the NPV varies between 633.33 USD and 626.41 USD, while total CO</w:t>
      </w:r>
      <w:r w:rsidR="00D63D7F" w:rsidRPr="000C5A61">
        <w:rPr>
          <w:vertAlign w:val="subscript"/>
          <w:lang w:val="en-GB"/>
        </w:rPr>
        <w:t>2</w:t>
      </w:r>
      <w:r w:rsidR="00D63D7F" w:rsidRPr="000C5A61">
        <w:rPr>
          <w:lang w:val="en-GB"/>
        </w:rPr>
        <w:t xml:space="preserve"> emissions range between 108 kgCO</w:t>
      </w:r>
      <w:r w:rsidR="00D63D7F" w:rsidRPr="000C5A61">
        <w:rPr>
          <w:vertAlign w:val="subscript"/>
          <w:lang w:val="en-GB"/>
        </w:rPr>
        <w:t>2</w:t>
      </w:r>
      <w:r w:rsidR="00D63D7F" w:rsidRPr="000C5A61">
        <w:rPr>
          <w:lang w:val="en-GB"/>
        </w:rPr>
        <w:t>-eq and 104 kgCO</w:t>
      </w:r>
      <w:r w:rsidR="00D63D7F" w:rsidRPr="000C5A61">
        <w:rPr>
          <w:vertAlign w:val="subscript"/>
          <w:lang w:val="en-GB"/>
        </w:rPr>
        <w:t>2</w:t>
      </w:r>
      <w:r w:rsidR="00D63D7F" w:rsidRPr="000C5A61">
        <w:rPr>
          <w:lang w:val="en-GB"/>
        </w:rPr>
        <w:t>-eq. Likewise, the Pareto diagram exhibits convex behaviour, characterised by low gradual variations between the different alternatives, which allows for the identification of a curve with a well-defined slope.</w:t>
      </w:r>
    </w:p>
    <w:p w14:paraId="364BFB44" w14:textId="3EC905F8" w:rsidR="00320FDC" w:rsidRPr="000C5A61" w:rsidRDefault="00E75172" w:rsidP="00AA3BFA">
      <w:pPr>
        <w:pStyle w:val="CETBodytext"/>
        <w:rPr>
          <w:lang w:val="en-GB"/>
        </w:rPr>
      </w:pPr>
      <w:r w:rsidRPr="000C5A61">
        <w:rPr>
          <w:noProof/>
          <w:lang w:val="en-GB"/>
        </w:rPr>
        <w:drawing>
          <wp:inline distT="0" distB="0" distL="0" distR="0" wp14:anchorId="5703B700" wp14:editId="600D610A">
            <wp:extent cx="3505200" cy="1435100"/>
            <wp:effectExtent l="0" t="0" r="0" b="0"/>
            <wp:docPr id="1941770386" name="Imagen 1" descr="Gráfico, Gráfico de líne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770386" name="Imagen 1" descr="Gráfico, Gráfico de líneas&#10;&#10;El contenido generado por IA puede ser incorrecto."/>
                    <pic:cNvPicPr/>
                  </pic:nvPicPr>
                  <pic:blipFill>
                    <a:blip r:embed="rId12"/>
                    <a:stretch>
                      <a:fillRect/>
                    </a:stretch>
                  </pic:blipFill>
                  <pic:spPr>
                    <a:xfrm>
                      <a:off x="0" y="0"/>
                      <a:ext cx="3630594" cy="1486439"/>
                    </a:xfrm>
                    <a:prstGeom prst="rect">
                      <a:avLst/>
                    </a:prstGeom>
                  </pic:spPr>
                </pic:pic>
              </a:graphicData>
            </a:graphic>
          </wp:inline>
        </w:drawing>
      </w:r>
    </w:p>
    <w:p w14:paraId="2E62946F" w14:textId="410A42CC" w:rsidR="00697686" w:rsidRPr="000C5A61" w:rsidRDefault="000F2888" w:rsidP="0076671A">
      <w:pPr>
        <w:pStyle w:val="CETBodytext"/>
        <w:spacing w:after="60"/>
        <w:rPr>
          <w:i/>
          <w:iCs/>
          <w:lang w:val="en-GB"/>
        </w:rPr>
      </w:pPr>
      <w:r w:rsidRPr="000C5A61">
        <w:rPr>
          <w:i/>
          <w:iCs/>
          <w:lang w:val="en-GB"/>
        </w:rPr>
        <w:t>Figure 3: Pareto diagram in the PROURE scenarios</w:t>
      </w:r>
      <w:r w:rsidR="00697686" w:rsidRPr="000C5A61">
        <w:rPr>
          <w:i/>
          <w:iCs/>
          <w:lang w:val="en-GB"/>
        </w:rPr>
        <w:t>.</w:t>
      </w:r>
    </w:p>
    <w:p w14:paraId="3727EAD9" w14:textId="567EBCE0" w:rsidR="00320FDC" w:rsidRPr="000C5A61" w:rsidRDefault="00B85C37" w:rsidP="0076671A">
      <w:pPr>
        <w:pStyle w:val="CETBodytext"/>
        <w:spacing w:after="60"/>
        <w:rPr>
          <w:lang w:val="en-GB"/>
        </w:rPr>
      </w:pPr>
      <w:r w:rsidRPr="000C5A61">
        <w:rPr>
          <w:lang w:val="en-GB"/>
        </w:rPr>
        <w:t>As in the trend scenario, the total energy generated and the installed capacity of each technology over the planning horizon are reported in Table 2</w:t>
      </w:r>
      <w:r w:rsidR="002C04E1" w:rsidRPr="000C5A61">
        <w:rPr>
          <w:lang w:val="en-GB"/>
        </w:rPr>
        <w:t>. The energy generated and installed capacities of biomass gasifiers remain constant in all alternatives as a result of the restriction defined in Eq(1). In this scenario, there is a decrease in the share of diesel plants, while the installation of photovoltaic solar panels is favoured as environmental criteria are prioritised. Additionally, the proposed energy matrices do not recommend the installation of wind turbines, as the low wind speeds in the case study, together with the incorporation of the restriction in Eq(1), make the installation of other technologies more viable from both a financial and environmental point of view.</w:t>
      </w:r>
    </w:p>
    <w:p w14:paraId="08F38475" w14:textId="400D634B" w:rsidR="0020197C" w:rsidRPr="000C5A61" w:rsidRDefault="00C47214" w:rsidP="0020197C">
      <w:pPr>
        <w:rPr>
          <w:rFonts w:cs="Arial"/>
          <w:i/>
          <w:iCs/>
        </w:rPr>
      </w:pPr>
      <w:r w:rsidRPr="000C5A61">
        <w:rPr>
          <w:rFonts w:cs="Arial"/>
          <w:i/>
          <w:iCs/>
        </w:rPr>
        <w:t>Table 2: Total energy generated and total installed capacity of the energy matrix in the PROURE scenario</w:t>
      </w:r>
      <w:r w:rsidR="006F67A9" w:rsidRPr="000C5A61">
        <w:rPr>
          <w:rFonts w:cs="Arial"/>
          <w:i/>
          <w:iCs/>
        </w:rPr>
        <w:t>.</w:t>
      </w:r>
    </w:p>
    <w:tbl>
      <w:tblPr>
        <w:tblW w:w="5000" w:type="pct"/>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097"/>
        <w:gridCol w:w="2037"/>
        <w:gridCol w:w="1583"/>
        <w:gridCol w:w="1945"/>
        <w:gridCol w:w="2125"/>
      </w:tblGrid>
      <w:tr w:rsidR="0020197C" w:rsidRPr="000C5A61" w14:paraId="3CE729BF" w14:textId="77777777" w:rsidTr="0090545B">
        <w:tc>
          <w:tcPr>
            <w:tcW w:w="5000" w:type="pct"/>
            <w:gridSpan w:val="5"/>
            <w:tcBorders>
              <w:top w:val="single" w:sz="12" w:space="0" w:color="008000"/>
              <w:bottom w:val="single" w:sz="6" w:space="0" w:color="008000"/>
            </w:tcBorders>
            <w:shd w:val="clear" w:color="auto" w:fill="FFFFFF"/>
          </w:tcPr>
          <w:p w14:paraId="012D2B6A" w14:textId="050CB46A" w:rsidR="0020197C" w:rsidRPr="000C5A61" w:rsidRDefault="00E34061" w:rsidP="0090545B">
            <w:pPr>
              <w:pStyle w:val="CETBodytext"/>
              <w:jc w:val="center"/>
              <w:rPr>
                <w:lang w:val="en-GB"/>
              </w:rPr>
            </w:pPr>
            <w:r w:rsidRPr="000C5A61">
              <w:rPr>
                <w:lang w:val="en-GB"/>
              </w:rPr>
              <w:t>Total energy generated (kWh) – Total installed capacity (kW)</w:t>
            </w:r>
          </w:p>
        </w:tc>
      </w:tr>
      <w:tr w:rsidR="00692387" w:rsidRPr="000C5A61" w14:paraId="28581525" w14:textId="77777777" w:rsidTr="00692387">
        <w:tc>
          <w:tcPr>
            <w:tcW w:w="624" w:type="pct"/>
            <w:shd w:val="clear" w:color="auto" w:fill="FFFFFF"/>
          </w:tcPr>
          <w:p w14:paraId="0B394C9F" w14:textId="77777777" w:rsidR="00692387" w:rsidRPr="000C5A61" w:rsidRDefault="00692387" w:rsidP="00692387">
            <w:pPr>
              <w:pStyle w:val="CETBodytext"/>
              <w:rPr>
                <w:lang w:val="en-GB"/>
              </w:rPr>
            </w:pPr>
            <w:r w:rsidRPr="000C5A61">
              <w:rPr>
                <w:rFonts w:cs="Arial"/>
                <w:szCs w:val="18"/>
                <w:lang w:val="en-GB"/>
              </w:rPr>
              <w:t>Alternative</w:t>
            </w:r>
          </w:p>
        </w:tc>
        <w:tc>
          <w:tcPr>
            <w:tcW w:w="1159" w:type="pct"/>
            <w:shd w:val="clear" w:color="auto" w:fill="FFFFFF"/>
          </w:tcPr>
          <w:p w14:paraId="303D3299" w14:textId="1441447F" w:rsidR="00692387" w:rsidRPr="000C5A61" w:rsidRDefault="00692387" w:rsidP="00692387">
            <w:pPr>
              <w:pStyle w:val="CETBodytext"/>
              <w:rPr>
                <w:lang w:val="en-GB"/>
              </w:rPr>
            </w:pPr>
            <w:r w:rsidRPr="000C5A61">
              <w:rPr>
                <w:rFonts w:cs="Arial"/>
                <w:szCs w:val="18"/>
                <w:lang w:val="en-GB"/>
              </w:rPr>
              <w:t>Biomass gasifier</w:t>
            </w:r>
          </w:p>
        </w:tc>
        <w:tc>
          <w:tcPr>
            <w:tcW w:w="901" w:type="pct"/>
            <w:shd w:val="clear" w:color="auto" w:fill="FFFFFF"/>
          </w:tcPr>
          <w:p w14:paraId="36CAF252" w14:textId="7DF98A8A" w:rsidR="00692387" w:rsidRPr="000C5A61" w:rsidRDefault="00692387" w:rsidP="00692387">
            <w:pPr>
              <w:pStyle w:val="CETBodytext"/>
              <w:rPr>
                <w:lang w:val="en-GB"/>
              </w:rPr>
            </w:pPr>
            <w:r w:rsidRPr="000C5A61">
              <w:rPr>
                <w:lang w:val="en-GB"/>
              </w:rPr>
              <w:t>Diesel plants</w:t>
            </w:r>
          </w:p>
        </w:tc>
        <w:tc>
          <w:tcPr>
            <w:tcW w:w="1107" w:type="pct"/>
            <w:shd w:val="clear" w:color="auto" w:fill="FFFFFF"/>
          </w:tcPr>
          <w:p w14:paraId="22BF0C5B" w14:textId="1018E3A5" w:rsidR="00692387" w:rsidRPr="000C5A61" w:rsidRDefault="00692387" w:rsidP="00692387">
            <w:pPr>
              <w:pStyle w:val="CETBodytext"/>
              <w:ind w:right="-1"/>
              <w:rPr>
                <w:rFonts w:cs="Arial"/>
                <w:szCs w:val="18"/>
                <w:lang w:val="en-GB"/>
              </w:rPr>
            </w:pPr>
            <w:r w:rsidRPr="000C5A61">
              <w:rPr>
                <w:rFonts w:cs="Arial"/>
                <w:szCs w:val="18"/>
                <w:lang w:val="en-GB"/>
              </w:rPr>
              <w:t>Wind turbines</w:t>
            </w:r>
          </w:p>
        </w:tc>
        <w:tc>
          <w:tcPr>
            <w:tcW w:w="1209" w:type="pct"/>
            <w:shd w:val="clear" w:color="auto" w:fill="FFFFFF"/>
          </w:tcPr>
          <w:p w14:paraId="1649CD5D" w14:textId="66FEC34A" w:rsidR="00692387" w:rsidRPr="000C5A61" w:rsidRDefault="00692387" w:rsidP="00692387">
            <w:pPr>
              <w:pStyle w:val="CETBodytext"/>
              <w:ind w:right="-1"/>
              <w:rPr>
                <w:rFonts w:cs="Arial"/>
                <w:szCs w:val="18"/>
                <w:lang w:val="en-GB"/>
              </w:rPr>
            </w:pPr>
            <w:r w:rsidRPr="000C5A61">
              <w:rPr>
                <w:rFonts w:cs="Arial"/>
                <w:szCs w:val="18"/>
                <w:lang w:val="en-GB"/>
              </w:rPr>
              <w:t>Photovoltaic solar panels</w:t>
            </w:r>
          </w:p>
        </w:tc>
      </w:tr>
      <w:tr w:rsidR="009D76D6" w:rsidRPr="000C5A61" w14:paraId="197FEC31" w14:textId="77777777" w:rsidTr="00692387">
        <w:tc>
          <w:tcPr>
            <w:tcW w:w="624" w:type="pct"/>
            <w:shd w:val="clear" w:color="auto" w:fill="FFFFFF"/>
          </w:tcPr>
          <w:p w14:paraId="562FF44C" w14:textId="77777777" w:rsidR="009D76D6" w:rsidRPr="000C5A61" w:rsidRDefault="009D76D6" w:rsidP="009D76D6">
            <w:pPr>
              <w:pStyle w:val="CETBodytext"/>
              <w:ind w:right="-1"/>
              <w:rPr>
                <w:rFonts w:cs="Arial"/>
                <w:szCs w:val="18"/>
                <w:lang w:val="en-GB"/>
              </w:rPr>
            </w:pPr>
            <w:r w:rsidRPr="000C5A61">
              <w:rPr>
                <w:rFonts w:cs="Arial"/>
                <w:szCs w:val="18"/>
                <w:lang w:val="en-GB"/>
              </w:rPr>
              <w:t>A1</w:t>
            </w:r>
          </w:p>
        </w:tc>
        <w:tc>
          <w:tcPr>
            <w:tcW w:w="1159" w:type="pct"/>
            <w:shd w:val="clear" w:color="auto" w:fill="FFFFFF"/>
            <w:vAlign w:val="bottom"/>
          </w:tcPr>
          <w:p w14:paraId="08BBE8DF" w14:textId="54CB15B9" w:rsidR="009D76D6" w:rsidRPr="000C5A61" w:rsidRDefault="009D76D6" w:rsidP="009D76D6">
            <w:pPr>
              <w:pStyle w:val="CETBodytext"/>
              <w:ind w:right="-1"/>
              <w:rPr>
                <w:rFonts w:cs="Arial"/>
                <w:szCs w:val="18"/>
                <w:lang w:val="en-GB"/>
              </w:rPr>
            </w:pPr>
            <w:r w:rsidRPr="000C5A61">
              <w:rPr>
                <w:rFonts w:cs="Arial"/>
                <w:color w:val="000000"/>
                <w:szCs w:val="18"/>
                <w:lang w:val="en-GB"/>
              </w:rPr>
              <w:t>13.13 - 0.015</w:t>
            </w:r>
          </w:p>
        </w:tc>
        <w:tc>
          <w:tcPr>
            <w:tcW w:w="901" w:type="pct"/>
            <w:shd w:val="clear" w:color="auto" w:fill="FFFFFF"/>
            <w:vAlign w:val="bottom"/>
          </w:tcPr>
          <w:p w14:paraId="2BE15DA6" w14:textId="11C5D3FB" w:rsidR="009D76D6" w:rsidRPr="000C5A61" w:rsidRDefault="009D76D6" w:rsidP="009D76D6">
            <w:pPr>
              <w:pStyle w:val="CETBodytext"/>
              <w:ind w:right="-1"/>
              <w:rPr>
                <w:rFonts w:cs="Arial"/>
                <w:szCs w:val="18"/>
                <w:lang w:val="en-GB"/>
              </w:rPr>
            </w:pPr>
            <w:r w:rsidRPr="000C5A61">
              <w:rPr>
                <w:rFonts w:cs="Arial"/>
                <w:color w:val="000000"/>
                <w:szCs w:val="18"/>
                <w:lang w:val="en-GB"/>
              </w:rPr>
              <w:t>125.25 - 0.029</w:t>
            </w:r>
          </w:p>
        </w:tc>
        <w:tc>
          <w:tcPr>
            <w:tcW w:w="1107" w:type="pct"/>
            <w:shd w:val="clear" w:color="auto" w:fill="FFFFFF"/>
            <w:vAlign w:val="bottom"/>
          </w:tcPr>
          <w:p w14:paraId="7FD26A57" w14:textId="0A238DAC" w:rsidR="009D76D6" w:rsidRPr="000C5A61" w:rsidRDefault="009D76D6" w:rsidP="009D76D6">
            <w:pPr>
              <w:pStyle w:val="CETBodytext"/>
              <w:ind w:right="-1"/>
              <w:rPr>
                <w:rFonts w:cs="Arial"/>
                <w:szCs w:val="18"/>
                <w:lang w:val="en-GB"/>
              </w:rPr>
            </w:pPr>
            <w:r w:rsidRPr="000C5A61">
              <w:rPr>
                <w:rFonts w:cs="Arial"/>
                <w:color w:val="000000"/>
                <w:szCs w:val="18"/>
                <w:lang w:val="en-GB"/>
              </w:rPr>
              <w:t>0</w:t>
            </w:r>
            <w:r w:rsidR="001B1462" w:rsidRPr="000C5A61">
              <w:rPr>
                <w:rFonts w:cs="Arial"/>
                <w:color w:val="000000"/>
                <w:szCs w:val="18"/>
                <w:lang w:val="en-GB"/>
              </w:rPr>
              <w:t>.0</w:t>
            </w:r>
            <w:r w:rsidRPr="000C5A61">
              <w:rPr>
                <w:rFonts w:cs="Arial"/>
                <w:color w:val="000000"/>
                <w:szCs w:val="18"/>
                <w:lang w:val="en-GB"/>
              </w:rPr>
              <w:t xml:space="preserve"> - 0</w:t>
            </w:r>
            <w:r w:rsidR="0046732F" w:rsidRPr="000C5A61">
              <w:rPr>
                <w:rFonts w:cs="Arial"/>
                <w:color w:val="000000"/>
                <w:szCs w:val="18"/>
                <w:lang w:val="en-GB"/>
              </w:rPr>
              <w:t>.0</w:t>
            </w:r>
          </w:p>
        </w:tc>
        <w:tc>
          <w:tcPr>
            <w:tcW w:w="1209" w:type="pct"/>
            <w:shd w:val="clear" w:color="auto" w:fill="FFFFFF"/>
            <w:vAlign w:val="bottom"/>
          </w:tcPr>
          <w:p w14:paraId="46467EEC" w14:textId="6C8DDFBE" w:rsidR="009D76D6" w:rsidRPr="000C5A61" w:rsidRDefault="009D76D6" w:rsidP="009D76D6">
            <w:pPr>
              <w:pStyle w:val="CETBodytext"/>
              <w:ind w:right="-1"/>
              <w:rPr>
                <w:rFonts w:cs="Arial"/>
                <w:szCs w:val="18"/>
                <w:lang w:val="en-GB"/>
              </w:rPr>
            </w:pPr>
            <w:r w:rsidRPr="000C5A61">
              <w:rPr>
                <w:rFonts w:cs="Arial"/>
                <w:color w:val="000000"/>
                <w:szCs w:val="18"/>
                <w:lang w:val="en-GB"/>
              </w:rPr>
              <w:t>518.30 - 0.086</w:t>
            </w:r>
          </w:p>
        </w:tc>
      </w:tr>
      <w:tr w:rsidR="009D76D6" w:rsidRPr="000C5A61" w14:paraId="7DEB17C3" w14:textId="77777777" w:rsidTr="00692387">
        <w:tc>
          <w:tcPr>
            <w:tcW w:w="624" w:type="pct"/>
            <w:shd w:val="clear" w:color="auto" w:fill="FFFFFF"/>
          </w:tcPr>
          <w:p w14:paraId="5B94E014" w14:textId="77777777" w:rsidR="009D76D6" w:rsidRPr="000C5A61" w:rsidRDefault="009D76D6" w:rsidP="009D76D6">
            <w:pPr>
              <w:pStyle w:val="CETBodytext"/>
              <w:ind w:right="-1"/>
              <w:rPr>
                <w:rFonts w:cs="Arial"/>
                <w:szCs w:val="18"/>
                <w:lang w:val="en-GB"/>
              </w:rPr>
            </w:pPr>
            <w:r w:rsidRPr="000C5A61">
              <w:rPr>
                <w:rFonts w:cs="Arial"/>
                <w:szCs w:val="18"/>
                <w:lang w:val="en-GB"/>
              </w:rPr>
              <w:t>A2</w:t>
            </w:r>
          </w:p>
        </w:tc>
        <w:tc>
          <w:tcPr>
            <w:tcW w:w="1159" w:type="pct"/>
            <w:shd w:val="clear" w:color="auto" w:fill="FFFFFF"/>
            <w:vAlign w:val="bottom"/>
          </w:tcPr>
          <w:p w14:paraId="796535A8" w14:textId="0E0D4E20" w:rsidR="009D76D6" w:rsidRPr="000C5A61" w:rsidRDefault="009D76D6" w:rsidP="009D76D6">
            <w:pPr>
              <w:pStyle w:val="CETBodytext"/>
              <w:ind w:right="-1"/>
              <w:rPr>
                <w:rFonts w:cs="Arial"/>
                <w:szCs w:val="18"/>
                <w:lang w:val="en-GB"/>
              </w:rPr>
            </w:pPr>
            <w:r w:rsidRPr="000C5A61">
              <w:rPr>
                <w:rFonts w:cs="Arial"/>
                <w:color w:val="000000"/>
                <w:szCs w:val="18"/>
                <w:lang w:val="en-GB"/>
              </w:rPr>
              <w:t>13.13 - 0.015</w:t>
            </w:r>
          </w:p>
        </w:tc>
        <w:tc>
          <w:tcPr>
            <w:tcW w:w="901" w:type="pct"/>
            <w:shd w:val="clear" w:color="auto" w:fill="FFFFFF"/>
            <w:vAlign w:val="bottom"/>
          </w:tcPr>
          <w:p w14:paraId="3AC8586E" w14:textId="6D6205E5" w:rsidR="009D76D6" w:rsidRPr="000C5A61" w:rsidRDefault="009D76D6" w:rsidP="009D76D6">
            <w:pPr>
              <w:pStyle w:val="CETBodytext"/>
              <w:ind w:right="-1"/>
              <w:rPr>
                <w:rFonts w:cs="Arial"/>
                <w:szCs w:val="18"/>
                <w:lang w:val="en-GB"/>
              </w:rPr>
            </w:pPr>
            <w:r w:rsidRPr="000C5A61">
              <w:rPr>
                <w:rFonts w:cs="Arial"/>
                <w:color w:val="000000"/>
                <w:szCs w:val="18"/>
                <w:lang w:val="en-GB"/>
              </w:rPr>
              <w:t>124.77 - 0.029</w:t>
            </w:r>
          </w:p>
        </w:tc>
        <w:tc>
          <w:tcPr>
            <w:tcW w:w="1107" w:type="pct"/>
            <w:shd w:val="clear" w:color="auto" w:fill="FFFFFF"/>
            <w:vAlign w:val="bottom"/>
          </w:tcPr>
          <w:p w14:paraId="32F54B1B" w14:textId="09955EE6" w:rsidR="009D76D6" w:rsidRPr="000C5A61" w:rsidRDefault="009D76D6" w:rsidP="009D76D6">
            <w:pPr>
              <w:pStyle w:val="CETBodytext"/>
              <w:ind w:right="-1"/>
              <w:rPr>
                <w:rFonts w:cs="Arial"/>
                <w:szCs w:val="18"/>
                <w:lang w:val="en-GB"/>
              </w:rPr>
            </w:pPr>
            <w:r w:rsidRPr="000C5A61">
              <w:rPr>
                <w:rFonts w:cs="Arial"/>
                <w:color w:val="000000"/>
                <w:szCs w:val="18"/>
                <w:lang w:val="en-GB"/>
              </w:rPr>
              <w:t>0</w:t>
            </w:r>
            <w:r w:rsidR="0046732F" w:rsidRPr="000C5A61">
              <w:rPr>
                <w:rFonts w:cs="Arial"/>
                <w:color w:val="000000"/>
                <w:szCs w:val="18"/>
                <w:lang w:val="en-GB"/>
              </w:rPr>
              <w:t>.0</w:t>
            </w:r>
            <w:r w:rsidRPr="000C5A61">
              <w:rPr>
                <w:rFonts w:cs="Arial"/>
                <w:color w:val="000000"/>
                <w:szCs w:val="18"/>
                <w:lang w:val="en-GB"/>
              </w:rPr>
              <w:t xml:space="preserve"> - 0</w:t>
            </w:r>
            <w:r w:rsidR="0046732F" w:rsidRPr="000C5A61">
              <w:rPr>
                <w:rFonts w:cs="Arial"/>
                <w:color w:val="000000"/>
                <w:szCs w:val="18"/>
                <w:lang w:val="en-GB"/>
              </w:rPr>
              <w:t>.0</w:t>
            </w:r>
          </w:p>
        </w:tc>
        <w:tc>
          <w:tcPr>
            <w:tcW w:w="1209" w:type="pct"/>
            <w:shd w:val="clear" w:color="auto" w:fill="FFFFFF"/>
            <w:vAlign w:val="bottom"/>
          </w:tcPr>
          <w:p w14:paraId="074F07CE" w14:textId="19CD7855" w:rsidR="009D76D6" w:rsidRPr="000C5A61" w:rsidRDefault="009D76D6" w:rsidP="009D76D6">
            <w:pPr>
              <w:pStyle w:val="CETBodytext"/>
              <w:ind w:right="-1"/>
              <w:rPr>
                <w:rFonts w:cs="Arial"/>
                <w:szCs w:val="18"/>
                <w:lang w:val="en-GB"/>
              </w:rPr>
            </w:pPr>
            <w:r w:rsidRPr="000C5A61">
              <w:rPr>
                <w:rFonts w:cs="Arial"/>
                <w:color w:val="000000"/>
                <w:szCs w:val="18"/>
                <w:lang w:val="en-GB"/>
              </w:rPr>
              <w:t>518.77 - 0.087</w:t>
            </w:r>
          </w:p>
        </w:tc>
      </w:tr>
      <w:tr w:rsidR="009D76D6" w:rsidRPr="000C5A61" w14:paraId="662D3992" w14:textId="77777777" w:rsidTr="00692387">
        <w:tc>
          <w:tcPr>
            <w:tcW w:w="624" w:type="pct"/>
            <w:shd w:val="clear" w:color="auto" w:fill="FFFFFF"/>
          </w:tcPr>
          <w:p w14:paraId="3EFBA14E" w14:textId="77777777" w:rsidR="009D76D6" w:rsidRPr="000C5A61" w:rsidRDefault="009D76D6" w:rsidP="009D76D6">
            <w:pPr>
              <w:pStyle w:val="CETBodytext"/>
              <w:ind w:right="-1"/>
              <w:rPr>
                <w:rFonts w:cs="Arial"/>
                <w:szCs w:val="18"/>
                <w:lang w:val="en-GB"/>
              </w:rPr>
            </w:pPr>
            <w:r w:rsidRPr="000C5A61">
              <w:rPr>
                <w:rFonts w:cs="Arial"/>
                <w:szCs w:val="18"/>
                <w:lang w:val="en-GB"/>
              </w:rPr>
              <w:t>A3</w:t>
            </w:r>
          </w:p>
        </w:tc>
        <w:tc>
          <w:tcPr>
            <w:tcW w:w="1159" w:type="pct"/>
            <w:shd w:val="clear" w:color="auto" w:fill="FFFFFF"/>
            <w:vAlign w:val="bottom"/>
          </w:tcPr>
          <w:p w14:paraId="566804C7" w14:textId="2F7AD507" w:rsidR="009D76D6" w:rsidRPr="000C5A61" w:rsidRDefault="009D76D6" w:rsidP="009D76D6">
            <w:pPr>
              <w:pStyle w:val="CETBodytext"/>
              <w:ind w:right="-1"/>
              <w:rPr>
                <w:rFonts w:cs="Arial"/>
                <w:szCs w:val="18"/>
                <w:lang w:val="en-GB"/>
              </w:rPr>
            </w:pPr>
            <w:r w:rsidRPr="000C5A61">
              <w:rPr>
                <w:rFonts w:cs="Arial"/>
                <w:color w:val="000000"/>
                <w:szCs w:val="18"/>
                <w:lang w:val="en-GB"/>
              </w:rPr>
              <w:t>13.13 - 0.015</w:t>
            </w:r>
          </w:p>
        </w:tc>
        <w:tc>
          <w:tcPr>
            <w:tcW w:w="901" w:type="pct"/>
            <w:shd w:val="clear" w:color="auto" w:fill="FFFFFF"/>
            <w:vAlign w:val="bottom"/>
          </w:tcPr>
          <w:p w14:paraId="6F8C1F28" w14:textId="6489077E" w:rsidR="009D76D6" w:rsidRPr="000C5A61" w:rsidRDefault="009D76D6" w:rsidP="009D76D6">
            <w:pPr>
              <w:pStyle w:val="CETBodytext"/>
              <w:ind w:right="-1"/>
              <w:rPr>
                <w:rFonts w:cs="Arial"/>
                <w:szCs w:val="18"/>
                <w:lang w:val="en-GB"/>
              </w:rPr>
            </w:pPr>
            <w:r w:rsidRPr="000C5A61">
              <w:rPr>
                <w:rFonts w:cs="Arial"/>
                <w:color w:val="000000"/>
                <w:szCs w:val="18"/>
                <w:lang w:val="en-GB"/>
              </w:rPr>
              <w:t>124.30 - 0.029</w:t>
            </w:r>
          </w:p>
        </w:tc>
        <w:tc>
          <w:tcPr>
            <w:tcW w:w="1107" w:type="pct"/>
            <w:shd w:val="clear" w:color="auto" w:fill="FFFFFF"/>
            <w:vAlign w:val="bottom"/>
          </w:tcPr>
          <w:p w14:paraId="6D942BB4" w14:textId="42665CA5" w:rsidR="009D76D6" w:rsidRPr="000C5A61" w:rsidRDefault="009D76D6" w:rsidP="009D76D6">
            <w:pPr>
              <w:pStyle w:val="CETBodytext"/>
              <w:ind w:right="-1"/>
              <w:rPr>
                <w:rFonts w:cs="Arial"/>
                <w:szCs w:val="18"/>
                <w:lang w:val="en-GB"/>
              </w:rPr>
            </w:pPr>
            <w:r w:rsidRPr="000C5A61">
              <w:rPr>
                <w:rFonts w:cs="Arial"/>
                <w:color w:val="000000"/>
                <w:szCs w:val="18"/>
                <w:lang w:val="en-GB"/>
              </w:rPr>
              <w:t>0</w:t>
            </w:r>
            <w:r w:rsidR="0046732F" w:rsidRPr="000C5A61">
              <w:rPr>
                <w:rFonts w:cs="Arial"/>
                <w:color w:val="000000"/>
                <w:szCs w:val="18"/>
                <w:lang w:val="en-GB"/>
              </w:rPr>
              <w:t>.0</w:t>
            </w:r>
            <w:r w:rsidRPr="000C5A61">
              <w:rPr>
                <w:rFonts w:cs="Arial"/>
                <w:color w:val="000000"/>
                <w:szCs w:val="18"/>
                <w:lang w:val="en-GB"/>
              </w:rPr>
              <w:t xml:space="preserve"> - 0</w:t>
            </w:r>
            <w:r w:rsidR="0046732F" w:rsidRPr="000C5A61">
              <w:rPr>
                <w:rFonts w:cs="Arial"/>
                <w:color w:val="000000"/>
                <w:szCs w:val="18"/>
                <w:lang w:val="en-GB"/>
              </w:rPr>
              <w:t>.0</w:t>
            </w:r>
          </w:p>
        </w:tc>
        <w:tc>
          <w:tcPr>
            <w:tcW w:w="1209" w:type="pct"/>
            <w:shd w:val="clear" w:color="auto" w:fill="FFFFFF"/>
            <w:vAlign w:val="bottom"/>
          </w:tcPr>
          <w:p w14:paraId="685D8110" w14:textId="7A8E158A" w:rsidR="009D76D6" w:rsidRPr="000C5A61" w:rsidRDefault="009D76D6" w:rsidP="009D76D6">
            <w:pPr>
              <w:pStyle w:val="CETBodytext"/>
              <w:ind w:right="-1"/>
              <w:rPr>
                <w:rFonts w:cs="Arial"/>
                <w:szCs w:val="18"/>
                <w:lang w:val="en-GB"/>
              </w:rPr>
            </w:pPr>
            <w:r w:rsidRPr="000C5A61">
              <w:rPr>
                <w:rFonts w:cs="Arial"/>
                <w:color w:val="000000"/>
                <w:szCs w:val="18"/>
                <w:lang w:val="en-GB"/>
              </w:rPr>
              <w:t>519.24 - 0.088</w:t>
            </w:r>
          </w:p>
        </w:tc>
      </w:tr>
      <w:tr w:rsidR="009D76D6" w:rsidRPr="000C5A61" w14:paraId="5CE1501E" w14:textId="77777777" w:rsidTr="00692387">
        <w:tc>
          <w:tcPr>
            <w:tcW w:w="624" w:type="pct"/>
            <w:shd w:val="clear" w:color="auto" w:fill="FFFFFF"/>
          </w:tcPr>
          <w:p w14:paraId="7006926B" w14:textId="77777777" w:rsidR="009D76D6" w:rsidRPr="000C5A61" w:rsidRDefault="009D76D6" w:rsidP="009D76D6">
            <w:pPr>
              <w:pStyle w:val="CETBodytext"/>
              <w:ind w:right="-1"/>
              <w:rPr>
                <w:rFonts w:cs="Arial"/>
                <w:szCs w:val="18"/>
                <w:lang w:val="en-GB"/>
              </w:rPr>
            </w:pPr>
            <w:r w:rsidRPr="000C5A61">
              <w:rPr>
                <w:rFonts w:cs="Arial"/>
                <w:szCs w:val="18"/>
                <w:lang w:val="en-GB"/>
              </w:rPr>
              <w:t>A4</w:t>
            </w:r>
          </w:p>
        </w:tc>
        <w:tc>
          <w:tcPr>
            <w:tcW w:w="1159" w:type="pct"/>
            <w:shd w:val="clear" w:color="auto" w:fill="FFFFFF"/>
            <w:vAlign w:val="bottom"/>
          </w:tcPr>
          <w:p w14:paraId="472C00CA" w14:textId="164B3840" w:rsidR="009D76D6" w:rsidRPr="000C5A61" w:rsidRDefault="009D76D6" w:rsidP="009D76D6">
            <w:pPr>
              <w:pStyle w:val="CETBodytext"/>
              <w:ind w:right="-1"/>
              <w:rPr>
                <w:rFonts w:cs="Arial"/>
                <w:szCs w:val="18"/>
                <w:lang w:val="en-GB"/>
              </w:rPr>
            </w:pPr>
            <w:r w:rsidRPr="000C5A61">
              <w:rPr>
                <w:rFonts w:cs="Arial"/>
                <w:color w:val="000000"/>
                <w:szCs w:val="18"/>
                <w:lang w:val="en-GB"/>
              </w:rPr>
              <w:t>13.13 - 0.015</w:t>
            </w:r>
          </w:p>
        </w:tc>
        <w:tc>
          <w:tcPr>
            <w:tcW w:w="901" w:type="pct"/>
            <w:shd w:val="clear" w:color="auto" w:fill="FFFFFF"/>
            <w:vAlign w:val="bottom"/>
          </w:tcPr>
          <w:p w14:paraId="7E273133" w14:textId="77F15CCA" w:rsidR="009D76D6" w:rsidRPr="000C5A61" w:rsidRDefault="009D76D6" w:rsidP="009D76D6">
            <w:pPr>
              <w:pStyle w:val="CETBodytext"/>
              <w:ind w:right="-1"/>
              <w:rPr>
                <w:rFonts w:cs="Arial"/>
                <w:szCs w:val="18"/>
                <w:lang w:val="en-GB"/>
              </w:rPr>
            </w:pPr>
            <w:r w:rsidRPr="000C5A61">
              <w:rPr>
                <w:rFonts w:cs="Arial"/>
                <w:color w:val="000000"/>
                <w:szCs w:val="18"/>
                <w:lang w:val="en-GB"/>
              </w:rPr>
              <w:t>123.82 - 0.029</w:t>
            </w:r>
          </w:p>
        </w:tc>
        <w:tc>
          <w:tcPr>
            <w:tcW w:w="1107" w:type="pct"/>
            <w:shd w:val="clear" w:color="auto" w:fill="FFFFFF"/>
            <w:vAlign w:val="bottom"/>
          </w:tcPr>
          <w:p w14:paraId="40978057" w14:textId="6BFCFD88" w:rsidR="009D76D6" w:rsidRPr="000C5A61" w:rsidRDefault="009D76D6" w:rsidP="009D76D6">
            <w:pPr>
              <w:pStyle w:val="CETBodytext"/>
              <w:ind w:right="-1"/>
              <w:rPr>
                <w:rFonts w:cs="Arial"/>
                <w:szCs w:val="18"/>
                <w:lang w:val="en-GB"/>
              </w:rPr>
            </w:pPr>
            <w:r w:rsidRPr="000C5A61">
              <w:rPr>
                <w:rFonts w:cs="Arial"/>
                <w:color w:val="000000"/>
                <w:szCs w:val="18"/>
                <w:lang w:val="en-GB"/>
              </w:rPr>
              <w:t>0</w:t>
            </w:r>
            <w:r w:rsidR="0046732F" w:rsidRPr="000C5A61">
              <w:rPr>
                <w:rFonts w:cs="Arial"/>
                <w:color w:val="000000"/>
                <w:szCs w:val="18"/>
                <w:lang w:val="en-GB"/>
              </w:rPr>
              <w:t>.0</w:t>
            </w:r>
            <w:r w:rsidRPr="000C5A61">
              <w:rPr>
                <w:rFonts w:cs="Arial"/>
                <w:color w:val="000000"/>
                <w:szCs w:val="18"/>
                <w:lang w:val="en-GB"/>
              </w:rPr>
              <w:t xml:space="preserve"> - 0</w:t>
            </w:r>
            <w:r w:rsidR="0046732F" w:rsidRPr="000C5A61">
              <w:rPr>
                <w:rFonts w:cs="Arial"/>
                <w:color w:val="000000"/>
                <w:szCs w:val="18"/>
                <w:lang w:val="en-GB"/>
              </w:rPr>
              <w:t>.0</w:t>
            </w:r>
          </w:p>
        </w:tc>
        <w:tc>
          <w:tcPr>
            <w:tcW w:w="1209" w:type="pct"/>
            <w:shd w:val="clear" w:color="auto" w:fill="FFFFFF"/>
            <w:vAlign w:val="bottom"/>
          </w:tcPr>
          <w:p w14:paraId="0F236B8A" w14:textId="37DD45F8" w:rsidR="009D76D6" w:rsidRPr="000C5A61" w:rsidRDefault="009D76D6" w:rsidP="009D76D6">
            <w:pPr>
              <w:pStyle w:val="CETBodytext"/>
              <w:ind w:right="-1"/>
              <w:rPr>
                <w:rFonts w:cs="Arial"/>
                <w:szCs w:val="18"/>
                <w:lang w:val="en-GB"/>
              </w:rPr>
            </w:pPr>
            <w:r w:rsidRPr="000C5A61">
              <w:rPr>
                <w:rFonts w:cs="Arial"/>
                <w:color w:val="000000"/>
                <w:szCs w:val="18"/>
                <w:lang w:val="en-GB"/>
              </w:rPr>
              <w:t>519.72 - 0.089</w:t>
            </w:r>
          </w:p>
        </w:tc>
      </w:tr>
      <w:tr w:rsidR="009D76D6" w:rsidRPr="000C5A61" w14:paraId="176AE17F" w14:textId="77777777" w:rsidTr="00692387">
        <w:tc>
          <w:tcPr>
            <w:tcW w:w="624" w:type="pct"/>
            <w:shd w:val="clear" w:color="auto" w:fill="FFFFFF"/>
          </w:tcPr>
          <w:p w14:paraId="4ACB7793" w14:textId="77777777" w:rsidR="009D76D6" w:rsidRPr="000C5A61" w:rsidRDefault="009D76D6" w:rsidP="009D76D6">
            <w:pPr>
              <w:pStyle w:val="CETBodytext"/>
              <w:ind w:right="-1"/>
              <w:rPr>
                <w:rFonts w:cs="Arial"/>
                <w:szCs w:val="18"/>
                <w:lang w:val="en-GB"/>
              </w:rPr>
            </w:pPr>
            <w:r w:rsidRPr="000C5A61">
              <w:rPr>
                <w:rFonts w:cs="Arial"/>
                <w:szCs w:val="18"/>
                <w:lang w:val="en-GB"/>
              </w:rPr>
              <w:t>A5</w:t>
            </w:r>
          </w:p>
        </w:tc>
        <w:tc>
          <w:tcPr>
            <w:tcW w:w="1159" w:type="pct"/>
            <w:shd w:val="clear" w:color="auto" w:fill="FFFFFF"/>
            <w:vAlign w:val="bottom"/>
          </w:tcPr>
          <w:p w14:paraId="7AB712B9" w14:textId="5EB9A665" w:rsidR="009D76D6" w:rsidRPr="000C5A61" w:rsidRDefault="009D76D6" w:rsidP="009D76D6">
            <w:pPr>
              <w:pStyle w:val="CETBodytext"/>
              <w:ind w:right="-1"/>
              <w:rPr>
                <w:rFonts w:cs="Arial"/>
                <w:szCs w:val="18"/>
                <w:lang w:val="en-GB"/>
              </w:rPr>
            </w:pPr>
            <w:r w:rsidRPr="000C5A61">
              <w:rPr>
                <w:rFonts w:cs="Arial"/>
                <w:color w:val="000000"/>
                <w:szCs w:val="18"/>
                <w:lang w:val="en-GB"/>
              </w:rPr>
              <w:t>13.13 - 0.015</w:t>
            </w:r>
          </w:p>
        </w:tc>
        <w:tc>
          <w:tcPr>
            <w:tcW w:w="901" w:type="pct"/>
            <w:shd w:val="clear" w:color="auto" w:fill="FFFFFF"/>
            <w:vAlign w:val="bottom"/>
          </w:tcPr>
          <w:p w14:paraId="5C56389E" w14:textId="0181A06E" w:rsidR="009D76D6" w:rsidRPr="000C5A61" w:rsidRDefault="009D76D6" w:rsidP="009D76D6">
            <w:pPr>
              <w:pStyle w:val="CETBodytext"/>
              <w:ind w:right="-1"/>
              <w:rPr>
                <w:rFonts w:cs="Arial"/>
                <w:szCs w:val="18"/>
                <w:lang w:val="en-GB"/>
              </w:rPr>
            </w:pPr>
            <w:r w:rsidRPr="000C5A61">
              <w:rPr>
                <w:rFonts w:cs="Arial"/>
                <w:color w:val="000000"/>
                <w:szCs w:val="18"/>
                <w:lang w:val="en-GB"/>
              </w:rPr>
              <w:t>123.35 - 0.029</w:t>
            </w:r>
          </w:p>
        </w:tc>
        <w:tc>
          <w:tcPr>
            <w:tcW w:w="1107" w:type="pct"/>
            <w:shd w:val="clear" w:color="auto" w:fill="FFFFFF"/>
            <w:vAlign w:val="bottom"/>
          </w:tcPr>
          <w:p w14:paraId="72C6F783" w14:textId="63973135" w:rsidR="009D76D6" w:rsidRPr="000C5A61" w:rsidRDefault="009D76D6" w:rsidP="009D76D6">
            <w:pPr>
              <w:pStyle w:val="CETBodytext"/>
              <w:ind w:right="-1"/>
              <w:rPr>
                <w:rFonts w:cs="Arial"/>
                <w:szCs w:val="18"/>
                <w:lang w:val="en-GB"/>
              </w:rPr>
            </w:pPr>
            <w:r w:rsidRPr="000C5A61">
              <w:rPr>
                <w:rFonts w:cs="Arial"/>
                <w:color w:val="000000"/>
                <w:szCs w:val="18"/>
                <w:lang w:val="en-GB"/>
              </w:rPr>
              <w:t>0</w:t>
            </w:r>
            <w:r w:rsidR="0046732F" w:rsidRPr="000C5A61">
              <w:rPr>
                <w:rFonts w:cs="Arial"/>
                <w:color w:val="000000"/>
                <w:szCs w:val="18"/>
                <w:lang w:val="en-GB"/>
              </w:rPr>
              <w:t>.0</w:t>
            </w:r>
            <w:r w:rsidRPr="000C5A61">
              <w:rPr>
                <w:rFonts w:cs="Arial"/>
                <w:color w:val="000000"/>
                <w:szCs w:val="18"/>
                <w:lang w:val="en-GB"/>
              </w:rPr>
              <w:t xml:space="preserve"> - 0</w:t>
            </w:r>
            <w:r w:rsidR="0046732F" w:rsidRPr="000C5A61">
              <w:rPr>
                <w:rFonts w:cs="Arial"/>
                <w:color w:val="000000"/>
                <w:szCs w:val="18"/>
                <w:lang w:val="en-GB"/>
              </w:rPr>
              <w:t>.0</w:t>
            </w:r>
          </w:p>
        </w:tc>
        <w:tc>
          <w:tcPr>
            <w:tcW w:w="1209" w:type="pct"/>
            <w:shd w:val="clear" w:color="auto" w:fill="FFFFFF"/>
            <w:vAlign w:val="bottom"/>
          </w:tcPr>
          <w:p w14:paraId="56124EEE" w14:textId="3ED2183B" w:rsidR="009D76D6" w:rsidRPr="000C5A61" w:rsidRDefault="009D76D6" w:rsidP="009D76D6">
            <w:pPr>
              <w:pStyle w:val="CETBodytext"/>
              <w:ind w:right="-1"/>
              <w:rPr>
                <w:rFonts w:cs="Arial"/>
                <w:szCs w:val="18"/>
                <w:lang w:val="en-GB"/>
              </w:rPr>
            </w:pPr>
            <w:r w:rsidRPr="000C5A61">
              <w:rPr>
                <w:rFonts w:cs="Arial"/>
                <w:color w:val="000000"/>
                <w:szCs w:val="18"/>
                <w:lang w:val="en-GB"/>
              </w:rPr>
              <w:t>520.19 - 0.09</w:t>
            </w:r>
            <w:r w:rsidR="001B1462" w:rsidRPr="000C5A61">
              <w:rPr>
                <w:rFonts w:cs="Arial"/>
                <w:color w:val="000000"/>
                <w:szCs w:val="18"/>
                <w:lang w:val="en-GB"/>
              </w:rPr>
              <w:t>0</w:t>
            </w:r>
          </w:p>
        </w:tc>
      </w:tr>
      <w:tr w:rsidR="009D76D6" w:rsidRPr="000C5A61" w14:paraId="37B648CC" w14:textId="77777777" w:rsidTr="00692387">
        <w:tc>
          <w:tcPr>
            <w:tcW w:w="624" w:type="pct"/>
            <w:shd w:val="clear" w:color="auto" w:fill="FFFFFF"/>
          </w:tcPr>
          <w:p w14:paraId="7A59813A" w14:textId="77777777" w:rsidR="009D76D6" w:rsidRPr="000C5A61" w:rsidRDefault="009D76D6" w:rsidP="009D76D6">
            <w:pPr>
              <w:pStyle w:val="CETBodytext"/>
              <w:ind w:right="-1"/>
              <w:rPr>
                <w:rFonts w:cs="Arial"/>
                <w:szCs w:val="18"/>
                <w:lang w:val="en-GB"/>
              </w:rPr>
            </w:pPr>
            <w:r w:rsidRPr="000C5A61">
              <w:rPr>
                <w:rFonts w:cs="Arial"/>
                <w:szCs w:val="18"/>
                <w:lang w:val="en-GB"/>
              </w:rPr>
              <w:t>A6</w:t>
            </w:r>
          </w:p>
        </w:tc>
        <w:tc>
          <w:tcPr>
            <w:tcW w:w="1159" w:type="pct"/>
            <w:shd w:val="clear" w:color="auto" w:fill="FFFFFF"/>
            <w:vAlign w:val="bottom"/>
          </w:tcPr>
          <w:p w14:paraId="56BF81D5" w14:textId="133164E9" w:rsidR="009D76D6" w:rsidRPr="000C5A61" w:rsidRDefault="009D76D6" w:rsidP="009D76D6">
            <w:pPr>
              <w:pStyle w:val="CETBodytext"/>
              <w:ind w:right="-1"/>
              <w:rPr>
                <w:rFonts w:cs="Arial"/>
                <w:szCs w:val="18"/>
                <w:lang w:val="en-GB"/>
              </w:rPr>
            </w:pPr>
            <w:r w:rsidRPr="000C5A61">
              <w:rPr>
                <w:rFonts w:cs="Arial"/>
                <w:color w:val="000000"/>
                <w:szCs w:val="18"/>
                <w:lang w:val="en-GB"/>
              </w:rPr>
              <w:t>13.13 - 0.015</w:t>
            </w:r>
          </w:p>
        </w:tc>
        <w:tc>
          <w:tcPr>
            <w:tcW w:w="901" w:type="pct"/>
            <w:shd w:val="clear" w:color="auto" w:fill="FFFFFF"/>
            <w:vAlign w:val="bottom"/>
          </w:tcPr>
          <w:p w14:paraId="0BE4BAA6" w14:textId="64F456ED" w:rsidR="009D76D6" w:rsidRPr="000C5A61" w:rsidRDefault="009D76D6" w:rsidP="009D76D6">
            <w:pPr>
              <w:pStyle w:val="CETBodytext"/>
              <w:ind w:right="-1"/>
              <w:rPr>
                <w:rFonts w:cs="Arial"/>
                <w:szCs w:val="18"/>
                <w:lang w:val="en-GB"/>
              </w:rPr>
            </w:pPr>
            <w:r w:rsidRPr="000C5A61">
              <w:rPr>
                <w:rFonts w:cs="Arial"/>
                <w:color w:val="000000"/>
                <w:szCs w:val="18"/>
                <w:lang w:val="en-GB"/>
              </w:rPr>
              <w:t>122.88 - 0.029</w:t>
            </w:r>
          </w:p>
        </w:tc>
        <w:tc>
          <w:tcPr>
            <w:tcW w:w="1107" w:type="pct"/>
            <w:shd w:val="clear" w:color="auto" w:fill="FFFFFF"/>
            <w:vAlign w:val="bottom"/>
          </w:tcPr>
          <w:p w14:paraId="60D925DB" w14:textId="3A47A030" w:rsidR="009D76D6" w:rsidRPr="000C5A61" w:rsidRDefault="009D76D6" w:rsidP="009D76D6">
            <w:pPr>
              <w:pStyle w:val="CETBodytext"/>
              <w:ind w:right="-1"/>
              <w:rPr>
                <w:rFonts w:cs="Arial"/>
                <w:szCs w:val="18"/>
                <w:lang w:val="en-GB"/>
              </w:rPr>
            </w:pPr>
            <w:r w:rsidRPr="000C5A61">
              <w:rPr>
                <w:rFonts w:cs="Arial"/>
                <w:color w:val="000000"/>
                <w:szCs w:val="18"/>
                <w:lang w:val="en-GB"/>
              </w:rPr>
              <w:t>0</w:t>
            </w:r>
            <w:r w:rsidR="0046732F" w:rsidRPr="000C5A61">
              <w:rPr>
                <w:rFonts w:cs="Arial"/>
                <w:color w:val="000000"/>
                <w:szCs w:val="18"/>
                <w:lang w:val="en-GB"/>
              </w:rPr>
              <w:t>.0</w:t>
            </w:r>
            <w:r w:rsidRPr="000C5A61">
              <w:rPr>
                <w:rFonts w:cs="Arial"/>
                <w:color w:val="000000"/>
                <w:szCs w:val="18"/>
                <w:lang w:val="en-GB"/>
              </w:rPr>
              <w:t xml:space="preserve"> - 0</w:t>
            </w:r>
            <w:r w:rsidR="0046732F" w:rsidRPr="000C5A61">
              <w:rPr>
                <w:rFonts w:cs="Arial"/>
                <w:color w:val="000000"/>
                <w:szCs w:val="18"/>
                <w:lang w:val="en-GB"/>
              </w:rPr>
              <w:t>.0</w:t>
            </w:r>
          </w:p>
        </w:tc>
        <w:tc>
          <w:tcPr>
            <w:tcW w:w="1209" w:type="pct"/>
            <w:shd w:val="clear" w:color="auto" w:fill="FFFFFF"/>
            <w:vAlign w:val="bottom"/>
          </w:tcPr>
          <w:p w14:paraId="058E1B34" w14:textId="1CF860CF" w:rsidR="009D76D6" w:rsidRPr="000C5A61" w:rsidRDefault="009D76D6" w:rsidP="009D76D6">
            <w:pPr>
              <w:pStyle w:val="CETBodytext"/>
              <w:ind w:right="-1"/>
              <w:rPr>
                <w:rFonts w:cs="Arial"/>
                <w:szCs w:val="18"/>
                <w:lang w:val="en-GB"/>
              </w:rPr>
            </w:pPr>
            <w:r w:rsidRPr="000C5A61">
              <w:rPr>
                <w:rFonts w:cs="Arial"/>
                <w:color w:val="000000"/>
                <w:szCs w:val="18"/>
                <w:lang w:val="en-GB"/>
              </w:rPr>
              <w:t>520.66 - 0.091</w:t>
            </w:r>
          </w:p>
        </w:tc>
      </w:tr>
      <w:tr w:rsidR="009D76D6" w:rsidRPr="000C5A61" w14:paraId="6FA796E4" w14:textId="77777777" w:rsidTr="00692387">
        <w:tc>
          <w:tcPr>
            <w:tcW w:w="624" w:type="pct"/>
            <w:shd w:val="clear" w:color="auto" w:fill="FFFFFF"/>
          </w:tcPr>
          <w:p w14:paraId="671388B5" w14:textId="77777777" w:rsidR="009D76D6" w:rsidRPr="000C5A61" w:rsidRDefault="009D76D6" w:rsidP="009D76D6">
            <w:pPr>
              <w:pStyle w:val="CETBodytext"/>
              <w:ind w:right="-1"/>
              <w:rPr>
                <w:rFonts w:cs="Arial"/>
                <w:szCs w:val="18"/>
                <w:lang w:val="en-GB"/>
              </w:rPr>
            </w:pPr>
            <w:r w:rsidRPr="000C5A61">
              <w:rPr>
                <w:rFonts w:cs="Arial"/>
                <w:szCs w:val="18"/>
                <w:lang w:val="en-GB"/>
              </w:rPr>
              <w:t>A7</w:t>
            </w:r>
          </w:p>
        </w:tc>
        <w:tc>
          <w:tcPr>
            <w:tcW w:w="1159" w:type="pct"/>
            <w:shd w:val="clear" w:color="auto" w:fill="FFFFFF"/>
            <w:vAlign w:val="bottom"/>
          </w:tcPr>
          <w:p w14:paraId="73707658" w14:textId="68F8E78E" w:rsidR="009D76D6" w:rsidRPr="000C5A61" w:rsidRDefault="009D76D6" w:rsidP="009D76D6">
            <w:pPr>
              <w:pStyle w:val="CETBodytext"/>
              <w:ind w:right="-1"/>
              <w:rPr>
                <w:rFonts w:cs="Arial"/>
                <w:szCs w:val="18"/>
                <w:lang w:val="en-GB"/>
              </w:rPr>
            </w:pPr>
            <w:r w:rsidRPr="000C5A61">
              <w:rPr>
                <w:rFonts w:cs="Arial"/>
                <w:color w:val="000000"/>
                <w:szCs w:val="18"/>
                <w:lang w:val="en-GB"/>
              </w:rPr>
              <w:t>13.13 - 0.015</w:t>
            </w:r>
          </w:p>
        </w:tc>
        <w:tc>
          <w:tcPr>
            <w:tcW w:w="901" w:type="pct"/>
            <w:shd w:val="clear" w:color="auto" w:fill="FFFFFF"/>
            <w:vAlign w:val="bottom"/>
          </w:tcPr>
          <w:p w14:paraId="3C791211" w14:textId="0CB7C06E" w:rsidR="009D76D6" w:rsidRPr="000C5A61" w:rsidRDefault="009D76D6" w:rsidP="009D76D6">
            <w:pPr>
              <w:pStyle w:val="CETBodytext"/>
              <w:ind w:right="-1"/>
              <w:rPr>
                <w:rFonts w:cs="Arial"/>
                <w:szCs w:val="18"/>
                <w:lang w:val="en-GB"/>
              </w:rPr>
            </w:pPr>
            <w:r w:rsidRPr="000C5A61">
              <w:rPr>
                <w:rFonts w:cs="Arial"/>
                <w:color w:val="000000"/>
                <w:szCs w:val="18"/>
                <w:lang w:val="en-GB"/>
              </w:rPr>
              <w:t>122.41 - 0.029</w:t>
            </w:r>
          </w:p>
        </w:tc>
        <w:tc>
          <w:tcPr>
            <w:tcW w:w="1107" w:type="pct"/>
            <w:shd w:val="clear" w:color="auto" w:fill="FFFFFF"/>
            <w:vAlign w:val="bottom"/>
          </w:tcPr>
          <w:p w14:paraId="0BB6F902" w14:textId="68D9146C" w:rsidR="009D76D6" w:rsidRPr="000C5A61" w:rsidRDefault="009D76D6" w:rsidP="009D76D6">
            <w:pPr>
              <w:pStyle w:val="CETBodytext"/>
              <w:ind w:right="-1"/>
              <w:rPr>
                <w:rFonts w:cs="Arial"/>
                <w:szCs w:val="18"/>
                <w:lang w:val="en-GB"/>
              </w:rPr>
            </w:pPr>
            <w:r w:rsidRPr="000C5A61">
              <w:rPr>
                <w:rFonts w:cs="Arial"/>
                <w:color w:val="000000"/>
                <w:szCs w:val="18"/>
                <w:lang w:val="en-GB"/>
              </w:rPr>
              <w:t>0</w:t>
            </w:r>
            <w:r w:rsidR="0046732F" w:rsidRPr="000C5A61">
              <w:rPr>
                <w:rFonts w:cs="Arial"/>
                <w:color w:val="000000"/>
                <w:szCs w:val="18"/>
                <w:lang w:val="en-GB"/>
              </w:rPr>
              <w:t>.0</w:t>
            </w:r>
            <w:r w:rsidRPr="000C5A61">
              <w:rPr>
                <w:rFonts w:cs="Arial"/>
                <w:color w:val="000000"/>
                <w:szCs w:val="18"/>
                <w:lang w:val="en-GB"/>
              </w:rPr>
              <w:t xml:space="preserve"> - 0</w:t>
            </w:r>
            <w:r w:rsidR="0046732F" w:rsidRPr="000C5A61">
              <w:rPr>
                <w:rFonts w:cs="Arial"/>
                <w:color w:val="000000"/>
                <w:szCs w:val="18"/>
                <w:lang w:val="en-GB"/>
              </w:rPr>
              <w:t>.0</w:t>
            </w:r>
          </w:p>
        </w:tc>
        <w:tc>
          <w:tcPr>
            <w:tcW w:w="1209" w:type="pct"/>
            <w:shd w:val="clear" w:color="auto" w:fill="FFFFFF"/>
            <w:vAlign w:val="bottom"/>
          </w:tcPr>
          <w:p w14:paraId="057B8B9C" w14:textId="7FA6A2B6" w:rsidR="009D76D6" w:rsidRPr="000C5A61" w:rsidRDefault="009D76D6" w:rsidP="009D76D6">
            <w:pPr>
              <w:pStyle w:val="CETBodytext"/>
              <w:ind w:right="-1"/>
              <w:rPr>
                <w:rFonts w:cs="Arial"/>
                <w:szCs w:val="18"/>
                <w:lang w:val="en-GB"/>
              </w:rPr>
            </w:pPr>
            <w:r w:rsidRPr="000C5A61">
              <w:rPr>
                <w:rFonts w:cs="Arial"/>
                <w:color w:val="000000"/>
                <w:szCs w:val="18"/>
                <w:lang w:val="en-GB"/>
              </w:rPr>
              <w:t>521.13 - 0.092</w:t>
            </w:r>
          </w:p>
        </w:tc>
      </w:tr>
      <w:tr w:rsidR="009D76D6" w:rsidRPr="000C5A61" w14:paraId="7F8ACEAD" w14:textId="77777777" w:rsidTr="00692387">
        <w:tc>
          <w:tcPr>
            <w:tcW w:w="624" w:type="pct"/>
            <w:shd w:val="clear" w:color="auto" w:fill="FFFFFF"/>
          </w:tcPr>
          <w:p w14:paraId="0B54A404" w14:textId="77777777" w:rsidR="009D76D6" w:rsidRPr="000C5A61" w:rsidRDefault="009D76D6" w:rsidP="009D76D6">
            <w:pPr>
              <w:pStyle w:val="CETBodytext"/>
              <w:ind w:right="-1"/>
              <w:rPr>
                <w:rFonts w:cs="Arial"/>
                <w:szCs w:val="18"/>
                <w:lang w:val="en-GB"/>
              </w:rPr>
            </w:pPr>
            <w:r w:rsidRPr="000C5A61">
              <w:rPr>
                <w:rFonts w:cs="Arial"/>
                <w:szCs w:val="18"/>
                <w:lang w:val="en-GB"/>
              </w:rPr>
              <w:t>A8</w:t>
            </w:r>
          </w:p>
        </w:tc>
        <w:tc>
          <w:tcPr>
            <w:tcW w:w="1159" w:type="pct"/>
            <w:shd w:val="clear" w:color="auto" w:fill="FFFFFF"/>
            <w:vAlign w:val="bottom"/>
          </w:tcPr>
          <w:p w14:paraId="4924D23E" w14:textId="2FD8132B" w:rsidR="009D76D6" w:rsidRPr="000C5A61" w:rsidRDefault="009D76D6" w:rsidP="009D76D6">
            <w:pPr>
              <w:pStyle w:val="CETBodytext"/>
              <w:ind w:right="-1"/>
              <w:rPr>
                <w:rFonts w:cs="Arial"/>
                <w:szCs w:val="18"/>
                <w:lang w:val="en-GB"/>
              </w:rPr>
            </w:pPr>
            <w:r w:rsidRPr="000C5A61">
              <w:rPr>
                <w:rFonts w:cs="Arial"/>
                <w:color w:val="000000"/>
                <w:szCs w:val="18"/>
                <w:lang w:val="en-GB"/>
              </w:rPr>
              <w:t>13.13 - 0.015</w:t>
            </w:r>
          </w:p>
        </w:tc>
        <w:tc>
          <w:tcPr>
            <w:tcW w:w="901" w:type="pct"/>
            <w:shd w:val="clear" w:color="auto" w:fill="FFFFFF"/>
            <w:vAlign w:val="bottom"/>
          </w:tcPr>
          <w:p w14:paraId="24A2757C" w14:textId="005E0459" w:rsidR="009D76D6" w:rsidRPr="000C5A61" w:rsidRDefault="009D76D6" w:rsidP="009D76D6">
            <w:pPr>
              <w:pStyle w:val="CETBodytext"/>
              <w:ind w:right="-1"/>
              <w:rPr>
                <w:rFonts w:cs="Arial"/>
                <w:szCs w:val="18"/>
                <w:lang w:val="en-GB"/>
              </w:rPr>
            </w:pPr>
            <w:r w:rsidRPr="000C5A61">
              <w:rPr>
                <w:rFonts w:cs="Arial"/>
                <w:color w:val="000000"/>
                <w:szCs w:val="18"/>
                <w:lang w:val="en-GB"/>
              </w:rPr>
              <w:t>121.94 - 0.028</w:t>
            </w:r>
          </w:p>
        </w:tc>
        <w:tc>
          <w:tcPr>
            <w:tcW w:w="1107" w:type="pct"/>
            <w:shd w:val="clear" w:color="auto" w:fill="FFFFFF"/>
            <w:vAlign w:val="bottom"/>
          </w:tcPr>
          <w:p w14:paraId="0781CB2D" w14:textId="6AF15BE8" w:rsidR="009D76D6" w:rsidRPr="000C5A61" w:rsidRDefault="009D76D6" w:rsidP="009D76D6">
            <w:pPr>
              <w:pStyle w:val="CETBodytext"/>
              <w:ind w:right="-1"/>
              <w:rPr>
                <w:rFonts w:cs="Arial"/>
                <w:szCs w:val="18"/>
                <w:lang w:val="en-GB"/>
              </w:rPr>
            </w:pPr>
            <w:r w:rsidRPr="000C5A61">
              <w:rPr>
                <w:rFonts w:cs="Arial"/>
                <w:color w:val="000000"/>
                <w:szCs w:val="18"/>
                <w:lang w:val="en-GB"/>
              </w:rPr>
              <w:t>0</w:t>
            </w:r>
            <w:r w:rsidR="0046732F" w:rsidRPr="000C5A61">
              <w:rPr>
                <w:rFonts w:cs="Arial"/>
                <w:color w:val="000000"/>
                <w:szCs w:val="18"/>
                <w:lang w:val="en-GB"/>
              </w:rPr>
              <w:t>.0</w:t>
            </w:r>
            <w:r w:rsidRPr="000C5A61">
              <w:rPr>
                <w:rFonts w:cs="Arial"/>
                <w:color w:val="000000"/>
                <w:szCs w:val="18"/>
                <w:lang w:val="en-GB"/>
              </w:rPr>
              <w:t xml:space="preserve"> - 0</w:t>
            </w:r>
            <w:r w:rsidR="0046732F" w:rsidRPr="000C5A61">
              <w:rPr>
                <w:rFonts w:cs="Arial"/>
                <w:color w:val="000000"/>
                <w:szCs w:val="18"/>
                <w:lang w:val="en-GB"/>
              </w:rPr>
              <w:t>.0</w:t>
            </w:r>
          </w:p>
        </w:tc>
        <w:tc>
          <w:tcPr>
            <w:tcW w:w="1209" w:type="pct"/>
            <w:shd w:val="clear" w:color="auto" w:fill="FFFFFF"/>
            <w:vAlign w:val="bottom"/>
          </w:tcPr>
          <w:p w14:paraId="195C2882" w14:textId="36BD2531" w:rsidR="009D76D6" w:rsidRPr="000C5A61" w:rsidRDefault="009D76D6" w:rsidP="009D76D6">
            <w:pPr>
              <w:pStyle w:val="CETBodytext"/>
              <w:ind w:right="-1"/>
              <w:rPr>
                <w:rFonts w:cs="Arial"/>
                <w:szCs w:val="18"/>
                <w:lang w:val="en-GB"/>
              </w:rPr>
            </w:pPr>
            <w:r w:rsidRPr="000C5A61">
              <w:rPr>
                <w:rFonts w:cs="Arial"/>
                <w:color w:val="000000"/>
                <w:szCs w:val="18"/>
                <w:lang w:val="en-GB"/>
              </w:rPr>
              <w:t>521.60 - 0.093</w:t>
            </w:r>
          </w:p>
        </w:tc>
      </w:tr>
      <w:tr w:rsidR="009D76D6" w:rsidRPr="000C5A61" w14:paraId="1786FFFE" w14:textId="77777777" w:rsidTr="00692387">
        <w:tc>
          <w:tcPr>
            <w:tcW w:w="624" w:type="pct"/>
            <w:shd w:val="clear" w:color="auto" w:fill="FFFFFF"/>
          </w:tcPr>
          <w:p w14:paraId="0B27BFAF" w14:textId="77777777" w:rsidR="009D76D6" w:rsidRPr="000C5A61" w:rsidRDefault="009D76D6" w:rsidP="009D76D6">
            <w:pPr>
              <w:pStyle w:val="CETBodytext"/>
              <w:ind w:right="-1"/>
              <w:rPr>
                <w:rFonts w:cs="Arial"/>
                <w:szCs w:val="18"/>
                <w:lang w:val="en-GB"/>
              </w:rPr>
            </w:pPr>
            <w:r w:rsidRPr="000C5A61">
              <w:rPr>
                <w:rFonts w:cs="Arial"/>
                <w:szCs w:val="18"/>
                <w:lang w:val="en-GB"/>
              </w:rPr>
              <w:t>A9</w:t>
            </w:r>
          </w:p>
        </w:tc>
        <w:tc>
          <w:tcPr>
            <w:tcW w:w="1159" w:type="pct"/>
            <w:shd w:val="clear" w:color="auto" w:fill="FFFFFF"/>
            <w:vAlign w:val="bottom"/>
          </w:tcPr>
          <w:p w14:paraId="0EF1415E" w14:textId="0F6437A2" w:rsidR="009D76D6" w:rsidRPr="000C5A61" w:rsidRDefault="009D76D6" w:rsidP="009D76D6">
            <w:pPr>
              <w:pStyle w:val="CETBodytext"/>
              <w:ind w:right="-1"/>
              <w:rPr>
                <w:rFonts w:cs="Arial"/>
                <w:szCs w:val="18"/>
                <w:lang w:val="en-GB"/>
              </w:rPr>
            </w:pPr>
            <w:r w:rsidRPr="000C5A61">
              <w:rPr>
                <w:rFonts w:cs="Arial"/>
                <w:color w:val="000000"/>
                <w:szCs w:val="18"/>
                <w:lang w:val="en-GB"/>
              </w:rPr>
              <w:t>13.13 - 0.015</w:t>
            </w:r>
          </w:p>
        </w:tc>
        <w:tc>
          <w:tcPr>
            <w:tcW w:w="901" w:type="pct"/>
            <w:shd w:val="clear" w:color="auto" w:fill="FFFFFF"/>
            <w:vAlign w:val="bottom"/>
          </w:tcPr>
          <w:p w14:paraId="58656DBE" w14:textId="31D96947" w:rsidR="009D76D6" w:rsidRPr="000C5A61" w:rsidRDefault="009D76D6" w:rsidP="009D76D6">
            <w:pPr>
              <w:pStyle w:val="CETBodytext"/>
              <w:ind w:right="-1"/>
              <w:rPr>
                <w:rFonts w:cs="Arial"/>
                <w:szCs w:val="18"/>
                <w:lang w:val="en-GB"/>
              </w:rPr>
            </w:pPr>
            <w:r w:rsidRPr="000C5A61">
              <w:rPr>
                <w:rFonts w:cs="Arial"/>
                <w:color w:val="000000"/>
                <w:szCs w:val="18"/>
                <w:lang w:val="en-GB"/>
              </w:rPr>
              <w:t>121.46 - 0.028</w:t>
            </w:r>
          </w:p>
        </w:tc>
        <w:tc>
          <w:tcPr>
            <w:tcW w:w="1107" w:type="pct"/>
            <w:shd w:val="clear" w:color="auto" w:fill="FFFFFF"/>
            <w:vAlign w:val="bottom"/>
          </w:tcPr>
          <w:p w14:paraId="462FED83" w14:textId="485FC9F8" w:rsidR="009D76D6" w:rsidRPr="000C5A61" w:rsidRDefault="009D76D6" w:rsidP="009D76D6">
            <w:pPr>
              <w:pStyle w:val="CETBodytext"/>
              <w:ind w:right="-1"/>
              <w:rPr>
                <w:rFonts w:cs="Arial"/>
                <w:szCs w:val="18"/>
                <w:lang w:val="en-GB"/>
              </w:rPr>
            </w:pPr>
            <w:r w:rsidRPr="000C5A61">
              <w:rPr>
                <w:rFonts w:cs="Arial"/>
                <w:color w:val="000000"/>
                <w:szCs w:val="18"/>
                <w:lang w:val="en-GB"/>
              </w:rPr>
              <w:t>0</w:t>
            </w:r>
            <w:r w:rsidR="0046732F" w:rsidRPr="000C5A61">
              <w:rPr>
                <w:rFonts w:cs="Arial"/>
                <w:color w:val="000000"/>
                <w:szCs w:val="18"/>
                <w:lang w:val="en-GB"/>
              </w:rPr>
              <w:t>.0</w:t>
            </w:r>
            <w:r w:rsidRPr="000C5A61">
              <w:rPr>
                <w:rFonts w:cs="Arial"/>
                <w:color w:val="000000"/>
                <w:szCs w:val="18"/>
                <w:lang w:val="en-GB"/>
              </w:rPr>
              <w:t xml:space="preserve"> </w:t>
            </w:r>
            <w:r w:rsidR="0046732F" w:rsidRPr="000C5A61">
              <w:rPr>
                <w:rFonts w:cs="Arial"/>
                <w:color w:val="000000"/>
                <w:szCs w:val="18"/>
                <w:lang w:val="en-GB"/>
              </w:rPr>
              <w:t>-</w:t>
            </w:r>
            <w:r w:rsidRPr="000C5A61">
              <w:rPr>
                <w:rFonts w:cs="Arial"/>
                <w:color w:val="000000"/>
                <w:szCs w:val="18"/>
                <w:lang w:val="en-GB"/>
              </w:rPr>
              <w:t xml:space="preserve"> 0</w:t>
            </w:r>
            <w:r w:rsidR="0046732F" w:rsidRPr="000C5A61">
              <w:rPr>
                <w:rFonts w:cs="Arial"/>
                <w:color w:val="000000"/>
                <w:szCs w:val="18"/>
                <w:lang w:val="en-GB"/>
              </w:rPr>
              <w:t>.0</w:t>
            </w:r>
          </w:p>
        </w:tc>
        <w:tc>
          <w:tcPr>
            <w:tcW w:w="1209" w:type="pct"/>
            <w:shd w:val="clear" w:color="auto" w:fill="FFFFFF"/>
            <w:vAlign w:val="bottom"/>
          </w:tcPr>
          <w:p w14:paraId="37B78C1D" w14:textId="1148930F" w:rsidR="009D76D6" w:rsidRPr="000C5A61" w:rsidRDefault="009D76D6" w:rsidP="009D76D6">
            <w:pPr>
              <w:pStyle w:val="CETBodytext"/>
              <w:ind w:right="-1"/>
              <w:rPr>
                <w:rFonts w:cs="Arial"/>
                <w:szCs w:val="18"/>
                <w:lang w:val="en-GB"/>
              </w:rPr>
            </w:pPr>
            <w:r w:rsidRPr="000C5A61">
              <w:rPr>
                <w:rFonts w:cs="Arial"/>
                <w:color w:val="000000"/>
                <w:szCs w:val="18"/>
                <w:lang w:val="en-GB"/>
              </w:rPr>
              <w:t>522.08 - 0.094</w:t>
            </w:r>
          </w:p>
        </w:tc>
      </w:tr>
      <w:tr w:rsidR="009D76D6" w:rsidRPr="000C5A61" w14:paraId="5C0151F7" w14:textId="77777777" w:rsidTr="00692387">
        <w:tc>
          <w:tcPr>
            <w:tcW w:w="624" w:type="pct"/>
            <w:shd w:val="clear" w:color="auto" w:fill="FFFFFF"/>
          </w:tcPr>
          <w:p w14:paraId="31176361" w14:textId="77777777" w:rsidR="009D76D6" w:rsidRPr="000C5A61" w:rsidRDefault="009D76D6" w:rsidP="009D76D6">
            <w:pPr>
              <w:pStyle w:val="CETBodytext"/>
              <w:ind w:right="-1"/>
              <w:rPr>
                <w:rFonts w:cs="Arial"/>
                <w:szCs w:val="18"/>
                <w:lang w:val="en-GB"/>
              </w:rPr>
            </w:pPr>
            <w:r w:rsidRPr="000C5A61">
              <w:rPr>
                <w:rFonts w:cs="Arial"/>
                <w:szCs w:val="18"/>
                <w:lang w:val="en-GB"/>
              </w:rPr>
              <w:t>A10</w:t>
            </w:r>
          </w:p>
        </w:tc>
        <w:tc>
          <w:tcPr>
            <w:tcW w:w="1159" w:type="pct"/>
            <w:shd w:val="clear" w:color="auto" w:fill="FFFFFF"/>
            <w:vAlign w:val="bottom"/>
          </w:tcPr>
          <w:p w14:paraId="694C4B3D" w14:textId="12B7019E" w:rsidR="009D76D6" w:rsidRPr="000C5A61" w:rsidRDefault="009D76D6" w:rsidP="009D76D6">
            <w:pPr>
              <w:pStyle w:val="CETBodytext"/>
              <w:ind w:right="-1"/>
              <w:rPr>
                <w:rFonts w:cs="Arial"/>
                <w:szCs w:val="18"/>
                <w:lang w:val="en-GB"/>
              </w:rPr>
            </w:pPr>
            <w:r w:rsidRPr="000C5A61">
              <w:rPr>
                <w:rFonts w:cs="Arial"/>
                <w:color w:val="000000"/>
                <w:szCs w:val="18"/>
                <w:lang w:val="en-GB"/>
              </w:rPr>
              <w:t>13.13 - 0.015</w:t>
            </w:r>
          </w:p>
        </w:tc>
        <w:tc>
          <w:tcPr>
            <w:tcW w:w="901" w:type="pct"/>
            <w:shd w:val="clear" w:color="auto" w:fill="FFFFFF"/>
            <w:vAlign w:val="bottom"/>
          </w:tcPr>
          <w:p w14:paraId="2EEF5C8C" w14:textId="7CA8A34E" w:rsidR="009D76D6" w:rsidRPr="000C5A61" w:rsidRDefault="009D76D6" w:rsidP="009D76D6">
            <w:pPr>
              <w:pStyle w:val="CETBodytext"/>
              <w:ind w:right="-1"/>
              <w:rPr>
                <w:rFonts w:cs="Arial"/>
                <w:szCs w:val="18"/>
                <w:lang w:val="en-GB"/>
              </w:rPr>
            </w:pPr>
            <w:r w:rsidRPr="000C5A61">
              <w:rPr>
                <w:rFonts w:cs="Arial"/>
                <w:color w:val="000000"/>
                <w:szCs w:val="18"/>
                <w:lang w:val="en-GB"/>
              </w:rPr>
              <w:t>120.99 - 0.028</w:t>
            </w:r>
          </w:p>
        </w:tc>
        <w:tc>
          <w:tcPr>
            <w:tcW w:w="1107" w:type="pct"/>
            <w:shd w:val="clear" w:color="auto" w:fill="FFFFFF"/>
            <w:vAlign w:val="bottom"/>
          </w:tcPr>
          <w:p w14:paraId="2FBE243A" w14:textId="1DD3FE25" w:rsidR="009D76D6" w:rsidRPr="000C5A61" w:rsidRDefault="009D76D6" w:rsidP="009D76D6">
            <w:pPr>
              <w:pStyle w:val="CETBodytext"/>
              <w:ind w:right="-1"/>
              <w:rPr>
                <w:rFonts w:cs="Arial"/>
                <w:szCs w:val="18"/>
                <w:lang w:val="en-GB"/>
              </w:rPr>
            </w:pPr>
            <w:r w:rsidRPr="000C5A61">
              <w:rPr>
                <w:rFonts w:cs="Arial"/>
                <w:color w:val="000000"/>
                <w:szCs w:val="18"/>
                <w:lang w:val="en-GB"/>
              </w:rPr>
              <w:t>0</w:t>
            </w:r>
            <w:r w:rsidR="0046732F" w:rsidRPr="000C5A61">
              <w:rPr>
                <w:rFonts w:cs="Arial"/>
                <w:color w:val="000000"/>
                <w:szCs w:val="18"/>
                <w:lang w:val="en-GB"/>
              </w:rPr>
              <w:t>.0</w:t>
            </w:r>
            <w:r w:rsidRPr="000C5A61">
              <w:rPr>
                <w:rFonts w:cs="Arial"/>
                <w:color w:val="000000"/>
                <w:szCs w:val="18"/>
                <w:lang w:val="en-GB"/>
              </w:rPr>
              <w:t xml:space="preserve"> - 0</w:t>
            </w:r>
            <w:r w:rsidR="0046732F" w:rsidRPr="000C5A61">
              <w:rPr>
                <w:rFonts w:cs="Arial"/>
                <w:color w:val="000000"/>
                <w:szCs w:val="18"/>
                <w:lang w:val="en-GB"/>
              </w:rPr>
              <w:t>.0</w:t>
            </w:r>
          </w:p>
        </w:tc>
        <w:tc>
          <w:tcPr>
            <w:tcW w:w="1209" w:type="pct"/>
            <w:shd w:val="clear" w:color="auto" w:fill="FFFFFF"/>
            <w:vAlign w:val="bottom"/>
          </w:tcPr>
          <w:p w14:paraId="2C8095D8" w14:textId="283E5A27" w:rsidR="009D76D6" w:rsidRPr="000C5A61" w:rsidRDefault="009D76D6" w:rsidP="009D76D6">
            <w:pPr>
              <w:pStyle w:val="CETBodytext"/>
              <w:ind w:right="-1"/>
              <w:rPr>
                <w:rFonts w:cs="Arial"/>
                <w:szCs w:val="18"/>
                <w:lang w:val="en-GB"/>
              </w:rPr>
            </w:pPr>
            <w:r w:rsidRPr="000C5A61">
              <w:rPr>
                <w:rFonts w:cs="Arial"/>
                <w:color w:val="000000"/>
                <w:szCs w:val="18"/>
                <w:lang w:val="en-GB"/>
              </w:rPr>
              <w:t>522.55 - 0.095</w:t>
            </w:r>
          </w:p>
        </w:tc>
      </w:tr>
    </w:tbl>
    <w:p w14:paraId="49DFF952" w14:textId="526D07E7" w:rsidR="008A39F2" w:rsidRPr="000C5A61" w:rsidRDefault="008A39F2" w:rsidP="00572356">
      <w:pPr>
        <w:pStyle w:val="CETBodytext"/>
        <w:spacing w:before="60" w:after="60"/>
        <w:rPr>
          <w:b/>
          <w:bCs/>
          <w:lang w:val="en-GB"/>
        </w:rPr>
      </w:pPr>
      <w:r w:rsidRPr="000C5A61">
        <w:rPr>
          <w:b/>
          <w:bCs/>
          <w:lang w:val="en-GB"/>
        </w:rPr>
        <w:t xml:space="preserve">4.2.3 </w:t>
      </w:r>
      <w:r w:rsidR="0064766E" w:rsidRPr="000C5A61">
        <w:rPr>
          <w:b/>
          <w:bCs/>
          <w:lang w:val="en-GB"/>
        </w:rPr>
        <w:t>Comparison of energy matrices and public policies</w:t>
      </w:r>
    </w:p>
    <w:p w14:paraId="3D5B4C84" w14:textId="1E4B715E" w:rsidR="003F2A3D" w:rsidRPr="000C5A61" w:rsidRDefault="0064766E" w:rsidP="003F2A3D">
      <w:pPr>
        <w:pStyle w:val="CETBodytext"/>
        <w:rPr>
          <w:lang w:val="en-GB"/>
        </w:rPr>
      </w:pPr>
      <w:r w:rsidRPr="000C5A61">
        <w:rPr>
          <w:lang w:val="en-GB"/>
        </w:rPr>
        <w:t>According to the results obtained in the previous sections, the implementation of the PROURE public policy generates multiple advantages in energy planning designs. Among the main benefits is the achievement of convex behaviour in the Pareto diagram, which facilitates the interpretation of results, ensures consistency in the inverse behaviour of the objective functions, and simplifies the selection of the most sustainable alternative for decision-makers and stakeholders in accordance with their interests. In this context, the NPV shows a reduction of between 11.65% and 9.79% in the different alternatives analysed, which represents a significant economic decrease. Similarly, total CO</w:t>
      </w:r>
      <w:r w:rsidRPr="000C5A61">
        <w:rPr>
          <w:vertAlign w:val="subscript"/>
          <w:lang w:val="en-GB"/>
        </w:rPr>
        <w:t>2</w:t>
      </w:r>
      <w:r w:rsidRPr="000C5A61">
        <w:rPr>
          <w:lang w:val="en-GB"/>
        </w:rPr>
        <w:t xml:space="preserve"> emissions are reduced by between 36.09% and 32.02%, demonstrating a highly favourable environmental impact and confirming that the main objective of public policy, aimed at mitigating CO</w:t>
      </w:r>
      <w:r w:rsidRPr="000C5A61">
        <w:rPr>
          <w:vertAlign w:val="subscript"/>
          <w:lang w:val="en-GB"/>
        </w:rPr>
        <w:t>2</w:t>
      </w:r>
      <w:r w:rsidRPr="000C5A61">
        <w:rPr>
          <w:lang w:val="en-GB"/>
        </w:rPr>
        <w:t xml:space="preserve"> emissions, is being satisfactorily achieved.</w:t>
      </w:r>
    </w:p>
    <w:p w14:paraId="29018D18" w14:textId="35747D79" w:rsidR="003D313B" w:rsidRPr="000C5A61" w:rsidRDefault="002E0551" w:rsidP="002E0551">
      <w:pPr>
        <w:pStyle w:val="CETBodytext"/>
        <w:rPr>
          <w:lang w:val="en-GB"/>
        </w:rPr>
      </w:pPr>
      <w:r w:rsidRPr="000C5A61">
        <w:rPr>
          <w:lang w:val="en-GB"/>
        </w:rPr>
        <w:t>Additionally, as a result of the reduction in electricity demand induced by the policy, the total installed capacity of the system decreases. In particular, there is an approximate 20% reduction in the installed capacity of diesel plants, which favours the incorporation of photovoltaic solar panels and rules out the installation of wind turbines. Consistently, the energy generated by each technology is also reduced, leading to lower variable operating and maintenance (O&amp;M) costs and decreasing the likelihood of congestion on transmission lines. Likewise, biomass gasifiers, due to the restriction established in the model, maintain their installed capacities constant. However, there is a decrease in the energy generated under the PROURE scenario.</w:t>
      </w:r>
      <w:r w:rsidR="00761A52" w:rsidRPr="000C5A61">
        <w:rPr>
          <w:lang w:val="en-GB"/>
        </w:rPr>
        <w:t xml:space="preserve"> </w:t>
      </w:r>
      <w:r w:rsidRPr="000C5A61">
        <w:rPr>
          <w:lang w:val="en-GB"/>
        </w:rPr>
        <w:t xml:space="preserve">These results show that the implementation of the PROURE policy is a key strategy for moving towards a sustainable energy transition, with </w:t>
      </w:r>
      <w:r w:rsidRPr="000C5A61">
        <w:rPr>
          <w:lang w:val="en-GB"/>
        </w:rPr>
        <w:lastRenderedPageBreak/>
        <w:t>greater financial and environmental benefits. However, despite its relevance, its effective implementation faces various barriers, including the costs to be borne by end consumers, as well as a lack of information and disinterest in adopting energy efficiency measures.</w:t>
      </w:r>
    </w:p>
    <w:p w14:paraId="40E57ACB" w14:textId="008DEF42" w:rsidR="00347C75" w:rsidRPr="000C5A61" w:rsidRDefault="00347C75" w:rsidP="00347C75">
      <w:pPr>
        <w:pStyle w:val="CETBodytext"/>
        <w:rPr>
          <w:lang w:val="en-GB"/>
        </w:rPr>
      </w:pPr>
      <w:r w:rsidRPr="000C5A61">
        <w:rPr>
          <w:lang w:val="en-GB"/>
        </w:rPr>
        <w:t xml:space="preserve">From the consumer’s perspective, the expected long-term savings frequently fail to compensate for the initial investments required, particularly in low- and middle-income households. Under these conditions, voluntary adoption of efficiency measures remains limited, reducing the actual impact of the policy on electricity demand. Therefore, achieving a comprehensive energy transition aligned with PROURE requires active and targeted economic support from government and decision-makers, explicitly designed to engage end users through subsidies, incentives, or financing mechanisms that lower entry barriers. </w:t>
      </w:r>
    </w:p>
    <w:p w14:paraId="4BFD55AF" w14:textId="602059E4" w:rsidR="00320FDC" w:rsidRPr="000C5A61" w:rsidRDefault="00347C75" w:rsidP="00347C75">
      <w:pPr>
        <w:pStyle w:val="CETBodytext"/>
        <w:rPr>
          <w:lang w:val="en-GB"/>
        </w:rPr>
      </w:pPr>
      <w:r w:rsidRPr="000C5A61">
        <w:rPr>
          <w:lang w:val="en-GB"/>
        </w:rPr>
        <w:t>In this context, the implementation of dynamic electricity tariff schemes emerges as a concrete and complementary policy recommendation rather than a marginal consideration. By establishing higher tariffs during peak demand periods and lower tariffs during off-peak hours, dynamic pricing provides direct and transparent price signals that influence consumer behaviour, promote shifts in consumption patterns, and encourage the adoption of more efficient technologies and practices. When combined with PROURE, such tariff structures can enhance the real effectiveness of energy efficiency policies, leading to sustained reductions in electricity demand and reinforcing the long-term viability of the energy transition</w:t>
      </w:r>
      <w:r w:rsidR="002E0551" w:rsidRPr="000C5A61">
        <w:rPr>
          <w:lang w:val="en-GB"/>
        </w:rPr>
        <w:t>.</w:t>
      </w:r>
    </w:p>
    <w:p w14:paraId="68D26B83" w14:textId="77777777" w:rsidR="00600535" w:rsidRPr="000C5A61" w:rsidRDefault="00600535" w:rsidP="00572356">
      <w:pPr>
        <w:pStyle w:val="CETHeading1"/>
        <w:spacing w:before="60" w:after="60"/>
        <w:rPr>
          <w:lang w:val="en-GB"/>
        </w:rPr>
      </w:pPr>
      <w:r w:rsidRPr="000C5A61">
        <w:rPr>
          <w:lang w:val="en-GB"/>
        </w:rPr>
        <w:t>Conclusions</w:t>
      </w:r>
    </w:p>
    <w:p w14:paraId="1A80671C" w14:textId="44405AF9" w:rsidR="00750114" w:rsidRPr="000C5A61" w:rsidRDefault="00750114" w:rsidP="00750114">
      <w:pPr>
        <w:pStyle w:val="CETBodytext"/>
        <w:rPr>
          <w:lang w:val="en-GB"/>
        </w:rPr>
      </w:pPr>
      <w:r w:rsidRPr="000C5A61">
        <w:rPr>
          <w:lang w:val="en-GB"/>
        </w:rPr>
        <w:t xml:space="preserve">The results </w:t>
      </w:r>
      <w:r w:rsidR="00D74B5E" w:rsidRPr="000C5A61">
        <w:rPr>
          <w:lang w:val="en-GB"/>
        </w:rPr>
        <w:t>of</w:t>
      </w:r>
      <w:r w:rsidR="00DC5046" w:rsidRPr="000C5A61">
        <w:rPr>
          <w:lang w:val="en-GB"/>
        </w:rPr>
        <w:t xml:space="preserve"> this work</w:t>
      </w:r>
      <w:r w:rsidR="00D74B5E" w:rsidRPr="000C5A61">
        <w:rPr>
          <w:color w:val="FF0000"/>
          <w:lang w:val="en-GB"/>
        </w:rPr>
        <w:t xml:space="preserve"> </w:t>
      </w:r>
      <w:r w:rsidRPr="000C5A61">
        <w:rPr>
          <w:lang w:val="en-GB"/>
        </w:rPr>
        <w:t xml:space="preserve">demonstrate that the implementation of the PROURE public policy has a measurable impact on electricity demand in the municipality of Silos, Colombia. By reducing the annual demand growth rate from 1.7% to 0.72%, the policy leads to a substantial decrease in projected electricity consumption, which directly influences the optimal design of the local energy system through lower installed capacities, reduced reliance on diesel-based generation, and increased penetration of photovoltaic technologies. </w:t>
      </w:r>
    </w:p>
    <w:p w14:paraId="661182C0" w14:textId="2FDF66C4" w:rsidR="00750114" w:rsidRPr="000C5A61" w:rsidRDefault="00750114" w:rsidP="00750114">
      <w:pPr>
        <w:pStyle w:val="CETBodytext"/>
        <w:rPr>
          <w:lang w:val="en-GB"/>
        </w:rPr>
      </w:pPr>
      <w:r w:rsidRPr="000C5A61">
        <w:rPr>
          <w:lang w:val="en-GB"/>
        </w:rPr>
        <w:t>In economic and environmental terms, the incorporation of PROURE yields significant benefits. The system’s</w:t>
      </w:r>
      <w:r w:rsidR="00811557" w:rsidRPr="000C5A61">
        <w:rPr>
          <w:lang w:val="en-GB"/>
        </w:rPr>
        <w:t xml:space="preserve"> </w:t>
      </w:r>
      <w:r w:rsidRPr="000C5A61">
        <w:rPr>
          <w:lang w:val="en-GB"/>
        </w:rPr>
        <w:t>NPV decreases by approximately 10 – 12%, while total CO</w:t>
      </w:r>
      <w:r w:rsidRPr="000C5A61">
        <w:rPr>
          <w:vertAlign w:val="subscript"/>
          <w:lang w:val="en-GB"/>
        </w:rPr>
        <w:t>2</w:t>
      </w:r>
      <w:r w:rsidRPr="000C5A61">
        <w:rPr>
          <w:lang w:val="en-GB"/>
        </w:rPr>
        <w:t xml:space="preserve"> emissions are reduced by more than 30%, confirming that demand-side efficiency policies can deliver considerable environmental gains without compromising the financial viability of local energy systems.</w:t>
      </w:r>
    </w:p>
    <w:p w14:paraId="78C5F5F7" w14:textId="33E2BFF2" w:rsidR="00750114" w:rsidRPr="000C5A61" w:rsidRDefault="00750114" w:rsidP="00750114">
      <w:pPr>
        <w:pStyle w:val="CETBodytext"/>
        <w:rPr>
          <w:lang w:val="en-GB"/>
        </w:rPr>
      </w:pPr>
      <w:r w:rsidRPr="000C5A61">
        <w:rPr>
          <w:lang w:val="en-GB"/>
        </w:rPr>
        <w:t>These findings have important implications for local energy policy. Although PROURE proves effective in reducing demand, costs, and emissions, its long-term impact depends on overcoming barriers to end-user adoption. Accordingly, complementary policy instruments, such as targeted economic incentives and dynamic electricity tariff schemes, are required to provide clear price signals, encourage behavioural change, and strengthen the effective implementation of energy efficiency strategies at the local level.</w:t>
      </w:r>
    </w:p>
    <w:p w14:paraId="00A63231" w14:textId="2BE484C3" w:rsidR="00C30E10" w:rsidRPr="000C5A61" w:rsidRDefault="00DB46FF" w:rsidP="00750114">
      <w:pPr>
        <w:pStyle w:val="CETBodytext"/>
        <w:rPr>
          <w:lang w:val="en-GB"/>
        </w:rPr>
      </w:pPr>
      <w:r w:rsidRPr="000C5A61">
        <w:rPr>
          <w:lang w:val="en-GB"/>
        </w:rPr>
        <w:t xml:space="preserve">Finally, this proposed methodology can be applied in other geographical contexts to assess the real impact of national policies and analyse their financial and environmental viability in different </w:t>
      </w:r>
      <w:r w:rsidR="000851CA" w:rsidRPr="000C5A61">
        <w:rPr>
          <w:lang w:val="en-GB"/>
        </w:rPr>
        <w:t>energy matrix</w:t>
      </w:r>
      <w:r w:rsidRPr="000C5A61">
        <w:rPr>
          <w:lang w:val="en-GB"/>
        </w:rPr>
        <w:t xml:space="preserve"> configurations.</w:t>
      </w:r>
    </w:p>
    <w:p w14:paraId="459D05E6" w14:textId="77777777" w:rsidR="00600535" w:rsidRPr="000C5A61" w:rsidRDefault="00600535" w:rsidP="00572356">
      <w:pPr>
        <w:pStyle w:val="CETAcknowledgementstitle"/>
        <w:spacing w:before="60" w:after="60"/>
      </w:pPr>
      <w:r w:rsidRPr="000C5A61">
        <w:t>Acknowledgments</w:t>
      </w:r>
    </w:p>
    <w:p w14:paraId="33F8138F" w14:textId="6FCF62CD" w:rsidR="00600535" w:rsidRPr="000C5A61" w:rsidRDefault="00D907FF" w:rsidP="00600535">
      <w:pPr>
        <w:pStyle w:val="CETBodytext"/>
        <w:rPr>
          <w:lang w:val="en-GB"/>
        </w:rPr>
      </w:pPr>
      <w:r w:rsidRPr="000C5A61">
        <w:rPr>
          <w:lang w:val="en-GB"/>
        </w:rPr>
        <w:t>The authors would like to acknowledge the financial support from the Ministry of Science, Technology, and Innovation of Colombia for the project "Development of a computational tool and renewable energy technologies for energy transition in high mountain areas post-pandemic," CD 82605 CT ICETEX 2022-0644.</w:t>
      </w:r>
    </w:p>
    <w:p w14:paraId="428B022A" w14:textId="0E35FF28" w:rsidR="00E65B91" w:rsidRPr="000C5A61" w:rsidRDefault="00600535" w:rsidP="00572356">
      <w:pPr>
        <w:pStyle w:val="CETReference"/>
        <w:spacing w:before="60" w:after="60"/>
      </w:pPr>
      <w:r w:rsidRPr="000C5A61">
        <w:t>References</w:t>
      </w:r>
    </w:p>
    <w:p w14:paraId="3B3B9780" w14:textId="77777777" w:rsidR="00703370" w:rsidRPr="000C5A61" w:rsidRDefault="00703370" w:rsidP="00E65B91">
      <w:pPr>
        <w:pStyle w:val="CETReferencetext"/>
      </w:pPr>
      <w:r w:rsidRPr="000C5A61">
        <w:t>Becerra J., 2024, Estimation of renewable energy resource potential and energy requirements with projections for 2040 for electricity and heat for three case studies in the Santurbán páramo, using LEAP software, bachelor’s thesis, University of Pamplona, Santander, Colombia (In Spanish).</w:t>
      </w:r>
    </w:p>
    <w:p w14:paraId="782FE9EE" w14:textId="77777777" w:rsidR="00703370" w:rsidRPr="000C5A61" w:rsidRDefault="00703370" w:rsidP="00E65B91">
      <w:pPr>
        <w:pStyle w:val="CETReferencetext"/>
      </w:pPr>
      <w:r w:rsidRPr="000C5A61">
        <w:t>Cabrera N., Rosso-Ceron A.M., Leon Esteban A.F., Kafarov V., 2025, A Multi-objective Optimization Model for Integrating Renewable Energy in Distribution System Expansion: a Case Study of Pamplona, Colombia, Chemical Engineering Transactions, 117, 1045-1050.</w:t>
      </w:r>
    </w:p>
    <w:p w14:paraId="612E46E5" w14:textId="77777777" w:rsidR="00703370" w:rsidRPr="000C5A61" w:rsidRDefault="00703370" w:rsidP="006B4888">
      <w:pPr>
        <w:pStyle w:val="CETReferencetext"/>
      </w:pPr>
      <w:r w:rsidRPr="000C5A61">
        <w:t>Low-Carbon Power, 2024, Electricity in the World 2024,&lt;https://lowcarbonpower.org/es/&gt; accessed 05.01.2026.</w:t>
      </w:r>
    </w:p>
    <w:p w14:paraId="4762ADB6" w14:textId="77777777" w:rsidR="00703370" w:rsidRPr="000C5A61" w:rsidRDefault="00703370" w:rsidP="00E65B91">
      <w:pPr>
        <w:pStyle w:val="CETReferencetext"/>
      </w:pPr>
      <w:r w:rsidRPr="000C5A61">
        <w:t>Messias, R., Carvalho, P. M., &amp; Sousa, J., 2025, Hybrid distribution network planning to incorporate virtual capacity from distributed flexibility resources. Utilities Policy, 93, https://doi.org/10.1016/j.jup.2025.101892</w:t>
      </w:r>
    </w:p>
    <w:p w14:paraId="2FAEF5E3" w14:textId="77777777" w:rsidR="00703370" w:rsidRPr="000C5A61" w:rsidRDefault="00703370" w:rsidP="00E65B91">
      <w:pPr>
        <w:pStyle w:val="CETReferencetext"/>
      </w:pPr>
      <w:r w:rsidRPr="000C5A61">
        <w:t>Mining and Energy Planning Unit - UPME, 2022, Programme for the Rational and Efficient Use of Energy – PROURE, &lt;www1.upme.gov.co/DemandayEficiencia/Paginas/PROURE.aspx&gt; accessed 05.01.2026.</w:t>
      </w:r>
    </w:p>
    <w:p w14:paraId="661BC5FA" w14:textId="77777777" w:rsidR="00703370" w:rsidRPr="000C5A61" w:rsidRDefault="00703370" w:rsidP="00E65B91">
      <w:pPr>
        <w:pStyle w:val="CETReferencetext"/>
      </w:pPr>
      <w:r w:rsidRPr="000C5A61">
        <w:t>Pappis, I., Sahlberg, A., Walle, T., Broad, O., Eludoyin, E., Howells, M., &amp; Usher, W., 2021, Influence of Electrification Pathways in the Electricity Sector of Ethiopia—Policy Implications Linking Spatial Electrification Analysis and Medium to Long-Term Energy Planning. Energies, 14(4).</w:t>
      </w:r>
    </w:p>
    <w:p w14:paraId="5286F0B8" w14:textId="77777777" w:rsidR="00703370" w:rsidRPr="000C5A61" w:rsidRDefault="00703370" w:rsidP="00E65B91">
      <w:pPr>
        <w:pStyle w:val="CETReferencetext"/>
      </w:pPr>
      <w:r w:rsidRPr="000C5A61">
        <w:t>Tajudeen, I. A., 2015, Examining the role of energy efficiency and non-economic factors in energy demand and CO2 emissions in Nigeria: Policy implications. Energy Policy, 86, 338-350.</w:t>
      </w:r>
    </w:p>
    <w:p w14:paraId="1DCDA813" w14:textId="77777777" w:rsidR="00703370" w:rsidRPr="000C5A61" w:rsidRDefault="00703370" w:rsidP="005A0972">
      <w:pPr>
        <w:pStyle w:val="CETReferencetext"/>
      </w:pPr>
      <w:r w:rsidRPr="000C5A61">
        <w:t>Villamizar-Villamizar A.E., Rosso-Cerón A.M., Becerra-Rodriguez J., 2024, Post-pandemic Long-term Energy Demand Forecasting Using Leap Software in the Páramo De Santurbán: the Case of Pamplona North De Santander, Chemical Engineering Transactions, 109, 481-486.</w:t>
      </w:r>
    </w:p>
    <w:sectPr w:rsidR="00703370" w:rsidRPr="000C5A61" w:rsidSect="008314D7">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09A9B6" w14:textId="77777777" w:rsidR="00493EF4" w:rsidRPr="00A337AF" w:rsidRDefault="00493EF4" w:rsidP="004F5E36">
      <w:r w:rsidRPr="00A337AF">
        <w:separator/>
      </w:r>
    </w:p>
  </w:endnote>
  <w:endnote w:type="continuationSeparator" w:id="0">
    <w:p w14:paraId="6C7FFF43" w14:textId="77777777" w:rsidR="00493EF4" w:rsidRPr="00A337AF" w:rsidRDefault="00493EF4" w:rsidP="004F5E36">
      <w:r w:rsidRPr="00A337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Times New Roman"/>
    <w:panose1 w:val="00000000000000000000"/>
    <w:charset w:val="4D"/>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5EF03D" w14:textId="77777777" w:rsidR="00493EF4" w:rsidRPr="00A337AF" w:rsidRDefault="00493EF4" w:rsidP="004F5E36">
      <w:r w:rsidRPr="00A337AF">
        <w:separator/>
      </w:r>
    </w:p>
  </w:footnote>
  <w:footnote w:type="continuationSeparator" w:id="0">
    <w:p w14:paraId="1CEB8280" w14:textId="77777777" w:rsidR="00493EF4" w:rsidRPr="00A337AF" w:rsidRDefault="00493EF4" w:rsidP="004F5E36">
      <w:r w:rsidRPr="00A337AF">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58AF15E"/>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2438217E"/>
    <w:multiLevelType w:val="multilevel"/>
    <w:tmpl w:val="894CBE24"/>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labsica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1"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8"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7"/>
  </w:num>
  <w:num w:numId="13">
    <w:abstractNumId w:val="12"/>
  </w:num>
  <w:num w:numId="14">
    <w:abstractNumId w:val="18"/>
  </w:num>
  <w:num w:numId="15">
    <w:abstractNumId w:val="20"/>
  </w:num>
  <w:num w:numId="16">
    <w:abstractNumId w:val="19"/>
  </w:num>
  <w:num w:numId="17">
    <w:abstractNumId w:val="11"/>
  </w:num>
  <w:num w:numId="18">
    <w:abstractNumId w:val="12"/>
    <w:lvlOverride w:ilvl="0">
      <w:startOverride w:val="1"/>
    </w:lvlOverride>
  </w:num>
  <w:num w:numId="19">
    <w:abstractNumId w:val="16"/>
  </w:num>
  <w:num w:numId="20">
    <w:abstractNumId w:val="15"/>
  </w:num>
  <w:num w:numId="21">
    <w:abstractNumId w:val="14"/>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0113"/>
    <w:rsid w:val="0000011E"/>
    <w:rsid w:val="0000119B"/>
    <w:rsid w:val="000027C0"/>
    <w:rsid w:val="000052FB"/>
    <w:rsid w:val="0000568C"/>
    <w:rsid w:val="00005884"/>
    <w:rsid w:val="00005A19"/>
    <w:rsid w:val="00011584"/>
    <w:rsid w:val="000117CB"/>
    <w:rsid w:val="00012AFA"/>
    <w:rsid w:val="00013BA3"/>
    <w:rsid w:val="00013F1C"/>
    <w:rsid w:val="000156FA"/>
    <w:rsid w:val="000230E0"/>
    <w:rsid w:val="00025B6D"/>
    <w:rsid w:val="0003004B"/>
    <w:rsid w:val="0003006D"/>
    <w:rsid w:val="0003148D"/>
    <w:rsid w:val="00031DE5"/>
    <w:rsid w:val="00031EEC"/>
    <w:rsid w:val="0003658A"/>
    <w:rsid w:val="0003688A"/>
    <w:rsid w:val="00040C7B"/>
    <w:rsid w:val="00041A38"/>
    <w:rsid w:val="00041DD9"/>
    <w:rsid w:val="00045B36"/>
    <w:rsid w:val="000469EA"/>
    <w:rsid w:val="00051566"/>
    <w:rsid w:val="00051A99"/>
    <w:rsid w:val="00052EF4"/>
    <w:rsid w:val="000551E8"/>
    <w:rsid w:val="000562A9"/>
    <w:rsid w:val="0005766E"/>
    <w:rsid w:val="00062A9A"/>
    <w:rsid w:val="000645B9"/>
    <w:rsid w:val="00064ACD"/>
    <w:rsid w:val="00065058"/>
    <w:rsid w:val="00065F97"/>
    <w:rsid w:val="0006677F"/>
    <w:rsid w:val="00071A55"/>
    <w:rsid w:val="00071B3E"/>
    <w:rsid w:val="0007564C"/>
    <w:rsid w:val="00083389"/>
    <w:rsid w:val="00084DF5"/>
    <w:rsid w:val="000851CA"/>
    <w:rsid w:val="00086C39"/>
    <w:rsid w:val="00094B24"/>
    <w:rsid w:val="000951CC"/>
    <w:rsid w:val="00095A36"/>
    <w:rsid w:val="00095FBC"/>
    <w:rsid w:val="0009763A"/>
    <w:rsid w:val="000A03B2"/>
    <w:rsid w:val="000A0D00"/>
    <w:rsid w:val="000A1E91"/>
    <w:rsid w:val="000A2CD6"/>
    <w:rsid w:val="000A4EC3"/>
    <w:rsid w:val="000A5775"/>
    <w:rsid w:val="000B1402"/>
    <w:rsid w:val="000B1558"/>
    <w:rsid w:val="000B27A9"/>
    <w:rsid w:val="000B3AA4"/>
    <w:rsid w:val="000B3FB9"/>
    <w:rsid w:val="000C0061"/>
    <w:rsid w:val="000C3450"/>
    <w:rsid w:val="000C4EC7"/>
    <w:rsid w:val="000C5A61"/>
    <w:rsid w:val="000C6776"/>
    <w:rsid w:val="000C682D"/>
    <w:rsid w:val="000D0268"/>
    <w:rsid w:val="000D1E99"/>
    <w:rsid w:val="000D1FEF"/>
    <w:rsid w:val="000D34BE"/>
    <w:rsid w:val="000D5B20"/>
    <w:rsid w:val="000D5D16"/>
    <w:rsid w:val="000D6152"/>
    <w:rsid w:val="000D71D3"/>
    <w:rsid w:val="000E102F"/>
    <w:rsid w:val="000E36F1"/>
    <w:rsid w:val="000E3A73"/>
    <w:rsid w:val="000E414A"/>
    <w:rsid w:val="000E42A5"/>
    <w:rsid w:val="000E5C93"/>
    <w:rsid w:val="000E658D"/>
    <w:rsid w:val="000E75FD"/>
    <w:rsid w:val="000F04D8"/>
    <w:rsid w:val="000F093C"/>
    <w:rsid w:val="000F2888"/>
    <w:rsid w:val="000F5F3A"/>
    <w:rsid w:val="000F618F"/>
    <w:rsid w:val="000F6CF6"/>
    <w:rsid w:val="000F787B"/>
    <w:rsid w:val="00101F02"/>
    <w:rsid w:val="00102DB3"/>
    <w:rsid w:val="00103837"/>
    <w:rsid w:val="00106F32"/>
    <w:rsid w:val="0011056C"/>
    <w:rsid w:val="001127FE"/>
    <w:rsid w:val="00114062"/>
    <w:rsid w:val="0011488F"/>
    <w:rsid w:val="00114FF7"/>
    <w:rsid w:val="00115DA8"/>
    <w:rsid w:val="001161E5"/>
    <w:rsid w:val="0012091F"/>
    <w:rsid w:val="001210EE"/>
    <w:rsid w:val="00121D8C"/>
    <w:rsid w:val="001221D2"/>
    <w:rsid w:val="0012247D"/>
    <w:rsid w:val="00122783"/>
    <w:rsid w:val="00124028"/>
    <w:rsid w:val="00124AAD"/>
    <w:rsid w:val="001261AB"/>
    <w:rsid w:val="00126BC2"/>
    <w:rsid w:val="001276FC"/>
    <w:rsid w:val="00127C89"/>
    <w:rsid w:val="001308B6"/>
    <w:rsid w:val="0013121F"/>
    <w:rsid w:val="00131FE6"/>
    <w:rsid w:val="0013263F"/>
    <w:rsid w:val="001331DF"/>
    <w:rsid w:val="001348DC"/>
    <w:rsid w:val="00134DE4"/>
    <w:rsid w:val="0013561E"/>
    <w:rsid w:val="00135EE0"/>
    <w:rsid w:val="0014034D"/>
    <w:rsid w:val="001406B2"/>
    <w:rsid w:val="001408DC"/>
    <w:rsid w:val="00140FE3"/>
    <w:rsid w:val="00142D59"/>
    <w:rsid w:val="00143C70"/>
    <w:rsid w:val="00143CAE"/>
    <w:rsid w:val="00144D16"/>
    <w:rsid w:val="00145D14"/>
    <w:rsid w:val="0015046C"/>
    <w:rsid w:val="00150E59"/>
    <w:rsid w:val="00151A4D"/>
    <w:rsid w:val="00152DE3"/>
    <w:rsid w:val="00155E80"/>
    <w:rsid w:val="001567E3"/>
    <w:rsid w:val="00164CF9"/>
    <w:rsid w:val="001667A6"/>
    <w:rsid w:val="0016700D"/>
    <w:rsid w:val="00170BF8"/>
    <w:rsid w:val="0017146F"/>
    <w:rsid w:val="00173A9E"/>
    <w:rsid w:val="001745E5"/>
    <w:rsid w:val="001745EF"/>
    <w:rsid w:val="001816B3"/>
    <w:rsid w:val="0018185D"/>
    <w:rsid w:val="00183F6D"/>
    <w:rsid w:val="001843F4"/>
    <w:rsid w:val="00184AD6"/>
    <w:rsid w:val="00187275"/>
    <w:rsid w:val="00190E45"/>
    <w:rsid w:val="00191E5E"/>
    <w:rsid w:val="00195178"/>
    <w:rsid w:val="00196159"/>
    <w:rsid w:val="00196343"/>
    <w:rsid w:val="00197346"/>
    <w:rsid w:val="001A4AF7"/>
    <w:rsid w:val="001B0349"/>
    <w:rsid w:val="001B0545"/>
    <w:rsid w:val="001B1462"/>
    <w:rsid w:val="001B1A59"/>
    <w:rsid w:val="001B1E93"/>
    <w:rsid w:val="001B22D2"/>
    <w:rsid w:val="001B24BE"/>
    <w:rsid w:val="001B65C1"/>
    <w:rsid w:val="001B733F"/>
    <w:rsid w:val="001C13FF"/>
    <w:rsid w:val="001C260F"/>
    <w:rsid w:val="001C33F1"/>
    <w:rsid w:val="001C3499"/>
    <w:rsid w:val="001C3F34"/>
    <w:rsid w:val="001C5884"/>
    <w:rsid w:val="001C684B"/>
    <w:rsid w:val="001D0CFB"/>
    <w:rsid w:val="001D21AF"/>
    <w:rsid w:val="001D2D9D"/>
    <w:rsid w:val="001D3CDB"/>
    <w:rsid w:val="001D442D"/>
    <w:rsid w:val="001D53FC"/>
    <w:rsid w:val="001D5DC3"/>
    <w:rsid w:val="001E062B"/>
    <w:rsid w:val="001E0F01"/>
    <w:rsid w:val="001E3504"/>
    <w:rsid w:val="001E37B5"/>
    <w:rsid w:val="001E528F"/>
    <w:rsid w:val="001E7F6E"/>
    <w:rsid w:val="001F042E"/>
    <w:rsid w:val="001F092D"/>
    <w:rsid w:val="001F0B81"/>
    <w:rsid w:val="001F42A5"/>
    <w:rsid w:val="001F481A"/>
    <w:rsid w:val="001F627E"/>
    <w:rsid w:val="001F68CB"/>
    <w:rsid w:val="001F6990"/>
    <w:rsid w:val="001F7B9D"/>
    <w:rsid w:val="001F7CCA"/>
    <w:rsid w:val="00200A09"/>
    <w:rsid w:val="0020197C"/>
    <w:rsid w:val="00201C93"/>
    <w:rsid w:val="00203EA5"/>
    <w:rsid w:val="002052E0"/>
    <w:rsid w:val="0020737F"/>
    <w:rsid w:val="00211406"/>
    <w:rsid w:val="0021419C"/>
    <w:rsid w:val="00216A0D"/>
    <w:rsid w:val="00217434"/>
    <w:rsid w:val="00220DB6"/>
    <w:rsid w:val="002224B4"/>
    <w:rsid w:val="00222C35"/>
    <w:rsid w:val="002231A0"/>
    <w:rsid w:val="0022359D"/>
    <w:rsid w:val="00227F02"/>
    <w:rsid w:val="00232254"/>
    <w:rsid w:val="00232E48"/>
    <w:rsid w:val="002330D5"/>
    <w:rsid w:val="00233C63"/>
    <w:rsid w:val="00234754"/>
    <w:rsid w:val="002362C3"/>
    <w:rsid w:val="0023635E"/>
    <w:rsid w:val="00237718"/>
    <w:rsid w:val="00240B19"/>
    <w:rsid w:val="00240C37"/>
    <w:rsid w:val="00241BC0"/>
    <w:rsid w:val="00244030"/>
    <w:rsid w:val="002447EF"/>
    <w:rsid w:val="002449E0"/>
    <w:rsid w:val="0024601E"/>
    <w:rsid w:val="00251550"/>
    <w:rsid w:val="00254B2C"/>
    <w:rsid w:val="0025636E"/>
    <w:rsid w:val="00263B05"/>
    <w:rsid w:val="0026657B"/>
    <w:rsid w:val="00266633"/>
    <w:rsid w:val="00267809"/>
    <w:rsid w:val="00271458"/>
    <w:rsid w:val="002716D7"/>
    <w:rsid w:val="00271F40"/>
    <w:rsid w:val="0027221A"/>
    <w:rsid w:val="00273187"/>
    <w:rsid w:val="0027340D"/>
    <w:rsid w:val="00273A18"/>
    <w:rsid w:val="00273EC3"/>
    <w:rsid w:val="0027433E"/>
    <w:rsid w:val="00275B61"/>
    <w:rsid w:val="00280819"/>
    <w:rsid w:val="00280FAF"/>
    <w:rsid w:val="00282656"/>
    <w:rsid w:val="002836CA"/>
    <w:rsid w:val="00285287"/>
    <w:rsid w:val="00285CB2"/>
    <w:rsid w:val="00294B5E"/>
    <w:rsid w:val="00294DDA"/>
    <w:rsid w:val="00295389"/>
    <w:rsid w:val="00296B83"/>
    <w:rsid w:val="002A1A6C"/>
    <w:rsid w:val="002A1D62"/>
    <w:rsid w:val="002A2924"/>
    <w:rsid w:val="002A63E3"/>
    <w:rsid w:val="002A7BD1"/>
    <w:rsid w:val="002B00B7"/>
    <w:rsid w:val="002B2751"/>
    <w:rsid w:val="002B395B"/>
    <w:rsid w:val="002B4015"/>
    <w:rsid w:val="002B5C01"/>
    <w:rsid w:val="002B78CE"/>
    <w:rsid w:val="002C04E1"/>
    <w:rsid w:val="002C0A30"/>
    <w:rsid w:val="002C2FB6"/>
    <w:rsid w:val="002C4298"/>
    <w:rsid w:val="002C675F"/>
    <w:rsid w:val="002D19C8"/>
    <w:rsid w:val="002D29B6"/>
    <w:rsid w:val="002D7DD2"/>
    <w:rsid w:val="002E0551"/>
    <w:rsid w:val="002E5FA7"/>
    <w:rsid w:val="002E7603"/>
    <w:rsid w:val="002F0FEF"/>
    <w:rsid w:val="002F10D1"/>
    <w:rsid w:val="002F3309"/>
    <w:rsid w:val="003008CE"/>
    <w:rsid w:val="003009B7"/>
    <w:rsid w:val="00300E56"/>
    <w:rsid w:val="0030152C"/>
    <w:rsid w:val="00302906"/>
    <w:rsid w:val="0030469C"/>
    <w:rsid w:val="00310B09"/>
    <w:rsid w:val="00315F71"/>
    <w:rsid w:val="00320FDC"/>
    <w:rsid w:val="00321CA6"/>
    <w:rsid w:val="00322B35"/>
    <w:rsid w:val="00323111"/>
    <w:rsid w:val="00323763"/>
    <w:rsid w:val="00323C5F"/>
    <w:rsid w:val="00323FE2"/>
    <w:rsid w:val="00324715"/>
    <w:rsid w:val="0032488F"/>
    <w:rsid w:val="00324AF0"/>
    <w:rsid w:val="00326FCC"/>
    <w:rsid w:val="0033014E"/>
    <w:rsid w:val="00333660"/>
    <w:rsid w:val="00334ACD"/>
    <w:rsid w:val="00334C09"/>
    <w:rsid w:val="00335D90"/>
    <w:rsid w:val="0034121C"/>
    <w:rsid w:val="00342428"/>
    <w:rsid w:val="00342450"/>
    <w:rsid w:val="00343EDE"/>
    <w:rsid w:val="0034528A"/>
    <w:rsid w:val="00347C75"/>
    <w:rsid w:val="00355B9F"/>
    <w:rsid w:val="00363DC0"/>
    <w:rsid w:val="0036554C"/>
    <w:rsid w:val="00366A2B"/>
    <w:rsid w:val="0036785E"/>
    <w:rsid w:val="00370032"/>
    <w:rsid w:val="003723D4"/>
    <w:rsid w:val="00375ADF"/>
    <w:rsid w:val="00381905"/>
    <w:rsid w:val="00384CC8"/>
    <w:rsid w:val="003858AA"/>
    <w:rsid w:val="003871FD"/>
    <w:rsid w:val="00387BFF"/>
    <w:rsid w:val="00391DDB"/>
    <w:rsid w:val="0039277E"/>
    <w:rsid w:val="0039279D"/>
    <w:rsid w:val="00394BE4"/>
    <w:rsid w:val="003A1089"/>
    <w:rsid w:val="003A1E30"/>
    <w:rsid w:val="003A2118"/>
    <w:rsid w:val="003A2829"/>
    <w:rsid w:val="003A6646"/>
    <w:rsid w:val="003A7B93"/>
    <w:rsid w:val="003A7D1C"/>
    <w:rsid w:val="003B304B"/>
    <w:rsid w:val="003B3146"/>
    <w:rsid w:val="003B4EA5"/>
    <w:rsid w:val="003B6C3C"/>
    <w:rsid w:val="003C12E7"/>
    <w:rsid w:val="003C7488"/>
    <w:rsid w:val="003D0CF4"/>
    <w:rsid w:val="003D1E02"/>
    <w:rsid w:val="003D26EA"/>
    <w:rsid w:val="003D2BAF"/>
    <w:rsid w:val="003D313B"/>
    <w:rsid w:val="003D73D4"/>
    <w:rsid w:val="003E0669"/>
    <w:rsid w:val="003E07C5"/>
    <w:rsid w:val="003E198A"/>
    <w:rsid w:val="003E29A6"/>
    <w:rsid w:val="003E2FB7"/>
    <w:rsid w:val="003E336C"/>
    <w:rsid w:val="003E6AD1"/>
    <w:rsid w:val="003F015E"/>
    <w:rsid w:val="003F2A3D"/>
    <w:rsid w:val="003F3E75"/>
    <w:rsid w:val="00400414"/>
    <w:rsid w:val="00401D40"/>
    <w:rsid w:val="0040482C"/>
    <w:rsid w:val="0040638A"/>
    <w:rsid w:val="0041446B"/>
    <w:rsid w:val="004146AA"/>
    <w:rsid w:val="004151A6"/>
    <w:rsid w:val="00420425"/>
    <w:rsid w:val="00424461"/>
    <w:rsid w:val="00424E1C"/>
    <w:rsid w:val="004301D8"/>
    <w:rsid w:val="004342AE"/>
    <w:rsid w:val="004348B8"/>
    <w:rsid w:val="004358AA"/>
    <w:rsid w:val="00437270"/>
    <w:rsid w:val="0044071E"/>
    <w:rsid w:val="004421D2"/>
    <w:rsid w:val="0044274E"/>
    <w:rsid w:val="0044329C"/>
    <w:rsid w:val="00451C16"/>
    <w:rsid w:val="004524BE"/>
    <w:rsid w:val="00452BE0"/>
    <w:rsid w:val="00452FE1"/>
    <w:rsid w:val="00453E24"/>
    <w:rsid w:val="00454787"/>
    <w:rsid w:val="00454CCB"/>
    <w:rsid w:val="00457456"/>
    <w:rsid w:val="004577FE"/>
    <w:rsid w:val="00457B9C"/>
    <w:rsid w:val="004612AA"/>
    <w:rsid w:val="0046164A"/>
    <w:rsid w:val="004628D2"/>
    <w:rsid w:val="00462DCD"/>
    <w:rsid w:val="004648AD"/>
    <w:rsid w:val="0046661B"/>
    <w:rsid w:val="00466FB5"/>
    <w:rsid w:val="00466FDA"/>
    <w:rsid w:val="0046732F"/>
    <w:rsid w:val="004701FA"/>
    <w:rsid w:val="004703A9"/>
    <w:rsid w:val="00473863"/>
    <w:rsid w:val="0047509C"/>
    <w:rsid w:val="004760DE"/>
    <w:rsid w:val="004763D7"/>
    <w:rsid w:val="00476B13"/>
    <w:rsid w:val="00481645"/>
    <w:rsid w:val="00484F44"/>
    <w:rsid w:val="00493206"/>
    <w:rsid w:val="00493363"/>
    <w:rsid w:val="00493EF4"/>
    <w:rsid w:val="004A004E"/>
    <w:rsid w:val="004A24CF"/>
    <w:rsid w:val="004A45E9"/>
    <w:rsid w:val="004A4841"/>
    <w:rsid w:val="004A514C"/>
    <w:rsid w:val="004A57A7"/>
    <w:rsid w:val="004A5E57"/>
    <w:rsid w:val="004A612C"/>
    <w:rsid w:val="004A69CB"/>
    <w:rsid w:val="004B243A"/>
    <w:rsid w:val="004B285D"/>
    <w:rsid w:val="004B6272"/>
    <w:rsid w:val="004C194F"/>
    <w:rsid w:val="004C3D1D"/>
    <w:rsid w:val="004C3D84"/>
    <w:rsid w:val="004C74EA"/>
    <w:rsid w:val="004C7913"/>
    <w:rsid w:val="004D06C3"/>
    <w:rsid w:val="004D0CE9"/>
    <w:rsid w:val="004D0FF4"/>
    <w:rsid w:val="004D1814"/>
    <w:rsid w:val="004D25D8"/>
    <w:rsid w:val="004D536D"/>
    <w:rsid w:val="004D7D2C"/>
    <w:rsid w:val="004E4DD6"/>
    <w:rsid w:val="004E4EFF"/>
    <w:rsid w:val="004E5E6A"/>
    <w:rsid w:val="004E6C45"/>
    <w:rsid w:val="004F163D"/>
    <w:rsid w:val="004F3CA6"/>
    <w:rsid w:val="004F4EC9"/>
    <w:rsid w:val="004F5E36"/>
    <w:rsid w:val="004F707A"/>
    <w:rsid w:val="00500A23"/>
    <w:rsid w:val="00501B04"/>
    <w:rsid w:val="00504AB3"/>
    <w:rsid w:val="0050539E"/>
    <w:rsid w:val="00505AB0"/>
    <w:rsid w:val="00506C49"/>
    <w:rsid w:val="005070B8"/>
    <w:rsid w:val="00507B47"/>
    <w:rsid w:val="00507BEF"/>
    <w:rsid w:val="00507CC9"/>
    <w:rsid w:val="00510260"/>
    <w:rsid w:val="00511157"/>
    <w:rsid w:val="005119A5"/>
    <w:rsid w:val="00512050"/>
    <w:rsid w:val="00521EC7"/>
    <w:rsid w:val="0052579C"/>
    <w:rsid w:val="005278B7"/>
    <w:rsid w:val="005301E2"/>
    <w:rsid w:val="005318EA"/>
    <w:rsid w:val="00532016"/>
    <w:rsid w:val="005346C8"/>
    <w:rsid w:val="00535EDE"/>
    <w:rsid w:val="0054204B"/>
    <w:rsid w:val="005424E5"/>
    <w:rsid w:val="00543E7D"/>
    <w:rsid w:val="00544680"/>
    <w:rsid w:val="005451EB"/>
    <w:rsid w:val="00547A68"/>
    <w:rsid w:val="0055045F"/>
    <w:rsid w:val="005531C9"/>
    <w:rsid w:val="00553628"/>
    <w:rsid w:val="0055408A"/>
    <w:rsid w:val="00556B46"/>
    <w:rsid w:val="00557230"/>
    <w:rsid w:val="005577D9"/>
    <w:rsid w:val="005600A6"/>
    <w:rsid w:val="00561C5D"/>
    <w:rsid w:val="00564583"/>
    <w:rsid w:val="00564817"/>
    <w:rsid w:val="00564C29"/>
    <w:rsid w:val="00564F87"/>
    <w:rsid w:val="00567BB6"/>
    <w:rsid w:val="00570C43"/>
    <w:rsid w:val="00572356"/>
    <w:rsid w:val="0057796C"/>
    <w:rsid w:val="00577E64"/>
    <w:rsid w:val="00582A01"/>
    <w:rsid w:val="0058314B"/>
    <w:rsid w:val="005876A8"/>
    <w:rsid w:val="00592274"/>
    <w:rsid w:val="00593A19"/>
    <w:rsid w:val="00595483"/>
    <w:rsid w:val="005A0972"/>
    <w:rsid w:val="005A4272"/>
    <w:rsid w:val="005A45DB"/>
    <w:rsid w:val="005B00B3"/>
    <w:rsid w:val="005B2110"/>
    <w:rsid w:val="005B489C"/>
    <w:rsid w:val="005B60E4"/>
    <w:rsid w:val="005B61E6"/>
    <w:rsid w:val="005B6E57"/>
    <w:rsid w:val="005B7128"/>
    <w:rsid w:val="005C3AAD"/>
    <w:rsid w:val="005C7639"/>
    <w:rsid w:val="005C77E1"/>
    <w:rsid w:val="005C7BF4"/>
    <w:rsid w:val="005C7E2D"/>
    <w:rsid w:val="005D409E"/>
    <w:rsid w:val="005D668A"/>
    <w:rsid w:val="005D6A2F"/>
    <w:rsid w:val="005E0592"/>
    <w:rsid w:val="005E0D91"/>
    <w:rsid w:val="005E0EC1"/>
    <w:rsid w:val="005E1A82"/>
    <w:rsid w:val="005E1D22"/>
    <w:rsid w:val="005E3884"/>
    <w:rsid w:val="005E794C"/>
    <w:rsid w:val="005F0999"/>
    <w:rsid w:val="005F0A28"/>
    <w:rsid w:val="005F0E5E"/>
    <w:rsid w:val="005F0FA9"/>
    <w:rsid w:val="005F29CA"/>
    <w:rsid w:val="005F3F0C"/>
    <w:rsid w:val="00600535"/>
    <w:rsid w:val="00600785"/>
    <w:rsid w:val="0060149F"/>
    <w:rsid w:val="00602C4E"/>
    <w:rsid w:val="00607B6B"/>
    <w:rsid w:val="00610B1B"/>
    <w:rsid w:val="00610CD6"/>
    <w:rsid w:val="00620DEE"/>
    <w:rsid w:val="00621F92"/>
    <w:rsid w:val="006220E6"/>
    <w:rsid w:val="0062280A"/>
    <w:rsid w:val="006231E1"/>
    <w:rsid w:val="00623D92"/>
    <w:rsid w:val="00625639"/>
    <w:rsid w:val="00625DC0"/>
    <w:rsid w:val="00631B33"/>
    <w:rsid w:val="00631EE5"/>
    <w:rsid w:val="006323F4"/>
    <w:rsid w:val="00636165"/>
    <w:rsid w:val="006400DB"/>
    <w:rsid w:val="006405F7"/>
    <w:rsid w:val="0064184D"/>
    <w:rsid w:val="00641888"/>
    <w:rsid w:val="006422CC"/>
    <w:rsid w:val="006428F2"/>
    <w:rsid w:val="00642EFE"/>
    <w:rsid w:val="006440CE"/>
    <w:rsid w:val="00646346"/>
    <w:rsid w:val="0064766E"/>
    <w:rsid w:val="00651D18"/>
    <w:rsid w:val="00652059"/>
    <w:rsid w:val="00656993"/>
    <w:rsid w:val="006572DF"/>
    <w:rsid w:val="00660E3E"/>
    <w:rsid w:val="00661A02"/>
    <w:rsid w:val="00662E74"/>
    <w:rsid w:val="00664F9F"/>
    <w:rsid w:val="00666746"/>
    <w:rsid w:val="00672571"/>
    <w:rsid w:val="00677D96"/>
    <w:rsid w:val="00677DB3"/>
    <w:rsid w:val="00680C23"/>
    <w:rsid w:val="006823DE"/>
    <w:rsid w:val="00683E23"/>
    <w:rsid w:val="00683EF7"/>
    <w:rsid w:val="00684FDD"/>
    <w:rsid w:val="00687D72"/>
    <w:rsid w:val="00690501"/>
    <w:rsid w:val="00692387"/>
    <w:rsid w:val="00693766"/>
    <w:rsid w:val="006947F2"/>
    <w:rsid w:val="00697686"/>
    <w:rsid w:val="006A0064"/>
    <w:rsid w:val="006A151E"/>
    <w:rsid w:val="006A3281"/>
    <w:rsid w:val="006A34EC"/>
    <w:rsid w:val="006A5D6F"/>
    <w:rsid w:val="006A663C"/>
    <w:rsid w:val="006B134C"/>
    <w:rsid w:val="006B4888"/>
    <w:rsid w:val="006B5100"/>
    <w:rsid w:val="006B66A9"/>
    <w:rsid w:val="006C2E45"/>
    <w:rsid w:val="006C359C"/>
    <w:rsid w:val="006C5579"/>
    <w:rsid w:val="006C6651"/>
    <w:rsid w:val="006C6C26"/>
    <w:rsid w:val="006C7123"/>
    <w:rsid w:val="006D1C6F"/>
    <w:rsid w:val="006D32B7"/>
    <w:rsid w:val="006D6E8B"/>
    <w:rsid w:val="006D7209"/>
    <w:rsid w:val="006D7D1C"/>
    <w:rsid w:val="006E0312"/>
    <w:rsid w:val="006E1009"/>
    <w:rsid w:val="006E28CF"/>
    <w:rsid w:val="006E37EC"/>
    <w:rsid w:val="006E3996"/>
    <w:rsid w:val="006E573D"/>
    <w:rsid w:val="006E737D"/>
    <w:rsid w:val="006F0B94"/>
    <w:rsid w:val="006F12D1"/>
    <w:rsid w:val="006F56FE"/>
    <w:rsid w:val="006F67A9"/>
    <w:rsid w:val="006F6BA0"/>
    <w:rsid w:val="00701A41"/>
    <w:rsid w:val="00701F4D"/>
    <w:rsid w:val="00703370"/>
    <w:rsid w:val="0070481D"/>
    <w:rsid w:val="00707BF6"/>
    <w:rsid w:val="00707DD1"/>
    <w:rsid w:val="00710999"/>
    <w:rsid w:val="00713076"/>
    <w:rsid w:val="00713973"/>
    <w:rsid w:val="00714EB5"/>
    <w:rsid w:val="0071562D"/>
    <w:rsid w:val="00720A24"/>
    <w:rsid w:val="00721E64"/>
    <w:rsid w:val="00722F20"/>
    <w:rsid w:val="00725406"/>
    <w:rsid w:val="0072610B"/>
    <w:rsid w:val="0072788E"/>
    <w:rsid w:val="00727C3A"/>
    <w:rsid w:val="00732386"/>
    <w:rsid w:val="0073514D"/>
    <w:rsid w:val="0074124B"/>
    <w:rsid w:val="00742BA6"/>
    <w:rsid w:val="00743AF9"/>
    <w:rsid w:val="00744579"/>
    <w:rsid w:val="007447F3"/>
    <w:rsid w:val="00745F70"/>
    <w:rsid w:val="00746AB0"/>
    <w:rsid w:val="00750114"/>
    <w:rsid w:val="00752407"/>
    <w:rsid w:val="0075499F"/>
    <w:rsid w:val="00754C3F"/>
    <w:rsid w:val="007617CC"/>
    <w:rsid w:val="00761A52"/>
    <w:rsid w:val="00761E93"/>
    <w:rsid w:val="007661C8"/>
    <w:rsid w:val="007662D3"/>
    <w:rsid w:val="0076671A"/>
    <w:rsid w:val="0077098D"/>
    <w:rsid w:val="00771D07"/>
    <w:rsid w:val="007763C5"/>
    <w:rsid w:val="00777A46"/>
    <w:rsid w:val="00777F38"/>
    <w:rsid w:val="00780172"/>
    <w:rsid w:val="00780839"/>
    <w:rsid w:val="00781285"/>
    <w:rsid w:val="00784518"/>
    <w:rsid w:val="00785BF9"/>
    <w:rsid w:val="0079056B"/>
    <w:rsid w:val="00790B45"/>
    <w:rsid w:val="00791833"/>
    <w:rsid w:val="007927C2"/>
    <w:rsid w:val="007931FA"/>
    <w:rsid w:val="00795CB1"/>
    <w:rsid w:val="00795CDE"/>
    <w:rsid w:val="007A1390"/>
    <w:rsid w:val="007A2388"/>
    <w:rsid w:val="007A3873"/>
    <w:rsid w:val="007A4861"/>
    <w:rsid w:val="007A7BBA"/>
    <w:rsid w:val="007B0C50"/>
    <w:rsid w:val="007B1693"/>
    <w:rsid w:val="007B48F9"/>
    <w:rsid w:val="007B4E99"/>
    <w:rsid w:val="007B681E"/>
    <w:rsid w:val="007B6D4B"/>
    <w:rsid w:val="007C1A43"/>
    <w:rsid w:val="007C43CE"/>
    <w:rsid w:val="007C4A1F"/>
    <w:rsid w:val="007C650D"/>
    <w:rsid w:val="007C6F69"/>
    <w:rsid w:val="007D0768"/>
    <w:rsid w:val="007D0951"/>
    <w:rsid w:val="007D2877"/>
    <w:rsid w:val="007D7099"/>
    <w:rsid w:val="007E3E32"/>
    <w:rsid w:val="007E497D"/>
    <w:rsid w:val="007E4EA2"/>
    <w:rsid w:val="007E68BC"/>
    <w:rsid w:val="007F20C3"/>
    <w:rsid w:val="007F27C8"/>
    <w:rsid w:val="007F4398"/>
    <w:rsid w:val="007F4B67"/>
    <w:rsid w:val="007F7ACC"/>
    <w:rsid w:val="007F7B30"/>
    <w:rsid w:val="0080013E"/>
    <w:rsid w:val="00800E9C"/>
    <w:rsid w:val="0080161A"/>
    <w:rsid w:val="00803743"/>
    <w:rsid w:val="00811557"/>
    <w:rsid w:val="0081266F"/>
    <w:rsid w:val="00813288"/>
    <w:rsid w:val="00814C65"/>
    <w:rsid w:val="00815FE9"/>
    <w:rsid w:val="008168FC"/>
    <w:rsid w:val="00816A75"/>
    <w:rsid w:val="00816FF4"/>
    <w:rsid w:val="00825E33"/>
    <w:rsid w:val="00830996"/>
    <w:rsid w:val="008314D7"/>
    <w:rsid w:val="00833AB9"/>
    <w:rsid w:val="008345F1"/>
    <w:rsid w:val="00835750"/>
    <w:rsid w:val="00836EF6"/>
    <w:rsid w:val="0084138E"/>
    <w:rsid w:val="008505C4"/>
    <w:rsid w:val="00854FDD"/>
    <w:rsid w:val="0085732D"/>
    <w:rsid w:val="008601D7"/>
    <w:rsid w:val="008643BF"/>
    <w:rsid w:val="00865B07"/>
    <w:rsid w:val="008667EA"/>
    <w:rsid w:val="0087375B"/>
    <w:rsid w:val="0087637F"/>
    <w:rsid w:val="008769C0"/>
    <w:rsid w:val="00876BE5"/>
    <w:rsid w:val="00877605"/>
    <w:rsid w:val="008812A9"/>
    <w:rsid w:val="00885E10"/>
    <w:rsid w:val="00885EFC"/>
    <w:rsid w:val="00886B7B"/>
    <w:rsid w:val="00887675"/>
    <w:rsid w:val="00891EB5"/>
    <w:rsid w:val="00892AD5"/>
    <w:rsid w:val="00895147"/>
    <w:rsid w:val="008A0E84"/>
    <w:rsid w:val="008A0FD1"/>
    <w:rsid w:val="008A1316"/>
    <w:rsid w:val="008A1512"/>
    <w:rsid w:val="008A39F2"/>
    <w:rsid w:val="008A70BD"/>
    <w:rsid w:val="008B0CF1"/>
    <w:rsid w:val="008B737D"/>
    <w:rsid w:val="008C1E0F"/>
    <w:rsid w:val="008C2B7E"/>
    <w:rsid w:val="008C3740"/>
    <w:rsid w:val="008C57F7"/>
    <w:rsid w:val="008D2206"/>
    <w:rsid w:val="008D302E"/>
    <w:rsid w:val="008D30A7"/>
    <w:rsid w:val="008D32B9"/>
    <w:rsid w:val="008D433B"/>
    <w:rsid w:val="008D4528"/>
    <w:rsid w:val="008D4A16"/>
    <w:rsid w:val="008E1411"/>
    <w:rsid w:val="008E209A"/>
    <w:rsid w:val="008E45BC"/>
    <w:rsid w:val="008E566E"/>
    <w:rsid w:val="008E56DE"/>
    <w:rsid w:val="008E7BE8"/>
    <w:rsid w:val="008F128B"/>
    <w:rsid w:val="008F417E"/>
    <w:rsid w:val="008F439A"/>
    <w:rsid w:val="008F746D"/>
    <w:rsid w:val="008F7C8C"/>
    <w:rsid w:val="0090161A"/>
    <w:rsid w:val="00901EB6"/>
    <w:rsid w:val="009041F8"/>
    <w:rsid w:val="009045FF"/>
    <w:rsid w:val="00904C62"/>
    <w:rsid w:val="009051FC"/>
    <w:rsid w:val="0090528D"/>
    <w:rsid w:val="009063B9"/>
    <w:rsid w:val="00906543"/>
    <w:rsid w:val="00906D02"/>
    <w:rsid w:val="00914A57"/>
    <w:rsid w:val="00915D5B"/>
    <w:rsid w:val="0091711D"/>
    <w:rsid w:val="009173D6"/>
    <w:rsid w:val="00922854"/>
    <w:rsid w:val="00922BA8"/>
    <w:rsid w:val="00923D38"/>
    <w:rsid w:val="00924D1B"/>
    <w:rsid w:val="00924DAC"/>
    <w:rsid w:val="00927058"/>
    <w:rsid w:val="00927A76"/>
    <w:rsid w:val="00933A1E"/>
    <w:rsid w:val="00934556"/>
    <w:rsid w:val="00936349"/>
    <w:rsid w:val="00941836"/>
    <w:rsid w:val="00942750"/>
    <w:rsid w:val="00944719"/>
    <w:rsid w:val="00945036"/>
    <w:rsid w:val="009450CE"/>
    <w:rsid w:val="009459BB"/>
    <w:rsid w:val="009463DF"/>
    <w:rsid w:val="00947179"/>
    <w:rsid w:val="0095164B"/>
    <w:rsid w:val="00951877"/>
    <w:rsid w:val="00951916"/>
    <w:rsid w:val="00954090"/>
    <w:rsid w:val="00954C09"/>
    <w:rsid w:val="009555FC"/>
    <w:rsid w:val="009564D5"/>
    <w:rsid w:val="009573E7"/>
    <w:rsid w:val="00960D83"/>
    <w:rsid w:val="00963E05"/>
    <w:rsid w:val="00964A45"/>
    <w:rsid w:val="0096580F"/>
    <w:rsid w:val="00966568"/>
    <w:rsid w:val="00967843"/>
    <w:rsid w:val="00967C81"/>
    <w:rsid w:val="00967D54"/>
    <w:rsid w:val="00971028"/>
    <w:rsid w:val="009715AE"/>
    <w:rsid w:val="009725D6"/>
    <w:rsid w:val="009732AD"/>
    <w:rsid w:val="0097624D"/>
    <w:rsid w:val="00976481"/>
    <w:rsid w:val="00977100"/>
    <w:rsid w:val="0098060D"/>
    <w:rsid w:val="00980D7D"/>
    <w:rsid w:val="00983575"/>
    <w:rsid w:val="00983B7E"/>
    <w:rsid w:val="00993B84"/>
    <w:rsid w:val="00995C8F"/>
    <w:rsid w:val="00996483"/>
    <w:rsid w:val="00996F5A"/>
    <w:rsid w:val="00997CB0"/>
    <w:rsid w:val="00997CDC"/>
    <w:rsid w:val="009A03A3"/>
    <w:rsid w:val="009A3772"/>
    <w:rsid w:val="009B041A"/>
    <w:rsid w:val="009B19A9"/>
    <w:rsid w:val="009B2BFD"/>
    <w:rsid w:val="009B6077"/>
    <w:rsid w:val="009B6112"/>
    <w:rsid w:val="009B7DF6"/>
    <w:rsid w:val="009C37C3"/>
    <w:rsid w:val="009C623B"/>
    <w:rsid w:val="009C6F10"/>
    <w:rsid w:val="009C7C86"/>
    <w:rsid w:val="009D1AF4"/>
    <w:rsid w:val="009D2FF7"/>
    <w:rsid w:val="009D7153"/>
    <w:rsid w:val="009D76D6"/>
    <w:rsid w:val="009D7A68"/>
    <w:rsid w:val="009E4DE5"/>
    <w:rsid w:val="009E7489"/>
    <w:rsid w:val="009E7884"/>
    <w:rsid w:val="009E788A"/>
    <w:rsid w:val="009F0E08"/>
    <w:rsid w:val="009F1837"/>
    <w:rsid w:val="00A0275D"/>
    <w:rsid w:val="00A03E6B"/>
    <w:rsid w:val="00A04D16"/>
    <w:rsid w:val="00A079AE"/>
    <w:rsid w:val="00A07B0A"/>
    <w:rsid w:val="00A10AA1"/>
    <w:rsid w:val="00A11BDC"/>
    <w:rsid w:val="00A12C08"/>
    <w:rsid w:val="00A13450"/>
    <w:rsid w:val="00A13F4F"/>
    <w:rsid w:val="00A142C3"/>
    <w:rsid w:val="00A1763D"/>
    <w:rsid w:val="00A17CEC"/>
    <w:rsid w:val="00A203B4"/>
    <w:rsid w:val="00A23107"/>
    <w:rsid w:val="00A24728"/>
    <w:rsid w:val="00A25E11"/>
    <w:rsid w:val="00A26CBB"/>
    <w:rsid w:val="00A27EF0"/>
    <w:rsid w:val="00A32BE1"/>
    <w:rsid w:val="00A337AF"/>
    <w:rsid w:val="00A36C2F"/>
    <w:rsid w:val="00A3718A"/>
    <w:rsid w:val="00A406A1"/>
    <w:rsid w:val="00A41E02"/>
    <w:rsid w:val="00A42361"/>
    <w:rsid w:val="00A42D32"/>
    <w:rsid w:val="00A45EF6"/>
    <w:rsid w:val="00A46C3C"/>
    <w:rsid w:val="00A509D2"/>
    <w:rsid w:val="00A50A87"/>
    <w:rsid w:val="00A50B20"/>
    <w:rsid w:val="00A51390"/>
    <w:rsid w:val="00A551F2"/>
    <w:rsid w:val="00A60D13"/>
    <w:rsid w:val="00A61BE8"/>
    <w:rsid w:val="00A61FCA"/>
    <w:rsid w:val="00A63154"/>
    <w:rsid w:val="00A703AF"/>
    <w:rsid w:val="00A7223D"/>
    <w:rsid w:val="00A724DB"/>
    <w:rsid w:val="00A72745"/>
    <w:rsid w:val="00A72E75"/>
    <w:rsid w:val="00A732B5"/>
    <w:rsid w:val="00A75F1E"/>
    <w:rsid w:val="00A76EFC"/>
    <w:rsid w:val="00A80D47"/>
    <w:rsid w:val="00A81930"/>
    <w:rsid w:val="00A839A5"/>
    <w:rsid w:val="00A84263"/>
    <w:rsid w:val="00A86C44"/>
    <w:rsid w:val="00A87D50"/>
    <w:rsid w:val="00A903FB"/>
    <w:rsid w:val="00A91010"/>
    <w:rsid w:val="00A92551"/>
    <w:rsid w:val="00A92E0D"/>
    <w:rsid w:val="00A97659"/>
    <w:rsid w:val="00A97F29"/>
    <w:rsid w:val="00AA0648"/>
    <w:rsid w:val="00AA24B4"/>
    <w:rsid w:val="00AA2C5F"/>
    <w:rsid w:val="00AA3120"/>
    <w:rsid w:val="00AA3BFA"/>
    <w:rsid w:val="00AA44B0"/>
    <w:rsid w:val="00AA4AFF"/>
    <w:rsid w:val="00AA5873"/>
    <w:rsid w:val="00AA702E"/>
    <w:rsid w:val="00AA7D26"/>
    <w:rsid w:val="00AB0964"/>
    <w:rsid w:val="00AB1261"/>
    <w:rsid w:val="00AB4399"/>
    <w:rsid w:val="00AB5011"/>
    <w:rsid w:val="00AC1D52"/>
    <w:rsid w:val="00AC3524"/>
    <w:rsid w:val="00AC6B9A"/>
    <w:rsid w:val="00AC7368"/>
    <w:rsid w:val="00AC7611"/>
    <w:rsid w:val="00AD0278"/>
    <w:rsid w:val="00AD16B9"/>
    <w:rsid w:val="00AD1FF2"/>
    <w:rsid w:val="00AD26EB"/>
    <w:rsid w:val="00AD2A8C"/>
    <w:rsid w:val="00AD3438"/>
    <w:rsid w:val="00AD62B4"/>
    <w:rsid w:val="00AD684C"/>
    <w:rsid w:val="00AE1CEE"/>
    <w:rsid w:val="00AE377D"/>
    <w:rsid w:val="00AE4908"/>
    <w:rsid w:val="00AF0EBA"/>
    <w:rsid w:val="00AF2117"/>
    <w:rsid w:val="00AF5248"/>
    <w:rsid w:val="00AF6050"/>
    <w:rsid w:val="00AF7067"/>
    <w:rsid w:val="00B02C8A"/>
    <w:rsid w:val="00B04627"/>
    <w:rsid w:val="00B04B02"/>
    <w:rsid w:val="00B10591"/>
    <w:rsid w:val="00B1211A"/>
    <w:rsid w:val="00B13AD7"/>
    <w:rsid w:val="00B13C25"/>
    <w:rsid w:val="00B145D0"/>
    <w:rsid w:val="00B1659A"/>
    <w:rsid w:val="00B17FBD"/>
    <w:rsid w:val="00B22960"/>
    <w:rsid w:val="00B25FD1"/>
    <w:rsid w:val="00B27770"/>
    <w:rsid w:val="00B30833"/>
    <w:rsid w:val="00B315A6"/>
    <w:rsid w:val="00B31813"/>
    <w:rsid w:val="00B3185D"/>
    <w:rsid w:val="00B3316F"/>
    <w:rsid w:val="00B33365"/>
    <w:rsid w:val="00B36F3A"/>
    <w:rsid w:val="00B42E78"/>
    <w:rsid w:val="00B436A6"/>
    <w:rsid w:val="00B4433C"/>
    <w:rsid w:val="00B56649"/>
    <w:rsid w:val="00B57B36"/>
    <w:rsid w:val="00B57E6F"/>
    <w:rsid w:val="00B6195B"/>
    <w:rsid w:val="00B6215C"/>
    <w:rsid w:val="00B62555"/>
    <w:rsid w:val="00B63AFC"/>
    <w:rsid w:val="00B63FC1"/>
    <w:rsid w:val="00B66267"/>
    <w:rsid w:val="00B7038A"/>
    <w:rsid w:val="00B70555"/>
    <w:rsid w:val="00B706D4"/>
    <w:rsid w:val="00B75778"/>
    <w:rsid w:val="00B76004"/>
    <w:rsid w:val="00B7689E"/>
    <w:rsid w:val="00B825B5"/>
    <w:rsid w:val="00B82F4D"/>
    <w:rsid w:val="00B842B6"/>
    <w:rsid w:val="00B84604"/>
    <w:rsid w:val="00B85C37"/>
    <w:rsid w:val="00B85E30"/>
    <w:rsid w:val="00B8686D"/>
    <w:rsid w:val="00B87289"/>
    <w:rsid w:val="00B91162"/>
    <w:rsid w:val="00B93F69"/>
    <w:rsid w:val="00BA0462"/>
    <w:rsid w:val="00BA34A2"/>
    <w:rsid w:val="00BA5576"/>
    <w:rsid w:val="00BA6012"/>
    <w:rsid w:val="00BA6B28"/>
    <w:rsid w:val="00BB1DDC"/>
    <w:rsid w:val="00BB2F68"/>
    <w:rsid w:val="00BB746A"/>
    <w:rsid w:val="00BB7659"/>
    <w:rsid w:val="00BC04F3"/>
    <w:rsid w:val="00BC0944"/>
    <w:rsid w:val="00BC0EED"/>
    <w:rsid w:val="00BC30C9"/>
    <w:rsid w:val="00BC458D"/>
    <w:rsid w:val="00BD077D"/>
    <w:rsid w:val="00BD1443"/>
    <w:rsid w:val="00BD3241"/>
    <w:rsid w:val="00BD381E"/>
    <w:rsid w:val="00BD57CD"/>
    <w:rsid w:val="00BD7DDE"/>
    <w:rsid w:val="00BE15D9"/>
    <w:rsid w:val="00BE3E58"/>
    <w:rsid w:val="00BE602A"/>
    <w:rsid w:val="00BE75ED"/>
    <w:rsid w:val="00BF0BEE"/>
    <w:rsid w:val="00BF132A"/>
    <w:rsid w:val="00BF3787"/>
    <w:rsid w:val="00BF4ED8"/>
    <w:rsid w:val="00BF7302"/>
    <w:rsid w:val="00BF77B7"/>
    <w:rsid w:val="00C01616"/>
    <w:rsid w:val="00C0162B"/>
    <w:rsid w:val="00C068ED"/>
    <w:rsid w:val="00C10081"/>
    <w:rsid w:val="00C1211D"/>
    <w:rsid w:val="00C13655"/>
    <w:rsid w:val="00C137E2"/>
    <w:rsid w:val="00C13E4D"/>
    <w:rsid w:val="00C1410A"/>
    <w:rsid w:val="00C16BA8"/>
    <w:rsid w:val="00C208C0"/>
    <w:rsid w:val="00C208E9"/>
    <w:rsid w:val="00C21988"/>
    <w:rsid w:val="00C22E0C"/>
    <w:rsid w:val="00C25E98"/>
    <w:rsid w:val="00C30E0B"/>
    <w:rsid w:val="00C30E10"/>
    <w:rsid w:val="00C345B1"/>
    <w:rsid w:val="00C34759"/>
    <w:rsid w:val="00C36427"/>
    <w:rsid w:val="00C40126"/>
    <w:rsid w:val="00C40142"/>
    <w:rsid w:val="00C40F4B"/>
    <w:rsid w:val="00C421ED"/>
    <w:rsid w:val="00C44332"/>
    <w:rsid w:val="00C44ACF"/>
    <w:rsid w:val="00C46F28"/>
    <w:rsid w:val="00C46FC2"/>
    <w:rsid w:val="00C47214"/>
    <w:rsid w:val="00C51610"/>
    <w:rsid w:val="00C51BE4"/>
    <w:rsid w:val="00C522E9"/>
    <w:rsid w:val="00C52C3C"/>
    <w:rsid w:val="00C56630"/>
    <w:rsid w:val="00C57182"/>
    <w:rsid w:val="00C57863"/>
    <w:rsid w:val="00C61365"/>
    <w:rsid w:val="00C62A31"/>
    <w:rsid w:val="00C640AF"/>
    <w:rsid w:val="00C655FD"/>
    <w:rsid w:val="00C65DED"/>
    <w:rsid w:val="00C716D0"/>
    <w:rsid w:val="00C71C92"/>
    <w:rsid w:val="00C74FA7"/>
    <w:rsid w:val="00C75407"/>
    <w:rsid w:val="00C76C5B"/>
    <w:rsid w:val="00C81ECA"/>
    <w:rsid w:val="00C81F5B"/>
    <w:rsid w:val="00C83A85"/>
    <w:rsid w:val="00C841C6"/>
    <w:rsid w:val="00C85E4E"/>
    <w:rsid w:val="00C870A8"/>
    <w:rsid w:val="00C906E0"/>
    <w:rsid w:val="00C93F91"/>
    <w:rsid w:val="00C94434"/>
    <w:rsid w:val="00C9473E"/>
    <w:rsid w:val="00C94AEB"/>
    <w:rsid w:val="00C960FF"/>
    <w:rsid w:val="00C96BE9"/>
    <w:rsid w:val="00C96D8E"/>
    <w:rsid w:val="00C97AC8"/>
    <w:rsid w:val="00C97BED"/>
    <w:rsid w:val="00CA0D75"/>
    <w:rsid w:val="00CA1C95"/>
    <w:rsid w:val="00CA5A9C"/>
    <w:rsid w:val="00CA7D2E"/>
    <w:rsid w:val="00CB6E36"/>
    <w:rsid w:val="00CC1EC2"/>
    <w:rsid w:val="00CC2C26"/>
    <w:rsid w:val="00CC323C"/>
    <w:rsid w:val="00CC325C"/>
    <w:rsid w:val="00CC455F"/>
    <w:rsid w:val="00CC4639"/>
    <w:rsid w:val="00CC4C20"/>
    <w:rsid w:val="00CC5EB2"/>
    <w:rsid w:val="00CD09B4"/>
    <w:rsid w:val="00CD3434"/>
    <w:rsid w:val="00CD3517"/>
    <w:rsid w:val="00CD5FE2"/>
    <w:rsid w:val="00CD79B6"/>
    <w:rsid w:val="00CE10CC"/>
    <w:rsid w:val="00CE652E"/>
    <w:rsid w:val="00CE7C68"/>
    <w:rsid w:val="00CF0016"/>
    <w:rsid w:val="00CF2C48"/>
    <w:rsid w:val="00CF2DF8"/>
    <w:rsid w:val="00CF4690"/>
    <w:rsid w:val="00CF5EAF"/>
    <w:rsid w:val="00D02B4C"/>
    <w:rsid w:val="00D040C4"/>
    <w:rsid w:val="00D04624"/>
    <w:rsid w:val="00D138D3"/>
    <w:rsid w:val="00D17EFD"/>
    <w:rsid w:val="00D20AD1"/>
    <w:rsid w:val="00D21915"/>
    <w:rsid w:val="00D239D1"/>
    <w:rsid w:val="00D24505"/>
    <w:rsid w:val="00D24D7C"/>
    <w:rsid w:val="00D2582C"/>
    <w:rsid w:val="00D261BC"/>
    <w:rsid w:val="00D2743B"/>
    <w:rsid w:val="00D31E3A"/>
    <w:rsid w:val="00D3334C"/>
    <w:rsid w:val="00D3347D"/>
    <w:rsid w:val="00D33EA0"/>
    <w:rsid w:val="00D34034"/>
    <w:rsid w:val="00D3671D"/>
    <w:rsid w:val="00D40614"/>
    <w:rsid w:val="00D42438"/>
    <w:rsid w:val="00D44759"/>
    <w:rsid w:val="00D45261"/>
    <w:rsid w:val="00D46B7E"/>
    <w:rsid w:val="00D46CE3"/>
    <w:rsid w:val="00D47FF5"/>
    <w:rsid w:val="00D50D28"/>
    <w:rsid w:val="00D52064"/>
    <w:rsid w:val="00D5513E"/>
    <w:rsid w:val="00D5583B"/>
    <w:rsid w:val="00D564CE"/>
    <w:rsid w:val="00D57944"/>
    <w:rsid w:val="00D57C84"/>
    <w:rsid w:val="00D6057D"/>
    <w:rsid w:val="00D60656"/>
    <w:rsid w:val="00D62193"/>
    <w:rsid w:val="00D63D7F"/>
    <w:rsid w:val="00D71640"/>
    <w:rsid w:val="00D72753"/>
    <w:rsid w:val="00D74465"/>
    <w:rsid w:val="00D74B5E"/>
    <w:rsid w:val="00D75448"/>
    <w:rsid w:val="00D75AA0"/>
    <w:rsid w:val="00D7783C"/>
    <w:rsid w:val="00D77C56"/>
    <w:rsid w:val="00D836C5"/>
    <w:rsid w:val="00D84576"/>
    <w:rsid w:val="00D85068"/>
    <w:rsid w:val="00D85306"/>
    <w:rsid w:val="00D907FF"/>
    <w:rsid w:val="00D90AF8"/>
    <w:rsid w:val="00D94442"/>
    <w:rsid w:val="00D95218"/>
    <w:rsid w:val="00DA0A1F"/>
    <w:rsid w:val="00DA1399"/>
    <w:rsid w:val="00DA16FC"/>
    <w:rsid w:val="00DA24C6"/>
    <w:rsid w:val="00DA4D7B"/>
    <w:rsid w:val="00DA549F"/>
    <w:rsid w:val="00DB0B0E"/>
    <w:rsid w:val="00DB1A9D"/>
    <w:rsid w:val="00DB25D1"/>
    <w:rsid w:val="00DB2872"/>
    <w:rsid w:val="00DB4022"/>
    <w:rsid w:val="00DB46FF"/>
    <w:rsid w:val="00DB7538"/>
    <w:rsid w:val="00DC10E1"/>
    <w:rsid w:val="00DC1637"/>
    <w:rsid w:val="00DC2DE2"/>
    <w:rsid w:val="00DC4EC8"/>
    <w:rsid w:val="00DC5046"/>
    <w:rsid w:val="00DC69DB"/>
    <w:rsid w:val="00DD271C"/>
    <w:rsid w:val="00DD69E2"/>
    <w:rsid w:val="00DD7E3C"/>
    <w:rsid w:val="00DE0712"/>
    <w:rsid w:val="00DE1B94"/>
    <w:rsid w:val="00DE264A"/>
    <w:rsid w:val="00DE29C5"/>
    <w:rsid w:val="00DE348B"/>
    <w:rsid w:val="00DE435C"/>
    <w:rsid w:val="00DE4A9E"/>
    <w:rsid w:val="00DE68C0"/>
    <w:rsid w:val="00DE7E30"/>
    <w:rsid w:val="00DF166D"/>
    <w:rsid w:val="00DF23AD"/>
    <w:rsid w:val="00DF4756"/>
    <w:rsid w:val="00DF5072"/>
    <w:rsid w:val="00E01469"/>
    <w:rsid w:val="00E02D18"/>
    <w:rsid w:val="00E03478"/>
    <w:rsid w:val="00E03818"/>
    <w:rsid w:val="00E041E7"/>
    <w:rsid w:val="00E05636"/>
    <w:rsid w:val="00E0638D"/>
    <w:rsid w:val="00E06EA6"/>
    <w:rsid w:val="00E134B6"/>
    <w:rsid w:val="00E1477E"/>
    <w:rsid w:val="00E15387"/>
    <w:rsid w:val="00E155E2"/>
    <w:rsid w:val="00E208F4"/>
    <w:rsid w:val="00E22F80"/>
    <w:rsid w:val="00E23CA1"/>
    <w:rsid w:val="00E25DDE"/>
    <w:rsid w:val="00E25F2E"/>
    <w:rsid w:val="00E26CEF"/>
    <w:rsid w:val="00E301B5"/>
    <w:rsid w:val="00E317DA"/>
    <w:rsid w:val="00E32A5D"/>
    <w:rsid w:val="00E32F36"/>
    <w:rsid w:val="00E34061"/>
    <w:rsid w:val="00E3756B"/>
    <w:rsid w:val="00E3761E"/>
    <w:rsid w:val="00E409A8"/>
    <w:rsid w:val="00E40B6A"/>
    <w:rsid w:val="00E45925"/>
    <w:rsid w:val="00E45DEF"/>
    <w:rsid w:val="00E47D61"/>
    <w:rsid w:val="00E50527"/>
    <w:rsid w:val="00E509FF"/>
    <w:rsid w:val="00E50C12"/>
    <w:rsid w:val="00E518ED"/>
    <w:rsid w:val="00E54753"/>
    <w:rsid w:val="00E617F9"/>
    <w:rsid w:val="00E6188C"/>
    <w:rsid w:val="00E625FA"/>
    <w:rsid w:val="00E65B91"/>
    <w:rsid w:val="00E669D7"/>
    <w:rsid w:val="00E70DEC"/>
    <w:rsid w:val="00E7209D"/>
    <w:rsid w:val="00E72A42"/>
    <w:rsid w:val="00E72EAD"/>
    <w:rsid w:val="00E73025"/>
    <w:rsid w:val="00E73C60"/>
    <w:rsid w:val="00E75172"/>
    <w:rsid w:val="00E753EC"/>
    <w:rsid w:val="00E76877"/>
    <w:rsid w:val="00E77223"/>
    <w:rsid w:val="00E7767A"/>
    <w:rsid w:val="00E810B8"/>
    <w:rsid w:val="00E84A4F"/>
    <w:rsid w:val="00E8528B"/>
    <w:rsid w:val="00E85B94"/>
    <w:rsid w:val="00E87093"/>
    <w:rsid w:val="00E87BE2"/>
    <w:rsid w:val="00E90313"/>
    <w:rsid w:val="00E92ABF"/>
    <w:rsid w:val="00E978D0"/>
    <w:rsid w:val="00E97BC4"/>
    <w:rsid w:val="00EA0C4D"/>
    <w:rsid w:val="00EA3EF9"/>
    <w:rsid w:val="00EA4613"/>
    <w:rsid w:val="00EA4FB4"/>
    <w:rsid w:val="00EA6951"/>
    <w:rsid w:val="00EA7F91"/>
    <w:rsid w:val="00EB144B"/>
    <w:rsid w:val="00EB1523"/>
    <w:rsid w:val="00EB1FAA"/>
    <w:rsid w:val="00EB4E39"/>
    <w:rsid w:val="00EB66ED"/>
    <w:rsid w:val="00EB7AD7"/>
    <w:rsid w:val="00EC0753"/>
    <w:rsid w:val="00EC0E49"/>
    <w:rsid w:val="00EC0F9D"/>
    <w:rsid w:val="00EC101F"/>
    <w:rsid w:val="00EC13CF"/>
    <w:rsid w:val="00EC19A3"/>
    <w:rsid w:val="00EC1D9F"/>
    <w:rsid w:val="00EC2047"/>
    <w:rsid w:val="00EC53F8"/>
    <w:rsid w:val="00EC7202"/>
    <w:rsid w:val="00EC7780"/>
    <w:rsid w:val="00EC7849"/>
    <w:rsid w:val="00ED2E0E"/>
    <w:rsid w:val="00ED3C69"/>
    <w:rsid w:val="00ED48C9"/>
    <w:rsid w:val="00ED6982"/>
    <w:rsid w:val="00ED71C9"/>
    <w:rsid w:val="00EE0131"/>
    <w:rsid w:val="00EE17B0"/>
    <w:rsid w:val="00EE7A24"/>
    <w:rsid w:val="00EE7D04"/>
    <w:rsid w:val="00EE7F0B"/>
    <w:rsid w:val="00EF06D9"/>
    <w:rsid w:val="00EF0982"/>
    <w:rsid w:val="00EF4611"/>
    <w:rsid w:val="00EF540F"/>
    <w:rsid w:val="00EF67BF"/>
    <w:rsid w:val="00F005DA"/>
    <w:rsid w:val="00F017C4"/>
    <w:rsid w:val="00F0232D"/>
    <w:rsid w:val="00F04ECF"/>
    <w:rsid w:val="00F102E6"/>
    <w:rsid w:val="00F10FFC"/>
    <w:rsid w:val="00F1161C"/>
    <w:rsid w:val="00F11869"/>
    <w:rsid w:val="00F11A93"/>
    <w:rsid w:val="00F126A5"/>
    <w:rsid w:val="00F20A6A"/>
    <w:rsid w:val="00F20CD8"/>
    <w:rsid w:val="00F229ED"/>
    <w:rsid w:val="00F236DD"/>
    <w:rsid w:val="00F23860"/>
    <w:rsid w:val="00F26843"/>
    <w:rsid w:val="00F3049E"/>
    <w:rsid w:val="00F308B3"/>
    <w:rsid w:val="00F30C59"/>
    <w:rsid w:val="00F30C64"/>
    <w:rsid w:val="00F32BA2"/>
    <w:rsid w:val="00F32CDB"/>
    <w:rsid w:val="00F3315C"/>
    <w:rsid w:val="00F333B9"/>
    <w:rsid w:val="00F3348F"/>
    <w:rsid w:val="00F346A4"/>
    <w:rsid w:val="00F350A6"/>
    <w:rsid w:val="00F3526B"/>
    <w:rsid w:val="00F36538"/>
    <w:rsid w:val="00F37280"/>
    <w:rsid w:val="00F37D4A"/>
    <w:rsid w:val="00F40E56"/>
    <w:rsid w:val="00F41EE4"/>
    <w:rsid w:val="00F51CEB"/>
    <w:rsid w:val="00F54B9E"/>
    <w:rsid w:val="00F565FE"/>
    <w:rsid w:val="00F57AE4"/>
    <w:rsid w:val="00F63660"/>
    <w:rsid w:val="00F63A70"/>
    <w:rsid w:val="00F63D8C"/>
    <w:rsid w:val="00F651F4"/>
    <w:rsid w:val="00F72400"/>
    <w:rsid w:val="00F7534E"/>
    <w:rsid w:val="00F81A97"/>
    <w:rsid w:val="00F8767D"/>
    <w:rsid w:val="00F93472"/>
    <w:rsid w:val="00F93EDF"/>
    <w:rsid w:val="00F96D27"/>
    <w:rsid w:val="00FA1802"/>
    <w:rsid w:val="00FA21D0"/>
    <w:rsid w:val="00FA4CD2"/>
    <w:rsid w:val="00FA5F5F"/>
    <w:rsid w:val="00FA693C"/>
    <w:rsid w:val="00FB05A6"/>
    <w:rsid w:val="00FB106D"/>
    <w:rsid w:val="00FB331B"/>
    <w:rsid w:val="00FB47F8"/>
    <w:rsid w:val="00FB48C1"/>
    <w:rsid w:val="00FB730C"/>
    <w:rsid w:val="00FB7522"/>
    <w:rsid w:val="00FC10BF"/>
    <w:rsid w:val="00FC2695"/>
    <w:rsid w:val="00FC3D04"/>
    <w:rsid w:val="00FC3E03"/>
    <w:rsid w:val="00FC3FC1"/>
    <w:rsid w:val="00FC4DE7"/>
    <w:rsid w:val="00FD2BA7"/>
    <w:rsid w:val="00FD3226"/>
    <w:rsid w:val="00FD76CE"/>
    <w:rsid w:val="00FE0323"/>
    <w:rsid w:val="00FF02AF"/>
    <w:rsid w:val="00FF0BFB"/>
    <w:rsid w:val="00FF2419"/>
    <w:rsid w:val="00FF7569"/>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E0CC22"/>
  <w14:defaultImageDpi w14:val="330"/>
  <w15:docId w15:val="{0B95FB59-9D38-42B5-B090-D2348EE1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Ttulo1">
    <w:name w:val="heading 1"/>
    <w:basedOn w:val="CETHeading1"/>
    <w:next w:val="Normal"/>
    <w:link w:val="Ttulo1Car"/>
    <w:uiPriority w:val="9"/>
    <w:rsid w:val="004F5E36"/>
    <w:pPr>
      <w:tabs>
        <w:tab w:val="clear" w:pos="360"/>
        <w:tab w:val="right" w:pos="7100"/>
      </w:tabs>
      <w:jc w:val="both"/>
      <w:outlineLvl w:val="0"/>
    </w:pPr>
    <w:rPr>
      <w:lang w:val="en-GB"/>
    </w:rPr>
  </w:style>
  <w:style w:type="paragraph" w:styleId="Ttulo2">
    <w:name w:val="heading 2"/>
    <w:basedOn w:val="Normal"/>
    <w:next w:val="Normal"/>
    <w:link w:val="Ttulo2Car"/>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tulo9">
    <w:name w:val="heading 9"/>
    <w:basedOn w:val="Normal"/>
    <w:next w:val="Normal"/>
    <w:link w:val="Ttulo9Car"/>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572356"/>
    <w:pPr>
      <w:keepNext/>
      <w:numPr>
        <w:ilvl w:val="2"/>
        <w:numId w:val="1"/>
      </w:numPr>
      <w:suppressAutoHyphens/>
      <w:spacing w:before="60" w:after="6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labsica1">
    <w:name w:val="Table Simple 1"/>
    <w:basedOn w:val="Tablanormal"/>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572356"/>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Refdecomentario">
    <w:name w:val="annotation reference"/>
    <w:basedOn w:val="Fuentedeprrafopredeter"/>
    <w:uiPriority w:val="99"/>
    <w:semiHidden/>
    <w:unhideWhenUsed/>
    <w:rsid w:val="004577FE"/>
    <w:rPr>
      <w:sz w:val="16"/>
      <w:szCs w:val="16"/>
    </w:rPr>
  </w:style>
  <w:style w:type="paragraph" w:styleId="Textodeglobo">
    <w:name w:val="Balloon Text"/>
    <w:basedOn w:val="Normal"/>
    <w:link w:val="TextodegloboCar"/>
    <w:uiPriority w:val="99"/>
    <w:semiHidden/>
    <w:unhideWhenUsed/>
    <w:rsid w:val="000D34BE"/>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D34BE"/>
    <w:rPr>
      <w:rFonts w:ascii="Tahoma" w:hAnsi="Tahoma" w:cs="Tahoma"/>
      <w:sz w:val="16"/>
      <w:szCs w:val="16"/>
    </w:rPr>
  </w:style>
  <w:style w:type="paragraph" w:styleId="Bibliografa">
    <w:name w:val="Bibliography"/>
    <w:basedOn w:val="CETReferencetext"/>
    <w:uiPriority w:val="37"/>
    <w:unhideWhenUsed/>
    <w:rsid w:val="00631B33"/>
    <w:pPr>
      <w:spacing w:line="240" w:lineRule="auto"/>
      <w:ind w:left="720" w:hanging="720"/>
    </w:pPr>
  </w:style>
  <w:style w:type="paragraph" w:styleId="Textoindependiente2">
    <w:name w:val="Body Text 2"/>
    <w:basedOn w:val="Normal"/>
    <w:link w:val="Textoindependiente2Car"/>
    <w:uiPriority w:val="99"/>
    <w:semiHidden/>
    <w:unhideWhenUsed/>
    <w:rsid w:val="0003148D"/>
    <w:pPr>
      <w:spacing w:after="120" w:line="480" w:lineRule="auto"/>
    </w:pPr>
  </w:style>
  <w:style w:type="character" w:customStyle="1" w:styleId="Textoindependiente2Car">
    <w:name w:val="Texto independiente 2 Car"/>
    <w:basedOn w:val="Fuentedeprrafopredeter"/>
    <w:link w:val="Textoindependiente2"/>
    <w:uiPriority w:val="99"/>
    <w:semiHidden/>
    <w:rsid w:val="0003148D"/>
  </w:style>
  <w:style w:type="paragraph" w:styleId="Textoindependiente3">
    <w:name w:val="Body Text 3"/>
    <w:basedOn w:val="Normal"/>
    <w:link w:val="Textoindependiente3Car"/>
    <w:uiPriority w:val="99"/>
    <w:semiHidden/>
    <w:unhideWhenUsed/>
    <w:rsid w:val="0003148D"/>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03148D"/>
    <w:rPr>
      <w:sz w:val="16"/>
      <w:szCs w:val="16"/>
    </w:rPr>
  </w:style>
  <w:style w:type="paragraph" w:styleId="Textoindependiente">
    <w:name w:val="Body Text"/>
    <w:basedOn w:val="Normal"/>
    <w:link w:val="TextoindependienteCar"/>
    <w:uiPriority w:val="99"/>
    <w:semiHidden/>
    <w:unhideWhenUsed/>
    <w:rsid w:val="0003148D"/>
    <w:pPr>
      <w:spacing w:after="120"/>
    </w:pPr>
  </w:style>
  <w:style w:type="character" w:customStyle="1" w:styleId="TextoindependienteCar">
    <w:name w:val="Texto independiente Car"/>
    <w:basedOn w:val="Fuentedeprrafopredeter"/>
    <w:link w:val="Textoindependiente"/>
    <w:uiPriority w:val="99"/>
    <w:semiHidden/>
    <w:rsid w:val="0003148D"/>
  </w:style>
  <w:style w:type="paragraph" w:styleId="Fecha">
    <w:name w:val="Date"/>
    <w:basedOn w:val="Normal"/>
    <w:next w:val="Normal"/>
    <w:link w:val="FechaCar"/>
    <w:uiPriority w:val="99"/>
    <w:semiHidden/>
    <w:unhideWhenUsed/>
    <w:rsid w:val="0003148D"/>
  </w:style>
  <w:style w:type="character" w:customStyle="1" w:styleId="FechaCar">
    <w:name w:val="Fecha Car"/>
    <w:basedOn w:val="Fuentedeprrafopredeter"/>
    <w:link w:val="Fecha"/>
    <w:uiPriority w:val="99"/>
    <w:semiHidden/>
    <w:rsid w:val="0003148D"/>
  </w:style>
  <w:style w:type="paragraph" w:styleId="Descripcin">
    <w:name w:val="caption"/>
    <w:basedOn w:val="Normal"/>
    <w:next w:val="Normal"/>
    <w:uiPriority w:val="35"/>
    <w:semiHidden/>
    <w:unhideWhenUsed/>
    <w:qFormat/>
    <w:rsid w:val="0003148D"/>
    <w:pPr>
      <w:spacing w:line="240" w:lineRule="auto"/>
    </w:pPr>
    <w:rPr>
      <w:b/>
      <w:bCs/>
      <w:color w:val="4F81BD" w:themeColor="accent1"/>
      <w:szCs w:val="18"/>
    </w:rPr>
  </w:style>
  <w:style w:type="paragraph" w:styleId="Lista">
    <w:name w:val="List"/>
    <w:basedOn w:val="Normal"/>
    <w:uiPriority w:val="99"/>
    <w:semiHidden/>
    <w:unhideWhenUsed/>
    <w:rsid w:val="0003148D"/>
    <w:pPr>
      <w:ind w:left="283" w:hanging="283"/>
      <w:contextualSpacing/>
    </w:pPr>
  </w:style>
  <w:style w:type="paragraph" w:styleId="Lista2">
    <w:name w:val="List 2"/>
    <w:basedOn w:val="Normal"/>
    <w:uiPriority w:val="99"/>
    <w:semiHidden/>
    <w:unhideWhenUsed/>
    <w:rsid w:val="0003148D"/>
    <w:pPr>
      <w:ind w:left="566" w:hanging="283"/>
      <w:contextualSpacing/>
    </w:pPr>
  </w:style>
  <w:style w:type="paragraph" w:styleId="Lista3">
    <w:name w:val="List 3"/>
    <w:basedOn w:val="Normal"/>
    <w:uiPriority w:val="99"/>
    <w:semiHidden/>
    <w:unhideWhenUsed/>
    <w:rsid w:val="0003148D"/>
    <w:pPr>
      <w:ind w:left="849" w:hanging="283"/>
      <w:contextualSpacing/>
    </w:pPr>
  </w:style>
  <w:style w:type="paragraph" w:styleId="Lista4">
    <w:name w:val="List 4"/>
    <w:basedOn w:val="Normal"/>
    <w:uiPriority w:val="99"/>
    <w:semiHidden/>
    <w:unhideWhenUsed/>
    <w:rsid w:val="0003148D"/>
    <w:pPr>
      <w:ind w:left="1132" w:hanging="283"/>
      <w:contextualSpacing/>
    </w:pPr>
  </w:style>
  <w:style w:type="paragraph" w:styleId="Lista5">
    <w:name w:val="List 5"/>
    <w:basedOn w:val="Normal"/>
    <w:uiPriority w:val="99"/>
    <w:semiHidden/>
    <w:unhideWhenUsed/>
    <w:rsid w:val="0003148D"/>
    <w:pPr>
      <w:ind w:left="1415" w:hanging="283"/>
      <w:contextualSpacing/>
    </w:pPr>
  </w:style>
  <w:style w:type="paragraph" w:styleId="Continuarlista">
    <w:name w:val="List Continue"/>
    <w:basedOn w:val="Normal"/>
    <w:uiPriority w:val="99"/>
    <w:semiHidden/>
    <w:unhideWhenUsed/>
    <w:rsid w:val="0003148D"/>
    <w:pPr>
      <w:spacing w:after="120"/>
      <w:ind w:left="283"/>
      <w:contextualSpacing/>
    </w:pPr>
  </w:style>
  <w:style w:type="paragraph" w:styleId="Continuarlista2">
    <w:name w:val="List Continue 2"/>
    <w:basedOn w:val="Normal"/>
    <w:uiPriority w:val="99"/>
    <w:semiHidden/>
    <w:unhideWhenUsed/>
    <w:rsid w:val="0003148D"/>
    <w:pPr>
      <w:spacing w:after="120"/>
      <w:ind w:left="566"/>
      <w:contextualSpacing/>
    </w:pPr>
  </w:style>
  <w:style w:type="paragraph" w:styleId="Continuarlista3">
    <w:name w:val="List Continue 3"/>
    <w:basedOn w:val="Normal"/>
    <w:uiPriority w:val="99"/>
    <w:semiHidden/>
    <w:unhideWhenUsed/>
    <w:rsid w:val="0003148D"/>
    <w:pPr>
      <w:spacing w:after="120"/>
      <w:ind w:left="849"/>
      <w:contextualSpacing/>
    </w:pPr>
  </w:style>
  <w:style w:type="paragraph" w:styleId="Continuarlista4">
    <w:name w:val="List Continue 4"/>
    <w:basedOn w:val="Normal"/>
    <w:uiPriority w:val="99"/>
    <w:semiHidden/>
    <w:unhideWhenUsed/>
    <w:rsid w:val="0003148D"/>
    <w:pPr>
      <w:spacing w:after="120"/>
      <w:ind w:left="1132"/>
      <w:contextualSpacing/>
    </w:pPr>
  </w:style>
  <w:style w:type="paragraph" w:styleId="Continuarlista5">
    <w:name w:val="List Continue 5"/>
    <w:basedOn w:val="Normal"/>
    <w:uiPriority w:val="99"/>
    <w:semiHidden/>
    <w:unhideWhenUsed/>
    <w:rsid w:val="0003148D"/>
    <w:pPr>
      <w:spacing w:after="120"/>
      <w:ind w:left="1415"/>
      <w:contextualSpacing/>
    </w:pPr>
  </w:style>
  <w:style w:type="paragraph" w:styleId="Firma">
    <w:name w:val="Signature"/>
    <w:basedOn w:val="Normal"/>
    <w:link w:val="FirmaCar"/>
    <w:uiPriority w:val="99"/>
    <w:semiHidden/>
    <w:unhideWhenUsed/>
    <w:rsid w:val="0003148D"/>
    <w:pPr>
      <w:spacing w:line="240" w:lineRule="auto"/>
      <w:ind w:left="4252"/>
    </w:pPr>
  </w:style>
  <w:style w:type="character" w:customStyle="1" w:styleId="FirmaCar">
    <w:name w:val="Firma Car"/>
    <w:basedOn w:val="Fuentedeprrafopredeter"/>
    <w:link w:val="Firma"/>
    <w:uiPriority w:val="99"/>
    <w:semiHidden/>
    <w:rsid w:val="0003148D"/>
  </w:style>
  <w:style w:type="paragraph" w:styleId="Firmadecorreoelectrnico">
    <w:name w:val="E-mail Signature"/>
    <w:basedOn w:val="Normal"/>
    <w:link w:val="FirmadecorreoelectrnicoCar"/>
    <w:uiPriority w:val="99"/>
    <w:semiHidden/>
    <w:unhideWhenUsed/>
    <w:rsid w:val="0003148D"/>
    <w:pPr>
      <w:spacing w:line="240" w:lineRule="auto"/>
    </w:pPr>
  </w:style>
  <w:style w:type="character" w:customStyle="1" w:styleId="FirmadecorreoelectrnicoCar">
    <w:name w:val="Firma de correo electrónico Car"/>
    <w:basedOn w:val="Fuentedeprrafopredeter"/>
    <w:link w:val="Firmadecorreoelectrnico"/>
    <w:uiPriority w:val="99"/>
    <w:semiHidden/>
    <w:rsid w:val="0003148D"/>
  </w:style>
  <w:style w:type="paragraph" w:styleId="Saludo">
    <w:name w:val="Salutation"/>
    <w:basedOn w:val="Normal"/>
    <w:next w:val="Normal"/>
    <w:link w:val="SaludoCar"/>
    <w:uiPriority w:val="99"/>
    <w:semiHidden/>
    <w:unhideWhenUsed/>
    <w:rsid w:val="0003148D"/>
  </w:style>
  <w:style w:type="character" w:customStyle="1" w:styleId="SaludoCar">
    <w:name w:val="Saludo Car"/>
    <w:basedOn w:val="Fuentedeprrafopredeter"/>
    <w:link w:val="Saludo"/>
    <w:uiPriority w:val="99"/>
    <w:semiHidden/>
    <w:rsid w:val="0003148D"/>
  </w:style>
  <w:style w:type="paragraph" w:styleId="Cierre">
    <w:name w:val="Closing"/>
    <w:basedOn w:val="Normal"/>
    <w:link w:val="CierreCar"/>
    <w:uiPriority w:val="99"/>
    <w:semiHidden/>
    <w:unhideWhenUsed/>
    <w:rsid w:val="0003148D"/>
    <w:pPr>
      <w:spacing w:line="240" w:lineRule="auto"/>
      <w:ind w:left="4252"/>
    </w:pPr>
  </w:style>
  <w:style w:type="character" w:customStyle="1" w:styleId="CierreCar">
    <w:name w:val="Cierre Car"/>
    <w:basedOn w:val="Fuentedeprrafopredeter"/>
    <w:link w:val="Cierre"/>
    <w:uiPriority w:val="99"/>
    <w:semiHidden/>
    <w:rsid w:val="0003148D"/>
  </w:style>
  <w:style w:type="paragraph" w:styleId="ndice1">
    <w:name w:val="index 1"/>
    <w:basedOn w:val="Normal"/>
    <w:next w:val="Normal"/>
    <w:autoRedefine/>
    <w:uiPriority w:val="99"/>
    <w:semiHidden/>
    <w:unhideWhenUsed/>
    <w:rsid w:val="0003148D"/>
    <w:pPr>
      <w:spacing w:line="240" w:lineRule="auto"/>
      <w:ind w:left="220" w:hanging="220"/>
    </w:pPr>
  </w:style>
  <w:style w:type="paragraph" w:styleId="ndice2">
    <w:name w:val="index 2"/>
    <w:basedOn w:val="Normal"/>
    <w:next w:val="Normal"/>
    <w:autoRedefine/>
    <w:uiPriority w:val="99"/>
    <w:semiHidden/>
    <w:unhideWhenUsed/>
    <w:rsid w:val="0003148D"/>
    <w:pPr>
      <w:spacing w:line="240" w:lineRule="auto"/>
      <w:ind w:left="440" w:hanging="220"/>
    </w:pPr>
  </w:style>
  <w:style w:type="paragraph" w:styleId="ndice3">
    <w:name w:val="index 3"/>
    <w:basedOn w:val="Normal"/>
    <w:next w:val="Normal"/>
    <w:autoRedefine/>
    <w:uiPriority w:val="99"/>
    <w:semiHidden/>
    <w:unhideWhenUsed/>
    <w:rsid w:val="0003148D"/>
    <w:pPr>
      <w:spacing w:line="240" w:lineRule="auto"/>
      <w:ind w:left="660" w:hanging="220"/>
    </w:pPr>
  </w:style>
  <w:style w:type="paragraph" w:styleId="ndice4">
    <w:name w:val="index 4"/>
    <w:basedOn w:val="Normal"/>
    <w:next w:val="Normal"/>
    <w:autoRedefine/>
    <w:uiPriority w:val="99"/>
    <w:semiHidden/>
    <w:unhideWhenUsed/>
    <w:rsid w:val="0003148D"/>
    <w:pPr>
      <w:spacing w:line="240" w:lineRule="auto"/>
      <w:ind w:left="880" w:hanging="220"/>
    </w:pPr>
  </w:style>
  <w:style w:type="paragraph" w:styleId="ndice5">
    <w:name w:val="index 5"/>
    <w:basedOn w:val="Normal"/>
    <w:next w:val="Normal"/>
    <w:autoRedefine/>
    <w:uiPriority w:val="99"/>
    <w:semiHidden/>
    <w:unhideWhenUsed/>
    <w:rsid w:val="0003148D"/>
    <w:pPr>
      <w:spacing w:line="240" w:lineRule="auto"/>
      <w:ind w:left="1100" w:hanging="220"/>
    </w:pPr>
  </w:style>
  <w:style w:type="paragraph" w:styleId="ndice6">
    <w:name w:val="index 6"/>
    <w:basedOn w:val="Normal"/>
    <w:next w:val="Normal"/>
    <w:autoRedefine/>
    <w:uiPriority w:val="99"/>
    <w:semiHidden/>
    <w:unhideWhenUsed/>
    <w:rsid w:val="0003148D"/>
    <w:pPr>
      <w:spacing w:line="240" w:lineRule="auto"/>
      <w:ind w:left="1320" w:hanging="220"/>
    </w:pPr>
  </w:style>
  <w:style w:type="paragraph" w:styleId="ndice7">
    <w:name w:val="index 7"/>
    <w:basedOn w:val="Normal"/>
    <w:next w:val="Normal"/>
    <w:autoRedefine/>
    <w:uiPriority w:val="99"/>
    <w:semiHidden/>
    <w:unhideWhenUsed/>
    <w:rsid w:val="0003148D"/>
    <w:pPr>
      <w:spacing w:line="240" w:lineRule="auto"/>
      <w:ind w:left="1540" w:hanging="220"/>
    </w:pPr>
  </w:style>
  <w:style w:type="paragraph" w:styleId="ndice8">
    <w:name w:val="index 8"/>
    <w:basedOn w:val="Normal"/>
    <w:next w:val="Normal"/>
    <w:autoRedefine/>
    <w:uiPriority w:val="99"/>
    <w:semiHidden/>
    <w:unhideWhenUsed/>
    <w:rsid w:val="0003148D"/>
    <w:pPr>
      <w:spacing w:line="240" w:lineRule="auto"/>
      <w:ind w:left="1760" w:hanging="220"/>
    </w:pPr>
  </w:style>
  <w:style w:type="paragraph" w:styleId="ndice9">
    <w:name w:val="index 9"/>
    <w:basedOn w:val="Normal"/>
    <w:next w:val="Normal"/>
    <w:autoRedefine/>
    <w:uiPriority w:val="99"/>
    <w:semiHidden/>
    <w:unhideWhenUsed/>
    <w:rsid w:val="0003148D"/>
    <w:pPr>
      <w:spacing w:line="240" w:lineRule="auto"/>
      <w:ind w:left="1980" w:hanging="220"/>
    </w:pPr>
  </w:style>
  <w:style w:type="paragraph" w:styleId="Tabladeilustraciones">
    <w:name w:val="table of figures"/>
    <w:basedOn w:val="Normal"/>
    <w:next w:val="Normal"/>
    <w:uiPriority w:val="99"/>
    <w:semiHidden/>
    <w:unhideWhenUsed/>
    <w:rsid w:val="0003148D"/>
  </w:style>
  <w:style w:type="paragraph" w:styleId="Textoconsangra">
    <w:name w:val="table of authorities"/>
    <w:basedOn w:val="Normal"/>
    <w:next w:val="Normal"/>
    <w:uiPriority w:val="99"/>
    <w:semiHidden/>
    <w:unhideWhenUsed/>
    <w:rsid w:val="0003148D"/>
    <w:pPr>
      <w:ind w:left="220" w:hanging="220"/>
    </w:pPr>
  </w:style>
  <w:style w:type="paragraph" w:styleId="Direccinsobre">
    <w:name w:val="envelope address"/>
    <w:basedOn w:val="Normal"/>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DireccinHTML">
    <w:name w:val="HTML Address"/>
    <w:basedOn w:val="Normal"/>
    <w:link w:val="DireccinHTMLCar"/>
    <w:uiPriority w:val="99"/>
    <w:semiHidden/>
    <w:unhideWhenUsed/>
    <w:rsid w:val="0003148D"/>
    <w:pPr>
      <w:spacing w:line="240" w:lineRule="auto"/>
    </w:pPr>
    <w:rPr>
      <w:i/>
      <w:iCs/>
    </w:rPr>
  </w:style>
  <w:style w:type="character" w:customStyle="1" w:styleId="DireccinHTMLCar">
    <w:name w:val="Dirección HTML Car"/>
    <w:basedOn w:val="Fuentedeprrafopredeter"/>
    <w:link w:val="DireccinHTML"/>
    <w:uiPriority w:val="99"/>
    <w:semiHidden/>
    <w:rsid w:val="0003148D"/>
    <w:rPr>
      <w:i/>
      <w:iCs/>
    </w:rPr>
  </w:style>
  <w:style w:type="paragraph" w:styleId="Remitedesobre">
    <w:name w:val="envelope return"/>
    <w:basedOn w:val="Normal"/>
    <w:uiPriority w:val="99"/>
    <w:semiHidden/>
    <w:unhideWhenUsed/>
    <w:rsid w:val="0003148D"/>
    <w:pPr>
      <w:spacing w:line="240" w:lineRule="auto"/>
    </w:pPr>
    <w:rPr>
      <w:rFonts w:asciiTheme="majorHAnsi" w:eastAsiaTheme="majorEastAsia" w:hAnsiTheme="majorHAnsi" w:cstheme="majorBidi"/>
    </w:rPr>
  </w:style>
  <w:style w:type="paragraph" w:styleId="Encabezadodemensaje">
    <w:name w:val="Message Header"/>
    <w:basedOn w:val="Normal"/>
    <w:link w:val="EncabezadodemensajeCar"/>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semiHidden/>
    <w:rsid w:val="0003148D"/>
    <w:rPr>
      <w:rFonts w:asciiTheme="majorHAnsi" w:eastAsiaTheme="majorEastAsia" w:hAnsiTheme="majorHAnsi" w:cstheme="majorBidi"/>
      <w:sz w:val="24"/>
      <w:szCs w:val="24"/>
      <w:shd w:val="pct20" w:color="auto" w:fill="auto"/>
    </w:rPr>
  </w:style>
  <w:style w:type="paragraph" w:styleId="Encabezadodenota">
    <w:name w:val="Note Heading"/>
    <w:basedOn w:val="Normal"/>
    <w:next w:val="Normal"/>
    <w:link w:val="EncabezadodenotaCar"/>
    <w:uiPriority w:val="99"/>
    <w:semiHidden/>
    <w:unhideWhenUsed/>
    <w:rsid w:val="0003148D"/>
    <w:pPr>
      <w:spacing w:line="240" w:lineRule="auto"/>
    </w:pPr>
  </w:style>
  <w:style w:type="character" w:customStyle="1" w:styleId="EncabezadodenotaCar">
    <w:name w:val="Encabezado de nota Car"/>
    <w:basedOn w:val="Fuentedeprrafopredeter"/>
    <w:link w:val="Encabezadodenota"/>
    <w:uiPriority w:val="99"/>
    <w:semiHidden/>
    <w:rsid w:val="0003148D"/>
  </w:style>
  <w:style w:type="paragraph" w:styleId="Mapadeldocumento">
    <w:name w:val="Document Map"/>
    <w:basedOn w:val="Normal"/>
    <w:link w:val="MapadeldocumentoCar"/>
    <w:uiPriority w:val="99"/>
    <w:semiHidden/>
    <w:unhideWhenUsed/>
    <w:rsid w:val="0003148D"/>
    <w:pPr>
      <w:spacing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03148D"/>
    <w:rPr>
      <w:rFonts w:ascii="Tahoma" w:hAnsi="Tahoma" w:cs="Tahoma"/>
      <w:sz w:val="16"/>
      <w:szCs w:val="16"/>
    </w:rPr>
  </w:style>
  <w:style w:type="paragraph" w:styleId="NormalWeb">
    <w:name w:val="Normal (Web)"/>
    <w:basedOn w:val="Normal"/>
    <w:uiPriority w:val="99"/>
    <w:semiHidden/>
    <w:unhideWhenUsed/>
    <w:rsid w:val="0003148D"/>
    <w:rPr>
      <w:sz w:val="24"/>
      <w:szCs w:val="24"/>
    </w:rPr>
  </w:style>
  <w:style w:type="paragraph" w:styleId="Listaconnmeros">
    <w:name w:val="List Number"/>
    <w:basedOn w:val="Normal"/>
    <w:uiPriority w:val="99"/>
    <w:semiHidden/>
    <w:unhideWhenUsed/>
    <w:rsid w:val="0003148D"/>
    <w:pPr>
      <w:numPr>
        <w:numId w:val="2"/>
      </w:numPr>
      <w:contextualSpacing/>
    </w:pPr>
  </w:style>
  <w:style w:type="paragraph" w:styleId="Listaconnmeros2">
    <w:name w:val="List Number 2"/>
    <w:basedOn w:val="Normal"/>
    <w:uiPriority w:val="99"/>
    <w:semiHidden/>
    <w:unhideWhenUsed/>
    <w:rsid w:val="0003148D"/>
    <w:pPr>
      <w:numPr>
        <w:numId w:val="3"/>
      </w:numPr>
      <w:contextualSpacing/>
    </w:pPr>
  </w:style>
  <w:style w:type="paragraph" w:styleId="Listaconnmeros3">
    <w:name w:val="List Number 3"/>
    <w:basedOn w:val="Normal"/>
    <w:uiPriority w:val="99"/>
    <w:semiHidden/>
    <w:unhideWhenUsed/>
    <w:rsid w:val="0003148D"/>
    <w:pPr>
      <w:numPr>
        <w:numId w:val="4"/>
      </w:numPr>
      <w:contextualSpacing/>
    </w:pPr>
  </w:style>
  <w:style w:type="paragraph" w:styleId="Listaconnmeros4">
    <w:name w:val="List Number 4"/>
    <w:basedOn w:val="Normal"/>
    <w:uiPriority w:val="99"/>
    <w:semiHidden/>
    <w:unhideWhenUsed/>
    <w:rsid w:val="0003148D"/>
    <w:pPr>
      <w:numPr>
        <w:numId w:val="5"/>
      </w:numPr>
      <w:contextualSpacing/>
    </w:pPr>
  </w:style>
  <w:style w:type="paragraph" w:styleId="Listaconnmeros5">
    <w:name w:val="List Number 5"/>
    <w:basedOn w:val="Normal"/>
    <w:uiPriority w:val="99"/>
    <w:semiHidden/>
    <w:unhideWhenUsed/>
    <w:rsid w:val="0003148D"/>
    <w:pPr>
      <w:numPr>
        <w:numId w:val="6"/>
      </w:numPr>
      <w:contextualSpacing/>
    </w:pPr>
  </w:style>
  <w:style w:type="paragraph" w:styleId="HTMLconformatoprevio">
    <w:name w:val="HTML Preformatted"/>
    <w:basedOn w:val="Normal"/>
    <w:link w:val="HTMLconformatoprevioCar"/>
    <w:uiPriority w:val="99"/>
    <w:semiHidden/>
    <w:unhideWhenUsed/>
    <w:rsid w:val="0003148D"/>
    <w:pPr>
      <w:spacing w:line="240" w:lineRule="auto"/>
    </w:pPr>
    <w:rPr>
      <w:rFonts w:ascii="Consolas" w:hAnsi="Consolas" w:cs="Consolas"/>
    </w:rPr>
  </w:style>
  <w:style w:type="character" w:customStyle="1" w:styleId="HTMLconformatoprevioCar">
    <w:name w:val="HTML con formato previo Car"/>
    <w:basedOn w:val="Fuentedeprrafopredeter"/>
    <w:link w:val="HTMLconformatoprevio"/>
    <w:uiPriority w:val="99"/>
    <w:semiHidden/>
    <w:rsid w:val="0003148D"/>
    <w:rPr>
      <w:rFonts w:ascii="Consolas" w:hAnsi="Consolas" w:cs="Consolas"/>
      <w:sz w:val="20"/>
      <w:szCs w:val="20"/>
    </w:rPr>
  </w:style>
  <w:style w:type="paragraph" w:styleId="Textoindependienteprimerasangra">
    <w:name w:val="Body Text First Indent"/>
    <w:basedOn w:val="Textoindependiente"/>
    <w:link w:val="TextoindependienteprimerasangraCar"/>
    <w:uiPriority w:val="99"/>
    <w:semiHidden/>
    <w:unhideWhenUsed/>
    <w:rsid w:val="0003148D"/>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semiHidden/>
    <w:rsid w:val="0003148D"/>
  </w:style>
  <w:style w:type="paragraph" w:styleId="Sangradetextonormal">
    <w:name w:val="Body Text Indent"/>
    <w:basedOn w:val="Normal"/>
    <w:link w:val="SangradetextonormalCar"/>
    <w:uiPriority w:val="99"/>
    <w:semiHidden/>
    <w:unhideWhenUsed/>
    <w:rsid w:val="0003148D"/>
    <w:pPr>
      <w:spacing w:after="120"/>
      <w:ind w:left="283"/>
    </w:pPr>
  </w:style>
  <w:style w:type="character" w:customStyle="1" w:styleId="SangradetextonormalCar">
    <w:name w:val="Sangría de texto normal Car"/>
    <w:basedOn w:val="Fuentedeprrafopredeter"/>
    <w:link w:val="Sangradetextonormal"/>
    <w:uiPriority w:val="99"/>
    <w:semiHidden/>
    <w:rsid w:val="0003148D"/>
  </w:style>
  <w:style w:type="paragraph" w:styleId="Textoindependienteprimerasangra2">
    <w:name w:val="Body Text First Indent 2"/>
    <w:basedOn w:val="Sangradetextonormal"/>
    <w:link w:val="Textoindependienteprimerasangra2Car"/>
    <w:uiPriority w:val="99"/>
    <w:semiHidden/>
    <w:unhideWhenUsed/>
    <w:rsid w:val="0003148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03148D"/>
  </w:style>
  <w:style w:type="paragraph" w:styleId="Listaconvietas">
    <w:name w:val="List Bullet"/>
    <w:basedOn w:val="Normal"/>
    <w:uiPriority w:val="99"/>
    <w:semiHidden/>
    <w:unhideWhenUsed/>
    <w:rsid w:val="0003148D"/>
    <w:pPr>
      <w:numPr>
        <w:numId w:val="7"/>
      </w:numPr>
      <w:contextualSpacing/>
    </w:pPr>
  </w:style>
  <w:style w:type="paragraph" w:styleId="Listaconvietas2">
    <w:name w:val="List Bullet 2"/>
    <w:basedOn w:val="Normal"/>
    <w:uiPriority w:val="99"/>
    <w:semiHidden/>
    <w:unhideWhenUsed/>
    <w:rsid w:val="0003148D"/>
    <w:pPr>
      <w:numPr>
        <w:numId w:val="8"/>
      </w:numPr>
      <w:contextualSpacing/>
    </w:pPr>
  </w:style>
  <w:style w:type="paragraph" w:styleId="Listaconvietas3">
    <w:name w:val="List Bullet 3"/>
    <w:basedOn w:val="Normal"/>
    <w:uiPriority w:val="99"/>
    <w:semiHidden/>
    <w:unhideWhenUsed/>
    <w:rsid w:val="0003148D"/>
    <w:pPr>
      <w:numPr>
        <w:numId w:val="9"/>
      </w:numPr>
      <w:contextualSpacing/>
    </w:pPr>
  </w:style>
  <w:style w:type="paragraph" w:styleId="Listaconvietas4">
    <w:name w:val="List Bullet 4"/>
    <w:basedOn w:val="Normal"/>
    <w:uiPriority w:val="99"/>
    <w:semiHidden/>
    <w:unhideWhenUsed/>
    <w:rsid w:val="0003148D"/>
    <w:pPr>
      <w:numPr>
        <w:numId w:val="10"/>
      </w:numPr>
      <w:contextualSpacing/>
    </w:pPr>
  </w:style>
  <w:style w:type="paragraph" w:styleId="Listaconvietas5">
    <w:name w:val="List Bullet 5"/>
    <w:basedOn w:val="Normal"/>
    <w:uiPriority w:val="99"/>
    <w:semiHidden/>
    <w:unhideWhenUsed/>
    <w:rsid w:val="0003148D"/>
    <w:pPr>
      <w:numPr>
        <w:numId w:val="11"/>
      </w:numPr>
      <w:contextualSpacing/>
    </w:pPr>
  </w:style>
  <w:style w:type="paragraph" w:styleId="Sangra2detindependiente">
    <w:name w:val="Body Text Indent 2"/>
    <w:basedOn w:val="Normal"/>
    <w:link w:val="Sangra2detindependienteCar"/>
    <w:uiPriority w:val="99"/>
    <w:semiHidden/>
    <w:unhideWhenUsed/>
    <w:rsid w:val="0003148D"/>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03148D"/>
  </w:style>
  <w:style w:type="paragraph" w:styleId="Sangra3detindependiente">
    <w:name w:val="Body Text Indent 3"/>
    <w:basedOn w:val="Normal"/>
    <w:link w:val="Sangra3detindependienteCar"/>
    <w:uiPriority w:val="99"/>
    <w:semiHidden/>
    <w:unhideWhenUsed/>
    <w:rsid w:val="0003148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03148D"/>
    <w:rPr>
      <w:sz w:val="16"/>
      <w:szCs w:val="16"/>
    </w:rPr>
  </w:style>
  <w:style w:type="paragraph" w:styleId="Sangranormal">
    <w:name w:val="Normal Indent"/>
    <w:basedOn w:val="Normal"/>
    <w:uiPriority w:val="99"/>
    <w:semiHidden/>
    <w:unhideWhenUsed/>
    <w:rsid w:val="0003148D"/>
    <w:pPr>
      <w:ind w:left="720"/>
    </w:pPr>
  </w:style>
  <w:style w:type="paragraph" w:styleId="Textocomentario">
    <w:name w:val="annotation text"/>
    <w:basedOn w:val="Normal"/>
    <w:link w:val="TextocomentarioCar"/>
    <w:uiPriority w:val="99"/>
    <w:unhideWhenUsed/>
    <w:rsid w:val="0003148D"/>
    <w:pPr>
      <w:spacing w:line="240" w:lineRule="auto"/>
    </w:pPr>
  </w:style>
  <w:style w:type="character" w:customStyle="1" w:styleId="TextocomentarioCar">
    <w:name w:val="Texto comentario Car"/>
    <w:basedOn w:val="Fuentedeprrafopredeter"/>
    <w:link w:val="Textocomentario"/>
    <w:uiPriority w:val="99"/>
    <w:rsid w:val="0003148D"/>
    <w:rPr>
      <w:sz w:val="20"/>
      <w:szCs w:val="20"/>
    </w:rPr>
  </w:style>
  <w:style w:type="paragraph" w:styleId="Asuntodelcomentario">
    <w:name w:val="annotation subject"/>
    <w:basedOn w:val="Textocomentario"/>
    <w:next w:val="Textocomentario"/>
    <w:link w:val="AsuntodelcomentarioCar"/>
    <w:uiPriority w:val="99"/>
    <w:semiHidden/>
    <w:unhideWhenUsed/>
    <w:rsid w:val="0003148D"/>
    <w:rPr>
      <w:b/>
      <w:bCs/>
    </w:rPr>
  </w:style>
  <w:style w:type="character" w:customStyle="1" w:styleId="AsuntodelcomentarioCar">
    <w:name w:val="Asunto del comentario Car"/>
    <w:basedOn w:val="TextocomentarioCar"/>
    <w:link w:val="Asuntodelcomentario"/>
    <w:uiPriority w:val="99"/>
    <w:semiHidden/>
    <w:rsid w:val="0003148D"/>
    <w:rPr>
      <w:b/>
      <w:bCs/>
      <w:sz w:val="20"/>
      <w:szCs w:val="20"/>
    </w:rPr>
  </w:style>
  <w:style w:type="paragraph" w:styleId="TDC1">
    <w:name w:val="toc 1"/>
    <w:basedOn w:val="Normal"/>
    <w:next w:val="Normal"/>
    <w:autoRedefine/>
    <w:uiPriority w:val="39"/>
    <w:semiHidden/>
    <w:unhideWhenUsed/>
    <w:rsid w:val="0003148D"/>
    <w:pPr>
      <w:spacing w:after="100"/>
    </w:pPr>
  </w:style>
  <w:style w:type="paragraph" w:styleId="TDC2">
    <w:name w:val="toc 2"/>
    <w:basedOn w:val="Normal"/>
    <w:next w:val="Normal"/>
    <w:autoRedefine/>
    <w:uiPriority w:val="39"/>
    <w:semiHidden/>
    <w:unhideWhenUsed/>
    <w:rsid w:val="0003148D"/>
    <w:pPr>
      <w:spacing w:after="100"/>
      <w:ind w:left="220"/>
    </w:pPr>
  </w:style>
  <w:style w:type="paragraph" w:styleId="TDC3">
    <w:name w:val="toc 3"/>
    <w:basedOn w:val="Normal"/>
    <w:next w:val="Normal"/>
    <w:autoRedefine/>
    <w:uiPriority w:val="39"/>
    <w:semiHidden/>
    <w:unhideWhenUsed/>
    <w:rsid w:val="0003148D"/>
    <w:pPr>
      <w:spacing w:after="100"/>
      <w:ind w:left="440"/>
    </w:pPr>
  </w:style>
  <w:style w:type="paragraph" w:styleId="TDC4">
    <w:name w:val="toc 4"/>
    <w:basedOn w:val="Normal"/>
    <w:next w:val="Normal"/>
    <w:autoRedefine/>
    <w:uiPriority w:val="39"/>
    <w:semiHidden/>
    <w:unhideWhenUsed/>
    <w:rsid w:val="0003148D"/>
    <w:pPr>
      <w:spacing w:after="100"/>
      <w:ind w:left="660"/>
    </w:pPr>
  </w:style>
  <w:style w:type="paragraph" w:styleId="TDC5">
    <w:name w:val="toc 5"/>
    <w:basedOn w:val="Normal"/>
    <w:next w:val="Normal"/>
    <w:autoRedefine/>
    <w:uiPriority w:val="39"/>
    <w:semiHidden/>
    <w:unhideWhenUsed/>
    <w:rsid w:val="0003148D"/>
    <w:pPr>
      <w:spacing w:after="100"/>
      <w:ind w:left="880"/>
    </w:pPr>
  </w:style>
  <w:style w:type="paragraph" w:styleId="TDC6">
    <w:name w:val="toc 6"/>
    <w:basedOn w:val="Normal"/>
    <w:next w:val="Normal"/>
    <w:autoRedefine/>
    <w:uiPriority w:val="39"/>
    <w:semiHidden/>
    <w:unhideWhenUsed/>
    <w:rsid w:val="0003148D"/>
    <w:pPr>
      <w:spacing w:after="100"/>
      <w:ind w:left="1100"/>
    </w:pPr>
  </w:style>
  <w:style w:type="paragraph" w:styleId="TDC7">
    <w:name w:val="toc 7"/>
    <w:basedOn w:val="Normal"/>
    <w:next w:val="Normal"/>
    <w:autoRedefine/>
    <w:uiPriority w:val="39"/>
    <w:semiHidden/>
    <w:unhideWhenUsed/>
    <w:rsid w:val="0003148D"/>
    <w:pPr>
      <w:spacing w:after="100"/>
      <w:ind w:left="1320"/>
    </w:pPr>
  </w:style>
  <w:style w:type="paragraph" w:styleId="TDC8">
    <w:name w:val="toc 8"/>
    <w:basedOn w:val="Normal"/>
    <w:next w:val="Normal"/>
    <w:autoRedefine/>
    <w:uiPriority w:val="39"/>
    <w:semiHidden/>
    <w:unhideWhenUsed/>
    <w:rsid w:val="0003148D"/>
    <w:pPr>
      <w:spacing w:after="100"/>
      <w:ind w:left="1540"/>
    </w:pPr>
  </w:style>
  <w:style w:type="paragraph" w:styleId="TDC9">
    <w:name w:val="toc 9"/>
    <w:basedOn w:val="Normal"/>
    <w:next w:val="Normal"/>
    <w:autoRedefine/>
    <w:uiPriority w:val="39"/>
    <w:semiHidden/>
    <w:unhideWhenUsed/>
    <w:rsid w:val="0003148D"/>
    <w:pPr>
      <w:spacing w:after="100"/>
      <w:ind w:left="1760"/>
    </w:pPr>
  </w:style>
  <w:style w:type="paragraph" w:styleId="Textodebloque">
    <w:name w:val="Block Text"/>
    <w:basedOn w:val="Normal"/>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xtomacro">
    <w:name w:val="macro"/>
    <w:link w:val="TextomacroCar"/>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xtomacroCar">
    <w:name w:val="Texto macro Car"/>
    <w:basedOn w:val="Fuentedeprrafopredeter"/>
    <w:link w:val="Textomacro"/>
    <w:uiPriority w:val="99"/>
    <w:semiHidden/>
    <w:rsid w:val="0003148D"/>
    <w:rPr>
      <w:rFonts w:ascii="Consolas" w:hAnsi="Consolas" w:cs="Consolas"/>
      <w:sz w:val="20"/>
      <w:szCs w:val="20"/>
    </w:rPr>
  </w:style>
  <w:style w:type="paragraph" w:styleId="Textosinformato">
    <w:name w:val="Plain Text"/>
    <w:basedOn w:val="Normal"/>
    <w:link w:val="TextosinformatoCar"/>
    <w:uiPriority w:val="99"/>
    <w:semiHidden/>
    <w:unhideWhenUsed/>
    <w:rsid w:val="0003148D"/>
    <w:pPr>
      <w:spacing w:line="240" w:lineRule="auto"/>
    </w:pPr>
    <w:rPr>
      <w:rFonts w:ascii="Consolas" w:hAnsi="Consolas" w:cs="Consolas"/>
      <w:sz w:val="21"/>
      <w:szCs w:val="21"/>
    </w:rPr>
  </w:style>
  <w:style w:type="character" w:customStyle="1" w:styleId="TextosinformatoCar">
    <w:name w:val="Texto sin formato Car"/>
    <w:basedOn w:val="Fuentedeprrafopredeter"/>
    <w:link w:val="Textosinformato"/>
    <w:uiPriority w:val="99"/>
    <w:semiHidden/>
    <w:rsid w:val="0003148D"/>
    <w:rPr>
      <w:rFonts w:ascii="Consolas" w:hAnsi="Consolas" w:cs="Consolas"/>
      <w:sz w:val="21"/>
      <w:szCs w:val="21"/>
    </w:rPr>
  </w:style>
  <w:style w:type="paragraph" w:styleId="Textonotapie">
    <w:name w:val="footnote text"/>
    <w:basedOn w:val="Normal"/>
    <w:link w:val="TextonotapieCar"/>
    <w:uiPriority w:val="99"/>
    <w:semiHidden/>
    <w:unhideWhenUsed/>
    <w:rsid w:val="0003148D"/>
    <w:pPr>
      <w:spacing w:line="240" w:lineRule="auto"/>
    </w:pPr>
  </w:style>
  <w:style w:type="character" w:customStyle="1" w:styleId="TextonotapieCar">
    <w:name w:val="Texto nota pie Car"/>
    <w:basedOn w:val="Fuentedeprrafopredeter"/>
    <w:link w:val="Textonotapie"/>
    <w:uiPriority w:val="99"/>
    <w:semiHidden/>
    <w:rsid w:val="0003148D"/>
    <w:rPr>
      <w:sz w:val="20"/>
      <w:szCs w:val="20"/>
    </w:rPr>
  </w:style>
  <w:style w:type="paragraph" w:styleId="Textonotaalfinal">
    <w:name w:val="endnote text"/>
    <w:basedOn w:val="Normal"/>
    <w:link w:val="TextonotaalfinalCar"/>
    <w:uiPriority w:val="99"/>
    <w:semiHidden/>
    <w:unhideWhenUsed/>
    <w:rsid w:val="0003148D"/>
    <w:pPr>
      <w:spacing w:line="240" w:lineRule="auto"/>
    </w:pPr>
  </w:style>
  <w:style w:type="character" w:customStyle="1" w:styleId="TextonotaalfinalCar">
    <w:name w:val="Texto nota al final Car"/>
    <w:basedOn w:val="Fuentedeprrafopredeter"/>
    <w:link w:val="Textonotaalfinal"/>
    <w:uiPriority w:val="99"/>
    <w:semiHidden/>
    <w:rsid w:val="0003148D"/>
    <w:rPr>
      <w:sz w:val="20"/>
      <w:szCs w:val="20"/>
    </w:rPr>
  </w:style>
  <w:style w:type="character" w:customStyle="1" w:styleId="Ttulo1Car">
    <w:name w:val="Título 1 Car"/>
    <w:basedOn w:val="Fuentedeprrafopredeter"/>
    <w:link w:val="Ttulo1"/>
    <w:uiPriority w:val="9"/>
    <w:rsid w:val="004F5E36"/>
    <w:rPr>
      <w:rFonts w:ascii="Arial" w:eastAsia="Times New Roman" w:hAnsi="Arial" w:cs="Times New Roman"/>
      <w:b/>
      <w:sz w:val="20"/>
      <w:szCs w:val="20"/>
      <w:lang w:val="en-GB"/>
    </w:rPr>
  </w:style>
  <w:style w:type="character" w:customStyle="1" w:styleId="Ttulo2Car">
    <w:name w:val="Título 2 Car"/>
    <w:basedOn w:val="Fuentedeprrafopredeter"/>
    <w:link w:val="Ttu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03148D"/>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semiHidden/>
    <w:rsid w:val="0003148D"/>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03148D"/>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03148D"/>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03148D"/>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03148D"/>
    <w:rPr>
      <w:rFonts w:asciiTheme="majorHAnsi" w:eastAsiaTheme="majorEastAsia" w:hAnsiTheme="majorHAnsi" w:cstheme="majorBidi"/>
      <w:i/>
      <w:iCs/>
      <w:color w:val="404040" w:themeColor="text1" w:themeTint="BF"/>
      <w:sz w:val="20"/>
      <w:szCs w:val="20"/>
    </w:rPr>
  </w:style>
  <w:style w:type="paragraph" w:styleId="Ttulodendice">
    <w:name w:val="index heading"/>
    <w:basedOn w:val="Normal"/>
    <w:next w:val="ndice1"/>
    <w:uiPriority w:val="99"/>
    <w:semiHidden/>
    <w:unhideWhenUsed/>
    <w:rsid w:val="0003148D"/>
    <w:rPr>
      <w:rFonts w:asciiTheme="majorHAnsi" w:eastAsiaTheme="majorEastAsia" w:hAnsiTheme="majorHAnsi" w:cstheme="majorBidi"/>
      <w:b/>
      <w:bCs/>
    </w:rPr>
  </w:style>
  <w:style w:type="paragraph" w:styleId="Encabezadodelista">
    <w:name w:val="toa heading"/>
    <w:basedOn w:val="Normal"/>
    <w:next w:val="Normal"/>
    <w:uiPriority w:val="99"/>
    <w:semiHidden/>
    <w:unhideWhenUsed/>
    <w:rsid w:val="0003148D"/>
    <w:pPr>
      <w:spacing w:before="120"/>
    </w:pPr>
    <w:rPr>
      <w:rFonts w:asciiTheme="majorHAnsi" w:eastAsiaTheme="majorEastAsia" w:hAnsiTheme="majorHAnsi" w:cstheme="majorBidi"/>
      <w:b/>
      <w:bCs/>
      <w:sz w:val="24"/>
      <w:szCs w:val="24"/>
    </w:rPr>
  </w:style>
  <w:style w:type="paragraph" w:styleId="TtuloTDC">
    <w:name w:val="TOC Heading"/>
    <w:basedOn w:val="Ttulo1"/>
    <w:next w:val="Normal"/>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Fuentedeprrafopredeter"/>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Encabezado">
    <w:name w:val="header"/>
    <w:basedOn w:val="Normal"/>
    <w:link w:val="EncabezadoCar"/>
    <w:uiPriority w:val="99"/>
    <w:unhideWhenUsed/>
    <w:rsid w:val="005278B7"/>
    <w:pPr>
      <w:tabs>
        <w:tab w:val="clear" w:pos="7100"/>
        <w:tab w:val="center" w:pos="4819"/>
        <w:tab w:val="right" w:pos="9638"/>
      </w:tabs>
      <w:spacing w:line="240" w:lineRule="auto"/>
    </w:pPr>
  </w:style>
  <w:style w:type="character" w:customStyle="1" w:styleId="EncabezadoCar">
    <w:name w:val="Encabezado Car"/>
    <w:basedOn w:val="Fuentedeprrafopredeter"/>
    <w:link w:val="Encabezado"/>
    <w:uiPriority w:val="99"/>
    <w:rsid w:val="005278B7"/>
    <w:rPr>
      <w:rFonts w:ascii="Arial" w:eastAsia="Times New Roman" w:hAnsi="Arial" w:cs="Times New Roman"/>
      <w:sz w:val="18"/>
      <w:szCs w:val="20"/>
      <w:lang w:val="en-GB"/>
    </w:rPr>
  </w:style>
  <w:style w:type="paragraph" w:styleId="Piedepgina">
    <w:name w:val="footer"/>
    <w:basedOn w:val="Normal"/>
    <w:link w:val="PiedepginaCar"/>
    <w:uiPriority w:val="99"/>
    <w:unhideWhenUsed/>
    <w:rsid w:val="005278B7"/>
    <w:pPr>
      <w:tabs>
        <w:tab w:val="clear" w:pos="7100"/>
        <w:tab w:val="center" w:pos="4819"/>
        <w:tab w:val="right" w:pos="9638"/>
      </w:tabs>
      <w:spacing w:line="240" w:lineRule="auto"/>
    </w:pPr>
  </w:style>
  <w:style w:type="character" w:customStyle="1" w:styleId="PiedepginaCar">
    <w:name w:val="Pie de página Car"/>
    <w:basedOn w:val="Fuentedeprrafopredeter"/>
    <w:link w:val="Piedepgina"/>
    <w:uiPriority w:val="99"/>
    <w:rsid w:val="005278B7"/>
    <w:rPr>
      <w:rFonts w:ascii="Arial" w:eastAsia="Times New Roman" w:hAnsi="Arial" w:cs="Times New Roman"/>
      <w:sz w:val="18"/>
      <w:szCs w:val="20"/>
      <w:lang w:val="en-GB"/>
    </w:rPr>
  </w:style>
  <w:style w:type="table" w:styleId="Tablaconcuadrcula">
    <w:name w:val="Table Grid"/>
    <w:basedOn w:val="Tablanormal"/>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904C62"/>
    <w:rPr>
      <w:color w:val="0000FF" w:themeColor="hyperlink"/>
      <w:u w:val="single"/>
    </w:rPr>
  </w:style>
  <w:style w:type="character" w:customStyle="1" w:styleId="eudoraheader">
    <w:name w:val="eudoraheader"/>
    <w:basedOn w:val="Fuentedeprrafopredeter"/>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Prrafodelista">
    <w:name w:val="List Paragraph"/>
    <w:basedOn w:val="Normal"/>
    <w:uiPriority w:val="34"/>
    <w:rsid w:val="00280FAF"/>
    <w:pPr>
      <w:ind w:left="720"/>
      <w:contextualSpacing/>
    </w:pPr>
  </w:style>
  <w:style w:type="character" w:customStyle="1" w:styleId="gmail-apple-converted-space">
    <w:name w:val="gmail-apple-converted-space"/>
    <w:basedOn w:val="Fuentedeprrafopredeter"/>
    <w:rsid w:val="00005A19"/>
  </w:style>
  <w:style w:type="table" w:customStyle="1" w:styleId="Tablaconcuadrcula1">
    <w:name w:val="Tabla con cuadrícula1"/>
    <w:basedOn w:val="Tablanormal"/>
    <w:next w:val="Tablaconcuadrcula"/>
    <w:uiPriority w:val="39"/>
    <w:rsid w:val="0055723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814C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681295">
      <w:bodyDiv w:val="1"/>
      <w:marLeft w:val="0"/>
      <w:marRight w:val="0"/>
      <w:marTop w:val="0"/>
      <w:marBottom w:val="0"/>
      <w:divBdr>
        <w:top w:val="none" w:sz="0" w:space="0" w:color="auto"/>
        <w:left w:val="none" w:sz="0" w:space="0" w:color="auto"/>
        <w:bottom w:val="none" w:sz="0" w:space="0" w:color="auto"/>
        <w:right w:val="none" w:sz="0" w:space="0" w:color="auto"/>
      </w:divBdr>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0740B-91B2-45B7-9065-99F3B3CE7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2181</TotalTime>
  <Pages>6</Pages>
  <Words>4245</Words>
  <Characters>23353</Characters>
  <Application>Microsoft Office Word</Application>
  <DocSecurity>0</DocSecurity>
  <Lines>194</Lines>
  <Paragraphs>55</Paragraphs>
  <ScaleCrop>false</ScaleCrop>
  <HeadingPairs>
    <vt:vector size="6" baseType="variant">
      <vt:variant>
        <vt:lpstr>Título</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Dipartimento CMIC - Politecnico di Milano</Company>
  <LinksUpToDate>false</LinksUpToDate>
  <CharactersWithSpaces>27543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NICOLAS CABRERA</cp:lastModifiedBy>
  <cp:revision>1167</cp:revision>
  <cp:lastPrinted>2015-05-12T18:31:00Z</cp:lastPrinted>
  <dcterms:created xsi:type="dcterms:W3CDTF">2025-12-15T13:40:00Z</dcterms:created>
  <dcterms:modified xsi:type="dcterms:W3CDTF">2026-03-19T15:35:00Z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ies>
</file>