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57FDD1D4" w14:textId="77777777" w:rsidTr="00AC6C0E">
        <w:trPr>
          <w:trHeight w:val="852"/>
          <w:jc w:val="center"/>
        </w:trPr>
        <w:tc>
          <w:tcPr>
            <w:tcW w:w="6940" w:type="dxa"/>
            <w:vMerge w:val="restart"/>
            <w:tcBorders>
              <w:right w:val="single" w:sz="4" w:space="0" w:color="auto"/>
            </w:tcBorders>
          </w:tcPr>
          <w:p w14:paraId="28D0BCF6" w14:textId="01D058D2"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fr-FR" w:eastAsia="fr-FR"/>
              </w:rPr>
              <w:drawing>
                <wp:inline distT="0" distB="0" distL="0" distR="0" wp14:anchorId="438DD95D" wp14:editId="33D8A79E">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cs="Arial"/>
                <w:b/>
                <w:bCs/>
                <w:i/>
                <w:iCs/>
                <w:color w:val="000066"/>
                <w:sz w:val="24"/>
                <w:szCs w:val="24"/>
                <w:lang w:eastAsia="it-IT"/>
              </w:rPr>
              <w:t>CHEMICAL ENGINEERING</w:t>
            </w:r>
            <w:r w:rsidR="00484A7E">
              <w:rPr>
                <w:rFonts w:cs="Arial"/>
                <w:b/>
                <w:bCs/>
                <w:i/>
                <w:iCs/>
                <w:color w:val="000066"/>
                <w:sz w:val="24"/>
                <w:szCs w:val="24"/>
                <w:lang w:eastAsia="it-IT"/>
              </w:rPr>
              <w:t xml:space="preserve"> </w:t>
            </w:r>
            <w:r w:rsidRPr="00B57B36">
              <w:rPr>
                <w:rFonts w:cs="Arial"/>
                <w:b/>
                <w:bCs/>
                <w:i/>
                <w:iCs/>
                <w:color w:val="666666"/>
                <w:sz w:val="24"/>
                <w:szCs w:val="24"/>
                <w:lang w:eastAsia="it-IT"/>
              </w:rPr>
              <w:t>TRANSACTIONS</w:t>
            </w:r>
            <w:r w:rsidRPr="00B57B36">
              <w:rPr>
                <w:rFonts w:cs="Arial"/>
                <w:b/>
                <w:bCs/>
                <w:i/>
                <w:iCs/>
                <w:color w:val="000066"/>
                <w:sz w:val="27"/>
                <w:szCs w:val="27"/>
                <w:lang w:eastAsia="it-IT"/>
              </w:rPr>
              <w:br/>
            </w:r>
          </w:p>
          <w:p w14:paraId="6AEDF0D9" w14:textId="30EC1D8C"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484A7E">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453D999C"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673ADB59" w14:textId="77777777" w:rsidR="000A03B2" w:rsidRPr="00B57B36" w:rsidRDefault="000A03B2" w:rsidP="00CD5FE2">
            <w:pPr>
              <w:jc w:val="right"/>
            </w:pPr>
            <w:r w:rsidRPr="00B57B36">
              <w:rPr>
                <w:noProof/>
                <w:lang w:val="fr-FR" w:eastAsia="fr-FR"/>
              </w:rPr>
              <w:drawing>
                <wp:inline distT="0" distB="0" distL="0" distR="0" wp14:anchorId="19A32248" wp14:editId="2266DB61">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3096B72" w14:textId="77777777" w:rsidTr="00AC6C0E">
        <w:trPr>
          <w:trHeight w:val="567"/>
          <w:jc w:val="center"/>
        </w:trPr>
        <w:tc>
          <w:tcPr>
            <w:tcW w:w="6940" w:type="dxa"/>
            <w:vMerge/>
            <w:tcBorders>
              <w:right w:val="single" w:sz="4" w:space="0" w:color="auto"/>
            </w:tcBorders>
          </w:tcPr>
          <w:p w14:paraId="3F678C74"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02842133"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21FA59F3"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1C599081" w14:textId="77777777"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4F18D101" w14:textId="77777777" w:rsidTr="00AC6C0E">
        <w:trPr>
          <w:trHeight w:val="68"/>
          <w:jc w:val="center"/>
        </w:trPr>
        <w:tc>
          <w:tcPr>
            <w:tcW w:w="8782" w:type="dxa"/>
            <w:gridSpan w:val="2"/>
          </w:tcPr>
          <w:p w14:paraId="0B6BD24E" w14:textId="15CB7359" w:rsidR="00AA7D26" w:rsidRPr="00EA3EF9" w:rsidRDefault="00C66970" w:rsidP="004A5E57">
            <w:pPr>
              <w:ind w:left="-107"/>
              <w:outlineLvl w:val="2"/>
              <w:rPr>
                <w:rFonts w:ascii="Tahoma" w:hAnsi="Tahoma" w:cs="Tahoma"/>
                <w:bCs/>
                <w:color w:val="000000"/>
                <w:sz w:val="14"/>
                <w:szCs w:val="14"/>
                <w:lang w:val="it-IT" w:eastAsia="it-IT"/>
              </w:rPr>
            </w:pPr>
            <w:r>
              <w:rPr>
                <w:rFonts w:ascii="Tahoma" w:hAnsi="Tahoma" w:cs="Tahoma"/>
                <w:iCs/>
                <w:color w:val="333333"/>
                <w:sz w:val="14"/>
                <w:szCs w:val="14"/>
                <w:lang w:val="it-IT" w:eastAsia="it-IT"/>
              </w:rPr>
              <w:t xml:space="preserve">Guest Editors: </w:t>
            </w:r>
            <w:r w:rsidR="00EA3EF9" w:rsidRPr="00EA3EF9">
              <w:rPr>
                <w:rFonts w:ascii="Tahoma" w:hAnsi="Tahoma" w:cs="Tahoma"/>
                <w:color w:val="000000"/>
                <w:sz w:val="14"/>
                <w:szCs w:val="14"/>
                <w:shd w:val="clear" w:color="auto" w:fill="FFFFFF"/>
                <w:lang w:val="it-IT"/>
              </w:rPr>
              <w:t xml:space="preserve">Leonardo Tognotti, </w:t>
            </w:r>
            <w:r w:rsidR="00EA3EF9" w:rsidRPr="00EA3EF9">
              <w:rPr>
                <w:rFonts w:ascii="Tahoma" w:hAnsi="Tahoma" w:cs="Tahoma"/>
                <w:color w:val="000000"/>
                <w:sz w:val="14"/>
                <w:szCs w:val="14"/>
                <w:lang w:val="it-IT"/>
              </w:rPr>
              <w:t>Rubens Maciel Filho</w:t>
            </w:r>
            <w:r w:rsidR="00EA3EF9"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lang w:val="it-IT"/>
              </w:rPr>
              <w:t>Viatcheslav Kafarov</w:t>
            </w:r>
          </w:p>
          <w:p w14:paraId="426F9E4D" w14:textId="6D36529C"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w:t>
            </w:r>
            <w:r w:rsidR="00484A7E">
              <w:rPr>
                <w:rFonts w:ascii="Tahoma" w:hAnsi="Tahoma" w:cs="Tahoma"/>
                <w:iCs/>
                <w:color w:val="333333"/>
                <w:sz w:val="14"/>
                <w:szCs w:val="14"/>
                <w:lang w:eastAsia="it-IT"/>
              </w:rPr>
              <w:t xml:space="preserve"> </w:t>
            </w:r>
            <w:r w:rsidRPr="00B57B36">
              <w:rPr>
                <w:rFonts w:ascii="Tahoma" w:hAnsi="Tahoma" w:cs="Tahoma"/>
                <w:iCs/>
                <w:color w:val="333333"/>
                <w:sz w:val="14"/>
                <w:szCs w:val="14"/>
                <w:lang w:eastAsia="it-IT"/>
              </w:rPr>
              <w:t>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0616F5D3" w14:textId="77777777" w:rsidR="00E978D0" w:rsidRPr="00B57B36" w:rsidRDefault="00AC6C0E" w:rsidP="00AC6C0E">
      <w:pPr>
        <w:pStyle w:val="CETTitle"/>
      </w:pPr>
      <w:r>
        <w:t>Application of Deep Eutectic Solvents in the Extractive Distillation of Water and Ethanol Using a Rotary Evaporator</w:t>
      </w:r>
    </w:p>
    <w:p w14:paraId="39E146B1" w14:textId="57B2CF87" w:rsidR="00B57E6F" w:rsidRPr="00F2097D" w:rsidRDefault="00AC6C0E" w:rsidP="00AC6C0E">
      <w:pPr>
        <w:pStyle w:val="CETAuthors"/>
        <w:rPr>
          <w:lang w:val="pt-BR"/>
        </w:rPr>
      </w:pPr>
      <w:r w:rsidRPr="00F2097D">
        <w:rPr>
          <w:lang w:val="pt-BR"/>
        </w:rPr>
        <w:t xml:space="preserve">Júlia M. Arantes*, </w:t>
      </w:r>
      <w:r w:rsidR="00484A7E">
        <w:rPr>
          <w:lang w:val="pt-BR"/>
        </w:rPr>
        <w:t xml:space="preserve">Sofia S. Kyriazi, Maria R. </w:t>
      </w:r>
      <w:r w:rsidRPr="00F2097D">
        <w:rPr>
          <w:lang w:val="pt-BR"/>
        </w:rPr>
        <w:t>W</w:t>
      </w:r>
      <w:r w:rsidR="00AD5FB2">
        <w:rPr>
          <w:lang w:val="pt-BR"/>
        </w:rPr>
        <w:t>.</w:t>
      </w:r>
      <w:r w:rsidR="00484A7E">
        <w:rPr>
          <w:lang w:val="pt-BR"/>
        </w:rPr>
        <w:t xml:space="preserve"> Maciel, Maria I. R. B. Schiavon, Aulus R.</w:t>
      </w:r>
      <w:r w:rsidRPr="00F2097D">
        <w:rPr>
          <w:lang w:val="pt-BR"/>
        </w:rPr>
        <w:t xml:space="preserve"> R. Bineli, Bianca R. Estevam, Rubens M</w:t>
      </w:r>
      <w:r w:rsidR="00AD5FB2">
        <w:rPr>
          <w:lang w:val="pt-BR"/>
        </w:rPr>
        <w:t>.</w:t>
      </w:r>
      <w:r w:rsidRPr="00F2097D">
        <w:rPr>
          <w:lang w:val="pt-BR"/>
        </w:rPr>
        <w:t xml:space="preserve"> Filho</w:t>
      </w:r>
      <w:r w:rsidR="00484A7E">
        <w:rPr>
          <w:lang w:val="pt-BR"/>
        </w:rPr>
        <w:t xml:space="preserve">  </w:t>
      </w:r>
    </w:p>
    <w:p w14:paraId="1261C022" w14:textId="1808D3CC" w:rsidR="00B57E6F" w:rsidRPr="00B57B36" w:rsidRDefault="00AC6C0E" w:rsidP="00AC6C0E">
      <w:pPr>
        <w:pStyle w:val="CETAddress"/>
      </w:pPr>
      <w:r>
        <w:t xml:space="preserve">Universidade Estadual de Campinas (UNICAMP), School of Chemical </w:t>
      </w:r>
      <w:r w:rsidR="0032481E">
        <w:t>Engineering</w:t>
      </w:r>
      <w:r w:rsidR="00484A7E">
        <w:t>, Campinas, SP, Braz</w:t>
      </w:r>
      <w:r>
        <w:t>il</w:t>
      </w:r>
    </w:p>
    <w:p w14:paraId="4B1484EF" w14:textId="77777777" w:rsidR="00B57E6F" w:rsidRPr="00C66970" w:rsidRDefault="00AC6C0E" w:rsidP="00B57E6F">
      <w:pPr>
        <w:pStyle w:val="CETemail"/>
      </w:pPr>
      <w:bookmarkStart w:id="1" w:name="_Hlk220580047"/>
      <w:r w:rsidRPr="00C66970">
        <w:t xml:space="preserve">juliamacielarantes22@gmail.com </w:t>
      </w:r>
    </w:p>
    <w:p w14:paraId="6D3CA195" w14:textId="331F43B8" w:rsidR="00A50A9C" w:rsidRDefault="004A4955" w:rsidP="00443479">
      <w:pPr>
        <w:pStyle w:val="CETBodytext"/>
        <w:rPr>
          <w:lang w:val="en-GB"/>
        </w:rPr>
      </w:pPr>
      <w:r w:rsidRPr="004A4955">
        <w:rPr>
          <w:lang w:val="en-GB"/>
        </w:rPr>
        <w:t xml:space="preserve">This research investigates the use of Choline Chloride and Lactic Acid-based (ChCl:LA) Deep Eutectic Solvents (DES) to </w:t>
      </w:r>
      <w:r w:rsidR="00883755">
        <w:rPr>
          <w:lang w:val="en-GB"/>
        </w:rPr>
        <w:t>overcome</w:t>
      </w:r>
      <w:r w:rsidR="005A4904">
        <w:rPr>
          <w:lang w:val="en-GB"/>
        </w:rPr>
        <w:t xml:space="preserve"> thermodynamic limitations</w:t>
      </w:r>
      <w:r w:rsidRPr="004A4955">
        <w:rPr>
          <w:lang w:val="en-GB"/>
        </w:rPr>
        <w:t xml:space="preserve"> </w:t>
      </w:r>
      <w:r w:rsidR="0076013F">
        <w:rPr>
          <w:lang w:val="en-GB"/>
        </w:rPr>
        <w:t>in</w:t>
      </w:r>
      <w:r w:rsidRPr="004A4955">
        <w:rPr>
          <w:lang w:val="en-GB"/>
        </w:rPr>
        <w:t xml:space="preserve"> water-ethanol mixtures</w:t>
      </w:r>
      <w:r w:rsidR="0076013F">
        <w:rPr>
          <w:lang w:val="en-GB"/>
        </w:rPr>
        <w:t xml:space="preserve"> separation</w:t>
      </w:r>
      <w:r w:rsidRPr="004A4955">
        <w:rPr>
          <w:lang w:val="en-GB"/>
        </w:rPr>
        <w:t xml:space="preserve"> using a rotary evaporator</w:t>
      </w:r>
      <w:r w:rsidR="0076013F">
        <w:rPr>
          <w:lang w:val="en-GB"/>
        </w:rPr>
        <w:t xml:space="preserve"> </w:t>
      </w:r>
      <w:r w:rsidRPr="004A4955">
        <w:rPr>
          <w:lang w:val="en-GB"/>
        </w:rPr>
        <w:t>under reduced pressure</w:t>
      </w:r>
      <w:r w:rsidR="0076013F">
        <w:rPr>
          <w:lang w:val="en-GB"/>
        </w:rPr>
        <w:t>. It</w:t>
      </w:r>
      <w:r w:rsidRPr="004A4955">
        <w:rPr>
          <w:lang w:val="en-GB"/>
        </w:rPr>
        <w:t xml:space="preserve"> </w:t>
      </w:r>
      <w:r>
        <w:rPr>
          <w:lang w:val="en-GB"/>
        </w:rPr>
        <w:t>addresses</w:t>
      </w:r>
      <w:r w:rsidRPr="004A4955">
        <w:rPr>
          <w:lang w:val="en-GB"/>
        </w:rPr>
        <w:t xml:space="preserve"> batch </w:t>
      </w:r>
      <w:r>
        <w:rPr>
          <w:lang w:val="en-GB"/>
        </w:rPr>
        <w:t>single</w:t>
      </w:r>
      <w:r w:rsidRPr="004A4955">
        <w:rPr>
          <w:lang w:val="en-GB"/>
        </w:rPr>
        <w:t xml:space="preserve">-stage extractive distillation </w:t>
      </w:r>
      <w:r w:rsidR="0076013F">
        <w:rPr>
          <w:lang w:val="en-GB"/>
        </w:rPr>
        <w:t>on a laboratory scale</w:t>
      </w:r>
      <w:r w:rsidRPr="004A4955">
        <w:rPr>
          <w:lang w:val="en-GB"/>
        </w:rPr>
        <w:t xml:space="preserve"> and explores operational parameters, including molar ratio (1:2</w:t>
      </w:r>
      <w:r w:rsidR="00AD5FB2">
        <w:rPr>
          <w:lang w:val="en-GB"/>
        </w:rPr>
        <w:t xml:space="preserve">, </w:t>
      </w:r>
      <w:r w:rsidRPr="004A4955">
        <w:rPr>
          <w:lang w:val="en-GB"/>
        </w:rPr>
        <w:t>1:1.5), bath temperature (60-65</w:t>
      </w:r>
      <w:r w:rsidR="006F6043">
        <w:rPr>
          <w:lang w:val="en-GB"/>
        </w:rPr>
        <w:t xml:space="preserve"> </w:t>
      </w:r>
      <w:r w:rsidRPr="004A4955">
        <w:rPr>
          <w:lang w:val="en-GB"/>
        </w:rPr>
        <w:t>°C), vacuum pressure (100-150 mbar), and chiller temperature (15-20</w:t>
      </w:r>
      <w:r w:rsidR="006F6043">
        <w:rPr>
          <w:lang w:val="en-GB"/>
        </w:rPr>
        <w:t xml:space="preserve"> </w:t>
      </w:r>
      <w:r w:rsidRPr="004A4955">
        <w:rPr>
          <w:lang w:val="en-GB"/>
        </w:rPr>
        <w:t xml:space="preserve">°C). Separation efficiency was quantified by Karl Fischer titration, density, pH, and Ford Cup viscosity measurements. </w:t>
      </w:r>
      <w:r w:rsidR="007B3FBA">
        <w:rPr>
          <w:lang w:val="en-GB"/>
        </w:rPr>
        <w:t>T</w:t>
      </w:r>
      <w:r w:rsidRPr="004A4955">
        <w:rPr>
          <w:lang w:val="en-GB"/>
        </w:rPr>
        <w:t>he DES ChCl:LA</w:t>
      </w:r>
      <w:r>
        <w:rPr>
          <w:lang w:val="en-GB"/>
        </w:rPr>
        <w:t>(</w:t>
      </w:r>
      <w:r w:rsidRPr="004A4955">
        <w:rPr>
          <w:lang w:val="en-GB"/>
        </w:rPr>
        <w:t>1:1.5</w:t>
      </w:r>
      <w:r>
        <w:rPr>
          <w:lang w:val="en-GB"/>
        </w:rPr>
        <w:t>)</w:t>
      </w:r>
      <w:r w:rsidR="00AD5FB2">
        <w:rPr>
          <w:lang w:val="en-GB"/>
        </w:rPr>
        <w:t xml:space="preserve"> showed improved</w:t>
      </w:r>
      <w:r w:rsidRPr="004A4955">
        <w:rPr>
          <w:lang w:val="en-GB"/>
        </w:rPr>
        <w:t xml:space="preserve"> performance, reducing distillate water content from </w:t>
      </w:r>
      <w:r w:rsidR="00DD4273">
        <w:rPr>
          <w:lang w:val="en-GB"/>
        </w:rPr>
        <w:t>66</w:t>
      </w:r>
      <w:r w:rsidR="006F6043">
        <w:rPr>
          <w:lang w:val="en-GB"/>
        </w:rPr>
        <w:t xml:space="preserve"> </w:t>
      </w:r>
      <w:r w:rsidRPr="004A4955">
        <w:rPr>
          <w:lang w:val="en-GB"/>
        </w:rPr>
        <w:t>%</w:t>
      </w:r>
      <w:r w:rsidR="00DD4273">
        <w:rPr>
          <w:lang w:val="en-GB"/>
        </w:rPr>
        <w:t xml:space="preserve"> (feed)</w:t>
      </w:r>
      <w:r w:rsidRPr="004A4955">
        <w:rPr>
          <w:lang w:val="en-GB"/>
        </w:rPr>
        <w:t xml:space="preserve"> to 26.33</w:t>
      </w:r>
      <w:r w:rsidR="006F6043">
        <w:rPr>
          <w:lang w:val="en-GB"/>
        </w:rPr>
        <w:t xml:space="preserve"> </w:t>
      </w:r>
      <w:r w:rsidRPr="004A4955">
        <w:rPr>
          <w:lang w:val="en-GB"/>
        </w:rPr>
        <w:t>% at 60</w:t>
      </w:r>
      <w:r w:rsidR="006F6043">
        <w:rPr>
          <w:lang w:val="en-GB"/>
        </w:rPr>
        <w:t xml:space="preserve"> </w:t>
      </w:r>
      <w:r w:rsidRPr="004A4955">
        <w:rPr>
          <w:lang w:val="en-GB"/>
        </w:rPr>
        <w:t>°C and 150 mbar</w:t>
      </w:r>
      <w:r w:rsidR="00DD4273">
        <w:rPr>
          <w:lang w:val="en-GB"/>
        </w:rPr>
        <w:t xml:space="preserve">, </w:t>
      </w:r>
      <w:r w:rsidR="00DD4273">
        <w:t xml:space="preserve">in a single stage, representing an ethanol enrichment of </w:t>
      </w:r>
      <w:r w:rsidR="006532F0">
        <w:t>~</w:t>
      </w:r>
      <w:r w:rsidR="00DD4273">
        <w:t>115</w:t>
      </w:r>
      <w:r w:rsidR="006F6043">
        <w:t xml:space="preserve"> </w:t>
      </w:r>
      <w:r w:rsidR="00DD4273">
        <w:t>%</w:t>
      </w:r>
      <w:r w:rsidRPr="004A4955">
        <w:rPr>
          <w:lang w:val="en-GB"/>
        </w:rPr>
        <w:t>. Lower</w:t>
      </w:r>
      <w:r w:rsidR="007B3FBA">
        <w:rPr>
          <w:lang w:val="en-GB"/>
        </w:rPr>
        <w:t>ing the</w:t>
      </w:r>
      <w:r w:rsidRPr="004A4955">
        <w:rPr>
          <w:lang w:val="en-GB"/>
        </w:rPr>
        <w:t xml:space="preserve"> bath temperature </w:t>
      </w:r>
      <w:r w:rsidR="00AD5FB2">
        <w:rPr>
          <w:lang w:val="en-GB"/>
        </w:rPr>
        <w:t>was associated with higher</w:t>
      </w:r>
      <w:r w:rsidRPr="004A4955">
        <w:rPr>
          <w:lang w:val="en-GB"/>
        </w:rPr>
        <w:t xml:space="preserve"> ethanol purity by maximizing the vapor pressure difference between ethanol and the DES-water complex. Conversely, excessive vacuum (100 mbar) or higher chiller temperatures (20</w:t>
      </w:r>
      <w:r w:rsidR="006F6043">
        <w:rPr>
          <w:lang w:val="en-GB"/>
        </w:rPr>
        <w:t xml:space="preserve"> </w:t>
      </w:r>
      <w:r w:rsidRPr="004A4955">
        <w:rPr>
          <w:lang w:val="en-GB"/>
        </w:rPr>
        <w:t>°C) negatively impacted efficiency due to water carryover or incomplete co</w:t>
      </w:r>
      <w:r w:rsidR="006771E5">
        <w:rPr>
          <w:lang w:val="en-GB"/>
        </w:rPr>
        <w:t xml:space="preserve">ndensation. The residue high density (&gt; </w:t>
      </w:r>
      <w:r w:rsidRPr="004A4955">
        <w:rPr>
          <w:lang w:val="en-GB"/>
        </w:rPr>
        <w:t xml:space="preserve">1.07 g/cm³), </w:t>
      </w:r>
      <w:r>
        <w:rPr>
          <w:lang w:val="en-GB"/>
        </w:rPr>
        <w:t>increased</w:t>
      </w:r>
      <w:r w:rsidRPr="004A4955">
        <w:rPr>
          <w:lang w:val="en-GB"/>
        </w:rPr>
        <w:t xml:space="preserve"> viscosity, greenish coloration, and low pH (0.</w:t>
      </w:r>
      <w:r w:rsidR="006771E5">
        <w:rPr>
          <w:lang w:val="en-GB"/>
        </w:rPr>
        <w:t xml:space="preserve">5-1.5) </w:t>
      </w:r>
      <w:r w:rsidR="00AD5FB2">
        <w:rPr>
          <w:lang w:val="en-GB"/>
        </w:rPr>
        <w:t xml:space="preserve">suggested </w:t>
      </w:r>
      <w:r w:rsidR="006771E5">
        <w:rPr>
          <w:lang w:val="en-GB"/>
        </w:rPr>
        <w:t xml:space="preserve">partial water sequestration by </w:t>
      </w:r>
      <w:r w:rsidRPr="004A4955">
        <w:rPr>
          <w:lang w:val="en-GB"/>
        </w:rPr>
        <w:t>DES</w:t>
      </w:r>
      <w:r w:rsidR="00883755">
        <w:rPr>
          <w:lang w:val="en-GB"/>
        </w:rPr>
        <w:t xml:space="preserve">. </w:t>
      </w:r>
      <w:r>
        <w:rPr>
          <w:lang w:val="en-GB"/>
        </w:rPr>
        <w:t>Meanwhile</w:t>
      </w:r>
      <w:r w:rsidRPr="004A4955">
        <w:rPr>
          <w:lang w:val="en-GB"/>
        </w:rPr>
        <w:t>, t</w:t>
      </w:r>
      <w:r w:rsidR="00C66970">
        <w:rPr>
          <w:lang w:val="en-GB"/>
        </w:rPr>
        <w:t>he distillate appeared colorless</w:t>
      </w:r>
      <w:r w:rsidRPr="004A4955">
        <w:rPr>
          <w:lang w:val="en-GB"/>
        </w:rPr>
        <w:t xml:space="preserve">, </w:t>
      </w:r>
      <w:r>
        <w:rPr>
          <w:lang w:val="en-GB"/>
        </w:rPr>
        <w:t>with</w:t>
      </w:r>
      <w:r w:rsidRPr="004A4955">
        <w:rPr>
          <w:lang w:val="en-GB"/>
        </w:rPr>
        <w:t xml:space="preserve"> lower viscosity</w:t>
      </w:r>
      <w:r w:rsidR="006532F0">
        <w:rPr>
          <w:lang w:val="en-GB"/>
        </w:rPr>
        <w:t xml:space="preserve"> </w:t>
      </w:r>
      <w:r w:rsidRPr="004A4955">
        <w:rPr>
          <w:lang w:val="en-GB"/>
        </w:rPr>
        <w:t>and pH clos</w:t>
      </w:r>
      <w:r w:rsidR="00AD5FB2">
        <w:rPr>
          <w:lang w:val="en-GB"/>
        </w:rPr>
        <w:t>er to that of pure ethanol. These</w:t>
      </w:r>
      <w:r w:rsidRPr="004A4955">
        <w:rPr>
          <w:lang w:val="en-GB"/>
        </w:rPr>
        <w:t xml:space="preserve"> </w:t>
      </w:r>
      <w:r w:rsidR="00AD5FB2">
        <w:rPr>
          <w:lang w:val="en-GB"/>
        </w:rPr>
        <w:t>results suggest</w:t>
      </w:r>
      <w:r w:rsidRPr="004A4955">
        <w:rPr>
          <w:lang w:val="en-GB"/>
        </w:rPr>
        <w:t xml:space="preserve"> that </w:t>
      </w:r>
      <w:r w:rsidR="007B3FBA">
        <w:rPr>
          <w:lang w:val="en-GB"/>
        </w:rPr>
        <w:t xml:space="preserve">the </w:t>
      </w:r>
      <w:r w:rsidRPr="004A4955">
        <w:rPr>
          <w:lang w:val="en-GB"/>
        </w:rPr>
        <w:t xml:space="preserve">DES ChCl:LA (1:1.5) </w:t>
      </w:r>
      <w:r w:rsidR="00AD5FB2">
        <w:rPr>
          <w:lang w:val="en-GB"/>
        </w:rPr>
        <w:t xml:space="preserve">may act </w:t>
      </w:r>
      <w:r w:rsidR="007B3FBA">
        <w:rPr>
          <w:lang w:val="en-GB"/>
        </w:rPr>
        <w:t>as a non-volatile solvent</w:t>
      </w:r>
      <w:r w:rsidRPr="004A4955">
        <w:rPr>
          <w:lang w:val="en-GB"/>
        </w:rPr>
        <w:t xml:space="preserve"> for bioethanol purification after optimiz</w:t>
      </w:r>
      <w:r>
        <w:rPr>
          <w:lang w:val="en-GB"/>
        </w:rPr>
        <w:t>ing</w:t>
      </w:r>
      <w:r w:rsidRPr="004A4955">
        <w:rPr>
          <w:lang w:val="en-GB"/>
        </w:rPr>
        <w:t xml:space="preserve"> process parameters, providing a biodegradable and sustainable pathway for breaking the water-ethanol </w:t>
      </w:r>
      <w:r w:rsidR="00DD4273">
        <w:rPr>
          <w:lang w:val="en-GB"/>
        </w:rPr>
        <w:t>binary system</w:t>
      </w:r>
      <w:r w:rsidRPr="004A4955">
        <w:rPr>
          <w:lang w:val="en-GB"/>
        </w:rPr>
        <w:t>.</w:t>
      </w:r>
    </w:p>
    <w:p w14:paraId="4A0FCC63" w14:textId="77777777" w:rsidR="00600535" w:rsidRPr="003D638D" w:rsidRDefault="00600535" w:rsidP="004731EB">
      <w:pPr>
        <w:pStyle w:val="CETHeading1"/>
        <w:numPr>
          <w:ilvl w:val="0"/>
          <w:numId w:val="35"/>
        </w:numPr>
        <w:ind w:left="284" w:hanging="284"/>
        <w:rPr>
          <w:lang w:val="en-GB"/>
        </w:rPr>
      </w:pPr>
      <w:r w:rsidRPr="003D638D">
        <w:rPr>
          <w:lang w:val="en-GB"/>
        </w:rPr>
        <w:t>Introduction</w:t>
      </w:r>
    </w:p>
    <w:p w14:paraId="5B20C429" w14:textId="4467D0FB" w:rsidR="00A50A9C" w:rsidRDefault="009D7877" w:rsidP="00600535">
      <w:pPr>
        <w:pStyle w:val="CETBodytext"/>
        <w:rPr>
          <w:lang w:val="en-GB"/>
        </w:rPr>
      </w:pPr>
      <w:r w:rsidRPr="009D7877">
        <w:rPr>
          <w:lang w:val="en-GB"/>
        </w:rPr>
        <w:t>Energy production from fossil fuels has raised concerns</w:t>
      </w:r>
      <w:r w:rsidR="0076013F">
        <w:rPr>
          <w:lang w:val="en-GB"/>
        </w:rPr>
        <w:t xml:space="preserve"> around the world</w:t>
      </w:r>
      <w:r w:rsidRPr="009D7877">
        <w:rPr>
          <w:lang w:val="en-GB"/>
        </w:rPr>
        <w:t xml:space="preserve">, mainly due to the </w:t>
      </w:r>
      <w:r w:rsidR="0076013F">
        <w:rPr>
          <w:lang w:val="en-GB"/>
        </w:rPr>
        <w:t>high</w:t>
      </w:r>
      <w:r w:rsidR="0076013F" w:rsidRPr="009D7877">
        <w:rPr>
          <w:lang w:val="en-GB"/>
        </w:rPr>
        <w:t xml:space="preserve"> </w:t>
      </w:r>
      <w:r w:rsidRPr="009D7877">
        <w:rPr>
          <w:lang w:val="en-GB"/>
        </w:rPr>
        <w:t>costs of petroleum and its derivatives and the pollution generated during their processing. Consequently, the search for renewable energy sources is increasing</w:t>
      </w:r>
      <w:r w:rsidR="0076013F">
        <w:rPr>
          <w:lang w:val="en-GB"/>
        </w:rPr>
        <w:t xml:space="preserve"> and the</w:t>
      </w:r>
      <w:r w:rsidRPr="009D7877">
        <w:rPr>
          <w:lang w:val="en-GB"/>
        </w:rPr>
        <w:t xml:space="preserve"> bioethanol emerg</w:t>
      </w:r>
      <w:r w:rsidR="0076013F">
        <w:rPr>
          <w:lang w:val="en-GB"/>
        </w:rPr>
        <w:t>es</w:t>
      </w:r>
      <w:r w:rsidRPr="009D7877">
        <w:rPr>
          <w:lang w:val="en-GB"/>
        </w:rPr>
        <w:t xml:space="preserve"> as a prominent alternative. This biofuel can be used as an additive for fossil fuels</w:t>
      </w:r>
      <w:r w:rsidR="00382D4D">
        <w:rPr>
          <w:lang w:val="en-GB"/>
        </w:rPr>
        <w:t xml:space="preserve"> because it</w:t>
      </w:r>
      <w:r w:rsidRPr="009D7877">
        <w:rPr>
          <w:lang w:val="en-GB"/>
        </w:rPr>
        <w:t xml:space="preserve"> </w:t>
      </w:r>
      <w:r w:rsidR="003661E4">
        <w:rPr>
          <w:lang w:val="en-GB"/>
        </w:rPr>
        <w:t>increases</w:t>
      </w:r>
      <w:r w:rsidRPr="009D7877">
        <w:rPr>
          <w:lang w:val="en-GB"/>
        </w:rPr>
        <w:t xml:space="preserve"> the octane rating of gasoline, improves engine performance, and decreases the demand for fossil fuels, while also promoting a higher complete combustion rate due to its high oxygen content</w:t>
      </w:r>
      <w:r w:rsidR="00F24D9F">
        <w:rPr>
          <w:lang w:val="en-GB"/>
        </w:rPr>
        <w:t xml:space="preserve"> (</w:t>
      </w:r>
      <w:r w:rsidR="008800BE">
        <w:t xml:space="preserve">Karimi </w:t>
      </w:r>
      <w:r w:rsidR="008800BE" w:rsidRPr="00C66970">
        <w:rPr>
          <w:i/>
        </w:rPr>
        <w:t>et al.</w:t>
      </w:r>
      <w:r w:rsidR="008800BE">
        <w:t>, 2019).</w:t>
      </w:r>
      <w:r w:rsidR="00DD3648">
        <w:t xml:space="preserve"> </w:t>
      </w:r>
      <w:r w:rsidRPr="009D7877">
        <w:rPr>
          <w:lang w:val="en-GB"/>
        </w:rPr>
        <w:t>Thus, bioethanol is essential for mitigating the environmental impact of conventional fuels and red</w:t>
      </w:r>
      <w:r w:rsidR="006E46BF">
        <w:rPr>
          <w:lang w:val="en-GB"/>
        </w:rPr>
        <w:t xml:space="preserve">ucing atmospheric pollution </w:t>
      </w:r>
      <w:r w:rsidR="006E46BF">
        <w:t xml:space="preserve">(Karimi </w:t>
      </w:r>
      <w:r w:rsidR="006E46BF" w:rsidRPr="00C66970">
        <w:rPr>
          <w:i/>
        </w:rPr>
        <w:t>et al.</w:t>
      </w:r>
      <w:r w:rsidR="006E46BF">
        <w:t>, 2019).</w:t>
      </w:r>
      <w:r w:rsidR="00DD3648">
        <w:t xml:space="preserve"> </w:t>
      </w:r>
      <w:r w:rsidRPr="009D7877">
        <w:rPr>
          <w:lang w:val="en-GB"/>
        </w:rPr>
        <w:t>However,</w:t>
      </w:r>
      <w:r w:rsidR="00382D4D">
        <w:rPr>
          <w:lang w:val="en-GB"/>
        </w:rPr>
        <w:t xml:space="preserve"> the</w:t>
      </w:r>
      <w:r w:rsidRPr="009D7877">
        <w:rPr>
          <w:lang w:val="en-GB"/>
        </w:rPr>
        <w:t xml:space="preserve"> </w:t>
      </w:r>
      <w:r w:rsidR="00382D4D" w:rsidRPr="009D7877">
        <w:rPr>
          <w:lang w:val="en-GB"/>
        </w:rPr>
        <w:t xml:space="preserve">residual water must be removed from the bioethanol </w:t>
      </w:r>
      <w:r w:rsidRPr="009D7877">
        <w:rPr>
          <w:lang w:val="en-GB"/>
        </w:rPr>
        <w:t xml:space="preserve">before </w:t>
      </w:r>
      <w:r w:rsidR="00382D4D">
        <w:rPr>
          <w:lang w:val="en-GB"/>
        </w:rPr>
        <w:t xml:space="preserve">it is </w:t>
      </w:r>
      <w:r w:rsidRPr="009D7877">
        <w:rPr>
          <w:lang w:val="en-GB"/>
        </w:rPr>
        <w:t>used as fue</w:t>
      </w:r>
      <w:r w:rsidR="00382D4D">
        <w:rPr>
          <w:lang w:val="en-GB"/>
        </w:rPr>
        <w:t xml:space="preserve">l </w:t>
      </w:r>
      <w:r w:rsidR="00382D4D" w:rsidRPr="00382D4D">
        <w:rPr>
          <w:lang w:val="en-GB"/>
        </w:rPr>
        <w:t>to ensure that water does not negatively interfere with its properties as an additive</w:t>
      </w:r>
      <w:r w:rsidR="00382D4D">
        <w:rPr>
          <w:lang w:val="en-GB"/>
        </w:rPr>
        <w:t>.</w:t>
      </w:r>
    </w:p>
    <w:p w14:paraId="55FB98C0" w14:textId="1A94BB08" w:rsidR="006771E5" w:rsidRDefault="009D7877" w:rsidP="00AB567B">
      <w:pPr>
        <w:pStyle w:val="CETBodytext"/>
        <w:rPr>
          <w:lang w:val="en-GB"/>
        </w:rPr>
      </w:pPr>
      <w:r w:rsidRPr="009D7877">
        <w:rPr>
          <w:lang w:val="en-GB"/>
        </w:rPr>
        <w:t xml:space="preserve">To obtain anhydrous ethanol from a water-ethanol mixture, simple distillation </w:t>
      </w:r>
      <w:r w:rsidR="00684B12">
        <w:rPr>
          <w:lang w:val="en-GB"/>
        </w:rPr>
        <w:t>is insufficient</w:t>
      </w:r>
      <w:r w:rsidRPr="009D7877">
        <w:rPr>
          <w:lang w:val="en-GB"/>
        </w:rPr>
        <w:t xml:space="preserve">, as </w:t>
      </w:r>
      <w:r w:rsidR="00684B12">
        <w:rPr>
          <w:lang w:val="en-GB"/>
        </w:rPr>
        <w:t>the system</w:t>
      </w:r>
      <w:r w:rsidR="0051096A">
        <w:rPr>
          <w:lang w:val="en-GB"/>
        </w:rPr>
        <w:t xml:space="preserve"> </w:t>
      </w:r>
      <w:r w:rsidRPr="009D7877">
        <w:rPr>
          <w:lang w:val="en-GB"/>
        </w:rPr>
        <w:t xml:space="preserve">forms an azeotrope </w:t>
      </w:r>
      <w:r w:rsidR="00684B12">
        <w:rPr>
          <w:lang w:val="en-GB"/>
        </w:rPr>
        <w:t xml:space="preserve">at </w:t>
      </w:r>
      <w:r w:rsidRPr="009D7877">
        <w:rPr>
          <w:lang w:val="en-GB"/>
        </w:rPr>
        <w:t>approximat</w:t>
      </w:r>
      <w:r w:rsidR="006E46BF">
        <w:rPr>
          <w:lang w:val="en-GB"/>
        </w:rPr>
        <w:t>ely 95.6 wt</w:t>
      </w:r>
      <w:r w:rsidR="00160AA9">
        <w:rPr>
          <w:lang w:val="en-GB"/>
        </w:rPr>
        <w:t xml:space="preserve"> </w:t>
      </w:r>
      <w:r w:rsidR="006E46BF">
        <w:rPr>
          <w:lang w:val="en-GB"/>
        </w:rPr>
        <w:t xml:space="preserve">% ethanol (where </w:t>
      </w:r>
      <w:r w:rsidR="006E46BF" w:rsidRPr="00484A7E">
        <w:rPr>
          <w:i/>
          <w:lang w:val="en-GB"/>
        </w:rPr>
        <w:t>x</w:t>
      </w:r>
      <w:r w:rsidR="006E46BF" w:rsidRPr="00484A7E">
        <w:rPr>
          <w:rFonts w:eastAsia="SimSun"/>
          <w:i/>
          <w:vertAlign w:val="subscript"/>
          <w:lang w:val="en-GB"/>
        </w:rPr>
        <w:t>i</w:t>
      </w:r>
      <w:r w:rsidR="006E46BF" w:rsidRPr="00484A7E">
        <w:rPr>
          <w:i/>
          <w:lang w:val="en-GB"/>
        </w:rPr>
        <w:t xml:space="preserve"> = y</w:t>
      </w:r>
      <w:r w:rsidR="006E46BF" w:rsidRPr="00484A7E">
        <w:rPr>
          <w:rFonts w:eastAsia="SimSun"/>
          <w:i/>
          <w:vertAlign w:val="subscript"/>
        </w:rPr>
        <w:t>i</w:t>
      </w:r>
      <w:r w:rsidR="0051096A" w:rsidRPr="00484A7E">
        <w:rPr>
          <w:rFonts w:eastAsia="SimSun"/>
          <w:i/>
          <w:vertAlign w:val="subscript"/>
        </w:rPr>
        <w:t xml:space="preserve"> </w:t>
      </w:r>
      <w:r w:rsidRPr="009D7877">
        <w:rPr>
          <w:lang w:val="en-GB"/>
        </w:rPr>
        <w:t xml:space="preserve">and the relative volatility </w:t>
      </w:r>
      <w:r w:rsidR="000D0F62">
        <w:rPr>
          <w:lang w:val="en-GB"/>
        </w:rPr>
        <w:t>(</w:t>
      </w:r>
      <w:r w:rsidR="000D0F62" w:rsidRPr="00484A7E">
        <w:rPr>
          <w:rFonts w:cs="Arial"/>
          <w:i/>
          <w:lang w:val="en-GB"/>
        </w:rPr>
        <w:t>α</w:t>
      </w:r>
      <w:r w:rsidR="000D0F62">
        <w:rPr>
          <w:rFonts w:cs="Arial"/>
          <w:lang w:val="en-GB"/>
        </w:rPr>
        <w:t xml:space="preserve">) </w:t>
      </w:r>
      <w:r w:rsidRPr="009D7877">
        <w:rPr>
          <w:lang w:val="en-GB"/>
        </w:rPr>
        <w:t>equals 1)</w:t>
      </w:r>
      <w:r w:rsidR="00F24D9F">
        <w:rPr>
          <w:lang w:val="en-GB"/>
        </w:rPr>
        <w:t xml:space="preserve"> </w:t>
      </w:r>
      <w:r w:rsidR="00E90388">
        <w:t xml:space="preserve">(Peng </w:t>
      </w:r>
      <w:r w:rsidR="00E90388" w:rsidRPr="00C05AB5">
        <w:rPr>
          <w:i/>
        </w:rPr>
        <w:t>et al</w:t>
      </w:r>
      <w:r w:rsidR="00E90388">
        <w:t xml:space="preserve">., 2017). </w:t>
      </w:r>
      <w:r w:rsidRPr="009D7877">
        <w:rPr>
          <w:lang w:val="en-GB"/>
        </w:rPr>
        <w:t xml:space="preserve">A viable </w:t>
      </w:r>
      <w:r w:rsidR="00684B12">
        <w:rPr>
          <w:lang w:val="en-GB"/>
        </w:rPr>
        <w:t>alternative</w:t>
      </w:r>
      <w:r w:rsidR="0051096A">
        <w:rPr>
          <w:lang w:val="en-GB"/>
        </w:rPr>
        <w:t xml:space="preserve"> </w:t>
      </w:r>
      <w:r w:rsidRPr="009D7877">
        <w:rPr>
          <w:lang w:val="en-GB"/>
        </w:rPr>
        <w:t xml:space="preserve">is </w:t>
      </w:r>
      <w:r w:rsidR="00982B6E">
        <w:rPr>
          <w:lang w:val="en-GB"/>
        </w:rPr>
        <w:t>extractive distillation</w:t>
      </w:r>
      <w:r w:rsidRPr="009D7877">
        <w:rPr>
          <w:lang w:val="en-GB"/>
        </w:rPr>
        <w:t xml:space="preserve">, </w:t>
      </w:r>
      <w:r w:rsidR="006540FA">
        <w:rPr>
          <w:lang w:val="en-GB"/>
        </w:rPr>
        <w:t xml:space="preserve">where a </w:t>
      </w:r>
      <w:r w:rsidR="003661E4">
        <w:rPr>
          <w:lang w:val="en-GB"/>
        </w:rPr>
        <w:t>solvent</w:t>
      </w:r>
      <w:r w:rsidR="00684B12">
        <w:rPr>
          <w:lang w:val="en-GB"/>
        </w:rPr>
        <w:t xml:space="preserve"> (a third component)</w:t>
      </w:r>
      <w:r w:rsidRPr="009D7877">
        <w:rPr>
          <w:lang w:val="en-GB"/>
        </w:rPr>
        <w:t xml:space="preserve"> is added to modify the relative volatilities,</w:t>
      </w:r>
      <w:r w:rsidR="00684B12">
        <w:rPr>
          <w:lang w:val="en-GB"/>
        </w:rPr>
        <w:t xml:space="preserve"> thereby</w:t>
      </w:r>
      <w:r w:rsidRPr="009D7877">
        <w:rPr>
          <w:lang w:val="en-GB"/>
        </w:rPr>
        <w:t xml:space="preserve"> eliminating the azeotrop</w:t>
      </w:r>
      <w:r w:rsidR="00684B12">
        <w:rPr>
          <w:lang w:val="en-GB"/>
        </w:rPr>
        <w:t>ic point</w:t>
      </w:r>
      <w:r w:rsidRPr="009D7877">
        <w:rPr>
          <w:lang w:val="en-GB"/>
        </w:rPr>
        <w:t xml:space="preserve"> an</w:t>
      </w:r>
      <w:r w:rsidR="006E46BF">
        <w:rPr>
          <w:lang w:val="en-GB"/>
        </w:rPr>
        <w:t>d enabling separation</w:t>
      </w:r>
      <w:r w:rsidR="00A85DE0">
        <w:rPr>
          <w:lang w:val="en-GB"/>
        </w:rPr>
        <w:t xml:space="preserve"> (</w:t>
      </w:r>
      <w:r w:rsidR="00A85DE0" w:rsidRPr="00C05AB5">
        <w:t>Rodríguez</w:t>
      </w:r>
      <w:r w:rsidR="00A85DE0">
        <w:t>, 2</w:t>
      </w:r>
      <w:r w:rsidR="00A85DE0">
        <w:rPr>
          <w:lang w:val="en-GB"/>
        </w:rPr>
        <w:t>016</w:t>
      </w:r>
      <w:r w:rsidR="006771E5">
        <w:rPr>
          <w:lang w:val="en-GB"/>
        </w:rPr>
        <w:t>).</w:t>
      </w:r>
    </w:p>
    <w:p w14:paraId="5D30A740" w14:textId="525C197B" w:rsidR="00982B6E" w:rsidRDefault="00382D4D" w:rsidP="00AB567B">
      <w:pPr>
        <w:pStyle w:val="CETBodytext"/>
        <w:rPr>
          <w:lang w:val="en-GB"/>
        </w:rPr>
      </w:pPr>
      <w:r>
        <w:rPr>
          <w:lang w:val="en-GB"/>
        </w:rPr>
        <w:t>In this context, the deep eutectic solvents (DES)</w:t>
      </w:r>
      <w:r w:rsidR="009D7877" w:rsidRPr="009D7877">
        <w:rPr>
          <w:lang w:val="en-GB"/>
        </w:rPr>
        <w:t xml:space="preserve"> have been replacing conventional </w:t>
      </w:r>
      <w:r w:rsidR="00F24D9F">
        <w:rPr>
          <w:lang w:val="en-GB"/>
        </w:rPr>
        <w:t>solvents</w:t>
      </w:r>
      <w:r w:rsidR="009D7877" w:rsidRPr="009D7877">
        <w:rPr>
          <w:lang w:val="en-GB"/>
        </w:rPr>
        <w:t xml:space="preserve"> in extractive distillation, primarily due to their biodegradability, high chemical and thermal stability, low toxicity, and </w:t>
      </w:r>
      <w:r w:rsidR="00883755">
        <w:rPr>
          <w:lang w:val="en-GB"/>
        </w:rPr>
        <w:t>negligible</w:t>
      </w:r>
      <w:r w:rsidR="00042EFB">
        <w:rPr>
          <w:lang w:val="en-GB"/>
        </w:rPr>
        <w:t xml:space="preserve"> </w:t>
      </w:r>
      <w:r w:rsidR="009D7877" w:rsidRPr="009D7877">
        <w:rPr>
          <w:lang w:val="en-GB"/>
        </w:rPr>
        <w:t>volatility</w:t>
      </w:r>
      <w:r w:rsidR="00F24D9F">
        <w:rPr>
          <w:lang w:val="en-GB"/>
        </w:rPr>
        <w:t xml:space="preserve"> </w:t>
      </w:r>
      <w:r w:rsidR="006F401F">
        <w:t xml:space="preserve">(Neubauer </w:t>
      </w:r>
      <w:r w:rsidR="006F401F" w:rsidRPr="00C66970">
        <w:rPr>
          <w:i/>
        </w:rPr>
        <w:t xml:space="preserve">et al., </w:t>
      </w:r>
      <w:r w:rsidR="006F401F">
        <w:t xml:space="preserve">2022). </w:t>
      </w:r>
      <w:r w:rsidR="006F401F" w:rsidDel="006F401F">
        <w:rPr>
          <w:lang w:val="en-GB"/>
        </w:rPr>
        <w:t xml:space="preserve"> </w:t>
      </w:r>
    </w:p>
    <w:p w14:paraId="13123CB4" w14:textId="772C2B0A" w:rsidR="00E92336" w:rsidRDefault="009D7877" w:rsidP="00AB567B">
      <w:pPr>
        <w:pStyle w:val="CETBodytext"/>
      </w:pPr>
      <w:r w:rsidRPr="009D7877">
        <w:rPr>
          <w:lang w:val="en-GB"/>
        </w:rPr>
        <w:t>Furthermore,</w:t>
      </w:r>
      <w:r w:rsidR="00382D4D">
        <w:rPr>
          <w:lang w:val="en-GB"/>
        </w:rPr>
        <w:t xml:space="preserve"> the</w:t>
      </w:r>
      <w:r w:rsidRPr="009D7877">
        <w:rPr>
          <w:lang w:val="en-GB"/>
        </w:rPr>
        <w:t xml:space="preserve"> </w:t>
      </w:r>
      <w:r w:rsidR="00982B6E">
        <w:rPr>
          <w:lang w:val="en-GB"/>
        </w:rPr>
        <w:t>DESs</w:t>
      </w:r>
      <w:r w:rsidR="00982B6E" w:rsidRPr="009D7877">
        <w:rPr>
          <w:lang w:val="en-GB"/>
        </w:rPr>
        <w:t xml:space="preserve"> </w:t>
      </w:r>
      <w:r w:rsidRPr="009D7877">
        <w:rPr>
          <w:lang w:val="en-GB"/>
        </w:rPr>
        <w:t>are eas</w:t>
      </w:r>
      <w:r w:rsidR="00382D4D">
        <w:rPr>
          <w:lang w:val="en-GB"/>
        </w:rPr>
        <w:t xml:space="preserve">y to </w:t>
      </w:r>
      <w:r w:rsidRPr="009D7877">
        <w:rPr>
          <w:lang w:val="en-GB"/>
        </w:rPr>
        <w:t xml:space="preserve">prepare by mixing a </w:t>
      </w:r>
      <w:r w:rsidR="004A4955">
        <w:rPr>
          <w:lang w:val="en-GB"/>
        </w:rPr>
        <w:t>hydrogen-bond</w:t>
      </w:r>
      <w:r w:rsidRPr="009D7877">
        <w:rPr>
          <w:lang w:val="en-GB"/>
        </w:rPr>
        <w:t xml:space="preserve"> donor (HBD) compound and a hydrogen</w:t>
      </w:r>
      <w:r w:rsidR="006540FA">
        <w:rPr>
          <w:lang w:val="en-GB"/>
        </w:rPr>
        <w:t>-</w:t>
      </w:r>
      <w:r w:rsidRPr="009D7877">
        <w:rPr>
          <w:lang w:val="en-GB"/>
        </w:rPr>
        <w:t>bond acceptor (HBA) under heating and stirring until a homogeneous and transparent liquid is formed. The hydrogen bonding between these reagents leads to charge delocalization, which results in DES having lower melting points than their individual compone</w:t>
      </w:r>
      <w:r w:rsidR="007004C8">
        <w:rPr>
          <w:lang w:val="en-GB"/>
        </w:rPr>
        <w:t xml:space="preserve">nts </w:t>
      </w:r>
      <w:r w:rsidR="00E90388">
        <w:t xml:space="preserve">(Neubauer </w:t>
      </w:r>
      <w:r w:rsidR="00E90388" w:rsidRPr="00C05AB5">
        <w:rPr>
          <w:i/>
        </w:rPr>
        <w:t xml:space="preserve">et al., </w:t>
      </w:r>
      <w:r w:rsidR="00E90388">
        <w:t xml:space="preserve">2022). </w:t>
      </w:r>
      <w:r w:rsidR="00E90388" w:rsidDel="006F401F">
        <w:rPr>
          <w:lang w:val="en-GB"/>
        </w:rPr>
        <w:t xml:space="preserve"> </w:t>
      </w:r>
    </w:p>
    <w:p w14:paraId="10982D19" w14:textId="0473D448" w:rsidR="00982B6E" w:rsidRDefault="00B82AB4" w:rsidP="00AB567B">
      <w:pPr>
        <w:pStyle w:val="CETBodytext"/>
        <w:rPr>
          <w:lang w:val="en-GB"/>
        </w:rPr>
      </w:pPr>
      <w:r>
        <w:rPr>
          <w:lang w:val="en-GB"/>
        </w:rPr>
        <w:lastRenderedPageBreak/>
        <w:t>The</w:t>
      </w:r>
      <w:r w:rsidR="00B81724" w:rsidRPr="00B81724">
        <w:rPr>
          <w:lang w:val="en-GB"/>
        </w:rPr>
        <w:t xml:space="preserve"> DES </w:t>
      </w:r>
      <w:r w:rsidR="006771E5">
        <w:rPr>
          <w:lang w:val="en-GB"/>
        </w:rPr>
        <w:t>is expected to influence the</w:t>
      </w:r>
      <w:r w:rsidR="00B81724" w:rsidRPr="00B81724">
        <w:rPr>
          <w:lang w:val="en-GB"/>
        </w:rPr>
        <w:t xml:space="preserve"> </w:t>
      </w:r>
      <w:r w:rsidR="00DD4273" w:rsidRPr="00DD4273">
        <w:rPr>
          <w:lang w:val="en-GB"/>
        </w:rPr>
        <w:t>vapor-liquid equilibrium</w:t>
      </w:r>
      <w:r w:rsidR="00B81724" w:rsidRPr="00B81724">
        <w:rPr>
          <w:lang w:val="en-GB"/>
        </w:rPr>
        <w:t xml:space="preserve"> </w:t>
      </w:r>
      <w:r>
        <w:rPr>
          <w:lang w:val="en-GB"/>
        </w:rPr>
        <w:t>due to its</w:t>
      </w:r>
      <w:r w:rsidR="00B81724" w:rsidRPr="00B81724">
        <w:rPr>
          <w:lang w:val="en-GB"/>
        </w:rPr>
        <w:t xml:space="preserve"> competitive hydrogen bonding. Lactic acid, acting as a strong hydrogen bond donor (HBD), establishes preferential interactions with water molecules over eth</w:t>
      </w:r>
      <w:r w:rsidR="006771E5">
        <w:rPr>
          <w:lang w:val="en-GB"/>
        </w:rPr>
        <w:t>anol. This interaction may increase</w:t>
      </w:r>
      <w:r w:rsidR="00B81724" w:rsidRPr="00B81724">
        <w:rPr>
          <w:lang w:val="en-GB"/>
        </w:rPr>
        <w:t xml:space="preserve"> the </w:t>
      </w:r>
      <w:r w:rsidR="006771E5">
        <w:rPr>
          <w:lang w:val="en-GB"/>
        </w:rPr>
        <w:t xml:space="preserve">effective </w:t>
      </w:r>
      <w:r w:rsidR="00B81724" w:rsidRPr="00B81724">
        <w:rPr>
          <w:lang w:val="en-GB"/>
        </w:rPr>
        <w:t>boiling point of the water-DES complex, significantly raising the relative volatility of ethanol</w:t>
      </w:r>
      <w:r w:rsidR="00042EFB">
        <w:rPr>
          <w:lang w:val="en-GB"/>
        </w:rPr>
        <w:t xml:space="preserve"> </w:t>
      </w:r>
      <w:r w:rsidR="00C5141A">
        <w:t xml:space="preserve">(Peng </w:t>
      </w:r>
      <w:r w:rsidR="00C5141A" w:rsidRPr="00C05AB5">
        <w:rPr>
          <w:i/>
        </w:rPr>
        <w:t>et al</w:t>
      </w:r>
      <w:r w:rsidR="00C5141A">
        <w:t xml:space="preserve">., 2017) </w:t>
      </w:r>
      <w:r>
        <w:rPr>
          <w:lang w:val="en-GB"/>
        </w:rPr>
        <w:t xml:space="preserve">and promoting </w:t>
      </w:r>
      <w:r w:rsidRPr="00B82AB4">
        <w:rPr>
          <w:lang w:val="en-GB"/>
        </w:rPr>
        <w:t>its vaporization</w:t>
      </w:r>
      <w:r>
        <w:rPr>
          <w:lang w:val="en-GB"/>
        </w:rPr>
        <w:t>.</w:t>
      </w:r>
    </w:p>
    <w:p w14:paraId="013B319B" w14:textId="2942503E" w:rsidR="00042EFB" w:rsidRPr="0044710E" w:rsidRDefault="00B81724" w:rsidP="00AB567B">
      <w:pPr>
        <w:pStyle w:val="CETBodytext"/>
      </w:pPr>
      <w:r w:rsidRPr="0044710E">
        <w:rPr>
          <w:lang w:val="en-GB"/>
        </w:rPr>
        <w:t xml:space="preserve">Unlike traditional ionic liquids, DES </w:t>
      </w:r>
      <w:r w:rsidR="00E92336" w:rsidRPr="0044710E">
        <w:rPr>
          <w:lang w:val="en-GB"/>
        </w:rPr>
        <w:t xml:space="preserve">are </w:t>
      </w:r>
      <w:r w:rsidRPr="0044710E">
        <w:rPr>
          <w:lang w:val="en-GB"/>
        </w:rPr>
        <w:t>tunable</w:t>
      </w:r>
      <w:r w:rsidR="006F401F">
        <w:rPr>
          <w:lang w:val="en-GB"/>
        </w:rPr>
        <w:t xml:space="preserve"> (</w:t>
      </w:r>
      <w:r w:rsidR="006F401F" w:rsidRPr="00C05AB5">
        <w:rPr>
          <w:rFonts w:cs="Arial"/>
          <w:color w:val="000000" w:themeColor="text1"/>
          <w:szCs w:val="18"/>
          <w:lang w:eastAsia="fr-FR"/>
        </w:rPr>
        <w:t>G</w:t>
      </w:r>
      <w:r w:rsidR="006F401F">
        <w:rPr>
          <w:rFonts w:cs="Arial"/>
          <w:color w:val="000000" w:themeColor="text1"/>
          <w:szCs w:val="18"/>
          <w:lang w:eastAsia="fr-FR"/>
        </w:rPr>
        <w:t xml:space="preserve">raczová and </w:t>
      </w:r>
      <w:r w:rsidR="006F401F" w:rsidRPr="00C05AB5">
        <w:rPr>
          <w:rFonts w:cs="Arial"/>
          <w:color w:val="000000" w:themeColor="text1"/>
          <w:szCs w:val="18"/>
          <w:lang w:eastAsia="fr-FR"/>
        </w:rPr>
        <w:t>S</w:t>
      </w:r>
      <w:r w:rsidR="006F401F">
        <w:rPr>
          <w:rFonts w:cs="Arial"/>
          <w:color w:val="000000" w:themeColor="text1"/>
          <w:szCs w:val="18"/>
          <w:lang w:eastAsia="fr-FR"/>
        </w:rPr>
        <w:t>teltenpohl, 2015)</w:t>
      </w:r>
      <w:r w:rsidRPr="0044710E">
        <w:rPr>
          <w:lang w:val="en-GB"/>
        </w:rPr>
        <w:t>; adjusting the HBA</w:t>
      </w:r>
      <w:r w:rsidR="00E92336" w:rsidRPr="0044710E">
        <w:rPr>
          <w:lang w:val="en-GB"/>
        </w:rPr>
        <w:t>:</w:t>
      </w:r>
      <w:r w:rsidRPr="0044710E">
        <w:rPr>
          <w:lang w:val="en-GB"/>
        </w:rPr>
        <w:t>HBD</w:t>
      </w:r>
      <w:r w:rsidR="00E92336" w:rsidRPr="0044710E">
        <w:rPr>
          <w:lang w:val="en-GB"/>
        </w:rPr>
        <w:t xml:space="preserve"> molar ratio </w:t>
      </w:r>
      <w:r w:rsidR="00883755" w:rsidRPr="0044710E">
        <w:rPr>
          <w:lang w:val="en-GB"/>
        </w:rPr>
        <w:t>allows</w:t>
      </w:r>
      <w:r w:rsidR="00E92336" w:rsidRPr="0044710E">
        <w:rPr>
          <w:lang w:val="en-GB"/>
        </w:rPr>
        <w:t xml:space="preserve"> the optimization</w:t>
      </w:r>
      <w:r w:rsidR="00042EFB" w:rsidRPr="0044710E">
        <w:rPr>
          <w:lang w:val="en-GB"/>
        </w:rPr>
        <w:t xml:space="preserve"> </w:t>
      </w:r>
      <w:r w:rsidR="00E92336" w:rsidRPr="0044710E">
        <w:rPr>
          <w:lang w:val="en-GB"/>
        </w:rPr>
        <w:t>of</w:t>
      </w:r>
      <w:r w:rsidRPr="0044710E">
        <w:rPr>
          <w:lang w:val="en-GB"/>
        </w:rPr>
        <w:t xml:space="preserve"> viscosity and </w:t>
      </w:r>
      <w:r w:rsidR="00E92336" w:rsidRPr="0044710E">
        <w:rPr>
          <w:lang w:val="en-GB"/>
        </w:rPr>
        <w:t>the solvent’s</w:t>
      </w:r>
      <w:r w:rsidR="00042EFB" w:rsidRPr="0044710E">
        <w:rPr>
          <w:lang w:val="en-GB"/>
        </w:rPr>
        <w:t xml:space="preserve"> </w:t>
      </w:r>
      <w:r w:rsidRPr="0044710E">
        <w:rPr>
          <w:lang w:val="en-GB"/>
        </w:rPr>
        <w:t xml:space="preserve">capacity to </w:t>
      </w:r>
      <w:r w:rsidR="00E92336" w:rsidRPr="0044710E">
        <w:rPr>
          <w:lang w:val="en-GB"/>
        </w:rPr>
        <w:t>alter</w:t>
      </w:r>
      <w:r w:rsidR="00042EFB" w:rsidRPr="0044710E">
        <w:rPr>
          <w:lang w:val="en-GB"/>
        </w:rPr>
        <w:t xml:space="preserve"> </w:t>
      </w:r>
      <w:r w:rsidRPr="0044710E">
        <w:rPr>
          <w:lang w:val="en-GB"/>
        </w:rPr>
        <w:t xml:space="preserve">the </w:t>
      </w:r>
      <w:r w:rsidR="00982B6E" w:rsidRPr="0044710E">
        <w:rPr>
          <w:lang w:val="en-GB"/>
        </w:rPr>
        <w:t>vapor-</w:t>
      </w:r>
      <w:r w:rsidRPr="0044710E">
        <w:rPr>
          <w:lang w:val="en-GB"/>
        </w:rPr>
        <w:t>liquid</w:t>
      </w:r>
      <w:r w:rsidR="002876B7" w:rsidRPr="0044710E">
        <w:rPr>
          <w:lang w:val="en-GB"/>
        </w:rPr>
        <w:t xml:space="preserve"> equilibrium.</w:t>
      </w:r>
      <w:r w:rsidR="00042EFB" w:rsidRPr="0044710E">
        <w:rPr>
          <w:lang w:val="en-GB"/>
        </w:rPr>
        <w:t xml:space="preserve"> </w:t>
      </w:r>
      <w:r w:rsidR="00982B6E" w:rsidRPr="0044710E">
        <w:rPr>
          <w:lang w:val="en-GB"/>
        </w:rPr>
        <w:t>Extractive distillation of water-ethanol mixtures has been explored using DES as solvents,</w:t>
      </w:r>
      <w:r w:rsidR="00982B6E" w:rsidRPr="0044710E" w:rsidDel="00982B6E">
        <w:rPr>
          <w:lang w:val="en-GB"/>
        </w:rPr>
        <w:t xml:space="preserve"> </w:t>
      </w:r>
      <w:r w:rsidR="009D7877" w:rsidRPr="0044710E">
        <w:rPr>
          <w:lang w:val="en-GB"/>
        </w:rPr>
        <w:t>specifically</w:t>
      </w:r>
      <w:r w:rsidR="00982B6E" w:rsidRPr="0044710E">
        <w:rPr>
          <w:lang w:val="en-GB"/>
        </w:rPr>
        <w:t xml:space="preserve"> those based on</w:t>
      </w:r>
      <w:r w:rsidR="009D7877" w:rsidRPr="00C66970">
        <w:rPr>
          <w:lang w:val="en-GB"/>
        </w:rPr>
        <w:t xml:space="preserve"> choline chloride </w:t>
      </w:r>
      <w:r w:rsidR="00F24D9F" w:rsidRPr="00C66970">
        <w:rPr>
          <w:lang w:val="en-GB"/>
        </w:rPr>
        <w:t xml:space="preserve">(ChCl) </w:t>
      </w:r>
      <w:r w:rsidR="009D7877" w:rsidRPr="00C66970">
        <w:rPr>
          <w:lang w:val="en-GB"/>
        </w:rPr>
        <w:t>and lactic acid</w:t>
      </w:r>
      <w:r w:rsidR="00F24D9F" w:rsidRPr="00C66970">
        <w:rPr>
          <w:lang w:val="en-GB"/>
        </w:rPr>
        <w:t xml:space="preserve"> (LA)</w:t>
      </w:r>
      <w:r w:rsidR="009D7877" w:rsidRPr="00C66970">
        <w:rPr>
          <w:lang w:val="en-GB"/>
        </w:rPr>
        <w:t xml:space="preserve">, as </w:t>
      </w:r>
      <w:r w:rsidR="00F24D9F" w:rsidRPr="00C66970">
        <w:rPr>
          <w:lang w:val="en-GB"/>
        </w:rPr>
        <w:t>LA</w:t>
      </w:r>
      <w:r w:rsidR="009D7877" w:rsidRPr="00C66970">
        <w:rPr>
          <w:lang w:val="en-GB"/>
        </w:rPr>
        <w:t xml:space="preserve"> is an organic HBD with a high affinity for water</w:t>
      </w:r>
      <w:r w:rsidR="009D7877" w:rsidRPr="00D42913">
        <w:rPr>
          <w:lang w:val="en-GB"/>
        </w:rPr>
        <w:t>.</w:t>
      </w:r>
      <w:r w:rsidR="009D7877" w:rsidRPr="009D7877">
        <w:rPr>
          <w:lang w:val="en-GB"/>
        </w:rPr>
        <w:t xml:space="preserve"> </w:t>
      </w:r>
    </w:p>
    <w:p w14:paraId="5F24630C" w14:textId="75A12DE9" w:rsidR="00F53A73" w:rsidRDefault="009D7877" w:rsidP="00AB567B">
      <w:pPr>
        <w:pStyle w:val="CETBodytext"/>
      </w:pPr>
      <w:r w:rsidRPr="00C66970">
        <w:t>According to Rodríguez</w:t>
      </w:r>
      <w:r w:rsidR="00584061">
        <w:t xml:space="preserve"> </w:t>
      </w:r>
      <w:r w:rsidRPr="001812CB">
        <w:rPr>
          <w:lang w:val="en-GB"/>
        </w:rPr>
        <w:t>(201</w:t>
      </w:r>
      <w:r w:rsidR="00A85DE0">
        <w:rPr>
          <w:lang w:val="en-GB"/>
        </w:rPr>
        <w:t>6</w:t>
      </w:r>
      <w:r w:rsidRPr="001812CB">
        <w:rPr>
          <w:lang w:val="en-GB"/>
        </w:rPr>
        <w:t>), a</w:t>
      </w:r>
      <w:r w:rsidRPr="009D7877">
        <w:rPr>
          <w:lang w:val="en-GB"/>
        </w:rPr>
        <w:t xml:space="preserve"> ChCl:</w:t>
      </w:r>
      <w:r w:rsidR="00F24D9F">
        <w:rPr>
          <w:lang w:val="en-GB"/>
        </w:rPr>
        <w:t>LA</w:t>
      </w:r>
      <w:r w:rsidRPr="009D7877">
        <w:rPr>
          <w:lang w:val="en-GB"/>
        </w:rPr>
        <w:t xml:space="preserve"> </w:t>
      </w:r>
      <w:r w:rsidR="00982B6E">
        <w:rPr>
          <w:lang w:val="en-GB"/>
        </w:rPr>
        <w:t>(</w:t>
      </w:r>
      <w:r w:rsidRPr="009D7877">
        <w:rPr>
          <w:lang w:val="en-GB"/>
        </w:rPr>
        <w:t>1:2</w:t>
      </w:r>
      <w:r w:rsidR="00982B6E">
        <w:rPr>
          <w:lang w:val="en-GB"/>
        </w:rPr>
        <w:t>)</w:t>
      </w:r>
      <w:r w:rsidRPr="009D7877">
        <w:rPr>
          <w:lang w:val="en-GB"/>
        </w:rPr>
        <w:t xml:space="preserve"> DES </w:t>
      </w:r>
      <w:r w:rsidR="00584061">
        <w:rPr>
          <w:lang w:val="en-GB"/>
        </w:rPr>
        <w:t>does not break the azeotrope, but achieves a displacement to the pure ethanol</w:t>
      </w:r>
      <w:r w:rsidRPr="009D7877">
        <w:rPr>
          <w:lang w:val="en-GB"/>
        </w:rPr>
        <w:t>, thereby increasing the separation puri</w:t>
      </w:r>
      <w:r w:rsidR="007004C8">
        <w:rPr>
          <w:lang w:val="en-GB"/>
        </w:rPr>
        <w:t>ty</w:t>
      </w:r>
      <w:r w:rsidR="00982B6E">
        <w:rPr>
          <w:lang w:val="en-GB"/>
        </w:rPr>
        <w:t xml:space="preserve">. This </w:t>
      </w:r>
      <w:r w:rsidR="00CD148F" w:rsidRPr="00CD148F">
        <w:t xml:space="preserve">performance highlights the potential of these solvents as sustainable alternatives to traditional </w:t>
      </w:r>
      <w:r w:rsidR="007B3FBA">
        <w:t>agents</w:t>
      </w:r>
      <w:r w:rsidR="007B3FBA" w:rsidRPr="00CD148F">
        <w:t xml:space="preserve"> </w:t>
      </w:r>
      <w:r w:rsidR="00584061">
        <w:rPr>
          <w:lang w:val="en-GB"/>
        </w:rPr>
        <w:t>(</w:t>
      </w:r>
      <w:r w:rsidR="00584061" w:rsidRPr="00C05AB5">
        <w:rPr>
          <w:rFonts w:cs="Arial"/>
          <w:color w:val="000000" w:themeColor="text1"/>
          <w:szCs w:val="18"/>
          <w:lang w:eastAsia="fr-FR"/>
        </w:rPr>
        <w:t>G</w:t>
      </w:r>
      <w:r w:rsidR="00584061">
        <w:rPr>
          <w:rFonts w:cs="Arial"/>
          <w:color w:val="000000" w:themeColor="text1"/>
          <w:szCs w:val="18"/>
          <w:lang w:eastAsia="fr-FR"/>
        </w:rPr>
        <w:t xml:space="preserve">raczová and </w:t>
      </w:r>
      <w:r w:rsidR="00584061" w:rsidRPr="00C05AB5">
        <w:rPr>
          <w:rFonts w:cs="Arial"/>
          <w:color w:val="000000" w:themeColor="text1"/>
          <w:szCs w:val="18"/>
          <w:lang w:eastAsia="fr-FR"/>
        </w:rPr>
        <w:t>S</w:t>
      </w:r>
      <w:r w:rsidR="00584061">
        <w:rPr>
          <w:rFonts w:cs="Arial"/>
          <w:color w:val="000000" w:themeColor="text1"/>
          <w:szCs w:val="18"/>
          <w:lang w:eastAsia="fr-FR"/>
        </w:rPr>
        <w:t>teltenpohl, 2015)</w:t>
      </w:r>
      <w:r w:rsidR="00584061">
        <w:t xml:space="preserve">. </w:t>
      </w:r>
    </w:p>
    <w:p w14:paraId="436B2E7E" w14:textId="5175BA17" w:rsidR="006771E5" w:rsidRDefault="006771E5" w:rsidP="00AB567B">
      <w:pPr>
        <w:pStyle w:val="CETBodytext"/>
      </w:pPr>
      <w:r w:rsidRPr="006771E5">
        <w:t>In this context, the present study investigates the influence of DES molar ratios and key operational variables in a rotary evaporator system. Rather than aiming at industrial-scale dehydration, this work provides a preliminary, proof-of-concept assessment of extractive distillation using DES in a simplified batch configuration. The study evaluates the effects of parameters such as bath temperature, vacuum pressure, and condensation conditions in order to identify operational trends and limitations. Compared with previous studies reporting ethanol purities up to 99</w:t>
      </w:r>
      <w:r w:rsidR="006F6043">
        <w:t xml:space="preserve"> </w:t>
      </w:r>
      <w:r w:rsidRPr="006771E5">
        <w:t xml:space="preserve">% using DES solvents (Fontana </w:t>
      </w:r>
      <w:r w:rsidRPr="006771E5">
        <w:rPr>
          <w:i/>
        </w:rPr>
        <w:t>et al.,</w:t>
      </w:r>
      <w:r w:rsidRPr="006771E5">
        <w:t xml:space="preserve"> 2021), the present system achieved a moderate level of dehydration. This result highlights the need for further optimization, including multi-stage operation and more detailed evaluation of vapor–liquid equilibrium behavior, particularly regarding the effectiveness of vacuum conditions in shifting the azeotropic composition.</w:t>
      </w:r>
    </w:p>
    <w:p w14:paraId="0468D594" w14:textId="77777777" w:rsidR="009D7877" w:rsidRDefault="009D7877" w:rsidP="00A664B3">
      <w:pPr>
        <w:pStyle w:val="CETHeading1"/>
        <w:numPr>
          <w:ilvl w:val="0"/>
          <w:numId w:val="35"/>
        </w:numPr>
        <w:ind w:left="426" w:hanging="426"/>
        <w:rPr>
          <w:lang w:val="en-GB"/>
        </w:rPr>
      </w:pPr>
      <w:r>
        <w:rPr>
          <w:lang w:val="en-GB"/>
        </w:rPr>
        <w:t>Materials and Methods</w:t>
      </w:r>
    </w:p>
    <w:p w14:paraId="44D6411E" w14:textId="77777777" w:rsidR="00F43B60" w:rsidRPr="00927B4D" w:rsidRDefault="00F43B60" w:rsidP="00927B4D">
      <w:pPr>
        <w:pStyle w:val="CETBodytext"/>
        <w:spacing w:line="240" w:lineRule="auto"/>
        <w:rPr>
          <w:b/>
          <w:lang w:val="en-GB"/>
        </w:rPr>
      </w:pPr>
      <w:r w:rsidRPr="001812CB">
        <w:rPr>
          <w:b/>
          <w:lang w:val="en-GB"/>
        </w:rPr>
        <w:t>2.1</w:t>
      </w:r>
      <w:r w:rsidRPr="00927B4D">
        <w:rPr>
          <w:b/>
          <w:lang w:val="en-GB"/>
        </w:rPr>
        <w:t xml:space="preserve"> Materials</w:t>
      </w:r>
    </w:p>
    <w:p w14:paraId="6A8CF822" w14:textId="456FAC10" w:rsidR="009D7877" w:rsidRPr="00A664B3" w:rsidRDefault="00F43B60" w:rsidP="00AB567B">
      <w:pPr>
        <w:pStyle w:val="Textodecomentrio"/>
        <w:rPr>
          <w:lang w:val="en-US"/>
        </w:rPr>
      </w:pPr>
      <w:r w:rsidRPr="00701131">
        <w:t>Choline chloride (ChCl) with a purity of 98</w:t>
      </w:r>
      <w:r w:rsidR="006F6043">
        <w:t xml:space="preserve"> </w:t>
      </w:r>
      <w:r w:rsidRPr="00701131">
        <w:t>%</w:t>
      </w:r>
      <w:r w:rsidR="00701131">
        <w:t>,</w:t>
      </w:r>
      <w:r w:rsidR="00701131" w:rsidRPr="00701131">
        <w:t xml:space="preserve"> was used as HBA</w:t>
      </w:r>
      <w:r w:rsidR="00701131">
        <w:t>,</w:t>
      </w:r>
      <w:r w:rsidR="00701131" w:rsidRPr="00701131">
        <w:t xml:space="preserve"> and</w:t>
      </w:r>
      <w:r w:rsidR="007A536E">
        <w:t xml:space="preserve"> </w:t>
      </w:r>
      <w:r w:rsidR="00701131" w:rsidRPr="00F144E1">
        <w:t>an 85</w:t>
      </w:r>
      <w:r w:rsidR="006F6043">
        <w:t xml:space="preserve"> </w:t>
      </w:r>
      <w:r w:rsidR="00701131" w:rsidRPr="00F144E1">
        <w:t>% aqueous solution</w:t>
      </w:r>
      <w:r w:rsidR="007A536E">
        <w:t xml:space="preserve"> </w:t>
      </w:r>
      <w:r w:rsidR="00701131">
        <w:t xml:space="preserve">of </w:t>
      </w:r>
      <w:r w:rsidRPr="00701131">
        <w:t xml:space="preserve">Lactic Acid </w:t>
      </w:r>
      <w:r w:rsidR="00820041" w:rsidRPr="00701131">
        <w:t>(LA)</w:t>
      </w:r>
      <w:r w:rsidR="00701131">
        <w:t xml:space="preserve"> was used as HBD, without </w:t>
      </w:r>
      <w:r w:rsidR="00AB567B">
        <w:t xml:space="preserve">prior </w:t>
      </w:r>
      <w:r w:rsidR="00701131">
        <w:t>purification</w:t>
      </w:r>
      <w:r w:rsidR="00010DB9">
        <w:t xml:space="preserve">. </w:t>
      </w:r>
      <w:r w:rsidR="005921BC" w:rsidRPr="005921BC">
        <w:t>This implies that additional water was introduced into the DES system from the beginning, which may influence both solvent proper</w:t>
      </w:r>
      <w:r w:rsidR="005921BC">
        <w:t xml:space="preserve">ties and separation performance. </w:t>
      </w:r>
      <w:r w:rsidR="00701131">
        <w:t>The m</w:t>
      </w:r>
      <w:r w:rsidR="00820041">
        <w:t>ixture</w:t>
      </w:r>
      <w:r w:rsidR="007A536E">
        <w:t xml:space="preserve"> </w:t>
      </w:r>
      <w:r w:rsidR="003D638D">
        <w:t>of</w:t>
      </w:r>
      <w:r w:rsidR="00AB457C">
        <w:t xml:space="preserve"> distilled</w:t>
      </w:r>
      <w:r w:rsidR="00820041">
        <w:t xml:space="preserve"> water</w:t>
      </w:r>
      <w:r w:rsidR="00701131">
        <w:t xml:space="preserve"> and </w:t>
      </w:r>
      <w:r w:rsidR="00820041">
        <w:t>ethanol</w:t>
      </w:r>
      <w:r w:rsidR="00010DB9">
        <w:t xml:space="preserve"> </w:t>
      </w:r>
      <w:r w:rsidR="00E864AE">
        <w:t>(</w:t>
      </w:r>
      <w:r w:rsidR="00E864AE" w:rsidRPr="00E864AE">
        <w:t>Absolu</w:t>
      </w:r>
      <w:r w:rsidR="00484A7E">
        <w:t xml:space="preserve">te Ethyl Alcohol, </w:t>
      </w:r>
      <w:r w:rsidR="00E864AE" w:rsidRPr="00E864AE">
        <w:t>Êxodo</w:t>
      </w:r>
      <w:r w:rsidR="007A536E">
        <w:t xml:space="preserve"> </w:t>
      </w:r>
      <w:r w:rsidR="00484A7E">
        <w:t>Científica, Brazil</w:t>
      </w:r>
      <w:r w:rsidR="00E864AE" w:rsidRPr="00E864AE">
        <w:t>, with a purity of</w:t>
      </w:r>
      <w:r w:rsidR="005921BC">
        <w:t xml:space="preserve"> 99.8</w:t>
      </w:r>
      <w:r w:rsidR="006F6043">
        <w:t xml:space="preserve"> </w:t>
      </w:r>
      <w:r w:rsidR="00E864AE" w:rsidRPr="00E864AE">
        <w:t>%</w:t>
      </w:r>
      <w:r w:rsidR="00E864AE">
        <w:t>)</w:t>
      </w:r>
      <w:r w:rsidRPr="00F43B60">
        <w:t xml:space="preserve"> at a volume ratio of 2:1 (two parts of water to one part of ethanol</w:t>
      </w:r>
      <w:r w:rsidR="00701131" w:rsidRPr="00F43B60">
        <w:t>)</w:t>
      </w:r>
      <w:r w:rsidR="00701131">
        <w:t xml:space="preserve"> was prepared to</w:t>
      </w:r>
      <w:r w:rsidR="00701131" w:rsidRPr="00F43B60">
        <w:t xml:space="preserve"> simulat</w:t>
      </w:r>
      <w:r w:rsidR="00701131">
        <w:t xml:space="preserve">e </w:t>
      </w:r>
      <w:r w:rsidR="00820041">
        <w:t>a diluted bioethanol stream.</w:t>
      </w:r>
    </w:p>
    <w:p w14:paraId="3D182132" w14:textId="77777777" w:rsidR="00007493" w:rsidRPr="00A664B3" w:rsidRDefault="00007493" w:rsidP="00007493">
      <w:pPr>
        <w:pStyle w:val="CETBodytext"/>
        <w:ind w:left="720"/>
      </w:pPr>
    </w:p>
    <w:p w14:paraId="61BE43C5" w14:textId="77777777" w:rsidR="00820041" w:rsidRPr="00927B4D" w:rsidRDefault="00820041" w:rsidP="00AB567B">
      <w:pPr>
        <w:pStyle w:val="CETBodytext"/>
        <w:rPr>
          <w:b/>
          <w:lang w:val="en-GB"/>
        </w:rPr>
      </w:pPr>
      <w:r w:rsidRPr="00927B4D">
        <w:rPr>
          <w:b/>
          <w:lang w:val="en-GB"/>
        </w:rPr>
        <w:t>2.2 Preparation of Deep Eutectic Solvents (DES)</w:t>
      </w:r>
    </w:p>
    <w:p w14:paraId="5B3AB6C7" w14:textId="65734B66" w:rsidR="00007493" w:rsidRDefault="006B51B0" w:rsidP="00820041">
      <w:pPr>
        <w:pStyle w:val="CETBodytext"/>
        <w:rPr>
          <w:lang w:val="en-GB"/>
        </w:rPr>
      </w:pPr>
      <w:r w:rsidRPr="006B51B0">
        <w:rPr>
          <w:lang w:val="en-GB"/>
        </w:rPr>
        <w:t>DES</w:t>
      </w:r>
      <w:r w:rsidR="00AB567B">
        <w:rPr>
          <w:lang w:val="en-GB"/>
        </w:rPr>
        <w:t>s</w:t>
      </w:r>
      <w:r w:rsidRPr="006B51B0">
        <w:rPr>
          <w:lang w:val="en-GB"/>
        </w:rPr>
        <w:t xml:space="preserve"> were synthesized by mixing Choline Chloride (ChCl) as HBA and Lactic Acid (LA) as HBD in molar ratios of 1:2 and 1:1.5 ChCl:LA</w:t>
      </w:r>
      <w:r w:rsidR="00AB567B">
        <w:rPr>
          <w:lang w:val="en-GB"/>
        </w:rPr>
        <w:t>, resulting in a partially hydrated DES</w:t>
      </w:r>
      <w:r w:rsidRPr="006B51B0">
        <w:rPr>
          <w:lang w:val="en-GB"/>
        </w:rPr>
        <w:t>. The mixtures were stirred continuously at 80</w:t>
      </w:r>
      <w:r w:rsidR="006F6043">
        <w:rPr>
          <w:lang w:val="en-GB"/>
        </w:rPr>
        <w:t xml:space="preserve"> </w:t>
      </w:r>
      <w:r w:rsidRPr="006B51B0">
        <w:rPr>
          <w:lang w:val="en-GB"/>
        </w:rPr>
        <w:t xml:space="preserve">°C under an inert atmosphere until a homogeneous, clear, and transparent liquid was obtained. The stability of the DES was confirmed by the absence of </w:t>
      </w:r>
      <w:r w:rsidR="00AB567B">
        <w:rPr>
          <w:lang w:val="en-GB"/>
        </w:rPr>
        <w:t>recrystallization</w:t>
      </w:r>
      <w:r w:rsidRPr="006B51B0">
        <w:rPr>
          <w:lang w:val="en-GB"/>
        </w:rPr>
        <w:t xml:space="preserve"> upon cooling to room temperature (Arantes </w:t>
      </w:r>
      <w:r w:rsidRPr="00C66970">
        <w:rPr>
          <w:i/>
          <w:lang w:val="en-GB"/>
        </w:rPr>
        <w:t>et al.,</w:t>
      </w:r>
      <w:r w:rsidRPr="006B51B0">
        <w:rPr>
          <w:lang w:val="en-GB"/>
        </w:rPr>
        <w:t xml:space="preserve"> 2024).</w:t>
      </w:r>
    </w:p>
    <w:p w14:paraId="7682E4CE" w14:textId="77777777" w:rsidR="006B51B0" w:rsidRDefault="006B51B0" w:rsidP="00820041">
      <w:pPr>
        <w:pStyle w:val="CETBodytext"/>
        <w:rPr>
          <w:lang w:val="en-GB"/>
        </w:rPr>
      </w:pPr>
    </w:p>
    <w:p w14:paraId="16909DFC" w14:textId="77777777" w:rsidR="00007493" w:rsidRPr="00927B4D" w:rsidRDefault="00007493" w:rsidP="00A664B3">
      <w:pPr>
        <w:pStyle w:val="CETBodytext"/>
        <w:rPr>
          <w:b/>
          <w:lang w:val="en-GB"/>
        </w:rPr>
      </w:pPr>
      <w:r w:rsidRPr="00927B4D">
        <w:rPr>
          <w:b/>
          <w:lang w:val="en-GB"/>
        </w:rPr>
        <w:t>2.3 Experimental Setup</w:t>
      </w:r>
      <w:r w:rsidR="005F336F">
        <w:rPr>
          <w:b/>
          <w:lang w:val="en-GB"/>
        </w:rPr>
        <w:t xml:space="preserve">: </w:t>
      </w:r>
      <w:r w:rsidR="005F336F" w:rsidRPr="005F336F">
        <w:rPr>
          <w:b/>
          <w:lang w:val="en-GB"/>
        </w:rPr>
        <w:t>Rotary evaporator as a bench-scale extractive distillation system</w:t>
      </w:r>
    </w:p>
    <w:p w14:paraId="45099CCC" w14:textId="77777777" w:rsidR="00052ECA" w:rsidRDefault="00007493" w:rsidP="005056B0">
      <w:pPr>
        <w:pStyle w:val="CETBodytext"/>
        <w:rPr>
          <w:lang w:val="en-GB"/>
        </w:rPr>
      </w:pPr>
      <w:r w:rsidRPr="00007493">
        <w:rPr>
          <w:lang w:val="en-GB"/>
        </w:rPr>
        <w:t xml:space="preserve">The extractive distillation process was conducted using a Büchi R-100 Rotavapor® System. </w:t>
      </w:r>
    </w:p>
    <w:p w14:paraId="1CD10631" w14:textId="2022C96F" w:rsidR="00B652FA" w:rsidRDefault="00812655" w:rsidP="005056B0">
      <w:pPr>
        <w:pStyle w:val="CETBodytext"/>
        <w:rPr>
          <w:lang w:val="en-GB"/>
        </w:rPr>
      </w:pPr>
      <w:r w:rsidRPr="00812655">
        <w:rPr>
          <w:lang w:val="en-GB"/>
        </w:rPr>
        <w:t xml:space="preserve">The procedure began with the preparation phase, </w:t>
      </w:r>
      <w:r w:rsidR="00B652FA">
        <w:rPr>
          <w:lang w:val="en-GB"/>
        </w:rPr>
        <w:t>in which a</w:t>
      </w:r>
      <w:r w:rsidRPr="00812655">
        <w:rPr>
          <w:lang w:val="en-GB"/>
        </w:rPr>
        <w:t xml:space="preserve"> water-ethanol mixture (2:1 volume ratio) and the DES (</w:t>
      </w:r>
      <w:r w:rsidR="003661E4">
        <w:rPr>
          <w:lang w:val="en-GB"/>
        </w:rPr>
        <w:t>solvent</w:t>
      </w:r>
      <w:r w:rsidRPr="00812655">
        <w:rPr>
          <w:lang w:val="en-GB"/>
        </w:rPr>
        <w:t xml:space="preserve">) were charged into the evaporation flask (Figure </w:t>
      </w:r>
      <w:r w:rsidR="00E92336" w:rsidRPr="00812655">
        <w:rPr>
          <w:lang w:val="en-GB"/>
        </w:rPr>
        <w:t>1a</w:t>
      </w:r>
      <w:r w:rsidR="00176C49">
        <w:rPr>
          <w:lang w:val="en-GB"/>
        </w:rPr>
        <w:t>,</w:t>
      </w:r>
      <w:r w:rsidRPr="00812655">
        <w:rPr>
          <w:lang w:val="en-GB"/>
        </w:rPr>
        <w:t xml:space="preserve">b). </w:t>
      </w:r>
      <w:r w:rsidR="00010DB9">
        <w:rPr>
          <w:lang w:val="en-GB"/>
        </w:rPr>
        <w:t>Then</w:t>
      </w:r>
      <w:r w:rsidRPr="00812655">
        <w:rPr>
          <w:lang w:val="en-GB"/>
        </w:rPr>
        <w:t xml:space="preserve">, the system </w:t>
      </w:r>
      <w:r w:rsidR="00B652FA">
        <w:rPr>
          <w:lang w:val="en-GB"/>
        </w:rPr>
        <w:t>reached</w:t>
      </w:r>
      <w:r w:rsidR="0095544B">
        <w:rPr>
          <w:lang w:val="en-GB"/>
        </w:rPr>
        <w:t xml:space="preserve"> </w:t>
      </w:r>
      <w:r w:rsidRPr="00812655">
        <w:rPr>
          <w:lang w:val="en-GB"/>
        </w:rPr>
        <w:t>thermal equilibrium by immersing the flask in the heating bath</w:t>
      </w:r>
      <w:r w:rsidR="00010DB9">
        <w:rPr>
          <w:lang w:val="en-GB"/>
        </w:rPr>
        <w:t>, where</w:t>
      </w:r>
      <w:r w:rsidRPr="00812655">
        <w:rPr>
          <w:lang w:val="en-GB"/>
        </w:rPr>
        <w:t xml:space="preserve"> the mixture remained at rest until the </w:t>
      </w:r>
      <w:r w:rsidR="00094500">
        <w:rPr>
          <w:lang w:val="en-GB"/>
        </w:rPr>
        <w:t>chosen</w:t>
      </w:r>
      <w:r w:rsidRPr="00812655">
        <w:rPr>
          <w:lang w:val="en-GB"/>
        </w:rPr>
        <w:t xml:space="preserve"> bath temperature (T</w:t>
      </w:r>
      <w:r w:rsidRPr="00B652FA">
        <w:rPr>
          <w:vertAlign w:val="subscript"/>
          <w:lang w:val="en-GB"/>
        </w:rPr>
        <w:t>bath</w:t>
      </w:r>
      <w:r w:rsidRPr="00812655">
        <w:rPr>
          <w:lang w:val="en-GB"/>
        </w:rPr>
        <w:t xml:space="preserve">) was </w:t>
      </w:r>
      <w:r w:rsidR="00B652FA">
        <w:rPr>
          <w:lang w:val="en-GB"/>
        </w:rPr>
        <w:t>achieved</w:t>
      </w:r>
      <w:r w:rsidRPr="00812655">
        <w:rPr>
          <w:lang w:val="en-GB"/>
        </w:rPr>
        <w:t xml:space="preserve">. </w:t>
      </w:r>
    </w:p>
    <w:p w14:paraId="19E7559A" w14:textId="7FE72DFD" w:rsidR="00A67BB8" w:rsidRDefault="00094500" w:rsidP="005056B0">
      <w:pPr>
        <w:pStyle w:val="CETBodytext"/>
        <w:rPr>
          <w:lang w:val="en-GB"/>
        </w:rPr>
      </w:pPr>
      <w:r>
        <w:rPr>
          <w:lang w:val="en-GB"/>
        </w:rPr>
        <w:t>After that</w:t>
      </w:r>
      <w:r w:rsidR="00812655" w:rsidRPr="00812655">
        <w:rPr>
          <w:lang w:val="en-GB"/>
        </w:rPr>
        <w:t xml:space="preserve">, the process was </w:t>
      </w:r>
      <w:r w:rsidR="00B652FA">
        <w:rPr>
          <w:lang w:val="en-GB"/>
        </w:rPr>
        <w:t>initiated</w:t>
      </w:r>
      <w:r w:rsidR="00010DB9">
        <w:rPr>
          <w:lang w:val="en-GB"/>
        </w:rPr>
        <w:t xml:space="preserve"> </w:t>
      </w:r>
      <w:r w:rsidR="00812655" w:rsidRPr="00812655">
        <w:rPr>
          <w:lang w:val="en-GB"/>
        </w:rPr>
        <w:t>by activating the rotation, vacuum pump (P</w:t>
      </w:r>
      <w:r w:rsidR="00812655" w:rsidRPr="00B652FA">
        <w:rPr>
          <w:vertAlign w:val="subscript"/>
          <w:lang w:val="en-GB"/>
        </w:rPr>
        <w:t>vac</w:t>
      </w:r>
      <w:r w:rsidR="00812655" w:rsidRPr="00812655">
        <w:rPr>
          <w:lang w:val="en-GB"/>
        </w:rPr>
        <w:t>), and recirculating chiller (T</w:t>
      </w:r>
      <w:r w:rsidR="00812655" w:rsidRPr="00B652FA">
        <w:rPr>
          <w:vertAlign w:val="subscript"/>
          <w:lang w:val="en-GB"/>
        </w:rPr>
        <w:t>chiller</w:t>
      </w:r>
      <w:r w:rsidR="00812655" w:rsidRPr="00812655">
        <w:rPr>
          <w:lang w:val="en-GB"/>
        </w:rPr>
        <w:t xml:space="preserve">) via the system interface. The volatilization </w:t>
      </w:r>
      <w:r w:rsidR="00010DB9">
        <w:rPr>
          <w:lang w:val="en-GB"/>
        </w:rPr>
        <w:t xml:space="preserve">beginning </w:t>
      </w:r>
      <w:r w:rsidR="00812655" w:rsidRPr="00812655">
        <w:rPr>
          <w:lang w:val="en-GB"/>
        </w:rPr>
        <w:t xml:space="preserve">was identified by the appearance of bubbles within the flask (Figure </w:t>
      </w:r>
      <w:r w:rsidR="00812655">
        <w:rPr>
          <w:lang w:val="en-GB"/>
        </w:rPr>
        <w:t>1</w:t>
      </w:r>
      <w:r w:rsidR="00812655" w:rsidRPr="00812655">
        <w:rPr>
          <w:lang w:val="en-GB"/>
        </w:rPr>
        <w:t xml:space="preserve">c). The generated vapors then entered the condenser, contacting the refrigerated </w:t>
      </w:r>
      <w:r w:rsidR="00176C49">
        <w:rPr>
          <w:lang w:val="en-GB"/>
        </w:rPr>
        <w:t xml:space="preserve">recirculating fluid in the chiller coil </w:t>
      </w:r>
      <w:r w:rsidR="00812655" w:rsidRPr="00812655">
        <w:rPr>
          <w:lang w:val="en-GB"/>
        </w:rPr>
        <w:t xml:space="preserve">to form droplets that flowed into the receiving flask as the purified distillate (Figure </w:t>
      </w:r>
      <w:r w:rsidR="00812655">
        <w:rPr>
          <w:lang w:val="en-GB"/>
        </w:rPr>
        <w:t>1</w:t>
      </w:r>
      <w:r w:rsidR="00812655" w:rsidRPr="00812655">
        <w:rPr>
          <w:lang w:val="en-GB"/>
        </w:rPr>
        <w:t xml:space="preserve">d). The process was monitored visually and concluded when bubbling in the evaporation flask </w:t>
      </w:r>
      <w:r w:rsidR="00A664B3" w:rsidRPr="00812655">
        <w:rPr>
          <w:lang w:val="en-GB"/>
        </w:rPr>
        <w:t xml:space="preserve">and droplet formation </w:t>
      </w:r>
      <w:r w:rsidR="00010DB9">
        <w:rPr>
          <w:lang w:val="en-GB"/>
        </w:rPr>
        <w:t>ended</w:t>
      </w:r>
      <w:r w:rsidR="00A664B3" w:rsidRPr="00812655">
        <w:rPr>
          <w:lang w:val="en-GB"/>
        </w:rPr>
        <w:t xml:space="preserve"> </w:t>
      </w:r>
      <w:r w:rsidR="00812655" w:rsidRPr="00812655">
        <w:rPr>
          <w:lang w:val="en-GB"/>
        </w:rPr>
        <w:t xml:space="preserve">(Figure </w:t>
      </w:r>
      <w:r w:rsidR="00812655">
        <w:rPr>
          <w:lang w:val="en-GB"/>
        </w:rPr>
        <w:t>1</w:t>
      </w:r>
      <w:r w:rsidR="00A664B3">
        <w:rPr>
          <w:lang w:val="en-GB"/>
        </w:rPr>
        <w:t>e,</w:t>
      </w:r>
      <w:r w:rsidR="00812655" w:rsidRPr="00812655">
        <w:rPr>
          <w:lang w:val="en-GB"/>
        </w:rPr>
        <w:t xml:space="preserve">f), indicating the </w:t>
      </w:r>
      <w:r w:rsidR="00B652FA">
        <w:rPr>
          <w:lang w:val="en-GB"/>
        </w:rPr>
        <w:t>complete</w:t>
      </w:r>
      <w:r w:rsidR="0095544B">
        <w:rPr>
          <w:lang w:val="en-GB"/>
        </w:rPr>
        <w:t xml:space="preserve"> </w:t>
      </w:r>
      <w:r w:rsidR="00812655" w:rsidRPr="00812655">
        <w:rPr>
          <w:lang w:val="en-GB"/>
        </w:rPr>
        <w:t>distillation of the volatile components. All experimental runs were standardized to a total duration of 47 minutes</w:t>
      </w:r>
      <w:r w:rsidR="00B652FA">
        <w:rPr>
          <w:lang w:val="en-GB"/>
        </w:rPr>
        <w:t xml:space="preserve"> to ensure comparability</w:t>
      </w:r>
      <w:r w:rsidR="00812655" w:rsidRPr="00812655">
        <w:rPr>
          <w:lang w:val="en-GB"/>
        </w:rPr>
        <w:t>.</w:t>
      </w:r>
      <w:r w:rsidR="003F060B">
        <w:rPr>
          <w:lang w:val="en-GB"/>
        </w:rPr>
        <w:t xml:space="preserve"> C</w:t>
      </w:r>
      <w:r w:rsidR="003F060B" w:rsidRPr="003F060B">
        <w:rPr>
          <w:lang w:val="en-GB"/>
        </w:rPr>
        <w:t>onsidering the presence of 15</w:t>
      </w:r>
      <w:r w:rsidR="006F6043">
        <w:rPr>
          <w:lang w:val="en-GB"/>
        </w:rPr>
        <w:t xml:space="preserve"> </w:t>
      </w:r>
      <w:r w:rsidR="003F060B" w:rsidRPr="003F060B">
        <w:rPr>
          <w:lang w:val="en-GB"/>
        </w:rPr>
        <w:t>% of water in the lactic acid used, the feed</w:t>
      </w:r>
      <w:r w:rsidR="005921BC">
        <w:rPr>
          <w:lang w:val="en-GB"/>
        </w:rPr>
        <w:t xml:space="preserve"> of water was approximately 66</w:t>
      </w:r>
      <w:r w:rsidR="006F6043">
        <w:rPr>
          <w:lang w:val="en-GB"/>
        </w:rPr>
        <w:t xml:space="preserve"> </w:t>
      </w:r>
      <w:r w:rsidR="005921BC">
        <w:rPr>
          <w:lang w:val="en-GB"/>
        </w:rPr>
        <w:t xml:space="preserve">%, </w:t>
      </w:r>
      <w:r w:rsidR="005921BC" w:rsidRPr="005921BC">
        <w:rPr>
          <w:lang w:val="en-GB"/>
        </w:rPr>
        <w:t>including the contribution from the hydrated lactic ac</w:t>
      </w:r>
      <w:r w:rsidR="005921BC">
        <w:rPr>
          <w:lang w:val="en-GB"/>
        </w:rPr>
        <w:t>id.</w:t>
      </w:r>
    </w:p>
    <w:p w14:paraId="5ACBB994" w14:textId="77777777" w:rsidR="00A664B3" w:rsidRPr="00615935" w:rsidRDefault="00A664B3" w:rsidP="00A664B3">
      <w:pPr>
        <w:pStyle w:val="CETBodytext"/>
        <w:spacing w:before="240"/>
        <w:rPr>
          <w:b/>
          <w:lang w:val="en-GB"/>
        </w:rPr>
      </w:pPr>
      <w:r w:rsidRPr="00615935">
        <w:rPr>
          <w:b/>
          <w:lang w:val="en-GB"/>
        </w:rPr>
        <w:t>2.4 Analytical Characterization</w:t>
      </w:r>
    </w:p>
    <w:p w14:paraId="294F8C80" w14:textId="700BB17F" w:rsidR="00A85DE0" w:rsidRDefault="00A664B3" w:rsidP="00A664B3">
      <w:pPr>
        <w:pStyle w:val="CETBodytext"/>
        <w:rPr>
          <w:lang w:val="en-GB"/>
        </w:rPr>
      </w:pPr>
      <w:r>
        <w:rPr>
          <w:lang w:val="en-GB"/>
        </w:rPr>
        <w:t>P</w:t>
      </w:r>
      <w:r w:rsidRPr="00302CF3">
        <w:rPr>
          <w:lang w:val="en-GB"/>
        </w:rPr>
        <w:t>hysicochemical properties of the phases were characterized using specific analytical methods to ensure precision and equipment in</w:t>
      </w:r>
      <w:r>
        <w:rPr>
          <w:lang w:val="en-GB"/>
        </w:rPr>
        <w:t>tegrity. The water content</w:t>
      </w:r>
      <w:r w:rsidRPr="00302CF3">
        <w:rPr>
          <w:lang w:val="en-GB"/>
        </w:rPr>
        <w:t xml:space="preserve"> in the pure DES, initial feed, distillate, and residue was quantified by Karl Fischer </w:t>
      </w:r>
      <w:r>
        <w:rPr>
          <w:lang w:val="en-GB"/>
        </w:rPr>
        <w:t xml:space="preserve">(KF) </w:t>
      </w:r>
      <w:r w:rsidRPr="00302CF3">
        <w:rPr>
          <w:lang w:val="en-GB"/>
        </w:rPr>
        <w:t>titration using a Metrohm titrator, following ASTM D6304-21 standard. This technique, based on the Bunsen reaction b</w:t>
      </w:r>
      <w:r>
        <w:rPr>
          <w:lang w:val="en-GB"/>
        </w:rPr>
        <w:t>etween iodine and sulfur</w:t>
      </w:r>
      <w:r w:rsidRPr="00904706">
        <w:rPr>
          <w:lang w:val="en-GB"/>
        </w:rPr>
        <w:t xml:space="preserve">dioxide, </w:t>
      </w:r>
      <w:r>
        <w:rPr>
          <w:lang w:val="en-GB"/>
        </w:rPr>
        <w:t>allows</w:t>
      </w:r>
      <w:r w:rsidRPr="00904706">
        <w:rPr>
          <w:lang w:val="en-GB"/>
        </w:rPr>
        <w:t xml:space="preserve"> for high-precision </w:t>
      </w:r>
      <w:r>
        <w:rPr>
          <w:lang w:val="en-GB"/>
        </w:rPr>
        <w:t xml:space="preserve">moisture </w:t>
      </w:r>
      <w:r w:rsidRPr="00904706">
        <w:rPr>
          <w:lang w:val="en-GB"/>
        </w:rPr>
        <w:t>determination.</w:t>
      </w:r>
    </w:p>
    <w:p w14:paraId="64A43EA1" w14:textId="77777777" w:rsidR="00A664B3" w:rsidRDefault="00A664B3" w:rsidP="00A664B3">
      <w:pPr>
        <w:pStyle w:val="CETBodytext"/>
        <w:rPr>
          <w:lang w:val="en-GB"/>
        </w:rPr>
      </w:pPr>
      <w:r w:rsidRPr="00302CF3">
        <w:rPr>
          <w:lang w:val="en-GB"/>
        </w:rPr>
        <w:lastRenderedPageBreak/>
        <w:t xml:space="preserve">Due to the high viscosity and </w:t>
      </w:r>
      <w:r>
        <w:rPr>
          <w:lang w:val="en-GB"/>
        </w:rPr>
        <w:t>notably</w:t>
      </w:r>
      <w:r w:rsidRPr="00302CF3">
        <w:rPr>
          <w:lang w:val="en-GB"/>
        </w:rPr>
        <w:t xml:space="preserve"> low pH of the DES mixtures, which could potentially damage electronic sensors, a Ford Cup viscometer was employed to measure viscosity</w:t>
      </w:r>
      <w:r w:rsidR="00A74204">
        <w:rPr>
          <w:lang w:val="en-GB"/>
        </w:rPr>
        <w:t xml:space="preserve"> at </w:t>
      </w:r>
      <w:r w:rsidR="005F336F">
        <w:rPr>
          <w:lang w:val="en-GB"/>
        </w:rPr>
        <w:t xml:space="preserve">room </w:t>
      </w:r>
      <w:r w:rsidR="00A74204">
        <w:rPr>
          <w:lang w:val="en-GB"/>
        </w:rPr>
        <w:t>temperature</w:t>
      </w:r>
      <w:r>
        <w:rPr>
          <w:lang w:val="en-GB"/>
        </w:rPr>
        <w:t xml:space="preserve">. </w:t>
      </w:r>
      <w:r w:rsidRPr="00302CF3">
        <w:rPr>
          <w:lang w:val="en-GB"/>
        </w:rPr>
        <w:t xml:space="preserve">This method </w:t>
      </w:r>
      <w:r>
        <w:rPr>
          <w:lang w:val="en-GB"/>
        </w:rPr>
        <w:t>determines</w:t>
      </w:r>
      <w:r w:rsidRPr="00302CF3">
        <w:rPr>
          <w:lang w:val="en-GB"/>
        </w:rPr>
        <w:t xml:space="preserve"> the flow time of a calibrated volume of liquid through a standardized orifice. </w:t>
      </w:r>
    </w:p>
    <w:p w14:paraId="0C03A426" w14:textId="5CE8090B" w:rsidR="00A664B3" w:rsidRDefault="00A664B3" w:rsidP="00A664B3">
      <w:pPr>
        <w:pStyle w:val="CETBodytext"/>
        <w:rPr>
          <w:lang w:val="en-GB"/>
        </w:rPr>
      </w:pPr>
      <w:r w:rsidRPr="00302CF3">
        <w:rPr>
          <w:lang w:val="en-GB"/>
        </w:rPr>
        <w:t>Additionally, density was determined gravimetrically</w:t>
      </w:r>
      <w:r w:rsidR="00035D4B">
        <w:rPr>
          <w:lang w:val="en-GB"/>
        </w:rPr>
        <w:t xml:space="preserve"> at room temperature,</w:t>
      </w:r>
      <w:r w:rsidRPr="00302CF3">
        <w:rPr>
          <w:lang w:val="en-GB"/>
        </w:rPr>
        <w:t xml:space="preserve"> through direct mass and volume measurements, while pH was monitored using indicator strips. Finally,</w:t>
      </w:r>
      <w:r w:rsidR="00176C49">
        <w:rPr>
          <w:lang w:val="en-GB"/>
        </w:rPr>
        <w:t xml:space="preserve"> </w:t>
      </w:r>
      <w:r w:rsidRPr="00302CF3">
        <w:rPr>
          <w:lang w:val="en-GB"/>
        </w:rPr>
        <w:t>a qualitative visual analysis was performed to identify potential solvent entrainment; a greenish tint in the residue served as a marker for the presence of DES</w:t>
      </w:r>
      <w:r w:rsidR="00176C49">
        <w:rPr>
          <w:lang w:val="en-GB"/>
        </w:rPr>
        <w:t xml:space="preserve"> and, in the meantime,</w:t>
      </w:r>
      <w:r w:rsidRPr="00302CF3">
        <w:rPr>
          <w:lang w:val="en-GB"/>
        </w:rPr>
        <w:t xml:space="preserve"> a colorless appearance in the distillate indicated successful separation without contamination.</w:t>
      </w:r>
    </w:p>
    <w:p w14:paraId="02BCEA60" w14:textId="77777777" w:rsidR="00A664B3" w:rsidRDefault="00A664B3" w:rsidP="00A664B3">
      <w:pPr>
        <w:pStyle w:val="CETBodytext"/>
        <w:rPr>
          <w:lang w:val="en-GB"/>
        </w:rPr>
      </w:pPr>
    </w:p>
    <w:p w14:paraId="24780A91" w14:textId="77777777" w:rsidR="00A67BB8" w:rsidRDefault="00A67BB8" w:rsidP="00A67BB8">
      <w:pPr>
        <w:pStyle w:val="CETBodytext"/>
        <w:rPr>
          <w:lang w:val="en-GB"/>
        </w:rPr>
      </w:pPr>
      <w:r w:rsidRPr="00A67BB8">
        <w:rPr>
          <w:noProof/>
          <w:lang w:val="fr-FR" w:eastAsia="fr-FR"/>
        </w:rPr>
        <w:drawing>
          <wp:inline distT="0" distB="0" distL="0" distR="0" wp14:anchorId="5EFAED0E" wp14:editId="5B65239A">
            <wp:extent cx="5623560" cy="1712603"/>
            <wp:effectExtent l="0" t="0" r="0" b="190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33188" cy="1715535"/>
                    </a:xfrm>
                    <a:prstGeom prst="rect">
                      <a:avLst/>
                    </a:prstGeom>
                  </pic:spPr>
                </pic:pic>
              </a:graphicData>
            </a:graphic>
          </wp:inline>
        </w:drawing>
      </w:r>
    </w:p>
    <w:p w14:paraId="2C3A1E2B" w14:textId="77777777" w:rsidR="0045484C" w:rsidRPr="009F55A9" w:rsidRDefault="0045484C" w:rsidP="009F55A9">
      <w:pPr>
        <w:pStyle w:val="CETBodytext"/>
        <w:numPr>
          <w:ilvl w:val="0"/>
          <w:numId w:val="33"/>
        </w:numPr>
        <w:rPr>
          <w:rStyle w:val="CETCaptionCarattere"/>
          <w:b/>
          <w:i w:val="0"/>
        </w:rPr>
      </w:pPr>
      <w:r w:rsidRPr="009F55A9">
        <w:rPr>
          <w:rStyle w:val="CETCaptionCarattere"/>
          <w:b/>
          <w:i w:val="0"/>
        </w:rPr>
        <w:t xml:space="preserve">                       (b)                            (c)                          (d)                      (e)                        (f)</w:t>
      </w:r>
    </w:p>
    <w:p w14:paraId="4E52D858" w14:textId="48660675" w:rsidR="00ED306B" w:rsidRPr="00615935" w:rsidRDefault="00AD54EE" w:rsidP="00004E74">
      <w:pPr>
        <w:pStyle w:val="CETBodytext"/>
        <w:rPr>
          <w:lang w:val="en-GB"/>
        </w:rPr>
      </w:pPr>
      <w:r>
        <w:rPr>
          <w:rStyle w:val="CETCaptionCarattere"/>
        </w:rPr>
        <w:t xml:space="preserve">Figure </w:t>
      </w:r>
      <w:r w:rsidR="005056B0">
        <w:rPr>
          <w:rStyle w:val="CETCaptionCarattere"/>
        </w:rPr>
        <w:t>1</w:t>
      </w:r>
      <w:r w:rsidR="00A67BB8" w:rsidRPr="00BD077D">
        <w:rPr>
          <w:rStyle w:val="CETCaptionCarattere"/>
        </w:rPr>
        <w:t>:</w:t>
      </w:r>
      <w:r w:rsidR="00D77CBE">
        <w:rPr>
          <w:rStyle w:val="CETCaptionCarattere"/>
        </w:rPr>
        <w:t xml:space="preserve"> </w:t>
      </w:r>
      <w:r w:rsidRPr="00AD54EE">
        <w:rPr>
          <w:rStyle w:val="CETCaptionCarattere"/>
        </w:rPr>
        <w:t xml:space="preserve">Photos from run 1 </w:t>
      </w:r>
      <w:r w:rsidR="000B36DE">
        <w:rPr>
          <w:rStyle w:val="CETCaptionCarattere"/>
        </w:rPr>
        <w:t xml:space="preserve">steps </w:t>
      </w:r>
      <w:r w:rsidRPr="00AD54EE">
        <w:rPr>
          <w:rStyle w:val="CETCaptionCarattere"/>
        </w:rPr>
        <w:t xml:space="preserve">captured throughout the </w:t>
      </w:r>
      <w:r w:rsidR="000B36DE">
        <w:rPr>
          <w:rStyle w:val="CETCaptionCarattere"/>
        </w:rPr>
        <w:t xml:space="preserve">rotary evaporator distillation: </w:t>
      </w:r>
      <w:r w:rsidR="00E864AE">
        <w:rPr>
          <w:rStyle w:val="CETCaptionCarattere"/>
        </w:rPr>
        <w:t>(a)</w:t>
      </w:r>
      <w:r w:rsidR="000C3BCD">
        <w:rPr>
          <w:rStyle w:val="CETCaptionCarattere"/>
        </w:rPr>
        <w:t xml:space="preserve"> DES, </w:t>
      </w:r>
      <w:r w:rsidR="00E864AE">
        <w:rPr>
          <w:rStyle w:val="CETCaptionCarattere"/>
        </w:rPr>
        <w:t>(b)</w:t>
      </w:r>
      <w:r w:rsidR="000C3BCD">
        <w:rPr>
          <w:rStyle w:val="CETCaptionCarattere"/>
        </w:rPr>
        <w:t xml:space="preserve"> feed mixture,</w:t>
      </w:r>
      <w:r w:rsidR="00E864AE">
        <w:rPr>
          <w:rStyle w:val="CETCaptionCarattere"/>
        </w:rPr>
        <w:t xml:space="preserve"> (c)</w:t>
      </w:r>
      <w:r w:rsidR="000C3BCD">
        <w:rPr>
          <w:rStyle w:val="CETCaptionCarattere"/>
        </w:rPr>
        <w:t xml:space="preserve"> bubble formation, </w:t>
      </w:r>
      <w:r w:rsidR="00E864AE">
        <w:rPr>
          <w:rStyle w:val="CETCaptionCarattere"/>
        </w:rPr>
        <w:t>(d)</w:t>
      </w:r>
      <w:r w:rsidR="000C3BCD">
        <w:rPr>
          <w:rStyle w:val="CETCaptionCarattere"/>
        </w:rPr>
        <w:t xml:space="preserve"> droplet formation, (e) distillate and</w:t>
      </w:r>
      <w:r w:rsidR="00E864AE">
        <w:rPr>
          <w:rStyle w:val="CETCaptionCarattere"/>
        </w:rPr>
        <w:t xml:space="preserve"> (f)</w:t>
      </w:r>
      <w:r w:rsidR="000C3BCD">
        <w:rPr>
          <w:rStyle w:val="CETCaptionCarattere"/>
        </w:rPr>
        <w:t xml:space="preserve"> residue</w:t>
      </w:r>
    </w:p>
    <w:p w14:paraId="5B4296B6" w14:textId="77777777" w:rsidR="00EA0A80" w:rsidRPr="00004E74" w:rsidRDefault="001F54E6" w:rsidP="001F54E6">
      <w:pPr>
        <w:pStyle w:val="CETHeading1"/>
        <w:numPr>
          <w:ilvl w:val="0"/>
          <w:numId w:val="0"/>
        </w:numPr>
        <w:rPr>
          <w:lang w:val="en-GB"/>
        </w:rPr>
      </w:pPr>
      <w:r w:rsidRPr="001F54E6">
        <w:rPr>
          <w:lang w:val="en-GB"/>
        </w:rPr>
        <w:t xml:space="preserve">3. </w:t>
      </w:r>
      <w:r w:rsidR="009D7877" w:rsidRPr="001F54E6">
        <w:rPr>
          <w:lang w:val="en-GB"/>
        </w:rPr>
        <w:t>Results and Discussion</w:t>
      </w:r>
    </w:p>
    <w:p w14:paraId="249CAFCB" w14:textId="142EDFCF" w:rsidR="00EA0A80" w:rsidRPr="00EA0A80" w:rsidRDefault="00100391" w:rsidP="00AD54EE">
      <w:pPr>
        <w:pStyle w:val="CETBodytext"/>
      </w:pPr>
      <w:r>
        <w:rPr>
          <w:lang w:val="en-GB"/>
        </w:rPr>
        <w:t>The primary</w:t>
      </w:r>
      <w:r w:rsidR="0095544B">
        <w:rPr>
          <w:lang w:val="en-GB"/>
        </w:rPr>
        <w:t xml:space="preserve"> </w:t>
      </w:r>
      <w:r w:rsidR="00EA0A80" w:rsidRPr="00EA0A80">
        <w:rPr>
          <w:lang w:val="en-GB"/>
        </w:rPr>
        <w:t xml:space="preserve">physicochemical properties of the synthesized DES </w:t>
      </w:r>
      <w:r>
        <w:rPr>
          <w:lang w:val="en-GB"/>
        </w:rPr>
        <w:t>are summarized</w:t>
      </w:r>
      <w:r w:rsidR="00EA0A80" w:rsidRPr="00EA0A80">
        <w:rPr>
          <w:lang w:val="en-GB"/>
        </w:rPr>
        <w:t xml:space="preserve"> in Table 1.</w:t>
      </w:r>
      <w:r w:rsidR="00EA0A80">
        <w:t xml:space="preserve"> The high viscosity and low pH of the DES are </w:t>
      </w:r>
      <w:r w:rsidR="005921BC">
        <w:t>consistent with strong</w:t>
      </w:r>
      <w:r w:rsidR="00EA0A80">
        <w:t xml:space="preserve"> </w:t>
      </w:r>
      <w:r>
        <w:t xml:space="preserve">intense </w:t>
      </w:r>
      <w:r w:rsidR="00EA0A80">
        <w:t>hydrogen</w:t>
      </w:r>
      <w:r>
        <w:t>-</w:t>
      </w:r>
      <w:r w:rsidR="00EA0A80">
        <w:t>bond</w:t>
      </w:r>
      <w:r>
        <w:t>ing</w:t>
      </w:r>
      <w:r w:rsidR="005921BC">
        <w:t xml:space="preserve"> interactions</w:t>
      </w:r>
      <w:r w:rsidR="00EA0A80">
        <w:t xml:space="preserve"> formed between ChCl and LA. The </w:t>
      </w:r>
      <w:r w:rsidR="00B3054E">
        <w:t xml:space="preserve">DES's </w:t>
      </w:r>
      <w:r w:rsidR="005921BC">
        <w:t>acidic nature (pH 0.5) may play an important role</w:t>
      </w:r>
      <w:r w:rsidR="00EA0A80">
        <w:t xml:space="preserve">, as it </w:t>
      </w:r>
      <w:r w:rsidR="005921BC">
        <w:t xml:space="preserve">can </w:t>
      </w:r>
      <w:r w:rsidR="00176C49">
        <w:t>increas</w:t>
      </w:r>
      <w:r w:rsidR="005921BC">
        <w:t>e</w:t>
      </w:r>
      <w:r w:rsidR="00EA0A80">
        <w:t xml:space="preserve"> </w:t>
      </w:r>
      <w:r>
        <w:t>specific interactions with</w:t>
      </w:r>
      <w:r w:rsidR="00EA0A80">
        <w:t xml:space="preserve"> water molecules during the extractive process.</w:t>
      </w:r>
    </w:p>
    <w:p w14:paraId="2A10B2E6" w14:textId="620B95F9" w:rsidR="000C1059" w:rsidRPr="00B57B36" w:rsidRDefault="000C1059" w:rsidP="000C1059">
      <w:pPr>
        <w:pStyle w:val="CETTabletitle"/>
      </w:pPr>
      <w:r w:rsidRPr="00B57B36">
        <w:t xml:space="preserve">Table 1: </w:t>
      </w:r>
      <w:r w:rsidR="000C3BCD">
        <w:t>Average p</w:t>
      </w:r>
      <w:r w:rsidRPr="000C1059">
        <w:t>h</w:t>
      </w:r>
      <w:r w:rsidR="000C3BCD">
        <w:t>ysical p</w:t>
      </w:r>
      <w:r w:rsidR="002B5554">
        <w:t xml:space="preserve">roperties </w:t>
      </w:r>
      <w:r w:rsidR="000B36DE">
        <w:t>(density, viscosity, pH)</w:t>
      </w:r>
      <w:r w:rsidR="000B36DE">
        <w:t xml:space="preserve"> </w:t>
      </w:r>
      <w:r w:rsidR="002B5554">
        <w:t>of</w:t>
      </w:r>
      <w:r w:rsidR="00150261">
        <w:t xml:space="preserve"> </w:t>
      </w:r>
      <w:r w:rsidRPr="000C1059">
        <w:t>DES</w:t>
      </w:r>
      <w:r w:rsidR="000C3BCD">
        <w:t xml:space="preserve"> and f</w:t>
      </w:r>
      <w:r w:rsidR="000B36DE">
        <w:t xml:space="preserve">eed </w:t>
      </w:r>
      <w:r w:rsidR="002B5554">
        <w:t xml:space="preserve">mixture </w:t>
      </w:r>
      <w:r w:rsidR="000B36DE">
        <w:t xml:space="preserve">(water-ethanol + </w:t>
      </w:r>
      <w:r w:rsidR="000C3BCD">
        <w:t>DES)</w:t>
      </w:r>
      <w:r w:rsidR="000B36DE">
        <w:t xml:space="preserve"> </w:t>
      </w:r>
    </w:p>
    <w:tbl>
      <w:tblPr>
        <w:tblW w:w="8080"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2268"/>
        <w:gridCol w:w="1701"/>
        <w:gridCol w:w="1843"/>
        <w:gridCol w:w="992"/>
        <w:gridCol w:w="1276"/>
      </w:tblGrid>
      <w:tr w:rsidR="000C1059" w:rsidRPr="00B57B36" w14:paraId="2F9A8134" w14:textId="77777777" w:rsidTr="00160AA9">
        <w:tc>
          <w:tcPr>
            <w:tcW w:w="2268" w:type="dxa"/>
            <w:tcBorders>
              <w:top w:val="single" w:sz="12" w:space="0" w:color="008000"/>
              <w:bottom w:val="single" w:sz="6" w:space="0" w:color="008000"/>
            </w:tcBorders>
            <w:shd w:val="clear" w:color="auto" w:fill="FFFFFF"/>
          </w:tcPr>
          <w:p w14:paraId="5DABE537" w14:textId="77777777" w:rsidR="000C1059" w:rsidRPr="00B57B36" w:rsidRDefault="000C1059" w:rsidP="00917907">
            <w:pPr>
              <w:pStyle w:val="CETBodytext"/>
              <w:rPr>
                <w:lang w:val="en-GB"/>
              </w:rPr>
            </w:pPr>
            <w:r>
              <w:rPr>
                <w:lang w:val="en-GB"/>
              </w:rPr>
              <w:t>Sample</w:t>
            </w:r>
          </w:p>
        </w:tc>
        <w:tc>
          <w:tcPr>
            <w:tcW w:w="1701" w:type="dxa"/>
            <w:tcBorders>
              <w:top w:val="single" w:sz="12" w:space="0" w:color="008000"/>
              <w:bottom w:val="single" w:sz="6" w:space="0" w:color="008000"/>
            </w:tcBorders>
            <w:shd w:val="clear" w:color="auto" w:fill="FFFFFF"/>
          </w:tcPr>
          <w:p w14:paraId="268549A5" w14:textId="0435CB54" w:rsidR="000C1059" w:rsidRPr="00B57B36" w:rsidRDefault="00160AA9" w:rsidP="00917907">
            <w:pPr>
              <w:pStyle w:val="CETBodytext"/>
              <w:rPr>
                <w:lang w:val="en-GB"/>
              </w:rPr>
            </w:pPr>
            <w:r>
              <w:rPr>
                <w:lang w:val="en-GB"/>
              </w:rPr>
              <w:t xml:space="preserve">Density, </w:t>
            </w:r>
            <w:r w:rsidR="000C1059">
              <w:rPr>
                <w:lang w:val="en-GB"/>
              </w:rPr>
              <w:t>g/</w:t>
            </w:r>
            <w:r w:rsidR="00150261">
              <w:rPr>
                <w:lang w:val="en-GB"/>
              </w:rPr>
              <w:t>cm³</w:t>
            </w:r>
          </w:p>
        </w:tc>
        <w:tc>
          <w:tcPr>
            <w:tcW w:w="1843" w:type="dxa"/>
            <w:tcBorders>
              <w:top w:val="single" w:sz="12" w:space="0" w:color="008000"/>
              <w:bottom w:val="single" w:sz="6" w:space="0" w:color="008000"/>
            </w:tcBorders>
            <w:shd w:val="clear" w:color="auto" w:fill="FFFFFF"/>
          </w:tcPr>
          <w:p w14:paraId="62671089" w14:textId="2B6DE753" w:rsidR="000C1059" w:rsidRPr="00B57B36" w:rsidRDefault="00160AA9" w:rsidP="00917907">
            <w:pPr>
              <w:pStyle w:val="CETBodytext"/>
              <w:rPr>
                <w:lang w:val="en-GB"/>
              </w:rPr>
            </w:pPr>
            <w:r>
              <w:rPr>
                <w:lang w:val="en-GB"/>
              </w:rPr>
              <w:t xml:space="preserve">Viscosity, </w:t>
            </w:r>
            <w:r w:rsidR="006F6043">
              <w:t>mPa·s</w:t>
            </w:r>
          </w:p>
        </w:tc>
        <w:tc>
          <w:tcPr>
            <w:tcW w:w="992" w:type="dxa"/>
            <w:tcBorders>
              <w:top w:val="single" w:sz="12" w:space="0" w:color="008000"/>
              <w:bottom w:val="single" w:sz="6" w:space="0" w:color="008000"/>
            </w:tcBorders>
            <w:shd w:val="clear" w:color="auto" w:fill="FFFFFF"/>
          </w:tcPr>
          <w:p w14:paraId="26F2508E" w14:textId="77777777" w:rsidR="000C1059" w:rsidRPr="00B57B36" w:rsidRDefault="000C1059" w:rsidP="00917907">
            <w:pPr>
              <w:pStyle w:val="CETBodytext"/>
              <w:ind w:right="-1"/>
              <w:rPr>
                <w:rFonts w:cs="Arial"/>
                <w:szCs w:val="18"/>
                <w:lang w:val="en-GB"/>
              </w:rPr>
            </w:pPr>
            <w:r>
              <w:rPr>
                <w:rFonts w:cs="Arial"/>
                <w:szCs w:val="18"/>
                <w:lang w:val="en-GB"/>
              </w:rPr>
              <w:t>pH</w:t>
            </w:r>
          </w:p>
        </w:tc>
        <w:tc>
          <w:tcPr>
            <w:tcW w:w="1276" w:type="dxa"/>
            <w:tcBorders>
              <w:top w:val="single" w:sz="12" w:space="0" w:color="008000"/>
              <w:bottom w:val="single" w:sz="6" w:space="0" w:color="008000"/>
            </w:tcBorders>
            <w:shd w:val="clear" w:color="auto" w:fill="FFFFFF"/>
          </w:tcPr>
          <w:p w14:paraId="390929EF" w14:textId="77777777" w:rsidR="000C1059" w:rsidRPr="00B57B36" w:rsidRDefault="000C1059" w:rsidP="00917907">
            <w:pPr>
              <w:pStyle w:val="CETBodytext"/>
              <w:ind w:right="-1"/>
              <w:rPr>
                <w:rFonts w:cs="Arial"/>
                <w:szCs w:val="18"/>
                <w:lang w:val="en-GB"/>
              </w:rPr>
            </w:pPr>
            <w:r>
              <w:rPr>
                <w:rFonts w:cs="Arial"/>
                <w:szCs w:val="18"/>
                <w:lang w:val="en-GB"/>
              </w:rPr>
              <w:t>Appearance</w:t>
            </w:r>
          </w:p>
        </w:tc>
      </w:tr>
      <w:tr w:rsidR="000C1059" w:rsidRPr="00B57B36" w14:paraId="3752520A" w14:textId="77777777" w:rsidTr="00160AA9">
        <w:tc>
          <w:tcPr>
            <w:tcW w:w="2268" w:type="dxa"/>
            <w:shd w:val="clear" w:color="auto" w:fill="FFFFFF"/>
          </w:tcPr>
          <w:p w14:paraId="555B7763" w14:textId="77777777" w:rsidR="000C1059" w:rsidRPr="00B57B36" w:rsidRDefault="000C1059" w:rsidP="00917907">
            <w:pPr>
              <w:pStyle w:val="CETBodytext"/>
              <w:rPr>
                <w:lang w:val="en-GB"/>
              </w:rPr>
            </w:pPr>
            <w:r>
              <w:rPr>
                <w:lang w:val="en-GB"/>
              </w:rPr>
              <w:t>DES ChCl:LA</w:t>
            </w:r>
            <w:r w:rsidR="00150261">
              <w:rPr>
                <w:lang w:val="en-GB"/>
              </w:rPr>
              <w:t>(</w:t>
            </w:r>
            <w:r>
              <w:rPr>
                <w:lang w:val="en-GB"/>
              </w:rPr>
              <w:t>1:2</w:t>
            </w:r>
            <w:r w:rsidR="00150261">
              <w:rPr>
                <w:lang w:val="en-GB"/>
              </w:rPr>
              <w:t>)</w:t>
            </w:r>
          </w:p>
        </w:tc>
        <w:tc>
          <w:tcPr>
            <w:tcW w:w="1701" w:type="dxa"/>
            <w:shd w:val="clear" w:color="auto" w:fill="FFFFFF"/>
          </w:tcPr>
          <w:p w14:paraId="31000674" w14:textId="77777777" w:rsidR="000C1059" w:rsidRPr="00B57B36" w:rsidRDefault="000C1059" w:rsidP="00917907">
            <w:pPr>
              <w:pStyle w:val="CETBodytext"/>
              <w:rPr>
                <w:lang w:val="en-GB"/>
              </w:rPr>
            </w:pPr>
            <w:r>
              <w:rPr>
                <w:lang w:val="en-GB"/>
              </w:rPr>
              <w:t>1.080</w:t>
            </w:r>
          </w:p>
        </w:tc>
        <w:tc>
          <w:tcPr>
            <w:tcW w:w="1843" w:type="dxa"/>
            <w:shd w:val="clear" w:color="auto" w:fill="FFFFFF"/>
          </w:tcPr>
          <w:p w14:paraId="690462C9" w14:textId="77777777" w:rsidR="000C1059" w:rsidRPr="00B57B36" w:rsidRDefault="00883755" w:rsidP="00917907">
            <w:pPr>
              <w:pStyle w:val="CETBodytext"/>
              <w:rPr>
                <w:lang w:val="en-GB"/>
              </w:rPr>
            </w:pPr>
            <w:r>
              <w:rPr>
                <w:lang w:val="en-GB"/>
              </w:rPr>
              <w:t>150</w:t>
            </w:r>
            <w:r w:rsidR="0095544B">
              <w:rPr>
                <w:lang w:val="en-GB"/>
              </w:rPr>
              <w:t>.00</w:t>
            </w:r>
          </w:p>
        </w:tc>
        <w:tc>
          <w:tcPr>
            <w:tcW w:w="992" w:type="dxa"/>
            <w:shd w:val="clear" w:color="auto" w:fill="FFFFFF"/>
          </w:tcPr>
          <w:p w14:paraId="684EA045" w14:textId="77777777" w:rsidR="000C1059" w:rsidRPr="00B57B36" w:rsidRDefault="000C1059" w:rsidP="00917907">
            <w:pPr>
              <w:pStyle w:val="CETBodytext"/>
              <w:ind w:right="-1"/>
              <w:rPr>
                <w:rFonts w:cs="Arial"/>
                <w:szCs w:val="18"/>
                <w:lang w:val="en-GB"/>
              </w:rPr>
            </w:pPr>
            <w:r>
              <w:rPr>
                <w:rFonts w:cs="Arial"/>
                <w:szCs w:val="18"/>
                <w:lang w:val="en-GB"/>
              </w:rPr>
              <w:t>0.5</w:t>
            </w:r>
          </w:p>
        </w:tc>
        <w:tc>
          <w:tcPr>
            <w:tcW w:w="1276" w:type="dxa"/>
            <w:shd w:val="clear" w:color="auto" w:fill="FFFFFF"/>
          </w:tcPr>
          <w:p w14:paraId="2B675C72" w14:textId="77777777" w:rsidR="000C1059" w:rsidRPr="00B57B36" w:rsidRDefault="000C1059" w:rsidP="00917907">
            <w:pPr>
              <w:pStyle w:val="CETBodytext"/>
              <w:ind w:right="-1"/>
              <w:rPr>
                <w:rFonts w:cs="Arial"/>
                <w:szCs w:val="18"/>
                <w:lang w:val="en-GB"/>
              </w:rPr>
            </w:pPr>
            <w:r>
              <w:rPr>
                <w:rFonts w:cs="Arial"/>
                <w:szCs w:val="18"/>
                <w:lang w:val="en-GB"/>
              </w:rPr>
              <w:t>Greenish</w:t>
            </w:r>
          </w:p>
        </w:tc>
      </w:tr>
      <w:tr w:rsidR="000C1059" w:rsidRPr="00B57B36" w14:paraId="03B158C4" w14:textId="77777777" w:rsidTr="00160AA9">
        <w:tc>
          <w:tcPr>
            <w:tcW w:w="2268" w:type="dxa"/>
            <w:shd w:val="clear" w:color="auto" w:fill="FFFFFF"/>
          </w:tcPr>
          <w:p w14:paraId="6C220E31" w14:textId="77777777" w:rsidR="000C1059" w:rsidRPr="00B57B36" w:rsidRDefault="000C1059" w:rsidP="00917907">
            <w:pPr>
              <w:pStyle w:val="CETBodytext"/>
              <w:ind w:right="-1"/>
              <w:rPr>
                <w:rFonts w:cs="Arial"/>
                <w:szCs w:val="18"/>
                <w:lang w:val="en-GB"/>
              </w:rPr>
            </w:pPr>
            <w:r>
              <w:rPr>
                <w:lang w:val="en-GB"/>
              </w:rPr>
              <w:t>DES ChCl:LA</w:t>
            </w:r>
            <w:r w:rsidR="00150261">
              <w:rPr>
                <w:lang w:val="en-GB"/>
              </w:rPr>
              <w:t>(</w:t>
            </w:r>
            <w:r>
              <w:rPr>
                <w:lang w:val="en-GB"/>
              </w:rPr>
              <w:t>1:1.5</w:t>
            </w:r>
            <w:r w:rsidR="00150261">
              <w:rPr>
                <w:lang w:val="en-GB"/>
              </w:rPr>
              <w:t>)</w:t>
            </w:r>
          </w:p>
        </w:tc>
        <w:tc>
          <w:tcPr>
            <w:tcW w:w="1701" w:type="dxa"/>
            <w:shd w:val="clear" w:color="auto" w:fill="FFFFFF"/>
          </w:tcPr>
          <w:p w14:paraId="71874F5B" w14:textId="77777777" w:rsidR="000C1059" w:rsidRPr="00B57B36" w:rsidRDefault="000C1059" w:rsidP="00917907">
            <w:pPr>
              <w:pStyle w:val="CETBodytext"/>
              <w:ind w:right="-1"/>
              <w:rPr>
                <w:rFonts w:cs="Arial"/>
                <w:szCs w:val="18"/>
                <w:lang w:val="en-GB"/>
              </w:rPr>
            </w:pPr>
            <w:r>
              <w:rPr>
                <w:rFonts w:cs="Arial"/>
                <w:szCs w:val="18"/>
                <w:lang w:val="en-GB"/>
              </w:rPr>
              <w:t>1.146</w:t>
            </w:r>
          </w:p>
        </w:tc>
        <w:tc>
          <w:tcPr>
            <w:tcW w:w="1843" w:type="dxa"/>
            <w:shd w:val="clear" w:color="auto" w:fill="FFFFFF"/>
          </w:tcPr>
          <w:p w14:paraId="6EFC4314" w14:textId="77777777" w:rsidR="000C1059" w:rsidRPr="00B57B36" w:rsidRDefault="00883755" w:rsidP="00917907">
            <w:pPr>
              <w:pStyle w:val="CETBodytext"/>
              <w:ind w:right="-1"/>
              <w:rPr>
                <w:rFonts w:cs="Arial"/>
                <w:szCs w:val="18"/>
                <w:lang w:val="en-GB"/>
              </w:rPr>
            </w:pPr>
            <w:r>
              <w:rPr>
                <w:rFonts w:cs="Arial"/>
                <w:szCs w:val="18"/>
                <w:lang w:val="en-GB"/>
              </w:rPr>
              <w:t>154.8</w:t>
            </w:r>
            <w:r w:rsidR="0095544B">
              <w:rPr>
                <w:rFonts w:cs="Arial"/>
                <w:szCs w:val="18"/>
                <w:lang w:val="en-GB"/>
              </w:rPr>
              <w:t>0</w:t>
            </w:r>
          </w:p>
        </w:tc>
        <w:tc>
          <w:tcPr>
            <w:tcW w:w="992" w:type="dxa"/>
            <w:shd w:val="clear" w:color="auto" w:fill="FFFFFF"/>
          </w:tcPr>
          <w:p w14:paraId="5EA63B31" w14:textId="77777777" w:rsidR="000C1059" w:rsidRPr="00B57B36" w:rsidRDefault="000C1059" w:rsidP="00917907">
            <w:pPr>
              <w:pStyle w:val="CETBodytext"/>
              <w:ind w:right="-1"/>
              <w:rPr>
                <w:rFonts w:cs="Arial"/>
                <w:szCs w:val="18"/>
                <w:lang w:val="en-GB"/>
              </w:rPr>
            </w:pPr>
            <w:r>
              <w:rPr>
                <w:rFonts w:cs="Arial"/>
                <w:szCs w:val="18"/>
                <w:lang w:val="en-GB"/>
              </w:rPr>
              <w:t>0.5</w:t>
            </w:r>
          </w:p>
        </w:tc>
        <w:tc>
          <w:tcPr>
            <w:tcW w:w="1276" w:type="dxa"/>
            <w:shd w:val="clear" w:color="auto" w:fill="FFFFFF"/>
          </w:tcPr>
          <w:p w14:paraId="2A39BA6B" w14:textId="77777777" w:rsidR="000C1059" w:rsidRPr="00B57B36" w:rsidRDefault="000C1059" w:rsidP="00917907">
            <w:pPr>
              <w:pStyle w:val="CETBodytext"/>
              <w:ind w:right="-1"/>
              <w:rPr>
                <w:rFonts w:cs="Arial"/>
                <w:szCs w:val="18"/>
                <w:lang w:val="en-GB"/>
              </w:rPr>
            </w:pPr>
            <w:r>
              <w:rPr>
                <w:rFonts w:cs="Arial"/>
                <w:szCs w:val="18"/>
                <w:lang w:val="en-GB"/>
              </w:rPr>
              <w:t>Greenish</w:t>
            </w:r>
          </w:p>
        </w:tc>
      </w:tr>
      <w:tr w:rsidR="000C1059" w:rsidRPr="00B57B36" w14:paraId="0C531427" w14:textId="77777777" w:rsidTr="00160AA9">
        <w:tc>
          <w:tcPr>
            <w:tcW w:w="2268" w:type="dxa"/>
            <w:shd w:val="clear" w:color="auto" w:fill="FFFFFF"/>
          </w:tcPr>
          <w:p w14:paraId="45A70C07" w14:textId="77777777" w:rsidR="000C1059" w:rsidRPr="00B57B36" w:rsidRDefault="000C1059" w:rsidP="00917907">
            <w:pPr>
              <w:pStyle w:val="CETBodytext"/>
              <w:ind w:right="-1"/>
              <w:rPr>
                <w:rFonts w:cs="Arial"/>
                <w:szCs w:val="18"/>
                <w:lang w:val="en-GB"/>
              </w:rPr>
            </w:pPr>
            <w:r>
              <w:rPr>
                <w:rFonts w:cs="Arial"/>
                <w:szCs w:val="18"/>
                <w:lang w:val="en-GB"/>
              </w:rPr>
              <w:t>Feed Mixture</w:t>
            </w:r>
          </w:p>
        </w:tc>
        <w:tc>
          <w:tcPr>
            <w:tcW w:w="1701" w:type="dxa"/>
            <w:shd w:val="clear" w:color="auto" w:fill="FFFFFF"/>
          </w:tcPr>
          <w:p w14:paraId="3485448E" w14:textId="77777777" w:rsidR="000C1059" w:rsidRPr="00B57B36" w:rsidRDefault="000C1059" w:rsidP="00917907">
            <w:pPr>
              <w:pStyle w:val="CETBodytext"/>
              <w:ind w:right="-1"/>
              <w:rPr>
                <w:rFonts w:cs="Arial"/>
                <w:szCs w:val="18"/>
                <w:lang w:val="en-GB"/>
              </w:rPr>
            </w:pPr>
            <w:r>
              <w:rPr>
                <w:rFonts w:cs="Arial"/>
                <w:szCs w:val="18"/>
                <w:lang w:val="en-GB"/>
              </w:rPr>
              <w:t>1.036</w:t>
            </w:r>
          </w:p>
        </w:tc>
        <w:tc>
          <w:tcPr>
            <w:tcW w:w="1843" w:type="dxa"/>
            <w:shd w:val="clear" w:color="auto" w:fill="FFFFFF"/>
          </w:tcPr>
          <w:p w14:paraId="77A3D785" w14:textId="77777777" w:rsidR="000C1059" w:rsidRPr="00B57B36" w:rsidRDefault="003506E2" w:rsidP="00917907">
            <w:pPr>
              <w:pStyle w:val="CETBodytext"/>
              <w:ind w:right="-1"/>
              <w:rPr>
                <w:rFonts w:cs="Arial"/>
                <w:szCs w:val="18"/>
                <w:lang w:val="en-GB"/>
              </w:rPr>
            </w:pPr>
            <w:r>
              <w:rPr>
                <w:rFonts w:cs="Arial"/>
                <w:szCs w:val="18"/>
                <w:lang w:val="en-GB"/>
              </w:rPr>
              <w:t>12.38</w:t>
            </w:r>
          </w:p>
        </w:tc>
        <w:tc>
          <w:tcPr>
            <w:tcW w:w="992" w:type="dxa"/>
            <w:shd w:val="clear" w:color="auto" w:fill="FFFFFF"/>
          </w:tcPr>
          <w:p w14:paraId="639004A6" w14:textId="77777777" w:rsidR="000C1059" w:rsidRPr="00B57B36" w:rsidRDefault="000C1059" w:rsidP="00917907">
            <w:pPr>
              <w:pStyle w:val="CETBodytext"/>
              <w:ind w:right="-1"/>
              <w:rPr>
                <w:rFonts w:cs="Arial"/>
                <w:szCs w:val="18"/>
                <w:lang w:val="en-GB"/>
              </w:rPr>
            </w:pPr>
            <w:r>
              <w:rPr>
                <w:rFonts w:cs="Arial"/>
                <w:szCs w:val="18"/>
                <w:lang w:val="en-GB"/>
              </w:rPr>
              <w:t>2.0</w:t>
            </w:r>
          </w:p>
        </w:tc>
        <w:tc>
          <w:tcPr>
            <w:tcW w:w="1276" w:type="dxa"/>
            <w:shd w:val="clear" w:color="auto" w:fill="FFFFFF"/>
          </w:tcPr>
          <w:p w14:paraId="270F2D8C" w14:textId="77777777" w:rsidR="000C1059" w:rsidRPr="00B57B36" w:rsidRDefault="000C1059" w:rsidP="00917907">
            <w:pPr>
              <w:pStyle w:val="CETBodytext"/>
              <w:ind w:right="-1"/>
              <w:rPr>
                <w:rFonts w:cs="Arial"/>
                <w:szCs w:val="18"/>
                <w:lang w:val="en-GB"/>
              </w:rPr>
            </w:pPr>
            <w:r>
              <w:rPr>
                <w:rFonts w:cs="Arial"/>
                <w:szCs w:val="18"/>
                <w:lang w:val="en-GB"/>
              </w:rPr>
              <w:t>Colorless</w:t>
            </w:r>
          </w:p>
        </w:tc>
      </w:tr>
    </w:tbl>
    <w:p w14:paraId="6A38C9CC" w14:textId="77777777" w:rsidR="00DF5776" w:rsidRDefault="00DF5776" w:rsidP="00DF5776">
      <w:pPr>
        <w:pStyle w:val="CETTabletitle"/>
        <w:spacing w:before="0"/>
        <w:jc w:val="both"/>
        <w:rPr>
          <w:i w:val="0"/>
        </w:rPr>
      </w:pPr>
    </w:p>
    <w:p w14:paraId="1FA288B4" w14:textId="4EFEB1C7" w:rsidR="000E4E66" w:rsidRPr="000E4E66" w:rsidRDefault="000E4E66" w:rsidP="00004E74">
      <w:pPr>
        <w:pStyle w:val="CETBodytext"/>
        <w:rPr>
          <w:i/>
        </w:rPr>
      </w:pPr>
      <w:r w:rsidRPr="000E4E66">
        <w:t>The performance of the extractive distillation was evaluated through 10 experimental runs. Table 2 details the percentage of water in the distillate phase, which is the main indicator of distillation performance, as a function of the operational parameters</w:t>
      </w:r>
      <w:r w:rsidR="00DF5776">
        <w:rPr>
          <w:i/>
        </w:rPr>
        <w:t xml:space="preserve"> considered</w:t>
      </w:r>
      <w:r w:rsidRPr="000E4E66">
        <w:t xml:space="preserve">. Regarding vacuum pressure, while lowering the pressure generally </w:t>
      </w:r>
      <w:r w:rsidR="0045794F">
        <w:t>contributes to the</w:t>
      </w:r>
      <w:r w:rsidR="0045794F" w:rsidRPr="000E4E66">
        <w:t xml:space="preserve"> </w:t>
      </w:r>
      <w:r w:rsidRPr="000E4E66">
        <w:t>ethanol volatilization at 65</w:t>
      </w:r>
      <w:r w:rsidR="006F6043">
        <w:t xml:space="preserve"> </w:t>
      </w:r>
      <w:r w:rsidRPr="000E4E66">
        <w:t xml:space="preserve">°C, Run 5 (100 mbar) </w:t>
      </w:r>
      <w:r w:rsidR="003321AA">
        <w:t xml:space="preserve">demonstrated that this vacuum </w:t>
      </w:r>
      <w:r w:rsidRPr="000E4E66">
        <w:t>can overcome the DES-water affinity, leading to water carryover</w:t>
      </w:r>
      <w:r w:rsidR="009338AD">
        <w:t>.</w:t>
      </w:r>
      <w:r w:rsidRPr="000E4E66">
        <w:t xml:space="preserve"> The resulting 59.94</w:t>
      </w:r>
      <w:r w:rsidR="006F6043">
        <w:t xml:space="preserve"> </w:t>
      </w:r>
      <w:r w:rsidRPr="000E4E66">
        <w:t>% water content suggests that th</w:t>
      </w:r>
      <w:r w:rsidR="005921BC">
        <w:t>e high pressure drop may have reduced the effectiveness of hydrogen-bond interactions</w:t>
      </w:r>
      <w:r w:rsidRPr="000E4E66">
        <w:t xml:space="preserve"> between the DES and water, leading to the co-evaporation of the </w:t>
      </w:r>
      <w:r w:rsidR="00DD4273" w:rsidRPr="00DD4273">
        <w:t>bulk aqueous ethanol solution</w:t>
      </w:r>
      <w:r w:rsidR="00DF5776">
        <w:t>, once</w:t>
      </w:r>
      <w:r w:rsidR="0095544B">
        <w:t xml:space="preserve"> </w:t>
      </w:r>
      <w:r w:rsidR="00DF5776">
        <w:t>the boiling points of water and ethanol at 100 mbar are 45.8</w:t>
      </w:r>
      <w:r w:rsidR="006F6043">
        <w:t xml:space="preserve"> </w:t>
      </w:r>
      <w:r w:rsidR="00DF5776">
        <w:t>ºC and 29.08</w:t>
      </w:r>
      <w:r w:rsidR="006F6043">
        <w:t xml:space="preserve"> </w:t>
      </w:r>
      <w:r w:rsidR="00DF5776">
        <w:t>ºC, respectively (Aspen Plus V14).</w:t>
      </w:r>
      <w:r w:rsidR="0045794F">
        <w:t xml:space="preserve"> </w:t>
      </w:r>
      <w:r w:rsidRPr="000E4E66">
        <w:t>The molar ratio also proved critical, with the 1:1.5 ratio (Run 3</w:t>
      </w:r>
      <w:r w:rsidR="009345D4">
        <w:t>, at 150</w:t>
      </w:r>
      <w:r w:rsidR="006F6043">
        <w:t xml:space="preserve"> </w:t>
      </w:r>
      <w:r w:rsidR="009345D4">
        <w:t>mbar</w:t>
      </w:r>
      <w:r w:rsidRPr="000E4E66">
        <w:t xml:space="preserve">) </w:t>
      </w:r>
      <w:r w:rsidR="0045794F">
        <w:t>acting as</w:t>
      </w:r>
      <w:r w:rsidR="0045794F" w:rsidRPr="000E4E66">
        <w:t xml:space="preserve"> </w:t>
      </w:r>
      <w:r w:rsidRPr="000E4E66">
        <w:t xml:space="preserve">the </w:t>
      </w:r>
      <w:r w:rsidR="00933F72">
        <w:t>mo</w:t>
      </w:r>
      <w:r w:rsidRPr="000E4E66">
        <w:t>st</w:t>
      </w:r>
      <w:r w:rsidR="00E378F4">
        <w:t xml:space="preserve"> </w:t>
      </w:r>
      <w:r w:rsidR="009338AD">
        <w:t>favorable</w:t>
      </w:r>
      <w:r w:rsidRPr="000E4E66">
        <w:t xml:space="preserve"> result (26.33</w:t>
      </w:r>
      <w:r w:rsidR="006F6043">
        <w:t xml:space="preserve"> </w:t>
      </w:r>
      <w:r w:rsidRPr="000E4E66">
        <w:t xml:space="preserve">% water) and </w:t>
      </w:r>
      <w:r w:rsidR="00933F72">
        <w:t>enhanc</w:t>
      </w:r>
      <w:r w:rsidR="0045794F">
        <w:t xml:space="preserve">ing </w:t>
      </w:r>
      <w:r w:rsidRPr="000E4E66">
        <w:t>ethanol selectivity</w:t>
      </w:r>
      <w:r w:rsidR="00DF5776">
        <w:t>; once</w:t>
      </w:r>
      <w:r w:rsidR="00E378F4">
        <w:t xml:space="preserve"> </w:t>
      </w:r>
      <w:r w:rsidR="00DF5776">
        <w:t xml:space="preserve">the boiling points of water and ethanol </w:t>
      </w:r>
      <w:r w:rsidR="00883755">
        <w:t>at</w:t>
      </w:r>
      <w:r w:rsidR="00DF5776">
        <w:t xml:space="preserve"> 150 mbar are 53.97</w:t>
      </w:r>
      <w:r w:rsidR="006F6043">
        <w:t xml:space="preserve"> </w:t>
      </w:r>
      <w:r w:rsidR="00DF5776">
        <w:t>ºC and 36.52</w:t>
      </w:r>
      <w:r w:rsidR="006F6043">
        <w:t xml:space="preserve"> </w:t>
      </w:r>
      <w:r w:rsidR="00DF5776">
        <w:t xml:space="preserve">ºC (Aspen Plus V14), </w:t>
      </w:r>
      <w:r w:rsidR="00883755">
        <w:t>respectively</w:t>
      </w:r>
      <w:r w:rsidRPr="000E4E66">
        <w:t xml:space="preserve">. </w:t>
      </w:r>
      <w:r w:rsidR="005921BC">
        <w:t xml:space="preserve">This intermediate ratio appears to provide a better </w:t>
      </w:r>
      <w:r w:rsidRPr="000E4E66">
        <w:t xml:space="preserve">balance between water sequestration and mass transfer. </w:t>
      </w:r>
      <w:r w:rsidR="00094500">
        <w:t>It occurs because higher</w:t>
      </w:r>
      <w:r w:rsidRPr="000E4E66">
        <w:t xml:space="preserve"> concentrations of lactic acid (</w:t>
      </w:r>
      <w:r w:rsidR="00933F72">
        <w:t xml:space="preserve">e.g., the </w:t>
      </w:r>
      <w:r w:rsidRPr="000E4E66">
        <w:t xml:space="preserve">1:2 ratio) significantly increase viscosity, which can hinder the release of ethanol </w:t>
      </w:r>
      <w:r w:rsidR="009338AD" w:rsidRPr="000E4E66">
        <w:t>vapors</w:t>
      </w:r>
      <w:r w:rsidRPr="000E4E66">
        <w:t xml:space="preserve"> at the liquid-vapor interface. Furthermore, efficiency was </w:t>
      </w:r>
      <w:r w:rsidR="00933F72">
        <w:t>improved</w:t>
      </w:r>
      <w:r w:rsidRPr="000E4E66">
        <w:t xml:space="preserve"> at a lower bath temperature (60 °C)</w:t>
      </w:r>
      <w:r w:rsidR="00933F72">
        <w:t xml:space="preserve"> </w:t>
      </w:r>
      <w:r w:rsidR="005921BC">
        <w:t xml:space="preserve">likely </w:t>
      </w:r>
      <w:r w:rsidR="00933F72">
        <w:t>by</w:t>
      </w:r>
      <w:r w:rsidR="005921BC">
        <w:t xml:space="preserve"> increasing</w:t>
      </w:r>
      <w:r w:rsidRPr="000E4E66">
        <w:t xml:space="preserve"> the relative volatility difference</w:t>
      </w:r>
      <w:r w:rsidR="00933F72">
        <w:t xml:space="preserve"> and</w:t>
      </w:r>
      <w:r w:rsidRPr="000E4E66">
        <w:t xml:space="preserve"> preventing </w:t>
      </w:r>
      <w:r w:rsidR="00933F72">
        <w:t xml:space="preserve">water </w:t>
      </w:r>
      <w:r w:rsidRPr="000E4E66">
        <w:t xml:space="preserve">co-evaporation that occurs more frequently at higher thermal energies. </w:t>
      </w:r>
      <w:r w:rsidR="0045794F">
        <w:t>On the other hand</w:t>
      </w:r>
      <w:r w:rsidRPr="000E4E66">
        <w:t xml:space="preserve">, </w:t>
      </w:r>
      <w:r w:rsidRPr="00D77CBE">
        <w:t>increasing</w:t>
      </w:r>
      <w:r w:rsidRPr="000E4E66">
        <w:t xml:space="preserve"> the chiller temperature to 20</w:t>
      </w:r>
      <w:r w:rsidR="006F6043">
        <w:t xml:space="preserve"> </w:t>
      </w:r>
      <w:r w:rsidRPr="000E4E66">
        <w:t xml:space="preserve">°C (Run 4) reduced the separation efficiency to </w:t>
      </w:r>
      <w:r w:rsidRPr="00004E74">
        <w:t>43.62</w:t>
      </w:r>
      <w:r w:rsidR="006F6043">
        <w:t xml:space="preserve"> </w:t>
      </w:r>
      <w:r w:rsidRPr="00004E74">
        <w:t>%</w:t>
      </w:r>
      <w:r w:rsidRPr="000E4E66">
        <w:t xml:space="preserve">. </w:t>
      </w:r>
      <w:r w:rsidR="00933F72">
        <w:t>A</w:t>
      </w:r>
      <w:r w:rsidRPr="000E4E66">
        <w:t xml:space="preserve"> lower thermal gradient in the condenser </w:t>
      </w:r>
      <w:r w:rsidR="005921BC">
        <w:t>may lead</w:t>
      </w:r>
      <w:r w:rsidRPr="000E4E66">
        <w:t xml:space="preserve"> to incomplete condensation of the ethanol-rich vapor, allowing moisture to </w:t>
      </w:r>
      <w:r w:rsidR="0073622B">
        <w:t>remain</w:t>
      </w:r>
      <w:r w:rsidRPr="000E4E66">
        <w:t xml:space="preserve"> in the vapor phase</w:t>
      </w:r>
      <w:r w:rsidR="00933F72">
        <w:t xml:space="preserve"> and compromising the final purity.</w:t>
      </w:r>
    </w:p>
    <w:p w14:paraId="26F84972" w14:textId="311914BF" w:rsidR="00A64985" w:rsidRDefault="00A64985" w:rsidP="000E4E66">
      <w:pPr>
        <w:pStyle w:val="CETTabletitle"/>
        <w:spacing w:before="0"/>
        <w:jc w:val="both"/>
        <w:rPr>
          <w:i w:val="0"/>
        </w:rPr>
      </w:pPr>
      <w:r w:rsidRPr="00A64985">
        <w:rPr>
          <w:i w:val="0"/>
        </w:rPr>
        <w:t xml:space="preserve">It is noteworthy that </w:t>
      </w:r>
      <w:r>
        <w:rPr>
          <w:i w:val="0"/>
        </w:rPr>
        <w:t>the LA</w:t>
      </w:r>
      <w:r w:rsidRPr="00A64985">
        <w:rPr>
          <w:i w:val="0"/>
        </w:rPr>
        <w:t xml:space="preserve"> was used without prior purification, resulting in a partially hydrated DES. This initial water content not only limits the efficiency of water removal from the binary mixture, due to the pre-saturation of </w:t>
      </w:r>
      <w:r w:rsidRPr="00A64985">
        <w:rPr>
          <w:i w:val="0"/>
        </w:rPr>
        <w:lastRenderedPageBreak/>
        <w:t xml:space="preserve">hydrogen-bonding sites, but may also influence the interpretation of the separation behavior, since part of the observed effects can be associated with the pre-hydrated nature of the solvent rather than exclusively with DES–water interactions. The density and viscosity values obtained for DES ChCl:LA (1:2) are consistent with literature data reported for similar systems (Sazali </w:t>
      </w:r>
      <w:r w:rsidRPr="00A64985">
        <w:t>et al</w:t>
      </w:r>
      <w:r w:rsidRPr="00A64985">
        <w:rPr>
          <w:i w:val="0"/>
        </w:rPr>
        <w:t xml:space="preserve">., 2023). </w:t>
      </w:r>
      <w:r w:rsidR="00640A69" w:rsidRPr="00640A69">
        <w:rPr>
          <w:i w:val="0"/>
        </w:rPr>
        <w:t xml:space="preserve">Furthermore, according to Jangir </w:t>
      </w:r>
      <w:r w:rsidR="00640A69" w:rsidRPr="00640A69">
        <w:t>et al.</w:t>
      </w:r>
      <w:r w:rsidR="00640A69" w:rsidRPr="00640A69">
        <w:rPr>
          <w:i w:val="0"/>
        </w:rPr>
        <w:t xml:space="preserve"> (2022), the hydrogen-bonding structure of deep eutectic solvents plays a key role in determining their physicochemical properties. In the presence of additional hydrogen-bond donors, such as ethanol, this network may be partially weakened, which can enhance molecular mobility and potentially improve mass transfer during separation processes</w:t>
      </w:r>
      <w:r w:rsidR="00640A69">
        <w:rPr>
          <w:i w:val="0"/>
        </w:rPr>
        <w:t>.</w:t>
      </w:r>
    </w:p>
    <w:p w14:paraId="2B40C202" w14:textId="751933F5" w:rsidR="00537538" w:rsidRPr="00B57B36" w:rsidRDefault="00605365" w:rsidP="00537538">
      <w:pPr>
        <w:pStyle w:val="CETTabletitle"/>
      </w:pPr>
      <w:r>
        <w:t>Table 2</w:t>
      </w:r>
      <w:r w:rsidR="000C3BCD">
        <w:t>: E</w:t>
      </w:r>
      <w:r>
        <w:t>xperimental</w:t>
      </w:r>
      <w:r w:rsidR="000B36DE">
        <w:t xml:space="preserve"> conditions and distillate water content (%)</w:t>
      </w:r>
      <w:r>
        <w:t xml:space="preserve"> </w:t>
      </w:r>
    </w:p>
    <w:tbl>
      <w:tblPr>
        <w:tblW w:w="8789"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709"/>
        <w:gridCol w:w="1276"/>
        <w:gridCol w:w="992"/>
        <w:gridCol w:w="1134"/>
        <w:gridCol w:w="1134"/>
        <w:gridCol w:w="1276"/>
        <w:gridCol w:w="2268"/>
      </w:tblGrid>
      <w:tr w:rsidR="00330224" w:rsidRPr="00B57B36" w14:paraId="249E7539" w14:textId="77777777" w:rsidTr="00160AA9">
        <w:tc>
          <w:tcPr>
            <w:tcW w:w="709" w:type="dxa"/>
            <w:tcBorders>
              <w:top w:val="single" w:sz="12" w:space="0" w:color="008000"/>
              <w:bottom w:val="single" w:sz="6" w:space="0" w:color="008000"/>
            </w:tcBorders>
            <w:shd w:val="clear" w:color="auto" w:fill="FFFFFF"/>
          </w:tcPr>
          <w:p w14:paraId="6E5F989F" w14:textId="77777777" w:rsidR="00537538" w:rsidRPr="00B57B36" w:rsidRDefault="00537538" w:rsidP="00917907">
            <w:pPr>
              <w:pStyle w:val="CETBodytext"/>
              <w:rPr>
                <w:lang w:val="en-GB"/>
              </w:rPr>
            </w:pPr>
            <w:r>
              <w:rPr>
                <w:lang w:val="en-GB"/>
              </w:rPr>
              <w:t>Run</w:t>
            </w:r>
          </w:p>
        </w:tc>
        <w:tc>
          <w:tcPr>
            <w:tcW w:w="1276" w:type="dxa"/>
            <w:tcBorders>
              <w:top w:val="single" w:sz="12" w:space="0" w:color="008000"/>
              <w:bottom w:val="single" w:sz="6" w:space="0" w:color="008000"/>
            </w:tcBorders>
            <w:shd w:val="clear" w:color="auto" w:fill="FFFFFF"/>
          </w:tcPr>
          <w:p w14:paraId="60441C58" w14:textId="77777777" w:rsidR="00160AA9" w:rsidRDefault="00160AA9" w:rsidP="00917907">
            <w:pPr>
              <w:pStyle w:val="CETBodytext"/>
              <w:rPr>
                <w:lang w:val="en-GB"/>
              </w:rPr>
            </w:pPr>
            <w:r>
              <w:rPr>
                <w:lang w:val="en-GB"/>
              </w:rPr>
              <w:t xml:space="preserve">DES </w:t>
            </w:r>
            <w:r w:rsidR="000E4E66">
              <w:rPr>
                <w:lang w:val="en-GB"/>
              </w:rPr>
              <w:t>R</w:t>
            </w:r>
            <w:r w:rsidR="00537538">
              <w:rPr>
                <w:lang w:val="en-GB"/>
              </w:rPr>
              <w:t>atio</w:t>
            </w:r>
            <w:r w:rsidR="000E4E66">
              <w:rPr>
                <w:lang w:val="en-GB"/>
              </w:rPr>
              <w:t xml:space="preserve"> </w:t>
            </w:r>
          </w:p>
          <w:p w14:paraId="107BD350" w14:textId="040F7690" w:rsidR="00537538" w:rsidRPr="00B57B36" w:rsidRDefault="000E4E66" w:rsidP="00917907">
            <w:pPr>
              <w:pStyle w:val="CETBodytext"/>
              <w:rPr>
                <w:lang w:val="en-GB"/>
              </w:rPr>
            </w:pPr>
            <w:r>
              <w:rPr>
                <w:lang w:val="en-GB"/>
              </w:rPr>
              <w:t>(ChCl:LA)</w:t>
            </w:r>
          </w:p>
        </w:tc>
        <w:tc>
          <w:tcPr>
            <w:tcW w:w="992" w:type="dxa"/>
            <w:tcBorders>
              <w:top w:val="single" w:sz="12" w:space="0" w:color="008000"/>
              <w:bottom w:val="single" w:sz="6" w:space="0" w:color="008000"/>
            </w:tcBorders>
            <w:shd w:val="clear" w:color="auto" w:fill="FFFFFF"/>
          </w:tcPr>
          <w:p w14:paraId="6A078EF6" w14:textId="6E5C1C9D" w:rsidR="00537538" w:rsidRPr="00B57B36" w:rsidRDefault="006E46BF" w:rsidP="00917907">
            <w:pPr>
              <w:pStyle w:val="CETBodytext"/>
              <w:rPr>
                <w:lang w:val="en-GB"/>
              </w:rPr>
            </w:pPr>
            <w:r>
              <w:rPr>
                <w:rFonts w:eastAsia="SimSun"/>
              </w:rPr>
              <w:t>T</w:t>
            </w:r>
            <w:r>
              <w:rPr>
                <w:rFonts w:eastAsia="SimSun"/>
                <w:vertAlign w:val="subscript"/>
              </w:rPr>
              <w:t>bath</w:t>
            </w:r>
            <w:r w:rsidR="00160AA9">
              <w:rPr>
                <w:lang w:val="en-GB"/>
              </w:rPr>
              <w:t>, °C</w:t>
            </w:r>
          </w:p>
        </w:tc>
        <w:tc>
          <w:tcPr>
            <w:tcW w:w="1134" w:type="dxa"/>
            <w:tcBorders>
              <w:top w:val="single" w:sz="12" w:space="0" w:color="008000"/>
              <w:bottom w:val="single" w:sz="6" w:space="0" w:color="008000"/>
            </w:tcBorders>
            <w:shd w:val="clear" w:color="auto" w:fill="FFFFFF"/>
          </w:tcPr>
          <w:p w14:paraId="265FD5E8" w14:textId="2F2285F8" w:rsidR="00537538" w:rsidRPr="00B57B36" w:rsidRDefault="006E46BF" w:rsidP="00917907">
            <w:pPr>
              <w:pStyle w:val="CETBodytext"/>
              <w:ind w:right="-1"/>
              <w:rPr>
                <w:rFonts w:cs="Arial"/>
                <w:szCs w:val="18"/>
                <w:lang w:val="en-GB"/>
              </w:rPr>
            </w:pPr>
            <w:r>
              <w:rPr>
                <w:rFonts w:eastAsia="SimSun"/>
              </w:rPr>
              <w:t>P</w:t>
            </w:r>
            <w:r>
              <w:rPr>
                <w:rFonts w:eastAsia="SimSun"/>
                <w:vertAlign w:val="subscript"/>
              </w:rPr>
              <w:t>vac</w:t>
            </w:r>
            <w:r w:rsidR="00160AA9">
              <w:rPr>
                <w:rFonts w:cs="Arial"/>
                <w:szCs w:val="18"/>
                <w:lang w:val="en-GB"/>
              </w:rPr>
              <w:t>, mbar</w:t>
            </w:r>
          </w:p>
        </w:tc>
        <w:tc>
          <w:tcPr>
            <w:tcW w:w="1134" w:type="dxa"/>
            <w:tcBorders>
              <w:top w:val="single" w:sz="12" w:space="0" w:color="008000"/>
              <w:bottom w:val="single" w:sz="6" w:space="0" w:color="008000"/>
            </w:tcBorders>
            <w:shd w:val="clear" w:color="auto" w:fill="FFFFFF"/>
          </w:tcPr>
          <w:p w14:paraId="55E7413F" w14:textId="7239025C" w:rsidR="00537538" w:rsidRPr="00B57B36" w:rsidRDefault="006E46BF" w:rsidP="00917907">
            <w:pPr>
              <w:pStyle w:val="CETBodytext"/>
              <w:ind w:right="-1"/>
              <w:rPr>
                <w:rFonts w:cs="Arial"/>
                <w:szCs w:val="18"/>
                <w:lang w:val="en-GB"/>
              </w:rPr>
            </w:pPr>
            <w:r w:rsidRPr="00C15E99">
              <w:rPr>
                <w:rFonts w:eastAsia="SimSun"/>
              </w:rPr>
              <w:t>T</w:t>
            </w:r>
            <w:r>
              <w:rPr>
                <w:rFonts w:eastAsia="SimSun"/>
                <w:vertAlign w:val="subscript"/>
              </w:rPr>
              <w:t>chiller</w:t>
            </w:r>
            <w:r w:rsidR="00160AA9">
              <w:rPr>
                <w:rFonts w:cs="Arial"/>
                <w:szCs w:val="18"/>
                <w:lang w:val="en-GB"/>
              </w:rPr>
              <w:t>, °C</w:t>
            </w:r>
          </w:p>
        </w:tc>
        <w:tc>
          <w:tcPr>
            <w:tcW w:w="1276" w:type="dxa"/>
            <w:tcBorders>
              <w:top w:val="single" w:sz="12" w:space="0" w:color="008000"/>
              <w:bottom w:val="single" w:sz="6" w:space="0" w:color="008000"/>
            </w:tcBorders>
            <w:shd w:val="clear" w:color="auto" w:fill="FFFFFF"/>
          </w:tcPr>
          <w:p w14:paraId="54AB5552" w14:textId="77777777" w:rsidR="00160AA9" w:rsidRDefault="00537538" w:rsidP="00917907">
            <w:pPr>
              <w:pStyle w:val="CETBodytext"/>
              <w:ind w:right="-1"/>
              <w:rPr>
                <w:rFonts w:cs="Arial"/>
                <w:szCs w:val="18"/>
                <w:lang w:val="en-GB"/>
              </w:rPr>
            </w:pPr>
            <w:r>
              <w:rPr>
                <w:rFonts w:cs="Arial"/>
                <w:szCs w:val="18"/>
                <w:lang w:val="en-GB"/>
              </w:rPr>
              <w:t xml:space="preserve">Distillate </w:t>
            </w:r>
          </w:p>
          <w:p w14:paraId="71813190" w14:textId="47DBC1EC" w:rsidR="00537538" w:rsidRDefault="000E4E66" w:rsidP="00917907">
            <w:pPr>
              <w:pStyle w:val="CETBodytext"/>
              <w:ind w:right="-1"/>
              <w:rPr>
                <w:rFonts w:cs="Arial"/>
                <w:szCs w:val="18"/>
                <w:lang w:val="en-GB"/>
              </w:rPr>
            </w:pPr>
            <w:r>
              <w:rPr>
                <w:rFonts w:cs="Arial"/>
                <w:szCs w:val="18"/>
                <w:lang w:val="en-GB"/>
              </w:rPr>
              <w:t xml:space="preserve">Water </w:t>
            </w:r>
            <w:r w:rsidR="00537538">
              <w:rPr>
                <w:rFonts w:cs="Arial"/>
                <w:szCs w:val="18"/>
                <w:lang w:val="en-GB"/>
              </w:rPr>
              <w:t>(%)</w:t>
            </w:r>
          </w:p>
        </w:tc>
        <w:tc>
          <w:tcPr>
            <w:tcW w:w="2268" w:type="dxa"/>
            <w:tcBorders>
              <w:top w:val="single" w:sz="12" w:space="0" w:color="008000"/>
              <w:bottom w:val="single" w:sz="6" w:space="0" w:color="008000"/>
            </w:tcBorders>
            <w:shd w:val="clear" w:color="auto" w:fill="FFFFFF"/>
          </w:tcPr>
          <w:p w14:paraId="04574FD6" w14:textId="77777777" w:rsidR="00537538" w:rsidRDefault="000631F7" w:rsidP="00917907">
            <w:pPr>
              <w:pStyle w:val="CETBodytext"/>
              <w:ind w:right="-1"/>
              <w:rPr>
                <w:rFonts w:cs="Arial"/>
                <w:szCs w:val="18"/>
                <w:lang w:val="en-GB"/>
              </w:rPr>
            </w:pPr>
            <w:r>
              <w:rPr>
                <w:rFonts w:cs="Arial"/>
                <w:szCs w:val="18"/>
                <w:lang w:val="en-GB"/>
              </w:rPr>
              <w:t xml:space="preserve">Main </w:t>
            </w:r>
            <w:r w:rsidR="00150261">
              <w:rPr>
                <w:rFonts w:cs="Arial"/>
                <w:szCs w:val="18"/>
                <w:lang w:val="en-GB"/>
              </w:rPr>
              <w:t>Observation</w:t>
            </w:r>
          </w:p>
        </w:tc>
      </w:tr>
      <w:tr w:rsidR="00330224" w:rsidRPr="00B57B36" w14:paraId="387DFAA3" w14:textId="77777777" w:rsidTr="00160AA9">
        <w:tc>
          <w:tcPr>
            <w:tcW w:w="709" w:type="dxa"/>
            <w:shd w:val="clear" w:color="auto" w:fill="FFFFFF"/>
          </w:tcPr>
          <w:p w14:paraId="6E03D330" w14:textId="77777777" w:rsidR="00537538" w:rsidRPr="00B57B36" w:rsidRDefault="00537538" w:rsidP="00537538">
            <w:pPr>
              <w:pStyle w:val="CETBodytext"/>
              <w:rPr>
                <w:lang w:val="en-GB"/>
              </w:rPr>
            </w:pPr>
            <w:r>
              <w:rPr>
                <w:lang w:val="en-GB"/>
              </w:rPr>
              <w:t>1</w:t>
            </w:r>
          </w:p>
        </w:tc>
        <w:tc>
          <w:tcPr>
            <w:tcW w:w="1276" w:type="dxa"/>
            <w:shd w:val="clear" w:color="auto" w:fill="FFFFFF"/>
          </w:tcPr>
          <w:p w14:paraId="23C9BD38" w14:textId="77777777" w:rsidR="00537538" w:rsidRPr="00B57B36" w:rsidRDefault="00537538" w:rsidP="00917907">
            <w:pPr>
              <w:pStyle w:val="CETBodytext"/>
              <w:rPr>
                <w:lang w:val="en-GB"/>
              </w:rPr>
            </w:pPr>
            <w:r>
              <w:rPr>
                <w:lang w:val="en-GB"/>
              </w:rPr>
              <w:t>1:2</w:t>
            </w:r>
          </w:p>
        </w:tc>
        <w:tc>
          <w:tcPr>
            <w:tcW w:w="992" w:type="dxa"/>
            <w:shd w:val="clear" w:color="auto" w:fill="FFFFFF"/>
          </w:tcPr>
          <w:p w14:paraId="0D6CCCA9" w14:textId="77777777" w:rsidR="00537538" w:rsidRPr="00B57B36" w:rsidRDefault="00537538" w:rsidP="00917907">
            <w:pPr>
              <w:pStyle w:val="CETBodytext"/>
              <w:rPr>
                <w:lang w:val="en-GB"/>
              </w:rPr>
            </w:pPr>
            <w:r>
              <w:rPr>
                <w:lang w:val="en-GB"/>
              </w:rPr>
              <w:t>65</w:t>
            </w:r>
          </w:p>
        </w:tc>
        <w:tc>
          <w:tcPr>
            <w:tcW w:w="1134" w:type="dxa"/>
            <w:shd w:val="clear" w:color="auto" w:fill="FFFFFF"/>
          </w:tcPr>
          <w:p w14:paraId="21F43588" w14:textId="77777777" w:rsidR="00537538" w:rsidRPr="00B57B36" w:rsidRDefault="00537538" w:rsidP="00917907">
            <w:pPr>
              <w:pStyle w:val="CETBodytext"/>
              <w:ind w:right="-1"/>
              <w:rPr>
                <w:rFonts w:cs="Arial"/>
                <w:szCs w:val="18"/>
                <w:lang w:val="en-GB"/>
              </w:rPr>
            </w:pPr>
            <w:r>
              <w:rPr>
                <w:rFonts w:cs="Arial"/>
                <w:szCs w:val="18"/>
                <w:lang w:val="en-GB"/>
              </w:rPr>
              <w:t>150</w:t>
            </w:r>
          </w:p>
        </w:tc>
        <w:tc>
          <w:tcPr>
            <w:tcW w:w="1134" w:type="dxa"/>
            <w:shd w:val="clear" w:color="auto" w:fill="FFFFFF"/>
          </w:tcPr>
          <w:p w14:paraId="30B6567C" w14:textId="77777777" w:rsidR="00537538" w:rsidRPr="00B57B36" w:rsidRDefault="00537538" w:rsidP="00917907">
            <w:pPr>
              <w:pStyle w:val="CETBodytext"/>
              <w:ind w:right="-1"/>
              <w:rPr>
                <w:rFonts w:cs="Arial"/>
                <w:szCs w:val="18"/>
                <w:lang w:val="en-GB"/>
              </w:rPr>
            </w:pPr>
            <w:r>
              <w:rPr>
                <w:rFonts w:cs="Arial"/>
                <w:szCs w:val="18"/>
                <w:lang w:val="en-GB"/>
              </w:rPr>
              <w:t>15</w:t>
            </w:r>
          </w:p>
        </w:tc>
        <w:tc>
          <w:tcPr>
            <w:tcW w:w="1276" w:type="dxa"/>
            <w:shd w:val="clear" w:color="auto" w:fill="FFFFFF"/>
          </w:tcPr>
          <w:p w14:paraId="5E208FBD" w14:textId="77777777" w:rsidR="00537538" w:rsidRDefault="00537538" w:rsidP="00917907">
            <w:pPr>
              <w:pStyle w:val="CETBodytext"/>
              <w:ind w:right="-1"/>
              <w:rPr>
                <w:rFonts w:cs="Arial"/>
                <w:szCs w:val="18"/>
                <w:lang w:val="en-GB"/>
              </w:rPr>
            </w:pPr>
            <w:r>
              <w:rPr>
                <w:rFonts w:cs="Arial"/>
                <w:szCs w:val="18"/>
                <w:lang w:val="en-GB"/>
              </w:rPr>
              <w:t>46.23</w:t>
            </w:r>
          </w:p>
        </w:tc>
        <w:tc>
          <w:tcPr>
            <w:tcW w:w="2268" w:type="dxa"/>
            <w:shd w:val="clear" w:color="auto" w:fill="FFFFFF"/>
          </w:tcPr>
          <w:p w14:paraId="22372472" w14:textId="44A7CC09" w:rsidR="00537538" w:rsidRDefault="00537538" w:rsidP="00917907">
            <w:pPr>
              <w:pStyle w:val="CETBodytext"/>
              <w:ind w:right="-1"/>
              <w:rPr>
                <w:rFonts w:cs="Arial"/>
                <w:szCs w:val="18"/>
                <w:lang w:val="en-GB"/>
              </w:rPr>
            </w:pPr>
            <w:r>
              <w:rPr>
                <w:rFonts w:cs="Arial"/>
                <w:szCs w:val="18"/>
                <w:lang w:val="en-GB"/>
              </w:rPr>
              <w:t>Baseline at 65</w:t>
            </w:r>
            <w:r w:rsidR="006F6043">
              <w:rPr>
                <w:rFonts w:cs="Arial"/>
                <w:szCs w:val="18"/>
                <w:lang w:val="en-GB"/>
              </w:rPr>
              <w:t xml:space="preserve"> </w:t>
            </w:r>
            <w:r>
              <w:rPr>
                <w:rFonts w:cs="Arial"/>
                <w:szCs w:val="18"/>
                <w:lang w:val="en-GB"/>
              </w:rPr>
              <w:t>°C</w:t>
            </w:r>
          </w:p>
        </w:tc>
      </w:tr>
      <w:tr w:rsidR="00330224" w:rsidRPr="00B57B36" w14:paraId="56E76D8D" w14:textId="77777777" w:rsidTr="00160AA9">
        <w:tc>
          <w:tcPr>
            <w:tcW w:w="709" w:type="dxa"/>
            <w:shd w:val="clear" w:color="auto" w:fill="FFFFFF"/>
          </w:tcPr>
          <w:p w14:paraId="54051528" w14:textId="77777777" w:rsidR="00537538" w:rsidRPr="00B57B36" w:rsidRDefault="00537538" w:rsidP="00537538">
            <w:pPr>
              <w:pStyle w:val="CETBodytext"/>
              <w:ind w:right="-1"/>
              <w:rPr>
                <w:rFonts w:cs="Arial"/>
                <w:szCs w:val="18"/>
                <w:lang w:val="en-GB"/>
              </w:rPr>
            </w:pPr>
            <w:r>
              <w:rPr>
                <w:lang w:val="en-GB"/>
              </w:rPr>
              <w:t>2</w:t>
            </w:r>
          </w:p>
        </w:tc>
        <w:tc>
          <w:tcPr>
            <w:tcW w:w="1276" w:type="dxa"/>
            <w:shd w:val="clear" w:color="auto" w:fill="FFFFFF"/>
          </w:tcPr>
          <w:p w14:paraId="6209867B" w14:textId="77777777" w:rsidR="00537538" w:rsidRPr="00B57B36" w:rsidRDefault="00537538" w:rsidP="00917907">
            <w:pPr>
              <w:pStyle w:val="CETBodytext"/>
              <w:ind w:right="-1"/>
              <w:rPr>
                <w:rFonts w:cs="Arial"/>
                <w:szCs w:val="18"/>
                <w:lang w:val="en-GB"/>
              </w:rPr>
            </w:pPr>
            <w:r>
              <w:rPr>
                <w:rFonts w:cs="Arial"/>
                <w:szCs w:val="18"/>
                <w:lang w:val="en-GB"/>
              </w:rPr>
              <w:t>1:2</w:t>
            </w:r>
          </w:p>
        </w:tc>
        <w:tc>
          <w:tcPr>
            <w:tcW w:w="992" w:type="dxa"/>
            <w:shd w:val="clear" w:color="auto" w:fill="FFFFFF"/>
          </w:tcPr>
          <w:p w14:paraId="22790C8E" w14:textId="77777777" w:rsidR="00537538" w:rsidRPr="00B57B36" w:rsidRDefault="00537538" w:rsidP="00917907">
            <w:pPr>
              <w:pStyle w:val="CETBodytext"/>
              <w:ind w:right="-1"/>
              <w:rPr>
                <w:rFonts w:cs="Arial"/>
                <w:szCs w:val="18"/>
                <w:lang w:val="en-GB"/>
              </w:rPr>
            </w:pPr>
            <w:r>
              <w:rPr>
                <w:rFonts w:cs="Arial"/>
                <w:szCs w:val="18"/>
                <w:lang w:val="en-GB"/>
              </w:rPr>
              <w:t>60</w:t>
            </w:r>
          </w:p>
        </w:tc>
        <w:tc>
          <w:tcPr>
            <w:tcW w:w="1134" w:type="dxa"/>
            <w:shd w:val="clear" w:color="auto" w:fill="FFFFFF"/>
          </w:tcPr>
          <w:p w14:paraId="18E35E55" w14:textId="77777777" w:rsidR="00537538" w:rsidRPr="00B57B36" w:rsidRDefault="00537538" w:rsidP="00917907">
            <w:pPr>
              <w:pStyle w:val="CETBodytext"/>
              <w:ind w:right="-1"/>
              <w:rPr>
                <w:rFonts w:cs="Arial"/>
                <w:szCs w:val="18"/>
                <w:lang w:val="en-GB"/>
              </w:rPr>
            </w:pPr>
            <w:r>
              <w:rPr>
                <w:rFonts w:cs="Arial"/>
                <w:szCs w:val="18"/>
                <w:lang w:val="en-GB"/>
              </w:rPr>
              <w:t>150</w:t>
            </w:r>
          </w:p>
        </w:tc>
        <w:tc>
          <w:tcPr>
            <w:tcW w:w="1134" w:type="dxa"/>
            <w:shd w:val="clear" w:color="auto" w:fill="FFFFFF"/>
          </w:tcPr>
          <w:p w14:paraId="65A6A5F0" w14:textId="77777777" w:rsidR="00537538" w:rsidRPr="00B57B36" w:rsidRDefault="00537538" w:rsidP="00917907">
            <w:pPr>
              <w:pStyle w:val="CETBodytext"/>
              <w:ind w:right="-1"/>
              <w:rPr>
                <w:rFonts w:cs="Arial"/>
                <w:szCs w:val="18"/>
                <w:lang w:val="en-GB"/>
              </w:rPr>
            </w:pPr>
            <w:r>
              <w:rPr>
                <w:rFonts w:cs="Arial"/>
                <w:szCs w:val="18"/>
                <w:lang w:val="en-GB"/>
              </w:rPr>
              <w:t>15</w:t>
            </w:r>
          </w:p>
        </w:tc>
        <w:tc>
          <w:tcPr>
            <w:tcW w:w="1276" w:type="dxa"/>
            <w:shd w:val="clear" w:color="auto" w:fill="FFFFFF"/>
          </w:tcPr>
          <w:p w14:paraId="4538D7D5" w14:textId="77777777" w:rsidR="00537538" w:rsidRDefault="00537538" w:rsidP="00917907">
            <w:pPr>
              <w:pStyle w:val="CETBodytext"/>
              <w:ind w:right="-1"/>
              <w:rPr>
                <w:rFonts w:cs="Arial"/>
                <w:szCs w:val="18"/>
                <w:lang w:val="en-GB"/>
              </w:rPr>
            </w:pPr>
            <w:r>
              <w:rPr>
                <w:rFonts w:cs="Arial"/>
                <w:szCs w:val="18"/>
                <w:lang w:val="en-GB"/>
              </w:rPr>
              <w:t>32.57</w:t>
            </w:r>
          </w:p>
        </w:tc>
        <w:tc>
          <w:tcPr>
            <w:tcW w:w="2268" w:type="dxa"/>
            <w:shd w:val="clear" w:color="auto" w:fill="FFFFFF"/>
          </w:tcPr>
          <w:p w14:paraId="30BCD295" w14:textId="77777777" w:rsidR="00537538" w:rsidRPr="006E46BF" w:rsidRDefault="006E46BF" w:rsidP="006E46BF">
            <w:pPr>
              <w:pStyle w:val="CETBodytext"/>
              <w:rPr>
                <w:lang w:val="en-GB"/>
              </w:rPr>
            </w:pPr>
            <w:r>
              <w:rPr>
                <w:rFonts w:cs="Arial"/>
                <w:szCs w:val="18"/>
                <w:lang w:val="en-GB"/>
              </w:rPr>
              <w:t xml:space="preserve">Effect of lowering </w:t>
            </w:r>
            <w:r>
              <w:rPr>
                <w:rFonts w:eastAsia="SimSun"/>
              </w:rPr>
              <w:t>T</w:t>
            </w:r>
            <w:r>
              <w:rPr>
                <w:rFonts w:eastAsia="SimSun"/>
                <w:vertAlign w:val="subscript"/>
              </w:rPr>
              <w:t>bath</w:t>
            </w:r>
          </w:p>
        </w:tc>
      </w:tr>
      <w:tr w:rsidR="00330224" w:rsidRPr="00B57B36" w14:paraId="6C3E9453" w14:textId="77777777" w:rsidTr="00160AA9">
        <w:tc>
          <w:tcPr>
            <w:tcW w:w="709" w:type="dxa"/>
            <w:shd w:val="clear" w:color="auto" w:fill="FFFFFF"/>
          </w:tcPr>
          <w:p w14:paraId="0762A8BF" w14:textId="77777777" w:rsidR="00537538" w:rsidRPr="00004E74" w:rsidRDefault="00537538" w:rsidP="00537538">
            <w:pPr>
              <w:pStyle w:val="CETBodytext"/>
              <w:ind w:right="-1"/>
              <w:rPr>
                <w:rFonts w:cs="Arial"/>
                <w:b/>
                <w:szCs w:val="18"/>
                <w:lang w:val="en-GB"/>
              </w:rPr>
            </w:pPr>
            <w:r w:rsidRPr="00004E74">
              <w:rPr>
                <w:rFonts w:cs="Arial"/>
                <w:b/>
                <w:szCs w:val="18"/>
                <w:lang w:val="en-GB"/>
              </w:rPr>
              <w:t>3</w:t>
            </w:r>
          </w:p>
        </w:tc>
        <w:tc>
          <w:tcPr>
            <w:tcW w:w="1276" w:type="dxa"/>
            <w:shd w:val="clear" w:color="auto" w:fill="FFFFFF"/>
          </w:tcPr>
          <w:p w14:paraId="6EF057CA" w14:textId="77777777" w:rsidR="00537538" w:rsidRPr="00004E74" w:rsidRDefault="00537538" w:rsidP="00917907">
            <w:pPr>
              <w:pStyle w:val="CETBodytext"/>
              <w:ind w:right="-1"/>
              <w:rPr>
                <w:rFonts w:cs="Arial"/>
                <w:b/>
                <w:szCs w:val="18"/>
                <w:lang w:val="en-GB"/>
              </w:rPr>
            </w:pPr>
            <w:r w:rsidRPr="00004E74">
              <w:rPr>
                <w:rFonts w:cs="Arial"/>
                <w:b/>
                <w:szCs w:val="18"/>
                <w:lang w:val="en-GB"/>
              </w:rPr>
              <w:t>1:1.5</w:t>
            </w:r>
          </w:p>
        </w:tc>
        <w:tc>
          <w:tcPr>
            <w:tcW w:w="992" w:type="dxa"/>
            <w:shd w:val="clear" w:color="auto" w:fill="FFFFFF"/>
          </w:tcPr>
          <w:p w14:paraId="1564C743" w14:textId="77777777" w:rsidR="00537538" w:rsidRPr="00004E74" w:rsidRDefault="00537538" w:rsidP="00917907">
            <w:pPr>
              <w:pStyle w:val="CETBodytext"/>
              <w:ind w:right="-1"/>
              <w:rPr>
                <w:rFonts w:cs="Arial"/>
                <w:b/>
                <w:szCs w:val="18"/>
                <w:lang w:val="en-GB"/>
              </w:rPr>
            </w:pPr>
            <w:r w:rsidRPr="00004E74">
              <w:rPr>
                <w:rFonts w:cs="Arial"/>
                <w:b/>
                <w:szCs w:val="18"/>
                <w:lang w:val="en-GB"/>
              </w:rPr>
              <w:t>60</w:t>
            </w:r>
          </w:p>
        </w:tc>
        <w:tc>
          <w:tcPr>
            <w:tcW w:w="1134" w:type="dxa"/>
            <w:shd w:val="clear" w:color="auto" w:fill="FFFFFF"/>
          </w:tcPr>
          <w:p w14:paraId="563D17F3" w14:textId="77777777" w:rsidR="00537538" w:rsidRPr="00004E74" w:rsidRDefault="00537538" w:rsidP="00917907">
            <w:pPr>
              <w:pStyle w:val="CETBodytext"/>
              <w:ind w:right="-1"/>
              <w:rPr>
                <w:rFonts w:cs="Arial"/>
                <w:b/>
                <w:szCs w:val="18"/>
                <w:lang w:val="en-GB"/>
              </w:rPr>
            </w:pPr>
            <w:r w:rsidRPr="00004E74">
              <w:rPr>
                <w:rFonts w:cs="Arial"/>
                <w:b/>
                <w:szCs w:val="18"/>
                <w:lang w:val="en-GB"/>
              </w:rPr>
              <w:t>150</w:t>
            </w:r>
          </w:p>
        </w:tc>
        <w:tc>
          <w:tcPr>
            <w:tcW w:w="1134" w:type="dxa"/>
            <w:shd w:val="clear" w:color="auto" w:fill="FFFFFF"/>
          </w:tcPr>
          <w:p w14:paraId="00CCB17A" w14:textId="77777777" w:rsidR="00537538" w:rsidRPr="00004E74" w:rsidRDefault="00537538" w:rsidP="00917907">
            <w:pPr>
              <w:pStyle w:val="CETBodytext"/>
              <w:ind w:right="-1"/>
              <w:rPr>
                <w:rFonts w:cs="Arial"/>
                <w:b/>
                <w:szCs w:val="18"/>
                <w:lang w:val="en-GB"/>
              </w:rPr>
            </w:pPr>
            <w:r w:rsidRPr="00004E74">
              <w:rPr>
                <w:rFonts w:cs="Arial"/>
                <w:b/>
                <w:szCs w:val="18"/>
                <w:lang w:val="en-GB"/>
              </w:rPr>
              <w:t>15</w:t>
            </w:r>
          </w:p>
        </w:tc>
        <w:tc>
          <w:tcPr>
            <w:tcW w:w="1276" w:type="dxa"/>
            <w:shd w:val="clear" w:color="auto" w:fill="FFFFFF"/>
          </w:tcPr>
          <w:p w14:paraId="47C153E3" w14:textId="77777777" w:rsidR="00537538" w:rsidRPr="00004E74" w:rsidRDefault="00537538" w:rsidP="00917907">
            <w:pPr>
              <w:pStyle w:val="CETBodytext"/>
              <w:ind w:right="-1"/>
              <w:rPr>
                <w:rFonts w:cs="Arial"/>
                <w:b/>
                <w:szCs w:val="18"/>
                <w:lang w:val="en-GB"/>
              </w:rPr>
            </w:pPr>
            <w:r w:rsidRPr="00004E74">
              <w:rPr>
                <w:rFonts w:cs="Arial"/>
                <w:b/>
                <w:szCs w:val="18"/>
                <w:lang w:val="en-GB"/>
              </w:rPr>
              <w:t>26.33</w:t>
            </w:r>
          </w:p>
        </w:tc>
        <w:tc>
          <w:tcPr>
            <w:tcW w:w="2268" w:type="dxa"/>
            <w:shd w:val="clear" w:color="auto" w:fill="FFFFFF"/>
          </w:tcPr>
          <w:p w14:paraId="522D06AB" w14:textId="77777777" w:rsidR="0045794F" w:rsidRDefault="00330224" w:rsidP="00917907">
            <w:pPr>
              <w:pStyle w:val="CETBodytext"/>
              <w:ind w:right="-1"/>
              <w:rPr>
                <w:rFonts w:cs="Arial"/>
                <w:b/>
                <w:szCs w:val="18"/>
                <w:lang w:val="en-GB"/>
              </w:rPr>
            </w:pPr>
            <w:r w:rsidRPr="00004E74">
              <w:rPr>
                <w:rFonts w:cs="Arial"/>
                <w:b/>
                <w:szCs w:val="18"/>
                <w:lang w:val="en-GB"/>
              </w:rPr>
              <w:t xml:space="preserve">Best performance </w:t>
            </w:r>
          </w:p>
          <w:p w14:paraId="5EBBF8A4" w14:textId="6351BF84" w:rsidR="00537538" w:rsidRPr="00004E74" w:rsidRDefault="00330224" w:rsidP="00917907">
            <w:pPr>
              <w:pStyle w:val="CETBodytext"/>
              <w:ind w:right="-1"/>
              <w:rPr>
                <w:rFonts w:cs="Arial"/>
                <w:b/>
                <w:szCs w:val="18"/>
                <w:lang w:val="en-GB"/>
              </w:rPr>
            </w:pPr>
            <w:r w:rsidRPr="00004E74">
              <w:rPr>
                <w:rFonts w:cs="Arial"/>
                <w:b/>
                <w:szCs w:val="18"/>
                <w:lang w:val="en-GB"/>
              </w:rPr>
              <w:t>(Solvent effect)</w:t>
            </w:r>
          </w:p>
        </w:tc>
      </w:tr>
      <w:tr w:rsidR="00330224" w:rsidRPr="00B57B36" w14:paraId="046D56A5" w14:textId="77777777" w:rsidTr="00160AA9">
        <w:tc>
          <w:tcPr>
            <w:tcW w:w="709" w:type="dxa"/>
            <w:shd w:val="clear" w:color="auto" w:fill="FFFFFF"/>
          </w:tcPr>
          <w:p w14:paraId="37CD31CF" w14:textId="77777777" w:rsidR="00537538" w:rsidRDefault="00537538" w:rsidP="00917907">
            <w:pPr>
              <w:pStyle w:val="CETBodytext"/>
              <w:ind w:right="-1"/>
              <w:rPr>
                <w:rFonts w:cs="Arial"/>
                <w:szCs w:val="18"/>
                <w:lang w:val="en-GB"/>
              </w:rPr>
            </w:pPr>
            <w:r>
              <w:rPr>
                <w:rFonts w:cs="Arial"/>
                <w:szCs w:val="18"/>
                <w:lang w:val="en-GB"/>
              </w:rPr>
              <w:t>4</w:t>
            </w:r>
          </w:p>
        </w:tc>
        <w:tc>
          <w:tcPr>
            <w:tcW w:w="1276" w:type="dxa"/>
            <w:shd w:val="clear" w:color="auto" w:fill="FFFFFF"/>
          </w:tcPr>
          <w:p w14:paraId="55FC9D34" w14:textId="77777777" w:rsidR="00537538" w:rsidRDefault="00537538" w:rsidP="00917907">
            <w:pPr>
              <w:pStyle w:val="CETBodytext"/>
              <w:ind w:right="-1"/>
              <w:rPr>
                <w:rFonts w:cs="Arial"/>
                <w:szCs w:val="18"/>
                <w:lang w:val="en-GB"/>
              </w:rPr>
            </w:pPr>
            <w:r>
              <w:rPr>
                <w:rFonts w:cs="Arial"/>
                <w:szCs w:val="18"/>
                <w:lang w:val="en-GB"/>
              </w:rPr>
              <w:t>1:1.5</w:t>
            </w:r>
          </w:p>
        </w:tc>
        <w:tc>
          <w:tcPr>
            <w:tcW w:w="992" w:type="dxa"/>
            <w:shd w:val="clear" w:color="auto" w:fill="FFFFFF"/>
          </w:tcPr>
          <w:p w14:paraId="5727A6E9" w14:textId="77777777" w:rsidR="00537538" w:rsidRDefault="00537538" w:rsidP="00917907">
            <w:pPr>
              <w:pStyle w:val="CETBodytext"/>
              <w:ind w:right="-1"/>
              <w:rPr>
                <w:rFonts w:cs="Arial"/>
                <w:szCs w:val="18"/>
                <w:lang w:val="en-GB"/>
              </w:rPr>
            </w:pPr>
            <w:r>
              <w:rPr>
                <w:rFonts w:cs="Arial"/>
                <w:szCs w:val="18"/>
                <w:lang w:val="en-GB"/>
              </w:rPr>
              <w:t>65</w:t>
            </w:r>
          </w:p>
        </w:tc>
        <w:tc>
          <w:tcPr>
            <w:tcW w:w="1134" w:type="dxa"/>
            <w:shd w:val="clear" w:color="auto" w:fill="FFFFFF"/>
          </w:tcPr>
          <w:p w14:paraId="273B1C60" w14:textId="77777777" w:rsidR="00537538" w:rsidRDefault="00537538" w:rsidP="00917907">
            <w:pPr>
              <w:pStyle w:val="CETBodytext"/>
              <w:ind w:right="-1"/>
              <w:rPr>
                <w:rFonts w:cs="Arial"/>
                <w:szCs w:val="18"/>
                <w:lang w:val="en-GB"/>
              </w:rPr>
            </w:pPr>
            <w:r>
              <w:rPr>
                <w:rFonts w:cs="Arial"/>
                <w:szCs w:val="18"/>
                <w:lang w:val="en-GB"/>
              </w:rPr>
              <w:t>150</w:t>
            </w:r>
          </w:p>
        </w:tc>
        <w:tc>
          <w:tcPr>
            <w:tcW w:w="1134" w:type="dxa"/>
            <w:shd w:val="clear" w:color="auto" w:fill="FFFFFF"/>
          </w:tcPr>
          <w:p w14:paraId="21BC5FA6" w14:textId="77777777" w:rsidR="00537538" w:rsidRDefault="00537538" w:rsidP="00917907">
            <w:pPr>
              <w:pStyle w:val="CETBodytext"/>
              <w:ind w:right="-1"/>
              <w:rPr>
                <w:rFonts w:cs="Arial"/>
                <w:szCs w:val="18"/>
                <w:lang w:val="en-GB"/>
              </w:rPr>
            </w:pPr>
            <w:r>
              <w:rPr>
                <w:rFonts w:cs="Arial"/>
                <w:szCs w:val="18"/>
                <w:lang w:val="en-GB"/>
              </w:rPr>
              <w:t>20</w:t>
            </w:r>
          </w:p>
        </w:tc>
        <w:tc>
          <w:tcPr>
            <w:tcW w:w="1276" w:type="dxa"/>
            <w:shd w:val="clear" w:color="auto" w:fill="FFFFFF"/>
          </w:tcPr>
          <w:p w14:paraId="52AE35CD" w14:textId="77777777" w:rsidR="00537538" w:rsidRDefault="00537538" w:rsidP="00917907">
            <w:pPr>
              <w:pStyle w:val="CETBodytext"/>
              <w:ind w:right="-1"/>
              <w:rPr>
                <w:rFonts w:cs="Arial"/>
                <w:szCs w:val="18"/>
                <w:lang w:val="en-GB"/>
              </w:rPr>
            </w:pPr>
            <w:r>
              <w:rPr>
                <w:rFonts w:cs="Arial"/>
                <w:szCs w:val="18"/>
                <w:lang w:val="en-GB"/>
              </w:rPr>
              <w:t>43.62</w:t>
            </w:r>
          </w:p>
        </w:tc>
        <w:tc>
          <w:tcPr>
            <w:tcW w:w="2268" w:type="dxa"/>
            <w:shd w:val="clear" w:color="auto" w:fill="FFFFFF"/>
          </w:tcPr>
          <w:p w14:paraId="0052D2CB" w14:textId="77777777" w:rsidR="00537538" w:rsidRDefault="006E46BF" w:rsidP="00917907">
            <w:pPr>
              <w:pStyle w:val="CETBodytext"/>
              <w:ind w:right="-1"/>
              <w:rPr>
                <w:rFonts w:cs="Arial"/>
                <w:szCs w:val="18"/>
                <w:lang w:val="en-GB"/>
              </w:rPr>
            </w:pPr>
            <w:r>
              <w:rPr>
                <w:rFonts w:cs="Arial"/>
                <w:szCs w:val="18"/>
                <w:lang w:val="en-GB"/>
              </w:rPr>
              <w:t xml:space="preserve">Effect of higher </w:t>
            </w:r>
            <w:r w:rsidRPr="00C15E99">
              <w:rPr>
                <w:rFonts w:eastAsia="SimSun"/>
              </w:rPr>
              <w:t>T</w:t>
            </w:r>
            <w:r>
              <w:rPr>
                <w:rFonts w:eastAsia="SimSun"/>
                <w:vertAlign w:val="subscript"/>
              </w:rPr>
              <w:t>chiller</w:t>
            </w:r>
          </w:p>
        </w:tc>
      </w:tr>
      <w:tr w:rsidR="00330224" w:rsidRPr="00B57B36" w14:paraId="119D6250" w14:textId="77777777" w:rsidTr="00160AA9">
        <w:tc>
          <w:tcPr>
            <w:tcW w:w="709" w:type="dxa"/>
            <w:shd w:val="clear" w:color="auto" w:fill="FFFFFF"/>
          </w:tcPr>
          <w:p w14:paraId="71A1A173" w14:textId="77777777" w:rsidR="00537538" w:rsidRDefault="00537538" w:rsidP="00917907">
            <w:pPr>
              <w:pStyle w:val="CETBodytext"/>
              <w:ind w:right="-1"/>
              <w:rPr>
                <w:rFonts w:cs="Arial"/>
                <w:szCs w:val="18"/>
                <w:lang w:val="en-GB"/>
              </w:rPr>
            </w:pPr>
            <w:r>
              <w:rPr>
                <w:rFonts w:cs="Arial"/>
                <w:szCs w:val="18"/>
                <w:lang w:val="en-GB"/>
              </w:rPr>
              <w:t>5</w:t>
            </w:r>
          </w:p>
        </w:tc>
        <w:tc>
          <w:tcPr>
            <w:tcW w:w="1276" w:type="dxa"/>
            <w:shd w:val="clear" w:color="auto" w:fill="FFFFFF"/>
          </w:tcPr>
          <w:p w14:paraId="60BBB91D" w14:textId="77777777" w:rsidR="00537538" w:rsidRDefault="00537538" w:rsidP="00917907">
            <w:pPr>
              <w:pStyle w:val="CETBodytext"/>
              <w:ind w:right="-1"/>
              <w:rPr>
                <w:rFonts w:cs="Arial"/>
                <w:szCs w:val="18"/>
                <w:lang w:val="en-GB"/>
              </w:rPr>
            </w:pPr>
            <w:r>
              <w:rPr>
                <w:rFonts w:cs="Arial"/>
                <w:szCs w:val="18"/>
                <w:lang w:val="en-GB"/>
              </w:rPr>
              <w:t>1:2</w:t>
            </w:r>
          </w:p>
        </w:tc>
        <w:tc>
          <w:tcPr>
            <w:tcW w:w="992" w:type="dxa"/>
            <w:shd w:val="clear" w:color="auto" w:fill="FFFFFF"/>
          </w:tcPr>
          <w:p w14:paraId="1CB97CA8" w14:textId="77777777" w:rsidR="00537538" w:rsidRDefault="00537538" w:rsidP="00917907">
            <w:pPr>
              <w:pStyle w:val="CETBodytext"/>
              <w:ind w:right="-1"/>
              <w:rPr>
                <w:rFonts w:cs="Arial"/>
                <w:szCs w:val="18"/>
                <w:lang w:val="en-GB"/>
              </w:rPr>
            </w:pPr>
            <w:r>
              <w:rPr>
                <w:rFonts w:cs="Arial"/>
                <w:szCs w:val="18"/>
                <w:lang w:val="en-GB"/>
              </w:rPr>
              <w:t>65</w:t>
            </w:r>
          </w:p>
        </w:tc>
        <w:tc>
          <w:tcPr>
            <w:tcW w:w="1134" w:type="dxa"/>
            <w:shd w:val="clear" w:color="auto" w:fill="FFFFFF"/>
          </w:tcPr>
          <w:p w14:paraId="12EFFAD2" w14:textId="77777777" w:rsidR="00537538" w:rsidRDefault="00537538" w:rsidP="00917907">
            <w:pPr>
              <w:pStyle w:val="CETBodytext"/>
              <w:ind w:right="-1"/>
              <w:rPr>
                <w:rFonts w:cs="Arial"/>
                <w:szCs w:val="18"/>
                <w:lang w:val="en-GB"/>
              </w:rPr>
            </w:pPr>
            <w:r>
              <w:rPr>
                <w:rFonts w:cs="Arial"/>
                <w:szCs w:val="18"/>
                <w:lang w:val="en-GB"/>
              </w:rPr>
              <w:t>100</w:t>
            </w:r>
          </w:p>
        </w:tc>
        <w:tc>
          <w:tcPr>
            <w:tcW w:w="1134" w:type="dxa"/>
            <w:shd w:val="clear" w:color="auto" w:fill="FFFFFF"/>
          </w:tcPr>
          <w:p w14:paraId="1B761033" w14:textId="77777777" w:rsidR="00537538" w:rsidRDefault="00537538" w:rsidP="00917907">
            <w:pPr>
              <w:pStyle w:val="CETBodytext"/>
              <w:ind w:right="-1"/>
              <w:rPr>
                <w:rFonts w:cs="Arial"/>
                <w:szCs w:val="18"/>
                <w:lang w:val="en-GB"/>
              </w:rPr>
            </w:pPr>
            <w:r>
              <w:rPr>
                <w:rFonts w:cs="Arial"/>
                <w:szCs w:val="18"/>
                <w:lang w:val="en-GB"/>
              </w:rPr>
              <w:t>15</w:t>
            </w:r>
          </w:p>
        </w:tc>
        <w:tc>
          <w:tcPr>
            <w:tcW w:w="1276" w:type="dxa"/>
            <w:shd w:val="clear" w:color="auto" w:fill="FFFFFF"/>
          </w:tcPr>
          <w:p w14:paraId="1B583A10" w14:textId="77777777" w:rsidR="00537538" w:rsidRDefault="00537538" w:rsidP="00917907">
            <w:pPr>
              <w:pStyle w:val="CETBodytext"/>
              <w:ind w:right="-1"/>
              <w:rPr>
                <w:rFonts w:cs="Arial"/>
                <w:szCs w:val="18"/>
                <w:lang w:val="en-GB"/>
              </w:rPr>
            </w:pPr>
            <w:r>
              <w:rPr>
                <w:rFonts w:cs="Arial"/>
                <w:szCs w:val="18"/>
                <w:lang w:val="en-GB"/>
              </w:rPr>
              <w:t>59.94</w:t>
            </w:r>
          </w:p>
        </w:tc>
        <w:tc>
          <w:tcPr>
            <w:tcW w:w="2268" w:type="dxa"/>
            <w:shd w:val="clear" w:color="auto" w:fill="FFFFFF"/>
          </w:tcPr>
          <w:p w14:paraId="22B840DF" w14:textId="77777777" w:rsidR="00537538" w:rsidRDefault="00330224" w:rsidP="00917907">
            <w:pPr>
              <w:pStyle w:val="CETBodytext"/>
              <w:ind w:right="-1"/>
              <w:rPr>
                <w:rFonts w:cs="Arial"/>
                <w:szCs w:val="18"/>
                <w:lang w:val="en-GB"/>
              </w:rPr>
            </w:pPr>
            <w:r>
              <w:rPr>
                <w:rFonts w:cs="Arial"/>
                <w:szCs w:val="18"/>
                <w:lang w:val="en-GB"/>
              </w:rPr>
              <w:t>Effect of higher vacuum</w:t>
            </w:r>
          </w:p>
        </w:tc>
      </w:tr>
    </w:tbl>
    <w:p w14:paraId="0604614B" w14:textId="59FF9975" w:rsidR="00A85DE0" w:rsidRDefault="001904B9" w:rsidP="00C66970">
      <w:pPr>
        <w:pStyle w:val="CETTabletitle"/>
        <w:spacing w:after="0"/>
        <w:jc w:val="both"/>
        <w:rPr>
          <w:i w:val="0"/>
        </w:rPr>
      </w:pPr>
      <w:r>
        <w:rPr>
          <w:i w:val="0"/>
        </w:rPr>
        <w:t xml:space="preserve">The </w:t>
      </w:r>
      <w:r w:rsidRPr="001904B9">
        <w:rPr>
          <w:i w:val="0"/>
        </w:rPr>
        <w:t>separation efficiency was monitored through a multi-parametric approach comparing the initial feed, the distillate (ethanol-enriched phase), and the residue (DES-rich phase).</w:t>
      </w:r>
      <w:r w:rsidR="00D77CBE">
        <w:rPr>
          <w:i w:val="0"/>
        </w:rPr>
        <w:t xml:space="preserve"> </w:t>
      </w:r>
      <w:r w:rsidRPr="001904B9">
        <w:rPr>
          <w:i w:val="0"/>
        </w:rPr>
        <w:t xml:space="preserve">Table </w:t>
      </w:r>
      <w:r w:rsidR="005B737C">
        <w:rPr>
          <w:i w:val="0"/>
        </w:rPr>
        <w:t>3</w:t>
      </w:r>
      <w:r w:rsidRPr="001904B9">
        <w:rPr>
          <w:i w:val="0"/>
        </w:rPr>
        <w:t xml:space="preserve"> and Figure </w:t>
      </w:r>
      <w:r w:rsidR="00751BA2">
        <w:rPr>
          <w:i w:val="0"/>
        </w:rPr>
        <w:t>2</w:t>
      </w:r>
      <w:r w:rsidRPr="001904B9">
        <w:rPr>
          <w:i w:val="0"/>
        </w:rPr>
        <w:t xml:space="preserve"> show the results of the measurements of these parameters.</w:t>
      </w:r>
      <w:r w:rsidR="00D77CBE">
        <w:rPr>
          <w:i w:val="0"/>
        </w:rPr>
        <w:t xml:space="preserve"> </w:t>
      </w:r>
      <w:r w:rsidRPr="001904B9">
        <w:rPr>
          <w:i w:val="0"/>
        </w:rPr>
        <w:t>The</w:t>
      </w:r>
      <w:r w:rsidR="00751BA2">
        <w:rPr>
          <w:i w:val="0"/>
        </w:rPr>
        <w:t xml:space="preserve"> </w:t>
      </w:r>
      <w:r w:rsidRPr="001904B9">
        <w:rPr>
          <w:i w:val="0"/>
        </w:rPr>
        <w:t>KF</w:t>
      </w:r>
      <w:r w:rsidR="00ED306B">
        <w:rPr>
          <w:i w:val="0"/>
        </w:rPr>
        <w:t xml:space="preserve"> t</w:t>
      </w:r>
      <w:r w:rsidRPr="001904B9">
        <w:rPr>
          <w:i w:val="0"/>
        </w:rPr>
        <w:t xml:space="preserve">itration provided the most direct evidence of the DES performance as </w:t>
      </w:r>
      <w:r w:rsidR="009345D4">
        <w:rPr>
          <w:i w:val="0"/>
        </w:rPr>
        <w:t>a</w:t>
      </w:r>
      <w:r w:rsidR="00D77CBE">
        <w:rPr>
          <w:i w:val="0"/>
        </w:rPr>
        <w:t xml:space="preserve"> </w:t>
      </w:r>
      <w:r w:rsidR="003661E4">
        <w:rPr>
          <w:i w:val="0"/>
        </w:rPr>
        <w:t>solvent</w:t>
      </w:r>
      <w:r w:rsidRPr="001904B9">
        <w:rPr>
          <w:i w:val="0"/>
        </w:rPr>
        <w:t xml:space="preserve">. While the initial feed </w:t>
      </w:r>
      <w:r w:rsidR="009345D4">
        <w:rPr>
          <w:i w:val="0"/>
        </w:rPr>
        <w:t>showed</w:t>
      </w:r>
      <w:r w:rsidR="00751BA2">
        <w:rPr>
          <w:i w:val="0"/>
        </w:rPr>
        <w:t xml:space="preserve"> </w:t>
      </w:r>
      <w:r w:rsidRPr="001904B9">
        <w:rPr>
          <w:i w:val="0"/>
        </w:rPr>
        <w:t xml:space="preserve">a water content of approximately </w:t>
      </w:r>
      <w:r w:rsidR="00883755">
        <w:rPr>
          <w:i w:val="0"/>
        </w:rPr>
        <w:t>66</w:t>
      </w:r>
      <w:r w:rsidR="006F6043">
        <w:rPr>
          <w:i w:val="0"/>
        </w:rPr>
        <w:t xml:space="preserve"> </w:t>
      </w:r>
      <w:r w:rsidRPr="001904B9">
        <w:rPr>
          <w:i w:val="0"/>
        </w:rPr>
        <w:t xml:space="preserve">%, the use of ChCl:LA allowed for significant dehydration. </w:t>
      </w:r>
      <w:r w:rsidRPr="00D77CBE">
        <w:rPr>
          <w:i w:val="0"/>
        </w:rPr>
        <w:t xml:space="preserve">Run 2 (DES 1:2) and Run 4 (DES 1:1.5) achieved the highest separation, reducing water in the distillate to </w:t>
      </w:r>
      <w:r w:rsidR="00D77CBE" w:rsidRPr="00D77CBE">
        <w:rPr>
          <w:i w:val="0"/>
        </w:rPr>
        <w:t>32.57</w:t>
      </w:r>
      <w:r w:rsidR="00B47DFB" w:rsidRPr="00D77CBE">
        <w:rPr>
          <w:i w:val="0"/>
        </w:rPr>
        <w:t>-</w:t>
      </w:r>
      <w:r w:rsidR="00D77CBE" w:rsidRPr="00D77CBE">
        <w:rPr>
          <w:i w:val="0"/>
        </w:rPr>
        <w:t>43.62</w:t>
      </w:r>
      <w:r w:rsidR="006F6043">
        <w:rPr>
          <w:i w:val="0"/>
        </w:rPr>
        <w:t xml:space="preserve"> </w:t>
      </w:r>
      <w:r w:rsidR="009754CA" w:rsidRPr="00D77CBE">
        <w:rPr>
          <w:i w:val="0"/>
        </w:rPr>
        <w:t xml:space="preserve">%. </w:t>
      </w:r>
      <w:r w:rsidRPr="00D77CBE">
        <w:rPr>
          <w:i w:val="0"/>
        </w:rPr>
        <w:t>The</w:t>
      </w:r>
      <w:r w:rsidRPr="001904B9">
        <w:rPr>
          <w:i w:val="0"/>
        </w:rPr>
        <w:t xml:space="preserve"> physical properties of the phases served as a</w:t>
      </w:r>
      <w:r w:rsidR="0045794F">
        <w:rPr>
          <w:i w:val="0"/>
        </w:rPr>
        <w:t>n indicator</w:t>
      </w:r>
      <w:r w:rsidRPr="001904B9">
        <w:rPr>
          <w:i w:val="0"/>
        </w:rPr>
        <w:t xml:space="preserve"> for separation quality</w:t>
      </w:r>
      <w:r w:rsidR="00B47DFB">
        <w:rPr>
          <w:i w:val="0"/>
        </w:rPr>
        <w:t>,</w:t>
      </w:r>
      <w:r w:rsidR="009754CA">
        <w:rPr>
          <w:i w:val="0"/>
        </w:rPr>
        <w:t xml:space="preserve"> as seen in Table 3</w:t>
      </w:r>
      <w:r w:rsidRPr="001904B9">
        <w:rPr>
          <w:i w:val="0"/>
        </w:rPr>
        <w:t>.</w:t>
      </w:r>
      <w:r w:rsidR="009754CA">
        <w:rPr>
          <w:i w:val="0"/>
        </w:rPr>
        <w:t xml:space="preserve"> For ex</w:t>
      </w:r>
      <w:r w:rsidR="009E6C99">
        <w:rPr>
          <w:i w:val="0"/>
        </w:rPr>
        <w:t>a</w:t>
      </w:r>
      <w:r w:rsidR="009754CA">
        <w:rPr>
          <w:i w:val="0"/>
        </w:rPr>
        <w:t>mple, t</w:t>
      </w:r>
      <w:r w:rsidRPr="001904B9">
        <w:rPr>
          <w:i w:val="0"/>
        </w:rPr>
        <w:t>he residue maintain</w:t>
      </w:r>
      <w:r w:rsidR="009754CA">
        <w:rPr>
          <w:i w:val="0"/>
        </w:rPr>
        <w:t>ed higher viscosity</w:t>
      </w:r>
      <w:r w:rsidRPr="001904B9">
        <w:rPr>
          <w:i w:val="0"/>
        </w:rPr>
        <w:t xml:space="preserve"> and a very low pH (0.5 to 1.5). These values are consistent with the concentrated LA in the DES, confirming its sequestration in the evapor</w:t>
      </w:r>
      <w:r w:rsidR="009754CA">
        <w:rPr>
          <w:i w:val="0"/>
        </w:rPr>
        <w:t xml:space="preserve">ation flask. </w:t>
      </w:r>
      <w:r w:rsidR="006118F2">
        <w:rPr>
          <w:i w:val="0"/>
        </w:rPr>
        <w:t>Conversely</w:t>
      </w:r>
      <w:r w:rsidR="009754CA">
        <w:rPr>
          <w:i w:val="0"/>
        </w:rPr>
        <w:t>, t</w:t>
      </w:r>
      <w:r w:rsidRPr="001904B9">
        <w:rPr>
          <w:i w:val="0"/>
        </w:rPr>
        <w:t>he distillate was consistently colo</w:t>
      </w:r>
      <w:r w:rsidR="009E6C99">
        <w:rPr>
          <w:i w:val="0"/>
        </w:rPr>
        <w:t>u</w:t>
      </w:r>
      <w:r w:rsidRPr="001904B9">
        <w:rPr>
          <w:i w:val="0"/>
        </w:rPr>
        <w:t>rless with a near-neutral pH (3.5 to 5.0) and low</w:t>
      </w:r>
      <w:r w:rsidR="009754CA">
        <w:rPr>
          <w:i w:val="0"/>
        </w:rPr>
        <w:t>er</w:t>
      </w:r>
      <w:r w:rsidRPr="001904B9">
        <w:rPr>
          <w:i w:val="0"/>
        </w:rPr>
        <w:t xml:space="preserve"> vi</w:t>
      </w:r>
      <w:r w:rsidR="0082342F">
        <w:rPr>
          <w:i w:val="0"/>
        </w:rPr>
        <w:t>scosity. This gradient suggests</w:t>
      </w:r>
      <w:r w:rsidRPr="001904B9">
        <w:rPr>
          <w:i w:val="0"/>
        </w:rPr>
        <w:t xml:space="preserve"> that the DES </w:t>
      </w:r>
      <w:r w:rsidR="0082342F">
        <w:rPr>
          <w:i w:val="0"/>
        </w:rPr>
        <w:t xml:space="preserve">may have </w:t>
      </w:r>
      <w:r w:rsidRPr="001904B9">
        <w:rPr>
          <w:i w:val="0"/>
        </w:rPr>
        <w:t xml:space="preserve">acted as a non-volatile </w:t>
      </w:r>
      <w:r w:rsidR="003661E4">
        <w:rPr>
          <w:i w:val="0"/>
        </w:rPr>
        <w:t>solvent</w:t>
      </w:r>
      <w:r w:rsidRPr="001904B9">
        <w:rPr>
          <w:i w:val="0"/>
        </w:rPr>
        <w:t>, successfully "holding" the water in the liquid phase without contaminating the ethanol-rich vapors.</w:t>
      </w:r>
      <w:r w:rsidR="00751BA2">
        <w:rPr>
          <w:i w:val="0"/>
        </w:rPr>
        <w:t xml:space="preserve"> </w:t>
      </w:r>
      <w:r w:rsidR="005921BC">
        <w:rPr>
          <w:i w:val="0"/>
        </w:rPr>
        <w:t xml:space="preserve">                             </w:t>
      </w:r>
      <w:r w:rsidR="00A85DE0">
        <w:rPr>
          <w:i w:val="0"/>
        </w:rPr>
        <w:t xml:space="preserve"> </w:t>
      </w:r>
    </w:p>
    <w:p w14:paraId="2E893477" w14:textId="3A7E7D93" w:rsidR="00A85DE0" w:rsidRPr="00B57B36" w:rsidRDefault="00A85DE0" w:rsidP="00A85DE0">
      <w:pPr>
        <w:pStyle w:val="CETTabletitle"/>
      </w:pPr>
      <w:r>
        <w:t xml:space="preserve">Table 3: </w:t>
      </w:r>
      <w:r w:rsidR="000B36DE">
        <w:t>Distillate and residue p</w:t>
      </w:r>
      <w:r w:rsidRPr="00605365">
        <w:t>hases</w:t>
      </w:r>
      <w:r w:rsidR="000B36DE">
        <w:t xml:space="preserve"> properties after distillation (water content, density, viscosity, pH)</w:t>
      </w:r>
    </w:p>
    <w:tbl>
      <w:tblPr>
        <w:tblW w:w="7797"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709"/>
        <w:gridCol w:w="1276"/>
        <w:gridCol w:w="1843"/>
        <w:gridCol w:w="1559"/>
        <w:gridCol w:w="1701"/>
        <w:gridCol w:w="709"/>
      </w:tblGrid>
      <w:tr w:rsidR="00A85DE0" w:rsidRPr="00B57B36" w14:paraId="3D96E08D" w14:textId="77777777" w:rsidTr="00160AA9">
        <w:tc>
          <w:tcPr>
            <w:tcW w:w="709" w:type="dxa"/>
            <w:tcBorders>
              <w:top w:val="single" w:sz="12" w:space="0" w:color="008000"/>
              <w:bottom w:val="single" w:sz="6" w:space="0" w:color="008000"/>
            </w:tcBorders>
            <w:shd w:val="clear" w:color="auto" w:fill="FFFFFF"/>
          </w:tcPr>
          <w:p w14:paraId="60AE8162" w14:textId="77777777" w:rsidR="00A85DE0" w:rsidRPr="00B57B36" w:rsidRDefault="00A85DE0" w:rsidP="00C05AB5">
            <w:pPr>
              <w:pStyle w:val="CETBodytext"/>
              <w:rPr>
                <w:lang w:val="en-GB"/>
              </w:rPr>
            </w:pPr>
            <w:r>
              <w:rPr>
                <w:lang w:val="en-GB"/>
              </w:rPr>
              <w:t>Run</w:t>
            </w:r>
          </w:p>
        </w:tc>
        <w:tc>
          <w:tcPr>
            <w:tcW w:w="1276" w:type="dxa"/>
            <w:tcBorders>
              <w:top w:val="single" w:sz="12" w:space="0" w:color="008000"/>
              <w:bottom w:val="single" w:sz="6" w:space="0" w:color="008000"/>
            </w:tcBorders>
            <w:shd w:val="clear" w:color="auto" w:fill="FFFFFF"/>
          </w:tcPr>
          <w:p w14:paraId="21A689BC" w14:textId="77777777" w:rsidR="00A85DE0" w:rsidRPr="00B57B36" w:rsidRDefault="00A85DE0" w:rsidP="00C05AB5">
            <w:pPr>
              <w:pStyle w:val="CETBodytext"/>
              <w:rPr>
                <w:lang w:val="en-GB"/>
              </w:rPr>
            </w:pPr>
            <w:r>
              <w:rPr>
                <w:lang w:val="en-GB"/>
              </w:rPr>
              <w:t>Phase</w:t>
            </w:r>
          </w:p>
        </w:tc>
        <w:tc>
          <w:tcPr>
            <w:tcW w:w="1843" w:type="dxa"/>
            <w:tcBorders>
              <w:top w:val="single" w:sz="12" w:space="0" w:color="008000"/>
              <w:bottom w:val="single" w:sz="6" w:space="0" w:color="008000"/>
            </w:tcBorders>
            <w:shd w:val="clear" w:color="auto" w:fill="FFFFFF"/>
          </w:tcPr>
          <w:p w14:paraId="0CFEB1D0" w14:textId="77777777" w:rsidR="00A85DE0" w:rsidRPr="00B57B36" w:rsidRDefault="00A85DE0" w:rsidP="00C05AB5">
            <w:pPr>
              <w:pStyle w:val="CETBodytext"/>
              <w:rPr>
                <w:lang w:val="en-GB"/>
              </w:rPr>
            </w:pPr>
            <w:r>
              <w:rPr>
                <w:lang w:val="en-GB"/>
              </w:rPr>
              <w:t>Water content (%)</w:t>
            </w:r>
          </w:p>
        </w:tc>
        <w:tc>
          <w:tcPr>
            <w:tcW w:w="1559" w:type="dxa"/>
            <w:tcBorders>
              <w:top w:val="single" w:sz="12" w:space="0" w:color="008000"/>
              <w:bottom w:val="single" w:sz="6" w:space="0" w:color="008000"/>
            </w:tcBorders>
            <w:shd w:val="clear" w:color="auto" w:fill="FFFFFF"/>
          </w:tcPr>
          <w:p w14:paraId="21F83B1A" w14:textId="35569788" w:rsidR="00A85DE0" w:rsidRPr="00B57B36" w:rsidRDefault="00160AA9" w:rsidP="00C05AB5">
            <w:pPr>
              <w:pStyle w:val="CETBodytext"/>
              <w:ind w:right="-1"/>
              <w:rPr>
                <w:rFonts w:cs="Arial"/>
                <w:szCs w:val="18"/>
                <w:lang w:val="en-GB"/>
              </w:rPr>
            </w:pPr>
            <w:r>
              <w:rPr>
                <w:rFonts w:cs="Arial"/>
                <w:szCs w:val="18"/>
                <w:lang w:val="en-GB"/>
              </w:rPr>
              <w:t>Density, g/mL</w:t>
            </w:r>
          </w:p>
        </w:tc>
        <w:tc>
          <w:tcPr>
            <w:tcW w:w="1701" w:type="dxa"/>
            <w:tcBorders>
              <w:top w:val="single" w:sz="12" w:space="0" w:color="008000"/>
              <w:bottom w:val="single" w:sz="6" w:space="0" w:color="008000"/>
            </w:tcBorders>
            <w:shd w:val="clear" w:color="auto" w:fill="FFFFFF"/>
          </w:tcPr>
          <w:p w14:paraId="4B00134F" w14:textId="5E49DB6A" w:rsidR="00A85DE0" w:rsidRPr="00B57B36" w:rsidRDefault="00160AA9" w:rsidP="00C05AB5">
            <w:pPr>
              <w:pStyle w:val="CETBodytext"/>
              <w:ind w:right="-1"/>
              <w:rPr>
                <w:rFonts w:cs="Arial"/>
                <w:szCs w:val="18"/>
                <w:lang w:val="en-GB"/>
              </w:rPr>
            </w:pPr>
            <w:r>
              <w:rPr>
                <w:rFonts w:cs="Arial"/>
                <w:szCs w:val="18"/>
                <w:lang w:val="en-GB"/>
              </w:rPr>
              <w:t xml:space="preserve">Viscosity, </w:t>
            </w:r>
            <w:r w:rsidR="000C3BCD">
              <w:t>mPa·s</w:t>
            </w:r>
          </w:p>
        </w:tc>
        <w:tc>
          <w:tcPr>
            <w:tcW w:w="709" w:type="dxa"/>
            <w:tcBorders>
              <w:top w:val="single" w:sz="12" w:space="0" w:color="008000"/>
              <w:bottom w:val="single" w:sz="6" w:space="0" w:color="008000"/>
            </w:tcBorders>
            <w:shd w:val="clear" w:color="auto" w:fill="FFFFFF"/>
          </w:tcPr>
          <w:p w14:paraId="5CF1A6BF" w14:textId="77777777" w:rsidR="00A85DE0" w:rsidRDefault="00A85DE0" w:rsidP="00C05AB5">
            <w:pPr>
              <w:pStyle w:val="CETBodytext"/>
              <w:ind w:right="-1"/>
              <w:rPr>
                <w:rFonts w:cs="Arial"/>
                <w:szCs w:val="18"/>
                <w:lang w:val="en-GB"/>
              </w:rPr>
            </w:pPr>
            <w:r>
              <w:rPr>
                <w:rFonts w:cs="Arial"/>
                <w:szCs w:val="18"/>
                <w:lang w:val="en-GB"/>
              </w:rPr>
              <w:t>pH</w:t>
            </w:r>
          </w:p>
        </w:tc>
      </w:tr>
      <w:tr w:rsidR="00A85DE0" w:rsidRPr="00B57B36" w14:paraId="707BBB2C" w14:textId="77777777" w:rsidTr="00160AA9">
        <w:tc>
          <w:tcPr>
            <w:tcW w:w="709" w:type="dxa"/>
            <w:shd w:val="clear" w:color="auto" w:fill="FFFFFF"/>
          </w:tcPr>
          <w:p w14:paraId="60316207" w14:textId="77777777" w:rsidR="00A85DE0" w:rsidRPr="00B57B36" w:rsidRDefault="00A85DE0" w:rsidP="00C05AB5">
            <w:pPr>
              <w:pStyle w:val="CETBodytext"/>
              <w:rPr>
                <w:lang w:val="en-GB"/>
              </w:rPr>
            </w:pPr>
            <w:r>
              <w:rPr>
                <w:lang w:val="en-GB"/>
              </w:rPr>
              <w:t>1</w:t>
            </w:r>
          </w:p>
        </w:tc>
        <w:tc>
          <w:tcPr>
            <w:tcW w:w="1276" w:type="dxa"/>
            <w:shd w:val="clear" w:color="auto" w:fill="FFFFFF"/>
          </w:tcPr>
          <w:p w14:paraId="618A9A75" w14:textId="77777777" w:rsidR="00A85DE0" w:rsidRPr="00B57B36" w:rsidRDefault="00A85DE0" w:rsidP="00C05AB5">
            <w:pPr>
              <w:pStyle w:val="CETBodytext"/>
              <w:rPr>
                <w:lang w:val="en-GB"/>
              </w:rPr>
            </w:pPr>
            <w:r>
              <w:rPr>
                <w:lang w:val="en-GB"/>
              </w:rPr>
              <w:t>Distillate</w:t>
            </w:r>
          </w:p>
        </w:tc>
        <w:tc>
          <w:tcPr>
            <w:tcW w:w="1843" w:type="dxa"/>
            <w:shd w:val="clear" w:color="auto" w:fill="FFFFFF"/>
          </w:tcPr>
          <w:p w14:paraId="1D545445" w14:textId="77777777" w:rsidR="00A85DE0" w:rsidRPr="00B57B36" w:rsidRDefault="00A85DE0" w:rsidP="00C05AB5">
            <w:pPr>
              <w:pStyle w:val="CETBodytext"/>
              <w:rPr>
                <w:lang w:val="en-GB"/>
              </w:rPr>
            </w:pPr>
            <w:r>
              <w:rPr>
                <w:lang w:val="en-GB"/>
              </w:rPr>
              <w:t>46.23</w:t>
            </w:r>
          </w:p>
        </w:tc>
        <w:tc>
          <w:tcPr>
            <w:tcW w:w="1559" w:type="dxa"/>
            <w:shd w:val="clear" w:color="auto" w:fill="FFFFFF"/>
          </w:tcPr>
          <w:p w14:paraId="4731A5C5" w14:textId="77777777" w:rsidR="00A85DE0" w:rsidRPr="00B57B36" w:rsidRDefault="00A85DE0" w:rsidP="00C05AB5">
            <w:pPr>
              <w:pStyle w:val="CETBodytext"/>
              <w:ind w:right="-1"/>
              <w:rPr>
                <w:rFonts w:cs="Arial"/>
                <w:szCs w:val="18"/>
                <w:lang w:val="en-GB"/>
              </w:rPr>
            </w:pPr>
            <w:r>
              <w:rPr>
                <w:rFonts w:cs="Arial"/>
                <w:szCs w:val="18"/>
                <w:lang w:val="en-GB"/>
              </w:rPr>
              <w:t>0.889</w:t>
            </w:r>
          </w:p>
        </w:tc>
        <w:tc>
          <w:tcPr>
            <w:tcW w:w="1701" w:type="dxa"/>
            <w:shd w:val="clear" w:color="auto" w:fill="FFFFFF"/>
          </w:tcPr>
          <w:p w14:paraId="56B15413" w14:textId="77777777" w:rsidR="00A85DE0" w:rsidRPr="00B57B36" w:rsidRDefault="00A85DE0" w:rsidP="00C05AB5">
            <w:pPr>
              <w:pStyle w:val="CETBodytext"/>
              <w:ind w:right="-1"/>
              <w:rPr>
                <w:rFonts w:cs="Arial"/>
                <w:szCs w:val="18"/>
                <w:lang w:val="en-GB"/>
              </w:rPr>
            </w:pPr>
            <w:r>
              <w:rPr>
                <w:rFonts w:cs="Arial"/>
                <w:szCs w:val="18"/>
                <w:lang w:val="en-GB"/>
              </w:rPr>
              <w:t>6.14</w:t>
            </w:r>
          </w:p>
        </w:tc>
        <w:tc>
          <w:tcPr>
            <w:tcW w:w="709" w:type="dxa"/>
            <w:shd w:val="clear" w:color="auto" w:fill="FFFFFF"/>
          </w:tcPr>
          <w:p w14:paraId="6BF3511D" w14:textId="77777777" w:rsidR="00A85DE0" w:rsidRDefault="00A85DE0" w:rsidP="00C05AB5">
            <w:pPr>
              <w:pStyle w:val="CETBodytext"/>
              <w:ind w:right="-1"/>
              <w:rPr>
                <w:rFonts w:cs="Arial"/>
                <w:szCs w:val="18"/>
                <w:lang w:val="en-GB"/>
              </w:rPr>
            </w:pPr>
            <w:r>
              <w:rPr>
                <w:rFonts w:cs="Arial"/>
                <w:szCs w:val="18"/>
                <w:lang w:val="en-GB"/>
              </w:rPr>
              <w:t>3.5</w:t>
            </w:r>
          </w:p>
        </w:tc>
      </w:tr>
      <w:tr w:rsidR="00A85DE0" w:rsidRPr="00B57B36" w14:paraId="508A3E0B" w14:textId="77777777" w:rsidTr="00160AA9">
        <w:tc>
          <w:tcPr>
            <w:tcW w:w="709" w:type="dxa"/>
            <w:shd w:val="clear" w:color="auto" w:fill="FFFFFF"/>
          </w:tcPr>
          <w:p w14:paraId="55C867B7" w14:textId="77777777" w:rsidR="00A85DE0" w:rsidRDefault="00A85DE0" w:rsidP="00C05AB5">
            <w:pPr>
              <w:pStyle w:val="CETBodytext"/>
              <w:rPr>
                <w:lang w:val="en-GB"/>
              </w:rPr>
            </w:pPr>
          </w:p>
        </w:tc>
        <w:tc>
          <w:tcPr>
            <w:tcW w:w="1276" w:type="dxa"/>
            <w:shd w:val="clear" w:color="auto" w:fill="FFFFFF"/>
          </w:tcPr>
          <w:p w14:paraId="043FC481" w14:textId="77777777" w:rsidR="00A85DE0" w:rsidRDefault="00A85DE0" w:rsidP="00C05AB5">
            <w:pPr>
              <w:pStyle w:val="CETBodytext"/>
              <w:rPr>
                <w:lang w:val="en-GB"/>
              </w:rPr>
            </w:pPr>
            <w:r>
              <w:rPr>
                <w:lang w:val="en-GB"/>
              </w:rPr>
              <w:t>Residue</w:t>
            </w:r>
          </w:p>
        </w:tc>
        <w:tc>
          <w:tcPr>
            <w:tcW w:w="1843" w:type="dxa"/>
            <w:shd w:val="clear" w:color="auto" w:fill="FFFFFF"/>
          </w:tcPr>
          <w:p w14:paraId="1D62475B" w14:textId="77777777" w:rsidR="00A85DE0" w:rsidRDefault="00A85DE0" w:rsidP="00C05AB5">
            <w:pPr>
              <w:pStyle w:val="CETBodytext"/>
              <w:rPr>
                <w:lang w:val="en-GB"/>
              </w:rPr>
            </w:pPr>
            <w:r>
              <w:rPr>
                <w:lang w:val="en-GB"/>
              </w:rPr>
              <w:t>41.57</w:t>
            </w:r>
          </w:p>
        </w:tc>
        <w:tc>
          <w:tcPr>
            <w:tcW w:w="1559" w:type="dxa"/>
            <w:shd w:val="clear" w:color="auto" w:fill="FFFFFF"/>
          </w:tcPr>
          <w:p w14:paraId="5E583444" w14:textId="77777777" w:rsidR="00A85DE0" w:rsidRDefault="00A85DE0" w:rsidP="00C05AB5">
            <w:pPr>
              <w:pStyle w:val="CETBodytext"/>
              <w:ind w:right="-1"/>
              <w:rPr>
                <w:rFonts w:cs="Arial"/>
                <w:szCs w:val="18"/>
                <w:lang w:val="en-GB"/>
              </w:rPr>
            </w:pPr>
            <w:r>
              <w:rPr>
                <w:rFonts w:cs="Arial"/>
                <w:szCs w:val="18"/>
                <w:lang w:val="en-GB"/>
              </w:rPr>
              <w:t>1.076</w:t>
            </w:r>
          </w:p>
        </w:tc>
        <w:tc>
          <w:tcPr>
            <w:tcW w:w="1701" w:type="dxa"/>
            <w:shd w:val="clear" w:color="auto" w:fill="FFFFFF"/>
          </w:tcPr>
          <w:p w14:paraId="78D9F61B" w14:textId="77777777" w:rsidR="00A85DE0" w:rsidRDefault="00A85DE0" w:rsidP="00C05AB5">
            <w:pPr>
              <w:pStyle w:val="CETBodytext"/>
              <w:ind w:right="-1"/>
              <w:rPr>
                <w:rFonts w:cs="Arial"/>
                <w:szCs w:val="18"/>
                <w:lang w:val="en-GB"/>
              </w:rPr>
            </w:pPr>
            <w:r>
              <w:rPr>
                <w:rFonts w:cs="Arial"/>
                <w:szCs w:val="18"/>
                <w:lang w:val="en-GB"/>
              </w:rPr>
              <w:t>13.72</w:t>
            </w:r>
          </w:p>
        </w:tc>
        <w:tc>
          <w:tcPr>
            <w:tcW w:w="709" w:type="dxa"/>
            <w:shd w:val="clear" w:color="auto" w:fill="FFFFFF"/>
          </w:tcPr>
          <w:p w14:paraId="5CC36F1B" w14:textId="77777777" w:rsidR="00A85DE0" w:rsidRDefault="00A85DE0" w:rsidP="00C05AB5">
            <w:pPr>
              <w:pStyle w:val="CETBodytext"/>
              <w:ind w:right="-1"/>
              <w:rPr>
                <w:rFonts w:cs="Arial"/>
                <w:szCs w:val="18"/>
                <w:lang w:val="en-GB"/>
              </w:rPr>
            </w:pPr>
            <w:r>
              <w:rPr>
                <w:rFonts w:cs="Arial"/>
                <w:szCs w:val="18"/>
                <w:lang w:val="en-GB"/>
              </w:rPr>
              <w:t>1.5</w:t>
            </w:r>
          </w:p>
        </w:tc>
      </w:tr>
      <w:tr w:rsidR="00A85DE0" w:rsidRPr="00B57B36" w14:paraId="222AAF90" w14:textId="77777777" w:rsidTr="00160AA9">
        <w:tc>
          <w:tcPr>
            <w:tcW w:w="709" w:type="dxa"/>
            <w:shd w:val="clear" w:color="auto" w:fill="FFFFFF"/>
          </w:tcPr>
          <w:p w14:paraId="627B00AA" w14:textId="77777777" w:rsidR="00A85DE0" w:rsidRPr="00B57B36" w:rsidRDefault="00A85DE0" w:rsidP="00C05AB5">
            <w:pPr>
              <w:pStyle w:val="CETBodytext"/>
              <w:ind w:right="-1"/>
              <w:rPr>
                <w:rFonts w:cs="Arial"/>
                <w:szCs w:val="18"/>
                <w:lang w:val="en-GB"/>
              </w:rPr>
            </w:pPr>
            <w:r>
              <w:rPr>
                <w:lang w:val="en-GB"/>
              </w:rPr>
              <w:t>2</w:t>
            </w:r>
          </w:p>
        </w:tc>
        <w:tc>
          <w:tcPr>
            <w:tcW w:w="1276" w:type="dxa"/>
            <w:shd w:val="clear" w:color="auto" w:fill="FFFFFF"/>
          </w:tcPr>
          <w:p w14:paraId="23D55D57" w14:textId="77777777" w:rsidR="00A85DE0" w:rsidRPr="00B57B36" w:rsidRDefault="00A85DE0" w:rsidP="00C05AB5">
            <w:pPr>
              <w:pStyle w:val="CETBodytext"/>
              <w:ind w:right="-1"/>
              <w:rPr>
                <w:rFonts w:cs="Arial"/>
                <w:szCs w:val="18"/>
                <w:lang w:val="en-GB"/>
              </w:rPr>
            </w:pPr>
            <w:r>
              <w:rPr>
                <w:rFonts w:cs="Arial"/>
                <w:szCs w:val="18"/>
                <w:lang w:val="en-GB"/>
              </w:rPr>
              <w:t>Distillate</w:t>
            </w:r>
          </w:p>
        </w:tc>
        <w:tc>
          <w:tcPr>
            <w:tcW w:w="1843" w:type="dxa"/>
            <w:shd w:val="clear" w:color="auto" w:fill="FFFFFF"/>
          </w:tcPr>
          <w:p w14:paraId="4B6A9571" w14:textId="77777777" w:rsidR="00A85DE0" w:rsidRPr="00B57B36" w:rsidRDefault="00A85DE0" w:rsidP="00C05AB5">
            <w:pPr>
              <w:pStyle w:val="CETBodytext"/>
              <w:ind w:right="-1"/>
              <w:rPr>
                <w:rFonts w:cs="Arial"/>
                <w:szCs w:val="18"/>
                <w:lang w:val="en-GB"/>
              </w:rPr>
            </w:pPr>
            <w:r>
              <w:rPr>
                <w:rFonts w:cs="Arial"/>
                <w:szCs w:val="18"/>
                <w:lang w:val="en-GB"/>
              </w:rPr>
              <w:t>32.57</w:t>
            </w:r>
          </w:p>
        </w:tc>
        <w:tc>
          <w:tcPr>
            <w:tcW w:w="1559" w:type="dxa"/>
            <w:shd w:val="clear" w:color="auto" w:fill="FFFFFF"/>
          </w:tcPr>
          <w:p w14:paraId="52F3EACA" w14:textId="77777777" w:rsidR="00A85DE0" w:rsidRPr="00B57B36" w:rsidRDefault="00A85DE0" w:rsidP="00C05AB5">
            <w:pPr>
              <w:pStyle w:val="CETBodytext"/>
              <w:ind w:right="-1"/>
              <w:rPr>
                <w:rFonts w:cs="Arial"/>
                <w:szCs w:val="18"/>
                <w:lang w:val="en-GB"/>
              </w:rPr>
            </w:pPr>
            <w:r>
              <w:rPr>
                <w:rFonts w:cs="Arial"/>
                <w:szCs w:val="18"/>
                <w:lang w:val="en-GB"/>
              </w:rPr>
              <w:t>0.867</w:t>
            </w:r>
          </w:p>
        </w:tc>
        <w:tc>
          <w:tcPr>
            <w:tcW w:w="1701" w:type="dxa"/>
            <w:shd w:val="clear" w:color="auto" w:fill="FFFFFF"/>
          </w:tcPr>
          <w:p w14:paraId="72831FF2" w14:textId="77777777" w:rsidR="00A85DE0" w:rsidRPr="00B57B36" w:rsidRDefault="00A85DE0" w:rsidP="00C05AB5">
            <w:pPr>
              <w:pStyle w:val="CETBodytext"/>
              <w:ind w:right="-1"/>
              <w:rPr>
                <w:rFonts w:cs="Arial"/>
                <w:szCs w:val="18"/>
                <w:lang w:val="en-GB"/>
              </w:rPr>
            </w:pPr>
            <w:r>
              <w:rPr>
                <w:rFonts w:cs="Arial"/>
                <w:szCs w:val="18"/>
                <w:lang w:val="en-GB"/>
              </w:rPr>
              <w:t>12.15</w:t>
            </w:r>
          </w:p>
        </w:tc>
        <w:tc>
          <w:tcPr>
            <w:tcW w:w="709" w:type="dxa"/>
            <w:shd w:val="clear" w:color="auto" w:fill="FFFFFF"/>
          </w:tcPr>
          <w:p w14:paraId="2B6D7B94" w14:textId="77777777" w:rsidR="00A85DE0" w:rsidRDefault="00A85DE0" w:rsidP="00C05AB5">
            <w:pPr>
              <w:pStyle w:val="CETBodytext"/>
              <w:ind w:right="-1"/>
              <w:rPr>
                <w:rFonts w:cs="Arial"/>
                <w:szCs w:val="18"/>
                <w:lang w:val="en-GB"/>
              </w:rPr>
            </w:pPr>
            <w:r>
              <w:rPr>
                <w:rFonts w:cs="Arial"/>
                <w:szCs w:val="18"/>
                <w:lang w:val="en-GB"/>
              </w:rPr>
              <w:t>5.0</w:t>
            </w:r>
          </w:p>
        </w:tc>
      </w:tr>
      <w:tr w:rsidR="00A85DE0" w:rsidRPr="00B57B36" w14:paraId="5B6B6884" w14:textId="77777777" w:rsidTr="00160AA9">
        <w:tc>
          <w:tcPr>
            <w:tcW w:w="709" w:type="dxa"/>
            <w:shd w:val="clear" w:color="auto" w:fill="FFFFFF"/>
          </w:tcPr>
          <w:p w14:paraId="5A9DF623" w14:textId="77777777" w:rsidR="00A85DE0" w:rsidRDefault="00A85DE0" w:rsidP="00C05AB5">
            <w:pPr>
              <w:pStyle w:val="CETBodytext"/>
              <w:ind w:right="-1"/>
              <w:rPr>
                <w:lang w:val="en-GB"/>
              </w:rPr>
            </w:pPr>
          </w:p>
        </w:tc>
        <w:tc>
          <w:tcPr>
            <w:tcW w:w="1276" w:type="dxa"/>
            <w:shd w:val="clear" w:color="auto" w:fill="FFFFFF"/>
          </w:tcPr>
          <w:p w14:paraId="78F879D9" w14:textId="77777777" w:rsidR="00A85DE0" w:rsidRDefault="00A85DE0" w:rsidP="00C05AB5">
            <w:pPr>
              <w:pStyle w:val="CETBodytext"/>
              <w:ind w:right="-1"/>
              <w:rPr>
                <w:rFonts w:cs="Arial"/>
                <w:szCs w:val="18"/>
                <w:lang w:val="en-GB"/>
              </w:rPr>
            </w:pPr>
            <w:r>
              <w:rPr>
                <w:rFonts w:cs="Arial"/>
                <w:szCs w:val="18"/>
                <w:lang w:val="en-GB"/>
              </w:rPr>
              <w:t>Residue</w:t>
            </w:r>
          </w:p>
        </w:tc>
        <w:tc>
          <w:tcPr>
            <w:tcW w:w="1843" w:type="dxa"/>
            <w:shd w:val="clear" w:color="auto" w:fill="FFFFFF"/>
          </w:tcPr>
          <w:p w14:paraId="6F677191" w14:textId="77777777" w:rsidR="00A85DE0" w:rsidRDefault="00A85DE0" w:rsidP="00C05AB5">
            <w:pPr>
              <w:pStyle w:val="CETBodytext"/>
              <w:ind w:right="-1"/>
              <w:rPr>
                <w:rFonts w:cs="Arial"/>
                <w:szCs w:val="18"/>
                <w:lang w:val="en-GB"/>
              </w:rPr>
            </w:pPr>
            <w:r>
              <w:rPr>
                <w:rFonts w:cs="Arial"/>
                <w:szCs w:val="18"/>
                <w:lang w:val="en-GB"/>
              </w:rPr>
              <w:t>42.61</w:t>
            </w:r>
          </w:p>
        </w:tc>
        <w:tc>
          <w:tcPr>
            <w:tcW w:w="1559" w:type="dxa"/>
            <w:shd w:val="clear" w:color="auto" w:fill="FFFFFF"/>
          </w:tcPr>
          <w:p w14:paraId="6E7CABB4" w14:textId="77777777" w:rsidR="00A85DE0" w:rsidRDefault="00A85DE0" w:rsidP="00C05AB5">
            <w:pPr>
              <w:pStyle w:val="CETBodytext"/>
              <w:ind w:right="-1"/>
              <w:rPr>
                <w:rFonts w:cs="Arial"/>
                <w:szCs w:val="18"/>
                <w:lang w:val="en-GB"/>
              </w:rPr>
            </w:pPr>
            <w:r>
              <w:rPr>
                <w:rFonts w:cs="Arial"/>
                <w:szCs w:val="18"/>
                <w:lang w:val="en-GB"/>
              </w:rPr>
              <w:t>1.080</w:t>
            </w:r>
          </w:p>
        </w:tc>
        <w:tc>
          <w:tcPr>
            <w:tcW w:w="1701" w:type="dxa"/>
            <w:shd w:val="clear" w:color="auto" w:fill="FFFFFF"/>
          </w:tcPr>
          <w:p w14:paraId="3FD4051D" w14:textId="77777777" w:rsidR="00A85DE0" w:rsidRDefault="00A85DE0" w:rsidP="00C05AB5">
            <w:pPr>
              <w:pStyle w:val="CETBodytext"/>
              <w:ind w:right="-1"/>
              <w:rPr>
                <w:rFonts w:cs="Arial"/>
                <w:szCs w:val="18"/>
                <w:lang w:val="en-GB"/>
              </w:rPr>
            </w:pPr>
            <w:r>
              <w:rPr>
                <w:rFonts w:cs="Arial"/>
                <w:szCs w:val="18"/>
                <w:lang w:val="en-GB"/>
              </w:rPr>
              <w:t>13.2</w:t>
            </w:r>
          </w:p>
        </w:tc>
        <w:tc>
          <w:tcPr>
            <w:tcW w:w="709" w:type="dxa"/>
            <w:shd w:val="clear" w:color="auto" w:fill="FFFFFF"/>
          </w:tcPr>
          <w:p w14:paraId="43D4F297" w14:textId="77777777" w:rsidR="00A85DE0" w:rsidRDefault="00A85DE0" w:rsidP="00C05AB5">
            <w:pPr>
              <w:pStyle w:val="CETBodytext"/>
              <w:ind w:right="-1"/>
              <w:rPr>
                <w:rFonts w:cs="Arial"/>
                <w:szCs w:val="18"/>
                <w:lang w:val="en-GB"/>
              </w:rPr>
            </w:pPr>
            <w:r>
              <w:rPr>
                <w:rFonts w:cs="Arial"/>
                <w:szCs w:val="18"/>
                <w:lang w:val="en-GB"/>
              </w:rPr>
              <w:t>1.5</w:t>
            </w:r>
          </w:p>
        </w:tc>
      </w:tr>
      <w:tr w:rsidR="00A85DE0" w:rsidRPr="00B57B36" w14:paraId="503E215D" w14:textId="77777777" w:rsidTr="00160AA9">
        <w:tc>
          <w:tcPr>
            <w:tcW w:w="709" w:type="dxa"/>
            <w:shd w:val="clear" w:color="auto" w:fill="FFFFFF"/>
          </w:tcPr>
          <w:p w14:paraId="42956BBE" w14:textId="77777777" w:rsidR="00A85DE0" w:rsidRPr="00B57B36" w:rsidRDefault="00A85DE0" w:rsidP="00C05AB5">
            <w:pPr>
              <w:pStyle w:val="CETBodytext"/>
              <w:ind w:right="-1"/>
              <w:rPr>
                <w:rFonts w:cs="Arial"/>
                <w:szCs w:val="18"/>
                <w:lang w:val="en-GB"/>
              </w:rPr>
            </w:pPr>
            <w:r>
              <w:rPr>
                <w:rFonts w:cs="Arial"/>
                <w:szCs w:val="18"/>
                <w:lang w:val="en-GB"/>
              </w:rPr>
              <w:t>3</w:t>
            </w:r>
          </w:p>
        </w:tc>
        <w:tc>
          <w:tcPr>
            <w:tcW w:w="1276" w:type="dxa"/>
            <w:shd w:val="clear" w:color="auto" w:fill="FFFFFF"/>
          </w:tcPr>
          <w:p w14:paraId="79531F0D" w14:textId="77777777" w:rsidR="00A85DE0" w:rsidRPr="00B57B36" w:rsidRDefault="00A85DE0" w:rsidP="00C05AB5">
            <w:pPr>
              <w:pStyle w:val="CETBodytext"/>
              <w:ind w:right="-1"/>
              <w:rPr>
                <w:rFonts w:cs="Arial"/>
                <w:szCs w:val="18"/>
                <w:lang w:val="en-GB"/>
              </w:rPr>
            </w:pPr>
            <w:r>
              <w:rPr>
                <w:rFonts w:cs="Arial"/>
                <w:szCs w:val="18"/>
                <w:lang w:val="en-GB"/>
              </w:rPr>
              <w:t>Distillate</w:t>
            </w:r>
          </w:p>
        </w:tc>
        <w:tc>
          <w:tcPr>
            <w:tcW w:w="1843" w:type="dxa"/>
            <w:shd w:val="clear" w:color="auto" w:fill="FFFFFF"/>
          </w:tcPr>
          <w:p w14:paraId="04DB3D6C" w14:textId="77777777" w:rsidR="00A85DE0" w:rsidRPr="00B57B36" w:rsidRDefault="00A85DE0" w:rsidP="00C05AB5">
            <w:pPr>
              <w:pStyle w:val="CETBodytext"/>
              <w:ind w:right="-1"/>
              <w:rPr>
                <w:rFonts w:cs="Arial"/>
                <w:szCs w:val="18"/>
                <w:lang w:val="en-GB"/>
              </w:rPr>
            </w:pPr>
            <w:r>
              <w:rPr>
                <w:rFonts w:cs="Arial"/>
                <w:szCs w:val="18"/>
                <w:lang w:val="en-GB"/>
              </w:rPr>
              <w:t>26.33</w:t>
            </w:r>
          </w:p>
        </w:tc>
        <w:tc>
          <w:tcPr>
            <w:tcW w:w="1559" w:type="dxa"/>
            <w:shd w:val="clear" w:color="auto" w:fill="FFFFFF"/>
          </w:tcPr>
          <w:p w14:paraId="69D009E9" w14:textId="77777777" w:rsidR="00A85DE0" w:rsidRPr="00B57B36" w:rsidRDefault="00A85DE0" w:rsidP="00C05AB5">
            <w:pPr>
              <w:pStyle w:val="CETBodytext"/>
              <w:ind w:right="-1"/>
              <w:rPr>
                <w:rFonts w:cs="Arial"/>
                <w:szCs w:val="18"/>
                <w:lang w:val="en-GB"/>
              </w:rPr>
            </w:pPr>
            <w:r>
              <w:rPr>
                <w:rFonts w:cs="Arial"/>
                <w:szCs w:val="18"/>
                <w:lang w:val="en-GB"/>
              </w:rPr>
              <w:t>0.829</w:t>
            </w:r>
          </w:p>
        </w:tc>
        <w:tc>
          <w:tcPr>
            <w:tcW w:w="1701" w:type="dxa"/>
            <w:shd w:val="clear" w:color="auto" w:fill="FFFFFF"/>
          </w:tcPr>
          <w:p w14:paraId="6D1919E4" w14:textId="77777777" w:rsidR="00A85DE0" w:rsidRPr="00B57B36" w:rsidRDefault="00A85DE0" w:rsidP="00C05AB5">
            <w:pPr>
              <w:pStyle w:val="CETBodytext"/>
              <w:ind w:right="-1"/>
              <w:rPr>
                <w:rFonts w:cs="Arial"/>
                <w:szCs w:val="18"/>
                <w:lang w:val="en-GB"/>
              </w:rPr>
            </w:pPr>
            <w:r>
              <w:rPr>
                <w:rFonts w:cs="Arial"/>
                <w:szCs w:val="18"/>
                <w:lang w:val="en-GB"/>
              </w:rPr>
              <w:t>19.76</w:t>
            </w:r>
          </w:p>
        </w:tc>
        <w:tc>
          <w:tcPr>
            <w:tcW w:w="709" w:type="dxa"/>
            <w:shd w:val="clear" w:color="auto" w:fill="FFFFFF"/>
          </w:tcPr>
          <w:p w14:paraId="77032F65" w14:textId="77777777" w:rsidR="00A85DE0" w:rsidRDefault="00A85DE0" w:rsidP="00C05AB5">
            <w:pPr>
              <w:pStyle w:val="CETBodytext"/>
              <w:ind w:right="-1"/>
              <w:rPr>
                <w:rFonts w:cs="Arial"/>
                <w:szCs w:val="18"/>
                <w:lang w:val="en-GB"/>
              </w:rPr>
            </w:pPr>
            <w:r>
              <w:rPr>
                <w:rFonts w:cs="Arial"/>
                <w:szCs w:val="18"/>
                <w:lang w:val="en-GB"/>
              </w:rPr>
              <w:t>4.5</w:t>
            </w:r>
          </w:p>
        </w:tc>
      </w:tr>
      <w:tr w:rsidR="00A85DE0" w:rsidRPr="00B57B36" w14:paraId="68C63F9E" w14:textId="77777777" w:rsidTr="00160AA9">
        <w:tc>
          <w:tcPr>
            <w:tcW w:w="709" w:type="dxa"/>
            <w:shd w:val="clear" w:color="auto" w:fill="FFFFFF"/>
          </w:tcPr>
          <w:p w14:paraId="7A92C75F" w14:textId="77777777" w:rsidR="00A85DE0" w:rsidRDefault="00A85DE0" w:rsidP="00C05AB5">
            <w:pPr>
              <w:pStyle w:val="CETBodytext"/>
              <w:ind w:right="-1"/>
              <w:rPr>
                <w:rFonts w:cs="Arial"/>
                <w:szCs w:val="18"/>
                <w:lang w:val="en-GB"/>
              </w:rPr>
            </w:pPr>
          </w:p>
        </w:tc>
        <w:tc>
          <w:tcPr>
            <w:tcW w:w="1276" w:type="dxa"/>
            <w:shd w:val="clear" w:color="auto" w:fill="FFFFFF"/>
          </w:tcPr>
          <w:p w14:paraId="6BF77880" w14:textId="77777777" w:rsidR="00A85DE0" w:rsidRDefault="00A85DE0" w:rsidP="00C05AB5">
            <w:pPr>
              <w:pStyle w:val="CETBodytext"/>
              <w:ind w:right="-1"/>
              <w:rPr>
                <w:rFonts w:cs="Arial"/>
                <w:szCs w:val="18"/>
                <w:lang w:val="en-GB"/>
              </w:rPr>
            </w:pPr>
            <w:r>
              <w:rPr>
                <w:rFonts w:cs="Arial"/>
                <w:szCs w:val="18"/>
                <w:lang w:val="en-GB"/>
              </w:rPr>
              <w:t>Residue</w:t>
            </w:r>
          </w:p>
        </w:tc>
        <w:tc>
          <w:tcPr>
            <w:tcW w:w="1843" w:type="dxa"/>
            <w:shd w:val="clear" w:color="auto" w:fill="FFFFFF"/>
          </w:tcPr>
          <w:p w14:paraId="0FD6C369" w14:textId="77777777" w:rsidR="00A85DE0" w:rsidRDefault="00A85DE0" w:rsidP="00C05AB5">
            <w:pPr>
              <w:pStyle w:val="CETBodytext"/>
              <w:ind w:right="-1"/>
              <w:rPr>
                <w:rFonts w:cs="Arial"/>
                <w:szCs w:val="18"/>
                <w:lang w:val="en-GB"/>
              </w:rPr>
            </w:pPr>
            <w:r>
              <w:rPr>
                <w:rFonts w:cs="Arial"/>
                <w:szCs w:val="18"/>
                <w:lang w:val="en-GB"/>
              </w:rPr>
              <w:t>43.49</w:t>
            </w:r>
          </w:p>
        </w:tc>
        <w:tc>
          <w:tcPr>
            <w:tcW w:w="1559" w:type="dxa"/>
            <w:shd w:val="clear" w:color="auto" w:fill="FFFFFF"/>
          </w:tcPr>
          <w:p w14:paraId="3D133ED4" w14:textId="77777777" w:rsidR="00A85DE0" w:rsidRDefault="00A85DE0" w:rsidP="00C05AB5">
            <w:pPr>
              <w:pStyle w:val="CETBodytext"/>
              <w:ind w:right="-1"/>
              <w:rPr>
                <w:rFonts w:cs="Arial"/>
                <w:szCs w:val="18"/>
                <w:lang w:val="en-GB"/>
              </w:rPr>
            </w:pPr>
            <w:r>
              <w:rPr>
                <w:rFonts w:cs="Arial"/>
                <w:szCs w:val="18"/>
                <w:lang w:val="en-GB"/>
              </w:rPr>
              <w:t>1.050</w:t>
            </w:r>
          </w:p>
        </w:tc>
        <w:tc>
          <w:tcPr>
            <w:tcW w:w="1701" w:type="dxa"/>
            <w:shd w:val="clear" w:color="auto" w:fill="FFFFFF"/>
          </w:tcPr>
          <w:p w14:paraId="265E20E3" w14:textId="77777777" w:rsidR="00A85DE0" w:rsidRDefault="00A85DE0" w:rsidP="00C05AB5">
            <w:pPr>
              <w:pStyle w:val="CETBodytext"/>
              <w:ind w:right="-1"/>
              <w:rPr>
                <w:rFonts w:cs="Arial"/>
                <w:szCs w:val="18"/>
                <w:lang w:val="en-GB"/>
              </w:rPr>
            </w:pPr>
            <w:r>
              <w:rPr>
                <w:rFonts w:cs="Arial"/>
                <w:szCs w:val="18"/>
                <w:lang w:val="en-GB"/>
              </w:rPr>
              <w:t>10.27</w:t>
            </w:r>
          </w:p>
        </w:tc>
        <w:tc>
          <w:tcPr>
            <w:tcW w:w="709" w:type="dxa"/>
            <w:shd w:val="clear" w:color="auto" w:fill="FFFFFF"/>
          </w:tcPr>
          <w:p w14:paraId="04205E17" w14:textId="77777777" w:rsidR="00A85DE0" w:rsidRDefault="00A85DE0" w:rsidP="00C05AB5">
            <w:pPr>
              <w:pStyle w:val="CETBodytext"/>
              <w:ind w:right="-1"/>
              <w:rPr>
                <w:rFonts w:cs="Arial"/>
                <w:szCs w:val="18"/>
                <w:lang w:val="en-GB"/>
              </w:rPr>
            </w:pPr>
            <w:r>
              <w:rPr>
                <w:rFonts w:cs="Arial"/>
                <w:szCs w:val="18"/>
                <w:lang w:val="en-GB"/>
              </w:rPr>
              <w:t>1.5</w:t>
            </w:r>
          </w:p>
        </w:tc>
      </w:tr>
      <w:tr w:rsidR="00A85DE0" w:rsidRPr="00B57B36" w14:paraId="6020066A" w14:textId="77777777" w:rsidTr="00160AA9">
        <w:tc>
          <w:tcPr>
            <w:tcW w:w="709" w:type="dxa"/>
            <w:shd w:val="clear" w:color="auto" w:fill="FFFFFF"/>
          </w:tcPr>
          <w:p w14:paraId="18837122" w14:textId="77777777" w:rsidR="00A85DE0" w:rsidRDefault="00A85DE0" w:rsidP="00C05AB5">
            <w:pPr>
              <w:pStyle w:val="CETBodytext"/>
              <w:ind w:right="-1"/>
              <w:rPr>
                <w:rFonts w:cs="Arial"/>
                <w:szCs w:val="18"/>
                <w:lang w:val="en-GB"/>
              </w:rPr>
            </w:pPr>
            <w:r>
              <w:rPr>
                <w:rFonts w:cs="Arial"/>
                <w:szCs w:val="18"/>
                <w:lang w:val="en-GB"/>
              </w:rPr>
              <w:t>4</w:t>
            </w:r>
          </w:p>
        </w:tc>
        <w:tc>
          <w:tcPr>
            <w:tcW w:w="1276" w:type="dxa"/>
            <w:shd w:val="clear" w:color="auto" w:fill="FFFFFF"/>
          </w:tcPr>
          <w:p w14:paraId="0597EBF0" w14:textId="77777777" w:rsidR="00A85DE0" w:rsidRDefault="00A85DE0" w:rsidP="00C05AB5">
            <w:pPr>
              <w:pStyle w:val="CETBodytext"/>
              <w:ind w:right="-1"/>
              <w:rPr>
                <w:rFonts w:cs="Arial"/>
                <w:szCs w:val="18"/>
                <w:lang w:val="en-GB"/>
              </w:rPr>
            </w:pPr>
            <w:r>
              <w:rPr>
                <w:rFonts w:cs="Arial"/>
                <w:szCs w:val="18"/>
                <w:lang w:val="en-GB"/>
              </w:rPr>
              <w:t>Distillate</w:t>
            </w:r>
          </w:p>
        </w:tc>
        <w:tc>
          <w:tcPr>
            <w:tcW w:w="1843" w:type="dxa"/>
            <w:shd w:val="clear" w:color="auto" w:fill="FFFFFF"/>
          </w:tcPr>
          <w:p w14:paraId="30430DB6" w14:textId="77777777" w:rsidR="00A85DE0" w:rsidRDefault="00A85DE0" w:rsidP="00C05AB5">
            <w:pPr>
              <w:pStyle w:val="CETBodytext"/>
              <w:ind w:right="-1"/>
              <w:rPr>
                <w:rFonts w:cs="Arial"/>
                <w:szCs w:val="18"/>
                <w:lang w:val="en-GB"/>
              </w:rPr>
            </w:pPr>
            <w:r>
              <w:rPr>
                <w:rFonts w:cs="Arial"/>
                <w:szCs w:val="18"/>
                <w:lang w:val="en-GB"/>
              </w:rPr>
              <w:t>43.62</w:t>
            </w:r>
          </w:p>
        </w:tc>
        <w:tc>
          <w:tcPr>
            <w:tcW w:w="1559" w:type="dxa"/>
            <w:shd w:val="clear" w:color="auto" w:fill="FFFFFF"/>
          </w:tcPr>
          <w:p w14:paraId="1771C973" w14:textId="77777777" w:rsidR="00A85DE0" w:rsidRDefault="00A85DE0" w:rsidP="00C05AB5">
            <w:pPr>
              <w:pStyle w:val="CETBodytext"/>
              <w:ind w:right="-1"/>
              <w:rPr>
                <w:rFonts w:cs="Arial"/>
                <w:szCs w:val="18"/>
                <w:lang w:val="en-GB"/>
              </w:rPr>
            </w:pPr>
            <w:r>
              <w:rPr>
                <w:rFonts w:cs="Arial"/>
                <w:szCs w:val="18"/>
                <w:lang w:val="en-GB"/>
              </w:rPr>
              <w:t>0.838</w:t>
            </w:r>
          </w:p>
        </w:tc>
        <w:tc>
          <w:tcPr>
            <w:tcW w:w="1701" w:type="dxa"/>
            <w:shd w:val="clear" w:color="auto" w:fill="FFFFFF"/>
          </w:tcPr>
          <w:p w14:paraId="0349FB73" w14:textId="77777777" w:rsidR="00A85DE0" w:rsidRDefault="00A85DE0" w:rsidP="00C05AB5">
            <w:pPr>
              <w:pStyle w:val="CETBodytext"/>
              <w:ind w:right="-1"/>
              <w:rPr>
                <w:rFonts w:cs="Arial"/>
                <w:szCs w:val="18"/>
                <w:lang w:val="en-GB"/>
              </w:rPr>
            </w:pPr>
            <w:r>
              <w:rPr>
                <w:rFonts w:cs="Arial"/>
                <w:szCs w:val="18"/>
                <w:lang w:val="en-GB"/>
              </w:rPr>
              <w:t>7.88</w:t>
            </w:r>
          </w:p>
        </w:tc>
        <w:tc>
          <w:tcPr>
            <w:tcW w:w="709" w:type="dxa"/>
            <w:shd w:val="clear" w:color="auto" w:fill="FFFFFF"/>
          </w:tcPr>
          <w:p w14:paraId="484026DF" w14:textId="77777777" w:rsidR="00A85DE0" w:rsidRDefault="00A85DE0" w:rsidP="00C05AB5">
            <w:pPr>
              <w:pStyle w:val="CETBodytext"/>
              <w:ind w:right="-1"/>
              <w:rPr>
                <w:rFonts w:cs="Arial"/>
                <w:szCs w:val="18"/>
                <w:lang w:val="en-GB"/>
              </w:rPr>
            </w:pPr>
            <w:r>
              <w:rPr>
                <w:rFonts w:cs="Arial"/>
                <w:szCs w:val="18"/>
                <w:lang w:val="en-GB"/>
              </w:rPr>
              <w:t>3.0</w:t>
            </w:r>
          </w:p>
        </w:tc>
      </w:tr>
      <w:tr w:rsidR="00A85DE0" w:rsidRPr="00B57B36" w14:paraId="671B4D78" w14:textId="77777777" w:rsidTr="00160AA9">
        <w:tc>
          <w:tcPr>
            <w:tcW w:w="709" w:type="dxa"/>
            <w:shd w:val="clear" w:color="auto" w:fill="FFFFFF"/>
          </w:tcPr>
          <w:p w14:paraId="47A2F357" w14:textId="77777777" w:rsidR="00A85DE0" w:rsidRDefault="00A85DE0" w:rsidP="00C05AB5">
            <w:pPr>
              <w:pStyle w:val="CETBodytext"/>
              <w:ind w:right="-1"/>
              <w:rPr>
                <w:rFonts w:cs="Arial"/>
                <w:szCs w:val="18"/>
                <w:lang w:val="en-GB"/>
              </w:rPr>
            </w:pPr>
          </w:p>
        </w:tc>
        <w:tc>
          <w:tcPr>
            <w:tcW w:w="1276" w:type="dxa"/>
            <w:shd w:val="clear" w:color="auto" w:fill="FFFFFF"/>
          </w:tcPr>
          <w:p w14:paraId="515E1A7C" w14:textId="77777777" w:rsidR="00A85DE0" w:rsidRDefault="00A85DE0" w:rsidP="00C05AB5">
            <w:pPr>
              <w:pStyle w:val="CETBodytext"/>
              <w:ind w:right="-1"/>
              <w:rPr>
                <w:rFonts w:cs="Arial"/>
                <w:szCs w:val="18"/>
                <w:lang w:val="en-GB"/>
              </w:rPr>
            </w:pPr>
            <w:r>
              <w:rPr>
                <w:rFonts w:cs="Arial"/>
                <w:szCs w:val="18"/>
                <w:lang w:val="en-GB"/>
              </w:rPr>
              <w:t>Residue</w:t>
            </w:r>
          </w:p>
        </w:tc>
        <w:tc>
          <w:tcPr>
            <w:tcW w:w="1843" w:type="dxa"/>
            <w:shd w:val="clear" w:color="auto" w:fill="FFFFFF"/>
          </w:tcPr>
          <w:p w14:paraId="222AE4A2" w14:textId="77777777" w:rsidR="00A85DE0" w:rsidRDefault="00A85DE0" w:rsidP="00C05AB5">
            <w:pPr>
              <w:pStyle w:val="CETBodytext"/>
              <w:ind w:right="-1"/>
              <w:rPr>
                <w:rFonts w:cs="Arial"/>
                <w:szCs w:val="18"/>
                <w:lang w:val="en-GB"/>
              </w:rPr>
            </w:pPr>
            <w:r>
              <w:rPr>
                <w:rFonts w:cs="Arial"/>
                <w:szCs w:val="18"/>
                <w:lang w:val="en-GB"/>
              </w:rPr>
              <w:t>39.62</w:t>
            </w:r>
          </w:p>
        </w:tc>
        <w:tc>
          <w:tcPr>
            <w:tcW w:w="1559" w:type="dxa"/>
            <w:shd w:val="clear" w:color="auto" w:fill="FFFFFF"/>
          </w:tcPr>
          <w:p w14:paraId="6291EFAB" w14:textId="77777777" w:rsidR="00A85DE0" w:rsidRDefault="00A85DE0" w:rsidP="00C05AB5">
            <w:pPr>
              <w:pStyle w:val="CETBodytext"/>
              <w:ind w:right="-1"/>
              <w:rPr>
                <w:rFonts w:cs="Arial"/>
                <w:szCs w:val="18"/>
                <w:lang w:val="en-GB"/>
              </w:rPr>
            </w:pPr>
            <w:r>
              <w:rPr>
                <w:rFonts w:cs="Arial"/>
                <w:szCs w:val="18"/>
                <w:lang w:val="en-GB"/>
              </w:rPr>
              <w:t>1.073</w:t>
            </w:r>
          </w:p>
        </w:tc>
        <w:tc>
          <w:tcPr>
            <w:tcW w:w="1701" w:type="dxa"/>
            <w:shd w:val="clear" w:color="auto" w:fill="FFFFFF"/>
          </w:tcPr>
          <w:p w14:paraId="13A464A4" w14:textId="77777777" w:rsidR="00A85DE0" w:rsidRDefault="00A85DE0" w:rsidP="00C05AB5">
            <w:pPr>
              <w:pStyle w:val="CETBodytext"/>
              <w:ind w:right="-1"/>
              <w:rPr>
                <w:rFonts w:cs="Arial"/>
                <w:szCs w:val="18"/>
                <w:lang w:val="en-GB"/>
              </w:rPr>
            </w:pPr>
            <w:r>
              <w:rPr>
                <w:rFonts w:cs="Arial"/>
                <w:szCs w:val="18"/>
                <w:lang w:val="en-GB"/>
              </w:rPr>
              <w:t>13.01</w:t>
            </w:r>
          </w:p>
        </w:tc>
        <w:tc>
          <w:tcPr>
            <w:tcW w:w="709" w:type="dxa"/>
            <w:shd w:val="clear" w:color="auto" w:fill="FFFFFF"/>
          </w:tcPr>
          <w:p w14:paraId="24B5A22D" w14:textId="77777777" w:rsidR="00A85DE0" w:rsidRDefault="00A85DE0" w:rsidP="00C05AB5">
            <w:pPr>
              <w:pStyle w:val="CETBodytext"/>
              <w:ind w:right="-1"/>
              <w:rPr>
                <w:rFonts w:cs="Arial"/>
                <w:szCs w:val="18"/>
                <w:lang w:val="en-GB"/>
              </w:rPr>
            </w:pPr>
            <w:r>
              <w:rPr>
                <w:rFonts w:cs="Arial"/>
                <w:szCs w:val="18"/>
                <w:lang w:val="en-GB"/>
              </w:rPr>
              <w:t>0.5</w:t>
            </w:r>
          </w:p>
        </w:tc>
      </w:tr>
      <w:tr w:rsidR="00A85DE0" w:rsidRPr="00B57B36" w14:paraId="636C5F05" w14:textId="77777777" w:rsidTr="00160AA9">
        <w:tc>
          <w:tcPr>
            <w:tcW w:w="709" w:type="dxa"/>
            <w:shd w:val="clear" w:color="auto" w:fill="FFFFFF"/>
          </w:tcPr>
          <w:p w14:paraId="1D77EC7B" w14:textId="77777777" w:rsidR="00A85DE0" w:rsidRDefault="00A85DE0" w:rsidP="00C05AB5">
            <w:pPr>
              <w:pStyle w:val="CETBodytext"/>
              <w:ind w:right="-1"/>
              <w:rPr>
                <w:rFonts w:cs="Arial"/>
                <w:szCs w:val="18"/>
                <w:lang w:val="en-GB"/>
              </w:rPr>
            </w:pPr>
            <w:r>
              <w:rPr>
                <w:rFonts w:cs="Arial"/>
                <w:szCs w:val="18"/>
                <w:lang w:val="en-GB"/>
              </w:rPr>
              <w:t>5</w:t>
            </w:r>
          </w:p>
        </w:tc>
        <w:tc>
          <w:tcPr>
            <w:tcW w:w="1276" w:type="dxa"/>
            <w:shd w:val="clear" w:color="auto" w:fill="FFFFFF"/>
          </w:tcPr>
          <w:p w14:paraId="1CB7F624" w14:textId="77777777" w:rsidR="00A85DE0" w:rsidRDefault="00A85DE0" w:rsidP="00C05AB5">
            <w:pPr>
              <w:pStyle w:val="CETBodytext"/>
              <w:ind w:right="-1"/>
              <w:rPr>
                <w:rFonts w:cs="Arial"/>
                <w:szCs w:val="18"/>
                <w:lang w:val="en-GB"/>
              </w:rPr>
            </w:pPr>
            <w:r>
              <w:rPr>
                <w:rFonts w:cs="Arial"/>
                <w:szCs w:val="18"/>
                <w:lang w:val="en-GB"/>
              </w:rPr>
              <w:t>Distillate</w:t>
            </w:r>
          </w:p>
        </w:tc>
        <w:tc>
          <w:tcPr>
            <w:tcW w:w="1843" w:type="dxa"/>
            <w:shd w:val="clear" w:color="auto" w:fill="FFFFFF"/>
          </w:tcPr>
          <w:p w14:paraId="586A732E" w14:textId="77777777" w:rsidR="00A85DE0" w:rsidRDefault="00A85DE0" w:rsidP="00C05AB5">
            <w:pPr>
              <w:pStyle w:val="CETBodytext"/>
              <w:ind w:right="-1"/>
              <w:rPr>
                <w:rFonts w:cs="Arial"/>
                <w:szCs w:val="18"/>
                <w:lang w:val="en-GB"/>
              </w:rPr>
            </w:pPr>
            <w:r>
              <w:rPr>
                <w:rFonts w:cs="Arial"/>
                <w:szCs w:val="18"/>
                <w:lang w:val="en-GB"/>
              </w:rPr>
              <w:t>59.94</w:t>
            </w:r>
          </w:p>
        </w:tc>
        <w:tc>
          <w:tcPr>
            <w:tcW w:w="1559" w:type="dxa"/>
            <w:shd w:val="clear" w:color="auto" w:fill="FFFFFF"/>
          </w:tcPr>
          <w:p w14:paraId="06D19D15" w14:textId="77777777" w:rsidR="00A85DE0" w:rsidRDefault="00A85DE0" w:rsidP="00C05AB5">
            <w:pPr>
              <w:pStyle w:val="CETBodytext"/>
              <w:ind w:right="-1"/>
              <w:rPr>
                <w:rFonts w:cs="Arial"/>
                <w:szCs w:val="18"/>
                <w:lang w:val="en-GB"/>
              </w:rPr>
            </w:pPr>
            <w:r>
              <w:rPr>
                <w:rFonts w:cs="Arial"/>
                <w:szCs w:val="18"/>
                <w:lang w:val="en-GB"/>
              </w:rPr>
              <w:t>0.924</w:t>
            </w:r>
          </w:p>
        </w:tc>
        <w:tc>
          <w:tcPr>
            <w:tcW w:w="1701" w:type="dxa"/>
            <w:shd w:val="clear" w:color="auto" w:fill="FFFFFF"/>
          </w:tcPr>
          <w:p w14:paraId="3283DB4A" w14:textId="77777777" w:rsidR="00A85DE0" w:rsidRDefault="00A85DE0" w:rsidP="00C05AB5">
            <w:pPr>
              <w:pStyle w:val="CETBodytext"/>
              <w:ind w:right="-1"/>
              <w:rPr>
                <w:rFonts w:cs="Arial"/>
                <w:szCs w:val="18"/>
                <w:lang w:val="en-GB"/>
              </w:rPr>
            </w:pPr>
            <w:r>
              <w:rPr>
                <w:rFonts w:cs="Arial"/>
                <w:szCs w:val="18"/>
                <w:lang w:val="en-GB"/>
              </w:rPr>
              <w:t>7.94</w:t>
            </w:r>
          </w:p>
        </w:tc>
        <w:tc>
          <w:tcPr>
            <w:tcW w:w="709" w:type="dxa"/>
            <w:shd w:val="clear" w:color="auto" w:fill="FFFFFF"/>
          </w:tcPr>
          <w:p w14:paraId="07806341" w14:textId="77777777" w:rsidR="00A85DE0" w:rsidRDefault="00A85DE0" w:rsidP="00C05AB5">
            <w:pPr>
              <w:pStyle w:val="CETBodytext"/>
              <w:ind w:right="-1"/>
              <w:rPr>
                <w:rFonts w:cs="Arial"/>
                <w:szCs w:val="18"/>
                <w:lang w:val="en-GB"/>
              </w:rPr>
            </w:pPr>
            <w:r>
              <w:rPr>
                <w:rFonts w:cs="Arial"/>
                <w:szCs w:val="18"/>
                <w:lang w:val="en-GB"/>
              </w:rPr>
              <w:t>3.5</w:t>
            </w:r>
          </w:p>
        </w:tc>
      </w:tr>
      <w:tr w:rsidR="00A85DE0" w:rsidRPr="00B57B36" w14:paraId="395D248B" w14:textId="77777777" w:rsidTr="00160AA9">
        <w:tc>
          <w:tcPr>
            <w:tcW w:w="709" w:type="dxa"/>
            <w:shd w:val="clear" w:color="auto" w:fill="FFFFFF"/>
          </w:tcPr>
          <w:p w14:paraId="4F863BAD" w14:textId="77777777" w:rsidR="00A85DE0" w:rsidRDefault="00A85DE0" w:rsidP="00C05AB5">
            <w:pPr>
              <w:pStyle w:val="CETBodytext"/>
              <w:ind w:right="-1"/>
              <w:rPr>
                <w:rFonts w:cs="Arial"/>
                <w:szCs w:val="18"/>
                <w:lang w:val="en-GB"/>
              </w:rPr>
            </w:pPr>
          </w:p>
        </w:tc>
        <w:tc>
          <w:tcPr>
            <w:tcW w:w="1276" w:type="dxa"/>
            <w:shd w:val="clear" w:color="auto" w:fill="FFFFFF"/>
          </w:tcPr>
          <w:p w14:paraId="6BAC3529" w14:textId="77777777" w:rsidR="00A85DE0" w:rsidRDefault="00A85DE0" w:rsidP="00C05AB5">
            <w:pPr>
              <w:pStyle w:val="CETBodytext"/>
              <w:ind w:right="-1"/>
              <w:rPr>
                <w:rFonts w:cs="Arial"/>
                <w:szCs w:val="18"/>
                <w:lang w:val="en-GB"/>
              </w:rPr>
            </w:pPr>
            <w:r>
              <w:rPr>
                <w:rFonts w:cs="Arial"/>
                <w:szCs w:val="18"/>
                <w:lang w:val="en-GB"/>
              </w:rPr>
              <w:t>Residue</w:t>
            </w:r>
          </w:p>
        </w:tc>
        <w:tc>
          <w:tcPr>
            <w:tcW w:w="1843" w:type="dxa"/>
            <w:shd w:val="clear" w:color="auto" w:fill="FFFFFF"/>
          </w:tcPr>
          <w:p w14:paraId="48805384" w14:textId="77777777" w:rsidR="00A85DE0" w:rsidRDefault="00A85DE0" w:rsidP="00C05AB5">
            <w:pPr>
              <w:pStyle w:val="CETBodytext"/>
              <w:ind w:right="-1"/>
              <w:rPr>
                <w:rFonts w:cs="Arial"/>
                <w:szCs w:val="18"/>
                <w:lang w:val="en-GB"/>
              </w:rPr>
            </w:pPr>
            <w:r>
              <w:rPr>
                <w:rFonts w:cs="Arial"/>
                <w:szCs w:val="18"/>
                <w:lang w:val="en-GB"/>
              </w:rPr>
              <w:t>26.38</w:t>
            </w:r>
          </w:p>
        </w:tc>
        <w:tc>
          <w:tcPr>
            <w:tcW w:w="1559" w:type="dxa"/>
            <w:shd w:val="clear" w:color="auto" w:fill="FFFFFF"/>
          </w:tcPr>
          <w:p w14:paraId="7E10BEE6" w14:textId="77777777" w:rsidR="00A85DE0" w:rsidRDefault="00A85DE0" w:rsidP="00C05AB5">
            <w:pPr>
              <w:pStyle w:val="CETBodytext"/>
              <w:ind w:right="-1"/>
              <w:rPr>
                <w:rFonts w:cs="Arial"/>
                <w:szCs w:val="18"/>
                <w:lang w:val="en-GB"/>
              </w:rPr>
            </w:pPr>
            <w:r>
              <w:rPr>
                <w:rFonts w:cs="Arial"/>
                <w:szCs w:val="18"/>
                <w:lang w:val="en-GB"/>
              </w:rPr>
              <w:t>1.108</w:t>
            </w:r>
          </w:p>
        </w:tc>
        <w:tc>
          <w:tcPr>
            <w:tcW w:w="1701" w:type="dxa"/>
            <w:shd w:val="clear" w:color="auto" w:fill="FFFFFF"/>
          </w:tcPr>
          <w:p w14:paraId="6378767D" w14:textId="77777777" w:rsidR="00A85DE0" w:rsidRDefault="00A85DE0" w:rsidP="00C05AB5">
            <w:pPr>
              <w:pStyle w:val="CETBodytext"/>
              <w:ind w:right="-1"/>
              <w:rPr>
                <w:rFonts w:cs="Arial"/>
                <w:szCs w:val="18"/>
                <w:lang w:val="en-GB"/>
              </w:rPr>
            </w:pPr>
            <w:r>
              <w:rPr>
                <w:rFonts w:cs="Arial"/>
                <w:szCs w:val="18"/>
                <w:lang w:val="en-GB"/>
              </w:rPr>
              <w:t>19.33</w:t>
            </w:r>
          </w:p>
        </w:tc>
        <w:tc>
          <w:tcPr>
            <w:tcW w:w="709" w:type="dxa"/>
            <w:shd w:val="clear" w:color="auto" w:fill="FFFFFF"/>
          </w:tcPr>
          <w:p w14:paraId="1F6679D8" w14:textId="77777777" w:rsidR="00A85DE0" w:rsidRDefault="00A85DE0" w:rsidP="00C05AB5">
            <w:pPr>
              <w:pStyle w:val="CETBodytext"/>
              <w:ind w:right="-1"/>
              <w:rPr>
                <w:rFonts w:cs="Arial"/>
                <w:szCs w:val="18"/>
                <w:lang w:val="en-GB"/>
              </w:rPr>
            </w:pPr>
            <w:r>
              <w:rPr>
                <w:rFonts w:cs="Arial"/>
                <w:szCs w:val="18"/>
                <w:lang w:val="en-GB"/>
              </w:rPr>
              <w:t>0.5</w:t>
            </w:r>
          </w:p>
        </w:tc>
      </w:tr>
    </w:tbl>
    <w:p w14:paraId="1F97D323" w14:textId="3DAF0F78" w:rsidR="00A64985" w:rsidRDefault="00A64985" w:rsidP="00C66970">
      <w:pPr>
        <w:pStyle w:val="CETTabletitle"/>
        <w:spacing w:after="0"/>
        <w:jc w:val="both"/>
        <w:rPr>
          <w:i w:val="0"/>
        </w:rPr>
      </w:pPr>
      <w:r w:rsidRPr="00A64985">
        <w:rPr>
          <w:i w:val="0"/>
        </w:rPr>
        <w:t>The ChCl:LA molar ratio significantly influenced the separation performance. While higher lactic acid content (1:2) may increase the affinity for water, it also leads to higher viscosity, which can hinder mass transfer. In contrast, the 1:1.5 ratio showed improved results (26.33</w:t>
      </w:r>
      <w:r w:rsidR="006F6043">
        <w:rPr>
          <w:i w:val="0"/>
        </w:rPr>
        <w:t xml:space="preserve"> </w:t>
      </w:r>
      <w:r w:rsidRPr="00A64985">
        <w:rPr>
          <w:i w:val="0"/>
        </w:rPr>
        <w:t>% water in the distillate), suggesting a more favorable balance between water retention and ethanol release. This behavior is consistent with the viscosity–mass transfer trade-off discussed previously.</w:t>
      </w:r>
      <w:r w:rsidR="001904B9" w:rsidRPr="001904B9">
        <w:rPr>
          <w:i w:val="0"/>
        </w:rPr>
        <w:t xml:space="preserve"> </w:t>
      </w:r>
    </w:p>
    <w:p w14:paraId="3EDD00A9" w14:textId="6809E9C2" w:rsidR="001812CB" w:rsidRDefault="001812CB" w:rsidP="001812CB">
      <w:pPr>
        <w:pStyle w:val="CETListbullets"/>
        <w:ind w:left="0" w:firstLine="0"/>
      </w:pPr>
      <w:r w:rsidRPr="00B47DFB">
        <w:t xml:space="preserve">Lowering the pressure to 100 mbar at 65 °C generally increased the distillation rate as it contributes for </w:t>
      </w:r>
      <w:r>
        <w:t>improving the separation factor</w:t>
      </w:r>
      <w:r w:rsidRPr="00B47DFB">
        <w:t>. However, Run 5 demonstrated that excessive vacuum can be detrimental; a</w:t>
      </w:r>
      <w:r w:rsidR="00A85DE0">
        <w:t xml:space="preserve"> </w:t>
      </w:r>
      <w:r w:rsidRPr="00B47DFB">
        <w:t>59.94</w:t>
      </w:r>
      <w:r w:rsidR="006F6043">
        <w:t xml:space="preserve"> </w:t>
      </w:r>
      <w:r w:rsidRPr="00B47DFB">
        <w:t xml:space="preserve">% water content in the distillate suggests that the </w:t>
      </w:r>
      <w:r>
        <w:t>intense vacuum</w:t>
      </w:r>
      <w:r w:rsidRPr="00B47DFB">
        <w:t xml:space="preserve"> </w:t>
      </w:r>
      <w:r>
        <w:t>overpowered</w:t>
      </w:r>
      <w:r w:rsidRPr="00B47DFB">
        <w:t xml:space="preserve"> the DES-water hydrogen bonds, favouring the volatilization of the entire </w:t>
      </w:r>
      <w:r w:rsidRPr="00DD4273">
        <w:t>feed composition</w:t>
      </w:r>
      <w:r w:rsidRPr="00D60FE8">
        <w:t>. In Run 4</w:t>
      </w:r>
      <w:r w:rsidRPr="0044710E">
        <w:t>, increasing</w:t>
      </w:r>
      <w:r w:rsidRPr="00D60FE8">
        <w:t xml:space="preserve"> </w:t>
      </w:r>
      <w:r w:rsidRPr="00D60FE8">
        <w:rPr>
          <w:rFonts w:eastAsia="SimSun"/>
          <w:lang w:val="en-US"/>
        </w:rPr>
        <w:t>T</w:t>
      </w:r>
      <w:r w:rsidRPr="00D60FE8">
        <w:rPr>
          <w:rFonts w:eastAsia="SimSun"/>
          <w:vertAlign w:val="subscript"/>
        </w:rPr>
        <w:t xml:space="preserve">chiller </w:t>
      </w:r>
      <w:r w:rsidRPr="00D60FE8">
        <w:t>to 20 °C resulted in a distillate water content (43.62</w:t>
      </w:r>
      <w:r w:rsidR="006F6043">
        <w:t xml:space="preserve"> </w:t>
      </w:r>
      <w:r w:rsidRPr="00D60FE8">
        <w:t>%). This confirms that an insufficient thermal gradient in the</w:t>
      </w:r>
      <w:r w:rsidRPr="000230B8">
        <w:t xml:space="preserve"> condenser prevents the selective</w:t>
      </w:r>
      <w:r w:rsidRPr="00B47DFB">
        <w:t xml:space="preserve"> condensation of ethanol, allowing water vapor to p</w:t>
      </w:r>
      <w:r>
        <w:t>ersist in the gas phase and pass through</w:t>
      </w:r>
      <w:r w:rsidRPr="00B47DFB">
        <w:t xml:space="preserve"> the system.</w:t>
      </w:r>
    </w:p>
    <w:p w14:paraId="61BF73E7" w14:textId="76E78C9F" w:rsidR="00A64985" w:rsidRDefault="001812CB" w:rsidP="00C66970">
      <w:pPr>
        <w:pStyle w:val="CETListbullets"/>
        <w:spacing w:after="240"/>
        <w:ind w:left="0" w:firstLine="0"/>
      </w:pPr>
      <w:r>
        <w:lastRenderedPageBreak/>
        <w:t xml:space="preserve">Furthermore, </w:t>
      </w:r>
      <w:r w:rsidR="00C5141A">
        <w:t xml:space="preserve">these </w:t>
      </w:r>
      <w:r w:rsidRPr="00B47DFB">
        <w:t xml:space="preserve">results confirm that strong hydrogen-bonding </w:t>
      </w:r>
      <w:r>
        <w:t>interactions</w:t>
      </w:r>
      <w:r w:rsidRPr="00B47DFB">
        <w:t xml:space="preserve"> </w:t>
      </w:r>
      <w:r>
        <w:t xml:space="preserve">remain </w:t>
      </w:r>
      <w:r w:rsidRPr="00B47DFB">
        <w:t xml:space="preserve">effective even in </w:t>
      </w:r>
      <w:r>
        <w:t xml:space="preserve">non-columnar </w:t>
      </w:r>
      <w:r w:rsidRPr="00B47DFB">
        <w:t>distillations</w:t>
      </w:r>
      <w:r w:rsidR="00C5141A">
        <w:t xml:space="preserve"> due to</w:t>
      </w:r>
      <w:r w:rsidRPr="00B47DFB">
        <w:t xml:space="preserve"> the effective </w:t>
      </w:r>
      <w:r>
        <w:t xml:space="preserve">retention </w:t>
      </w:r>
      <w:r w:rsidRPr="00B47DFB">
        <w:t xml:space="preserve">of the </w:t>
      </w:r>
      <w:r>
        <w:t>solvent in the liquid phase</w:t>
      </w:r>
      <w:r w:rsidRPr="00B47DFB">
        <w:t xml:space="preserve">. </w:t>
      </w:r>
      <w:r>
        <w:t>I</w:t>
      </w:r>
      <w:r w:rsidRPr="00B47DFB">
        <w:t>n all successful runs</w:t>
      </w:r>
      <w:r>
        <w:t>, the residue</w:t>
      </w:r>
      <w:r w:rsidRPr="00B47DFB">
        <w:t xml:space="preserve"> maintained a high density (&gt; 1.07 g/mL) and a distinct </w:t>
      </w:r>
      <w:r>
        <w:t>“</w:t>
      </w:r>
      <w:r w:rsidRPr="00B47DFB">
        <w:t>greenish</w:t>
      </w:r>
      <w:r>
        <w:t>”</w:t>
      </w:r>
      <w:r w:rsidRPr="00B47DFB">
        <w:t xml:space="preserve"> tint</w:t>
      </w:r>
      <w:r>
        <w:t xml:space="preserve">, </w:t>
      </w:r>
      <w:r w:rsidRPr="00B47DFB">
        <w:t xml:space="preserve">as predicted by Arantes </w:t>
      </w:r>
      <w:r w:rsidRPr="006540FA">
        <w:rPr>
          <w:i/>
        </w:rPr>
        <w:t>et al.</w:t>
      </w:r>
      <w:r>
        <w:t xml:space="preserve"> (</w:t>
      </w:r>
      <w:r w:rsidRPr="00B47DFB">
        <w:t>2025</w:t>
      </w:r>
      <w:r>
        <w:t>)</w:t>
      </w:r>
      <w:r w:rsidRPr="00B47DFB">
        <w:t xml:space="preserve">, while the distillate remained colourless. This visual and physical contrast, coupled with the </w:t>
      </w:r>
      <w:r>
        <w:t xml:space="preserve">high residue </w:t>
      </w:r>
      <w:r w:rsidRPr="00B47DFB">
        <w:t>viscosity, validates the effectiveness of the ChCl:LA DES as a</w:t>
      </w:r>
      <w:r>
        <w:t xml:space="preserve"> non-volatile</w:t>
      </w:r>
      <w:r w:rsidRPr="00B47DFB">
        <w:t xml:space="preserve"> liquid-phase </w:t>
      </w:r>
      <w:r>
        <w:t>solvent</w:t>
      </w:r>
      <w:r w:rsidRPr="00B47DFB">
        <w:t>.</w:t>
      </w:r>
      <w:r w:rsidR="00A64985" w:rsidRPr="00A64985">
        <w:t xml:space="preserve"> </w:t>
      </w:r>
      <w:r w:rsidR="00A64985">
        <w:t xml:space="preserve">                                  </w:t>
      </w:r>
      <w:r w:rsidR="00A64985" w:rsidRPr="005921BC">
        <w:t>It is important to note that this study is based on a limited number of experimental runs and a single-stage batch configuration. Therefore, the results should be interpreted as preliminary. Additionally, the absence of direct vapor–liquid equilibrium (VLE) data limits the ability to fully validate the proposed separation mechanisms, which are inferred from indire</w:t>
      </w:r>
      <w:r w:rsidR="00A64985">
        <w:t xml:space="preserve">ct physicochemical measurements. </w:t>
      </w:r>
      <w:r w:rsidR="00A64985" w:rsidRPr="00A64985">
        <w:t>These aspects should be addressed in future studies to strengthen the understanding of DES-based separation systems.</w:t>
      </w:r>
      <w:r w:rsidR="00A64985">
        <w:t xml:space="preserve">      </w:t>
      </w:r>
    </w:p>
    <w:p w14:paraId="6AA2B591" w14:textId="77777777" w:rsidR="006E7AE8" w:rsidRDefault="006E7AE8" w:rsidP="002908E7">
      <w:pPr>
        <w:pStyle w:val="CETListbullets"/>
        <w:ind w:left="0" w:firstLine="0"/>
        <w:jc w:val="left"/>
      </w:pPr>
      <w:r w:rsidRPr="00BF4CB6">
        <w:rPr>
          <w:noProof/>
          <w:lang w:val="fr-FR" w:eastAsia="fr-FR"/>
        </w:rPr>
        <w:drawing>
          <wp:inline distT="0" distB="0" distL="0" distR="0" wp14:anchorId="5213ABE7" wp14:editId="57B69867">
            <wp:extent cx="4934695" cy="262636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503" t="8474" r="1127" b="1014"/>
                    <a:stretch/>
                  </pic:blipFill>
                  <pic:spPr bwMode="auto">
                    <a:xfrm>
                      <a:off x="0" y="0"/>
                      <a:ext cx="4945166" cy="2631933"/>
                    </a:xfrm>
                    <a:prstGeom prst="rect">
                      <a:avLst/>
                    </a:prstGeom>
                    <a:ln>
                      <a:noFill/>
                    </a:ln>
                    <a:extLst>
                      <a:ext uri="{53640926-AAD7-44D8-BBD7-CCE9431645EC}">
                        <a14:shadowObscured xmlns:a14="http://schemas.microsoft.com/office/drawing/2010/main"/>
                      </a:ext>
                    </a:extLst>
                  </pic:spPr>
                </pic:pic>
              </a:graphicData>
            </a:graphic>
          </wp:inline>
        </w:drawing>
      </w:r>
    </w:p>
    <w:p w14:paraId="7F1C6D57" w14:textId="210C3111" w:rsidR="006E7AE8" w:rsidRDefault="006E7AE8" w:rsidP="00004E74">
      <w:pPr>
        <w:pStyle w:val="CETCaption"/>
        <w:spacing w:before="0"/>
        <w:rPr>
          <w:rStyle w:val="CETCaptionCarattere"/>
          <w:i/>
        </w:rPr>
      </w:pPr>
      <w:r w:rsidRPr="00BD077D">
        <w:rPr>
          <w:rStyle w:val="CETCaptionCarattere"/>
          <w:i/>
        </w:rPr>
        <w:t>Figu</w:t>
      </w:r>
      <w:r>
        <w:rPr>
          <w:rStyle w:val="CETCaptionCarattere"/>
          <w:i/>
        </w:rPr>
        <w:t xml:space="preserve">re </w:t>
      </w:r>
      <w:r w:rsidR="00751BA2">
        <w:rPr>
          <w:rStyle w:val="CETCaptionCarattere"/>
          <w:i/>
        </w:rPr>
        <w:t>2</w:t>
      </w:r>
      <w:r w:rsidR="00D77CBE">
        <w:rPr>
          <w:rStyle w:val="CETCaptionCarattere"/>
          <w:i/>
        </w:rPr>
        <w:t>:</w:t>
      </w:r>
      <w:r w:rsidR="00751BA2">
        <w:rPr>
          <w:rStyle w:val="CETCaptionCarattere"/>
          <w:i/>
        </w:rPr>
        <w:t xml:space="preserve"> </w:t>
      </w:r>
      <w:r w:rsidR="000B36DE">
        <w:rPr>
          <w:rStyle w:val="CETCaptionCarattere"/>
          <w:i/>
        </w:rPr>
        <w:t xml:space="preserve">Water content (wt </w:t>
      </w:r>
      <w:r w:rsidRPr="00050737">
        <w:rPr>
          <w:rStyle w:val="CETCaptionCarattere"/>
          <w:i/>
        </w:rPr>
        <w:t>%) in distillate</w:t>
      </w:r>
      <w:r w:rsidR="000C3BCD">
        <w:rPr>
          <w:rStyle w:val="CETCaptionCarattere"/>
          <w:i/>
        </w:rPr>
        <w:t xml:space="preserve"> and residue phases for selected runs</w:t>
      </w:r>
    </w:p>
    <w:p w14:paraId="41CAFF1F" w14:textId="77777777" w:rsidR="00600535" w:rsidRDefault="00004E74" w:rsidP="00004E74">
      <w:pPr>
        <w:pStyle w:val="CETHeading1"/>
        <w:numPr>
          <w:ilvl w:val="0"/>
          <w:numId w:val="0"/>
        </w:numPr>
        <w:rPr>
          <w:lang w:val="en-GB"/>
        </w:rPr>
      </w:pPr>
      <w:r>
        <w:rPr>
          <w:lang w:val="en-GB"/>
        </w:rPr>
        <w:t xml:space="preserve">4. </w:t>
      </w:r>
      <w:r w:rsidR="00600535" w:rsidRPr="00B57B36">
        <w:rPr>
          <w:lang w:val="en-GB"/>
        </w:rPr>
        <w:t>Conclusions</w:t>
      </w:r>
    </w:p>
    <w:p w14:paraId="0744B070" w14:textId="0F026A3B" w:rsidR="0082342F" w:rsidRPr="0082342F" w:rsidRDefault="0082342F" w:rsidP="0082342F">
      <w:pPr>
        <w:pStyle w:val="CETBodytext"/>
        <w:rPr>
          <w:lang w:val="en-GB"/>
        </w:rPr>
      </w:pPr>
      <w:r w:rsidRPr="0082342F">
        <w:rPr>
          <w:lang w:val="en-GB"/>
        </w:rPr>
        <w:t>This study demonstrated the potential viability of using ChCl:LA deep eutectic solvents for the separation of water–ethanol mixtures in a rotary evaporator system. The results indicate that separation performance is strongly influenced by both solvent composition and operating conditions. The best condition (60 °C, 150 mbar, 1:1.5 ratio) led to a significant enrichment of ethanol, increasing its concentration from approximately 34</w:t>
      </w:r>
      <w:r w:rsidR="006F6043">
        <w:rPr>
          <w:lang w:val="en-GB"/>
        </w:rPr>
        <w:t xml:space="preserve"> </w:t>
      </w:r>
      <w:r w:rsidRPr="0082342F">
        <w:rPr>
          <w:lang w:val="en-GB"/>
        </w:rPr>
        <w:t>% in the feed to 73.67</w:t>
      </w:r>
      <w:r w:rsidR="006F6043">
        <w:rPr>
          <w:lang w:val="en-GB"/>
        </w:rPr>
        <w:t xml:space="preserve"> </w:t>
      </w:r>
      <w:r w:rsidRPr="0082342F">
        <w:rPr>
          <w:lang w:val="en-GB"/>
        </w:rPr>
        <w:t>% in the distillate in a single stage. The 1:1.5 molar ratio showed improved performance, suggesting a favorable balance between water affinity and manageable viscosity, which enhances mass transfer during evaporation.</w:t>
      </w:r>
    </w:p>
    <w:p w14:paraId="1043169B" w14:textId="5BEB95DE" w:rsidR="0082342F" w:rsidRPr="0082342F" w:rsidRDefault="0082342F" w:rsidP="0082342F">
      <w:pPr>
        <w:pStyle w:val="CETBodytext"/>
        <w:rPr>
          <w:lang w:val="en-GB"/>
        </w:rPr>
      </w:pPr>
      <w:r w:rsidRPr="0082342F">
        <w:rPr>
          <w:lang w:val="en-GB"/>
        </w:rPr>
        <w:t>However, the achieved ethanol purity remains significantly below anhydrous specifications, which limits the immediate industrial applicability of the process. In addition, the results are based on a single-stage batch system and a limited number of experimental conditions, and the interpretation of the separation mechanism relies on indirect physicochemical indicators rather than direct vapor–liquid equilibrium (VLE) measurements.</w:t>
      </w:r>
    </w:p>
    <w:p w14:paraId="2AA13D54" w14:textId="77E14D45" w:rsidR="0082342F" w:rsidRPr="0082342F" w:rsidRDefault="0082342F" w:rsidP="0082342F">
      <w:pPr>
        <w:pStyle w:val="CETBodytext"/>
        <w:rPr>
          <w:lang w:val="en-GB"/>
        </w:rPr>
      </w:pPr>
      <w:r w:rsidRPr="0082342F">
        <w:rPr>
          <w:lang w:val="en-GB"/>
        </w:rPr>
        <w:t>Overall, the findings highlight the relevance of DES composition and operating parameters in influencing separation behavior and provide a preliminary, proof-of-concept assessment of DES application in simplified extractive distillation systems. Further work should focus on VLE characterization, solvent recyclability, and continuous multi-stage operation in order to better assess the feasibility of DES-based processes for bioethanol purification.</w:t>
      </w:r>
    </w:p>
    <w:p w14:paraId="64271091" w14:textId="77777777" w:rsidR="00F64BFC" w:rsidRPr="00C66970" w:rsidRDefault="00F64BFC" w:rsidP="00F64BFC">
      <w:pPr>
        <w:pStyle w:val="CETBodytext"/>
        <w:rPr>
          <w:lang w:val="en-GB"/>
        </w:rPr>
      </w:pPr>
    </w:p>
    <w:p w14:paraId="6CF56CDD" w14:textId="77777777" w:rsidR="00280FAF" w:rsidRPr="00280FAF" w:rsidRDefault="00280FAF" w:rsidP="00C66970">
      <w:pPr>
        <w:pStyle w:val="CETHeadingxx"/>
        <w:spacing w:before="0"/>
        <w:rPr>
          <w:lang w:val="en-GB"/>
        </w:rPr>
        <w:sectPr w:rsidR="00280FAF" w:rsidRPr="00280FAF" w:rsidSect="008314D7">
          <w:type w:val="continuous"/>
          <w:pgSz w:w="11906" w:h="16838" w:code="9"/>
          <w:pgMar w:top="1701" w:right="1418" w:bottom="1701" w:left="1701" w:header="1701" w:footer="0" w:gutter="0"/>
          <w:cols w:space="708"/>
          <w:formProt w:val="0"/>
          <w:titlePg/>
          <w:docGrid w:linePitch="360"/>
        </w:sectPr>
      </w:pPr>
      <w:r>
        <w:t>Nomenclature</w:t>
      </w:r>
    </w:p>
    <w:p w14:paraId="1E5E3BC5" w14:textId="77777777" w:rsidR="00280FAF" w:rsidRPr="00280FAF" w:rsidRDefault="00C15E99" w:rsidP="00280FAF">
      <w:pPr>
        <w:pStyle w:val="CETBodytext"/>
        <w:jc w:val="left"/>
        <w:rPr>
          <w:rFonts w:eastAsia="SimSun"/>
        </w:rPr>
        <w:sectPr w:rsidR="00280FAF" w:rsidRPr="00280FAF" w:rsidSect="008314D7">
          <w:type w:val="continuous"/>
          <w:pgSz w:w="11906" w:h="16838" w:code="9"/>
          <w:pgMar w:top="1701" w:right="1418" w:bottom="1701" w:left="1701" w:header="1701" w:footer="0" w:gutter="0"/>
          <w:cols w:space="708"/>
          <w:formProt w:val="0"/>
          <w:titlePg/>
          <w:docGrid w:linePitch="360"/>
        </w:sectPr>
      </w:pPr>
      <w:r>
        <w:rPr>
          <w:rFonts w:eastAsia="SimSun"/>
        </w:rPr>
        <w:lastRenderedPageBreak/>
        <w:t>ChCl – Choline chloride</w:t>
      </w:r>
    </w:p>
    <w:p w14:paraId="2027B42F" w14:textId="77777777" w:rsidR="00280FAF" w:rsidRPr="00280FAF" w:rsidRDefault="00C15E99" w:rsidP="00280FAF">
      <w:pPr>
        <w:pStyle w:val="CETBodytext"/>
        <w:jc w:val="left"/>
        <w:rPr>
          <w:rFonts w:eastAsia="SimSun"/>
        </w:rPr>
      </w:pPr>
      <w:r>
        <w:rPr>
          <w:rFonts w:eastAsia="SimSun"/>
        </w:rPr>
        <w:lastRenderedPageBreak/>
        <w:t>DES – Deep Eutectic Solvent</w:t>
      </w:r>
    </w:p>
    <w:p w14:paraId="2E382AB8" w14:textId="77777777" w:rsidR="00280FAF" w:rsidRPr="00280FAF" w:rsidRDefault="00C15E99" w:rsidP="00280FAF">
      <w:pPr>
        <w:pStyle w:val="CETBodytext"/>
        <w:jc w:val="left"/>
        <w:rPr>
          <w:rFonts w:eastAsia="SimSun"/>
        </w:rPr>
      </w:pPr>
      <w:r>
        <w:rPr>
          <w:rFonts w:eastAsia="SimSun"/>
        </w:rPr>
        <w:t>EtOH – Ethanol</w:t>
      </w:r>
    </w:p>
    <w:p w14:paraId="3BCB9ECC" w14:textId="77777777" w:rsidR="00280FAF" w:rsidRPr="00280FAF" w:rsidRDefault="00C15E99" w:rsidP="00280FAF">
      <w:pPr>
        <w:pStyle w:val="CETBodytext"/>
        <w:jc w:val="left"/>
        <w:rPr>
          <w:rFonts w:eastAsia="SimSun"/>
        </w:rPr>
      </w:pPr>
      <w:r>
        <w:rPr>
          <w:rFonts w:eastAsia="SimSun"/>
        </w:rPr>
        <w:t>HBA – Hydrogen Bond Acceptor</w:t>
      </w:r>
    </w:p>
    <w:p w14:paraId="0D97DCAB" w14:textId="77777777" w:rsidR="00C15E99" w:rsidRPr="00280FAF" w:rsidRDefault="00C15E99" w:rsidP="00C15E99">
      <w:pPr>
        <w:pStyle w:val="CETBodytext"/>
        <w:jc w:val="left"/>
        <w:rPr>
          <w:rFonts w:eastAsia="SimSun"/>
        </w:rPr>
      </w:pPr>
      <w:r>
        <w:rPr>
          <w:rFonts w:eastAsia="SimSun"/>
        </w:rPr>
        <w:t>HBD – Hydrogen Bond Donor</w:t>
      </w:r>
    </w:p>
    <w:p w14:paraId="15F93675" w14:textId="77777777" w:rsidR="00280FAF" w:rsidRPr="00280FAF" w:rsidRDefault="00C15E99" w:rsidP="00C15E99">
      <w:pPr>
        <w:pStyle w:val="CETBodytext"/>
        <w:jc w:val="left"/>
        <w:rPr>
          <w:rFonts w:eastAsia="SimSun"/>
        </w:rPr>
      </w:pPr>
      <w:r>
        <w:rPr>
          <w:rFonts w:eastAsia="SimSun"/>
        </w:rPr>
        <w:t>KF – Karl Fischer</w:t>
      </w:r>
    </w:p>
    <w:p w14:paraId="14AAF209" w14:textId="77777777" w:rsidR="00280FAF" w:rsidRPr="00280FAF" w:rsidRDefault="00C15E99" w:rsidP="00280FAF">
      <w:pPr>
        <w:pStyle w:val="CETBodytext"/>
        <w:jc w:val="left"/>
        <w:rPr>
          <w:rFonts w:eastAsia="SimSun"/>
        </w:rPr>
      </w:pPr>
      <w:r>
        <w:rPr>
          <w:rFonts w:eastAsia="SimSun"/>
        </w:rPr>
        <w:t>LA – Lactic Acid</w:t>
      </w:r>
    </w:p>
    <w:p w14:paraId="7D13FA57" w14:textId="77777777" w:rsidR="00280FAF" w:rsidRPr="00280FAF" w:rsidRDefault="00C15E99" w:rsidP="00280FAF">
      <w:pPr>
        <w:pStyle w:val="CETBodytext"/>
        <w:jc w:val="left"/>
        <w:rPr>
          <w:rFonts w:eastAsia="SimSun"/>
        </w:rPr>
      </w:pPr>
      <w:r>
        <w:rPr>
          <w:rFonts w:eastAsia="SimSun"/>
        </w:rPr>
        <w:lastRenderedPageBreak/>
        <w:t>P</w:t>
      </w:r>
      <w:r>
        <w:rPr>
          <w:rFonts w:eastAsia="SimSun"/>
          <w:vertAlign w:val="subscript"/>
        </w:rPr>
        <w:t>vac</w:t>
      </w:r>
      <w:r>
        <w:rPr>
          <w:rFonts w:eastAsia="SimSun"/>
        </w:rPr>
        <w:t xml:space="preserve"> – Vacuum pressure, mbar</w:t>
      </w:r>
    </w:p>
    <w:p w14:paraId="0277C8DB" w14:textId="77777777" w:rsidR="00280FAF" w:rsidRPr="00280FAF" w:rsidRDefault="00C15E99" w:rsidP="00280FAF">
      <w:pPr>
        <w:pStyle w:val="CETBodytext"/>
        <w:jc w:val="left"/>
        <w:rPr>
          <w:rFonts w:eastAsia="SimSun"/>
        </w:rPr>
      </w:pPr>
      <w:r>
        <w:rPr>
          <w:rFonts w:eastAsia="SimSun"/>
        </w:rPr>
        <w:t>RE – Rotary Evaporator</w:t>
      </w:r>
    </w:p>
    <w:p w14:paraId="486126BD" w14:textId="77777777" w:rsidR="00280FAF" w:rsidRPr="00280FAF" w:rsidRDefault="00C15E99" w:rsidP="00280FAF">
      <w:pPr>
        <w:pStyle w:val="CETBodytext"/>
        <w:jc w:val="left"/>
        <w:rPr>
          <w:rFonts w:eastAsia="SimSun"/>
        </w:rPr>
      </w:pPr>
      <w:r>
        <w:rPr>
          <w:rFonts w:eastAsia="SimSun"/>
        </w:rPr>
        <w:t>T</w:t>
      </w:r>
      <w:r>
        <w:rPr>
          <w:rFonts w:eastAsia="SimSun"/>
          <w:vertAlign w:val="subscript"/>
        </w:rPr>
        <w:t>bath</w:t>
      </w:r>
      <w:r>
        <w:rPr>
          <w:rFonts w:eastAsia="SimSun"/>
        </w:rPr>
        <w:t xml:space="preserve"> – Heating bath temperature, °C</w:t>
      </w:r>
    </w:p>
    <w:p w14:paraId="52180ECE" w14:textId="77777777" w:rsidR="00280FAF" w:rsidRPr="00280FAF" w:rsidRDefault="00C15E99" w:rsidP="00280FAF">
      <w:pPr>
        <w:pStyle w:val="CETBodytext"/>
        <w:jc w:val="left"/>
        <w:rPr>
          <w:rFonts w:eastAsia="SimSun"/>
        </w:rPr>
      </w:pPr>
      <w:r w:rsidRPr="00C15E99">
        <w:rPr>
          <w:rFonts w:eastAsia="SimSun"/>
        </w:rPr>
        <w:t>T</w:t>
      </w:r>
      <w:r>
        <w:rPr>
          <w:rFonts w:eastAsia="SimSun"/>
          <w:vertAlign w:val="subscript"/>
        </w:rPr>
        <w:t>chiller</w:t>
      </w:r>
      <w:r w:rsidRPr="00C15E99">
        <w:rPr>
          <w:rFonts w:eastAsia="SimSun"/>
        </w:rPr>
        <w:t>– Chiller temperature, °C</w:t>
      </w:r>
    </w:p>
    <w:p w14:paraId="7FFCE620" w14:textId="5181AEDF" w:rsidR="00280FAF" w:rsidRPr="00C66970" w:rsidRDefault="00C15E99" w:rsidP="00280FAF">
      <w:pPr>
        <w:pStyle w:val="CETBodytext"/>
        <w:jc w:val="left"/>
        <w:rPr>
          <w:rFonts w:eastAsia="SimSun"/>
          <w:lang w:val="fr-FR"/>
        </w:rPr>
        <w:sectPr w:rsidR="00280FAF" w:rsidRPr="00C66970" w:rsidSect="008314D7">
          <w:type w:val="continuous"/>
          <w:pgSz w:w="11906" w:h="16838" w:code="9"/>
          <w:pgMar w:top="1701" w:right="1418" w:bottom="1701" w:left="1701" w:header="1701" w:footer="0" w:gutter="0"/>
          <w:cols w:num="2" w:space="708"/>
          <w:formProt w:val="0"/>
          <w:titlePg/>
          <w:docGrid w:linePitch="360"/>
        </w:sectPr>
      </w:pPr>
      <w:r w:rsidRPr="00C66970">
        <w:rPr>
          <w:rFonts w:eastAsia="SimSun"/>
          <w:lang w:val="fr-FR"/>
        </w:rPr>
        <w:t>wt</w:t>
      </w:r>
      <w:r w:rsidR="00160AA9">
        <w:rPr>
          <w:rFonts w:eastAsia="SimSun"/>
          <w:lang w:val="fr-FR"/>
        </w:rPr>
        <w:t xml:space="preserve"> </w:t>
      </w:r>
      <w:r w:rsidRPr="00C66970">
        <w:rPr>
          <w:rFonts w:eastAsia="SimSun"/>
          <w:lang w:val="fr-FR"/>
        </w:rPr>
        <w:t>%</w:t>
      </w:r>
      <w:r w:rsidR="00280FAF" w:rsidRPr="00280FAF">
        <w:rPr>
          <w:rFonts w:eastAsia="SimSun"/>
          <w:lang w:val="el-GR"/>
        </w:rPr>
        <w:t xml:space="preserve"> – </w:t>
      </w:r>
      <w:r w:rsidRPr="00C66970">
        <w:rPr>
          <w:rFonts w:eastAsia="SimSun"/>
          <w:lang w:val="fr-FR"/>
        </w:rPr>
        <w:t>weight percentage</w:t>
      </w:r>
    </w:p>
    <w:p w14:paraId="24154C0B" w14:textId="77777777" w:rsidR="009122F9" w:rsidRPr="00D60FE8" w:rsidRDefault="009122F9" w:rsidP="009122F9">
      <w:pPr>
        <w:pStyle w:val="CETAcknowledgementstitle"/>
      </w:pPr>
      <w:r w:rsidRPr="00D60FE8">
        <w:lastRenderedPageBreak/>
        <w:t>Acknowledgments</w:t>
      </w:r>
      <w:bookmarkStart w:id="2" w:name="_GoBack"/>
      <w:bookmarkEnd w:id="2"/>
    </w:p>
    <w:p w14:paraId="547C5C51" w14:textId="48E21A3E" w:rsidR="00D60FE8" w:rsidRDefault="009122F9" w:rsidP="00C66970">
      <w:pPr>
        <w:pStyle w:val="CETBodytext"/>
      </w:pPr>
      <w:r w:rsidRPr="00D60FE8">
        <w:rPr>
          <w:lang w:val="en-GB"/>
        </w:rPr>
        <w:t>This study was financially supported by</w:t>
      </w:r>
      <w:r w:rsidR="00F614F0" w:rsidRPr="00D60FE8">
        <w:rPr>
          <w:lang w:val="en-GB"/>
        </w:rPr>
        <w:t xml:space="preserve"> </w:t>
      </w:r>
      <w:r w:rsidRPr="00D60FE8">
        <w:t xml:space="preserve">National Council for Scientific and Technological Development (CNPq), grants numbers 302888/2023-3; 308672/2025-9; </w:t>
      </w:r>
      <w:r w:rsidRPr="00D60FE8">
        <w:rPr>
          <w:rFonts w:cs="Arial"/>
          <w:color w:val="222222"/>
          <w:shd w:val="clear" w:color="auto" w:fill="FFFFFF"/>
        </w:rPr>
        <w:t xml:space="preserve">311193/2020-0; </w:t>
      </w:r>
      <w:r w:rsidRPr="00D60FE8">
        <w:t>and, also, t</w:t>
      </w:r>
      <w:r w:rsidRPr="00D60FE8">
        <w:rPr>
          <w:rFonts w:cs="Arial"/>
          <w:color w:val="222222"/>
          <w:shd w:val="clear" w:color="auto" w:fill="FFFFFF"/>
        </w:rPr>
        <w:t xml:space="preserve">his study was financed by the São Paulo Research Foundation (FAPESP), </w:t>
      </w:r>
      <w:r w:rsidR="00D60FE8" w:rsidRPr="00D60FE8">
        <w:rPr>
          <w:rFonts w:cs="Arial"/>
          <w:color w:val="222222"/>
          <w:shd w:val="clear" w:color="auto" w:fill="FFFFFF"/>
        </w:rPr>
        <w:t>Brazil</w:t>
      </w:r>
      <w:r w:rsidR="00F614F0" w:rsidRPr="00D60FE8">
        <w:rPr>
          <w:rFonts w:cs="Arial"/>
          <w:color w:val="222222"/>
          <w:shd w:val="clear" w:color="auto" w:fill="FFFFFF"/>
        </w:rPr>
        <w:t xml:space="preserve">, </w:t>
      </w:r>
      <w:r w:rsidRPr="00D60FE8">
        <w:rPr>
          <w:rFonts w:cs="Arial"/>
          <w:color w:val="222222"/>
          <w:shd w:val="clear" w:color="auto" w:fill="FFFFFF"/>
        </w:rPr>
        <w:t xml:space="preserve">Process Number </w:t>
      </w:r>
      <w:r w:rsidRPr="00D60FE8">
        <w:rPr>
          <w:rFonts w:cs="Arial"/>
          <w:color w:val="222222"/>
          <w:szCs w:val="18"/>
          <w:shd w:val="clear" w:color="auto" w:fill="FFFFFF"/>
        </w:rPr>
        <w:t>#</w:t>
      </w:r>
      <w:r w:rsidRPr="00D60FE8">
        <w:rPr>
          <w:rFonts w:cs="Arial"/>
          <w:color w:val="000000"/>
          <w:szCs w:val="18"/>
          <w:shd w:val="clear" w:color="auto" w:fill="FFFFFF"/>
        </w:rPr>
        <w:t>2022/16379-8.</w:t>
      </w:r>
      <w:r w:rsidRPr="00DD3648">
        <w:rPr>
          <w:rFonts w:cs="Arial"/>
          <w:szCs w:val="18"/>
        </w:rPr>
        <w:t xml:space="preserve"> </w:t>
      </w:r>
    </w:p>
    <w:p w14:paraId="41EE6153" w14:textId="77777777" w:rsidR="00600535" w:rsidRPr="00D60FE8" w:rsidRDefault="00600535" w:rsidP="00600535">
      <w:pPr>
        <w:pStyle w:val="CETReference"/>
        <w:rPr>
          <w:lang w:val="en-US"/>
        </w:rPr>
      </w:pPr>
      <w:r w:rsidRPr="00D60FE8">
        <w:rPr>
          <w:lang w:val="en-US"/>
        </w:rPr>
        <w:t>References</w:t>
      </w:r>
    </w:p>
    <w:bookmarkEnd w:id="1"/>
    <w:p w14:paraId="2162EC82" w14:textId="148C794A" w:rsidR="00640A69" w:rsidRDefault="00640A69" w:rsidP="00640A69">
      <w:pPr>
        <w:pStyle w:val="CETReferencetext"/>
      </w:pPr>
      <w:r>
        <w:t>Arantes J.M., Schiavon M.I.R.B., Maciel M.R.W., 2024, Synthesis of deep eutectic solvent for greenhouse gas (GHG) capture, Proceedings of the XXXII Unicamp Congress of Scientific Initiation, Campinas, Brazil (in Portuguese).</w:t>
      </w:r>
    </w:p>
    <w:p w14:paraId="12A489C2" w14:textId="49EC808A" w:rsidR="00640A69" w:rsidRDefault="00640A69" w:rsidP="00640A69">
      <w:pPr>
        <w:pStyle w:val="CETReferencetext"/>
      </w:pPr>
      <w:r>
        <w:t>Arantes J.M., Schiavon M.I.R.B., Maciel M.R.W., Bineli A.R.R., 2025, Synthesis of choline chloride-based deep eutectic solvents for greenhouse gas (GHG) capture, Proceedings of the XXXIII Unicamp Congress of Scientific Initiation, Campinas, Brazil (in Portuguese).</w:t>
      </w:r>
    </w:p>
    <w:p w14:paraId="03C1D858" w14:textId="19D97868" w:rsidR="00640A69" w:rsidRDefault="00640A69" w:rsidP="00640A69">
      <w:pPr>
        <w:pStyle w:val="CETReferencetext"/>
      </w:pPr>
      <w:r>
        <w:t>ASTM International, 2021, ASTM D6304-21: Standard test method for determination of water in petroleum products, lubricating oils, and additives by coulometric Karl Fischer titration, ASTM International, West Conshohocken, PA, USA.</w:t>
      </w:r>
    </w:p>
    <w:p w14:paraId="058E174F" w14:textId="0A116110" w:rsidR="00640A69" w:rsidRDefault="00640A69" w:rsidP="00640A69">
      <w:pPr>
        <w:pStyle w:val="CETReferencetext"/>
      </w:pPr>
      <w:r>
        <w:t>Fontana M., Marchesan A.N., Maciel Filho R., Wolf Maciel M.R., 2021, Extractive distillation to produce anhydrous bioethanol with choline chloride and urea (1:2) as a solvent: a comparative evaluation of equilibrium and rate-based models, Chemical Engineering and Processing – Process Intensification, 168, 108580, doi:10.1016/j.cep.2021.108580.</w:t>
      </w:r>
    </w:p>
    <w:p w14:paraId="0671A517" w14:textId="4AB9CD77" w:rsidR="00640A69" w:rsidRDefault="00640A69" w:rsidP="00640A69">
      <w:pPr>
        <w:pStyle w:val="CETReferencetext"/>
      </w:pPr>
      <w:r>
        <w:t>Graczová E., Steltenpohl P., 2015, Application of ionic liquids in extractive distillation of ethanol–water system, Chemical Engineering Transactions, 45, 1957–1962, doi:10.3303/CET1545327.</w:t>
      </w:r>
    </w:p>
    <w:p w14:paraId="65578946" w14:textId="4F448262" w:rsidR="00640A69" w:rsidRDefault="00640A69" w:rsidP="00640A69">
      <w:pPr>
        <w:pStyle w:val="CETReferencetext"/>
      </w:pPr>
      <w:r>
        <w:t>Jangir A.K., Bhawna B., Verma G., Pandey S.K., 2022, Design and thermophysical characterization of betaine hydrochloride-based deep eutectic solvents as a new platform for CO</w:t>
      </w:r>
      <w:r>
        <w:rPr>
          <w:rFonts w:ascii="Cambria Math" w:hAnsi="Cambria Math" w:cs="Cambria Math"/>
        </w:rPr>
        <w:t>₂</w:t>
      </w:r>
      <w:r>
        <w:t xml:space="preserve"> capture, New Journal of Chemistry, 46, 11, doi:10.1039/D1NJ05373F.</w:t>
      </w:r>
    </w:p>
    <w:p w14:paraId="56FB9F74" w14:textId="5835E35C" w:rsidR="00640A69" w:rsidRDefault="00640A69" w:rsidP="00640A69">
      <w:pPr>
        <w:pStyle w:val="CETReferencetext"/>
      </w:pPr>
      <w:r>
        <w:t>Karimi S., Yaraki M.T., Karri R.R., 2019, A comprehensive review of adsorption mechanisms and factors influencing the adsorption process from the perspective of bioethanol dehydration, Renewable and Sustainable Energy Reviews, 107, 535–553, doi:10.1016/j.rser.2019.03.017.</w:t>
      </w:r>
    </w:p>
    <w:p w14:paraId="2715C47D" w14:textId="53A2228F" w:rsidR="00640A69" w:rsidRDefault="00640A69" w:rsidP="00640A69">
      <w:pPr>
        <w:pStyle w:val="CETReferencetext"/>
      </w:pPr>
      <w:r>
        <w:t>Neubauer M., Wallek T., Lux S., 2022, Deep eutectic solvents as entrainers in extractive distillation – A review, Chemical Engineering Research and Design, 184, 402–418, doi:10.1016/j.cherd.2022.05.017.</w:t>
      </w:r>
    </w:p>
    <w:p w14:paraId="22647A57" w14:textId="47F45B0A" w:rsidR="00640A69" w:rsidRDefault="00640A69" w:rsidP="00640A69">
      <w:pPr>
        <w:pStyle w:val="CETReferencetext"/>
      </w:pPr>
      <w:r>
        <w:t>Peng Y., Lu X., Liu B., Zhu J., 2017, Separation of azeotropic mixtures (ethanol and water) enhanced by deep eutectic solvents, Fluid Phase Equilibria, 430, 1–7, doi:10.1016/j.fluid.2017.03.010.</w:t>
      </w:r>
    </w:p>
    <w:p w14:paraId="7C281662" w14:textId="5A5F4998" w:rsidR="00640A69" w:rsidRDefault="00640A69" w:rsidP="00640A69">
      <w:pPr>
        <w:pStyle w:val="CETReferencetext"/>
      </w:pPr>
      <w:r>
        <w:t>Rodríguez R.N., 2016, Azeotrope breaking using deep eutectic solvents, PhD Thesis, Technische Universiteit Eindhoven, Eindhoven, The Netherlands, available at: pure.tue.nl/ws/files/41303345/20161019_CO_RodriguezRodriguez.pdf (accessed 20.12.2025).</w:t>
      </w:r>
    </w:p>
    <w:p w14:paraId="3957CBA2" w14:textId="28EF9887" w:rsidR="006B4888" w:rsidRPr="000D56D6" w:rsidRDefault="00640A69" w:rsidP="00640A69">
      <w:pPr>
        <w:pStyle w:val="CETReferencetext"/>
      </w:pPr>
      <w:r>
        <w:t>Sazali A.L., AlMasoud N., Amran S.K., Alshammari A., Alotaibi M., 2023, Physicochemical and thermal characteristics of choline chloride-based deep eutectic solvents, Chemosphere, 338, 139485, doi:10.1016/j.chemosphere.2023.139485.</w:t>
      </w:r>
    </w:p>
    <w:p w14:paraId="782BCE14" w14:textId="5A334574" w:rsidR="004628D2" w:rsidRPr="00D515DE" w:rsidRDefault="004628D2" w:rsidP="00D515DE">
      <w:pPr>
        <w:pStyle w:val="NormalWeb"/>
        <w:rPr>
          <w:rFonts w:cs="Arial"/>
          <w:color w:val="000000" w:themeColor="text1"/>
          <w:sz w:val="18"/>
          <w:szCs w:val="18"/>
          <w:lang w:val="en-US" w:eastAsia="fr-FR"/>
        </w:rPr>
      </w:pPr>
    </w:p>
    <w:sectPr w:rsidR="004628D2" w:rsidRPr="00D515DE" w:rsidSect="008314D7">
      <w:type w:val="continuous"/>
      <w:pgSz w:w="11906" w:h="16838" w:code="9"/>
      <w:pgMar w:top="1701" w:right="1418" w:bottom="1701" w:left="1701" w:header="1701" w:footer="0" w:gutter="0"/>
      <w:cols w:space="708"/>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2BB9B45" w16cex:dateUtc="2026-01-21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44A0F1" w16cid:durableId="2D276650"/>
  <w16cid:commentId w16cid:paraId="398E9180" w16cid:durableId="2D27669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37D5E" w14:textId="77777777" w:rsidR="005662A8" w:rsidRDefault="005662A8" w:rsidP="004F5E36">
      <w:r>
        <w:separator/>
      </w:r>
    </w:p>
  </w:endnote>
  <w:endnote w:type="continuationSeparator" w:id="0">
    <w:p w14:paraId="163ABAD4" w14:textId="77777777" w:rsidR="005662A8" w:rsidRDefault="005662A8"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E5FB1" w14:textId="77777777" w:rsidR="005662A8" w:rsidRDefault="005662A8" w:rsidP="004F5E36">
      <w:r>
        <w:separator/>
      </w:r>
    </w:p>
  </w:footnote>
  <w:footnote w:type="continuationSeparator" w:id="0">
    <w:p w14:paraId="1F8F8848" w14:textId="77777777" w:rsidR="005662A8" w:rsidRDefault="005662A8" w:rsidP="004F5E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1CDC68FD"/>
    <w:multiLevelType w:val="hybridMultilevel"/>
    <w:tmpl w:val="E4F8A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932B5D"/>
    <w:multiLevelType w:val="multilevel"/>
    <w:tmpl w:val="B4189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284A4BD7"/>
    <w:multiLevelType w:val="hybridMultilevel"/>
    <w:tmpl w:val="95AED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DE2E2C"/>
    <w:multiLevelType w:val="multilevel"/>
    <w:tmpl w:val="37AC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155F8"/>
    <w:multiLevelType w:val="multilevel"/>
    <w:tmpl w:val="8B5C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D116F01"/>
    <w:multiLevelType w:val="multilevel"/>
    <w:tmpl w:val="8F82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C558A0"/>
    <w:multiLevelType w:val="hybridMultilevel"/>
    <w:tmpl w:val="411A0E62"/>
    <w:lvl w:ilvl="0" w:tplc="D8246850">
      <w:start w:val="1"/>
      <w:numFmt w:val="lowerLetter"/>
      <w:lvlText w:val="(%1)"/>
      <w:lvlJc w:val="left"/>
      <w:pPr>
        <w:ind w:left="1008" w:hanging="360"/>
      </w:pPr>
      <w:rPr>
        <w:rFonts w:hint="default"/>
      </w:rPr>
    </w:lvl>
    <w:lvl w:ilvl="1" w:tplc="040C0019" w:tentative="1">
      <w:start w:val="1"/>
      <w:numFmt w:val="lowerLetter"/>
      <w:lvlText w:val="%2."/>
      <w:lvlJc w:val="left"/>
      <w:pPr>
        <w:ind w:left="1728" w:hanging="360"/>
      </w:pPr>
    </w:lvl>
    <w:lvl w:ilvl="2" w:tplc="040C001B" w:tentative="1">
      <w:start w:val="1"/>
      <w:numFmt w:val="lowerRoman"/>
      <w:lvlText w:val="%3."/>
      <w:lvlJc w:val="right"/>
      <w:pPr>
        <w:ind w:left="2448" w:hanging="180"/>
      </w:pPr>
    </w:lvl>
    <w:lvl w:ilvl="3" w:tplc="040C000F" w:tentative="1">
      <w:start w:val="1"/>
      <w:numFmt w:val="decimal"/>
      <w:lvlText w:val="%4."/>
      <w:lvlJc w:val="left"/>
      <w:pPr>
        <w:ind w:left="3168" w:hanging="360"/>
      </w:pPr>
    </w:lvl>
    <w:lvl w:ilvl="4" w:tplc="040C0019" w:tentative="1">
      <w:start w:val="1"/>
      <w:numFmt w:val="lowerLetter"/>
      <w:lvlText w:val="%5."/>
      <w:lvlJc w:val="left"/>
      <w:pPr>
        <w:ind w:left="3888" w:hanging="360"/>
      </w:pPr>
    </w:lvl>
    <w:lvl w:ilvl="5" w:tplc="040C001B" w:tentative="1">
      <w:start w:val="1"/>
      <w:numFmt w:val="lowerRoman"/>
      <w:lvlText w:val="%6."/>
      <w:lvlJc w:val="right"/>
      <w:pPr>
        <w:ind w:left="4608" w:hanging="180"/>
      </w:pPr>
    </w:lvl>
    <w:lvl w:ilvl="6" w:tplc="040C000F" w:tentative="1">
      <w:start w:val="1"/>
      <w:numFmt w:val="decimal"/>
      <w:lvlText w:val="%7."/>
      <w:lvlJc w:val="left"/>
      <w:pPr>
        <w:ind w:left="5328" w:hanging="360"/>
      </w:pPr>
    </w:lvl>
    <w:lvl w:ilvl="7" w:tplc="040C0019" w:tentative="1">
      <w:start w:val="1"/>
      <w:numFmt w:val="lowerLetter"/>
      <w:lvlText w:val="%8."/>
      <w:lvlJc w:val="left"/>
      <w:pPr>
        <w:ind w:left="6048" w:hanging="360"/>
      </w:pPr>
    </w:lvl>
    <w:lvl w:ilvl="8" w:tplc="040C001B" w:tentative="1">
      <w:start w:val="1"/>
      <w:numFmt w:val="lowerRoman"/>
      <w:lvlText w:val="%9."/>
      <w:lvlJc w:val="right"/>
      <w:pPr>
        <w:ind w:left="6768" w:hanging="180"/>
      </w:pPr>
    </w:lvl>
  </w:abstractNum>
  <w:abstractNum w:abstractNumId="22" w15:restartNumberingAfterBreak="0">
    <w:nsid w:val="4B0A0B22"/>
    <w:multiLevelType w:val="hybridMultilevel"/>
    <w:tmpl w:val="9968D8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EF25C23"/>
    <w:multiLevelType w:val="multilevel"/>
    <w:tmpl w:val="DEF0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7"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AA04DC0"/>
    <w:multiLevelType w:val="hybridMultilevel"/>
    <w:tmpl w:val="0C3EEE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E3B2BF0"/>
    <w:multiLevelType w:val="hybridMultilevel"/>
    <w:tmpl w:val="37C25E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1DA79AF"/>
    <w:multiLevelType w:val="hybridMultilevel"/>
    <w:tmpl w:val="ECAC0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6"/>
  </w:num>
  <w:num w:numId="13">
    <w:abstractNumId w:val="17"/>
  </w:num>
  <w:num w:numId="14">
    <w:abstractNumId w:val="27"/>
  </w:num>
  <w:num w:numId="15">
    <w:abstractNumId w:val="29"/>
  </w:num>
  <w:num w:numId="16">
    <w:abstractNumId w:val="28"/>
  </w:num>
  <w:num w:numId="17">
    <w:abstractNumId w:val="16"/>
  </w:num>
  <w:num w:numId="18">
    <w:abstractNumId w:val="17"/>
    <w:lvlOverride w:ilvl="0">
      <w:startOverride w:val="1"/>
    </w:lvlOverride>
  </w:num>
  <w:num w:numId="19">
    <w:abstractNumId w:val="25"/>
  </w:num>
  <w:num w:numId="20">
    <w:abstractNumId w:val="24"/>
  </w:num>
  <w:num w:numId="21">
    <w:abstractNumId w:val="19"/>
  </w:num>
  <w:num w:numId="22">
    <w:abstractNumId w:val="18"/>
  </w:num>
  <w:num w:numId="23">
    <w:abstractNumId w:val="20"/>
  </w:num>
  <w:num w:numId="24">
    <w:abstractNumId w:val="32"/>
  </w:num>
  <w:num w:numId="25">
    <w:abstractNumId w:val="22"/>
  </w:num>
  <w:num w:numId="26">
    <w:abstractNumId w:val="30"/>
  </w:num>
  <w:num w:numId="27">
    <w:abstractNumId w:val="13"/>
  </w:num>
  <w:num w:numId="28">
    <w:abstractNumId w:val="15"/>
  </w:num>
  <w:num w:numId="29">
    <w:abstractNumId w:val="23"/>
  </w:num>
  <w:num w:numId="30">
    <w:abstractNumId w:val="11"/>
  </w:num>
  <w:num w:numId="31">
    <w:abstractNumId w:val="14"/>
  </w:num>
  <w:num w:numId="32">
    <w:abstractNumId w:val="10"/>
  </w:num>
  <w:num w:numId="33">
    <w:abstractNumId w:val="21"/>
  </w:num>
  <w:num w:numId="34">
    <w:abstractNumId w:val="12"/>
  </w:num>
  <w:num w:numId="35">
    <w:abstractNumId w:val="31"/>
  </w:num>
  <w:num w:numId="36">
    <w:abstractNumId w:val="12"/>
  </w:num>
  <w:num w:numId="37">
    <w:abstractNumId w:val="12"/>
  </w:num>
  <w:num w:numId="38">
    <w:abstractNumId w:val="1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4E74"/>
    <w:rsid w:val="000052FB"/>
    <w:rsid w:val="00005884"/>
    <w:rsid w:val="00005A19"/>
    <w:rsid w:val="00007493"/>
    <w:rsid w:val="00010DB9"/>
    <w:rsid w:val="000117CB"/>
    <w:rsid w:val="000230B8"/>
    <w:rsid w:val="0003148D"/>
    <w:rsid w:val="00031EEC"/>
    <w:rsid w:val="0003350C"/>
    <w:rsid w:val="00035D4B"/>
    <w:rsid w:val="00042EFB"/>
    <w:rsid w:val="00050737"/>
    <w:rsid w:val="00050E6F"/>
    <w:rsid w:val="00051566"/>
    <w:rsid w:val="00052ECA"/>
    <w:rsid w:val="000562A9"/>
    <w:rsid w:val="00062A9A"/>
    <w:rsid w:val="000631F7"/>
    <w:rsid w:val="00065058"/>
    <w:rsid w:val="00086C39"/>
    <w:rsid w:val="00094500"/>
    <w:rsid w:val="000A03B2"/>
    <w:rsid w:val="000A6611"/>
    <w:rsid w:val="000B36DE"/>
    <w:rsid w:val="000B714F"/>
    <w:rsid w:val="000B73E2"/>
    <w:rsid w:val="000C1059"/>
    <w:rsid w:val="000C3BCD"/>
    <w:rsid w:val="000D0268"/>
    <w:rsid w:val="000D0F62"/>
    <w:rsid w:val="000D34BE"/>
    <w:rsid w:val="000E102F"/>
    <w:rsid w:val="000E36F1"/>
    <w:rsid w:val="000E3A73"/>
    <w:rsid w:val="000E414A"/>
    <w:rsid w:val="000E4E66"/>
    <w:rsid w:val="000E75FD"/>
    <w:rsid w:val="000F093C"/>
    <w:rsid w:val="000F3E15"/>
    <w:rsid w:val="000F787B"/>
    <w:rsid w:val="00100391"/>
    <w:rsid w:val="00101F02"/>
    <w:rsid w:val="0010572D"/>
    <w:rsid w:val="00116872"/>
    <w:rsid w:val="0012091F"/>
    <w:rsid w:val="00124AAD"/>
    <w:rsid w:val="001269C6"/>
    <w:rsid w:val="00126BC2"/>
    <w:rsid w:val="001308B6"/>
    <w:rsid w:val="0013121F"/>
    <w:rsid w:val="00131FE6"/>
    <w:rsid w:val="0013263F"/>
    <w:rsid w:val="001331DF"/>
    <w:rsid w:val="00134DE4"/>
    <w:rsid w:val="0014034D"/>
    <w:rsid w:val="00140FE3"/>
    <w:rsid w:val="00144D16"/>
    <w:rsid w:val="00150261"/>
    <w:rsid w:val="00150E59"/>
    <w:rsid w:val="00152DE3"/>
    <w:rsid w:val="00157F7A"/>
    <w:rsid w:val="00160AA9"/>
    <w:rsid w:val="00164CF9"/>
    <w:rsid w:val="001654BE"/>
    <w:rsid w:val="001667A6"/>
    <w:rsid w:val="00176C49"/>
    <w:rsid w:val="001812CB"/>
    <w:rsid w:val="00184AD6"/>
    <w:rsid w:val="001904B9"/>
    <w:rsid w:val="00192932"/>
    <w:rsid w:val="001A4AF7"/>
    <w:rsid w:val="001A746C"/>
    <w:rsid w:val="001B0349"/>
    <w:rsid w:val="001B1E93"/>
    <w:rsid w:val="001B50A1"/>
    <w:rsid w:val="001B620C"/>
    <w:rsid w:val="001B65C1"/>
    <w:rsid w:val="001C260F"/>
    <w:rsid w:val="001C33F1"/>
    <w:rsid w:val="001C684B"/>
    <w:rsid w:val="001D05FD"/>
    <w:rsid w:val="001D0CFB"/>
    <w:rsid w:val="001D21AF"/>
    <w:rsid w:val="001D53FC"/>
    <w:rsid w:val="001F42A5"/>
    <w:rsid w:val="001F54E6"/>
    <w:rsid w:val="001F7B9D"/>
    <w:rsid w:val="00201911"/>
    <w:rsid w:val="00201C93"/>
    <w:rsid w:val="002160D4"/>
    <w:rsid w:val="002224B4"/>
    <w:rsid w:val="0022477B"/>
    <w:rsid w:val="00234D07"/>
    <w:rsid w:val="00240B19"/>
    <w:rsid w:val="002414B3"/>
    <w:rsid w:val="002447EF"/>
    <w:rsid w:val="00251550"/>
    <w:rsid w:val="00251F59"/>
    <w:rsid w:val="00263B05"/>
    <w:rsid w:val="0027221A"/>
    <w:rsid w:val="00273784"/>
    <w:rsid w:val="00275B61"/>
    <w:rsid w:val="00280FAF"/>
    <w:rsid w:val="00282656"/>
    <w:rsid w:val="002836A8"/>
    <w:rsid w:val="002846C2"/>
    <w:rsid w:val="002876B7"/>
    <w:rsid w:val="002908E7"/>
    <w:rsid w:val="002969E9"/>
    <w:rsid w:val="00296B83"/>
    <w:rsid w:val="002A133E"/>
    <w:rsid w:val="002A21CF"/>
    <w:rsid w:val="002B2068"/>
    <w:rsid w:val="002B4015"/>
    <w:rsid w:val="002B5554"/>
    <w:rsid w:val="002B5C01"/>
    <w:rsid w:val="002B78CE"/>
    <w:rsid w:val="002C2FB6"/>
    <w:rsid w:val="002D7328"/>
    <w:rsid w:val="002E2E90"/>
    <w:rsid w:val="002E5FA7"/>
    <w:rsid w:val="002E6013"/>
    <w:rsid w:val="002E7A9B"/>
    <w:rsid w:val="002F3309"/>
    <w:rsid w:val="003008CE"/>
    <w:rsid w:val="003009B7"/>
    <w:rsid w:val="00300E56"/>
    <w:rsid w:val="0030152C"/>
    <w:rsid w:val="00302CF3"/>
    <w:rsid w:val="0030469C"/>
    <w:rsid w:val="00321CA6"/>
    <w:rsid w:val="00323763"/>
    <w:rsid w:val="00323C5F"/>
    <w:rsid w:val="0032481E"/>
    <w:rsid w:val="0033013A"/>
    <w:rsid w:val="00330224"/>
    <w:rsid w:val="003321AA"/>
    <w:rsid w:val="00334C09"/>
    <w:rsid w:val="00340D3C"/>
    <w:rsid w:val="003506E2"/>
    <w:rsid w:val="00360C1B"/>
    <w:rsid w:val="00360DCC"/>
    <w:rsid w:val="003661E4"/>
    <w:rsid w:val="003723D4"/>
    <w:rsid w:val="0037535D"/>
    <w:rsid w:val="00381905"/>
    <w:rsid w:val="00382D4D"/>
    <w:rsid w:val="00384CC8"/>
    <w:rsid w:val="003871FD"/>
    <w:rsid w:val="00391C3B"/>
    <w:rsid w:val="0039287C"/>
    <w:rsid w:val="003A0D8B"/>
    <w:rsid w:val="003A1E30"/>
    <w:rsid w:val="003A2829"/>
    <w:rsid w:val="003A7D1C"/>
    <w:rsid w:val="003B304B"/>
    <w:rsid w:val="003B3146"/>
    <w:rsid w:val="003B4EA5"/>
    <w:rsid w:val="003C30D1"/>
    <w:rsid w:val="003C53B9"/>
    <w:rsid w:val="003D1E02"/>
    <w:rsid w:val="003D5938"/>
    <w:rsid w:val="003D638D"/>
    <w:rsid w:val="003D7FE5"/>
    <w:rsid w:val="003E00E0"/>
    <w:rsid w:val="003F015E"/>
    <w:rsid w:val="003F060B"/>
    <w:rsid w:val="00400414"/>
    <w:rsid w:val="0040344B"/>
    <w:rsid w:val="004104AC"/>
    <w:rsid w:val="00414460"/>
    <w:rsid w:val="0041446B"/>
    <w:rsid w:val="00423134"/>
    <w:rsid w:val="00423F14"/>
    <w:rsid w:val="00436199"/>
    <w:rsid w:val="0044071E"/>
    <w:rsid w:val="0044329C"/>
    <w:rsid w:val="00443479"/>
    <w:rsid w:val="0044710E"/>
    <w:rsid w:val="00453E24"/>
    <w:rsid w:val="0045484C"/>
    <w:rsid w:val="00457456"/>
    <w:rsid w:val="004577FE"/>
    <w:rsid w:val="0045794F"/>
    <w:rsid w:val="00457B9C"/>
    <w:rsid w:val="004607FF"/>
    <w:rsid w:val="0046164A"/>
    <w:rsid w:val="004628D2"/>
    <w:rsid w:val="00462DCD"/>
    <w:rsid w:val="004648AD"/>
    <w:rsid w:val="004703A9"/>
    <w:rsid w:val="004731EB"/>
    <w:rsid w:val="004760DE"/>
    <w:rsid w:val="004763D7"/>
    <w:rsid w:val="00484A7E"/>
    <w:rsid w:val="00493EF4"/>
    <w:rsid w:val="004A004E"/>
    <w:rsid w:val="004A24CF"/>
    <w:rsid w:val="004A4955"/>
    <w:rsid w:val="004A5E57"/>
    <w:rsid w:val="004B7130"/>
    <w:rsid w:val="004C194F"/>
    <w:rsid w:val="004C3D1D"/>
    <w:rsid w:val="004C3D84"/>
    <w:rsid w:val="004C7913"/>
    <w:rsid w:val="004E4DD6"/>
    <w:rsid w:val="004E7F89"/>
    <w:rsid w:val="004F59D4"/>
    <w:rsid w:val="004F5E36"/>
    <w:rsid w:val="005033DE"/>
    <w:rsid w:val="005056B0"/>
    <w:rsid w:val="00507B47"/>
    <w:rsid w:val="00507BEF"/>
    <w:rsid w:val="00507CC9"/>
    <w:rsid w:val="0051096A"/>
    <w:rsid w:val="005119A5"/>
    <w:rsid w:val="005278B7"/>
    <w:rsid w:val="00532016"/>
    <w:rsid w:val="0053204A"/>
    <w:rsid w:val="005346C8"/>
    <w:rsid w:val="00537538"/>
    <w:rsid w:val="00540D10"/>
    <w:rsid w:val="00543E7D"/>
    <w:rsid w:val="00547A68"/>
    <w:rsid w:val="005531C9"/>
    <w:rsid w:val="00554002"/>
    <w:rsid w:val="005662A8"/>
    <w:rsid w:val="00570C43"/>
    <w:rsid w:val="00584061"/>
    <w:rsid w:val="005921BC"/>
    <w:rsid w:val="00592274"/>
    <w:rsid w:val="0059502C"/>
    <w:rsid w:val="005A3E11"/>
    <w:rsid w:val="005A4904"/>
    <w:rsid w:val="005B2110"/>
    <w:rsid w:val="005B61E6"/>
    <w:rsid w:val="005B737C"/>
    <w:rsid w:val="005C77E1"/>
    <w:rsid w:val="005D668A"/>
    <w:rsid w:val="005D6A2F"/>
    <w:rsid w:val="005E0592"/>
    <w:rsid w:val="005E1A82"/>
    <w:rsid w:val="005E794C"/>
    <w:rsid w:val="005F0A28"/>
    <w:rsid w:val="005F0E5E"/>
    <w:rsid w:val="005F336F"/>
    <w:rsid w:val="00600535"/>
    <w:rsid w:val="00605365"/>
    <w:rsid w:val="00610CD6"/>
    <w:rsid w:val="006118F2"/>
    <w:rsid w:val="00615935"/>
    <w:rsid w:val="00616C6B"/>
    <w:rsid w:val="00620DEE"/>
    <w:rsid w:val="00621F92"/>
    <w:rsid w:val="0062280A"/>
    <w:rsid w:val="006231E1"/>
    <w:rsid w:val="00625639"/>
    <w:rsid w:val="00631B33"/>
    <w:rsid w:val="00633287"/>
    <w:rsid w:val="00640A69"/>
    <w:rsid w:val="0064184D"/>
    <w:rsid w:val="006422CC"/>
    <w:rsid w:val="00651D18"/>
    <w:rsid w:val="006532F0"/>
    <w:rsid w:val="006540FA"/>
    <w:rsid w:val="00656CCE"/>
    <w:rsid w:val="00660E3E"/>
    <w:rsid w:val="00662E74"/>
    <w:rsid w:val="00664F9F"/>
    <w:rsid w:val="0066799F"/>
    <w:rsid w:val="006771E5"/>
    <w:rsid w:val="00680C23"/>
    <w:rsid w:val="00683E23"/>
    <w:rsid w:val="00684B12"/>
    <w:rsid w:val="00691C0A"/>
    <w:rsid w:val="00693766"/>
    <w:rsid w:val="00697EF6"/>
    <w:rsid w:val="006A2516"/>
    <w:rsid w:val="006A3281"/>
    <w:rsid w:val="006B4888"/>
    <w:rsid w:val="006B51B0"/>
    <w:rsid w:val="006C166A"/>
    <w:rsid w:val="006C1A55"/>
    <w:rsid w:val="006C2E45"/>
    <w:rsid w:val="006C359C"/>
    <w:rsid w:val="006C5579"/>
    <w:rsid w:val="006D142B"/>
    <w:rsid w:val="006D6E8B"/>
    <w:rsid w:val="006D7209"/>
    <w:rsid w:val="006E1AA8"/>
    <w:rsid w:val="006E46BF"/>
    <w:rsid w:val="006E737D"/>
    <w:rsid w:val="006E7AE8"/>
    <w:rsid w:val="006F401F"/>
    <w:rsid w:val="006F6043"/>
    <w:rsid w:val="007004C8"/>
    <w:rsid w:val="00701131"/>
    <w:rsid w:val="00707DD1"/>
    <w:rsid w:val="00713973"/>
    <w:rsid w:val="00720A24"/>
    <w:rsid w:val="0072763F"/>
    <w:rsid w:val="00732386"/>
    <w:rsid w:val="0073514D"/>
    <w:rsid w:val="0073622B"/>
    <w:rsid w:val="00740EA4"/>
    <w:rsid w:val="007447F3"/>
    <w:rsid w:val="00751BA2"/>
    <w:rsid w:val="0075499F"/>
    <w:rsid w:val="0076013F"/>
    <w:rsid w:val="007617CC"/>
    <w:rsid w:val="00761B9A"/>
    <w:rsid w:val="007661C8"/>
    <w:rsid w:val="0077098D"/>
    <w:rsid w:val="00785BF9"/>
    <w:rsid w:val="007931FA"/>
    <w:rsid w:val="007A138D"/>
    <w:rsid w:val="007A4861"/>
    <w:rsid w:val="007A536E"/>
    <w:rsid w:val="007A7BBA"/>
    <w:rsid w:val="007B0C50"/>
    <w:rsid w:val="007B3FBA"/>
    <w:rsid w:val="007B48F9"/>
    <w:rsid w:val="007C1A43"/>
    <w:rsid w:val="007D0951"/>
    <w:rsid w:val="007F27C8"/>
    <w:rsid w:val="0080013E"/>
    <w:rsid w:val="00812655"/>
    <w:rsid w:val="00813288"/>
    <w:rsid w:val="008168FC"/>
    <w:rsid w:val="00820041"/>
    <w:rsid w:val="0082342F"/>
    <w:rsid w:val="00830333"/>
    <w:rsid w:val="00830996"/>
    <w:rsid w:val="008314D7"/>
    <w:rsid w:val="008345F1"/>
    <w:rsid w:val="00860401"/>
    <w:rsid w:val="00865B07"/>
    <w:rsid w:val="008667EA"/>
    <w:rsid w:val="00870540"/>
    <w:rsid w:val="0087637F"/>
    <w:rsid w:val="008800BE"/>
    <w:rsid w:val="00883755"/>
    <w:rsid w:val="00892AD5"/>
    <w:rsid w:val="008A1512"/>
    <w:rsid w:val="008A37F4"/>
    <w:rsid w:val="008B3C96"/>
    <w:rsid w:val="008C6245"/>
    <w:rsid w:val="008D32B9"/>
    <w:rsid w:val="008D433B"/>
    <w:rsid w:val="008D4A16"/>
    <w:rsid w:val="008E209A"/>
    <w:rsid w:val="008E45BC"/>
    <w:rsid w:val="008E566E"/>
    <w:rsid w:val="008E661A"/>
    <w:rsid w:val="0090161A"/>
    <w:rsid w:val="00901EB6"/>
    <w:rsid w:val="009041F8"/>
    <w:rsid w:val="00904706"/>
    <w:rsid w:val="00904C62"/>
    <w:rsid w:val="009122F9"/>
    <w:rsid w:val="00917907"/>
    <w:rsid w:val="00922BA8"/>
    <w:rsid w:val="00922E6F"/>
    <w:rsid w:val="00924DAC"/>
    <w:rsid w:val="00927058"/>
    <w:rsid w:val="00927B4D"/>
    <w:rsid w:val="00931309"/>
    <w:rsid w:val="009338AD"/>
    <w:rsid w:val="00933F72"/>
    <w:rsid w:val="009345D4"/>
    <w:rsid w:val="00942750"/>
    <w:rsid w:val="009450CE"/>
    <w:rsid w:val="009459BB"/>
    <w:rsid w:val="00947179"/>
    <w:rsid w:val="0095164B"/>
    <w:rsid w:val="00953665"/>
    <w:rsid w:val="00954090"/>
    <w:rsid w:val="0095544B"/>
    <w:rsid w:val="009573E7"/>
    <w:rsid w:val="009626B7"/>
    <w:rsid w:val="00963E05"/>
    <w:rsid w:val="00964A45"/>
    <w:rsid w:val="00965ABA"/>
    <w:rsid w:val="00967843"/>
    <w:rsid w:val="00967D54"/>
    <w:rsid w:val="00971028"/>
    <w:rsid w:val="009754CA"/>
    <w:rsid w:val="00977A0A"/>
    <w:rsid w:val="0098138D"/>
    <w:rsid w:val="009828EB"/>
    <w:rsid w:val="00982B6E"/>
    <w:rsid w:val="00984480"/>
    <w:rsid w:val="00993B84"/>
    <w:rsid w:val="00996483"/>
    <w:rsid w:val="00996F5A"/>
    <w:rsid w:val="009B041A"/>
    <w:rsid w:val="009C37C3"/>
    <w:rsid w:val="009C5915"/>
    <w:rsid w:val="009C7C86"/>
    <w:rsid w:val="009D2FF7"/>
    <w:rsid w:val="009D5656"/>
    <w:rsid w:val="009D7877"/>
    <w:rsid w:val="009D78A9"/>
    <w:rsid w:val="009E6C99"/>
    <w:rsid w:val="009E7884"/>
    <w:rsid w:val="009E788A"/>
    <w:rsid w:val="009F04D7"/>
    <w:rsid w:val="009F0E08"/>
    <w:rsid w:val="009F289B"/>
    <w:rsid w:val="009F55A9"/>
    <w:rsid w:val="00A079AE"/>
    <w:rsid w:val="00A1763D"/>
    <w:rsid w:val="00A17CEC"/>
    <w:rsid w:val="00A26CBB"/>
    <w:rsid w:val="00A27EF0"/>
    <w:rsid w:val="00A42361"/>
    <w:rsid w:val="00A42B28"/>
    <w:rsid w:val="00A50A9C"/>
    <w:rsid w:val="00A50B20"/>
    <w:rsid w:val="00A51390"/>
    <w:rsid w:val="00A60D13"/>
    <w:rsid w:val="00A64985"/>
    <w:rsid w:val="00A664B3"/>
    <w:rsid w:val="00A67BB8"/>
    <w:rsid w:val="00A7223D"/>
    <w:rsid w:val="00A72745"/>
    <w:rsid w:val="00A74204"/>
    <w:rsid w:val="00A76EFC"/>
    <w:rsid w:val="00A85DE0"/>
    <w:rsid w:val="00A87D50"/>
    <w:rsid w:val="00A91010"/>
    <w:rsid w:val="00A97F29"/>
    <w:rsid w:val="00AA2243"/>
    <w:rsid w:val="00AA702E"/>
    <w:rsid w:val="00AA7D26"/>
    <w:rsid w:val="00AB0964"/>
    <w:rsid w:val="00AB457C"/>
    <w:rsid w:val="00AB5011"/>
    <w:rsid w:val="00AB567B"/>
    <w:rsid w:val="00AC6C0E"/>
    <w:rsid w:val="00AC7368"/>
    <w:rsid w:val="00AD0278"/>
    <w:rsid w:val="00AD16B9"/>
    <w:rsid w:val="00AD54EE"/>
    <w:rsid w:val="00AD5FB2"/>
    <w:rsid w:val="00AE377D"/>
    <w:rsid w:val="00AE3941"/>
    <w:rsid w:val="00AF01C3"/>
    <w:rsid w:val="00AF0EBA"/>
    <w:rsid w:val="00AF41DE"/>
    <w:rsid w:val="00B02C8A"/>
    <w:rsid w:val="00B04627"/>
    <w:rsid w:val="00B121D5"/>
    <w:rsid w:val="00B15CEE"/>
    <w:rsid w:val="00B17FBD"/>
    <w:rsid w:val="00B2376C"/>
    <w:rsid w:val="00B3054E"/>
    <w:rsid w:val="00B315A6"/>
    <w:rsid w:val="00B31813"/>
    <w:rsid w:val="00B33365"/>
    <w:rsid w:val="00B34DB9"/>
    <w:rsid w:val="00B47DFB"/>
    <w:rsid w:val="00B53831"/>
    <w:rsid w:val="00B57B36"/>
    <w:rsid w:val="00B57E6F"/>
    <w:rsid w:val="00B652FA"/>
    <w:rsid w:val="00B81724"/>
    <w:rsid w:val="00B82AB4"/>
    <w:rsid w:val="00B8485A"/>
    <w:rsid w:val="00B8686D"/>
    <w:rsid w:val="00B93F69"/>
    <w:rsid w:val="00BB1DDC"/>
    <w:rsid w:val="00BC30C9"/>
    <w:rsid w:val="00BD077D"/>
    <w:rsid w:val="00BD1C69"/>
    <w:rsid w:val="00BE3E58"/>
    <w:rsid w:val="00BF4CB6"/>
    <w:rsid w:val="00C01616"/>
    <w:rsid w:val="00C0162B"/>
    <w:rsid w:val="00C068ED"/>
    <w:rsid w:val="00C15A79"/>
    <w:rsid w:val="00C15E99"/>
    <w:rsid w:val="00C208E9"/>
    <w:rsid w:val="00C22E0C"/>
    <w:rsid w:val="00C345B1"/>
    <w:rsid w:val="00C40142"/>
    <w:rsid w:val="00C4014E"/>
    <w:rsid w:val="00C5141A"/>
    <w:rsid w:val="00C52C3C"/>
    <w:rsid w:val="00C57182"/>
    <w:rsid w:val="00C577EC"/>
    <w:rsid w:val="00C57863"/>
    <w:rsid w:val="00C640AF"/>
    <w:rsid w:val="00C655FD"/>
    <w:rsid w:val="00C66970"/>
    <w:rsid w:val="00C75407"/>
    <w:rsid w:val="00C80B11"/>
    <w:rsid w:val="00C841C6"/>
    <w:rsid w:val="00C870A8"/>
    <w:rsid w:val="00C94434"/>
    <w:rsid w:val="00CA0D75"/>
    <w:rsid w:val="00CA1C95"/>
    <w:rsid w:val="00CA5A9C"/>
    <w:rsid w:val="00CB38EC"/>
    <w:rsid w:val="00CB5236"/>
    <w:rsid w:val="00CC4B12"/>
    <w:rsid w:val="00CC4C20"/>
    <w:rsid w:val="00CD148F"/>
    <w:rsid w:val="00CD3517"/>
    <w:rsid w:val="00CD5FE2"/>
    <w:rsid w:val="00CE7C68"/>
    <w:rsid w:val="00D02B4C"/>
    <w:rsid w:val="00D040C4"/>
    <w:rsid w:val="00D11E6A"/>
    <w:rsid w:val="00D1444D"/>
    <w:rsid w:val="00D20AD1"/>
    <w:rsid w:val="00D2330E"/>
    <w:rsid w:val="00D2582C"/>
    <w:rsid w:val="00D264A1"/>
    <w:rsid w:val="00D42913"/>
    <w:rsid w:val="00D46B7E"/>
    <w:rsid w:val="00D515DE"/>
    <w:rsid w:val="00D57C84"/>
    <w:rsid w:val="00D6057D"/>
    <w:rsid w:val="00D60FE8"/>
    <w:rsid w:val="00D71640"/>
    <w:rsid w:val="00D77CBE"/>
    <w:rsid w:val="00D836C5"/>
    <w:rsid w:val="00D84576"/>
    <w:rsid w:val="00DA1399"/>
    <w:rsid w:val="00DA24C6"/>
    <w:rsid w:val="00DA4D7B"/>
    <w:rsid w:val="00DB3EB7"/>
    <w:rsid w:val="00DD271C"/>
    <w:rsid w:val="00DD3496"/>
    <w:rsid w:val="00DD3648"/>
    <w:rsid w:val="00DD4273"/>
    <w:rsid w:val="00DE1801"/>
    <w:rsid w:val="00DE264A"/>
    <w:rsid w:val="00DE37AB"/>
    <w:rsid w:val="00DE47BC"/>
    <w:rsid w:val="00DF5072"/>
    <w:rsid w:val="00DF5776"/>
    <w:rsid w:val="00DF5813"/>
    <w:rsid w:val="00E02D18"/>
    <w:rsid w:val="00E04016"/>
    <w:rsid w:val="00E041E7"/>
    <w:rsid w:val="00E23CA1"/>
    <w:rsid w:val="00E378F4"/>
    <w:rsid w:val="00E409A8"/>
    <w:rsid w:val="00E47D61"/>
    <w:rsid w:val="00E50C12"/>
    <w:rsid w:val="00E52A76"/>
    <w:rsid w:val="00E64E9B"/>
    <w:rsid w:val="00E65B91"/>
    <w:rsid w:val="00E7209D"/>
    <w:rsid w:val="00E72EAD"/>
    <w:rsid w:val="00E77223"/>
    <w:rsid w:val="00E81A83"/>
    <w:rsid w:val="00E8528B"/>
    <w:rsid w:val="00E85B94"/>
    <w:rsid w:val="00E864AE"/>
    <w:rsid w:val="00E90388"/>
    <w:rsid w:val="00E92336"/>
    <w:rsid w:val="00E93F32"/>
    <w:rsid w:val="00E978D0"/>
    <w:rsid w:val="00EA0A80"/>
    <w:rsid w:val="00EA3EF9"/>
    <w:rsid w:val="00EA4613"/>
    <w:rsid w:val="00EA7F91"/>
    <w:rsid w:val="00EB1523"/>
    <w:rsid w:val="00EC0E49"/>
    <w:rsid w:val="00EC101F"/>
    <w:rsid w:val="00EC1D9F"/>
    <w:rsid w:val="00ED21CA"/>
    <w:rsid w:val="00ED2C8F"/>
    <w:rsid w:val="00ED306B"/>
    <w:rsid w:val="00EE0131"/>
    <w:rsid w:val="00EE17B0"/>
    <w:rsid w:val="00EF06D9"/>
    <w:rsid w:val="00EF0982"/>
    <w:rsid w:val="00EF2005"/>
    <w:rsid w:val="00F126A5"/>
    <w:rsid w:val="00F2097D"/>
    <w:rsid w:val="00F24D9F"/>
    <w:rsid w:val="00F3049E"/>
    <w:rsid w:val="00F30C64"/>
    <w:rsid w:val="00F32BA2"/>
    <w:rsid w:val="00F32CDB"/>
    <w:rsid w:val="00F3348F"/>
    <w:rsid w:val="00F37280"/>
    <w:rsid w:val="00F41EE4"/>
    <w:rsid w:val="00F43B60"/>
    <w:rsid w:val="00F53A73"/>
    <w:rsid w:val="00F565FE"/>
    <w:rsid w:val="00F614F0"/>
    <w:rsid w:val="00F63A70"/>
    <w:rsid w:val="00F63D8C"/>
    <w:rsid w:val="00F64BFC"/>
    <w:rsid w:val="00F7534E"/>
    <w:rsid w:val="00F93EDF"/>
    <w:rsid w:val="00F94AB2"/>
    <w:rsid w:val="00FA1802"/>
    <w:rsid w:val="00FA21D0"/>
    <w:rsid w:val="00FA52A3"/>
    <w:rsid w:val="00FA5BBC"/>
    <w:rsid w:val="00FA5F5F"/>
    <w:rsid w:val="00FA7FEC"/>
    <w:rsid w:val="00FB730C"/>
    <w:rsid w:val="00FC2695"/>
    <w:rsid w:val="00FC3E03"/>
    <w:rsid w:val="00FC3FC1"/>
    <w:rsid w:val="00FC4509"/>
    <w:rsid w:val="00FC5882"/>
    <w:rsid w:val="00FD3AB6"/>
    <w:rsid w:val="00FE4E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F12239"/>
  <w15:docId w15:val="{0E07175E-3A0F-48BC-B89E-D81C9BD2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9F289B"/>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Fontepargpadro"/>
    <w:rsid w:val="00005A19"/>
  </w:style>
  <w:style w:type="character" w:customStyle="1" w:styleId="math-inline">
    <w:name w:val="math-inline"/>
    <w:basedOn w:val="Fontepargpadro"/>
    <w:rsid w:val="007A138D"/>
  </w:style>
  <w:style w:type="paragraph" w:styleId="Reviso">
    <w:name w:val="Revision"/>
    <w:hidden/>
    <w:uiPriority w:val="99"/>
    <w:semiHidden/>
    <w:rsid w:val="00F24D9F"/>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94513">
      <w:bodyDiv w:val="1"/>
      <w:marLeft w:val="0"/>
      <w:marRight w:val="0"/>
      <w:marTop w:val="0"/>
      <w:marBottom w:val="0"/>
      <w:divBdr>
        <w:top w:val="none" w:sz="0" w:space="0" w:color="auto"/>
        <w:left w:val="none" w:sz="0" w:space="0" w:color="auto"/>
        <w:bottom w:val="none" w:sz="0" w:space="0" w:color="auto"/>
        <w:right w:val="none" w:sz="0" w:space="0" w:color="auto"/>
      </w:divBdr>
    </w:div>
    <w:div w:id="302084068">
      <w:bodyDiv w:val="1"/>
      <w:marLeft w:val="0"/>
      <w:marRight w:val="0"/>
      <w:marTop w:val="0"/>
      <w:marBottom w:val="0"/>
      <w:divBdr>
        <w:top w:val="none" w:sz="0" w:space="0" w:color="auto"/>
        <w:left w:val="none" w:sz="0" w:space="0" w:color="auto"/>
        <w:bottom w:val="none" w:sz="0" w:space="0" w:color="auto"/>
        <w:right w:val="none" w:sz="0" w:space="0" w:color="auto"/>
      </w:divBdr>
      <w:divsChild>
        <w:div w:id="717317074">
          <w:marLeft w:val="0"/>
          <w:marRight w:val="0"/>
          <w:marTop w:val="0"/>
          <w:marBottom w:val="0"/>
          <w:divBdr>
            <w:top w:val="none" w:sz="0" w:space="0" w:color="auto"/>
            <w:left w:val="none" w:sz="0" w:space="0" w:color="auto"/>
            <w:bottom w:val="none" w:sz="0" w:space="0" w:color="auto"/>
            <w:right w:val="none" w:sz="0" w:space="0" w:color="auto"/>
          </w:divBdr>
          <w:divsChild>
            <w:div w:id="2071220784">
              <w:marLeft w:val="0"/>
              <w:marRight w:val="0"/>
              <w:marTop w:val="0"/>
              <w:marBottom w:val="0"/>
              <w:divBdr>
                <w:top w:val="none" w:sz="0" w:space="0" w:color="auto"/>
                <w:left w:val="none" w:sz="0" w:space="0" w:color="auto"/>
                <w:bottom w:val="none" w:sz="0" w:space="0" w:color="auto"/>
                <w:right w:val="none" w:sz="0" w:space="0" w:color="auto"/>
              </w:divBdr>
              <w:divsChild>
                <w:div w:id="1619407652">
                  <w:marLeft w:val="0"/>
                  <w:marRight w:val="0"/>
                  <w:marTop w:val="0"/>
                  <w:marBottom w:val="0"/>
                  <w:divBdr>
                    <w:top w:val="none" w:sz="0" w:space="0" w:color="auto"/>
                    <w:left w:val="none" w:sz="0" w:space="0" w:color="auto"/>
                    <w:bottom w:val="none" w:sz="0" w:space="0" w:color="auto"/>
                    <w:right w:val="none" w:sz="0" w:space="0" w:color="auto"/>
                  </w:divBdr>
                  <w:divsChild>
                    <w:div w:id="76052007">
                      <w:marLeft w:val="0"/>
                      <w:marRight w:val="0"/>
                      <w:marTop w:val="0"/>
                      <w:marBottom w:val="0"/>
                      <w:divBdr>
                        <w:top w:val="none" w:sz="0" w:space="0" w:color="auto"/>
                        <w:left w:val="none" w:sz="0" w:space="0" w:color="auto"/>
                        <w:bottom w:val="none" w:sz="0" w:space="0" w:color="auto"/>
                        <w:right w:val="none" w:sz="0" w:space="0" w:color="auto"/>
                      </w:divBdr>
                      <w:divsChild>
                        <w:div w:id="1364360134">
                          <w:marLeft w:val="0"/>
                          <w:marRight w:val="0"/>
                          <w:marTop w:val="0"/>
                          <w:marBottom w:val="0"/>
                          <w:divBdr>
                            <w:top w:val="none" w:sz="0" w:space="0" w:color="auto"/>
                            <w:left w:val="none" w:sz="0" w:space="0" w:color="auto"/>
                            <w:bottom w:val="none" w:sz="0" w:space="0" w:color="auto"/>
                            <w:right w:val="none" w:sz="0" w:space="0" w:color="auto"/>
                          </w:divBdr>
                          <w:divsChild>
                            <w:div w:id="1540773816">
                              <w:marLeft w:val="0"/>
                              <w:marRight w:val="0"/>
                              <w:marTop w:val="0"/>
                              <w:marBottom w:val="240"/>
                              <w:divBdr>
                                <w:top w:val="none" w:sz="0" w:space="0" w:color="auto"/>
                                <w:left w:val="none" w:sz="0" w:space="0" w:color="auto"/>
                                <w:bottom w:val="none" w:sz="0" w:space="0" w:color="auto"/>
                                <w:right w:val="none" w:sz="0" w:space="0" w:color="auto"/>
                              </w:divBdr>
                              <w:divsChild>
                                <w:div w:id="1050307841">
                                  <w:marLeft w:val="0"/>
                                  <w:marRight w:val="0"/>
                                  <w:marTop w:val="0"/>
                                  <w:marBottom w:val="0"/>
                                  <w:divBdr>
                                    <w:top w:val="none" w:sz="0" w:space="0" w:color="auto"/>
                                    <w:left w:val="none" w:sz="0" w:space="0" w:color="auto"/>
                                    <w:bottom w:val="none" w:sz="0" w:space="0" w:color="auto"/>
                                    <w:right w:val="none" w:sz="0" w:space="0" w:color="auto"/>
                                  </w:divBdr>
                                  <w:divsChild>
                                    <w:div w:id="401760578">
                                      <w:marLeft w:val="0"/>
                                      <w:marRight w:val="0"/>
                                      <w:marTop w:val="0"/>
                                      <w:marBottom w:val="0"/>
                                      <w:divBdr>
                                        <w:top w:val="none" w:sz="0" w:space="0" w:color="auto"/>
                                        <w:left w:val="none" w:sz="0" w:space="0" w:color="auto"/>
                                        <w:bottom w:val="none" w:sz="0" w:space="0" w:color="auto"/>
                                        <w:right w:val="none" w:sz="0" w:space="0" w:color="auto"/>
                                      </w:divBdr>
                                      <w:divsChild>
                                        <w:div w:id="794912976">
                                          <w:marLeft w:val="0"/>
                                          <w:marRight w:val="0"/>
                                          <w:marTop w:val="0"/>
                                          <w:marBottom w:val="0"/>
                                          <w:divBdr>
                                            <w:top w:val="none" w:sz="0" w:space="0" w:color="auto"/>
                                            <w:left w:val="none" w:sz="0" w:space="0" w:color="auto"/>
                                            <w:bottom w:val="none" w:sz="0" w:space="0" w:color="auto"/>
                                            <w:right w:val="none" w:sz="0" w:space="0" w:color="auto"/>
                                          </w:divBdr>
                                          <w:divsChild>
                                            <w:div w:id="678895683">
                                              <w:marLeft w:val="0"/>
                                              <w:marRight w:val="0"/>
                                              <w:marTop w:val="0"/>
                                              <w:marBottom w:val="0"/>
                                              <w:divBdr>
                                                <w:top w:val="none" w:sz="0" w:space="0" w:color="auto"/>
                                                <w:left w:val="none" w:sz="0" w:space="0" w:color="auto"/>
                                                <w:bottom w:val="none" w:sz="0" w:space="0" w:color="auto"/>
                                                <w:right w:val="none" w:sz="0" w:space="0" w:color="auto"/>
                                              </w:divBdr>
                                              <w:divsChild>
                                                <w:div w:id="1460800117">
                                                  <w:marLeft w:val="0"/>
                                                  <w:marRight w:val="0"/>
                                                  <w:marTop w:val="0"/>
                                                  <w:marBottom w:val="0"/>
                                                  <w:divBdr>
                                                    <w:top w:val="none" w:sz="0" w:space="0" w:color="auto"/>
                                                    <w:left w:val="none" w:sz="0" w:space="0" w:color="auto"/>
                                                    <w:bottom w:val="none" w:sz="0" w:space="0" w:color="auto"/>
                                                    <w:right w:val="none" w:sz="0" w:space="0" w:color="auto"/>
                                                  </w:divBdr>
                                                  <w:divsChild>
                                                    <w:div w:id="105125101">
                                                      <w:marLeft w:val="0"/>
                                                      <w:marRight w:val="0"/>
                                                      <w:marTop w:val="0"/>
                                                      <w:marBottom w:val="0"/>
                                                      <w:divBdr>
                                                        <w:top w:val="none" w:sz="0" w:space="0" w:color="auto"/>
                                                        <w:left w:val="none" w:sz="0" w:space="0" w:color="auto"/>
                                                        <w:bottom w:val="none" w:sz="0" w:space="0" w:color="auto"/>
                                                        <w:right w:val="none" w:sz="0" w:space="0" w:color="auto"/>
                                                      </w:divBdr>
                                                      <w:divsChild>
                                                        <w:div w:id="604770195">
                                                          <w:marLeft w:val="0"/>
                                                          <w:marRight w:val="0"/>
                                                          <w:marTop w:val="0"/>
                                                          <w:marBottom w:val="0"/>
                                                          <w:divBdr>
                                                            <w:top w:val="none" w:sz="0" w:space="0" w:color="auto"/>
                                                            <w:left w:val="none" w:sz="0" w:space="0" w:color="auto"/>
                                                            <w:bottom w:val="none" w:sz="0" w:space="0" w:color="auto"/>
                                                            <w:right w:val="none" w:sz="0" w:space="0" w:color="auto"/>
                                                          </w:divBdr>
                                                          <w:divsChild>
                                                            <w:div w:id="1657682982">
                                                              <w:marLeft w:val="0"/>
                                                              <w:marRight w:val="0"/>
                                                              <w:marTop w:val="0"/>
                                                              <w:marBottom w:val="0"/>
                                                              <w:divBdr>
                                                                <w:top w:val="none" w:sz="0" w:space="0" w:color="auto"/>
                                                                <w:left w:val="none" w:sz="0" w:space="0" w:color="auto"/>
                                                                <w:bottom w:val="none" w:sz="0" w:space="0" w:color="auto"/>
                                                                <w:right w:val="none" w:sz="0" w:space="0" w:color="auto"/>
                                                              </w:divBdr>
                                                              <w:divsChild>
                                                                <w:div w:id="167327020">
                                                                  <w:marLeft w:val="0"/>
                                                                  <w:marRight w:val="0"/>
                                                                  <w:marTop w:val="0"/>
                                                                  <w:marBottom w:val="0"/>
                                                                  <w:divBdr>
                                                                    <w:top w:val="none" w:sz="0" w:space="0" w:color="auto"/>
                                                                    <w:left w:val="none" w:sz="0" w:space="0" w:color="auto"/>
                                                                    <w:bottom w:val="none" w:sz="0" w:space="0" w:color="auto"/>
                                                                    <w:right w:val="none" w:sz="0" w:space="0" w:color="auto"/>
                                                                  </w:divBdr>
                                                                  <w:divsChild>
                                                                    <w:div w:id="1745908200">
                                                                      <w:marLeft w:val="0"/>
                                                                      <w:marRight w:val="0"/>
                                                                      <w:marTop w:val="0"/>
                                                                      <w:marBottom w:val="0"/>
                                                                      <w:divBdr>
                                                                        <w:top w:val="none" w:sz="0" w:space="0" w:color="auto"/>
                                                                        <w:left w:val="none" w:sz="0" w:space="0" w:color="auto"/>
                                                                        <w:bottom w:val="none" w:sz="0" w:space="0" w:color="auto"/>
                                                                        <w:right w:val="none" w:sz="0" w:space="0" w:color="auto"/>
                                                                      </w:divBdr>
                                                                      <w:divsChild>
                                                                        <w:div w:id="616061851">
                                                                          <w:marLeft w:val="0"/>
                                                                          <w:marRight w:val="0"/>
                                                                          <w:marTop w:val="0"/>
                                                                          <w:marBottom w:val="0"/>
                                                                          <w:divBdr>
                                                                            <w:top w:val="none" w:sz="0" w:space="0" w:color="auto"/>
                                                                            <w:left w:val="none" w:sz="0" w:space="0" w:color="auto"/>
                                                                            <w:bottom w:val="none" w:sz="0" w:space="0" w:color="auto"/>
                                                                            <w:right w:val="none" w:sz="0" w:space="0" w:color="auto"/>
                                                                          </w:divBdr>
                                                                          <w:divsChild>
                                                                            <w:div w:id="2120827689">
                                                                              <w:marLeft w:val="0"/>
                                                                              <w:marRight w:val="0"/>
                                                                              <w:marTop w:val="0"/>
                                                                              <w:marBottom w:val="0"/>
                                                                              <w:divBdr>
                                                                                <w:top w:val="none" w:sz="0" w:space="0" w:color="auto"/>
                                                                                <w:left w:val="none" w:sz="0" w:space="0" w:color="auto"/>
                                                                                <w:bottom w:val="none" w:sz="0" w:space="0" w:color="auto"/>
                                                                                <w:right w:val="none" w:sz="0" w:space="0" w:color="auto"/>
                                                                              </w:divBdr>
                                                                              <w:divsChild>
                                                                                <w:div w:id="1899247329">
                                                                                  <w:marLeft w:val="0"/>
                                                                                  <w:marRight w:val="0"/>
                                                                                  <w:marTop w:val="0"/>
                                                                                  <w:marBottom w:val="0"/>
                                                                                  <w:divBdr>
                                                                                    <w:top w:val="none" w:sz="0" w:space="0" w:color="auto"/>
                                                                                    <w:left w:val="none" w:sz="0" w:space="0" w:color="auto"/>
                                                                                    <w:bottom w:val="none" w:sz="0" w:space="0" w:color="auto"/>
                                                                                    <w:right w:val="none" w:sz="0" w:space="0" w:color="auto"/>
                                                                                  </w:divBdr>
                                                                                  <w:divsChild>
                                                                                    <w:div w:id="512573637">
                                                                                      <w:marLeft w:val="0"/>
                                                                                      <w:marRight w:val="0"/>
                                                                                      <w:marTop w:val="0"/>
                                                                                      <w:marBottom w:val="0"/>
                                                                                      <w:divBdr>
                                                                                        <w:top w:val="single" w:sz="2" w:space="0" w:color="EFEFEF"/>
                                                                                        <w:left w:val="none" w:sz="0" w:space="0" w:color="auto"/>
                                                                                        <w:bottom w:val="none" w:sz="0" w:space="0" w:color="auto"/>
                                                                                        <w:right w:val="none" w:sz="0" w:space="0" w:color="auto"/>
                                                                                      </w:divBdr>
                                                                                      <w:divsChild>
                                                                                        <w:div w:id="1761292395">
                                                                                          <w:marLeft w:val="0"/>
                                                                                          <w:marRight w:val="0"/>
                                                                                          <w:marTop w:val="0"/>
                                                                                          <w:marBottom w:val="0"/>
                                                                                          <w:divBdr>
                                                                                            <w:top w:val="none" w:sz="0" w:space="0" w:color="auto"/>
                                                                                            <w:left w:val="none" w:sz="0" w:space="0" w:color="auto"/>
                                                                                            <w:bottom w:val="none" w:sz="0" w:space="0" w:color="auto"/>
                                                                                            <w:right w:val="none" w:sz="0" w:space="0" w:color="auto"/>
                                                                                          </w:divBdr>
                                                                                          <w:divsChild>
                                                                                            <w:div w:id="8723961">
                                                                                              <w:marLeft w:val="0"/>
                                                                                              <w:marRight w:val="0"/>
                                                                                              <w:marTop w:val="0"/>
                                                                                              <w:marBottom w:val="0"/>
                                                                                              <w:divBdr>
                                                                                                <w:top w:val="none" w:sz="0" w:space="0" w:color="auto"/>
                                                                                                <w:left w:val="none" w:sz="0" w:space="0" w:color="auto"/>
                                                                                                <w:bottom w:val="none" w:sz="0" w:space="0" w:color="auto"/>
                                                                                                <w:right w:val="none" w:sz="0" w:space="0" w:color="auto"/>
                                                                                              </w:divBdr>
                                                                                              <w:divsChild>
                                                                                                <w:div w:id="1257594930">
                                                                                                  <w:marLeft w:val="0"/>
                                                                                                  <w:marRight w:val="0"/>
                                                                                                  <w:marTop w:val="0"/>
                                                                                                  <w:marBottom w:val="0"/>
                                                                                                  <w:divBdr>
                                                                                                    <w:top w:val="none" w:sz="0" w:space="0" w:color="auto"/>
                                                                                                    <w:left w:val="none" w:sz="0" w:space="0" w:color="auto"/>
                                                                                                    <w:bottom w:val="none" w:sz="0" w:space="0" w:color="auto"/>
                                                                                                    <w:right w:val="none" w:sz="0" w:space="0" w:color="auto"/>
                                                                                                  </w:divBdr>
                                                                                                  <w:divsChild>
                                                                                                    <w:div w:id="1523743931">
                                                                                                      <w:marLeft w:val="0"/>
                                                                                                      <w:marRight w:val="0"/>
                                                                                                      <w:marTop w:val="0"/>
                                                                                                      <w:marBottom w:val="0"/>
                                                                                                      <w:divBdr>
                                                                                                        <w:top w:val="none" w:sz="0" w:space="0" w:color="auto"/>
                                                                                                        <w:left w:val="none" w:sz="0" w:space="0" w:color="auto"/>
                                                                                                        <w:bottom w:val="none" w:sz="0" w:space="0" w:color="auto"/>
                                                                                                        <w:right w:val="none" w:sz="0" w:space="0" w:color="auto"/>
                                                                                                      </w:divBdr>
                                                                                                      <w:divsChild>
                                                                                                        <w:div w:id="1581325564">
                                                                                                          <w:marLeft w:val="0"/>
                                                                                                          <w:marRight w:val="0"/>
                                                                                                          <w:marTop w:val="0"/>
                                                                                                          <w:marBottom w:val="0"/>
                                                                                                          <w:divBdr>
                                                                                                            <w:top w:val="none" w:sz="0" w:space="0" w:color="auto"/>
                                                                                                            <w:left w:val="none" w:sz="0" w:space="0" w:color="auto"/>
                                                                                                            <w:bottom w:val="none" w:sz="0" w:space="0" w:color="auto"/>
                                                                                                            <w:right w:val="none" w:sz="0" w:space="0" w:color="auto"/>
                                                                                                          </w:divBdr>
                                                                                                          <w:divsChild>
                                                                                                            <w:div w:id="130365289">
                                                                                                              <w:marLeft w:val="0"/>
                                                                                                              <w:marRight w:val="0"/>
                                                                                                              <w:marTop w:val="0"/>
                                                                                                              <w:marBottom w:val="0"/>
                                                                                                              <w:divBdr>
                                                                                                                <w:top w:val="none" w:sz="0" w:space="0" w:color="auto"/>
                                                                                                                <w:left w:val="none" w:sz="0" w:space="0" w:color="auto"/>
                                                                                                                <w:bottom w:val="none" w:sz="0" w:space="0" w:color="auto"/>
                                                                                                                <w:right w:val="none" w:sz="0" w:space="0" w:color="auto"/>
                                                                                                              </w:divBdr>
                                                                                                              <w:divsChild>
                                                                                                                <w:div w:id="548107826">
                                                                                                                  <w:marLeft w:val="0"/>
                                                                                                                  <w:marRight w:val="0"/>
                                                                                                                  <w:marTop w:val="0"/>
                                                                                                                  <w:marBottom w:val="0"/>
                                                                                                                  <w:divBdr>
                                                                                                                    <w:top w:val="none" w:sz="0" w:space="0" w:color="auto"/>
                                                                                                                    <w:left w:val="none" w:sz="0" w:space="0" w:color="auto"/>
                                                                                                                    <w:bottom w:val="none" w:sz="0" w:space="0" w:color="auto"/>
                                                                                                                    <w:right w:val="none" w:sz="0" w:space="0" w:color="auto"/>
                                                                                                                  </w:divBdr>
                                                                                                                  <w:divsChild>
                                                                                                                    <w:div w:id="571086687">
                                                                                                                      <w:marLeft w:val="0"/>
                                                                                                                      <w:marRight w:val="0"/>
                                                                                                                      <w:marTop w:val="120"/>
                                                                                                                      <w:marBottom w:val="0"/>
                                                                                                                      <w:divBdr>
                                                                                                                        <w:top w:val="none" w:sz="0" w:space="0" w:color="auto"/>
                                                                                                                        <w:left w:val="none" w:sz="0" w:space="0" w:color="auto"/>
                                                                                                                        <w:bottom w:val="none" w:sz="0" w:space="0" w:color="auto"/>
                                                                                                                        <w:right w:val="none" w:sz="0" w:space="0" w:color="auto"/>
                                                                                                                      </w:divBdr>
                                                                                                                      <w:divsChild>
                                                                                                                        <w:div w:id="1194611765">
                                                                                                                          <w:marLeft w:val="0"/>
                                                                                                                          <w:marRight w:val="0"/>
                                                                                                                          <w:marTop w:val="0"/>
                                                                                                                          <w:marBottom w:val="0"/>
                                                                                                                          <w:divBdr>
                                                                                                                            <w:top w:val="none" w:sz="0" w:space="0" w:color="auto"/>
                                                                                                                            <w:left w:val="none" w:sz="0" w:space="0" w:color="auto"/>
                                                                                                                            <w:bottom w:val="none" w:sz="0" w:space="0" w:color="auto"/>
                                                                                                                            <w:right w:val="none" w:sz="0" w:space="0" w:color="auto"/>
                                                                                                                          </w:divBdr>
                                                                                                                          <w:divsChild>
                                                                                                                            <w:div w:id="1350329433">
                                                                                                                              <w:marLeft w:val="0"/>
                                                                                                                              <w:marRight w:val="0"/>
                                                                                                                              <w:marTop w:val="0"/>
                                                                                                                              <w:marBottom w:val="0"/>
                                                                                                                              <w:divBdr>
                                                                                                                                <w:top w:val="none" w:sz="0" w:space="0" w:color="auto"/>
                                                                                                                                <w:left w:val="none" w:sz="0" w:space="0" w:color="auto"/>
                                                                                                                                <w:bottom w:val="none" w:sz="0" w:space="0" w:color="auto"/>
                                                                                                                                <w:right w:val="none" w:sz="0" w:space="0" w:color="auto"/>
                                                                                                                              </w:divBdr>
                                                                                                                              <w:divsChild>
                                                                                                                                <w:div w:id="490098992">
                                                                                                                                  <w:marLeft w:val="0"/>
                                                                                                                                  <w:marRight w:val="0"/>
                                                                                                                                  <w:marTop w:val="0"/>
                                                                                                                                  <w:marBottom w:val="0"/>
                                                                                                                                  <w:divBdr>
                                                                                                                                    <w:top w:val="none" w:sz="0" w:space="0" w:color="auto"/>
                                                                                                                                    <w:left w:val="none" w:sz="0" w:space="0" w:color="auto"/>
                                                                                                                                    <w:bottom w:val="none" w:sz="0" w:space="0" w:color="auto"/>
                                                                                                                                    <w:right w:val="none" w:sz="0" w:space="0" w:color="auto"/>
                                                                                                                                  </w:divBdr>
                                                                                                                                  <w:divsChild>
                                                                                                                                    <w:div w:id="1400904997">
                                                                                                                                      <w:marLeft w:val="0"/>
                                                                                                                                      <w:marRight w:val="0"/>
                                                                                                                                      <w:marTop w:val="0"/>
                                                                                                                                      <w:marBottom w:val="0"/>
                                                                                                                                      <w:divBdr>
                                                                                                                                        <w:top w:val="none" w:sz="0" w:space="0" w:color="auto"/>
                                                                                                                                        <w:left w:val="none" w:sz="0" w:space="0" w:color="auto"/>
                                                                                                                                        <w:bottom w:val="none" w:sz="0" w:space="0" w:color="auto"/>
                                                                                                                                        <w:right w:val="none" w:sz="0" w:space="0" w:color="auto"/>
                                                                                                                                      </w:divBdr>
                                                                                                                                      <w:divsChild>
                                                                                                                                        <w:div w:id="386146625">
                                                                                                                                          <w:marLeft w:val="0"/>
                                                                                                                                          <w:marRight w:val="0"/>
                                                                                                                                          <w:marTop w:val="0"/>
                                                                                                                                          <w:marBottom w:val="0"/>
                                                                                                                                          <w:divBdr>
                                                                                                                                            <w:top w:val="none" w:sz="0" w:space="0" w:color="auto"/>
                                                                                                                                            <w:left w:val="none" w:sz="0" w:space="0" w:color="auto"/>
                                                                                                                                            <w:bottom w:val="none" w:sz="0" w:space="0" w:color="auto"/>
                                                                                                                                            <w:right w:val="none" w:sz="0" w:space="0" w:color="auto"/>
                                                                                                                                          </w:divBdr>
                                                                                                                                          <w:divsChild>
                                                                                                                                            <w:div w:id="716006070">
                                                                                                                                              <w:marLeft w:val="0"/>
                                                                                                                                              <w:marRight w:val="0"/>
                                                                                                                                              <w:marTop w:val="0"/>
                                                                                                                                              <w:marBottom w:val="0"/>
                                                                                                                                              <w:divBdr>
                                                                                                                                                <w:top w:val="none" w:sz="0" w:space="0" w:color="auto"/>
                                                                                                                                                <w:left w:val="none" w:sz="0" w:space="0" w:color="auto"/>
                                                                                                                                                <w:bottom w:val="none" w:sz="0" w:space="0" w:color="auto"/>
                                                                                                                                                <w:right w:val="none" w:sz="0" w:space="0" w:color="auto"/>
                                                                                                                                              </w:divBdr>
                                                                                                                                              <w:divsChild>
                                                                                                                                                <w:div w:id="21422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2505">
                                                                                                                                      <w:marLeft w:val="0"/>
                                                                                                                                      <w:marRight w:val="0"/>
                                                                                                                                      <w:marTop w:val="0"/>
                                                                                                                                      <w:marBottom w:val="0"/>
                                                                                                                                      <w:divBdr>
                                                                                                                                        <w:top w:val="none" w:sz="0" w:space="0" w:color="auto"/>
                                                                                                                                        <w:left w:val="none" w:sz="0" w:space="0" w:color="auto"/>
                                                                                                                                        <w:bottom w:val="none" w:sz="0" w:space="0" w:color="auto"/>
                                                                                                                                        <w:right w:val="none" w:sz="0" w:space="0" w:color="auto"/>
                                                                                                                                      </w:divBdr>
                                                                                                                                    </w:div>
                                                                                                                                    <w:div w:id="1778331393">
                                                                                                                                      <w:marLeft w:val="0"/>
                                                                                                                                      <w:marRight w:val="0"/>
                                                                                                                                      <w:marTop w:val="0"/>
                                                                                                                                      <w:marBottom w:val="0"/>
                                                                                                                                      <w:divBdr>
                                                                                                                                        <w:top w:val="none" w:sz="0" w:space="0" w:color="auto"/>
                                                                                                                                        <w:left w:val="none" w:sz="0" w:space="0" w:color="auto"/>
                                                                                                                                        <w:bottom w:val="none" w:sz="0" w:space="0" w:color="auto"/>
                                                                                                                                        <w:right w:val="none" w:sz="0" w:space="0" w:color="auto"/>
                                                                                                                                      </w:divBdr>
                                                                                                                                    </w:div>
                                                                                                                                    <w:div w:id="261496044">
                                                                                                                                      <w:marLeft w:val="0"/>
                                                                                                                                      <w:marRight w:val="0"/>
                                                                                                                                      <w:marTop w:val="0"/>
                                                                                                                                      <w:marBottom w:val="0"/>
                                                                                                                                      <w:divBdr>
                                                                                                                                        <w:top w:val="none" w:sz="0" w:space="0" w:color="auto"/>
                                                                                                                                        <w:left w:val="none" w:sz="0" w:space="0" w:color="auto"/>
                                                                                                                                        <w:bottom w:val="none" w:sz="0" w:space="0" w:color="auto"/>
                                                                                                                                        <w:right w:val="none" w:sz="0" w:space="0" w:color="auto"/>
                                                                                                                                      </w:divBdr>
                                                                                                                                      <w:divsChild>
                                                                                                                                        <w:div w:id="13722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245364">
                                                                                                          <w:marLeft w:val="0"/>
                                                                                                          <w:marRight w:val="0"/>
                                                                                                          <w:marTop w:val="0"/>
                                                                                                          <w:marBottom w:val="0"/>
                                                                                                          <w:divBdr>
                                                                                                            <w:top w:val="none" w:sz="0" w:space="0" w:color="auto"/>
                                                                                                            <w:left w:val="none" w:sz="0" w:space="0" w:color="auto"/>
                                                                                                            <w:bottom w:val="none" w:sz="0" w:space="0" w:color="auto"/>
                                                                                                            <w:right w:val="none" w:sz="0" w:space="0" w:color="auto"/>
                                                                                                          </w:divBdr>
                                                                                                          <w:divsChild>
                                                                                                            <w:div w:id="1520461730">
                                                                                                              <w:marLeft w:val="0"/>
                                                                                                              <w:marRight w:val="0"/>
                                                                                                              <w:marTop w:val="0"/>
                                                                                                              <w:marBottom w:val="0"/>
                                                                                                              <w:divBdr>
                                                                                                                <w:top w:val="none" w:sz="0" w:space="0" w:color="auto"/>
                                                                                                                <w:left w:val="none" w:sz="0" w:space="0" w:color="auto"/>
                                                                                                                <w:bottom w:val="none" w:sz="0" w:space="0" w:color="auto"/>
                                                                                                                <w:right w:val="none" w:sz="0" w:space="0" w:color="auto"/>
                                                                                                              </w:divBdr>
                                                                                                              <w:divsChild>
                                                                                                                <w:div w:id="1689718240">
                                                                                                                  <w:marLeft w:val="0"/>
                                                                                                                  <w:marRight w:val="0"/>
                                                                                                                  <w:marTop w:val="0"/>
                                                                                                                  <w:marBottom w:val="0"/>
                                                                                                                  <w:divBdr>
                                                                                                                    <w:top w:val="none" w:sz="0" w:space="0" w:color="auto"/>
                                                                                                                    <w:left w:val="none" w:sz="0" w:space="0" w:color="auto"/>
                                                                                                                    <w:bottom w:val="none" w:sz="0" w:space="0" w:color="auto"/>
                                                                                                                    <w:right w:val="none" w:sz="0" w:space="0" w:color="auto"/>
                                                                                                                  </w:divBdr>
                                                                                                                  <w:divsChild>
                                                                                                                    <w:div w:id="1823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7653805">
      <w:bodyDiv w:val="1"/>
      <w:marLeft w:val="0"/>
      <w:marRight w:val="0"/>
      <w:marTop w:val="0"/>
      <w:marBottom w:val="0"/>
      <w:divBdr>
        <w:top w:val="none" w:sz="0" w:space="0" w:color="auto"/>
        <w:left w:val="none" w:sz="0" w:space="0" w:color="auto"/>
        <w:bottom w:val="none" w:sz="0" w:space="0" w:color="auto"/>
        <w:right w:val="none" w:sz="0" w:space="0" w:color="auto"/>
      </w:divBdr>
    </w:div>
    <w:div w:id="396439483">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7120">
      <w:bodyDiv w:val="1"/>
      <w:marLeft w:val="0"/>
      <w:marRight w:val="0"/>
      <w:marTop w:val="0"/>
      <w:marBottom w:val="0"/>
      <w:divBdr>
        <w:top w:val="none" w:sz="0" w:space="0" w:color="auto"/>
        <w:left w:val="none" w:sz="0" w:space="0" w:color="auto"/>
        <w:bottom w:val="none" w:sz="0" w:space="0" w:color="auto"/>
        <w:right w:val="none" w:sz="0" w:space="0" w:color="auto"/>
      </w:divBdr>
    </w:div>
    <w:div w:id="1212304447">
      <w:bodyDiv w:val="1"/>
      <w:marLeft w:val="0"/>
      <w:marRight w:val="0"/>
      <w:marTop w:val="0"/>
      <w:marBottom w:val="0"/>
      <w:divBdr>
        <w:top w:val="none" w:sz="0" w:space="0" w:color="auto"/>
        <w:left w:val="none" w:sz="0" w:space="0" w:color="auto"/>
        <w:bottom w:val="none" w:sz="0" w:space="0" w:color="auto"/>
        <w:right w:val="none" w:sz="0" w:space="0" w:color="auto"/>
      </w:divBdr>
    </w:div>
    <w:div w:id="1288197333">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67870042">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53674800">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52155">
      <w:bodyDiv w:val="1"/>
      <w:marLeft w:val="0"/>
      <w:marRight w:val="0"/>
      <w:marTop w:val="0"/>
      <w:marBottom w:val="0"/>
      <w:divBdr>
        <w:top w:val="none" w:sz="0" w:space="0" w:color="auto"/>
        <w:left w:val="none" w:sz="0" w:space="0" w:color="auto"/>
        <w:bottom w:val="none" w:sz="0" w:space="0" w:color="auto"/>
        <w:right w:val="none" w:sz="0" w:space="0" w:color="auto"/>
      </w:divBdr>
    </w:div>
    <w:div w:id="2086950650">
      <w:bodyDiv w:val="1"/>
      <w:marLeft w:val="0"/>
      <w:marRight w:val="0"/>
      <w:marTop w:val="0"/>
      <w:marBottom w:val="0"/>
      <w:divBdr>
        <w:top w:val="none" w:sz="0" w:space="0" w:color="auto"/>
        <w:left w:val="none" w:sz="0" w:space="0" w:color="auto"/>
        <w:bottom w:val="none" w:sz="0" w:space="0" w:color="auto"/>
        <w:right w:val="none" w:sz="0" w:space="0" w:color="auto"/>
      </w:divBdr>
      <w:divsChild>
        <w:div w:id="1095789968">
          <w:marLeft w:val="0"/>
          <w:marRight w:val="0"/>
          <w:marTop w:val="0"/>
          <w:marBottom w:val="0"/>
          <w:divBdr>
            <w:top w:val="none" w:sz="0" w:space="0" w:color="auto"/>
            <w:left w:val="none" w:sz="0" w:space="0" w:color="auto"/>
            <w:bottom w:val="none" w:sz="0" w:space="0" w:color="auto"/>
            <w:right w:val="none" w:sz="0" w:space="0" w:color="auto"/>
          </w:divBdr>
          <w:divsChild>
            <w:div w:id="1664237217">
              <w:marLeft w:val="0"/>
              <w:marRight w:val="0"/>
              <w:marTop w:val="0"/>
              <w:marBottom w:val="0"/>
              <w:divBdr>
                <w:top w:val="none" w:sz="0" w:space="0" w:color="auto"/>
                <w:left w:val="none" w:sz="0" w:space="0" w:color="auto"/>
                <w:bottom w:val="none" w:sz="0" w:space="0" w:color="auto"/>
                <w:right w:val="none" w:sz="0" w:space="0" w:color="auto"/>
              </w:divBdr>
              <w:divsChild>
                <w:div w:id="1071972717">
                  <w:blockQuote w:val="1"/>
                  <w:marLeft w:val="225"/>
                  <w:marRight w:val="0"/>
                  <w:marTop w:val="0"/>
                  <w:marBottom w:val="0"/>
                  <w:divBdr>
                    <w:top w:val="none" w:sz="0" w:space="0" w:color="auto"/>
                    <w:left w:val="none" w:sz="0" w:space="0" w:color="auto"/>
                    <w:bottom w:val="none" w:sz="0" w:space="0" w:color="auto"/>
                    <w:right w:val="none" w:sz="0" w:space="0" w:color="auto"/>
                  </w:divBdr>
                </w:div>
                <w:div w:id="1214536620">
                  <w:blockQuote w:val="1"/>
                  <w:marLeft w:val="225"/>
                  <w:marRight w:val="0"/>
                  <w:marTop w:val="0"/>
                  <w:marBottom w:val="0"/>
                  <w:divBdr>
                    <w:top w:val="none" w:sz="0" w:space="0" w:color="auto"/>
                    <w:left w:val="none" w:sz="0" w:space="0" w:color="auto"/>
                    <w:bottom w:val="none" w:sz="0" w:space="0" w:color="auto"/>
                    <w:right w:val="none" w:sz="0" w:space="0" w:color="auto"/>
                  </w:divBdr>
                </w:div>
                <w:div w:id="18266225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57386314">
          <w:marLeft w:val="0"/>
          <w:marRight w:val="0"/>
          <w:marTop w:val="0"/>
          <w:marBottom w:val="0"/>
          <w:divBdr>
            <w:top w:val="none" w:sz="0" w:space="0" w:color="auto"/>
            <w:left w:val="none" w:sz="0" w:space="0" w:color="auto"/>
            <w:bottom w:val="none" w:sz="0" w:space="0" w:color="auto"/>
            <w:right w:val="none" w:sz="0" w:space="0" w:color="auto"/>
          </w:divBdr>
          <w:divsChild>
            <w:div w:id="1491291311">
              <w:marLeft w:val="0"/>
              <w:marRight w:val="0"/>
              <w:marTop w:val="0"/>
              <w:marBottom w:val="0"/>
              <w:divBdr>
                <w:top w:val="none" w:sz="0" w:space="0" w:color="auto"/>
                <w:left w:val="none" w:sz="0" w:space="0" w:color="auto"/>
                <w:bottom w:val="none" w:sz="0" w:space="0" w:color="auto"/>
                <w:right w:val="none" w:sz="0" w:space="0" w:color="auto"/>
              </w:divBdr>
            </w:div>
          </w:divsChild>
        </w:div>
        <w:div w:id="881787421">
          <w:marLeft w:val="0"/>
          <w:marRight w:val="0"/>
          <w:marTop w:val="0"/>
          <w:marBottom w:val="0"/>
          <w:divBdr>
            <w:top w:val="none" w:sz="0" w:space="0" w:color="auto"/>
            <w:left w:val="none" w:sz="0" w:space="0" w:color="auto"/>
            <w:bottom w:val="none" w:sz="0" w:space="0" w:color="auto"/>
            <w:right w:val="none" w:sz="0" w:space="0" w:color="auto"/>
          </w:divBdr>
          <w:divsChild>
            <w:div w:id="1402219691">
              <w:marLeft w:val="0"/>
              <w:marRight w:val="0"/>
              <w:marTop w:val="0"/>
              <w:marBottom w:val="0"/>
              <w:divBdr>
                <w:top w:val="none" w:sz="0" w:space="0" w:color="auto"/>
                <w:left w:val="none" w:sz="0" w:space="0" w:color="auto"/>
                <w:bottom w:val="none" w:sz="0" w:space="0" w:color="auto"/>
                <w:right w:val="none" w:sz="0" w:space="0" w:color="auto"/>
              </w:divBdr>
            </w:div>
          </w:divsChild>
        </w:div>
        <w:div w:id="370038203">
          <w:marLeft w:val="0"/>
          <w:marRight w:val="0"/>
          <w:marTop w:val="0"/>
          <w:marBottom w:val="0"/>
          <w:divBdr>
            <w:top w:val="none" w:sz="0" w:space="0" w:color="auto"/>
            <w:left w:val="none" w:sz="0" w:space="0" w:color="auto"/>
            <w:bottom w:val="none" w:sz="0" w:space="0" w:color="auto"/>
            <w:right w:val="none" w:sz="0" w:space="0" w:color="auto"/>
          </w:divBdr>
          <w:divsChild>
            <w:div w:id="6707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0D779E7EB894EB542BEBDCCE61257" ma:contentTypeVersion="5" ma:contentTypeDescription="Crée un document." ma:contentTypeScope="" ma:versionID="63e75870a936ffa4fb3d0f58d3eff72a">
  <xsd:schema xmlns:xsd="http://www.w3.org/2001/XMLSchema" xmlns:xs="http://www.w3.org/2001/XMLSchema" xmlns:p="http://schemas.microsoft.com/office/2006/metadata/properties" xmlns:ns3="c64dc287-dfaa-47c3-a8d6-45ffa43c15ea" targetNamespace="http://schemas.microsoft.com/office/2006/metadata/properties" ma:root="true" ma:fieldsID="e183442d8ae9b9ac4fe12f058eae5505" ns3:_="">
    <xsd:import namespace="c64dc287-dfaa-47c3-a8d6-45ffa43c15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dc287-dfaa-47c3-a8d6-45ffa43c15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64dc287-dfaa-47c3-a8d6-45ffa43c15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83912-8F29-464C-8F5B-7C8177AED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dc287-dfaa-47c3-a8d6-45ffa43c1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F1E88-9514-4C99-B57E-6CEEE7CF8200}">
  <ds:schemaRefs>
    <ds:schemaRef ds:uri="http://schemas.microsoft.com/office/2006/metadata/properties"/>
    <ds:schemaRef ds:uri="http://schemas.microsoft.com/office/infopath/2007/PartnerControls"/>
    <ds:schemaRef ds:uri="c64dc287-dfaa-47c3-a8d6-45ffa43c15ea"/>
  </ds:schemaRefs>
</ds:datastoreItem>
</file>

<file path=customXml/itemProps3.xml><?xml version="1.0" encoding="utf-8"?>
<ds:datastoreItem xmlns:ds="http://schemas.openxmlformats.org/officeDocument/2006/customXml" ds:itemID="{2A985DA6-4AB4-46E9-98AE-CFFA247C2F85}">
  <ds:schemaRefs>
    <ds:schemaRef ds:uri="http://schemas.microsoft.com/sharepoint/v3/contenttype/forms"/>
  </ds:schemaRefs>
</ds:datastoreItem>
</file>

<file path=customXml/itemProps4.xml><?xml version="1.0" encoding="utf-8"?>
<ds:datastoreItem xmlns:ds="http://schemas.openxmlformats.org/officeDocument/2006/customXml" ds:itemID="{7D27B5A1-8BA5-4710-8F0A-12A03C37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3634</Words>
  <Characters>19988</Characters>
  <Application>Microsoft Office Word</Application>
  <DocSecurity>0</DocSecurity>
  <Lines>166</Lines>
  <Paragraphs>47</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Júlia Maciel</cp:lastModifiedBy>
  <cp:revision>2</cp:revision>
  <cp:lastPrinted>2026-01-30T19:38:00Z</cp:lastPrinted>
  <dcterms:created xsi:type="dcterms:W3CDTF">2026-03-24T18:43:00Z</dcterms:created>
  <dcterms:modified xsi:type="dcterms:W3CDTF">2026-03-24T18:43:00Z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ontentTypeId">
    <vt:lpwstr>0x010100BCC0D779E7EB894EB542BEBDCCE61257</vt:lpwstr>
  </property>
  <property fmtid="{D5CDD505-2E9C-101B-9397-08002B2CF9AE}" pid="5" name="GrammarlyDocumentId">
    <vt:lpwstr>c18ebabb-a51d-4f56-b2c4-1c10a8a03f8e</vt:lpwstr>
  </property>
</Properties>
</file>