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2A131A54" w14:textId="77777777" w:rsidTr="00DE264A">
        <w:trPr>
          <w:trHeight w:val="852"/>
          <w:jc w:val="center"/>
        </w:trPr>
        <w:tc>
          <w:tcPr>
            <w:tcW w:w="6946" w:type="dxa"/>
            <w:vMerge w:val="restart"/>
            <w:tcBorders>
              <w:right w:val="single" w:sz="4" w:space="0" w:color="auto"/>
            </w:tcBorders>
          </w:tcPr>
          <w:p w14:paraId="38C3D2BA" w14:textId="77777777" w:rsidR="000A03B2" w:rsidRPr="00B57B36" w:rsidRDefault="000A03B2" w:rsidP="00A8154A">
            <w:pPr>
              <w:tabs>
                <w:tab w:val="left" w:pos="-108"/>
              </w:tabs>
              <w:ind w:left="-108"/>
              <w:rPr>
                <w:rFonts w:cs="Arial"/>
                <w:b/>
                <w:bCs/>
                <w:i/>
                <w:iCs/>
                <w:color w:val="000066"/>
                <w:sz w:val="12"/>
                <w:szCs w:val="12"/>
                <w:lang w:eastAsia="it-IT"/>
              </w:rPr>
            </w:pPr>
            <w:r w:rsidRPr="00B57B36">
              <w:rPr>
                <w:rFonts w:ascii="AdvP6960" w:hAnsi="AdvP6960" w:cs="AdvP6960"/>
                <w:noProof/>
                <w:color w:val="241F20"/>
                <w:szCs w:val="18"/>
                <w:lang w:val="it-IT"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4B780582" w14:textId="0DAB3DDA" w:rsidR="000A03B2" w:rsidRPr="00B57B36" w:rsidRDefault="00A76EFC" w:rsidP="001D21AF">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 xml:space="preserve">VOL. </w:t>
            </w:r>
            <w:r w:rsidR="0030152C">
              <w:rPr>
                <w:rFonts w:cs="Arial"/>
                <w:b/>
                <w:bCs/>
                <w:i/>
                <w:iCs/>
                <w:color w:val="000066"/>
                <w:sz w:val="22"/>
                <w:szCs w:val="22"/>
                <w:lang w:eastAsia="it-IT"/>
              </w:rPr>
              <w:t xml:space="preserve"> </w:t>
            </w:r>
            <w:proofErr w:type="gramStart"/>
            <w:r w:rsidR="0030152C">
              <w:rPr>
                <w:rFonts w:cs="Arial"/>
                <w:b/>
                <w:bCs/>
                <w:i/>
                <w:iCs/>
                <w:color w:val="000066"/>
                <w:sz w:val="22"/>
                <w:szCs w:val="22"/>
                <w:lang w:eastAsia="it-IT"/>
              </w:rPr>
              <w:t xml:space="preserve">  </w:t>
            </w:r>
            <w:r w:rsidR="007B48F9">
              <w:rPr>
                <w:rFonts w:cs="Arial"/>
                <w:b/>
                <w:bCs/>
                <w:i/>
                <w:iCs/>
                <w:color w:val="000066"/>
                <w:sz w:val="22"/>
                <w:szCs w:val="22"/>
                <w:lang w:eastAsia="it-IT"/>
              </w:rPr>
              <w:t>,</w:t>
            </w:r>
            <w:proofErr w:type="gramEnd"/>
            <w:r w:rsidR="00FA5F5F">
              <w:rPr>
                <w:rFonts w:cs="Arial"/>
                <w:b/>
                <w:bCs/>
                <w:i/>
                <w:iCs/>
                <w:color w:val="000066"/>
                <w:sz w:val="22"/>
                <w:szCs w:val="22"/>
                <w:lang w:eastAsia="it-IT"/>
              </w:rPr>
              <w:t xml:space="preserve"> </w:t>
            </w:r>
            <w:r w:rsidR="0030152C">
              <w:rPr>
                <w:rFonts w:cs="Arial"/>
                <w:b/>
                <w:bCs/>
                <w:i/>
                <w:iCs/>
                <w:color w:val="000066"/>
                <w:sz w:val="22"/>
                <w:szCs w:val="22"/>
                <w:lang w:eastAsia="it-IT"/>
              </w:rPr>
              <w:t>202</w:t>
            </w:r>
            <w:r w:rsidR="00C24AF1">
              <w:rPr>
                <w:rFonts w:cs="Arial"/>
                <w:b/>
                <w:bCs/>
                <w:i/>
                <w:iCs/>
                <w:color w:val="000066"/>
                <w:sz w:val="22"/>
                <w:szCs w:val="22"/>
                <w:lang w:eastAsia="it-IT"/>
              </w:rPr>
              <w:t>5</w:t>
            </w:r>
          </w:p>
        </w:tc>
        <w:tc>
          <w:tcPr>
            <w:tcW w:w="1843" w:type="dxa"/>
            <w:tcBorders>
              <w:left w:val="single" w:sz="4" w:space="0" w:color="auto"/>
              <w:bottom w:val="nil"/>
              <w:right w:val="single" w:sz="4" w:space="0" w:color="auto"/>
            </w:tcBorders>
          </w:tcPr>
          <w:p w14:paraId="56782132"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599E5441" w14:textId="77777777" w:rsidR="000A03B2" w:rsidRPr="00B57B36" w:rsidRDefault="000A03B2" w:rsidP="00CD5FE2">
            <w:pPr>
              <w:jc w:val="right"/>
            </w:pPr>
            <w:r w:rsidRPr="00B57B36">
              <w:rPr>
                <w:noProof/>
                <w:lang w:val="it-IT"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380FA3CD" w14:textId="77777777" w:rsidTr="00DE264A">
        <w:trPr>
          <w:trHeight w:val="567"/>
          <w:jc w:val="center"/>
        </w:trPr>
        <w:tc>
          <w:tcPr>
            <w:tcW w:w="6946" w:type="dxa"/>
            <w:vMerge/>
            <w:tcBorders>
              <w:right w:val="single" w:sz="4" w:space="0" w:color="auto"/>
            </w:tcBorders>
          </w:tcPr>
          <w:p w14:paraId="39E5E4C1" w14:textId="77777777" w:rsidR="000A03B2" w:rsidRPr="00B57B36" w:rsidRDefault="000A03B2" w:rsidP="00CD5FE2">
            <w:pPr>
              <w:tabs>
                <w:tab w:val="left" w:pos="-108"/>
              </w:tabs>
            </w:pPr>
          </w:p>
        </w:tc>
        <w:tc>
          <w:tcPr>
            <w:tcW w:w="1843" w:type="dxa"/>
            <w:tcBorders>
              <w:left w:val="single" w:sz="4" w:space="0" w:color="auto"/>
              <w:bottom w:val="nil"/>
              <w:right w:val="single" w:sz="4" w:space="0" w:color="auto"/>
            </w:tcBorders>
          </w:tcPr>
          <w:p w14:paraId="43858A98"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7522B1D2"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4F0CC5DE" w14:textId="47FDB2FC" w:rsidR="000A03B2" w:rsidRPr="000D0268" w:rsidRDefault="000D0268" w:rsidP="00CD5FE2">
            <w:pPr>
              <w:spacing w:line="140" w:lineRule="atLeast"/>
              <w:jc w:val="right"/>
              <w:rPr>
                <w:rFonts w:cs="Arial"/>
                <w:sz w:val="13"/>
                <w:szCs w:val="13"/>
              </w:rPr>
            </w:pPr>
            <w:r w:rsidRPr="000D0268">
              <w:rPr>
                <w:rFonts w:cs="Arial"/>
                <w:sz w:val="13"/>
                <w:szCs w:val="13"/>
              </w:rPr>
              <w:t>Online at www.cetjournal.it</w:t>
            </w:r>
          </w:p>
        </w:tc>
      </w:tr>
      <w:tr w:rsidR="000A03B2" w:rsidRPr="00B57B36" w14:paraId="2D1B7169" w14:textId="77777777" w:rsidTr="00DE264A">
        <w:trPr>
          <w:trHeight w:val="68"/>
          <w:jc w:val="center"/>
        </w:trPr>
        <w:tc>
          <w:tcPr>
            <w:tcW w:w="8789" w:type="dxa"/>
            <w:gridSpan w:val="2"/>
          </w:tcPr>
          <w:p w14:paraId="1D8DD3C9" w14:textId="086598E2" w:rsidR="00AA7D26" w:rsidRPr="00F93EDF" w:rsidRDefault="00AA7D26" w:rsidP="00AA7D26">
            <w:pPr>
              <w:ind w:left="-107"/>
              <w:outlineLvl w:val="2"/>
              <w:rPr>
                <w:rFonts w:ascii="Tahoma" w:hAnsi="Tahoma" w:cs="Tahoma"/>
                <w:bCs/>
                <w:color w:val="000000"/>
                <w:sz w:val="14"/>
                <w:szCs w:val="14"/>
                <w:lang w:eastAsia="it-IT"/>
              </w:rPr>
            </w:pPr>
            <w:r w:rsidRPr="00F93EDF">
              <w:rPr>
                <w:rFonts w:ascii="Tahoma" w:hAnsi="Tahoma" w:cs="Tahoma"/>
                <w:iCs/>
                <w:color w:val="333333"/>
                <w:sz w:val="14"/>
                <w:szCs w:val="14"/>
                <w:lang w:eastAsia="it-IT"/>
              </w:rPr>
              <w:t>Guest Editors:</w:t>
            </w:r>
            <w:r w:rsidRPr="00F93EDF">
              <w:rPr>
                <w:rFonts w:ascii="Tahoma" w:hAnsi="Tahoma" w:cs="Tahoma"/>
                <w:color w:val="000000"/>
                <w:sz w:val="14"/>
                <w:szCs w:val="14"/>
                <w:shd w:val="clear" w:color="auto" w:fill="FFFFFF"/>
              </w:rPr>
              <w:t xml:space="preserve"> </w:t>
            </w:r>
          </w:p>
          <w:p w14:paraId="1B0F1814" w14:textId="57AA03EA" w:rsidR="000A03B2" w:rsidRPr="00B57B36" w:rsidRDefault="00AA7D26" w:rsidP="00AA7D26">
            <w:pPr>
              <w:tabs>
                <w:tab w:val="left" w:pos="-108"/>
              </w:tabs>
              <w:spacing w:line="140" w:lineRule="atLeast"/>
              <w:ind w:left="-107"/>
              <w:jc w:val="left"/>
            </w:pPr>
            <w:r>
              <w:rPr>
                <w:rFonts w:ascii="Tahoma" w:hAnsi="Tahoma" w:cs="Tahoma"/>
                <w:iCs/>
                <w:color w:val="333333"/>
                <w:sz w:val="14"/>
                <w:szCs w:val="14"/>
                <w:lang w:eastAsia="it-IT"/>
              </w:rPr>
              <w:t>Copyright © 202</w:t>
            </w:r>
            <w:r w:rsidR="00C24AF1">
              <w:rPr>
                <w:rFonts w:ascii="Tahoma" w:hAnsi="Tahoma" w:cs="Tahoma"/>
                <w:iCs/>
                <w:color w:val="333333"/>
                <w:sz w:val="14"/>
                <w:szCs w:val="14"/>
                <w:lang w:eastAsia="it-IT"/>
              </w:rPr>
              <w:t>5</w:t>
            </w:r>
            <w:r w:rsidRPr="00B57B36">
              <w:rPr>
                <w:rFonts w:ascii="Tahoma" w:hAnsi="Tahoma" w:cs="Tahoma"/>
                <w:iCs/>
                <w:color w:val="333333"/>
                <w:sz w:val="14"/>
                <w:szCs w:val="14"/>
                <w:lang w:eastAsia="it-IT"/>
              </w:rPr>
              <w:t xml:space="preserve">, AIDIC Servizi </w:t>
            </w:r>
            <w:proofErr w:type="spellStart"/>
            <w:r w:rsidRPr="00B57B36">
              <w:rPr>
                <w:rFonts w:ascii="Tahoma" w:hAnsi="Tahoma" w:cs="Tahoma"/>
                <w:iCs/>
                <w:color w:val="333333"/>
                <w:sz w:val="14"/>
                <w:szCs w:val="14"/>
                <w:lang w:eastAsia="it-IT"/>
              </w:rPr>
              <w:t>S.r.l</w:t>
            </w:r>
            <w:proofErr w:type="spellEnd"/>
            <w:r w:rsidRPr="00B57B36">
              <w:rPr>
                <w:rFonts w:ascii="Tahoma" w:hAnsi="Tahoma" w:cs="Tahoma"/>
                <w:iCs/>
                <w:color w:val="333333"/>
                <w:sz w:val="14"/>
                <w:szCs w:val="14"/>
                <w:lang w:eastAsia="it-IT"/>
              </w:rPr>
              <w:t>.</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00D2582C" w:rsidRPr="000562A9">
              <w:rPr>
                <w:rFonts w:ascii="Tahoma" w:hAnsi="Tahoma" w:cs="Tahoma"/>
                <w:sz w:val="14"/>
                <w:szCs w:val="14"/>
              </w:rPr>
              <w:t>97</w:t>
            </w:r>
            <w:r w:rsidR="00D2582C">
              <w:rPr>
                <w:rFonts w:ascii="Tahoma" w:hAnsi="Tahoma" w:cs="Tahoma"/>
                <w:sz w:val="14"/>
                <w:szCs w:val="14"/>
              </w:rPr>
              <w:t>9</w:t>
            </w:r>
            <w:r w:rsidR="00D2582C" w:rsidRPr="000562A9">
              <w:rPr>
                <w:rFonts w:ascii="Tahoma" w:hAnsi="Tahoma" w:cs="Tahoma"/>
                <w:sz w:val="14"/>
                <w:szCs w:val="14"/>
              </w:rPr>
              <w:t>-</w:t>
            </w:r>
            <w:r w:rsidR="00D2582C">
              <w:rPr>
                <w:rFonts w:ascii="Tahoma" w:hAnsi="Tahoma" w:cs="Tahoma"/>
                <w:sz w:val="14"/>
                <w:szCs w:val="14"/>
              </w:rPr>
              <w:t>12</w:t>
            </w:r>
            <w:r w:rsidR="00D2582C" w:rsidRPr="000562A9">
              <w:rPr>
                <w:rFonts w:ascii="Tahoma" w:hAnsi="Tahoma" w:cs="Tahoma"/>
                <w:sz w:val="14"/>
                <w:szCs w:val="14"/>
              </w:rPr>
              <w:t>-</w:t>
            </w:r>
            <w:r w:rsidR="00D2582C">
              <w:rPr>
                <w:rFonts w:ascii="Tahoma" w:hAnsi="Tahoma" w:cs="Tahoma"/>
                <w:sz w:val="14"/>
                <w:szCs w:val="14"/>
              </w:rPr>
              <w:t>81206-</w:t>
            </w:r>
            <w:r w:rsidR="00557E00">
              <w:rPr>
                <w:rFonts w:ascii="Tahoma" w:hAnsi="Tahoma" w:cs="Tahoma"/>
                <w:sz w:val="14"/>
                <w:szCs w:val="14"/>
              </w:rPr>
              <w:t>XX</w:t>
            </w:r>
            <w:r w:rsidR="00D2582C">
              <w:rPr>
                <w:rFonts w:ascii="Tahoma" w:hAnsi="Tahoma" w:cs="Tahoma"/>
                <w:sz w:val="14"/>
                <w:szCs w:val="14"/>
              </w:rPr>
              <w:t>-</w:t>
            </w:r>
            <w:r w:rsidR="00557E00">
              <w:rPr>
                <w:rFonts w:ascii="Tahoma" w:hAnsi="Tahoma" w:cs="Tahoma"/>
                <w:sz w:val="14"/>
                <w:szCs w:val="14"/>
              </w:rPr>
              <w:t>X</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p w14:paraId="2E667253" w14:textId="1EFE0932" w:rsidR="00E978D0" w:rsidRPr="00B57B36" w:rsidRDefault="00F1315B" w:rsidP="00E978D0">
      <w:pPr>
        <w:pStyle w:val="CETTitle"/>
      </w:pPr>
      <w:r w:rsidRPr="00F1315B">
        <w:t xml:space="preserve">Kinetic Parameter Sensitivity in Microbial Electrolysis Cell Performance </w:t>
      </w:r>
      <w:proofErr w:type="spellStart"/>
      <w:r w:rsidRPr="00F1315B">
        <w:t>Modeling</w:t>
      </w:r>
      <w:proofErr w:type="spellEnd"/>
    </w:p>
    <w:p w14:paraId="0488FED2" w14:textId="29D85F1C" w:rsidR="00B57E6F" w:rsidRPr="00B36109" w:rsidRDefault="00EC6845" w:rsidP="008E25E3">
      <w:pPr>
        <w:pStyle w:val="CETAuthors"/>
        <w:rPr>
          <w:lang w:val="pt-BR"/>
        </w:rPr>
      </w:pPr>
      <w:r w:rsidRPr="00B36109">
        <w:rPr>
          <w:lang w:val="pt-BR"/>
        </w:rPr>
        <w:t>Gabriela</w:t>
      </w:r>
      <w:r w:rsidR="00B57E6F" w:rsidRPr="00B36109">
        <w:rPr>
          <w:lang w:val="pt-BR"/>
        </w:rPr>
        <w:t xml:space="preserve"> </w:t>
      </w:r>
      <w:r w:rsidRPr="00B36109">
        <w:rPr>
          <w:lang w:val="pt-BR"/>
        </w:rPr>
        <w:t>S</w:t>
      </w:r>
      <w:r w:rsidR="00B57E6F" w:rsidRPr="00B36109">
        <w:rPr>
          <w:lang w:val="pt-BR"/>
        </w:rPr>
        <w:t xml:space="preserve">. </w:t>
      </w:r>
      <w:r w:rsidRPr="00B36109">
        <w:rPr>
          <w:lang w:val="pt-BR"/>
        </w:rPr>
        <w:t>Demarqui</w:t>
      </w:r>
      <w:r w:rsidRPr="00B36109">
        <w:rPr>
          <w:vertAlign w:val="superscript"/>
          <w:lang w:val="pt-BR"/>
        </w:rPr>
        <w:t>a</w:t>
      </w:r>
      <w:r w:rsidR="00670D70" w:rsidRPr="00B36109">
        <w:rPr>
          <w:vertAlign w:val="superscript"/>
          <w:lang w:val="pt-BR"/>
        </w:rPr>
        <w:t>,</w:t>
      </w:r>
      <w:r w:rsidR="00670D70" w:rsidRPr="00B36109">
        <w:rPr>
          <w:lang w:val="pt-BR"/>
        </w:rPr>
        <w:t>*</w:t>
      </w:r>
      <w:r w:rsidR="00B57E6F" w:rsidRPr="00B36109">
        <w:rPr>
          <w:lang w:val="pt-BR"/>
        </w:rPr>
        <w:t>,</w:t>
      </w:r>
      <w:r w:rsidR="004B3CF9" w:rsidRPr="00B36109">
        <w:rPr>
          <w:lang w:val="pt-BR"/>
        </w:rPr>
        <w:t xml:space="preserve"> Marcos P. </w:t>
      </w:r>
      <w:r w:rsidR="006E0A1A" w:rsidRPr="00B36109">
        <w:rPr>
          <w:lang w:val="pt-BR"/>
        </w:rPr>
        <w:t>Felizardo, Loyse Tussolini</w:t>
      </w:r>
      <w:r w:rsidR="0069226A" w:rsidRPr="00B36109">
        <w:rPr>
          <w:lang w:val="pt-BR"/>
        </w:rPr>
        <w:t xml:space="preserve">, Laiane </w:t>
      </w:r>
      <w:r w:rsidR="00F519E6" w:rsidRPr="00B36109">
        <w:rPr>
          <w:lang w:val="pt-BR"/>
        </w:rPr>
        <w:t>A</w:t>
      </w:r>
      <w:r w:rsidR="0069226A" w:rsidRPr="00B36109">
        <w:rPr>
          <w:lang w:val="pt-BR"/>
        </w:rPr>
        <w:t xml:space="preserve">. </w:t>
      </w:r>
      <w:r w:rsidR="00F519E6" w:rsidRPr="00B36109">
        <w:rPr>
          <w:lang w:val="pt-BR"/>
        </w:rPr>
        <w:t>Andrade, Júlio C.</w:t>
      </w:r>
      <w:r w:rsidR="007C44F3" w:rsidRPr="00B36109">
        <w:rPr>
          <w:lang w:val="pt-BR"/>
        </w:rPr>
        <w:t>C.</w:t>
      </w:r>
      <w:r w:rsidR="00F519E6" w:rsidRPr="00B36109">
        <w:rPr>
          <w:lang w:val="pt-BR"/>
        </w:rPr>
        <w:t xml:space="preserve"> </w:t>
      </w:r>
      <w:r w:rsidR="007C44F3" w:rsidRPr="00B36109">
        <w:rPr>
          <w:lang w:val="pt-BR"/>
        </w:rPr>
        <w:t>Miranda</w:t>
      </w:r>
      <w:r w:rsidR="00F519E6" w:rsidRPr="00B36109">
        <w:rPr>
          <w:lang w:val="pt-BR"/>
        </w:rPr>
        <w:t xml:space="preserve"> </w:t>
      </w:r>
    </w:p>
    <w:p w14:paraId="7CA2DC02" w14:textId="2807D57A" w:rsidR="002961DC" w:rsidRPr="002961DC" w:rsidRDefault="00B57E6F" w:rsidP="002961DC">
      <w:pPr>
        <w:pStyle w:val="CETAddress"/>
      </w:pPr>
      <w:r w:rsidRPr="00B57B36">
        <w:rPr>
          <w:vertAlign w:val="superscript"/>
        </w:rPr>
        <w:t>a</w:t>
      </w:r>
      <w:r w:rsidR="002961DC" w:rsidRPr="002961DC">
        <w:t xml:space="preserve">Chemical Engineering Department, Engineering School, Universidade Federal de Mato Grosso,  </w:t>
      </w:r>
    </w:p>
    <w:p w14:paraId="3D72B0B0" w14:textId="049B2476" w:rsidR="00B57E6F" w:rsidRPr="00B36109" w:rsidRDefault="002961DC" w:rsidP="002961DC">
      <w:pPr>
        <w:pStyle w:val="CETAddress"/>
        <w:rPr>
          <w:lang w:val="pt-BR"/>
        </w:rPr>
      </w:pPr>
      <w:r w:rsidRPr="00B36109">
        <w:rPr>
          <w:lang w:val="pt-BR"/>
        </w:rPr>
        <w:t>Avenida Fernando Corrêa da costa 2367, Cuiabá 78060900, Brasil</w:t>
      </w:r>
    </w:p>
    <w:p w14:paraId="325C1225" w14:textId="2046DE98" w:rsidR="00681460" w:rsidRDefault="00F83F9F" w:rsidP="00681460">
      <w:pPr>
        <w:pStyle w:val="CETemail"/>
      </w:pPr>
      <w:r w:rsidRPr="00F83F9F">
        <w:t>gabriela.demarqui@sou.ufmt.br</w:t>
      </w:r>
    </w:p>
    <w:p w14:paraId="459D05E6" w14:textId="02E54F08" w:rsidR="00600535" w:rsidRDefault="00D77ED3" w:rsidP="003752FF">
      <w:pPr>
        <w:pStyle w:val="CETBodytext"/>
      </w:pPr>
      <w:r w:rsidRPr="00D77ED3">
        <w:t>Microbial Electrolysis Cells (MEC) represent a promising technology for hydrogen production from wastewate</w:t>
      </w:r>
      <w:r w:rsidR="003752FF">
        <w:t>r</w:t>
      </w:r>
      <w:r w:rsidRPr="00D77ED3">
        <w:t>, requiring low applied voltages compared to conventional water electrolysis. However, system performance remains limited due to complex microbial interactions, making mathematical modeling essential for process optimization. This work replicates and analyzes the multi-population dynamic model proposed by Pinto et al. (2011), focusing on sensitivity analysis of maximum substrate consumption rates (</w:t>
      </w:r>
      <w:proofErr w:type="spellStart"/>
      <w:r w:rsidR="00CD122E">
        <w:t>q</w:t>
      </w:r>
      <w:r w:rsidR="00CD122E">
        <w:rPr>
          <w:vertAlign w:val="subscript"/>
        </w:rPr>
        <w:t>max</w:t>
      </w:r>
      <w:proofErr w:type="spellEnd"/>
      <w:r w:rsidRPr="00D77ED3">
        <w:t xml:space="preserve">) for electrogenic, fermentative, and </w:t>
      </w:r>
      <w:proofErr w:type="spellStart"/>
      <w:r w:rsidRPr="00D77ED3">
        <w:t>acetoclastic</w:t>
      </w:r>
      <w:proofErr w:type="spellEnd"/>
      <w:r w:rsidRPr="00D77ED3">
        <w:t xml:space="preserve"> methanogenic microorganisms. Fifteen simulations were conducted</w:t>
      </w:r>
      <w:r w:rsidR="00513A2F">
        <w:t>,</w:t>
      </w:r>
      <w:r w:rsidRPr="00D77ED3">
        <w:t xml:space="preserve"> varying each parameter</w:t>
      </w:r>
      <w:r w:rsidR="00E4569E" w:rsidRPr="00E4569E">
        <w:rPr>
          <w:lang w:val="en-GB"/>
        </w:rPr>
        <w:t xml:space="preserve"> within </w:t>
      </w:r>
      <w:r w:rsidR="00513A2F">
        <w:rPr>
          <w:lang w:val="en-GB"/>
        </w:rPr>
        <w:t>its</w:t>
      </w:r>
      <w:r w:rsidR="00E4569E" w:rsidRPr="00E4569E">
        <w:rPr>
          <w:lang w:val="en-GB"/>
        </w:rPr>
        <w:t xml:space="preserve"> respective uncertainty intervals</w:t>
      </w:r>
      <w:r w:rsidRPr="00D77ED3">
        <w:t xml:space="preserve">, and sensitivity was quantified using normalized indices. Results revealed a clear hierarchical importance: </w:t>
      </w:r>
      <w:proofErr w:type="spellStart"/>
      <w:r w:rsidR="00CD122E">
        <w:t>q</w:t>
      </w:r>
      <w:r w:rsidR="00CD122E">
        <w:rPr>
          <w:vertAlign w:val="subscript"/>
        </w:rPr>
        <w:t>max,e</w:t>
      </w:r>
      <w:proofErr w:type="spellEnd"/>
      <w:r w:rsidRPr="00D77ED3">
        <w:t xml:space="preserve"> (electrogenic) showed the highest impact with sensitivity indices</w:t>
      </w:r>
      <w:r w:rsidR="006D0A8B">
        <w:t xml:space="preserve"> (</w:t>
      </w:r>
      <w:r w:rsidR="00CD122E">
        <w:t>S</w:t>
      </w:r>
      <w:r w:rsidR="00CD122E">
        <w:rPr>
          <w:vertAlign w:val="subscript"/>
        </w:rPr>
        <w:t>mean</w:t>
      </w:r>
      <w:r w:rsidR="006D0A8B">
        <w:t>)</w:t>
      </w:r>
      <w:r w:rsidRPr="00D77ED3">
        <w:t xml:space="preserve"> ranging from 3.8 to 6.2 for competitive microbial populations; </w:t>
      </w:r>
      <w:proofErr w:type="spellStart"/>
      <w:r w:rsidR="00CD122E">
        <w:t>q</w:t>
      </w:r>
      <w:r w:rsidR="008F7F67">
        <w:rPr>
          <w:vertAlign w:val="subscript"/>
        </w:rPr>
        <w:t>max,f</w:t>
      </w:r>
      <w:proofErr w:type="spellEnd"/>
      <w:r w:rsidRPr="00D77ED3">
        <w:t xml:space="preserve"> (fermentative) demonstrated transient influence primarily during reactor startup (</w:t>
      </w:r>
      <w:r w:rsidR="008F7F67">
        <w:t>S</w:t>
      </w:r>
      <w:r w:rsidR="008F7F67">
        <w:rPr>
          <w:vertAlign w:val="subscript"/>
        </w:rPr>
        <w:t>mean</w:t>
      </w:r>
      <w:r w:rsidRPr="00D77ED3">
        <w:t xml:space="preserve"> </w:t>
      </w:r>
      <w:r w:rsidR="00E972D1" w:rsidRPr="00E972D1">
        <w:rPr>
          <w:lang w:val="en-GB"/>
        </w:rPr>
        <w:t>ranging from 0.65 to 0.78</w:t>
      </w:r>
      <w:r w:rsidRPr="00D77ED3">
        <w:t>); while</w:t>
      </w:r>
      <w:r w:rsidR="00E12B17">
        <w:t xml:space="preserve"> </w:t>
      </w:r>
      <w:proofErr w:type="spellStart"/>
      <w:r w:rsidR="00E12B17">
        <w:t>q</w:t>
      </w:r>
      <w:r w:rsidR="00E12B17">
        <w:rPr>
          <w:vertAlign w:val="subscript"/>
        </w:rPr>
        <w:t>max,m</w:t>
      </w:r>
      <w:proofErr w:type="spellEnd"/>
      <w:r w:rsidRPr="00D77ED3">
        <w:t xml:space="preserve"> (methanogenic) affected only anodic methane </w:t>
      </w:r>
      <w:r w:rsidRPr="00E45EC7">
        <w:t>production (</w:t>
      </w:r>
      <w:r w:rsidR="00E12B17" w:rsidRPr="00E45EC7">
        <w:t>S</w:t>
      </w:r>
      <w:r w:rsidR="00E12B17" w:rsidRPr="00E45EC7">
        <w:rPr>
          <w:vertAlign w:val="subscript"/>
        </w:rPr>
        <w:t>mean</w:t>
      </w:r>
      <w:r w:rsidRPr="00E45EC7">
        <w:t xml:space="preserve"> </w:t>
      </w:r>
      <w:r w:rsidR="00832438" w:rsidRPr="00832438">
        <w:rPr>
          <w:lang w:val="en-GB"/>
        </w:rPr>
        <w:t>of approximately</w:t>
      </w:r>
      <w:r w:rsidR="00832438">
        <w:rPr>
          <w:lang w:val="en-GB"/>
        </w:rPr>
        <w:t xml:space="preserve"> </w:t>
      </w:r>
      <w:r w:rsidRPr="00E45EC7">
        <w:t>0.96</w:t>
      </w:r>
      <w:r w:rsidRPr="00D77ED3">
        <w:t>). Notably, electrochemical performance variables (current, H</w:t>
      </w:r>
      <w:r w:rsidR="00C30408">
        <w:rPr>
          <w:vertAlign w:val="subscript"/>
        </w:rPr>
        <w:t>2</w:t>
      </w:r>
      <w:r w:rsidRPr="00D77ED3">
        <w:t xml:space="preserve"> production) proved robust to all three parameters at steady state, indicating that once the electrogenic biofilm is established, the system exhibits significant operational stability. These findings provide practical guidance for MEC design and operation, identifying </w:t>
      </w:r>
      <w:proofErr w:type="spellStart"/>
      <w:proofErr w:type="gramStart"/>
      <w:r w:rsidR="00FE154B">
        <w:t>q</w:t>
      </w:r>
      <w:r w:rsidR="00FE154B">
        <w:rPr>
          <w:vertAlign w:val="subscript"/>
        </w:rPr>
        <w:t>max,e</w:t>
      </w:r>
      <w:proofErr w:type="spellEnd"/>
      <w:proofErr w:type="gramEnd"/>
      <w:r w:rsidRPr="00D77ED3">
        <w:t xml:space="preserve"> as the critical parameter requiring precise estimation for accurate prediction of microbial competition dynamics.</w:t>
      </w:r>
    </w:p>
    <w:p w14:paraId="0C76B616" w14:textId="5953D153" w:rsidR="00B36109" w:rsidRDefault="00B51E56" w:rsidP="00B51E56">
      <w:pPr>
        <w:pStyle w:val="CETHeading1"/>
      </w:pPr>
      <w:r>
        <w:t xml:space="preserve">Introduction </w:t>
      </w:r>
    </w:p>
    <w:p w14:paraId="58A8CBD6" w14:textId="7ADDDF93" w:rsidR="00C46957" w:rsidRPr="00BD6C24" w:rsidRDefault="00464866" w:rsidP="00BD6C24">
      <w:pPr>
        <w:pStyle w:val="CETBodytext"/>
      </w:pPr>
      <w:r w:rsidRPr="00BD6C24">
        <w:t>In response to the ongoing climate crisis, wastewater treatment plants are transitioning into resource recovery facilities, with a focus on mitigating carbon footprints and enhancing energy efficiency (Fathima et al., 2024). In this context, hydrogen is widely recognized as a clean energy vector with an energy potential of 122 kJ/g, exceeding gasoline by 2.75 times (Palanivel and Mohamed, 2025). Microbial Electrolysis Cells (MECs) are a type of microbial electrochemical system (MES) operated for hydrogen production from biomass, such as wastewater or organic waste, while simultaneously treating these effluents (</w:t>
      </w:r>
      <w:r w:rsidR="00295A20" w:rsidRPr="00BD6C24">
        <w:t>Yahya et al., 2013</w:t>
      </w:r>
      <w:r w:rsidRPr="00BD6C24">
        <w:t>).</w:t>
      </w:r>
    </w:p>
    <w:p w14:paraId="60656541" w14:textId="429468FA" w:rsidR="00BD6C24" w:rsidRPr="00BE079E" w:rsidRDefault="00866DB4" w:rsidP="002A20FC">
      <w:pPr>
        <w:pStyle w:val="CETBodytext"/>
      </w:pPr>
      <w:r w:rsidRPr="00BD6C24">
        <w:t>The operating mechanism of MECs relies on principles analogous to water electrolysis (Zou and He, 2018), yet with a key distinction: the employment of electroactive microorganisms at the anode (</w:t>
      </w:r>
      <w:proofErr w:type="spellStart"/>
      <w:r w:rsidRPr="00BD6C24">
        <w:t>Asrul</w:t>
      </w:r>
      <w:proofErr w:type="spellEnd"/>
      <w:r w:rsidRPr="00BD6C24">
        <w:t xml:space="preserve"> et al., 2021). These microbes oxidize organic matter, releasing electrons, protons, and CO</w:t>
      </w:r>
      <w:r w:rsidRPr="002450DE">
        <w:rPr>
          <w:vertAlign w:val="subscript"/>
        </w:rPr>
        <w:t>2</w:t>
      </w:r>
      <w:r w:rsidRPr="00BD6C24">
        <w:t xml:space="preserve"> (</w:t>
      </w:r>
      <w:proofErr w:type="spellStart"/>
      <w:r w:rsidR="00725447" w:rsidRPr="00BD6C24">
        <w:t>Zeppilli</w:t>
      </w:r>
      <w:proofErr w:type="spellEnd"/>
      <w:r w:rsidR="00725447" w:rsidRPr="00BD6C24">
        <w:t xml:space="preserve"> et al., 2015</w:t>
      </w:r>
      <w:r w:rsidRPr="00BD6C24">
        <w:t>). A major advantage of this process lies in its favorable thermodynamics; unlike water electrolysis, which demands a theoretical minimum voltage of 1.23 V, MECs can function with a substantially lower external applied voltage, approximately 0.2 V, as the chemical energy stored in the organic substrate facilitates the reaction</w:t>
      </w:r>
      <w:r w:rsidR="00C10EFE" w:rsidRPr="00BD6C24">
        <w:t xml:space="preserve"> </w:t>
      </w:r>
      <w:r w:rsidR="00A00260" w:rsidRPr="00BD6C24">
        <w:t>(</w:t>
      </w:r>
      <w:proofErr w:type="spellStart"/>
      <w:r w:rsidR="00C10EFE" w:rsidRPr="002450DE">
        <w:rPr>
          <w:color w:val="000000" w:themeColor="text1"/>
        </w:rPr>
        <w:t>Asrul</w:t>
      </w:r>
      <w:proofErr w:type="spellEnd"/>
      <w:r w:rsidR="00C10EFE" w:rsidRPr="002450DE">
        <w:rPr>
          <w:color w:val="000000" w:themeColor="text1"/>
        </w:rPr>
        <w:t xml:space="preserve"> et al., 202</w:t>
      </w:r>
      <w:r w:rsidR="00A00260" w:rsidRPr="002450DE">
        <w:rPr>
          <w:color w:val="000000" w:themeColor="text1"/>
        </w:rPr>
        <w:t>5</w:t>
      </w:r>
      <w:r w:rsidR="00F52793" w:rsidRPr="002450DE">
        <w:rPr>
          <w:color w:val="000000" w:themeColor="text1"/>
        </w:rPr>
        <w:t>b</w:t>
      </w:r>
      <w:r w:rsidR="00A00260" w:rsidRPr="00BD6C24">
        <w:t>)</w:t>
      </w:r>
      <w:r w:rsidRPr="00BD6C24">
        <w:t xml:space="preserve">. </w:t>
      </w:r>
    </w:p>
    <w:p w14:paraId="50748719" w14:textId="4F6B9512" w:rsidR="004C285D" w:rsidRPr="004C285D" w:rsidRDefault="004C285D" w:rsidP="004C285D">
      <w:pPr>
        <w:pStyle w:val="CETBodytext"/>
        <w:rPr>
          <w:color w:val="EE0000"/>
        </w:rPr>
      </w:pPr>
      <w:r w:rsidRPr="004C285D">
        <w:t>Despite this potential, optimizing MECs presents challenges arising from the complexity of microbial interactions (</w:t>
      </w:r>
      <w:proofErr w:type="spellStart"/>
      <w:r w:rsidRPr="004C285D">
        <w:t>Hasany</w:t>
      </w:r>
      <w:proofErr w:type="spellEnd"/>
      <w:r w:rsidRPr="004C285D">
        <w:t xml:space="preserve"> et al., 2016). Mathematical modeling has emerged as an effective approach to addressing these challenges, enabling the analysis of dynamic phenomena at the microbial level and supporting the design of process monitoring and control for optimal biohydrogen production (</w:t>
      </w:r>
      <w:proofErr w:type="spellStart"/>
      <w:r w:rsidRPr="004C285D">
        <w:t>Asrul</w:t>
      </w:r>
      <w:proofErr w:type="spellEnd"/>
      <w:r w:rsidRPr="004C285D">
        <w:t xml:space="preserve"> et al., 2021). In this context, the multi-population dynamic model developed by Pinto et al. (2011) provides a structured framework for simulating the competing metabolic activities of bacteria. While Dudley et al. (2019) performed sensitivity analysis of a reduced version of this model</w:t>
      </w:r>
      <w:r w:rsidR="00254881">
        <w:t>,</w:t>
      </w:r>
      <w:r w:rsidRPr="004C285D">
        <w:t xml:space="preserve"> focusing on current density response to </w:t>
      </w:r>
      <w:proofErr w:type="spellStart"/>
      <w:r w:rsidRPr="004C285D">
        <w:t>exoelectrogenic</w:t>
      </w:r>
      <w:proofErr w:type="spellEnd"/>
      <w:r w:rsidRPr="004C285D">
        <w:t xml:space="preserve"> parameters in acetate-fed batch </w:t>
      </w:r>
      <w:r w:rsidRPr="004C285D">
        <w:lastRenderedPageBreak/>
        <w:t>MECs</w:t>
      </w:r>
      <w:r w:rsidR="00254881">
        <w:t>,</w:t>
      </w:r>
      <w:r w:rsidRPr="004C285D">
        <w:t xml:space="preserve"> a systematic quantification of the relative influence of the maximum substrate consumption rates for all three microbial groups on both biofilm competition dynamics and electrochemical performance variables </w:t>
      </w:r>
      <w:proofErr w:type="gramStart"/>
      <w:r w:rsidRPr="004C285D">
        <w:t>remains</w:t>
      </w:r>
      <w:proofErr w:type="gramEnd"/>
      <w:r w:rsidRPr="004C285D">
        <w:t xml:space="preserve"> unreported. More recent sensitivity studies have either focused on operational and reactor design parameters (Pedroza-Medina et al., 2024) or on electrochemical kinetic structures for electroactive bacteria alone (</w:t>
      </w:r>
      <w:proofErr w:type="spellStart"/>
      <w:r w:rsidRPr="002450DE">
        <w:rPr>
          <w:color w:val="000000" w:themeColor="text1"/>
        </w:rPr>
        <w:t>Asrul</w:t>
      </w:r>
      <w:proofErr w:type="spellEnd"/>
      <w:r w:rsidRPr="002450DE">
        <w:rPr>
          <w:color w:val="000000" w:themeColor="text1"/>
        </w:rPr>
        <w:t xml:space="preserve"> et al., 202</w:t>
      </w:r>
      <w:r w:rsidR="00FD1001" w:rsidRPr="002450DE">
        <w:rPr>
          <w:color w:val="000000" w:themeColor="text1"/>
        </w:rPr>
        <w:t>5</w:t>
      </w:r>
      <w:r w:rsidR="00835681" w:rsidRPr="002450DE">
        <w:rPr>
          <w:color w:val="000000" w:themeColor="text1"/>
        </w:rPr>
        <w:t>a</w:t>
      </w:r>
      <w:r w:rsidRPr="004C285D">
        <w:t xml:space="preserve">), leaving the parametric sensitivity of the full model under startup conditions </w:t>
      </w:r>
      <w:r w:rsidRPr="00C84859">
        <w:t>unaddressed. The present work fills this specific gap by replicating the model under reactor inoculation conditions and applying normalized sensitivity indices across the full set of state variables, providing practical guidance on which kinetic parameters require precise estimation for reliable model-based MEC design.</w:t>
      </w:r>
    </w:p>
    <w:p w14:paraId="0C966311" w14:textId="0B6EEB6F" w:rsidR="002A20FC" w:rsidRPr="002A20FC" w:rsidRDefault="002A20FC" w:rsidP="002A20FC">
      <w:pPr>
        <w:pStyle w:val="CETHeading1"/>
      </w:pPr>
      <w:r w:rsidRPr="00CA5DC1">
        <w:t>Methodology</w:t>
      </w:r>
    </w:p>
    <w:p w14:paraId="28E011F4" w14:textId="76072EAC" w:rsidR="002A20FC" w:rsidRDefault="002A20FC" w:rsidP="002A20FC">
      <w:pPr>
        <w:pStyle w:val="CETheadingx"/>
      </w:pPr>
      <w:proofErr w:type="spellStart"/>
      <w:r w:rsidRPr="00CA5DC1">
        <w:t>Continuous</w:t>
      </w:r>
      <w:proofErr w:type="spellEnd"/>
      <w:r w:rsidRPr="00CA5DC1">
        <w:t xml:space="preserve"> Model</w:t>
      </w:r>
    </w:p>
    <w:p w14:paraId="0FF31774" w14:textId="04FC4115" w:rsidR="002A07AC" w:rsidRPr="002A07AC" w:rsidRDefault="002A07AC" w:rsidP="00544224">
      <w:pPr>
        <w:pStyle w:val="CETBodytext"/>
        <w:rPr>
          <w:lang w:eastAsia="pt-BR"/>
        </w:rPr>
      </w:pPr>
      <w:r w:rsidRPr="002A07AC">
        <w:rPr>
          <w:lang w:eastAsia="pt-BR"/>
        </w:rPr>
        <w:t xml:space="preserve">The dynamic model developed by Pinto et al. (2011) serves as a tool to simulate hydrogen production in MECs fed with complex organic substrates, such as wastewater. Designed for process control and optimization, the model employs specific assumptions to ensure computational efficiency. Specifically, the anaerobic digestion process at the anode is streamlined into a single hydrolysis and fermentation step where acetate acts as a proxy for all volatile fatty acids. The biological framework integrates four distinct microbial populations, accounting for the anodic competition for acetate between </w:t>
      </w:r>
      <w:proofErr w:type="spellStart"/>
      <w:r w:rsidRPr="002A07AC">
        <w:rPr>
          <w:lang w:eastAsia="pt-BR"/>
        </w:rPr>
        <w:t>exoelectrogens</w:t>
      </w:r>
      <w:proofErr w:type="spellEnd"/>
      <w:r w:rsidRPr="002A07AC">
        <w:rPr>
          <w:lang w:eastAsia="pt-BR"/>
        </w:rPr>
        <w:t xml:space="preserve"> and </w:t>
      </w:r>
      <w:proofErr w:type="spellStart"/>
      <w:r w:rsidRPr="002A07AC">
        <w:rPr>
          <w:lang w:eastAsia="pt-BR"/>
        </w:rPr>
        <w:t>acetoclastic</w:t>
      </w:r>
      <w:proofErr w:type="spellEnd"/>
      <w:r w:rsidRPr="002A07AC">
        <w:rPr>
          <w:lang w:eastAsia="pt-BR"/>
        </w:rPr>
        <w:t xml:space="preserve"> methanogens, alongside the cathodic consumption of </w:t>
      </w:r>
      <w:r w:rsidR="00D649B6" w:rsidRPr="00D649B6">
        <w:rPr>
          <w:lang w:eastAsia="pt-BR"/>
        </w:rPr>
        <w:t>H</w:t>
      </w:r>
      <w:r w:rsidR="00D649B6" w:rsidRPr="00D649B6">
        <w:rPr>
          <w:vertAlign w:val="subscript"/>
          <w:lang w:eastAsia="pt-BR"/>
        </w:rPr>
        <w:t>2</w:t>
      </w:r>
      <w:r w:rsidR="00D649B6">
        <w:rPr>
          <w:lang w:eastAsia="pt-BR"/>
        </w:rPr>
        <w:t xml:space="preserve"> </w:t>
      </w:r>
      <w:r w:rsidRPr="00D649B6">
        <w:rPr>
          <w:lang w:eastAsia="pt-BR"/>
        </w:rPr>
        <w:t>by</w:t>
      </w:r>
      <w:r w:rsidRPr="002A07AC">
        <w:rPr>
          <w:lang w:eastAsia="pt-BR"/>
        </w:rPr>
        <w:t xml:space="preserve"> hydrogenotrophic methanogens.</w:t>
      </w:r>
    </w:p>
    <w:p w14:paraId="62E5FD85" w14:textId="6FC362B0" w:rsidR="002A20FC" w:rsidRPr="002A20FC" w:rsidRDefault="002A07AC" w:rsidP="002A20FC">
      <w:pPr>
        <w:pStyle w:val="CETBodytext"/>
        <w:rPr>
          <w:lang w:eastAsia="pt-BR"/>
        </w:rPr>
      </w:pPr>
      <w:r w:rsidRPr="002A07AC">
        <w:rPr>
          <w:lang w:eastAsia="pt-BR"/>
        </w:rPr>
        <w:t xml:space="preserve">Instead of using a complex distributed parameter approach, the authors adopted a simplified layered biofilm structure governed by biomass retention constants. This structure distinguishes between an outer anodic layer (fermentative and </w:t>
      </w:r>
      <w:proofErr w:type="spellStart"/>
      <w:r w:rsidRPr="002A07AC">
        <w:rPr>
          <w:lang w:eastAsia="pt-BR"/>
        </w:rPr>
        <w:t>acetoclastic</w:t>
      </w:r>
      <w:proofErr w:type="spellEnd"/>
      <w:r w:rsidRPr="002A07AC">
        <w:rPr>
          <w:lang w:eastAsia="pt-BR"/>
        </w:rPr>
        <w:t xml:space="preserve"> bacteria), an inner anodic layer (</w:t>
      </w:r>
      <w:proofErr w:type="spellStart"/>
      <w:r w:rsidRPr="002A07AC">
        <w:rPr>
          <w:lang w:eastAsia="pt-BR"/>
        </w:rPr>
        <w:t>exoelectrogens</w:t>
      </w:r>
      <w:proofErr w:type="spellEnd"/>
      <w:r w:rsidRPr="002A07AC">
        <w:rPr>
          <w:lang w:eastAsia="pt-BR"/>
        </w:rPr>
        <w:t xml:space="preserve"> and </w:t>
      </w:r>
      <w:proofErr w:type="spellStart"/>
      <w:r w:rsidRPr="002A07AC">
        <w:rPr>
          <w:lang w:eastAsia="pt-BR"/>
        </w:rPr>
        <w:t>acetoclastic</w:t>
      </w:r>
      <w:proofErr w:type="spellEnd"/>
      <w:r w:rsidRPr="002A07AC">
        <w:rPr>
          <w:lang w:eastAsia="pt-BR"/>
        </w:rPr>
        <w:t xml:space="preserve"> bacteria), and a separate cathodic biofilm layer populated by hydrogenotrophic methanogens. Further operational assumptions include a perfectly mixed anodic chamber, a fixed pool of intracellular mediators for electron transfer, and negligible biomass growth in the bulk liquid. Finally, the system assumes that environmental parameters, specifically pH and temperature, are strictly regulated.</w:t>
      </w:r>
    </w:p>
    <w:p w14:paraId="79BF1E58" w14:textId="18E92388" w:rsidR="008C7D67" w:rsidRDefault="00D8671C" w:rsidP="00D8671C">
      <w:pPr>
        <w:pStyle w:val="CETheadingx"/>
      </w:pPr>
      <w:proofErr w:type="spellStart"/>
      <w:r w:rsidRPr="00CA5DC1">
        <w:t>Simulation</w:t>
      </w:r>
      <w:proofErr w:type="spellEnd"/>
      <w:r w:rsidRPr="00CA5DC1">
        <w:t xml:space="preserve"> </w:t>
      </w:r>
      <w:proofErr w:type="spellStart"/>
      <w:r w:rsidRPr="00CA5DC1">
        <w:t>Validation</w:t>
      </w:r>
      <w:proofErr w:type="spellEnd"/>
    </w:p>
    <w:p w14:paraId="430FF8C4" w14:textId="477E4709" w:rsidR="00EB148A" w:rsidRDefault="00EB148A" w:rsidP="00EB148A">
      <w:pPr>
        <w:pStyle w:val="CETBodytext"/>
      </w:pPr>
      <w:r w:rsidRPr="00EB148A">
        <w:t>Reproduction of the reference experimental scenario (MEC-3 Cell), necessary to validate the model before sensitivity analysis, presented challenges due to the absence of explicit values in the original literature (Pinto et al., 2011) for the initial concentrations of state variables, such as substrate</w:t>
      </w:r>
      <w:r w:rsidR="00885B3A">
        <w:t xml:space="preserve"> (S</w:t>
      </w:r>
      <w:r w:rsidR="009A32E5" w:rsidRPr="00E0738B">
        <w:rPr>
          <w:vertAlign w:val="subscript"/>
        </w:rPr>
        <w:t>u</w:t>
      </w:r>
      <w:r w:rsidR="00885B3A">
        <w:t>)</w:t>
      </w:r>
      <w:r w:rsidRPr="00EB148A">
        <w:t>, acetate</w:t>
      </w:r>
      <w:r w:rsidR="00885B3A">
        <w:t xml:space="preserve"> (A)</w:t>
      </w:r>
      <w:r w:rsidRPr="00EB148A">
        <w:t>, redox mediator in oxidized</w:t>
      </w:r>
      <w:r w:rsidR="00885B3A">
        <w:t xml:space="preserve"> </w:t>
      </w:r>
      <w:r w:rsidR="00885B3A" w:rsidRPr="0016389E">
        <w:t>form</w:t>
      </w:r>
      <w:r w:rsidR="00885B3A">
        <w:t xml:space="preserve"> </w:t>
      </w:r>
      <w:r w:rsidR="00885B3A" w:rsidRPr="0016389E">
        <w:t>(</w:t>
      </w:r>
      <w:r w:rsidR="007538A3">
        <w:t>M</w:t>
      </w:r>
      <w:r w:rsidR="007538A3">
        <w:rPr>
          <w:vertAlign w:val="subscript"/>
        </w:rPr>
        <w:t>ox</w:t>
      </w:r>
      <w:r w:rsidR="00885B3A" w:rsidRPr="0016389E">
        <w:t>)</w:t>
      </w:r>
      <w:r w:rsidRPr="00EB148A">
        <w:t xml:space="preserve">, and initial biomass fractions. Additionally, the reference study presents the cathodic yield </w:t>
      </w:r>
      <w:r w:rsidR="00454482">
        <w:t>(</w:t>
      </w:r>
      <w:proofErr w:type="spellStart"/>
      <w:r w:rsidR="00E0738B">
        <w:t>Y</w:t>
      </w:r>
      <w:r w:rsidR="00E0738B" w:rsidRPr="00E0738B">
        <w:rPr>
          <w:vertAlign w:val="subscript"/>
        </w:rPr>
        <w:t>h</w:t>
      </w:r>
      <w:proofErr w:type="spellEnd"/>
      <w:r w:rsidR="00454482">
        <w:t xml:space="preserve">) </w:t>
      </w:r>
      <w:r w:rsidRPr="00EB148A">
        <w:t>coupled with the maximum capacity of biofilm layer 3</w:t>
      </w:r>
      <w:r w:rsidR="00663F1E">
        <w:t xml:space="preserve"> (</w:t>
      </w:r>
      <w:r w:rsidR="007538A3">
        <w:t>X</w:t>
      </w:r>
      <w:r w:rsidR="007538A3">
        <w:rPr>
          <w:vertAlign w:val="subscript"/>
        </w:rPr>
        <w:t>max,3</w:t>
      </w:r>
      <w:r w:rsidR="00663F1E">
        <w:t xml:space="preserve">) </w:t>
      </w:r>
      <w:r w:rsidRPr="00EB148A">
        <w:t>through the relationship described in Equation 1, without discriminating the independent values for each parameter.</w:t>
      </w:r>
    </w:p>
    <w:tbl>
      <w:tblPr>
        <w:tblW w:w="5000" w:type="pct"/>
        <w:tblLook w:val="04A0" w:firstRow="1" w:lastRow="0" w:firstColumn="1" w:lastColumn="0" w:noHBand="0" w:noVBand="1"/>
      </w:tblPr>
      <w:tblGrid>
        <w:gridCol w:w="7983"/>
        <w:gridCol w:w="804"/>
      </w:tblGrid>
      <w:tr w:rsidR="009D5807" w:rsidRPr="009D5807" w14:paraId="7D643565" w14:textId="77777777" w:rsidTr="00E93A81">
        <w:tc>
          <w:tcPr>
            <w:tcW w:w="7983" w:type="dxa"/>
            <w:vAlign w:val="center"/>
          </w:tcPr>
          <w:p w14:paraId="41CEFC4A" w14:textId="5D2C359B" w:rsidR="009D5807" w:rsidRPr="00A46DB9" w:rsidRDefault="00000000" w:rsidP="009D5807">
            <w:pPr>
              <w:pStyle w:val="CETEquation"/>
              <w:rPr>
                <w:rFonts w:cs="Arial"/>
              </w:rPr>
            </w:pPr>
            <m:oMathPara>
              <m:oMathParaPr>
                <m:jc m:val="left"/>
              </m:oMathParaPr>
              <m:oMath>
                <m:sSub>
                  <m:sSubPr>
                    <m:ctrlPr>
                      <w:rPr>
                        <w:rFonts w:ascii="Cambria Math" w:hAnsi="Cambria Math" w:cs="Arial"/>
                      </w:rPr>
                    </m:ctrlPr>
                  </m:sSubPr>
                  <m:e>
                    <m:r>
                      <m:rPr>
                        <m:nor/>
                      </m:rPr>
                      <w:rPr>
                        <w:rFonts w:cs="Arial"/>
                      </w:rPr>
                      <m:t>Y</m:t>
                    </m:r>
                  </m:e>
                  <m:sub>
                    <m:r>
                      <m:rPr>
                        <m:nor/>
                      </m:rPr>
                      <w:rPr>
                        <w:rFonts w:cs="Arial"/>
                      </w:rPr>
                      <m:t>h</m:t>
                    </m:r>
                  </m:sub>
                </m:sSub>
                <m:r>
                  <m:rPr>
                    <m:nor/>
                  </m:rPr>
                  <w:rPr>
                    <w:rFonts w:ascii="Cambria Math" w:hAnsi="Cambria Math" w:cs="Cambria Math"/>
                  </w:rPr>
                  <m:t>⋅</m:t>
                </m:r>
                <m:sSub>
                  <m:sSubPr>
                    <m:ctrlPr>
                      <w:rPr>
                        <w:rFonts w:ascii="Cambria Math" w:hAnsi="Cambria Math" w:cs="Arial"/>
                      </w:rPr>
                    </m:ctrlPr>
                  </m:sSubPr>
                  <m:e>
                    <m:r>
                      <m:rPr>
                        <m:nor/>
                      </m:rPr>
                      <w:rPr>
                        <w:rFonts w:cs="Arial"/>
                      </w:rPr>
                      <m:t>X</m:t>
                    </m:r>
                  </m:e>
                  <m:sub>
                    <m:r>
                      <m:rPr>
                        <m:nor/>
                      </m:rPr>
                      <w:rPr>
                        <w:rFonts w:cs="Arial"/>
                      </w:rPr>
                      <m:t>max,3</m:t>
                    </m:r>
                  </m:sub>
                </m:sSub>
                <m:r>
                  <m:rPr>
                    <m:nor/>
                  </m:rPr>
                  <w:rPr>
                    <w:rFonts w:cs="Arial"/>
                  </w:rPr>
                  <m:t>=1680</m:t>
                </m:r>
              </m:oMath>
            </m:oMathPara>
          </w:p>
        </w:tc>
        <w:tc>
          <w:tcPr>
            <w:tcW w:w="804" w:type="dxa"/>
            <w:vAlign w:val="center"/>
          </w:tcPr>
          <w:p w14:paraId="3CB16B0A" w14:textId="77777777" w:rsidR="009D5807" w:rsidRPr="009D5807" w:rsidRDefault="009D5807" w:rsidP="009D5807">
            <w:pPr>
              <w:pStyle w:val="CETEquation"/>
            </w:pPr>
            <w:r w:rsidRPr="009D5807">
              <w:t>(1)</w:t>
            </w:r>
          </w:p>
        </w:tc>
      </w:tr>
    </w:tbl>
    <w:p w14:paraId="6BF8DED9" w14:textId="78751213" w:rsidR="0066226C" w:rsidRDefault="00E93A81" w:rsidP="00EB148A">
      <w:pPr>
        <w:pStyle w:val="CETBodytext"/>
      </w:pPr>
      <w:r w:rsidRPr="00E93A81">
        <w:t xml:space="preserve">Therefore, to enable numerical simulation, the parameter </w:t>
      </w:r>
      <w:proofErr w:type="spellStart"/>
      <w:r w:rsidR="00CC35DC">
        <w:t>Y</w:t>
      </w:r>
      <w:r w:rsidR="00CC35DC">
        <w:rPr>
          <w:vertAlign w:val="subscript"/>
        </w:rPr>
        <w:t>h</w:t>
      </w:r>
      <w:proofErr w:type="spellEnd"/>
      <w:r w:rsidRPr="00E93A81">
        <w:t xml:space="preserve"> was decoupled and fixed at 0.5 mL-H</w:t>
      </w:r>
      <w:r w:rsidRPr="00E93A81">
        <w:rPr>
          <w:rFonts w:ascii="Cambria Math" w:hAnsi="Cambria Math" w:cs="Cambria Math"/>
        </w:rPr>
        <w:t>₂</w:t>
      </w:r>
      <w:r w:rsidRPr="00E93A81">
        <w:t xml:space="preserve">/mg-X, allowing determination of the corresponding </w:t>
      </w:r>
      <w:r w:rsidR="00472B16">
        <w:t>X</w:t>
      </w:r>
      <w:r w:rsidR="00FE495B">
        <w:rPr>
          <w:vertAlign w:val="subscript"/>
        </w:rPr>
        <w:t>max,3</w:t>
      </w:r>
      <w:r w:rsidRPr="00E93A81">
        <w:t xml:space="preserve"> value; similarly, the applied potential was fixed at 1 V. </w:t>
      </w:r>
      <w:r w:rsidR="006B0D0D">
        <w:t>I</w:t>
      </w:r>
      <w:r w:rsidRPr="00E93A81">
        <w:t>nitial conditions w</w:t>
      </w:r>
      <w:r w:rsidR="006B0D0D">
        <w:t>ere then</w:t>
      </w:r>
      <w:r w:rsidRPr="00E93A81">
        <w:t xml:space="preserve"> heuristically estimated</w:t>
      </w:r>
      <w:r w:rsidR="006B0D0D">
        <w:t xml:space="preserve"> to </w:t>
      </w:r>
      <w:r w:rsidRPr="00E93A81">
        <w:t>minimize</w:t>
      </w:r>
      <w:r w:rsidR="00D63361">
        <w:t xml:space="preserve"> deviation</w:t>
      </w:r>
      <w:r w:rsidR="00F05BD6">
        <w:t xml:space="preserve"> from</w:t>
      </w:r>
      <w:r w:rsidRPr="00E93A81">
        <w:t xml:space="preserve"> the </w:t>
      </w:r>
      <w:r w:rsidR="00F05BD6">
        <w:t>gra</w:t>
      </w:r>
      <w:r w:rsidR="00F64C98">
        <w:t xml:space="preserve">phically reported </w:t>
      </w:r>
      <w:r w:rsidRPr="00E93A81">
        <w:t>MEC-3</w:t>
      </w:r>
      <w:r w:rsidR="00F64C98">
        <w:t xml:space="preserve"> tra</w:t>
      </w:r>
      <w:r w:rsidR="004E0469">
        <w:t>jectories of</w:t>
      </w:r>
      <w:r w:rsidRPr="00E93A81">
        <w:t xml:space="preserve"> Pinto et al. (2011). </w:t>
      </w:r>
      <w:r w:rsidR="002656C8" w:rsidRPr="002656C8">
        <w:t xml:space="preserve">It </w:t>
      </w:r>
      <w:r w:rsidR="002220A2">
        <w:t>is worth noting</w:t>
      </w:r>
      <w:r w:rsidR="002656C8" w:rsidRPr="002656C8">
        <w:t xml:space="preserve"> that full quantitative validation was not achieved with the </w:t>
      </w:r>
      <w:r w:rsidR="002220A2">
        <w:t>curr</w:t>
      </w:r>
      <w:r w:rsidR="002656C8" w:rsidRPr="002656C8">
        <w:t xml:space="preserve">ent parameterization. The large transient discrepancies observed arise from phase misalignments between the simulated dynamic response and reference data digitized from </w:t>
      </w:r>
      <w:r w:rsidR="00CA05F4" w:rsidRPr="002656C8">
        <w:t>figures and</w:t>
      </w:r>
      <w:r w:rsidR="002656C8" w:rsidRPr="002656C8">
        <w:t xml:space="preserve"> reflect the inherent limitations of heuristic parameter estimation in the absence of explicitly reported initial conditions. </w:t>
      </w:r>
      <w:r w:rsidR="003052F6">
        <w:t xml:space="preserve">The </w:t>
      </w:r>
      <w:r w:rsidR="002656C8" w:rsidRPr="002656C8">
        <w:t xml:space="preserve">relative errors </w:t>
      </w:r>
      <w:r w:rsidR="00F17871" w:rsidRPr="00E93A81">
        <w:t xml:space="preserve">remained mostly below </w:t>
      </w:r>
      <w:r w:rsidR="002656C8" w:rsidRPr="002656C8">
        <w:t>30 %, 100 %, 80 %, and 60 % for</w:t>
      </w:r>
      <w:r w:rsidR="00C32C18">
        <w:t xml:space="preserve"> </w:t>
      </w:r>
      <w:r w:rsidR="00C459F8" w:rsidRPr="00C459F8">
        <w:rPr>
          <w:lang w:val="en-GB"/>
        </w:rPr>
        <w:t>soluble</w:t>
      </w:r>
      <w:r w:rsidR="00C459F8">
        <w:rPr>
          <w:lang w:val="en-GB"/>
        </w:rPr>
        <w:t xml:space="preserve"> </w:t>
      </w:r>
      <w:r w:rsidR="00C32C18" w:rsidRPr="00C32C18">
        <w:rPr>
          <w:lang w:val="en-GB"/>
        </w:rPr>
        <w:t>dynamics of chemical oxygen demand</w:t>
      </w:r>
      <w:r w:rsidR="002656C8" w:rsidRPr="002656C8">
        <w:t xml:space="preserve">, acetate, current, and hydrogen production, respectively, indicating that the model adequately reproduces the equilibrium behavior of the system. Nevertheless, the uncertainty introduced during the transient phase must be </w:t>
      </w:r>
      <w:r w:rsidR="00E329CA" w:rsidRPr="002656C8">
        <w:t>considered</w:t>
      </w:r>
      <w:r w:rsidR="002656C8" w:rsidRPr="002656C8">
        <w:t xml:space="preserve"> when interpreting the sensitivity indices computed during startup, as presented in Section 3.</w:t>
      </w:r>
    </w:p>
    <w:p w14:paraId="00DFDCC3" w14:textId="2724D3E6" w:rsidR="007F4315" w:rsidRDefault="007F4315" w:rsidP="007F4315">
      <w:pPr>
        <w:pStyle w:val="CETheadingx"/>
      </w:pPr>
      <w:proofErr w:type="spellStart"/>
      <w:r w:rsidRPr="00CA5DC1">
        <w:t>Computational</w:t>
      </w:r>
      <w:proofErr w:type="spellEnd"/>
      <w:r w:rsidRPr="00CA5DC1">
        <w:t xml:space="preserve"> </w:t>
      </w:r>
      <w:proofErr w:type="spellStart"/>
      <w:r w:rsidRPr="00CA5DC1">
        <w:t>Implementation</w:t>
      </w:r>
      <w:proofErr w:type="spellEnd"/>
      <w:r w:rsidRPr="00CA5DC1">
        <w:t xml:space="preserve"> </w:t>
      </w:r>
      <w:proofErr w:type="spellStart"/>
      <w:r w:rsidRPr="00CA5DC1">
        <w:t>and</w:t>
      </w:r>
      <w:proofErr w:type="spellEnd"/>
      <w:r w:rsidRPr="00CA5DC1">
        <w:t xml:space="preserve"> </w:t>
      </w:r>
      <w:proofErr w:type="spellStart"/>
      <w:r w:rsidRPr="00CA5DC1">
        <w:t>Parameterization</w:t>
      </w:r>
      <w:proofErr w:type="spellEnd"/>
    </w:p>
    <w:p w14:paraId="44FBC50D" w14:textId="69F76376" w:rsidR="0016389E" w:rsidRPr="0016389E" w:rsidRDefault="0016389E" w:rsidP="00D57826">
      <w:pPr>
        <w:pStyle w:val="PargrafodaLista"/>
        <w:spacing w:after="120"/>
        <w:ind w:left="0"/>
        <w:rPr>
          <w:lang w:val="en-US"/>
        </w:rPr>
      </w:pPr>
      <w:r w:rsidRPr="0016389E">
        <w:rPr>
          <w:lang w:val="en-US"/>
        </w:rPr>
        <w:t>The system of ordinary differential equations governing the process was implemented in the MATLAB/Simulink platform using the ode15s solver. For numerical integration, kinetic and physical parameters were adopted directly from the original study.</w:t>
      </w:r>
      <w:r w:rsidR="00C36109">
        <w:rPr>
          <w:lang w:val="en-US"/>
        </w:rPr>
        <w:t xml:space="preserve"> </w:t>
      </w:r>
      <w:r w:rsidRPr="0016389E">
        <w:rPr>
          <w:lang w:val="en-US"/>
        </w:rPr>
        <w:t>The focus of the analysis was the simulation of reactor startup, representing the biomass inoculation scenario in a clean medium. For this simulation, initial concentrations of S</w:t>
      </w:r>
      <w:r w:rsidR="00E0738B" w:rsidRPr="00E0738B">
        <w:rPr>
          <w:vertAlign w:val="subscript"/>
          <w:lang w:val="en-US"/>
        </w:rPr>
        <w:t>u</w:t>
      </w:r>
      <w:r w:rsidRPr="0016389E">
        <w:rPr>
          <w:lang w:val="en-US"/>
        </w:rPr>
        <w:t xml:space="preserve"> and A were defined as 0 mg/L. Initial biomass concentrations were distributed as follows: 22 mg/L for both fermentative (</w:t>
      </w:r>
      <w:proofErr w:type="spellStart"/>
      <w:r w:rsidR="00FE495B">
        <w:rPr>
          <w:lang w:val="en-US"/>
        </w:rPr>
        <w:t>x</w:t>
      </w:r>
      <w:r w:rsidR="00FE495B">
        <w:rPr>
          <w:vertAlign w:val="subscript"/>
          <w:lang w:val="en-US"/>
        </w:rPr>
        <w:t>f</w:t>
      </w:r>
      <w:proofErr w:type="spellEnd"/>
      <w:r w:rsidRPr="0016389E">
        <w:rPr>
          <w:lang w:val="en-US"/>
        </w:rPr>
        <w:t xml:space="preserve">) and </w:t>
      </w:r>
      <w:proofErr w:type="spellStart"/>
      <w:r w:rsidRPr="0016389E">
        <w:rPr>
          <w:lang w:val="en-US"/>
        </w:rPr>
        <w:t>acetoclastic</w:t>
      </w:r>
      <w:proofErr w:type="spellEnd"/>
      <w:r w:rsidRPr="0016389E">
        <w:rPr>
          <w:lang w:val="en-US"/>
        </w:rPr>
        <w:t xml:space="preserve"> methanogenic microorganisms of the external layer (</w:t>
      </w:r>
      <w:r w:rsidR="00FE495B">
        <w:rPr>
          <w:lang w:val="en-US"/>
        </w:rPr>
        <w:t>x</w:t>
      </w:r>
      <w:r w:rsidR="00FE495B">
        <w:rPr>
          <w:vertAlign w:val="subscript"/>
          <w:lang w:val="en-US"/>
        </w:rPr>
        <w:t>m,1</w:t>
      </w:r>
      <w:r w:rsidRPr="0016389E">
        <w:rPr>
          <w:lang w:val="en-US"/>
        </w:rPr>
        <w:t>); 13 mg/L for both electrogenic (</w:t>
      </w:r>
      <w:proofErr w:type="spellStart"/>
      <w:r w:rsidR="00FE495B">
        <w:rPr>
          <w:lang w:val="en-US"/>
        </w:rPr>
        <w:t>x</w:t>
      </w:r>
      <w:r w:rsidR="00FE495B">
        <w:rPr>
          <w:vertAlign w:val="subscript"/>
          <w:lang w:val="en-US"/>
        </w:rPr>
        <w:t>e</w:t>
      </w:r>
      <w:proofErr w:type="spellEnd"/>
      <w:r w:rsidRPr="0016389E">
        <w:rPr>
          <w:lang w:val="en-US"/>
        </w:rPr>
        <w:t xml:space="preserve">) and </w:t>
      </w:r>
      <w:proofErr w:type="spellStart"/>
      <w:r w:rsidRPr="0016389E">
        <w:rPr>
          <w:lang w:val="en-US"/>
        </w:rPr>
        <w:t>acetoclastic</w:t>
      </w:r>
      <w:proofErr w:type="spellEnd"/>
      <w:r w:rsidRPr="0016389E">
        <w:rPr>
          <w:lang w:val="en-US"/>
        </w:rPr>
        <w:t xml:space="preserve"> methanogenic microorganisms of the internal layer (</w:t>
      </w:r>
      <w:r w:rsidR="000F170F">
        <w:rPr>
          <w:lang w:val="en-US"/>
        </w:rPr>
        <w:t>x</w:t>
      </w:r>
      <w:r w:rsidR="000F170F">
        <w:rPr>
          <w:vertAlign w:val="subscript"/>
          <w:lang w:val="en-US"/>
        </w:rPr>
        <w:t>m,2</w:t>
      </w:r>
      <w:r w:rsidRPr="0016389E">
        <w:rPr>
          <w:lang w:val="en-US"/>
        </w:rPr>
        <w:t>); and 168 mg/L for hydrogenotrophic methanogenic biomass (</w:t>
      </w:r>
      <w:proofErr w:type="spellStart"/>
      <w:r w:rsidR="000F170F">
        <w:rPr>
          <w:lang w:val="en-US"/>
        </w:rPr>
        <w:t>x</w:t>
      </w:r>
      <w:r w:rsidR="000F170F">
        <w:rPr>
          <w:vertAlign w:val="subscript"/>
          <w:lang w:val="en-US"/>
        </w:rPr>
        <w:t>h</w:t>
      </w:r>
      <w:proofErr w:type="spellEnd"/>
      <w:r w:rsidRPr="0016389E">
        <w:rPr>
          <w:lang w:val="en-US"/>
        </w:rPr>
        <w:t xml:space="preserve">). Additionally, the initial concentration of </w:t>
      </w:r>
      <w:r w:rsidR="00231B63">
        <w:rPr>
          <w:lang w:val="en-US"/>
        </w:rPr>
        <w:t>M</w:t>
      </w:r>
      <w:r w:rsidR="00231B63">
        <w:rPr>
          <w:vertAlign w:val="subscript"/>
          <w:lang w:val="en-US"/>
        </w:rPr>
        <w:t>ox</w:t>
      </w:r>
      <w:r w:rsidR="00885B3A">
        <w:rPr>
          <w:lang w:val="en-US"/>
        </w:rPr>
        <w:t xml:space="preserve"> </w:t>
      </w:r>
      <w:r w:rsidRPr="0016389E">
        <w:rPr>
          <w:lang w:val="en-US"/>
        </w:rPr>
        <w:t>was established at 0.05 mol/L, and the reactor receives a constant feed of 550 mg/L of substrate.</w:t>
      </w:r>
    </w:p>
    <w:p w14:paraId="09C36116" w14:textId="4ECE6B86" w:rsidR="0016389E" w:rsidRDefault="0016389E" w:rsidP="00885B3A">
      <w:pPr>
        <w:pStyle w:val="PargrafodaLista"/>
        <w:spacing w:after="240"/>
        <w:ind w:left="0"/>
        <w:rPr>
          <w:lang w:val="en-US"/>
        </w:rPr>
      </w:pPr>
      <w:r w:rsidRPr="000F170F">
        <w:rPr>
          <w:color w:val="000000" w:themeColor="text1"/>
          <w:lang w:val="en-US"/>
        </w:rPr>
        <w:lastRenderedPageBreak/>
        <w:t xml:space="preserve">To evaluate </w:t>
      </w:r>
      <w:r w:rsidRPr="0016389E">
        <w:rPr>
          <w:lang w:val="en-US"/>
        </w:rPr>
        <w:t>the impact of parametric uncertainties on model behavior, a sensitivity analysis was performed. Fifteen simulations were conducted exploring the uncertainty interval of maximum substrate consumption rates for fermentative (</w:t>
      </w:r>
      <w:proofErr w:type="spellStart"/>
      <w:proofErr w:type="gramStart"/>
      <w:r w:rsidR="000F170F">
        <w:t>q</w:t>
      </w:r>
      <w:r w:rsidR="000F170F">
        <w:rPr>
          <w:vertAlign w:val="subscript"/>
        </w:rPr>
        <w:t>max,f</w:t>
      </w:r>
      <w:proofErr w:type="spellEnd"/>
      <w:proofErr w:type="gramEnd"/>
      <w:r w:rsidRPr="0016389E">
        <w:rPr>
          <w:lang w:val="en-US"/>
        </w:rPr>
        <w:t>), electrogenic (</w:t>
      </w:r>
      <w:proofErr w:type="spellStart"/>
      <w:proofErr w:type="gramStart"/>
      <w:r w:rsidR="000F170F">
        <w:t>q</w:t>
      </w:r>
      <w:r w:rsidR="000F170F">
        <w:rPr>
          <w:vertAlign w:val="subscript"/>
        </w:rPr>
        <w:t>max,e</w:t>
      </w:r>
      <w:proofErr w:type="spellEnd"/>
      <w:proofErr w:type="gramEnd"/>
      <w:r w:rsidRPr="0016389E">
        <w:rPr>
          <w:lang w:val="en-US"/>
        </w:rPr>
        <w:t xml:space="preserve">), and </w:t>
      </w:r>
      <w:proofErr w:type="spellStart"/>
      <w:r w:rsidRPr="0016389E">
        <w:rPr>
          <w:lang w:val="en-US"/>
        </w:rPr>
        <w:t>acetoclastic</w:t>
      </w:r>
      <w:proofErr w:type="spellEnd"/>
      <w:r w:rsidRPr="0016389E">
        <w:rPr>
          <w:lang w:val="en-US"/>
        </w:rPr>
        <w:t xml:space="preserve"> methanogenic (</w:t>
      </w:r>
      <w:proofErr w:type="spellStart"/>
      <w:proofErr w:type="gramStart"/>
      <w:r w:rsidR="000F170F">
        <w:t>q</w:t>
      </w:r>
      <w:r w:rsidR="000F170F">
        <w:rPr>
          <w:vertAlign w:val="subscript"/>
        </w:rPr>
        <w:t>max,m</w:t>
      </w:r>
      <w:proofErr w:type="spellEnd"/>
      <w:proofErr w:type="gramEnd"/>
      <w:r w:rsidRPr="0016389E">
        <w:rPr>
          <w:lang w:val="en-US"/>
        </w:rPr>
        <w:t>) microorganisms. The adopted uncertainty intervals (Table 1) correspond to the 95</w:t>
      </w:r>
      <w:r w:rsidR="005A7AAB">
        <w:rPr>
          <w:lang w:val="en-US"/>
        </w:rPr>
        <w:t xml:space="preserve"> </w:t>
      </w:r>
      <w:r w:rsidRPr="0016389E">
        <w:rPr>
          <w:lang w:val="en-US"/>
        </w:rPr>
        <w:t>% confidence intervals statistically reported by Pinto et al. (2011), ensuring that the analysis reflects the real uncertainty of parametric estimation.</w:t>
      </w:r>
    </w:p>
    <w:p w14:paraId="1B125478" w14:textId="6F8A27F5" w:rsidR="00BB5990" w:rsidRPr="005E0BF6" w:rsidRDefault="00463B3C" w:rsidP="005E0BF6">
      <w:pPr>
        <w:pStyle w:val="CETTabletitle"/>
      </w:pPr>
      <w:r w:rsidRPr="005E0BF6">
        <w:t>Table 1 - Uncertainty intervals</w:t>
      </w:r>
    </w:p>
    <w:tbl>
      <w:tblPr>
        <w:tblW w:w="8789" w:type="dxa"/>
        <w:jc w:val="center"/>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2977"/>
        <w:gridCol w:w="2977"/>
        <w:gridCol w:w="2835"/>
      </w:tblGrid>
      <w:tr w:rsidR="00BB5990" w:rsidRPr="00B57B36" w14:paraId="14F53465" w14:textId="77777777" w:rsidTr="003C7A66">
        <w:trPr>
          <w:jc w:val="center"/>
        </w:trPr>
        <w:tc>
          <w:tcPr>
            <w:tcW w:w="2977" w:type="dxa"/>
            <w:tcBorders>
              <w:top w:val="single" w:sz="12" w:space="0" w:color="008000"/>
              <w:bottom w:val="single" w:sz="6" w:space="0" w:color="008000"/>
            </w:tcBorders>
            <w:shd w:val="clear" w:color="auto" w:fill="FFFFFF"/>
          </w:tcPr>
          <w:p w14:paraId="293F425B" w14:textId="533C57A0" w:rsidR="00BB5990" w:rsidRPr="00B57B36" w:rsidRDefault="00BB5990" w:rsidP="00FD3FF6">
            <w:pPr>
              <w:pStyle w:val="CETBodytext"/>
              <w:rPr>
                <w:lang w:val="en-GB"/>
              </w:rPr>
            </w:pPr>
            <w:r>
              <w:rPr>
                <w:lang w:val="en-GB"/>
              </w:rPr>
              <w:t>Par</w:t>
            </w:r>
            <w:r w:rsidR="009C3D76">
              <w:rPr>
                <w:lang w:val="en-GB"/>
              </w:rPr>
              <w:t>ameter</w:t>
            </w:r>
          </w:p>
        </w:tc>
        <w:tc>
          <w:tcPr>
            <w:tcW w:w="2977" w:type="dxa"/>
            <w:tcBorders>
              <w:top w:val="single" w:sz="12" w:space="0" w:color="008000"/>
              <w:bottom w:val="single" w:sz="6" w:space="0" w:color="008000"/>
            </w:tcBorders>
            <w:shd w:val="clear" w:color="auto" w:fill="FFFFFF"/>
          </w:tcPr>
          <w:p w14:paraId="7AE170D3" w14:textId="00B65F7E" w:rsidR="00BB5990" w:rsidRPr="00FD3FF6" w:rsidRDefault="00BB5990" w:rsidP="00FD3FF6">
            <w:pPr>
              <w:pStyle w:val="CETBodytext"/>
              <w:ind w:right="-1"/>
              <w:rPr>
                <w:lang w:val="en-GB"/>
              </w:rPr>
            </w:pPr>
            <w:r w:rsidRPr="00FD3FF6">
              <w:rPr>
                <w:lang w:val="en-GB"/>
              </w:rPr>
              <w:t>Val</w:t>
            </w:r>
            <w:r w:rsidR="009C3D76" w:rsidRPr="00FD3FF6">
              <w:rPr>
                <w:lang w:val="en-GB"/>
              </w:rPr>
              <w:t>ue (</w:t>
            </w:r>
            <w:r w:rsidR="00D81934" w:rsidRPr="00FD3FF6">
              <w:rPr>
                <w:lang w:val="en-GB"/>
              </w:rPr>
              <w:t>mg</w:t>
            </w:r>
            <w:r w:rsidR="00675820" w:rsidRPr="00FD3FF6">
              <w:rPr>
                <w:lang w:val="en-GB"/>
              </w:rPr>
              <w:t>-S/mg-X)</w:t>
            </w:r>
          </w:p>
        </w:tc>
        <w:tc>
          <w:tcPr>
            <w:tcW w:w="2835" w:type="dxa"/>
            <w:tcBorders>
              <w:top w:val="single" w:sz="12" w:space="0" w:color="008000"/>
              <w:bottom w:val="single" w:sz="6" w:space="0" w:color="008000"/>
            </w:tcBorders>
            <w:shd w:val="clear" w:color="auto" w:fill="FFFFFF"/>
          </w:tcPr>
          <w:p w14:paraId="35B251B4" w14:textId="033E964B" w:rsidR="00BB5990" w:rsidRPr="00FD3FF6" w:rsidRDefault="009C3D76" w:rsidP="00FD3FF6">
            <w:pPr>
              <w:pStyle w:val="CETBodytext"/>
              <w:ind w:right="-1"/>
              <w:rPr>
                <w:lang w:val="en-GB"/>
              </w:rPr>
            </w:pPr>
            <w:r w:rsidRPr="00FD3FF6">
              <w:rPr>
                <w:lang w:val="en-GB"/>
              </w:rPr>
              <w:t>Uncertainty</w:t>
            </w:r>
          </w:p>
        </w:tc>
      </w:tr>
      <w:tr w:rsidR="00BB5990" w:rsidRPr="00B57B36" w14:paraId="7DB3ED64" w14:textId="77777777" w:rsidTr="003C7A66">
        <w:trPr>
          <w:jc w:val="center"/>
        </w:trPr>
        <w:tc>
          <w:tcPr>
            <w:tcW w:w="2977" w:type="dxa"/>
            <w:shd w:val="clear" w:color="auto" w:fill="FFFFFF"/>
          </w:tcPr>
          <w:p w14:paraId="1DE7BD8B" w14:textId="2A948FC1" w:rsidR="00BB5990" w:rsidRDefault="00231B63" w:rsidP="00FD3FF6">
            <w:pPr>
              <w:pStyle w:val="CETBodytext"/>
              <w:rPr>
                <w:lang w:val="en-GB"/>
              </w:rPr>
            </w:pPr>
            <w:proofErr w:type="spellStart"/>
            <w:proofErr w:type="gramStart"/>
            <w:r w:rsidRPr="00FD3FF6">
              <w:rPr>
                <w:lang w:val="en-GB"/>
              </w:rPr>
              <w:t>qmax,e</w:t>
            </w:r>
            <w:proofErr w:type="spellEnd"/>
            <w:proofErr w:type="gramEnd"/>
          </w:p>
          <w:p w14:paraId="5E5F2F79" w14:textId="505F75B8" w:rsidR="00BB5990" w:rsidRPr="00B57B36" w:rsidRDefault="00231B63" w:rsidP="00FD3FF6">
            <w:pPr>
              <w:pStyle w:val="CETBodytext"/>
              <w:rPr>
                <w:lang w:val="en-GB"/>
              </w:rPr>
            </w:pPr>
            <w:proofErr w:type="spellStart"/>
            <w:proofErr w:type="gramStart"/>
            <w:r w:rsidRPr="00FD3FF6">
              <w:rPr>
                <w:lang w:val="en-GB"/>
              </w:rPr>
              <w:t>qmax,m</w:t>
            </w:r>
            <w:proofErr w:type="spellEnd"/>
            <w:proofErr w:type="gramEnd"/>
          </w:p>
        </w:tc>
        <w:tc>
          <w:tcPr>
            <w:tcW w:w="2977" w:type="dxa"/>
            <w:shd w:val="clear" w:color="auto" w:fill="FFFFFF"/>
          </w:tcPr>
          <w:p w14:paraId="04AD14B8" w14:textId="77777777" w:rsidR="00BB5990" w:rsidRPr="00FD3FF6" w:rsidRDefault="00BB5990" w:rsidP="00FD3FF6">
            <w:pPr>
              <w:pStyle w:val="CETBodytext"/>
              <w:ind w:right="-1"/>
              <w:rPr>
                <w:lang w:val="en-GB"/>
              </w:rPr>
            </w:pPr>
            <w:r w:rsidRPr="00FD3FF6">
              <w:rPr>
                <w:lang w:val="en-GB"/>
              </w:rPr>
              <w:t>14</w:t>
            </w:r>
          </w:p>
          <w:p w14:paraId="7F008F90" w14:textId="77777777" w:rsidR="00BB5990" w:rsidRPr="00FD3FF6" w:rsidRDefault="00BB5990" w:rsidP="00FD3FF6">
            <w:pPr>
              <w:pStyle w:val="CETBodytext"/>
              <w:ind w:right="-1"/>
              <w:rPr>
                <w:lang w:val="en-GB"/>
              </w:rPr>
            </w:pPr>
            <w:r w:rsidRPr="00FD3FF6">
              <w:rPr>
                <w:lang w:val="en-GB"/>
              </w:rPr>
              <w:t>14.12</w:t>
            </w:r>
          </w:p>
        </w:tc>
        <w:tc>
          <w:tcPr>
            <w:tcW w:w="2835" w:type="dxa"/>
            <w:shd w:val="clear" w:color="auto" w:fill="FFFFFF"/>
          </w:tcPr>
          <w:p w14:paraId="53907468" w14:textId="19032A46" w:rsidR="00BB5990" w:rsidRPr="00FD3FF6" w:rsidRDefault="0019729E" w:rsidP="00FD3FF6">
            <w:pPr>
              <w:pStyle w:val="CETBodytext"/>
              <w:ind w:right="-1"/>
              <w:rPr>
                <w:lang w:val="en-GB"/>
              </w:rPr>
            </w:pPr>
            <w:r w:rsidRPr="00FD3FF6">
              <w:rPr>
                <w:lang w:val="en-GB"/>
              </w:rPr>
              <w:t>±</w:t>
            </w:r>
            <w:r w:rsidR="00E74671" w:rsidRPr="00FD3FF6">
              <w:rPr>
                <w:lang w:val="en-GB"/>
              </w:rPr>
              <w:t xml:space="preserve"> </w:t>
            </w:r>
            <w:r w:rsidR="000D22E8" w:rsidRPr="00FD3FF6">
              <w:rPr>
                <w:lang w:val="en-GB"/>
              </w:rPr>
              <w:t>9.7</w:t>
            </w:r>
            <w:r w:rsidR="00E74671" w:rsidRPr="00FD3FF6">
              <w:rPr>
                <w:lang w:val="en-GB"/>
              </w:rPr>
              <w:t xml:space="preserve"> </w:t>
            </w:r>
            <w:r w:rsidR="000D22E8" w:rsidRPr="00FD3FF6">
              <w:rPr>
                <w:lang w:val="en-GB"/>
              </w:rPr>
              <w:t>%</w:t>
            </w:r>
          </w:p>
          <w:p w14:paraId="67CEA59A" w14:textId="297982F1" w:rsidR="00BB5990" w:rsidRPr="00FD3FF6" w:rsidRDefault="0019729E" w:rsidP="00FD3FF6">
            <w:pPr>
              <w:pStyle w:val="CETBodytext"/>
              <w:ind w:right="-1"/>
              <w:rPr>
                <w:lang w:val="en-GB"/>
              </w:rPr>
            </w:pPr>
            <w:r w:rsidRPr="00FD3FF6">
              <w:rPr>
                <w:lang w:val="en-GB"/>
              </w:rPr>
              <w:t>±</w:t>
            </w:r>
            <w:r w:rsidR="00E74671" w:rsidRPr="00FD3FF6">
              <w:rPr>
                <w:lang w:val="en-GB"/>
              </w:rPr>
              <w:t xml:space="preserve"> </w:t>
            </w:r>
            <w:r w:rsidR="000D22E8" w:rsidRPr="00FD3FF6">
              <w:rPr>
                <w:lang w:val="en-GB"/>
              </w:rPr>
              <w:t>11.8</w:t>
            </w:r>
            <w:r w:rsidR="00E74671" w:rsidRPr="00FD3FF6">
              <w:rPr>
                <w:lang w:val="en-GB"/>
              </w:rPr>
              <w:t xml:space="preserve"> %</w:t>
            </w:r>
          </w:p>
        </w:tc>
      </w:tr>
      <w:tr w:rsidR="00BB5990" w:rsidRPr="00B57B36" w14:paraId="2F3D6696" w14:textId="77777777" w:rsidTr="003C7A66">
        <w:trPr>
          <w:jc w:val="center"/>
        </w:trPr>
        <w:tc>
          <w:tcPr>
            <w:tcW w:w="2977" w:type="dxa"/>
            <w:shd w:val="clear" w:color="auto" w:fill="FFFFFF"/>
          </w:tcPr>
          <w:p w14:paraId="7AA71D78" w14:textId="0232B047" w:rsidR="00BB5990" w:rsidRPr="00FD3FF6" w:rsidRDefault="00231B63" w:rsidP="00FD3FF6">
            <w:pPr>
              <w:pStyle w:val="CETBodytext"/>
              <w:rPr>
                <w:lang w:val="en-GB"/>
              </w:rPr>
            </w:pPr>
            <w:proofErr w:type="spellStart"/>
            <w:proofErr w:type="gramStart"/>
            <w:r w:rsidRPr="00FD3FF6">
              <w:rPr>
                <w:lang w:val="en-GB"/>
              </w:rPr>
              <w:t>qmax,f</w:t>
            </w:r>
            <w:proofErr w:type="spellEnd"/>
            <w:proofErr w:type="gramEnd"/>
          </w:p>
        </w:tc>
        <w:tc>
          <w:tcPr>
            <w:tcW w:w="2977" w:type="dxa"/>
            <w:shd w:val="clear" w:color="auto" w:fill="FFFFFF"/>
          </w:tcPr>
          <w:p w14:paraId="78228671" w14:textId="77777777" w:rsidR="00BB5990" w:rsidRPr="00FD3FF6" w:rsidRDefault="00BB5990" w:rsidP="00FD3FF6">
            <w:pPr>
              <w:pStyle w:val="CETBodytext"/>
              <w:rPr>
                <w:lang w:val="en-GB"/>
              </w:rPr>
            </w:pPr>
            <w:r w:rsidRPr="00FD3FF6">
              <w:rPr>
                <w:lang w:val="en-GB"/>
              </w:rPr>
              <w:t>16.28</w:t>
            </w:r>
          </w:p>
        </w:tc>
        <w:tc>
          <w:tcPr>
            <w:tcW w:w="2835" w:type="dxa"/>
            <w:shd w:val="clear" w:color="auto" w:fill="FFFFFF"/>
          </w:tcPr>
          <w:p w14:paraId="5F8C9502" w14:textId="35A12447" w:rsidR="00BB5990" w:rsidRPr="00FD3FF6" w:rsidRDefault="0019729E" w:rsidP="00FD3FF6">
            <w:pPr>
              <w:pStyle w:val="CETBodytext"/>
              <w:rPr>
                <w:lang w:val="en-GB"/>
              </w:rPr>
            </w:pPr>
            <w:r w:rsidRPr="00FD3FF6">
              <w:rPr>
                <w:lang w:val="en-GB"/>
              </w:rPr>
              <w:t>±</w:t>
            </w:r>
            <w:r w:rsidR="00E74671" w:rsidRPr="00FD3FF6">
              <w:rPr>
                <w:lang w:val="en-GB"/>
              </w:rPr>
              <w:t xml:space="preserve"> </w:t>
            </w:r>
            <w:r w:rsidR="00AC7E28" w:rsidRPr="00FD3FF6">
              <w:rPr>
                <w:lang w:val="en-GB"/>
              </w:rPr>
              <w:t>35.4</w:t>
            </w:r>
            <w:r w:rsidR="00E74671" w:rsidRPr="00FD3FF6">
              <w:rPr>
                <w:lang w:val="en-GB"/>
              </w:rPr>
              <w:t xml:space="preserve"> %</w:t>
            </w:r>
          </w:p>
        </w:tc>
      </w:tr>
    </w:tbl>
    <w:p w14:paraId="10B9F76D" w14:textId="6AE33B86" w:rsidR="002D68E0" w:rsidRPr="00CA5DC1" w:rsidRDefault="002D68E0" w:rsidP="002D68E0">
      <w:pPr>
        <w:pStyle w:val="CETBodytext"/>
      </w:pPr>
      <w:r w:rsidRPr="00CA5DC1">
        <w:t xml:space="preserve">The sensitivity of variables to variations was quantified using </w:t>
      </w:r>
      <w:r w:rsidRPr="00D24F4F">
        <w:t xml:space="preserve">a normalized index, </w:t>
      </w:r>
      <w:r w:rsidR="00C72B66" w:rsidRPr="00D24F4F">
        <w:t>S</w:t>
      </w:r>
      <w:r w:rsidRPr="00D24F4F">
        <w:t>, which measures the relative variation of a model output variable (</w:t>
      </w:r>
      <w:r w:rsidR="00231B63" w:rsidRPr="00D24F4F">
        <w:t>F</w:t>
      </w:r>
      <w:r w:rsidRPr="00D24F4F">
        <w:t>) in response to a relative variation in an input parameter (</w:t>
      </w:r>
      <w:r w:rsidR="00450F1C" w:rsidRPr="00D24F4F">
        <w:t>ξ</w:t>
      </w:r>
      <w:r w:rsidRPr="00D24F4F">
        <w:t xml:space="preserve">), according to Equation </w:t>
      </w:r>
      <w:r w:rsidR="00941D83" w:rsidRPr="00D24F4F">
        <w:t>2</w:t>
      </w:r>
      <w:r w:rsidRPr="00D24F4F">
        <w:t xml:space="preserve">. Values of </w:t>
      </w:r>
      <w:r w:rsidR="00334F03" w:rsidRPr="00D24F4F">
        <w:t>S</w:t>
      </w:r>
      <w:r w:rsidRPr="00D24F4F">
        <w:t xml:space="preserve"> close to 0 indicate that the model is</w:t>
      </w:r>
      <w:r w:rsidRPr="00CA5DC1">
        <w:t xml:space="preserve"> insensitive to the parameter, while values greater than 1 suggest high sensitivity, thus allowing identification of which kinetic parameters exert greater influence on the simulation results.</w:t>
      </w:r>
    </w:p>
    <w:tbl>
      <w:tblPr>
        <w:tblW w:w="5000" w:type="pct"/>
        <w:tblLook w:val="04A0" w:firstRow="1" w:lastRow="0" w:firstColumn="1" w:lastColumn="0" w:noHBand="0" w:noVBand="1"/>
      </w:tblPr>
      <w:tblGrid>
        <w:gridCol w:w="7983"/>
        <w:gridCol w:w="804"/>
      </w:tblGrid>
      <w:tr w:rsidR="00A13527" w:rsidRPr="00B57B36" w14:paraId="264AFBB4" w14:textId="77777777" w:rsidTr="00DF2A4C">
        <w:tc>
          <w:tcPr>
            <w:tcW w:w="7983" w:type="dxa"/>
            <w:vAlign w:val="center"/>
          </w:tcPr>
          <w:p w14:paraId="6758D38C" w14:textId="7AC85E04" w:rsidR="00A13527" w:rsidRPr="00450F1C" w:rsidRDefault="00450F1C" w:rsidP="003C7A66">
            <w:pPr>
              <w:pStyle w:val="CETEquation"/>
              <w:rPr>
                <w:rFonts w:cs="Arial"/>
              </w:rPr>
            </w:pPr>
            <m:oMathPara>
              <m:oMathParaPr>
                <m:jc m:val="left"/>
              </m:oMathParaPr>
              <m:oMath>
                <m:r>
                  <m:rPr>
                    <m:nor/>
                  </m:rPr>
                  <w:rPr>
                    <w:rFonts w:cs="Arial"/>
                    <w:lang w:val="pt-BR"/>
                  </w:rPr>
                  <m:t>S</m:t>
                </m:r>
                <m:d>
                  <m:dPr>
                    <m:ctrlPr>
                      <w:rPr>
                        <w:rFonts w:ascii="Cambria Math" w:hAnsi="Cambria Math" w:cs="Arial"/>
                        <w:i/>
                        <w:lang w:val="pt-BR"/>
                      </w:rPr>
                    </m:ctrlPr>
                  </m:dPr>
                  <m:e>
                    <w:proofErr w:type="spellStart"/>
                    <m:r>
                      <m:rPr>
                        <m:nor/>
                      </m:rPr>
                      <w:rPr>
                        <w:rFonts w:cs="Arial"/>
                        <w:lang w:val="pt-BR"/>
                      </w:rPr>
                      <m:t>F;ξ</m:t>
                    </m:r>
                    <w:proofErr w:type="spellEnd"/>
                  </m:e>
                </m:d>
                <m:r>
                  <m:rPr>
                    <m:nor/>
                  </m:rPr>
                  <w:rPr>
                    <w:rFonts w:cs="Arial"/>
                    <w:lang w:val="pt-BR"/>
                  </w:rPr>
                  <m:t>=</m:t>
                </m:r>
                <m:d>
                  <m:dPr>
                    <m:begChr m:val="|"/>
                    <m:endChr m:val="|"/>
                    <m:ctrlPr>
                      <w:rPr>
                        <w:rFonts w:ascii="Cambria Math" w:hAnsi="Cambria Math" w:cs="Arial"/>
                        <w:lang w:val="pt-BR"/>
                      </w:rPr>
                    </m:ctrlPr>
                  </m:dPr>
                  <m:e>
                    <m:d>
                      <m:dPr>
                        <m:ctrlPr>
                          <w:rPr>
                            <w:rFonts w:ascii="Cambria Math" w:hAnsi="Cambria Math" w:cs="Arial"/>
                            <w:i/>
                            <w:lang w:val="pt-BR"/>
                          </w:rPr>
                        </m:ctrlPr>
                      </m:dPr>
                      <m:e>
                        <m:f>
                          <m:fPr>
                            <m:ctrlPr>
                              <w:rPr>
                                <w:rFonts w:ascii="Cambria Math" w:hAnsi="Cambria Math" w:cs="Arial"/>
                                <w:lang w:val="pt-BR"/>
                              </w:rPr>
                            </m:ctrlPr>
                          </m:fPr>
                          <m:num>
                            <m:r>
                              <m:rPr>
                                <m:nor/>
                              </m:rPr>
                              <w:rPr>
                                <w:rFonts w:cs="Arial"/>
                                <w:lang w:val="pt-BR"/>
                              </w:rPr>
                              <m:t>∂F</m:t>
                            </m:r>
                          </m:num>
                          <m:den>
                            <m:r>
                              <m:rPr>
                                <m:nor/>
                              </m:rPr>
                              <w:rPr>
                                <w:rFonts w:cs="Arial"/>
                                <w:lang w:val="pt-BR"/>
                              </w:rPr>
                              <m:t>∂ξ</m:t>
                            </m:r>
                          </m:den>
                        </m:f>
                      </m:e>
                    </m:d>
                    <m:r>
                      <m:rPr>
                        <m:nor/>
                      </m:rPr>
                      <w:rPr>
                        <w:rFonts w:ascii="Cambria Math" w:hAnsi="Cambria Math" w:cs="Cambria Math"/>
                        <w:lang w:val="pt-BR"/>
                      </w:rPr>
                      <m:t>⋅</m:t>
                    </m:r>
                    <m:d>
                      <m:dPr>
                        <m:ctrlPr>
                          <w:rPr>
                            <w:rFonts w:ascii="Cambria Math" w:hAnsi="Cambria Math" w:cs="Arial"/>
                            <w:i/>
                            <w:lang w:val="pt-BR"/>
                          </w:rPr>
                        </m:ctrlPr>
                      </m:dPr>
                      <m:e>
                        <m:f>
                          <m:fPr>
                            <m:ctrlPr>
                              <w:rPr>
                                <w:rFonts w:ascii="Cambria Math" w:hAnsi="Cambria Math" w:cs="Arial"/>
                                <w:lang w:val="pt-BR"/>
                              </w:rPr>
                            </m:ctrlPr>
                          </m:fPr>
                          <m:num>
                            <m:r>
                              <m:rPr>
                                <m:nor/>
                              </m:rPr>
                              <w:rPr>
                                <w:rFonts w:cs="Arial"/>
                                <w:lang w:val="pt-BR"/>
                              </w:rPr>
                              <m:t>ξ</m:t>
                            </m:r>
                          </m:num>
                          <m:den>
                            <m:r>
                              <m:rPr>
                                <m:nor/>
                              </m:rPr>
                              <w:rPr>
                                <w:rFonts w:cs="Arial"/>
                                <w:lang w:val="pt-BR"/>
                              </w:rPr>
                              <m:t>F</m:t>
                            </m:r>
                          </m:den>
                        </m:f>
                      </m:e>
                    </m:d>
                    <m:ctrlPr>
                      <w:rPr>
                        <w:rFonts w:ascii="Cambria Math" w:hAnsi="Cambria Math" w:cs="Arial"/>
                        <w:i/>
                        <w:lang w:val="pt-BR"/>
                      </w:rPr>
                    </m:ctrlPr>
                  </m:e>
                </m:d>
              </m:oMath>
            </m:oMathPara>
          </w:p>
        </w:tc>
        <w:tc>
          <w:tcPr>
            <w:tcW w:w="804" w:type="dxa"/>
            <w:vAlign w:val="center"/>
          </w:tcPr>
          <w:p w14:paraId="55B89C24" w14:textId="77777777" w:rsidR="00A13527" w:rsidRPr="00B57B36" w:rsidRDefault="00A13527" w:rsidP="003C7A66">
            <w:pPr>
              <w:pStyle w:val="CETEquation"/>
              <w:jc w:val="right"/>
            </w:pPr>
            <w:r w:rsidRPr="00B57B36">
              <w:t>(</w:t>
            </w:r>
            <w:r>
              <w:t>2</w:t>
            </w:r>
            <w:r w:rsidRPr="00B57B36">
              <w:t>)</w:t>
            </w:r>
          </w:p>
        </w:tc>
      </w:tr>
    </w:tbl>
    <w:p w14:paraId="186CB593" w14:textId="7FAC79FE" w:rsidR="007F4315" w:rsidRDefault="00DF2A4C" w:rsidP="00DF2A4C">
      <w:pPr>
        <w:pStyle w:val="CETHeading1"/>
      </w:pPr>
      <w:r w:rsidRPr="00CA5DC1">
        <w:t>Results and Discussion</w:t>
      </w:r>
    </w:p>
    <w:p w14:paraId="18F0091D" w14:textId="6C1E9438" w:rsidR="00E41A66" w:rsidRPr="008F15B1" w:rsidRDefault="00E41A66" w:rsidP="008F15B1">
      <w:pPr>
        <w:pStyle w:val="CETheadingx"/>
      </w:pPr>
      <w:proofErr w:type="spellStart"/>
      <w:r w:rsidRPr="008F15B1">
        <w:t>Variation</w:t>
      </w:r>
      <w:proofErr w:type="spellEnd"/>
      <w:r w:rsidRPr="008F15B1">
        <w:t xml:space="preserve"> </w:t>
      </w:r>
      <w:proofErr w:type="spellStart"/>
      <w:r w:rsidRPr="008F15B1">
        <w:t>of</w:t>
      </w:r>
      <w:proofErr w:type="spellEnd"/>
      <w:r w:rsidRPr="008F15B1">
        <w:t xml:space="preserve"> </w:t>
      </w:r>
      <w:proofErr w:type="spellStart"/>
      <w:proofErr w:type="gramStart"/>
      <w:r w:rsidRPr="008F15B1">
        <w:t>q</w:t>
      </w:r>
      <w:r w:rsidRPr="00450F1C">
        <w:rPr>
          <w:vertAlign w:val="subscript"/>
        </w:rPr>
        <w:t>max,e</w:t>
      </w:r>
      <w:proofErr w:type="spellEnd"/>
      <w:proofErr w:type="gramEnd"/>
      <w:r w:rsidR="008F15B1" w:rsidRPr="008F15B1">
        <w:t xml:space="preserve"> </w:t>
      </w:r>
    </w:p>
    <w:p w14:paraId="218E6FDB" w14:textId="71723E2E" w:rsidR="008F15B1" w:rsidRDefault="008F15B1" w:rsidP="008F15B1">
      <w:pPr>
        <w:pStyle w:val="CETBodytext"/>
      </w:pPr>
      <w:r w:rsidRPr="00CA5DC1">
        <w:t xml:space="preserve">The maximum substrate consumption rate by electrogenic microorganisms proved to be the most critical parameter for internal biofilm competition dynamics. Figures 1a and 1b illustrate the evolution of populations in layer 2, where electrogenic </w:t>
      </w:r>
      <w:r w:rsidR="00194538">
        <w:t xml:space="preserve">and </w:t>
      </w:r>
      <w:proofErr w:type="spellStart"/>
      <w:r w:rsidR="00194538" w:rsidRPr="00CA5DC1">
        <w:t>acetoclastic</w:t>
      </w:r>
      <w:proofErr w:type="spellEnd"/>
      <w:r w:rsidR="00194538" w:rsidRPr="00CA5DC1">
        <w:t xml:space="preserve"> methanogens</w:t>
      </w:r>
      <w:r w:rsidRPr="00CA5DC1">
        <w:t xml:space="preserve"> </w:t>
      </w:r>
      <w:r w:rsidR="00194538" w:rsidRPr="00CA5DC1">
        <w:t>microorganisms</w:t>
      </w:r>
      <w:r w:rsidR="00194538">
        <w:t xml:space="preserve"> </w:t>
      </w:r>
      <w:r w:rsidRPr="00CA5DC1">
        <w:t xml:space="preserve">compete directly for space and substrate. It is observed that for all simulated scenarios, the electrogenic population shows rapid growth, reaching saturation of the biofilm support capacity in less than 20 days. This dominance imposes a severe spatial and nutritional restriction on the cohabiting methanogenic population, leading to its rapid decline between days 15 and 60, demonstrating that a small increase in </w:t>
      </w:r>
      <w:proofErr w:type="spellStart"/>
      <w:proofErr w:type="gramStart"/>
      <w:r w:rsidR="00450F1C">
        <w:t>q</w:t>
      </w:r>
      <w:r w:rsidR="00450F1C">
        <w:rPr>
          <w:vertAlign w:val="subscript"/>
        </w:rPr>
        <w:t>max,e</w:t>
      </w:r>
      <w:proofErr w:type="spellEnd"/>
      <w:proofErr w:type="gramEnd"/>
      <w:r w:rsidRPr="00CA5DC1">
        <w:t xml:space="preserve"> efficiency is sufficient to cause rapid population washout and </w:t>
      </w:r>
      <w:proofErr w:type="gramStart"/>
      <w:r w:rsidRPr="00CA5DC1">
        <w:t>indicating</w:t>
      </w:r>
      <w:proofErr w:type="gramEnd"/>
      <w:r w:rsidRPr="00CA5DC1">
        <w:t xml:space="preserve"> that the competitive equilibrium predicted by the model is dependent on the precision of this parameter.</w:t>
      </w:r>
    </w:p>
    <w:p w14:paraId="42D375EF" w14:textId="15DD4C06" w:rsidR="00224BB7" w:rsidRDefault="00194538" w:rsidP="008F15B1">
      <w:pPr>
        <w:pStyle w:val="CETBodytext"/>
      </w:pPr>
      <w:r w:rsidRPr="00194538">
        <w:rPr>
          <w:noProof/>
        </w:rPr>
        <w:drawing>
          <wp:inline distT="0" distB="0" distL="0" distR="0" wp14:anchorId="65BA4996" wp14:editId="0A726EBE">
            <wp:extent cx="5579745" cy="2884170"/>
            <wp:effectExtent l="0" t="0" r="1905" b="0"/>
            <wp:docPr id="1807311125" name="Imagem 1" descr="Diagra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311125" name="Imagem 1" descr="Diagrama&#10;&#10;O conteúdo gerado por IA pode estar incorreto."/>
                    <pic:cNvPicPr/>
                  </pic:nvPicPr>
                  <pic:blipFill>
                    <a:blip r:embed="rId10"/>
                    <a:stretch>
                      <a:fillRect/>
                    </a:stretch>
                  </pic:blipFill>
                  <pic:spPr>
                    <a:xfrm>
                      <a:off x="0" y="0"/>
                      <a:ext cx="5579745" cy="2884170"/>
                    </a:xfrm>
                    <a:prstGeom prst="rect">
                      <a:avLst/>
                    </a:prstGeom>
                  </pic:spPr>
                </pic:pic>
              </a:graphicData>
            </a:graphic>
          </wp:inline>
        </w:drawing>
      </w:r>
    </w:p>
    <w:p w14:paraId="45F18C89" w14:textId="1E7C5209" w:rsidR="00352825" w:rsidRPr="00352825" w:rsidRDefault="00352825" w:rsidP="00352825">
      <w:pPr>
        <w:pStyle w:val="CETCaption"/>
      </w:pPr>
      <w:r>
        <w:t xml:space="preserve">Figure 1: </w:t>
      </w:r>
      <w:r w:rsidRPr="00303FD0">
        <w:t xml:space="preserve">Temporal evolution of variables and </w:t>
      </w:r>
      <w:r>
        <w:t>its</w:t>
      </w:r>
      <w:r w:rsidRPr="00303FD0">
        <w:t xml:space="preserve"> sensitivity (A) electrogenic microorganisms (B) </w:t>
      </w:r>
      <w:proofErr w:type="spellStart"/>
      <w:r w:rsidRPr="00303FD0">
        <w:t>acetoclastic</w:t>
      </w:r>
      <w:proofErr w:type="spellEnd"/>
      <w:r w:rsidRPr="00303FD0">
        <w:t xml:space="preserve"> methanogenic microorganisms (C) sensitivity of electrogenic microorganisms (D) sensitivity of </w:t>
      </w:r>
      <w:proofErr w:type="spellStart"/>
      <w:r w:rsidRPr="00303FD0">
        <w:t>acetoclastic</w:t>
      </w:r>
      <w:proofErr w:type="spellEnd"/>
      <w:r w:rsidRPr="00303FD0">
        <w:t xml:space="preserve"> methanogenic microorganisms.</w:t>
      </w:r>
    </w:p>
    <w:p w14:paraId="7065DDE0" w14:textId="0EAAB6F9" w:rsidR="008F15B1" w:rsidRPr="009D18BC" w:rsidRDefault="008F15B1" w:rsidP="008F15B1">
      <w:pPr>
        <w:pStyle w:val="CETBodytext"/>
        <w:rPr>
          <w:lang w:val="en-GB"/>
        </w:rPr>
      </w:pPr>
      <w:r w:rsidRPr="00CA5DC1">
        <w:lastRenderedPageBreak/>
        <w:t>Sensitivity analysis mathematically quantifies this competitive exclusion phenomenon. Methanogens in the internal layer showed the highest sensitivity indices of the entire study, with mean values (</w:t>
      </w:r>
      <w:r w:rsidR="00DD13DE">
        <w:t>S</w:t>
      </w:r>
      <w:r w:rsidR="00DD13DE">
        <w:rPr>
          <w:vertAlign w:val="subscript"/>
        </w:rPr>
        <w:t>mean</w:t>
      </w:r>
      <w:r w:rsidRPr="00CA5DC1">
        <w:t>) ranging between 3.8 and 6.2. Figure 1</w:t>
      </w:r>
      <w:r w:rsidR="00194538">
        <w:t>d</w:t>
      </w:r>
      <w:r w:rsidRPr="00CA5DC1">
        <w:t xml:space="preserve"> details the temporal profile of this sensitivity, which exhibits exponential growth even after day 60. It should be noted that this asymptotic behavior of </w:t>
      </w:r>
      <w:r w:rsidR="005A0722">
        <w:t>S</w:t>
      </w:r>
      <w:r w:rsidR="009D18BC">
        <w:rPr>
          <w:lang w:val="en-GB"/>
        </w:rPr>
        <w:t xml:space="preserve"> </w:t>
      </w:r>
      <w:r w:rsidRPr="00CA5DC1">
        <w:t>is partly a mathematical artifact of the normalization in Eq</w:t>
      </w:r>
      <w:r w:rsidR="00A102A6">
        <w:t xml:space="preserve"> </w:t>
      </w:r>
      <w:r w:rsidRPr="00CA5DC1">
        <w:t>(</w:t>
      </w:r>
      <w:r>
        <w:t>2</w:t>
      </w:r>
      <w:r w:rsidRPr="00CA5DC1">
        <w:t xml:space="preserve">). As </w:t>
      </w:r>
      <w:r w:rsidR="00216818">
        <w:t>x</w:t>
      </w:r>
      <w:r w:rsidR="00216818">
        <w:rPr>
          <w:vertAlign w:val="subscript"/>
        </w:rPr>
        <w:t>m,2</w:t>
      </w:r>
      <w:r w:rsidRPr="00CA5DC1">
        <w:t xml:space="preserve"> concentration tends to zero due to </w:t>
      </w:r>
      <w:r w:rsidRPr="00D24F4F">
        <w:t xml:space="preserve">competitive exclusion, small absolute variations result in mathematically amplified relative variations, not necessarily indicating operational instability but rather confirming the suppression of this population. Meanwhile, the behavior of </w:t>
      </w:r>
      <w:r w:rsidR="00726E5C" w:rsidRPr="00D24F4F">
        <w:t>S</w:t>
      </w:r>
      <w:r w:rsidRPr="00D24F4F">
        <w:t xml:space="preserve"> for </w:t>
      </w:r>
      <w:proofErr w:type="spellStart"/>
      <w:r w:rsidR="00A5209E" w:rsidRPr="00D24F4F">
        <w:t>x</w:t>
      </w:r>
      <w:r w:rsidR="00A5209E" w:rsidRPr="00AF7A16">
        <w:rPr>
          <w:vertAlign w:val="subscript"/>
        </w:rPr>
        <w:t>e</w:t>
      </w:r>
      <w:proofErr w:type="spellEnd"/>
      <w:r w:rsidRPr="00D24F4F">
        <w:t xml:space="preserve"> (Figure 1</w:t>
      </w:r>
      <w:r w:rsidR="00194538" w:rsidRPr="00D24F4F">
        <w:t>c</w:t>
      </w:r>
      <w:r w:rsidRPr="00D24F4F">
        <w:t>) demonstrates that the electrogenic microorganism population shows transient sensitivity to</w:t>
      </w:r>
      <w:r w:rsidRPr="00CA5DC1">
        <w:t xml:space="preserve"> the </w:t>
      </w:r>
      <w:proofErr w:type="spellStart"/>
      <w:proofErr w:type="gramStart"/>
      <w:r w:rsidR="00A5209E">
        <w:t>q</w:t>
      </w:r>
      <w:r w:rsidR="00A5209E">
        <w:rPr>
          <w:vertAlign w:val="subscript"/>
        </w:rPr>
        <w:t>max,e</w:t>
      </w:r>
      <w:proofErr w:type="spellEnd"/>
      <w:proofErr w:type="gramEnd"/>
      <w:r w:rsidRPr="00CA5DC1">
        <w:t xml:space="preserve"> parameter, which directly influenced how quickly this population was able to saturate layer 2 of the biofilm.</w:t>
      </w:r>
    </w:p>
    <w:p w14:paraId="0EFDD8DB" w14:textId="3E4B5EE7" w:rsidR="008F15B1" w:rsidRPr="00CA5DC1" w:rsidRDefault="008F15B1" w:rsidP="008F15B1">
      <w:pPr>
        <w:pStyle w:val="CETBodytext"/>
      </w:pPr>
      <w:r w:rsidRPr="00CA5DC1">
        <w:t>Beyond the direct competition in layer 2, simulations revealed a long-term indirect competitive effect on methanogens in the external layer (</w:t>
      </w:r>
      <w:r w:rsidR="00ED3324">
        <w:t>x</w:t>
      </w:r>
      <w:r w:rsidR="00ED3324">
        <w:rPr>
          <w:vertAlign w:val="subscript"/>
        </w:rPr>
        <w:t>m1</w:t>
      </w:r>
      <w:r w:rsidRPr="00CA5DC1">
        <w:t>). Although this population shows low mean sensitivity (</w:t>
      </w:r>
      <w:r w:rsidR="00ED3324">
        <w:t>S</w:t>
      </w:r>
      <w:r w:rsidR="00ED3324">
        <w:rPr>
          <w:vertAlign w:val="subscript"/>
        </w:rPr>
        <w:t>mean</w:t>
      </w:r>
      <w:r w:rsidRPr="00CA5DC1">
        <w:t xml:space="preserve">), continuous divergence in concentration curves was noted throughout the 100-day simulation, indicating that higher acetate consumption efficiency by </w:t>
      </w:r>
      <w:proofErr w:type="spellStart"/>
      <w:r w:rsidRPr="00CA5DC1">
        <w:t>electrogens</w:t>
      </w:r>
      <w:proofErr w:type="spellEnd"/>
      <w:r w:rsidRPr="00CA5DC1">
        <w:t xml:space="preserve"> in the internal layer progressively reduces substrate availability for the external layer, slowly suppressing its growth.</w:t>
      </w:r>
    </w:p>
    <w:p w14:paraId="3B75146A" w14:textId="1D42138E" w:rsidR="008F15B1" w:rsidRPr="00CA5DC1" w:rsidRDefault="008F15B1" w:rsidP="008F15B1">
      <w:pPr>
        <w:pStyle w:val="CETBodytext"/>
      </w:pPr>
      <w:r w:rsidRPr="00CA5DC1">
        <w:t xml:space="preserve">In contrast to population dynamics, electrochemical performance variables </w:t>
      </w:r>
      <w:proofErr w:type="gramStart"/>
      <w:r w:rsidRPr="00CA5DC1">
        <w:t>demonstrated</w:t>
      </w:r>
      <w:proofErr w:type="gramEnd"/>
      <w:r w:rsidRPr="00CA5DC1">
        <w:t xml:space="preserve"> robustness. Electric Current (</w:t>
      </w:r>
      <w:r w:rsidR="00ED3324">
        <w:t>I</w:t>
      </w:r>
      <w:r w:rsidR="00ED3324">
        <w:rPr>
          <w:vertAlign w:val="subscript"/>
        </w:rPr>
        <w:t>MEC</w:t>
      </w:r>
      <w:r w:rsidRPr="00CA5DC1">
        <w:t>), Hydrogen Production</w:t>
      </w:r>
      <w:r w:rsidR="00220954">
        <w:t xml:space="preserve"> (Q</w:t>
      </w:r>
      <w:r w:rsidR="00220954">
        <w:rPr>
          <w:vertAlign w:val="subscript"/>
        </w:rPr>
        <w:t>H2</w:t>
      </w:r>
      <w:r w:rsidRPr="00CA5DC1">
        <w:t>), and M</w:t>
      </w:r>
      <w:r w:rsidRPr="00CA5DC1">
        <w:rPr>
          <w:szCs w:val="18"/>
          <w:vertAlign w:val="subscript"/>
        </w:rPr>
        <w:t>ox</w:t>
      </w:r>
      <w:r w:rsidRPr="00CA5DC1">
        <w:t xml:space="preserve"> showed practically null sensitivity at steady state, indicating that once electrogenic biofilm dominance is established, variations of up to </w:t>
      </w:r>
      <w:r w:rsidR="00281270">
        <w:t>9</w:t>
      </w:r>
      <w:r w:rsidR="0086321D">
        <w:t xml:space="preserve"> </w:t>
      </w:r>
      <w:r w:rsidRPr="00CA5DC1">
        <w:t xml:space="preserve">% in maximum consumption kinetics do not compromise final energy production. This insensitivity suggests that the final level of current and hydrogen production is not limited by </w:t>
      </w:r>
      <w:proofErr w:type="spellStart"/>
      <w:proofErr w:type="gramStart"/>
      <w:r w:rsidRPr="00CA5DC1">
        <w:t>q</w:t>
      </w:r>
      <w:r w:rsidRPr="00CA5DC1">
        <w:rPr>
          <w:szCs w:val="18"/>
          <w:vertAlign w:val="subscript"/>
        </w:rPr>
        <w:t>max,e</w:t>
      </w:r>
      <w:proofErr w:type="spellEnd"/>
      <w:proofErr w:type="gramEnd"/>
      <w:r w:rsidRPr="00CA5DC1">
        <w:t xml:space="preserve">, but rather by another limiting factor in the model, such as maximum biomass concentration. Similarly, acetate concentrations and anodic methane production suffered only transient impacts during the startup phase, quickly converging to stable values regardless of the magnitude of </w:t>
      </w:r>
      <w:proofErr w:type="spellStart"/>
      <w:proofErr w:type="gramStart"/>
      <w:r w:rsidRPr="00CA5DC1">
        <w:t>q</w:t>
      </w:r>
      <w:r w:rsidRPr="00CA5DC1">
        <w:rPr>
          <w:szCs w:val="18"/>
          <w:vertAlign w:val="subscript"/>
        </w:rPr>
        <w:t>max,e</w:t>
      </w:r>
      <w:proofErr w:type="spellEnd"/>
      <w:r w:rsidRPr="00CA5DC1">
        <w:t>.</w:t>
      </w:r>
      <w:proofErr w:type="gramEnd"/>
    </w:p>
    <w:p w14:paraId="29425803" w14:textId="1D23EAED" w:rsidR="00DF2A4C" w:rsidRPr="00F06091" w:rsidRDefault="00E67846" w:rsidP="00F06091">
      <w:pPr>
        <w:pStyle w:val="CETheadingx"/>
      </w:pPr>
      <w:proofErr w:type="spellStart"/>
      <w:r w:rsidRPr="00F06091">
        <w:t>Variation</w:t>
      </w:r>
      <w:proofErr w:type="spellEnd"/>
      <w:r w:rsidRPr="00F06091">
        <w:t xml:space="preserve"> </w:t>
      </w:r>
      <w:proofErr w:type="spellStart"/>
      <w:r w:rsidRPr="00F06091">
        <w:t>of</w:t>
      </w:r>
      <w:proofErr w:type="spellEnd"/>
      <w:r w:rsidRPr="00F06091">
        <w:t xml:space="preserve"> </w:t>
      </w:r>
      <w:proofErr w:type="spellStart"/>
      <w:proofErr w:type="gramStart"/>
      <w:r w:rsidRPr="00F06091">
        <w:t>q</w:t>
      </w:r>
      <w:r w:rsidRPr="00220954">
        <w:rPr>
          <w:vertAlign w:val="subscript"/>
        </w:rPr>
        <w:t>max,f</w:t>
      </w:r>
      <w:proofErr w:type="spellEnd"/>
      <w:proofErr w:type="gramEnd"/>
      <w:r w:rsidRPr="00F06091">
        <w:t xml:space="preserve">   </w:t>
      </w:r>
    </w:p>
    <w:p w14:paraId="2517D18E" w14:textId="0B2A1A3B" w:rsidR="00B66994" w:rsidRPr="00B66994" w:rsidRDefault="00B66994" w:rsidP="00B66994">
      <w:pPr>
        <w:pStyle w:val="CETBodytext"/>
        <w:rPr>
          <w:lang w:eastAsia="pt-BR"/>
        </w:rPr>
      </w:pPr>
      <w:r w:rsidRPr="00827179">
        <w:rPr>
          <w:lang w:eastAsia="pt-BR"/>
        </w:rPr>
        <w:t xml:space="preserve">While electrogenic consumption kinetics dictate the structural competition of the biofilm, the maximum consumption rate of fermentative </w:t>
      </w:r>
      <w:r w:rsidRPr="00B66994">
        <w:rPr>
          <w:lang w:eastAsia="pt-BR"/>
        </w:rPr>
        <w:t xml:space="preserve">microorganisms acts predominantly as a modulator of the system's transient response. Figure 2a presents the acetate concentration profiles, the central intermediate product of the process. It is observed that variations in the rate significantly alter the magnitude of </w:t>
      </w:r>
      <w:proofErr w:type="gramStart"/>
      <w:r w:rsidRPr="00B66994">
        <w:rPr>
          <w:lang w:eastAsia="pt-BR"/>
        </w:rPr>
        <w:t>the acetate</w:t>
      </w:r>
      <w:proofErr w:type="gramEnd"/>
      <w:r w:rsidRPr="00B66994">
        <w:rPr>
          <w:lang w:eastAsia="pt-BR"/>
        </w:rPr>
        <w:t xml:space="preserve"> accumulation peak during the startup phase. Higher fermentative rates accelerate the hydrolysis of complex substrates, generating immediate acetate availability, driving initial growth of methanogenic populations in the external layer (</w:t>
      </w:r>
      <w:r w:rsidR="00220954">
        <w:rPr>
          <w:lang w:eastAsia="pt-BR"/>
        </w:rPr>
        <w:t>x</w:t>
      </w:r>
      <w:r w:rsidR="00220954">
        <w:rPr>
          <w:vertAlign w:val="subscript"/>
          <w:lang w:eastAsia="pt-BR"/>
        </w:rPr>
        <w:t>m</w:t>
      </w:r>
      <w:r w:rsidR="00D240AE">
        <w:rPr>
          <w:vertAlign w:val="subscript"/>
          <w:lang w:eastAsia="pt-BR"/>
        </w:rPr>
        <w:t>1</w:t>
      </w:r>
      <w:r w:rsidRPr="00B66994">
        <w:rPr>
          <w:lang w:eastAsia="pt-BR"/>
        </w:rPr>
        <w:t>).</w:t>
      </w:r>
    </w:p>
    <w:p w14:paraId="7E69B1FD" w14:textId="145946C1" w:rsidR="00224BB7" w:rsidRDefault="00B66994" w:rsidP="00B66994">
      <w:pPr>
        <w:pStyle w:val="CETBodytext"/>
        <w:rPr>
          <w:lang w:eastAsia="pt-BR"/>
        </w:rPr>
      </w:pPr>
      <w:r w:rsidRPr="00B66994">
        <w:rPr>
          <w:lang w:eastAsia="pt-BR"/>
        </w:rPr>
        <w:t>After the initial stabilization period (</w:t>
      </w:r>
      <w:r w:rsidR="00A63E3C">
        <w:rPr>
          <w:lang w:eastAsia="pt-BR"/>
        </w:rPr>
        <w:t>beyond day 20</w:t>
      </w:r>
      <w:r w:rsidRPr="00B66994">
        <w:rPr>
          <w:lang w:eastAsia="pt-BR"/>
        </w:rPr>
        <w:t>), the acetate concentration curves converge to the same equilibrium value, regardless of the applied fermentative rate. Sensitivity analysis, presented in Figure 2</w:t>
      </w:r>
      <w:r w:rsidR="00352825">
        <w:rPr>
          <w:lang w:eastAsia="pt-BR"/>
        </w:rPr>
        <w:t>c</w:t>
      </w:r>
      <w:r w:rsidRPr="00B66994">
        <w:rPr>
          <w:lang w:eastAsia="pt-BR"/>
        </w:rPr>
        <w:t>, corroborates this observation: the sensitivity index (</w:t>
      </w:r>
      <w:r w:rsidR="00D240AE">
        <w:rPr>
          <w:lang w:eastAsia="pt-BR"/>
        </w:rPr>
        <w:t>S</w:t>
      </w:r>
      <w:r w:rsidRPr="00B66994">
        <w:rPr>
          <w:lang w:eastAsia="pt-BR"/>
        </w:rPr>
        <w:t>) exhibits high peaks coinciding with startup perturbations but rapidly decays to values close to zero at steady state. It is worth noting that the fluctuations observed in the sensitivity curve during the steady-state regime do not represent physical process instability but rather numerical noise, which occurs because the differential term of the sensitivity equation approaches machine precision of the solver. These infinitesimal variations, when processed by finite difference calculation, result in residual mathematical oscillations without physical meaning, confirming the nullity of the parameter's impact in this phase.</w:t>
      </w:r>
    </w:p>
    <w:p w14:paraId="31431BC9" w14:textId="43679E3C" w:rsidR="00224BB7" w:rsidRDefault="00352825" w:rsidP="00B66994">
      <w:pPr>
        <w:pStyle w:val="CETBodytext"/>
        <w:rPr>
          <w:noProof/>
          <w:lang w:eastAsia="pt-BR"/>
        </w:rPr>
      </w:pPr>
      <w:r w:rsidRPr="00352825">
        <w:rPr>
          <w:noProof/>
          <w:lang w:eastAsia="pt-BR"/>
        </w:rPr>
        <w:drawing>
          <wp:inline distT="0" distB="0" distL="0" distR="0" wp14:anchorId="10E1CAE8" wp14:editId="3632A3B7">
            <wp:extent cx="5006833" cy="2582334"/>
            <wp:effectExtent l="0" t="0" r="3810" b="8890"/>
            <wp:docPr id="1010999830" name="Imagem 1" descr="Diagra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999830" name="Imagem 1" descr="Diagrama&#10;&#10;O conteúdo gerado por IA pode estar incorreto."/>
                    <pic:cNvPicPr/>
                  </pic:nvPicPr>
                  <pic:blipFill>
                    <a:blip r:embed="rId11"/>
                    <a:stretch>
                      <a:fillRect/>
                    </a:stretch>
                  </pic:blipFill>
                  <pic:spPr>
                    <a:xfrm>
                      <a:off x="0" y="0"/>
                      <a:ext cx="5006833" cy="2582334"/>
                    </a:xfrm>
                    <a:prstGeom prst="rect">
                      <a:avLst/>
                    </a:prstGeom>
                  </pic:spPr>
                </pic:pic>
              </a:graphicData>
            </a:graphic>
          </wp:inline>
        </w:drawing>
      </w:r>
      <w:r w:rsidRPr="00352825">
        <w:rPr>
          <w:noProof/>
          <w:lang w:eastAsia="pt-BR"/>
        </w:rPr>
        <w:t xml:space="preserve"> </w:t>
      </w:r>
    </w:p>
    <w:p w14:paraId="08B68163" w14:textId="5D0E3975" w:rsidR="00352825" w:rsidRPr="00352825" w:rsidRDefault="00352825" w:rsidP="00352825">
      <w:pPr>
        <w:pStyle w:val="CETCaption"/>
      </w:pPr>
      <w:r>
        <w:t xml:space="preserve">Figure 2: </w:t>
      </w:r>
      <w:r w:rsidRPr="00352825">
        <w:t>Temporal evolution of variables and their sensitivity (A) acetate (B) fermenting microorganisms (C) acetate sensitivity (D) sensitivity of fermenting microorganisms.</w:t>
      </w:r>
    </w:p>
    <w:p w14:paraId="25A0DFE0" w14:textId="6CD14B94" w:rsidR="00B66994" w:rsidRPr="00B66994" w:rsidRDefault="00B66994" w:rsidP="00B66994">
      <w:pPr>
        <w:pStyle w:val="CETBodytext"/>
        <w:rPr>
          <w:lang w:eastAsia="pt-BR"/>
        </w:rPr>
      </w:pPr>
      <w:r w:rsidRPr="00B66994">
        <w:rPr>
          <w:lang w:eastAsia="pt-BR"/>
        </w:rPr>
        <w:lastRenderedPageBreak/>
        <w:t xml:space="preserve">The fermentative microorganism population had a direct and significant </w:t>
      </w:r>
      <w:r w:rsidRPr="00553C6E">
        <w:t>impact (</w:t>
      </w:r>
      <w:r w:rsidR="0050716D" w:rsidRPr="00553C6E">
        <w:t>S</w:t>
      </w:r>
      <w:r w:rsidR="00261B3D" w:rsidRPr="00553C6E">
        <w:rPr>
          <w:vertAlign w:val="subscript"/>
        </w:rPr>
        <w:t>mean</w:t>
      </w:r>
      <w:r w:rsidR="00A63E3C" w:rsidRPr="00553C6E">
        <w:t xml:space="preserve"> </w:t>
      </w:r>
      <w:r w:rsidR="001729E3" w:rsidRPr="00553C6E">
        <w:t>of</w:t>
      </w:r>
      <w:r w:rsidR="00A63E3C" w:rsidRPr="00553C6E">
        <w:t xml:space="preserve"> </w:t>
      </w:r>
      <w:r w:rsidR="00261B3D" w:rsidRPr="00553C6E">
        <w:t>0.7</w:t>
      </w:r>
      <w:r w:rsidRPr="00553C6E">
        <w:t>), such th</w:t>
      </w:r>
      <w:r w:rsidRPr="00B66994">
        <w:rPr>
          <w:lang w:eastAsia="pt-BR"/>
        </w:rPr>
        <w:t xml:space="preserve">at higher </w:t>
      </w:r>
      <w:proofErr w:type="spellStart"/>
      <w:proofErr w:type="gramStart"/>
      <w:r w:rsidR="00261B3D">
        <w:rPr>
          <w:lang w:eastAsia="pt-BR"/>
        </w:rPr>
        <w:t>q</w:t>
      </w:r>
      <w:r w:rsidR="00261B3D">
        <w:rPr>
          <w:vertAlign w:val="subscript"/>
          <w:lang w:eastAsia="pt-BR"/>
        </w:rPr>
        <w:t>max,f</w:t>
      </w:r>
      <w:proofErr w:type="spellEnd"/>
      <w:proofErr w:type="gramEnd"/>
      <w:r w:rsidRPr="00B66994">
        <w:rPr>
          <w:lang w:eastAsia="pt-BR"/>
        </w:rPr>
        <w:t xml:space="preserve"> values resulted in smaller populations. Meanwhile, the layer 1 methanogenic population presents complex behavior, as it cohabits this layer with fermenters and therefore competes with them for space. Despite this spatial competition, </w:t>
      </w:r>
      <w:proofErr w:type="spellStart"/>
      <w:proofErr w:type="gramStart"/>
      <w:r w:rsidR="00261B3D">
        <w:rPr>
          <w:lang w:eastAsia="pt-BR"/>
        </w:rPr>
        <w:t>q</w:t>
      </w:r>
      <w:r w:rsidR="00261B3D">
        <w:rPr>
          <w:vertAlign w:val="subscript"/>
          <w:lang w:eastAsia="pt-BR"/>
        </w:rPr>
        <w:t>max,f</w:t>
      </w:r>
      <w:proofErr w:type="spellEnd"/>
      <w:proofErr w:type="gramEnd"/>
      <w:r w:rsidRPr="00B66994">
        <w:rPr>
          <w:lang w:eastAsia="pt-BR"/>
        </w:rPr>
        <w:t xml:space="preserve"> has a positive correlation with </w:t>
      </w:r>
      <w:r w:rsidR="007C1AD8">
        <w:rPr>
          <w:lang w:eastAsia="pt-BR"/>
        </w:rPr>
        <w:t>x</w:t>
      </w:r>
      <w:r w:rsidRPr="00261B3D">
        <w:rPr>
          <w:vertAlign w:val="subscript"/>
          <w:lang w:eastAsia="pt-BR"/>
        </w:rPr>
        <w:t>m1</w:t>
      </w:r>
      <w:r w:rsidRPr="00B66994">
        <w:rPr>
          <w:lang w:eastAsia="pt-BR"/>
        </w:rPr>
        <w:t>, although sensitivity is low (</w:t>
      </w:r>
      <w:r w:rsidR="00261B3D" w:rsidRPr="00553C6E">
        <w:t>S</w:t>
      </w:r>
      <w:r w:rsidR="00261B3D" w:rsidRPr="00553C6E">
        <w:rPr>
          <w:vertAlign w:val="subscript"/>
        </w:rPr>
        <w:t>mean</w:t>
      </w:r>
      <w:r w:rsidR="00E45EC7" w:rsidRPr="00553C6E">
        <w:t xml:space="preserve"> </w:t>
      </w:r>
      <w:r w:rsidR="00553C6E">
        <w:t>of</w:t>
      </w:r>
      <w:r w:rsidR="00E45EC7" w:rsidRPr="00553C6E">
        <w:t xml:space="preserve"> </w:t>
      </w:r>
      <w:r w:rsidR="00261B3D" w:rsidRPr="00553C6E">
        <w:t>0.05</w:t>
      </w:r>
      <w:r w:rsidRPr="00553C6E">
        <w:t>).</w:t>
      </w:r>
      <w:r w:rsidRPr="00B66994">
        <w:rPr>
          <w:lang w:eastAsia="pt-BR"/>
        </w:rPr>
        <w:t xml:space="preserve"> A high </w:t>
      </w:r>
      <w:proofErr w:type="spellStart"/>
      <w:proofErr w:type="gramStart"/>
      <w:r w:rsidR="00DA3366">
        <w:rPr>
          <w:lang w:eastAsia="pt-BR"/>
        </w:rPr>
        <w:t>q</w:t>
      </w:r>
      <w:r w:rsidR="00DA3366">
        <w:rPr>
          <w:vertAlign w:val="subscript"/>
          <w:lang w:eastAsia="pt-BR"/>
        </w:rPr>
        <w:t>max,f</w:t>
      </w:r>
      <w:proofErr w:type="spellEnd"/>
      <w:proofErr w:type="gramEnd"/>
      <w:r w:rsidRPr="00B66994">
        <w:rPr>
          <w:lang w:eastAsia="pt-BR"/>
        </w:rPr>
        <w:t xml:space="preserve"> generates a more pronounced transient acetate peak, and the initial acetate excess serves as food and drives initial growth of </w:t>
      </w:r>
      <w:r w:rsidR="00DA3366">
        <w:rPr>
          <w:lang w:eastAsia="pt-BR"/>
        </w:rPr>
        <w:t>x</w:t>
      </w:r>
      <w:r w:rsidR="00DA3366">
        <w:rPr>
          <w:vertAlign w:val="subscript"/>
          <w:lang w:eastAsia="pt-BR"/>
        </w:rPr>
        <w:t>m1</w:t>
      </w:r>
      <w:r w:rsidRPr="00B66994">
        <w:rPr>
          <w:lang w:eastAsia="pt-BR"/>
        </w:rPr>
        <w:t>. It is worth noting that neither population reached a steady state within the simulation period, much less fill layer 1 of the biofilm.</w:t>
      </w:r>
    </w:p>
    <w:p w14:paraId="27B953C4" w14:textId="48C93807" w:rsidR="00B66994" w:rsidRPr="00B66994" w:rsidRDefault="00B66994" w:rsidP="00B66994">
      <w:pPr>
        <w:pStyle w:val="CETBodytext"/>
        <w:rPr>
          <w:lang w:eastAsia="pt-BR"/>
        </w:rPr>
      </w:pPr>
      <w:r w:rsidRPr="00B66994">
        <w:rPr>
          <w:lang w:eastAsia="pt-BR"/>
        </w:rPr>
        <w:t xml:space="preserve">However, this population variation did not propagate to energy performance variables. Electric current, hydrogen production, and electrogenic population proved insensitive to </w:t>
      </w:r>
      <w:proofErr w:type="spellStart"/>
      <w:proofErr w:type="gramStart"/>
      <w:r w:rsidR="00DA3366">
        <w:rPr>
          <w:lang w:eastAsia="pt-BR"/>
        </w:rPr>
        <w:t>q</w:t>
      </w:r>
      <w:r w:rsidR="00DA3366">
        <w:rPr>
          <w:vertAlign w:val="subscript"/>
          <w:lang w:eastAsia="pt-BR"/>
        </w:rPr>
        <w:t>max,f</w:t>
      </w:r>
      <w:proofErr w:type="spellEnd"/>
      <w:proofErr w:type="gramEnd"/>
      <w:r w:rsidRPr="00B66994">
        <w:rPr>
          <w:lang w:eastAsia="pt-BR"/>
        </w:rPr>
        <w:t xml:space="preserve"> after reaching steady state. This demonstrates that, given a minimum fermentation rate capable of supplying electrogenic consumption, increasing fermentative efficiency does not translate into energy gain, with the process limited by subsequent electrogenic steps.</w:t>
      </w:r>
    </w:p>
    <w:p w14:paraId="08B6FF8E" w14:textId="77777777" w:rsidR="00D2772E" w:rsidRPr="00CA5DC1" w:rsidRDefault="00D2772E" w:rsidP="00D2772E">
      <w:pPr>
        <w:pStyle w:val="CETheadingx"/>
      </w:pPr>
      <w:proofErr w:type="spellStart"/>
      <w:r w:rsidRPr="00CA5DC1">
        <w:t>Variation</w:t>
      </w:r>
      <w:proofErr w:type="spellEnd"/>
      <w:r w:rsidRPr="00CA5DC1">
        <w:t xml:space="preserve"> </w:t>
      </w:r>
      <w:proofErr w:type="spellStart"/>
      <w:r w:rsidRPr="00CA5DC1">
        <w:t>of</w:t>
      </w:r>
      <w:proofErr w:type="spellEnd"/>
      <w:r w:rsidRPr="00CA5DC1">
        <w:t xml:space="preserve"> </w:t>
      </w:r>
      <w:proofErr w:type="spellStart"/>
      <w:proofErr w:type="gramStart"/>
      <w:r w:rsidRPr="00CA5DC1">
        <w:t>q</w:t>
      </w:r>
      <w:r w:rsidRPr="00CA5DC1">
        <w:rPr>
          <w:szCs w:val="18"/>
          <w:vertAlign w:val="subscript"/>
        </w:rPr>
        <w:t>max,m</w:t>
      </w:r>
      <w:proofErr w:type="spellEnd"/>
      <w:proofErr w:type="gramEnd"/>
    </w:p>
    <w:p w14:paraId="50762549" w14:textId="2E63C3B7" w:rsidR="00DE7DFC" w:rsidRDefault="0076674B" w:rsidP="00DE7DFC">
      <w:pPr>
        <w:pStyle w:val="CETBodytext"/>
      </w:pPr>
      <w:r w:rsidRPr="0076674B">
        <w:t xml:space="preserve">Finally, analysis of the maximum methanogenic consumption rate revealed behavior distinct from the previous ones: an isolated impact, linearly decoupled from the reactor's global dynamics. This parameter exclusively influenced methane production in the anodic compartment, presenting a mean sensitivity index of approximately 0.96. This value close to unity indicates a direct proportionality relationship: an increase in methanogenic kinetic efficiency translates almost integrally into increased methane production, without saturation effects or complex feedback observed in other populations. Crucially, the sensitivity of all other state variables, including electric current, hydrogen production, and competing electrogenic biomass, remained close to 0. This result confirms that under the simulated operating conditions (continuous feeding and applied voltage), the electrogenic pathway exerts robust competitive dominance. Variations of up to </w:t>
      </w:r>
      <w:r w:rsidR="00510D96">
        <w:t>3</w:t>
      </w:r>
      <w:r w:rsidRPr="0076674B">
        <w:t>0</w:t>
      </w:r>
      <w:r w:rsidR="00510D96">
        <w:t xml:space="preserve"> </w:t>
      </w:r>
      <w:r w:rsidRPr="0076674B">
        <w:t>% in methanogenic kinetic capacity were not sufficient to shift competitive equilibrium or reduce coulombic efficiency of the system, suggesting that methanogenesis suppression is governed primarily by thermodynamic and operational factors, rather than by small fluctuations in its intrinsic kinetic parameters.</w:t>
      </w:r>
    </w:p>
    <w:p w14:paraId="2C259A3B" w14:textId="1D29322A" w:rsidR="00DE7DFC" w:rsidRPr="00CA5DC1" w:rsidRDefault="00DE7DFC" w:rsidP="00DE7DFC">
      <w:pPr>
        <w:pStyle w:val="CETHeading1"/>
      </w:pPr>
      <w:r w:rsidRPr="00CA5DC1">
        <w:t>Conclusions</w:t>
      </w:r>
    </w:p>
    <w:p w14:paraId="3424F2DB" w14:textId="4E8EC0C8" w:rsidR="00277CC7" w:rsidRDefault="00EA4660" w:rsidP="00114018">
      <w:pPr>
        <w:pStyle w:val="CETBodytext"/>
        <w:rPr>
          <w:rFonts w:eastAsiaTheme="minorHAnsi"/>
        </w:rPr>
      </w:pPr>
      <w:r w:rsidRPr="00114018">
        <w:t>This work aimed to replicate and analyze the multi-population dynamic model proposed by Pinto et al. (2011) for Microbial Electrolysis Cells (MECs), focusing on sensitivity evaluation of the system in response to variations in maximum substrate consumption rate parameters for the main microbial groups: electrogenic (</w:t>
      </w:r>
      <w:proofErr w:type="spellStart"/>
      <w:r w:rsidR="00DA3366" w:rsidRPr="00114018">
        <w:t>q</w:t>
      </w:r>
      <w:r w:rsidR="00DA3366" w:rsidRPr="004962F4">
        <w:rPr>
          <w:vertAlign w:val="subscript"/>
        </w:rPr>
        <w:t>max,e</w:t>
      </w:r>
      <w:proofErr w:type="spellEnd"/>
      <w:r w:rsidRPr="00114018">
        <w:t>), fermentative (</w:t>
      </w:r>
      <w:proofErr w:type="spellStart"/>
      <w:r w:rsidR="00DA3366" w:rsidRPr="00114018">
        <w:t>q</w:t>
      </w:r>
      <w:r w:rsidR="00DA3366" w:rsidRPr="004962F4">
        <w:rPr>
          <w:vertAlign w:val="subscript"/>
        </w:rPr>
        <w:t>max,f</w:t>
      </w:r>
      <w:proofErr w:type="spellEnd"/>
      <w:r w:rsidRPr="00114018">
        <w:t xml:space="preserve">), and </w:t>
      </w:r>
      <w:proofErr w:type="spellStart"/>
      <w:r w:rsidRPr="00114018">
        <w:t>acetoclastic</w:t>
      </w:r>
      <w:proofErr w:type="spellEnd"/>
      <w:r w:rsidRPr="00114018">
        <w:t xml:space="preserve"> methanogenic (</w:t>
      </w:r>
      <w:proofErr w:type="spellStart"/>
      <w:r w:rsidR="00DA3366" w:rsidRPr="00114018">
        <w:t>q</w:t>
      </w:r>
      <w:r w:rsidR="00DA3366" w:rsidRPr="004962F4">
        <w:rPr>
          <w:vertAlign w:val="subscript"/>
        </w:rPr>
        <w:t>max,m</w:t>
      </w:r>
      <w:proofErr w:type="spellEnd"/>
      <w:r w:rsidRPr="00114018">
        <w:t>).</w:t>
      </w:r>
      <w:r w:rsidR="008D687D" w:rsidRPr="00114018">
        <w:t xml:space="preserve"> </w:t>
      </w:r>
      <w:r w:rsidR="00277CC7" w:rsidRPr="00114018">
        <w:rPr>
          <w:rFonts w:eastAsiaTheme="minorHAnsi"/>
        </w:rPr>
        <w:t xml:space="preserve">A clear kinetic parameter hierarchy was established: </w:t>
      </w:r>
      <w:proofErr w:type="spellStart"/>
      <w:proofErr w:type="gramStart"/>
      <w:r w:rsidR="00277CC7" w:rsidRPr="00114018">
        <w:rPr>
          <w:rFonts w:eastAsiaTheme="minorHAnsi"/>
        </w:rPr>
        <w:t>q</w:t>
      </w:r>
      <w:r w:rsidR="00277CC7" w:rsidRPr="004962F4">
        <w:rPr>
          <w:rFonts w:eastAsiaTheme="minorHAnsi"/>
          <w:vertAlign w:val="subscript"/>
        </w:rPr>
        <w:t>max,e</w:t>
      </w:r>
      <w:proofErr w:type="spellEnd"/>
      <w:proofErr w:type="gramEnd"/>
      <w:r w:rsidR="00277CC7" w:rsidRPr="00114018">
        <w:rPr>
          <w:rFonts w:eastAsiaTheme="minorHAnsi"/>
        </w:rPr>
        <w:t xml:space="preserve"> governs biofilm competition and requires precise estimation; </w:t>
      </w:r>
      <w:proofErr w:type="spellStart"/>
      <w:proofErr w:type="gramStart"/>
      <w:r w:rsidR="00277CC7" w:rsidRPr="00114018">
        <w:rPr>
          <w:rFonts w:eastAsiaTheme="minorHAnsi"/>
        </w:rPr>
        <w:t>q</w:t>
      </w:r>
      <w:r w:rsidR="00277CC7" w:rsidRPr="004962F4">
        <w:rPr>
          <w:rFonts w:eastAsiaTheme="minorHAnsi"/>
          <w:vertAlign w:val="subscript"/>
        </w:rPr>
        <w:t>max,f</w:t>
      </w:r>
      <w:proofErr w:type="spellEnd"/>
      <w:proofErr w:type="gramEnd"/>
      <w:r w:rsidR="00277CC7" w:rsidRPr="00114018">
        <w:rPr>
          <w:rFonts w:eastAsiaTheme="minorHAnsi"/>
        </w:rPr>
        <w:t xml:space="preserve"> modulates startup transients with no significant steady-state effect; and </w:t>
      </w:r>
      <w:proofErr w:type="spellStart"/>
      <w:proofErr w:type="gramStart"/>
      <w:r w:rsidR="00277CC7" w:rsidRPr="00114018">
        <w:rPr>
          <w:rFonts w:eastAsiaTheme="minorHAnsi"/>
        </w:rPr>
        <w:t>q</w:t>
      </w:r>
      <w:r w:rsidR="00277CC7" w:rsidRPr="004962F4">
        <w:rPr>
          <w:rFonts w:eastAsiaTheme="minorHAnsi"/>
          <w:vertAlign w:val="subscript"/>
        </w:rPr>
        <w:t>max,m</w:t>
      </w:r>
      <w:proofErr w:type="spellEnd"/>
      <w:proofErr w:type="gramEnd"/>
      <w:r w:rsidR="00277CC7" w:rsidRPr="00114018">
        <w:rPr>
          <w:rFonts w:eastAsiaTheme="minorHAnsi"/>
        </w:rPr>
        <w:t xml:space="preserve"> exerts a near-proportional, isolated influence on anodic methane production only. Electrochemical outputs (current and H</w:t>
      </w:r>
      <w:r w:rsidR="00006C06" w:rsidRPr="00006C06">
        <w:rPr>
          <w:rFonts w:eastAsiaTheme="minorHAnsi"/>
          <w:vertAlign w:val="subscript"/>
        </w:rPr>
        <w:t>2</w:t>
      </w:r>
      <w:r w:rsidR="00277CC7" w:rsidRPr="00114018">
        <w:rPr>
          <w:rFonts w:eastAsiaTheme="minorHAnsi"/>
        </w:rPr>
        <w:t xml:space="preserve"> production) proved robust to all three parameters at steady state, indicating that once electrogenic dominance is established, the system tolerates substantial parametric uncertainty. These findings must be qualified by the limitation that full quantitative validation was not achieved against the reference data, so sensitivity indices during the startup phase should be interpreted with caution. At steady state, however, the results provide actionable guidance: precise characterization of </w:t>
      </w:r>
      <w:proofErr w:type="spellStart"/>
      <w:proofErr w:type="gramStart"/>
      <w:r w:rsidR="00277CC7" w:rsidRPr="00114018">
        <w:rPr>
          <w:rFonts w:eastAsiaTheme="minorHAnsi"/>
        </w:rPr>
        <w:t>q</w:t>
      </w:r>
      <w:r w:rsidR="00277CC7" w:rsidRPr="004962F4">
        <w:rPr>
          <w:rFonts w:eastAsiaTheme="minorHAnsi"/>
          <w:vertAlign w:val="subscript"/>
        </w:rPr>
        <w:t>max,e</w:t>
      </w:r>
      <w:proofErr w:type="spellEnd"/>
      <w:proofErr w:type="gramEnd"/>
      <w:r w:rsidR="00277CC7" w:rsidRPr="00114018">
        <w:rPr>
          <w:rFonts w:eastAsiaTheme="minorHAnsi"/>
        </w:rPr>
        <w:t xml:space="preserve"> is critical for predicting competitive dynamics; controlled organic loading strategies are more effective during startup than at steady state; and methanogenic suppression under sufficient applied voltage renders complex chemical inhibition strategies unnecessary.</w:t>
      </w:r>
    </w:p>
    <w:p w14:paraId="4C470726" w14:textId="6C42767C" w:rsidR="00C37ADC" w:rsidRPr="00AE60A8" w:rsidRDefault="00A86BC2" w:rsidP="002B604E">
      <w:pPr>
        <w:pStyle w:val="CETHeadingxx"/>
        <w:rPr>
          <w:rFonts w:eastAsiaTheme="minorHAnsi"/>
          <w:lang w:val="en-US"/>
        </w:rPr>
      </w:pPr>
      <w:r w:rsidRPr="00AE60A8">
        <w:rPr>
          <w:lang w:val="en-US"/>
        </w:rPr>
        <w:t>Nomenclatur</w:t>
      </w:r>
      <w:r w:rsidR="002B604E" w:rsidRPr="00AE60A8">
        <w:rPr>
          <w:lang w:val="en-US"/>
        </w:rPr>
        <w:t>e</w:t>
      </w:r>
    </w:p>
    <w:p w14:paraId="45C0BB2C" w14:textId="77777777" w:rsidR="00D4285E" w:rsidRDefault="00D4285E" w:rsidP="00323607">
      <w:pPr>
        <w:pStyle w:val="CETBodytext"/>
        <w:jc w:val="left"/>
        <w:rPr>
          <w:rFonts w:eastAsia="SimSun"/>
        </w:rPr>
        <w:sectPr w:rsidR="00D4285E" w:rsidSect="00A714EF">
          <w:type w:val="continuous"/>
          <w:pgSz w:w="11906" w:h="16838" w:code="9"/>
          <w:pgMar w:top="1701" w:right="1418" w:bottom="1701" w:left="1701" w:header="1701" w:footer="0" w:gutter="0"/>
          <w:cols w:space="708"/>
          <w:formProt w:val="0"/>
          <w:titlePg/>
          <w:docGrid w:linePitch="360"/>
        </w:sectPr>
      </w:pPr>
    </w:p>
    <w:p w14:paraId="562EB3AC" w14:textId="77777777" w:rsidR="00061483" w:rsidRPr="00323607" w:rsidRDefault="00061483" w:rsidP="00323607">
      <w:pPr>
        <w:pStyle w:val="CETBodytext"/>
        <w:jc w:val="left"/>
        <w:rPr>
          <w:rFonts w:eastAsia="SimSun"/>
        </w:rPr>
      </w:pPr>
      <w:r w:rsidRPr="00323607">
        <w:rPr>
          <w:rFonts w:eastAsia="SimSun"/>
        </w:rPr>
        <w:t>A – acetate concentration, mg-A/L</w:t>
      </w:r>
    </w:p>
    <w:p w14:paraId="686D6D65" w14:textId="77777777" w:rsidR="00061483" w:rsidRPr="00323607" w:rsidRDefault="00061483" w:rsidP="00323607">
      <w:pPr>
        <w:pStyle w:val="CETBodytext"/>
        <w:jc w:val="left"/>
        <w:rPr>
          <w:rFonts w:eastAsia="SimSun"/>
        </w:rPr>
      </w:pPr>
      <w:r w:rsidRPr="00323607">
        <w:rPr>
          <w:rFonts w:eastAsia="SimSun"/>
        </w:rPr>
        <w:t>F – output variable of the model (sensitivity index), –</w:t>
      </w:r>
    </w:p>
    <w:p w14:paraId="490AB779" w14:textId="21E49005" w:rsidR="00061483" w:rsidRPr="00323607" w:rsidRDefault="00061483" w:rsidP="00323607">
      <w:pPr>
        <w:pStyle w:val="CETBodytext"/>
        <w:jc w:val="left"/>
        <w:rPr>
          <w:rFonts w:eastAsia="SimSun"/>
        </w:rPr>
      </w:pPr>
      <w:r w:rsidRPr="00323607">
        <w:rPr>
          <w:rFonts w:eastAsia="SimSun"/>
        </w:rPr>
        <w:t>I</w:t>
      </w:r>
      <w:r w:rsidRPr="00CA2F2C">
        <w:rPr>
          <w:rFonts w:eastAsia="SimSun"/>
          <w:vertAlign w:val="subscript"/>
        </w:rPr>
        <w:t>MEC</w:t>
      </w:r>
      <w:r w:rsidRPr="00323607">
        <w:rPr>
          <w:rFonts w:eastAsia="SimSun"/>
        </w:rPr>
        <w:t xml:space="preserve"> – electric current generated by the MEC, mA</w:t>
      </w:r>
    </w:p>
    <w:p w14:paraId="095CA888" w14:textId="178A485F" w:rsidR="00061483" w:rsidRPr="00323607" w:rsidRDefault="00061483" w:rsidP="00323607">
      <w:pPr>
        <w:pStyle w:val="CETBodytext"/>
        <w:jc w:val="left"/>
        <w:rPr>
          <w:rFonts w:eastAsia="SimSun"/>
        </w:rPr>
      </w:pPr>
      <w:r w:rsidRPr="00323607">
        <w:rPr>
          <w:rFonts w:eastAsia="SimSun"/>
        </w:rPr>
        <w:t>M</w:t>
      </w:r>
      <w:r w:rsidRPr="00BE0291">
        <w:rPr>
          <w:rFonts w:eastAsia="SimSun"/>
          <w:vertAlign w:val="subscript"/>
        </w:rPr>
        <w:t>ox</w:t>
      </w:r>
      <w:r w:rsidRPr="00323607">
        <w:rPr>
          <w:rFonts w:eastAsia="SimSun"/>
        </w:rPr>
        <w:t xml:space="preserve"> – concentration of oxidized intracellular mediator, mg-M/mg-X</w:t>
      </w:r>
    </w:p>
    <w:p w14:paraId="7AB34798" w14:textId="3A9A4425" w:rsidR="00061483" w:rsidRPr="002B0966" w:rsidRDefault="00061483" w:rsidP="002B0966">
      <w:pPr>
        <w:pStyle w:val="CETBodytext"/>
      </w:pPr>
      <w:r w:rsidRPr="002B0966">
        <w:t>Q</w:t>
      </w:r>
      <w:r w:rsidRPr="002B0966">
        <w:rPr>
          <w:vertAlign w:val="subscript"/>
        </w:rPr>
        <w:t>H</w:t>
      </w:r>
      <w:r w:rsidR="00711394" w:rsidRPr="002B0966">
        <w:rPr>
          <w:rFonts w:eastAsia="SimSun"/>
          <w:vertAlign w:val="subscript"/>
        </w:rPr>
        <w:t>2</w:t>
      </w:r>
      <w:r w:rsidRPr="002B0966">
        <w:t xml:space="preserve"> – volumetric hydrogen production rate, mL-H</w:t>
      </w:r>
      <w:r w:rsidR="00711394" w:rsidRPr="002B0966">
        <w:rPr>
          <w:rFonts w:eastAsia="SimSun"/>
          <w:vertAlign w:val="subscript"/>
        </w:rPr>
        <w:t>2</w:t>
      </w:r>
      <w:r w:rsidRPr="002B0966">
        <w:t>/d</w:t>
      </w:r>
    </w:p>
    <w:p w14:paraId="4ACE9B43" w14:textId="2F01339F" w:rsidR="00061483" w:rsidRPr="00323607" w:rsidRDefault="00061483" w:rsidP="00323607">
      <w:pPr>
        <w:pStyle w:val="CETBodytext"/>
        <w:jc w:val="left"/>
        <w:rPr>
          <w:rFonts w:eastAsia="SimSun"/>
        </w:rPr>
      </w:pPr>
      <w:proofErr w:type="spellStart"/>
      <w:r w:rsidRPr="00323607">
        <w:rPr>
          <w:rFonts w:eastAsia="SimSun"/>
        </w:rPr>
        <w:t>q</w:t>
      </w:r>
      <w:r w:rsidRPr="002B0966">
        <w:rPr>
          <w:rFonts w:eastAsia="SimSun"/>
          <w:vertAlign w:val="subscript"/>
        </w:rPr>
        <w:t>max</w:t>
      </w:r>
      <w:proofErr w:type="spellEnd"/>
      <w:r w:rsidRPr="00323607">
        <w:rPr>
          <w:rFonts w:eastAsia="SimSun"/>
        </w:rPr>
        <w:t xml:space="preserve"> – maximum specific substrate consumption rate, mg-S/mg-X/d</w:t>
      </w:r>
    </w:p>
    <w:p w14:paraId="73273BB8" w14:textId="5C262550" w:rsidR="00061483" w:rsidRPr="00323607" w:rsidRDefault="00061483" w:rsidP="00323607">
      <w:pPr>
        <w:pStyle w:val="CETBodytext"/>
        <w:jc w:val="left"/>
        <w:rPr>
          <w:rFonts w:eastAsia="SimSun"/>
        </w:rPr>
      </w:pPr>
      <w:proofErr w:type="spellStart"/>
      <w:proofErr w:type="gramStart"/>
      <w:r w:rsidRPr="00323607">
        <w:rPr>
          <w:rFonts w:eastAsia="SimSun"/>
        </w:rPr>
        <w:t>q</w:t>
      </w:r>
      <w:r w:rsidRPr="002B0966">
        <w:rPr>
          <w:rFonts w:eastAsia="SimSun"/>
          <w:vertAlign w:val="subscript"/>
        </w:rPr>
        <w:t>max,e</w:t>
      </w:r>
      <w:proofErr w:type="spellEnd"/>
      <w:proofErr w:type="gramEnd"/>
      <w:r w:rsidRPr="00323607">
        <w:rPr>
          <w:rFonts w:eastAsia="SimSun"/>
        </w:rPr>
        <w:t xml:space="preserve"> – maximum specific substrate consumption rate, electrogenic bacteria, mg-S/mg-X/d</w:t>
      </w:r>
    </w:p>
    <w:p w14:paraId="432AEEA4" w14:textId="3E726400" w:rsidR="00061483" w:rsidRPr="00323607" w:rsidRDefault="00061483" w:rsidP="00323607">
      <w:pPr>
        <w:pStyle w:val="CETBodytext"/>
        <w:jc w:val="left"/>
        <w:rPr>
          <w:rFonts w:eastAsia="SimSun"/>
        </w:rPr>
      </w:pPr>
      <w:proofErr w:type="spellStart"/>
      <w:proofErr w:type="gramStart"/>
      <w:r w:rsidRPr="00323607">
        <w:rPr>
          <w:rFonts w:eastAsia="SimSun"/>
        </w:rPr>
        <w:t>q</w:t>
      </w:r>
      <w:r w:rsidRPr="002B0966">
        <w:rPr>
          <w:rFonts w:eastAsia="SimSun"/>
          <w:vertAlign w:val="subscript"/>
        </w:rPr>
        <w:t>max,f</w:t>
      </w:r>
      <w:proofErr w:type="spellEnd"/>
      <w:proofErr w:type="gramEnd"/>
      <w:r w:rsidRPr="00323607">
        <w:rPr>
          <w:rFonts w:eastAsia="SimSun"/>
        </w:rPr>
        <w:t xml:space="preserve"> – maximum specific substrate consumption rate, fermentative bacteria, mg-S/mg-X/d</w:t>
      </w:r>
    </w:p>
    <w:p w14:paraId="6111D986" w14:textId="45732A18" w:rsidR="00061483" w:rsidRPr="00323607" w:rsidRDefault="00061483" w:rsidP="00323607">
      <w:pPr>
        <w:pStyle w:val="CETBodytext"/>
        <w:jc w:val="left"/>
        <w:rPr>
          <w:rFonts w:eastAsia="SimSun"/>
        </w:rPr>
      </w:pPr>
      <w:proofErr w:type="spellStart"/>
      <w:proofErr w:type="gramStart"/>
      <w:r w:rsidRPr="00323607">
        <w:rPr>
          <w:rFonts w:eastAsia="SimSun"/>
        </w:rPr>
        <w:t>q</w:t>
      </w:r>
      <w:r w:rsidRPr="002B0966">
        <w:rPr>
          <w:rFonts w:eastAsia="SimSun"/>
          <w:vertAlign w:val="subscript"/>
        </w:rPr>
        <w:t>max,m</w:t>
      </w:r>
      <w:proofErr w:type="spellEnd"/>
      <w:proofErr w:type="gramEnd"/>
      <w:r w:rsidRPr="00323607">
        <w:rPr>
          <w:rFonts w:eastAsia="SimSun"/>
        </w:rPr>
        <w:t xml:space="preserve"> – maximum specific substrate consumption rate, </w:t>
      </w:r>
      <w:proofErr w:type="spellStart"/>
      <w:r w:rsidRPr="00323607">
        <w:rPr>
          <w:rFonts w:eastAsia="SimSun"/>
        </w:rPr>
        <w:t>acetoclastic</w:t>
      </w:r>
      <w:proofErr w:type="spellEnd"/>
      <w:r w:rsidRPr="00323607">
        <w:rPr>
          <w:rFonts w:eastAsia="SimSun"/>
        </w:rPr>
        <w:t xml:space="preserve"> methanogenic bacteria, mg-S/mg-X/d</w:t>
      </w:r>
    </w:p>
    <w:p w14:paraId="294C8152" w14:textId="31613880" w:rsidR="00061483" w:rsidRPr="00323607" w:rsidRDefault="00061483" w:rsidP="00323607">
      <w:pPr>
        <w:pStyle w:val="CETBodytext"/>
        <w:jc w:val="left"/>
        <w:rPr>
          <w:rFonts w:eastAsia="SimSun"/>
        </w:rPr>
      </w:pPr>
      <w:r w:rsidRPr="00323607">
        <w:rPr>
          <w:rFonts w:eastAsia="SimSun"/>
        </w:rPr>
        <w:t>S</w:t>
      </w:r>
      <w:r w:rsidR="00DB74D6" w:rsidRPr="00DB74D6">
        <w:rPr>
          <w:rFonts w:eastAsia="SimSun"/>
          <w:vertAlign w:val="subscript"/>
        </w:rPr>
        <w:t>u</w:t>
      </w:r>
      <w:r w:rsidRPr="00323607">
        <w:rPr>
          <w:rFonts w:eastAsia="SimSun"/>
        </w:rPr>
        <w:t xml:space="preserve"> – substrate (</w:t>
      </w:r>
      <w:proofErr w:type="spellStart"/>
      <w:r w:rsidRPr="00323607">
        <w:rPr>
          <w:rFonts w:eastAsia="SimSun"/>
        </w:rPr>
        <w:t>sCOD</w:t>
      </w:r>
      <w:proofErr w:type="spellEnd"/>
      <w:r w:rsidRPr="00323607">
        <w:rPr>
          <w:rFonts w:eastAsia="SimSun"/>
        </w:rPr>
        <w:t>) concentration, mg-S/L</w:t>
      </w:r>
    </w:p>
    <w:p w14:paraId="7709E9EC" w14:textId="77777777" w:rsidR="00061483" w:rsidRPr="00323607" w:rsidRDefault="00061483" w:rsidP="00323607">
      <w:pPr>
        <w:pStyle w:val="CETBodytext"/>
        <w:jc w:val="left"/>
        <w:rPr>
          <w:rFonts w:eastAsia="SimSun"/>
        </w:rPr>
      </w:pPr>
      <w:r w:rsidRPr="00323607">
        <w:rPr>
          <w:rFonts w:eastAsia="SimSun"/>
        </w:rPr>
        <w:t>S – normalized sensitivity index, –</w:t>
      </w:r>
    </w:p>
    <w:p w14:paraId="525FF958" w14:textId="79C14EA7" w:rsidR="00061483" w:rsidRPr="00323607" w:rsidRDefault="00061483" w:rsidP="00323607">
      <w:pPr>
        <w:pStyle w:val="CETBodytext"/>
        <w:jc w:val="left"/>
        <w:rPr>
          <w:rFonts w:eastAsia="SimSun"/>
        </w:rPr>
      </w:pPr>
      <w:r w:rsidRPr="00323607">
        <w:rPr>
          <w:rFonts w:eastAsia="SimSun"/>
        </w:rPr>
        <w:t>S</w:t>
      </w:r>
      <w:r w:rsidRPr="00DB74D6">
        <w:rPr>
          <w:rFonts w:eastAsia="SimSun"/>
          <w:vertAlign w:val="subscript"/>
        </w:rPr>
        <w:t>mean</w:t>
      </w:r>
      <w:r w:rsidRPr="00323607">
        <w:rPr>
          <w:rFonts w:eastAsia="SimSun"/>
        </w:rPr>
        <w:t xml:space="preserve"> – time-averaged normalized sensitivity index, –</w:t>
      </w:r>
    </w:p>
    <w:p w14:paraId="46ED937D" w14:textId="07F359CD" w:rsidR="00061483" w:rsidRPr="00323607" w:rsidRDefault="00061483" w:rsidP="00323607">
      <w:pPr>
        <w:pStyle w:val="CETBodytext"/>
        <w:jc w:val="left"/>
        <w:rPr>
          <w:rFonts w:eastAsia="SimSun"/>
        </w:rPr>
      </w:pPr>
      <w:proofErr w:type="spellStart"/>
      <w:r w:rsidRPr="00323607">
        <w:rPr>
          <w:rFonts w:eastAsia="SimSun"/>
        </w:rPr>
        <w:t>X</w:t>
      </w:r>
      <w:r w:rsidRPr="00DB74D6">
        <w:rPr>
          <w:rFonts w:eastAsia="SimSun"/>
          <w:vertAlign w:val="subscript"/>
        </w:rPr>
        <w:t>max</w:t>
      </w:r>
      <w:proofErr w:type="spellEnd"/>
      <w:r w:rsidRPr="00323607">
        <w:rPr>
          <w:rFonts w:eastAsia="SimSun"/>
        </w:rPr>
        <w:t xml:space="preserve"> – maximum biomass concentration in a biofilm layer, mg-X/L</w:t>
      </w:r>
    </w:p>
    <w:p w14:paraId="233FF92E" w14:textId="1DC8CE23" w:rsidR="00061483" w:rsidRPr="00323607" w:rsidRDefault="00061483" w:rsidP="00323607">
      <w:pPr>
        <w:pStyle w:val="CETBodytext"/>
        <w:jc w:val="left"/>
        <w:rPr>
          <w:rFonts w:eastAsia="SimSun"/>
        </w:rPr>
      </w:pPr>
      <w:r w:rsidRPr="00323607">
        <w:rPr>
          <w:rFonts w:eastAsia="SimSun"/>
        </w:rPr>
        <w:t>X</w:t>
      </w:r>
      <w:r w:rsidRPr="00DB74D6">
        <w:rPr>
          <w:rFonts w:eastAsia="SimSun"/>
          <w:vertAlign w:val="subscript"/>
        </w:rPr>
        <w:t>max,3</w:t>
      </w:r>
      <w:r w:rsidRPr="00323607">
        <w:rPr>
          <w:rFonts w:eastAsia="SimSun"/>
        </w:rPr>
        <w:t xml:space="preserve"> – maximum biomass concentration in biofilm layer 3 (cathodic), mg-X/L</w:t>
      </w:r>
    </w:p>
    <w:p w14:paraId="68471A39" w14:textId="3B98E530" w:rsidR="00061483" w:rsidRPr="00323607" w:rsidRDefault="00061483" w:rsidP="00323607">
      <w:pPr>
        <w:pStyle w:val="CETBodytext"/>
        <w:jc w:val="left"/>
        <w:rPr>
          <w:rFonts w:eastAsia="SimSun"/>
        </w:rPr>
      </w:pPr>
      <w:proofErr w:type="spellStart"/>
      <w:r w:rsidRPr="00323607">
        <w:rPr>
          <w:rFonts w:eastAsia="SimSun"/>
        </w:rPr>
        <w:t>x</w:t>
      </w:r>
      <w:r w:rsidRPr="00DB74D6">
        <w:rPr>
          <w:rFonts w:eastAsia="SimSun"/>
          <w:vertAlign w:val="subscript"/>
        </w:rPr>
        <w:t>e</w:t>
      </w:r>
      <w:proofErr w:type="spellEnd"/>
      <w:r w:rsidRPr="00323607">
        <w:rPr>
          <w:rFonts w:eastAsia="SimSun"/>
        </w:rPr>
        <w:t xml:space="preserve"> – electrogenic biomass concentration, mg-X/L</w:t>
      </w:r>
    </w:p>
    <w:p w14:paraId="0AC5E59C" w14:textId="739D3F6C" w:rsidR="00061483" w:rsidRPr="00323607" w:rsidRDefault="00061483" w:rsidP="00323607">
      <w:pPr>
        <w:pStyle w:val="CETBodytext"/>
        <w:jc w:val="left"/>
        <w:rPr>
          <w:rFonts w:eastAsia="SimSun"/>
        </w:rPr>
      </w:pPr>
      <w:proofErr w:type="spellStart"/>
      <w:r w:rsidRPr="00323607">
        <w:rPr>
          <w:rFonts w:eastAsia="SimSun"/>
        </w:rPr>
        <w:t>x</w:t>
      </w:r>
      <w:r w:rsidRPr="00DB74D6">
        <w:rPr>
          <w:rFonts w:eastAsia="SimSun"/>
          <w:vertAlign w:val="subscript"/>
        </w:rPr>
        <w:t>f</w:t>
      </w:r>
      <w:proofErr w:type="spellEnd"/>
      <w:r w:rsidRPr="00323607">
        <w:rPr>
          <w:rFonts w:eastAsia="SimSun"/>
        </w:rPr>
        <w:t xml:space="preserve"> – fermentative biomass concentration, mg-X/L</w:t>
      </w:r>
    </w:p>
    <w:p w14:paraId="65065089" w14:textId="7296FC08" w:rsidR="00061483" w:rsidRPr="00323607" w:rsidRDefault="00061483" w:rsidP="00323607">
      <w:pPr>
        <w:pStyle w:val="CETBodytext"/>
        <w:jc w:val="left"/>
        <w:rPr>
          <w:rFonts w:eastAsia="SimSun"/>
        </w:rPr>
      </w:pPr>
      <w:proofErr w:type="spellStart"/>
      <w:r w:rsidRPr="00323607">
        <w:rPr>
          <w:rFonts w:eastAsia="SimSun"/>
        </w:rPr>
        <w:lastRenderedPageBreak/>
        <w:t>x</w:t>
      </w:r>
      <w:r w:rsidRPr="00DB74D6">
        <w:rPr>
          <w:rFonts w:eastAsia="SimSun"/>
          <w:vertAlign w:val="subscript"/>
        </w:rPr>
        <w:t>h</w:t>
      </w:r>
      <w:proofErr w:type="spellEnd"/>
      <w:r w:rsidRPr="00323607">
        <w:rPr>
          <w:rFonts w:eastAsia="SimSun"/>
        </w:rPr>
        <w:t xml:space="preserve"> – hydrogenotrophic methanogenic biomass concentration, mg-X/L</w:t>
      </w:r>
    </w:p>
    <w:p w14:paraId="3E4C80D2" w14:textId="254FAB08" w:rsidR="00061483" w:rsidRPr="00323607" w:rsidRDefault="00061483" w:rsidP="00323607">
      <w:pPr>
        <w:pStyle w:val="CETBodytext"/>
        <w:jc w:val="left"/>
        <w:rPr>
          <w:rFonts w:eastAsia="SimSun"/>
        </w:rPr>
      </w:pPr>
      <w:r w:rsidRPr="00323607">
        <w:rPr>
          <w:rFonts w:eastAsia="SimSun"/>
        </w:rPr>
        <w:t>x</w:t>
      </w:r>
      <w:r w:rsidRPr="00DB74D6">
        <w:rPr>
          <w:rFonts w:eastAsia="SimSun"/>
          <w:vertAlign w:val="subscript"/>
        </w:rPr>
        <w:t>m,1</w:t>
      </w:r>
      <w:r w:rsidRPr="00323607">
        <w:rPr>
          <w:rFonts w:eastAsia="SimSun"/>
        </w:rPr>
        <w:t xml:space="preserve"> – </w:t>
      </w:r>
      <w:proofErr w:type="spellStart"/>
      <w:r w:rsidRPr="00323607">
        <w:rPr>
          <w:rFonts w:eastAsia="SimSun"/>
        </w:rPr>
        <w:t>acetoclastic</w:t>
      </w:r>
      <w:proofErr w:type="spellEnd"/>
      <w:r w:rsidRPr="00323607">
        <w:rPr>
          <w:rFonts w:eastAsia="SimSun"/>
        </w:rPr>
        <w:t xml:space="preserve"> methanogenic biomass concentration, outer anodic layer, mg-X/L</w:t>
      </w:r>
    </w:p>
    <w:p w14:paraId="17F6C518" w14:textId="7C610993" w:rsidR="00061483" w:rsidRPr="00323607" w:rsidRDefault="00061483" w:rsidP="00323607">
      <w:pPr>
        <w:pStyle w:val="CETBodytext"/>
        <w:jc w:val="left"/>
        <w:rPr>
          <w:rFonts w:eastAsia="SimSun"/>
        </w:rPr>
      </w:pPr>
      <w:r w:rsidRPr="00323607">
        <w:rPr>
          <w:rFonts w:eastAsia="SimSun"/>
        </w:rPr>
        <w:t>x</w:t>
      </w:r>
      <w:r w:rsidRPr="00DB74D6">
        <w:rPr>
          <w:rFonts w:eastAsia="SimSun"/>
          <w:vertAlign w:val="subscript"/>
        </w:rPr>
        <w:t>m,2</w:t>
      </w:r>
      <w:r w:rsidRPr="00323607">
        <w:rPr>
          <w:rFonts w:eastAsia="SimSun"/>
        </w:rPr>
        <w:t xml:space="preserve"> – </w:t>
      </w:r>
      <w:proofErr w:type="spellStart"/>
      <w:r w:rsidRPr="00323607">
        <w:rPr>
          <w:rFonts w:eastAsia="SimSun"/>
        </w:rPr>
        <w:t>acetoclastic</w:t>
      </w:r>
      <w:proofErr w:type="spellEnd"/>
      <w:r w:rsidRPr="00323607">
        <w:rPr>
          <w:rFonts w:eastAsia="SimSun"/>
        </w:rPr>
        <w:t xml:space="preserve"> methanogenic biomass concentration, inner anodic layer, mg-X/L</w:t>
      </w:r>
    </w:p>
    <w:p w14:paraId="70F3E429" w14:textId="0B279C0C" w:rsidR="00061483" w:rsidRPr="00323607" w:rsidRDefault="00061483" w:rsidP="00323607">
      <w:pPr>
        <w:pStyle w:val="CETBodytext"/>
        <w:jc w:val="left"/>
        <w:rPr>
          <w:rFonts w:eastAsia="SimSun"/>
        </w:rPr>
      </w:pPr>
      <w:proofErr w:type="spellStart"/>
      <w:r w:rsidRPr="00323607">
        <w:rPr>
          <w:rFonts w:eastAsia="SimSun"/>
        </w:rPr>
        <w:t>Y</w:t>
      </w:r>
      <w:r w:rsidRPr="00DB74D6">
        <w:rPr>
          <w:rFonts w:eastAsia="SimSun"/>
          <w:vertAlign w:val="subscript"/>
        </w:rPr>
        <w:t>h</w:t>
      </w:r>
      <w:proofErr w:type="spellEnd"/>
      <w:r w:rsidRPr="00323607">
        <w:rPr>
          <w:rFonts w:eastAsia="SimSun"/>
        </w:rPr>
        <w:t xml:space="preserve"> – cathodic hydrogen yield, mL-H</w:t>
      </w:r>
      <w:r w:rsidRPr="00323607">
        <w:rPr>
          <w:rFonts w:ascii="Cambria Math" w:eastAsia="SimSun" w:hAnsi="Cambria Math" w:cs="Cambria Math"/>
        </w:rPr>
        <w:t>₂</w:t>
      </w:r>
      <w:r w:rsidRPr="00323607">
        <w:rPr>
          <w:rFonts w:eastAsia="SimSun"/>
        </w:rPr>
        <w:t>/mg-X</w:t>
      </w:r>
    </w:p>
    <w:p w14:paraId="5784ECCF" w14:textId="7EE4233B" w:rsidR="00061483" w:rsidRPr="00323607" w:rsidRDefault="00061483" w:rsidP="00323607">
      <w:pPr>
        <w:pStyle w:val="CETBodytext"/>
        <w:jc w:val="left"/>
        <w:rPr>
          <w:rFonts w:eastAsia="SimSun"/>
        </w:rPr>
      </w:pPr>
      <w:r w:rsidRPr="00323607">
        <w:rPr>
          <w:rFonts w:eastAsia="SimSun"/>
        </w:rPr>
        <w:t>Y</w:t>
      </w:r>
      <w:r w:rsidRPr="00DB74D6">
        <w:rPr>
          <w:rFonts w:eastAsia="SimSun"/>
          <w:vertAlign w:val="subscript"/>
        </w:rPr>
        <w:t>H</w:t>
      </w:r>
      <w:r w:rsidR="00DB74D6" w:rsidRPr="00DB74D6">
        <w:rPr>
          <w:rFonts w:eastAsia="SimSun"/>
          <w:vertAlign w:val="subscript"/>
        </w:rPr>
        <w:t>2</w:t>
      </w:r>
      <w:r w:rsidRPr="00323607">
        <w:rPr>
          <w:rFonts w:eastAsia="SimSun"/>
        </w:rPr>
        <w:t xml:space="preserve"> – cathodic efficiency, –</w:t>
      </w:r>
    </w:p>
    <w:p w14:paraId="6AB1A04D" w14:textId="6F6E38E2" w:rsidR="00061483" w:rsidRPr="00323607" w:rsidRDefault="00061483" w:rsidP="00323607">
      <w:pPr>
        <w:pStyle w:val="CETBodytext"/>
        <w:jc w:val="left"/>
        <w:rPr>
          <w:rFonts w:eastAsia="SimSun"/>
        </w:rPr>
      </w:pPr>
      <w:r w:rsidRPr="00323607">
        <w:rPr>
          <w:rFonts w:eastAsia="SimSun"/>
        </w:rPr>
        <w:t>α</w:t>
      </w:r>
      <w:r w:rsidR="00971103" w:rsidRPr="00971103">
        <w:rPr>
          <w:rFonts w:ascii="Cambria Math" w:eastAsia="SimSun" w:hAnsi="Cambria Math" w:cs="Cambria Math"/>
          <w:vertAlign w:val="subscript"/>
        </w:rPr>
        <w:t>1</w:t>
      </w:r>
      <w:r w:rsidRPr="00323607">
        <w:rPr>
          <w:rFonts w:eastAsia="SimSun"/>
        </w:rPr>
        <w:t xml:space="preserve"> – biofilm retention constant, outer anodic layer, –</w:t>
      </w:r>
    </w:p>
    <w:p w14:paraId="3B5FA9BA" w14:textId="704581C3" w:rsidR="00061483" w:rsidRPr="00323607" w:rsidRDefault="00061483" w:rsidP="00323607">
      <w:pPr>
        <w:pStyle w:val="CETBodytext"/>
        <w:jc w:val="left"/>
        <w:rPr>
          <w:rFonts w:eastAsia="SimSun"/>
        </w:rPr>
      </w:pPr>
      <w:r w:rsidRPr="00323607">
        <w:rPr>
          <w:rFonts w:eastAsia="SimSun"/>
        </w:rPr>
        <w:t>α</w:t>
      </w:r>
      <w:r w:rsidR="00971103" w:rsidRPr="00971103">
        <w:rPr>
          <w:rFonts w:ascii="Cambria Math" w:eastAsia="SimSun" w:hAnsi="Cambria Math" w:cs="Cambria Math"/>
          <w:vertAlign w:val="subscript"/>
        </w:rPr>
        <w:t>2</w:t>
      </w:r>
      <w:r w:rsidRPr="00323607">
        <w:rPr>
          <w:rFonts w:eastAsia="SimSun"/>
        </w:rPr>
        <w:t xml:space="preserve"> – biofilm retention constant, inner anodic layer, –</w:t>
      </w:r>
    </w:p>
    <w:p w14:paraId="5FFF12CB" w14:textId="77777777" w:rsidR="00061483" w:rsidRPr="00323607" w:rsidRDefault="00061483" w:rsidP="00323607">
      <w:pPr>
        <w:pStyle w:val="CETBodytext"/>
        <w:jc w:val="left"/>
        <w:rPr>
          <w:rFonts w:eastAsia="SimSun"/>
        </w:rPr>
      </w:pPr>
      <w:r w:rsidRPr="00323607">
        <w:rPr>
          <w:rFonts w:eastAsia="SimSun"/>
        </w:rPr>
        <w:t>ξ – input parameter of the model (sensitivity index), –</w:t>
      </w:r>
    </w:p>
    <w:p w14:paraId="0DD96420" w14:textId="77777777" w:rsidR="00D4285E" w:rsidRDefault="00D4285E" w:rsidP="00114018">
      <w:pPr>
        <w:pStyle w:val="CETBodytext"/>
        <w:rPr>
          <w:rFonts w:eastAsiaTheme="minorHAnsi"/>
        </w:rPr>
        <w:sectPr w:rsidR="00D4285E" w:rsidSect="00D4285E">
          <w:type w:val="continuous"/>
          <w:pgSz w:w="11906" w:h="16838" w:code="9"/>
          <w:pgMar w:top="1701" w:right="1418" w:bottom="1701" w:left="1701" w:header="1701" w:footer="0" w:gutter="0"/>
          <w:cols w:num="2" w:space="708"/>
          <w:formProt w:val="0"/>
          <w:titlePg/>
          <w:docGrid w:linePitch="360"/>
        </w:sectPr>
      </w:pPr>
    </w:p>
    <w:p w14:paraId="471BA7DA" w14:textId="7BAB672D" w:rsidR="004D4DF5" w:rsidRPr="00877A18" w:rsidRDefault="004D4DF5" w:rsidP="004D4DF5">
      <w:pPr>
        <w:pStyle w:val="CETAcknowledgementstitle"/>
        <w:rPr>
          <w:lang w:val="en-US"/>
        </w:rPr>
      </w:pPr>
      <w:r w:rsidRPr="00877A18">
        <w:rPr>
          <w:lang w:val="en-US"/>
        </w:rPr>
        <w:t>Acknowledgments</w:t>
      </w:r>
    </w:p>
    <w:p w14:paraId="28E77C8A" w14:textId="42CB8683" w:rsidR="00D83419" w:rsidRPr="004C1C00" w:rsidRDefault="00BA5353" w:rsidP="00D83419">
      <w:pPr>
        <w:pStyle w:val="CETBodytext"/>
        <w:rPr>
          <w:rStyle w:val="CETBodytextCarattere"/>
        </w:rPr>
      </w:pPr>
      <w:r w:rsidRPr="00877A18">
        <w:rPr>
          <w:rStyle w:val="CETBodytextCarattere"/>
        </w:rPr>
        <w:t xml:space="preserve">This work was supported by </w:t>
      </w:r>
      <w:r w:rsidR="00256431" w:rsidRPr="00877A18">
        <w:rPr>
          <w:rStyle w:val="CETBodytextCarattere"/>
        </w:rPr>
        <w:t xml:space="preserve">the </w:t>
      </w:r>
      <w:proofErr w:type="spellStart"/>
      <w:r w:rsidR="00D83419" w:rsidRPr="00877A18">
        <w:rPr>
          <w:rStyle w:val="CETBodytextCarattere"/>
        </w:rPr>
        <w:t>Conselho</w:t>
      </w:r>
      <w:proofErr w:type="spellEnd"/>
      <w:r w:rsidR="00D83419" w:rsidRPr="00877A18">
        <w:rPr>
          <w:rStyle w:val="CETBodytextCarattere"/>
        </w:rPr>
        <w:t xml:space="preserve"> Nacional de </w:t>
      </w:r>
      <w:proofErr w:type="spellStart"/>
      <w:r w:rsidR="00D83419" w:rsidRPr="00877A18">
        <w:rPr>
          <w:rStyle w:val="CETBodytextCarattere"/>
        </w:rPr>
        <w:t>Desenvolvimento</w:t>
      </w:r>
      <w:proofErr w:type="spellEnd"/>
      <w:r w:rsidR="00D83419" w:rsidRPr="00877A18">
        <w:rPr>
          <w:rStyle w:val="CETBodytextCarattere"/>
        </w:rPr>
        <w:t xml:space="preserve"> </w:t>
      </w:r>
      <w:proofErr w:type="spellStart"/>
      <w:r w:rsidR="00D83419" w:rsidRPr="00877A18">
        <w:rPr>
          <w:rStyle w:val="CETBodytextCarattere"/>
        </w:rPr>
        <w:t>Científico</w:t>
      </w:r>
      <w:proofErr w:type="spellEnd"/>
      <w:r w:rsidR="00D83419" w:rsidRPr="00877A18">
        <w:rPr>
          <w:rStyle w:val="CETBodytextCarattere"/>
        </w:rPr>
        <w:t xml:space="preserve"> e Tecnológico (</w:t>
      </w:r>
      <w:proofErr w:type="spellStart"/>
      <w:r w:rsidR="00D83419" w:rsidRPr="00877A18">
        <w:rPr>
          <w:rStyle w:val="CETBodytextCarattere"/>
        </w:rPr>
        <w:t>CNPq</w:t>
      </w:r>
      <w:proofErr w:type="spellEnd"/>
      <w:r w:rsidR="00D83419" w:rsidRPr="00877A18">
        <w:rPr>
          <w:rStyle w:val="CETBodytextCarattere"/>
        </w:rPr>
        <w:t xml:space="preserve">). </w:t>
      </w:r>
      <w:r w:rsidR="00C659AD" w:rsidRPr="004C1C00">
        <w:t>Proje</w:t>
      </w:r>
      <w:r w:rsidR="00256431" w:rsidRPr="004C1C00">
        <w:t>c</w:t>
      </w:r>
      <w:r w:rsidR="00C659AD" w:rsidRPr="004C1C00">
        <w:t>t 443958/2024-6.</w:t>
      </w:r>
    </w:p>
    <w:p w14:paraId="14289D03" w14:textId="3A8F5CCA" w:rsidR="004D4DF5" w:rsidRPr="004C1C00" w:rsidRDefault="004D4DF5" w:rsidP="00CE7D98">
      <w:pPr>
        <w:pStyle w:val="CETReference"/>
        <w:rPr>
          <w:lang w:val="en-US"/>
        </w:rPr>
      </w:pPr>
      <w:r w:rsidRPr="004C1C00">
        <w:rPr>
          <w:lang w:val="en-US"/>
        </w:rPr>
        <w:t>References</w:t>
      </w:r>
    </w:p>
    <w:p w14:paraId="371B33C6" w14:textId="77777777" w:rsidR="00D7299E" w:rsidRDefault="00D7299E" w:rsidP="00F211B2">
      <w:pPr>
        <w:pStyle w:val="CETReferencetext"/>
      </w:pPr>
      <w:proofErr w:type="spellStart"/>
      <w:r w:rsidRPr="00F211B2">
        <w:t>Asrul</w:t>
      </w:r>
      <w:proofErr w:type="spellEnd"/>
      <w:r w:rsidRPr="00F211B2">
        <w:t xml:space="preserve"> M.A.M., Atan M.F., Yun H.A.H., Lai J.C.H., 2021, Mathematical model of biohydrogen production in microbial electrolysis cell: a review, International Journal of Hydrogen Energy, 46, 37174–37191.</w:t>
      </w:r>
    </w:p>
    <w:p w14:paraId="77C1977F" w14:textId="6DF43A52" w:rsidR="003B74A0" w:rsidRPr="00F211B2" w:rsidRDefault="003B74A0" w:rsidP="00F211B2">
      <w:pPr>
        <w:pStyle w:val="CETReferencetext"/>
      </w:pPr>
      <w:proofErr w:type="spellStart"/>
      <w:r w:rsidRPr="00F211B2">
        <w:t>Asrul</w:t>
      </w:r>
      <w:proofErr w:type="spellEnd"/>
      <w:r w:rsidRPr="00F211B2">
        <w:t xml:space="preserve"> M</w:t>
      </w:r>
      <w:r w:rsidRPr="00272741">
        <w:t xml:space="preserve">.A.M., Atan M.F., Yun H.A.H., Tan I.A.W., Wahi R., Abdullah R., </w:t>
      </w:r>
      <w:proofErr w:type="spellStart"/>
      <w:r w:rsidRPr="00272741">
        <w:t>Elciana</w:t>
      </w:r>
      <w:proofErr w:type="spellEnd"/>
      <w:r w:rsidRPr="00272741">
        <w:t xml:space="preserve"> A.D., 2025</w:t>
      </w:r>
      <w:r>
        <w:t>a</w:t>
      </w:r>
      <w:r w:rsidRPr="00272741">
        <w:t>, Influence of Butler-Volmer and Haldane kinetic structure on the consumption rate and growth rate of electroactive bacteria based on Nernst-Monod model, International Journal of Hydrogen Energy, 1</w:t>
      </w:r>
      <w:r>
        <w:t>55</w:t>
      </w:r>
      <w:r w:rsidRPr="00272741">
        <w:t xml:space="preserve">, </w:t>
      </w:r>
      <w:r>
        <w:t>150346</w:t>
      </w:r>
      <w:r w:rsidRPr="00272741">
        <w:t>.</w:t>
      </w:r>
    </w:p>
    <w:p w14:paraId="299DFEC2" w14:textId="1A94FB10" w:rsidR="00D7299E" w:rsidRPr="006E4F71" w:rsidRDefault="00D7299E" w:rsidP="006E4F71">
      <w:pPr>
        <w:pStyle w:val="CETReferencetext"/>
      </w:pPr>
      <w:proofErr w:type="spellStart"/>
      <w:r w:rsidRPr="00F211B2">
        <w:t>Asrul</w:t>
      </w:r>
      <w:proofErr w:type="spellEnd"/>
      <w:r w:rsidRPr="00F211B2">
        <w:t xml:space="preserve"> M.A.M., Atan M.F., Yun H.A.H., Tan I.A.W., Wahi R., Abdullah R., </w:t>
      </w:r>
      <w:proofErr w:type="spellStart"/>
      <w:r w:rsidRPr="00F211B2">
        <w:t>Elciana</w:t>
      </w:r>
      <w:proofErr w:type="spellEnd"/>
      <w:r w:rsidRPr="00F211B2">
        <w:t xml:space="preserve"> A.D., 2025</w:t>
      </w:r>
      <w:r w:rsidR="003B74A0">
        <w:t>b</w:t>
      </w:r>
      <w:r w:rsidRPr="00F211B2">
        <w:t xml:space="preserve">, Performance assessment through comprehensive analysis of mathematical model assumptions for biohydrogen </w:t>
      </w:r>
      <w:r w:rsidRPr="006E4F71">
        <w:t>production from various substrates in microbial electrolysis cell, International Journal of Hydrogen Energy, 106, 896–920.</w:t>
      </w:r>
    </w:p>
    <w:p w14:paraId="1D19DDE8" w14:textId="7E974EBC" w:rsidR="006E4F71" w:rsidRPr="006E4F71" w:rsidRDefault="006E4F71" w:rsidP="006E4F71">
      <w:pPr>
        <w:pStyle w:val="CETReferencetext"/>
      </w:pPr>
      <w:r w:rsidRPr="004967A4">
        <w:rPr>
          <w:lang w:val="en-US"/>
        </w:rPr>
        <w:t>Dudley H. J., Lu L., Ren Z. J., Bortz, D. M.</w:t>
      </w:r>
      <w:r w:rsidR="004967A4" w:rsidRPr="004967A4">
        <w:rPr>
          <w:lang w:val="en-US"/>
        </w:rPr>
        <w:t>,</w:t>
      </w:r>
      <w:r w:rsidRPr="004967A4">
        <w:rPr>
          <w:lang w:val="en-US"/>
        </w:rPr>
        <w:t xml:space="preserve"> 2019</w:t>
      </w:r>
      <w:r w:rsidR="004967A4" w:rsidRPr="004967A4">
        <w:rPr>
          <w:lang w:val="en-US"/>
        </w:rPr>
        <w:t>,</w:t>
      </w:r>
      <w:r w:rsidRPr="004967A4">
        <w:rPr>
          <w:lang w:val="en-US"/>
        </w:rPr>
        <w:t xml:space="preserve"> </w:t>
      </w:r>
      <w:r w:rsidRPr="006E4F71">
        <w:t>Sensitivity and bifurcation analysis of a differential-algebraic equation model for a microbial electrolysis cell. SIAM Journal on Applied Dynamical Systems, 18(2), 709-728.</w:t>
      </w:r>
    </w:p>
    <w:p w14:paraId="2D432B6C" w14:textId="0E1C2ACB" w:rsidR="00D7299E" w:rsidRPr="006A15B3" w:rsidRDefault="00D7299E" w:rsidP="006E4F71">
      <w:pPr>
        <w:pStyle w:val="CETReferencetext"/>
      </w:pPr>
      <w:r w:rsidRPr="006E4F71">
        <w:t xml:space="preserve">Fathima A., </w:t>
      </w:r>
      <w:proofErr w:type="spellStart"/>
      <w:r w:rsidRPr="006E4F71">
        <w:t>Ilankoon</w:t>
      </w:r>
      <w:proofErr w:type="spellEnd"/>
      <w:r w:rsidRPr="006E4F71">
        <w:t xml:space="preserve"> I.M.S.K., Zhang Y., Chong M.N., 2024, Scaling up of dual-chamber microbial electrochemical systems–An appraisal using systems</w:t>
      </w:r>
      <w:r w:rsidRPr="006A15B3">
        <w:t xml:space="preserve"> design approach, Science of The Total Environment, 912, 169186.</w:t>
      </w:r>
    </w:p>
    <w:p w14:paraId="04E5AB00" w14:textId="77777777" w:rsidR="00D7299E" w:rsidRPr="00316C19" w:rsidRDefault="00D7299E" w:rsidP="00316C19">
      <w:pPr>
        <w:pStyle w:val="CETReferencetext"/>
      </w:pPr>
      <w:proofErr w:type="spellStart"/>
      <w:r w:rsidRPr="00316C19">
        <w:t>Hasany</w:t>
      </w:r>
      <w:proofErr w:type="spellEnd"/>
      <w:r w:rsidRPr="00316C19">
        <w:t xml:space="preserve"> M., </w:t>
      </w:r>
      <w:proofErr w:type="spellStart"/>
      <w:r w:rsidRPr="00316C19">
        <w:t>Mardanpour</w:t>
      </w:r>
      <w:proofErr w:type="spellEnd"/>
      <w:r w:rsidRPr="00316C19">
        <w:t xml:space="preserve"> M.M., </w:t>
      </w:r>
      <w:proofErr w:type="spellStart"/>
      <w:r w:rsidRPr="00316C19">
        <w:t>Yaghmaei</w:t>
      </w:r>
      <w:proofErr w:type="spellEnd"/>
      <w:r w:rsidRPr="00316C19">
        <w:t xml:space="preserve"> S., 2016, Biocatalysts in microbial electrolysis cells: A review, International Journal of Hydrogen Energy, 41, 1477–1493.</w:t>
      </w:r>
    </w:p>
    <w:p w14:paraId="464193E1" w14:textId="77777777" w:rsidR="00D7299E" w:rsidRDefault="00D7299E" w:rsidP="000E2760">
      <w:pPr>
        <w:pStyle w:val="CETReferencetext"/>
      </w:pPr>
      <w:r w:rsidRPr="000E2760">
        <w:t xml:space="preserve">Palanivel P.D., Mohamed S.N., 2025, </w:t>
      </w:r>
      <w:proofErr w:type="spellStart"/>
      <w:r w:rsidRPr="000E2760">
        <w:t>Valorization</w:t>
      </w:r>
      <w:proofErr w:type="spellEnd"/>
      <w:r w:rsidRPr="000E2760">
        <w:t xml:space="preserve"> of </w:t>
      </w:r>
      <w:proofErr w:type="spellStart"/>
      <w:proofErr w:type="gramStart"/>
      <w:r w:rsidRPr="000E2760">
        <w:t>agro</w:t>
      </w:r>
      <w:proofErr w:type="spellEnd"/>
      <w:r w:rsidRPr="000E2760">
        <w:t>-waste</w:t>
      </w:r>
      <w:proofErr w:type="gramEnd"/>
      <w:r w:rsidRPr="000E2760">
        <w:t xml:space="preserve"> into graphene oxide for enhanced biohydrogen recovery in microbial electrolysis cell, </w:t>
      </w:r>
      <w:proofErr w:type="spellStart"/>
      <w:r w:rsidRPr="000E2760">
        <w:t>Electrochimica</w:t>
      </w:r>
      <w:proofErr w:type="spellEnd"/>
      <w:r w:rsidRPr="000E2760">
        <w:t xml:space="preserve"> Acta, 147277.</w:t>
      </w:r>
    </w:p>
    <w:p w14:paraId="57898C74" w14:textId="767A45F5" w:rsidR="00571068" w:rsidRPr="000E2760" w:rsidRDefault="00571068" w:rsidP="000E2760">
      <w:pPr>
        <w:pStyle w:val="CETReferencetext"/>
      </w:pPr>
      <w:r w:rsidRPr="00571068">
        <w:t xml:space="preserve">Pedroza-Medina U. R., </w:t>
      </w:r>
      <w:proofErr w:type="spellStart"/>
      <w:r w:rsidRPr="00571068">
        <w:t>Cházaro</w:t>
      </w:r>
      <w:proofErr w:type="spellEnd"/>
      <w:r w:rsidRPr="00571068">
        <w:t>-Ruiz L. F., Femat R., Román-Martínez A., 2024, Intensification of a microbial electrolysis cell for biohydrogen production. Chemical Engineering and Processing-Process Intensification, 197, 109707.</w:t>
      </w:r>
    </w:p>
    <w:p w14:paraId="5CD2FA99" w14:textId="77777777" w:rsidR="00D7299E" w:rsidRPr="000E2760" w:rsidRDefault="00D7299E" w:rsidP="000E2760">
      <w:pPr>
        <w:pStyle w:val="CETReferencetext"/>
      </w:pPr>
      <w:r w:rsidRPr="000E2760">
        <w:t xml:space="preserve">Pinto R.P., Srinivasan B., </w:t>
      </w:r>
      <w:proofErr w:type="spellStart"/>
      <w:r w:rsidRPr="000E2760">
        <w:t>Escapa</w:t>
      </w:r>
      <w:proofErr w:type="spellEnd"/>
      <w:r w:rsidRPr="000E2760">
        <w:t xml:space="preserve"> A., Tartakovsky B., 2011, Multi-population model of a microbial electrolysis cell, Environmental Science &amp; Technology, 45, 5039–5046.</w:t>
      </w:r>
    </w:p>
    <w:p w14:paraId="641EEAD2" w14:textId="09F0D21C" w:rsidR="00EC3E65" w:rsidRDefault="00186605" w:rsidP="00D7299E">
      <w:pPr>
        <w:pStyle w:val="CETReferencetext"/>
      </w:pPr>
      <w:r w:rsidRPr="006D622A">
        <w:t>Yahya A., Abdul Wahab A.K.,</w:t>
      </w:r>
      <w:r w:rsidR="006D622A" w:rsidRPr="006D622A">
        <w:t xml:space="preserve"> Hu</w:t>
      </w:r>
      <w:r w:rsidR="006D622A">
        <w:t xml:space="preserve">ssain M.A., 2013, </w:t>
      </w:r>
      <w:r w:rsidR="006D622A" w:rsidRPr="006D622A">
        <w:t xml:space="preserve">Optimal </w:t>
      </w:r>
      <w:r w:rsidR="003561B5">
        <w:t>p</w:t>
      </w:r>
      <w:r w:rsidR="006D622A" w:rsidRPr="006D622A">
        <w:t xml:space="preserve">roduction of </w:t>
      </w:r>
      <w:r w:rsidR="00D16FFE">
        <w:t>b</w:t>
      </w:r>
      <w:r w:rsidR="006D622A" w:rsidRPr="006D622A">
        <w:t xml:space="preserve">iohydrogen </w:t>
      </w:r>
      <w:r w:rsidR="00D16FFE">
        <w:t>g</w:t>
      </w:r>
      <w:r w:rsidR="006D622A" w:rsidRPr="006D622A">
        <w:t xml:space="preserve">as via </w:t>
      </w:r>
      <w:r w:rsidR="00D16FFE">
        <w:t>m</w:t>
      </w:r>
      <w:r w:rsidR="006D622A" w:rsidRPr="006D622A">
        <w:t xml:space="preserve">icrobial </w:t>
      </w:r>
      <w:r w:rsidR="00D16FFE">
        <w:t>e</w:t>
      </w:r>
      <w:r w:rsidR="006D622A" w:rsidRPr="006D622A">
        <w:t xml:space="preserve">lectrolysis </w:t>
      </w:r>
      <w:r w:rsidR="00D16FFE">
        <w:t>c</w:t>
      </w:r>
      <w:r w:rsidR="006D622A" w:rsidRPr="006D622A">
        <w:t>ells (</w:t>
      </w:r>
      <w:proofErr w:type="spellStart"/>
      <w:r w:rsidR="00D16FFE">
        <w:t>mec</w:t>
      </w:r>
      <w:proofErr w:type="spellEnd"/>
      <w:r w:rsidR="006D622A" w:rsidRPr="006D622A">
        <w:t xml:space="preserve">) in a </w:t>
      </w:r>
      <w:r w:rsidR="00D16FFE">
        <w:t>c</w:t>
      </w:r>
      <w:r w:rsidR="006D622A" w:rsidRPr="006D622A">
        <w:t xml:space="preserve">ontrolled </w:t>
      </w:r>
      <w:r w:rsidR="00D16FFE">
        <w:t>b</w:t>
      </w:r>
      <w:r w:rsidR="006D622A" w:rsidRPr="006D622A">
        <w:t xml:space="preserve">atch </w:t>
      </w:r>
      <w:r w:rsidR="00D16FFE">
        <w:t>r</w:t>
      </w:r>
      <w:r w:rsidR="006D622A" w:rsidRPr="006D622A">
        <w:t xml:space="preserve">eactor </w:t>
      </w:r>
      <w:r w:rsidR="00921781">
        <w:t>s</w:t>
      </w:r>
      <w:r w:rsidR="006D622A" w:rsidRPr="006D622A">
        <w:t>ystem</w:t>
      </w:r>
      <w:r w:rsidR="006D622A">
        <w:t>, Chemical Engineering Transactions, 32, 727-732</w:t>
      </w:r>
      <w:r w:rsidR="001351A8">
        <w:t xml:space="preserve"> DOI: 10.3303/CET1332122</w:t>
      </w:r>
    </w:p>
    <w:p w14:paraId="1EDD1C09" w14:textId="77777777" w:rsidR="00083B1C" w:rsidRPr="00316C19" w:rsidRDefault="00083B1C" w:rsidP="00083B1C">
      <w:pPr>
        <w:pStyle w:val="CETReferencetext"/>
      </w:pPr>
      <w:proofErr w:type="spellStart"/>
      <w:r w:rsidRPr="00316C19">
        <w:t>Zeppilli</w:t>
      </w:r>
      <w:proofErr w:type="spellEnd"/>
      <w:r w:rsidRPr="00316C19">
        <w:t xml:space="preserve"> M., Villano M., Majone M., 2015, Microbial electrolysis cell to enhance energy recovery from wastewater treatment, 43, 2341-2346 DOI: 10.3303/CET1543391</w:t>
      </w:r>
    </w:p>
    <w:p w14:paraId="1876C12A" w14:textId="250A696F" w:rsidR="00083B1C" w:rsidRPr="006D622A" w:rsidRDefault="00083B1C" w:rsidP="00D7299E">
      <w:pPr>
        <w:pStyle w:val="CETReferencetext"/>
      </w:pPr>
      <w:r w:rsidRPr="00316C19">
        <w:t>Zou S., He Z.,</w:t>
      </w:r>
      <w:r w:rsidRPr="00FC687C">
        <w:t xml:space="preserve"> 2018, Efficiently “pumping out” value-added resources from wastewater by </w:t>
      </w:r>
      <w:proofErr w:type="spellStart"/>
      <w:r w:rsidRPr="00FC687C">
        <w:t>bioelectrochemical</w:t>
      </w:r>
      <w:proofErr w:type="spellEnd"/>
      <w:r w:rsidRPr="00FC687C">
        <w:t xml:space="preserve"> systems: a review from energy perspectives, Water Research, 131, 62–73.</w:t>
      </w:r>
    </w:p>
    <w:p w14:paraId="41E346B0" w14:textId="77777777" w:rsidR="004D4DF5" w:rsidRPr="006D622A" w:rsidRDefault="004D4DF5" w:rsidP="00EA4660">
      <w:pPr>
        <w:pStyle w:val="CETBodytext"/>
        <w:rPr>
          <w:lang w:val="en-GB"/>
        </w:rPr>
      </w:pPr>
    </w:p>
    <w:sectPr w:rsidR="004D4DF5" w:rsidRPr="006D622A" w:rsidSect="00A714EF">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72734" w14:textId="77777777" w:rsidR="00DA1DF7" w:rsidRDefault="00DA1DF7" w:rsidP="004F5E36">
      <w:r>
        <w:separator/>
      </w:r>
    </w:p>
  </w:endnote>
  <w:endnote w:type="continuationSeparator" w:id="0">
    <w:p w14:paraId="250308BA" w14:textId="77777777" w:rsidR="00DA1DF7" w:rsidRDefault="00DA1DF7"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Times New Roman"/>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F4267" w14:textId="77777777" w:rsidR="00DA1DF7" w:rsidRDefault="00DA1DF7" w:rsidP="004F5E36">
      <w:r>
        <w:separator/>
      </w:r>
    </w:p>
  </w:footnote>
  <w:footnote w:type="continuationSeparator" w:id="0">
    <w:p w14:paraId="4C32D9D7" w14:textId="77777777" w:rsidR="00DA1DF7" w:rsidRDefault="00DA1DF7"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68A1B70"/>
    <w:multiLevelType w:val="hybridMultilevel"/>
    <w:tmpl w:val="9244C8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DC540E4"/>
    <w:multiLevelType w:val="hybridMultilevel"/>
    <w:tmpl w:val="B67E7B2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438217E"/>
    <w:multiLevelType w:val="multilevel"/>
    <w:tmpl w:val="957AD8A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elaSimples-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3" w15:restartNumberingAfterBreak="0">
    <w:nsid w:val="32F818A3"/>
    <w:multiLevelType w:val="hybridMultilevel"/>
    <w:tmpl w:val="DBD4D9A6"/>
    <w:lvl w:ilvl="0" w:tplc="5BFA17DC">
      <w:start w:val="1"/>
      <w:numFmt w:val="bullet"/>
      <w:lvlText w:val="●"/>
      <w:lvlJc w:val="left"/>
      <w:pPr>
        <w:ind w:left="720" w:hanging="360"/>
      </w:pPr>
    </w:lvl>
    <w:lvl w:ilvl="1" w:tplc="D03E705A">
      <w:start w:val="1"/>
      <w:numFmt w:val="bullet"/>
      <w:lvlText w:val="○"/>
      <w:lvlJc w:val="left"/>
      <w:pPr>
        <w:ind w:left="1440" w:hanging="360"/>
      </w:pPr>
    </w:lvl>
    <w:lvl w:ilvl="2" w:tplc="95823A00">
      <w:start w:val="1"/>
      <w:numFmt w:val="bullet"/>
      <w:lvlText w:val="■"/>
      <w:lvlJc w:val="left"/>
      <w:pPr>
        <w:ind w:left="2160" w:hanging="360"/>
      </w:pPr>
    </w:lvl>
    <w:lvl w:ilvl="3" w:tplc="9284667C">
      <w:start w:val="1"/>
      <w:numFmt w:val="bullet"/>
      <w:lvlText w:val="●"/>
      <w:lvlJc w:val="left"/>
      <w:pPr>
        <w:ind w:left="2880" w:hanging="360"/>
      </w:pPr>
    </w:lvl>
    <w:lvl w:ilvl="4" w:tplc="39ACCB5E">
      <w:start w:val="1"/>
      <w:numFmt w:val="bullet"/>
      <w:lvlText w:val="○"/>
      <w:lvlJc w:val="left"/>
      <w:pPr>
        <w:ind w:left="3600" w:hanging="360"/>
      </w:pPr>
    </w:lvl>
    <w:lvl w:ilvl="5" w:tplc="56DEFC0A">
      <w:start w:val="1"/>
      <w:numFmt w:val="bullet"/>
      <w:lvlText w:val="■"/>
      <w:lvlJc w:val="left"/>
      <w:pPr>
        <w:ind w:left="4320" w:hanging="360"/>
      </w:pPr>
    </w:lvl>
    <w:lvl w:ilvl="6" w:tplc="B9D24FD8">
      <w:start w:val="1"/>
      <w:numFmt w:val="bullet"/>
      <w:lvlText w:val="●"/>
      <w:lvlJc w:val="left"/>
      <w:pPr>
        <w:ind w:left="5040" w:hanging="360"/>
      </w:pPr>
    </w:lvl>
    <w:lvl w:ilvl="7" w:tplc="962CC51C">
      <w:start w:val="1"/>
      <w:numFmt w:val="bullet"/>
      <w:lvlText w:val="●"/>
      <w:lvlJc w:val="left"/>
      <w:pPr>
        <w:ind w:left="5760" w:hanging="360"/>
      </w:pPr>
    </w:lvl>
    <w:lvl w:ilvl="8" w:tplc="5B32FE12">
      <w:start w:val="1"/>
      <w:numFmt w:val="bullet"/>
      <w:lvlText w:val="●"/>
      <w:lvlJc w:val="left"/>
      <w:pPr>
        <w:ind w:left="6480" w:hanging="360"/>
      </w:pPr>
    </w:lvl>
  </w:abstractNum>
  <w:abstractNum w:abstractNumId="14"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8E43CEB"/>
    <w:multiLevelType w:val="hybridMultilevel"/>
    <w:tmpl w:val="928458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6A62C9"/>
    <w:multiLevelType w:val="hybridMultilevel"/>
    <w:tmpl w:val="E7DA4E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41E06729"/>
    <w:multiLevelType w:val="multilevel"/>
    <w:tmpl w:val="9DAC63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BC42A2"/>
    <w:multiLevelType w:val="multilevel"/>
    <w:tmpl w:val="90BCE5F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3F4157"/>
    <w:multiLevelType w:val="multilevel"/>
    <w:tmpl w:val="90BCE5F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26" w15:restartNumberingAfterBreak="0">
    <w:nsid w:val="5764671F"/>
    <w:multiLevelType w:val="multilevel"/>
    <w:tmpl w:val="90BCE5F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1D7537B"/>
    <w:multiLevelType w:val="multilevel"/>
    <w:tmpl w:val="DDBAD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6076598"/>
    <w:multiLevelType w:val="hybridMultilevel"/>
    <w:tmpl w:val="9CF029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A796A82"/>
    <w:multiLevelType w:val="multilevel"/>
    <w:tmpl w:val="E3864CB0"/>
    <w:lvl w:ilvl="0">
      <w:start w:val="1"/>
      <w:numFmt w:val="bullet"/>
      <w:lvlText w:val=""/>
      <w:lvlJc w:val="left"/>
      <w:pPr>
        <w:ind w:left="0" w:firstLine="0"/>
      </w:pPr>
      <w:rPr>
        <w:rFonts w:ascii="Symbol" w:hAnsi="Symbol"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33" w15:restartNumberingAfterBreak="0">
    <w:nsid w:val="7BA36359"/>
    <w:multiLevelType w:val="multilevel"/>
    <w:tmpl w:val="58E47A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16882765">
    <w:abstractNumId w:val="12"/>
  </w:num>
  <w:num w:numId="2" w16cid:durableId="1954094313">
    <w:abstractNumId w:val="8"/>
  </w:num>
  <w:num w:numId="3" w16cid:durableId="2001083081">
    <w:abstractNumId w:val="3"/>
  </w:num>
  <w:num w:numId="4" w16cid:durableId="665287687">
    <w:abstractNumId w:val="2"/>
  </w:num>
  <w:num w:numId="5" w16cid:durableId="1763211618">
    <w:abstractNumId w:val="1"/>
  </w:num>
  <w:num w:numId="6" w16cid:durableId="733351894">
    <w:abstractNumId w:val="0"/>
  </w:num>
  <w:num w:numId="7" w16cid:durableId="1265187038">
    <w:abstractNumId w:val="9"/>
  </w:num>
  <w:num w:numId="8" w16cid:durableId="458382672">
    <w:abstractNumId w:val="7"/>
  </w:num>
  <w:num w:numId="9" w16cid:durableId="652636510">
    <w:abstractNumId w:val="6"/>
  </w:num>
  <w:num w:numId="10" w16cid:durableId="1972591888">
    <w:abstractNumId w:val="5"/>
  </w:num>
  <w:num w:numId="11" w16cid:durableId="1179278139">
    <w:abstractNumId w:val="4"/>
  </w:num>
  <w:num w:numId="12" w16cid:durableId="1575509198">
    <w:abstractNumId w:val="25"/>
  </w:num>
  <w:num w:numId="13" w16cid:durableId="695733619">
    <w:abstractNumId w:val="15"/>
  </w:num>
  <w:num w:numId="14" w16cid:durableId="145903400">
    <w:abstractNumId w:val="27"/>
  </w:num>
  <w:num w:numId="15" w16cid:durableId="19162326">
    <w:abstractNumId w:val="31"/>
  </w:num>
  <w:num w:numId="16" w16cid:durableId="1977102699">
    <w:abstractNumId w:val="30"/>
  </w:num>
  <w:num w:numId="17" w16cid:durableId="860774865">
    <w:abstractNumId w:val="14"/>
  </w:num>
  <w:num w:numId="18" w16cid:durableId="313221457">
    <w:abstractNumId w:val="15"/>
    <w:lvlOverride w:ilvl="0">
      <w:startOverride w:val="1"/>
    </w:lvlOverride>
  </w:num>
  <w:num w:numId="19" w16cid:durableId="534971577">
    <w:abstractNumId w:val="24"/>
  </w:num>
  <w:num w:numId="20" w16cid:durableId="1150947773">
    <w:abstractNumId w:val="23"/>
  </w:num>
  <w:num w:numId="21" w16cid:durableId="124660497">
    <w:abstractNumId w:val="19"/>
  </w:num>
  <w:num w:numId="22" w16cid:durableId="2099861471">
    <w:abstractNumId w:val="17"/>
  </w:num>
  <w:num w:numId="23" w16cid:durableId="472408947">
    <w:abstractNumId w:val="20"/>
  </w:num>
  <w:num w:numId="24" w16cid:durableId="1567178648">
    <w:abstractNumId w:val="32"/>
  </w:num>
  <w:num w:numId="25" w16cid:durableId="219101546">
    <w:abstractNumId w:val="33"/>
  </w:num>
  <w:num w:numId="26" w16cid:durableId="686717628">
    <w:abstractNumId w:val="12"/>
  </w:num>
  <w:num w:numId="27" w16cid:durableId="1523713602">
    <w:abstractNumId w:val="15"/>
  </w:num>
  <w:num w:numId="28" w16cid:durableId="1364549751">
    <w:abstractNumId w:val="15"/>
  </w:num>
  <w:num w:numId="29" w16cid:durableId="1349412114">
    <w:abstractNumId w:val="15"/>
  </w:num>
  <w:num w:numId="30" w16cid:durableId="645430060">
    <w:abstractNumId w:val="15"/>
  </w:num>
  <w:num w:numId="31" w16cid:durableId="1213346014">
    <w:abstractNumId w:val="28"/>
  </w:num>
  <w:num w:numId="32" w16cid:durableId="1741707070">
    <w:abstractNumId w:val="18"/>
  </w:num>
  <w:num w:numId="33" w16cid:durableId="364796535">
    <w:abstractNumId w:val="21"/>
  </w:num>
  <w:num w:numId="34" w16cid:durableId="834416351">
    <w:abstractNumId w:val="26"/>
  </w:num>
  <w:num w:numId="35" w16cid:durableId="10838137">
    <w:abstractNumId w:val="22"/>
  </w:num>
  <w:num w:numId="36" w16cid:durableId="755632684">
    <w:abstractNumId w:val="11"/>
  </w:num>
  <w:num w:numId="37" w16cid:durableId="601835537">
    <w:abstractNumId w:val="13"/>
    <w:lvlOverride w:ilvl="0">
      <w:startOverride w:val="1"/>
    </w:lvlOverride>
  </w:num>
  <w:num w:numId="38" w16cid:durableId="1264337912">
    <w:abstractNumId w:val="16"/>
  </w:num>
  <w:num w:numId="39" w16cid:durableId="587932043">
    <w:abstractNumId w:val="10"/>
  </w:num>
  <w:num w:numId="40" w16cid:durableId="187723392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31FD"/>
    <w:rsid w:val="000052FB"/>
    <w:rsid w:val="00005441"/>
    <w:rsid w:val="00005A19"/>
    <w:rsid w:val="00005C9F"/>
    <w:rsid w:val="00006C06"/>
    <w:rsid w:val="000117CB"/>
    <w:rsid w:val="0001297A"/>
    <w:rsid w:val="0001602B"/>
    <w:rsid w:val="00024640"/>
    <w:rsid w:val="0003148D"/>
    <w:rsid w:val="00031EEC"/>
    <w:rsid w:val="0003240E"/>
    <w:rsid w:val="00034D10"/>
    <w:rsid w:val="00040746"/>
    <w:rsid w:val="00043F3B"/>
    <w:rsid w:val="00043F80"/>
    <w:rsid w:val="00051566"/>
    <w:rsid w:val="00054288"/>
    <w:rsid w:val="000562A9"/>
    <w:rsid w:val="00061483"/>
    <w:rsid w:val="00061A6A"/>
    <w:rsid w:val="00062A9A"/>
    <w:rsid w:val="000645B0"/>
    <w:rsid w:val="00065058"/>
    <w:rsid w:val="0006625D"/>
    <w:rsid w:val="000719D4"/>
    <w:rsid w:val="00075B0E"/>
    <w:rsid w:val="0007615C"/>
    <w:rsid w:val="00081DD9"/>
    <w:rsid w:val="00083B1C"/>
    <w:rsid w:val="00084057"/>
    <w:rsid w:val="00085E50"/>
    <w:rsid w:val="00086C39"/>
    <w:rsid w:val="00090658"/>
    <w:rsid w:val="000909A4"/>
    <w:rsid w:val="000952FE"/>
    <w:rsid w:val="00096671"/>
    <w:rsid w:val="00097FD8"/>
    <w:rsid w:val="000A03B2"/>
    <w:rsid w:val="000A07D1"/>
    <w:rsid w:val="000A1A7E"/>
    <w:rsid w:val="000A7457"/>
    <w:rsid w:val="000B46F3"/>
    <w:rsid w:val="000C07A6"/>
    <w:rsid w:val="000C1A96"/>
    <w:rsid w:val="000C31F1"/>
    <w:rsid w:val="000C7371"/>
    <w:rsid w:val="000D0268"/>
    <w:rsid w:val="000D22BB"/>
    <w:rsid w:val="000D22E8"/>
    <w:rsid w:val="000D28D4"/>
    <w:rsid w:val="000D34BE"/>
    <w:rsid w:val="000D4E4B"/>
    <w:rsid w:val="000E102F"/>
    <w:rsid w:val="000E1064"/>
    <w:rsid w:val="000E2340"/>
    <w:rsid w:val="000E2760"/>
    <w:rsid w:val="000E36F1"/>
    <w:rsid w:val="000E3A73"/>
    <w:rsid w:val="000E414A"/>
    <w:rsid w:val="000E440D"/>
    <w:rsid w:val="000F093C"/>
    <w:rsid w:val="000F170F"/>
    <w:rsid w:val="000F6017"/>
    <w:rsid w:val="000F787B"/>
    <w:rsid w:val="00104629"/>
    <w:rsid w:val="0010624B"/>
    <w:rsid w:val="00114018"/>
    <w:rsid w:val="0012091F"/>
    <w:rsid w:val="00121316"/>
    <w:rsid w:val="00124750"/>
    <w:rsid w:val="00126BC2"/>
    <w:rsid w:val="001278C1"/>
    <w:rsid w:val="001308B6"/>
    <w:rsid w:val="0013121F"/>
    <w:rsid w:val="00131FE6"/>
    <w:rsid w:val="0013263F"/>
    <w:rsid w:val="001331DF"/>
    <w:rsid w:val="00134D5D"/>
    <w:rsid w:val="00134DE4"/>
    <w:rsid w:val="001351A8"/>
    <w:rsid w:val="0014034D"/>
    <w:rsid w:val="00144D16"/>
    <w:rsid w:val="00146F99"/>
    <w:rsid w:val="00150E59"/>
    <w:rsid w:val="00151B4B"/>
    <w:rsid w:val="00152DE3"/>
    <w:rsid w:val="00156B1F"/>
    <w:rsid w:val="001626CD"/>
    <w:rsid w:val="001635ED"/>
    <w:rsid w:val="0016389E"/>
    <w:rsid w:val="001639AF"/>
    <w:rsid w:val="00164CF9"/>
    <w:rsid w:val="001667A6"/>
    <w:rsid w:val="00166F1D"/>
    <w:rsid w:val="00170C9A"/>
    <w:rsid w:val="001729E3"/>
    <w:rsid w:val="00175A35"/>
    <w:rsid w:val="00176A52"/>
    <w:rsid w:val="00184AD6"/>
    <w:rsid w:val="00186605"/>
    <w:rsid w:val="001931A9"/>
    <w:rsid w:val="00193F6E"/>
    <w:rsid w:val="00194538"/>
    <w:rsid w:val="0019729E"/>
    <w:rsid w:val="001A33E1"/>
    <w:rsid w:val="001A37CD"/>
    <w:rsid w:val="001A4AF7"/>
    <w:rsid w:val="001A65C9"/>
    <w:rsid w:val="001B0349"/>
    <w:rsid w:val="001B1E93"/>
    <w:rsid w:val="001B5938"/>
    <w:rsid w:val="001B65C1"/>
    <w:rsid w:val="001C3C5B"/>
    <w:rsid w:val="001C684B"/>
    <w:rsid w:val="001C7277"/>
    <w:rsid w:val="001C7373"/>
    <w:rsid w:val="001D0CFB"/>
    <w:rsid w:val="001D1A71"/>
    <w:rsid w:val="001D21AF"/>
    <w:rsid w:val="001D2D6B"/>
    <w:rsid w:val="001D3568"/>
    <w:rsid w:val="001D4168"/>
    <w:rsid w:val="001D53FC"/>
    <w:rsid w:val="001D6EA2"/>
    <w:rsid w:val="001E11D0"/>
    <w:rsid w:val="001F2690"/>
    <w:rsid w:val="001F3A35"/>
    <w:rsid w:val="001F3A71"/>
    <w:rsid w:val="001F42A5"/>
    <w:rsid w:val="001F7B9D"/>
    <w:rsid w:val="001F7F35"/>
    <w:rsid w:val="00201C93"/>
    <w:rsid w:val="002039B7"/>
    <w:rsid w:val="00215546"/>
    <w:rsid w:val="00216818"/>
    <w:rsid w:val="00217957"/>
    <w:rsid w:val="00220954"/>
    <w:rsid w:val="00221E5B"/>
    <w:rsid w:val="002220A2"/>
    <w:rsid w:val="002224B4"/>
    <w:rsid w:val="002224FB"/>
    <w:rsid w:val="002227EA"/>
    <w:rsid w:val="00224BB7"/>
    <w:rsid w:val="002260AF"/>
    <w:rsid w:val="00231B63"/>
    <w:rsid w:val="00231DFA"/>
    <w:rsid w:val="0023649F"/>
    <w:rsid w:val="002378DB"/>
    <w:rsid w:val="00241CAA"/>
    <w:rsid w:val="002432BD"/>
    <w:rsid w:val="002447EF"/>
    <w:rsid w:val="002450DE"/>
    <w:rsid w:val="00245E0E"/>
    <w:rsid w:val="00246857"/>
    <w:rsid w:val="00251550"/>
    <w:rsid w:val="00254881"/>
    <w:rsid w:val="00256431"/>
    <w:rsid w:val="00261B3D"/>
    <w:rsid w:val="00263B05"/>
    <w:rsid w:val="00263E9C"/>
    <w:rsid w:val="002656C8"/>
    <w:rsid w:val="00271C98"/>
    <w:rsid w:val="0027221A"/>
    <w:rsid w:val="00272741"/>
    <w:rsid w:val="00272AB8"/>
    <w:rsid w:val="002738AB"/>
    <w:rsid w:val="00274EF3"/>
    <w:rsid w:val="00275B61"/>
    <w:rsid w:val="00277CC7"/>
    <w:rsid w:val="00280FAF"/>
    <w:rsid w:val="00281270"/>
    <w:rsid w:val="00282656"/>
    <w:rsid w:val="0028280E"/>
    <w:rsid w:val="00283F88"/>
    <w:rsid w:val="00284F77"/>
    <w:rsid w:val="00291B7E"/>
    <w:rsid w:val="00293AA7"/>
    <w:rsid w:val="00294B76"/>
    <w:rsid w:val="00294F73"/>
    <w:rsid w:val="00295A20"/>
    <w:rsid w:val="002961DC"/>
    <w:rsid w:val="00296B83"/>
    <w:rsid w:val="002A07AC"/>
    <w:rsid w:val="002A0858"/>
    <w:rsid w:val="002A20FC"/>
    <w:rsid w:val="002A76F6"/>
    <w:rsid w:val="002B0246"/>
    <w:rsid w:val="002B0966"/>
    <w:rsid w:val="002B4015"/>
    <w:rsid w:val="002B5967"/>
    <w:rsid w:val="002B604E"/>
    <w:rsid w:val="002B78CE"/>
    <w:rsid w:val="002C0020"/>
    <w:rsid w:val="002C0395"/>
    <w:rsid w:val="002C2FB6"/>
    <w:rsid w:val="002C394E"/>
    <w:rsid w:val="002C44D1"/>
    <w:rsid w:val="002D4B86"/>
    <w:rsid w:val="002D68E0"/>
    <w:rsid w:val="002E03E3"/>
    <w:rsid w:val="002E5C8A"/>
    <w:rsid w:val="002E5FA7"/>
    <w:rsid w:val="002E6D75"/>
    <w:rsid w:val="002F074B"/>
    <w:rsid w:val="002F3309"/>
    <w:rsid w:val="002F6C11"/>
    <w:rsid w:val="003008CE"/>
    <w:rsid w:val="003009B7"/>
    <w:rsid w:val="00300E56"/>
    <w:rsid w:val="0030152C"/>
    <w:rsid w:val="00303FD0"/>
    <w:rsid w:val="0030469C"/>
    <w:rsid w:val="003052F6"/>
    <w:rsid w:val="00316C19"/>
    <w:rsid w:val="00321094"/>
    <w:rsid w:val="00321CA6"/>
    <w:rsid w:val="00322920"/>
    <w:rsid w:val="003232E5"/>
    <w:rsid w:val="00323607"/>
    <w:rsid w:val="00323763"/>
    <w:rsid w:val="00323C5F"/>
    <w:rsid w:val="00334616"/>
    <w:rsid w:val="00334C09"/>
    <w:rsid w:val="00334F03"/>
    <w:rsid w:val="00337EBD"/>
    <w:rsid w:val="003411CC"/>
    <w:rsid w:val="0034142B"/>
    <w:rsid w:val="003431C8"/>
    <w:rsid w:val="0034570E"/>
    <w:rsid w:val="00345CD4"/>
    <w:rsid w:val="00351F3A"/>
    <w:rsid w:val="00352825"/>
    <w:rsid w:val="003561B5"/>
    <w:rsid w:val="00356347"/>
    <w:rsid w:val="00360852"/>
    <w:rsid w:val="00364676"/>
    <w:rsid w:val="00365ABD"/>
    <w:rsid w:val="003723D4"/>
    <w:rsid w:val="00374C2D"/>
    <w:rsid w:val="00374F0E"/>
    <w:rsid w:val="003752FF"/>
    <w:rsid w:val="00375940"/>
    <w:rsid w:val="00375D1F"/>
    <w:rsid w:val="00381905"/>
    <w:rsid w:val="00384CC8"/>
    <w:rsid w:val="00387075"/>
    <w:rsid w:val="003871FD"/>
    <w:rsid w:val="00392F5E"/>
    <w:rsid w:val="0039534E"/>
    <w:rsid w:val="003962E4"/>
    <w:rsid w:val="003969FB"/>
    <w:rsid w:val="003A1402"/>
    <w:rsid w:val="003A1E30"/>
    <w:rsid w:val="003A2829"/>
    <w:rsid w:val="003A3A95"/>
    <w:rsid w:val="003A5F3A"/>
    <w:rsid w:val="003A7D1C"/>
    <w:rsid w:val="003B304B"/>
    <w:rsid w:val="003B3146"/>
    <w:rsid w:val="003B74A0"/>
    <w:rsid w:val="003C7060"/>
    <w:rsid w:val="003D5358"/>
    <w:rsid w:val="003E3841"/>
    <w:rsid w:val="003E3F8B"/>
    <w:rsid w:val="003E5B04"/>
    <w:rsid w:val="003F015E"/>
    <w:rsid w:val="00400414"/>
    <w:rsid w:val="00402410"/>
    <w:rsid w:val="00403936"/>
    <w:rsid w:val="00403E14"/>
    <w:rsid w:val="0041446B"/>
    <w:rsid w:val="00416410"/>
    <w:rsid w:val="004223D8"/>
    <w:rsid w:val="00427D64"/>
    <w:rsid w:val="00427E09"/>
    <w:rsid w:val="00431D67"/>
    <w:rsid w:val="0044071E"/>
    <w:rsid w:val="0044329C"/>
    <w:rsid w:val="00444A3F"/>
    <w:rsid w:val="0045073F"/>
    <w:rsid w:val="00450F1C"/>
    <w:rsid w:val="00453ACB"/>
    <w:rsid w:val="00453E24"/>
    <w:rsid w:val="00454482"/>
    <w:rsid w:val="00457456"/>
    <w:rsid w:val="004577FE"/>
    <w:rsid w:val="00457865"/>
    <w:rsid w:val="00457B9C"/>
    <w:rsid w:val="00460175"/>
    <w:rsid w:val="0046164A"/>
    <w:rsid w:val="004619B6"/>
    <w:rsid w:val="004628D2"/>
    <w:rsid w:val="00462DCD"/>
    <w:rsid w:val="00463B3C"/>
    <w:rsid w:val="004640C0"/>
    <w:rsid w:val="00464866"/>
    <w:rsid w:val="004648AD"/>
    <w:rsid w:val="00465454"/>
    <w:rsid w:val="004703A9"/>
    <w:rsid w:val="00472B16"/>
    <w:rsid w:val="004760DE"/>
    <w:rsid w:val="004763D7"/>
    <w:rsid w:val="00476C09"/>
    <w:rsid w:val="004824D3"/>
    <w:rsid w:val="00485B3D"/>
    <w:rsid w:val="00486DF4"/>
    <w:rsid w:val="0049102B"/>
    <w:rsid w:val="004922A5"/>
    <w:rsid w:val="00495394"/>
    <w:rsid w:val="004962F4"/>
    <w:rsid w:val="004967A4"/>
    <w:rsid w:val="00497338"/>
    <w:rsid w:val="004A004E"/>
    <w:rsid w:val="004A24CF"/>
    <w:rsid w:val="004A52FF"/>
    <w:rsid w:val="004A5FE6"/>
    <w:rsid w:val="004B3CF9"/>
    <w:rsid w:val="004C1C00"/>
    <w:rsid w:val="004C285D"/>
    <w:rsid w:val="004C38BB"/>
    <w:rsid w:val="004C3D1D"/>
    <w:rsid w:val="004C3D84"/>
    <w:rsid w:val="004C7913"/>
    <w:rsid w:val="004C7E4B"/>
    <w:rsid w:val="004D0618"/>
    <w:rsid w:val="004D09F3"/>
    <w:rsid w:val="004D482F"/>
    <w:rsid w:val="004D4DF5"/>
    <w:rsid w:val="004D66E6"/>
    <w:rsid w:val="004D7B81"/>
    <w:rsid w:val="004E0469"/>
    <w:rsid w:val="004E3F44"/>
    <w:rsid w:val="004E4DD6"/>
    <w:rsid w:val="004E7276"/>
    <w:rsid w:val="004F5E36"/>
    <w:rsid w:val="00503F64"/>
    <w:rsid w:val="0050453A"/>
    <w:rsid w:val="0050646D"/>
    <w:rsid w:val="0050716D"/>
    <w:rsid w:val="00507B47"/>
    <w:rsid w:val="00507BEF"/>
    <w:rsid w:val="00507CC9"/>
    <w:rsid w:val="00510765"/>
    <w:rsid w:val="00510D96"/>
    <w:rsid w:val="0051117C"/>
    <w:rsid w:val="005119A5"/>
    <w:rsid w:val="00512F16"/>
    <w:rsid w:val="00513A2F"/>
    <w:rsid w:val="00517F83"/>
    <w:rsid w:val="005229F0"/>
    <w:rsid w:val="005255FF"/>
    <w:rsid w:val="00526855"/>
    <w:rsid w:val="005278B7"/>
    <w:rsid w:val="00532016"/>
    <w:rsid w:val="005327ED"/>
    <w:rsid w:val="00533A17"/>
    <w:rsid w:val="005346C8"/>
    <w:rsid w:val="00543E7D"/>
    <w:rsid w:val="00544224"/>
    <w:rsid w:val="00547A68"/>
    <w:rsid w:val="005531C9"/>
    <w:rsid w:val="00553C6E"/>
    <w:rsid w:val="00553E37"/>
    <w:rsid w:val="00554F36"/>
    <w:rsid w:val="00557E00"/>
    <w:rsid w:val="005628DA"/>
    <w:rsid w:val="00564077"/>
    <w:rsid w:val="00566148"/>
    <w:rsid w:val="00570C43"/>
    <w:rsid w:val="00570C9F"/>
    <w:rsid w:val="00571068"/>
    <w:rsid w:val="00574A2B"/>
    <w:rsid w:val="0057540A"/>
    <w:rsid w:val="00576AE1"/>
    <w:rsid w:val="00592610"/>
    <w:rsid w:val="0059391C"/>
    <w:rsid w:val="005945E4"/>
    <w:rsid w:val="00595F03"/>
    <w:rsid w:val="005A0722"/>
    <w:rsid w:val="005A466D"/>
    <w:rsid w:val="005A7AAB"/>
    <w:rsid w:val="005B05AB"/>
    <w:rsid w:val="005B0DE6"/>
    <w:rsid w:val="005B2110"/>
    <w:rsid w:val="005B61E6"/>
    <w:rsid w:val="005B739E"/>
    <w:rsid w:val="005C2BF6"/>
    <w:rsid w:val="005C5C5F"/>
    <w:rsid w:val="005C77E1"/>
    <w:rsid w:val="005C7A42"/>
    <w:rsid w:val="005D265B"/>
    <w:rsid w:val="005D4B8E"/>
    <w:rsid w:val="005D668A"/>
    <w:rsid w:val="005D6A2F"/>
    <w:rsid w:val="005E0BF6"/>
    <w:rsid w:val="005E1A82"/>
    <w:rsid w:val="005E2E1D"/>
    <w:rsid w:val="005E4230"/>
    <w:rsid w:val="005E794C"/>
    <w:rsid w:val="005F0A28"/>
    <w:rsid w:val="005F0E5E"/>
    <w:rsid w:val="005F44D2"/>
    <w:rsid w:val="005F4D3F"/>
    <w:rsid w:val="00600535"/>
    <w:rsid w:val="0060540E"/>
    <w:rsid w:val="0060663E"/>
    <w:rsid w:val="00606ECF"/>
    <w:rsid w:val="00610CD6"/>
    <w:rsid w:val="00611304"/>
    <w:rsid w:val="0061178D"/>
    <w:rsid w:val="00616951"/>
    <w:rsid w:val="00620DEE"/>
    <w:rsid w:val="00621F92"/>
    <w:rsid w:val="0062280A"/>
    <w:rsid w:val="00625639"/>
    <w:rsid w:val="00631B33"/>
    <w:rsid w:val="006322A2"/>
    <w:rsid w:val="00632BBF"/>
    <w:rsid w:val="006340E6"/>
    <w:rsid w:val="00634665"/>
    <w:rsid w:val="00640D93"/>
    <w:rsid w:val="00641690"/>
    <w:rsid w:val="0064184D"/>
    <w:rsid w:val="006422CC"/>
    <w:rsid w:val="006457BE"/>
    <w:rsid w:val="006514C0"/>
    <w:rsid w:val="006527B8"/>
    <w:rsid w:val="00654155"/>
    <w:rsid w:val="0065524B"/>
    <w:rsid w:val="00656728"/>
    <w:rsid w:val="00656A8D"/>
    <w:rsid w:val="00660C10"/>
    <w:rsid w:val="00660E3E"/>
    <w:rsid w:val="0066226C"/>
    <w:rsid w:val="00662E74"/>
    <w:rsid w:val="00663F1E"/>
    <w:rsid w:val="00670D70"/>
    <w:rsid w:val="00675337"/>
    <w:rsid w:val="00675820"/>
    <w:rsid w:val="00676B16"/>
    <w:rsid w:val="00677752"/>
    <w:rsid w:val="00680C23"/>
    <w:rsid w:val="00681460"/>
    <w:rsid w:val="0069226A"/>
    <w:rsid w:val="00693766"/>
    <w:rsid w:val="0069604A"/>
    <w:rsid w:val="00696DEC"/>
    <w:rsid w:val="006979AD"/>
    <w:rsid w:val="00697FB2"/>
    <w:rsid w:val="006A15B3"/>
    <w:rsid w:val="006A1BF5"/>
    <w:rsid w:val="006A3281"/>
    <w:rsid w:val="006A3953"/>
    <w:rsid w:val="006A7B54"/>
    <w:rsid w:val="006B0D0D"/>
    <w:rsid w:val="006B4888"/>
    <w:rsid w:val="006B4CF4"/>
    <w:rsid w:val="006B5BDE"/>
    <w:rsid w:val="006C0488"/>
    <w:rsid w:val="006C2E45"/>
    <w:rsid w:val="006C359C"/>
    <w:rsid w:val="006C5579"/>
    <w:rsid w:val="006C5A82"/>
    <w:rsid w:val="006C6D5A"/>
    <w:rsid w:val="006D0A8B"/>
    <w:rsid w:val="006D4B6F"/>
    <w:rsid w:val="006D56DC"/>
    <w:rsid w:val="006D622A"/>
    <w:rsid w:val="006D6874"/>
    <w:rsid w:val="006D6E8B"/>
    <w:rsid w:val="006E0A1A"/>
    <w:rsid w:val="006E2C05"/>
    <w:rsid w:val="006E4C79"/>
    <w:rsid w:val="006E4F71"/>
    <w:rsid w:val="006E737D"/>
    <w:rsid w:val="006F0319"/>
    <w:rsid w:val="006F0CA0"/>
    <w:rsid w:val="006F4C83"/>
    <w:rsid w:val="00701338"/>
    <w:rsid w:val="00707DD1"/>
    <w:rsid w:val="00711394"/>
    <w:rsid w:val="00713973"/>
    <w:rsid w:val="00713DF0"/>
    <w:rsid w:val="00714F83"/>
    <w:rsid w:val="00720A24"/>
    <w:rsid w:val="00725447"/>
    <w:rsid w:val="00726E5C"/>
    <w:rsid w:val="00726FAE"/>
    <w:rsid w:val="00732386"/>
    <w:rsid w:val="00734E71"/>
    <w:rsid w:val="0073514D"/>
    <w:rsid w:val="00741432"/>
    <w:rsid w:val="00741EBC"/>
    <w:rsid w:val="00741FC4"/>
    <w:rsid w:val="00742C53"/>
    <w:rsid w:val="007443E6"/>
    <w:rsid w:val="007447F3"/>
    <w:rsid w:val="007451EA"/>
    <w:rsid w:val="0075054F"/>
    <w:rsid w:val="007538A3"/>
    <w:rsid w:val="0075499F"/>
    <w:rsid w:val="007661C8"/>
    <w:rsid w:val="0076674B"/>
    <w:rsid w:val="0077098D"/>
    <w:rsid w:val="007806E6"/>
    <w:rsid w:val="00785045"/>
    <w:rsid w:val="0079091E"/>
    <w:rsid w:val="007931FA"/>
    <w:rsid w:val="00797D28"/>
    <w:rsid w:val="007A3C84"/>
    <w:rsid w:val="007A4861"/>
    <w:rsid w:val="007A6054"/>
    <w:rsid w:val="007A7BBA"/>
    <w:rsid w:val="007B0C50"/>
    <w:rsid w:val="007B2DCD"/>
    <w:rsid w:val="007B48F9"/>
    <w:rsid w:val="007B5CA9"/>
    <w:rsid w:val="007C1A43"/>
    <w:rsid w:val="007C1AD8"/>
    <w:rsid w:val="007C44F3"/>
    <w:rsid w:val="007C6F69"/>
    <w:rsid w:val="007D0951"/>
    <w:rsid w:val="007D22D3"/>
    <w:rsid w:val="007D545B"/>
    <w:rsid w:val="007D724E"/>
    <w:rsid w:val="007E2424"/>
    <w:rsid w:val="007E2DF7"/>
    <w:rsid w:val="007E3555"/>
    <w:rsid w:val="007E4F19"/>
    <w:rsid w:val="007F1BFD"/>
    <w:rsid w:val="007F2998"/>
    <w:rsid w:val="007F37F8"/>
    <w:rsid w:val="007F4315"/>
    <w:rsid w:val="0080013E"/>
    <w:rsid w:val="0080226E"/>
    <w:rsid w:val="0080264C"/>
    <w:rsid w:val="008124AA"/>
    <w:rsid w:val="00812D24"/>
    <w:rsid w:val="00813288"/>
    <w:rsid w:val="008143CA"/>
    <w:rsid w:val="008168FC"/>
    <w:rsid w:val="00827179"/>
    <w:rsid w:val="00830996"/>
    <w:rsid w:val="00832438"/>
    <w:rsid w:val="0083365B"/>
    <w:rsid w:val="008345F1"/>
    <w:rsid w:val="008347A2"/>
    <w:rsid w:val="00835681"/>
    <w:rsid w:val="0083599B"/>
    <w:rsid w:val="00836415"/>
    <w:rsid w:val="00837360"/>
    <w:rsid w:val="00844F1A"/>
    <w:rsid w:val="008529FB"/>
    <w:rsid w:val="00854FC9"/>
    <w:rsid w:val="0085755D"/>
    <w:rsid w:val="0086321D"/>
    <w:rsid w:val="00864520"/>
    <w:rsid w:val="00865B07"/>
    <w:rsid w:val="008667EA"/>
    <w:rsid w:val="00866DB4"/>
    <w:rsid w:val="00866DD6"/>
    <w:rsid w:val="00870753"/>
    <w:rsid w:val="00870975"/>
    <w:rsid w:val="00871959"/>
    <w:rsid w:val="008732D7"/>
    <w:rsid w:val="0087637F"/>
    <w:rsid w:val="00877A18"/>
    <w:rsid w:val="00877DCE"/>
    <w:rsid w:val="0088123D"/>
    <w:rsid w:val="008821DB"/>
    <w:rsid w:val="00882841"/>
    <w:rsid w:val="00885B3A"/>
    <w:rsid w:val="00892AD5"/>
    <w:rsid w:val="0089574A"/>
    <w:rsid w:val="008A1512"/>
    <w:rsid w:val="008A2F6F"/>
    <w:rsid w:val="008A4AA9"/>
    <w:rsid w:val="008B18D4"/>
    <w:rsid w:val="008B19A7"/>
    <w:rsid w:val="008B2722"/>
    <w:rsid w:val="008B3706"/>
    <w:rsid w:val="008B69A5"/>
    <w:rsid w:val="008C75E9"/>
    <w:rsid w:val="008C7D67"/>
    <w:rsid w:val="008D1012"/>
    <w:rsid w:val="008D28D6"/>
    <w:rsid w:val="008D32B9"/>
    <w:rsid w:val="008D348A"/>
    <w:rsid w:val="008D433B"/>
    <w:rsid w:val="008D4A16"/>
    <w:rsid w:val="008D687D"/>
    <w:rsid w:val="008D7B4D"/>
    <w:rsid w:val="008E1B65"/>
    <w:rsid w:val="008E25E3"/>
    <w:rsid w:val="008E566E"/>
    <w:rsid w:val="008E56CD"/>
    <w:rsid w:val="008E58F7"/>
    <w:rsid w:val="008F15B1"/>
    <w:rsid w:val="008F5306"/>
    <w:rsid w:val="008F6E62"/>
    <w:rsid w:val="008F6F54"/>
    <w:rsid w:val="008F7D92"/>
    <w:rsid w:val="008F7F67"/>
    <w:rsid w:val="0090161A"/>
    <w:rsid w:val="00901EB6"/>
    <w:rsid w:val="00904C62"/>
    <w:rsid w:val="00913027"/>
    <w:rsid w:val="00921781"/>
    <w:rsid w:val="00922BA8"/>
    <w:rsid w:val="0092344A"/>
    <w:rsid w:val="00924DAC"/>
    <w:rsid w:val="00927058"/>
    <w:rsid w:val="009356B0"/>
    <w:rsid w:val="009363EE"/>
    <w:rsid w:val="00941851"/>
    <w:rsid w:val="00941D83"/>
    <w:rsid w:val="00942750"/>
    <w:rsid w:val="009450CE"/>
    <w:rsid w:val="009458DD"/>
    <w:rsid w:val="009459BB"/>
    <w:rsid w:val="00946F52"/>
    <w:rsid w:val="00947179"/>
    <w:rsid w:val="0094748E"/>
    <w:rsid w:val="0095164B"/>
    <w:rsid w:val="00954090"/>
    <w:rsid w:val="00956DCF"/>
    <w:rsid w:val="009573E7"/>
    <w:rsid w:val="00962EE2"/>
    <w:rsid w:val="00963E05"/>
    <w:rsid w:val="00964A45"/>
    <w:rsid w:val="00967843"/>
    <w:rsid w:val="00967978"/>
    <w:rsid w:val="00967B28"/>
    <w:rsid w:val="00967D54"/>
    <w:rsid w:val="00971028"/>
    <w:rsid w:val="00971103"/>
    <w:rsid w:val="00975297"/>
    <w:rsid w:val="00975CD6"/>
    <w:rsid w:val="00975E4F"/>
    <w:rsid w:val="0097618F"/>
    <w:rsid w:val="0098193B"/>
    <w:rsid w:val="00982D69"/>
    <w:rsid w:val="0098350A"/>
    <w:rsid w:val="00983CD3"/>
    <w:rsid w:val="00986B51"/>
    <w:rsid w:val="00991BB4"/>
    <w:rsid w:val="00993B84"/>
    <w:rsid w:val="00996483"/>
    <w:rsid w:val="00996A41"/>
    <w:rsid w:val="00996F5A"/>
    <w:rsid w:val="0099721C"/>
    <w:rsid w:val="009A32E5"/>
    <w:rsid w:val="009A61ED"/>
    <w:rsid w:val="009B041A"/>
    <w:rsid w:val="009B6DEE"/>
    <w:rsid w:val="009C37C3"/>
    <w:rsid w:val="009C37C4"/>
    <w:rsid w:val="009C3D76"/>
    <w:rsid w:val="009C5544"/>
    <w:rsid w:val="009C7C86"/>
    <w:rsid w:val="009D18BC"/>
    <w:rsid w:val="009D2FF7"/>
    <w:rsid w:val="009D5807"/>
    <w:rsid w:val="009D6D43"/>
    <w:rsid w:val="009E0C8E"/>
    <w:rsid w:val="009E169B"/>
    <w:rsid w:val="009E2027"/>
    <w:rsid w:val="009E3BAE"/>
    <w:rsid w:val="009E4619"/>
    <w:rsid w:val="009E7801"/>
    <w:rsid w:val="009E7884"/>
    <w:rsid w:val="009E788A"/>
    <w:rsid w:val="009F0E08"/>
    <w:rsid w:val="00A00260"/>
    <w:rsid w:val="00A00738"/>
    <w:rsid w:val="00A06B24"/>
    <w:rsid w:val="00A102A6"/>
    <w:rsid w:val="00A11350"/>
    <w:rsid w:val="00A12B5F"/>
    <w:rsid w:val="00A13527"/>
    <w:rsid w:val="00A15B4C"/>
    <w:rsid w:val="00A1763D"/>
    <w:rsid w:val="00A17CEC"/>
    <w:rsid w:val="00A26E13"/>
    <w:rsid w:val="00A27EF0"/>
    <w:rsid w:val="00A31C68"/>
    <w:rsid w:val="00A31EA0"/>
    <w:rsid w:val="00A4184D"/>
    <w:rsid w:val="00A420C3"/>
    <w:rsid w:val="00A42361"/>
    <w:rsid w:val="00A4248F"/>
    <w:rsid w:val="00A4420A"/>
    <w:rsid w:val="00A46770"/>
    <w:rsid w:val="00A46DB9"/>
    <w:rsid w:val="00A50B20"/>
    <w:rsid w:val="00A51390"/>
    <w:rsid w:val="00A5209E"/>
    <w:rsid w:val="00A54444"/>
    <w:rsid w:val="00A60D13"/>
    <w:rsid w:val="00A63E3C"/>
    <w:rsid w:val="00A67753"/>
    <w:rsid w:val="00A678E1"/>
    <w:rsid w:val="00A706DD"/>
    <w:rsid w:val="00A714EF"/>
    <w:rsid w:val="00A7223D"/>
    <w:rsid w:val="00A72745"/>
    <w:rsid w:val="00A76309"/>
    <w:rsid w:val="00A76EFC"/>
    <w:rsid w:val="00A8154A"/>
    <w:rsid w:val="00A85782"/>
    <w:rsid w:val="00A85C02"/>
    <w:rsid w:val="00A86BC2"/>
    <w:rsid w:val="00A86EE4"/>
    <w:rsid w:val="00A87D50"/>
    <w:rsid w:val="00A91010"/>
    <w:rsid w:val="00A97F29"/>
    <w:rsid w:val="00AA0B1F"/>
    <w:rsid w:val="00AA1637"/>
    <w:rsid w:val="00AA702E"/>
    <w:rsid w:val="00AA7749"/>
    <w:rsid w:val="00AA7D26"/>
    <w:rsid w:val="00AB0964"/>
    <w:rsid w:val="00AB4818"/>
    <w:rsid w:val="00AB5011"/>
    <w:rsid w:val="00AB6D0F"/>
    <w:rsid w:val="00AC0F79"/>
    <w:rsid w:val="00AC1611"/>
    <w:rsid w:val="00AC4E9D"/>
    <w:rsid w:val="00AC7368"/>
    <w:rsid w:val="00AC7E28"/>
    <w:rsid w:val="00AD16B9"/>
    <w:rsid w:val="00AD2381"/>
    <w:rsid w:val="00AE377D"/>
    <w:rsid w:val="00AE47B0"/>
    <w:rsid w:val="00AE4BA1"/>
    <w:rsid w:val="00AE510B"/>
    <w:rsid w:val="00AE60A8"/>
    <w:rsid w:val="00AE7D2E"/>
    <w:rsid w:val="00AF0EBA"/>
    <w:rsid w:val="00AF2459"/>
    <w:rsid w:val="00AF2E9A"/>
    <w:rsid w:val="00AF46C8"/>
    <w:rsid w:val="00AF76D8"/>
    <w:rsid w:val="00AF7A16"/>
    <w:rsid w:val="00B02C8A"/>
    <w:rsid w:val="00B05F46"/>
    <w:rsid w:val="00B0629F"/>
    <w:rsid w:val="00B142CF"/>
    <w:rsid w:val="00B17103"/>
    <w:rsid w:val="00B17FBD"/>
    <w:rsid w:val="00B2162F"/>
    <w:rsid w:val="00B27827"/>
    <w:rsid w:val="00B30BCF"/>
    <w:rsid w:val="00B315A6"/>
    <w:rsid w:val="00B31813"/>
    <w:rsid w:val="00B33365"/>
    <w:rsid w:val="00B3451E"/>
    <w:rsid w:val="00B36109"/>
    <w:rsid w:val="00B40F79"/>
    <w:rsid w:val="00B467F2"/>
    <w:rsid w:val="00B51E56"/>
    <w:rsid w:val="00B530A9"/>
    <w:rsid w:val="00B57559"/>
    <w:rsid w:val="00B57B36"/>
    <w:rsid w:val="00B57E6F"/>
    <w:rsid w:val="00B62986"/>
    <w:rsid w:val="00B66994"/>
    <w:rsid w:val="00B76D94"/>
    <w:rsid w:val="00B77695"/>
    <w:rsid w:val="00B80492"/>
    <w:rsid w:val="00B83F2D"/>
    <w:rsid w:val="00B84435"/>
    <w:rsid w:val="00B8686D"/>
    <w:rsid w:val="00B87E23"/>
    <w:rsid w:val="00B93F69"/>
    <w:rsid w:val="00B97EB2"/>
    <w:rsid w:val="00BA2CEE"/>
    <w:rsid w:val="00BA4033"/>
    <w:rsid w:val="00BA5353"/>
    <w:rsid w:val="00BA62A4"/>
    <w:rsid w:val="00BA65A0"/>
    <w:rsid w:val="00BB1DDC"/>
    <w:rsid w:val="00BB5990"/>
    <w:rsid w:val="00BB758B"/>
    <w:rsid w:val="00BC140B"/>
    <w:rsid w:val="00BC30C9"/>
    <w:rsid w:val="00BC4865"/>
    <w:rsid w:val="00BC5A99"/>
    <w:rsid w:val="00BC69CB"/>
    <w:rsid w:val="00BC79B1"/>
    <w:rsid w:val="00BC7C17"/>
    <w:rsid w:val="00BD01A2"/>
    <w:rsid w:val="00BD077D"/>
    <w:rsid w:val="00BD21B1"/>
    <w:rsid w:val="00BD6C24"/>
    <w:rsid w:val="00BE0291"/>
    <w:rsid w:val="00BE079E"/>
    <w:rsid w:val="00BE3E58"/>
    <w:rsid w:val="00BE4284"/>
    <w:rsid w:val="00BE6AFB"/>
    <w:rsid w:val="00BE6B8F"/>
    <w:rsid w:val="00BE705E"/>
    <w:rsid w:val="00BE773A"/>
    <w:rsid w:val="00BF02C3"/>
    <w:rsid w:val="00BF473F"/>
    <w:rsid w:val="00C00D82"/>
    <w:rsid w:val="00C01616"/>
    <w:rsid w:val="00C0162B"/>
    <w:rsid w:val="00C018B5"/>
    <w:rsid w:val="00C068ED"/>
    <w:rsid w:val="00C10EFE"/>
    <w:rsid w:val="00C11645"/>
    <w:rsid w:val="00C20675"/>
    <w:rsid w:val="00C20B12"/>
    <w:rsid w:val="00C22032"/>
    <w:rsid w:val="00C22E0C"/>
    <w:rsid w:val="00C24AF1"/>
    <w:rsid w:val="00C30408"/>
    <w:rsid w:val="00C304F1"/>
    <w:rsid w:val="00C32C18"/>
    <w:rsid w:val="00C345B1"/>
    <w:rsid w:val="00C3514C"/>
    <w:rsid w:val="00C36109"/>
    <w:rsid w:val="00C37ADC"/>
    <w:rsid w:val="00C40142"/>
    <w:rsid w:val="00C42D9C"/>
    <w:rsid w:val="00C459F8"/>
    <w:rsid w:val="00C46957"/>
    <w:rsid w:val="00C5058C"/>
    <w:rsid w:val="00C52C3C"/>
    <w:rsid w:val="00C53856"/>
    <w:rsid w:val="00C57182"/>
    <w:rsid w:val="00C57863"/>
    <w:rsid w:val="00C6352F"/>
    <w:rsid w:val="00C640AF"/>
    <w:rsid w:val="00C64D6A"/>
    <w:rsid w:val="00C655FD"/>
    <w:rsid w:val="00C659AD"/>
    <w:rsid w:val="00C65B52"/>
    <w:rsid w:val="00C72B66"/>
    <w:rsid w:val="00C74774"/>
    <w:rsid w:val="00C75407"/>
    <w:rsid w:val="00C81657"/>
    <w:rsid w:val="00C82D6A"/>
    <w:rsid w:val="00C841C6"/>
    <w:rsid w:val="00C84859"/>
    <w:rsid w:val="00C8516E"/>
    <w:rsid w:val="00C870A8"/>
    <w:rsid w:val="00C922BB"/>
    <w:rsid w:val="00C92BA8"/>
    <w:rsid w:val="00C9423F"/>
    <w:rsid w:val="00C94434"/>
    <w:rsid w:val="00C9541B"/>
    <w:rsid w:val="00CA029F"/>
    <w:rsid w:val="00CA05F4"/>
    <w:rsid w:val="00CA0D75"/>
    <w:rsid w:val="00CA1C95"/>
    <w:rsid w:val="00CA1CD8"/>
    <w:rsid w:val="00CA2F2C"/>
    <w:rsid w:val="00CA3BFD"/>
    <w:rsid w:val="00CA4E7E"/>
    <w:rsid w:val="00CA5A9C"/>
    <w:rsid w:val="00CA63EF"/>
    <w:rsid w:val="00CA7650"/>
    <w:rsid w:val="00CB4325"/>
    <w:rsid w:val="00CB56D6"/>
    <w:rsid w:val="00CB7389"/>
    <w:rsid w:val="00CC1B86"/>
    <w:rsid w:val="00CC35DC"/>
    <w:rsid w:val="00CC3E01"/>
    <w:rsid w:val="00CC4C20"/>
    <w:rsid w:val="00CC518F"/>
    <w:rsid w:val="00CC5485"/>
    <w:rsid w:val="00CC753E"/>
    <w:rsid w:val="00CC7D80"/>
    <w:rsid w:val="00CD07A6"/>
    <w:rsid w:val="00CD122E"/>
    <w:rsid w:val="00CD208F"/>
    <w:rsid w:val="00CD3517"/>
    <w:rsid w:val="00CD5FE2"/>
    <w:rsid w:val="00CE01D8"/>
    <w:rsid w:val="00CE1D23"/>
    <w:rsid w:val="00CE7C68"/>
    <w:rsid w:val="00CE7D98"/>
    <w:rsid w:val="00CE7F2D"/>
    <w:rsid w:val="00D003B0"/>
    <w:rsid w:val="00D02B4C"/>
    <w:rsid w:val="00D040C4"/>
    <w:rsid w:val="00D066C0"/>
    <w:rsid w:val="00D07D59"/>
    <w:rsid w:val="00D16FFE"/>
    <w:rsid w:val="00D17CFF"/>
    <w:rsid w:val="00D20AD1"/>
    <w:rsid w:val="00D23DA1"/>
    <w:rsid w:val="00D240AE"/>
    <w:rsid w:val="00D245EC"/>
    <w:rsid w:val="00D24E2E"/>
    <w:rsid w:val="00D24F4F"/>
    <w:rsid w:val="00D2582C"/>
    <w:rsid w:val="00D25B5C"/>
    <w:rsid w:val="00D274CD"/>
    <w:rsid w:val="00D2772E"/>
    <w:rsid w:val="00D30B89"/>
    <w:rsid w:val="00D3548F"/>
    <w:rsid w:val="00D4285E"/>
    <w:rsid w:val="00D451B2"/>
    <w:rsid w:val="00D46B7E"/>
    <w:rsid w:val="00D52722"/>
    <w:rsid w:val="00D57826"/>
    <w:rsid w:val="00D57C84"/>
    <w:rsid w:val="00D6057D"/>
    <w:rsid w:val="00D63361"/>
    <w:rsid w:val="00D649B6"/>
    <w:rsid w:val="00D64C94"/>
    <w:rsid w:val="00D71088"/>
    <w:rsid w:val="00D71640"/>
    <w:rsid w:val="00D7299E"/>
    <w:rsid w:val="00D77ED3"/>
    <w:rsid w:val="00D80567"/>
    <w:rsid w:val="00D81934"/>
    <w:rsid w:val="00D83419"/>
    <w:rsid w:val="00D836C5"/>
    <w:rsid w:val="00D84576"/>
    <w:rsid w:val="00D86165"/>
    <w:rsid w:val="00D8671C"/>
    <w:rsid w:val="00D95E4E"/>
    <w:rsid w:val="00DA1399"/>
    <w:rsid w:val="00DA1DF7"/>
    <w:rsid w:val="00DA24C6"/>
    <w:rsid w:val="00DA3366"/>
    <w:rsid w:val="00DA4D7B"/>
    <w:rsid w:val="00DA5A7E"/>
    <w:rsid w:val="00DA6101"/>
    <w:rsid w:val="00DA68B1"/>
    <w:rsid w:val="00DB203A"/>
    <w:rsid w:val="00DB2737"/>
    <w:rsid w:val="00DB5DD1"/>
    <w:rsid w:val="00DB74D6"/>
    <w:rsid w:val="00DB7E34"/>
    <w:rsid w:val="00DD13DE"/>
    <w:rsid w:val="00DD271C"/>
    <w:rsid w:val="00DD2B91"/>
    <w:rsid w:val="00DD7EFA"/>
    <w:rsid w:val="00DE264A"/>
    <w:rsid w:val="00DE2FCE"/>
    <w:rsid w:val="00DE5930"/>
    <w:rsid w:val="00DE62B2"/>
    <w:rsid w:val="00DE67FB"/>
    <w:rsid w:val="00DE79F6"/>
    <w:rsid w:val="00DE7DFC"/>
    <w:rsid w:val="00DF0937"/>
    <w:rsid w:val="00DF2A4C"/>
    <w:rsid w:val="00DF5072"/>
    <w:rsid w:val="00E01A9B"/>
    <w:rsid w:val="00E02D18"/>
    <w:rsid w:val="00E041E7"/>
    <w:rsid w:val="00E0738B"/>
    <w:rsid w:val="00E116BA"/>
    <w:rsid w:val="00E12B17"/>
    <w:rsid w:val="00E1375D"/>
    <w:rsid w:val="00E15120"/>
    <w:rsid w:val="00E20356"/>
    <w:rsid w:val="00E23CA1"/>
    <w:rsid w:val="00E27348"/>
    <w:rsid w:val="00E3108C"/>
    <w:rsid w:val="00E329CA"/>
    <w:rsid w:val="00E33935"/>
    <w:rsid w:val="00E409A8"/>
    <w:rsid w:val="00E41A66"/>
    <w:rsid w:val="00E44283"/>
    <w:rsid w:val="00E4569E"/>
    <w:rsid w:val="00E45EC7"/>
    <w:rsid w:val="00E50C12"/>
    <w:rsid w:val="00E54D12"/>
    <w:rsid w:val="00E5517D"/>
    <w:rsid w:val="00E6454D"/>
    <w:rsid w:val="00E65B91"/>
    <w:rsid w:val="00E67846"/>
    <w:rsid w:val="00E7209D"/>
    <w:rsid w:val="00E72EAD"/>
    <w:rsid w:val="00E74671"/>
    <w:rsid w:val="00E77223"/>
    <w:rsid w:val="00E82695"/>
    <w:rsid w:val="00E850D5"/>
    <w:rsid w:val="00E8528B"/>
    <w:rsid w:val="00E85B94"/>
    <w:rsid w:val="00E87D3A"/>
    <w:rsid w:val="00E90CD1"/>
    <w:rsid w:val="00E93A81"/>
    <w:rsid w:val="00E93B9A"/>
    <w:rsid w:val="00E9515D"/>
    <w:rsid w:val="00E972D1"/>
    <w:rsid w:val="00E97828"/>
    <w:rsid w:val="00E978D0"/>
    <w:rsid w:val="00EA31EA"/>
    <w:rsid w:val="00EA40DD"/>
    <w:rsid w:val="00EA4613"/>
    <w:rsid w:val="00EA4660"/>
    <w:rsid w:val="00EA7F91"/>
    <w:rsid w:val="00EB148A"/>
    <w:rsid w:val="00EB1523"/>
    <w:rsid w:val="00EB2175"/>
    <w:rsid w:val="00EB23D8"/>
    <w:rsid w:val="00EB4B2F"/>
    <w:rsid w:val="00EC0E49"/>
    <w:rsid w:val="00EC101F"/>
    <w:rsid w:val="00EC1D9F"/>
    <w:rsid w:val="00EC3E65"/>
    <w:rsid w:val="00EC6845"/>
    <w:rsid w:val="00ED1DB9"/>
    <w:rsid w:val="00ED3324"/>
    <w:rsid w:val="00EE0131"/>
    <w:rsid w:val="00EE03E3"/>
    <w:rsid w:val="00EE0A4F"/>
    <w:rsid w:val="00EE0CC8"/>
    <w:rsid w:val="00EE17B0"/>
    <w:rsid w:val="00EE41ED"/>
    <w:rsid w:val="00EE6C2A"/>
    <w:rsid w:val="00EE72C6"/>
    <w:rsid w:val="00EF02F0"/>
    <w:rsid w:val="00EF06D9"/>
    <w:rsid w:val="00EF26F1"/>
    <w:rsid w:val="00EF4CCD"/>
    <w:rsid w:val="00F05BD6"/>
    <w:rsid w:val="00F06091"/>
    <w:rsid w:val="00F12A4A"/>
    <w:rsid w:val="00F1315B"/>
    <w:rsid w:val="00F14437"/>
    <w:rsid w:val="00F14F72"/>
    <w:rsid w:val="00F169D6"/>
    <w:rsid w:val="00F171AE"/>
    <w:rsid w:val="00F17871"/>
    <w:rsid w:val="00F2084D"/>
    <w:rsid w:val="00F211B2"/>
    <w:rsid w:val="00F24ED9"/>
    <w:rsid w:val="00F26B68"/>
    <w:rsid w:val="00F26DDC"/>
    <w:rsid w:val="00F3049E"/>
    <w:rsid w:val="00F30C64"/>
    <w:rsid w:val="00F3183A"/>
    <w:rsid w:val="00F32BA2"/>
    <w:rsid w:val="00F32CDB"/>
    <w:rsid w:val="00F36BA1"/>
    <w:rsid w:val="00F508CF"/>
    <w:rsid w:val="00F519E6"/>
    <w:rsid w:val="00F51D55"/>
    <w:rsid w:val="00F52793"/>
    <w:rsid w:val="00F55D7A"/>
    <w:rsid w:val="00F565FE"/>
    <w:rsid w:val="00F63A70"/>
    <w:rsid w:val="00F63D8C"/>
    <w:rsid w:val="00F64C98"/>
    <w:rsid w:val="00F66807"/>
    <w:rsid w:val="00F7000A"/>
    <w:rsid w:val="00F72DD5"/>
    <w:rsid w:val="00F7534E"/>
    <w:rsid w:val="00F83F9F"/>
    <w:rsid w:val="00F85949"/>
    <w:rsid w:val="00F86DB7"/>
    <w:rsid w:val="00F91DED"/>
    <w:rsid w:val="00F93EDF"/>
    <w:rsid w:val="00FA1802"/>
    <w:rsid w:val="00FA21D0"/>
    <w:rsid w:val="00FA244D"/>
    <w:rsid w:val="00FA47E2"/>
    <w:rsid w:val="00FA5C61"/>
    <w:rsid w:val="00FA5F5F"/>
    <w:rsid w:val="00FB55AD"/>
    <w:rsid w:val="00FB730C"/>
    <w:rsid w:val="00FC2695"/>
    <w:rsid w:val="00FC3E03"/>
    <w:rsid w:val="00FC3FC1"/>
    <w:rsid w:val="00FC536E"/>
    <w:rsid w:val="00FD1001"/>
    <w:rsid w:val="00FD3FF6"/>
    <w:rsid w:val="00FD5FBD"/>
    <w:rsid w:val="00FE0C06"/>
    <w:rsid w:val="00FE154B"/>
    <w:rsid w:val="00FE31FE"/>
    <w:rsid w:val="00FE495B"/>
    <w:rsid w:val="00FE76B3"/>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tulo1">
    <w:name w:val="heading 1"/>
    <w:basedOn w:val="CETHeading1"/>
    <w:next w:val="Normal"/>
    <w:link w:val="Ttulo1Char"/>
    <w:uiPriority w:val="9"/>
    <w:rsid w:val="004F5E36"/>
    <w:pPr>
      <w:tabs>
        <w:tab w:val="clear" w:pos="360"/>
        <w:tab w:val="right" w:pos="7100"/>
      </w:tabs>
      <w:jc w:val="both"/>
      <w:outlineLvl w:val="0"/>
    </w:pPr>
    <w:rPr>
      <w:lang w:val="en-GB"/>
    </w:rPr>
  </w:style>
  <w:style w:type="paragraph" w:styleId="Ttulo2">
    <w:name w:val="heading 2"/>
    <w:basedOn w:val="Normal"/>
    <w:next w:val="Normal"/>
    <w:link w:val="Ttulo2Ch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h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06091"/>
    <w:pPr>
      <w:keepNext/>
      <w:numPr>
        <w:ilvl w:val="2"/>
        <w:numId w:val="1"/>
      </w:numPr>
      <w:suppressAutoHyphens/>
      <w:spacing w:before="120" w:after="120" w:line="240" w:lineRule="auto"/>
    </w:pPr>
    <w:rPr>
      <w:rFonts w:ascii="Arial" w:eastAsia="Times New Roman" w:hAnsi="Arial" w:cs="Times New Roman"/>
      <w:b/>
      <w:sz w:val="18"/>
      <w:szCs w:val="20"/>
      <w:lang w:val="pt-BR"/>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aSimples-1">
    <w:name w:val="Table Simple 1"/>
    <w:basedOn w:val="Tabelanormal"/>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06091"/>
    <w:rPr>
      <w:rFonts w:ascii="Arial" w:eastAsia="Times New Roman" w:hAnsi="Arial" w:cs="Times New Roman"/>
      <w:b/>
      <w:sz w:val="18"/>
      <w:szCs w:val="20"/>
      <w:lang w:val="pt-BR"/>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efdecomentrio">
    <w:name w:val="annotation reference"/>
    <w:basedOn w:val="Fontepargpadro"/>
    <w:uiPriority w:val="99"/>
    <w:semiHidden/>
    <w:unhideWhenUsed/>
    <w:rsid w:val="004577FE"/>
    <w:rPr>
      <w:sz w:val="16"/>
      <w:szCs w:val="16"/>
    </w:rPr>
  </w:style>
  <w:style w:type="paragraph" w:styleId="Textodebalo">
    <w:name w:val="Balloon Text"/>
    <w:basedOn w:val="Normal"/>
    <w:link w:val="TextodebaloChar"/>
    <w:uiPriority w:val="99"/>
    <w:semiHidden/>
    <w:unhideWhenUsed/>
    <w:rsid w:val="000D34BE"/>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texto2">
    <w:name w:val="Body Text 2"/>
    <w:basedOn w:val="Normal"/>
    <w:link w:val="Corpodetexto2Char"/>
    <w:uiPriority w:val="99"/>
    <w:semiHidden/>
    <w:unhideWhenUsed/>
    <w:rsid w:val="0003148D"/>
    <w:pPr>
      <w:spacing w:after="120" w:line="480" w:lineRule="auto"/>
    </w:pPr>
  </w:style>
  <w:style w:type="character" w:customStyle="1" w:styleId="Corpodetexto2Char">
    <w:name w:val="Corpo de texto 2 Char"/>
    <w:basedOn w:val="Fontepargpadro"/>
    <w:link w:val="Corpodetexto2"/>
    <w:uiPriority w:val="99"/>
    <w:semiHidden/>
    <w:rsid w:val="0003148D"/>
  </w:style>
  <w:style w:type="paragraph" w:styleId="Corpodetexto3">
    <w:name w:val="Body Text 3"/>
    <w:basedOn w:val="Normal"/>
    <w:link w:val="Corpodetexto3Char"/>
    <w:uiPriority w:val="99"/>
    <w:semiHidden/>
    <w:unhideWhenUsed/>
    <w:rsid w:val="0003148D"/>
    <w:pPr>
      <w:spacing w:after="120"/>
    </w:pPr>
    <w:rPr>
      <w:sz w:val="16"/>
      <w:szCs w:val="16"/>
    </w:rPr>
  </w:style>
  <w:style w:type="character" w:customStyle="1" w:styleId="Corpodetexto3Char">
    <w:name w:val="Corpo de texto 3 Char"/>
    <w:basedOn w:val="Fontepargpadro"/>
    <w:link w:val="Corpodetexto3"/>
    <w:uiPriority w:val="99"/>
    <w:semiHidden/>
    <w:rsid w:val="0003148D"/>
    <w:rPr>
      <w:sz w:val="16"/>
      <w:szCs w:val="16"/>
    </w:rPr>
  </w:style>
  <w:style w:type="paragraph" w:styleId="Corpodetexto">
    <w:name w:val="Body Text"/>
    <w:basedOn w:val="Normal"/>
    <w:link w:val="CorpodetextoChar"/>
    <w:uiPriority w:val="99"/>
    <w:semiHidden/>
    <w:unhideWhenUsed/>
    <w:rsid w:val="0003148D"/>
    <w:pPr>
      <w:spacing w:after="120"/>
    </w:pPr>
  </w:style>
  <w:style w:type="character" w:customStyle="1" w:styleId="CorpodetextoChar">
    <w:name w:val="Corpo de texto Char"/>
    <w:basedOn w:val="Fontepargpadro"/>
    <w:link w:val="Corpodetexto"/>
    <w:uiPriority w:val="99"/>
    <w:semiHidden/>
    <w:rsid w:val="0003148D"/>
  </w:style>
  <w:style w:type="paragraph" w:styleId="Data">
    <w:name w:val="Date"/>
    <w:basedOn w:val="Normal"/>
    <w:next w:val="Normal"/>
    <w:link w:val="DataChar"/>
    <w:uiPriority w:val="99"/>
    <w:semiHidden/>
    <w:unhideWhenUsed/>
    <w:rsid w:val="0003148D"/>
  </w:style>
  <w:style w:type="character" w:customStyle="1" w:styleId="DataChar">
    <w:name w:val="Data Char"/>
    <w:basedOn w:val="Fontepargpadro"/>
    <w:link w:val="Data"/>
    <w:uiPriority w:val="99"/>
    <w:semiHidden/>
    <w:rsid w:val="0003148D"/>
  </w:style>
  <w:style w:type="paragraph" w:styleId="Legenda">
    <w:name w:val="caption"/>
    <w:basedOn w:val="Normal"/>
    <w:next w:val="Normal"/>
    <w:uiPriority w:val="35"/>
    <w:semiHidden/>
    <w:unhideWhenUsed/>
    <w:qFormat/>
    <w:rsid w:val="0003148D"/>
    <w:pPr>
      <w:spacing w:line="240" w:lineRule="auto"/>
    </w:pPr>
    <w:rPr>
      <w:b/>
      <w:bCs/>
      <w:color w:val="4F81BD" w:themeColor="accent1"/>
      <w:szCs w:val="18"/>
    </w:rPr>
  </w:style>
  <w:style w:type="paragraph" w:styleId="Lista">
    <w:name w:val="List"/>
    <w:basedOn w:val="Normal"/>
    <w:uiPriority w:val="99"/>
    <w:semiHidden/>
    <w:unhideWhenUsed/>
    <w:rsid w:val="0003148D"/>
    <w:pPr>
      <w:ind w:left="283" w:hanging="283"/>
      <w:contextualSpacing/>
    </w:pPr>
  </w:style>
  <w:style w:type="paragraph" w:styleId="Lista2">
    <w:name w:val="List 2"/>
    <w:basedOn w:val="Normal"/>
    <w:uiPriority w:val="99"/>
    <w:semiHidden/>
    <w:unhideWhenUsed/>
    <w:rsid w:val="0003148D"/>
    <w:pPr>
      <w:ind w:left="566" w:hanging="283"/>
      <w:contextualSpacing/>
    </w:pPr>
  </w:style>
  <w:style w:type="paragraph" w:styleId="Lista3">
    <w:name w:val="List 3"/>
    <w:basedOn w:val="Normal"/>
    <w:uiPriority w:val="99"/>
    <w:semiHidden/>
    <w:unhideWhenUsed/>
    <w:rsid w:val="0003148D"/>
    <w:pPr>
      <w:ind w:left="849" w:hanging="283"/>
      <w:contextualSpacing/>
    </w:pPr>
  </w:style>
  <w:style w:type="paragraph" w:styleId="Lista4">
    <w:name w:val="List 4"/>
    <w:basedOn w:val="Normal"/>
    <w:uiPriority w:val="99"/>
    <w:semiHidden/>
    <w:unhideWhenUsed/>
    <w:rsid w:val="0003148D"/>
    <w:pPr>
      <w:ind w:left="1132" w:hanging="283"/>
      <w:contextualSpacing/>
    </w:pPr>
  </w:style>
  <w:style w:type="paragraph" w:styleId="Lista5">
    <w:name w:val="List 5"/>
    <w:basedOn w:val="Normal"/>
    <w:uiPriority w:val="99"/>
    <w:semiHidden/>
    <w:unhideWhenUsed/>
    <w:rsid w:val="0003148D"/>
    <w:pPr>
      <w:ind w:left="1415" w:hanging="283"/>
      <w:contextualSpacing/>
    </w:pPr>
  </w:style>
  <w:style w:type="paragraph" w:styleId="Listadecontinuao">
    <w:name w:val="List Continue"/>
    <w:basedOn w:val="Normal"/>
    <w:uiPriority w:val="99"/>
    <w:semiHidden/>
    <w:unhideWhenUsed/>
    <w:rsid w:val="0003148D"/>
    <w:pPr>
      <w:spacing w:after="120"/>
      <w:ind w:left="283"/>
      <w:contextualSpacing/>
    </w:pPr>
  </w:style>
  <w:style w:type="paragraph" w:styleId="Listadecontinuao2">
    <w:name w:val="List Continue 2"/>
    <w:basedOn w:val="Normal"/>
    <w:uiPriority w:val="99"/>
    <w:semiHidden/>
    <w:unhideWhenUsed/>
    <w:rsid w:val="0003148D"/>
    <w:pPr>
      <w:spacing w:after="120"/>
      <w:ind w:left="566"/>
      <w:contextualSpacing/>
    </w:pPr>
  </w:style>
  <w:style w:type="paragraph" w:styleId="Listadecontinuao3">
    <w:name w:val="List Continue 3"/>
    <w:basedOn w:val="Normal"/>
    <w:uiPriority w:val="99"/>
    <w:semiHidden/>
    <w:unhideWhenUsed/>
    <w:rsid w:val="0003148D"/>
    <w:pPr>
      <w:spacing w:after="120"/>
      <w:ind w:left="849"/>
      <w:contextualSpacing/>
    </w:pPr>
  </w:style>
  <w:style w:type="paragraph" w:styleId="Listadecontinuao4">
    <w:name w:val="List Continue 4"/>
    <w:basedOn w:val="Normal"/>
    <w:uiPriority w:val="99"/>
    <w:semiHidden/>
    <w:unhideWhenUsed/>
    <w:rsid w:val="0003148D"/>
    <w:pPr>
      <w:spacing w:after="120"/>
      <w:ind w:left="1132"/>
      <w:contextualSpacing/>
    </w:pPr>
  </w:style>
  <w:style w:type="paragraph" w:styleId="Listadecontinuao5">
    <w:name w:val="List Continue 5"/>
    <w:basedOn w:val="Normal"/>
    <w:uiPriority w:val="99"/>
    <w:semiHidden/>
    <w:unhideWhenUsed/>
    <w:rsid w:val="0003148D"/>
    <w:pPr>
      <w:spacing w:after="120"/>
      <w:ind w:left="1415"/>
      <w:contextualSpacing/>
    </w:pPr>
  </w:style>
  <w:style w:type="paragraph" w:styleId="Assinatura">
    <w:name w:val="Signature"/>
    <w:basedOn w:val="Normal"/>
    <w:link w:val="AssinaturaChar"/>
    <w:uiPriority w:val="99"/>
    <w:semiHidden/>
    <w:unhideWhenUsed/>
    <w:rsid w:val="0003148D"/>
    <w:pPr>
      <w:spacing w:line="240" w:lineRule="auto"/>
      <w:ind w:left="4252"/>
    </w:pPr>
  </w:style>
  <w:style w:type="character" w:customStyle="1" w:styleId="AssinaturaChar">
    <w:name w:val="Assinatura Char"/>
    <w:basedOn w:val="Fontepargpadro"/>
    <w:link w:val="Assinatura"/>
    <w:uiPriority w:val="99"/>
    <w:semiHidden/>
    <w:rsid w:val="0003148D"/>
  </w:style>
  <w:style w:type="paragraph" w:styleId="AssinaturadeEmail">
    <w:name w:val="E-mail Signature"/>
    <w:basedOn w:val="Normal"/>
    <w:link w:val="AssinaturadeEmailChar"/>
    <w:uiPriority w:val="99"/>
    <w:semiHidden/>
    <w:unhideWhenUsed/>
    <w:rsid w:val="0003148D"/>
    <w:pPr>
      <w:spacing w:line="240" w:lineRule="auto"/>
    </w:pPr>
  </w:style>
  <w:style w:type="character" w:customStyle="1" w:styleId="AssinaturadeEmailChar">
    <w:name w:val="Assinatura de Email Char"/>
    <w:basedOn w:val="Fontepargpadro"/>
    <w:link w:val="AssinaturadeEmail"/>
    <w:uiPriority w:val="99"/>
    <w:semiHidden/>
    <w:rsid w:val="0003148D"/>
  </w:style>
  <w:style w:type="paragraph" w:styleId="Saudao">
    <w:name w:val="Salutation"/>
    <w:basedOn w:val="Normal"/>
    <w:next w:val="Normal"/>
    <w:link w:val="SaudaoChar"/>
    <w:uiPriority w:val="99"/>
    <w:semiHidden/>
    <w:unhideWhenUsed/>
    <w:rsid w:val="0003148D"/>
  </w:style>
  <w:style w:type="character" w:customStyle="1" w:styleId="SaudaoChar">
    <w:name w:val="Saudação Char"/>
    <w:basedOn w:val="Fontepargpadro"/>
    <w:link w:val="Saudao"/>
    <w:uiPriority w:val="99"/>
    <w:semiHidden/>
    <w:rsid w:val="0003148D"/>
  </w:style>
  <w:style w:type="paragraph" w:styleId="Encerramento">
    <w:name w:val="Closing"/>
    <w:basedOn w:val="Normal"/>
    <w:link w:val="EncerramentoChar"/>
    <w:uiPriority w:val="99"/>
    <w:semiHidden/>
    <w:unhideWhenUsed/>
    <w:rsid w:val="0003148D"/>
    <w:pPr>
      <w:spacing w:line="240" w:lineRule="auto"/>
      <w:ind w:left="4252"/>
    </w:pPr>
  </w:style>
  <w:style w:type="character" w:customStyle="1" w:styleId="EncerramentoChar">
    <w:name w:val="Encerramento Char"/>
    <w:basedOn w:val="Fontepargpadro"/>
    <w:link w:val="Encerramento"/>
    <w:uiPriority w:val="99"/>
    <w:semiHidden/>
    <w:rsid w:val="0003148D"/>
  </w:style>
  <w:style w:type="paragraph" w:styleId="Remissivo1">
    <w:name w:val="index 1"/>
    <w:basedOn w:val="Normal"/>
    <w:next w:val="Normal"/>
    <w:autoRedefine/>
    <w:uiPriority w:val="99"/>
    <w:semiHidden/>
    <w:unhideWhenUsed/>
    <w:rsid w:val="0003148D"/>
    <w:pPr>
      <w:spacing w:line="240" w:lineRule="auto"/>
      <w:ind w:left="220" w:hanging="220"/>
    </w:pPr>
  </w:style>
  <w:style w:type="paragraph" w:styleId="Remissivo2">
    <w:name w:val="index 2"/>
    <w:basedOn w:val="Normal"/>
    <w:next w:val="Normal"/>
    <w:autoRedefine/>
    <w:uiPriority w:val="99"/>
    <w:semiHidden/>
    <w:unhideWhenUsed/>
    <w:rsid w:val="0003148D"/>
    <w:pPr>
      <w:spacing w:line="240" w:lineRule="auto"/>
      <w:ind w:left="440" w:hanging="220"/>
    </w:pPr>
  </w:style>
  <w:style w:type="paragraph" w:styleId="Remissivo3">
    <w:name w:val="index 3"/>
    <w:basedOn w:val="Normal"/>
    <w:next w:val="Normal"/>
    <w:autoRedefine/>
    <w:uiPriority w:val="99"/>
    <w:semiHidden/>
    <w:unhideWhenUsed/>
    <w:rsid w:val="0003148D"/>
    <w:pPr>
      <w:spacing w:line="240" w:lineRule="auto"/>
      <w:ind w:left="660" w:hanging="220"/>
    </w:pPr>
  </w:style>
  <w:style w:type="paragraph" w:styleId="Remissivo4">
    <w:name w:val="index 4"/>
    <w:basedOn w:val="Normal"/>
    <w:next w:val="Normal"/>
    <w:autoRedefine/>
    <w:uiPriority w:val="99"/>
    <w:semiHidden/>
    <w:unhideWhenUsed/>
    <w:rsid w:val="0003148D"/>
    <w:pPr>
      <w:spacing w:line="240" w:lineRule="auto"/>
      <w:ind w:left="880" w:hanging="220"/>
    </w:pPr>
  </w:style>
  <w:style w:type="paragraph" w:styleId="Remissivo5">
    <w:name w:val="index 5"/>
    <w:basedOn w:val="Normal"/>
    <w:next w:val="Normal"/>
    <w:autoRedefine/>
    <w:uiPriority w:val="99"/>
    <w:semiHidden/>
    <w:unhideWhenUsed/>
    <w:rsid w:val="0003148D"/>
    <w:pPr>
      <w:spacing w:line="240" w:lineRule="auto"/>
      <w:ind w:left="1100" w:hanging="220"/>
    </w:pPr>
  </w:style>
  <w:style w:type="paragraph" w:styleId="Remissivo6">
    <w:name w:val="index 6"/>
    <w:basedOn w:val="Normal"/>
    <w:next w:val="Normal"/>
    <w:autoRedefine/>
    <w:uiPriority w:val="99"/>
    <w:semiHidden/>
    <w:unhideWhenUsed/>
    <w:rsid w:val="0003148D"/>
    <w:pPr>
      <w:spacing w:line="240" w:lineRule="auto"/>
      <w:ind w:left="1320" w:hanging="220"/>
    </w:pPr>
  </w:style>
  <w:style w:type="paragraph" w:styleId="Remissivo7">
    <w:name w:val="index 7"/>
    <w:basedOn w:val="Normal"/>
    <w:next w:val="Normal"/>
    <w:autoRedefine/>
    <w:uiPriority w:val="99"/>
    <w:semiHidden/>
    <w:unhideWhenUsed/>
    <w:rsid w:val="0003148D"/>
    <w:pPr>
      <w:spacing w:line="240" w:lineRule="auto"/>
      <w:ind w:left="1540" w:hanging="220"/>
    </w:pPr>
  </w:style>
  <w:style w:type="paragraph" w:styleId="Remissivo8">
    <w:name w:val="index 8"/>
    <w:basedOn w:val="Normal"/>
    <w:next w:val="Normal"/>
    <w:autoRedefine/>
    <w:uiPriority w:val="99"/>
    <w:semiHidden/>
    <w:unhideWhenUsed/>
    <w:rsid w:val="0003148D"/>
    <w:pPr>
      <w:spacing w:line="240" w:lineRule="auto"/>
      <w:ind w:left="1760" w:hanging="220"/>
    </w:pPr>
  </w:style>
  <w:style w:type="paragraph" w:styleId="Remissivo9">
    <w:name w:val="index 9"/>
    <w:basedOn w:val="Normal"/>
    <w:next w:val="Normal"/>
    <w:autoRedefine/>
    <w:uiPriority w:val="99"/>
    <w:semiHidden/>
    <w:unhideWhenUsed/>
    <w:rsid w:val="0003148D"/>
    <w:pPr>
      <w:spacing w:line="240" w:lineRule="auto"/>
      <w:ind w:left="1980" w:hanging="220"/>
    </w:pPr>
  </w:style>
  <w:style w:type="paragraph" w:styleId="ndicedeilustraes">
    <w:name w:val="table of figures"/>
    <w:basedOn w:val="Normal"/>
    <w:next w:val="Normal"/>
    <w:uiPriority w:val="99"/>
    <w:semiHidden/>
    <w:unhideWhenUsed/>
    <w:rsid w:val="0003148D"/>
  </w:style>
  <w:style w:type="paragraph" w:styleId="ndicedeautoridades">
    <w:name w:val="table of authorities"/>
    <w:basedOn w:val="Normal"/>
    <w:next w:val="Normal"/>
    <w:uiPriority w:val="99"/>
    <w:semiHidden/>
    <w:unhideWhenUsed/>
    <w:rsid w:val="0003148D"/>
    <w:pPr>
      <w:ind w:left="220" w:hanging="220"/>
    </w:pPr>
  </w:style>
  <w:style w:type="paragraph" w:styleId="Destinatrio">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dereoHTML">
    <w:name w:val="HTML Address"/>
    <w:basedOn w:val="Normal"/>
    <w:link w:val="EndereoHTMLChar"/>
    <w:uiPriority w:val="99"/>
    <w:semiHidden/>
    <w:unhideWhenUsed/>
    <w:rsid w:val="0003148D"/>
    <w:pPr>
      <w:spacing w:line="240" w:lineRule="auto"/>
    </w:pPr>
    <w:rPr>
      <w:i/>
      <w:iCs/>
    </w:rPr>
  </w:style>
  <w:style w:type="character" w:customStyle="1" w:styleId="EndereoHTMLChar">
    <w:name w:val="Endereço HTML Char"/>
    <w:basedOn w:val="Fontepargpadro"/>
    <w:link w:val="EndereoHTML"/>
    <w:uiPriority w:val="99"/>
    <w:semiHidden/>
    <w:rsid w:val="0003148D"/>
    <w:rPr>
      <w:i/>
      <w:iCs/>
    </w:rPr>
  </w:style>
  <w:style w:type="paragraph" w:styleId="Remetente">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Cabealhodamensagem">
    <w:name w:val="Message Header"/>
    <w:basedOn w:val="Normal"/>
    <w:link w:val="CabealhodamensagemCh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CabealhodamensagemChar">
    <w:name w:val="Cabeçalho da mensagem Char"/>
    <w:basedOn w:val="Fontepargpadro"/>
    <w:link w:val="Cabealhodamensagem"/>
    <w:uiPriority w:val="99"/>
    <w:semiHidden/>
    <w:rsid w:val="0003148D"/>
    <w:rPr>
      <w:rFonts w:asciiTheme="majorHAnsi" w:eastAsiaTheme="majorEastAsia" w:hAnsiTheme="majorHAnsi" w:cstheme="majorBidi"/>
      <w:sz w:val="24"/>
      <w:szCs w:val="24"/>
      <w:shd w:val="pct20" w:color="auto" w:fill="auto"/>
    </w:rPr>
  </w:style>
  <w:style w:type="paragraph" w:styleId="Ttulodanota">
    <w:name w:val="Note Heading"/>
    <w:basedOn w:val="Normal"/>
    <w:next w:val="Normal"/>
    <w:link w:val="TtulodanotaChar"/>
    <w:uiPriority w:val="99"/>
    <w:semiHidden/>
    <w:unhideWhenUsed/>
    <w:rsid w:val="0003148D"/>
    <w:pPr>
      <w:spacing w:line="240" w:lineRule="auto"/>
    </w:pPr>
  </w:style>
  <w:style w:type="character" w:customStyle="1" w:styleId="TtulodanotaChar">
    <w:name w:val="Título da nota Char"/>
    <w:basedOn w:val="Fontepargpadro"/>
    <w:link w:val="Ttulodanota"/>
    <w:uiPriority w:val="99"/>
    <w:semiHidden/>
    <w:rsid w:val="0003148D"/>
  </w:style>
  <w:style w:type="paragraph" w:styleId="MapadoDocumento">
    <w:name w:val="Document Map"/>
    <w:basedOn w:val="Normal"/>
    <w:link w:val="MapadoDocumentoChar"/>
    <w:uiPriority w:val="99"/>
    <w:semiHidden/>
    <w:unhideWhenUsed/>
    <w:rsid w:val="0003148D"/>
    <w:pPr>
      <w:spacing w:line="240" w:lineRule="auto"/>
    </w:pPr>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03148D"/>
    <w:rPr>
      <w:rFonts w:ascii="Tahoma" w:hAnsi="Tahoma" w:cs="Tahoma"/>
      <w:sz w:val="16"/>
      <w:szCs w:val="16"/>
    </w:rPr>
  </w:style>
  <w:style w:type="paragraph" w:styleId="NormalWeb">
    <w:name w:val="Normal (Web)"/>
    <w:basedOn w:val="Normal"/>
    <w:uiPriority w:val="99"/>
    <w:semiHidden/>
    <w:unhideWhenUsed/>
    <w:rsid w:val="0003148D"/>
    <w:rPr>
      <w:sz w:val="24"/>
      <w:szCs w:val="24"/>
    </w:rPr>
  </w:style>
  <w:style w:type="paragraph" w:styleId="Numerada">
    <w:name w:val="List Number"/>
    <w:basedOn w:val="Normal"/>
    <w:uiPriority w:val="99"/>
    <w:semiHidden/>
    <w:unhideWhenUsed/>
    <w:rsid w:val="0003148D"/>
    <w:pPr>
      <w:numPr>
        <w:numId w:val="2"/>
      </w:numPr>
      <w:contextualSpacing/>
    </w:pPr>
  </w:style>
  <w:style w:type="paragraph" w:styleId="Numerada2">
    <w:name w:val="List Number 2"/>
    <w:basedOn w:val="Normal"/>
    <w:uiPriority w:val="99"/>
    <w:semiHidden/>
    <w:unhideWhenUsed/>
    <w:rsid w:val="0003148D"/>
    <w:pPr>
      <w:numPr>
        <w:numId w:val="3"/>
      </w:numPr>
      <w:contextualSpacing/>
    </w:pPr>
  </w:style>
  <w:style w:type="paragraph" w:styleId="Numerada3">
    <w:name w:val="List Number 3"/>
    <w:basedOn w:val="Normal"/>
    <w:uiPriority w:val="99"/>
    <w:semiHidden/>
    <w:unhideWhenUsed/>
    <w:rsid w:val="0003148D"/>
    <w:pPr>
      <w:numPr>
        <w:numId w:val="4"/>
      </w:numPr>
      <w:contextualSpacing/>
    </w:pPr>
  </w:style>
  <w:style w:type="paragraph" w:styleId="Numerada4">
    <w:name w:val="List Number 4"/>
    <w:basedOn w:val="Normal"/>
    <w:uiPriority w:val="99"/>
    <w:semiHidden/>
    <w:unhideWhenUsed/>
    <w:rsid w:val="0003148D"/>
    <w:pPr>
      <w:numPr>
        <w:numId w:val="5"/>
      </w:numPr>
      <w:contextualSpacing/>
    </w:pPr>
  </w:style>
  <w:style w:type="paragraph" w:styleId="Numerada5">
    <w:name w:val="List Number 5"/>
    <w:basedOn w:val="Normal"/>
    <w:uiPriority w:val="99"/>
    <w:semiHidden/>
    <w:unhideWhenUsed/>
    <w:rsid w:val="0003148D"/>
    <w:pPr>
      <w:numPr>
        <w:numId w:val="6"/>
      </w:numPr>
      <w:contextualSpacing/>
    </w:pPr>
  </w:style>
  <w:style w:type="paragraph" w:styleId="Pr-formataoHTML">
    <w:name w:val="HTML Preformatted"/>
    <w:basedOn w:val="Normal"/>
    <w:link w:val="Pr-formataoHTMLChar"/>
    <w:uiPriority w:val="99"/>
    <w:semiHidden/>
    <w:unhideWhenUsed/>
    <w:rsid w:val="0003148D"/>
    <w:pPr>
      <w:spacing w:line="240" w:lineRule="auto"/>
    </w:pPr>
    <w:rPr>
      <w:rFonts w:ascii="Consolas" w:hAnsi="Consolas" w:cs="Consolas"/>
    </w:rPr>
  </w:style>
  <w:style w:type="character" w:customStyle="1" w:styleId="Pr-formataoHTMLChar">
    <w:name w:val="Pré-formatação HTML Char"/>
    <w:basedOn w:val="Fontepargpadro"/>
    <w:link w:val="Pr-formataoHTML"/>
    <w:uiPriority w:val="99"/>
    <w:semiHidden/>
    <w:rsid w:val="0003148D"/>
    <w:rPr>
      <w:rFonts w:ascii="Consolas" w:hAnsi="Consolas" w:cs="Consolas"/>
      <w:sz w:val="20"/>
      <w:szCs w:val="20"/>
    </w:rPr>
  </w:style>
  <w:style w:type="paragraph" w:styleId="Primeirorecuodecorpodetexto">
    <w:name w:val="Body Text First Indent"/>
    <w:basedOn w:val="Corpodetexto"/>
    <w:link w:val="PrimeirorecuodecorpodetextoChar"/>
    <w:uiPriority w:val="99"/>
    <w:semiHidden/>
    <w:unhideWhenUsed/>
    <w:rsid w:val="0003148D"/>
    <w:pPr>
      <w:spacing w:after="200"/>
      <w:ind w:firstLine="360"/>
    </w:pPr>
  </w:style>
  <w:style w:type="character" w:customStyle="1" w:styleId="PrimeirorecuodecorpodetextoChar">
    <w:name w:val="Primeiro recuo de corpo de texto Char"/>
    <w:basedOn w:val="CorpodetextoChar"/>
    <w:link w:val="Primeirorecuodecorpodetexto"/>
    <w:uiPriority w:val="99"/>
    <w:semiHidden/>
    <w:rsid w:val="0003148D"/>
  </w:style>
  <w:style w:type="paragraph" w:styleId="Recuodecorpodetexto">
    <w:name w:val="Body Text Indent"/>
    <w:basedOn w:val="Normal"/>
    <w:link w:val="RecuodecorpodetextoChar"/>
    <w:uiPriority w:val="99"/>
    <w:semiHidden/>
    <w:unhideWhenUsed/>
    <w:rsid w:val="0003148D"/>
    <w:pPr>
      <w:spacing w:after="120"/>
      <w:ind w:left="283"/>
    </w:pPr>
  </w:style>
  <w:style w:type="character" w:customStyle="1" w:styleId="RecuodecorpodetextoChar">
    <w:name w:val="Recuo de corpo de texto Char"/>
    <w:basedOn w:val="Fontepargpadro"/>
    <w:link w:val="Recuodecorpodetexto"/>
    <w:uiPriority w:val="99"/>
    <w:semiHidden/>
    <w:rsid w:val="0003148D"/>
  </w:style>
  <w:style w:type="paragraph" w:styleId="Primeirorecuodecorpodetexto2">
    <w:name w:val="Body Text First Indent 2"/>
    <w:basedOn w:val="Recuodecorpodetexto"/>
    <w:link w:val="Primeirorecuodecorpodetexto2Char"/>
    <w:uiPriority w:val="99"/>
    <w:semiHidden/>
    <w:unhideWhenUsed/>
    <w:rsid w:val="0003148D"/>
    <w:pPr>
      <w:spacing w:after="200"/>
      <w:ind w:left="360" w:firstLine="360"/>
    </w:pPr>
  </w:style>
  <w:style w:type="character" w:customStyle="1" w:styleId="Primeirorecuodecorpodetexto2Char">
    <w:name w:val="Primeiro recuo de corpo de texto 2 Char"/>
    <w:basedOn w:val="RecuodecorpodetextoChar"/>
    <w:link w:val="Primeirorecuodecorpodetexto2"/>
    <w:uiPriority w:val="99"/>
    <w:semiHidden/>
    <w:rsid w:val="0003148D"/>
  </w:style>
  <w:style w:type="paragraph" w:styleId="Commarcadores">
    <w:name w:val="List Bullet"/>
    <w:basedOn w:val="Normal"/>
    <w:uiPriority w:val="99"/>
    <w:semiHidden/>
    <w:unhideWhenUsed/>
    <w:rsid w:val="0003148D"/>
    <w:pPr>
      <w:numPr>
        <w:numId w:val="7"/>
      </w:numPr>
      <w:contextualSpacing/>
    </w:pPr>
  </w:style>
  <w:style w:type="paragraph" w:styleId="Commarcadores2">
    <w:name w:val="List Bullet 2"/>
    <w:basedOn w:val="Normal"/>
    <w:uiPriority w:val="99"/>
    <w:semiHidden/>
    <w:unhideWhenUsed/>
    <w:rsid w:val="0003148D"/>
    <w:pPr>
      <w:numPr>
        <w:numId w:val="8"/>
      </w:numPr>
      <w:contextualSpacing/>
    </w:pPr>
  </w:style>
  <w:style w:type="paragraph" w:styleId="Commarcadores3">
    <w:name w:val="List Bullet 3"/>
    <w:basedOn w:val="Normal"/>
    <w:uiPriority w:val="99"/>
    <w:semiHidden/>
    <w:unhideWhenUsed/>
    <w:rsid w:val="0003148D"/>
    <w:pPr>
      <w:numPr>
        <w:numId w:val="9"/>
      </w:numPr>
      <w:contextualSpacing/>
    </w:pPr>
  </w:style>
  <w:style w:type="paragraph" w:styleId="Commarcadores4">
    <w:name w:val="List Bullet 4"/>
    <w:basedOn w:val="Normal"/>
    <w:uiPriority w:val="99"/>
    <w:semiHidden/>
    <w:unhideWhenUsed/>
    <w:rsid w:val="0003148D"/>
    <w:pPr>
      <w:numPr>
        <w:numId w:val="10"/>
      </w:numPr>
      <w:contextualSpacing/>
    </w:pPr>
  </w:style>
  <w:style w:type="paragraph" w:styleId="Commarcadores5">
    <w:name w:val="List Bullet 5"/>
    <w:basedOn w:val="Normal"/>
    <w:uiPriority w:val="99"/>
    <w:semiHidden/>
    <w:unhideWhenUsed/>
    <w:rsid w:val="0003148D"/>
    <w:pPr>
      <w:numPr>
        <w:numId w:val="11"/>
      </w:numPr>
      <w:contextualSpacing/>
    </w:pPr>
  </w:style>
  <w:style w:type="paragraph" w:styleId="Recuodecorpodetexto2">
    <w:name w:val="Body Text Indent 2"/>
    <w:basedOn w:val="Normal"/>
    <w:link w:val="Recuodecorpodetexto2Char"/>
    <w:uiPriority w:val="99"/>
    <w:semiHidden/>
    <w:unhideWhenUsed/>
    <w:rsid w:val="0003148D"/>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03148D"/>
  </w:style>
  <w:style w:type="paragraph" w:styleId="Recuodecorpodetexto3">
    <w:name w:val="Body Text Indent 3"/>
    <w:basedOn w:val="Normal"/>
    <w:link w:val="Recuodecorpodetexto3Char"/>
    <w:uiPriority w:val="99"/>
    <w:semiHidden/>
    <w:unhideWhenUsed/>
    <w:rsid w:val="0003148D"/>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03148D"/>
    <w:rPr>
      <w:sz w:val="16"/>
      <w:szCs w:val="16"/>
    </w:rPr>
  </w:style>
  <w:style w:type="paragraph" w:styleId="Recuonormal">
    <w:name w:val="Normal Indent"/>
    <w:basedOn w:val="Normal"/>
    <w:uiPriority w:val="99"/>
    <w:semiHidden/>
    <w:unhideWhenUsed/>
    <w:rsid w:val="0003148D"/>
    <w:pPr>
      <w:ind w:left="720"/>
    </w:pPr>
  </w:style>
  <w:style w:type="paragraph" w:styleId="Textodecomentrio">
    <w:name w:val="annotation text"/>
    <w:basedOn w:val="Normal"/>
    <w:link w:val="TextodecomentrioChar"/>
    <w:uiPriority w:val="99"/>
    <w:unhideWhenUsed/>
    <w:rsid w:val="0003148D"/>
    <w:pPr>
      <w:spacing w:line="240" w:lineRule="auto"/>
    </w:pPr>
  </w:style>
  <w:style w:type="character" w:customStyle="1" w:styleId="TextodecomentrioChar">
    <w:name w:val="Texto de comentário Char"/>
    <w:basedOn w:val="Fontepargpadro"/>
    <w:link w:val="Textodecomentrio"/>
    <w:uiPriority w:val="99"/>
    <w:rsid w:val="0003148D"/>
    <w:rPr>
      <w:sz w:val="20"/>
      <w:szCs w:val="20"/>
    </w:rPr>
  </w:style>
  <w:style w:type="paragraph" w:styleId="Assuntodocomentrio">
    <w:name w:val="annotation subject"/>
    <w:basedOn w:val="Textodecomentrio"/>
    <w:next w:val="Textodecomentrio"/>
    <w:link w:val="AssuntodocomentrioChar"/>
    <w:uiPriority w:val="99"/>
    <w:semiHidden/>
    <w:unhideWhenUsed/>
    <w:rsid w:val="0003148D"/>
    <w:rPr>
      <w:b/>
      <w:bCs/>
    </w:rPr>
  </w:style>
  <w:style w:type="character" w:customStyle="1" w:styleId="AssuntodocomentrioChar">
    <w:name w:val="Assunto do comentário Char"/>
    <w:basedOn w:val="TextodecomentrioChar"/>
    <w:link w:val="Assuntodocomentrio"/>
    <w:uiPriority w:val="99"/>
    <w:semiHidden/>
    <w:rsid w:val="0003148D"/>
    <w:rPr>
      <w:b/>
      <w:bCs/>
      <w:sz w:val="20"/>
      <w:szCs w:val="20"/>
    </w:rPr>
  </w:style>
  <w:style w:type="paragraph" w:styleId="Sumrio1">
    <w:name w:val="toc 1"/>
    <w:basedOn w:val="Normal"/>
    <w:next w:val="Normal"/>
    <w:autoRedefine/>
    <w:uiPriority w:val="39"/>
    <w:semiHidden/>
    <w:unhideWhenUsed/>
    <w:rsid w:val="0003148D"/>
    <w:pPr>
      <w:spacing w:after="100"/>
    </w:pPr>
  </w:style>
  <w:style w:type="paragraph" w:styleId="Sumrio2">
    <w:name w:val="toc 2"/>
    <w:basedOn w:val="Normal"/>
    <w:next w:val="Normal"/>
    <w:autoRedefine/>
    <w:uiPriority w:val="39"/>
    <w:semiHidden/>
    <w:unhideWhenUsed/>
    <w:rsid w:val="0003148D"/>
    <w:pPr>
      <w:spacing w:after="100"/>
      <w:ind w:left="220"/>
    </w:pPr>
  </w:style>
  <w:style w:type="paragraph" w:styleId="Sumrio3">
    <w:name w:val="toc 3"/>
    <w:basedOn w:val="Normal"/>
    <w:next w:val="Normal"/>
    <w:autoRedefine/>
    <w:uiPriority w:val="39"/>
    <w:semiHidden/>
    <w:unhideWhenUsed/>
    <w:rsid w:val="0003148D"/>
    <w:pPr>
      <w:spacing w:after="100"/>
      <w:ind w:left="440"/>
    </w:pPr>
  </w:style>
  <w:style w:type="paragraph" w:styleId="Sumrio4">
    <w:name w:val="toc 4"/>
    <w:basedOn w:val="Normal"/>
    <w:next w:val="Normal"/>
    <w:autoRedefine/>
    <w:uiPriority w:val="39"/>
    <w:semiHidden/>
    <w:unhideWhenUsed/>
    <w:rsid w:val="0003148D"/>
    <w:pPr>
      <w:spacing w:after="100"/>
      <w:ind w:left="660"/>
    </w:pPr>
  </w:style>
  <w:style w:type="paragraph" w:styleId="Sumrio5">
    <w:name w:val="toc 5"/>
    <w:basedOn w:val="Normal"/>
    <w:next w:val="Normal"/>
    <w:autoRedefine/>
    <w:uiPriority w:val="39"/>
    <w:semiHidden/>
    <w:unhideWhenUsed/>
    <w:rsid w:val="0003148D"/>
    <w:pPr>
      <w:spacing w:after="100"/>
      <w:ind w:left="880"/>
    </w:pPr>
  </w:style>
  <w:style w:type="paragraph" w:styleId="Sumrio6">
    <w:name w:val="toc 6"/>
    <w:basedOn w:val="Normal"/>
    <w:next w:val="Normal"/>
    <w:autoRedefine/>
    <w:uiPriority w:val="39"/>
    <w:semiHidden/>
    <w:unhideWhenUsed/>
    <w:rsid w:val="0003148D"/>
    <w:pPr>
      <w:spacing w:after="100"/>
      <w:ind w:left="1100"/>
    </w:pPr>
  </w:style>
  <w:style w:type="paragraph" w:styleId="Sumrio7">
    <w:name w:val="toc 7"/>
    <w:basedOn w:val="Normal"/>
    <w:next w:val="Normal"/>
    <w:autoRedefine/>
    <w:uiPriority w:val="39"/>
    <w:semiHidden/>
    <w:unhideWhenUsed/>
    <w:rsid w:val="0003148D"/>
    <w:pPr>
      <w:spacing w:after="100"/>
      <w:ind w:left="1320"/>
    </w:pPr>
  </w:style>
  <w:style w:type="paragraph" w:styleId="Sumrio8">
    <w:name w:val="toc 8"/>
    <w:basedOn w:val="Normal"/>
    <w:next w:val="Normal"/>
    <w:autoRedefine/>
    <w:uiPriority w:val="39"/>
    <w:semiHidden/>
    <w:unhideWhenUsed/>
    <w:rsid w:val="0003148D"/>
    <w:pPr>
      <w:spacing w:after="100"/>
      <w:ind w:left="1540"/>
    </w:pPr>
  </w:style>
  <w:style w:type="paragraph" w:styleId="Sumrio9">
    <w:name w:val="toc 9"/>
    <w:basedOn w:val="Normal"/>
    <w:next w:val="Normal"/>
    <w:autoRedefine/>
    <w:uiPriority w:val="39"/>
    <w:semiHidden/>
    <w:unhideWhenUsed/>
    <w:rsid w:val="0003148D"/>
    <w:pPr>
      <w:spacing w:after="100"/>
      <w:ind w:left="1760"/>
    </w:pPr>
  </w:style>
  <w:style w:type="paragraph" w:styleId="Textoembloco">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xtodemacro">
    <w:name w:val="macro"/>
    <w:link w:val="TextodemacroCh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xtodemacroChar">
    <w:name w:val="Texto de macro Char"/>
    <w:basedOn w:val="Fontepargpadro"/>
    <w:link w:val="Textodemacro"/>
    <w:uiPriority w:val="99"/>
    <w:semiHidden/>
    <w:rsid w:val="0003148D"/>
    <w:rPr>
      <w:rFonts w:ascii="Consolas" w:hAnsi="Consolas" w:cs="Consolas"/>
      <w:sz w:val="20"/>
      <w:szCs w:val="20"/>
    </w:rPr>
  </w:style>
  <w:style w:type="paragraph" w:styleId="TextosemFormatao">
    <w:name w:val="Plain Text"/>
    <w:basedOn w:val="Normal"/>
    <w:link w:val="TextosemFormataoChar"/>
    <w:uiPriority w:val="99"/>
    <w:semiHidden/>
    <w:unhideWhenUsed/>
    <w:rsid w:val="0003148D"/>
    <w:pPr>
      <w:spacing w:line="240" w:lineRule="auto"/>
    </w:pPr>
    <w:rPr>
      <w:rFonts w:ascii="Consolas" w:hAnsi="Consolas" w:cs="Consolas"/>
      <w:sz w:val="21"/>
      <w:szCs w:val="21"/>
    </w:rPr>
  </w:style>
  <w:style w:type="character" w:customStyle="1" w:styleId="TextosemFormataoChar">
    <w:name w:val="Texto sem Formatação Char"/>
    <w:basedOn w:val="Fontepargpadro"/>
    <w:link w:val="TextosemFormatao"/>
    <w:uiPriority w:val="99"/>
    <w:semiHidden/>
    <w:rsid w:val="0003148D"/>
    <w:rPr>
      <w:rFonts w:ascii="Consolas" w:hAnsi="Consolas" w:cs="Consolas"/>
      <w:sz w:val="21"/>
      <w:szCs w:val="21"/>
    </w:rPr>
  </w:style>
  <w:style w:type="paragraph" w:styleId="Textodenotaderodap">
    <w:name w:val="footnote text"/>
    <w:basedOn w:val="Normal"/>
    <w:link w:val="TextodenotaderodapChar"/>
    <w:uiPriority w:val="99"/>
    <w:semiHidden/>
    <w:unhideWhenUsed/>
    <w:rsid w:val="0003148D"/>
    <w:pPr>
      <w:spacing w:line="240" w:lineRule="auto"/>
    </w:pPr>
  </w:style>
  <w:style w:type="character" w:customStyle="1" w:styleId="TextodenotaderodapChar">
    <w:name w:val="Texto de nota de rodapé Char"/>
    <w:basedOn w:val="Fontepargpadro"/>
    <w:link w:val="Textodenotaderodap"/>
    <w:uiPriority w:val="99"/>
    <w:semiHidden/>
    <w:rsid w:val="0003148D"/>
    <w:rPr>
      <w:sz w:val="20"/>
      <w:szCs w:val="20"/>
    </w:rPr>
  </w:style>
  <w:style w:type="paragraph" w:styleId="Textodenotadefim">
    <w:name w:val="endnote text"/>
    <w:basedOn w:val="Normal"/>
    <w:link w:val="TextodenotadefimChar"/>
    <w:uiPriority w:val="99"/>
    <w:semiHidden/>
    <w:unhideWhenUsed/>
    <w:rsid w:val="0003148D"/>
    <w:pPr>
      <w:spacing w:line="240" w:lineRule="auto"/>
    </w:pPr>
  </w:style>
  <w:style w:type="character" w:customStyle="1" w:styleId="TextodenotadefimChar">
    <w:name w:val="Texto de nota de fim Char"/>
    <w:basedOn w:val="Fontepargpadro"/>
    <w:link w:val="Textodenotadefim"/>
    <w:uiPriority w:val="99"/>
    <w:semiHidden/>
    <w:rsid w:val="0003148D"/>
    <w:rPr>
      <w:sz w:val="20"/>
      <w:szCs w:val="20"/>
    </w:rPr>
  </w:style>
  <w:style w:type="character" w:customStyle="1" w:styleId="Ttulo1Char">
    <w:name w:val="Título 1 Char"/>
    <w:basedOn w:val="Fontepargpadro"/>
    <w:link w:val="Ttulo1"/>
    <w:uiPriority w:val="9"/>
    <w:rsid w:val="004F5E36"/>
    <w:rPr>
      <w:rFonts w:ascii="Arial" w:eastAsia="Times New Roman" w:hAnsi="Arial" w:cs="Times New Roman"/>
      <w:b/>
      <w:sz w:val="20"/>
      <w:szCs w:val="20"/>
      <w:lang w:val="en-GB"/>
    </w:rPr>
  </w:style>
  <w:style w:type="character" w:customStyle="1" w:styleId="Ttulo2Char">
    <w:name w:val="Título 2 Char"/>
    <w:basedOn w:val="Fontepargpadro"/>
    <w:link w:val="Ttu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semiHidden/>
    <w:rsid w:val="0003148D"/>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semiHidden/>
    <w:rsid w:val="0003148D"/>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03148D"/>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03148D"/>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03148D"/>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semiHidden/>
    <w:rsid w:val="0003148D"/>
    <w:rPr>
      <w:rFonts w:asciiTheme="majorHAnsi" w:eastAsiaTheme="majorEastAsia" w:hAnsiTheme="majorHAnsi" w:cstheme="majorBidi"/>
      <w:i/>
      <w:iCs/>
      <w:color w:val="404040" w:themeColor="text1" w:themeTint="BF"/>
      <w:sz w:val="20"/>
      <w:szCs w:val="20"/>
    </w:rPr>
  </w:style>
  <w:style w:type="paragraph" w:styleId="Ttulodendiceremissivo">
    <w:name w:val="index heading"/>
    <w:basedOn w:val="Normal"/>
    <w:next w:val="Remissivo1"/>
    <w:uiPriority w:val="99"/>
    <w:semiHidden/>
    <w:unhideWhenUsed/>
    <w:rsid w:val="0003148D"/>
    <w:rPr>
      <w:rFonts w:asciiTheme="majorHAnsi" w:eastAsiaTheme="majorEastAsia" w:hAnsiTheme="majorHAnsi" w:cstheme="majorBidi"/>
      <w:b/>
      <w:bCs/>
    </w:rPr>
  </w:style>
  <w:style w:type="paragraph" w:styleId="Ttulodendicedeautoridades">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CabealhodoSumrio">
    <w:name w:val="TOC Heading"/>
    <w:basedOn w:val="Ttulo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Fontepargpadr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Cabealho">
    <w:name w:val="header"/>
    <w:basedOn w:val="Normal"/>
    <w:link w:val="CabealhoChar"/>
    <w:uiPriority w:val="99"/>
    <w:unhideWhenUsed/>
    <w:rsid w:val="005278B7"/>
    <w:pPr>
      <w:tabs>
        <w:tab w:val="clear" w:pos="7100"/>
        <w:tab w:val="center" w:pos="4819"/>
        <w:tab w:val="right" w:pos="9638"/>
      </w:tabs>
      <w:spacing w:line="240" w:lineRule="auto"/>
    </w:pPr>
  </w:style>
  <w:style w:type="character" w:customStyle="1" w:styleId="CabealhoChar">
    <w:name w:val="Cabeçalho Char"/>
    <w:basedOn w:val="Fontepargpadro"/>
    <w:link w:val="Cabealho"/>
    <w:uiPriority w:val="99"/>
    <w:rsid w:val="005278B7"/>
    <w:rPr>
      <w:rFonts w:ascii="Arial" w:eastAsia="Times New Roman" w:hAnsi="Arial" w:cs="Times New Roman"/>
      <w:sz w:val="18"/>
      <w:szCs w:val="20"/>
      <w:lang w:val="en-GB"/>
    </w:rPr>
  </w:style>
  <w:style w:type="paragraph" w:styleId="Rodap">
    <w:name w:val="footer"/>
    <w:basedOn w:val="Normal"/>
    <w:link w:val="RodapChar"/>
    <w:uiPriority w:val="99"/>
    <w:unhideWhenUsed/>
    <w:rsid w:val="005278B7"/>
    <w:pPr>
      <w:tabs>
        <w:tab w:val="clear" w:pos="7100"/>
        <w:tab w:val="center" w:pos="4819"/>
        <w:tab w:val="right" w:pos="9638"/>
      </w:tabs>
      <w:spacing w:line="240" w:lineRule="auto"/>
    </w:pPr>
  </w:style>
  <w:style w:type="character" w:customStyle="1" w:styleId="RodapChar">
    <w:name w:val="Rodapé Char"/>
    <w:basedOn w:val="Fontepargpadro"/>
    <w:link w:val="Rodap"/>
    <w:uiPriority w:val="99"/>
    <w:rsid w:val="005278B7"/>
    <w:rPr>
      <w:rFonts w:ascii="Arial" w:eastAsia="Times New Roman" w:hAnsi="Arial" w:cs="Times New Roman"/>
      <w:sz w:val="18"/>
      <w:szCs w:val="20"/>
      <w:lang w:val="en-GB"/>
    </w:rPr>
  </w:style>
  <w:style w:type="table" w:styleId="Tabelacomgrade">
    <w:name w:val="Table Grid"/>
    <w:basedOn w:val="Tabelanormal"/>
    <w:uiPriority w:val="3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904C62"/>
    <w:rPr>
      <w:color w:val="0000FF" w:themeColor="hyperlink"/>
      <w:u w:val="single"/>
    </w:rPr>
  </w:style>
  <w:style w:type="character" w:customStyle="1" w:styleId="eudoraheader">
    <w:name w:val="eudoraheader"/>
    <w:basedOn w:val="Fontepargpadro"/>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bCs w:val="0"/>
      <w:sz w:val="18"/>
      <w:szCs w:val="20"/>
      <w:lang w:val="en-US"/>
    </w:rPr>
  </w:style>
  <w:style w:type="paragraph" w:styleId="PargrafodaLista">
    <w:name w:val="List Paragraph"/>
    <w:basedOn w:val="Normal"/>
    <w:uiPriority w:val="34"/>
    <w:rsid w:val="00280FAF"/>
    <w:pPr>
      <w:ind w:left="720"/>
      <w:contextualSpacing/>
    </w:pPr>
  </w:style>
  <w:style w:type="character" w:customStyle="1" w:styleId="gmail-apple-converted-space">
    <w:name w:val="gmail-apple-converted-space"/>
    <w:basedOn w:val="Fontepargpadro"/>
    <w:rsid w:val="00005A19"/>
  </w:style>
  <w:style w:type="character" w:styleId="TextodoEspaoReservado">
    <w:name w:val="Placeholder Text"/>
    <w:basedOn w:val="Fontepargpadro"/>
    <w:uiPriority w:val="99"/>
    <w:semiHidden/>
    <w:rsid w:val="008D7B4D"/>
    <w:rPr>
      <w:color w:val="666666"/>
    </w:rPr>
  </w:style>
  <w:style w:type="character" w:customStyle="1" w:styleId="math-inline">
    <w:name w:val="math-inline"/>
    <w:basedOn w:val="Fontepargpadro"/>
    <w:rsid w:val="000D4E4B"/>
  </w:style>
  <w:style w:type="character" w:customStyle="1" w:styleId="citation-155">
    <w:name w:val="citation-155"/>
    <w:basedOn w:val="Fontepargpadro"/>
    <w:rsid w:val="000D4E4B"/>
  </w:style>
  <w:style w:type="character" w:customStyle="1" w:styleId="citation-161">
    <w:name w:val="citation-161"/>
    <w:basedOn w:val="Fontepargpadro"/>
    <w:rsid w:val="00A06B24"/>
  </w:style>
  <w:style w:type="character" w:customStyle="1" w:styleId="citation-160">
    <w:name w:val="citation-160"/>
    <w:basedOn w:val="Fontepargpadro"/>
    <w:rsid w:val="00A06B24"/>
  </w:style>
  <w:style w:type="character" w:customStyle="1" w:styleId="citation-125">
    <w:name w:val="citation-125"/>
    <w:basedOn w:val="Fontepargpadro"/>
    <w:rsid w:val="00A85C02"/>
  </w:style>
  <w:style w:type="character" w:customStyle="1" w:styleId="citation-124">
    <w:name w:val="citation-124"/>
    <w:basedOn w:val="Fontepargpadro"/>
    <w:rsid w:val="00A85C02"/>
  </w:style>
  <w:style w:type="character" w:customStyle="1" w:styleId="citation-123">
    <w:name w:val="citation-123"/>
    <w:basedOn w:val="Fontepargpadro"/>
    <w:rsid w:val="00A85C02"/>
  </w:style>
  <w:style w:type="character" w:customStyle="1" w:styleId="citation-122">
    <w:name w:val="citation-122"/>
    <w:basedOn w:val="Fontepargpadro"/>
    <w:rsid w:val="00A85C02"/>
  </w:style>
  <w:style w:type="character" w:customStyle="1" w:styleId="citation-121">
    <w:name w:val="citation-121"/>
    <w:basedOn w:val="Fontepargpadro"/>
    <w:rsid w:val="00CC3E01"/>
  </w:style>
  <w:style w:type="character" w:customStyle="1" w:styleId="citation-120">
    <w:name w:val="citation-120"/>
    <w:basedOn w:val="Fontepargpadro"/>
    <w:rsid w:val="00CC3E01"/>
  </w:style>
  <w:style w:type="character" w:customStyle="1" w:styleId="citation-119">
    <w:name w:val="citation-119"/>
    <w:basedOn w:val="Fontepargpadro"/>
    <w:rsid w:val="00CC3E01"/>
  </w:style>
  <w:style w:type="character" w:customStyle="1" w:styleId="citation-118">
    <w:name w:val="citation-118"/>
    <w:basedOn w:val="Fontepargpadro"/>
    <w:rsid w:val="00CC3E01"/>
  </w:style>
  <w:style w:type="character" w:customStyle="1" w:styleId="citation-117">
    <w:name w:val="citation-117"/>
    <w:basedOn w:val="Fontepargpadro"/>
    <w:rsid w:val="00CC3E01"/>
  </w:style>
  <w:style w:type="character" w:customStyle="1" w:styleId="citation-116">
    <w:name w:val="citation-116"/>
    <w:basedOn w:val="Fontepargpadro"/>
    <w:rsid w:val="00CC3E01"/>
  </w:style>
  <w:style w:type="character" w:customStyle="1" w:styleId="citation-194">
    <w:name w:val="citation-194"/>
    <w:basedOn w:val="Fontepargpadro"/>
    <w:rsid w:val="002A07AC"/>
  </w:style>
  <w:style w:type="character" w:customStyle="1" w:styleId="citation-193">
    <w:name w:val="citation-193"/>
    <w:basedOn w:val="Fontepargpadro"/>
    <w:rsid w:val="002A07AC"/>
  </w:style>
  <w:style w:type="character" w:customStyle="1" w:styleId="citation-192">
    <w:name w:val="citation-192"/>
    <w:basedOn w:val="Fontepargpadro"/>
    <w:rsid w:val="002A07AC"/>
  </w:style>
  <w:style w:type="character" w:customStyle="1" w:styleId="citation-191">
    <w:name w:val="citation-191"/>
    <w:basedOn w:val="Fontepargpadro"/>
    <w:rsid w:val="002A07AC"/>
  </w:style>
  <w:style w:type="character" w:customStyle="1" w:styleId="citation-190">
    <w:name w:val="citation-190"/>
    <w:basedOn w:val="Fontepargpadro"/>
    <w:rsid w:val="002A07AC"/>
  </w:style>
  <w:style w:type="character" w:customStyle="1" w:styleId="citation-189">
    <w:name w:val="citation-189"/>
    <w:basedOn w:val="Fontepargpadro"/>
    <w:rsid w:val="002A07AC"/>
  </w:style>
  <w:style w:type="character" w:customStyle="1" w:styleId="citation-187">
    <w:name w:val="citation-187"/>
    <w:basedOn w:val="Fontepargpadro"/>
    <w:rsid w:val="002A07AC"/>
  </w:style>
  <w:style w:type="character" w:customStyle="1" w:styleId="citation-186">
    <w:name w:val="citation-186"/>
    <w:basedOn w:val="Fontepargpadro"/>
    <w:rsid w:val="002A07AC"/>
  </w:style>
  <w:style w:type="character" w:customStyle="1" w:styleId="citation-184">
    <w:name w:val="citation-184"/>
    <w:basedOn w:val="Fontepargpadro"/>
    <w:rsid w:val="002A07AC"/>
  </w:style>
  <w:style w:type="character" w:customStyle="1" w:styleId="citation-183">
    <w:name w:val="citation-183"/>
    <w:basedOn w:val="Fontepargpadro"/>
    <w:rsid w:val="002A07AC"/>
  </w:style>
  <w:style w:type="character" w:styleId="nfase">
    <w:name w:val="Emphasis"/>
    <w:basedOn w:val="Fontepargpadro"/>
    <w:uiPriority w:val="20"/>
    <w:qFormat/>
    <w:rsid w:val="00B66994"/>
    <w:rPr>
      <w:i/>
      <w:iCs/>
    </w:rPr>
  </w:style>
  <w:style w:type="character" w:styleId="Forte">
    <w:name w:val="Strong"/>
    <w:basedOn w:val="Fontepargpadro"/>
    <w:uiPriority w:val="22"/>
    <w:qFormat/>
    <w:rsid w:val="00EA46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F873BB6-11FA-420B-9FED-B1E9AF0F3A6B}">
  <we:reference id="wa104382081" version="1.55.1.0" store="pt-BR" storeType="OMEX"/>
  <we:alternateReferences>
    <we:reference id="WA104382081" version="1.55.1.0" store="" storeType="OMEX"/>
  </we:alternateReferences>
  <we:properties>
    <we:property name="MENDELEY_CITATIONS" value="[]"/>
    <we:property name="MENDELEY_CITATIONS_STYLE" value="{&quot;id&quot;:&quot;https://www.zotero.org/styles/apa&quot;,&quot;title&quot;:&quot;APA Style 7th edition&quot;,&quot;format&quot;:&quot;author-date&quot;,&quot;defaultLocale&quot;:null,&quot;isLocaleCodeValid&quot;:true}"/>
    <we:property name="MENDELEY_BIBLIOGRAPHY_IS_DIRTY" value="true"/>
    <we:property name="MENDELEY_BIBLIOGRAPHY_LAST_MODIFIED" value="1774698926093"/>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983C9-6D0A-480C-BF79-A63BD3D9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6</Pages>
  <Words>3754</Words>
  <Characters>20275</Characters>
  <Application>Microsoft Office Word</Application>
  <DocSecurity>0</DocSecurity>
  <Lines>168</Lines>
  <Paragraphs>47</Paragraphs>
  <ScaleCrop>false</ScaleCrop>
  <HeadingPairs>
    <vt:vector size="6" baseType="variant">
      <vt:variant>
        <vt:lpstr>Título</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Dipartimento CMIC - Politecnico di Milano</Company>
  <LinksUpToDate>false</LinksUpToDate>
  <CharactersWithSpaces>23982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gabi simonete</cp:lastModifiedBy>
  <cp:revision>323</cp:revision>
  <cp:lastPrinted>2015-05-12T18:31:00Z</cp:lastPrinted>
  <dcterms:created xsi:type="dcterms:W3CDTF">2025-10-30T17:24:00Z</dcterms:created>
  <dcterms:modified xsi:type="dcterms:W3CDTF">2026-03-31T18:31:00Z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