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784686" w14:paraId="2A131A54" w14:textId="77777777" w:rsidTr="00622A5B">
        <w:trPr>
          <w:trHeight w:val="852"/>
          <w:jc w:val="center"/>
        </w:trPr>
        <w:tc>
          <w:tcPr>
            <w:tcW w:w="6940" w:type="dxa"/>
            <w:vMerge w:val="restart"/>
            <w:tcBorders>
              <w:right w:val="single" w:sz="4" w:space="0" w:color="auto"/>
            </w:tcBorders>
          </w:tcPr>
          <w:p w14:paraId="38C3D2BA" w14:textId="77777777" w:rsidR="000A03B2" w:rsidRPr="00784686" w:rsidRDefault="000A03B2" w:rsidP="00DE264A">
            <w:pPr>
              <w:tabs>
                <w:tab w:val="left" w:pos="-108"/>
              </w:tabs>
              <w:ind w:left="-108"/>
              <w:jc w:val="left"/>
              <w:rPr>
                <w:rFonts w:cs="Arial"/>
                <w:b/>
                <w:bCs/>
                <w:i/>
                <w:iCs/>
                <w:color w:val="000066"/>
                <w:sz w:val="12"/>
                <w:szCs w:val="12"/>
                <w:lang w:val="en-US" w:eastAsia="it-IT"/>
              </w:rPr>
            </w:pPr>
            <w:bookmarkStart w:id="0" w:name="_Hlk145068772"/>
            <w:r w:rsidRPr="00784686">
              <w:rPr>
                <w:rFonts w:ascii="AdvP6960" w:hAnsi="AdvP6960" w:cs="AdvP6960"/>
                <w:noProof/>
                <w:color w:val="241F20"/>
                <w:szCs w:val="18"/>
                <w:lang w:val="en-US"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784686">
              <w:rPr>
                <w:rFonts w:ascii="AdvP6960" w:hAnsi="AdvP6960" w:cs="AdvP6960"/>
                <w:color w:val="241F20"/>
                <w:szCs w:val="18"/>
                <w:lang w:val="en-US" w:eastAsia="it-IT"/>
              </w:rPr>
              <w:t xml:space="preserve"> </w:t>
            </w:r>
            <w:r w:rsidRPr="00784686">
              <w:rPr>
                <w:rFonts w:cs="Arial"/>
                <w:b/>
                <w:bCs/>
                <w:i/>
                <w:iCs/>
                <w:color w:val="000066"/>
                <w:sz w:val="24"/>
                <w:szCs w:val="24"/>
                <w:lang w:val="en-US" w:eastAsia="it-IT"/>
              </w:rPr>
              <w:t>CHEMICAL ENGINEERING</w:t>
            </w:r>
            <w:r w:rsidRPr="00784686">
              <w:rPr>
                <w:rFonts w:cs="Arial"/>
                <w:b/>
                <w:bCs/>
                <w:i/>
                <w:iCs/>
                <w:color w:val="0033FF"/>
                <w:sz w:val="24"/>
                <w:szCs w:val="24"/>
                <w:lang w:val="en-US" w:eastAsia="it-IT"/>
              </w:rPr>
              <w:t xml:space="preserve"> </w:t>
            </w:r>
            <w:r w:rsidRPr="00784686">
              <w:rPr>
                <w:rFonts w:cs="Arial"/>
                <w:b/>
                <w:bCs/>
                <w:i/>
                <w:iCs/>
                <w:color w:val="666666"/>
                <w:sz w:val="24"/>
                <w:szCs w:val="24"/>
                <w:lang w:val="en-US" w:eastAsia="it-IT"/>
              </w:rPr>
              <w:t>TRANSACTIONS</w:t>
            </w:r>
            <w:r w:rsidRPr="00784686">
              <w:rPr>
                <w:color w:val="333333"/>
                <w:sz w:val="24"/>
                <w:szCs w:val="24"/>
                <w:lang w:val="en-US" w:eastAsia="it-IT"/>
              </w:rPr>
              <w:t xml:space="preserve"> </w:t>
            </w:r>
            <w:r w:rsidRPr="00784686">
              <w:rPr>
                <w:rFonts w:cs="Arial"/>
                <w:b/>
                <w:bCs/>
                <w:i/>
                <w:iCs/>
                <w:color w:val="000066"/>
                <w:sz w:val="27"/>
                <w:szCs w:val="27"/>
                <w:lang w:val="en-US" w:eastAsia="it-IT"/>
              </w:rPr>
              <w:br/>
            </w:r>
          </w:p>
          <w:p w14:paraId="4B780582" w14:textId="753620B8" w:rsidR="000A03B2" w:rsidRPr="00784686" w:rsidRDefault="00A76EFC" w:rsidP="001D21AF">
            <w:pPr>
              <w:tabs>
                <w:tab w:val="left" w:pos="-108"/>
              </w:tabs>
              <w:ind w:left="-108"/>
              <w:rPr>
                <w:rFonts w:cs="Arial"/>
                <w:b/>
                <w:bCs/>
                <w:i/>
                <w:iCs/>
                <w:color w:val="000066"/>
                <w:sz w:val="22"/>
                <w:szCs w:val="22"/>
                <w:lang w:val="en-US" w:eastAsia="it-IT"/>
              </w:rPr>
            </w:pPr>
            <w:r w:rsidRPr="00784686">
              <w:rPr>
                <w:rFonts w:cs="Arial"/>
                <w:b/>
                <w:bCs/>
                <w:i/>
                <w:iCs/>
                <w:color w:val="000066"/>
                <w:sz w:val="22"/>
                <w:szCs w:val="22"/>
                <w:lang w:val="en-US" w:eastAsia="it-IT"/>
              </w:rPr>
              <w:t>VOL.</w:t>
            </w:r>
            <w:r w:rsidR="00785BF9" w:rsidRPr="00784686">
              <w:rPr>
                <w:rFonts w:cs="Arial"/>
                <w:b/>
                <w:bCs/>
                <w:i/>
                <w:iCs/>
                <w:color w:val="000066"/>
                <w:sz w:val="22"/>
                <w:szCs w:val="22"/>
                <w:lang w:val="en-US" w:eastAsia="it-IT"/>
              </w:rPr>
              <w:t xml:space="preserve"> </w:t>
            </w:r>
            <w:r w:rsidR="00AD0278" w:rsidRPr="00784686">
              <w:rPr>
                <w:rFonts w:cs="Arial"/>
                <w:b/>
                <w:bCs/>
                <w:i/>
                <w:iCs/>
                <w:color w:val="000066"/>
                <w:sz w:val="22"/>
                <w:szCs w:val="22"/>
                <w:lang w:val="en-US" w:eastAsia="it-IT"/>
              </w:rPr>
              <w:t>xxx</w:t>
            </w:r>
            <w:r w:rsidR="007B48F9" w:rsidRPr="00784686">
              <w:rPr>
                <w:rFonts w:cs="Arial"/>
                <w:b/>
                <w:bCs/>
                <w:i/>
                <w:iCs/>
                <w:color w:val="000066"/>
                <w:sz w:val="22"/>
                <w:szCs w:val="22"/>
                <w:lang w:val="en-US" w:eastAsia="it-IT"/>
              </w:rPr>
              <w:t>,</w:t>
            </w:r>
            <w:r w:rsidR="00FA5F5F" w:rsidRPr="00784686">
              <w:rPr>
                <w:rFonts w:cs="Arial"/>
                <w:b/>
                <w:bCs/>
                <w:i/>
                <w:iCs/>
                <w:color w:val="000066"/>
                <w:sz w:val="22"/>
                <w:szCs w:val="22"/>
                <w:lang w:val="en-US" w:eastAsia="it-IT"/>
              </w:rPr>
              <w:t xml:space="preserve"> </w:t>
            </w:r>
            <w:r w:rsidR="0030152C" w:rsidRPr="00784686">
              <w:rPr>
                <w:rFonts w:cs="Arial"/>
                <w:b/>
                <w:bCs/>
                <w:i/>
                <w:iCs/>
                <w:color w:val="000066"/>
                <w:sz w:val="22"/>
                <w:szCs w:val="22"/>
                <w:lang w:val="en-US" w:eastAsia="it-IT"/>
              </w:rPr>
              <w:t>202</w:t>
            </w:r>
            <w:r w:rsidR="00AD0278" w:rsidRPr="00784686">
              <w:rPr>
                <w:rFonts w:cs="Arial"/>
                <w:b/>
                <w:bCs/>
                <w:i/>
                <w:iCs/>
                <w:color w:val="000066"/>
                <w:sz w:val="22"/>
                <w:szCs w:val="22"/>
                <w:lang w:val="en-US" w:eastAsia="it-IT"/>
              </w:rPr>
              <w:t>6</w:t>
            </w:r>
          </w:p>
        </w:tc>
        <w:tc>
          <w:tcPr>
            <w:tcW w:w="1842" w:type="dxa"/>
            <w:tcBorders>
              <w:left w:val="single" w:sz="4" w:space="0" w:color="auto"/>
              <w:bottom w:val="nil"/>
              <w:right w:val="single" w:sz="4" w:space="0" w:color="auto"/>
            </w:tcBorders>
          </w:tcPr>
          <w:p w14:paraId="56782132" w14:textId="77777777" w:rsidR="000A03B2" w:rsidRPr="00784686" w:rsidRDefault="000A03B2" w:rsidP="00CD5FE2">
            <w:pPr>
              <w:spacing w:line="140" w:lineRule="atLeast"/>
              <w:jc w:val="right"/>
              <w:rPr>
                <w:rFonts w:cs="Arial"/>
                <w:sz w:val="14"/>
                <w:szCs w:val="14"/>
                <w:lang w:val="en-US"/>
              </w:rPr>
            </w:pPr>
            <w:r w:rsidRPr="00784686">
              <w:rPr>
                <w:rFonts w:cs="Arial"/>
                <w:sz w:val="14"/>
                <w:szCs w:val="14"/>
                <w:lang w:val="en-US"/>
              </w:rPr>
              <w:t>A publication of</w:t>
            </w:r>
          </w:p>
          <w:p w14:paraId="599E5441" w14:textId="77777777" w:rsidR="000A03B2" w:rsidRPr="00784686" w:rsidRDefault="000A03B2" w:rsidP="00CD5FE2">
            <w:pPr>
              <w:jc w:val="right"/>
              <w:rPr>
                <w:lang w:val="en-US"/>
              </w:rPr>
            </w:pPr>
            <w:r w:rsidRPr="00784686">
              <w:rPr>
                <w:noProof/>
                <w:lang w:val="en-US"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784686" w14:paraId="380FA3CD" w14:textId="77777777" w:rsidTr="00622A5B">
        <w:trPr>
          <w:trHeight w:val="567"/>
          <w:jc w:val="center"/>
        </w:trPr>
        <w:tc>
          <w:tcPr>
            <w:tcW w:w="6940" w:type="dxa"/>
            <w:vMerge/>
            <w:tcBorders>
              <w:right w:val="single" w:sz="4" w:space="0" w:color="auto"/>
            </w:tcBorders>
          </w:tcPr>
          <w:p w14:paraId="39E5E4C1" w14:textId="77777777" w:rsidR="000A03B2" w:rsidRPr="00784686" w:rsidRDefault="000A03B2" w:rsidP="00CD5FE2">
            <w:pPr>
              <w:tabs>
                <w:tab w:val="left" w:pos="-108"/>
              </w:tabs>
              <w:rPr>
                <w:lang w:val="en-US"/>
              </w:rPr>
            </w:pPr>
          </w:p>
        </w:tc>
        <w:tc>
          <w:tcPr>
            <w:tcW w:w="1842" w:type="dxa"/>
            <w:tcBorders>
              <w:left w:val="single" w:sz="4" w:space="0" w:color="auto"/>
              <w:bottom w:val="nil"/>
              <w:right w:val="single" w:sz="4" w:space="0" w:color="auto"/>
            </w:tcBorders>
          </w:tcPr>
          <w:p w14:paraId="43858A98" w14:textId="77777777" w:rsidR="000A03B2" w:rsidRPr="00784686" w:rsidRDefault="000A03B2" w:rsidP="00CD5FE2">
            <w:pPr>
              <w:spacing w:line="140" w:lineRule="atLeast"/>
              <w:jc w:val="right"/>
              <w:rPr>
                <w:rFonts w:cs="Arial"/>
                <w:sz w:val="14"/>
                <w:szCs w:val="14"/>
                <w:lang w:val="en-US"/>
              </w:rPr>
            </w:pPr>
            <w:r w:rsidRPr="00784686">
              <w:rPr>
                <w:rFonts w:cs="Arial"/>
                <w:sz w:val="14"/>
                <w:szCs w:val="14"/>
                <w:lang w:val="en-US"/>
              </w:rPr>
              <w:t>The Italian Association</w:t>
            </w:r>
          </w:p>
          <w:p w14:paraId="7522B1D2" w14:textId="77777777" w:rsidR="000A03B2" w:rsidRPr="00784686" w:rsidRDefault="000A03B2" w:rsidP="00CD5FE2">
            <w:pPr>
              <w:spacing w:line="140" w:lineRule="atLeast"/>
              <w:jc w:val="right"/>
              <w:rPr>
                <w:rFonts w:cs="Arial"/>
                <w:sz w:val="14"/>
                <w:szCs w:val="14"/>
                <w:lang w:val="en-US"/>
              </w:rPr>
            </w:pPr>
            <w:r w:rsidRPr="00784686">
              <w:rPr>
                <w:rFonts w:cs="Arial"/>
                <w:sz w:val="14"/>
                <w:szCs w:val="14"/>
                <w:lang w:val="en-US"/>
              </w:rPr>
              <w:t>of Chemical Engineering</w:t>
            </w:r>
          </w:p>
          <w:p w14:paraId="4F0CC5DE" w14:textId="47FDB2FC" w:rsidR="000A03B2" w:rsidRPr="00784686" w:rsidRDefault="000D0268" w:rsidP="00CD5FE2">
            <w:pPr>
              <w:spacing w:line="140" w:lineRule="atLeast"/>
              <w:jc w:val="right"/>
              <w:rPr>
                <w:rFonts w:cs="Arial"/>
                <w:sz w:val="13"/>
                <w:szCs w:val="13"/>
                <w:lang w:val="en-US"/>
              </w:rPr>
            </w:pPr>
            <w:r w:rsidRPr="00784686">
              <w:rPr>
                <w:rFonts w:cs="Arial"/>
                <w:sz w:val="13"/>
                <w:szCs w:val="13"/>
                <w:lang w:val="en-US"/>
              </w:rPr>
              <w:t>Online at www.cetjournal.it</w:t>
            </w:r>
          </w:p>
        </w:tc>
      </w:tr>
      <w:tr w:rsidR="000A03B2" w:rsidRPr="00784686" w14:paraId="2D1B7169" w14:textId="77777777" w:rsidTr="00622A5B">
        <w:trPr>
          <w:trHeight w:val="68"/>
          <w:jc w:val="center"/>
        </w:trPr>
        <w:tc>
          <w:tcPr>
            <w:tcW w:w="8782" w:type="dxa"/>
            <w:gridSpan w:val="2"/>
          </w:tcPr>
          <w:p w14:paraId="1D8DD3C9" w14:textId="61229B97" w:rsidR="00AA7D26" w:rsidRPr="00784686" w:rsidRDefault="004A5E57" w:rsidP="004A5E57">
            <w:pPr>
              <w:ind w:left="-107"/>
              <w:outlineLvl w:val="2"/>
              <w:rPr>
                <w:rFonts w:ascii="Tahoma" w:hAnsi="Tahoma" w:cs="Tahoma"/>
                <w:bCs/>
                <w:color w:val="000000"/>
                <w:sz w:val="14"/>
                <w:szCs w:val="14"/>
                <w:lang w:val="en-US" w:eastAsia="it-IT"/>
              </w:rPr>
            </w:pPr>
            <w:r w:rsidRPr="00784686">
              <w:rPr>
                <w:rFonts w:ascii="Tahoma" w:hAnsi="Tahoma" w:cs="Tahoma"/>
                <w:iCs/>
                <w:color w:val="333333"/>
                <w:sz w:val="14"/>
                <w:szCs w:val="14"/>
                <w:lang w:val="en-US" w:eastAsia="it-IT"/>
              </w:rPr>
              <w:t>Guest Editors:</w:t>
            </w:r>
            <w:r w:rsidRPr="00784686">
              <w:rPr>
                <w:rFonts w:ascii="Tahoma" w:hAnsi="Tahoma" w:cs="Tahoma"/>
                <w:color w:val="000000"/>
                <w:sz w:val="14"/>
                <w:szCs w:val="14"/>
                <w:shd w:val="clear" w:color="auto" w:fill="FFFFFF"/>
                <w:lang w:val="en-US"/>
              </w:rPr>
              <w:t xml:space="preserve"> </w:t>
            </w:r>
            <w:r w:rsidR="00EA3EF9" w:rsidRPr="00784686">
              <w:rPr>
                <w:rFonts w:ascii="Tahoma" w:hAnsi="Tahoma" w:cs="Tahoma"/>
                <w:color w:val="000000"/>
                <w:sz w:val="14"/>
                <w:szCs w:val="14"/>
                <w:shd w:val="clear" w:color="auto" w:fill="FFFFFF"/>
                <w:lang w:val="en-US"/>
              </w:rPr>
              <w:t xml:space="preserve">Leonardo Tognotti, </w:t>
            </w:r>
            <w:r w:rsidR="00EA3EF9" w:rsidRPr="00784686">
              <w:rPr>
                <w:rFonts w:ascii="Tahoma" w:hAnsi="Tahoma" w:cs="Tahoma"/>
                <w:color w:val="000000"/>
                <w:sz w:val="14"/>
                <w:szCs w:val="14"/>
                <w:lang w:val="en-US"/>
              </w:rPr>
              <w:t>Rubens Maciel Filho</w:t>
            </w:r>
            <w:r w:rsidR="00EA3EF9" w:rsidRPr="00784686">
              <w:rPr>
                <w:rFonts w:ascii="Tahoma" w:hAnsi="Tahoma" w:cs="Tahoma"/>
                <w:color w:val="000000"/>
                <w:sz w:val="14"/>
                <w:szCs w:val="14"/>
                <w:shd w:val="clear" w:color="auto" w:fill="FFFFFF"/>
                <w:lang w:val="en-US"/>
              </w:rPr>
              <w:t xml:space="preserve">, </w:t>
            </w:r>
            <w:r w:rsidR="00EA3EF9" w:rsidRPr="00784686">
              <w:rPr>
                <w:rFonts w:ascii="Tahoma" w:hAnsi="Tahoma" w:cs="Tahoma"/>
                <w:color w:val="000000"/>
                <w:sz w:val="14"/>
                <w:szCs w:val="14"/>
                <w:lang w:val="en-US"/>
              </w:rPr>
              <w:t>Viatcheslav Kafarov</w:t>
            </w:r>
          </w:p>
          <w:p w14:paraId="1B0F1814" w14:textId="710B7B96" w:rsidR="000A03B2" w:rsidRPr="00784686" w:rsidRDefault="00AA7D26" w:rsidP="00AA7D26">
            <w:pPr>
              <w:tabs>
                <w:tab w:val="left" w:pos="-108"/>
              </w:tabs>
              <w:spacing w:line="140" w:lineRule="atLeast"/>
              <w:ind w:left="-107"/>
              <w:jc w:val="left"/>
              <w:rPr>
                <w:lang w:val="en-US"/>
              </w:rPr>
            </w:pPr>
            <w:r w:rsidRPr="00784686">
              <w:rPr>
                <w:rFonts w:ascii="Tahoma" w:hAnsi="Tahoma" w:cs="Tahoma"/>
                <w:iCs/>
                <w:color w:val="333333"/>
                <w:sz w:val="14"/>
                <w:szCs w:val="14"/>
                <w:lang w:val="en-US" w:eastAsia="it-IT"/>
              </w:rPr>
              <w:t>Copyright © 202</w:t>
            </w:r>
            <w:r w:rsidR="00005884" w:rsidRPr="00784686">
              <w:rPr>
                <w:rFonts w:ascii="Tahoma" w:hAnsi="Tahoma" w:cs="Tahoma"/>
                <w:iCs/>
                <w:color w:val="333333"/>
                <w:sz w:val="14"/>
                <w:szCs w:val="14"/>
                <w:lang w:val="en-US" w:eastAsia="it-IT"/>
              </w:rPr>
              <w:t>6</w:t>
            </w:r>
            <w:r w:rsidRPr="00784686">
              <w:rPr>
                <w:rFonts w:ascii="Tahoma" w:hAnsi="Tahoma" w:cs="Tahoma"/>
                <w:iCs/>
                <w:color w:val="333333"/>
                <w:sz w:val="14"/>
                <w:szCs w:val="14"/>
                <w:lang w:val="en-US" w:eastAsia="it-IT"/>
              </w:rPr>
              <w:t>, AIDIC Servizi S.r.l.</w:t>
            </w:r>
            <w:r w:rsidRPr="00784686">
              <w:rPr>
                <w:rFonts w:ascii="Tahoma" w:hAnsi="Tahoma" w:cs="Tahoma"/>
                <w:iCs/>
                <w:color w:val="333333"/>
                <w:sz w:val="14"/>
                <w:szCs w:val="14"/>
                <w:lang w:val="en-US" w:eastAsia="it-IT"/>
              </w:rPr>
              <w:br/>
            </w:r>
            <w:r w:rsidRPr="00784686">
              <w:rPr>
                <w:rFonts w:ascii="Tahoma" w:hAnsi="Tahoma" w:cs="Tahoma"/>
                <w:b/>
                <w:iCs/>
                <w:color w:val="000000"/>
                <w:sz w:val="14"/>
                <w:szCs w:val="14"/>
                <w:lang w:val="en-US" w:eastAsia="it-IT"/>
              </w:rPr>
              <w:t>ISBN</w:t>
            </w:r>
            <w:r w:rsidRPr="00784686">
              <w:rPr>
                <w:rFonts w:ascii="Tahoma" w:hAnsi="Tahoma" w:cs="Tahoma"/>
                <w:iCs/>
                <w:color w:val="000000"/>
                <w:sz w:val="14"/>
                <w:szCs w:val="14"/>
                <w:lang w:val="en-US" w:eastAsia="it-IT"/>
              </w:rPr>
              <w:t xml:space="preserve"> </w:t>
            </w:r>
            <w:r w:rsidR="00D2582C" w:rsidRPr="00784686">
              <w:rPr>
                <w:rFonts w:ascii="Tahoma" w:hAnsi="Tahoma" w:cs="Tahoma"/>
                <w:sz w:val="14"/>
                <w:szCs w:val="14"/>
                <w:lang w:val="en-US"/>
              </w:rPr>
              <w:t>979-12-81206-</w:t>
            </w:r>
            <w:r w:rsidR="00005884" w:rsidRPr="00784686">
              <w:rPr>
                <w:rFonts w:ascii="Tahoma" w:hAnsi="Tahoma" w:cs="Tahoma"/>
                <w:sz w:val="14"/>
                <w:szCs w:val="14"/>
                <w:lang w:val="en-US"/>
              </w:rPr>
              <w:t>xx</w:t>
            </w:r>
            <w:r w:rsidR="009041F8" w:rsidRPr="00784686">
              <w:rPr>
                <w:rFonts w:ascii="Tahoma" w:hAnsi="Tahoma" w:cs="Tahoma"/>
                <w:sz w:val="14"/>
                <w:szCs w:val="14"/>
                <w:lang w:val="en-US"/>
              </w:rPr>
              <w:t>-</w:t>
            </w:r>
            <w:r w:rsidR="00005884" w:rsidRPr="00784686">
              <w:rPr>
                <w:rFonts w:ascii="Tahoma" w:hAnsi="Tahoma" w:cs="Tahoma"/>
                <w:sz w:val="14"/>
                <w:szCs w:val="14"/>
                <w:lang w:val="en-US"/>
              </w:rPr>
              <w:t>x</w:t>
            </w:r>
            <w:r w:rsidRPr="00784686">
              <w:rPr>
                <w:rFonts w:ascii="Tahoma" w:hAnsi="Tahoma" w:cs="Tahoma"/>
                <w:iCs/>
                <w:color w:val="333333"/>
                <w:sz w:val="14"/>
                <w:szCs w:val="14"/>
                <w:lang w:val="en-US" w:eastAsia="it-IT"/>
              </w:rPr>
              <w:t xml:space="preserve">; </w:t>
            </w:r>
            <w:r w:rsidRPr="00784686">
              <w:rPr>
                <w:rFonts w:ascii="Tahoma" w:hAnsi="Tahoma" w:cs="Tahoma"/>
                <w:b/>
                <w:iCs/>
                <w:color w:val="333333"/>
                <w:sz w:val="14"/>
                <w:szCs w:val="14"/>
                <w:lang w:val="en-US" w:eastAsia="it-IT"/>
              </w:rPr>
              <w:t>ISSN</w:t>
            </w:r>
            <w:r w:rsidRPr="00784686">
              <w:rPr>
                <w:rFonts w:ascii="Tahoma" w:hAnsi="Tahoma" w:cs="Tahoma"/>
                <w:iCs/>
                <w:color w:val="333333"/>
                <w:sz w:val="14"/>
                <w:szCs w:val="14"/>
                <w:lang w:val="en-US" w:eastAsia="it-IT"/>
              </w:rPr>
              <w:t xml:space="preserve"> 2283-9216</w:t>
            </w:r>
          </w:p>
        </w:tc>
      </w:tr>
    </w:tbl>
    <w:bookmarkEnd w:id="0"/>
    <w:p w14:paraId="2E667253" w14:textId="7964311B" w:rsidR="00E978D0" w:rsidRPr="00784686" w:rsidRDefault="00622A5B" w:rsidP="00E978D0">
      <w:pPr>
        <w:pStyle w:val="CETTitle"/>
        <w:rPr>
          <w:lang w:val="en-US"/>
        </w:rPr>
      </w:pPr>
      <w:r w:rsidRPr="00784686">
        <w:rPr>
          <w:lang w:val="en-US"/>
        </w:rPr>
        <w:t>Regional socioeconomic impacts of biofuel expansion in Brazil</w:t>
      </w:r>
    </w:p>
    <w:p w14:paraId="0488FED2" w14:textId="12187C3F" w:rsidR="00B57E6F" w:rsidRPr="003F7740" w:rsidRDefault="00FA35F3" w:rsidP="00927DC3">
      <w:pPr>
        <w:pStyle w:val="CETAuthors"/>
        <w:rPr>
          <w:lang w:val="en-US"/>
        </w:rPr>
      </w:pPr>
      <w:r w:rsidRPr="003F7740">
        <w:rPr>
          <w:lang w:val="en-US"/>
        </w:rPr>
        <w:t>Geraldo B. Martha Jr.</w:t>
      </w:r>
      <w:r w:rsidR="00B57E6F" w:rsidRPr="003F7740">
        <w:rPr>
          <w:vertAlign w:val="superscript"/>
          <w:lang w:val="en-US"/>
        </w:rPr>
        <w:t>a</w:t>
      </w:r>
      <w:r w:rsidR="00AD0CEE" w:rsidRPr="003F7740">
        <w:rPr>
          <w:vertAlign w:val="superscript"/>
          <w:lang w:val="en-US"/>
        </w:rPr>
        <w:t>,</w:t>
      </w:r>
      <w:r w:rsidR="00AD0CEE" w:rsidRPr="003F7740">
        <w:rPr>
          <w:lang w:val="en-US"/>
        </w:rPr>
        <w:t>*</w:t>
      </w:r>
      <w:r w:rsidR="00B57E6F" w:rsidRPr="003F7740">
        <w:rPr>
          <w:lang w:val="en-US"/>
        </w:rPr>
        <w:t xml:space="preserve">, </w:t>
      </w:r>
      <w:r w:rsidR="00AD0CEE" w:rsidRPr="003F7740">
        <w:rPr>
          <w:lang w:val="en-US"/>
        </w:rPr>
        <w:t>Marcos S. Nazareth</w:t>
      </w:r>
      <w:r w:rsidR="00B57E6F" w:rsidRPr="003F7740">
        <w:rPr>
          <w:vertAlign w:val="superscript"/>
          <w:lang w:val="en-US"/>
        </w:rPr>
        <w:t>b</w:t>
      </w:r>
      <w:r w:rsidR="00B57E6F" w:rsidRPr="003F7740">
        <w:rPr>
          <w:lang w:val="en-US"/>
        </w:rPr>
        <w:t xml:space="preserve">, </w:t>
      </w:r>
      <w:r w:rsidR="00715BE8" w:rsidRPr="003F7740">
        <w:rPr>
          <w:lang w:val="en-US"/>
        </w:rPr>
        <w:t>Cicero Z. Lima</w:t>
      </w:r>
      <w:r w:rsidR="00927DC3" w:rsidRPr="003F7740">
        <w:rPr>
          <w:vertAlign w:val="superscript"/>
          <w:lang w:val="en-US"/>
        </w:rPr>
        <w:t>c</w:t>
      </w:r>
      <w:r w:rsidR="00715BE8" w:rsidRPr="003F7740">
        <w:rPr>
          <w:lang w:val="en-US"/>
        </w:rPr>
        <w:t xml:space="preserve">, </w:t>
      </w:r>
      <w:r w:rsidR="00B73E3C" w:rsidRPr="003F7740">
        <w:rPr>
          <w:lang w:val="en-US"/>
        </w:rPr>
        <w:t>Rayan Wolf</w:t>
      </w:r>
      <w:r w:rsidR="00927DC3" w:rsidRPr="003F7740">
        <w:rPr>
          <w:vertAlign w:val="superscript"/>
          <w:lang w:val="en-US"/>
        </w:rPr>
        <w:t>d</w:t>
      </w:r>
      <w:r w:rsidR="00B73E3C" w:rsidRPr="003F7740">
        <w:rPr>
          <w:lang w:val="en-US"/>
        </w:rPr>
        <w:t xml:space="preserve">, </w:t>
      </w:r>
      <w:r w:rsidR="00F36981" w:rsidRPr="003F7740">
        <w:rPr>
          <w:lang w:val="en-US"/>
        </w:rPr>
        <w:t>Luciana A.S. Romani</w:t>
      </w:r>
      <w:r w:rsidR="00EE3A52" w:rsidRPr="003F7740">
        <w:rPr>
          <w:vertAlign w:val="superscript"/>
          <w:lang w:val="en-US"/>
        </w:rPr>
        <w:t>a</w:t>
      </w:r>
      <w:r w:rsidR="00F36981" w:rsidRPr="003F7740">
        <w:rPr>
          <w:lang w:val="en-US"/>
        </w:rPr>
        <w:t xml:space="preserve">, </w:t>
      </w:r>
      <w:r w:rsidR="00927DC3" w:rsidRPr="003F7740">
        <w:rPr>
          <w:lang w:val="en-US"/>
        </w:rPr>
        <w:t>Silvia M.F.S. Massruha</w:t>
      </w:r>
      <w:r w:rsidR="004B1E43" w:rsidRPr="003F7740">
        <w:rPr>
          <w:vertAlign w:val="superscript"/>
          <w:lang w:val="en-US"/>
        </w:rPr>
        <w:t>e</w:t>
      </w:r>
    </w:p>
    <w:p w14:paraId="6B2D21B3" w14:textId="719CF1A8" w:rsidR="00B57E6F" w:rsidRPr="004A3180" w:rsidRDefault="00B57E6F" w:rsidP="00B57E6F">
      <w:pPr>
        <w:pStyle w:val="CETAddress"/>
        <w:rPr>
          <w:lang w:val="pt-BR"/>
        </w:rPr>
      </w:pPr>
      <w:r w:rsidRPr="004A3180">
        <w:rPr>
          <w:vertAlign w:val="superscript"/>
          <w:lang w:val="pt-BR"/>
        </w:rPr>
        <w:t>a</w:t>
      </w:r>
      <w:r w:rsidR="000520C2" w:rsidRPr="004A3180">
        <w:rPr>
          <w:vertAlign w:val="superscript"/>
          <w:lang w:val="pt-BR"/>
        </w:rPr>
        <w:t xml:space="preserve"> </w:t>
      </w:r>
      <w:r w:rsidR="00D15872" w:rsidRPr="004A3180">
        <w:rPr>
          <w:lang w:val="pt-BR"/>
        </w:rPr>
        <w:t>Embrapa Digital Agriculture, Campinas, SP, Brazil.</w:t>
      </w:r>
      <w:r w:rsidRPr="004A3180">
        <w:rPr>
          <w:lang w:val="pt-BR"/>
        </w:rPr>
        <w:t xml:space="preserve"> </w:t>
      </w:r>
    </w:p>
    <w:p w14:paraId="5D67F541" w14:textId="4BCC29C2" w:rsidR="00567353" w:rsidRPr="004A3180" w:rsidRDefault="00B57E6F" w:rsidP="00B57E6F">
      <w:pPr>
        <w:pStyle w:val="CETAddress"/>
        <w:rPr>
          <w:lang w:val="pt-BR"/>
        </w:rPr>
      </w:pPr>
      <w:r w:rsidRPr="004A3180">
        <w:rPr>
          <w:vertAlign w:val="superscript"/>
          <w:lang w:val="pt-BR"/>
        </w:rPr>
        <w:t>b</w:t>
      </w:r>
      <w:r w:rsidR="000520C2" w:rsidRPr="004A3180">
        <w:rPr>
          <w:vertAlign w:val="superscript"/>
          <w:lang w:val="pt-BR"/>
        </w:rPr>
        <w:t xml:space="preserve"> </w:t>
      </w:r>
      <w:r w:rsidR="00567353" w:rsidRPr="004A3180">
        <w:rPr>
          <w:lang w:val="pt-BR"/>
        </w:rPr>
        <w:t>Centro Universitário de Viçosa, Viçosa, MG, Brazil.</w:t>
      </w:r>
    </w:p>
    <w:p w14:paraId="736613B3" w14:textId="69A58AD7" w:rsidR="00567353" w:rsidRPr="004A3180" w:rsidRDefault="000E2389" w:rsidP="00567353">
      <w:pPr>
        <w:pStyle w:val="CETAddress"/>
        <w:rPr>
          <w:lang w:val="pt-BR"/>
        </w:rPr>
      </w:pPr>
      <w:r w:rsidRPr="004A3180">
        <w:rPr>
          <w:vertAlign w:val="superscript"/>
          <w:lang w:val="pt-BR"/>
        </w:rPr>
        <w:t>c</w:t>
      </w:r>
      <w:r w:rsidR="000520C2" w:rsidRPr="004A3180">
        <w:rPr>
          <w:vertAlign w:val="superscript"/>
          <w:lang w:val="pt-BR"/>
        </w:rPr>
        <w:t xml:space="preserve"> </w:t>
      </w:r>
      <w:r w:rsidRPr="004A3180">
        <w:rPr>
          <w:lang w:val="pt-BR"/>
        </w:rPr>
        <w:t>Fundação Getúlio Vargas, Centro de Estudos do Agronegócio, São Paulo, SP, Brazil.</w:t>
      </w:r>
    </w:p>
    <w:p w14:paraId="06F410A2" w14:textId="55D2636F" w:rsidR="00567353" w:rsidRPr="00784686" w:rsidRDefault="000E2389" w:rsidP="00567353">
      <w:pPr>
        <w:pStyle w:val="CETAddress"/>
        <w:rPr>
          <w:lang w:val="en-US"/>
        </w:rPr>
      </w:pPr>
      <w:r w:rsidRPr="00784686">
        <w:rPr>
          <w:vertAlign w:val="superscript"/>
          <w:lang w:val="en-US"/>
        </w:rPr>
        <w:t>d</w:t>
      </w:r>
      <w:r w:rsidR="000520C2" w:rsidRPr="00784686">
        <w:rPr>
          <w:vertAlign w:val="superscript"/>
          <w:lang w:val="en-US"/>
        </w:rPr>
        <w:t xml:space="preserve"> </w:t>
      </w:r>
      <w:r w:rsidR="006345E6" w:rsidRPr="00784686">
        <w:rPr>
          <w:lang w:val="en-US"/>
        </w:rPr>
        <w:t>Purdue University, Agricultural Economics Department, West Lafayette, IN, United States of America.</w:t>
      </w:r>
    </w:p>
    <w:p w14:paraId="4936DD0C" w14:textId="08996D95" w:rsidR="00567353" w:rsidRPr="004A3180" w:rsidRDefault="004B1E43" w:rsidP="00567353">
      <w:pPr>
        <w:pStyle w:val="CETAddress"/>
        <w:rPr>
          <w:lang w:val="pt-BR"/>
        </w:rPr>
      </w:pPr>
      <w:r w:rsidRPr="004A3180">
        <w:rPr>
          <w:vertAlign w:val="superscript"/>
          <w:lang w:val="pt-BR"/>
        </w:rPr>
        <w:t>e</w:t>
      </w:r>
      <w:r w:rsidR="000520C2" w:rsidRPr="004A3180">
        <w:rPr>
          <w:vertAlign w:val="superscript"/>
          <w:lang w:val="pt-BR"/>
        </w:rPr>
        <w:t xml:space="preserve"> </w:t>
      </w:r>
      <w:r w:rsidR="00B52AE1" w:rsidRPr="004A3180">
        <w:rPr>
          <w:lang w:val="pt-BR"/>
        </w:rPr>
        <w:t>Embrapa Headquarters, Brasília, DF, Brazil.</w:t>
      </w:r>
    </w:p>
    <w:p w14:paraId="73F1267A" w14:textId="4B6419C2" w:rsidR="00B57E6F" w:rsidRPr="00784686" w:rsidRDefault="0061208C" w:rsidP="0061208C">
      <w:pPr>
        <w:pStyle w:val="CETAddress"/>
        <w:rPr>
          <w:lang w:val="en-US"/>
        </w:rPr>
      </w:pPr>
      <w:r w:rsidRPr="00784686">
        <w:rPr>
          <w:lang w:val="en-US"/>
        </w:rPr>
        <w:t>*</w:t>
      </w:r>
      <w:r w:rsidR="00FC2866" w:rsidRPr="00784686">
        <w:rPr>
          <w:vertAlign w:val="superscript"/>
          <w:lang w:val="en-US"/>
        </w:rPr>
        <w:t xml:space="preserve"> </w:t>
      </w:r>
      <w:r w:rsidR="00A774DB" w:rsidRPr="00784686">
        <w:rPr>
          <w:lang w:val="en-US"/>
        </w:rPr>
        <w:t>Corres</w:t>
      </w:r>
      <w:r w:rsidR="007933B4" w:rsidRPr="00784686">
        <w:rPr>
          <w:lang w:val="en-US"/>
        </w:rPr>
        <w:t xml:space="preserve">ponding author: </w:t>
      </w:r>
      <w:r w:rsidRPr="00784686">
        <w:rPr>
          <w:lang w:val="en-US"/>
        </w:rPr>
        <w:t>geraldo</w:t>
      </w:r>
      <w:r w:rsidR="00B57E6F" w:rsidRPr="00784686">
        <w:rPr>
          <w:lang w:val="en-US"/>
        </w:rPr>
        <w:t>.</w:t>
      </w:r>
      <w:r w:rsidRPr="00784686">
        <w:rPr>
          <w:lang w:val="en-US"/>
        </w:rPr>
        <w:t>martha</w:t>
      </w:r>
      <w:r w:rsidR="00B57E6F" w:rsidRPr="00784686">
        <w:rPr>
          <w:lang w:val="en-US"/>
        </w:rPr>
        <w:t>@</w:t>
      </w:r>
      <w:r w:rsidRPr="00784686">
        <w:rPr>
          <w:lang w:val="en-US"/>
        </w:rPr>
        <w:t>embrapa</w:t>
      </w:r>
      <w:r w:rsidR="00B57E6F" w:rsidRPr="00784686">
        <w:rPr>
          <w:lang w:val="en-US"/>
        </w:rPr>
        <w:t>.</w:t>
      </w:r>
      <w:r w:rsidRPr="00784686">
        <w:rPr>
          <w:lang w:val="en-US"/>
        </w:rPr>
        <w:t>br</w:t>
      </w:r>
    </w:p>
    <w:p w14:paraId="59D98F57" w14:textId="77777777" w:rsidR="00B8662B" w:rsidRPr="00784686" w:rsidRDefault="00B8662B" w:rsidP="00665C57">
      <w:pPr>
        <w:pStyle w:val="CETListbullets"/>
        <w:ind w:left="0" w:firstLine="0"/>
        <w:rPr>
          <w:lang w:val="en-US"/>
        </w:rPr>
      </w:pPr>
    </w:p>
    <w:p w14:paraId="5E1355DF" w14:textId="77777777" w:rsidR="00DD7F99" w:rsidRPr="00784686" w:rsidRDefault="00DD7F99" w:rsidP="00665C57">
      <w:pPr>
        <w:pStyle w:val="CETListbullets"/>
        <w:ind w:left="0" w:firstLine="0"/>
        <w:rPr>
          <w:lang w:val="en-US"/>
        </w:rPr>
      </w:pPr>
    </w:p>
    <w:p w14:paraId="1CD0ED6E" w14:textId="76CE3A8A" w:rsidR="00661547" w:rsidRDefault="0017749B" w:rsidP="00AF7E1A">
      <w:r w:rsidRPr="0017749B">
        <w:t xml:space="preserve">This study </w:t>
      </w:r>
      <w:r w:rsidR="003F2AA5">
        <w:t>employs</w:t>
      </w:r>
      <w:r w:rsidR="003F2AA5" w:rsidRPr="0017749B">
        <w:t xml:space="preserve"> </w:t>
      </w:r>
      <w:r w:rsidRPr="0017749B">
        <w:t>a</w:t>
      </w:r>
      <w:r w:rsidR="00D1246E">
        <w:t>n</w:t>
      </w:r>
      <w:r w:rsidRPr="0017749B">
        <w:t xml:space="preserve"> interregional input-output model to </w:t>
      </w:r>
      <w:r w:rsidR="00C33D53">
        <w:t>assess</w:t>
      </w:r>
      <w:r w:rsidR="00F14F7C">
        <w:t xml:space="preserve"> the</w:t>
      </w:r>
      <w:r w:rsidRPr="0017749B">
        <w:t xml:space="preserve"> regional and sectoral socioeconomic impacts </w:t>
      </w:r>
      <w:r w:rsidR="0035081C">
        <w:t>of</w:t>
      </w:r>
      <w:r w:rsidR="00D47FAE">
        <w:t xml:space="preserve"> a projected </w:t>
      </w:r>
      <w:r w:rsidR="00BF2DE5" w:rsidRPr="00BF2DE5">
        <w:t>39</w:t>
      </w:r>
      <w:r w:rsidR="00092F06">
        <w:t xml:space="preserve"> </w:t>
      </w:r>
      <w:r w:rsidR="00BF2DE5" w:rsidRPr="00BF2DE5">
        <w:t xml:space="preserve">% increase in biofuel demand </w:t>
      </w:r>
      <w:r w:rsidR="004908C8">
        <w:t xml:space="preserve">in Brazil </w:t>
      </w:r>
      <w:r w:rsidR="00E536A4">
        <w:t>over the next decade</w:t>
      </w:r>
      <w:r w:rsidR="00D345D1">
        <w:t xml:space="preserve">. </w:t>
      </w:r>
      <w:r w:rsidR="00D345D1" w:rsidRPr="00D345D1">
        <w:t>The analysis</w:t>
      </w:r>
      <w:r w:rsidR="00925100">
        <w:t xml:space="preserve"> also</w:t>
      </w:r>
      <w:r w:rsidR="00D345D1" w:rsidRPr="00D345D1">
        <w:t xml:space="preserve"> </w:t>
      </w:r>
      <w:r w:rsidR="00661547">
        <w:t>examines</w:t>
      </w:r>
      <w:r w:rsidR="00D345D1" w:rsidRPr="00D345D1">
        <w:t xml:space="preserve"> how digital transformation in agriculture may condition these impacts</w:t>
      </w:r>
      <w:r w:rsidR="00C807DC">
        <w:t xml:space="preserve"> </w:t>
      </w:r>
      <w:r w:rsidR="00135E21">
        <w:t>through</w:t>
      </w:r>
      <w:r w:rsidR="00D345D1" w:rsidRPr="00D345D1">
        <w:t xml:space="preserve"> </w:t>
      </w:r>
      <w:r w:rsidR="00EF31DC">
        <w:t xml:space="preserve">a sensitivity analysis </w:t>
      </w:r>
      <w:r w:rsidR="006573C3">
        <w:t>t</w:t>
      </w:r>
      <w:r w:rsidR="00135E21">
        <w:t>hat jointly</w:t>
      </w:r>
      <w:r w:rsidR="006573C3">
        <w:t xml:space="preserve"> </w:t>
      </w:r>
      <w:r w:rsidR="008D3E73">
        <w:t>evaluates</w:t>
      </w:r>
      <w:r w:rsidR="006573C3">
        <w:t xml:space="preserve"> </w:t>
      </w:r>
      <w:r w:rsidR="00EF1E73" w:rsidRPr="00EF1E73">
        <w:t xml:space="preserve">operational improvements and </w:t>
      </w:r>
      <w:r w:rsidR="008D3E73">
        <w:t xml:space="preserve">value-chain </w:t>
      </w:r>
      <w:r w:rsidR="00AE44B3">
        <w:t>efficiency gains.</w:t>
      </w:r>
      <w:r w:rsidR="003043A3">
        <w:t xml:space="preserve"> </w:t>
      </w:r>
      <w:r w:rsidR="005B3FF9" w:rsidRPr="005B3FF9">
        <w:t xml:space="preserve">In 2022, </w:t>
      </w:r>
      <w:r w:rsidR="00B70F90">
        <w:t>Brazil’s</w:t>
      </w:r>
      <w:r w:rsidR="005B3FF9" w:rsidRPr="005B3FF9">
        <w:t xml:space="preserve"> biofuel </w:t>
      </w:r>
      <w:r w:rsidR="00B32509">
        <w:t>manufacturing</w:t>
      </w:r>
      <w:r w:rsidR="00D94E6D">
        <w:t xml:space="preserve"> sector</w:t>
      </w:r>
      <w:r w:rsidR="005B3FF9" w:rsidRPr="005B3FF9">
        <w:t xml:space="preserve"> reached</w:t>
      </w:r>
      <w:r w:rsidR="00CF4FF7">
        <w:t xml:space="preserve"> a</w:t>
      </w:r>
      <w:r w:rsidR="005B3FF9" w:rsidRPr="005B3FF9">
        <w:t xml:space="preserve"> </w:t>
      </w:r>
      <w:r w:rsidR="00CF4FF7" w:rsidRPr="005B3FF9">
        <w:t xml:space="preserve">Gross Value of Output </w:t>
      </w:r>
      <w:r w:rsidR="00CF4FF7">
        <w:t xml:space="preserve">of </w:t>
      </w:r>
      <w:r w:rsidR="005B3FF9" w:rsidRPr="005B3FF9">
        <w:t>US</w:t>
      </w:r>
      <w:r w:rsidR="003C137E">
        <w:t xml:space="preserve">D </w:t>
      </w:r>
      <w:r w:rsidR="005B3FF9" w:rsidRPr="005B3FF9">
        <w:t>15.3 billion, with São Paulo (SP) and Mato Grosso (MT) accounting for 46</w:t>
      </w:r>
      <w:r w:rsidR="00202FDD">
        <w:t xml:space="preserve"> </w:t>
      </w:r>
      <w:r w:rsidR="005B3FF9" w:rsidRPr="005B3FF9">
        <w:t xml:space="preserve">% of </w:t>
      </w:r>
      <w:r w:rsidR="002D1C02">
        <w:t xml:space="preserve">the </w:t>
      </w:r>
      <w:r w:rsidR="005B3FF9" w:rsidRPr="005B3FF9">
        <w:t>total. Approximately 70</w:t>
      </w:r>
      <w:r w:rsidR="00202FDD">
        <w:t xml:space="preserve"> </w:t>
      </w:r>
      <w:r w:rsidR="005B3FF9" w:rsidRPr="005B3FF9">
        <w:t xml:space="preserve">% of production inputs </w:t>
      </w:r>
      <w:r w:rsidR="00202FDD">
        <w:t>we</w:t>
      </w:r>
      <w:r w:rsidR="005B3FF9" w:rsidRPr="005B3FF9">
        <w:t xml:space="preserve">re sourced within these states, underscoring the sector’s role in supporting local supply chains and regional employment. </w:t>
      </w:r>
      <w:r w:rsidR="00700944">
        <w:t>The projected expansion in biofuel</w:t>
      </w:r>
      <w:r w:rsidR="00F710CE">
        <w:t xml:space="preserve"> demand</w:t>
      </w:r>
      <w:r w:rsidR="005B3FF9" w:rsidRPr="005B3FF9">
        <w:t xml:space="preserve"> indicate</w:t>
      </w:r>
      <w:r w:rsidR="00F710CE">
        <w:t>s</w:t>
      </w:r>
      <w:r w:rsidR="005B3FF9" w:rsidRPr="005B3FF9">
        <w:t xml:space="preserve"> increases of US</w:t>
      </w:r>
      <w:r w:rsidR="003C137E">
        <w:t xml:space="preserve">D </w:t>
      </w:r>
      <w:r w:rsidR="005B3FF9" w:rsidRPr="005B3FF9">
        <w:t>13.79 billion in national output, US</w:t>
      </w:r>
      <w:r w:rsidR="003C137E">
        <w:t xml:space="preserve">D </w:t>
      </w:r>
      <w:r w:rsidR="005B3FF9" w:rsidRPr="005B3FF9">
        <w:t>4.32 billion in value added, US</w:t>
      </w:r>
      <w:r w:rsidR="003C137E">
        <w:t xml:space="preserve">D </w:t>
      </w:r>
      <w:r w:rsidR="005B3FF9" w:rsidRPr="005B3FF9">
        <w:t xml:space="preserve">1.98 billion in wages, and 165 thousand jobs. </w:t>
      </w:r>
      <w:r w:rsidR="00D03CA7">
        <w:t xml:space="preserve">SP </w:t>
      </w:r>
      <w:r w:rsidR="005B3FF9" w:rsidRPr="005B3FF9">
        <w:t xml:space="preserve">exhibits stronger indirect effects due to dense intersectoral linkages, while </w:t>
      </w:r>
      <w:r w:rsidR="00D03CA7">
        <w:t>MT</w:t>
      </w:r>
      <w:r w:rsidR="005B3FF9" w:rsidRPr="005B3FF9">
        <w:t xml:space="preserve"> shows weaker multiplier transmission despite rapid corn-ethanol expansion.</w:t>
      </w:r>
      <w:r w:rsidR="00574473">
        <w:t xml:space="preserve"> </w:t>
      </w:r>
      <w:r w:rsidR="00574473" w:rsidRPr="00574473">
        <w:t xml:space="preserve">Digital transformation has the potential to reshape multiplier effects, modify resource allocation, and stimulate broader economic benefits. </w:t>
      </w:r>
      <w:r w:rsidR="005A09D5" w:rsidRPr="005A09D5">
        <w:t xml:space="preserve">Under an optimistic scenario, </w:t>
      </w:r>
      <w:r w:rsidR="00AF7E1A">
        <w:t xml:space="preserve">Brazil’s </w:t>
      </w:r>
      <w:r w:rsidR="005A09D5" w:rsidRPr="005A09D5">
        <w:t>aggregate intermediate consumption increase</w:t>
      </w:r>
      <w:r w:rsidR="0081292E">
        <w:t>s</w:t>
      </w:r>
      <w:r w:rsidR="005A09D5" w:rsidRPr="005A09D5">
        <w:t xml:space="preserve"> by</w:t>
      </w:r>
      <w:r w:rsidR="00574473" w:rsidRPr="00574473">
        <w:t xml:space="preserve"> 3.38 % (equivalent to US</w:t>
      </w:r>
      <w:r w:rsidR="00112EFE">
        <w:t>D</w:t>
      </w:r>
      <w:r w:rsidR="00574473" w:rsidRPr="00574473">
        <w:t xml:space="preserve"> 50 </w:t>
      </w:r>
      <w:r w:rsidR="00112EFE">
        <w:t>billion</w:t>
      </w:r>
      <w:r w:rsidR="00574473" w:rsidRPr="00574473">
        <w:t>), with the</w:t>
      </w:r>
      <w:r w:rsidR="000A2CD0">
        <w:t xml:space="preserve"> </w:t>
      </w:r>
      <w:r w:rsidR="00574473" w:rsidRPr="00574473">
        <w:t xml:space="preserve">biofuel </w:t>
      </w:r>
      <w:r w:rsidR="00784893">
        <w:t>manufacturing</w:t>
      </w:r>
      <w:r w:rsidR="00784893" w:rsidRPr="00574473">
        <w:t xml:space="preserve"> </w:t>
      </w:r>
      <w:r w:rsidR="00574473" w:rsidRPr="00574473">
        <w:t>sector expected to capture US</w:t>
      </w:r>
      <w:r w:rsidR="00632C3D">
        <w:t>D</w:t>
      </w:r>
      <w:r w:rsidR="00574473" w:rsidRPr="00574473">
        <w:t xml:space="preserve"> 438 </w:t>
      </w:r>
      <w:r w:rsidR="00632C3D">
        <w:t>million</w:t>
      </w:r>
      <w:r w:rsidR="00574473" w:rsidRPr="00574473">
        <w:t xml:space="preserve"> of th</w:t>
      </w:r>
      <w:r w:rsidR="00BB06C0">
        <w:t>is</w:t>
      </w:r>
      <w:r w:rsidR="00574473" w:rsidRPr="00574473">
        <w:t xml:space="preserve"> growth. </w:t>
      </w:r>
      <w:r w:rsidR="00E40211" w:rsidRPr="00E40211">
        <w:t>Th</w:t>
      </w:r>
      <w:r w:rsidR="00721A72">
        <w:t>is</w:t>
      </w:r>
      <w:r w:rsidR="00E40211" w:rsidRPr="00E40211">
        <w:t xml:space="preserve"> sector benefits from efficiency gains associated with digital transformation in agriculture, particularly when a coordinated value-chain approach is adopted</w:t>
      </w:r>
      <w:r w:rsidR="00560767">
        <w:t>.</w:t>
      </w:r>
    </w:p>
    <w:p w14:paraId="476B2F2E" w14:textId="77777777" w:rsidR="00600535" w:rsidRPr="00784686" w:rsidRDefault="00600535" w:rsidP="00600535">
      <w:pPr>
        <w:pStyle w:val="CETHeading1"/>
      </w:pPr>
      <w:r w:rsidRPr="00784686">
        <w:t>Introduction</w:t>
      </w:r>
    </w:p>
    <w:p w14:paraId="4E2B3180" w14:textId="2ADD7086" w:rsidR="00BC7485" w:rsidRDefault="00EA0DD2" w:rsidP="00F923DF">
      <w:pPr>
        <w:pStyle w:val="CETBodytext"/>
        <w:rPr>
          <w:rFonts w:cs="Arial"/>
        </w:rPr>
      </w:pPr>
      <w:r w:rsidRPr="00DE1D02">
        <w:rPr>
          <w:rFonts w:cs="Arial"/>
        </w:rPr>
        <w:t>Brazil experienc</w:t>
      </w:r>
      <w:r w:rsidR="009828C7">
        <w:rPr>
          <w:rFonts w:cs="Arial"/>
        </w:rPr>
        <w:t>ed</w:t>
      </w:r>
      <w:r w:rsidRPr="00DE1D02">
        <w:rPr>
          <w:rFonts w:cs="Arial"/>
        </w:rPr>
        <w:t xml:space="preserve"> </w:t>
      </w:r>
      <w:r w:rsidR="00430404" w:rsidRPr="00DE1D02">
        <w:rPr>
          <w:rFonts w:cs="Arial"/>
        </w:rPr>
        <w:t>the</w:t>
      </w:r>
      <w:r w:rsidR="009828C7">
        <w:rPr>
          <w:rFonts w:cs="Arial"/>
        </w:rPr>
        <w:t xml:space="preserve"> so-called</w:t>
      </w:r>
      <w:r w:rsidR="00430404" w:rsidRPr="00DE1D02">
        <w:rPr>
          <w:rFonts w:cs="Arial"/>
        </w:rPr>
        <w:t xml:space="preserve"> </w:t>
      </w:r>
      <w:r w:rsidR="00FE7802" w:rsidRPr="00DE1D02">
        <w:rPr>
          <w:rFonts w:cs="Arial"/>
        </w:rPr>
        <w:t>“</w:t>
      </w:r>
      <w:r w:rsidR="00430404" w:rsidRPr="00DE1D02">
        <w:rPr>
          <w:rFonts w:cs="Arial"/>
        </w:rPr>
        <w:t>economic miracle”</w:t>
      </w:r>
      <w:r w:rsidR="00367177">
        <w:rPr>
          <w:rFonts w:cs="Arial"/>
        </w:rPr>
        <w:t xml:space="preserve"> in the 1970s</w:t>
      </w:r>
      <w:r w:rsidR="00430404" w:rsidRPr="00DE1D02">
        <w:rPr>
          <w:rFonts w:cs="Arial"/>
        </w:rPr>
        <w:t xml:space="preserve">, </w:t>
      </w:r>
      <w:r w:rsidR="00FE7802" w:rsidRPr="00DE1D02">
        <w:rPr>
          <w:rFonts w:cs="Arial"/>
        </w:rPr>
        <w:t xml:space="preserve">with </w:t>
      </w:r>
      <w:r w:rsidR="0047397F" w:rsidRPr="00DE1D02">
        <w:rPr>
          <w:rFonts w:cs="Arial"/>
        </w:rPr>
        <w:t xml:space="preserve">average </w:t>
      </w:r>
      <w:r w:rsidR="00542E15" w:rsidRPr="00DE1D02">
        <w:rPr>
          <w:rFonts w:cs="Arial"/>
        </w:rPr>
        <w:t>gross domestic product (GDP)</w:t>
      </w:r>
      <w:r w:rsidRPr="00DE1D02">
        <w:rPr>
          <w:rFonts w:cs="Arial"/>
        </w:rPr>
        <w:t xml:space="preserve"> growth rates</w:t>
      </w:r>
      <w:r w:rsidR="00663AC5" w:rsidRPr="00DE1D02">
        <w:rPr>
          <w:rFonts w:cs="Arial"/>
        </w:rPr>
        <w:t xml:space="preserve"> </w:t>
      </w:r>
      <w:r w:rsidRPr="00DE1D02">
        <w:rPr>
          <w:rFonts w:cs="Arial"/>
        </w:rPr>
        <w:t>around 10</w:t>
      </w:r>
      <w:r w:rsidR="00C13B1E">
        <w:rPr>
          <w:rFonts w:cs="Arial"/>
        </w:rPr>
        <w:t xml:space="preserve"> </w:t>
      </w:r>
      <w:r w:rsidRPr="00DE1D02">
        <w:rPr>
          <w:rFonts w:cs="Arial"/>
        </w:rPr>
        <w:t>% per year</w:t>
      </w:r>
      <w:r w:rsidR="00663AC5" w:rsidRPr="00DE1D02">
        <w:rPr>
          <w:rFonts w:cs="Arial"/>
        </w:rPr>
        <w:t xml:space="preserve">. At that time, the country </w:t>
      </w:r>
      <w:r w:rsidR="00CB7471" w:rsidRPr="00DE1D02">
        <w:rPr>
          <w:rFonts w:cs="Arial"/>
        </w:rPr>
        <w:t xml:space="preserve">relied </w:t>
      </w:r>
      <w:r w:rsidR="009423D8" w:rsidRPr="00DE1D02">
        <w:rPr>
          <w:rFonts w:cs="Arial"/>
        </w:rPr>
        <w:t xml:space="preserve">on </w:t>
      </w:r>
      <w:r w:rsidRPr="00DE1D02">
        <w:rPr>
          <w:rFonts w:cs="Arial"/>
        </w:rPr>
        <w:t xml:space="preserve">imports for </w:t>
      </w:r>
      <w:r w:rsidR="00CB7471" w:rsidRPr="00DE1D02">
        <w:rPr>
          <w:rFonts w:cs="Arial"/>
        </w:rPr>
        <w:t xml:space="preserve">more than </w:t>
      </w:r>
      <w:r w:rsidRPr="00DE1D02">
        <w:rPr>
          <w:rFonts w:cs="Arial"/>
        </w:rPr>
        <w:t>80</w:t>
      </w:r>
      <w:r w:rsidR="00803FEB">
        <w:rPr>
          <w:rFonts w:cs="Arial"/>
        </w:rPr>
        <w:t xml:space="preserve"> </w:t>
      </w:r>
      <w:r w:rsidRPr="00DE1D02">
        <w:rPr>
          <w:rFonts w:cs="Arial"/>
        </w:rPr>
        <w:t xml:space="preserve">% of its oil consumption </w:t>
      </w:r>
      <w:r w:rsidRPr="00DE1D02">
        <w:rPr>
          <w:rFonts w:cs="Arial"/>
        </w:rPr>
        <w:fldChar w:fldCharType="begin"/>
      </w:r>
      <w:r w:rsidR="00182C1F">
        <w:rPr>
          <w:rFonts w:cs="Arial"/>
        </w:rPr>
        <w:instrText xml:space="preserve"> ADDIN ZOTERO_ITEM CSL_CITATION {"citationID":"MyXG0XPe","properties":{"formattedCitation":"(Baer, 2008; Cortez and Rosillo-Calle, 2023)","plainCitation":"(Baer, 2008; Cortez and Rosillo-Calle, 2023)","noteIndex":0},"citationItems":[{"id":386,"uris":["http://zotero.org/users/9333001/items/IF5EE4DE"],"itemData":{"id":386,"type":"book","call-number":"HC187 .B147 2008","note":"OCLC: ocm85783361","publisher":"Lynne Rienner Publishers","publisher-place":"Boulder, CO","source":"Library of Congress ISBN","title":"The Brazilian economy: growth and development","title-short":"The Brazilian economy","author":[{"family":"Baer","given":"Werner"}],"issued":{"date-parts":[["2008"]]}}},{"id":1381,"uris":["http://zotero.org/users/9333001/items/E4UA5E8E"],"itemData":{"id":1381,"type":"book","abstract":"The current upheaval in the energy sector, and the consequent potential implication for biofuels, have led the authors to write this book. The prime focus is Brazil whose historical experience has been, and continue to be, a source of inspiration worldwide. \nThe book is aimed at a wide readership. It examines the key historical development of biofuels in Brazil, current and future. The book investigates these key developments in detail. \nThe reader interested in biofuels and their wider implications, will be enriched by this unique experience. In a world where fossil fuels will, eventually, be phased out, biofuels represent a viable partial alternative in many countries. Biofuels represent a world of possibilities\n.","ISBN":"978-65-5506-746-0","language":"inglês","number-of-pages":"184","publisher":"Editora Edgard Blucher","publisher-place":"São Paulo, SP","source":"Câmara Brasileira do Livro ISBN","title":"The future role of biofuels in the new energy transition: Lessons and perspectives of biofuels in Brazil","title-short":"The future role of biofuels in the new energy transition","author":[{"family":"Cortez","given":"Luís Augusto Barbosa"},{"family":"Rosillo-Calle","given":"Frank"}],"issued":{"date-parts":[["2023",8,4]]}}}],"schema":"https://github.com/citation-style-language/schema/raw/master/csl-citation.json"} </w:instrText>
      </w:r>
      <w:r w:rsidRPr="00DE1D02">
        <w:rPr>
          <w:rFonts w:cs="Arial"/>
        </w:rPr>
        <w:fldChar w:fldCharType="separate"/>
      </w:r>
      <w:r w:rsidR="000F5C11" w:rsidRPr="00DE1D02">
        <w:rPr>
          <w:rFonts w:cs="Arial"/>
        </w:rPr>
        <w:t>(Baer, 2008; Cortez and Rosillo-Calle, 2023)</w:t>
      </w:r>
      <w:r w:rsidRPr="00DE1D02">
        <w:rPr>
          <w:rFonts w:cs="Arial"/>
        </w:rPr>
        <w:fldChar w:fldCharType="end"/>
      </w:r>
      <w:r w:rsidR="001C172D">
        <w:rPr>
          <w:rFonts w:cs="Arial"/>
        </w:rPr>
        <w:t xml:space="preserve"> and, therefore, was </w:t>
      </w:r>
      <w:r w:rsidR="002950A7">
        <w:rPr>
          <w:rFonts w:cs="Arial"/>
        </w:rPr>
        <w:t>severely affected by t</w:t>
      </w:r>
      <w:r w:rsidR="00EB3A36" w:rsidRPr="00DE1D02">
        <w:rPr>
          <w:rFonts w:cs="Arial"/>
        </w:rPr>
        <w:t>he</w:t>
      </w:r>
      <w:r w:rsidR="00ED3D46">
        <w:rPr>
          <w:rFonts w:cs="Arial"/>
        </w:rPr>
        <w:t xml:space="preserve"> </w:t>
      </w:r>
      <w:r w:rsidR="00EB3A36" w:rsidRPr="00DE1D02">
        <w:rPr>
          <w:rFonts w:cs="Arial"/>
        </w:rPr>
        <w:t xml:space="preserve">oil </w:t>
      </w:r>
      <w:r w:rsidR="0016518F" w:rsidRPr="00DE1D02">
        <w:rPr>
          <w:rFonts w:cs="Arial"/>
        </w:rPr>
        <w:t>crises</w:t>
      </w:r>
      <w:r w:rsidR="007A5AD7">
        <w:rPr>
          <w:rFonts w:cs="Arial"/>
        </w:rPr>
        <w:t xml:space="preserve"> in 197</w:t>
      </w:r>
      <w:r w:rsidR="006649E6">
        <w:rPr>
          <w:rFonts w:cs="Arial"/>
        </w:rPr>
        <w:t xml:space="preserve">3 and </w:t>
      </w:r>
      <w:r w:rsidR="00F215C2">
        <w:rPr>
          <w:rFonts w:cs="Arial"/>
        </w:rPr>
        <w:t xml:space="preserve">in </w:t>
      </w:r>
      <w:r w:rsidR="006649E6">
        <w:rPr>
          <w:rFonts w:cs="Arial"/>
        </w:rPr>
        <w:t>1979</w:t>
      </w:r>
      <w:r w:rsidR="00ED3D46">
        <w:rPr>
          <w:rFonts w:cs="Arial"/>
        </w:rPr>
        <w:t xml:space="preserve"> </w:t>
      </w:r>
      <w:r w:rsidR="002950A7">
        <w:rPr>
          <w:rFonts w:cs="Arial"/>
        </w:rPr>
        <w:t xml:space="preserve">that </w:t>
      </w:r>
      <w:r w:rsidR="00141459" w:rsidRPr="00DE1D02">
        <w:rPr>
          <w:rFonts w:cs="Arial"/>
        </w:rPr>
        <w:t>triggered</w:t>
      </w:r>
      <w:r w:rsidR="00011EC2" w:rsidRPr="00DE1D02">
        <w:rPr>
          <w:rFonts w:cs="Arial"/>
        </w:rPr>
        <w:t xml:space="preserve"> chaos in energy markets.</w:t>
      </w:r>
      <w:r w:rsidR="00096793" w:rsidRPr="00DE1D02">
        <w:rPr>
          <w:rFonts w:cs="Arial"/>
        </w:rPr>
        <w:t xml:space="preserve"> </w:t>
      </w:r>
      <w:r w:rsidR="00141459" w:rsidRPr="00DE1D02">
        <w:rPr>
          <w:rFonts w:cs="Arial"/>
        </w:rPr>
        <w:t>Following</w:t>
      </w:r>
      <w:r w:rsidR="00C56523" w:rsidRPr="00DE1D02">
        <w:rPr>
          <w:rFonts w:cs="Arial"/>
        </w:rPr>
        <w:t xml:space="preserve"> </w:t>
      </w:r>
      <w:r w:rsidR="00141459" w:rsidRPr="00DE1D02">
        <w:rPr>
          <w:rFonts w:cs="Arial"/>
        </w:rPr>
        <w:t>the first shock</w:t>
      </w:r>
      <w:r w:rsidR="006649E6">
        <w:rPr>
          <w:rFonts w:cs="Arial"/>
        </w:rPr>
        <w:t>,</w:t>
      </w:r>
      <w:r w:rsidR="00536AF5">
        <w:rPr>
          <w:rFonts w:cs="Arial"/>
        </w:rPr>
        <w:t xml:space="preserve"> </w:t>
      </w:r>
      <w:r w:rsidR="00141459" w:rsidRPr="00DE1D02">
        <w:rPr>
          <w:rFonts w:cs="Arial"/>
        </w:rPr>
        <w:t>oil pr</w:t>
      </w:r>
      <w:r w:rsidR="00C56523" w:rsidRPr="00DE1D02">
        <w:rPr>
          <w:rFonts w:cs="Arial"/>
        </w:rPr>
        <w:t>i</w:t>
      </w:r>
      <w:r w:rsidR="00141459" w:rsidRPr="00DE1D02">
        <w:rPr>
          <w:rFonts w:cs="Arial"/>
        </w:rPr>
        <w:t xml:space="preserve">ces </w:t>
      </w:r>
      <w:r w:rsidR="00C56523" w:rsidRPr="00DE1D02">
        <w:rPr>
          <w:rFonts w:cs="Arial"/>
        </w:rPr>
        <w:t xml:space="preserve">quadrupled, but </w:t>
      </w:r>
      <w:r w:rsidR="003F3A31" w:rsidRPr="00DE1D02">
        <w:rPr>
          <w:rFonts w:cs="Arial"/>
        </w:rPr>
        <w:t xml:space="preserve">the </w:t>
      </w:r>
      <w:r w:rsidR="00F40D9C" w:rsidRPr="00DE1D02">
        <w:rPr>
          <w:rFonts w:cs="Arial"/>
        </w:rPr>
        <w:t>Brazil</w:t>
      </w:r>
      <w:r w:rsidR="003F3A31" w:rsidRPr="00DE1D02">
        <w:rPr>
          <w:rFonts w:cs="Arial"/>
        </w:rPr>
        <w:t>ian</w:t>
      </w:r>
      <w:r w:rsidR="00AF6B1F" w:rsidRPr="00DE1D02">
        <w:rPr>
          <w:rFonts w:cs="Arial"/>
        </w:rPr>
        <w:t xml:space="preserve"> </w:t>
      </w:r>
      <w:r w:rsidR="008A70C9" w:rsidRPr="00DE1D02">
        <w:rPr>
          <w:rFonts w:cs="Arial"/>
        </w:rPr>
        <w:t xml:space="preserve">Government </w:t>
      </w:r>
      <w:r w:rsidR="00DE52B4" w:rsidRPr="00DE1D02">
        <w:rPr>
          <w:rFonts w:cs="Arial"/>
        </w:rPr>
        <w:t>chose to</w:t>
      </w:r>
      <w:r w:rsidR="009E3A04" w:rsidRPr="00DE1D02">
        <w:rPr>
          <w:rFonts w:cs="Arial"/>
        </w:rPr>
        <w:t xml:space="preserve"> </w:t>
      </w:r>
      <w:r w:rsidR="00860661" w:rsidRPr="00DE1D02">
        <w:rPr>
          <w:rFonts w:cs="Arial"/>
        </w:rPr>
        <w:t>sustain</w:t>
      </w:r>
      <w:r w:rsidR="009E3A04" w:rsidRPr="00DE1D02">
        <w:rPr>
          <w:rFonts w:cs="Arial"/>
        </w:rPr>
        <w:t xml:space="preserve"> </w:t>
      </w:r>
      <w:r w:rsidR="000570A4" w:rsidRPr="00DE1D02">
        <w:rPr>
          <w:rFonts w:cs="Arial"/>
        </w:rPr>
        <w:t>high economic growth rates</w:t>
      </w:r>
      <w:r w:rsidR="00AF6B1F" w:rsidRPr="00DE1D02">
        <w:rPr>
          <w:rFonts w:cs="Arial"/>
        </w:rPr>
        <w:t>,</w:t>
      </w:r>
      <w:r w:rsidR="00251A46" w:rsidRPr="00DE1D02">
        <w:rPr>
          <w:rFonts w:cs="Arial"/>
        </w:rPr>
        <w:t xml:space="preserve"> which eventually</w:t>
      </w:r>
      <w:r w:rsidR="00AF6B1F" w:rsidRPr="00DE1D02">
        <w:rPr>
          <w:rFonts w:cs="Arial"/>
        </w:rPr>
        <w:t xml:space="preserve"> </w:t>
      </w:r>
      <w:r w:rsidR="00BA6E21" w:rsidRPr="00DE1D02">
        <w:rPr>
          <w:rFonts w:cs="Arial"/>
        </w:rPr>
        <w:t xml:space="preserve">led to </w:t>
      </w:r>
      <w:r w:rsidR="00F40D9C" w:rsidRPr="00DE1D02">
        <w:rPr>
          <w:rFonts w:cs="Arial"/>
        </w:rPr>
        <w:t xml:space="preserve">a severe </w:t>
      </w:r>
      <w:r w:rsidR="00BA6E21" w:rsidRPr="00DE1D02">
        <w:rPr>
          <w:rFonts w:cs="Arial"/>
        </w:rPr>
        <w:t xml:space="preserve">decline in </w:t>
      </w:r>
      <w:r w:rsidR="00804053" w:rsidRPr="00DE1D02">
        <w:rPr>
          <w:rFonts w:cs="Arial"/>
        </w:rPr>
        <w:t xml:space="preserve">the country’s </w:t>
      </w:r>
      <w:r w:rsidR="00BA6E21" w:rsidRPr="00DE1D02">
        <w:rPr>
          <w:rFonts w:cs="Arial"/>
        </w:rPr>
        <w:t xml:space="preserve">foreign </w:t>
      </w:r>
      <w:r w:rsidR="005939EB" w:rsidRPr="00DE1D02">
        <w:rPr>
          <w:rFonts w:cs="Arial"/>
        </w:rPr>
        <w:t>exchange</w:t>
      </w:r>
      <w:r w:rsidR="00BA6E21" w:rsidRPr="00DE1D02">
        <w:rPr>
          <w:rFonts w:cs="Arial"/>
        </w:rPr>
        <w:t xml:space="preserve"> reserves and </w:t>
      </w:r>
      <w:r w:rsidR="00F40D9C" w:rsidRPr="00DE1D02">
        <w:rPr>
          <w:rFonts w:cs="Arial"/>
        </w:rPr>
        <w:t>a</w:t>
      </w:r>
      <w:r w:rsidR="005939EB" w:rsidRPr="00DE1D02">
        <w:rPr>
          <w:rFonts w:cs="Arial"/>
        </w:rPr>
        <w:t xml:space="preserve"> substantial increase in the foreign debt </w:t>
      </w:r>
      <w:r w:rsidR="005939EB" w:rsidRPr="00DE1D02">
        <w:rPr>
          <w:rFonts w:cs="Arial"/>
        </w:rPr>
        <w:fldChar w:fldCharType="begin"/>
      </w:r>
      <w:r w:rsidR="00182C1F">
        <w:rPr>
          <w:rFonts w:cs="Arial"/>
        </w:rPr>
        <w:instrText xml:space="preserve"> ADDIN ZOTERO_ITEM CSL_CITATION {"citationID":"f1HFbihd","properties":{"formattedCitation":"(Baer, 2008)","plainCitation":"(Baer, 2008)","noteIndex":0},"citationItems":[{"id":386,"uris":["http://zotero.org/users/9333001/items/IF5EE4DE"],"itemData":{"id":386,"type":"book","call-number":"HC187 .B147 2008","note":"OCLC: ocm85783361","publisher":"Lynne Rienner Publishers","publisher-place":"Boulder, CO","source":"Library of Congress ISBN","title":"The Brazilian economy: growth and development","title-short":"The Brazilian economy","author":[{"family":"Baer","given":"Werner"}],"issued":{"date-parts":[["2008"]]}}}],"schema":"https://github.com/citation-style-language/schema/raw/master/csl-citation.json"} </w:instrText>
      </w:r>
      <w:r w:rsidR="005939EB" w:rsidRPr="00DE1D02">
        <w:rPr>
          <w:rFonts w:cs="Arial"/>
        </w:rPr>
        <w:fldChar w:fldCharType="separate"/>
      </w:r>
      <w:r w:rsidR="005939EB" w:rsidRPr="00DE1D02">
        <w:rPr>
          <w:rFonts w:cs="Arial"/>
        </w:rPr>
        <w:t>(Baer, 2008)</w:t>
      </w:r>
      <w:r w:rsidR="005939EB" w:rsidRPr="00DE1D02">
        <w:rPr>
          <w:rFonts w:cs="Arial"/>
        </w:rPr>
        <w:fldChar w:fldCharType="end"/>
      </w:r>
      <w:r w:rsidR="005939EB" w:rsidRPr="00DE1D02">
        <w:rPr>
          <w:rFonts w:cs="Arial"/>
        </w:rPr>
        <w:t>.</w:t>
      </w:r>
      <w:r w:rsidR="008807A6" w:rsidRPr="00DE1D02">
        <w:rPr>
          <w:rFonts w:cs="Arial"/>
        </w:rPr>
        <w:t xml:space="preserve"> </w:t>
      </w:r>
      <w:r w:rsidR="007E3FF4">
        <w:rPr>
          <w:rFonts w:cs="Arial"/>
        </w:rPr>
        <w:t>At the same time, t</w:t>
      </w:r>
      <w:r w:rsidR="009025F9">
        <w:rPr>
          <w:rFonts w:cs="Arial"/>
        </w:rPr>
        <w:t>his</w:t>
      </w:r>
      <w:r w:rsidR="005D3AC7">
        <w:rPr>
          <w:rFonts w:cs="Arial"/>
        </w:rPr>
        <w:t xml:space="preserve"> challenging</w:t>
      </w:r>
      <w:r w:rsidR="008807A6" w:rsidRPr="00DE1D02">
        <w:rPr>
          <w:rFonts w:cs="Arial"/>
        </w:rPr>
        <w:t xml:space="preserve"> context </w:t>
      </w:r>
      <w:r w:rsidR="00A04817" w:rsidRPr="00DE1D02">
        <w:rPr>
          <w:rFonts w:cs="Arial"/>
        </w:rPr>
        <w:t>provided</w:t>
      </w:r>
      <w:r w:rsidR="008807A6" w:rsidRPr="00DE1D02">
        <w:rPr>
          <w:rFonts w:cs="Arial"/>
        </w:rPr>
        <w:t xml:space="preserve"> incentive</w:t>
      </w:r>
      <w:r w:rsidR="00DE7653" w:rsidRPr="00DE1D02">
        <w:rPr>
          <w:rFonts w:cs="Arial"/>
        </w:rPr>
        <w:t>s</w:t>
      </w:r>
      <w:r w:rsidR="008807A6" w:rsidRPr="00DE1D02">
        <w:rPr>
          <w:rFonts w:cs="Arial"/>
        </w:rPr>
        <w:t xml:space="preserve"> </w:t>
      </w:r>
      <w:r w:rsidR="004F652F" w:rsidRPr="00DE1D02">
        <w:rPr>
          <w:rFonts w:cs="Arial"/>
        </w:rPr>
        <w:t>for</w:t>
      </w:r>
      <w:r w:rsidR="008807A6" w:rsidRPr="00DE1D02">
        <w:rPr>
          <w:rFonts w:cs="Arial"/>
        </w:rPr>
        <w:t xml:space="preserve"> the development of </w:t>
      </w:r>
      <w:r w:rsidR="00F3212A" w:rsidRPr="00DE1D02">
        <w:rPr>
          <w:rFonts w:cs="Arial"/>
        </w:rPr>
        <w:t xml:space="preserve">energy diversification </w:t>
      </w:r>
      <w:r w:rsidR="00332634" w:rsidRPr="00DE1D02">
        <w:rPr>
          <w:rFonts w:cs="Arial"/>
        </w:rPr>
        <w:t>projects</w:t>
      </w:r>
      <w:r w:rsidR="00F3212A" w:rsidRPr="00DE1D02">
        <w:rPr>
          <w:rFonts w:cs="Arial"/>
        </w:rPr>
        <w:t xml:space="preserve">, such as the </w:t>
      </w:r>
      <w:r w:rsidR="00924883" w:rsidRPr="00DE1D02">
        <w:rPr>
          <w:rFonts w:cs="Arial"/>
        </w:rPr>
        <w:t>implementation of Proalcool</w:t>
      </w:r>
      <w:r w:rsidR="00696C44">
        <w:rPr>
          <w:rFonts w:cs="Arial"/>
        </w:rPr>
        <w:t xml:space="preserve"> (</w:t>
      </w:r>
      <w:r w:rsidR="00BB2B0F" w:rsidRPr="00DE1D02">
        <w:rPr>
          <w:rFonts w:cs="Arial"/>
        </w:rPr>
        <w:t>Brazil’s</w:t>
      </w:r>
      <w:r w:rsidR="00924883" w:rsidRPr="00DE1D02">
        <w:rPr>
          <w:rFonts w:cs="Arial"/>
        </w:rPr>
        <w:t xml:space="preserve"> </w:t>
      </w:r>
      <w:r w:rsidR="009423D8" w:rsidRPr="00DE1D02">
        <w:rPr>
          <w:rFonts w:cs="Arial"/>
        </w:rPr>
        <w:t>N</w:t>
      </w:r>
      <w:r w:rsidR="00924883" w:rsidRPr="00DE1D02">
        <w:rPr>
          <w:rFonts w:cs="Arial"/>
        </w:rPr>
        <w:t xml:space="preserve">ational </w:t>
      </w:r>
      <w:r w:rsidR="009423D8" w:rsidRPr="00DE1D02">
        <w:rPr>
          <w:rFonts w:cs="Arial"/>
        </w:rPr>
        <w:t>A</w:t>
      </w:r>
      <w:r w:rsidR="00924883" w:rsidRPr="00DE1D02">
        <w:rPr>
          <w:rFonts w:cs="Arial"/>
        </w:rPr>
        <w:t>lcohol Program</w:t>
      </w:r>
      <w:r w:rsidR="00696C44">
        <w:rPr>
          <w:rFonts w:cs="Arial"/>
        </w:rPr>
        <w:t>)</w:t>
      </w:r>
      <w:r w:rsidR="00FB5E73">
        <w:rPr>
          <w:rFonts w:cs="Arial"/>
        </w:rPr>
        <w:t xml:space="preserve">, </w:t>
      </w:r>
      <w:r w:rsidR="00317731">
        <w:rPr>
          <w:rFonts w:cs="Arial"/>
        </w:rPr>
        <w:t xml:space="preserve">a program </w:t>
      </w:r>
      <w:r w:rsidR="00FB5E73" w:rsidRPr="00DE1D02">
        <w:rPr>
          <w:rFonts w:cs="Arial"/>
        </w:rPr>
        <w:t xml:space="preserve">designed to promote the production of ethanol through the fermentation of sugars and starches as a substitute for petroleum </w:t>
      </w:r>
      <w:r w:rsidR="00103A2A" w:rsidRPr="00DE1D02">
        <w:rPr>
          <w:rFonts w:cs="Arial"/>
        </w:rPr>
        <w:fldChar w:fldCharType="begin"/>
      </w:r>
      <w:r w:rsidR="000C6D1C">
        <w:rPr>
          <w:rFonts w:cs="Arial"/>
        </w:rPr>
        <w:instrText xml:space="preserve"> ADDIN ZOTERO_ITEM CSL_CITATION {"citationID":"lzEUgGt9","properties":{"formattedCitation":"(Baer, 2008; Cortez and Rosillo-Calle, 2023)","plainCitation":"(Baer, 2008; Cortez and Rosillo-Calle, 2023)","dontUpdate":true,"noteIndex":0},"citationItems":[{"id":386,"uris":["http://zotero.org/users/9333001/items/IF5EE4DE"],"itemData":{"id":386,"type":"book","call-number":"HC187 .B147 2008","note":"OCLC: ocm85783361","publisher":"Lynne Rienner Publishers","publisher-place":"Boulder, CO","source":"Library of Congress ISBN","title":"The Brazilian economy: growth and development","title-short":"The Brazilian economy","author":[{"family":"Baer","given":"Werner"}],"issued":{"date-parts":[["2008"]]}}},{"id":1381,"uris":["http://zotero.org/users/9333001/items/E4UA5E8E"],"itemData":{"id":1381,"type":"book","abstract":"The current upheaval in the energy sector, and the consequent potential implication for biofuels, have led the authors to write this book. The prime focus is Brazil whose historical experience has been, and continue to be, a source of inspiration worldwide. \nThe book is aimed at a wide readership. It examines the key historical development of biofuels in Brazil, current and future. The book investigates these key developments in detail. \nThe reader interested in biofuels and their wider implications, will be enriched by this unique experience. In a world where fossil fuels will, eventually, be phased out, biofuels represent a viable partial alternative in many countries. Biofuels represent a world of possibilities\n.","ISBN":"978-65-5506-746-0","language":"inglês","number-of-pages":"184","publisher":"Editora Edgard Blucher","publisher-place":"São Paulo, SP","source":"Câmara Brasileira do Livro ISBN","title":"The future role of biofuels in the new energy transition: Lessons and perspectives of biofuels in Brazil","title-short":"The future role of biofuels in the new energy transition","author":[{"family":"Cortez","given":"Luís Augusto Barbosa"},{"family":"Rosillo-Calle","given":"Frank"}],"issued":{"date-parts":[["2023",8,4]]}}}],"schema":"https://github.com/citation-style-language/schema/raw/master/csl-citation.json"} </w:instrText>
      </w:r>
      <w:r w:rsidR="00103A2A" w:rsidRPr="00DE1D02">
        <w:rPr>
          <w:rFonts w:cs="Arial"/>
        </w:rPr>
        <w:fldChar w:fldCharType="separate"/>
      </w:r>
      <w:r w:rsidR="00103A2A" w:rsidRPr="00DE1D02">
        <w:rPr>
          <w:rFonts w:cs="Arial"/>
        </w:rPr>
        <w:t>(Baer, 2008)</w:t>
      </w:r>
      <w:r w:rsidR="00103A2A" w:rsidRPr="00DE1D02">
        <w:rPr>
          <w:rFonts w:cs="Arial"/>
        </w:rPr>
        <w:fldChar w:fldCharType="end"/>
      </w:r>
      <w:r w:rsidR="006E744D" w:rsidRPr="00DE1D02">
        <w:rPr>
          <w:rFonts w:cs="Arial"/>
        </w:rPr>
        <w:t xml:space="preserve">. </w:t>
      </w:r>
      <w:r w:rsidR="00D60955">
        <w:rPr>
          <w:rFonts w:cs="Arial"/>
        </w:rPr>
        <w:t xml:space="preserve">This initial </w:t>
      </w:r>
      <w:r w:rsidR="00D60955" w:rsidRPr="00DE1D02">
        <w:rPr>
          <w:rFonts w:cs="Arial"/>
        </w:rPr>
        <w:t>energy</w:t>
      </w:r>
      <w:r w:rsidR="00D60955">
        <w:rPr>
          <w:rFonts w:cs="Arial"/>
        </w:rPr>
        <w:t xml:space="preserve"> </w:t>
      </w:r>
      <w:r w:rsidR="00D60955" w:rsidRPr="00DE1D02">
        <w:rPr>
          <w:rFonts w:cs="Arial"/>
        </w:rPr>
        <w:t>security</w:t>
      </w:r>
      <w:r w:rsidR="00D60955">
        <w:rPr>
          <w:rFonts w:cs="Arial"/>
        </w:rPr>
        <w:t xml:space="preserve"> focus </w:t>
      </w:r>
      <w:r w:rsidR="000B3CB5">
        <w:rPr>
          <w:rFonts w:cs="Arial"/>
        </w:rPr>
        <w:t>of Brazil’s biofuel strategy</w:t>
      </w:r>
      <w:r w:rsidR="00F923DF">
        <w:rPr>
          <w:rFonts w:cs="Arial"/>
        </w:rPr>
        <w:t xml:space="preserve"> centered</w:t>
      </w:r>
      <w:r w:rsidR="00FB6E10">
        <w:rPr>
          <w:rFonts w:cs="Arial"/>
        </w:rPr>
        <w:t xml:space="preserve"> on sugarcane-ethanol</w:t>
      </w:r>
      <w:r w:rsidR="00F923DF">
        <w:rPr>
          <w:rFonts w:cs="Arial"/>
        </w:rPr>
        <w:t>. O</w:t>
      </w:r>
      <w:r w:rsidR="005B6204" w:rsidRPr="00DE1D02">
        <w:rPr>
          <w:rFonts w:cs="Arial"/>
        </w:rPr>
        <w:t xml:space="preserve">ver the </w:t>
      </w:r>
      <w:r w:rsidR="00CD21E4">
        <w:rPr>
          <w:rFonts w:cs="Arial"/>
        </w:rPr>
        <w:t xml:space="preserve">following </w:t>
      </w:r>
      <w:r w:rsidR="005B6204" w:rsidRPr="00DE1D02">
        <w:rPr>
          <w:rFonts w:cs="Arial"/>
        </w:rPr>
        <w:t>decades</w:t>
      </w:r>
      <w:r w:rsidR="00A552CD">
        <w:rPr>
          <w:rFonts w:cs="Arial"/>
        </w:rPr>
        <w:t>,</w:t>
      </w:r>
      <w:r w:rsidR="005B6204" w:rsidRPr="00DE1D02">
        <w:rPr>
          <w:rFonts w:cs="Arial"/>
        </w:rPr>
        <w:t xml:space="preserve"> </w:t>
      </w:r>
      <w:r w:rsidR="00750119">
        <w:rPr>
          <w:rFonts w:cs="Arial"/>
        </w:rPr>
        <w:t>it</w:t>
      </w:r>
      <w:r w:rsidR="00FD14B3">
        <w:rPr>
          <w:rFonts w:cs="Arial"/>
        </w:rPr>
        <w:t xml:space="preserve"> expanded </w:t>
      </w:r>
      <w:r w:rsidR="005B6204" w:rsidRPr="00DE1D02">
        <w:rPr>
          <w:rFonts w:cs="Arial"/>
        </w:rPr>
        <w:t xml:space="preserve">to </w:t>
      </w:r>
      <w:r w:rsidR="0098253F">
        <w:rPr>
          <w:rFonts w:cs="Arial"/>
        </w:rPr>
        <w:t>include additional</w:t>
      </w:r>
      <w:r w:rsidR="005B6204" w:rsidRPr="00DE1D02">
        <w:rPr>
          <w:rFonts w:cs="Arial"/>
        </w:rPr>
        <w:t xml:space="preserve"> feedstocks</w:t>
      </w:r>
      <w:r w:rsidR="0005416A" w:rsidRPr="00DE1D02">
        <w:rPr>
          <w:rFonts w:cs="Arial"/>
        </w:rPr>
        <w:t xml:space="preserve"> </w:t>
      </w:r>
      <w:r w:rsidR="005B6204" w:rsidRPr="00DE1D02">
        <w:rPr>
          <w:rFonts w:cs="Arial"/>
        </w:rPr>
        <w:t xml:space="preserve">and products, </w:t>
      </w:r>
      <w:r w:rsidR="0013259C" w:rsidRPr="00DE1D02">
        <w:rPr>
          <w:rFonts w:cs="Arial"/>
        </w:rPr>
        <w:t>pursue</w:t>
      </w:r>
      <w:r w:rsidR="00D52A79" w:rsidRPr="00DE1D02">
        <w:rPr>
          <w:rFonts w:cs="Arial"/>
        </w:rPr>
        <w:t xml:space="preserve"> social </w:t>
      </w:r>
      <w:r w:rsidR="0098253F">
        <w:rPr>
          <w:rFonts w:cs="Arial"/>
        </w:rPr>
        <w:t>objectives</w:t>
      </w:r>
      <w:r w:rsidR="00211F6D" w:rsidRPr="00DE1D02">
        <w:rPr>
          <w:rFonts w:cs="Arial"/>
        </w:rPr>
        <w:t>,</w:t>
      </w:r>
      <w:r w:rsidR="0058374F" w:rsidRPr="00DE1D02">
        <w:rPr>
          <w:rFonts w:cs="Arial"/>
        </w:rPr>
        <w:t xml:space="preserve"> and </w:t>
      </w:r>
      <w:r w:rsidR="002E75E2">
        <w:rPr>
          <w:rFonts w:cs="Arial"/>
        </w:rPr>
        <w:t>align</w:t>
      </w:r>
      <w:r w:rsidR="002E75E2" w:rsidRPr="00DE1D02">
        <w:rPr>
          <w:rFonts w:cs="Arial"/>
        </w:rPr>
        <w:t xml:space="preserve"> </w:t>
      </w:r>
      <w:r w:rsidR="002E75E2">
        <w:rPr>
          <w:rFonts w:cs="Arial"/>
        </w:rPr>
        <w:t xml:space="preserve">with </w:t>
      </w:r>
      <w:r w:rsidR="005B6204" w:rsidRPr="00DE1D02">
        <w:rPr>
          <w:rFonts w:cs="Arial"/>
        </w:rPr>
        <w:t>major environmental goals</w:t>
      </w:r>
      <w:r w:rsidR="002464CC" w:rsidRPr="00DE1D02">
        <w:rPr>
          <w:rFonts w:cs="Arial"/>
        </w:rPr>
        <w:t xml:space="preserve"> </w:t>
      </w:r>
      <w:r w:rsidR="002464CC" w:rsidRPr="00DE1D02">
        <w:rPr>
          <w:rFonts w:cs="Arial"/>
        </w:rPr>
        <w:fldChar w:fldCharType="begin"/>
      </w:r>
      <w:r w:rsidR="00182C1F">
        <w:rPr>
          <w:rFonts w:cs="Arial"/>
        </w:rPr>
        <w:instrText xml:space="preserve"> ADDIN ZOTERO_ITEM CSL_CITATION {"citationID":"V1l6rCDY","properties":{"formattedCitation":"(Cantarella et al., 2023; Cortez and Rosillo-Calle, 2023; IRENA, 2025)","plainCitation":"(Cantarella et al., 2023; Cortez and Rosillo-Calle, 2023; IRENA, 2025)","noteIndex":0},"citationItems":[{"id":1574,"uris":["http://zotero.org/users/9333001/items/UTFEIFJY"],"itemData":{"id":1574,"type":"article-journal","abstract":"Abstract\n            This Opinion highlights several successful cases of biofuel technologies recently described by the IEA Bioenergy Intertask Report on Lessons Learned. The report discussed the potential of biofuels to contribute to a significant market supply, thus replacing fossil fuels and mitigating global warming, and it underscores the challenges in expanding biofuel production and replicating successful models between countries and regions. Based on the lessons learned from conventional, established technologies, the authors analyzed policies, feedstocks, products, technologies, economics, environmental concerns, social aspects, scalability, and ease of implementation and replication in different countries or regions. There are blending mandates in place around the world to foster the use of biofuels. Dependence on the availability and price fluctuations of crop feedstocks may limit biofuel production in certain circumstances. Legal restrictions on using food crops as feedstocks present obstacles to scaling up production. Temporary constraints related to feedstock costs and availability, as evidenced by changes and postponements of biofuel blending mandates in various countries (particularly during the COVID</w:instrText>
      </w:r>
      <w:r w:rsidR="00182C1F">
        <w:rPr>
          <w:rFonts w:ascii="Cambria Math" w:hAnsi="Cambria Math" w:cs="Cambria Math"/>
        </w:rPr>
        <w:instrText>‐</w:instrText>
      </w:r>
      <w:r w:rsidR="00182C1F">
        <w:rPr>
          <w:rFonts w:cs="Arial"/>
        </w:rPr>
        <w:instrText>19 pandemic) also pose challenges. Technological hurdles exist for advanced biofuels that implicate premium pricing. Still, 2G ethanol from sugarcane meets very strict feedstock requirements with a carbon footprint so low that only electric vehicles charged in Norway could have life</w:instrText>
      </w:r>
      <w:r w:rsidR="00182C1F">
        <w:rPr>
          <w:rFonts w:ascii="Cambria Math" w:hAnsi="Cambria Math" w:cs="Cambria Math"/>
        </w:rPr>
        <w:instrText>‐</w:instrText>
      </w:r>
      <w:r w:rsidR="00182C1F">
        <w:rPr>
          <w:rFonts w:cs="Arial"/>
        </w:rPr>
        <w:instrText>cycle GHG emissions at the same level as a 2G ethanol</w:instrText>
      </w:r>
      <w:r w:rsidR="00182C1F">
        <w:rPr>
          <w:rFonts w:ascii="Cambria Math" w:hAnsi="Cambria Math" w:cs="Cambria Math"/>
        </w:rPr>
        <w:instrText>‐</w:instrText>
      </w:r>
      <w:r w:rsidR="00182C1F">
        <w:rPr>
          <w:rFonts w:cs="Arial"/>
        </w:rPr>
        <w:instrText>fueled combustion engine car. The authors evaluate whether and how much electrification could contribute to advance the decarbonization efforts in different countries. Drawing from these observations, the authors express their viewpoints to assist researchers and policymakers in the energy sector in formulating viable approaches to combat the climate crisis.","container-title":"GCB Bioenergy","DOI":"10.1111/gcbb.13091","ISSN":"1757-1693, 1757-1707","issue":"10","journalAbbreviation":"GCB Bioenergy","language":"en","page":"1190-1203","source":"DOI.org (Crossref)","title":"Biofuel technologies: Lessons learned and pathways to decarbonization","title-short":"Biofuel technologies","URL":"https://onlinelibrary.wiley.com/doi/10.1111/gcbb.13091","volume":"15","author":[{"family":"Cantarella","given":"Heitor"},{"family":"Leal Silva","given":"Jean Felipe"},{"family":"Nogueira","given":"Luiz Augusto Horta"},{"family":"Maciel Filho","given":"Rubens"},{"family":"Rossetto","given":"Raffaella"},{"family":"Ekbom","given":"Tomas"},{"family":"Souza","given":"Glaucia Mendes"},{"family":"Mueller</w:instrText>
      </w:r>
      <w:r w:rsidR="00182C1F">
        <w:rPr>
          <w:rFonts w:ascii="Cambria Math" w:hAnsi="Cambria Math" w:cs="Cambria Math"/>
        </w:rPr>
        <w:instrText>‐</w:instrText>
      </w:r>
      <w:r w:rsidR="00182C1F">
        <w:rPr>
          <w:rFonts w:cs="Arial"/>
        </w:rPr>
        <w:instrText xml:space="preserve">Langer","given":"Franziska"}],"accessed":{"date-parts":[["2026",1,26]]},"issued":{"date-parts":[["2023",10]]}}},{"id":1381,"uris":["http://zotero.org/users/9333001/items/E4UA5E8E"],"itemData":{"id":1381,"type":"book","abstract":"The current upheaval in the energy sector, and the consequent potential implication for biofuels, have led the authors to write this book. The prime focus is Brazil whose historical experience has been, and continue to be, a source of inspiration worldwide. \nThe book is aimed at a wide readership. It examines the key historical development of biofuels in Brazil, current and future. The book investigates these key developments in detail. \nThe reader interested in biofuels and their wider implications, will be enriched by this unique experience. In a world where fossil fuels will, eventually, be phased out, biofuels represent a viable partial alternative in many countries. Biofuels represent a world of possibilities\n.","ISBN":"978-65-5506-746-0","language":"inglês","number-of-pages":"184","publisher":"Editora Edgard Blucher","publisher-place":"São Paulo, SP","source":"Câmara Brasileira do Livro ISBN","title":"The future role of biofuels in the new energy transition: Lessons and perspectives of biofuels in Brazil","title-short":"The future role of biofuels in the new energy transition","author":[{"family":"Cortez","given":"Luís Augusto Barbosa"},{"family":"Rosillo-Calle","given":"Frank"}],"issued":{"date-parts":[["2023",8,4]]}}},{"id":1576,"uris":["http://zotero.org/users/9333001/items/92EWE892"],"itemData":{"id":1576,"type":"book","ISBN":"978-92-9260-688-6","publisher":"IRENA (International Renewable Energy Agency)","publisher-place":"Abu Dhabi","title":"Brazil’s biofuel industry: Lessons, challenges and opportunities","URL":"https://www.irena.org/-/media/Files/IRENA/Agency/Publication/2025/Oct/IRENA_TEC_Brazil_biofuels_industry_2025.pdf","author":[{"literal":"IRENA"}],"issued":{"date-parts":[["2025"]]}}}],"schema":"https://github.com/citation-style-language/schema/raw/master/csl-citation.json"} </w:instrText>
      </w:r>
      <w:r w:rsidR="002464CC" w:rsidRPr="00DE1D02">
        <w:rPr>
          <w:rFonts w:cs="Arial"/>
        </w:rPr>
        <w:fldChar w:fldCharType="separate"/>
      </w:r>
      <w:r w:rsidR="009664A0" w:rsidRPr="00DE1D02">
        <w:rPr>
          <w:rFonts w:cs="Arial"/>
        </w:rPr>
        <w:t>(Cantarella et al., 2023; Cortez and Rosillo-Calle, 2023; IRENA, 2025)</w:t>
      </w:r>
      <w:r w:rsidR="002464CC" w:rsidRPr="00DE1D02">
        <w:rPr>
          <w:rFonts w:cs="Arial"/>
        </w:rPr>
        <w:fldChar w:fldCharType="end"/>
      </w:r>
      <w:r w:rsidR="005B6204" w:rsidRPr="00DE1D02">
        <w:rPr>
          <w:rFonts w:cs="Arial"/>
        </w:rPr>
        <w:t>.</w:t>
      </w:r>
      <w:r w:rsidR="00BF7C07">
        <w:rPr>
          <w:rFonts w:cs="Arial"/>
        </w:rPr>
        <w:t xml:space="preserve"> </w:t>
      </w:r>
    </w:p>
    <w:p w14:paraId="4B81399C" w14:textId="1FF2AF88" w:rsidR="00C34362" w:rsidRDefault="0032338B" w:rsidP="00126A89">
      <w:pPr>
        <w:pStyle w:val="CETBodytext"/>
      </w:pPr>
      <w:r w:rsidRPr="00DE1D02">
        <w:rPr>
          <w:rFonts w:cs="Arial"/>
        </w:rPr>
        <w:t>Brazil’s</w:t>
      </w:r>
      <w:r w:rsidR="00BF7C07">
        <w:rPr>
          <w:rFonts w:cs="Arial"/>
        </w:rPr>
        <w:t xml:space="preserve"> </w:t>
      </w:r>
      <w:r w:rsidRPr="00DE1D02">
        <w:rPr>
          <w:rFonts w:cs="Arial"/>
        </w:rPr>
        <w:t>National Biofuels Policy</w:t>
      </w:r>
      <w:r w:rsidR="00510647" w:rsidRPr="00DE1D02">
        <w:rPr>
          <w:rFonts w:cs="Arial"/>
        </w:rPr>
        <w:t xml:space="preserve"> (</w:t>
      </w:r>
      <w:r w:rsidR="007847E2" w:rsidRPr="00DE1D02">
        <w:rPr>
          <w:rFonts w:cs="Arial"/>
        </w:rPr>
        <w:t>RenovaBio</w:t>
      </w:r>
      <w:r w:rsidR="00510647" w:rsidRPr="00DE1D02">
        <w:rPr>
          <w:rFonts w:cs="Arial"/>
        </w:rPr>
        <w:t>)</w:t>
      </w:r>
      <w:r w:rsidR="00044B65" w:rsidRPr="00DE1D02">
        <w:rPr>
          <w:rFonts w:cs="Arial"/>
        </w:rPr>
        <w:t xml:space="preserve"> </w:t>
      </w:r>
      <w:r w:rsidR="00C711EE">
        <w:rPr>
          <w:rFonts w:cs="Arial"/>
        </w:rPr>
        <w:t xml:space="preserve">was launched in 2017 with the objective of </w:t>
      </w:r>
      <w:r w:rsidR="00936C0D" w:rsidRPr="00DE1D02">
        <w:rPr>
          <w:rFonts w:cs="Arial"/>
        </w:rPr>
        <w:t>reduc</w:t>
      </w:r>
      <w:r w:rsidR="00C711EE">
        <w:rPr>
          <w:rFonts w:cs="Arial"/>
        </w:rPr>
        <w:t>ing</w:t>
      </w:r>
      <w:r w:rsidR="00936C0D" w:rsidRPr="00DE1D02">
        <w:rPr>
          <w:rFonts w:cs="Arial"/>
        </w:rPr>
        <w:t xml:space="preserve"> </w:t>
      </w:r>
      <w:r w:rsidR="00044B65" w:rsidRPr="00DE1D02">
        <w:rPr>
          <w:rFonts w:cs="Arial"/>
        </w:rPr>
        <w:t>greenhouse gas (GHG)</w:t>
      </w:r>
      <w:r w:rsidR="00936C0D" w:rsidRPr="00DE1D02">
        <w:rPr>
          <w:rFonts w:cs="Arial"/>
        </w:rPr>
        <w:t xml:space="preserve"> emissions in the transportation sector and promot</w:t>
      </w:r>
      <w:r w:rsidR="009343A8">
        <w:rPr>
          <w:rFonts w:cs="Arial"/>
        </w:rPr>
        <w:t>ing</w:t>
      </w:r>
      <w:r w:rsidR="00936C0D" w:rsidRPr="00DE1D02">
        <w:rPr>
          <w:rFonts w:cs="Arial"/>
        </w:rPr>
        <w:t xml:space="preserve"> the</w:t>
      </w:r>
      <w:r w:rsidR="00044B65" w:rsidRPr="00DE1D02">
        <w:rPr>
          <w:rFonts w:cs="Arial"/>
        </w:rPr>
        <w:t xml:space="preserve"> </w:t>
      </w:r>
      <w:r w:rsidR="00936C0D" w:rsidRPr="00DE1D02">
        <w:rPr>
          <w:rFonts w:cs="Arial"/>
        </w:rPr>
        <w:t xml:space="preserve">expansion of bioenergy </w:t>
      </w:r>
      <w:r w:rsidR="00C01D75">
        <w:rPr>
          <w:rFonts w:cs="Arial"/>
        </w:rPr>
        <w:t>within</w:t>
      </w:r>
      <w:r w:rsidR="00936C0D" w:rsidRPr="00DE1D02">
        <w:rPr>
          <w:rFonts w:cs="Arial"/>
        </w:rPr>
        <w:t xml:space="preserve"> the national energy mix</w:t>
      </w:r>
      <w:r w:rsidR="000C0B18" w:rsidRPr="00DE1D02">
        <w:rPr>
          <w:rFonts w:cs="Arial"/>
        </w:rPr>
        <w:t xml:space="preserve"> </w:t>
      </w:r>
      <w:r w:rsidR="00315F42">
        <w:rPr>
          <w:rFonts w:cs="Arial"/>
        </w:rPr>
        <w:t>based</w:t>
      </w:r>
      <w:r w:rsidR="002075AE" w:rsidRPr="00DE1D02">
        <w:rPr>
          <w:rFonts w:cs="Arial"/>
        </w:rPr>
        <w:t xml:space="preserve"> on private incentives for expanding biofuels via a decarbonization credit market </w:t>
      </w:r>
      <w:r w:rsidR="00146F87" w:rsidRPr="00DE1D02">
        <w:rPr>
          <w:rFonts w:cs="Arial"/>
        </w:rPr>
        <w:fldChar w:fldCharType="begin"/>
      </w:r>
      <w:r w:rsidR="00182C1F">
        <w:rPr>
          <w:rFonts w:cs="Arial"/>
        </w:rPr>
        <w:instrText xml:space="preserve"> ADDIN ZOTERO_ITEM CSL_CITATION {"citationID":"6Z7ljyAX","properties":{"formattedCitation":"(EPE, 2025; IRENA, 2025)","plainCitation":"(EPE, 2025; IRENA,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id":1576,"uris":["http://zotero.org/users/9333001/items/92EWE892"],"itemData":{"id":1576,"type":"book","ISBN":"978-92-9260-688-6","publisher":"IRENA (International Renewable Energy Agency)","publisher-place":"Abu Dhabi","title":"Brazil’s biofuel industry: Lessons, challenges and opportunities","URL":"https://www.irena.org/-/media/Files/IRENA/Agency/Publication/2025/Oct/IRENA_TEC_Brazil_biofuels_industry_2025.pdf","author":[{"literal":"IRENA"}],"issued":{"date-parts":[["2025"]]}}}],"schema":"https://github.com/citation-style-language/schema/raw/master/csl-citation.json"} </w:instrText>
      </w:r>
      <w:r w:rsidR="00146F87" w:rsidRPr="00DE1D02">
        <w:rPr>
          <w:rFonts w:cs="Arial"/>
        </w:rPr>
        <w:fldChar w:fldCharType="separate"/>
      </w:r>
      <w:r w:rsidR="00182C1F" w:rsidRPr="00182C1F">
        <w:rPr>
          <w:rFonts w:cs="Arial"/>
        </w:rPr>
        <w:t xml:space="preserve">(EPE, 2025; </w:t>
      </w:r>
      <w:r w:rsidR="00182C1F" w:rsidRPr="00182C1F">
        <w:rPr>
          <w:rFonts w:cs="Arial"/>
        </w:rPr>
        <w:lastRenderedPageBreak/>
        <w:t>IRENA, 2025)</w:t>
      </w:r>
      <w:r w:rsidR="00146F87" w:rsidRPr="00DE1D02">
        <w:rPr>
          <w:rFonts w:cs="Arial"/>
        </w:rPr>
        <w:fldChar w:fldCharType="end"/>
      </w:r>
      <w:r w:rsidR="002075AE" w:rsidRPr="00DE1D02">
        <w:rPr>
          <w:rFonts w:cs="Arial"/>
        </w:rPr>
        <w:t>.</w:t>
      </w:r>
      <w:r w:rsidR="00D30320" w:rsidRPr="00DE1D02">
        <w:rPr>
          <w:rFonts w:cs="Arial"/>
        </w:rPr>
        <w:t xml:space="preserve"> </w:t>
      </w:r>
      <w:r w:rsidR="00DF5214" w:rsidRPr="00DE1D02">
        <w:rPr>
          <w:rFonts w:cs="Arial"/>
        </w:rPr>
        <w:t xml:space="preserve">In </w:t>
      </w:r>
      <w:r w:rsidR="00FA06EC" w:rsidRPr="00DE1D02">
        <w:rPr>
          <w:rFonts w:cs="Arial"/>
        </w:rPr>
        <w:t xml:space="preserve">October </w:t>
      </w:r>
      <w:r w:rsidR="00DF5214" w:rsidRPr="00DE1D02">
        <w:rPr>
          <w:rFonts w:cs="Arial"/>
        </w:rPr>
        <w:t xml:space="preserve">2024, </w:t>
      </w:r>
      <w:r w:rsidR="00B2363E" w:rsidRPr="00DE1D02">
        <w:rPr>
          <w:rFonts w:cs="Arial"/>
        </w:rPr>
        <w:t>Brazil’s “Fuel of the Future</w:t>
      </w:r>
      <w:r w:rsidR="00974B53" w:rsidRPr="00DE1D02">
        <w:rPr>
          <w:rFonts w:cs="Arial"/>
        </w:rPr>
        <w:t>”</w:t>
      </w:r>
      <w:r w:rsidR="00EC57A1">
        <w:rPr>
          <w:rFonts w:cs="Arial"/>
        </w:rPr>
        <w:t xml:space="preserve"> law</w:t>
      </w:r>
      <w:r w:rsidR="00C45282" w:rsidRPr="00DE1D02">
        <w:rPr>
          <w:rFonts w:cs="Arial"/>
        </w:rPr>
        <w:t>, which</w:t>
      </w:r>
      <w:r w:rsidR="009B7DAA" w:rsidRPr="00DE1D02">
        <w:rPr>
          <w:rFonts w:cs="Arial"/>
        </w:rPr>
        <w:t xml:space="preserve"> </w:t>
      </w:r>
      <w:r w:rsidR="00865BBA" w:rsidRPr="00DE1D02">
        <w:rPr>
          <w:rFonts w:cs="Arial"/>
        </w:rPr>
        <w:t>regulates and establishes incentive</w:t>
      </w:r>
      <w:r w:rsidR="00B83ABB">
        <w:rPr>
          <w:rFonts w:cs="Arial"/>
        </w:rPr>
        <w:t>s</w:t>
      </w:r>
      <w:r w:rsidR="00865BBA" w:rsidRPr="00DE1D02">
        <w:rPr>
          <w:rFonts w:cs="Arial"/>
        </w:rPr>
        <w:t xml:space="preserve"> for the production and use of sustainable fuels, </w:t>
      </w:r>
      <w:r w:rsidR="00152413" w:rsidRPr="00DE1D02">
        <w:rPr>
          <w:rFonts w:cs="Arial"/>
        </w:rPr>
        <w:t xml:space="preserve">was </w:t>
      </w:r>
      <w:r w:rsidR="001220EF" w:rsidRPr="00DE1D02">
        <w:rPr>
          <w:rFonts w:cs="Arial"/>
        </w:rPr>
        <w:t>sanctioned</w:t>
      </w:r>
      <w:r w:rsidR="00C474DA" w:rsidRPr="00DE1D02">
        <w:rPr>
          <w:rFonts w:cs="Arial"/>
        </w:rPr>
        <w:t xml:space="preserve"> </w:t>
      </w:r>
      <w:r w:rsidR="00C474DA" w:rsidRPr="00DE1D02">
        <w:rPr>
          <w:rFonts w:cs="Arial"/>
        </w:rPr>
        <w:fldChar w:fldCharType="begin"/>
      </w:r>
      <w:r w:rsidR="00182C1F">
        <w:rPr>
          <w:rFonts w:cs="Arial"/>
        </w:rPr>
        <w:instrText xml:space="preserve"> ADDIN ZOTERO_ITEM CSL_CITATION {"citationID":"zlHDncYU","properties":{"formattedCitation":"(EPE, 2025; IRENA, 2025)","plainCitation":"(EPE, 2025; IRENA,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id":1576,"uris":["http://zotero.org/users/9333001/items/92EWE892"],"itemData":{"id":1576,"type":"book","ISBN":"978-92-9260-688-6","publisher":"IRENA (International Renewable Energy Agency)","publisher-place":"Abu Dhabi","title":"Brazil’s biofuel industry: Lessons, challenges and opportunities","URL":"https://www.irena.org/-/media/Files/IRENA/Agency/Publication/2025/Oct/IRENA_TEC_Brazil_biofuels_industry_2025.pdf","author":[{"literal":"IRENA"}],"issued":{"date-parts":[["2025"]]}}}],"schema":"https://github.com/citation-style-language/schema/raw/master/csl-citation.json"} </w:instrText>
      </w:r>
      <w:r w:rsidR="00C474DA" w:rsidRPr="00DE1D02">
        <w:rPr>
          <w:rFonts w:cs="Arial"/>
        </w:rPr>
        <w:fldChar w:fldCharType="separate"/>
      </w:r>
      <w:r w:rsidR="00A746BC" w:rsidRPr="00DE1D02">
        <w:rPr>
          <w:rFonts w:cs="Arial"/>
        </w:rPr>
        <w:t>(EPE, 2025; IRENA, 2025)</w:t>
      </w:r>
      <w:r w:rsidR="00C474DA" w:rsidRPr="00DE1D02">
        <w:rPr>
          <w:rFonts w:cs="Arial"/>
        </w:rPr>
        <w:fldChar w:fldCharType="end"/>
      </w:r>
      <w:r w:rsidR="00865BBA" w:rsidRPr="00DE1D02">
        <w:rPr>
          <w:rFonts w:cs="Arial"/>
        </w:rPr>
        <w:t>.</w:t>
      </w:r>
      <w:r w:rsidR="00D16657" w:rsidRPr="00DE1D02">
        <w:rPr>
          <w:rFonts w:cs="Arial"/>
        </w:rPr>
        <w:t xml:space="preserve"> In </w:t>
      </w:r>
      <w:r w:rsidR="00A57E62">
        <w:rPr>
          <w:rFonts w:cs="Arial"/>
        </w:rPr>
        <w:t>line</w:t>
      </w:r>
      <w:r w:rsidR="00D16657" w:rsidRPr="00DE1D02">
        <w:rPr>
          <w:rFonts w:cs="Arial"/>
        </w:rPr>
        <w:t xml:space="preserve"> with these </w:t>
      </w:r>
      <w:r w:rsidR="00D3188E">
        <w:rPr>
          <w:rFonts w:cs="Arial"/>
        </w:rPr>
        <w:t>policies</w:t>
      </w:r>
      <w:r w:rsidR="00D16657" w:rsidRPr="00DE1D02">
        <w:rPr>
          <w:rFonts w:cs="Arial"/>
        </w:rPr>
        <w:t xml:space="preserve">, </w:t>
      </w:r>
      <w:r w:rsidR="00DF5214" w:rsidRPr="00DE1D02">
        <w:rPr>
          <w:rFonts w:cs="Arial"/>
        </w:rPr>
        <w:t>Brazil's National Council for Energy Policy (CNPE) approved in 2025 an increase in the mandatory ethanol blend in gasoline from 27</w:t>
      </w:r>
      <w:r w:rsidR="00EF617B">
        <w:rPr>
          <w:rFonts w:cs="Arial"/>
        </w:rPr>
        <w:t xml:space="preserve"> </w:t>
      </w:r>
      <w:r w:rsidR="00DF5214" w:rsidRPr="00DE1D02">
        <w:rPr>
          <w:rFonts w:cs="Arial"/>
        </w:rPr>
        <w:t>% to 30</w:t>
      </w:r>
      <w:r w:rsidR="001D5CA7" w:rsidRPr="00DE1D02">
        <w:rPr>
          <w:rFonts w:cs="Arial"/>
        </w:rPr>
        <w:t xml:space="preserve"> </w:t>
      </w:r>
      <w:r w:rsidR="00DF5214" w:rsidRPr="00DE1D02">
        <w:rPr>
          <w:rFonts w:cs="Arial"/>
        </w:rPr>
        <w:t>%</w:t>
      </w:r>
      <w:r w:rsidR="008E6E92" w:rsidRPr="00DE1D02">
        <w:rPr>
          <w:rFonts w:cs="Arial"/>
        </w:rPr>
        <w:t xml:space="preserve"> (E30)</w:t>
      </w:r>
      <w:r w:rsidR="00E12FC1">
        <w:rPr>
          <w:rFonts w:cs="Arial"/>
        </w:rPr>
        <w:t xml:space="preserve">, and </w:t>
      </w:r>
      <w:r w:rsidR="00DF5214" w:rsidRPr="00DE1D02">
        <w:rPr>
          <w:rFonts w:cs="Arial"/>
        </w:rPr>
        <w:t>in the biodiesel blend in diesel from 14</w:t>
      </w:r>
      <w:r w:rsidR="001D5CA7" w:rsidRPr="00DE1D02">
        <w:rPr>
          <w:rFonts w:cs="Arial"/>
        </w:rPr>
        <w:t xml:space="preserve"> </w:t>
      </w:r>
      <w:r w:rsidR="00DF5214" w:rsidRPr="00DE1D02">
        <w:rPr>
          <w:rFonts w:cs="Arial"/>
        </w:rPr>
        <w:t>% to 15</w:t>
      </w:r>
      <w:r w:rsidR="001D5CA7" w:rsidRPr="00DE1D02">
        <w:rPr>
          <w:rFonts w:cs="Arial"/>
        </w:rPr>
        <w:t xml:space="preserve"> </w:t>
      </w:r>
      <w:r w:rsidR="00DF5214" w:rsidRPr="00DE1D02">
        <w:rPr>
          <w:rFonts w:cs="Arial"/>
        </w:rPr>
        <w:t>%</w:t>
      </w:r>
      <w:r w:rsidR="008E6E92" w:rsidRPr="00DE1D02">
        <w:rPr>
          <w:rFonts w:cs="Arial"/>
        </w:rPr>
        <w:t xml:space="preserve"> (B15)</w:t>
      </w:r>
      <w:r w:rsidR="00DF5214" w:rsidRPr="00DE1D02">
        <w:rPr>
          <w:rFonts w:cs="Arial"/>
        </w:rPr>
        <w:t>.</w:t>
      </w:r>
      <w:r w:rsidR="004436EF" w:rsidRPr="00DE1D02">
        <w:rPr>
          <w:rFonts w:cs="Arial"/>
        </w:rPr>
        <w:t xml:space="preserve"> </w:t>
      </w:r>
      <w:r w:rsidR="001B63BE">
        <w:t>T</w:t>
      </w:r>
      <w:r w:rsidR="00AE110F">
        <w:t xml:space="preserve">hese </w:t>
      </w:r>
      <w:r w:rsidR="00F74759">
        <w:t xml:space="preserve">policies and </w:t>
      </w:r>
      <w:r w:rsidR="00AE110F">
        <w:t xml:space="preserve">mandatory </w:t>
      </w:r>
      <w:r w:rsidR="002E739C">
        <w:t xml:space="preserve">blends </w:t>
      </w:r>
      <w:r w:rsidR="00515C4A">
        <w:t>represent</w:t>
      </w:r>
      <w:r w:rsidR="00A97C34">
        <w:t xml:space="preserve"> a </w:t>
      </w:r>
      <w:r w:rsidR="00212BE5">
        <w:t xml:space="preserve">projected </w:t>
      </w:r>
      <w:r w:rsidR="00A97C34">
        <w:t>39</w:t>
      </w:r>
      <w:r w:rsidR="001D5CA7">
        <w:t xml:space="preserve"> </w:t>
      </w:r>
      <w:r w:rsidR="00A97C34">
        <w:t>%</w:t>
      </w:r>
      <w:r w:rsidR="002E739C">
        <w:t xml:space="preserve"> </w:t>
      </w:r>
      <w:r w:rsidR="00FE11A2">
        <w:t xml:space="preserve">increase in biofuel </w:t>
      </w:r>
      <w:r w:rsidR="002E739C">
        <w:t xml:space="preserve">demand </w:t>
      </w:r>
      <w:r w:rsidR="00FE11A2">
        <w:t>by</w:t>
      </w:r>
      <w:r w:rsidR="00E74DE2">
        <w:t xml:space="preserve"> 2035</w:t>
      </w:r>
      <w:r w:rsidR="006336FF">
        <w:t xml:space="preserve"> </w:t>
      </w:r>
      <w:r w:rsidR="006336FF">
        <w:fldChar w:fldCharType="begin"/>
      </w:r>
      <w:r w:rsidR="00182C1F">
        <w:instrText xml:space="preserve"> ADDIN ZOTERO_ITEM CSL_CITATION {"citationID":"Ghdj6apT","properties":{"formattedCitation":"(EPE, 2025)","plainCitation":"(EPE,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schema":"https://github.com/citation-style-language/schema/raw/master/csl-citation.json"} </w:instrText>
      </w:r>
      <w:r w:rsidR="006336FF">
        <w:fldChar w:fldCharType="separate"/>
      </w:r>
      <w:r w:rsidR="006336FF" w:rsidRPr="006336FF">
        <w:rPr>
          <w:rFonts w:cs="Arial"/>
        </w:rPr>
        <w:t>(EPE, 2025)</w:t>
      </w:r>
      <w:r w:rsidR="006336FF">
        <w:fldChar w:fldCharType="end"/>
      </w:r>
      <w:r w:rsidR="001F7443">
        <w:t xml:space="preserve">, </w:t>
      </w:r>
      <w:r w:rsidR="00491CB4">
        <w:t>e.g.</w:t>
      </w:r>
      <w:r w:rsidR="001F7443">
        <w:t xml:space="preserve"> an extra demand of </w:t>
      </w:r>
      <w:r w:rsidR="005420D4">
        <w:t>sugarcane ethanol</w:t>
      </w:r>
      <w:r w:rsidR="00AE70B2">
        <w:t xml:space="preserve"> of</w:t>
      </w:r>
      <w:r w:rsidR="00491CB4">
        <w:t xml:space="preserve"> </w:t>
      </w:r>
      <w:r w:rsidR="005420D4">
        <w:t>5</w:t>
      </w:r>
      <w:r w:rsidR="001D5CA7">
        <w:t>.</w:t>
      </w:r>
      <w:r w:rsidR="005420D4">
        <w:t>5</w:t>
      </w:r>
      <w:r w:rsidR="001D5CA7">
        <w:t xml:space="preserve"> </w:t>
      </w:r>
      <w:r w:rsidR="00BA573C" w:rsidRPr="00784686">
        <w:t>10</w:t>
      </w:r>
      <w:r w:rsidR="00BA573C">
        <w:rPr>
          <w:vertAlign w:val="superscript"/>
        </w:rPr>
        <w:t>6</w:t>
      </w:r>
      <w:r w:rsidR="00BA573C">
        <w:t xml:space="preserve"> m</w:t>
      </w:r>
      <w:r w:rsidR="00BA573C" w:rsidRPr="00692C12">
        <w:rPr>
          <w:vertAlign w:val="superscript"/>
        </w:rPr>
        <w:t>3</w:t>
      </w:r>
      <w:r w:rsidR="009D78D5">
        <w:t>; corn ethanol</w:t>
      </w:r>
      <w:r w:rsidR="00DE3BD7">
        <w:t xml:space="preserve"> of </w:t>
      </w:r>
      <w:r w:rsidR="009D78D5">
        <w:t>6</w:t>
      </w:r>
      <w:r w:rsidR="001D5CA7">
        <w:t>.</w:t>
      </w:r>
      <w:r w:rsidR="009D78D5">
        <w:t>3</w:t>
      </w:r>
      <w:r w:rsidR="001D5CA7">
        <w:t xml:space="preserve"> </w:t>
      </w:r>
      <w:r w:rsidR="00BA573C" w:rsidRPr="00784686">
        <w:t>10</w:t>
      </w:r>
      <w:r w:rsidR="00BA573C">
        <w:rPr>
          <w:vertAlign w:val="superscript"/>
        </w:rPr>
        <w:t>6</w:t>
      </w:r>
      <w:r w:rsidR="00BA573C">
        <w:t xml:space="preserve"> m</w:t>
      </w:r>
      <w:r w:rsidR="00BA573C" w:rsidRPr="00A410E4">
        <w:rPr>
          <w:vertAlign w:val="superscript"/>
        </w:rPr>
        <w:t>3</w:t>
      </w:r>
      <w:r w:rsidR="009D78D5">
        <w:t>; biodiesel</w:t>
      </w:r>
      <w:r w:rsidR="00DE3BD7">
        <w:t xml:space="preserve"> of </w:t>
      </w:r>
      <w:r w:rsidR="009D78D5">
        <w:t>3</w:t>
      </w:r>
      <w:r w:rsidR="001D5CA7">
        <w:t>.</w:t>
      </w:r>
      <w:r w:rsidR="00E939FE">
        <w:t>8</w:t>
      </w:r>
      <w:r w:rsidR="001D5CA7">
        <w:t xml:space="preserve"> </w:t>
      </w:r>
      <w:r w:rsidR="00BA573C" w:rsidRPr="00784686">
        <w:t>10</w:t>
      </w:r>
      <w:r w:rsidR="00BA573C">
        <w:rPr>
          <w:vertAlign w:val="superscript"/>
        </w:rPr>
        <w:t>6</w:t>
      </w:r>
      <w:r w:rsidR="00BA573C">
        <w:t xml:space="preserve"> m</w:t>
      </w:r>
      <w:r w:rsidR="00BA573C" w:rsidRPr="00A410E4">
        <w:rPr>
          <w:vertAlign w:val="superscript"/>
        </w:rPr>
        <w:t>3</w:t>
      </w:r>
      <w:r w:rsidR="00C43D26">
        <w:t>,</w:t>
      </w:r>
      <w:r w:rsidR="00E939FE">
        <w:t xml:space="preserve"> and </w:t>
      </w:r>
      <w:r w:rsidR="003B0388">
        <w:t>biodiesel for sustainable aviation fuel (SAF</w:t>
      </w:r>
      <w:r w:rsidR="00DE3BD7">
        <w:t xml:space="preserve">) of </w:t>
      </w:r>
      <w:r w:rsidR="00E939FE">
        <w:t>2</w:t>
      </w:r>
      <w:r w:rsidR="00F45C40">
        <w:t>.</w:t>
      </w:r>
      <w:r w:rsidR="00E939FE">
        <w:t>8</w:t>
      </w:r>
      <w:r w:rsidR="00F45C40">
        <w:t xml:space="preserve"> </w:t>
      </w:r>
      <w:r w:rsidR="00BA573C" w:rsidRPr="00784686">
        <w:t>10</w:t>
      </w:r>
      <w:r w:rsidR="00BA573C">
        <w:rPr>
          <w:vertAlign w:val="superscript"/>
        </w:rPr>
        <w:t>6</w:t>
      </w:r>
      <w:r w:rsidR="00BA573C">
        <w:t xml:space="preserve"> m</w:t>
      </w:r>
      <w:r w:rsidR="00BA573C" w:rsidRPr="00A410E4">
        <w:rPr>
          <w:vertAlign w:val="superscript"/>
        </w:rPr>
        <w:t>3</w:t>
      </w:r>
      <w:r w:rsidR="00E939FE">
        <w:t>.</w:t>
      </w:r>
      <w:r w:rsidR="00B164FE">
        <w:t xml:space="preserve"> </w:t>
      </w:r>
    </w:p>
    <w:p w14:paraId="0F236D66" w14:textId="244D5DBB" w:rsidR="00D91483" w:rsidRDefault="00E84237" w:rsidP="00126A89">
      <w:pPr>
        <w:pStyle w:val="CETBodytext"/>
      </w:pPr>
      <w:r>
        <w:t>Besides</w:t>
      </w:r>
      <w:r w:rsidR="00D515A2">
        <w:t xml:space="preserve"> clear policy frameworks, </w:t>
      </w:r>
      <w:r w:rsidR="00B164FE">
        <w:t xml:space="preserve">future </w:t>
      </w:r>
      <w:r w:rsidR="001D7995">
        <w:t>p</w:t>
      </w:r>
      <w:r w:rsidR="00D0385A">
        <w:t xml:space="preserve">ositive outcomes </w:t>
      </w:r>
      <w:r w:rsidR="00B164FE">
        <w:t>are sensitive to</w:t>
      </w:r>
      <w:r w:rsidR="00CF0E0F">
        <w:t xml:space="preserve"> </w:t>
      </w:r>
      <w:r w:rsidR="00D0385A">
        <w:t>the development and implementation of strategies that enhance sustainability</w:t>
      </w:r>
      <w:r w:rsidR="00D10770">
        <w:t xml:space="preserve"> and </w:t>
      </w:r>
      <w:r w:rsidR="00D0385A">
        <w:t>reduce investment risks</w:t>
      </w:r>
      <w:r w:rsidR="005C687F">
        <w:t xml:space="preserve"> </w:t>
      </w:r>
      <w:r w:rsidR="005C687F">
        <w:fldChar w:fldCharType="begin"/>
      </w:r>
      <w:r w:rsidR="005C687F">
        <w:instrText xml:space="preserve"> ADDIN ZOTERO_ITEM CSL_CITATION {"citationID":"nBAqlfQp","properties":{"formattedCitation":"(IRENA, 2025)","plainCitation":"(IRENA, 2025)","noteIndex":0},"citationItems":[{"id":1576,"uris":["http://zotero.org/users/9333001/items/92EWE892"],"itemData":{"id":1576,"type":"book","ISBN":"978-92-9260-688-6","publisher":"IRENA (International Renewable Energy Agency)","publisher-place":"Abu Dhabi","title":"Brazil’s biofuel industry: Lessons, challenges and opportunities","URL":"https://www.irena.org/-/media/Files/IRENA/Agency/Publication/2025/Oct/IRENA_TEC_Brazil_biofuels_industry_2025.pdf","author":[{"literal":"IRENA"}],"issued":{"date-parts":[["2025"]]}}}],"schema":"https://github.com/citation-style-language/schema/raw/master/csl-citation.json"} </w:instrText>
      </w:r>
      <w:r w:rsidR="005C687F">
        <w:fldChar w:fldCharType="separate"/>
      </w:r>
      <w:r w:rsidR="005C687F" w:rsidRPr="005C687F">
        <w:rPr>
          <w:rFonts w:cs="Arial"/>
        </w:rPr>
        <w:t>(IRENA, 2025)</w:t>
      </w:r>
      <w:r w:rsidR="005C687F">
        <w:fldChar w:fldCharType="end"/>
      </w:r>
      <w:r w:rsidR="00D0385A">
        <w:t>.</w:t>
      </w:r>
      <w:r w:rsidR="00CF0E0F">
        <w:t xml:space="preserve"> </w:t>
      </w:r>
      <w:r w:rsidR="00400F21">
        <w:t>S</w:t>
      </w:r>
      <w:r w:rsidR="004B0032">
        <w:t xml:space="preserve">ustained investments in technology </w:t>
      </w:r>
      <w:r w:rsidR="00F006EF">
        <w:t>and</w:t>
      </w:r>
      <w:r w:rsidR="003E0737">
        <w:t xml:space="preserve"> i</w:t>
      </w:r>
      <w:r w:rsidR="00045B34">
        <w:t>nnovation</w:t>
      </w:r>
      <w:r w:rsidR="004B5429">
        <w:t xml:space="preserve"> </w:t>
      </w:r>
      <w:r w:rsidR="00F006EF">
        <w:t>are</w:t>
      </w:r>
      <w:r w:rsidR="004B5429">
        <w:t xml:space="preserve"> key component</w:t>
      </w:r>
      <w:r w:rsidR="00F006EF">
        <w:t>s</w:t>
      </w:r>
      <w:r w:rsidR="004B5429">
        <w:t xml:space="preserve"> </w:t>
      </w:r>
      <w:r w:rsidR="008D6EE4">
        <w:t>for</w:t>
      </w:r>
      <w:r w:rsidR="004B5429">
        <w:t xml:space="preserve"> </w:t>
      </w:r>
      <w:r w:rsidR="00AC6A87">
        <w:t xml:space="preserve">the continued </w:t>
      </w:r>
      <w:r w:rsidR="004B5429">
        <w:t xml:space="preserve">success </w:t>
      </w:r>
      <w:r w:rsidR="00AC6A87">
        <w:t xml:space="preserve">of biofuels </w:t>
      </w:r>
      <w:r w:rsidR="004B5429">
        <w:fldChar w:fldCharType="begin"/>
      </w:r>
      <w:r w:rsidR="005C687F">
        <w:instrText xml:space="preserve"> ADDIN ZOTERO_ITEM CSL_CITATION {"citationID":"JkmJdhGV","properties":{"formattedCitation":"(Cantarella et al., 2023)","plainCitation":"(Cantarella et al., 2023)","noteIndex":0},"citationItems":[{"id":1574,"uris":["http://zotero.org/users/9333001/items/UTFEIFJY"],"itemData":{"id":1574,"type":"article-journal","abstract":"Abstract\n            This Opinion highlights several successful cases of biofuel technologies recently described by the IEA Bioenergy Intertask Report on Lessons Learned. The report discussed the potential of biofuels to contribute to a significant market supply, thus replacing fossil fuels and mitigating global warming, and it underscores the challenges in expanding biofuel production and replicating successful models between countries and regions. Based on the lessons learned from conventional, established technologies, the authors analyzed policies, feedstocks, products, technologies, economics, environmental concerns, social aspects, scalability, and ease of implementation and replication in different countries or regions. There are blending mandates in place around the world to foster the use of biofuels. Dependence on the availability and price fluctuations of crop feedstocks may limit biofuel production in certain circumstances. Legal restrictions on using food crops as feedstocks present obstacles to scaling up production. Temporary constraints related to feedstock costs and availability, as evidenced by changes and postponements of biofuel blending mandates in various countries (particularly during the COVID</w:instrText>
      </w:r>
      <w:r w:rsidR="005C687F">
        <w:rPr>
          <w:rFonts w:ascii="Cambria Math" w:hAnsi="Cambria Math" w:cs="Cambria Math"/>
        </w:rPr>
        <w:instrText>‐</w:instrText>
      </w:r>
      <w:r w:rsidR="005C687F">
        <w:instrText>19 pandemic) also pose challenges. Technological hurdles exist for advanced biofuels that implicate premium pricing. Still, 2G ethanol from sugarcane meets very strict feedstock requirements with a carbon footprint so low that only electric vehicles charged in Norway could have life</w:instrText>
      </w:r>
      <w:r w:rsidR="005C687F">
        <w:rPr>
          <w:rFonts w:ascii="Cambria Math" w:hAnsi="Cambria Math" w:cs="Cambria Math"/>
        </w:rPr>
        <w:instrText>‐</w:instrText>
      </w:r>
      <w:r w:rsidR="005C687F">
        <w:instrText>cycle GHG emissions at the same level as a 2G ethanol</w:instrText>
      </w:r>
      <w:r w:rsidR="005C687F">
        <w:rPr>
          <w:rFonts w:ascii="Cambria Math" w:hAnsi="Cambria Math" w:cs="Cambria Math"/>
        </w:rPr>
        <w:instrText>‐</w:instrText>
      </w:r>
      <w:r w:rsidR="005C687F">
        <w:instrText>fueled combustion engine car. The authors evaluate whether and how much electrification could contribute to advance the decarbonization efforts in different countries. Drawing from these observations, the authors express their viewpoints to assist researchers and policymakers in the energy sector in formulating viable approaches to combat the climate crisis.","container-title":"GCB Bioenergy","DOI":"10.1111/gcbb.13091","ISSN":"1757-1693, 1757-1707","issue":"10","journalAbbreviation":"GCB Bioenergy","language":"en","page":"1190-1203","source":"DOI.org (Crossref)","title":"Biofuel technologies: Lessons learned and pathways to decarbonization","title-short":"Biofuel technologies","URL":"https://onlinelibrary.wiley.com/doi/10.1111/gcbb.13091","volume":"15","author":[{"family":"Cantarella","given":"Heitor"},{"family":"Leal Silva","given":"Jean Felipe"},{"family":"Nogueira","given":"Luiz Augusto Horta"},{"family":"Maciel Filho","given":"Rubens"},{"family":"Rossetto","given":"Raffaella"},{"family":"Ekbom","given":"Tomas"},{"family":"Souza","given":"Glaucia Mendes"},{"family":"Mueller</w:instrText>
      </w:r>
      <w:r w:rsidR="005C687F">
        <w:rPr>
          <w:rFonts w:ascii="Cambria Math" w:hAnsi="Cambria Math" w:cs="Cambria Math"/>
        </w:rPr>
        <w:instrText>‐</w:instrText>
      </w:r>
      <w:r w:rsidR="005C687F">
        <w:instrText xml:space="preserve">Langer","given":"Franziska"}],"accessed":{"date-parts":[["2026",1,26]]},"issued":{"date-parts":[["2023",10]]}}}],"schema":"https://github.com/citation-style-language/schema/raw/master/csl-citation.json"} </w:instrText>
      </w:r>
      <w:r w:rsidR="004B5429">
        <w:fldChar w:fldCharType="separate"/>
      </w:r>
      <w:r w:rsidR="005C687F" w:rsidRPr="005C687F">
        <w:rPr>
          <w:rFonts w:cs="Arial"/>
        </w:rPr>
        <w:t>(Cantarella et al., 2023)</w:t>
      </w:r>
      <w:r w:rsidR="004B5429">
        <w:fldChar w:fldCharType="end"/>
      </w:r>
      <w:r w:rsidR="004B5429">
        <w:t>.</w:t>
      </w:r>
      <w:r w:rsidR="00A26218">
        <w:t xml:space="preserve"> </w:t>
      </w:r>
      <w:r w:rsidR="00EB4333">
        <w:t>C</w:t>
      </w:r>
      <w:r w:rsidR="00A26218">
        <w:t xml:space="preserve">onsidering </w:t>
      </w:r>
      <w:r w:rsidR="00AC6A87">
        <w:t xml:space="preserve">that </w:t>
      </w:r>
      <w:r w:rsidR="00A26218">
        <w:t xml:space="preserve">a major component of </w:t>
      </w:r>
      <w:r w:rsidR="0048678A">
        <w:t xml:space="preserve">biofuel production costs </w:t>
      </w:r>
      <w:r w:rsidR="00A26218">
        <w:t xml:space="preserve">is </w:t>
      </w:r>
      <w:r w:rsidR="00101CA1">
        <w:t>tied</w:t>
      </w:r>
      <w:r w:rsidR="00A26218">
        <w:t xml:space="preserve"> to </w:t>
      </w:r>
      <w:r w:rsidR="00101CA1">
        <w:t xml:space="preserve">the </w:t>
      </w:r>
      <w:r w:rsidR="00A26218">
        <w:t>agricultural</w:t>
      </w:r>
      <w:r w:rsidR="00101CA1">
        <w:t xml:space="preserve"> </w:t>
      </w:r>
      <w:r w:rsidR="0048524F">
        <w:t>phase</w:t>
      </w:r>
      <w:r w:rsidR="00101CA1">
        <w:t xml:space="preserve"> </w:t>
      </w:r>
      <w:r w:rsidR="00101CA1">
        <w:fldChar w:fldCharType="begin"/>
      </w:r>
      <w:r w:rsidR="00182C1F">
        <w:instrText xml:space="preserve"> ADDIN ZOTERO_ITEM CSL_CITATION {"citationID":"ezmolkCD","properties":{"formattedCitation":"(Cortez and Rosillo-Calle, 2023)","plainCitation":"(Cortez and Rosillo-Calle, 2023)","noteIndex":0},"citationItems":[{"id":1381,"uris":["http://zotero.org/users/9333001/items/E4UA5E8E"],"itemData":{"id":1381,"type":"book","abstract":"The current upheaval in the energy sector, and the consequent potential implication for biofuels, have led the authors to write this book. The prime focus is Brazil whose historical experience has been, and continue to be, a source of inspiration worldwide. \nThe book is aimed at a wide readership. It examines the key historical development of biofuels in Brazil, current and future. The book investigates these key developments in detail. \nThe reader interested in biofuels and their wider implications, will be enriched by this unique experience. In a world where fossil fuels will, eventually, be phased out, biofuels represent a viable partial alternative in many countries. Biofuels represent a world of possibilities\n.","ISBN":"978-65-5506-746-0","language":"inglês","number-of-pages":"184","publisher":"Editora Edgard Blucher","publisher-place":"São Paulo, SP","source":"Câmara Brasileira do Livro ISBN","title":"The future role of biofuels in the new energy transition: Lessons and perspectives of biofuels in Brazil","title-short":"The future role of biofuels in the new energy transition","author":[{"family":"Cortez","given":"Luís Augusto Barbosa"},{"family":"Rosillo-Calle","given":"Frank"}],"issued":{"date-parts":[["2023",8,4]]}}}],"schema":"https://github.com/citation-style-language/schema/raw/master/csl-citation.json"} </w:instrText>
      </w:r>
      <w:r w:rsidR="00101CA1">
        <w:fldChar w:fldCharType="separate"/>
      </w:r>
      <w:r w:rsidR="00101CA1" w:rsidRPr="00101CA1">
        <w:rPr>
          <w:rFonts w:cs="Arial"/>
        </w:rPr>
        <w:t>(Cortez and Rosillo-Calle, 2023)</w:t>
      </w:r>
      <w:r w:rsidR="00101CA1">
        <w:fldChar w:fldCharType="end"/>
      </w:r>
      <w:r w:rsidR="007D34C3">
        <w:t xml:space="preserve">, </w:t>
      </w:r>
      <w:r w:rsidR="0048524F">
        <w:t xml:space="preserve">broad </w:t>
      </w:r>
      <w:r w:rsidR="007D34C3">
        <w:t>efficiency gains in agricultur</w:t>
      </w:r>
      <w:r w:rsidR="001D3963">
        <w:t>al value chains</w:t>
      </w:r>
      <w:r w:rsidR="007D34C3">
        <w:t xml:space="preserve">, such as those potentially delivered by digital transformation </w:t>
      </w:r>
      <w:r w:rsidR="007D34C3">
        <w:fldChar w:fldCharType="begin"/>
      </w:r>
      <w:r w:rsidR="00182C1F">
        <w:instrText xml:space="preserve"> ADDIN ZOTERO_ITEM CSL_CITATION {"citationID":"kTeavdC5","properties":{"formattedCitation":"(Massruh\\uc0\\u225{} et al., 2023)","plainCitation":"(Massruhá et al., 2023)","noteIndex":0},"citationItems":[{"id":954,"uris":["http://zotero.org/users/9333001/items/C6G2V9UU"],"itemData":{"id":954,"type":"book","abstract":"The expectation that the world population will reach 9 billion inhabitants in 2050, which will increase food demand, imposes a great challenge for agriculture, such as the need to increase productivity in the same planted area, reducing costs, while respecting the conservation of natural resources. At the same time, extreme weather events affect agricultural production and demanding consumers want more nutritious, functional and sustainably produced food. The population is increasingly concentrated in urban centers, while the displacement of individuals from the countryside to the cities grows, as well as the aging of the rural population. In addition, the coronavirus threat has affected all sectors, such as health, education, agribusiness, economy, among others. To overcome all these challenges, it is necessary to generate and use new technologies, adding more value in all stages of the production chains.","ISBN":"978-65-89957-72-0","language":"pt-BR","publisher":"Embrapa","publisher-place":"Brasília, DF","source":"Câmara Brasileira do Livro ISBN","title":"Digital agriculture: research, development and innovation in production chains","title-short":"Digital agriculture","editor":[{"family":"Massruhá","given":"Silvia Maria Fonseca Silveira"},{"family":"Leite","given":"Maria Angelica de Andrade"},{"family":"Oliveira","given":"Stanley Robson de Medeiros"},{"family":"Meira","given":"Carlos Alberto Alves"},{"family":"Luchiari Junior","given":"Ariovaldo"},{"family":"Bolfe","given":"Édson Luis"}],"translator":[{"family":"Young","given":"Beverly Victoria"},{"family":"Mokross","given":"Karl Stephan"}],"issued":{"date-parts":[["2023",4,28]]}}}],"schema":"https://github.com/citation-style-language/schema/raw/master/csl-citation.json"} </w:instrText>
      </w:r>
      <w:r w:rsidR="007D34C3">
        <w:fldChar w:fldCharType="separate"/>
      </w:r>
      <w:r w:rsidR="007D34C3" w:rsidRPr="007D34C3">
        <w:rPr>
          <w:rFonts w:cs="Arial"/>
        </w:rPr>
        <w:t>(Massruhá et al., 2023)</w:t>
      </w:r>
      <w:r w:rsidR="007D34C3">
        <w:fldChar w:fldCharType="end"/>
      </w:r>
      <w:r w:rsidR="006B2AEC">
        <w:t xml:space="preserve">, </w:t>
      </w:r>
      <w:r w:rsidR="00D146C2">
        <w:t xml:space="preserve">therefore </w:t>
      </w:r>
      <w:r w:rsidR="006B2AEC">
        <w:t>assume a strategic importance</w:t>
      </w:r>
      <w:r w:rsidR="0054633E">
        <w:t xml:space="preserve"> for the biofuel sector</w:t>
      </w:r>
      <w:r w:rsidR="006B2AEC">
        <w:t>.</w:t>
      </w:r>
    </w:p>
    <w:p w14:paraId="59FC51FB" w14:textId="60A8AD14" w:rsidR="004363A0" w:rsidRDefault="008F18DC" w:rsidP="00126A89">
      <w:pPr>
        <w:pStyle w:val="CETBodytext"/>
      </w:pPr>
      <w:r>
        <w:t xml:space="preserve">The </w:t>
      </w:r>
      <w:r w:rsidR="004B5EA5">
        <w:t>present</w:t>
      </w:r>
      <w:r w:rsidR="00A07D71">
        <w:t xml:space="preserve"> study evaluates the </w:t>
      </w:r>
      <w:r w:rsidR="00F616E9">
        <w:t xml:space="preserve">regional </w:t>
      </w:r>
      <w:r w:rsidR="00A07D71">
        <w:t xml:space="preserve">socioeconomic impacts of the projected expansion of biofuel demand in Brazil </w:t>
      </w:r>
      <w:r w:rsidR="003B02FC">
        <w:t>by</w:t>
      </w:r>
      <w:r w:rsidR="00A07D71">
        <w:t xml:space="preserve"> 2035</w:t>
      </w:r>
      <w:r w:rsidR="004C4541">
        <w:t xml:space="preserve"> </w:t>
      </w:r>
      <w:r w:rsidR="004C4541">
        <w:fldChar w:fldCharType="begin"/>
      </w:r>
      <w:r w:rsidR="00BD457F">
        <w:instrText xml:space="preserve"> ADDIN ZOTERO_ITEM CSL_CITATION {"citationID":"G5GzfKaz","properties":{"formattedCitation":"(EPE, 2025)","plainCitation":"(EPE,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schema":"https://github.com/citation-style-language/schema/raw/master/csl-citation.json"} </w:instrText>
      </w:r>
      <w:r w:rsidR="004C4541">
        <w:fldChar w:fldCharType="separate"/>
      </w:r>
      <w:r w:rsidR="004C4541" w:rsidRPr="006336FF">
        <w:rPr>
          <w:rFonts w:cs="Arial"/>
        </w:rPr>
        <w:t>(EPE, 2025)</w:t>
      </w:r>
      <w:r w:rsidR="004C4541">
        <w:fldChar w:fldCharType="end"/>
      </w:r>
      <w:r w:rsidR="00954D57">
        <w:t xml:space="preserve"> through an</w:t>
      </w:r>
      <w:r w:rsidR="00276F16">
        <w:t xml:space="preserve"> </w:t>
      </w:r>
      <w:r w:rsidR="009B7F33">
        <w:t xml:space="preserve">updated </w:t>
      </w:r>
      <w:r w:rsidR="00276F16" w:rsidRPr="00935E46">
        <w:t>interregional input-output</w:t>
      </w:r>
      <w:r w:rsidR="00954D57">
        <w:t xml:space="preserve"> </w:t>
      </w:r>
      <w:r w:rsidR="00276F16">
        <w:t>(</w:t>
      </w:r>
      <w:r w:rsidR="00954D57">
        <w:t>I-O</w:t>
      </w:r>
      <w:r w:rsidR="00276F16">
        <w:t>)</w:t>
      </w:r>
      <w:r w:rsidR="00954D57">
        <w:t xml:space="preserve"> </w:t>
      </w:r>
      <w:r w:rsidR="00DF6F9D">
        <w:t>model</w:t>
      </w:r>
      <w:r w:rsidR="00F2707E">
        <w:t>.</w:t>
      </w:r>
      <w:r w:rsidR="0025303B">
        <w:t xml:space="preserve"> </w:t>
      </w:r>
      <w:r w:rsidR="00E37F46" w:rsidRPr="00E37F46">
        <w:rPr>
          <w:rFonts w:cs="Arial"/>
          <w:szCs w:val="18"/>
        </w:rPr>
        <w:t>This I</w:t>
      </w:r>
      <w:r w:rsidR="00E37F46">
        <w:rPr>
          <w:rFonts w:cs="Arial"/>
          <w:szCs w:val="18"/>
        </w:rPr>
        <w:t>-</w:t>
      </w:r>
      <w:r w:rsidR="00E37F46" w:rsidRPr="00E37F46">
        <w:rPr>
          <w:rFonts w:cs="Arial"/>
          <w:szCs w:val="18"/>
        </w:rPr>
        <w:t xml:space="preserve">O approach </w:t>
      </w:r>
      <w:r w:rsidR="006F6D80" w:rsidRPr="006F6D80">
        <w:rPr>
          <w:rFonts w:cs="Arial"/>
          <w:szCs w:val="18"/>
        </w:rPr>
        <w:t>is also suitable for assessing the potential impacts o</w:t>
      </w:r>
      <w:r w:rsidR="00E37F46" w:rsidRPr="00E37F46">
        <w:rPr>
          <w:rFonts w:cs="Arial"/>
          <w:szCs w:val="18"/>
        </w:rPr>
        <w:t xml:space="preserve">f digital transformation in agriculture by representing it as </w:t>
      </w:r>
      <w:r w:rsidR="00421D9D" w:rsidRPr="00421D9D">
        <w:rPr>
          <w:rFonts w:cs="Arial"/>
          <w:szCs w:val="18"/>
        </w:rPr>
        <w:t>operational improvements and value-chain efficiency gains</w:t>
      </w:r>
      <w:r w:rsidR="00E37F46" w:rsidRPr="00E37F46">
        <w:rPr>
          <w:rFonts w:cs="Arial"/>
          <w:szCs w:val="18"/>
        </w:rPr>
        <w:t>.</w:t>
      </w:r>
    </w:p>
    <w:p w14:paraId="52F3637C" w14:textId="01DEF858" w:rsidR="00514541" w:rsidRDefault="00514541" w:rsidP="001D7995">
      <w:pPr>
        <w:pStyle w:val="CETHeading1"/>
      </w:pPr>
      <w:r>
        <w:t>Methods</w:t>
      </w:r>
    </w:p>
    <w:p w14:paraId="5D2F79D0" w14:textId="75D315B4" w:rsidR="000735A8" w:rsidRPr="00784686" w:rsidRDefault="000735A8" w:rsidP="000735A8">
      <w:pPr>
        <w:pStyle w:val="CETheadingx"/>
      </w:pPr>
      <w:r>
        <w:t>The input-output framework</w:t>
      </w:r>
    </w:p>
    <w:p w14:paraId="08483AE0" w14:textId="45198165" w:rsidR="00816069" w:rsidRDefault="00A1205B" w:rsidP="00300F8E">
      <w:pPr>
        <w:pStyle w:val="CETBodytext"/>
        <w:rPr>
          <w:rFonts w:cs="Arial"/>
          <w:szCs w:val="18"/>
        </w:rPr>
      </w:pPr>
      <w:r w:rsidRPr="00816069">
        <w:rPr>
          <w:rFonts w:cs="Arial"/>
          <w:szCs w:val="18"/>
        </w:rPr>
        <w:t xml:space="preserve">The </w:t>
      </w:r>
      <w:r w:rsidR="00933C04">
        <w:rPr>
          <w:rFonts w:cs="Arial"/>
          <w:szCs w:val="18"/>
        </w:rPr>
        <w:t xml:space="preserve">I-O </w:t>
      </w:r>
      <w:r w:rsidRPr="00816069">
        <w:rPr>
          <w:rFonts w:cs="Arial"/>
          <w:szCs w:val="18"/>
        </w:rPr>
        <w:t>model’s transparent structure and</w:t>
      </w:r>
      <w:r>
        <w:rPr>
          <w:rFonts w:cs="Arial"/>
          <w:szCs w:val="18"/>
        </w:rPr>
        <w:t xml:space="preserve"> its</w:t>
      </w:r>
      <w:r w:rsidRPr="00816069">
        <w:rPr>
          <w:rFonts w:cs="Arial"/>
          <w:szCs w:val="18"/>
        </w:rPr>
        <w:t xml:space="preserve"> lower data requirements allow the construction of a disaggregated, multisectoral and multiregional representation of </w:t>
      </w:r>
      <w:r w:rsidR="0059768B">
        <w:rPr>
          <w:rFonts w:cs="Arial"/>
          <w:szCs w:val="18"/>
        </w:rPr>
        <w:t xml:space="preserve">a more recent year </w:t>
      </w:r>
      <w:r w:rsidR="00773458">
        <w:rPr>
          <w:rFonts w:cs="Arial"/>
          <w:szCs w:val="18"/>
        </w:rPr>
        <w:t xml:space="preserve">of </w:t>
      </w:r>
      <w:r w:rsidRPr="00816069">
        <w:rPr>
          <w:rFonts w:cs="Arial"/>
          <w:szCs w:val="18"/>
        </w:rPr>
        <w:t>the Brazilian economy (e.g., 2022)</w:t>
      </w:r>
      <w:r w:rsidR="00BD457F">
        <w:rPr>
          <w:rFonts w:cs="Arial"/>
          <w:szCs w:val="18"/>
        </w:rPr>
        <w:t xml:space="preserve"> compared to </w:t>
      </w:r>
      <w:r w:rsidR="00D15340">
        <w:rPr>
          <w:rFonts w:cs="Arial"/>
          <w:szCs w:val="18"/>
        </w:rPr>
        <w:t xml:space="preserve">information available in </w:t>
      </w:r>
      <w:r w:rsidR="00BD457F">
        <w:rPr>
          <w:rFonts w:cs="Arial"/>
          <w:szCs w:val="18"/>
        </w:rPr>
        <w:t xml:space="preserve">other studies </w:t>
      </w:r>
      <w:r w:rsidR="00BD457F">
        <w:rPr>
          <w:rFonts w:cs="Arial"/>
          <w:szCs w:val="18"/>
        </w:rPr>
        <w:fldChar w:fldCharType="begin"/>
      </w:r>
      <w:r w:rsidR="00B935FE">
        <w:rPr>
          <w:rFonts w:cs="Arial"/>
          <w:szCs w:val="18"/>
        </w:rPr>
        <w:instrText xml:space="preserve"> ADDIN ZOTERO_ITEM CSL_CITATION {"citationID":"9lg3DHxj","properties":{"formattedCitation":"(Brinkman et al., 2018)","plainCitation":"(Brinkman et al., 2018)","noteIndex":0},"citationItems":[{"id":1627,"uris":["http://zotero.org/users/9333001/items/CRR3ALXF"],"itemData":{"id":1627,"type":"article-journal","container-title":"Renewable and Sustainable Energy Reviews","DOI":"10.1016/j.rser.2018.02.014","ISSN":"13640321","journalAbbreviation":"Renewable and Sustainable Energy Reviews","language":"en","page":"347-362","source":"DOI.org (Crossref)","title":"Interregional assessment of socio-economic effects of sugarcane ethanol production in Brazil","URL":"https://linkinghub.elsevier.com/retrieve/pii/S1364032118300340","volume":"88","author":[{"family":"Brinkman","given":"Marnix L.J."},{"family":"Da Cunha","given":"Marcelo P."},{"family":"Heijnen","given":"Sanne"},{"family":"Wicke","given":"Birka"},{"family":"Guilhoto","given":"Joaquim J.M."},{"family":"Walter","given":"Arnaldo"},{"family":"Faaij","given":"André P.C."},{"family":"Van Der Hilst","given":"Floor"}],"accessed":{"date-parts":[["2026",4,7]]},"issued":{"date-parts":[["2018",5]]}}}],"schema":"https://github.com/citation-style-language/schema/raw/master/csl-citation.json"} </w:instrText>
      </w:r>
      <w:r w:rsidR="00BD457F">
        <w:rPr>
          <w:rFonts w:cs="Arial"/>
          <w:szCs w:val="18"/>
        </w:rPr>
        <w:fldChar w:fldCharType="separate"/>
      </w:r>
      <w:r w:rsidR="00B935FE" w:rsidRPr="00B935FE">
        <w:rPr>
          <w:rFonts w:cs="Arial"/>
        </w:rPr>
        <w:t>(Brinkman et al., 2018)</w:t>
      </w:r>
      <w:r w:rsidR="00BD457F">
        <w:rPr>
          <w:rFonts w:cs="Arial"/>
          <w:szCs w:val="18"/>
        </w:rPr>
        <w:fldChar w:fldCharType="end"/>
      </w:r>
      <w:r w:rsidRPr="00816069">
        <w:rPr>
          <w:rFonts w:cs="Arial"/>
          <w:szCs w:val="18"/>
        </w:rPr>
        <w:t>. This is important for capturing a</w:t>
      </w:r>
      <w:r>
        <w:rPr>
          <w:rFonts w:cs="Arial"/>
          <w:szCs w:val="18"/>
        </w:rPr>
        <w:t>n updated perspective</w:t>
      </w:r>
      <w:r w:rsidRPr="00816069">
        <w:rPr>
          <w:rFonts w:cs="Arial"/>
          <w:szCs w:val="18"/>
        </w:rPr>
        <w:t xml:space="preserve"> of </w:t>
      </w:r>
      <w:r w:rsidR="005C4084">
        <w:rPr>
          <w:rFonts w:cs="Arial"/>
          <w:szCs w:val="18"/>
        </w:rPr>
        <w:t xml:space="preserve">agricultural and </w:t>
      </w:r>
      <w:r w:rsidRPr="00816069">
        <w:rPr>
          <w:rFonts w:cs="Arial"/>
          <w:szCs w:val="18"/>
        </w:rPr>
        <w:t>biofuel value chains</w:t>
      </w:r>
      <w:r w:rsidR="0070513C">
        <w:rPr>
          <w:rFonts w:cs="Arial"/>
          <w:szCs w:val="18"/>
        </w:rPr>
        <w:t xml:space="preserve"> and </w:t>
      </w:r>
      <w:r w:rsidR="0067077E">
        <w:t>projecting</w:t>
      </w:r>
      <w:r w:rsidR="00843916">
        <w:t xml:space="preserve"> </w:t>
      </w:r>
      <w:r w:rsidR="00843916" w:rsidRPr="00935E46">
        <w:t>how</w:t>
      </w:r>
      <w:r w:rsidR="00843916">
        <w:t xml:space="preserve"> </w:t>
      </w:r>
      <w:r w:rsidR="00843916" w:rsidRPr="00935E46">
        <w:t xml:space="preserve">changes in </w:t>
      </w:r>
      <w:r w:rsidR="00843916">
        <w:t>biofuel</w:t>
      </w:r>
      <w:r w:rsidR="00843916" w:rsidRPr="00935E46">
        <w:t xml:space="preserve"> demand</w:t>
      </w:r>
      <w:r w:rsidR="00BC7D49">
        <w:t xml:space="preserve"> </w:t>
      </w:r>
      <w:r w:rsidR="00A43E62">
        <w:t>and digital transformation</w:t>
      </w:r>
      <w:r w:rsidR="00380EF5">
        <w:t xml:space="preserve"> in agriculture</w:t>
      </w:r>
      <w:r w:rsidR="00A43E62">
        <w:t xml:space="preserve"> </w:t>
      </w:r>
      <w:r w:rsidR="00843916" w:rsidRPr="00935E46">
        <w:t xml:space="preserve">will </w:t>
      </w:r>
      <w:r w:rsidR="00E322A2" w:rsidRPr="00816069">
        <w:rPr>
          <w:rFonts w:cs="Arial"/>
          <w:szCs w:val="18"/>
        </w:rPr>
        <w:t>propagate through</w:t>
      </w:r>
      <w:r w:rsidR="0067077E">
        <w:rPr>
          <w:rFonts w:cs="Arial"/>
          <w:szCs w:val="18"/>
        </w:rPr>
        <w:t>out</w:t>
      </w:r>
      <w:r w:rsidR="00E322A2" w:rsidRPr="00816069">
        <w:rPr>
          <w:rFonts w:cs="Arial"/>
          <w:szCs w:val="18"/>
        </w:rPr>
        <w:t xml:space="preserve"> </w:t>
      </w:r>
      <w:r w:rsidR="00773458">
        <w:rPr>
          <w:rFonts w:cs="Arial"/>
          <w:szCs w:val="18"/>
        </w:rPr>
        <w:t>the economy</w:t>
      </w:r>
      <w:r w:rsidR="00843916" w:rsidRPr="00935E46">
        <w:t>.</w:t>
      </w:r>
      <w:r w:rsidR="00816069" w:rsidRPr="00816069">
        <w:rPr>
          <w:rFonts w:cs="Arial"/>
          <w:szCs w:val="18"/>
        </w:rPr>
        <w:t xml:space="preserve"> While </w:t>
      </w:r>
      <w:r w:rsidR="008F7BD6">
        <w:rPr>
          <w:rFonts w:cs="Arial"/>
          <w:szCs w:val="18"/>
        </w:rPr>
        <w:t>the I-O</w:t>
      </w:r>
      <w:r w:rsidR="00816069" w:rsidRPr="00816069">
        <w:rPr>
          <w:rFonts w:cs="Arial"/>
          <w:szCs w:val="18"/>
        </w:rPr>
        <w:t xml:space="preserve"> approach abstracts from price adjustments and resource constraints</w:t>
      </w:r>
      <w:r w:rsidR="00F4382B">
        <w:rPr>
          <w:rFonts w:cs="Arial"/>
          <w:szCs w:val="18"/>
        </w:rPr>
        <w:t xml:space="preserve"> </w:t>
      </w:r>
      <w:r w:rsidR="00F4382B">
        <w:rPr>
          <w:rFonts w:cs="Arial"/>
          <w:szCs w:val="18"/>
        </w:rPr>
        <w:fldChar w:fldCharType="begin"/>
      </w:r>
      <w:r w:rsidR="00182C1F">
        <w:rPr>
          <w:rFonts w:cs="Arial"/>
          <w:szCs w:val="18"/>
        </w:rPr>
        <w:instrText xml:space="preserve"> ADDIN ZOTERO_ITEM CSL_CITATION {"citationID":"ROkrSoyy","properties":{"formattedCitation":"(Miller and Blair, 2009)","plainCitation":"(Miller and Blair, 2009)","noteIndex":0},"citationItems":[{"id":460,"uris":["http://zotero.org/users/9333001/items/Q3IGNWKN"],"itemData":{"id":460,"type":"book","call-number":"HB142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D."}],"issued":{"date-parts":[["2009"]]}}}],"schema":"https://github.com/citation-style-language/schema/raw/master/csl-citation.json"} </w:instrText>
      </w:r>
      <w:r w:rsidR="00F4382B">
        <w:rPr>
          <w:rFonts w:cs="Arial"/>
          <w:szCs w:val="18"/>
        </w:rPr>
        <w:fldChar w:fldCharType="separate"/>
      </w:r>
      <w:r w:rsidR="00F4382B" w:rsidRPr="00B21FB3">
        <w:rPr>
          <w:rFonts w:cs="Arial"/>
        </w:rPr>
        <w:t>(Miller and Blair, 2009)</w:t>
      </w:r>
      <w:r w:rsidR="00F4382B">
        <w:rPr>
          <w:rFonts w:cs="Arial"/>
          <w:szCs w:val="18"/>
        </w:rPr>
        <w:fldChar w:fldCharType="end"/>
      </w:r>
      <w:r w:rsidR="00816069" w:rsidRPr="00816069">
        <w:rPr>
          <w:rFonts w:cs="Arial"/>
          <w:szCs w:val="18"/>
        </w:rPr>
        <w:t xml:space="preserve">, it </w:t>
      </w:r>
      <w:r w:rsidR="008F7BD6">
        <w:rPr>
          <w:rFonts w:cs="Arial"/>
          <w:szCs w:val="18"/>
        </w:rPr>
        <w:t xml:space="preserve">nevertheless </w:t>
      </w:r>
      <w:r w:rsidR="00816069" w:rsidRPr="00816069">
        <w:rPr>
          <w:rFonts w:cs="Arial"/>
          <w:szCs w:val="18"/>
        </w:rPr>
        <w:t>provides a robust</w:t>
      </w:r>
      <w:r w:rsidR="0085691A">
        <w:rPr>
          <w:rFonts w:cs="Arial"/>
          <w:szCs w:val="18"/>
        </w:rPr>
        <w:t>,</w:t>
      </w:r>
      <w:r w:rsidR="00816069" w:rsidRPr="00816069">
        <w:rPr>
          <w:rFonts w:cs="Arial"/>
          <w:szCs w:val="18"/>
        </w:rPr>
        <w:t xml:space="preserve"> policy-relevant first-order approximation of economy-wide impacts, which is central to the scope of this analysis.</w:t>
      </w:r>
    </w:p>
    <w:p w14:paraId="41EA2A04" w14:textId="5DD6EEEA" w:rsidR="00AA68E9" w:rsidRDefault="00C000C3" w:rsidP="00ED0839">
      <w:pPr>
        <w:pStyle w:val="CETBodytext"/>
        <w:rPr>
          <w:rFonts w:cs="Arial"/>
          <w:szCs w:val="18"/>
        </w:rPr>
      </w:pPr>
      <w:r>
        <w:rPr>
          <w:rFonts w:cs="Arial"/>
          <w:szCs w:val="18"/>
        </w:rPr>
        <w:t xml:space="preserve">An essential </w:t>
      </w:r>
      <w:r w:rsidR="00AA68E9">
        <w:rPr>
          <w:rFonts w:cs="Arial"/>
          <w:szCs w:val="18"/>
        </w:rPr>
        <w:t>data</w:t>
      </w:r>
      <w:r>
        <w:rPr>
          <w:rFonts w:cs="Arial"/>
          <w:szCs w:val="18"/>
        </w:rPr>
        <w:t xml:space="preserve">set </w:t>
      </w:r>
      <w:r w:rsidR="007D32FF">
        <w:rPr>
          <w:rFonts w:cs="Arial"/>
          <w:szCs w:val="18"/>
        </w:rPr>
        <w:t xml:space="preserve">for the I-O model </w:t>
      </w:r>
      <w:r w:rsidR="00FD30CD">
        <w:rPr>
          <w:rFonts w:cs="Arial"/>
          <w:szCs w:val="18"/>
        </w:rPr>
        <w:t>comprises the</w:t>
      </w:r>
      <w:r w:rsidR="007D32FF">
        <w:rPr>
          <w:rFonts w:cs="Arial"/>
          <w:szCs w:val="18"/>
        </w:rPr>
        <w:t xml:space="preserve"> monetar</w:t>
      </w:r>
      <w:r w:rsidR="00D21D58">
        <w:rPr>
          <w:rFonts w:cs="Arial"/>
          <w:szCs w:val="18"/>
        </w:rPr>
        <w:t>y</w:t>
      </w:r>
      <w:r w:rsidR="007D32FF">
        <w:rPr>
          <w:rFonts w:cs="Arial"/>
          <w:szCs w:val="18"/>
        </w:rPr>
        <w:t xml:space="preserve"> values </w:t>
      </w:r>
      <w:r w:rsidR="00A45D9B">
        <w:rPr>
          <w:rFonts w:cs="Arial"/>
          <w:szCs w:val="18"/>
        </w:rPr>
        <w:t xml:space="preserve">of transactions between pairs of sectors, </w:t>
      </w:r>
      <w:r w:rsidR="004A5634">
        <w:rPr>
          <w:rFonts w:cs="Arial"/>
          <w:szCs w:val="18"/>
        </w:rPr>
        <w:t>designated as z</w:t>
      </w:r>
      <w:r w:rsidR="004A5634" w:rsidRPr="00D6591A">
        <w:rPr>
          <w:rFonts w:cs="Arial"/>
          <w:i/>
          <w:iCs/>
          <w:szCs w:val="18"/>
        </w:rPr>
        <w:t>ij</w:t>
      </w:r>
      <w:r w:rsidR="0091296E">
        <w:rPr>
          <w:rFonts w:cs="Arial"/>
          <w:i/>
          <w:iCs/>
          <w:szCs w:val="18"/>
        </w:rPr>
        <w:t>¸</w:t>
      </w:r>
      <w:r w:rsidR="0091296E">
        <w:rPr>
          <w:rFonts w:cs="Arial"/>
          <w:szCs w:val="18"/>
        </w:rPr>
        <w:t xml:space="preserve"> </w:t>
      </w:r>
      <w:r w:rsidR="00441F84">
        <w:rPr>
          <w:rFonts w:cs="Arial"/>
          <w:szCs w:val="18"/>
        </w:rPr>
        <w:t>i.</w:t>
      </w:r>
      <w:r w:rsidR="0091296E">
        <w:rPr>
          <w:rFonts w:cs="Arial"/>
          <w:szCs w:val="18"/>
        </w:rPr>
        <w:t>e. the interindustry sales by se</w:t>
      </w:r>
      <w:r w:rsidR="0019633A">
        <w:rPr>
          <w:rFonts w:cs="Arial"/>
          <w:szCs w:val="18"/>
        </w:rPr>
        <w:t>c</w:t>
      </w:r>
      <w:r w:rsidR="0091296E">
        <w:rPr>
          <w:rFonts w:cs="Arial"/>
          <w:szCs w:val="18"/>
        </w:rPr>
        <w:t xml:space="preserve">tor </w:t>
      </w:r>
      <w:r w:rsidR="0091296E" w:rsidRPr="0019633A">
        <w:rPr>
          <w:rFonts w:cs="Arial"/>
          <w:i/>
          <w:iCs/>
          <w:szCs w:val="18"/>
        </w:rPr>
        <w:t>i</w:t>
      </w:r>
      <w:r w:rsidR="0091296E">
        <w:rPr>
          <w:rFonts w:cs="Arial"/>
          <w:szCs w:val="18"/>
        </w:rPr>
        <w:t xml:space="preserve"> (intermediate sales)</w:t>
      </w:r>
      <w:r w:rsidR="0019633A">
        <w:rPr>
          <w:rFonts w:cs="Arial"/>
          <w:szCs w:val="18"/>
        </w:rPr>
        <w:t xml:space="preserve"> to all sectors </w:t>
      </w:r>
      <w:r w:rsidR="0019633A" w:rsidRPr="0019633A">
        <w:rPr>
          <w:rFonts w:cs="Arial"/>
          <w:i/>
          <w:iCs/>
          <w:szCs w:val="18"/>
        </w:rPr>
        <w:t>j</w:t>
      </w:r>
      <w:r w:rsidR="0019633A">
        <w:rPr>
          <w:rFonts w:cs="Arial"/>
          <w:szCs w:val="18"/>
        </w:rPr>
        <w:t xml:space="preserve">, including itself when </w:t>
      </w:r>
      <w:r w:rsidR="0019633A" w:rsidRPr="0019633A">
        <w:rPr>
          <w:rFonts w:cs="Arial"/>
          <w:i/>
          <w:iCs/>
          <w:szCs w:val="18"/>
        </w:rPr>
        <w:t>j</w:t>
      </w:r>
      <w:r w:rsidR="0019633A">
        <w:rPr>
          <w:rFonts w:cs="Arial"/>
          <w:szCs w:val="18"/>
        </w:rPr>
        <w:t>=</w:t>
      </w:r>
      <w:r w:rsidR="0019633A" w:rsidRPr="0019633A">
        <w:rPr>
          <w:rFonts w:cs="Arial"/>
          <w:i/>
          <w:iCs/>
          <w:szCs w:val="18"/>
        </w:rPr>
        <w:t>i</w:t>
      </w:r>
      <w:r w:rsidR="0019633A">
        <w:rPr>
          <w:rFonts w:cs="Arial"/>
          <w:szCs w:val="18"/>
        </w:rPr>
        <w:t>.</w:t>
      </w:r>
      <w:r w:rsidR="00D21D58">
        <w:rPr>
          <w:rFonts w:cs="Arial"/>
          <w:szCs w:val="18"/>
        </w:rPr>
        <w:t xml:space="preserve"> </w:t>
      </w:r>
      <w:r w:rsidR="000D4798">
        <w:rPr>
          <w:rFonts w:cs="Arial"/>
          <w:szCs w:val="18"/>
        </w:rPr>
        <w:t>A</w:t>
      </w:r>
      <w:r w:rsidR="00C53099">
        <w:rPr>
          <w:rFonts w:cs="Arial"/>
          <w:szCs w:val="18"/>
        </w:rPr>
        <w:t>ddition</w:t>
      </w:r>
      <w:r w:rsidR="000D4798">
        <w:rPr>
          <w:rFonts w:cs="Arial"/>
          <w:szCs w:val="18"/>
        </w:rPr>
        <w:t>ally</w:t>
      </w:r>
      <w:r w:rsidR="00C53099">
        <w:rPr>
          <w:rFonts w:cs="Arial"/>
          <w:szCs w:val="18"/>
        </w:rPr>
        <w:t xml:space="preserve">, </w:t>
      </w:r>
      <w:r w:rsidR="002F2EE4">
        <w:rPr>
          <w:rFonts w:cs="Arial"/>
          <w:szCs w:val="18"/>
        </w:rPr>
        <w:t xml:space="preserve">there are sales </w:t>
      </w:r>
      <w:r w:rsidR="005B3C92">
        <w:rPr>
          <w:rFonts w:cs="Arial"/>
          <w:szCs w:val="18"/>
        </w:rPr>
        <w:t>to other demand sources</w:t>
      </w:r>
      <w:r w:rsidR="002F2EE4">
        <w:rPr>
          <w:rFonts w:cs="Arial"/>
          <w:szCs w:val="18"/>
        </w:rPr>
        <w:t>,</w:t>
      </w:r>
      <w:r w:rsidR="0016622D">
        <w:rPr>
          <w:rFonts w:cs="Arial"/>
          <w:szCs w:val="18"/>
        </w:rPr>
        <w:t xml:space="preserve"> such </w:t>
      </w:r>
      <w:r w:rsidR="005B3C92">
        <w:rPr>
          <w:rFonts w:cs="Arial"/>
          <w:szCs w:val="18"/>
        </w:rPr>
        <w:t xml:space="preserve">as </w:t>
      </w:r>
      <w:r w:rsidR="0016622D">
        <w:rPr>
          <w:rFonts w:cs="Arial"/>
          <w:szCs w:val="18"/>
        </w:rPr>
        <w:t xml:space="preserve">households, government, </w:t>
      </w:r>
      <w:r w:rsidR="002646CA">
        <w:rPr>
          <w:rFonts w:cs="Arial"/>
          <w:szCs w:val="18"/>
        </w:rPr>
        <w:t>and foreign trade.</w:t>
      </w:r>
      <w:r w:rsidR="002F2EE4">
        <w:rPr>
          <w:rFonts w:cs="Arial"/>
          <w:szCs w:val="18"/>
        </w:rPr>
        <w:t xml:space="preserve"> </w:t>
      </w:r>
      <w:r w:rsidR="00B21FB3">
        <w:rPr>
          <w:rFonts w:cs="Arial"/>
          <w:szCs w:val="18"/>
        </w:rPr>
        <w:t xml:space="preserve">The demand of these external units is </w:t>
      </w:r>
      <w:r w:rsidR="00357CB8">
        <w:rPr>
          <w:rFonts w:cs="Arial"/>
          <w:szCs w:val="18"/>
        </w:rPr>
        <w:t>refe</w:t>
      </w:r>
      <w:r w:rsidR="00C57E53">
        <w:rPr>
          <w:rFonts w:cs="Arial"/>
          <w:szCs w:val="18"/>
        </w:rPr>
        <w:t>rred to</w:t>
      </w:r>
      <w:r w:rsidR="00B21FB3">
        <w:rPr>
          <w:rFonts w:cs="Arial"/>
          <w:szCs w:val="18"/>
        </w:rPr>
        <w:t xml:space="preserve"> as final demand</w:t>
      </w:r>
      <w:r w:rsidR="00AA1A36">
        <w:rPr>
          <w:rFonts w:cs="Arial"/>
          <w:szCs w:val="18"/>
        </w:rPr>
        <w:t>, f</w:t>
      </w:r>
      <w:r w:rsidR="00AA1A36" w:rsidRPr="00AA1A36">
        <w:rPr>
          <w:rFonts w:cs="Arial"/>
          <w:i/>
          <w:iCs/>
          <w:szCs w:val="18"/>
        </w:rPr>
        <w:t>i</w:t>
      </w:r>
      <w:r w:rsidR="00374BFF">
        <w:rPr>
          <w:rFonts w:cs="Arial"/>
          <w:szCs w:val="18"/>
        </w:rPr>
        <w:t xml:space="preserve">, </w:t>
      </w:r>
      <w:r w:rsidR="00783C86">
        <w:rPr>
          <w:rFonts w:cs="Arial"/>
          <w:szCs w:val="18"/>
        </w:rPr>
        <w:t>which represents</w:t>
      </w:r>
      <w:r w:rsidR="000B2A00">
        <w:rPr>
          <w:rFonts w:cs="Arial"/>
          <w:szCs w:val="18"/>
        </w:rPr>
        <w:t xml:space="preserve"> </w:t>
      </w:r>
      <w:r w:rsidR="00AA1A36">
        <w:rPr>
          <w:rFonts w:cs="Arial"/>
          <w:szCs w:val="18"/>
        </w:rPr>
        <w:t>the total final demand f</w:t>
      </w:r>
      <w:r w:rsidR="00746E37">
        <w:rPr>
          <w:rFonts w:cs="Arial"/>
          <w:szCs w:val="18"/>
        </w:rPr>
        <w:t>or</w:t>
      </w:r>
      <w:r w:rsidR="00AA1A36">
        <w:rPr>
          <w:rFonts w:cs="Arial"/>
          <w:szCs w:val="18"/>
        </w:rPr>
        <w:t xml:space="preserve"> </w:t>
      </w:r>
      <w:r w:rsidR="000B2A00">
        <w:rPr>
          <w:rFonts w:cs="Arial"/>
          <w:szCs w:val="18"/>
        </w:rPr>
        <w:t xml:space="preserve">sector’s </w:t>
      </w:r>
      <w:r w:rsidR="00AA1A36" w:rsidRPr="00AA1A36">
        <w:rPr>
          <w:rFonts w:cs="Arial"/>
          <w:i/>
          <w:iCs/>
          <w:szCs w:val="18"/>
        </w:rPr>
        <w:t>i</w:t>
      </w:r>
      <w:r w:rsidR="000B2A00">
        <w:rPr>
          <w:rFonts w:cs="Arial"/>
          <w:szCs w:val="18"/>
        </w:rPr>
        <w:t xml:space="preserve"> products</w:t>
      </w:r>
      <w:r w:rsidR="003178CD">
        <w:rPr>
          <w:rFonts w:cs="Arial"/>
          <w:szCs w:val="18"/>
        </w:rPr>
        <w:t xml:space="preserve"> </w:t>
      </w:r>
      <w:r w:rsidR="003178CD">
        <w:rPr>
          <w:rFonts w:cs="Arial"/>
          <w:szCs w:val="18"/>
        </w:rPr>
        <w:fldChar w:fldCharType="begin"/>
      </w:r>
      <w:r w:rsidR="00182C1F">
        <w:rPr>
          <w:rFonts w:cs="Arial"/>
          <w:szCs w:val="18"/>
        </w:rPr>
        <w:instrText xml:space="preserve"> ADDIN ZOTERO_ITEM CSL_CITATION {"citationID":"qj9O6Zii","properties":{"formattedCitation":"(Miller and Blair, 2009)","plainCitation":"(Miller and Blair, 2009)","noteIndex":0},"citationItems":[{"id":460,"uris":["http://zotero.org/users/9333001/items/Q3IGNWKN"],"itemData":{"id":460,"type":"book","call-number":"HB142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D."}],"issued":{"date-parts":[["2009"]]}}}],"schema":"https://github.com/citation-style-language/schema/raw/master/csl-citation.json"} </w:instrText>
      </w:r>
      <w:r w:rsidR="003178CD">
        <w:rPr>
          <w:rFonts w:cs="Arial"/>
          <w:szCs w:val="18"/>
        </w:rPr>
        <w:fldChar w:fldCharType="separate"/>
      </w:r>
      <w:r w:rsidR="003178CD" w:rsidRPr="00B21FB3">
        <w:rPr>
          <w:rFonts w:cs="Arial"/>
        </w:rPr>
        <w:t>(Miller and Blair, 2009)</w:t>
      </w:r>
      <w:r w:rsidR="003178CD">
        <w:rPr>
          <w:rFonts w:cs="Arial"/>
          <w:szCs w:val="18"/>
        </w:rPr>
        <w:fldChar w:fldCharType="end"/>
      </w:r>
      <w:r w:rsidR="000B2A00">
        <w:rPr>
          <w:rFonts w:cs="Arial"/>
          <w:szCs w:val="18"/>
        </w:rPr>
        <w:t>.</w:t>
      </w:r>
      <w:r w:rsidR="002F2EE4">
        <w:rPr>
          <w:rFonts w:cs="Arial"/>
          <w:szCs w:val="18"/>
        </w:rPr>
        <w:t xml:space="preserve"> </w:t>
      </w:r>
      <w:r w:rsidR="00102AAF">
        <w:rPr>
          <w:rFonts w:cs="Arial"/>
          <w:szCs w:val="18"/>
        </w:rPr>
        <w:t xml:space="preserve">In this </w:t>
      </w:r>
      <w:r w:rsidR="00746E37">
        <w:rPr>
          <w:rFonts w:cs="Arial"/>
          <w:szCs w:val="18"/>
        </w:rPr>
        <w:t>study,</w:t>
      </w:r>
      <w:r w:rsidR="00102AAF">
        <w:rPr>
          <w:rFonts w:cs="Arial"/>
          <w:szCs w:val="18"/>
        </w:rPr>
        <w:t xml:space="preserve"> we estimated the </w:t>
      </w:r>
      <w:r w:rsidR="00102AAF" w:rsidRPr="00BD52FD">
        <w:rPr>
          <w:rFonts w:cs="Arial"/>
          <w:szCs w:val="18"/>
        </w:rPr>
        <w:t xml:space="preserve">interregional </w:t>
      </w:r>
      <w:r w:rsidR="00102AAF">
        <w:rPr>
          <w:rFonts w:cs="Arial"/>
          <w:szCs w:val="18"/>
        </w:rPr>
        <w:t>I-O</w:t>
      </w:r>
      <w:r w:rsidR="00102AAF" w:rsidRPr="00BD52FD">
        <w:rPr>
          <w:rFonts w:cs="Arial"/>
          <w:szCs w:val="18"/>
        </w:rPr>
        <w:t xml:space="preserve"> matrix</w:t>
      </w:r>
      <w:r w:rsidR="00102AAF">
        <w:rPr>
          <w:rFonts w:cs="Arial"/>
          <w:szCs w:val="18"/>
        </w:rPr>
        <w:t xml:space="preserve"> for the Brazilian economy for the year 2022</w:t>
      </w:r>
      <w:r w:rsidR="00F90202">
        <w:rPr>
          <w:rFonts w:cs="Arial"/>
          <w:szCs w:val="18"/>
        </w:rPr>
        <w:t xml:space="preserve">, the </w:t>
      </w:r>
      <w:r w:rsidR="00102AAF">
        <w:rPr>
          <w:rFonts w:cs="Arial"/>
          <w:szCs w:val="18"/>
        </w:rPr>
        <w:t xml:space="preserve">most </w:t>
      </w:r>
      <w:r w:rsidR="00F90202">
        <w:rPr>
          <w:rFonts w:cs="Arial"/>
          <w:szCs w:val="18"/>
        </w:rPr>
        <w:t>recen</w:t>
      </w:r>
      <w:r w:rsidR="00102AAF">
        <w:rPr>
          <w:rFonts w:cs="Arial"/>
          <w:szCs w:val="18"/>
        </w:rPr>
        <w:t xml:space="preserve">t year </w:t>
      </w:r>
      <w:r w:rsidR="00BC5437">
        <w:rPr>
          <w:rFonts w:cs="Arial"/>
          <w:szCs w:val="18"/>
        </w:rPr>
        <w:t>with</w:t>
      </w:r>
      <w:r w:rsidR="00102AAF">
        <w:rPr>
          <w:rFonts w:cs="Arial"/>
          <w:szCs w:val="18"/>
        </w:rPr>
        <w:t xml:space="preserve"> availabl</w:t>
      </w:r>
      <w:r w:rsidR="00BC5437">
        <w:rPr>
          <w:rFonts w:cs="Arial"/>
          <w:szCs w:val="18"/>
        </w:rPr>
        <w:t>e</w:t>
      </w:r>
      <w:r w:rsidR="00102AAF">
        <w:rPr>
          <w:rFonts w:cs="Arial"/>
          <w:szCs w:val="18"/>
        </w:rPr>
        <w:t xml:space="preserve"> data. </w:t>
      </w:r>
      <w:r w:rsidR="00D07F98">
        <w:rPr>
          <w:rFonts w:cs="Arial"/>
          <w:szCs w:val="18"/>
        </w:rPr>
        <w:t xml:space="preserve">We </w:t>
      </w:r>
      <w:r w:rsidR="00BD52FD" w:rsidRPr="00BD52FD">
        <w:rPr>
          <w:rFonts w:cs="Arial"/>
          <w:szCs w:val="18"/>
        </w:rPr>
        <w:t>considered 38 sectors</w:t>
      </w:r>
      <w:r w:rsidR="00D14381">
        <w:rPr>
          <w:rFonts w:cs="Arial"/>
          <w:szCs w:val="18"/>
        </w:rPr>
        <w:t xml:space="preserve">, placing </w:t>
      </w:r>
      <w:r w:rsidR="00616A13">
        <w:rPr>
          <w:rFonts w:cs="Arial"/>
          <w:szCs w:val="18"/>
        </w:rPr>
        <w:t xml:space="preserve">particular </w:t>
      </w:r>
      <w:r w:rsidR="00D07F98">
        <w:rPr>
          <w:rFonts w:cs="Arial"/>
          <w:szCs w:val="18"/>
        </w:rPr>
        <w:t xml:space="preserve">emphasis </w:t>
      </w:r>
      <w:r w:rsidR="007F1A53">
        <w:rPr>
          <w:rFonts w:cs="Arial"/>
          <w:szCs w:val="18"/>
        </w:rPr>
        <w:t>on the agricultural</w:t>
      </w:r>
      <w:r w:rsidR="00D074BF">
        <w:rPr>
          <w:rFonts w:cs="Arial"/>
          <w:szCs w:val="18"/>
        </w:rPr>
        <w:t xml:space="preserve"> and biofuel</w:t>
      </w:r>
      <w:r w:rsidR="00524378">
        <w:rPr>
          <w:rFonts w:cs="Arial"/>
          <w:szCs w:val="18"/>
        </w:rPr>
        <w:t xml:space="preserve"> </w:t>
      </w:r>
      <w:r w:rsidR="00935751">
        <w:rPr>
          <w:rFonts w:cs="Arial"/>
          <w:szCs w:val="18"/>
        </w:rPr>
        <w:t>manuf</w:t>
      </w:r>
      <w:r w:rsidR="00654E40">
        <w:rPr>
          <w:rFonts w:cs="Arial"/>
          <w:szCs w:val="18"/>
        </w:rPr>
        <w:t xml:space="preserve">acturing </w:t>
      </w:r>
      <w:r w:rsidR="00524378">
        <w:rPr>
          <w:rFonts w:cs="Arial"/>
          <w:szCs w:val="18"/>
        </w:rPr>
        <w:t xml:space="preserve">sectors. </w:t>
      </w:r>
      <w:r w:rsidR="00654E40">
        <w:rPr>
          <w:rFonts w:cs="Arial"/>
          <w:szCs w:val="18"/>
        </w:rPr>
        <w:t>Th</w:t>
      </w:r>
      <w:r w:rsidR="00DA6E02">
        <w:rPr>
          <w:rFonts w:cs="Arial"/>
          <w:szCs w:val="18"/>
        </w:rPr>
        <w:t>e</w:t>
      </w:r>
      <w:r w:rsidR="00654E40">
        <w:rPr>
          <w:rFonts w:cs="Arial"/>
          <w:szCs w:val="18"/>
        </w:rPr>
        <w:t xml:space="preserve"> </w:t>
      </w:r>
      <w:r w:rsidR="00BD52FD" w:rsidRPr="00BD52FD">
        <w:rPr>
          <w:rFonts w:cs="Arial"/>
          <w:szCs w:val="18"/>
        </w:rPr>
        <w:t>biofuel sector</w:t>
      </w:r>
      <w:r w:rsidR="001F1E14">
        <w:rPr>
          <w:rFonts w:cs="Arial"/>
          <w:szCs w:val="18"/>
        </w:rPr>
        <w:t xml:space="preserve"> was disaggregated</w:t>
      </w:r>
      <w:r w:rsidR="00616A13">
        <w:rPr>
          <w:rFonts w:cs="Arial"/>
          <w:szCs w:val="18"/>
        </w:rPr>
        <w:t xml:space="preserve"> in accordance with the </w:t>
      </w:r>
      <w:r w:rsidR="00616A13" w:rsidRPr="00616A13">
        <w:rPr>
          <w:rFonts w:cs="Arial"/>
          <w:szCs w:val="18"/>
        </w:rPr>
        <w:t>National Classification of Economic Activities</w:t>
      </w:r>
      <w:r w:rsidR="00616A13">
        <w:rPr>
          <w:rFonts w:cs="Arial"/>
          <w:szCs w:val="18"/>
        </w:rPr>
        <w:t xml:space="preserve"> (CNAE), </w:t>
      </w:r>
      <w:r w:rsidR="00D14381">
        <w:rPr>
          <w:rFonts w:cs="Arial"/>
          <w:szCs w:val="18"/>
        </w:rPr>
        <w:t xml:space="preserve">as </w:t>
      </w:r>
      <w:r w:rsidR="00616A13">
        <w:rPr>
          <w:rFonts w:cs="Arial"/>
          <w:szCs w:val="18"/>
        </w:rPr>
        <w:t xml:space="preserve">provided by </w:t>
      </w:r>
      <w:r w:rsidR="00BD52FD" w:rsidRPr="00BD52FD">
        <w:rPr>
          <w:rFonts w:cs="Arial"/>
          <w:szCs w:val="18"/>
        </w:rPr>
        <w:t>the Brazilian Institute of Geography and Statistics (IBGE)</w:t>
      </w:r>
      <w:r w:rsidR="00D168C5">
        <w:rPr>
          <w:rFonts w:cs="Arial"/>
          <w:szCs w:val="18"/>
        </w:rPr>
        <w:t xml:space="preserve">: </w:t>
      </w:r>
      <w:r w:rsidR="00636C0F">
        <w:rPr>
          <w:rFonts w:cs="Arial"/>
          <w:szCs w:val="18"/>
        </w:rPr>
        <w:t>“</w:t>
      </w:r>
      <w:r w:rsidR="00BD52FD" w:rsidRPr="00BD52FD">
        <w:rPr>
          <w:rFonts w:cs="Arial"/>
          <w:szCs w:val="18"/>
        </w:rPr>
        <w:t>19.3</w:t>
      </w:r>
      <w:r w:rsidR="004F75DF">
        <w:rPr>
          <w:rFonts w:cs="Arial"/>
          <w:szCs w:val="18"/>
        </w:rPr>
        <w:t xml:space="preserve">, </w:t>
      </w:r>
      <w:r w:rsidR="00BD52FD" w:rsidRPr="00BD52FD">
        <w:rPr>
          <w:rFonts w:cs="Arial"/>
          <w:szCs w:val="18"/>
        </w:rPr>
        <w:t>Manufacture of biofuels</w:t>
      </w:r>
      <w:r w:rsidR="00D168C5">
        <w:rPr>
          <w:rFonts w:cs="Arial"/>
          <w:szCs w:val="18"/>
        </w:rPr>
        <w:t xml:space="preserve">”. </w:t>
      </w:r>
      <w:r w:rsidR="00BD52FD" w:rsidRPr="00BD52FD">
        <w:rPr>
          <w:rFonts w:cs="Arial"/>
          <w:szCs w:val="18"/>
        </w:rPr>
        <w:t xml:space="preserve">Regionally, Brazil was disaggregated into 11 regions, prioritizing the </w:t>
      </w:r>
      <w:r w:rsidR="004F75DF">
        <w:rPr>
          <w:rFonts w:cs="Arial"/>
          <w:szCs w:val="18"/>
        </w:rPr>
        <w:t>individual disaggregation</w:t>
      </w:r>
      <w:r w:rsidR="00BD52FD" w:rsidRPr="00BD52FD">
        <w:rPr>
          <w:rFonts w:cs="Arial"/>
          <w:szCs w:val="18"/>
        </w:rPr>
        <w:t xml:space="preserve"> of states that account for approximately 85</w:t>
      </w:r>
      <w:r w:rsidR="00422F15">
        <w:rPr>
          <w:rFonts w:cs="Arial"/>
          <w:szCs w:val="18"/>
        </w:rPr>
        <w:t xml:space="preserve"> </w:t>
      </w:r>
      <w:r w:rsidR="00BD52FD" w:rsidRPr="00BD52FD">
        <w:rPr>
          <w:rFonts w:cs="Arial"/>
          <w:szCs w:val="18"/>
        </w:rPr>
        <w:t xml:space="preserve">% of the </w:t>
      </w:r>
      <w:r w:rsidR="00FC6FA0">
        <w:rPr>
          <w:rFonts w:cs="Arial"/>
          <w:szCs w:val="18"/>
        </w:rPr>
        <w:t xml:space="preserve">country’s gross </w:t>
      </w:r>
      <w:r w:rsidR="00BD52FD" w:rsidRPr="00BD52FD">
        <w:rPr>
          <w:rFonts w:cs="Arial"/>
          <w:szCs w:val="18"/>
        </w:rPr>
        <w:t>value</w:t>
      </w:r>
      <w:r w:rsidR="00FC6FA0">
        <w:rPr>
          <w:rFonts w:cs="Arial"/>
          <w:szCs w:val="18"/>
        </w:rPr>
        <w:t xml:space="preserve"> </w:t>
      </w:r>
      <w:r w:rsidR="004D5063">
        <w:rPr>
          <w:rFonts w:cs="Arial"/>
          <w:szCs w:val="18"/>
        </w:rPr>
        <w:t xml:space="preserve">of output </w:t>
      </w:r>
      <w:r w:rsidR="00FC6FA0">
        <w:rPr>
          <w:rFonts w:cs="Arial"/>
          <w:szCs w:val="18"/>
        </w:rPr>
        <w:t>(GVO)</w:t>
      </w:r>
      <w:r w:rsidR="00BD52FD" w:rsidRPr="00BD52FD">
        <w:rPr>
          <w:rFonts w:cs="Arial"/>
          <w:szCs w:val="18"/>
        </w:rPr>
        <w:t xml:space="preserve"> of agricultural production</w:t>
      </w:r>
      <w:r w:rsidR="00FC6FA0">
        <w:rPr>
          <w:rFonts w:cs="Arial"/>
          <w:szCs w:val="18"/>
        </w:rPr>
        <w:t xml:space="preserve">. </w:t>
      </w:r>
      <w:r w:rsidR="007E5879">
        <w:rPr>
          <w:rFonts w:cs="Arial"/>
          <w:szCs w:val="18"/>
        </w:rPr>
        <w:t>Official</w:t>
      </w:r>
      <w:r w:rsidR="00A97F9D">
        <w:rPr>
          <w:rFonts w:cs="Arial"/>
          <w:szCs w:val="18"/>
        </w:rPr>
        <w:t xml:space="preserve"> databases</w:t>
      </w:r>
      <w:r w:rsidR="006460D7">
        <w:rPr>
          <w:rFonts w:cs="Arial"/>
          <w:szCs w:val="18"/>
        </w:rPr>
        <w:t>, mainly from the IBGE,</w:t>
      </w:r>
      <w:r w:rsidR="00221B1D">
        <w:rPr>
          <w:rFonts w:cs="Arial"/>
          <w:szCs w:val="18"/>
        </w:rPr>
        <w:t xml:space="preserve"> were</w:t>
      </w:r>
      <w:r w:rsidR="00A97F9D">
        <w:rPr>
          <w:rFonts w:cs="Arial"/>
          <w:szCs w:val="18"/>
        </w:rPr>
        <w:t xml:space="preserve"> </w:t>
      </w:r>
      <w:r w:rsidR="00221B1D">
        <w:rPr>
          <w:rFonts w:cs="Arial"/>
          <w:szCs w:val="18"/>
        </w:rPr>
        <w:t>organized</w:t>
      </w:r>
      <w:r w:rsidR="009F388A">
        <w:rPr>
          <w:rFonts w:cs="Arial"/>
          <w:szCs w:val="18"/>
        </w:rPr>
        <w:t xml:space="preserve"> and processed</w:t>
      </w:r>
      <w:r w:rsidR="00221B1D">
        <w:rPr>
          <w:rFonts w:cs="Arial"/>
          <w:szCs w:val="18"/>
        </w:rPr>
        <w:t xml:space="preserve"> </w:t>
      </w:r>
      <w:r w:rsidR="00702D5A">
        <w:rPr>
          <w:rFonts w:cs="Arial"/>
          <w:szCs w:val="18"/>
        </w:rPr>
        <w:t>following logically</w:t>
      </w:r>
      <w:r w:rsidR="00BD52FD" w:rsidRPr="00BD52FD">
        <w:rPr>
          <w:rFonts w:cs="Arial"/>
          <w:szCs w:val="18"/>
        </w:rPr>
        <w:t xml:space="preserve"> sequenced technical procedures to ensure </w:t>
      </w:r>
      <w:r w:rsidR="009F388A" w:rsidRPr="00BD52FD">
        <w:rPr>
          <w:rFonts w:cs="Arial"/>
          <w:szCs w:val="18"/>
        </w:rPr>
        <w:t>consistency</w:t>
      </w:r>
      <w:r w:rsidR="00BD52FD" w:rsidRPr="00BD52FD">
        <w:rPr>
          <w:rFonts w:cs="Arial"/>
          <w:szCs w:val="18"/>
        </w:rPr>
        <w:t xml:space="preserve"> and consolidation of sectoral data with interregional representation</w:t>
      </w:r>
      <w:r w:rsidR="00ED5514">
        <w:rPr>
          <w:rFonts w:cs="Arial"/>
          <w:szCs w:val="18"/>
        </w:rPr>
        <w:t xml:space="preserve"> </w:t>
      </w:r>
      <w:r w:rsidR="00ED5514">
        <w:rPr>
          <w:rFonts w:cs="Arial"/>
          <w:szCs w:val="18"/>
        </w:rPr>
        <w:fldChar w:fldCharType="begin"/>
      </w:r>
      <w:r w:rsidR="00182C1F">
        <w:rPr>
          <w:rFonts w:cs="Arial"/>
          <w:szCs w:val="18"/>
        </w:rPr>
        <w:instrText xml:space="preserve"> ADDIN ZOTERO_ITEM CSL_CITATION {"citationID":"PWTnktGa","properties":{"formattedCitation":"(Miller and Blair, 2009; Guilhoto, 2011)","plainCitation":"(Miller and Blair, 2009; Guilhoto, 2011)","noteIndex":0},"citationItems":[{"id":460,"uris":["http://zotero.org/users/9333001/items/Q3IGNWKN"],"itemData":{"id":460,"type":"book","call-number":"HB142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D."}],"issued":{"date-parts":[["2009"]]}}},{"id":1582,"uris":["http://zotero.org/users/9333001/items/MTVEW9X8"],"itemData":{"id":1582,"type":"article-journal","container-title":"SSRN Electronic Journal","DOI":"10.2139/ssrn.1900073","ISSN":"1556-5068","journalAbbreviation":"SSRN Journal","language":"en","source":"DOI.org (Crossref)","title":"Input-Output Analysis: Theory and Foundations (Análise de Insumo-Produto: Teoria e Fundamentos)","title-short":"Input-Output Analysis","URL":"http://www.ssrn.com/abstract=1900073","author":[{"family":"Guilhoto","given":"Joaquim José Martins"}],"accessed":{"date-parts":[["2026",1,27]]},"issued":{"date-parts":[["2011"]]}}}],"schema":"https://github.com/citation-style-language/schema/raw/master/csl-citation.json"} </w:instrText>
      </w:r>
      <w:r w:rsidR="00ED5514">
        <w:rPr>
          <w:rFonts w:cs="Arial"/>
          <w:szCs w:val="18"/>
        </w:rPr>
        <w:fldChar w:fldCharType="separate"/>
      </w:r>
      <w:r w:rsidR="00ED5514" w:rsidRPr="00ED5514">
        <w:rPr>
          <w:rFonts w:cs="Arial"/>
        </w:rPr>
        <w:t>(Miller and Blair, 2009; Guilhoto, 2011)</w:t>
      </w:r>
      <w:r w:rsidR="00ED5514">
        <w:rPr>
          <w:rFonts w:cs="Arial"/>
          <w:szCs w:val="18"/>
        </w:rPr>
        <w:fldChar w:fldCharType="end"/>
      </w:r>
      <w:r w:rsidR="00BD52FD" w:rsidRPr="00BD52FD">
        <w:rPr>
          <w:rFonts w:cs="Arial"/>
          <w:szCs w:val="18"/>
        </w:rPr>
        <w:t>.</w:t>
      </w:r>
      <w:r w:rsidR="009F388A">
        <w:rPr>
          <w:rFonts w:cs="Arial"/>
          <w:szCs w:val="18"/>
        </w:rPr>
        <w:t xml:space="preserve"> </w:t>
      </w:r>
      <w:r w:rsidR="000761D2">
        <w:rPr>
          <w:rFonts w:cs="Arial"/>
          <w:szCs w:val="18"/>
        </w:rPr>
        <w:t xml:space="preserve">The </w:t>
      </w:r>
      <w:r w:rsidR="000761D2" w:rsidRPr="00BD52FD">
        <w:rPr>
          <w:rFonts w:cs="Arial"/>
          <w:szCs w:val="18"/>
        </w:rPr>
        <w:t xml:space="preserve">resulting </w:t>
      </w:r>
      <w:r w:rsidR="000761D2">
        <w:rPr>
          <w:rFonts w:cs="Arial"/>
          <w:szCs w:val="18"/>
        </w:rPr>
        <w:t xml:space="preserve">intersectoral </w:t>
      </w:r>
      <w:r w:rsidR="000761D2" w:rsidRPr="00BD52FD">
        <w:rPr>
          <w:rFonts w:cs="Arial"/>
          <w:szCs w:val="18"/>
        </w:rPr>
        <w:t xml:space="preserve">intermediate consumption data </w:t>
      </w:r>
      <w:r w:rsidR="000761D2">
        <w:rPr>
          <w:rFonts w:cs="Arial"/>
          <w:szCs w:val="18"/>
        </w:rPr>
        <w:t>at the regional level followed the RAS approach</w:t>
      </w:r>
      <w:r w:rsidR="00AE4259">
        <w:rPr>
          <w:rFonts w:cs="Arial"/>
          <w:szCs w:val="18"/>
        </w:rPr>
        <w:t xml:space="preserve"> </w:t>
      </w:r>
      <w:r w:rsidR="00AE4259">
        <w:rPr>
          <w:rFonts w:cs="Arial"/>
          <w:szCs w:val="18"/>
        </w:rPr>
        <w:fldChar w:fldCharType="begin"/>
      </w:r>
      <w:r w:rsidR="00AE4259">
        <w:rPr>
          <w:rFonts w:cs="Arial"/>
          <w:szCs w:val="18"/>
        </w:rPr>
        <w:instrText xml:space="preserve"> ADDIN ZOTERO_ITEM CSL_CITATION {"citationID":"qj9O6Zii","properties":{"formattedCitation":"(Miller and Blair, 2009)","plainCitation":"(Miller and Blair, 2009)","noteIndex":0},"citationItems":[{"id":460,"uris":["http://zotero.org/users/9333001/items/Q3IGNWKN"],"itemData":{"id":460,"type":"book","call-number":"HB142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D."}],"issued":{"date-parts":[["2009"]]}}}],"schema":"https://github.com/citation-style-language/schema/raw/master/csl-citation.json"} </w:instrText>
      </w:r>
      <w:r w:rsidR="00AE4259">
        <w:rPr>
          <w:rFonts w:cs="Arial"/>
          <w:szCs w:val="18"/>
        </w:rPr>
        <w:fldChar w:fldCharType="separate"/>
      </w:r>
      <w:r w:rsidR="00AE4259" w:rsidRPr="00B21FB3">
        <w:rPr>
          <w:rFonts w:cs="Arial"/>
        </w:rPr>
        <w:t>(Miller and Blair, 2009)</w:t>
      </w:r>
      <w:r w:rsidR="00AE4259">
        <w:rPr>
          <w:rFonts w:cs="Arial"/>
          <w:szCs w:val="18"/>
        </w:rPr>
        <w:fldChar w:fldCharType="end"/>
      </w:r>
      <w:r w:rsidR="000761D2">
        <w:rPr>
          <w:rFonts w:cs="Arial"/>
          <w:szCs w:val="18"/>
        </w:rPr>
        <w:t xml:space="preserve">. Briefly, </w:t>
      </w:r>
      <w:r w:rsidR="00515DD5">
        <w:rPr>
          <w:rFonts w:cs="Arial"/>
          <w:szCs w:val="18"/>
        </w:rPr>
        <w:t xml:space="preserve">the </w:t>
      </w:r>
      <w:r w:rsidR="00515DD5" w:rsidRPr="00515DD5">
        <w:rPr>
          <w:rFonts w:cs="Arial"/>
          <w:szCs w:val="18"/>
        </w:rPr>
        <w:t>RAS method is a non-survey, bi-proportional adjustment technique used to estimate a contemporary technical coefficients matrix from a reference matrix. By iteratively applying row and column multipliers, it aligns intermediary consumption with updated marginal totals. This process captures structural shifts, ensuring consistency with national accounting identities and GDP aggregates.</w:t>
      </w:r>
      <w:r w:rsidR="00033F9C">
        <w:rPr>
          <w:rFonts w:cs="Arial"/>
          <w:szCs w:val="18"/>
        </w:rPr>
        <w:t xml:space="preserve"> The</w:t>
      </w:r>
      <w:r w:rsidR="00DF710A">
        <w:rPr>
          <w:rFonts w:cs="Arial"/>
          <w:szCs w:val="18"/>
        </w:rPr>
        <w:t xml:space="preserve"> resulting calculations of </w:t>
      </w:r>
      <w:r w:rsidR="00033F9C" w:rsidRPr="00BD52FD">
        <w:rPr>
          <w:rFonts w:cs="Arial"/>
          <w:szCs w:val="18"/>
        </w:rPr>
        <w:t>National Product (NP)</w:t>
      </w:r>
      <w:r w:rsidR="00033F9C">
        <w:rPr>
          <w:rFonts w:cs="Arial"/>
          <w:szCs w:val="18"/>
        </w:rPr>
        <w:t>,</w:t>
      </w:r>
      <w:r w:rsidR="00033F9C" w:rsidRPr="00BD52FD">
        <w:rPr>
          <w:rFonts w:cs="Arial"/>
          <w:szCs w:val="18"/>
        </w:rPr>
        <w:t xml:space="preserve"> Intermediate Consumption (IC)</w:t>
      </w:r>
      <w:r w:rsidR="000A0F0F">
        <w:rPr>
          <w:rFonts w:cs="Arial"/>
          <w:szCs w:val="18"/>
        </w:rPr>
        <w:t xml:space="preserve">, </w:t>
      </w:r>
      <w:r w:rsidR="00BD52FD" w:rsidRPr="00BD52FD">
        <w:rPr>
          <w:rFonts w:cs="Arial"/>
          <w:szCs w:val="18"/>
        </w:rPr>
        <w:t>Value Added (VA), GDP, and Final Demand (FD)</w:t>
      </w:r>
      <w:r w:rsidR="000A0F0F">
        <w:rPr>
          <w:rFonts w:cs="Arial"/>
          <w:szCs w:val="18"/>
        </w:rPr>
        <w:t xml:space="preserve"> followed standard procedures in national accounts</w:t>
      </w:r>
      <w:r w:rsidR="00145962">
        <w:rPr>
          <w:rFonts w:cs="Arial"/>
          <w:szCs w:val="18"/>
        </w:rPr>
        <w:t xml:space="preserve"> and I-O analysis </w:t>
      </w:r>
      <w:r w:rsidR="00145962">
        <w:rPr>
          <w:rFonts w:cs="Arial"/>
          <w:szCs w:val="18"/>
        </w:rPr>
        <w:fldChar w:fldCharType="begin"/>
      </w:r>
      <w:r w:rsidR="00182C1F">
        <w:rPr>
          <w:rFonts w:cs="Arial"/>
          <w:szCs w:val="18"/>
        </w:rPr>
        <w:instrText xml:space="preserve"> ADDIN ZOTERO_ITEM CSL_CITATION {"citationID":"OM8ojiXJ","properties":{"formattedCitation":"(Miller and Blair, 2009; Guilhoto, 2011)","plainCitation":"(Miller and Blair, 2009; Guilhoto, 2011)","noteIndex":0},"citationItems":[{"id":460,"uris":["http://zotero.org/users/9333001/items/Q3IGNWKN"],"itemData":{"id":460,"type":"book","call-number":"HB142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D."}],"issued":{"date-parts":[["2009"]]}}},{"id":1582,"uris":["http://zotero.org/users/9333001/items/MTVEW9X8"],"itemData":{"id":1582,"type":"article-journal","container-title":"SSRN Electronic Journal","DOI":"10.2139/ssrn.1900073","ISSN":"1556-5068","journalAbbreviation":"SSRN Journal","language":"en","source":"DOI.org (Crossref)","title":"Input-Output Analysis: Theory and Foundations (Análise de Insumo-Produto: Teoria e Fundamentos)","title-short":"Input-Output Analysis","URL":"http://www.ssrn.com/abstract=1900073","author":[{"family":"Guilhoto","given":"Joaquim José Martins"}],"accessed":{"date-parts":[["2026",1,27]]},"issued":{"date-parts":[["2011"]]}}}],"schema":"https://github.com/citation-style-language/schema/raw/master/csl-citation.json"} </w:instrText>
      </w:r>
      <w:r w:rsidR="00145962">
        <w:rPr>
          <w:rFonts w:cs="Arial"/>
          <w:szCs w:val="18"/>
        </w:rPr>
        <w:fldChar w:fldCharType="separate"/>
      </w:r>
      <w:r w:rsidR="00145962" w:rsidRPr="00145962">
        <w:rPr>
          <w:rFonts w:cs="Arial"/>
        </w:rPr>
        <w:t>(Miller and Blair, 2009; Guilhoto, 2011)</w:t>
      </w:r>
      <w:r w:rsidR="00145962">
        <w:rPr>
          <w:rFonts w:cs="Arial"/>
          <w:szCs w:val="18"/>
        </w:rPr>
        <w:fldChar w:fldCharType="end"/>
      </w:r>
      <w:r w:rsidR="00BD52FD" w:rsidRPr="00BD52FD">
        <w:rPr>
          <w:rFonts w:cs="Arial"/>
          <w:szCs w:val="18"/>
        </w:rPr>
        <w:t>.</w:t>
      </w:r>
    </w:p>
    <w:p w14:paraId="2639E7F4" w14:textId="06BFE0F8" w:rsidR="00BD52FD" w:rsidRPr="00784686" w:rsidRDefault="00BD52FD" w:rsidP="00BD52FD">
      <w:pPr>
        <w:pStyle w:val="CETheadingx"/>
      </w:pPr>
      <w:r>
        <w:t>The calculation of socioeconomic multipliers</w:t>
      </w:r>
    </w:p>
    <w:p w14:paraId="33E8699A" w14:textId="353445AA" w:rsidR="00F06EEC" w:rsidRDefault="00C7013F" w:rsidP="00FD1A75">
      <w:pPr>
        <w:pStyle w:val="CETBodytext"/>
        <w:rPr>
          <w:rFonts w:cs="Arial"/>
          <w:szCs w:val="18"/>
        </w:rPr>
      </w:pPr>
      <w:r w:rsidRPr="00846B15">
        <w:rPr>
          <w:rFonts w:cs="Arial"/>
          <w:szCs w:val="18"/>
        </w:rPr>
        <w:t xml:space="preserve">The </w:t>
      </w:r>
      <w:r w:rsidR="00724CE6">
        <w:rPr>
          <w:rFonts w:cs="Arial"/>
          <w:szCs w:val="18"/>
        </w:rPr>
        <w:t>analytical approach</w:t>
      </w:r>
      <w:r w:rsidR="00724CE6" w:rsidRPr="00846B15">
        <w:rPr>
          <w:rFonts w:cs="Arial"/>
          <w:szCs w:val="18"/>
        </w:rPr>
        <w:t xml:space="preserve"> </w:t>
      </w:r>
      <w:r w:rsidR="004C2F27" w:rsidRPr="00846B15">
        <w:rPr>
          <w:rFonts w:cs="Arial"/>
          <w:szCs w:val="18"/>
        </w:rPr>
        <w:t xml:space="preserve">presented </w:t>
      </w:r>
      <w:r w:rsidR="00554058" w:rsidRPr="00846B15">
        <w:rPr>
          <w:rFonts w:cs="Arial"/>
          <w:szCs w:val="18"/>
        </w:rPr>
        <w:t>in this section</w:t>
      </w:r>
      <w:r w:rsidR="004C2F27" w:rsidRPr="00846B15">
        <w:rPr>
          <w:rFonts w:cs="Arial"/>
          <w:szCs w:val="18"/>
        </w:rPr>
        <w:t xml:space="preserve"> </w:t>
      </w:r>
      <w:r w:rsidR="00696B74">
        <w:rPr>
          <w:rFonts w:cs="Arial"/>
          <w:szCs w:val="18"/>
        </w:rPr>
        <w:t>is</w:t>
      </w:r>
      <w:r w:rsidR="00696B74" w:rsidRPr="00846B15">
        <w:rPr>
          <w:rFonts w:cs="Arial"/>
          <w:szCs w:val="18"/>
        </w:rPr>
        <w:t xml:space="preserve"> </w:t>
      </w:r>
      <w:r w:rsidR="004C2F27" w:rsidRPr="00846B15">
        <w:rPr>
          <w:rFonts w:cs="Arial"/>
          <w:szCs w:val="18"/>
        </w:rPr>
        <w:t xml:space="preserve">detailed </w:t>
      </w:r>
      <w:r w:rsidR="006B3843" w:rsidRPr="00846B15">
        <w:rPr>
          <w:rFonts w:cs="Arial"/>
          <w:szCs w:val="18"/>
        </w:rPr>
        <w:t xml:space="preserve">in </w:t>
      </w:r>
      <w:r w:rsidR="006B3843" w:rsidRPr="00846B15">
        <w:rPr>
          <w:rFonts w:cs="Arial"/>
          <w:szCs w:val="18"/>
        </w:rPr>
        <w:fldChar w:fldCharType="begin"/>
      </w:r>
      <w:r w:rsidR="00182C1F">
        <w:rPr>
          <w:rFonts w:cs="Arial"/>
          <w:szCs w:val="18"/>
        </w:rPr>
        <w:instrText xml:space="preserve"> ADDIN ZOTERO_ITEM CSL_CITATION {"citationID":"C5dndGVi","properties":{"formattedCitation":"(Miller and Blair, 2009)","plainCitation":"(Miller and Blair, 2009)","dontUpdate":true,"noteIndex":0},"citationItems":[{"id":460,"uris":["http://zotero.org/users/9333001/items/Q3IGNWKN"],"itemData":{"id":460,"type":"book","call-number":"HB142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D."}],"issued":{"date-parts":[["2009"]]}}}],"schema":"https://github.com/citation-style-language/schema/raw/master/csl-citation.json"} </w:instrText>
      </w:r>
      <w:r w:rsidR="006B3843" w:rsidRPr="00846B15">
        <w:rPr>
          <w:rFonts w:cs="Arial"/>
          <w:szCs w:val="18"/>
        </w:rPr>
        <w:fldChar w:fldCharType="separate"/>
      </w:r>
      <w:r w:rsidR="00081018" w:rsidRPr="00846B15">
        <w:rPr>
          <w:rFonts w:cs="Arial"/>
          <w:szCs w:val="18"/>
        </w:rPr>
        <w:t>Miller and Blair (2009)</w:t>
      </w:r>
      <w:r w:rsidR="006B3843" w:rsidRPr="00846B15">
        <w:rPr>
          <w:rFonts w:cs="Arial"/>
          <w:szCs w:val="18"/>
        </w:rPr>
        <w:fldChar w:fldCharType="end"/>
      </w:r>
      <w:r w:rsidR="00FF08E9" w:rsidRPr="00846B15">
        <w:rPr>
          <w:rFonts w:cs="Arial"/>
          <w:szCs w:val="18"/>
        </w:rPr>
        <w:t xml:space="preserve"> and </w:t>
      </w:r>
      <w:r w:rsidR="00081018" w:rsidRPr="00846B15">
        <w:rPr>
          <w:rFonts w:cs="Arial"/>
          <w:szCs w:val="18"/>
        </w:rPr>
        <w:fldChar w:fldCharType="begin"/>
      </w:r>
      <w:r w:rsidR="00182C1F">
        <w:rPr>
          <w:rFonts w:cs="Arial"/>
          <w:szCs w:val="18"/>
        </w:rPr>
        <w:instrText xml:space="preserve"> ADDIN ZOTERO_ITEM CSL_CITATION {"citationID":"FWZ0pbc2","properties":{"formattedCitation":"(Guilhoto, 2011)","plainCitation":"(Guilhoto, 2011)","dontUpdate":true,"noteIndex":0},"citationItems":[{"id":1582,"uris":["http://zotero.org/users/9333001/items/MTVEW9X8"],"itemData":{"id":1582,"type":"article-journal","container-title":"SSRN Electronic Journal","DOI":"10.2139/ssrn.1900073","ISSN":"1556-5068","journalAbbreviation":"SSRN Journal","language":"en","source":"DOI.org (Crossref)","title":"Input-Output Analysis: Theory and Foundations (Análise de Insumo-Produto: Teoria e Fundamentos)","title-short":"Input-Output Analysis","URL":"http://www.ssrn.com/abstract=1900073","author":[{"family":"Guilhoto","given":"Joaquim José Martins"}],"accessed":{"date-parts":[["2026",1,27]]},"issued":{"date-parts":[["2011"]]}}}],"schema":"https://github.com/citation-style-language/schema/raw/master/csl-citation.json"} </w:instrText>
      </w:r>
      <w:r w:rsidR="00081018" w:rsidRPr="00846B15">
        <w:rPr>
          <w:rFonts w:cs="Arial"/>
          <w:szCs w:val="18"/>
        </w:rPr>
        <w:fldChar w:fldCharType="separate"/>
      </w:r>
      <w:r w:rsidR="00081018" w:rsidRPr="00846B15">
        <w:rPr>
          <w:rFonts w:cs="Arial"/>
          <w:szCs w:val="18"/>
        </w:rPr>
        <w:t>Guilhoto (2011)</w:t>
      </w:r>
      <w:r w:rsidR="00081018" w:rsidRPr="00846B15">
        <w:rPr>
          <w:rFonts w:cs="Arial"/>
          <w:szCs w:val="18"/>
        </w:rPr>
        <w:fldChar w:fldCharType="end"/>
      </w:r>
      <w:r w:rsidR="006B3843" w:rsidRPr="00846B15">
        <w:rPr>
          <w:rFonts w:cs="Arial"/>
          <w:szCs w:val="18"/>
        </w:rPr>
        <w:t>. Briefly, t</w:t>
      </w:r>
      <w:r w:rsidR="009060F5" w:rsidRPr="00846B15">
        <w:rPr>
          <w:rFonts w:cs="Arial"/>
          <w:szCs w:val="18"/>
        </w:rPr>
        <w:t>he economic system is formalized as a set of linear equations, expressed in matrix form as</w:t>
      </w:r>
      <w:r w:rsidR="001C12FA">
        <w:rPr>
          <w:rFonts w:cs="Arial"/>
          <w:szCs w:val="18"/>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
        <w:gridCol w:w="372"/>
        <w:gridCol w:w="1418"/>
        <w:gridCol w:w="1418"/>
      </w:tblGrid>
      <w:tr w:rsidR="00854373" w14:paraId="2A5F2AB7" w14:textId="35EA6C22" w:rsidTr="008659F1">
        <w:tc>
          <w:tcPr>
            <w:tcW w:w="337" w:type="dxa"/>
          </w:tcPr>
          <w:p w14:paraId="39F278E8" w14:textId="78D1FF59" w:rsidR="00854373" w:rsidRDefault="00854373" w:rsidP="00692C12">
            <w:pPr>
              <w:pStyle w:val="CETBodytext"/>
              <w:jc w:val="right"/>
              <w:rPr>
                <w:rFonts w:cs="Arial"/>
                <w:szCs w:val="18"/>
              </w:rPr>
            </w:pPr>
            <w:r>
              <w:rPr>
                <w:rFonts w:cs="Arial"/>
                <w:szCs w:val="18"/>
              </w:rPr>
              <w:t>X</w:t>
            </w:r>
          </w:p>
        </w:tc>
        <w:tc>
          <w:tcPr>
            <w:tcW w:w="372" w:type="dxa"/>
          </w:tcPr>
          <w:p w14:paraId="26153885" w14:textId="6C098017" w:rsidR="00854373" w:rsidRDefault="00854373" w:rsidP="00FD1A75">
            <w:pPr>
              <w:pStyle w:val="CETBodytext"/>
              <w:rPr>
                <w:rFonts w:cs="Arial"/>
                <w:szCs w:val="18"/>
              </w:rPr>
            </w:pPr>
            <w:r>
              <w:rPr>
                <w:rFonts w:cs="Arial"/>
                <w:szCs w:val="18"/>
              </w:rPr>
              <w:t>=</w:t>
            </w:r>
          </w:p>
        </w:tc>
        <w:tc>
          <w:tcPr>
            <w:tcW w:w="1418" w:type="dxa"/>
          </w:tcPr>
          <w:p w14:paraId="172610CC" w14:textId="6B1A926E" w:rsidR="00854373" w:rsidRDefault="00854373" w:rsidP="00FD1A75">
            <w:pPr>
              <w:pStyle w:val="CETBodytext"/>
              <w:rPr>
                <w:rFonts w:cs="Arial"/>
                <w:szCs w:val="18"/>
              </w:rPr>
            </w:pPr>
            <w:r>
              <w:rPr>
                <w:rFonts w:cs="Arial"/>
                <w:szCs w:val="18"/>
              </w:rPr>
              <w:t>(I – A)</w:t>
            </w:r>
            <w:r w:rsidRPr="00692C12">
              <w:rPr>
                <w:rFonts w:cs="Arial"/>
                <w:szCs w:val="18"/>
                <w:vertAlign w:val="superscript"/>
              </w:rPr>
              <w:t>-1</w:t>
            </w:r>
            <w:r>
              <w:rPr>
                <w:rFonts w:cs="Arial"/>
                <w:szCs w:val="18"/>
              </w:rPr>
              <w:t xml:space="preserve"> * Y</w:t>
            </w:r>
          </w:p>
        </w:tc>
        <w:tc>
          <w:tcPr>
            <w:tcW w:w="1418" w:type="dxa"/>
          </w:tcPr>
          <w:p w14:paraId="7D431CBB" w14:textId="0CF9593E" w:rsidR="00854373" w:rsidRDefault="00854373" w:rsidP="00692C12">
            <w:pPr>
              <w:pStyle w:val="CETBodytext"/>
              <w:jc w:val="right"/>
              <w:rPr>
                <w:rFonts w:cs="Arial"/>
                <w:szCs w:val="18"/>
              </w:rPr>
            </w:pPr>
            <w:r w:rsidRPr="00846B15">
              <w:rPr>
                <w:rFonts w:cs="Arial"/>
                <w:szCs w:val="18"/>
              </w:rPr>
              <w:t>(equation 1),</w:t>
            </w:r>
          </w:p>
        </w:tc>
      </w:tr>
    </w:tbl>
    <w:p w14:paraId="495F068F" w14:textId="7285397E" w:rsidR="00A45772" w:rsidRDefault="003A0B0F" w:rsidP="00FD1A75">
      <w:pPr>
        <w:pStyle w:val="CETBodytext"/>
        <w:rPr>
          <w:rFonts w:cs="Arial"/>
          <w:szCs w:val="18"/>
        </w:rPr>
      </w:pPr>
      <w:r w:rsidRPr="00846B15">
        <w:rPr>
          <w:rFonts w:cs="Arial"/>
          <w:szCs w:val="18"/>
        </w:rPr>
        <w:t xml:space="preserve">where </w:t>
      </w:r>
      <m:oMath>
        <m:sSup>
          <m:sSupPr>
            <m:ctrlPr>
              <w:rPr>
                <w:rFonts w:ascii="Cambria Math" w:hAnsi="Cambria Math" w:cs="Arial"/>
                <w:i/>
                <w:szCs w:val="18"/>
              </w:rPr>
            </m:ctrlPr>
          </m:sSupPr>
          <m:e>
            <m:r>
              <w:rPr>
                <w:rFonts w:ascii="Cambria Math" w:hAnsi="Cambria Math" w:cs="Arial"/>
                <w:szCs w:val="18"/>
              </w:rPr>
              <m:t>B=(I-A)</m:t>
            </m:r>
          </m:e>
          <m:sup>
            <m:r>
              <w:rPr>
                <w:rFonts w:ascii="Cambria Math" w:hAnsi="Cambria Math" w:cs="Arial"/>
                <w:szCs w:val="18"/>
              </w:rPr>
              <m:t>-1</m:t>
            </m:r>
          </m:sup>
        </m:sSup>
        <m:r>
          <w:rPr>
            <w:rFonts w:ascii="Cambria Math" w:hAnsi="Cambria Math" w:cs="Arial"/>
            <w:szCs w:val="18"/>
          </w:rPr>
          <m:t xml:space="preserve"> </m:t>
        </m:r>
      </m:oMath>
      <w:r w:rsidR="009060F5" w:rsidRPr="00846B15">
        <w:rPr>
          <w:rFonts w:cs="Arial"/>
          <w:szCs w:val="18"/>
        </w:rPr>
        <w:t>is the Leontief inverse, which incorporates</w:t>
      </w:r>
      <w:r w:rsidR="00262AFE">
        <w:rPr>
          <w:rFonts w:cs="Arial"/>
          <w:szCs w:val="18"/>
        </w:rPr>
        <w:t xml:space="preserve"> both</w:t>
      </w:r>
      <w:r w:rsidR="009060F5" w:rsidRPr="00846B15">
        <w:rPr>
          <w:rFonts w:cs="Arial"/>
          <w:szCs w:val="18"/>
        </w:rPr>
        <w:t xml:space="preserve"> the direct and indirect effects of final demand on productio</w:t>
      </w:r>
      <w:r w:rsidR="00402594" w:rsidRPr="00846B15">
        <w:rPr>
          <w:rFonts w:cs="Arial"/>
          <w:szCs w:val="18"/>
        </w:rPr>
        <w:t>n</w:t>
      </w:r>
      <w:r w:rsidR="009060F5" w:rsidRPr="00846B15">
        <w:rPr>
          <w:rFonts w:cs="Arial"/>
          <w:szCs w:val="18"/>
        </w:rPr>
        <w:t>.</w:t>
      </w:r>
      <w:r w:rsidR="005C6CFC" w:rsidRPr="00846B15">
        <w:rPr>
          <w:rFonts w:cs="Arial"/>
          <w:szCs w:val="18"/>
        </w:rPr>
        <w:t xml:space="preserve"> </w:t>
      </w:r>
      <w:r w:rsidR="009060F5" w:rsidRPr="00846B15">
        <w:rPr>
          <w:rFonts w:cs="Arial"/>
          <w:szCs w:val="18"/>
        </w:rPr>
        <w:t xml:space="preserve">Each element of this matrix represents the total production requirements of sector </w:t>
      </w:r>
      <w:r w:rsidR="009060F5" w:rsidRPr="00846B15">
        <w:rPr>
          <w:rFonts w:cs="Arial"/>
          <w:i/>
          <w:iCs/>
          <w:szCs w:val="18"/>
        </w:rPr>
        <w:t>i</w:t>
      </w:r>
      <w:r w:rsidR="009060F5" w:rsidRPr="00846B15">
        <w:rPr>
          <w:rFonts w:cs="Arial"/>
          <w:szCs w:val="18"/>
        </w:rPr>
        <w:t xml:space="preserve"> needed to satisfy an additional unit of final demand in sector</w:t>
      </w:r>
      <w:r w:rsidR="00F73FA6" w:rsidRPr="00846B15">
        <w:rPr>
          <w:rFonts w:cs="Arial"/>
          <w:szCs w:val="18"/>
        </w:rPr>
        <w:t xml:space="preserve"> </w:t>
      </w:r>
      <w:r w:rsidR="009060F5" w:rsidRPr="00846B15">
        <w:rPr>
          <w:rFonts w:cs="Arial"/>
          <w:i/>
          <w:iCs/>
          <w:szCs w:val="18"/>
        </w:rPr>
        <w:t>j</w:t>
      </w:r>
      <w:r w:rsidR="00402594" w:rsidRPr="00846B15">
        <w:rPr>
          <w:rFonts w:cs="Arial"/>
          <w:szCs w:val="18"/>
        </w:rPr>
        <w:t>, under the assumptions of fixed technology and constant returns to scale</w:t>
      </w:r>
      <w:r w:rsidR="009060F5" w:rsidRPr="00846B15">
        <w:rPr>
          <w:rFonts w:cs="Arial"/>
          <w:szCs w:val="18"/>
        </w:rPr>
        <w:t>.</w:t>
      </w:r>
      <w:r w:rsidR="00622BCB" w:rsidRPr="00846B15">
        <w:rPr>
          <w:rFonts w:cs="Arial"/>
          <w:szCs w:val="18"/>
        </w:rPr>
        <w:t xml:space="preserve"> </w:t>
      </w:r>
      <w:r w:rsidR="009060F5" w:rsidRPr="00846B15">
        <w:rPr>
          <w:rFonts w:cs="Arial"/>
          <w:szCs w:val="18"/>
        </w:rPr>
        <w:t xml:space="preserve">The interregional extension of the </w:t>
      </w:r>
      <w:r w:rsidR="002D7802">
        <w:rPr>
          <w:rFonts w:cs="Arial"/>
          <w:szCs w:val="18"/>
        </w:rPr>
        <w:t>I-O</w:t>
      </w:r>
      <w:r w:rsidR="009060F5" w:rsidRPr="00846B15">
        <w:rPr>
          <w:rFonts w:cs="Arial"/>
          <w:szCs w:val="18"/>
        </w:rPr>
        <w:t xml:space="preserve"> model</w:t>
      </w:r>
      <w:r w:rsidR="008442ED" w:rsidRPr="00846B15">
        <w:rPr>
          <w:rFonts w:cs="Arial"/>
          <w:szCs w:val="18"/>
        </w:rPr>
        <w:t xml:space="preserve"> </w:t>
      </w:r>
      <w:r w:rsidR="004F436F">
        <w:rPr>
          <w:rFonts w:cs="Arial"/>
          <w:szCs w:val="18"/>
        </w:rPr>
        <w:t>maintains</w:t>
      </w:r>
      <w:r w:rsidR="008442ED" w:rsidRPr="00846B15">
        <w:rPr>
          <w:rFonts w:cs="Arial"/>
          <w:szCs w:val="18"/>
        </w:rPr>
        <w:t xml:space="preserve"> the same</w:t>
      </w:r>
      <w:r w:rsidR="00BC3087" w:rsidRPr="00846B15">
        <w:rPr>
          <w:rFonts w:cs="Arial"/>
          <w:szCs w:val="18"/>
        </w:rPr>
        <w:t xml:space="preserve"> fundamental</w:t>
      </w:r>
      <w:r w:rsidR="008442ED" w:rsidRPr="00846B15">
        <w:rPr>
          <w:rFonts w:cs="Arial"/>
          <w:szCs w:val="18"/>
        </w:rPr>
        <w:t xml:space="preserve"> matrix structure and</w:t>
      </w:r>
      <w:r w:rsidR="009060F5" w:rsidRPr="00846B15">
        <w:rPr>
          <w:rFonts w:cs="Arial"/>
          <w:szCs w:val="18"/>
        </w:rPr>
        <w:t xml:space="preserve"> explicitly incorporates flows of goods and services across regions</w:t>
      </w:r>
      <w:r w:rsidR="00CB52F0">
        <w:rPr>
          <w:rFonts w:cs="Arial"/>
          <w:szCs w:val="18"/>
        </w:rPr>
        <w:t>. This allows for</w:t>
      </w:r>
      <w:r w:rsidR="009060F5" w:rsidRPr="00846B15">
        <w:rPr>
          <w:rFonts w:cs="Arial"/>
          <w:szCs w:val="18"/>
        </w:rPr>
        <w:t xml:space="preserve"> </w:t>
      </w:r>
      <w:r w:rsidR="00C6585B" w:rsidRPr="00846B15">
        <w:rPr>
          <w:rFonts w:cs="Arial"/>
          <w:szCs w:val="18"/>
        </w:rPr>
        <w:t>the</w:t>
      </w:r>
      <w:r w:rsidR="009060F5" w:rsidRPr="00846B15">
        <w:rPr>
          <w:rFonts w:cs="Arial"/>
          <w:szCs w:val="18"/>
        </w:rPr>
        <w:t xml:space="preserve"> simultaneous capture </w:t>
      </w:r>
      <w:r w:rsidR="00C6585B" w:rsidRPr="00846B15">
        <w:rPr>
          <w:rFonts w:cs="Arial"/>
          <w:szCs w:val="18"/>
        </w:rPr>
        <w:t xml:space="preserve">of </w:t>
      </w:r>
      <w:r w:rsidR="009060F5" w:rsidRPr="00846B15">
        <w:rPr>
          <w:rFonts w:cs="Arial"/>
          <w:szCs w:val="18"/>
        </w:rPr>
        <w:t>intersectoral and interregional interactions</w:t>
      </w:r>
      <w:r w:rsidR="00107450" w:rsidRPr="00846B15">
        <w:rPr>
          <w:rFonts w:cs="Arial"/>
          <w:szCs w:val="18"/>
        </w:rPr>
        <w:t xml:space="preserve">, enabling the estimation of regional impacts resulting from </w:t>
      </w:r>
      <w:r w:rsidR="00107450" w:rsidRPr="00846B15">
        <w:rPr>
          <w:rFonts w:cs="Arial"/>
          <w:szCs w:val="18"/>
        </w:rPr>
        <w:lastRenderedPageBreak/>
        <w:t>changes in final demand</w:t>
      </w:r>
      <w:r w:rsidR="009060F5" w:rsidRPr="00846B15">
        <w:rPr>
          <w:rFonts w:cs="Arial"/>
          <w:szCs w:val="18"/>
        </w:rPr>
        <w:t>.</w:t>
      </w:r>
      <w:r w:rsidR="00542709">
        <w:rPr>
          <w:rFonts w:cs="Arial"/>
          <w:szCs w:val="18"/>
        </w:rPr>
        <w:t xml:space="preserve"> </w:t>
      </w:r>
      <w:r w:rsidR="00FD1A75" w:rsidRPr="00846B15">
        <w:rPr>
          <w:rFonts w:cs="Arial"/>
          <w:szCs w:val="18"/>
        </w:rPr>
        <w:t xml:space="preserve">Based on </w:t>
      </w:r>
      <w:r w:rsidR="007866D3">
        <w:rPr>
          <w:rFonts w:cs="Arial"/>
          <w:szCs w:val="18"/>
        </w:rPr>
        <w:t xml:space="preserve">the </w:t>
      </w:r>
      <w:r w:rsidR="00FD1A75" w:rsidRPr="00846B15">
        <w:rPr>
          <w:rFonts w:cs="Arial"/>
          <w:szCs w:val="18"/>
        </w:rPr>
        <w:t xml:space="preserve">Leontief inverse, economic multipliers for output, </w:t>
      </w:r>
      <w:r w:rsidR="005B70C1">
        <w:rPr>
          <w:rFonts w:cs="Arial"/>
          <w:szCs w:val="18"/>
        </w:rPr>
        <w:t>VA</w:t>
      </w:r>
      <w:r w:rsidR="00FD1A75" w:rsidRPr="00846B15">
        <w:rPr>
          <w:rFonts w:cs="Arial"/>
          <w:szCs w:val="18"/>
        </w:rPr>
        <w:t>, wages</w:t>
      </w:r>
      <w:r w:rsidR="005B70C1">
        <w:rPr>
          <w:rFonts w:cs="Arial"/>
          <w:szCs w:val="18"/>
        </w:rPr>
        <w:t xml:space="preserve"> (W; </w:t>
      </w:r>
      <w:r w:rsidR="00B245E7">
        <w:rPr>
          <w:rFonts w:cs="Arial"/>
          <w:szCs w:val="18"/>
        </w:rPr>
        <w:t>a proxy for income)</w:t>
      </w:r>
      <w:r w:rsidR="00FD1A75" w:rsidRPr="00846B15">
        <w:rPr>
          <w:rFonts w:cs="Arial"/>
          <w:szCs w:val="18"/>
        </w:rPr>
        <w:t>, and employment</w:t>
      </w:r>
      <w:r w:rsidR="005B70C1">
        <w:rPr>
          <w:rFonts w:cs="Arial"/>
          <w:szCs w:val="18"/>
        </w:rPr>
        <w:t xml:space="preserve"> (L)</w:t>
      </w:r>
      <w:r w:rsidR="00B245E7">
        <w:rPr>
          <w:rFonts w:cs="Arial"/>
          <w:szCs w:val="18"/>
        </w:rPr>
        <w:t xml:space="preserve"> </w:t>
      </w:r>
      <w:r w:rsidR="00FD1A75" w:rsidRPr="00846B15">
        <w:rPr>
          <w:rFonts w:cs="Arial"/>
          <w:szCs w:val="18"/>
        </w:rPr>
        <w:t>are calculated.</w:t>
      </w:r>
      <w:r w:rsidR="00777803" w:rsidRPr="00846B15">
        <w:rPr>
          <w:rFonts w:cs="Arial"/>
          <w:szCs w:val="18"/>
        </w:rPr>
        <w:t xml:space="preserve"> </w:t>
      </w:r>
      <w:r w:rsidR="00144CD4">
        <w:rPr>
          <w:rFonts w:cs="Arial"/>
          <w:szCs w:val="18"/>
        </w:rPr>
        <w:t>The o</w:t>
      </w:r>
      <w:r w:rsidR="00777803" w:rsidRPr="00846B15">
        <w:rPr>
          <w:rFonts w:cs="Arial"/>
          <w:szCs w:val="18"/>
        </w:rPr>
        <w:t>utput multiplier</w:t>
      </w:r>
      <w:r w:rsidR="004D44E4">
        <w:rPr>
          <w:rFonts w:cs="Arial"/>
          <w:szCs w:val="18"/>
        </w:rPr>
        <w:t xml:space="preserve"> (OM)</w:t>
      </w:r>
      <w:r w:rsidR="00777803" w:rsidRPr="00846B15">
        <w:rPr>
          <w:rFonts w:cs="Arial"/>
          <w:szCs w:val="18"/>
        </w:rPr>
        <w:t xml:space="preserve"> </w:t>
      </w:r>
      <w:r w:rsidR="00794AC6" w:rsidRPr="00846B15">
        <w:rPr>
          <w:rFonts w:cs="Arial"/>
          <w:szCs w:val="18"/>
        </w:rPr>
        <w:t>i</w:t>
      </w:r>
      <w:r w:rsidR="00777803" w:rsidRPr="00846B15">
        <w:rPr>
          <w:rFonts w:cs="Arial"/>
          <w:szCs w:val="18"/>
        </w:rPr>
        <w:t>s defined as</w:t>
      </w:r>
      <w:r w:rsidR="00A45772">
        <w:rPr>
          <w:rFonts w:cs="Arial"/>
          <w:szCs w:val="18"/>
        </w:rPr>
        <w:t>:</w: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
        <w:gridCol w:w="372"/>
        <w:gridCol w:w="1418"/>
        <w:gridCol w:w="1418"/>
      </w:tblGrid>
      <w:tr w:rsidR="00854373" w14:paraId="61D7560E" w14:textId="77777777" w:rsidTr="006106E5">
        <w:tc>
          <w:tcPr>
            <w:tcW w:w="337" w:type="dxa"/>
          </w:tcPr>
          <w:p w14:paraId="2A8639C8" w14:textId="070AB392" w:rsidR="00854373" w:rsidRDefault="00C61B08" w:rsidP="006106E5">
            <w:pPr>
              <w:pStyle w:val="CETBodytext"/>
              <w:jc w:val="right"/>
              <w:rPr>
                <w:rFonts w:cs="Arial"/>
                <w:szCs w:val="18"/>
              </w:rPr>
            </w:pPr>
            <w:r>
              <w:rPr>
                <w:rFonts w:cs="Arial"/>
                <w:szCs w:val="18"/>
              </w:rPr>
              <w:t>OM</w:t>
            </w:r>
            <w:r w:rsidRPr="00692C12">
              <w:rPr>
                <w:rFonts w:cs="Arial"/>
                <w:szCs w:val="18"/>
                <w:vertAlign w:val="subscript"/>
              </w:rPr>
              <w:t>j</w:t>
            </w:r>
          </w:p>
        </w:tc>
        <w:tc>
          <w:tcPr>
            <w:tcW w:w="372" w:type="dxa"/>
          </w:tcPr>
          <w:p w14:paraId="7A6374AF" w14:textId="77777777" w:rsidR="00854373" w:rsidRDefault="00854373" w:rsidP="006106E5">
            <w:pPr>
              <w:pStyle w:val="CETBodytext"/>
              <w:rPr>
                <w:rFonts w:cs="Arial"/>
                <w:szCs w:val="18"/>
              </w:rPr>
            </w:pPr>
            <w:r>
              <w:rPr>
                <w:rFonts w:cs="Arial"/>
                <w:szCs w:val="18"/>
              </w:rPr>
              <w:t>=</w:t>
            </w:r>
          </w:p>
        </w:tc>
        <w:tc>
          <w:tcPr>
            <w:tcW w:w="1418" w:type="dxa"/>
          </w:tcPr>
          <w:p w14:paraId="54806545" w14:textId="7E122DBA" w:rsidR="00854373" w:rsidRDefault="001806E3" w:rsidP="006106E5">
            <w:pPr>
              <w:pStyle w:val="CETBodytext"/>
              <w:rPr>
                <w:rFonts w:cs="Arial"/>
                <w:szCs w:val="18"/>
              </w:rPr>
            </w:pPr>
            <w:r>
              <w:rPr>
                <w:rFonts w:cs="Arial"/>
                <w:szCs w:val="18"/>
              </w:rPr>
              <w:t>∑</w:t>
            </w:r>
            <w:r w:rsidR="000B645D" w:rsidRPr="00692C12">
              <w:rPr>
                <w:rFonts w:cs="Arial"/>
                <w:szCs w:val="18"/>
                <w:vertAlign w:val="superscript"/>
              </w:rPr>
              <w:t>n</w:t>
            </w:r>
            <w:r w:rsidRPr="00692C12">
              <w:rPr>
                <w:rFonts w:cs="Arial"/>
                <w:szCs w:val="18"/>
                <w:vertAlign w:val="subscript"/>
              </w:rPr>
              <w:t>t=1</w:t>
            </w:r>
            <w:r w:rsidR="00854373">
              <w:rPr>
                <w:rFonts w:cs="Arial"/>
                <w:szCs w:val="18"/>
              </w:rPr>
              <w:t xml:space="preserve">* </w:t>
            </w:r>
            <w:r w:rsidR="00C61B08">
              <w:rPr>
                <w:rFonts w:cs="Arial"/>
                <w:szCs w:val="18"/>
              </w:rPr>
              <w:t>B</w:t>
            </w:r>
            <w:r w:rsidR="00C61B08" w:rsidRPr="00692C12">
              <w:rPr>
                <w:rFonts w:cs="Arial"/>
                <w:szCs w:val="18"/>
                <w:vertAlign w:val="subscript"/>
              </w:rPr>
              <w:t>ij</w:t>
            </w:r>
          </w:p>
        </w:tc>
        <w:tc>
          <w:tcPr>
            <w:tcW w:w="1418" w:type="dxa"/>
          </w:tcPr>
          <w:p w14:paraId="5CB9E01B" w14:textId="3F231205" w:rsidR="00854373" w:rsidRDefault="00854373" w:rsidP="006106E5">
            <w:pPr>
              <w:pStyle w:val="CETBodytext"/>
              <w:jc w:val="right"/>
              <w:rPr>
                <w:rFonts w:cs="Arial"/>
                <w:szCs w:val="18"/>
              </w:rPr>
            </w:pPr>
            <w:r w:rsidRPr="00846B15">
              <w:rPr>
                <w:rFonts w:cs="Arial"/>
                <w:szCs w:val="18"/>
              </w:rPr>
              <w:t xml:space="preserve">(equation </w:t>
            </w:r>
            <w:r w:rsidR="00C61B08">
              <w:rPr>
                <w:rFonts w:cs="Arial"/>
                <w:szCs w:val="18"/>
              </w:rPr>
              <w:t>2</w:t>
            </w:r>
            <w:r w:rsidRPr="00846B15">
              <w:rPr>
                <w:rFonts w:cs="Arial"/>
                <w:szCs w:val="18"/>
              </w:rPr>
              <w:t>),</w:t>
            </w:r>
          </w:p>
        </w:tc>
      </w:tr>
    </w:tbl>
    <w:p w14:paraId="74D32025" w14:textId="02437711" w:rsidR="006C6071" w:rsidRDefault="00777803" w:rsidP="00FD1A75">
      <w:pPr>
        <w:pStyle w:val="CETBodytext"/>
        <w:rPr>
          <w:rFonts w:cs="Arial"/>
          <w:szCs w:val="18"/>
        </w:rPr>
      </w:pPr>
      <w:r w:rsidRPr="00846B15">
        <w:rPr>
          <w:rFonts w:cs="Arial"/>
          <w:szCs w:val="18"/>
        </w:rPr>
        <w:t xml:space="preserve">where </w:t>
      </w:r>
      <w:r w:rsidRPr="00846B15">
        <w:rPr>
          <w:rFonts w:cs="Arial"/>
          <w:i/>
          <w:iCs/>
          <w:szCs w:val="18"/>
        </w:rPr>
        <w:t>j</w:t>
      </w:r>
      <w:r w:rsidR="00794AC6" w:rsidRPr="00846B15">
        <w:rPr>
          <w:rFonts w:cs="Arial"/>
          <w:i/>
          <w:iCs/>
          <w:szCs w:val="18"/>
        </w:rPr>
        <w:t xml:space="preserve"> </w:t>
      </w:r>
      <w:r w:rsidRPr="00846B15">
        <w:rPr>
          <w:rFonts w:cs="Arial"/>
          <w:szCs w:val="18"/>
        </w:rPr>
        <w:t>=</w:t>
      </w:r>
      <w:r w:rsidR="00794AC6" w:rsidRPr="00846B15">
        <w:rPr>
          <w:rFonts w:cs="Arial"/>
          <w:szCs w:val="18"/>
        </w:rPr>
        <w:t xml:space="preserve"> </w:t>
      </w:r>
      <w:r w:rsidRPr="00846B15">
        <w:rPr>
          <w:rFonts w:cs="Arial"/>
          <w:i/>
          <w:iCs/>
          <w:szCs w:val="18"/>
        </w:rPr>
        <w:t>1,...,n</w:t>
      </w:r>
      <w:r w:rsidR="00BA541D" w:rsidRPr="00846B15">
        <w:rPr>
          <w:rFonts w:cs="Arial"/>
          <w:szCs w:val="18"/>
        </w:rPr>
        <w:t>,</w:t>
      </w:r>
      <w:r w:rsidRPr="00846B15">
        <w:rPr>
          <w:rFonts w:cs="Arial"/>
          <w:szCs w:val="18"/>
        </w:rPr>
        <w:t xml:space="preserve"> and </w:t>
      </w:r>
      <m:oMath>
        <m:sSub>
          <m:sSubPr>
            <m:ctrlPr>
              <w:rPr>
                <w:rFonts w:ascii="Cambria Math" w:hAnsi="Cambria Math" w:cs="Arial"/>
                <w:i/>
                <w:szCs w:val="18"/>
              </w:rPr>
            </m:ctrlPr>
          </m:sSubPr>
          <m:e>
            <m:r>
              <w:rPr>
                <w:rFonts w:ascii="Cambria Math" w:hAnsi="Cambria Math" w:cs="Arial"/>
                <w:szCs w:val="18"/>
              </w:rPr>
              <m:t>OM</m:t>
            </m:r>
          </m:e>
          <m:sub>
            <m:r>
              <w:rPr>
                <w:rFonts w:ascii="Cambria Math" w:hAnsi="Cambria Math" w:cs="Arial"/>
                <w:szCs w:val="18"/>
              </w:rPr>
              <m:t>j</m:t>
            </m:r>
          </m:sub>
        </m:sSub>
      </m:oMath>
      <w:r w:rsidRPr="00846B15">
        <w:rPr>
          <w:rFonts w:cs="Arial"/>
          <w:szCs w:val="18"/>
        </w:rPr>
        <w:t xml:space="preserve"> is the output multiplier for the </w:t>
      </w:r>
      <w:r w:rsidRPr="00846B15">
        <w:rPr>
          <w:rFonts w:cs="Arial"/>
          <w:i/>
          <w:iCs/>
          <w:szCs w:val="18"/>
        </w:rPr>
        <w:t>j</w:t>
      </w:r>
      <w:r w:rsidRPr="00846B15">
        <w:rPr>
          <w:rFonts w:cs="Arial"/>
          <w:i/>
          <w:iCs/>
          <w:szCs w:val="18"/>
          <w:vertAlign w:val="superscript"/>
        </w:rPr>
        <w:t>th</w:t>
      </w:r>
      <w:r w:rsidRPr="00846B15">
        <w:rPr>
          <w:rFonts w:cs="Arial"/>
          <w:szCs w:val="18"/>
        </w:rPr>
        <w:t xml:space="preserve"> sector, and</w:t>
      </w:r>
      <w:r w:rsidR="003A4E1B" w:rsidRPr="00846B15">
        <w:rPr>
          <w:rFonts w:cs="Arial"/>
          <w:szCs w:val="18"/>
        </w:rPr>
        <w:t xml:space="preserve"> </w:t>
      </w:r>
      <m:oMath>
        <m:sSub>
          <m:sSubPr>
            <m:ctrlPr>
              <w:rPr>
                <w:rFonts w:ascii="Cambria Math" w:hAnsi="Cambria Math" w:cs="Arial"/>
                <w:i/>
                <w:szCs w:val="18"/>
              </w:rPr>
            </m:ctrlPr>
          </m:sSubPr>
          <m:e>
            <m:r>
              <w:rPr>
                <w:rFonts w:ascii="Cambria Math" w:hAnsi="Cambria Math" w:cs="Arial"/>
                <w:szCs w:val="18"/>
              </w:rPr>
              <m:t>B</m:t>
            </m:r>
          </m:e>
          <m:sub>
            <m:r>
              <w:rPr>
                <w:rFonts w:ascii="Cambria Math" w:hAnsi="Cambria Math" w:cs="Arial"/>
                <w:szCs w:val="18"/>
              </w:rPr>
              <m:t>ij</m:t>
            </m:r>
          </m:sub>
        </m:sSub>
      </m:oMath>
      <w:r w:rsidR="003A4E1B" w:rsidRPr="00846B15">
        <w:rPr>
          <w:rFonts w:cs="Arial"/>
          <w:szCs w:val="18"/>
        </w:rPr>
        <w:t xml:space="preserve"> </w:t>
      </w:r>
      <w:r w:rsidRPr="00846B15">
        <w:rPr>
          <w:rFonts w:cs="Arial"/>
          <w:szCs w:val="18"/>
        </w:rPr>
        <w:t>is any element of the Leontief inverse matrix.</w:t>
      </w:r>
      <w:r w:rsidR="006C7202" w:rsidRPr="00846B15">
        <w:rPr>
          <w:rFonts w:cs="Arial"/>
          <w:szCs w:val="18"/>
        </w:rPr>
        <w:t xml:space="preserve"> </w:t>
      </w:r>
      <w:r w:rsidR="00674399">
        <w:rPr>
          <w:rFonts w:cs="Arial"/>
          <w:szCs w:val="18"/>
        </w:rPr>
        <w:t>VA</w:t>
      </w:r>
      <w:r w:rsidR="00FD1A75" w:rsidRPr="00846B15">
        <w:rPr>
          <w:rFonts w:cs="Arial"/>
          <w:szCs w:val="18"/>
        </w:rPr>
        <w:t xml:space="preserve">, </w:t>
      </w:r>
      <w:r w:rsidR="00230D4B">
        <w:rPr>
          <w:rFonts w:cs="Arial"/>
          <w:szCs w:val="18"/>
        </w:rPr>
        <w:t>W</w:t>
      </w:r>
      <w:r w:rsidR="00FD1A75" w:rsidRPr="00846B15">
        <w:rPr>
          <w:rFonts w:cs="Arial"/>
          <w:szCs w:val="18"/>
        </w:rPr>
        <w:t xml:space="preserve">, and </w:t>
      </w:r>
      <w:r w:rsidR="00674399">
        <w:rPr>
          <w:rFonts w:cs="Arial"/>
          <w:szCs w:val="18"/>
        </w:rPr>
        <w:t>L</w:t>
      </w:r>
      <w:r w:rsidR="00FD1A75" w:rsidRPr="00846B15">
        <w:rPr>
          <w:rFonts w:cs="Arial"/>
          <w:szCs w:val="18"/>
        </w:rPr>
        <w:t xml:space="preserve"> multipliers are obtained by </w:t>
      </w:r>
      <w:r w:rsidR="00D50A6D" w:rsidRPr="00846B15">
        <w:rPr>
          <w:rFonts w:cs="Arial"/>
          <w:szCs w:val="18"/>
        </w:rPr>
        <w:t>weighing</w:t>
      </w:r>
      <w:r w:rsidR="00FD1A75" w:rsidRPr="00846B15">
        <w:rPr>
          <w:rFonts w:cs="Arial"/>
          <w:szCs w:val="18"/>
        </w:rPr>
        <w:t xml:space="preserve"> the Leontief inverse</w:t>
      </w:r>
      <w:r w:rsidR="00C213FB">
        <w:rPr>
          <w:rFonts w:ascii="Cambria Math" w:hAnsi="Cambria Math" w:cs="Arial"/>
          <w:i/>
          <w:szCs w:val="18"/>
        </w:rPr>
        <w:t xml:space="preserve">, </w:t>
      </w:r>
      <m:oMath>
        <m:r>
          <w:rPr>
            <w:rFonts w:ascii="Cambria Math" w:hAnsi="Cambria Math" w:cs="Arial"/>
            <w:szCs w:val="18"/>
          </w:rPr>
          <m:t>B</m:t>
        </m:r>
      </m:oMath>
      <w:r w:rsidR="00C213FB">
        <w:rPr>
          <w:rFonts w:ascii="Cambria Math" w:hAnsi="Cambria Math" w:cs="Arial"/>
          <w:iCs/>
          <w:szCs w:val="18"/>
        </w:rPr>
        <w:t xml:space="preserve">, </w:t>
      </w:r>
      <w:r w:rsidR="00FD1A75" w:rsidRPr="00846B15">
        <w:rPr>
          <w:rFonts w:cs="Arial"/>
          <w:szCs w:val="18"/>
        </w:rPr>
        <w:t xml:space="preserve">by sector-specific </w:t>
      </w:r>
      <w:r w:rsidR="0042133F">
        <w:rPr>
          <w:rFonts w:cs="Arial"/>
          <w:szCs w:val="18"/>
        </w:rPr>
        <w:t xml:space="preserve">direct </w:t>
      </w:r>
      <w:r w:rsidR="00FD1A75" w:rsidRPr="00846B15">
        <w:rPr>
          <w:rFonts w:cs="Arial"/>
          <w:szCs w:val="18"/>
        </w:rPr>
        <w:t xml:space="preserve">coefficients of these variables relative to </w:t>
      </w:r>
      <w:r w:rsidR="00B2484D">
        <w:rPr>
          <w:rFonts w:cs="Arial"/>
          <w:szCs w:val="18"/>
        </w:rPr>
        <w:t>GVO</w:t>
      </w:r>
      <w:r w:rsidR="00FD1A75" w:rsidRPr="00846B15">
        <w:rPr>
          <w:rFonts w:cs="Arial"/>
          <w:szCs w:val="18"/>
        </w:rPr>
        <w:t xml:space="preserve">, thereby allowing the assessment of the systemic impacts of exogenous shocks on the economy. </w:t>
      </w:r>
    </w:p>
    <w:p w14:paraId="1468D5E4" w14:textId="41BEB86A" w:rsidR="00842087" w:rsidRPr="00784686" w:rsidRDefault="0017209B" w:rsidP="00842087">
      <w:pPr>
        <w:pStyle w:val="CETheadingx"/>
      </w:pPr>
      <w:r>
        <w:t>Assessing r</w:t>
      </w:r>
      <w:r w:rsidR="00BE69B8">
        <w:t>egional socioeconomic impacts</w:t>
      </w:r>
      <w:r>
        <w:t xml:space="preserve"> in response to expanded biofuel demand</w:t>
      </w:r>
    </w:p>
    <w:p w14:paraId="15BF8EED" w14:textId="4B37CF7B" w:rsidR="00224482" w:rsidRDefault="001F4BB3" w:rsidP="00A802A7">
      <w:pPr>
        <w:pStyle w:val="CETBodytext"/>
        <w:rPr>
          <w:rFonts w:cs="Arial"/>
          <w:szCs w:val="18"/>
        </w:rPr>
      </w:pPr>
      <w:r w:rsidRPr="001F4BB3">
        <w:rPr>
          <w:rFonts w:cs="Arial"/>
          <w:szCs w:val="18"/>
        </w:rPr>
        <w:t>Official Brazilian projections</w:t>
      </w:r>
      <w:r>
        <w:rPr>
          <w:rFonts w:cs="Arial"/>
          <w:szCs w:val="18"/>
        </w:rPr>
        <w:t xml:space="preserve"> </w:t>
      </w:r>
      <w:r>
        <w:rPr>
          <w:rFonts w:cs="Arial"/>
          <w:szCs w:val="18"/>
        </w:rPr>
        <w:fldChar w:fldCharType="begin"/>
      </w:r>
      <w:r w:rsidR="00182C1F">
        <w:rPr>
          <w:rFonts w:cs="Arial"/>
          <w:szCs w:val="18"/>
        </w:rPr>
        <w:instrText xml:space="preserve"> ADDIN ZOTERO_ITEM CSL_CITATION {"citationID":"4qMLPXWC","properties":{"formattedCitation":"(EPE, 2025)","plainCitation":"(EPE,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schema":"https://github.com/citation-style-language/schema/raw/master/csl-citation.json"} </w:instrText>
      </w:r>
      <w:r>
        <w:rPr>
          <w:rFonts w:cs="Arial"/>
          <w:szCs w:val="18"/>
        </w:rPr>
        <w:fldChar w:fldCharType="separate"/>
      </w:r>
      <w:r w:rsidRPr="001F4BB3">
        <w:rPr>
          <w:rFonts w:cs="Arial"/>
        </w:rPr>
        <w:t>(EPE, 2025)</w:t>
      </w:r>
      <w:r>
        <w:rPr>
          <w:rFonts w:cs="Arial"/>
          <w:szCs w:val="18"/>
        </w:rPr>
        <w:fldChar w:fldCharType="end"/>
      </w:r>
      <w:r w:rsidRPr="001F4BB3">
        <w:rPr>
          <w:rFonts w:cs="Arial"/>
          <w:szCs w:val="18"/>
        </w:rPr>
        <w:t xml:space="preserve"> indicate that by 2035 </w:t>
      </w:r>
      <w:r w:rsidR="00241C87" w:rsidRPr="001F4BB3">
        <w:rPr>
          <w:rFonts w:cs="Arial"/>
          <w:szCs w:val="18"/>
        </w:rPr>
        <w:t xml:space="preserve">the </w:t>
      </w:r>
      <w:r w:rsidR="00241C87">
        <w:rPr>
          <w:rFonts w:cs="Arial"/>
          <w:szCs w:val="18"/>
        </w:rPr>
        <w:t>demand</w:t>
      </w:r>
      <w:r w:rsidR="00241C87" w:rsidRPr="001F4BB3">
        <w:rPr>
          <w:rFonts w:cs="Arial"/>
          <w:szCs w:val="18"/>
        </w:rPr>
        <w:t xml:space="preserve"> </w:t>
      </w:r>
      <w:r w:rsidR="00922BE6">
        <w:rPr>
          <w:rFonts w:cs="Arial"/>
          <w:szCs w:val="18"/>
        </w:rPr>
        <w:t>for</w:t>
      </w:r>
      <w:r w:rsidR="00241C87">
        <w:rPr>
          <w:rFonts w:cs="Arial"/>
          <w:szCs w:val="18"/>
        </w:rPr>
        <w:t xml:space="preserve"> </w:t>
      </w:r>
      <w:r w:rsidR="00241C87" w:rsidRPr="001F4BB3">
        <w:rPr>
          <w:rFonts w:cs="Arial"/>
          <w:szCs w:val="18"/>
        </w:rPr>
        <w:t>corn ethanol, sugarcane ethanol, and soybean</w:t>
      </w:r>
      <w:r w:rsidR="00241C87">
        <w:rPr>
          <w:rFonts w:cs="Arial"/>
          <w:szCs w:val="18"/>
        </w:rPr>
        <w:t xml:space="preserve"> (oil)</w:t>
      </w:r>
      <w:r w:rsidR="00241C87" w:rsidRPr="001F4BB3">
        <w:rPr>
          <w:rFonts w:cs="Arial"/>
          <w:szCs w:val="18"/>
        </w:rPr>
        <w:t xml:space="preserve"> biodiesel </w:t>
      </w:r>
      <w:r w:rsidR="00241C87">
        <w:rPr>
          <w:rFonts w:cs="Arial"/>
          <w:szCs w:val="18"/>
        </w:rPr>
        <w:t xml:space="preserve">is </w:t>
      </w:r>
      <w:r w:rsidR="00A729A6">
        <w:rPr>
          <w:rFonts w:cs="Arial"/>
          <w:szCs w:val="18"/>
        </w:rPr>
        <w:t>expected</w:t>
      </w:r>
      <w:r w:rsidR="00241C87">
        <w:rPr>
          <w:rFonts w:cs="Arial"/>
          <w:szCs w:val="18"/>
        </w:rPr>
        <w:t xml:space="preserve"> to increase by</w:t>
      </w:r>
      <w:r w:rsidR="00241C87" w:rsidRPr="001F4BB3">
        <w:rPr>
          <w:rFonts w:cs="Arial"/>
          <w:szCs w:val="18"/>
        </w:rPr>
        <w:t xml:space="preserve"> 63</w:t>
      </w:r>
      <w:r w:rsidR="00422F15">
        <w:rPr>
          <w:rFonts w:cs="Arial"/>
          <w:szCs w:val="18"/>
        </w:rPr>
        <w:t xml:space="preserve"> </w:t>
      </w:r>
      <w:r w:rsidR="00241C87" w:rsidRPr="001F4BB3">
        <w:rPr>
          <w:rFonts w:cs="Arial"/>
          <w:szCs w:val="18"/>
        </w:rPr>
        <w:t>%, 20</w:t>
      </w:r>
      <w:r w:rsidR="00422F15">
        <w:rPr>
          <w:rFonts w:cs="Arial"/>
          <w:szCs w:val="18"/>
        </w:rPr>
        <w:t xml:space="preserve"> </w:t>
      </w:r>
      <w:r w:rsidR="00241C87" w:rsidRPr="001F4BB3">
        <w:rPr>
          <w:rFonts w:cs="Arial"/>
          <w:szCs w:val="18"/>
        </w:rPr>
        <w:t>%, and 38</w:t>
      </w:r>
      <w:r w:rsidR="00422F15">
        <w:rPr>
          <w:rFonts w:cs="Arial"/>
          <w:szCs w:val="18"/>
        </w:rPr>
        <w:t xml:space="preserve"> </w:t>
      </w:r>
      <w:r w:rsidR="00241C87" w:rsidRPr="001F4BB3">
        <w:rPr>
          <w:rFonts w:cs="Arial"/>
          <w:szCs w:val="18"/>
        </w:rPr>
        <w:t>%, respectively. SAF</w:t>
      </w:r>
      <w:r w:rsidR="00241C87">
        <w:rPr>
          <w:rFonts w:cs="Arial"/>
          <w:szCs w:val="18"/>
        </w:rPr>
        <w:t xml:space="preserve"> demand is projected to </w:t>
      </w:r>
      <w:r w:rsidR="00A729A6">
        <w:rPr>
          <w:rFonts w:cs="Arial"/>
          <w:szCs w:val="18"/>
        </w:rPr>
        <w:t>contribute</w:t>
      </w:r>
      <w:r w:rsidR="00241C87">
        <w:rPr>
          <w:rFonts w:cs="Arial"/>
          <w:szCs w:val="18"/>
        </w:rPr>
        <w:t xml:space="preserve"> </w:t>
      </w:r>
      <w:r w:rsidR="00241C87" w:rsidRPr="001F4BB3">
        <w:rPr>
          <w:rFonts w:cs="Arial"/>
          <w:szCs w:val="18"/>
        </w:rPr>
        <w:t>another 28</w:t>
      </w:r>
      <w:r w:rsidR="00422F15">
        <w:rPr>
          <w:rFonts w:cs="Arial"/>
          <w:szCs w:val="18"/>
        </w:rPr>
        <w:t xml:space="preserve"> </w:t>
      </w:r>
      <w:r w:rsidR="00241C87" w:rsidRPr="001F4BB3">
        <w:rPr>
          <w:rFonts w:cs="Arial"/>
          <w:szCs w:val="18"/>
        </w:rPr>
        <w:t>% to biodiesel demand</w:t>
      </w:r>
      <w:r w:rsidR="008F179E">
        <w:rPr>
          <w:rFonts w:cs="Arial"/>
          <w:szCs w:val="18"/>
        </w:rPr>
        <w:t xml:space="preserve"> </w:t>
      </w:r>
      <w:r w:rsidR="00FA1BE8">
        <w:rPr>
          <w:rFonts w:cs="Arial"/>
          <w:szCs w:val="18"/>
        </w:rPr>
        <w:t>during</w:t>
      </w:r>
      <w:r w:rsidR="008F179E">
        <w:rPr>
          <w:rFonts w:cs="Arial"/>
          <w:szCs w:val="18"/>
        </w:rPr>
        <w:t xml:space="preserve"> th</w:t>
      </w:r>
      <w:r w:rsidR="00FA1BE8">
        <w:rPr>
          <w:rFonts w:cs="Arial"/>
          <w:szCs w:val="18"/>
        </w:rPr>
        <w:t>is</w:t>
      </w:r>
      <w:r w:rsidR="008F179E">
        <w:rPr>
          <w:rFonts w:cs="Arial"/>
          <w:szCs w:val="18"/>
        </w:rPr>
        <w:t xml:space="preserve"> period</w:t>
      </w:r>
      <w:r w:rsidR="00241C87" w:rsidRPr="001F4BB3">
        <w:rPr>
          <w:rFonts w:cs="Arial"/>
          <w:szCs w:val="18"/>
        </w:rPr>
        <w:t>.</w:t>
      </w:r>
      <w:r w:rsidR="00241C87">
        <w:rPr>
          <w:rFonts w:cs="Arial"/>
          <w:szCs w:val="18"/>
        </w:rPr>
        <w:t xml:space="preserve"> </w:t>
      </w:r>
      <w:r w:rsidR="003B7B19">
        <w:rPr>
          <w:rFonts w:cs="Arial"/>
          <w:szCs w:val="18"/>
        </w:rPr>
        <w:t>Therefore</w:t>
      </w:r>
      <w:r w:rsidR="005B0AF3">
        <w:rPr>
          <w:rFonts w:cs="Arial"/>
          <w:szCs w:val="18"/>
        </w:rPr>
        <w:t>, the</w:t>
      </w:r>
      <w:r w:rsidR="00241C87">
        <w:rPr>
          <w:rFonts w:cs="Arial"/>
          <w:szCs w:val="18"/>
        </w:rPr>
        <w:t xml:space="preserve"> </w:t>
      </w:r>
      <w:r w:rsidR="005B0AF3">
        <w:rPr>
          <w:rFonts w:cs="Arial"/>
          <w:szCs w:val="18"/>
        </w:rPr>
        <w:t xml:space="preserve">shock </w:t>
      </w:r>
      <w:r w:rsidR="00493B88">
        <w:rPr>
          <w:rFonts w:cs="Arial"/>
          <w:szCs w:val="18"/>
        </w:rPr>
        <w:t xml:space="preserve">used </w:t>
      </w:r>
      <w:r w:rsidR="00362DD8">
        <w:rPr>
          <w:rFonts w:cs="Arial"/>
          <w:szCs w:val="18"/>
        </w:rPr>
        <w:t xml:space="preserve">in this study reflects </w:t>
      </w:r>
      <w:r w:rsidR="00351438">
        <w:rPr>
          <w:rFonts w:cs="Arial"/>
          <w:szCs w:val="18"/>
        </w:rPr>
        <w:t xml:space="preserve">a </w:t>
      </w:r>
      <w:r w:rsidR="00241C87">
        <w:rPr>
          <w:rFonts w:cs="Arial"/>
          <w:szCs w:val="18"/>
        </w:rPr>
        <w:t>total</w:t>
      </w:r>
      <w:r w:rsidR="00A0307F">
        <w:rPr>
          <w:rFonts w:cs="Arial"/>
          <w:szCs w:val="18"/>
        </w:rPr>
        <w:t xml:space="preserve"> </w:t>
      </w:r>
      <w:r w:rsidR="005B0AF3">
        <w:rPr>
          <w:rFonts w:cs="Arial"/>
          <w:szCs w:val="18"/>
        </w:rPr>
        <w:t xml:space="preserve">weighed </w:t>
      </w:r>
      <w:r w:rsidR="00A0307F">
        <w:rPr>
          <w:rFonts w:cs="Arial"/>
          <w:szCs w:val="18"/>
        </w:rPr>
        <w:t xml:space="preserve">increase in </w:t>
      </w:r>
      <w:r w:rsidR="00A0307F" w:rsidRPr="001F4BB3">
        <w:rPr>
          <w:rFonts w:cs="Arial"/>
          <w:szCs w:val="18"/>
        </w:rPr>
        <w:t xml:space="preserve">biofuel </w:t>
      </w:r>
      <w:r w:rsidR="00A0307F">
        <w:rPr>
          <w:rFonts w:cs="Arial"/>
          <w:szCs w:val="18"/>
        </w:rPr>
        <w:t xml:space="preserve">demand </w:t>
      </w:r>
      <w:r w:rsidR="00EF413A">
        <w:rPr>
          <w:rFonts w:cs="Arial"/>
          <w:szCs w:val="18"/>
        </w:rPr>
        <w:t xml:space="preserve">value </w:t>
      </w:r>
      <w:r w:rsidR="005B0AF3">
        <w:rPr>
          <w:rFonts w:cs="Arial"/>
          <w:szCs w:val="18"/>
        </w:rPr>
        <w:t xml:space="preserve">of </w:t>
      </w:r>
      <w:r w:rsidR="00A0307F" w:rsidRPr="001F4BB3">
        <w:rPr>
          <w:rFonts w:cs="Arial"/>
          <w:szCs w:val="18"/>
        </w:rPr>
        <w:t>3</w:t>
      </w:r>
      <w:r w:rsidR="00BE26C7">
        <w:rPr>
          <w:rFonts w:cs="Arial"/>
          <w:szCs w:val="18"/>
        </w:rPr>
        <w:t>8</w:t>
      </w:r>
      <w:r w:rsidR="00422F15">
        <w:rPr>
          <w:rFonts w:cs="Arial"/>
          <w:szCs w:val="18"/>
        </w:rPr>
        <w:t>.</w:t>
      </w:r>
      <w:r w:rsidR="00BE26C7">
        <w:rPr>
          <w:rFonts w:cs="Arial"/>
          <w:szCs w:val="18"/>
        </w:rPr>
        <w:t>8</w:t>
      </w:r>
      <w:r w:rsidR="00422F15">
        <w:rPr>
          <w:rFonts w:cs="Arial"/>
          <w:szCs w:val="18"/>
        </w:rPr>
        <w:t xml:space="preserve"> </w:t>
      </w:r>
      <w:r w:rsidR="00A0307F" w:rsidRPr="001F4BB3">
        <w:rPr>
          <w:rFonts w:cs="Arial"/>
          <w:szCs w:val="18"/>
        </w:rPr>
        <w:t>%</w:t>
      </w:r>
      <w:r w:rsidR="005B0AF3">
        <w:rPr>
          <w:rFonts w:cs="Arial"/>
          <w:szCs w:val="18"/>
        </w:rPr>
        <w:t xml:space="preserve"> by 2035</w:t>
      </w:r>
      <w:r w:rsidR="008524E7">
        <w:rPr>
          <w:rFonts w:cs="Arial"/>
          <w:szCs w:val="18"/>
        </w:rPr>
        <w:t>.</w:t>
      </w:r>
      <w:r w:rsidR="00263FD5">
        <w:rPr>
          <w:rFonts w:cs="Arial"/>
          <w:szCs w:val="18"/>
        </w:rPr>
        <w:t xml:space="preserve"> </w:t>
      </w:r>
      <w:r w:rsidR="001C6AE6">
        <w:rPr>
          <w:rFonts w:cs="Arial"/>
          <w:szCs w:val="18"/>
        </w:rPr>
        <w:t>Th</w:t>
      </w:r>
      <w:r w:rsidR="00CF190F">
        <w:rPr>
          <w:rFonts w:cs="Arial"/>
          <w:szCs w:val="18"/>
        </w:rPr>
        <w:t>is</w:t>
      </w:r>
      <w:r w:rsidR="001C6AE6">
        <w:rPr>
          <w:rFonts w:cs="Arial"/>
          <w:szCs w:val="18"/>
        </w:rPr>
        <w:t xml:space="preserve"> shock was distributed </w:t>
      </w:r>
      <w:r w:rsidR="00A32FB7">
        <w:rPr>
          <w:rFonts w:cs="Arial"/>
          <w:szCs w:val="18"/>
        </w:rPr>
        <w:t>among</w:t>
      </w:r>
      <w:r w:rsidR="001C6AE6">
        <w:rPr>
          <w:rFonts w:cs="Arial"/>
          <w:szCs w:val="18"/>
        </w:rPr>
        <w:t xml:space="preserve"> regions according to </w:t>
      </w:r>
      <w:r w:rsidR="00A32FB7">
        <w:rPr>
          <w:rFonts w:cs="Arial"/>
          <w:szCs w:val="18"/>
        </w:rPr>
        <w:t>the</w:t>
      </w:r>
      <w:r w:rsidR="00293071">
        <w:rPr>
          <w:rFonts w:cs="Arial"/>
          <w:szCs w:val="18"/>
        </w:rPr>
        <w:t>ir respective</w:t>
      </w:r>
      <w:r w:rsidR="00A32FB7">
        <w:rPr>
          <w:rFonts w:cs="Arial"/>
          <w:szCs w:val="18"/>
        </w:rPr>
        <w:t xml:space="preserve"> </w:t>
      </w:r>
      <w:r w:rsidR="001C6AE6">
        <w:rPr>
          <w:rFonts w:cs="Arial"/>
          <w:szCs w:val="18"/>
        </w:rPr>
        <w:t>2022</w:t>
      </w:r>
      <w:r w:rsidR="00C373E1">
        <w:rPr>
          <w:rFonts w:cs="Arial"/>
          <w:szCs w:val="18"/>
        </w:rPr>
        <w:t xml:space="preserve"> value of production. The </w:t>
      </w:r>
      <w:r w:rsidR="005B70C0">
        <w:rPr>
          <w:rFonts w:cs="Arial"/>
          <w:szCs w:val="18"/>
        </w:rPr>
        <w:t>s</w:t>
      </w:r>
      <w:r w:rsidR="00C373E1">
        <w:rPr>
          <w:rFonts w:cs="Arial"/>
          <w:szCs w:val="18"/>
        </w:rPr>
        <w:t>tate of São Paulo</w:t>
      </w:r>
      <w:r w:rsidR="005B70C0">
        <w:rPr>
          <w:rFonts w:cs="Arial"/>
          <w:szCs w:val="18"/>
        </w:rPr>
        <w:t xml:space="preserve"> is projected to absorb 37% of the </w:t>
      </w:r>
      <w:r w:rsidR="002D090A">
        <w:rPr>
          <w:rFonts w:cs="Arial"/>
          <w:szCs w:val="18"/>
        </w:rPr>
        <w:t xml:space="preserve">national </w:t>
      </w:r>
      <w:r w:rsidR="005B70C0">
        <w:rPr>
          <w:rFonts w:cs="Arial"/>
          <w:szCs w:val="18"/>
        </w:rPr>
        <w:t>shock</w:t>
      </w:r>
      <w:r w:rsidR="00A41BE8">
        <w:rPr>
          <w:rFonts w:cs="Arial"/>
          <w:szCs w:val="18"/>
        </w:rPr>
        <w:t>,</w:t>
      </w:r>
      <w:r w:rsidR="005B70C0">
        <w:rPr>
          <w:rFonts w:cs="Arial"/>
          <w:szCs w:val="18"/>
        </w:rPr>
        <w:t xml:space="preserve"> while </w:t>
      </w:r>
      <w:r w:rsidR="00582860">
        <w:rPr>
          <w:rFonts w:cs="Arial"/>
          <w:szCs w:val="18"/>
        </w:rPr>
        <w:t xml:space="preserve">the </w:t>
      </w:r>
      <w:r w:rsidR="005B70C0">
        <w:rPr>
          <w:rFonts w:cs="Arial"/>
          <w:szCs w:val="18"/>
        </w:rPr>
        <w:t>Center-West</w:t>
      </w:r>
      <w:r w:rsidR="00582860">
        <w:rPr>
          <w:rFonts w:cs="Arial"/>
          <w:szCs w:val="18"/>
        </w:rPr>
        <w:t xml:space="preserve"> </w:t>
      </w:r>
      <w:r w:rsidR="00A41BE8">
        <w:rPr>
          <w:rFonts w:cs="Arial"/>
          <w:szCs w:val="18"/>
        </w:rPr>
        <w:t>states</w:t>
      </w:r>
      <w:r w:rsidR="006E456C">
        <w:rPr>
          <w:rFonts w:cs="Arial"/>
          <w:szCs w:val="18"/>
        </w:rPr>
        <w:t xml:space="preserve"> – </w:t>
      </w:r>
      <w:r w:rsidR="00F65C99">
        <w:rPr>
          <w:rFonts w:cs="Arial"/>
          <w:szCs w:val="18"/>
        </w:rPr>
        <w:t>Mato Grosso (MT), Mato Grosso do Sul (M</w:t>
      </w:r>
      <w:r w:rsidR="00582860">
        <w:rPr>
          <w:rFonts w:cs="Arial"/>
          <w:szCs w:val="18"/>
        </w:rPr>
        <w:t>S</w:t>
      </w:r>
      <w:r w:rsidR="00F65C99">
        <w:rPr>
          <w:rFonts w:cs="Arial"/>
          <w:szCs w:val="18"/>
        </w:rPr>
        <w:t>)</w:t>
      </w:r>
      <w:r w:rsidR="00582860">
        <w:rPr>
          <w:rFonts w:cs="Arial"/>
          <w:szCs w:val="18"/>
        </w:rPr>
        <w:t>, and Goiás (GO)</w:t>
      </w:r>
      <w:r w:rsidR="006E456C">
        <w:rPr>
          <w:rFonts w:cs="Arial"/>
          <w:szCs w:val="18"/>
        </w:rPr>
        <w:t xml:space="preserve"> – account</w:t>
      </w:r>
      <w:r w:rsidR="00582860">
        <w:rPr>
          <w:rFonts w:cs="Arial"/>
          <w:szCs w:val="18"/>
        </w:rPr>
        <w:t xml:space="preserve"> for </w:t>
      </w:r>
      <w:r w:rsidR="00FF3354">
        <w:rPr>
          <w:rFonts w:cs="Arial"/>
          <w:szCs w:val="18"/>
        </w:rPr>
        <w:t>another 33</w:t>
      </w:r>
      <w:r w:rsidR="00422F15">
        <w:rPr>
          <w:rFonts w:cs="Arial"/>
          <w:szCs w:val="18"/>
        </w:rPr>
        <w:t xml:space="preserve"> </w:t>
      </w:r>
      <w:r w:rsidR="00FF3354">
        <w:rPr>
          <w:rFonts w:cs="Arial"/>
          <w:szCs w:val="18"/>
        </w:rPr>
        <w:t>%. The remain</w:t>
      </w:r>
      <w:r w:rsidR="00EC0131">
        <w:rPr>
          <w:rFonts w:cs="Arial"/>
          <w:szCs w:val="18"/>
        </w:rPr>
        <w:t>ing</w:t>
      </w:r>
      <w:r w:rsidR="00FF3354">
        <w:rPr>
          <w:rFonts w:cs="Arial"/>
          <w:szCs w:val="18"/>
        </w:rPr>
        <w:t xml:space="preserve"> 30</w:t>
      </w:r>
      <w:r w:rsidR="00422F15">
        <w:rPr>
          <w:rFonts w:cs="Arial"/>
          <w:szCs w:val="18"/>
        </w:rPr>
        <w:t xml:space="preserve"> </w:t>
      </w:r>
      <w:r w:rsidR="00FF3354">
        <w:rPr>
          <w:rFonts w:cs="Arial"/>
          <w:szCs w:val="18"/>
        </w:rPr>
        <w:t xml:space="preserve">% of the </w:t>
      </w:r>
      <w:r w:rsidR="00FC27DF" w:rsidRPr="001F4BB3">
        <w:rPr>
          <w:rFonts w:cs="Arial"/>
          <w:szCs w:val="18"/>
        </w:rPr>
        <w:t>bio</w:t>
      </w:r>
      <w:r w:rsidR="00FC27DF">
        <w:rPr>
          <w:rFonts w:cs="Arial"/>
          <w:szCs w:val="18"/>
        </w:rPr>
        <w:t>fuel</w:t>
      </w:r>
      <w:r w:rsidR="00FC27DF" w:rsidRPr="001F4BB3">
        <w:rPr>
          <w:rFonts w:cs="Arial"/>
          <w:szCs w:val="18"/>
        </w:rPr>
        <w:t xml:space="preserve"> demand</w:t>
      </w:r>
      <w:r w:rsidR="00FC27DF">
        <w:rPr>
          <w:rFonts w:cs="Arial"/>
          <w:szCs w:val="18"/>
        </w:rPr>
        <w:t xml:space="preserve"> expansion shock is </w:t>
      </w:r>
      <w:r w:rsidR="00EC0131">
        <w:rPr>
          <w:rFonts w:cs="Arial"/>
          <w:szCs w:val="18"/>
        </w:rPr>
        <w:t>allocated</w:t>
      </w:r>
      <w:r w:rsidR="00FC27DF">
        <w:rPr>
          <w:rFonts w:cs="Arial"/>
          <w:szCs w:val="18"/>
        </w:rPr>
        <w:t xml:space="preserve"> </w:t>
      </w:r>
      <w:r w:rsidR="00D823AB">
        <w:rPr>
          <w:rFonts w:cs="Arial"/>
          <w:szCs w:val="18"/>
        </w:rPr>
        <w:t>among</w:t>
      </w:r>
      <w:r w:rsidR="00EB3D31">
        <w:rPr>
          <w:rFonts w:cs="Arial"/>
          <w:szCs w:val="18"/>
        </w:rPr>
        <w:t xml:space="preserve"> the other seven regions of the model</w:t>
      </w:r>
      <w:r w:rsidR="006612B6">
        <w:rPr>
          <w:rFonts w:cs="Arial"/>
          <w:szCs w:val="18"/>
        </w:rPr>
        <w:t xml:space="preserve">, </w:t>
      </w:r>
      <w:r w:rsidR="00D823AB">
        <w:rPr>
          <w:rFonts w:cs="Arial"/>
          <w:szCs w:val="18"/>
        </w:rPr>
        <w:t>according to</w:t>
      </w:r>
      <w:r w:rsidR="00EB3D31">
        <w:rPr>
          <w:rFonts w:cs="Arial"/>
          <w:szCs w:val="18"/>
        </w:rPr>
        <w:t xml:space="preserve"> </w:t>
      </w:r>
      <w:r w:rsidR="006612B6">
        <w:rPr>
          <w:rFonts w:cs="Arial"/>
          <w:szCs w:val="18"/>
        </w:rPr>
        <w:t>their</w:t>
      </w:r>
      <w:r w:rsidR="00D823AB">
        <w:rPr>
          <w:rFonts w:cs="Arial"/>
          <w:szCs w:val="18"/>
        </w:rPr>
        <w:t xml:space="preserve"> respective </w:t>
      </w:r>
      <w:r w:rsidR="00EB3D31">
        <w:rPr>
          <w:rFonts w:cs="Arial"/>
          <w:szCs w:val="18"/>
        </w:rPr>
        <w:t>share</w:t>
      </w:r>
      <w:r w:rsidR="006612B6">
        <w:rPr>
          <w:rFonts w:cs="Arial"/>
          <w:szCs w:val="18"/>
        </w:rPr>
        <w:t>s</w:t>
      </w:r>
      <w:r w:rsidR="00EB3D31">
        <w:rPr>
          <w:rFonts w:cs="Arial"/>
          <w:szCs w:val="18"/>
        </w:rPr>
        <w:t xml:space="preserve"> in the v</w:t>
      </w:r>
      <w:r w:rsidR="003A3CA0">
        <w:rPr>
          <w:rFonts w:cs="Arial"/>
          <w:szCs w:val="18"/>
        </w:rPr>
        <w:t>alue of production.</w:t>
      </w:r>
      <w:r w:rsidR="00B20759">
        <w:rPr>
          <w:rFonts w:cs="Arial"/>
          <w:szCs w:val="18"/>
        </w:rPr>
        <w:t xml:space="preserve"> </w:t>
      </w:r>
      <w:r w:rsidR="00AA608F">
        <w:rPr>
          <w:rFonts w:cs="Arial"/>
          <w:szCs w:val="18"/>
        </w:rPr>
        <w:t>E</w:t>
      </w:r>
      <w:r w:rsidR="00B20759">
        <w:rPr>
          <w:rFonts w:cs="Arial"/>
          <w:szCs w:val="18"/>
        </w:rPr>
        <w:t>ach region</w:t>
      </w:r>
      <w:r w:rsidR="00AA608F">
        <w:rPr>
          <w:rFonts w:cs="Arial"/>
          <w:szCs w:val="18"/>
        </w:rPr>
        <w:t>’s</w:t>
      </w:r>
      <w:r w:rsidR="00B20759">
        <w:rPr>
          <w:rFonts w:cs="Arial"/>
          <w:szCs w:val="18"/>
        </w:rPr>
        <w:t xml:space="preserve"> </w:t>
      </w:r>
      <w:r w:rsidR="00AA608F">
        <w:rPr>
          <w:rFonts w:cs="Arial"/>
          <w:szCs w:val="18"/>
        </w:rPr>
        <w:t>share</w:t>
      </w:r>
      <w:r w:rsidR="00FF7095">
        <w:rPr>
          <w:rFonts w:cs="Arial"/>
          <w:szCs w:val="18"/>
        </w:rPr>
        <w:t xml:space="preserve"> is</w:t>
      </w:r>
      <w:r w:rsidR="004A5EF2">
        <w:rPr>
          <w:rFonts w:cs="Arial"/>
          <w:szCs w:val="18"/>
        </w:rPr>
        <w:t xml:space="preserve"> then</w:t>
      </w:r>
      <w:r w:rsidR="00622BC3">
        <w:rPr>
          <w:rFonts w:cs="Arial"/>
          <w:szCs w:val="18"/>
        </w:rPr>
        <w:t xml:space="preserve"> weighed by the biofuel multipliers </w:t>
      </w:r>
      <w:r w:rsidR="004A5EF2">
        <w:rPr>
          <w:rFonts w:cs="Arial"/>
          <w:szCs w:val="18"/>
        </w:rPr>
        <w:t xml:space="preserve">calculated </w:t>
      </w:r>
      <w:r w:rsidR="00622BC3">
        <w:rPr>
          <w:rFonts w:cs="Arial"/>
          <w:szCs w:val="18"/>
        </w:rPr>
        <w:t>for each region</w:t>
      </w:r>
      <w:r w:rsidR="004A5EF2">
        <w:rPr>
          <w:rFonts w:cs="Arial"/>
          <w:szCs w:val="18"/>
        </w:rPr>
        <w:t>.</w:t>
      </w:r>
    </w:p>
    <w:p w14:paraId="6FBCCF4F" w14:textId="4204B64D" w:rsidR="00922BE6" w:rsidRPr="00692C12" w:rsidRDefault="000C7FCC" w:rsidP="00AC0ED1">
      <w:pPr>
        <w:pStyle w:val="CETBodytext"/>
      </w:pPr>
      <w:r>
        <w:rPr>
          <w:rFonts w:cs="Arial"/>
          <w:szCs w:val="18"/>
        </w:rPr>
        <w:t>T</w:t>
      </w:r>
      <w:r w:rsidRPr="00290347">
        <w:rPr>
          <w:rFonts w:cs="Arial"/>
          <w:szCs w:val="18"/>
        </w:rPr>
        <w:t>h</w:t>
      </w:r>
      <w:r>
        <w:rPr>
          <w:rFonts w:cs="Arial"/>
          <w:szCs w:val="18"/>
        </w:rPr>
        <w:t xml:space="preserve">ese </w:t>
      </w:r>
      <w:r w:rsidR="000C0D10">
        <w:rPr>
          <w:rFonts w:cs="Arial"/>
          <w:szCs w:val="18"/>
        </w:rPr>
        <w:t xml:space="preserve">biofuel demand </w:t>
      </w:r>
      <w:r>
        <w:rPr>
          <w:rFonts w:cs="Arial"/>
          <w:szCs w:val="18"/>
        </w:rPr>
        <w:t xml:space="preserve">projections </w:t>
      </w:r>
      <w:r w:rsidRPr="00290347">
        <w:rPr>
          <w:rFonts w:cs="Arial"/>
          <w:szCs w:val="18"/>
        </w:rPr>
        <w:t xml:space="preserve">provide </w:t>
      </w:r>
      <w:r>
        <w:rPr>
          <w:rFonts w:cs="Arial"/>
          <w:szCs w:val="18"/>
        </w:rPr>
        <w:t>details</w:t>
      </w:r>
      <w:r w:rsidRPr="00290347">
        <w:rPr>
          <w:rFonts w:cs="Arial"/>
          <w:szCs w:val="18"/>
        </w:rPr>
        <w:t xml:space="preserve"> regarding the impacts on the energy sector</w:t>
      </w:r>
      <w:r w:rsidR="00A22A6B">
        <w:rPr>
          <w:rFonts w:cs="Arial"/>
          <w:szCs w:val="18"/>
        </w:rPr>
        <w:t xml:space="preserve"> </w:t>
      </w:r>
      <w:r w:rsidR="00A22A6B">
        <w:rPr>
          <w:rFonts w:cs="Arial"/>
          <w:szCs w:val="18"/>
        </w:rPr>
        <w:fldChar w:fldCharType="begin"/>
      </w:r>
      <w:r w:rsidR="00A22A6B">
        <w:rPr>
          <w:rFonts w:cs="Arial"/>
          <w:szCs w:val="18"/>
        </w:rPr>
        <w:instrText xml:space="preserve"> ADDIN ZOTERO_ITEM CSL_CITATION {"citationID":"4qMLPXWC","properties":{"formattedCitation":"(EPE, 2025)","plainCitation":"(EPE,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schema":"https://github.com/citation-style-language/schema/raw/master/csl-citation.json"} </w:instrText>
      </w:r>
      <w:r w:rsidR="00A22A6B">
        <w:rPr>
          <w:rFonts w:cs="Arial"/>
          <w:szCs w:val="18"/>
        </w:rPr>
        <w:fldChar w:fldCharType="separate"/>
      </w:r>
      <w:r w:rsidR="00A22A6B" w:rsidRPr="001F4BB3">
        <w:rPr>
          <w:rFonts w:cs="Arial"/>
        </w:rPr>
        <w:t>(EPE, 2025)</w:t>
      </w:r>
      <w:r w:rsidR="00A22A6B">
        <w:rPr>
          <w:rFonts w:cs="Arial"/>
          <w:szCs w:val="18"/>
        </w:rPr>
        <w:fldChar w:fldCharType="end"/>
      </w:r>
      <w:r w:rsidRPr="00290347">
        <w:rPr>
          <w:rFonts w:cs="Arial"/>
          <w:szCs w:val="18"/>
        </w:rPr>
        <w:t>,</w:t>
      </w:r>
      <w:r w:rsidR="000C0D10">
        <w:rPr>
          <w:rFonts w:cs="Arial"/>
          <w:szCs w:val="18"/>
        </w:rPr>
        <w:t xml:space="preserve"> but</w:t>
      </w:r>
      <w:r w:rsidRPr="00290347">
        <w:rPr>
          <w:rFonts w:cs="Arial"/>
          <w:szCs w:val="18"/>
        </w:rPr>
        <w:t xml:space="preserve"> </w:t>
      </w:r>
      <w:r w:rsidR="00F2070B">
        <w:rPr>
          <w:rFonts w:cs="Arial"/>
          <w:szCs w:val="18"/>
        </w:rPr>
        <w:t>the</w:t>
      </w:r>
      <w:r w:rsidR="00692AA4">
        <w:rPr>
          <w:rFonts w:cs="Arial"/>
          <w:szCs w:val="18"/>
        </w:rPr>
        <w:t xml:space="preserve"> associated</w:t>
      </w:r>
      <w:r w:rsidR="00F2070B">
        <w:rPr>
          <w:rFonts w:cs="Arial"/>
          <w:szCs w:val="18"/>
        </w:rPr>
        <w:t xml:space="preserve"> insights are not so abundant </w:t>
      </w:r>
      <w:r w:rsidRPr="00290347">
        <w:rPr>
          <w:rFonts w:cs="Arial"/>
          <w:szCs w:val="18"/>
        </w:rPr>
        <w:t>regard</w:t>
      </w:r>
      <w:r w:rsidR="002A62C6">
        <w:rPr>
          <w:rFonts w:cs="Arial"/>
          <w:szCs w:val="18"/>
        </w:rPr>
        <w:t>ing</w:t>
      </w:r>
      <w:r w:rsidRPr="00290347">
        <w:rPr>
          <w:rFonts w:cs="Arial"/>
          <w:szCs w:val="18"/>
        </w:rPr>
        <w:t xml:space="preserve"> the </w:t>
      </w:r>
      <w:r>
        <w:rPr>
          <w:rFonts w:cs="Arial"/>
          <w:szCs w:val="18"/>
        </w:rPr>
        <w:t xml:space="preserve">potential spillovers to other sectors in the economy and </w:t>
      </w:r>
      <w:r w:rsidR="00692AA4">
        <w:rPr>
          <w:rFonts w:cs="Arial"/>
          <w:szCs w:val="18"/>
        </w:rPr>
        <w:t>their</w:t>
      </w:r>
      <w:r w:rsidR="00AB2B73">
        <w:rPr>
          <w:rFonts w:cs="Arial"/>
          <w:szCs w:val="18"/>
        </w:rPr>
        <w:t xml:space="preserve"> regional</w:t>
      </w:r>
      <w:r>
        <w:rPr>
          <w:rFonts w:cs="Arial"/>
          <w:szCs w:val="18"/>
        </w:rPr>
        <w:t xml:space="preserve"> </w:t>
      </w:r>
      <w:r w:rsidR="00DD7AFE">
        <w:rPr>
          <w:rFonts w:cs="Arial"/>
          <w:szCs w:val="18"/>
        </w:rPr>
        <w:t>effects</w:t>
      </w:r>
      <w:r>
        <w:rPr>
          <w:rFonts w:cs="Arial"/>
          <w:szCs w:val="18"/>
        </w:rPr>
        <w:t>.</w:t>
      </w:r>
      <w:r w:rsidR="00AB2B73">
        <w:rPr>
          <w:rFonts w:cs="Arial"/>
          <w:szCs w:val="18"/>
        </w:rPr>
        <w:t xml:space="preserve"> </w:t>
      </w:r>
      <w:r w:rsidR="007F7356">
        <w:rPr>
          <w:rFonts w:cs="Arial"/>
          <w:szCs w:val="18"/>
        </w:rPr>
        <w:t>F</w:t>
      </w:r>
      <w:r w:rsidR="005A2DDD" w:rsidRPr="001037A9">
        <w:rPr>
          <w:rFonts w:cs="Arial"/>
          <w:szCs w:val="18"/>
        </w:rPr>
        <w:t xml:space="preserve">eedstocks are central to biofuel production, representing the largest share of total costs </w:t>
      </w:r>
      <w:r w:rsidR="005A2DDD" w:rsidRPr="00921986">
        <w:rPr>
          <w:rFonts w:cs="Arial"/>
          <w:szCs w:val="18"/>
        </w:rPr>
        <w:fldChar w:fldCharType="begin"/>
      </w:r>
      <w:r w:rsidR="00182C1F">
        <w:rPr>
          <w:rFonts w:cs="Arial"/>
          <w:szCs w:val="18"/>
        </w:rPr>
        <w:instrText xml:space="preserve"> ADDIN ZOTERO_ITEM CSL_CITATION {"citationID":"Ej3huYgt","properties":{"formattedCitation":"(Cortez and Rosillo-Calle, 2023)","plainCitation":"(Cortez and Rosillo-Calle, 2023)","noteIndex":0},"citationItems":[{"id":1381,"uris":["http://zotero.org/users/9333001/items/E4UA5E8E"],"itemData":{"id":1381,"type":"book","abstract":"The current upheaval in the energy sector, and the consequent potential implication for biofuels, have led the authors to write this book. The prime focus is Brazil whose historical experience has been, and continue to be, a source of inspiration worldwide. \nThe book is aimed at a wide readership. It examines the key historical development of biofuels in Brazil, current and future. The book investigates these key developments in detail. \nThe reader interested in biofuels and their wider implications, will be enriched by this unique experience. In a world where fossil fuels will, eventually, be phased out, biofuels represent a viable partial alternative in many countries. Biofuels represent a world of possibilities\n.","ISBN":"978-65-5506-746-0","language":"inglês","number-of-pages":"184","publisher":"Editora Edgard Blucher","publisher-place":"São Paulo, SP","source":"Câmara Brasileira do Livro ISBN","title":"The future role of biofuels in the new energy transition: Lessons and perspectives of biofuels in Brazil","title-short":"The future role of biofuels in the new energy transition","author":[{"family":"Cortez","given":"Luís Augusto Barbosa"},{"family":"Rosillo-Calle","given":"Frank"}],"issued":{"date-parts":[["2023",8,4]]}}}],"schema":"https://github.com/citation-style-language/schema/raw/master/csl-citation.json"} </w:instrText>
      </w:r>
      <w:r w:rsidR="005A2DDD" w:rsidRPr="00921986">
        <w:rPr>
          <w:rFonts w:cs="Arial"/>
          <w:szCs w:val="18"/>
        </w:rPr>
        <w:fldChar w:fldCharType="separate"/>
      </w:r>
      <w:r w:rsidR="005A2DDD" w:rsidRPr="00921986">
        <w:rPr>
          <w:rFonts w:cs="Arial"/>
          <w:szCs w:val="18"/>
        </w:rPr>
        <w:t>(Cortez and Rosillo-Calle, 2023)</w:t>
      </w:r>
      <w:r w:rsidR="005A2DDD" w:rsidRPr="00921986">
        <w:rPr>
          <w:rFonts w:cs="Arial"/>
          <w:szCs w:val="18"/>
        </w:rPr>
        <w:fldChar w:fldCharType="end"/>
      </w:r>
      <w:r w:rsidR="005A2DDD" w:rsidRPr="001037A9">
        <w:rPr>
          <w:rFonts w:cs="Arial"/>
          <w:szCs w:val="18"/>
        </w:rPr>
        <w:t>.</w:t>
      </w:r>
      <w:r w:rsidR="005A2DDD">
        <w:rPr>
          <w:rFonts w:cs="Arial"/>
          <w:szCs w:val="18"/>
        </w:rPr>
        <w:t xml:space="preserve"> However, </w:t>
      </w:r>
      <w:r w:rsidR="00FF7467">
        <w:t>a</w:t>
      </w:r>
      <w:r w:rsidR="00B4138D">
        <w:t xml:space="preserve"> knowledge </w:t>
      </w:r>
      <w:r w:rsidR="004C36AA" w:rsidRPr="00786759">
        <w:t>gap</w:t>
      </w:r>
      <w:r w:rsidR="00740921">
        <w:t xml:space="preserve"> remains</w:t>
      </w:r>
      <w:r w:rsidR="004C36AA" w:rsidRPr="00786759">
        <w:t xml:space="preserve"> </w:t>
      </w:r>
      <w:r w:rsidR="00B4138D" w:rsidRPr="00786759">
        <w:t>in</w:t>
      </w:r>
      <w:r w:rsidR="004C36AA" w:rsidRPr="00786759">
        <w:t xml:space="preserve"> </w:t>
      </w:r>
      <w:r w:rsidR="00B4138D">
        <w:t xml:space="preserve">jointly </w:t>
      </w:r>
      <w:r w:rsidR="00740921">
        <w:t>assessing</w:t>
      </w:r>
      <w:r w:rsidR="004C36AA" w:rsidRPr="00786759">
        <w:t xml:space="preserve"> developments </w:t>
      </w:r>
      <w:r w:rsidR="00740921">
        <w:t>across the</w:t>
      </w:r>
      <w:r w:rsidR="00432496">
        <w:t xml:space="preserve"> </w:t>
      </w:r>
      <w:r w:rsidR="00CB5046">
        <w:t>biofuel and</w:t>
      </w:r>
      <w:r w:rsidR="004C36AA" w:rsidRPr="00786759">
        <w:t xml:space="preserve"> agricultural sector</w:t>
      </w:r>
      <w:r w:rsidR="00CB5046">
        <w:t>s</w:t>
      </w:r>
      <w:r w:rsidR="0020581D">
        <w:t xml:space="preserve">, despite the </w:t>
      </w:r>
      <w:r w:rsidR="0020581D" w:rsidRPr="004230E8">
        <w:rPr>
          <w:rFonts w:cs="Arial"/>
          <w:szCs w:val="18"/>
        </w:rPr>
        <w:t>direct impact</w:t>
      </w:r>
      <w:r w:rsidR="0020581D" w:rsidRPr="0020581D">
        <w:rPr>
          <w:rFonts w:cs="Arial"/>
          <w:szCs w:val="18"/>
        </w:rPr>
        <w:t xml:space="preserve"> </w:t>
      </w:r>
      <w:r w:rsidR="0020581D">
        <w:rPr>
          <w:rFonts w:cs="Arial"/>
          <w:szCs w:val="18"/>
        </w:rPr>
        <w:t xml:space="preserve">of </w:t>
      </w:r>
      <w:r w:rsidR="0020581D" w:rsidRPr="004230E8">
        <w:rPr>
          <w:rFonts w:cs="Arial"/>
          <w:szCs w:val="18"/>
        </w:rPr>
        <w:t>efficiency gains in agricultural production</w:t>
      </w:r>
      <w:r w:rsidR="002750F4" w:rsidRPr="004230E8">
        <w:rPr>
          <w:rFonts w:cs="Arial"/>
          <w:szCs w:val="18"/>
        </w:rPr>
        <w:t xml:space="preserve"> on </w:t>
      </w:r>
      <w:r w:rsidR="00E532E0">
        <w:rPr>
          <w:rFonts w:cs="Arial"/>
          <w:szCs w:val="18"/>
        </w:rPr>
        <w:t xml:space="preserve">the </w:t>
      </w:r>
      <w:r w:rsidR="00D457BC" w:rsidRPr="004230E8">
        <w:rPr>
          <w:rFonts w:cs="Arial"/>
          <w:szCs w:val="18"/>
        </w:rPr>
        <w:t>competitiveness of</w:t>
      </w:r>
      <w:r w:rsidR="00E532E0" w:rsidRPr="00E532E0">
        <w:rPr>
          <w:rFonts w:cs="Arial"/>
          <w:szCs w:val="18"/>
        </w:rPr>
        <w:t xml:space="preserve"> </w:t>
      </w:r>
      <w:r w:rsidR="00E532E0" w:rsidRPr="004230E8">
        <w:rPr>
          <w:rFonts w:cs="Arial"/>
          <w:szCs w:val="18"/>
        </w:rPr>
        <w:t xml:space="preserve">biofuel </w:t>
      </w:r>
      <w:r w:rsidR="00E532E0">
        <w:rPr>
          <w:rFonts w:cs="Arial"/>
          <w:szCs w:val="18"/>
        </w:rPr>
        <w:t>manufacturing</w:t>
      </w:r>
      <w:r w:rsidR="002750F4" w:rsidRPr="004230E8">
        <w:rPr>
          <w:rFonts w:cs="Arial"/>
          <w:szCs w:val="18"/>
        </w:rPr>
        <w:t xml:space="preserve">. </w:t>
      </w:r>
      <w:r w:rsidR="004D518E">
        <w:rPr>
          <w:rFonts w:cs="Arial"/>
          <w:szCs w:val="18"/>
        </w:rPr>
        <w:t>Therefore</w:t>
      </w:r>
      <w:r w:rsidR="002750F4" w:rsidRPr="004230E8">
        <w:rPr>
          <w:rFonts w:cs="Arial"/>
          <w:szCs w:val="18"/>
        </w:rPr>
        <w:t>,</w:t>
      </w:r>
      <w:r w:rsidR="004C36AA" w:rsidRPr="00921986">
        <w:rPr>
          <w:rFonts w:cs="Arial"/>
          <w:szCs w:val="18"/>
        </w:rPr>
        <w:t xml:space="preserve"> </w:t>
      </w:r>
      <w:r w:rsidR="004140D6">
        <w:rPr>
          <w:rFonts w:cs="Arial"/>
          <w:szCs w:val="18"/>
        </w:rPr>
        <w:t>understanding</w:t>
      </w:r>
      <w:r w:rsidR="009C51DE" w:rsidRPr="00692C12">
        <w:rPr>
          <w:rFonts w:cs="Arial"/>
          <w:szCs w:val="18"/>
        </w:rPr>
        <w:t xml:space="preserve"> biofuel scenarios </w:t>
      </w:r>
      <w:r w:rsidR="00E20E60">
        <w:rPr>
          <w:rFonts w:cs="Arial"/>
          <w:szCs w:val="18"/>
        </w:rPr>
        <w:t>w</w:t>
      </w:r>
      <w:r w:rsidR="00F0184D" w:rsidRPr="00692C12">
        <w:rPr>
          <w:rFonts w:cs="Arial"/>
          <w:szCs w:val="18"/>
        </w:rPr>
        <w:t>ould benefit</w:t>
      </w:r>
      <w:r w:rsidR="009C51DE" w:rsidRPr="00692C12">
        <w:rPr>
          <w:rFonts w:cs="Arial"/>
          <w:szCs w:val="18"/>
        </w:rPr>
        <w:t xml:space="preserve"> </w:t>
      </w:r>
      <w:r w:rsidR="000C1C66">
        <w:rPr>
          <w:rFonts w:cs="Arial"/>
          <w:szCs w:val="18"/>
        </w:rPr>
        <w:t>from</w:t>
      </w:r>
      <w:r w:rsidR="00461060" w:rsidRPr="00692C12">
        <w:rPr>
          <w:rFonts w:cs="Arial"/>
          <w:szCs w:val="18"/>
        </w:rPr>
        <w:t xml:space="preserve"> jointly considering the potential </w:t>
      </w:r>
      <w:r w:rsidR="003E2119" w:rsidRPr="00692C12">
        <w:rPr>
          <w:rFonts w:cs="Arial"/>
          <w:szCs w:val="18"/>
        </w:rPr>
        <w:t xml:space="preserve">impacts </w:t>
      </w:r>
      <w:r w:rsidR="00DC30F0">
        <w:rPr>
          <w:rFonts w:cs="Arial"/>
          <w:szCs w:val="18"/>
        </w:rPr>
        <w:t>of</w:t>
      </w:r>
      <w:r w:rsidR="003E2119" w:rsidRPr="00692C12">
        <w:rPr>
          <w:rFonts w:cs="Arial"/>
          <w:szCs w:val="18"/>
        </w:rPr>
        <w:t xml:space="preserve"> </w:t>
      </w:r>
      <w:r w:rsidR="00981FCC">
        <w:rPr>
          <w:rFonts w:cs="Arial"/>
          <w:szCs w:val="18"/>
        </w:rPr>
        <w:t>d</w:t>
      </w:r>
      <w:r w:rsidR="009C51DE" w:rsidRPr="00692C12">
        <w:rPr>
          <w:rFonts w:cs="Arial"/>
          <w:szCs w:val="18"/>
        </w:rPr>
        <w:t>igital transformation in agriculture</w:t>
      </w:r>
      <w:r w:rsidR="00981FCC">
        <w:rPr>
          <w:rFonts w:cs="Arial"/>
          <w:szCs w:val="18"/>
        </w:rPr>
        <w:t xml:space="preserve"> </w:t>
      </w:r>
      <w:r w:rsidR="001A62A7">
        <w:rPr>
          <w:rFonts w:cs="Arial"/>
          <w:szCs w:val="18"/>
        </w:rPr>
        <w:t xml:space="preserve">and the associated </w:t>
      </w:r>
      <w:r w:rsidR="00461060" w:rsidRPr="00692C12">
        <w:rPr>
          <w:rFonts w:cs="Arial"/>
          <w:szCs w:val="18"/>
        </w:rPr>
        <w:t>efficiency gains</w:t>
      </w:r>
      <w:r w:rsidR="001A62A7">
        <w:rPr>
          <w:rFonts w:cs="Arial"/>
          <w:szCs w:val="18"/>
        </w:rPr>
        <w:t>,</w:t>
      </w:r>
      <w:r w:rsidR="0085168C" w:rsidRPr="00692C12">
        <w:rPr>
          <w:rFonts w:cs="Arial"/>
          <w:szCs w:val="18"/>
        </w:rPr>
        <w:t xml:space="preserve"> </w:t>
      </w:r>
      <w:r w:rsidR="001C3C1A">
        <w:rPr>
          <w:rFonts w:cs="Arial"/>
          <w:szCs w:val="18"/>
        </w:rPr>
        <w:t xml:space="preserve">captured not only </w:t>
      </w:r>
      <w:r w:rsidR="00C27B60">
        <w:rPr>
          <w:rFonts w:cs="Arial"/>
          <w:szCs w:val="18"/>
        </w:rPr>
        <w:t>within</w:t>
      </w:r>
      <w:r w:rsidR="001C3C1A">
        <w:rPr>
          <w:rFonts w:cs="Arial"/>
          <w:szCs w:val="18"/>
        </w:rPr>
        <w:t xml:space="preserve"> the </w:t>
      </w:r>
      <w:r w:rsidR="00A02865">
        <w:rPr>
          <w:rFonts w:cs="Arial"/>
          <w:szCs w:val="18"/>
        </w:rPr>
        <w:t xml:space="preserve">agricultural </w:t>
      </w:r>
      <w:r w:rsidR="001C3C1A">
        <w:rPr>
          <w:rFonts w:cs="Arial"/>
          <w:szCs w:val="18"/>
        </w:rPr>
        <w:t xml:space="preserve">sector but also along </w:t>
      </w:r>
      <w:r w:rsidR="00713E03">
        <w:rPr>
          <w:rFonts w:cs="Arial"/>
          <w:szCs w:val="18"/>
        </w:rPr>
        <w:t>relevant</w:t>
      </w:r>
      <w:r w:rsidR="001C3C1A">
        <w:rPr>
          <w:rFonts w:cs="Arial"/>
          <w:szCs w:val="18"/>
        </w:rPr>
        <w:t xml:space="preserve"> value chain</w:t>
      </w:r>
      <w:r w:rsidR="00C27B60">
        <w:rPr>
          <w:rFonts w:cs="Arial"/>
          <w:szCs w:val="18"/>
        </w:rPr>
        <w:t>s</w:t>
      </w:r>
      <w:r w:rsidR="001C3C1A">
        <w:rPr>
          <w:rFonts w:cs="Arial"/>
          <w:szCs w:val="18"/>
        </w:rPr>
        <w:t xml:space="preserve"> </w:t>
      </w:r>
      <w:r w:rsidR="0042366A">
        <w:rPr>
          <w:rFonts w:cs="Arial"/>
          <w:szCs w:val="18"/>
        </w:rPr>
        <w:t>– such as biofuel</w:t>
      </w:r>
      <w:r w:rsidR="00D457BC">
        <w:rPr>
          <w:rFonts w:cs="Arial"/>
          <w:szCs w:val="18"/>
        </w:rPr>
        <w:t xml:space="preserve"> manufacturing</w:t>
      </w:r>
      <w:r w:rsidR="0042366A">
        <w:rPr>
          <w:rFonts w:cs="Arial"/>
          <w:szCs w:val="18"/>
        </w:rPr>
        <w:t xml:space="preserve"> – </w:t>
      </w:r>
      <w:r w:rsidR="001C3C1A">
        <w:rPr>
          <w:rFonts w:cs="Arial"/>
          <w:szCs w:val="18"/>
        </w:rPr>
        <w:t xml:space="preserve">and </w:t>
      </w:r>
      <w:r w:rsidR="009A16E6">
        <w:rPr>
          <w:rFonts w:cs="Arial"/>
          <w:szCs w:val="18"/>
        </w:rPr>
        <w:t xml:space="preserve">across </w:t>
      </w:r>
      <w:r w:rsidR="001C3C1A">
        <w:rPr>
          <w:rFonts w:cs="Arial"/>
          <w:szCs w:val="18"/>
        </w:rPr>
        <w:t xml:space="preserve">other sectors of the economy. </w:t>
      </w:r>
      <w:r w:rsidR="00AC0ED1">
        <w:rPr>
          <w:rFonts w:cs="Arial"/>
          <w:szCs w:val="18"/>
        </w:rPr>
        <w:t>In this study</w:t>
      </w:r>
      <w:r w:rsidR="00802533">
        <w:rPr>
          <w:rFonts w:cs="Arial"/>
          <w:szCs w:val="18"/>
        </w:rPr>
        <w:t>,</w:t>
      </w:r>
      <w:r w:rsidR="00AC0ED1">
        <w:rPr>
          <w:rFonts w:cs="Arial"/>
          <w:szCs w:val="18"/>
        </w:rPr>
        <w:t xml:space="preserve"> the</w:t>
      </w:r>
      <w:r w:rsidR="00802533">
        <w:rPr>
          <w:rFonts w:cs="Arial"/>
          <w:szCs w:val="18"/>
        </w:rPr>
        <w:t>se</w:t>
      </w:r>
      <w:r w:rsidR="00A802A7" w:rsidRPr="00786759">
        <w:rPr>
          <w:rFonts w:cs="Arial"/>
          <w:szCs w:val="18"/>
        </w:rPr>
        <w:t xml:space="preserve"> impacts </w:t>
      </w:r>
      <w:r w:rsidR="00802533">
        <w:rPr>
          <w:rFonts w:cs="Arial"/>
          <w:szCs w:val="18"/>
        </w:rPr>
        <w:t>a</w:t>
      </w:r>
      <w:r w:rsidR="00A802A7" w:rsidRPr="00846B15">
        <w:rPr>
          <w:rFonts w:cs="Arial"/>
          <w:szCs w:val="18"/>
        </w:rPr>
        <w:t xml:space="preserve">re </w:t>
      </w:r>
      <w:r w:rsidR="00E44300">
        <w:rPr>
          <w:rFonts w:cs="Arial"/>
          <w:szCs w:val="18"/>
        </w:rPr>
        <w:t>assessed</w:t>
      </w:r>
      <w:r w:rsidR="00A802A7" w:rsidRPr="00846B15">
        <w:rPr>
          <w:rFonts w:cs="Arial"/>
          <w:szCs w:val="18"/>
        </w:rPr>
        <w:t xml:space="preserve"> through </w:t>
      </w:r>
      <w:r w:rsidR="00A802A7">
        <w:t>combined</w:t>
      </w:r>
      <w:r w:rsidR="00AA191B">
        <w:t xml:space="preserve"> </w:t>
      </w:r>
      <w:r w:rsidR="00A802A7">
        <w:t>shocks applied to</w:t>
      </w:r>
      <w:r w:rsidR="00E44300">
        <w:t xml:space="preserve"> both the</w:t>
      </w:r>
      <w:r w:rsidR="00A802A7">
        <w:t xml:space="preserve"> </w:t>
      </w:r>
      <w:r w:rsidR="00843D7B">
        <w:t>columns</w:t>
      </w:r>
      <w:r w:rsidR="009F6C46">
        <w:t xml:space="preserve"> – e.g. improvements in operational efficiency –</w:t>
      </w:r>
      <w:r w:rsidR="00843D7B">
        <w:t xml:space="preserve"> and </w:t>
      </w:r>
      <w:r w:rsidR="00AC0ED1">
        <w:t xml:space="preserve">the </w:t>
      </w:r>
      <w:r w:rsidR="00A802A7">
        <w:t>rows</w:t>
      </w:r>
      <w:r w:rsidR="009F6C46">
        <w:t xml:space="preserve"> – </w:t>
      </w:r>
      <w:r w:rsidR="00C71D9D">
        <w:t xml:space="preserve">efficiency gains along value chains – </w:t>
      </w:r>
      <w:r w:rsidR="001C61DE">
        <w:t xml:space="preserve">of </w:t>
      </w:r>
      <w:r w:rsidR="00A802A7">
        <w:t xml:space="preserve">the </w:t>
      </w:r>
      <w:r w:rsidR="001C61DE">
        <w:t xml:space="preserve">I-O </w:t>
      </w:r>
      <w:r w:rsidR="00A802A7">
        <w:t>matrix</w:t>
      </w:r>
      <w:r w:rsidR="003942AA">
        <w:t xml:space="preserve">. </w:t>
      </w:r>
      <w:r w:rsidR="006716C2">
        <w:t xml:space="preserve">To </w:t>
      </w:r>
      <w:r w:rsidR="006716C2" w:rsidRPr="006716C2">
        <w:t xml:space="preserve">provide a more comprehensive assessment of </w:t>
      </w:r>
      <w:r w:rsidR="00FD588D">
        <w:t xml:space="preserve">potential </w:t>
      </w:r>
      <w:r w:rsidR="006716C2" w:rsidRPr="006716C2">
        <w:t>outcomes and uncertainties</w:t>
      </w:r>
      <w:r w:rsidR="00810B61">
        <w:t xml:space="preserve">, </w:t>
      </w:r>
      <w:r w:rsidR="00A855EF">
        <w:t>a</w:t>
      </w:r>
      <w:r w:rsidR="00AB5571">
        <w:t xml:space="preserve"> s</w:t>
      </w:r>
      <w:r w:rsidR="00A855EF">
        <w:t>ensitivity analysis</w:t>
      </w:r>
      <w:r w:rsidR="002C6BFE">
        <w:t xml:space="preserve"> is conducted</w:t>
      </w:r>
      <w:r w:rsidR="001C77BB">
        <w:t xml:space="preserve"> </w:t>
      </w:r>
      <w:r w:rsidR="00BD01AA">
        <w:t xml:space="preserve">across </w:t>
      </w:r>
      <w:r w:rsidR="002C6BFE">
        <w:t>a plausible</w:t>
      </w:r>
      <w:r w:rsidR="001C77BB">
        <w:t xml:space="preserve"> range </w:t>
      </w:r>
      <w:r w:rsidR="004978E7">
        <w:t xml:space="preserve">of </w:t>
      </w:r>
      <w:r w:rsidR="000A6E51">
        <w:t xml:space="preserve">operational </w:t>
      </w:r>
      <w:r w:rsidR="004978E7">
        <w:t>efficiency gains</w:t>
      </w:r>
      <w:r w:rsidR="00FD588D">
        <w:t xml:space="preserve"> in agricultur</w:t>
      </w:r>
      <w:r w:rsidR="002C6BFE">
        <w:t>e</w:t>
      </w:r>
      <w:r w:rsidR="004978E7">
        <w:t xml:space="preserve"> (</w:t>
      </w:r>
      <w:r w:rsidR="001111C5">
        <w:t>0 %</w:t>
      </w:r>
      <w:r w:rsidR="004978E7">
        <w:t xml:space="preserve"> to </w:t>
      </w:r>
      <w:r w:rsidR="00433AC7">
        <w:t>3</w:t>
      </w:r>
      <w:r w:rsidR="004978E7">
        <w:t>0%</w:t>
      </w:r>
      <w:r w:rsidR="00253E63">
        <w:t xml:space="preserve"> </w:t>
      </w:r>
      <w:r w:rsidR="00E8456C">
        <w:t>in column shocks</w:t>
      </w:r>
      <w:r w:rsidR="00D6538E">
        <w:t>)</w:t>
      </w:r>
      <w:r w:rsidR="00FB1154">
        <w:t xml:space="preserve"> </w:t>
      </w:r>
      <w:r w:rsidR="00FB1154">
        <w:fldChar w:fldCharType="begin"/>
      </w:r>
      <w:r w:rsidR="00182C1F">
        <w:instrText xml:space="preserve"> ADDIN ZOTERO_ITEM CSL_CITATION {"citationID":"btj98UjF","properties":{"formattedCitation":"(Massruh\\uc0\\u225{} et al., 2023)","plainCitation":"(Massruhá et al., 2023)","noteIndex":0},"citationItems":[{"id":954,"uris":["http://zotero.org/users/9333001/items/C6G2V9UU"],"itemData":{"id":954,"type":"book","abstract":"The expectation that the world population will reach 9 billion inhabitants in 2050, which will increase food demand, imposes a great challenge for agriculture, such as the need to increase productivity in the same planted area, reducing costs, while respec</w:instrText>
      </w:r>
      <w:r w:rsidR="00182C1F" w:rsidRPr="008725CC">
        <w:instrText>ting the conservation of natural resources. At the same time, extreme weather events affect agricultural production and demanding consumers want more nutritious, functional and sustainably produced food. The population is increasingly concentrated in urban centers, while the displacement of individuals from the countryside to the cities grows, as well as the aging of the rural population. In addition, the coronavirus threat has affected all sectors, such as health, education, agribusiness, economy, among others. To overcome all these challenges, it is necessary to generate and use new technologies, adding more value in all stages of the</w:instrText>
      </w:r>
      <w:r w:rsidR="00182C1F" w:rsidRPr="00692C12">
        <w:instrText xml:space="preserve"> production chains.","ISBN":"978-65-89957-72-0","language":"pt-BR","publisher":"Embrapa","publisher-place":"Brasília, DF","source":"Câmara Brasileira do Livro ISBN","title":"Digital agriculture: research, development and innovation in production chains","title-short":"Digital agriculture","editor":[{"family":"Massruhá","given":"Silvia Maria Fonseca Silveira"},{"family":"Leite","given":"Maria Angelica de Andrade"},{"family":"Oliveira","given":"Stanley Robson de Medeiros"},{"family":"Meira","given":"Carlos Alberto Alves"},{"family":"Luchiari Junior","given":"Ariovaldo"},{"family":"Bolfe","given":"Édson Luis"}],"translator":[{"family":"Young","given":"Beverly Victoria"},{"family":"Mokross","given":"Karl Stephan"}],"issued":{"date-parts":[["2023",4,28]]}}}],"schema":"https://github.com/citation-style-language/schema/raw/master/csl-citation.json"} </w:instrText>
      </w:r>
      <w:r w:rsidR="00FB1154">
        <w:fldChar w:fldCharType="separate"/>
      </w:r>
      <w:r w:rsidR="00FB1154" w:rsidRPr="00692C12">
        <w:rPr>
          <w:rFonts w:cs="Arial"/>
        </w:rPr>
        <w:t>(Massruhá et al., 2023)</w:t>
      </w:r>
      <w:r w:rsidR="00FB1154">
        <w:fldChar w:fldCharType="end"/>
      </w:r>
      <w:r w:rsidR="002C6BFE" w:rsidRPr="00692C12">
        <w:t>, combined</w:t>
      </w:r>
      <w:r w:rsidR="00AE6278" w:rsidRPr="00692C12">
        <w:t xml:space="preserve"> with </w:t>
      </w:r>
      <w:r w:rsidR="00C33CF4" w:rsidRPr="00692C12">
        <w:t xml:space="preserve">ad-hoc </w:t>
      </w:r>
      <w:r w:rsidR="00AE6278" w:rsidRPr="00692C12">
        <w:t xml:space="preserve">efficiency gains </w:t>
      </w:r>
      <w:r w:rsidR="00E33724" w:rsidRPr="00692C12">
        <w:t>alon</w:t>
      </w:r>
      <w:r w:rsidR="00D56509" w:rsidRPr="00692C12">
        <w:t>g the value chain</w:t>
      </w:r>
      <w:r w:rsidR="00B73D74" w:rsidRPr="00692C12">
        <w:t xml:space="preserve"> (</w:t>
      </w:r>
      <w:r w:rsidR="00DB5D89" w:rsidRPr="00692C12">
        <w:t>0 % to 10 %)</w:t>
      </w:r>
      <w:r w:rsidR="00C242FD" w:rsidRPr="00692C12">
        <w:t xml:space="preserve">. </w:t>
      </w:r>
    </w:p>
    <w:p w14:paraId="0E4797E0" w14:textId="697C373A" w:rsidR="00011F88" w:rsidRDefault="00011F88" w:rsidP="00011F88">
      <w:pPr>
        <w:pStyle w:val="CETHeading1"/>
      </w:pPr>
      <w:r>
        <w:t>Results and discussion</w:t>
      </w:r>
    </w:p>
    <w:p w14:paraId="4368C321" w14:textId="2B8E7CF4" w:rsidR="00683A62" w:rsidRPr="00784686" w:rsidRDefault="00683A62" w:rsidP="00683A62">
      <w:pPr>
        <w:pStyle w:val="CETheadingx"/>
      </w:pPr>
      <w:r>
        <w:t>The Brazilian biofuel</w:t>
      </w:r>
      <w:r w:rsidR="00D25742">
        <w:t xml:space="preserve"> </w:t>
      </w:r>
      <w:r>
        <w:t>sector</w:t>
      </w:r>
    </w:p>
    <w:p w14:paraId="06C969BA" w14:textId="5E241CE7" w:rsidR="00502AD6" w:rsidRDefault="00502AD6" w:rsidP="0093458E">
      <w:pPr>
        <w:pStyle w:val="CETBodytext"/>
      </w:pPr>
      <w:r>
        <w:t>Brazil produced a total of 30</w:t>
      </w:r>
      <w:r w:rsidRPr="0079498C">
        <w:t>.</w:t>
      </w:r>
      <w:r>
        <w:t>6 10</w:t>
      </w:r>
      <w:r>
        <w:rPr>
          <w:vertAlign w:val="superscript"/>
        </w:rPr>
        <w:t>6</w:t>
      </w:r>
      <w:r>
        <w:t xml:space="preserve"> m</w:t>
      </w:r>
      <w:r w:rsidRPr="00AA6F85">
        <w:rPr>
          <w:vertAlign w:val="superscript"/>
        </w:rPr>
        <w:t>3</w:t>
      </w:r>
      <w:r>
        <w:t xml:space="preserve"> of ethanol in 2022, primarily from sugarcane; 13.4 % of this volume (4.1 10</w:t>
      </w:r>
      <w:r>
        <w:rPr>
          <w:vertAlign w:val="superscript"/>
        </w:rPr>
        <w:t>6</w:t>
      </w:r>
      <w:r>
        <w:t xml:space="preserve"> m</w:t>
      </w:r>
      <w:r w:rsidRPr="00AA6F85">
        <w:rPr>
          <w:vertAlign w:val="superscript"/>
        </w:rPr>
        <w:t>3</w:t>
      </w:r>
      <w:r>
        <w:t>) was derived from corn ethanol. In the same year, biodiesel production amounted to 6.3 10</w:t>
      </w:r>
      <w:r>
        <w:rPr>
          <w:vertAlign w:val="superscript"/>
        </w:rPr>
        <w:t>6</w:t>
      </w:r>
      <w:r>
        <w:t xml:space="preserve"> m</w:t>
      </w:r>
      <w:r w:rsidRPr="00AA6F85">
        <w:rPr>
          <w:vertAlign w:val="superscript"/>
        </w:rPr>
        <w:t>3</w:t>
      </w:r>
      <w:r>
        <w:t>, with s</w:t>
      </w:r>
      <w:r w:rsidRPr="00DA3F08">
        <w:t>oybean</w:t>
      </w:r>
      <w:r>
        <w:t xml:space="preserve"> </w:t>
      </w:r>
      <w:r w:rsidRPr="00DA3F08">
        <w:t>oil</w:t>
      </w:r>
      <w:r>
        <w:t xml:space="preserve"> a</w:t>
      </w:r>
      <w:r w:rsidRPr="00DA3F08">
        <w:t>s</w:t>
      </w:r>
      <w:r>
        <w:t xml:space="preserve"> </w:t>
      </w:r>
      <w:r w:rsidRPr="00DA3F08">
        <w:t>the</w:t>
      </w:r>
      <w:r>
        <w:t xml:space="preserve"> main </w:t>
      </w:r>
      <w:r w:rsidRPr="00DA3F08">
        <w:t>feedstock</w:t>
      </w:r>
      <w:r>
        <w:t>, accounting for more than 70 % of total production.</w:t>
      </w:r>
      <w:r w:rsidRPr="003B47BB">
        <w:t xml:space="preserve"> </w:t>
      </w:r>
      <w:r>
        <w:t>However, the biofuel production landscape in Brazil</w:t>
      </w:r>
      <w:r w:rsidRPr="00AE28E8">
        <w:t xml:space="preserve"> </w:t>
      </w:r>
      <w:r>
        <w:t xml:space="preserve">is evolving, with output increasing to </w:t>
      </w:r>
      <w:r w:rsidRPr="00000861">
        <w:t>37</w:t>
      </w:r>
      <w:r>
        <w:t>.</w:t>
      </w:r>
      <w:r w:rsidRPr="00000861">
        <w:t>3</w:t>
      </w:r>
      <w:r>
        <w:t xml:space="preserve"> </w:t>
      </w:r>
      <w:r w:rsidRPr="00000861">
        <w:t>10</w:t>
      </w:r>
      <w:r>
        <w:rPr>
          <w:vertAlign w:val="superscript"/>
        </w:rPr>
        <w:t>6</w:t>
      </w:r>
      <w:r w:rsidRPr="00000861">
        <w:t xml:space="preserve"> </w:t>
      </w:r>
      <w:r>
        <w:t>m</w:t>
      </w:r>
      <w:r w:rsidRPr="00AA6F85">
        <w:rPr>
          <w:vertAlign w:val="superscript"/>
        </w:rPr>
        <w:t>3</w:t>
      </w:r>
      <w:r w:rsidRPr="00000861">
        <w:t xml:space="preserve"> of ethanol</w:t>
      </w:r>
      <w:r>
        <w:t xml:space="preserve"> and </w:t>
      </w:r>
      <w:r w:rsidRPr="00162F69">
        <w:t>7</w:t>
      </w:r>
      <w:r>
        <w:t>.</w:t>
      </w:r>
      <w:r w:rsidRPr="00162F69">
        <w:t>2</w:t>
      </w:r>
      <w:r>
        <w:t xml:space="preserve"> </w:t>
      </w:r>
      <w:r w:rsidRPr="00784686">
        <w:t>10</w:t>
      </w:r>
      <w:r>
        <w:rPr>
          <w:vertAlign w:val="superscript"/>
        </w:rPr>
        <w:t>6</w:t>
      </w:r>
      <w:r>
        <w:t xml:space="preserve"> m</w:t>
      </w:r>
      <w:r w:rsidRPr="00CA01C4">
        <w:rPr>
          <w:vertAlign w:val="superscript"/>
        </w:rPr>
        <w:t>3</w:t>
      </w:r>
      <w:r>
        <w:t xml:space="preserve"> of biodiesel between 2022 and 2024 </w:t>
      </w:r>
      <w:r>
        <w:fldChar w:fldCharType="begin"/>
      </w:r>
      <w:r>
        <w:instrText xml:space="preserve"> ADDIN ZOTERO_ITEM CSL_CITATION {"citationID":"Oiu87Ebu","properties":{"formattedCitation":"(EPE, 2025)","plainCitation":"(EPE, 2025)","noteIndex":0},"citationItems":[{"id":1578,"uris":["http://zotero.org/users/9333001/items/L338J78Q"],"itemData":{"id":1578,"type":"document","note":"TECHNICAL NOTE EPE/DPG/SDB/2024/06","publisher":"EPE (Empresa de Pesquisa Energética)","title":"Analysis of Current Biofuels Outlook – Year 2024","URL":"https://www.epe.gov.br/sites-en/publicacoes-dados-abertos/publicacoes/PublicacoesArquivos/publicacao-276/NT-EPE-DPG-SDB-2025-06_Biofuels%20Current%20Outlook_Year%202024.pdf","author":[{"literal":"EPE"}],"accessed":{"date-parts":[["2025",9,23]]},"issued":{"date-parts":[["2025"]]}}}],"schema":"https://github.com/citation-style-language/schema/raw/master/csl-citation.json"} </w:instrText>
      </w:r>
      <w:r>
        <w:fldChar w:fldCharType="separate"/>
      </w:r>
      <w:r w:rsidRPr="00D66FC9">
        <w:rPr>
          <w:rFonts w:cs="Arial"/>
        </w:rPr>
        <w:t>(EPE, 2025)</w:t>
      </w:r>
      <w:r>
        <w:fldChar w:fldCharType="end"/>
      </w:r>
      <w:r>
        <w:t>.</w:t>
      </w:r>
    </w:p>
    <w:p w14:paraId="76567DD5" w14:textId="29DF99B2" w:rsidR="0093458E" w:rsidRDefault="00EC0D43" w:rsidP="00026DF9">
      <w:pPr>
        <w:pStyle w:val="CETBodytext"/>
      </w:pPr>
      <w:r>
        <w:t xml:space="preserve">In </w:t>
      </w:r>
      <w:r w:rsidR="00971133">
        <w:t>this</w:t>
      </w:r>
      <w:r>
        <w:t xml:space="preserve"> study</w:t>
      </w:r>
      <w:r w:rsidR="001B5A18">
        <w:t xml:space="preserve">, the </w:t>
      </w:r>
      <w:r w:rsidR="006F7DF1">
        <w:t xml:space="preserve">I-O framework </w:t>
      </w:r>
      <w:r w:rsidR="003C60F8">
        <w:t xml:space="preserve">is used to move </w:t>
      </w:r>
      <w:r w:rsidR="00A7013B">
        <w:t xml:space="preserve">beyond </w:t>
      </w:r>
      <w:r w:rsidR="00E559F5">
        <w:t xml:space="preserve">official </w:t>
      </w:r>
      <w:r w:rsidR="00A7013B">
        <w:t>statistics</w:t>
      </w:r>
      <w:r w:rsidR="009E5ACA">
        <w:t xml:space="preserve"> </w:t>
      </w:r>
      <w:r w:rsidR="003C60F8">
        <w:t>and</w:t>
      </w:r>
      <w:r w:rsidR="00A7013B">
        <w:t xml:space="preserve"> </w:t>
      </w:r>
      <w:r w:rsidRPr="00015795">
        <w:t xml:space="preserve">examine how biofuel </w:t>
      </w:r>
      <w:r w:rsidR="001103BE">
        <w:t xml:space="preserve">manufacturing stimulus </w:t>
      </w:r>
      <w:r w:rsidRPr="00015795">
        <w:t>propagates through intersectoral linkages, with particular attention to regional heterogeneity among major producing states</w:t>
      </w:r>
      <w:r>
        <w:t>.</w:t>
      </w:r>
      <w:r w:rsidR="001B5A18">
        <w:t xml:space="preserve"> </w:t>
      </w:r>
      <w:r w:rsidR="0046366C" w:rsidRPr="0046366C">
        <w:t xml:space="preserve">Brazil’s biofuel manufacturing sector reached a </w:t>
      </w:r>
      <w:r w:rsidR="0059268D">
        <w:t>GVO</w:t>
      </w:r>
      <w:r w:rsidR="0046366C" w:rsidRPr="0046366C">
        <w:t xml:space="preserve"> of USD 15.3 billion</w:t>
      </w:r>
      <w:r w:rsidR="007F33B7">
        <w:t xml:space="preserve"> in 2022</w:t>
      </w:r>
      <w:r w:rsidR="0024139F">
        <w:t>.</w:t>
      </w:r>
      <w:r w:rsidR="0007714E" w:rsidRPr="0079498C">
        <w:t xml:space="preserve"> </w:t>
      </w:r>
      <w:r w:rsidR="0007714E">
        <w:t>A</w:t>
      </w:r>
      <w:r w:rsidR="00BF3DCC">
        <w:t xml:space="preserve">pproximately </w:t>
      </w:r>
      <w:r w:rsidR="0007714E">
        <w:t>26</w:t>
      </w:r>
      <w:r w:rsidR="005C5D7B">
        <w:t xml:space="preserve"> </w:t>
      </w:r>
      <w:r w:rsidR="0007714E">
        <w:t>%, 22</w:t>
      </w:r>
      <w:r w:rsidR="005C5D7B">
        <w:t xml:space="preserve"> </w:t>
      </w:r>
      <w:r w:rsidR="0007714E">
        <w:t>%, and 26</w:t>
      </w:r>
      <w:r w:rsidR="005C5D7B">
        <w:t xml:space="preserve"> </w:t>
      </w:r>
      <w:r w:rsidR="0007714E">
        <w:t>% of the input used in</w:t>
      </w:r>
      <w:r w:rsidR="0007714E" w:rsidRPr="0093341F">
        <w:t xml:space="preserve"> </w:t>
      </w:r>
      <w:r w:rsidR="00516BB4">
        <w:t xml:space="preserve">biofuel </w:t>
      </w:r>
      <w:r w:rsidR="0007714E">
        <w:t>m</w:t>
      </w:r>
      <w:r w:rsidR="0007714E" w:rsidRPr="0093341F">
        <w:t>anufactur</w:t>
      </w:r>
      <w:r w:rsidR="0007714E">
        <w:t>ing</w:t>
      </w:r>
      <w:r w:rsidR="00516BB4">
        <w:t xml:space="preserve"> originated </w:t>
      </w:r>
      <w:r w:rsidR="0007714E">
        <w:t xml:space="preserve">from agriculture, manufacturing, and service sectors, respectively (Figure 1). </w:t>
      </w:r>
      <w:r w:rsidR="00DA066F">
        <w:t xml:space="preserve">On the demand side, </w:t>
      </w:r>
      <w:r w:rsidR="00516BB4">
        <w:t xml:space="preserve">the </w:t>
      </w:r>
      <w:r w:rsidR="00DA066F">
        <w:t>m</w:t>
      </w:r>
      <w:r w:rsidR="0007714E">
        <w:t xml:space="preserve">anufacturing and service sectors </w:t>
      </w:r>
      <w:r w:rsidR="00DF4626">
        <w:t>accounted for</w:t>
      </w:r>
      <w:r w:rsidR="0007714E">
        <w:t xml:space="preserve"> 37</w:t>
      </w:r>
      <w:r w:rsidR="005C5D7B">
        <w:t xml:space="preserve"> </w:t>
      </w:r>
      <w:r w:rsidR="0007714E">
        <w:t>% of</w:t>
      </w:r>
      <w:r w:rsidR="00DA066F">
        <w:t xml:space="preserve"> </w:t>
      </w:r>
      <w:r w:rsidR="00DF4626">
        <w:t xml:space="preserve">total </w:t>
      </w:r>
      <w:r w:rsidR="00DA066F">
        <w:t>demand</w:t>
      </w:r>
      <w:r w:rsidR="006B24AA">
        <w:t>, while the</w:t>
      </w:r>
      <w:r w:rsidR="0007714E">
        <w:t xml:space="preserve"> </w:t>
      </w:r>
      <w:r w:rsidR="00F87CAD">
        <w:t>household</w:t>
      </w:r>
      <w:r w:rsidR="009774EE">
        <w:t xml:space="preserve"> </w:t>
      </w:r>
      <w:r w:rsidR="0093363F">
        <w:t>consumption was the main driver</w:t>
      </w:r>
      <w:r w:rsidR="0007714E">
        <w:t xml:space="preserve">, </w:t>
      </w:r>
      <w:r w:rsidR="0093363F">
        <w:t>represen</w:t>
      </w:r>
      <w:r w:rsidR="0007714E">
        <w:t>ting 44</w:t>
      </w:r>
      <w:r w:rsidR="005C5D7B">
        <w:t xml:space="preserve"> </w:t>
      </w:r>
      <w:r w:rsidR="0007714E">
        <w:t xml:space="preserve">% of </w:t>
      </w:r>
      <w:r w:rsidR="00026E88">
        <w:t>GVO</w:t>
      </w:r>
      <w:r w:rsidR="0007714E">
        <w:t xml:space="preserve"> (Figure 1).</w:t>
      </w:r>
      <w:r w:rsidR="00226001">
        <w:t xml:space="preserve"> </w:t>
      </w:r>
      <w:r w:rsidR="0093458E" w:rsidRPr="0079498C">
        <w:t xml:space="preserve">São Paulo </w:t>
      </w:r>
      <w:r w:rsidR="0093458E">
        <w:t xml:space="preserve">(SP) </w:t>
      </w:r>
      <w:r w:rsidR="0093458E" w:rsidRPr="0079498C">
        <w:t>and Mato Grosso</w:t>
      </w:r>
      <w:r w:rsidR="0093458E">
        <w:t xml:space="preserve"> (MT)</w:t>
      </w:r>
      <w:r w:rsidR="0093458E" w:rsidRPr="0079498C">
        <w:t xml:space="preserve">, </w:t>
      </w:r>
      <w:r w:rsidR="0093458E">
        <w:t>the leading produc</w:t>
      </w:r>
      <w:r w:rsidR="000F39F6">
        <w:t>ers</w:t>
      </w:r>
      <w:r w:rsidR="0093458E">
        <w:t xml:space="preserve"> of</w:t>
      </w:r>
      <w:r w:rsidR="0093458E" w:rsidRPr="0079498C">
        <w:t xml:space="preserve"> sugarcane ethanol</w:t>
      </w:r>
      <w:r w:rsidR="00F368D8">
        <w:t xml:space="preserve">, </w:t>
      </w:r>
      <w:r w:rsidR="0093458E" w:rsidRPr="0079498C">
        <w:t xml:space="preserve">and corn-ethanol </w:t>
      </w:r>
      <w:r w:rsidR="00F368D8">
        <w:t>and</w:t>
      </w:r>
      <w:r w:rsidR="0093458E" w:rsidRPr="0079498C">
        <w:t xml:space="preserve"> soybean biodiesel, </w:t>
      </w:r>
      <w:r w:rsidR="0093458E">
        <w:t xml:space="preserve">respectively, </w:t>
      </w:r>
      <w:r w:rsidR="0093458E" w:rsidRPr="0079498C">
        <w:t>accounted for 46</w:t>
      </w:r>
      <w:r w:rsidR="0093458E">
        <w:t xml:space="preserve"> </w:t>
      </w:r>
      <w:r w:rsidR="0093458E" w:rsidRPr="0079498C">
        <w:t>% of total GVO</w:t>
      </w:r>
      <w:r w:rsidR="0093458E">
        <w:t xml:space="preserve"> in the </w:t>
      </w:r>
      <w:r w:rsidR="0093458E" w:rsidRPr="0079498C">
        <w:t xml:space="preserve">biofuel </w:t>
      </w:r>
      <w:r w:rsidR="0093458E">
        <w:t>manufacturing sector (USD 5.45 billion in SP and US</w:t>
      </w:r>
      <w:r w:rsidR="00AC2957">
        <w:t>D</w:t>
      </w:r>
      <w:r w:rsidR="0093458E">
        <w:t xml:space="preserve"> 1.57 billion in MT)</w:t>
      </w:r>
      <w:r w:rsidR="0093458E" w:rsidRPr="0079498C">
        <w:t xml:space="preserve">. In </w:t>
      </w:r>
      <w:r w:rsidR="0093458E">
        <w:t>SP</w:t>
      </w:r>
      <w:r w:rsidR="0093458E" w:rsidRPr="0079498C">
        <w:t xml:space="preserve">, </w:t>
      </w:r>
      <w:r w:rsidR="0093458E">
        <w:t xml:space="preserve">the </w:t>
      </w:r>
      <w:r w:rsidR="0093458E" w:rsidRPr="0079498C">
        <w:t>input</w:t>
      </w:r>
      <w:r w:rsidR="0012569E">
        <w:t xml:space="preserve"> structure</w:t>
      </w:r>
      <w:r w:rsidR="0093458E" w:rsidRPr="0079498C">
        <w:t xml:space="preserve"> </w:t>
      </w:r>
      <w:r w:rsidR="0012569E">
        <w:t>closely</w:t>
      </w:r>
      <w:r w:rsidR="0093458E">
        <w:t xml:space="preserve"> mirror</w:t>
      </w:r>
      <w:r w:rsidR="0012569E">
        <w:t>s</w:t>
      </w:r>
      <w:r w:rsidR="0093458E">
        <w:t xml:space="preserve"> the national pattern</w:t>
      </w:r>
      <w:r w:rsidR="00682D3B">
        <w:t>,</w:t>
      </w:r>
      <w:r w:rsidR="0093458E">
        <w:t xml:space="preserve"> with </w:t>
      </w:r>
      <w:r w:rsidR="0093458E" w:rsidRPr="0079498C">
        <w:t>agriculture, manufacturing, and service</w:t>
      </w:r>
      <w:r w:rsidR="0093458E">
        <w:t xml:space="preserve">s each contributing between 29 % and 36 %. </w:t>
      </w:r>
      <w:r w:rsidR="0093458E" w:rsidRPr="0079498C">
        <w:t>In M</w:t>
      </w:r>
      <w:r w:rsidR="0093458E">
        <w:t>T</w:t>
      </w:r>
      <w:r w:rsidR="0093458E" w:rsidRPr="0079498C">
        <w:t xml:space="preserve">, </w:t>
      </w:r>
      <w:r w:rsidR="00F56CF5">
        <w:t xml:space="preserve">in contrast, </w:t>
      </w:r>
      <w:r w:rsidR="0093458E" w:rsidRPr="0079498C">
        <w:t>agricultur</w:t>
      </w:r>
      <w:r w:rsidR="00D0449D">
        <w:t>e accounts for</w:t>
      </w:r>
      <w:r w:rsidR="0093458E" w:rsidRPr="0079498C">
        <w:t xml:space="preserve"> 49</w:t>
      </w:r>
      <w:r w:rsidR="0093458E">
        <w:t xml:space="preserve"> </w:t>
      </w:r>
      <w:r w:rsidR="0093458E" w:rsidRPr="0079498C">
        <w:t>% of input</w:t>
      </w:r>
      <w:r w:rsidR="0093458E">
        <w:t xml:space="preserve">s, 12 percentage points (p.p.) </w:t>
      </w:r>
      <w:r w:rsidR="0035637A">
        <w:t xml:space="preserve">higher than in </w:t>
      </w:r>
      <w:r w:rsidR="0093458E">
        <w:t xml:space="preserve">SP. </w:t>
      </w:r>
      <w:r w:rsidR="0093458E" w:rsidRPr="0079498C">
        <w:t xml:space="preserve">Most inputs </w:t>
      </w:r>
      <w:r w:rsidR="0093458E">
        <w:t>for</w:t>
      </w:r>
      <w:r w:rsidR="0093458E" w:rsidRPr="0079498C">
        <w:t xml:space="preserve"> biofuel </w:t>
      </w:r>
      <w:r w:rsidR="0093458E">
        <w:t>manufacturing</w:t>
      </w:r>
      <w:r w:rsidR="0093458E" w:rsidRPr="0079498C">
        <w:t xml:space="preserve"> </w:t>
      </w:r>
      <w:r w:rsidR="00026DF9">
        <w:t xml:space="preserve">are </w:t>
      </w:r>
      <w:r w:rsidR="0093458E" w:rsidRPr="0079498C">
        <w:t xml:space="preserve">sourced </w:t>
      </w:r>
      <w:r w:rsidR="00026DF9">
        <w:t xml:space="preserve">locally – </w:t>
      </w:r>
      <w:r w:rsidR="00026DF9" w:rsidRPr="0079498C">
        <w:t>67</w:t>
      </w:r>
      <w:r w:rsidR="00026DF9">
        <w:t xml:space="preserve"> </w:t>
      </w:r>
      <w:r w:rsidR="00026DF9" w:rsidRPr="0079498C">
        <w:t>%</w:t>
      </w:r>
      <w:r w:rsidR="00026DF9">
        <w:t xml:space="preserve"> in SP and </w:t>
      </w:r>
      <w:r w:rsidR="00026DF9" w:rsidRPr="0079498C">
        <w:t>74</w:t>
      </w:r>
      <w:r w:rsidR="00026DF9">
        <w:t xml:space="preserve"> </w:t>
      </w:r>
      <w:r w:rsidR="00026DF9" w:rsidRPr="0079498C">
        <w:t>%</w:t>
      </w:r>
      <w:r w:rsidR="00026DF9">
        <w:t xml:space="preserve"> in MT –</w:t>
      </w:r>
      <w:r w:rsidR="0093458E" w:rsidRPr="0079498C">
        <w:t xml:space="preserve"> </w:t>
      </w:r>
      <w:r w:rsidR="0093458E" w:rsidRPr="00573382">
        <w:t>underscoring the sector’s role in supporting local supply chains and regional employment</w:t>
      </w:r>
      <w:r w:rsidR="0093458E" w:rsidRPr="0079498C">
        <w:t>.</w:t>
      </w:r>
      <w:r w:rsidR="0093458E">
        <w:t xml:space="preserve"> In 2022, the biofuel manufacturing sector employed 238.5 thousand people (formal and informal jobs), with SP and MT contributing with 64.3 thousand and 17.2 thousand, respectively.</w:t>
      </w:r>
    </w:p>
    <w:p w14:paraId="6B01E304" w14:textId="77777777" w:rsidR="00435043" w:rsidRDefault="00435043" w:rsidP="00FA274E">
      <w:pPr>
        <w:pStyle w:val="CETBodytext"/>
      </w:pPr>
    </w:p>
    <w:p w14:paraId="6C85E841" w14:textId="77777777" w:rsidR="00340B1D" w:rsidRDefault="00340B1D" w:rsidP="007D3B7D">
      <w:pPr>
        <w:pStyle w:val="CETBodytext"/>
      </w:pPr>
    </w:p>
    <w:p w14:paraId="2FFF479E" w14:textId="314C019D" w:rsidR="001375C5" w:rsidRDefault="00110947" w:rsidP="00A802A7">
      <w:pPr>
        <w:pStyle w:val="CETBodytext"/>
      </w:pPr>
      <w:r w:rsidRPr="00110947">
        <w:rPr>
          <w:noProof/>
        </w:rPr>
        <w:lastRenderedPageBreak/>
        <w:drawing>
          <wp:inline distT="0" distB="0" distL="0" distR="0" wp14:anchorId="10766323" wp14:editId="4CF58380">
            <wp:extent cx="4979406" cy="2693989"/>
            <wp:effectExtent l="0" t="0" r="0" b="0"/>
            <wp:docPr id="7509439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84554" cy="2750877"/>
                    </a:xfrm>
                    <a:prstGeom prst="rect">
                      <a:avLst/>
                    </a:prstGeom>
                    <a:noFill/>
                    <a:ln>
                      <a:noFill/>
                    </a:ln>
                  </pic:spPr>
                </pic:pic>
              </a:graphicData>
            </a:graphic>
          </wp:inline>
        </w:drawing>
      </w:r>
    </w:p>
    <w:p w14:paraId="49C881ED" w14:textId="460339BC" w:rsidR="00FF7A47" w:rsidRPr="00BD077D" w:rsidRDefault="00FF7A47" w:rsidP="00FF7A47">
      <w:pPr>
        <w:pStyle w:val="CETCaption"/>
      </w:pPr>
      <w:r w:rsidRPr="00BD077D">
        <w:rPr>
          <w:rStyle w:val="CETCaptionCarattere"/>
          <w:i/>
        </w:rPr>
        <w:t xml:space="preserve">Figure 1: </w:t>
      </w:r>
      <w:r>
        <w:rPr>
          <w:rStyle w:val="CETCaptionCarattere"/>
          <w:i/>
        </w:rPr>
        <w:t>Brazilian biofuel sector</w:t>
      </w:r>
      <w:r w:rsidR="00590F26">
        <w:rPr>
          <w:rStyle w:val="CETCaptionCarattere"/>
          <w:i/>
        </w:rPr>
        <w:t xml:space="preserve"> in 2022 (values are in US</w:t>
      </w:r>
      <w:r w:rsidR="00D74076">
        <w:rPr>
          <w:rStyle w:val="CETCaptionCarattere"/>
          <w:i/>
        </w:rPr>
        <w:t>D</w:t>
      </w:r>
      <w:r w:rsidR="00CE0C9E">
        <w:rPr>
          <w:rStyle w:val="CETCaptionCarattere"/>
          <w:i/>
        </w:rPr>
        <w:t xml:space="preserve"> </w:t>
      </w:r>
      <w:r w:rsidR="00D74076">
        <w:rPr>
          <w:rStyle w:val="CETCaptionCarattere"/>
          <w:i/>
        </w:rPr>
        <w:t>million</w:t>
      </w:r>
      <w:r w:rsidR="00590F26">
        <w:rPr>
          <w:rStyle w:val="CETCaptionCarattere"/>
          <w:i/>
        </w:rPr>
        <w:t>)</w:t>
      </w:r>
      <w:r w:rsidRPr="00BD077D">
        <w:t xml:space="preserve"> </w:t>
      </w:r>
    </w:p>
    <w:p w14:paraId="54F35890" w14:textId="018257D1" w:rsidR="006C51D9" w:rsidRDefault="006C51D9" w:rsidP="00A802A7">
      <w:pPr>
        <w:pStyle w:val="CETheadingx"/>
      </w:pPr>
      <w:r w:rsidRPr="006C51D9">
        <w:t>The multiplying effects of biofuel expansion in Brazilian economy</w:t>
      </w:r>
    </w:p>
    <w:p w14:paraId="09E694FD" w14:textId="717F939E" w:rsidR="009F7373" w:rsidRDefault="00701EF4" w:rsidP="007E34CC">
      <w:pPr>
        <w:pStyle w:val="CETBodytext"/>
      </w:pPr>
      <w:r>
        <w:t xml:space="preserve">Table 1 presents </w:t>
      </w:r>
      <w:r w:rsidR="006617F4">
        <w:t xml:space="preserve">the </w:t>
      </w:r>
      <w:r w:rsidR="00FA5A48">
        <w:t xml:space="preserve">average </w:t>
      </w:r>
      <w:r>
        <w:t xml:space="preserve">multipliers for the biofuel </w:t>
      </w:r>
      <w:r w:rsidR="00441626">
        <w:t xml:space="preserve">manufacturing </w:t>
      </w:r>
      <w:r>
        <w:t>sector in Brazil, along</w:t>
      </w:r>
      <w:r w:rsidR="006647DD">
        <w:t xml:space="preserve"> with</w:t>
      </w:r>
      <w:r>
        <w:t xml:space="preserve"> specific results for the states of SP and MT. The OM </w:t>
      </w:r>
      <w:r w:rsidR="00F91EDA">
        <w:t xml:space="preserve">captures </w:t>
      </w:r>
      <w:r>
        <w:t xml:space="preserve">the projected direct and indirect effects on the economy </w:t>
      </w:r>
      <w:r w:rsidR="00E9550D">
        <w:t>resulting from</w:t>
      </w:r>
      <w:r>
        <w:t xml:space="preserve"> an increase in final demand for a </w:t>
      </w:r>
      <w:r w:rsidR="00E9550D">
        <w:t xml:space="preserve">given </w:t>
      </w:r>
      <w:r>
        <w:t>sector.</w:t>
      </w:r>
      <w:r w:rsidR="002E7C36">
        <w:t xml:space="preserve"> </w:t>
      </w:r>
      <w:r>
        <w:t xml:space="preserve">For </w:t>
      </w:r>
      <w:r w:rsidR="00A467F4">
        <w:t>example</w:t>
      </w:r>
      <w:r>
        <w:t>,</w:t>
      </w:r>
      <w:r w:rsidR="007936C2">
        <w:t xml:space="preserve"> </w:t>
      </w:r>
      <w:r w:rsidR="00795285">
        <w:t xml:space="preserve">a multiplier </w:t>
      </w:r>
      <w:r w:rsidR="002951C5">
        <w:t>of</w:t>
      </w:r>
      <w:r w:rsidR="00795285">
        <w:t xml:space="preserve"> 2.35 </w:t>
      </w:r>
      <w:r w:rsidR="002951C5">
        <w:t>implies that a</w:t>
      </w:r>
      <w:r>
        <w:t xml:space="preserve"> US</w:t>
      </w:r>
      <w:r w:rsidR="00A70C90">
        <w:t xml:space="preserve">D </w:t>
      </w:r>
      <w:r>
        <w:t>1</w:t>
      </w:r>
      <w:r w:rsidR="00DF0C4E">
        <w:t xml:space="preserve"> </w:t>
      </w:r>
      <w:r w:rsidR="00A70C90">
        <w:t>billion increase</w:t>
      </w:r>
      <w:r>
        <w:t xml:space="preserve"> in</w:t>
      </w:r>
      <w:r w:rsidR="00E518F8">
        <w:t xml:space="preserve"> final</w:t>
      </w:r>
      <w:r>
        <w:t xml:space="preserve"> demand</w:t>
      </w:r>
      <w:r w:rsidR="00E518F8">
        <w:t xml:space="preserve"> generates a </w:t>
      </w:r>
      <w:r>
        <w:t xml:space="preserve">total output </w:t>
      </w:r>
      <w:r w:rsidR="0048254D">
        <w:t>increase of</w:t>
      </w:r>
      <w:r>
        <w:t xml:space="preserve"> US</w:t>
      </w:r>
      <w:r w:rsidR="00D74076">
        <w:t>D</w:t>
      </w:r>
      <w:r>
        <w:t xml:space="preserve"> 2.35</w:t>
      </w:r>
      <w:r w:rsidR="003E6FA0">
        <w:t xml:space="preserve"> </w:t>
      </w:r>
      <w:r w:rsidR="00A70C90">
        <w:t>billion</w:t>
      </w:r>
      <w:r w:rsidR="0048254D">
        <w:t xml:space="preserve"> in the Brazilian economy</w:t>
      </w:r>
      <w:r>
        <w:t xml:space="preserve">. The same </w:t>
      </w:r>
      <w:r w:rsidR="0048254D">
        <w:t xml:space="preserve">interpretation </w:t>
      </w:r>
      <w:r>
        <w:t>applies to the other multipliers. The V</w:t>
      </w:r>
      <w:r w:rsidR="00BF0C5B">
        <w:t>A-m</w:t>
      </w:r>
      <w:r>
        <w:t xml:space="preserve">ultiplier is </w:t>
      </w:r>
      <w:r w:rsidR="00E04804">
        <w:t>particularly important</w:t>
      </w:r>
      <w:r>
        <w:t xml:space="preserve">, as it measures a sector's contribution to generating new wealth (i.e., GDP) without double counting, from </w:t>
      </w:r>
      <w:r w:rsidR="00E04804">
        <w:t xml:space="preserve">both </w:t>
      </w:r>
      <w:r>
        <w:t xml:space="preserve">regional </w:t>
      </w:r>
      <w:r w:rsidR="00C20DE3">
        <w:t xml:space="preserve">and </w:t>
      </w:r>
      <w:r>
        <w:t>national perspective</w:t>
      </w:r>
      <w:r w:rsidR="00C20DE3">
        <w:t>s</w:t>
      </w:r>
      <w:r>
        <w:t xml:space="preserve">. The </w:t>
      </w:r>
      <w:r w:rsidR="00BF0C5B">
        <w:t>W-m</w:t>
      </w:r>
      <w:r>
        <w:t xml:space="preserve">ultiplier </w:t>
      </w:r>
      <w:r w:rsidR="00263925">
        <w:t xml:space="preserve">reflects income generation through </w:t>
      </w:r>
      <w:r w:rsidR="006E0697">
        <w:t xml:space="preserve">labor compensation; </w:t>
      </w:r>
      <w:r>
        <w:t xml:space="preserve">however, total income – </w:t>
      </w:r>
      <w:r w:rsidR="006E0697">
        <w:t xml:space="preserve">especially </w:t>
      </w:r>
      <w:r>
        <w:t xml:space="preserve">in capital-intensive sectors – </w:t>
      </w:r>
      <w:r w:rsidR="006E0697">
        <w:t xml:space="preserve">also includes </w:t>
      </w:r>
      <w:r>
        <w:t xml:space="preserve">profits and rents. </w:t>
      </w:r>
      <w:r w:rsidR="007A03BC">
        <w:t xml:space="preserve">While higher W may stimulate </w:t>
      </w:r>
      <w:r w:rsidR="00760B3E">
        <w:t>additional household consumption, such</w:t>
      </w:r>
      <w:r>
        <w:t xml:space="preserve"> potential induced effect</w:t>
      </w:r>
      <w:r w:rsidR="00760B3E">
        <w:t>s</w:t>
      </w:r>
      <w:r w:rsidR="008B352D">
        <w:t xml:space="preserve"> are only fully captured when households are endogenized in the model </w:t>
      </w:r>
      <w:r w:rsidR="008B352D">
        <w:rPr>
          <w:rFonts w:cs="Arial"/>
          <w:szCs w:val="18"/>
        </w:rPr>
        <w:fldChar w:fldCharType="begin"/>
      </w:r>
      <w:r w:rsidR="008B352D">
        <w:rPr>
          <w:rFonts w:cs="Arial"/>
          <w:szCs w:val="18"/>
        </w:rPr>
        <w:instrText xml:space="preserve"> ADDIN ZOTERO_ITEM CSL_CITATION {"citationID":"PWTnktGa","properties":{"formattedCitation":"(Miller and Blair, 2009; Guilhoto, 2011)","plainCitation":"(Miller and Blair, 2009; Guilhoto, 2011)","noteIndex":0},"citationItems":[{"id":460,"uris":["http://zotero.org/users/9333001/items/Q3IGNWKN"],"itemData":{"id":460,"type":"book","call-number":"HB142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D."}],"issued":{"date-parts":[["2009"]]}}},{"id":1582,"uris":["http://zotero.org/users/9333001/items/MTVEW9X8"],"itemData":{"id":1582,"type":"article-journal","container-title":"SSRN Electronic Journal","DOI":"10.2139/ssrn.1900073","ISSN":"1556-5068","journalAbbreviation":"SSRN Journal","language":"en","source":"DOI.org (Crossref)","title":"Input-Output Analysis: Theory and Foundations (Análise de Insumo-Produto: Teoria e Fundamentos)","title-short":"Input-Output Analysis","URL":"http://www.ssrn.com/abstract=1900073","author":[{"family":"Guilhoto","given":"Joaquim José Martins"}],"accessed":{"date-parts":[["2026",1,27]]},"issued":{"date-parts":[["2011"]]}}}],"schema":"https://github.com/citation-style-language/schema/raw/master/csl-citation.json"} </w:instrText>
      </w:r>
      <w:r w:rsidR="008B352D">
        <w:rPr>
          <w:rFonts w:cs="Arial"/>
          <w:szCs w:val="18"/>
        </w:rPr>
        <w:fldChar w:fldCharType="separate"/>
      </w:r>
      <w:r w:rsidR="008B352D" w:rsidRPr="00ED5514">
        <w:rPr>
          <w:rFonts w:cs="Arial"/>
        </w:rPr>
        <w:t>(Miller and Blair, 2009)</w:t>
      </w:r>
      <w:r w:rsidR="008B352D">
        <w:rPr>
          <w:rFonts w:cs="Arial"/>
          <w:szCs w:val="18"/>
        </w:rPr>
        <w:fldChar w:fldCharType="end"/>
      </w:r>
      <w:r w:rsidR="008B352D">
        <w:t>.</w:t>
      </w:r>
      <w:r>
        <w:t xml:space="preserve"> The </w:t>
      </w:r>
      <w:r w:rsidR="0098525E">
        <w:t>L-m</w:t>
      </w:r>
      <w:r>
        <w:t xml:space="preserve">ultiplier </w:t>
      </w:r>
      <w:r w:rsidR="00FE304A">
        <w:t>measures</w:t>
      </w:r>
      <w:r>
        <w:t xml:space="preserve"> job creation </w:t>
      </w:r>
      <w:r w:rsidR="00FE304A">
        <w:t xml:space="preserve">in response to demand shocks </w:t>
      </w:r>
      <w:r w:rsidR="007E34CC">
        <w:t>and can be interpreted as an indicator of potential</w:t>
      </w:r>
      <w:r>
        <w:t xml:space="preserve"> social inclusion. This study focuses on formal employment, as informal labor introduces significant volatility across </w:t>
      </w:r>
      <w:r w:rsidR="00FC3687">
        <w:t>regions</w:t>
      </w:r>
      <w:r>
        <w:t xml:space="preserve">, </w:t>
      </w:r>
      <w:r w:rsidR="00B75C40">
        <w:t xml:space="preserve">particularly </w:t>
      </w:r>
      <w:r>
        <w:t>in the Northeast.</w:t>
      </w:r>
      <w:r w:rsidR="00C00810" w:rsidDel="00C00810">
        <w:t xml:space="preserve"> </w:t>
      </w:r>
    </w:p>
    <w:p w14:paraId="3A445EFE" w14:textId="77777777" w:rsidR="001D2E19" w:rsidRPr="00B57B36" w:rsidRDefault="001D2E19" w:rsidP="001D2E19">
      <w:pPr>
        <w:pStyle w:val="CETTabletitle"/>
      </w:pPr>
      <w:r w:rsidRPr="00B57B36">
        <w:t>Tabl</w:t>
      </w:r>
      <w:r>
        <w:t>e</w:t>
      </w:r>
      <w:r w:rsidRPr="00B57B36">
        <w:t xml:space="preserve"> </w:t>
      </w:r>
      <w:r>
        <w:t>1</w:t>
      </w:r>
      <w:r w:rsidRPr="00B57B36">
        <w:t xml:space="preserve">: </w:t>
      </w:r>
      <w:r>
        <w:t>Output, value-added, wages, and employment multipliers for the biofuel sector</w:t>
      </w:r>
    </w:p>
    <w:tbl>
      <w:tblPr>
        <w:tblW w:w="6804" w:type="dxa"/>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843"/>
        <w:gridCol w:w="1559"/>
        <w:gridCol w:w="1276"/>
        <w:gridCol w:w="2126"/>
      </w:tblGrid>
      <w:tr w:rsidR="001D2E19" w:rsidRPr="001116A0" w14:paraId="0F075230" w14:textId="77777777" w:rsidTr="00C132EC">
        <w:tc>
          <w:tcPr>
            <w:tcW w:w="1843" w:type="dxa"/>
            <w:tcBorders>
              <w:top w:val="single" w:sz="12" w:space="0" w:color="008000"/>
              <w:bottom w:val="single" w:sz="6" w:space="0" w:color="008000"/>
            </w:tcBorders>
            <w:shd w:val="clear" w:color="auto" w:fill="FFFFFF"/>
            <w:vAlign w:val="center"/>
          </w:tcPr>
          <w:p w14:paraId="6BFD0C70" w14:textId="77777777" w:rsidR="001D2E19" w:rsidRPr="001116A0" w:rsidRDefault="001D2E19" w:rsidP="00C132EC">
            <w:pPr>
              <w:pStyle w:val="CETBodytext"/>
              <w:jc w:val="center"/>
              <w:rPr>
                <w:rFonts w:cs="Arial"/>
                <w:szCs w:val="18"/>
                <w:lang w:val="en-GB"/>
              </w:rPr>
            </w:pPr>
            <w:r>
              <w:rPr>
                <w:rFonts w:cs="Arial"/>
                <w:color w:val="000000"/>
                <w:szCs w:val="18"/>
              </w:rPr>
              <w:t>Multiplier</w:t>
            </w:r>
          </w:p>
        </w:tc>
        <w:tc>
          <w:tcPr>
            <w:tcW w:w="1559" w:type="dxa"/>
            <w:tcBorders>
              <w:top w:val="single" w:sz="12" w:space="0" w:color="008000"/>
              <w:bottom w:val="single" w:sz="6" w:space="0" w:color="008000"/>
            </w:tcBorders>
            <w:shd w:val="clear" w:color="auto" w:fill="FFFFFF"/>
            <w:vAlign w:val="center"/>
          </w:tcPr>
          <w:p w14:paraId="65D3208B" w14:textId="77777777" w:rsidR="001D2E19" w:rsidRPr="001116A0" w:rsidRDefault="001D2E19" w:rsidP="00C132EC">
            <w:pPr>
              <w:pStyle w:val="CETBodytext"/>
              <w:jc w:val="center"/>
              <w:rPr>
                <w:rFonts w:cs="Arial"/>
                <w:szCs w:val="18"/>
                <w:lang w:val="en-GB"/>
              </w:rPr>
            </w:pPr>
            <w:r>
              <w:rPr>
                <w:rFonts w:cs="Arial"/>
                <w:szCs w:val="18"/>
                <w:lang w:val="en-GB"/>
              </w:rPr>
              <w:t>Avg. Brazil</w:t>
            </w:r>
          </w:p>
        </w:tc>
        <w:tc>
          <w:tcPr>
            <w:tcW w:w="1276" w:type="dxa"/>
            <w:tcBorders>
              <w:top w:val="single" w:sz="12" w:space="0" w:color="008000"/>
              <w:bottom w:val="single" w:sz="6" w:space="0" w:color="008000"/>
            </w:tcBorders>
            <w:shd w:val="clear" w:color="auto" w:fill="FFFFFF"/>
            <w:vAlign w:val="center"/>
          </w:tcPr>
          <w:p w14:paraId="6F945813" w14:textId="77777777" w:rsidR="001D2E19" w:rsidRPr="001116A0" w:rsidRDefault="001D2E19" w:rsidP="00C132EC">
            <w:pPr>
              <w:pStyle w:val="CETBodytext"/>
              <w:jc w:val="center"/>
              <w:rPr>
                <w:rFonts w:cs="Arial"/>
                <w:szCs w:val="18"/>
                <w:lang w:val="en-GB"/>
              </w:rPr>
            </w:pPr>
            <w:r>
              <w:rPr>
                <w:rFonts w:cs="Arial"/>
                <w:szCs w:val="18"/>
                <w:lang w:val="en-GB"/>
              </w:rPr>
              <w:t>São Paulo (SP)</w:t>
            </w:r>
          </w:p>
        </w:tc>
        <w:tc>
          <w:tcPr>
            <w:tcW w:w="2126" w:type="dxa"/>
            <w:tcBorders>
              <w:top w:val="single" w:sz="12" w:space="0" w:color="008000"/>
              <w:bottom w:val="single" w:sz="6" w:space="0" w:color="008000"/>
            </w:tcBorders>
            <w:shd w:val="clear" w:color="auto" w:fill="FFFFFF"/>
            <w:vAlign w:val="center"/>
          </w:tcPr>
          <w:p w14:paraId="2903BA1A" w14:textId="77777777" w:rsidR="001D2E19" w:rsidRPr="001116A0" w:rsidRDefault="001D2E19" w:rsidP="00C132EC">
            <w:pPr>
              <w:pStyle w:val="CETBodytext"/>
              <w:ind w:right="-1"/>
              <w:jc w:val="center"/>
              <w:rPr>
                <w:rFonts w:cs="Arial"/>
                <w:szCs w:val="18"/>
                <w:lang w:val="en-GB"/>
              </w:rPr>
            </w:pPr>
            <w:r>
              <w:rPr>
                <w:rFonts w:cs="Arial"/>
                <w:szCs w:val="18"/>
                <w:lang w:val="en-GB"/>
              </w:rPr>
              <w:t>Mato Grosso (MT)</w:t>
            </w:r>
          </w:p>
        </w:tc>
      </w:tr>
      <w:tr w:rsidR="001D2E19" w:rsidRPr="001116A0" w14:paraId="543CF48A" w14:textId="77777777" w:rsidTr="00C132EC">
        <w:tc>
          <w:tcPr>
            <w:tcW w:w="1843" w:type="dxa"/>
            <w:shd w:val="clear" w:color="auto" w:fill="FFFFFF"/>
            <w:vAlign w:val="center"/>
          </w:tcPr>
          <w:p w14:paraId="26E8ADA4" w14:textId="77777777" w:rsidR="001D2E19" w:rsidRPr="001116A0" w:rsidRDefault="001D2E19" w:rsidP="00C132EC">
            <w:pPr>
              <w:pStyle w:val="CETBodytext"/>
              <w:rPr>
                <w:rFonts w:cs="Arial"/>
                <w:szCs w:val="18"/>
                <w:lang w:val="en-GB"/>
              </w:rPr>
            </w:pPr>
            <w:r>
              <w:rPr>
                <w:rFonts w:cs="Arial"/>
                <w:szCs w:val="18"/>
                <w:lang w:val="en-GB"/>
              </w:rPr>
              <w:t>Output (OM)</w:t>
            </w:r>
          </w:p>
        </w:tc>
        <w:tc>
          <w:tcPr>
            <w:tcW w:w="1559" w:type="dxa"/>
            <w:shd w:val="clear" w:color="auto" w:fill="FFFFFF"/>
            <w:vAlign w:val="center"/>
          </w:tcPr>
          <w:p w14:paraId="475A3AE1" w14:textId="77777777" w:rsidR="001D2E19" w:rsidRPr="001116A0" w:rsidRDefault="001D2E19" w:rsidP="00C132EC">
            <w:pPr>
              <w:pStyle w:val="CETBodytext"/>
              <w:jc w:val="center"/>
              <w:rPr>
                <w:rFonts w:cs="Arial"/>
                <w:szCs w:val="18"/>
                <w:lang w:val="en-GB"/>
              </w:rPr>
            </w:pPr>
            <w:r>
              <w:rPr>
                <w:rFonts w:cs="Arial"/>
                <w:szCs w:val="18"/>
                <w:lang w:val="en-GB"/>
              </w:rPr>
              <w:t>2.35</w:t>
            </w:r>
          </w:p>
        </w:tc>
        <w:tc>
          <w:tcPr>
            <w:tcW w:w="1276" w:type="dxa"/>
            <w:shd w:val="clear" w:color="auto" w:fill="FFFFFF"/>
            <w:vAlign w:val="center"/>
          </w:tcPr>
          <w:p w14:paraId="6B919C75" w14:textId="77777777" w:rsidR="001D2E19" w:rsidRPr="001116A0" w:rsidRDefault="001D2E19" w:rsidP="00C132EC">
            <w:pPr>
              <w:pStyle w:val="CETBodytext"/>
              <w:jc w:val="center"/>
              <w:rPr>
                <w:rFonts w:cs="Arial"/>
                <w:szCs w:val="18"/>
                <w:lang w:val="en-GB"/>
              </w:rPr>
            </w:pPr>
            <w:r>
              <w:rPr>
                <w:rFonts w:cs="Arial"/>
                <w:szCs w:val="18"/>
                <w:lang w:val="en-GB"/>
              </w:rPr>
              <w:t>2.38</w:t>
            </w:r>
          </w:p>
        </w:tc>
        <w:tc>
          <w:tcPr>
            <w:tcW w:w="2126" w:type="dxa"/>
            <w:shd w:val="clear" w:color="auto" w:fill="FFFFFF"/>
            <w:vAlign w:val="center"/>
          </w:tcPr>
          <w:p w14:paraId="4C2C22B9" w14:textId="77777777" w:rsidR="001D2E19" w:rsidRPr="001116A0" w:rsidRDefault="001D2E19" w:rsidP="00C132EC">
            <w:pPr>
              <w:pStyle w:val="CETBodytext"/>
              <w:ind w:right="-1"/>
              <w:jc w:val="center"/>
              <w:rPr>
                <w:rFonts w:cs="Arial"/>
                <w:szCs w:val="18"/>
                <w:lang w:val="en-GB"/>
              </w:rPr>
            </w:pPr>
            <w:r>
              <w:rPr>
                <w:rFonts w:cs="Arial"/>
                <w:szCs w:val="18"/>
                <w:lang w:val="en-GB"/>
              </w:rPr>
              <w:t>2.09</w:t>
            </w:r>
          </w:p>
        </w:tc>
      </w:tr>
      <w:tr w:rsidR="001D2E19" w:rsidRPr="001116A0" w14:paraId="09F25BC3" w14:textId="77777777" w:rsidTr="00C132EC">
        <w:tc>
          <w:tcPr>
            <w:tcW w:w="1843" w:type="dxa"/>
            <w:tcBorders>
              <w:bottom w:val="nil"/>
            </w:tcBorders>
            <w:shd w:val="clear" w:color="auto" w:fill="FFFFFF"/>
            <w:vAlign w:val="center"/>
          </w:tcPr>
          <w:p w14:paraId="417E2A19" w14:textId="77777777" w:rsidR="001D2E19" w:rsidRPr="001116A0" w:rsidRDefault="001D2E19" w:rsidP="00C132EC">
            <w:pPr>
              <w:pStyle w:val="CETBodytext"/>
              <w:rPr>
                <w:rFonts w:cs="Arial"/>
                <w:szCs w:val="18"/>
                <w:lang w:val="en-GB"/>
              </w:rPr>
            </w:pPr>
            <w:r>
              <w:rPr>
                <w:rFonts w:cs="Arial"/>
                <w:szCs w:val="18"/>
                <w:lang w:val="en-GB"/>
              </w:rPr>
              <w:t>Value-added (VA-M)</w:t>
            </w:r>
          </w:p>
        </w:tc>
        <w:tc>
          <w:tcPr>
            <w:tcW w:w="1559" w:type="dxa"/>
            <w:tcBorders>
              <w:bottom w:val="nil"/>
            </w:tcBorders>
            <w:shd w:val="clear" w:color="auto" w:fill="FFFFFF"/>
            <w:vAlign w:val="center"/>
          </w:tcPr>
          <w:p w14:paraId="2021E45D" w14:textId="77777777" w:rsidR="001D2E19" w:rsidRPr="001116A0" w:rsidRDefault="001D2E19" w:rsidP="00C132EC">
            <w:pPr>
              <w:pStyle w:val="CETBodytext"/>
              <w:jc w:val="center"/>
              <w:rPr>
                <w:rFonts w:cs="Arial"/>
                <w:szCs w:val="18"/>
                <w:lang w:val="en-GB"/>
              </w:rPr>
            </w:pPr>
            <w:r>
              <w:rPr>
                <w:rFonts w:cs="Arial"/>
                <w:szCs w:val="18"/>
                <w:lang w:val="en-GB"/>
              </w:rPr>
              <w:t>0.72</w:t>
            </w:r>
          </w:p>
        </w:tc>
        <w:tc>
          <w:tcPr>
            <w:tcW w:w="1276" w:type="dxa"/>
            <w:tcBorders>
              <w:bottom w:val="nil"/>
            </w:tcBorders>
            <w:shd w:val="clear" w:color="auto" w:fill="FFFFFF"/>
            <w:vAlign w:val="center"/>
          </w:tcPr>
          <w:p w14:paraId="4F42911C" w14:textId="77777777" w:rsidR="001D2E19" w:rsidRPr="001116A0" w:rsidRDefault="001D2E19" w:rsidP="00C132EC">
            <w:pPr>
              <w:pStyle w:val="CETBodytext"/>
              <w:jc w:val="center"/>
              <w:rPr>
                <w:rFonts w:cs="Arial"/>
                <w:szCs w:val="18"/>
                <w:lang w:val="en-GB"/>
              </w:rPr>
            </w:pPr>
            <w:r>
              <w:rPr>
                <w:rFonts w:cs="Arial"/>
                <w:szCs w:val="18"/>
                <w:lang w:val="en-GB"/>
              </w:rPr>
              <w:t>0.74</w:t>
            </w:r>
          </w:p>
        </w:tc>
        <w:tc>
          <w:tcPr>
            <w:tcW w:w="2126" w:type="dxa"/>
            <w:tcBorders>
              <w:bottom w:val="nil"/>
            </w:tcBorders>
            <w:shd w:val="clear" w:color="auto" w:fill="FFFFFF"/>
            <w:vAlign w:val="center"/>
          </w:tcPr>
          <w:p w14:paraId="47C5CA65" w14:textId="77777777" w:rsidR="001D2E19" w:rsidRPr="001116A0" w:rsidRDefault="001D2E19" w:rsidP="00C132EC">
            <w:pPr>
              <w:pStyle w:val="CETBodytext"/>
              <w:ind w:right="-1"/>
              <w:jc w:val="center"/>
              <w:rPr>
                <w:rFonts w:cs="Arial"/>
                <w:szCs w:val="18"/>
                <w:lang w:val="en-GB"/>
              </w:rPr>
            </w:pPr>
            <w:r>
              <w:rPr>
                <w:rFonts w:cs="Arial"/>
                <w:szCs w:val="18"/>
                <w:lang w:val="en-GB"/>
              </w:rPr>
              <w:t>0.62</w:t>
            </w:r>
          </w:p>
        </w:tc>
      </w:tr>
      <w:tr w:rsidR="001D2E19" w:rsidRPr="001116A0" w14:paraId="61D1AD5F" w14:textId="77777777" w:rsidTr="00C132EC">
        <w:tc>
          <w:tcPr>
            <w:tcW w:w="1843" w:type="dxa"/>
            <w:tcBorders>
              <w:top w:val="nil"/>
              <w:bottom w:val="nil"/>
            </w:tcBorders>
            <w:shd w:val="clear" w:color="auto" w:fill="FFFFFF"/>
            <w:vAlign w:val="center"/>
          </w:tcPr>
          <w:p w14:paraId="31B6FDDD" w14:textId="77777777" w:rsidR="001D2E19" w:rsidRPr="001116A0" w:rsidRDefault="001D2E19" w:rsidP="00C132EC">
            <w:pPr>
              <w:pStyle w:val="CETBodytext"/>
              <w:rPr>
                <w:rFonts w:cs="Arial"/>
                <w:szCs w:val="18"/>
                <w:lang w:val="en-GB"/>
              </w:rPr>
            </w:pPr>
            <w:r>
              <w:rPr>
                <w:rFonts w:cs="Arial"/>
                <w:szCs w:val="18"/>
                <w:lang w:val="en-GB"/>
              </w:rPr>
              <w:t>Wages (W-M)</w:t>
            </w:r>
          </w:p>
        </w:tc>
        <w:tc>
          <w:tcPr>
            <w:tcW w:w="1559" w:type="dxa"/>
            <w:tcBorders>
              <w:top w:val="nil"/>
              <w:bottom w:val="nil"/>
            </w:tcBorders>
            <w:shd w:val="clear" w:color="auto" w:fill="FFFFFF"/>
            <w:vAlign w:val="center"/>
          </w:tcPr>
          <w:p w14:paraId="5435DFB3" w14:textId="77777777" w:rsidR="001D2E19" w:rsidRPr="001116A0" w:rsidRDefault="001D2E19" w:rsidP="00C132EC">
            <w:pPr>
              <w:pStyle w:val="CETBodytext"/>
              <w:jc w:val="center"/>
              <w:rPr>
                <w:rFonts w:cs="Arial"/>
                <w:szCs w:val="18"/>
                <w:lang w:val="en-GB"/>
              </w:rPr>
            </w:pPr>
            <w:r>
              <w:rPr>
                <w:rFonts w:cs="Arial"/>
                <w:szCs w:val="18"/>
                <w:lang w:val="en-GB"/>
              </w:rPr>
              <w:t>0.33</w:t>
            </w:r>
          </w:p>
        </w:tc>
        <w:tc>
          <w:tcPr>
            <w:tcW w:w="1276" w:type="dxa"/>
            <w:tcBorders>
              <w:top w:val="nil"/>
              <w:bottom w:val="nil"/>
            </w:tcBorders>
            <w:shd w:val="clear" w:color="auto" w:fill="FFFFFF"/>
            <w:vAlign w:val="center"/>
          </w:tcPr>
          <w:p w14:paraId="31D3BCC1" w14:textId="77777777" w:rsidR="001D2E19" w:rsidRPr="001116A0" w:rsidRDefault="001D2E19" w:rsidP="00C132EC">
            <w:pPr>
              <w:pStyle w:val="CETBodytext"/>
              <w:jc w:val="center"/>
              <w:rPr>
                <w:rFonts w:cs="Arial"/>
                <w:szCs w:val="18"/>
                <w:lang w:val="en-GB"/>
              </w:rPr>
            </w:pPr>
            <w:r>
              <w:rPr>
                <w:rFonts w:cs="Arial"/>
                <w:szCs w:val="18"/>
                <w:lang w:val="en-GB"/>
              </w:rPr>
              <w:t>0.34</w:t>
            </w:r>
          </w:p>
        </w:tc>
        <w:tc>
          <w:tcPr>
            <w:tcW w:w="2126" w:type="dxa"/>
            <w:tcBorders>
              <w:top w:val="nil"/>
              <w:bottom w:val="nil"/>
            </w:tcBorders>
            <w:shd w:val="clear" w:color="auto" w:fill="FFFFFF"/>
            <w:vAlign w:val="center"/>
          </w:tcPr>
          <w:p w14:paraId="22FD1314" w14:textId="77777777" w:rsidR="001D2E19" w:rsidRPr="001116A0" w:rsidRDefault="001D2E19" w:rsidP="00C132EC">
            <w:pPr>
              <w:pStyle w:val="CETBodytext"/>
              <w:ind w:right="-1"/>
              <w:jc w:val="center"/>
              <w:rPr>
                <w:rFonts w:cs="Arial"/>
                <w:szCs w:val="18"/>
                <w:lang w:val="en-GB"/>
              </w:rPr>
            </w:pPr>
            <w:r>
              <w:rPr>
                <w:rFonts w:cs="Arial"/>
                <w:szCs w:val="18"/>
                <w:lang w:val="en-GB"/>
              </w:rPr>
              <w:t>0.25</w:t>
            </w:r>
          </w:p>
        </w:tc>
      </w:tr>
      <w:tr w:rsidR="001D2E19" w:rsidRPr="001116A0" w14:paraId="2F1B4B78" w14:textId="77777777" w:rsidTr="00C132EC">
        <w:tc>
          <w:tcPr>
            <w:tcW w:w="1843" w:type="dxa"/>
            <w:tcBorders>
              <w:top w:val="nil"/>
            </w:tcBorders>
            <w:shd w:val="clear" w:color="auto" w:fill="FFFFFF"/>
            <w:vAlign w:val="center"/>
          </w:tcPr>
          <w:p w14:paraId="43F4FDD0" w14:textId="77777777" w:rsidR="001D2E19" w:rsidRPr="001116A0" w:rsidRDefault="001D2E19" w:rsidP="00C132EC">
            <w:pPr>
              <w:pStyle w:val="CETBodytext"/>
              <w:rPr>
                <w:rFonts w:cs="Arial"/>
                <w:szCs w:val="18"/>
                <w:lang w:val="en-GB"/>
              </w:rPr>
            </w:pPr>
            <w:r>
              <w:rPr>
                <w:rFonts w:cs="Arial"/>
                <w:szCs w:val="18"/>
              </w:rPr>
              <w:t>Employment (L-M)</w:t>
            </w:r>
          </w:p>
        </w:tc>
        <w:tc>
          <w:tcPr>
            <w:tcW w:w="1559" w:type="dxa"/>
            <w:tcBorders>
              <w:top w:val="nil"/>
            </w:tcBorders>
            <w:shd w:val="clear" w:color="auto" w:fill="FFFFFF"/>
            <w:vAlign w:val="center"/>
          </w:tcPr>
          <w:p w14:paraId="28B9E869" w14:textId="77777777" w:rsidR="001D2E19" w:rsidRPr="001116A0" w:rsidRDefault="001D2E19" w:rsidP="00C132EC">
            <w:pPr>
              <w:pStyle w:val="CETBodytext"/>
              <w:jc w:val="center"/>
              <w:rPr>
                <w:rFonts w:cs="Arial"/>
                <w:szCs w:val="18"/>
                <w:lang w:val="en-GB"/>
              </w:rPr>
            </w:pPr>
            <w:r>
              <w:rPr>
                <w:rFonts w:cs="Arial"/>
                <w:szCs w:val="18"/>
                <w:lang w:val="en-GB"/>
              </w:rPr>
              <w:t>6.23</w:t>
            </w:r>
          </w:p>
        </w:tc>
        <w:tc>
          <w:tcPr>
            <w:tcW w:w="1276" w:type="dxa"/>
            <w:tcBorders>
              <w:top w:val="nil"/>
            </w:tcBorders>
            <w:shd w:val="clear" w:color="auto" w:fill="FFFFFF"/>
            <w:vAlign w:val="center"/>
          </w:tcPr>
          <w:p w14:paraId="7F15C16F" w14:textId="77777777" w:rsidR="001D2E19" w:rsidRPr="001116A0" w:rsidRDefault="001D2E19" w:rsidP="00C132EC">
            <w:pPr>
              <w:pStyle w:val="CETBodytext"/>
              <w:jc w:val="center"/>
              <w:rPr>
                <w:rFonts w:cs="Arial"/>
                <w:szCs w:val="18"/>
                <w:lang w:val="en-GB"/>
              </w:rPr>
            </w:pPr>
            <w:r>
              <w:rPr>
                <w:rFonts w:cs="Arial"/>
                <w:szCs w:val="18"/>
                <w:lang w:val="en-GB"/>
              </w:rPr>
              <w:t>4.92</w:t>
            </w:r>
          </w:p>
        </w:tc>
        <w:tc>
          <w:tcPr>
            <w:tcW w:w="2126" w:type="dxa"/>
            <w:tcBorders>
              <w:top w:val="nil"/>
            </w:tcBorders>
            <w:shd w:val="clear" w:color="auto" w:fill="FFFFFF"/>
            <w:vAlign w:val="center"/>
          </w:tcPr>
          <w:p w14:paraId="00AAAF7F" w14:textId="77777777" w:rsidR="001D2E19" w:rsidRPr="001116A0" w:rsidRDefault="001D2E19" w:rsidP="00C132EC">
            <w:pPr>
              <w:pStyle w:val="CETBodytext"/>
              <w:ind w:right="-1"/>
              <w:jc w:val="center"/>
              <w:rPr>
                <w:rFonts w:cs="Arial"/>
                <w:szCs w:val="18"/>
                <w:lang w:val="en-GB"/>
              </w:rPr>
            </w:pPr>
            <w:r>
              <w:rPr>
                <w:rFonts w:cs="Arial"/>
                <w:szCs w:val="18"/>
                <w:lang w:val="en-GB"/>
              </w:rPr>
              <w:t>3.78</w:t>
            </w:r>
          </w:p>
        </w:tc>
      </w:tr>
    </w:tbl>
    <w:p w14:paraId="482EC9AB" w14:textId="77777777" w:rsidR="001D2E19" w:rsidRDefault="001D2E19" w:rsidP="007E34CC">
      <w:pPr>
        <w:pStyle w:val="CETBodytext"/>
      </w:pPr>
    </w:p>
    <w:p w14:paraId="190FEA27" w14:textId="43E9AB9F" w:rsidR="00497234" w:rsidRDefault="00C00810" w:rsidP="00570B2B">
      <w:pPr>
        <w:pStyle w:val="CETBodytext"/>
      </w:pPr>
      <w:r>
        <w:t xml:space="preserve">Overall, </w:t>
      </w:r>
      <w:r w:rsidR="00485305">
        <w:t>SP</w:t>
      </w:r>
      <w:r w:rsidRPr="004361A0">
        <w:t xml:space="preserve"> exhibits higher output and value-added multipliers, indicating stronger indirect effects through dense intersectoral linkages, consistent with </w:t>
      </w:r>
      <w:r w:rsidR="00534126">
        <w:t>its</w:t>
      </w:r>
      <w:r w:rsidRPr="004361A0">
        <w:t xml:space="preserve"> vertically integrated sugarcane</w:t>
      </w:r>
      <w:r w:rsidR="00E329FD">
        <w:t>-</w:t>
      </w:r>
      <w:r w:rsidRPr="004361A0">
        <w:t xml:space="preserve">ethanol complex. </w:t>
      </w:r>
      <w:r w:rsidR="00485305">
        <w:t>In contrast</w:t>
      </w:r>
      <w:r w:rsidRPr="004361A0">
        <w:t xml:space="preserve">, its wage and employment multipliers remain moderate, reflecting the capital-intensive nature of </w:t>
      </w:r>
      <w:r w:rsidR="009738B3">
        <w:t>biofuel manufacturing</w:t>
      </w:r>
      <w:r w:rsidRPr="004361A0">
        <w:t xml:space="preserve">. </w:t>
      </w:r>
      <w:r w:rsidR="00485305">
        <w:t xml:space="preserve">MT displays </w:t>
      </w:r>
      <w:r w:rsidRPr="004361A0">
        <w:t xml:space="preserve">lower multipliers </w:t>
      </w:r>
      <w:r w:rsidR="00C25699">
        <w:t xml:space="preserve">overall, suggesting </w:t>
      </w:r>
      <w:r w:rsidRPr="004361A0">
        <w:t xml:space="preserve">weaker </w:t>
      </w:r>
      <w:r w:rsidR="00616A8D" w:rsidRPr="004361A0">
        <w:t>transmission of</w:t>
      </w:r>
      <w:r w:rsidR="00C6141D">
        <w:t xml:space="preserve"> </w:t>
      </w:r>
      <w:r w:rsidR="00616A8D" w:rsidRPr="004361A0">
        <w:t>demand shocks</w:t>
      </w:r>
      <w:r w:rsidRPr="004361A0">
        <w:t xml:space="preserve"> despite recent expansion in corn-ethanol production</w:t>
      </w:r>
      <w:r w:rsidR="00006F8D">
        <w:t xml:space="preserve">; as a result, </w:t>
      </w:r>
      <w:r w:rsidR="00E73A6C">
        <w:t xml:space="preserve">biofuel expansion in MT </w:t>
      </w:r>
      <w:r w:rsidR="00C65231">
        <w:t xml:space="preserve">tends </w:t>
      </w:r>
      <w:r w:rsidR="00E73A6C">
        <w:t xml:space="preserve">to be </w:t>
      </w:r>
      <w:r w:rsidR="00E73A6C" w:rsidRPr="00E73A6C">
        <w:t>more localized and less diffused</w:t>
      </w:r>
      <w:r w:rsidR="004816FD">
        <w:t xml:space="preserve"> across the economy</w:t>
      </w:r>
      <w:r w:rsidRPr="004361A0">
        <w:t>.</w:t>
      </w:r>
      <w:r w:rsidR="00466CA1" w:rsidRPr="00466CA1">
        <w:t xml:space="preserve"> </w:t>
      </w:r>
      <w:r w:rsidR="004816FD">
        <w:t>In addition</w:t>
      </w:r>
      <w:r w:rsidR="008B223C">
        <w:t xml:space="preserve">, </w:t>
      </w:r>
      <w:r w:rsidR="00466CA1" w:rsidRPr="00C956D1">
        <w:t>SP converts a larger share of output into GDP (net value added)</w:t>
      </w:r>
      <w:r w:rsidR="00466CA1">
        <w:t xml:space="preserve"> </w:t>
      </w:r>
      <w:r w:rsidR="00400300">
        <w:t>than</w:t>
      </w:r>
      <w:r w:rsidR="00466CA1">
        <w:t xml:space="preserve"> MT (0.74 vs 0.62)</w:t>
      </w:r>
      <w:r w:rsidR="00727B51">
        <w:t xml:space="preserve"> (Table 1)</w:t>
      </w:r>
      <w:r w:rsidR="00CA766D">
        <w:t xml:space="preserve">, </w:t>
      </w:r>
      <w:r w:rsidR="00400300">
        <w:t>indicating</w:t>
      </w:r>
      <w:r w:rsidR="00CA766D">
        <w:t xml:space="preserve"> </w:t>
      </w:r>
      <w:r w:rsidR="00580317">
        <w:t>a greater capacity to</w:t>
      </w:r>
      <w:r w:rsidR="00523B4E">
        <w:t xml:space="preserve"> </w:t>
      </w:r>
      <w:r w:rsidR="00CA766D" w:rsidRPr="00CA766D">
        <w:t>generat</w:t>
      </w:r>
      <w:r w:rsidR="00523B4E">
        <w:t>e</w:t>
      </w:r>
      <w:r w:rsidR="00CA766D" w:rsidRPr="00CA766D">
        <w:t xml:space="preserve"> net economic welfare</w:t>
      </w:r>
      <w:r w:rsidR="00466CA1">
        <w:t xml:space="preserve">. </w:t>
      </w:r>
      <w:r w:rsidR="00A27440">
        <w:t xml:space="preserve">W-multipliers </w:t>
      </w:r>
      <w:r w:rsidR="00727B51">
        <w:t>are relatively</w:t>
      </w:r>
      <w:r w:rsidR="00466CA1">
        <w:t xml:space="preserve"> low compared to VA-M, </w:t>
      </w:r>
      <w:r w:rsidR="00B83DD5">
        <w:t>reinforcing</w:t>
      </w:r>
      <w:r w:rsidR="00466CA1">
        <w:t xml:space="preserve"> </w:t>
      </w:r>
      <w:r w:rsidR="00B83DD5">
        <w:t>the</w:t>
      </w:r>
      <w:r w:rsidR="00466CA1">
        <w:t xml:space="preserve"> capital-intensive </w:t>
      </w:r>
      <w:r w:rsidR="00602F6A">
        <w:t xml:space="preserve">profile of the </w:t>
      </w:r>
      <w:r w:rsidR="00466CA1">
        <w:t>biofuel manufacturing sector.</w:t>
      </w:r>
      <w:r w:rsidR="008C23FC">
        <w:t xml:space="preserve"> The lower </w:t>
      </w:r>
      <w:r w:rsidR="00F036BA">
        <w:t xml:space="preserve">W-multiplier in MT </w:t>
      </w:r>
      <w:r w:rsidR="008C23FC">
        <w:t>(</w:t>
      </w:r>
      <w:r w:rsidR="00133AD8">
        <w:t>0.25</w:t>
      </w:r>
      <w:r w:rsidR="00F036BA">
        <w:t>, compared to</w:t>
      </w:r>
      <w:r w:rsidR="00133AD8">
        <w:t xml:space="preserve"> 0.34 in SP)</w:t>
      </w:r>
      <w:r w:rsidR="00570B2B">
        <w:t xml:space="preserve"> </w:t>
      </w:r>
      <w:r w:rsidR="00C61D95">
        <w:t xml:space="preserve">is consistent with a stronger reliance on </w:t>
      </w:r>
      <w:r w:rsidR="00570B2B">
        <w:t xml:space="preserve">primary-sector </w:t>
      </w:r>
      <w:r w:rsidR="0075133F">
        <w:t>linkages and lower labor income intensity</w:t>
      </w:r>
      <w:r w:rsidR="00226936">
        <w:t>. Similarly, t</w:t>
      </w:r>
      <w:r w:rsidR="00874A05">
        <w:t>he lower L-M in MT</w:t>
      </w:r>
      <w:r w:rsidR="00C65842">
        <w:t xml:space="preserve"> </w:t>
      </w:r>
      <w:r w:rsidR="00226936">
        <w:t>points to a more limited</w:t>
      </w:r>
      <w:r w:rsidR="00C65842">
        <w:t xml:space="preserve"> </w:t>
      </w:r>
      <w:r w:rsidR="006F5A90">
        <w:t xml:space="preserve">capacity </w:t>
      </w:r>
      <w:r w:rsidR="005361AF">
        <w:t>for</w:t>
      </w:r>
      <w:r w:rsidR="006F5A90">
        <w:t xml:space="preserve"> job </w:t>
      </w:r>
      <w:r w:rsidR="005361AF">
        <w:t xml:space="preserve">creation relative to </w:t>
      </w:r>
      <w:r w:rsidR="006F5A90">
        <w:t xml:space="preserve">SP </w:t>
      </w:r>
      <w:r w:rsidR="005361AF">
        <w:t>and the national average</w:t>
      </w:r>
      <w:r w:rsidR="006F5A90">
        <w:t>.</w:t>
      </w:r>
      <w:r w:rsidR="00C65842">
        <w:t xml:space="preserve"> </w:t>
      </w:r>
    </w:p>
    <w:p w14:paraId="7A8274E9" w14:textId="7082E6D9" w:rsidR="003B21D8" w:rsidRDefault="003B21D8" w:rsidP="003B21D8">
      <w:pPr>
        <w:pStyle w:val="CETheadingx"/>
      </w:pPr>
      <w:r>
        <w:t>Efficiency gains through digital transformation in agriculture</w:t>
      </w:r>
    </w:p>
    <w:p w14:paraId="4F9A5355" w14:textId="1981729D" w:rsidR="00BE4E7E" w:rsidRDefault="007C7C6D" w:rsidP="00770819">
      <w:pPr>
        <w:pStyle w:val="CETBodytext"/>
      </w:pPr>
      <w:r>
        <w:t>I</w:t>
      </w:r>
      <w:r w:rsidR="00EC2947">
        <w:t>mprovement</w:t>
      </w:r>
      <w:r w:rsidR="00C646A9">
        <w:t>s</w:t>
      </w:r>
      <w:r w:rsidR="00EC2947">
        <w:t xml:space="preserve"> in technical coefficients</w:t>
      </w:r>
      <w:r w:rsidR="004A54E1">
        <w:t>, reflecting efficiency gains</w:t>
      </w:r>
      <w:r w:rsidR="00DD00BF">
        <w:t>, alter</w:t>
      </w:r>
      <w:r w:rsidR="00EC2947">
        <w:t xml:space="preserve"> </w:t>
      </w:r>
      <w:r w:rsidR="00DD00BF">
        <w:t xml:space="preserve">the structure of intersectoral linkages and, consequently, </w:t>
      </w:r>
      <w:r w:rsidR="00061308">
        <w:t xml:space="preserve">the magnitude of </w:t>
      </w:r>
      <w:r w:rsidR="00EC2947" w:rsidRPr="00F0527C">
        <w:t>multiplier effects</w:t>
      </w:r>
      <w:r w:rsidR="00EC2947">
        <w:t xml:space="preserve"> and </w:t>
      </w:r>
      <w:r w:rsidR="00EC2947" w:rsidRPr="00F0527C">
        <w:t>resource allocation</w:t>
      </w:r>
      <w:r w:rsidR="00375C46">
        <w:t xml:space="preserve"> patterns</w:t>
      </w:r>
      <w:r w:rsidR="00EC2947" w:rsidRPr="00F0527C">
        <w:t>.</w:t>
      </w:r>
      <w:r w:rsidR="00C646A9">
        <w:t xml:space="preserve"> </w:t>
      </w:r>
      <w:r w:rsidR="001A1AFE">
        <w:t xml:space="preserve">These effects are </w:t>
      </w:r>
      <w:r w:rsidR="001A1AFE">
        <w:lastRenderedPageBreak/>
        <w:t>particularly pronounced in agricultur</w:t>
      </w:r>
      <w:r w:rsidR="00375C46">
        <w:t>e</w:t>
      </w:r>
      <w:r w:rsidR="001A1AFE">
        <w:t>, which absorb</w:t>
      </w:r>
      <w:r w:rsidR="00375C46">
        <w:t>s</w:t>
      </w:r>
      <w:r w:rsidR="001A1AFE">
        <w:t xml:space="preserve"> the largest share of the shocks. In the biofuel </w:t>
      </w:r>
      <w:r w:rsidR="00B01F8F">
        <w:t xml:space="preserve">manufacturing </w:t>
      </w:r>
      <w:r w:rsidR="001A1AFE">
        <w:t xml:space="preserve">sector, </w:t>
      </w:r>
      <w:r w:rsidR="004B0AEB">
        <w:t>OM</w:t>
      </w:r>
      <w:r w:rsidR="001A1AFE">
        <w:t xml:space="preserve">, </w:t>
      </w:r>
      <w:r w:rsidR="004B0AEB">
        <w:t>VA-M</w:t>
      </w:r>
      <w:r w:rsidR="001A1AFE">
        <w:t xml:space="preserve">, and </w:t>
      </w:r>
      <w:r w:rsidR="004B0AEB">
        <w:t>W-M</w:t>
      </w:r>
      <w:r w:rsidR="001A1AFE">
        <w:t xml:space="preserve"> decline, on average, by 2.3 %, 3.1 %, and 2.5 %, respectively. </w:t>
      </w:r>
      <w:r w:rsidR="00974C84">
        <w:t xml:space="preserve">Efficiency gains in agriculture </w:t>
      </w:r>
      <w:r w:rsidR="001D0724">
        <w:t xml:space="preserve">reduce the </w:t>
      </w:r>
      <w:r w:rsidR="00647E70">
        <w:t>amount</w:t>
      </w:r>
      <w:r w:rsidR="001D0724">
        <w:t xml:space="preserve"> </w:t>
      </w:r>
      <w:r w:rsidR="006868B5">
        <w:t xml:space="preserve">of intermediate inputs </w:t>
      </w:r>
      <w:r w:rsidR="00974C84" w:rsidRPr="00974C84">
        <w:t>required per unit of output</w:t>
      </w:r>
      <w:r w:rsidR="00790D1E">
        <w:t xml:space="preserve">, </w:t>
      </w:r>
      <w:r w:rsidR="006868B5">
        <w:t xml:space="preserve">weakening backward linkages and leading to a lower </w:t>
      </w:r>
      <w:r w:rsidR="00B469F8">
        <w:t>OM</w:t>
      </w:r>
      <w:r w:rsidR="0001542F">
        <w:t>.</w:t>
      </w:r>
      <w:r w:rsidR="00FB06A8">
        <w:t xml:space="preserve"> At the same time, the reduced </w:t>
      </w:r>
      <w:r w:rsidR="00647E70">
        <w:t>reliance on intermediate consumption</w:t>
      </w:r>
      <w:r w:rsidR="00380967" w:rsidRPr="00380967">
        <w:t xml:space="preserve"> relative to gross output</w:t>
      </w:r>
      <w:r w:rsidR="00A65FA0">
        <w:t xml:space="preserve"> modifies the distribution of </w:t>
      </w:r>
      <w:r w:rsidR="00993B23">
        <w:t>VA</w:t>
      </w:r>
      <w:r w:rsidR="00380967" w:rsidRPr="00380967">
        <w:t xml:space="preserve"> </w:t>
      </w:r>
      <w:r w:rsidR="00141E3F">
        <w:t>across sectors</w:t>
      </w:r>
      <w:r w:rsidR="00196053">
        <w:t>. As a result</w:t>
      </w:r>
      <w:r w:rsidR="00196053" w:rsidRPr="00196053">
        <w:t xml:space="preserve">, less </w:t>
      </w:r>
      <w:r w:rsidR="00993B23">
        <w:t>VA</w:t>
      </w:r>
      <w:r w:rsidR="00196053" w:rsidRPr="00196053">
        <w:t xml:space="preserve"> is </w:t>
      </w:r>
      <w:r w:rsidR="00196053">
        <w:t>generated</w:t>
      </w:r>
      <w:r w:rsidR="00196053" w:rsidRPr="00196053">
        <w:t xml:space="preserve"> per unit of final demand in the biofuel secto</w:t>
      </w:r>
      <w:r w:rsidR="00F27828">
        <w:t xml:space="preserve">r, consistent with </w:t>
      </w:r>
      <w:r w:rsidR="00F27828" w:rsidRPr="00F27828">
        <w:t xml:space="preserve">the larger decline in </w:t>
      </w:r>
      <w:r w:rsidR="00F27828">
        <w:t>VA</w:t>
      </w:r>
      <w:r w:rsidR="00993B23">
        <w:t>-M</w:t>
      </w:r>
      <w:r w:rsidR="00F27828" w:rsidRPr="00F27828">
        <w:t xml:space="preserve"> relative to </w:t>
      </w:r>
      <w:r w:rsidR="007B4523">
        <w:t>OM</w:t>
      </w:r>
      <w:r w:rsidR="00F27828" w:rsidRPr="00F27828">
        <w:t>.</w:t>
      </w:r>
      <w:r w:rsidR="00F75572">
        <w:t xml:space="preserve"> T</w:t>
      </w:r>
      <w:r w:rsidR="00F75572" w:rsidRPr="00F75572">
        <w:t xml:space="preserve">he </w:t>
      </w:r>
      <w:r w:rsidR="007A5AEE">
        <w:t>reduction</w:t>
      </w:r>
      <w:r w:rsidR="00F75572" w:rsidRPr="00F75572">
        <w:t xml:space="preserve"> in </w:t>
      </w:r>
      <w:r w:rsidR="00F75572">
        <w:t xml:space="preserve">the </w:t>
      </w:r>
      <w:r w:rsidR="00CD5996">
        <w:t>W-M</w:t>
      </w:r>
      <w:r w:rsidR="00F75572" w:rsidRPr="00F75572">
        <w:t xml:space="preserve"> is consistent with labor-saving technological change.</w:t>
      </w:r>
      <w:r w:rsidR="00BE4E7E">
        <w:t xml:space="preserve"> </w:t>
      </w:r>
      <w:r w:rsidR="001A1AFE">
        <w:t xml:space="preserve">In contrast, the </w:t>
      </w:r>
      <w:r w:rsidR="00CD5996">
        <w:t>L-M</w:t>
      </w:r>
      <w:r w:rsidR="001A1AFE">
        <w:t xml:space="preserve"> increases from an average of 5.7 to 9.9.</w:t>
      </w:r>
      <w:r w:rsidR="000C4A0A">
        <w:t xml:space="preserve"> </w:t>
      </w:r>
      <w:r w:rsidR="00B628FC" w:rsidRPr="00B628FC">
        <w:t>This reflects a compositional adjustment in the production structure: as output and income effects weaken, the distribution of economic activity shifts toward relatively more labor-intensive sectors, increasing employment per unit of output. This pattern is consistent with a reconfiguration of intersectoral linkages within the I</w:t>
      </w:r>
      <w:r w:rsidR="00AC7650">
        <w:t>-</w:t>
      </w:r>
      <w:r w:rsidR="00B628FC" w:rsidRPr="00B628FC">
        <w:t>O structure. These results point to structural reallocation mechanisms, whereby efficiency gains in one sector release resources that are subsequently absorbed in other parts of the economy, potentially supporting economic expansion under higher overall efficiency in intermediate input use.</w:t>
      </w:r>
    </w:p>
    <w:p w14:paraId="1562C6EA" w14:textId="145C597C" w:rsidR="005A172A" w:rsidRDefault="005A172A" w:rsidP="00770819">
      <w:pPr>
        <w:pStyle w:val="CETBodytext"/>
      </w:pPr>
      <w:r>
        <w:t xml:space="preserve">Regarding the digital transformation shock in agriculture, the mid-point of the sensitivity analysis – a combined 15 % column shock and 5 % row shock (e.g. a 3:1 ratio) – leads to an increase in aggregate intermediate consumption of 1.43 % (approximately USD 21.3 billion) (Table 2). At the same shock range (0 to 10 %), </w:t>
      </w:r>
      <w:r w:rsidRPr="003E6C3D">
        <w:t>efficiency gains along value chains (row shocks</w:t>
      </w:r>
      <w:r>
        <w:t xml:space="preserve">; </w:t>
      </w:r>
      <w:r w:rsidRPr="003E6C3D">
        <w:t>0.79 p</w:t>
      </w:r>
      <w:r>
        <w:t>.p.</w:t>
      </w:r>
      <w:r w:rsidRPr="003E6C3D">
        <w:t xml:space="preserve">) </w:t>
      </w:r>
      <w:r>
        <w:t xml:space="preserve">are almost 20% higher </w:t>
      </w:r>
      <w:r w:rsidRPr="003E6C3D">
        <w:t>than operational improvements (column shocks</w:t>
      </w:r>
      <w:r>
        <w:t>;</w:t>
      </w:r>
      <w:r w:rsidRPr="003E6C3D">
        <w:t xml:space="preserve"> 0.67 p</w:t>
      </w:r>
      <w:r>
        <w:t>.p.</w:t>
      </w:r>
      <w:r w:rsidRPr="003E6C3D">
        <w:t>), indicating the importance of downstream and upstream linkages.</w:t>
      </w:r>
      <w:r>
        <w:t xml:space="preserve"> </w:t>
      </w:r>
      <w:r w:rsidRPr="007A78C4">
        <w:t>Given that operational efficiency gains in agriculture may reach up to 30</w:t>
      </w:r>
      <w:r>
        <w:t xml:space="preserve"> </w:t>
      </w:r>
      <w:r w:rsidRPr="007A78C4">
        <w:t>% in practice, the upper-bound scenario</w:t>
      </w:r>
      <w:r>
        <w:t xml:space="preserve"> – </w:t>
      </w:r>
      <w:r w:rsidRPr="007A78C4">
        <w:t>a 30</w:t>
      </w:r>
      <w:r w:rsidR="00EB0FCD">
        <w:t xml:space="preserve"> </w:t>
      </w:r>
      <w:r w:rsidRPr="007A78C4">
        <w:t>% column shock combined with a 10</w:t>
      </w:r>
      <w:r w:rsidR="00EB0FCD">
        <w:t xml:space="preserve"> </w:t>
      </w:r>
      <w:r w:rsidRPr="007A78C4">
        <w:t>% row shock</w:t>
      </w:r>
      <w:r>
        <w:t xml:space="preserve"> – </w:t>
      </w:r>
      <w:r w:rsidRPr="007A78C4">
        <w:t>results in an increase of 3.4</w:t>
      </w:r>
      <w:r w:rsidR="00EB0FCD">
        <w:t xml:space="preserve"> </w:t>
      </w:r>
      <w:r w:rsidRPr="007A78C4">
        <w:t>% in aggregate intermediate consumption (approximately USD 50.5 billion)</w:t>
      </w:r>
      <w:r>
        <w:t xml:space="preserve"> (Table 2)</w:t>
      </w:r>
      <w:r w:rsidRPr="007A78C4">
        <w:t>. Most of these gains are concentrated in the agricultural sector, which absorbs around 80</w:t>
      </w:r>
      <w:r w:rsidR="00EB0FCD">
        <w:t xml:space="preserve"> </w:t>
      </w:r>
      <w:r w:rsidRPr="007A78C4">
        <w:t>% of the total impact. The biofuel manufacturing sector captures approximately USD 208 million, representing 1</w:t>
      </w:r>
      <w:r>
        <w:t xml:space="preserve"> </w:t>
      </w:r>
      <w:r w:rsidRPr="007A78C4">
        <w:t>% of total economy-wide impacts and 5.2</w:t>
      </w:r>
      <w:r w:rsidR="00EB0FCD">
        <w:t xml:space="preserve"> </w:t>
      </w:r>
      <w:r w:rsidRPr="007A78C4">
        <w:t xml:space="preserve">% of </w:t>
      </w:r>
      <w:r>
        <w:t xml:space="preserve">the total impact of </w:t>
      </w:r>
      <w:r w:rsidRPr="007A78C4">
        <w:t>manufacturing</w:t>
      </w:r>
      <w:r>
        <w:t xml:space="preserve"> </w:t>
      </w:r>
      <w:r w:rsidRPr="007A78C4">
        <w:t>sectors.</w:t>
      </w:r>
      <w:r>
        <w:t xml:space="preserve"> </w:t>
      </w:r>
      <w:r w:rsidRPr="002B5E24">
        <w:t>When efficiency gains are more balanced across production stages (i.e., a symmetric 1:1 ratio between column and row shocks), impacts become more evenly distributed across sectors. In this case, agriculture accounts for 57</w:t>
      </w:r>
      <w:r w:rsidR="00EB0FCD">
        <w:t xml:space="preserve"> </w:t>
      </w:r>
      <w:r w:rsidRPr="002B5E24">
        <w:t>% of total effects, manufacturing for 40</w:t>
      </w:r>
      <w:r w:rsidR="00EB0FCD">
        <w:t xml:space="preserve"> </w:t>
      </w:r>
      <w:r w:rsidRPr="002B5E24">
        <w:t>%, and services for 3</w:t>
      </w:r>
      <w:r w:rsidR="00EB0FCD">
        <w:t xml:space="preserve"> </w:t>
      </w:r>
      <w:r w:rsidRPr="002B5E24">
        <w:t>%.</w:t>
      </w:r>
      <w:r>
        <w:t xml:space="preserve"> </w:t>
      </w:r>
      <w:r w:rsidRPr="00BC728E">
        <w:t>These results suggest that more balanced efficiency improvements enhance the diffusion of gains across the economy. They also indicate that the biofuel manufacturing sector benefits from digital transformation in agriculture, particularly when efficiency gains are coordinated along the value chain.</w:t>
      </w:r>
    </w:p>
    <w:p w14:paraId="153953E5" w14:textId="5E4FBDBC" w:rsidR="00BC77C5" w:rsidRDefault="00E06830" w:rsidP="00692C12">
      <w:pPr>
        <w:pStyle w:val="CETTabletitle"/>
      </w:pPr>
      <w:r w:rsidRPr="00B57B36">
        <w:t>Tabl</w:t>
      </w:r>
      <w:r>
        <w:t>e</w:t>
      </w:r>
      <w:r w:rsidRPr="00B57B36">
        <w:t xml:space="preserve"> </w:t>
      </w:r>
      <w:r>
        <w:t>2</w:t>
      </w:r>
      <w:r w:rsidRPr="00B57B36">
        <w:t xml:space="preserve">: </w:t>
      </w:r>
      <w:r w:rsidR="006E544C">
        <w:t>Projected economic impacts of digital transformation in the</w:t>
      </w:r>
      <w:r>
        <w:t xml:space="preserve"> </w:t>
      </w:r>
      <w:r w:rsidR="001B0883">
        <w:t>Brazilian economy</w:t>
      </w:r>
      <w:r w:rsidR="006E544C">
        <w:t xml:space="preserve"> (US</w:t>
      </w:r>
      <w:r w:rsidR="00D74076">
        <w:t>D</w:t>
      </w:r>
      <w:r w:rsidR="006E544C">
        <w:t xml:space="preserve"> </w:t>
      </w:r>
      <w:r w:rsidR="008124F5">
        <w:t>m</w:t>
      </w:r>
      <w:r w:rsidR="006E544C">
        <w:t>illion)</w:t>
      </w:r>
    </w:p>
    <w:tbl>
      <w:tblPr>
        <w:tblW w:w="8787" w:type="dxa"/>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062"/>
        <w:gridCol w:w="1063"/>
        <w:gridCol w:w="870"/>
        <w:gridCol w:w="1448"/>
        <w:gridCol w:w="1448"/>
        <w:gridCol w:w="1448"/>
        <w:gridCol w:w="1448"/>
      </w:tblGrid>
      <w:tr w:rsidR="00F67518" w:rsidRPr="001116A0" w14:paraId="201A2913" w14:textId="4EB82350" w:rsidTr="00692C12">
        <w:trPr>
          <w:jc w:val="center"/>
        </w:trPr>
        <w:tc>
          <w:tcPr>
            <w:tcW w:w="1062" w:type="dxa"/>
            <w:tcBorders>
              <w:top w:val="single" w:sz="12" w:space="0" w:color="008000"/>
              <w:bottom w:val="nil"/>
            </w:tcBorders>
            <w:shd w:val="clear" w:color="auto" w:fill="FFFFFF"/>
            <w:vAlign w:val="center"/>
          </w:tcPr>
          <w:p w14:paraId="3F7439EF" w14:textId="1330062B" w:rsidR="00F67518" w:rsidRPr="001116A0" w:rsidRDefault="00F67518" w:rsidP="00A31BCE">
            <w:pPr>
              <w:pStyle w:val="CETBodytext"/>
              <w:jc w:val="center"/>
              <w:rPr>
                <w:rFonts w:cs="Arial"/>
                <w:szCs w:val="18"/>
                <w:lang w:val="en-GB"/>
              </w:rPr>
            </w:pPr>
          </w:p>
        </w:tc>
        <w:tc>
          <w:tcPr>
            <w:tcW w:w="1063" w:type="dxa"/>
            <w:tcBorders>
              <w:top w:val="single" w:sz="12" w:space="0" w:color="008000"/>
              <w:bottom w:val="nil"/>
            </w:tcBorders>
            <w:shd w:val="clear" w:color="auto" w:fill="FFFFFF"/>
            <w:vAlign w:val="center"/>
          </w:tcPr>
          <w:p w14:paraId="68DF5386" w14:textId="389800BD" w:rsidR="00F67518" w:rsidRPr="001116A0" w:rsidRDefault="00F67518" w:rsidP="00E63CB8">
            <w:pPr>
              <w:pStyle w:val="CETBodytext"/>
              <w:jc w:val="center"/>
              <w:rPr>
                <w:rFonts w:cs="Arial"/>
                <w:szCs w:val="18"/>
                <w:lang w:val="en-GB"/>
              </w:rPr>
            </w:pPr>
          </w:p>
        </w:tc>
        <w:tc>
          <w:tcPr>
            <w:tcW w:w="6662" w:type="dxa"/>
            <w:gridSpan w:val="5"/>
            <w:tcBorders>
              <w:top w:val="single" w:sz="12" w:space="0" w:color="008000"/>
              <w:bottom w:val="nil"/>
            </w:tcBorders>
            <w:shd w:val="clear" w:color="auto" w:fill="FFFFFF"/>
            <w:vAlign w:val="center"/>
          </w:tcPr>
          <w:p w14:paraId="092F8237" w14:textId="67919E0A" w:rsidR="00B8561F" w:rsidRPr="001116A0" w:rsidRDefault="00F67518" w:rsidP="009A44B9">
            <w:pPr>
              <w:pStyle w:val="CETBodytext"/>
              <w:ind w:right="-1"/>
              <w:jc w:val="center"/>
              <w:rPr>
                <w:rFonts w:cs="Arial"/>
                <w:szCs w:val="18"/>
                <w:lang w:val="en-GB"/>
              </w:rPr>
            </w:pPr>
            <w:r>
              <w:rPr>
                <w:rFonts w:cs="Arial"/>
                <w:szCs w:val="18"/>
                <w:lang w:val="en-GB"/>
              </w:rPr>
              <w:t>Row shock</w:t>
            </w:r>
            <w:r w:rsidR="008304E6">
              <w:rPr>
                <w:rFonts w:cs="Arial"/>
                <w:szCs w:val="18"/>
                <w:lang w:val="en-GB"/>
              </w:rPr>
              <w:t xml:space="preserve">, %: </w:t>
            </w:r>
            <w:r>
              <w:rPr>
                <w:rFonts w:cs="Arial"/>
                <w:szCs w:val="18"/>
                <w:lang w:val="en-GB"/>
              </w:rPr>
              <w:t>efficiency gains along the value chain</w:t>
            </w:r>
          </w:p>
        </w:tc>
      </w:tr>
      <w:tr w:rsidR="001D03BC" w:rsidRPr="001116A0" w14:paraId="41CA1A05" w14:textId="71DB998D" w:rsidTr="00692C12">
        <w:trPr>
          <w:jc w:val="center"/>
        </w:trPr>
        <w:tc>
          <w:tcPr>
            <w:tcW w:w="1062" w:type="dxa"/>
            <w:tcBorders>
              <w:top w:val="nil"/>
              <w:bottom w:val="single" w:sz="6" w:space="0" w:color="76923C" w:themeColor="accent3" w:themeShade="BF"/>
            </w:tcBorders>
            <w:shd w:val="clear" w:color="auto" w:fill="FFFFFF"/>
            <w:vAlign w:val="center"/>
          </w:tcPr>
          <w:p w14:paraId="26A684B7" w14:textId="21381646" w:rsidR="001D03BC" w:rsidRPr="001116A0" w:rsidRDefault="001D03BC" w:rsidP="00A31BCE">
            <w:pPr>
              <w:pStyle w:val="CETBodytext"/>
              <w:rPr>
                <w:rFonts w:cs="Arial"/>
                <w:szCs w:val="18"/>
                <w:lang w:val="en-GB"/>
              </w:rPr>
            </w:pPr>
          </w:p>
        </w:tc>
        <w:tc>
          <w:tcPr>
            <w:tcW w:w="1063" w:type="dxa"/>
            <w:tcBorders>
              <w:top w:val="nil"/>
              <w:bottom w:val="single" w:sz="6" w:space="0" w:color="76923C" w:themeColor="accent3" w:themeShade="BF"/>
            </w:tcBorders>
            <w:shd w:val="clear" w:color="auto" w:fill="FFFFFF"/>
            <w:vAlign w:val="center"/>
          </w:tcPr>
          <w:p w14:paraId="5D3E14EE" w14:textId="09399EE7" w:rsidR="001D03BC" w:rsidRPr="001116A0" w:rsidRDefault="001D03BC" w:rsidP="00E63CB8">
            <w:pPr>
              <w:pStyle w:val="CETBodytext"/>
              <w:jc w:val="center"/>
              <w:rPr>
                <w:rFonts w:cs="Arial"/>
                <w:szCs w:val="18"/>
                <w:lang w:val="en-GB"/>
              </w:rPr>
            </w:pPr>
          </w:p>
        </w:tc>
        <w:tc>
          <w:tcPr>
            <w:tcW w:w="870" w:type="dxa"/>
            <w:tcBorders>
              <w:top w:val="nil"/>
              <w:bottom w:val="single" w:sz="6" w:space="0" w:color="76923C" w:themeColor="accent3" w:themeShade="BF"/>
            </w:tcBorders>
            <w:shd w:val="clear" w:color="auto" w:fill="FFFFFF"/>
            <w:vAlign w:val="center"/>
          </w:tcPr>
          <w:p w14:paraId="31B5CDFF" w14:textId="674CF8F4" w:rsidR="001D03BC" w:rsidRPr="001116A0" w:rsidRDefault="00EE516F" w:rsidP="00E63CB8">
            <w:pPr>
              <w:pStyle w:val="CETBodytext"/>
              <w:jc w:val="center"/>
              <w:rPr>
                <w:rFonts w:cs="Arial"/>
                <w:szCs w:val="18"/>
                <w:lang w:val="en-GB"/>
              </w:rPr>
            </w:pPr>
            <w:r>
              <w:rPr>
                <w:rFonts w:cs="Arial"/>
                <w:szCs w:val="18"/>
                <w:lang w:val="en-GB"/>
              </w:rPr>
              <w:t>0</w:t>
            </w:r>
          </w:p>
        </w:tc>
        <w:tc>
          <w:tcPr>
            <w:tcW w:w="1448" w:type="dxa"/>
            <w:tcBorders>
              <w:top w:val="nil"/>
              <w:bottom w:val="single" w:sz="6" w:space="0" w:color="76923C" w:themeColor="accent3" w:themeShade="BF"/>
            </w:tcBorders>
            <w:shd w:val="clear" w:color="auto" w:fill="FFFFFF"/>
            <w:vAlign w:val="center"/>
          </w:tcPr>
          <w:p w14:paraId="26AC79D1" w14:textId="72423A5E" w:rsidR="001D03BC" w:rsidRPr="001116A0" w:rsidRDefault="00EE516F" w:rsidP="00E63CB8">
            <w:pPr>
              <w:pStyle w:val="CETBodytext"/>
              <w:ind w:right="-1"/>
              <w:jc w:val="center"/>
              <w:rPr>
                <w:rFonts w:cs="Arial"/>
                <w:szCs w:val="18"/>
                <w:lang w:val="en-GB"/>
              </w:rPr>
            </w:pPr>
            <w:r>
              <w:rPr>
                <w:rFonts w:cs="Arial"/>
                <w:szCs w:val="18"/>
                <w:lang w:val="en-GB"/>
              </w:rPr>
              <w:t>2.5</w:t>
            </w:r>
          </w:p>
        </w:tc>
        <w:tc>
          <w:tcPr>
            <w:tcW w:w="1448" w:type="dxa"/>
            <w:tcBorders>
              <w:top w:val="nil"/>
              <w:bottom w:val="single" w:sz="6" w:space="0" w:color="76923C" w:themeColor="accent3" w:themeShade="BF"/>
            </w:tcBorders>
            <w:shd w:val="clear" w:color="auto" w:fill="FFFFFF"/>
          </w:tcPr>
          <w:p w14:paraId="691CD29A" w14:textId="66FD8873" w:rsidR="001D03BC" w:rsidRPr="001116A0" w:rsidRDefault="00EE516F" w:rsidP="00E63CB8">
            <w:pPr>
              <w:pStyle w:val="CETBodytext"/>
              <w:ind w:right="-1"/>
              <w:jc w:val="center"/>
              <w:rPr>
                <w:rFonts w:cs="Arial"/>
                <w:szCs w:val="18"/>
                <w:lang w:val="en-GB"/>
              </w:rPr>
            </w:pPr>
            <w:r>
              <w:rPr>
                <w:rFonts w:cs="Arial"/>
                <w:szCs w:val="18"/>
                <w:lang w:val="en-GB"/>
              </w:rPr>
              <w:t>5</w:t>
            </w:r>
            <w:r w:rsidR="008E3904">
              <w:rPr>
                <w:rFonts w:cs="Arial"/>
                <w:szCs w:val="18"/>
                <w:lang w:val="en-GB"/>
              </w:rPr>
              <w:t>.0</w:t>
            </w:r>
          </w:p>
        </w:tc>
        <w:tc>
          <w:tcPr>
            <w:tcW w:w="1448" w:type="dxa"/>
            <w:tcBorders>
              <w:top w:val="nil"/>
              <w:bottom w:val="single" w:sz="6" w:space="0" w:color="76923C" w:themeColor="accent3" w:themeShade="BF"/>
            </w:tcBorders>
            <w:shd w:val="clear" w:color="auto" w:fill="FFFFFF"/>
          </w:tcPr>
          <w:p w14:paraId="31D6B217" w14:textId="1E56CEFA" w:rsidR="001D03BC" w:rsidRPr="001116A0" w:rsidRDefault="00EE516F" w:rsidP="00E63CB8">
            <w:pPr>
              <w:pStyle w:val="CETBodytext"/>
              <w:ind w:right="-1"/>
              <w:jc w:val="center"/>
              <w:rPr>
                <w:rFonts w:cs="Arial"/>
                <w:szCs w:val="18"/>
                <w:lang w:val="en-GB"/>
              </w:rPr>
            </w:pPr>
            <w:r>
              <w:rPr>
                <w:rFonts w:cs="Arial"/>
                <w:szCs w:val="18"/>
                <w:lang w:val="en-GB"/>
              </w:rPr>
              <w:t>7.5</w:t>
            </w:r>
          </w:p>
        </w:tc>
        <w:tc>
          <w:tcPr>
            <w:tcW w:w="1448" w:type="dxa"/>
            <w:tcBorders>
              <w:top w:val="nil"/>
              <w:bottom w:val="single" w:sz="6" w:space="0" w:color="76923C" w:themeColor="accent3" w:themeShade="BF"/>
            </w:tcBorders>
            <w:shd w:val="clear" w:color="auto" w:fill="FFFFFF"/>
          </w:tcPr>
          <w:p w14:paraId="109EBB99" w14:textId="21AF08A4" w:rsidR="001D03BC" w:rsidRPr="001116A0" w:rsidRDefault="00EE516F" w:rsidP="00E63CB8">
            <w:pPr>
              <w:pStyle w:val="CETBodytext"/>
              <w:ind w:right="-1"/>
              <w:jc w:val="center"/>
              <w:rPr>
                <w:rFonts w:cs="Arial"/>
                <w:szCs w:val="18"/>
                <w:lang w:val="en-GB"/>
              </w:rPr>
            </w:pPr>
            <w:r>
              <w:rPr>
                <w:rFonts w:cs="Arial"/>
                <w:szCs w:val="18"/>
                <w:lang w:val="en-GB"/>
              </w:rPr>
              <w:t>10</w:t>
            </w:r>
          </w:p>
        </w:tc>
      </w:tr>
      <w:tr w:rsidR="008124F5" w:rsidRPr="00BA43BA" w14:paraId="4C888117" w14:textId="033491B9" w:rsidTr="00692C12">
        <w:trPr>
          <w:jc w:val="center"/>
        </w:trPr>
        <w:tc>
          <w:tcPr>
            <w:tcW w:w="1062" w:type="dxa"/>
            <w:vMerge w:val="restart"/>
            <w:tcBorders>
              <w:top w:val="single" w:sz="6" w:space="0" w:color="76923C" w:themeColor="accent3" w:themeShade="BF"/>
            </w:tcBorders>
            <w:shd w:val="clear" w:color="auto" w:fill="FFFFFF"/>
            <w:vAlign w:val="center"/>
          </w:tcPr>
          <w:p w14:paraId="01551C85" w14:textId="0627E57E" w:rsidR="008124F5" w:rsidRPr="001116A0" w:rsidRDefault="008304E6" w:rsidP="00692C12">
            <w:pPr>
              <w:pStyle w:val="CETBodytext"/>
              <w:jc w:val="left"/>
              <w:rPr>
                <w:rFonts w:cs="Arial"/>
                <w:szCs w:val="18"/>
                <w:lang w:val="en-GB"/>
              </w:rPr>
            </w:pPr>
            <w:r>
              <w:rPr>
                <w:rFonts w:cs="Arial"/>
                <w:szCs w:val="18"/>
                <w:lang w:val="en-GB"/>
              </w:rPr>
              <w:t xml:space="preserve">Column shock, %: </w:t>
            </w:r>
            <w:r w:rsidR="008124F5">
              <w:rPr>
                <w:rFonts w:cs="Arial"/>
                <w:szCs w:val="18"/>
                <w:lang w:val="en-GB"/>
              </w:rPr>
              <w:t xml:space="preserve">efficiency gains in input use and operational efficiency </w:t>
            </w:r>
          </w:p>
        </w:tc>
        <w:tc>
          <w:tcPr>
            <w:tcW w:w="1063" w:type="dxa"/>
            <w:tcBorders>
              <w:top w:val="single" w:sz="6" w:space="0" w:color="76923C" w:themeColor="accent3" w:themeShade="BF"/>
              <w:bottom w:val="nil"/>
            </w:tcBorders>
            <w:shd w:val="clear" w:color="auto" w:fill="FFFFFF"/>
            <w:vAlign w:val="center"/>
          </w:tcPr>
          <w:p w14:paraId="3933C09B" w14:textId="2D6FDFDD" w:rsidR="008124F5" w:rsidRPr="001116A0" w:rsidRDefault="008124F5" w:rsidP="00BA43BA">
            <w:pPr>
              <w:pStyle w:val="CETBodytext"/>
              <w:jc w:val="center"/>
              <w:rPr>
                <w:rFonts w:cs="Arial"/>
                <w:szCs w:val="18"/>
                <w:lang w:val="en-GB"/>
              </w:rPr>
            </w:pPr>
            <w:r>
              <w:rPr>
                <w:rFonts w:cs="Arial"/>
                <w:szCs w:val="18"/>
                <w:lang w:val="en-GB"/>
              </w:rPr>
              <w:t>0</w:t>
            </w:r>
          </w:p>
        </w:tc>
        <w:tc>
          <w:tcPr>
            <w:tcW w:w="870" w:type="dxa"/>
            <w:tcBorders>
              <w:top w:val="single" w:sz="6" w:space="0" w:color="76923C" w:themeColor="accent3" w:themeShade="BF"/>
              <w:bottom w:val="nil"/>
            </w:tcBorders>
            <w:shd w:val="clear" w:color="auto" w:fill="FFFFFF"/>
          </w:tcPr>
          <w:p w14:paraId="1170CD2F" w14:textId="1D1A9A12" w:rsidR="008124F5" w:rsidRPr="001116A0" w:rsidRDefault="008124F5" w:rsidP="00BA43BA">
            <w:pPr>
              <w:pStyle w:val="CETBodytext"/>
              <w:jc w:val="center"/>
              <w:rPr>
                <w:rFonts w:cs="Arial"/>
                <w:szCs w:val="18"/>
                <w:lang w:val="en-GB"/>
              </w:rPr>
            </w:pPr>
            <w:r w:rsidRPr="00D10ABA">
              <w:t>0</w:t>
            </w:r>
            <w:r w:rsidR="00417ED5">
              <w:t>.</w:t>
            </w:r>
            <w:r w:rsidRPr="00D10ABA">
              <w:t>00</w:t>
            </w:r>
          </w:p>
        </w:tc>
        <w:tc>
          <w:tcPr>
            <w:tcW w:w="1448" w:type="dxa"/>
            <w:tcBorders>
              <w:top w:val="single" w:sz="6" w:space="0" w:color="76923C" w:themeColor="accent3" w:themeShade="BF"/>
              <w:bottom w:val="nil"/>
            </w:tcBorders>
            <w:shd w:val="clear" w:color="auto" w:fill="FFFFFF"/>
          </w:tcPr>
          <w:p w14:paraId="2F7C3EF8" w14:textId="36E8B99B" w:rsidR="008124F5" w:rsidRPr="001116A0" w:rsidRDefault="008124F5" w:rsidP="00692C12">
            <w:pPr>
              <w:pStyle w:val="CETBodytext"/>
              <w:jc w:val="center"/>
              <w:rPr>
                <w:rFonts w:cs="Arial"/>
                <w:szCs w:val="18"/>
                <w:lang w:val="en-GB"/>
              </w:rPr>
            </w:pPr>
            <w:r w:rsidRPr="00D10ABA">
              <w:t>2</w:t>
            </w:r>
            <w:r w:rsidR="00417ED5">
              <w:t>.</w:t>
            </w:r>
            <w:r w:rsidRPr="00D10ABA">
              <w:t>53</w:t>
            </w:r>
          </w:p>
        </w:tc>
        <w:tc>
          <w:tcPr>
            <w:tcW w:w="1448" w:type="dxa"/>
            <w:tcBorders>
              <w:top w:val="single" w:sz="6" w:space="0" w:color="76923C" w:themeColor="accent3" w:themeShade="BF"/>
              <w:bottom w:val="nil"/>
            </w:tcBorders>
            <w:shd w:val="clear" w:color="auto" w:fill="FFFFFF"/>
          </w:tcPr>
          <w:p w14:paraId="40A08649" w14:textId="4869BDC9" w:rsidR="008124F5" w:rsidRPr="001116A0" w:rsidRDefault="008124F5" w:rsidP="00692C12">
            <w:pPr>
              <w:pStyle w:val="CETBodytext"/>
              <w:jc w:val="center"/>
              <w:rPr>
                <w:rFonts w:cs="Arial"/>
                <w:szCs w:val="18"/>
                <w:lang w:val="en-GB"/>
              </w:rPr>
            </w:pPr>
            <w:r w:rsidRPr="00D10ABA">
              <w:t>5</w:t>
            </w:r>
            <w:r w:rsidR="001B0883">
              <w:t>.</w:t>
            </w:r>
            <w:r w:rsidRPr="00D10ABA">
              <w:t>19</w:t>
            </w:r>
          </w:p>
        </w:tc>
        <w:tc>
          <w:tcPr>
            <w:tcW w:w="1448" w:type="dxa"/>
            <w:tcBorders>
              <w:top w:val="single" w:sz="6" w:space="0" w:color="76923C" w:themeColor="accent3" w:themeShade="BF"/>
              <w:bottom w:val="nil"/>
            </w:tcBorders>
            <w:shd w:val="clear" w:color="auto" w:fill="FFFFFF"/>
          </w:tcPr>
          <w:p w14:paraId="296E650C" w14:textId="60DEA308" w:rsidR="008124F5" w:rsidRPr="001116A0" w:rsidRDefault="008124F5" w:rsidP="00692C12">
            <w:pPr>
              <w:pStyle w:val="CETBodytext"/>
              <w:jc w:val="center"/>
              <w:rPr>
                <w:rFonts w:cs="Arial"/>
                <w:szCs w:val="18"/>
                <w:lang w:val="en-GB"/>
              </w:rPr>
            </w:pPr>
            <w:r w:rsidRPr="00D10ABA">
              <w:t>7</w:t>
            </w:r>
            <w:r w:rsidR="001B0883">
              <w:t>.</w:t>
            </w:r>
            <w:r w:rsidRPr="00D10ABA">
              <w:t>99</w:t>
            </w:r>
          </w:p>
        </w:tc>
        <w:tc>
          <w:tcPr>
            <w:tcW w:w="1448" w:type="dxa"/>
            <w:tcBorders>
              <w:top w:val="single" w:sz="6" w:space="0" w:color="76923C" w:themeColor="accent3" w:themeShade="BF"/>
              <w:bottom w:val="nil"/>
            </w:tcBorders>
            <w:shd w:val="clear" w:color="auto" w:fill="FFFFFF"/>
          </w:tcPr>
          <w:p w14:paraId="12C72526" w14:textId="0D6B41F5" w:rsidR="008124F5" w:rsidRPr="001116A0" w:rsidRDefault="008124F5" w:rsidP="00692C12">
            <w:pPr>
              <w:pStyle w:val="CETBodytext"/>
              <w:jc w:val="center"/>
              <w:rPr>
                <w:rFonts w:cs="Arial"/>
                <w:szCs w:val="18"/>
                <w:lang w:val="en-GB"/>
              </w:rPr>
            </w:pPr>
            <w:r w:rsidRPr="00D10ABA">
              <w:t>10</w:t>
            </w:r>
            <w:r w:rsidR="001B0883">
              <w:t>.</w:t>
            </w:r>
            <w:r w:rsidRPr="00D10ABA">
              <w:t>95</w:t>
            </w:r>
          </w:p>
        </w:tc>
      </w:tr>
      <w:tr w:rsidR="008124F5" w:rsidRPr="001116A0" w14:paraId="0D64140D" w14:textId="1B6CDB6A" w:rsidTr="00692C12">
        <w:trPr>
          <w:jc w:val="center"/>
        </w:trPr>
        <w:tc>
          <w:tcPr>
            <w:tcW w:w="1062" w:type="dxa"/>
            <w:vMerge/>
            <w:shd w:val="clear" w:color="auto" w:fill="FFFFFF"/>
            <w:vAlign w:val="center"/>
          </w:tcPr>
          <w:p w14:paraId="2BCD36C2" w14:textId="0718406B" w:rsidR="008124F5" w:rsidRPr="001116A0" w:rsidRDefault="008124F5" w:rsidP="008124F5">
            <w:pPr>
              <w:pStyle w:val="CETBodytext"/>
              <w:rPr>
                <w:rFonts w:cs="Arial"/>
                <w:szCs w:val="18"/>
                <w:lang w:val="en-GB"/>
              </w:rPr>
            </w:pPr>
          </w:p>
        </w:tc>
        <w:tc>
          <w:tcPr>
            <w:tcW w:w="1063" w:type="dxa"/>
            <w:tcBorders>
              <w:top w:val="nil"/>
              <w:bottom w:val="nil"/>
            </w:tcBorders>
            <w:shd w:val="clear" w:color="auto" w:fill="FFFFFF"/>
            <w:vAlign w:val="center"/>
          </w:tcPr>
          <w:p w14:paraId="7ABA7D6D" w14:textId="67D19A6A" w:rsidR="008124F5" w:rsidRPr="001116A0" w:rsidRDefault="008124F5" w:rsidP="00BA43BA">
            <w:pPr>
              <w:pStyle w:val="CETBodytext"/>
              <w:jc w:val="center"/>
              <w:rPr>
                <w:rFonts w:cs="Arial"/>
                <w:szCs w:val="18"/>
                <w:lang w:val="en-GB"/>
              </w:rPr>
            </w:pPr>
            <w:r>
              <w:rPr>
                <w:rFonts w:cs="Arial"/>
                <w:szCs w:val="18"/>
                <w:lang w:val="en-GB"/>
              </w:rPr>
              <w:t>5</w:t>
            </w:r>
          </w:p>
        </w:tc>
        <w:tc>
          <w:tcPr>
            <w:tcW w:w="870" w:type="dxa"/>
            <w:tcBorders>
              <w:top w:val="nil"/>
              <w:bottom w:val="nil"/>
            </w:tcBorders>
            <w:shd w:val="clear" w:color="auto" w:fill="FFFFFF"/>
          </w:tcPr>
          <w:p w14:paraId="5F6AAD57" w14:textId="445B5F57" w:rsidR="008124F5" w:rsidRPr="001116A0" w:rsidRDefault="008124F5" w:rsidP="008124F5">
            <w:pPr>
              <w:pStyle w:val="CETBodytext"/>
              <w:jc w:val="center"/>
              <w:rPr>
                <w:rFonts w:cs="Arial"/>
                <w:szCs w:val="18"/>
                <w:lang w:val="en-GB"/>
              </w:rPr>
            </w:pPr>
            <w:r w:rsidRPr="00D93223">
              <w:t>4</w:t>
            </w:r>
            <w:r w:rsidR="00417ED5">
              <w:t>.</w:t>
            </w:r>
            <w:r w:rsidRPr="00D93223">
              <w:t>75</w:t>
            </w:r>
          </w:p>
        </w:tc>
        <w:tc>
          <w:tcPr>
            <w:tcW w:w="1448" w:type="dxa"/>
            <w:tcBorders>
              <w:top w:val="nil"/>
              <w:bottom w:val="nil"/>
            </w:tcBorders>
            <w:shd w:val="clear" w:color="auto" w:fill="FFFFFF"/>
          </w:tcPr>
          <w:p w14:paraId="1A88CE6E" w14:textId="0B48E3D7" w:rsidR="008124F5" w:rsidRPr="001116A0" w:rsidRDefault="008124F5" w:rsidP="008124F5">
            <w:pPr>
              <w:pStyle w:val="CETBodytext"/>
              <w:ind w:right="-1"/>
              <w:jc w:val="center"/>
              <w:rPr>
                <w:rFonts w:cs="Arial"/>
                <w:szCs w:val="18"/>
                <w:lang w:val="en-GB"/>
              </w:rPr>
            </w:pPr>
            <w:r w:rsidRPr="00D93223">
              <w:t>7</w:t>
            </w:r>
            <w:r w:rsidR="00417ED5">
              <w:t>.</w:t>
            </w:r>
            <w:r w:rsidRPr="00D93223">
              <w:t>30</w:t>
            </w:r>
          </w:p>
        </w:tc>
        <w:tc>
          <w:tcPr>
            <w:tcW w:w="1448" w:type="dxa"/>
            <w:tcBorders>
              <w:top w:val="nil"/>
              <w:bottom w:val="nil"/>
            </w:tcBorders>
            <w:shd w:val="clear" w:color="auto" w:fill="FFFFFF"/>
          </w:tcPr>
          <w:p w14:paraId="2FA0F56F" w14:textId="70FB5329" w:rsidR="008124F5" w:rsidRPr="001116A0" w:rsidRDefault="008124F5" w:rsidP="008124F5">
            <w:pPr>
              <w:pStyle w:val="CETBodytext"/>
              <w:ind w:right="-1"/>
              <w:jc w:val="center"/>
              <w:rPr>
                <w:rFonts w:cs="Arial"/>
                <w:szCs w:val="18"/>
                <w:lang w:val="en-GB"/>
              </w:rPr>
            </w:pPr>
            <w:r w:rsidRPr="00D93223">
              <w:t>9</w:t>
            </w:r>
            <w:r w:rsidR="001B0883">
              <w:t>.</w:t>
            </w:r>
            <w:r w:rsidRPr="00D93223">
              <w:t>99</w:t>
            </w:r>
          </w:p>
        </w:tc>
        <w:tc>
          <w:tcPr>
            <w:tcW w:w="1448" w:type="dxa"/>
            <w:tcBorders>
              <w:top w:val="nil"/>
              <w:bottom w:val="nil"/>
            </w:tcBorders>
            <w:shd w:val="clear" w:color="auto" w:fill="FFFFFF"/>
          </w:tcPr>
          <w:p w14:paraId="2CD579E2" w14:textId="4166350D" w:rsidR="008124F5" w:rsidRPr="001116A0" w:rsidRDefault="008124F5" w:rsidP="008124F5">
            <w:pPr>
              <w:pStyle w:val="CETBodytext"/>
              <w:ind w:right="-1"/>
              <w:jc w:val="center"/>
              <w:rPr>
                <w:rFonts w:cs="Arial"/>
                <w:szCs w:val="18"/>
                <w:lang w:val="en-GB"/>
              </w:rPr>
            </w:pPr>
            <w:r w:rsidRPr="00D93223">
              <w:t>12</w:t>
            </w:r>
            <w:r w:rsidR="001B0883">
              <w:t>.</w:t>
            </w:r>
            <w:r w:rsidRPr="00D93223">
              <w:t>82</w:t>
            </w:r>
          </w:p>
        </w:tc>
        <w:tc>
          <w:tcPr>
            <w:tcW w:w="1448" w:type="dxa"/>
            <w:tcBorders>
              <w:top w:val="nil"/>
              <w:bottom w:val="nil"/>
            </w:tcBorders>
            <w:shd w:val="clear" w:color="auto" w:fill="FFFFFF"/>
          </w:tcPr>
          <w:p w14:paraId="3A2A4355" w14:textId="26573F7E" w:rsidR="008124F5" w:rsidRPr="001116A0" w:rsidRDefault="008124F5" w:rsidP="008124F5">
            <w:pPr>
              <w:pStyle w:val="CETBodytext"/>
              <w:ind w:right="-1"/>
              <w:jc w:val="center"/>
              <w:rPr>
                <w:rFonts w:cs="Arial"/>
                <w:szCs w:val="18"/>
                <w:lang w:val="en-GB"/>
              </w:rPr>
            </w:pPr>
            <w:r w:rsidRPr="00D93223">
              <w:t>15</w:t>
            </w:r>
            <w:r w:rsidR="001B0883">
              <w:t>.</w:t>
            </w:r>
            <w:r w:rsidRPr="00D93223">
              <w:t>80</w:t>
            </w:r>
          </w:p>
        </w:tc>
      </w:tr>
      <w:tr w:rsidR="008124F5" w:rsidRPr="001116A0" w14:paraId="7EFB1464" w14:textId="6953B6A4" w:rsidTr="00692C12">
        <w:trPr>
          <w:jc w:val="center"/>
        </w:trPr>
        <w:tc>
          <w:tcPr>
            <w:tcW w:w="1062" w:type="dxa"/>
            <w:vMerge/>
            <w:shd w:val="clear" w:color="auto" w:fill="FFFFFF"/>
            <w:vAlign w:val="center"/>
          </w:tcPr>
          <w:p w14:paraId="5361F224" w14:textId="043CBD17" w:rsidR="008124F5" w:rsidRPr="001116A0" w:rsidRDefault="008124F5" w:rsidP="008124F5">
            <w:pPr>
              <w:pStyle w:val="CETBodytext"/>
              <w:rPr>
                <w:rFonts w:cs="Arial"/>
                <w:szCs w:val="18"/>
                <w:lang w:val="en-GB"/>
              </w:rPr>
            </w:pPr>
          </w:p>
        </w:tc>
        <w:tc>
          <w:tcPr>
            <w:tcW w:w="1063" w:type="dxa"/>
            <w:tcBorders>
              <w:top w:val="nil"/>
              <w:bottom w:val="nil"/>
            </w:tcBorders>
            <w:shd w:val="clear" w:color="auto" w:fill="FFFFFF"/>
            <w:vAlign w:val="center"/>
          </w:tcPr>
          <w:p w14:paraId="6F932A7D" w14:textId="6A1AE384" w:rsidR="008124F5" w:rsidRPr="001116A0" w:rsidRDefault="008124F5" w:rsidP="00BA43BA">
            <w:pPr>
              <w:pStyle w:val="CETBodytext"/>
              <w:jc w:val="center"/>
              <w:rPr>
                <w:rFonts w:cs="Arial"/>
                <w:szCs w:val="18"/>
                <w:lang w:val="en-GB"/>
              </w:rPr>
            </w:pPr>
            <w:r>
              <w:rPr>
                <w:rFonts w:cs="Arial"/>
                <w:szCs w:val="18"/>
                <w:lang w:val="en-GB"/>
              </w:rPr>
              <w:t>10</w:t>
            </w:r>
          </w:p>
        </w:tc>
        <w:tc>
          <w:tcPr>
            <w:tcW w:w="870" w:type="dxa"/>
            <w:tcBorders>
              <w:top w:val="nil"/>
              <w:bottom w:val="nil"/>
            </w:tcBorders>
            <w:shd w:val="clear" w:color="auto" w:fill="FFFFFF"/>
          </w:tcPr>
          <w:p w14:paraId="7BD1EE53" w14:textId="5575AC08" w:rsidR="008124F5" w:rsidRPr="001116A0" w:rsidRDefault="008124F5" w:rsidP="008124F5">
            <w:pPr>
              <w:pStyle w:val="CETBodytext"/>
              <w:jc w:val="center"/>
              <w:rPr>
                <w:rFonts w:cs="Arial"/>
                <w:szCs w:val="18"/>
                <w:lang w:val="en-GB"/>
              </w:rPr>
            </w:pPr>
            <w:r w:rsidRPr="00D93223">
              <w:t>10</w:t>
            </w:r>
            <w:r w:rsidR="00417ED5">
              <w:t>.</w:t>
            </w:r>
            <w:r w:rsidRPr="00D93223">
              <w:t>03</w:t>
            </w:r>
          </w:p>
        </w:tc>
        <w:tc>
          <w:tcPr>
            <w:tcW w:w="1448" w:type="dxa"/>
            <w:tcBorders>
              <w:top w:val="nil"/>
              <w:bottom w:val="nil"/>
            </w:tcBorders>
            <w:shd w:val="clear" w:color="auto" w:fill="FFFFFF"/>
          </w:tcPr>
          <w:p w14:paraId="3FB0DC2A" w14:textId="43392582" w:rsidR="008124F5" w:rsidRPr="001116A0" w:rsidRDefault="008124F5" w:rsidP="008124F5">
            <w:pPr>
              <w:pStyle w:val="CETBodytext"/>
              <w:ind w:right="-1"/>
              <w:jc w:val="center"/>
              <w:rPr>
                <w:rFonts w:cs="Arial"/>
                <w:szCs w:val="18"/>
                <w:lang w:val="en-GB"/>
              </w:rPr>
            </w:pPr>
            <w:r w:rsidRPr="00D93223">
              <w:t>12</w:t>
            </w:r>
            <w:r w:rsidR="00417ED5">
              <w:t>.</w:t>
            </w:r>
            <w:r w:rsidRPr="00D93223">
              <w:t>61</w:t>
            </w:r>
          </w:p>
        </w:tc>
        <w:tc>
          <w:tcPr>
            <w:tcW w:w="1448" w:type="dxa"/>
            <w:tcBorders>
              <w:top w:val="nil"/>
              <w:bottom w:val="nil"/>
            </w:tcBorders>
            <w:shd w:val="clear" w:color="auto" w:fill="FFFFFF"/>
          </w:tcPr>
          <w:p w14:paraId="54072ACD" w14:textId="146FF6AE" w:rsidR="008124F5" w:rsidRPr="001116A0" w:rsidRDefault="008124F5" w:rsidP="008124F5">
            <w:pPr>
              <w:pStyle w:val="CETBodytext"/>
              <w:ind w:right="-1"/>
              <w:jc w:val="center"/>
              <w:rPr>
                <w:rFonts w:cs="Arial"/>
                <w:szCs w:val="18"/>
                <w:lang w:val="en-GB"/>
              </w:rPr>
            </w:pPr>
            <w:r w:rsidRPr="00D93223">
              <w:t>15</w:t>
            </w:r>
            <w:r w:rsidR="001B0883">
              <w:t>.</w:t>
            </w:r>
            <w:r w:rsidRPr="00D93223">
              <w:t>32</w:t>
            </w:r>
          </w:p>
        </w:tc>
        <w:tc>
          <w:tcPr>
            <w:tcW w:w="1448" w:type="dxa"/>
            <w:tcBorders>
              <w:top w:val="nil"/>
              <w:bottom w:val="nil"/>
            </w:tcBorders>
            <w:shd w:val="clear" w:color="auto" w:fill="FFFFFF"/>
          </w:tcPr>
          <w:p w14:paraId="4309FA56" w14:textId="648F7494" w:rsidR="008124F5" w:rsidRPr="001116A0" w:rsidRDefault="008124F5" w:rsidP="008124F5">
            <w:pPr>
              <w:pStyle w:val="CETBodytext"/>
              <w:ind w:right="-1"/>
              <w:jc w:val="center"/>
              <w:rPr>
                <w:rFonts w:cs="Arial"/>
                <w:szCs w:val="18"/>
                <w:lang w:val="en-GB"/>
              </w:rPr>
            </w:pPr>
            <w:r w:rsidRPr="00D93223">
              <w:t>18</w:t>
            </w:r>
            <w:r w:rsidR="001B0883">
              <w:t>.</w:t>
            </w:r>
            <w:r w:rsidRPr="00D93223">
              <w:t>18</w:t>
            </w:r>
          </w:p>
        </w:tc>
        <w:tc>
          <w:tcPr>
            <w:tcW w:w="1448" w:type="dxa"/>
            <w:tcBorders>
              <w:top w:val="nil"/>
              <w:bottom w:val="nil"/>
            </w:tcBorders>
            <w:shd w:val="clear" w:color="auto" w:fill="FFFFFF"/>
          </w:tcPr>
          <w:p w14:paraId="4B92B3E1" w14:textId="258A984D" w:rsidR="008124F5" w:rsidRPr="001116A0" w:rsidRDefault="008124F5" w:rsidP="008124F5">
            <w:pPr>
              <w:pStyle w:val="CETBodytext"/>
              <w:ind w:right="-1"/>
              <w:jc w:val="center"/>
              <w:rPr>
                <w:rFonts w:cs="Arial"/>
                <w:szCs w:val="18"/>
                <w:lang w:val="en-GB"/>
              </w:rPr>
            </w:pPr>
            <w:r w:rsidRPr="00D93223">
              <w:t>21</w:t>
            </w:r>
            <w:r w:rsidR="001B0883">
              <w:t>.</w:t>
            </w:r>
            <w:r w:rsidRPr="00D93223">
              <w:t>20</w:t>
            </w:r>
          </w:p>
        </w:tc>
      </w:tr>
      <w:tr w:rsidR="008124F5" w:rsidRPr="001116A0" w14:paraId="2EB84A81" w14:textId="77777777" w:rsidTr="00692C12">
        <w:trPr>
          <w:jc w:val="center"/>
        </w:trPr>
        <w:tc>
          <w:tcPr>
            <w:tcW w:w="1062" w:type="dxa"/>
            <w:vMerge/>
            <w:shd w:val="clear" w:color="auto" w:fill="FFFFFF"/>
            <w:vAlign w:val="center"/>
          </w:tcPr>
          <w:p w14:paraId="07D0AD13" w14:textId="77777777" w:rsidR="008124F5" w:rsidRPr="001116A0" w:rsidRDefault="008124F5" w:rsidP="008124F5">
            <w:pPr>
              <w:pStyle w:val="CETBodytext"/>
              <w:rPr>
                <w:rFonts w:cs="Arial"/>
                <w:szCs w:val="18"/>
                <w:lang w:val="en-GB"/>
              </w:rPr>
            </w:pPr>
          </w:p>
        </w:tc>
        <w:tc>
          <w:tcPr>
            <w:tcW w:w="1063" w:type="dxa"/>
            <w:tcBorders>
              <w:top w:val="nil"/>
              <w:bottom w:val="nil"/>
            </w:tcBorders>
            <w:shd w:val="clear" w:color="auto" w:fill="FFFFFF"/>
            <w:vAlign w:val="center"/>
          </w:tcPr>
          <w:p w14:paraId="6B8C6F57" w14:textId="52730B88" w:rsidR="008124F5" w:rsidRPr="001116A0" w:rsidRDefault="008124F5" w:rsidP="00BA43BA">
            <w:pPr>
              <w:pStyle w:val="CETBodytext"/>
              <w:jc w:val="center"/>
              <w:rPr>
                <w:rFonts w:cs="Arial"/>
                <w:szCs w:val="18"/>
                <w:lang w:val="en-GB"/>
              </w:rPr>
            </w:pPr>
            <w:r>
              <w:rPr>
                <w:rFonts w:cs="Arial"/>
                <w:szCs w:val="18"/>
                <w:lang w:val="en-GB"/>
              </w:rPr>
              <w:t>15</w:t>
            </w:r>
          </w:p>
        </w:tc>
        <w:tc>
          <w:tcPr>
            <w:tcW w:w="870" w:type="dxa"/>
            <w:tcBorders>
              <w:top w:val="nil"/>
              <w:bottom w:val="nil"/>
            </w:tcBorders>
            <w:shd w:val="clear" w:color="auto" w:fill="FFFFFF"/>
          </w:tcPr>
          <w:p w14:paraId="05985AB7" w14:textId="4390F347" w:rsidR="008124F5" w:rsidRPr="001116A0" w:rsidRDefault="008124F5" w:rsidP="008124F5">
            <w:pPr>
              <w:pStyle w:val="CETBodytext"/>
              <w:jc w:val="center"/>
              <w:rPr>
                <w:rFonts w:cs="Arial"/>
                <w:szCs w:val="18"/>
                <w:lang w:val="en-GB"/>
              </w:rPr>
            </w:pPr>
            <w:r w:rsidRPr="00D93223">
              <w:t>15</w:t>
            </w:r>
            <w:r w:rsidR="00417ED5">
              <w:t>.</w:t>
            </w:r>
            <w:r w:rsidRPr="00D93223">
              <w:t>93</w:t>
            </w:r>
          </w:p>
        </w:tc>
        <w:tc>
          <w:tcPr>
            <w:tcW w:w="1448" w:type="dxa"/>
            <w:tcBorders>
              <w:top w:val="nil"/>
              <w:bottom w:val="nil"/>
            </w:tcBorders>
            <w:shd w:val="clear" w:color="auto" w:fill="FFFFFF"/>
          </w:tcPr>
          <w:p w14:paraId="40DCC691" w14:textId="1CBDEBB7" w:rsidR="008124F5" w:rsidRPr="001116A0" w:rsidRDefault="008124F5" w:rsidP="008124F5">
            <w:pPr>
              <w:pStyle w:val="CETBodytext"/>
              <w:ind w:right="-1"/>
              <w:jc w:val="center"/>
              <w:rPr>
                <w:rFonts w:cs="Arial"/>
                <w:szCs w:val="18"/>
                <w:lang w:val="en-GB"/>
              </w:rPr>
            </w:pPr>
            <w:r w:rsidRPr="00D93223">
              <w:t>18</w:t>
            </w:r>
            <w:r w:rsidR="001B0883">
              <w:t>.</w:t>
            </w:r>
            <w:r w:rsidRPr="00D93223">
              <w:t>54</w:t>
            </w:r>
          </w:p>
        </w:tc>
        <w:tc>
          <w:tcPr>
            <w:tcW w:w="1448" w:type="dxa"/>
            <w:tcBorders>
              <w:top w:val="nil"/>
              <w:bottom w:val="nil"/>
            </w:tcBorders>
            <w:shd w:val="clear" w:color="auto" w:fill="FFFFFF"/>
          </w:tcPr>
          <w:p w14:paraId="70BA8955" w14:textId="35630004" w:rsidR="008124F5" w:rsidRPr="001116A0" w:rsidRDefault="008124F5" w:rsidP="008124F5">
            <w:pPr>
              <w:pStyle w:val="CETBodytext"/>
              <w:ind w:right="-1"/>
              <w:jc w:val="center"/>
              <w:rPr>
                <w:rFonts w:cs="Arial"/>
                <w:szCs w:val="18"/>
                <w:lang w:val="en-GB"/>
              </w:rPr>
            </w:pPr>
            <w:r w:rsidRPr="00D93223">
              <w:t>21</w:t>
            </w:r>
            <w:r w:rsidR="001B0883">
              <w:t>.</w:t>
            </w:r>
            <w:r w:rsidRPr="00D93223">
              <w:t>28</w:t>
            </w:r>
          </w:p>
        </w:tc>
        <w:tc>
          <w:tcPr>
            <w:tcW w:w="1448" w:type="dxa"/>
            <w:tcBorders>
              <w:top w:val="nil"/>
              <w:bottom w:val="nil"/>
            </w:tcBorders>
            <w:shd w:val="clear" w:color="auto" w:fill="FFFFFF"/>
          </w:tcPr>
          <w:p w14:paraId="3F3367DB" w14:textId="5EEC038B" w:rsidR="008124F5" w:rsidRPr="001116A0" w:rsidRDefault="008124F5" w:rsidP="008124F5">
            <w:pPr>
              <w:pStyle w:val="CETBodytext"/>
              <w:ind w:right="-1"/>
              <w:jc w:val="center"/>
              <w:rPr>
                <w:rFonts w:cs="Arial"/>
                <w:szCs w:val="18"/>
                <w:lang w:val="en-GB"/>
              </w:rPr>
            </w:pPr>
            <w:r w:rsidRPr="00D93223">
              <w:t>24</w:t>
            </w:r>
            <w:r w:rsidR="001B0883">
              <w:t>.</w:t>
            </w:r>
            <w:r w:rsidRPr="00D93223">
              <w:t>17</w:t>
            </w:r>
          </w:p>
        </w:tc>
        <w:tc>
          <w:tcPr>
            <w:tcW w:w="1448" w:type="dxa"/>
            <w:tcBorders>
              <w:top w:val="nil"/>
              <w:bottom w:val="nil"/>
            </w:tcBorders>
            <w:shd w:val="clear" w:color="auto" w:fill="FFFFFF"/>
          </w:tcPr>
          <w:p w14:paraId="32241EA4" w14:textId="465D0211" w:rsidR="008124F5" w:rsidRPr="001116A0" w:rsidRDefault="008124F5" w:rsidP="008124F5">
            <w:pPr>
              <w:pStyle w:val="CETBodytext"/>
              <w:ind w:right="-1"/>
              <w:jc w:val="center"/>
              <w:rPr>
                <w:rFonts w:cs="Arial"/>
                <w:szCs w:val="18"/>
                <w:lang w:val="en-GB"/>
              </w:rPr>
            </w:pPr>
            <w:r w:rsidRPr="00D93223">
              <w:t>27</w:t>
            </w:r>
            <w:r w:rsidR="001B0883">
              <w:t>.</w:t>
            </w:r>
            <w:r w:rsidRPr="00D93223">
              <w:t>22</w:t>
            </w:r>
          </w:p>
        </w:tc>
      </w:tr>
      <w:tr w:rsidR="008124F5" w:rsidRPr="001116A0" w14:paraId="0FC2D6FF" w14:textId="77777777" w:rsidTr="00692C12">
        <w:trPr>
          <w:jc w:val="center"/>
        </w:trPr>
        <w:tc>
          <w:tcPr>
            <w:tcW w:w="1062" w:type="dxa"/>
            <w:vMerge/>
            <w:shd w:val="clear" w:color="auto" w:fill="FFFFFF"/>
            <w:vAlign w:val="center"/>
          </w:tcPr>
          <w:p w14:paraId="6F0EF0EE" w14:textId="77777777" w:rsidR="008124F5" w:rsidRPr="001116A0" w:rsidRDefault="008124F5" w:rsidP="008124F5">
            <w:pPr>
              <w:pStyle w:val="CETBodytext"/>
              <w:rPr>
                <w:rFonts w:cs="Arial"/>
                <w:szCs w:val="18"/>
                <w:lang w:val="en-GB"/>
              </w:rPr>
            </w:pPr>
          </w:p>
        </w:tc>
        <w:tc>
          <w:tcPr>
            <w:tcW w:w="1063" w:type="dxa"/>
            <w:tcBorders>
              <w:top w:val="nil"/>
              <w:bottom w:val="nil"/>
            </w:tcBorders>
            <w:shd w:val="clear" w:color="auto" w:fill="FFFFFF"/>
            <w:vAlign w:val="center"/>
          </w:tcPr>
          <w:p w14:paraId="2B3DD1E6" w14:textId="27FB4F8F" w:rsidR="008124F5" w:rsidRPr="001116A0" w:rsidRDefault="008124F5" w:rsidP="00BA43BA">
            <w:pPr>
              <w:pStyle w:val="CETBodytext"/>
              <w:jc w:val="center"/>
              <w:rPr>
                <w:rFonts w:cs="Arial"/>
                <w:szCs w:val="18"/>
                <w:lang w:val="en-GB"/>
              </w:rPr>
            </w:pPr>
            <w:r>
              <w:rPr>
                <w:rFonts w:cs="Arial"/>
                <w:szCs w:val="18"/>
                <w:lang w:val="en-GB"/>
              </w:rPr>
              <w:t>20</w:t>
            </w:r>
          </w:p>
        </w:tc>
        <w:tc>
          <w:tcPr>
            <w:tcW w:w="870" w:type="dxa"/>
            <w:tcBorders>
              <w:top w:val="nil"/>
              <w:bottom w:val="nil"/>
            </w:tcBorders>
            <w:shd w:val="clear" w:color="auto" w:fill="FFFFFF"/>
          </w:tcPr>
          <w:p w14:paraId="7DAA2CB5" w14:textId="3E213085" w:rsidR="008124F5" w:rsidRPr="001116A0" w:rsidRDefault="008124F5" w:rsidP="008124F5">
            <w:pPr>
              <w:pStyle w:val="CETBodytext"/>
              <w:jc w:val="center"/>
              <w:rPr>
                <w:rFonts w:cs="Arial"/>
                <w:szCs w:val="18"/>
                <w:lang w:val="en-GB"/>
              </w:rPr>
            </w:pPr>
            <w:r w:rsidRPr="00D93223">
              <w:t>22</w:t>
            </w:r>
            <w:r w:rsidR="00417ED5">
              <w:t>.</w:t>
            </w:r>
            <w:r w:rsidRPr="00D93223">
              <w:t>57</w:t>
            </w:r>
          </w:p>
        </w:tc>
        <w:tc>
          <w:tcPr>
            <w:tcW w:w="1448" w:type="dxa"/>
            <w:tcBorders>
              <w:top w:val="nil"/>
              <w:bottom w:val="nil"/>
            </w:tcBorders>
            <w:shd w:val="clear" w:color="auto" w:fill="FFFFFF"/>
          </w:tcPr>
          <w:p w14:paraId="048218E3" w14:textId="16CD87FD" w:rsidR="008124F5" w:rsidRPr="001116A0" w:rsidRDefault="008124F5" w:rsidP="008124F5">
            <w:pPr>
              <w:pStyle w:val="CETBodytext"/>
              <w:ind w:right="-1"/>
              <w:jc w:val="center"/>
              <w:rPr>
                <w:rFonts w:cs="Arial"/>
                <w:szCs w:val="18"/>
                <w:lang w:val="en-GB"/>
              </w:rPr>
            </w:pPr>
            <w:r w:rsidRPr="00D93223">
              <w:t>25</w:t>
            </w:r>
            <w:r w:rsidR="001B0883">
              <w:t>.</w:t>
            </w:r>
            <w:r w:rsidRPr="00D93223">
              <w:t>21</w:t>
            </w:r>
          </w:p>
        </w:tc>
        <w:tc>
          <w:tcPr>
            <w:tcW w:w="1448" w:type="dxa"/>
            <w:tcBorders>
              <w:top w:val="nil"/>
              <w:bottom w:val="nil"/>
            </w:tcBorders>
            <w:shd w:val="clear" w:color="auto" w:fill="FFFFFF"/>
          </w:tcPr>
          <w:p w14:paraId="0E017D22" w14:textId="6E172EC7" w:rsidR="008124F5" w:rsidRPr="001116A0" w:rsidRDefault="008124F5" w:rsidP="008124F5">
            <w:pPr>
              <w:pStyle w:val="CETBodytext"/>
              <w:ind w:right="-1"/>
              <w:jc w:val="center"/>
              <w:rPr>
                <w:rFonts w:cs="Arial"/>
                <w:szCs w:val="18"/>
                <w:lang w:val="en-GB"/>
              </w:rPr>
            </w:pPr>
            <w:r w:rsidRPr="00D93223">
              <w:t>27</w:t>
            </w:r>
            <w:r w:rsidR="001B0883">
              <w:t>.</w:t>
            </w:r>
            <w:r w:rsidRPr="00D93223">
              <w:t>99</w:t>
            </w:r>
          </w:p>
        </w:tc>
        <w:tc>
          <w:tcPr>
            <w:tcW w:w="1448" w:type="dxa"/>
            <w:tcBorders>
              <w:top w:val="nil"/>
              <w:bottom w:val="nil"/>
            </w:tcBorders>
            <w:shd w:val="clear" w:color="auto" w:fill="FFFFFF"/>
          </w:tcPr>
          <w:p w14:paraId="6A2A2B76" w14:textId="4B0484BD" w:rsidR="008124F5" w:rsidRPr="001116A0" w:rsidRDefault="008124F5" w:rsidP="008124F5">
            <w:pPr>
              <w:pStyle w:val="CETBodytext"/>
              <w:ind w:right="-1"/>
              <w:jc w:val="center"/>
              <w:rPr>
                <w:rFonts w:cs="Arial"/>
                <w:szCs w:val="18"/>
                <w:lang w:val="en-GB"/>
              </w:rPr>
            </w:pPr>
            <w:r w:rsidRPr="00D93223">
              <w:t>30</w:t>
            </w:r>
            <w:r w:rsidR="001B0883">
              <w:t>.</w:t>
            </w:r>
            <w:r w:rsidRPr="00D93223">
              <w:t>92</w:t>
            </w:r>
          </w:p>
        </w:tc>
        <w:tc>
          <w:tcPr>
            <w:tcW w:w="1448" w:type="dxa"/>
            <w:tcBorders>
              <w:top w:val="nil"/>
              <w:bottom w:val="nil"/>
            </w:tcBorders>
            <w:shd w:val="clear" w:color="auto" w:fill="FFFFFF"/>
          </w:tcPr>
          <w:p w14:paraId="6ED22ADA" w14:textId="46043AFD" w:rsidR="008124F5" w:rsidRPr="001116A0" w:rsidRDefault="008124F5" w:rsidP="008124F5">
            <w:pPr>
              <w:pStyle w:val="CETBodytext"/>
              <w:ind w:right="-1"/>
              <w:jc w:val="center"/>
              <w:rPr>
                <w:rFonts w:cs="Arial"/>
                <w:szCs w:val="18"/>
                <w:lang w:val="en-GB"/>
              </w:rPr>
            </w:pPr>
            <w:r w:rsidRPr="00D93223">
              <w:t>34</w:t>
            </w:r>
            <w:r w:rsidR="001B0883">
              <w:t>.</w:t>
            </w:r>
            <w:r w:rsidRPr="00D93223">
              <w:t>01</w:t>
            </w:r>
          </w:p>
        </w:tc>
      </w:tr>
      <w:tr w:rsidR="008124F5" w:rsidRPr="001116A0" w14:paraId="44869364" w14:textId="77777777" w:rsidTr="00692C12">
        <w:trPr>
          <w:jc w:val="center"/>
        </w:trPr>
        <w:tc>
          <w:tcPr>
            <w:tcW w:w="1062" w:type="dxa"/>
            <w:vMerge/>
            <w:shd w:val="clear" w:color="auto" w:fill="FFFFFF"/>
            <w:vAlign w:val="center"/>
          </w:tcPr>
          <w:p w14:paraId="40BEBA65" w14:textId="77777777" w:rsidR="008124F5" w:rsidRPr="001116A0" w:rsidRDefault="008124F5" w:rsidP="008124F5">
            <w:pPr>
              <w:pStyle w:val="CETBodytext"/>
              <w:rPr>
                <w:rFonts w:cs="Arial"/>
                <w:szCs w:val="18"/>
                <w:lang w:val="en-GB"/>
              </w:rPr>
            </w:pPr>
          </w:p>
        </w:tc>
        <w:tc>
          <w:tcPr>
            <w:tcW w:w="1063" w:type="dxa"/>
            <w:tcBorders>
              <w:top w:val="nil"/>
              <w:bottom w:val="nil"/>
            </w:tcBorders>
            <w:shd w:val="clear" w:color="auto" w:fill="FFFFFF"/>
            <w:vAlign w:val="center"/>
          </w:tcPr>
          <w:p w14:paraId="700192A6" w14:textId="7F987606" w:rsidR="008124F5" w:rsidRPr="001116A0" w:rsidRDefault="008124F5" w:rsidP="00BA43BA">
            <w:pPr>
              <w:pStyle w:val="CETBodytext"/>
              <w:jc w:val="center"/>
              <w:rPr>
                <w:rFonts w:cs="Arial"/>
                <w:szCs w:val="18"/>
                <w:lang w:val="en-GB"/>
              </w:rPr>
            </w:pPr>
            <w:r>
              <w:rPr>
                <w:rFonts w:cs="Arial"/>
                <w:szCs w:val="18"/>
                <w:lang w:val="en-GB"/>
              </w:rPr>
              <w:t>25</w:t>
            </w:r>
          </w:p>
        </w:tc>
        <w:tc>
          <w:tcPr>
            <w:tcW w:w="870" w:type="dxa"/>
            <w:tcBorders>
              <w:top w:val="nil"/>
              <w:bottom w:val="nil"/>
            </w:tcBorders>
            <w:shd w:val="clear" w:color="auto" w:fill="FFFFFF"/>
          </w:tcPr>
          <w:p w14:paraId="0763E1F8" w14:textId="2B1204C5" w:rsidR="008124F5" w:rsidRPr="001116A0" w:rsidRDefault="008124F5" w:rsidP="008124F5">
            <w:pPr>
              <w:pStyle w:val="CETBodytext"/>
              <w:jc w:val="center"/>
              <w:rPr>
                <w:rFonts w:cs="Arial"/>
                <w:szCs w:val="18"/>
                <w:lang w:val="en-GB"/>
              </w:rPr>
            </w:pPr>
            <w:r w:rsidRPr="00D93223">
              <w:t>30</w:t>
            </w:r>
            <w:r w:rsidR="00417ED5">
              <w:t>.</w:t>
            </w:r>
            <w:r w:rsidRPr="00D93223">
              <w:t>10</w:t>
            </w:r>
          </w:p>
        </w:tc>
        <w:tc>
          <w:tcPr>
            <w:tcW w:w="1448" w:type="dxa"/>
            <w:tcBorders>
              <w:top w:val="nil"/>
              <w:bottom w:val="nil"/>
            </w:tcBorders>
            <w:shd w:val="clear" w:color="auto" w:fill="FFFFFF"/>
          </w:tcPr>
          <w:p w14:paraId="1DE09DB8" w14:textId="0178B91E" w:rsidR="008124F5" w:rsidRPr="001116A0" w:rsidRDefault="008124F5" w:rsidP="008124F5">
            <w:pPr>
              <w:pStyle w:val="CETBodytext"/>
              <w:ind w:right="-1"/>
              <w:jc w:val="center"/>
              <w:rPr>
                <w:rFonts w:cs="Arial"/>
                <w:szCs w:val="18"/>
                <w:lang w:val="en-GB"/>
              </w:rPr>
            </w:pPr>
            <w:r w:rsidRPr="00D93223">
              <w:t>32</w:t>
            </w:r>
            <w:r w:rsidR="001B0883">
              <w:t>.</w:t>
            </w:r>
            <w:r w:rsidRPr="00D93223">
              <w:t>77</w:t>
            </w:r>
          </w:p>
        </w:tc>
        <w:tc>
          <w:tcPr>
            <w:tcW w:w="1448" w:type="dxa"/>
            <w:tcBorders>
              <w:top w:val="nil"/>
              <w:bottom w:val="nil"/>
            </w:tcBorders>
            <w:shd w:val="clear" w:color="auto" w:fill="FFFFFF"/>
          </w:tcPr>
          <w:p w14:paraId="4D0F5F47" w14:textId="1253AA37" w:rsidR="008124F5" w:rsidRPr="001116A0" w:rsidRDefault="008124F5" w:rsidP="008124F5">
            <w:pPr>
              <w:pStyle w:val="CETBodytext"/>
              <w:ind w:right="-1"/>
              <w:jc w:val="center"/>
              <w:rPr>
                <w:rFonts w:cs="Arial"/>
                <w:szCs w:val="18"/>
                <w:lang w:val="en-GB"/>
              </w:rPr>
            </w:pPr>
            <w:r w:rsidRPr="00D93223">
              <w:t>35</w:t>
            </w:r>
            <w:r w:rsidR="001B0883">
              <w:t>.</w:t>
            </w:r>
            <w:r w:rsidRPr="00D93223">
              <w:t>59</w:t>
            </w:r>
          </w:p>
        </w:tc>
        <w:tc>
          <w:tcPr>
            <w:tcW w:w="1448" w:type="dxa"/>
            <w:tcBorders>
              <w:top w:val="nil"/>
              <w:bottom w:val="nil"/>
            </w:tcBorders>
            <w:shd w:val="clear" w:color="auto" w:fill="FFFFFF"/>
          </w:tcPr>
          <w:p w14:paraId="61C712EA" w14:textId="155FBE77" w:rsidR="008124F5" w:rsidRPr="001116A0" w:rsidRDefault="008124F5" w:rsidP="008124F5">
            <w:pPr>
              <w:pStyle w:val="CETBodytext"/>
              <w:ind w:right="-1"/>
              <w:jc w:val="center"/>
              <w:rPr>
                <w:rFonts w:cs="Arial"/>
                <w:szCs w:val="18"/>
                <w:lang w:val="en-GB"/>
              </w:rPr>
            </w:pPr>
            <w:r w:rsidRPr="00D93223">
              <w:t>38</w:t>
            </w:r>
            <w:r w:rsidR="001B0883">
              <w:t>.</w:t>
            </w:r>
            <w:r w:rsidRPr="00D93223">
              <w:t>56</w:t>
            </w:r>
          </w:p>
        </w:tc>
        <w:tc>
          <w:tcPr>
            <w:tcW w:w="1448" w:type="dxa"/>
            <w:tcBorders>
              <w:top w:val="nil"/>
              <w:bottom w:val="nil"/>
            </w:tcBorders>
            <w:shd w:val="clear" w:color="auto" w:fill="FFFFFF"/>
          </w:tcPr>
          <w:p w14:paraId="2D2D78F8" w14:textId="23A427B7" w:rsidR="008124F5" w:rsidRPr="001116A0" w:rsidRDefault="008124F5" w:rsidP="008124F5">
            <w:pPr>
              <w:pStyle w:val="CETBodytext"/>
              <w:ind w:right="-1"/>
              <w:jc w:val="center"/>
              <w:rPr>
                <w:rFonts w:cs="Arial"/>
                <w:szCs w:val="18"/>
                <w:lang w:val="en-GB"/>
              </w:rPr>
            </w:pPr>
            <w:r w:rsidRPr="00D93223">
              <w:t>41</w:t>
            </w:r>
            <w:r w:rsidR="001B0883">
              <w:t>.</w:t>
            </w:r>
            <w:r w:rsidRPr="00D93223">
              <w:t>69</w:t>
            </w:r>
          </w:p>
        </w:tc>
      </w:tr>
      <w:tr w:rsidR="008124F5" w:rsidRPr="001116A0" w14:paraId="2A43D860" w14:textId="77777777" w:rsidTr="00692C12">
        <w:trPr>
          <w:jc w:val="center"/>
        </w:trPr>
        <w:tc>
          <w:tcPr>
            <w:tcW w:w="1062" w:type="dxa"/>
            <w:vMerge/>
            <w:shd w:val="clear" w:color="auto" w:fill="FFFFFF"/>
            <w:vAlign w:val="center"/>
          </w:tcPr>
          <w:p w14:paraId="217F2F51" w14:textId="77777777" w:rsidR="008124F5" w:rsidRPr="001116A0" w:rsidRDefault="008124F5" w:rsidP="008124F5">
            <w:pPr>
              <w:pStyle w:val="CETBodytext"/>
              <w:rPr>
                <w:rFonts w:cs="Arial"/>
                <w:szCs w:val="18"/>
                <w:lang w:val="en-GB"/>
              </w:rPr>
            </w:pPr>
          </w:p>
        </w:tc>
        <w:tc>
          <w:tcPr>
            <w:tcW w:w="1063" w:type="dxa"/>
            <w:tcBorders>
              <w:top w:val="nil"/>
            </w:tcBorders>
            <w:shd w:val="clear" w:color="auto" w:fill="FFFFFF"/>
            <w:vAlign w:val="center"/>
          </w:tcPr>
          <w:p w14:paraId="2746EE06" w14:textId="26569D3A" w:rsidR="008124F5" w:rsidRPr="001116A0" w:rsidRDefault="008124F5" w:rsidP="00BA43BA">
            <w:pPr>
              <w:pStyle w:val="CETBodytext"/>
              <w:jc w:val="center"/>
              <w:rPr>
                <w:rFonts w:cs="Arial"/>
                <w:szCs w:val="18"/>
                <w:lang w:val="en-GB"/>
              </w:rPr>
            </w:pPr>
            <w:r>
              <w:rPr>
                <w:rFonts w:cs="Arial"/>
                <w:szCs w:val="18"/>
                <w:lang w:val="en-GB"/>
              </w:rPr>
              <w:t>30</w:t>
            </w:r>
          </w:p>
        </w:tc>
        <w:tc>
          <w:tcPr>
            <w:tcW w:w="870" w:type="dxa"/>
            <w:tcBorders>
              <w:top w:val="nil"/>
            </w:tcBorders>
            <w:shd w:val="clear" w:color="auto" w:fill="FFFFFF"/>
          </w:tcPr>
          <w:p w14:paraId="67262D7A" w14:textId="7CDCD882" w:rsidR="008124F5" w:rsidRPr="001116A0" w:rsidRDefault="008124F5" w:rsidP="008124F5">
            <w:pPr>
              <w:pStyle w:val="CETBodytext"/>
              <w:jc w:val="center"/>
              <w:rPr>
                <w:rFonts w:cs="Arial"/>
                <w:szCs w:val="18"/>
                <w:lang w:val="en-GB"/>
              </w:rPr>
            </w:pPr>
            <w:r w:rsidRPr="00D93223">
              <w:t>38</w:t>
            </w:r>
            <w:r w:rsidR="00417ED5">
              <w:t>.</w:t>
            </w:r>
            <w:r w:rsidRPr="00D93223">
              <w:t>70</w:t>
            </w:r>
          </w:p>
        </w:tc>
        <w:tc>
          <w:tcPr>
            <w:tcW w:w="1448" w:type="dxa"/>
            <w:tcBorders>
              <w:top w:val="nil"/>
            </w:tcBorders>
            <w:shd w:val="clear" w:color="auto" w:fill="FFFFFF"/>
          </w:tcPr>
          <w:p w14:paraId="3EAB7E3B" w14:textId="21DF87B6" w:rsidR="008124F5" w:rsidRPr="001116A0" w:rsidRDefault="008124F5" w:rsidP="008124F5">
            <w:pPr>
              <w:pStyle w:val="CETBodytext"/>
              <w:ind w:right="-1"/>
              <w:jc w:val="center"/>
              <w:rPr>
                <w:rFonts w:cs="Arial"/>
                <w:szCs w:val="18"/>
                <w:lang w:val="en-GB"/>
              </w:rPr>
            </w:pPr>
            <w:r w:rsidRPr="00D93223">
              <w:t>41</w:t>
            </w:r>
            <w:r w:rsidR="001B0883">
              <w:t>.</w:t>
            </w:r>
            <w:r w:rsidRPr="00D93223">
              <w:t>42</w:t>
            </w:r>
          </w:p>
        </w:tc>
        <w:tc>
          <w:tcPr>
            <w:tcW w:w="1448" w:type="dxa"/>
            <w:tcBorders>
              <w:top w:val="nil"/>
            </w:tcBorders>
            <w:shd w:val="clear" w:color="auto" w:fill="FFFFFF"/>
          </w:tcPr>
          <w:p w14:paraId="54168043" w14:textId="573D1E09" w:rsidR="008124F5" w:rsidRPr="001116A0" w:rsidRDefault="008124F5" w:rsidP="008124F5">
            <w:pPr>
              <w:pStyle w:val="CETBodytext"/>
              <w:ind w:right="-1"/>
              <w:jc w:val="center"/>
              <w:rPr>
                <w:rFonts w:cs="Arial"/>
                <w:szCs w:val="18"/>
                <w:lang w:val="en-GB"/>
              </w:rPr>
            </w:pPr>
            <w:r w:rsidRPr="00D93223">
              <w:t>44</w:t>
            </w:r>
            <w:r w:rsidR="001B0883">
              <w:t>.</w:t>
            </w:r>
            <w:r w:rsidRPr="00D93223">
              <w:t>28</w:t>
            </w:r>
          </w:p>
        </w:tc>
        <w:tc>
          <w:tcPr>
            <w:tcW w:w="1448" w:type="dxa"/>
            <w:tcBorders>
              <w:top w:val="nil"/>
            </w:tcBorders>
            <w:shd w:val="clear" w:color="auto" w:fill="FFFFFF"/>
          </w:tcPr>
          <w:p w14:paraId="7E437A94" w14:textId="33F485C2" w:rsidR="008124F5" w:rsidRPr="001116A0" w:rsidRDefault="008124F5" w:rsidP="008124F5">
            <w:pPr>
              <w:pStyle w:val="CETBodytext"/>
              <w:ind w:right="-1"/>
              <w:jc w:val="center"/>
              <w:rPr>
                <w:rFonts w:cs="Arial"/>
                <w:szCs w:val="18"/>
                <w:lang w:val="en-GB"/>
              </w:rPr>
            </w:pPr>
            <w:r w:rsidRPr="00D93223">
              <w:t>47</w:t>
            </w:r>
            <w:r w:rsidR="001B0883">
              <w:t>.</w:t>
            </w:r>
            <w:r w:rsidRPr="00D93223">
              <w:t>29</w:t>
            </w:r>
          </w:p>
        </w:tc>
        <w:tc>
          <w:tcPr>
            <w:tcW w:w="1448" w:type="dxa"/>
            <w:tcBorders>
              <w:top w:val="nil"/>
            </w:tcBorders>
            <w:shd w:val="clear" w:color="auto" w:fill="FFFFFF"/>
          </w:tcPr>
          <w:p w14:paraId="7DC283B6" w14:textId="72450641" w:rsidR="008124F5" w:rsidRPr="001116A0" w:rsidRDefault="008124F5" w:rsidP="008124F5">
            <w:pPr>
              <w:pStyle w:val="CETBodytext"/>
              <w:ind w:right="-1"/>
              <w:jc w:val="center"/>
              <w:rPr>
                <w:rFonts w:cs="Arial"/>
                <w:szCs w:val="18"/>
                <w:lang w:val="en-GB"/>
              </w:rPr>
            </w:pPr>
            <w:r w:rsidRPr="00D93223">
              <w:t>50</w:t>
            </w:r>
            <w:r w:rsidR="001B0883">
              <w:t>.</w:t>
            </w:r>
            <w:r w:rsidRPr="00D93223">
              <w:t>47</w:t>
            </w:r>
          </w:p>
        </w:tc>
      </w:tr>
    </w:tbl>
    <w:p w14:paraId="5684078E" w14:textId="3A55504C" w:rsidR="005E07AB" w:rsidRDefault="005E07AB" w:rsidP="005E07AB">
      <w:pPr>
        <w:pStyle w:val="CETHeading1"/>
      </w:pPr>
      <w:r>
        <w:t>Conclusions</w:t>
      </w:r>
    </w:p>
    <w:p w14:paraId="7139C852" w14:textId="3660B92C" w:rsidR="005D495A" w:rsidRDefault="005D495A" w:rsidP="005D495A">
      <w:pPr>
        <w:pStyle w:val="CETBodytext"/>
        <w:rPr>
          <w:rFonts w:cs="Arial"/>
        </w:rPr>
      </w:pPr>
      <w:r w:rsidRPr="00312107">
        <w:rPr>
          <w:rFonts w:cs="Arial"/>
        </w:rPr>
        <w:t xml:space="preserve">Ethanol </w:t>
      </w:r>
      <w:r w:rsidRPr="007F799B">
        <w:rPr>
          <w:rFonts w:cs="Arial"/>
        </w:rPr>
        <w:t xml:space="preserve">and biodiesel demand are projected to increase steadily in Brazil over the next decade, </w:t>
      </w:r>
      <w:r w:rsidRPr="00312107">
        <w:rPr>
          <w:rFonts w:cs="Arial"/>
        </w:rPr>
        <w:t>driven by mandatory biofuel blends and broader energy transition goals</w:t>
      </w:r>
      <w:r w:rsidR="00A831FB">
        <w:rPr>
          <w:rFonts w:cs="Arial"/>
        </w:rPr>
        <w:t xml:space="preserve"> (EPE, 2025; IRENA, 2025)</w:t>
      </w:r>
      <w:r w:rsidRPr="007F799B">
        <w:rPr>
          <w:rFonts w:cs="Arial"/>
        </w:rPr>
        <w:t xml:space="preserve">. </w:t>
      </w:r>
      <w:r w:rsidRPr="00312107">
        <w:rPr>
          <w:rFonts w:cs="Arial"/>
        </w:rPr>
        <w:t xml:space="preserve">This study shows that biofuel manufacturing is strongly embedded in regional economies, with most inputs sourced within the same state, reinforcing its role in supporting regional supply chains and employment. Multiplier analysis reveals significant regional heterogeneity: São Paulo exhibits stronger output and value-added effects due to dense intersectoral linkages, while Mato Grosso shows weaker transmission of demand shocks, reflecting a less integrated production structure. Given that feedstocks account for a large share of production costs, the </w:t>
      </w:r>
      <w:r w:rsidR="003D237A">
        <w:rPr>
          <w:rFonts w:cs="Arial"/>
        </w:rPr>
        <w:t>study</w:t>
      </w:r>
      <w:r w:rsidRPr="00312107">
        <w:rPr>
          <w:rFonts w:cs="Arial"/>
        </w:rPr>
        <w:t xml:space="preserve"> highlight</w:t>
      </w:r>
      <w:r w:rsidR="005A32BE">
        <w:rPr>
          <w:rFonts w:cs="Arial"/>
        </w:rPr>
        <w:t>s</w:t>
      </w:r>
      <w:r w:rsidRPr="00312107">
        <w:rPr>
          <w:rFonts w:cs="Arial"/>
        </w:rPr>
        <w:t xml:space="preserve"> the importance of jointly considering developments in both biofuel manufacturing and agricultural sectors. In this context, the biofuel manufacturing</w:t>
      </w:r>
      <w:r w:rsidR="007D5A2D">
        <w:rPr>
          <w:rFonts w:cs="Arial"/>
        </w:rPr>
        <w:t xml:space="preserve"> </w:t>
      </w:r>
      <w:r w:rsidRPr="00312107">
        <w:rPr>
          <w:rFonts w:cs="Arial"/>
        </w:rPr>
        <w:t xml:space="preserve">sector benefits from efficiency gains associated with digital transformation in agriculture, particularly when these gains are coordinated along the value chain. </w:t>
      </w:r>
    </w:p>
    <w:p w14:paraId="27A95819" w14:textId="756A50CF" w:rsidR="00AC6FDB" w:rsidRDefault="007E1900" w:rsidP="005D495A">
      <w:pPr>
        <w:pStyle w:val="CETBodytext"/>
        <w:rPr>
          <w:rFonts w:cs="Arial"/>
        </w:rPr>
      </w:pPr>
      <w:r w:rsidRPr="00312107">
        <w:rPr>
          <w:rFonts w:cs="Arial"/>
        </w:rPr>
        <w:t xml:space="preserve">Methodologically, the I-O framework proves well-suited for identifying and anticipating how projected changes in biofuel demand </w:t>
      </w:r>
      <w:r w:rsidR="00BD5939">
        <w:rPr>
          <w:rFonts w:cs="Arial"/>
        </w:rPr>
        <w:t xml:space="preserve">propagates across sectors and regions. </w:t>
      </w:r>
      <w:r w:rsidRPr="00312107">
        <w:rPr>
          <w:rFonts w:cs="Arial"/>
        </w:rPr>
        <w:t xml:space="preserve">However, this approach presents some analytical limitations, as it assumes unlimited idle capacity within the economy, fixed technical production coefficients, constant returns to scale, and constant prices </w:t>
      </w:r>
      <w:r w:rsidRPr="007F799B">
        <w:rPr>
          <w:rFonts w:cs="Arial"/>
        </w:rPr>
        <w:fldChar w:fldCharType="begin"/>
      </w:r>
      <w:r w:rsidRPr="007F799B">
        <w:rPr>
          <w:rFonts w:cs="Arial"/>
        </w:rPr>
        <w:instrText xml:space="preserve"> ADDIN ZOTERO_ITEM CSL_CITATION {"citationID":"ET1HylC1","properties":{"formattedCitation":"(Miller and Blair, 2009; Guilhoto, 2011)","plainCitation":"(Miller and Blair, 2009; Guilhoto, 2011)","noteIndex":0},"citationItems":[{"id":460,"uris":["http://zotero.org/users/9333001/items/Q3IGNWKN"],"itemData":{"id":460,"type":"book","call-number":"HB142 .M55 2009","edition":"2nd ed","ISBN":"978-0-521-51713-3","note":"OCLC: ocn311310287","number-of-pages":"750","publisher":"Cambridge University Press","publisher-place":"Cambridge [England] ; New York","source":"Library of Congress ISBN","title":"Input-output analysis: foundations and extensions","title-short":"Input-output analysis","author":[{"family":"Miller","given":"Ronald E."},{"family":"Blair","given":"Peter D."}],"issued":{"date-parts":[["2009"]]}}},{"id":1582,"uris":["http://zotero.org/users/9333001/items/MTVEW9X8"],"itemData":{"id":1582,"type":"article-journal","container-title":"SSRN Electronic Journal","DOI":"10.2139/ssrn.1900073","ISSN":"1556-5068","journalAbbreviation":"SSRN Journal","language":"en","source":"DOI.org (Crossref)","title":"Input-Output Analysis: Theory and Foundations (Análise de Insumo-Produto: Teoria e Fundamentos)","title-short":"Input-Output Analysis","URL":"http://www.ssrn.com/abstract=1900073","author":[{"family":"Guilhoto","given":"Joaquim José Martins"}],"accessed":{"date-parts":[["2026",1,27]]},"issued":{"date-parts":[["2011"]]}}}],"schema":"https://github.com/citation-style-language/schema/raw/master/csl-citation.json"} </w:instrText>
      </w:r>
      <w:r w:rsidRPr="007F799B">
        <w:rPr>
          <w:rFonts w:cs="Arial"/>
        </w:rPr>
        <w:fldChar w:fldCharType="separate"/>
      </w:r>
      <w:r w:rsidRPr="007F799B">
        <w:rPr>
          <w:rFonts w:cs="Arial"/>
        </w:rPr>
        <w:t>(Miller and Blair, 2009; Guilhoto, 2011)</w:t>
      </w:r>
      <w:r w:rsidRPr="007F799B">
        <w:rPr>
          <w:rFonts w:cs="Arial"/>
        </w:rPr>
        <w:fldChar w:fldCharType="end"/>
      </w:r>
      <w:r w:rsidRPr="00312107">
        <w:rPr>
          <w:rFonts w:cs="Arial"/>
        </w:rPr>
        <w:t xml:space="preserve">. While I-O tables </w:t>
      </w:r>
      <w:r w:rsidR="00C076F9">
        <w:rPr>
          <w:rFonts w:cs="Arial"/>
        </w:rPr>
        <w:t xml:space="preserve">provide the empirical foundation </w:t>
      </w:r>
      <w:r w:rsidRPr="00312107">
        <w:rPr>
          <w:rFonts w:cs="Arial"/>
        </w:rPr>
        <w:t xml:space="preserve">for computable general equilibrium (CGE) models, the latter extend the I-O framework </w:t>
      </w:r>
      <w:r w:rsidRPr="00312107">
        <w:rPr>
          <w:rFonts w:cs="Arial"/>
        </w:rPr>
        <w:lastRenderedPageBreak/>
        <w:t xml:space="preserve">by incorporating optimizing behavior, market clearing, and price-mediated adjustments </w:t>
      </w:r>
      <w:r w:rsidRPr="007F799B">
        <w:rPr>
          <w:rFonts w:cs="Arial"/>
        </w:rPr>
        <w:t>(Burfisher, 2017)</w:t>
      </w:r>
      <w:r w:rsidRPr="00312107">
        <w:rPr>
          <w:rFonts w:cs="Arial"/>
        </w:rPr>
        <w:t xml:space="preserve">. Future </w:t>
      </w:r>
      <w:r w:rsidR="00043B60">
        <w:rPr>
          <w:rFonts w:cs="Arial"/>
        </w:rPr>
        <w:t>research</w:t>
      </w:r>
      <w:r w:rsidRPr="00312107">
        <w:rPr>
          <w:rFonts w:cs="Arial"/>
        </w:rPr>
        <w:t xml:space="preserve"> could</w:t>
      </w:r>
      <w:r w:rsidR="005017F5">
        <w:rPr>
          <w:rFonts w:cs="Arial"/>
        </w:rPr>
        <w:t xml:space="preserve"> extend this analysis and</w:t>
      </w:r>
      <w:r w:rsidRPr="00312107">
        <w:rPr>
          <w:rFonts w:cs="Arial"/>
        </w:rPr>
        <w:t xml:space="preserve"> explore responses through the lens of CGE models, which are more flexible to accommodate a greater range of technological and policy shocks, albeit at the cost of greater complexity, stronger parametric assumptions, and limitations in</w:t>
      </w:r>
      <w:r w:rsidR="008C1EBA">
        <w:rPr>
          <w:rFonts w:cs="Arial"/>
        </w:rPr>
        <w:t xml:space="preserve"> achieving detailed</w:t>
      </w:r>
      <w:r w:rsidRPr="00312107">
        <w:rPr>
          <w:rFonts w:cs="Arial"/>
        </w:rPr>
        <w:t xml:space="preserve"> subnational regional and sectoral </w:t>
      </w:r>
      <w:r w:rsidRPr="007E1900">
        <w:rPr>
          <w:rFonts w:cs="Arial"/>
        </w:rPr>
        <w:t>disaggregation</w:t>
      </w:r>
      <w:r w:rsidRPr="00312107">
        <w:rPr>
          <w:rFonts w:cs="Arial"/>
        </w:rPr>
        <w:t>.</w:t>
      </w:r>
    </w:p>
    <w:p w14:paraId="3F4D050C" w14:textId="2E394EC3" w:rsidR="00B37E77" w:rsidRDefault="00815AA2" w:rsidP="007E1900">
      <w:pPr>
        <w:pStyle w:val="CETBodytext"/>
      </w:pPr>
      <w:r w:rsidRPr="00312107">
        <w:rPr>
          <w:rFonts w:cs="Arial"/>
        </w:rPr>
        <w:t xml:space="preserve">From a policy perspective, biofuel expansion cannot be assessed in isolation, as it is closely linked to energy security and shaped by socioeconomic and environmental tradeoffs. </w:t>
      </w:r>
      <w:r w:rsidR="00925D32">
        <w:rPr>
          <w:rFonts w:cs="Arial"/>
        </w:rPr>
        <w:t>B</w:t>
      </w:r>
      <w:r w:rsidRPr="00312107">
        <w:rPr>
          <w:rFonts w:cs="Arial"/>
        </w:rPr>
        <w:t xml:space="preserve">iofuels </w:t>
      </w:r>
      <w:r w:rsidR="00AF02CB">
        <w:rPr>
          <w:rFonts w:cs="Arial"/>
        </w:rPr>
        <w:t>play a</w:t>
      </w:r>
      <w:r w:rsidRPr="00312107">
        <w:rPr>
          <w:rFonts w:cs="Arial"/>
        </w:rPr>
        <w:t xml:space="preserve"> central </w:t>
      </w:r>
      <w:r w:rsidR="00B3542C">
        <w:rPr>
          <w:rFonts w:cs="Arial"/>
        </w:rPr>
        <w:t>role in</w:t>
      </w:r>
      <w:r w:rsidRPr="00312107">
        <w:rPr>
          <w:rFonts w:cs="Arial"/>
        </w:rPr>
        <w:t xml:space="preserve"> energy transitions, offering cost-effective, renewable, and low-carbon alternatives to fossil fuels</w:t>
      </w:r>
      <w:r>
        <w:rPr>
          <w:rFonts w:cs="Arial"/>
        </w:rPr>
        <w:t xml:space="preserve"> – </w:t>
      </w:r>
      <w:r w:rsidR="00B3542C">
        <w:rPr>
          <w:rFonts w:cs="Arial"/>
        </w:rPr>
        <w:t>particularly</w:t>
      </w:r>
      <w:r w:rsidRPr="00312107">
        <w:rPr>
          <w:rFonts w:cs="Arial"/>
        </w:rPr>
        <w:t xml:space="preserve"> in transport and hard-to-electrify sectors, such as aviation and maritime transportation</w:t>
      </w:r>
      <w:r>
        <w:rPr>
          <w:rFonts w:cs="Arial"/>
        </w:rPr>
        <w:t xml:space="preserve"> </w:t>
      </w:r>
      <w:r w:rsidR="0012277A" w:rsidRPr="007F799B">
        <w:rPr>
          <w:rFonts w:cs="Arial"/>
        </w:rPr>
        <w:fldChar w:fldCharType="begin"/>
      </w:r>
      <w:r w:rsidR="0012277A" w:rsidRPr="007F799B">
        <w:rPr>
          <w:rFonts w:cs="Arial"/>
        </w:rPr>
        <w:instrText xml:space="preserve"> ADDIN ZOTERO_ITEM CSL_CITATION {"citationID":"j8hcqlvO","properties":{"formattedCitation":"(Cantarella et al., 2023; Walter et al., 2026)","plainCitation":"(Cantarella et al., 2023; Walter et al., 2026)","noteIndex":0},"citationItems":[{"id":1574,"uris":["http://zotero.org/users/9333001/items/UTFEIFJY"],"itemData":{"id":1574,"type":"article-journal","abstract":"Abstract\n            This Opinion highlights several successful cases of biofuel technologies recently described by the IEA Bioenergy Intertask Report on Lessons Learned. The report discussed the potential of biofuels to contribute to a significant market supply, thus replacing fossil fuels and mitigating global warming, and it underscores the challenges in expanding biofuel production and replicating successful models between countries and regions. Based on the lessons learned from conventional, established technologies, the authors analyzed policies, feedstocks, products, technologies, economics, environmental concerns, social aspects, scalability, and ease of implementation and replication in different countries or regions. There are blending mandates in place around the world to foster the use of biofuels. Dependence on the availability and price fluctuations of crop feedstocks may limit biofuel production in certain circumstances. Legal restrictions on using food crops as feedstocks present obstacles to scaling up production. Temporary constraints related to feedstock costs and availability, as evidenced by changes and postponements of biofuel blending mandates in various countries (particularly during the COVID</w:instrText>
      </w:r>
      <w:r w:rsidR="0012277A" w:rsidRPr="007F799B">
        <w:rPr>
          <w:rFonts w:ascii="Cambria Math" w:hAnsi="Cambria Math" w:cs="Cambria Math"/>
        </w:rPr>
        <w:instrText>‐</w:instrText>
      </w:r>
      <w:r w:rsidR="0012277A" w:rsidRPr="007F799B">
        <w:rPr>
          <w:rFonts w:cs="Arial"/>
        </w:rPr>
        <w:instrText>19 pandemic) also pose challenges. Technological hurdles exist for advanced biofuels that implicate premium pricing. Still, 2G ethanol from sugarcane meets very strict feedstock requirements with a carbon footprint so low that only electric vehicles charged in Norway could have life</w:instrText>
      </w:r>
      <w:r w:rsidR="0012277A" w:rsidRPr="007F799B">
        <w:rPr>
          <w:rFonts w:ascii="Cambria Math" w:hAnsi="Cambria Math" w:cs="Cambria Math"/>
        </w:rPr>
        <w:instrText>‐</w:instrText>
      </w:r>
      <w:r w:rsidR="0012277A" w:rsidRPr="007F799B">
        <w:rPr>
          <w:rFonts w:cs="Arial"/>
        </w:rPr>
        <w:instrText>cycle GHG emissions at the same level as a 2G ethanol</w:instrText>
      </w:r>
      <w:r w:rsidR="0012277A" w:rsidRPr="007F799B">
        <w:rPr>
          <w:rFonts w:ascii="Cambria Math" w:hAnsi="Cambria Math" w:cs="Cambria Math"/>
        </w:rPr>
        <w:instrText>‐</w:instrText>
      </w:r>
      <w:r w:rsidR="0012277A" w:rsidRPr="007F799B">
        <w:rPr>
          <w:rFonts w:cs="Arial"/>
        </w:rPr>
        <w:instrText>fueled combustion engine car. The authors evaluate whether and how much electrification could contribute to advance the decarbonization efforts in different countries. Drawing from these observations, the authors express their viewpoints to assist researchers and policymakers in the energy sector in formulating viable approaches to combat the climate crisis.","container-title":"GCB Bioenergy","DOI":"10.1111/gcbb.13091","ISSN":"1757-1693, 1757-1707","issue":"10","journalAbbreviation":"GCB Bioenergy","language":"en","page":"1190-1203","source":"DOI.org (Crossref)","title":"Biofuel technologies: Lessons learned and pathways to decarbonization","title-short":"Biofuel technologies","URL":"https://onlinelibrary.wiley.com/doi/10.1111/gcbb.13091","volume":"15","author":[{"family":"Cantarella","given":"Heitor"},{"family":"Leal Silva","given":"Jean Felipe"},{"family":"Nogueira","given":"Luiz Augusto Horta"},{"family":"Maciel Filho","given":"Rubens"},{"family":"Rossetto","given":"Raffaella"},{"family":"Ekbom","given":"Tomas"},{"family":"Souza","given":"Glaucia Mendes"},{"family":"Mueller</w:instrText>
      </w:r>
      <w:r w:rsidR="0012277A" w:rsidRPr="007F799B">
        <w:rPr>
          <w:rFonts w:ascii="Cambria Math" w:hAnsi="Cambria Math" w:cs="Cambria Math"/>
        </w:rPr>
        <w:instrText>‐</w:instrText>
      </w:r>
      <w:r w:rsidR="0012277A" w:rsidRPr="007F799B">
        <w:rPr>
          <w:rFonts w:cs="Arial"/>
        </w:rPr>
        <w:instrText xml:space="preserve">Langer","given":"Franziska"}],"accessed":{"date-parts":[["2026",1,26]]},"issued":{"date-parts":[["2023",10]]}}},{"id":1615,"uris":["http://zotero.org/users/9333001/items/HL3W3EQ7"],"itemData":{"id":1615,"type":"article-journal","container-title":"Energy","DOI":"10.1016/j.energy.2025.139796","ISSN":"03605442","journalAbbreviation":"Energy","language":"en","page":"139796","source":"DOI.org (Crossref)","title":"Potential and prospects for the production of sustainable aviation fuels in Brazil","URL":"https://linkinghub.elsevier.com/retrieve/pii/S0360544225054398","volume":"344","author":[{"family":"Walter","given":"A."},{"family":"Seabra","given":"J.E.A."},{"family":"Moreira","given":"M.M.R."},{"family":"Guarenghi","given":"M.M."},{"family":"Chiodi","given":"L."}],"accessed":{"date-parts":[["2026",4,5]]},"issued":{"date-parts":[["2026",2]]}}}],"schema":"https://github.com/citation-style-language/schema/raw/master/csl-citation.json"} </w:instrText>
      </w:r>
      <w:r w:rsidR="0012277A" w:rsidRPr="007F799B">
        <w:rPr>
          <w:rFonts w:cs="Arial"/>
        </w:rPr>
        <w:fldChar w:fldCharType="separate"/>
      </w:r>
      <w:r w:rsidR="0012277A" w:rsidRPr="007F799B">
        <w:rPr>
          <w:rFonts w:cs="Arial"/>
        </w:rPr>
        <w:t>(Cantarella et al., 2023; Walter et al., 2026)</w:t>
      </w:r>
      <w:r w:rsidR="0012277A" w:rsidRPr="007F799B">
        <w:rPr>
          <w:rFonts w:cs="Arial"/>
        </w:rPr>
        <w:fldChar w:fldCharType="end"/>
      </w:r>
      <w:r w:rsidR="0012277A" w:rsidRPr="007F799B">
        <w:rPr>
          <w:rFonts w:cs="Arial"/>
        </w:rPr>
        <w:t xml:space="preserve">. </w:t>
      </w:r>
      <w:r w:rsidR="00B3542C">
        <w:rPr>
          <w:rFonts w:cs="Arial"/>
        </w:rPr>
        <w:t xml:space="preserve">However, concerns </w:t>
      </w:r>
      <w:r w:rsidR="00AE79DA">
        <w:rPr>
          <w:rFonts w:cs="Arial"/>
        </w:rPr>
        <w:t>about</w:t>
      </w:r>
      <w:r w:rsidR="00DB5E60">
        <w:rPr>
          <w:rFonts w:cs="Arial"/>
        </w:rPr>
        <w:t xml:space="preserve"> </w:t>
      </w:r>
      <w:r w:rsidR="00AC6FDB" w:rsidRPr="00312107">
        <w:rPr>
          <w:rFonts w:cs="Arial"/>
        </w:rPr>
        <w:t xml:space="preserve">biofuels </w:t>
      </w:r>
      <w:r w:rsidR="00AE79DA">
        <w:rPr>
          <w:rFonts w:cs="Arial"/>
        </w:rPr>
        <w:t xml:space="preserve">persist </w:t>
      </w:r>
      <w:r w:rsidR="00AC14F6">
        <w:rPr>
          <w:rFonts w:cs="Arial"/>
        </w:rPr>
        <w:t>on</w:t>
      </w:r>
      <w:r w:rsidR="00AE79DA">
        <w:rPr>
          <w:rFonts w:cs="Arial"/>
        </w:rPr>
        <w:t xml:space="preserve"> </w:t>
      </w:r>
      <w:r w:rsidR="00AC6FDB" w:rsidRPr="00312107">
        <w:rPr>
          <w:rFonts w:cs="Arial"/>
        </w:rPr>
        <w:t xml:space="preserve">issues such as food-versus-fuel competition, direct </w:t>
      </w:r>
      <w:r w:rsidR="000C6AA5">
        <w:rPr>
          <w:rFonts w:cs="Arial"/>
        </w:rPr>
        <w:t>and</w:t>
      </w:r>
      <w:r w:rsidR="000C6AA5" w:rsidRPr="00312107">
        <w:rPr>
          <w:rFonts w:cs="Arial"/>
        </w:rPr>
        <w:t xml:space="preserve"> </w:t>
      </w:r>
      <w:r w:rsidR="00AC6FDB" w:rsidRPr="00312107">
        <w:rPr>
          <w:rFonts w:cs="Arial"/>
        </w:rPr>
        <w:t>indirect land-use changes, and declining productivity</w:t>
      </w:r>
      <w:r w:rsidR="00AC6FDB">
        <w:rPr>
          <w:rFonts w:cs="Arial"/>
        </w:rPr>
        <w:t xml:space="preserve"> </w:t>
      </w:r>
      <w:r w:rsidR="00D9329F">
        <w:rPr>
          <w:rFonts w:cs="Arial"/>
        </w:rPr>
        <w:t xml:space="preserve">in agriculture </w:t>
      </w:r>
      <w:r w:rsidR="00AC6FDB" w:rsidRPr="007F799B">
        <w:rPr>
          <w:rFonts w:cs="Arial"/>
        </w:rPr>
        <w:fldChar w:fldCharType="begin"/>
      </w:r>
      <w:r w:rsidR="00AC6FDB" w:rsidRPr="007F799B">
        <w:rPr>
          <w:rFonts w:cs="Arial"/>
        </w:rPr>
        <w:instrText xml:space="preserve"> ADDIN ZOTERO_ITEM CSL_CITATION {"citationID":"Ba62Ovme","properties":{"formattedCitation":"(Searchinger et al., 2018; Martha Jr and Lima, 2023)","plainCitation":"(Searchinger et al., 2018; Martha Jr and Lima, 2023)","noteIndex":0},"citationItems":[{"id":1572,"uris":["http://zotero.org/users/9333001/items/3GR8RCBB"],"itemData":{"id":1572,"type":"article-journal","container-title":"Nature","DOI":"10.1038/s41586-018-0757-z","ISSN":"0028-0836, 1476-4687","issue":"7735","journalAbbreviation":"Nature","language":"en","page":"249-253","source":"DOI.org (Crossref)","title":"Assessing the efficiency of changes in land use for mitigating climate change","URL":"https://www.nature.com/articles/s41586-018-0757-z","volume":"564","author":[{"family":"Searchinger","given":"Timothy D."},{"family":"Wirsenius","given":"Stefan"},{"family":"Beringer","given":"Tim"},{"family":"Dumas","given":"Patrice"}],"accessed":{"date-parts":[["2026",1,26]]},"issued":{"date-parts":[["2018",12]]}}},{"id":1290,"uris":["http://zotero.org/users/9333001/items/VA8EJIZZ"],"itemData":{"id":1290,"type":"article-journal","abstract":"Os drivers da demanda e da oferta conectados aos “Caminhos Socioeconômicos Compartilhados” (SSP, no inglês) irão impactar a agricultura do futuro. A avaliação dos impactos desses drivers requer abordagens que vão além dos métodos e instrumentos tradicionais das ciências biofísicas. O presente trabalho utiliza um modelo de equilíbrio parcial estático para a agricultura global que incorpora na análise os efeitos das respostas econômicas à escassez que afetam a produção agrícola regional e global e o uso da terra. Até 2050, a produção agrícola se expandirá a taxas diferentes dependendo da região e cenário. Os ganhos de produtividade consolidar-se-ão como um dos principais drivers. O cenário SSP1 (“Sustentabilidade”), de rápido desenvolvimento tecnológico, oferece perspectiva promissora para aumentar a produção agrícola global e reduzir a pressão para expansão de área. No cenário SSP1, a insegurança alimentar cairá de maneira mais acentuada, para 2,8% da população mundial em 2050. Alcançar esse cenário Sustentabilidade exigirá um esforço global articulado para fortalecer as despesas em P&amp;D agropecuário, acompanhado de uma estratégia bem desenhada para traduzir ciência em conhecimentos e em tecnologias capazes de resolver problemas que possam ser transferidos e adotados exitosamente pelos proprietários rurais de maneira a alavancar os ganhos de produtividade ao longo das próximas três décadas.","container-title":"Cadernos de Ciência &amp; Tecnologia","DOI":"10.35977/0104-1096.cct2023.v40.27361","ISSN":"0104-1096","journalAbbreviation":"CCT","page":"27361","source":"DOI.org (Crossref)","title":"How Will Global Agriculture and Food Security Respond to Future Socioeconomic Shocks?","URL":"https://seer.sct.embrapa.br/index.php/cct/article/view/27361","volume":"40","author":[{"family":"Martha Jr","given":"Geraldo Bueno"},{"family":"Lima","given":"Cícero Zanetti De"}],"accessed":{"date-parts":[["2024",3,13]]},"issued":{"date-parts":[["2023",12,28]]}}}],"schema":"https://github.com/citation-style-language/schema/raw/master/csl-citation.json"} </w:instrText>
      </w:r>
      <w:r w:rsidR="00AC6FDB" w:rsidRPr="007F799B">
        <w:rPr>
          <w:rFonts w:cs="Arial"/>
        </w:rPr>
        <w:fldChar w:fldCharType="separate"/>
      </w:r>
      <w:r w:rsidR="00AC6FDB" w:rsidRPr="007F799B">
        <w:rPr>
          <w:rFonts w:cs="Arial"/>
        </w:rPr>
        <w:t>(Cortez and Rosillo-Calle, 2023; Searchinger et al., 2018; EPE, 2025)</w:t>
      </w:r>
      <w:r w:rsidR="00AC6FDB" w:rsidRPr="007F799B">
        <w:rPr>
          <w:rFonts w:cs="Arial"/>
        </w:rPr>
        <w:fldChar w:fldCharType="end"/>
      </w:r>
      <w:r w:rsidR="00AC6FDB" w:rsidRPr="00312107">
        <w:rPr>
          <w:rFonts w:cs="Arial"/>
        </w:rPr>
        <w:t>. Addressing these challenges requires clear policy frameworks, along with the development and implementation of strategies that enhance sustainability and governance, reduce investment risks, foster innovation, and promote income and job creation</w:t>
      </w:r>
      <w:r w:rsidR="00AC6FDB">
        <w:rPr>
          <w:rFonts w:cs="Arial"/>
        </w:rPr>
        <w:t xml:space="preserve"> </w:t>
      </w:r>
      <w:r w:rsidR="00AC6FDB" w:rsidRPr="007F799B">
        <w:rPr>
          <w:rFonts w:cs="Arial"/>
        </w:rPr>
        <w:t>(Cantarella et al., 2023; IRENA, 2025; Lopes and Martha, 2025)</w:t>
      </w:r>
      <w:r w:rsidR="00AC6FDB" w:rsidRPr="00312107">
        <w:rPr>
          <w:rFonts w:cs="Arial"/>
        </w:rPr>
        <w:t xml:space="preserve">. A </w:t>
      </w:r>
      <w:r w:rsidR="00AB7750">
        <w:rPr>
          <w:rFonts w:cs="Arial"/>
        </w:rPr>
        <w:t>critical</w:t>
      </w:r>
      <w:r w:rsidR="00AC6FDB" w:rsidRPr="00312107">
        <w:rPr>
          <w:rFonts w:cs="Arial"/>
        </w:rPr>
        <w:t xml:space="preserve"> challenge </w:t>
      </w:r>
      <w:r w:rsidR="00B23990">
        <w:rPr>
          <w:rFonts w:cs="Arial"/>
        </w:rPr>
        <w:t>is</w:t>
      </w:r>
      <w:r w:rsidR="00AC6FDB" w:rsidRPr="00312107">
        <w:rPr>
          <w:rFonts w:cs="Arial"/>
        </w:rPr>
        <w:t xml:space="preserve"> reversing declining investments in agricultural research and development (R&amp;D) </w:t>
      </w:r>
      <w:r w:rsidR="006A10FA">
        <w:rPr>
          <w:rFonts w:cs="Arial"/>
        </w:rPr>
        <w:t xml:space="preserve">to </w:t>
      </w:r>
      <w:r w:rsidR="00B23990">
        <w:rPr>
          <w:rFonts w:cs="Arial"/>
        </w:rPr>
        <w:t xml:space="preserve">sustain long-term productivity growth </w:t>
      </w:r>
      <w:r w:rsidR="00AC6FDB" w:rsidRPr="00312107">
        <w:rPr>
          <w:rFonts w:cs="Arial"/>
        </w:rPr>
        <w:t xml:space="preserve">(Fuglie, 2018; Martha and Lima, 2023). </w:t>
      </w:r>
      <w:r w:rsidR="00785687">
        <w:rPr>
          <w:rFonts w:cs="Arial"/>
        </w:rPr>
        <w:t>In this context, d</w:t>
      </w:r>
      <w:r w:rsidR="00AC6FDB" w:rsidRPr="00312107">
        <w:rPr>
          <w:rFonts w:cs="Arial"/>
        </w:rPr>
        <w:t xml:space="preserve">igital transformation in agriculture emerges as a key enabler to enhance resource-use efficiency and generate positive spillovers to other sectors of the economy </w:t>
      </w:r>
      <w:r w:rsidR="00AC6FDB" w:rsidRPr="007F799B">
        <w:rPr>
          <w:rFonts w:cs="Arial"/>
        </w:rPr>
        <w:fldChar w:fldCharType="begin"/>
      </w:r>
      <w:r w:rsidR="00AC6FDB" w:rsidRPr="007F799B">
        <w:rPr>
          <w:rFonts w:cs="Arial"/>
        </w:rPr>
        <w:instrText xml:space="preserve"> ADDIN ZOTERO_ITEM CSL_CITATION {"citationID":"D9SyKyms","properties":{"formattedCitation":"(Massruh\\uc0\\u225{} et al., 2023)","plainCitation":"(Massruhá et al., 2023)","noteIndex":0},"citationItems":[{"id":954,"uris":["http://zotero.org/users/9333001/items/C6G2V9UU"],"itemData":{"id":954,"type":"book","abstract":"The expectation that the world population will reach 9 billion inhabitants in 2050, which will increase food demand, imposes a great challenge for agriculture, such as the need to increase productivity in the same planted area, reducing costs, while respecting the conservation of natural resources. At the same time, extreme weather events affect agricultural production and demanding consumers want more nutritious, functional and sustainably produced food. The population is increasingly concentrated in urban centers, while the displacement of individuals from the countryside to the cities grows, as well as the aging of the rural population. In addition, the coronavirus threat has affected all sectors, such as health, education, agribusiness, economy, among others. To overcome all these challenges, it is necessary to generate and use new technologies, adding more value in all stages of the production chains.","ISBN":"978-65-89957-72-0","language":"pt-BR","publisher":"Embrapa","publisher-place":"Brasília, DF","source":"Câmara Brasileira do Livro ISBN","title":"Digital agriculture: research, development and innovation in production chains","title-short":"Digital agriculture","editor":[{"family":"Massruhá","given":"Silvia Maria Fonseca Silveira"},{"family":"Leite","given":"Maria Angelica de Andrade"},{"family":"Oliveira","given":"Stanley Robson de Medeiros"},{"family":"Meira","given":"Carlos Alberto Alves"},{"family":"Luchiari Junior","given":"Ariovaldo"},{"family":"Bolfe","given":"Édson Luis"}],"translator":[{"family":"Young","given":"Beverly Victoria"},{"family":"Mokross","given":"Karl Stephan"}],"issued":{"date-parts":[["2023",4,28]]}}}],"schema":"https://github.com/citation-style-language/schema/raw/master/csl-citation.json"} </w:instrText>
      </w:r>
      <w:r w:rsidR="00AC6FDB" w:rsidRPr="007F799B">
        <w:rPr>
          <w:rFonts w:cs="Arial"/>
        </w:rPr>
        <w:fldChar w:fldCharType="separate"/>
      </w:r>
      <w:r w:rsidR="00AC6FDB" w:rsidRPr="007F799B">
        <w:rPr>
          <w:rFonts w:cs="Arial"/>
        </w:rPr>
        <w:t>(Massruhá et al., 2023</w:t>
      </w:r>
      <w:r w:rsidR="00383F01">
        <w:rPr>
          <w:rFonts w:cs="Arial"/>
        </w:rPr>
        <w:t xml:space="preserve">; </w:t>
      </w:r>
      <w:r w:rsidR="00383F01" w:rsidRPr="007F799B">
        <w:rPr>
          <w:rFonts w:cs="Arial"/>
        </w:rPr>
        <w:t>Lopes and Martha, 2025</w:t>
      </w:r>
      <w:r w:rsidR="00AC6FDB" w:rsidRPr="007F799B">
        <w:rPr>
          <w:rFonts w:cs="Arial"/>
        </w:rPr>
        <w:t>)</w:t>
      </w:r>
      <w:r w:rsidR="00AC6FDB" w:rsidRPr="007F799B">
        <w:rPr>
          <w:rFonts w:cs="Arial"/>
        </w:rPr>
        <w:fldChar w:fldCharType="end"/>
      </w:r>
      <w:r w:rsidR="00AC6FDB" w:rsidRPr="00312107">
        <w:rPr>
          <w:rFonts w:cs="Arial"/>
        </w:rPr>
        <w:t xml:space="preserve">, </w:t>
      </w:r>
      <w:r w:rsidR="0078562C">
        <w:rPr>
          <w:rFonts w:cs="Arial"/>
        </w:rPr>
        <w:t>including</w:t>
      </w:r>
      <w:r w:rsidR="00AC6FDB" w:rsidRPr="00312107">
        <w:rPr>
          <w:rFonts w:cs="Arial"/>
        </w:rPr>
        <w:t xml:space="preserve"> biofuels.</w:t>
      </w:r>
    </w:p>
    <w:p w14:paraId="48055663" w14:textId="7764B5F6" w:rsidR="005E07AB" w:rsidRPr="0087179F" w:rsidRDefault="0063409E" w:rsidP="0087179F">
      <w:pPr>
        <w:pStyle w:val="CETReference"/>
        <w:rPr>
          <w:lang w:val="en-US"/>
        </w:rPr>
      </w:pPr>
      <w:r w:rsidRPr="0087179F">
        <w:rPr>
          <w:lang w:val="en-US"/>
        </w:rPr>
        <w:t>Acknowledgments</w:t>
      </w:r>
    </w:p>
    <w:p w14:paraId="37E7BA32" w14:textId="7EE2DAEC" w:rsidR="000028AC" w:rsidRPr="00D06F87" w:rsidRDefault="00DF4525" w:rsidP="00A802A7">
      <w:pPr>
        <w:pStyle w:val="CETBodytext"/>
      </w:pPr>
      <w:r w:rsidRPr="00D06F87">
        <w:t>We acknowledge the support of FAPESP</w:t>
      </w:r>
      <w:r w:rsidR="002E076F">
        <w:t>,</w:t>
      </w:r>
      <w:r w:rsidR="00D06F87" w:rsidRPr="00D06F87">
        <w:t xml:space="preserve"> </w:t>
      </w:r>
      <w:r w:rsidRPr="00D06F87">
        <w:t>Project</w:t>
      </w:r>
      <w:r w:rsidR="00D06F87">
        <w:t xml:space="preserve"> </w:t>
      </w:r>
      <w:r w:rsidRPr="00D06F87">
        <w:t>“Center of Science for Development in Digital Agriculture” (2022/09319-9).</w:t>
      </w:r>
      <w:r w:rsidR="008E715B">
        <w:t xml:space="preserve"> Geraldo Martha</w:t>
      </w:r>
      <w:r w:rsidR="00BB5B13">
        <w:t xml:space="preserve"> is a</w:t>
      </w:r>
      <w:r w:rsidR="00C8358C">
        <w:t>lso a</w:t>
      </w:r>
      <w:r w:rsidR="00BB5B13">
        <w:t xml:space="preserve"> Graduate Professor at </w:t>
      </w:r>
      <w:r w:rsidR="00C8358C">
        <w:t>the Program</w:t>
      </w:r>
      <w:r w:rsidR="00E564FD">
        <w:t>s</w:t>
      </w:r>
      <w:r w:rsidR="00C8358C">
        <w:t xml:space="preserve"> on Energy Systems Planning</w:t>
      </w:r>
      <w:r w:rsidR="00F946E7">
        <w:t xml:space="preserve"> </w:t>
      </w:r>
      <w:r w:rsidR="00C8358C">
        <w:t>(</w:t>
      </w:r>
      <w:r w:rsidR="00F946E7">
        <w:t>PSE-FEM-</w:t>
      </w:r>
      <w:r w:rsidR="00C8358C">
        <w:t>Unicamp)</w:t>
      </w:r>
      <w:r w:rsidR="00E564FD">
        <w:t xml:space="preserve"> and Economic Development (</w:t>
      </w:r>
      <w:r w:rsidR="009005AA">
        <w:t>CEA-IE-Unicamp)</w:t>
      </w:r>
      <w:r w:rsidR="00F946E7">
        <w:t>.</w:t>
      </w:r>
    </w:p>
    <w:p w14:paraId="044B699A" w14:textId="4BE9FD6F" w:rsidR="0063409E" w:rsidRPr="0087179F" w:rsidRDefault="0063409E" w:rsidP="0087179F">
      <w:pPr>
        <w:pStyle w:val="CETReference"/>
        <w:rPr>
          <w:lang w:val="en-US"/>
        </w:rPr>
      </w:pPr>
      <w:r w:rsidRPr="0087179F">
        <w:rPr>
          <w:lang w:val="en-US"/>
        </w:rPr>
        <w:t>References</w:t>
      </w:r>
    </w:p>
    <w:p w14:paraId="1E72D6EA" w14:textId="5DA9BF11" w:rsidR="00B935FE" w:rsidRPr="00B935FE" w:rsidRDefault="002F621B" w:rsidP="00692C12">
      <w:pPr>
        <w:pStyle w:val="Bibliografia"/>
        <w:ind w:left="284" w:hanging="284"/>
      </w:pPr>
      <w:r>
        <w:fldChar w:fldCharType="begin"/>
      </w:r>
      <w:r w:rsidR="000C6D1C">
        <w:instrText xml:space="preserve"> ADDIN ZOTERO_BIBL {"uncited":[],"omitted":[],"custom":[]} CSL_BIBLIOGRAPHY </w:instrText>
      </w:r>
      <w:r>
        <w:fldChar w:fldCharType="separate"/>
      </w:r>
      <w:r w:rsidR="00B935FE" w:rsidRPr="00B935FE">
        <w:t>Baer, W., 2008</w:t>
      </w:r>
      <w:r w:rsidR="003E682F">
        <w:t>,</w:t>
      </w:r>
      <w:r w:rsidR="003E682F" w:rsidRPr="00B935FE">
        <w:t xml:space="preserve"> </w:t>
      </w:r>
      <w:r w:rsidR="00B935FE" w:rsidRPr="00B935FE">
        <w:t>The Brazilian economy: growth and development</w:t>
      </w:r>
      <w:r w:rsidR="00336F60">
        <w:t>,</w:t>
      </w:r>
      <w:r w:rsidR="00336F60" w:rsidRPr="00B935FE">
        <w:t xml:space="preserve"> </w:t>
      </w:r>
      <w:r w:rsidR="00B935FE" w:rsidRPr="00B935FE">
        <w:t xml:space="preserve">Lynne Rienner Publishers, Boulder, </w:t>
      </w:r>
      <w:r w:rsidR="00642763">
        <w:t>USA</w:t>
      </w:r>
      <w:r w:rsidR="00B935FE" w:rsidRPr="00B935FE">
        <w:t>.</w:t>
      </w:r>
    </w:p>
    <w:p w14:paraId="36AB8A6D" w14:textId="19D384EF" w:rsidR="00B935FE" w:rsidRPr="00B935FE" w:rsidRDefault="00B935FE" w:rsidP="00692C12">
      <w:pPr>
        <w:pStyle w:val="Bibliografia"/>
        <w:ind w:left="284" w:hanging="284"/>
      </w:pPr>
      <w:r w:rsidRPr="00B935FE">
        <w:t>Brinkman, M.L.J., Da Cunha, M.P., Heijnen, S., Wicke, B., Guilhoto, J.J.M., Walter, A., Faaij, A.P.C., Van Der Hilst, F., 2018</w:t>
      </w:r>
      <w:r w:rsidR="003E682F">
        <w:t>,</w:t>
      </w:r>
      <w:r w:rsidR="003E682F" w:rsidRPr="00B935FE">
        <w:t xml:space="preserve"> </w:t>
      </w:r>
      <w:r w:rsidRPr="00B935FE">
        <w:t>Interregional assessment of socio-economic effects of sugarcane ethanol production in Brazil</w:t>
      </w:r>
      <w:r w:rsidR="00AB0266">
        <w:t>,</w:t>
      </w:r>
      <w:r w:rsidR="00AB0266" w:rsidRPr="00B935FE">
        <w:t xml:space="preserve"> </w:t>
      </w:r>
      <w:r w:rsidRPr="00B935FE">
        <w:t>Renewable and Sustainable Energy Reviews</w:t>
      </w:r>
      <w:r w:rsidR="002B63C8">
        <w:t>,</w:t>
      </w:r>
      <w:r w:rsidRPr="00B935FE">
        <w:t xml:space="preserve"> 88, 347–362. https://doi.org/10.1016/j.rser.2018.02.014</w:t>
      </w:r>
    </w:p>
    <w:p w14:paraId="6DEA5302" w14:textId="1B77EC68" w:rsidR="00B935FE" w:rsidRPr="00B935FE" w:rsidRDefault="00B935FE" w:rsidP="00692C12">
      <w:pPr>
        <w:pStyle w:val="Bibliografia"/>
        <w:ind w:left="284" w:hanging="284"/>
      </w:pPr>
      <w:r w:rsidRPr="00B935FE">
        <w:t>Cantarella, H., Leal Silva, J.F., Nogueira, L.A.H., Maciel Filho, R., Rossetto, R., Ekbom, T., Souza, G.M., Mueller</w:t>
      </w:r>
      <w:r w:rsidRPr="00B935FE">
        <w:rPr>
          <w:rFonts w:ascii="Cambria Math" w:hAnsi="Cambria Math" w:cs="Cambria Math"/>
        </w:rPr>
        <w:t>‐</w:t>
      </w:r>
      <w:r w:rsidRPr="00B935FE">
        <w:t>Langer, F., 2023</w:t>
      </w:r>
      <w:r w:rsidR="003E682F">
        <w:t>,</w:t>
      </w:r>
      <w:r w:rsidR="003E682F" w:rsidRPr="00B935FE">
        <w:t xml:space="preserve"> </w:t>
      </w:r>
      <w:r w:rsidRPr="00B935FE">
        <w:t>Biofuel technologies: Lessons learned and pathways to decarbonization</w:t>
      </w:r>
      <w:r w:rsidR="002B63C8">
        <w:t>,</w:t>
      </w:r>
      <w:r w:rsidR="002B63C8" w:rsidRPr="00B935FE">
        <w:t xml:space="preserve"> </w:t>
      </w:r>
      <w:r w:rsidRPr="00B935FE">
        <w:t>GCB Bioenergy</w:t>
      </w:r>
      <w:r w:rsidR="002B63C8">
        <w:t>,</w:t>
      </w:r>
      <w:r w:rsidRPr="00B935FE">
        <w:t xml:space="preserve"> 15, 1190</w:t>
      </w:r>
      <w:r w:rsidRPr="00B935FE">
        <w:rPr>
          <w:rFonts w:cs="Arial"/>
        </w:rPr>
        <w:t>–</w:t>
      </w:r>
      <w:r w:rsidRPr="00B935FE">
        <w:t>1203. https://doi.org/10.1111/gcbb.13091</w:t>
      </w:r>
    </w:p>
    <w:p w14:paraId="517F64A5" w14:textId="556F4875" w:rsidR="00B935FE" w:rsidRPr="00B935FE" w:rsidRDefault="00B935FE" w:rsidP="00692C12">
      <w:pPr>
        <w:pStyle w:val="Bibliografia"/>
        <w:ind w:left="284" w:hanging="284"/>
      </w:pPr>
      <w:r w:rsidRPr="00D10ABA">
        <w:t>Cortez, L.A.B., Rosillo-Calle, F., 2023</w:t>
      </w:r>
      <w:r w:rsidR="003E682F" w:rsidRPr="00692C12">
        <w:rPr>
          <w:lang w:val="en-US"/>
        </w:rPr>
        <w:t>,</w:t>
      </w:r>
      <w:r w:rsidR="003E682F" w:rsidRPr="00D10ABA">
        <w:t xml:space="preserve"> </w:t>
      </w:r>
      <w:r w:rsidRPr="00B935FE">
        <w:t>The future role of biofuels in the new energy transition: Lessons and perspectives of biofuels in Brazil</w:t>
      </w:r>
      <w:r w:rsidR="00DF19FF">
        <w:t>,</w:t>
      </w:r>
      <w:r w:rsidR="00DF19FF" w:rsidRPr="00B935FE">
        <w:t xml:space="preserve"> </w:t>
      </w:r>
      <w:r w:rsidRPr="00B935FE">
        <w:t>Editora Edgard Blucher, São Paulo, SP.</w:t>
      </w:r>
    </w:p>
    <w:p w14:paraId="1F44DD98" w14:textId="293B9D3A" w:rsidR="00B935FE" w:rsidRPr="00B935FE" w:rsidRDefault="00B935FE" w:rsidP="00692C12">
      <w:pPr>
        <w:pStyle w:val="Bibliografia"/>
        <w:ind w:left="284" w:hanging="284"/>
      </w:pPr>
      <w:r w:rsidRPr="00B935FE">
        <w:t>EPE, 2025</w:t>
      </w:r>
      <w:r w:rsidR="003E682F">
        <w:t>,</w:t>
      </w:r>
      <w:r w:rsidR="003E682F" w:rsidRPr="00B935FE">
        <w:t xml:space="preserve"> </w:t>
      </w:r>
      <w:r w:rsidRPr="00B935FE">
        <w:t>Analysis of Current Biofuels Outlook – Year 2024</w:t>
      </w:r>
      <w:r w:rsidR="00896662">
        <w:t xml:space="preserve"> &lt; </w:t>
      </w:r>
      <w:r w:rsidR="00896662" w:rsidRPr="00896662">
        <w:t>https://www.epe.gov.br/en/publications/publications/analysis-of-biofuels%C2%B4current-outlook-2024</w:t>
      </w:r>
      <w:r w:rsidR="00896662">
        <w:t xml:space="preserve"> &gt;</w:t>
      </w:r>
      <w:r w:rsidRPr="00B935FE">
        <w:t>.</w:t>
      </w:r>
    </w:p>
    <w:p w14:paraId="434D8B01" w14:textId="426ABAB0" w:rsidR="003F43F1" w:rsidRDefault="003F43F1">
      <w:pPr>
        <w:pStyle w:val="Bibliografia"/>
        <w:ind w:left="284" w:hanging="284"/>
      </w:pPr>
      <w:r w:rsidRPr="003F43F1">
        <w:t>Fuglie, K.O., 2018</w:t>
      </w:r>
      <w:r>
        <w:t>,</w:t>
      </w:r>
      <w:r w:rsidRPr="003F43F1">
        <w:t xml:space="preserve"> R&amp;D Capital, R&amp;D Spillovers, and Productivity Growth in World Agriculture. Applied Economic Perspectives and Policy</w:t>
      </w:r>
      <w:r w:rsidR="000146A4">
        <w:t>,</w:t>
      </w:r>
      <w:r w:rsidRPr="003F43F1">
        <w:t xml:space="preserve"> 40, 421–444. https://doi.org/10.1093/aepp/ppx045</w:t>
      </w:r>
    </w:p>
    <w:p w14:paraId="2FF5C6EB" w14:textId="27AF606B" w:rsidR="00B935FE" w:rsidRPr="00B935FE" w:rsidRDefault="00B935FE" w:rsidP="00692C12">
      <w:pPr>
        <w:pStyle w:val="Bibliografia"/>
        <w:ind w:left="284" w:hanging="284"/>
      </w:pPr>
      <w:r w:rsidRPr="00B935FE">
        <w:t>Guilhoto, J.J.M., 2011</w:t>
      </w:r>
      <w:r w:rsidR="003E682F">
        <w:t>,</w:t>
      </w:r>
      <w:r w:rsidR="003E682F" w:rsidRPr="00B935FE">
        <w:t xml:space="preserve"> </w:t>
      </w:r>
      <w:r w:rsidRPr="00B935FE">
        <w:t>Input-Output Analysis: Theory and Foundations (</w:t>
      </w:r>
      <w:r w:rsidR="003E682F">
        <w:t>in Portuguese</w:t>
      </w:r>
      <w:r w:rsidRPr="00B935FE">
        <w:t>). SSRN Journal. https://doi.org/10.2139/ssrn.1900073</w:t>
      </w:r>
    </w:p>
    <w:p w14:paraId="02DCEFC7" w14:textId="7BF08965" w:rsidR="00B935FE" w:rsidRPr="00B935FE" w:rsidRDefault="00B935FE" w:rsidP="00692C12">
      <w:pPr>
        <w:pStyle w:val="Bibliografia"/>
        <w:ind w:left="284" w:hanging="284"/>
      </w:pPr>
      <w:r w:rsidRPr="00B935FE">
        <w:t>IRENA, 2025</w:t>
      </w:r>
      <w:r w:rsidR="003E682F">
        <w:t>,</w:t>
      </w:r>
      <w:r w:rsidR="003E682F" w:rsidRPr="00B935FE">
        <w:t xml:space="preserve"> </w:t>
      </w:r>
      <w:r w:rsidRPr="00B935FE">
        <w:t>Brazil’s biofuel industry: Lessons, challenges and opportunities</w:t>
      </w:r>
      <w:r w:rsidR="00DF19FF">
        <w:t>,</w:t>
      </w:r>
      <w:r w:rsidR="00DF19FF" w:rsidRPr="00B935FE">
        <w:t xml:space="preserve"> </w:t>
      </w:r>
      <w:r w:rsidRPr="00B935FE">
        <w:t>IRENA (International Renewable Energy Agency), Abu Dhabi</w:t>
      </w:r>
      <w:r w:rsidR="000502E0">
        <w:t xml:space="preserve">, </w:t>
      </w:r>
      <w:r w:rsidR="000502E0" w:rsidRPr="000502E0">
        <w:t>United Arab Emirates</w:t>
      </w:r>
      <w:r w:rsidRPr="00B935FE">
        <w:t>.</w:t>
      </w:r>
    </w:p>
    <w:p w14:paraId="10C176D7" w14:textId="5D18C345" w:rsidR="00DF77A3" w:rsidRPr="00B935FE" w:rsidRDefault="00DF77A3" w:rsidP="00692C12">
      <w:pPr>
        <w:pStyle w:val="Bibliografia"/>
        <w:ind w:left="284" w:hanging="284"/>
      </w:pPr>
      <w:r w:rsidRPr="00DF77A3">
        <w:t>Lopes, M.A., Martha, G.B., 2025. Pathways to sustainability in Brazilian agriculture: technological drivers, governance, and policy linkages. Current Opinion in Environmental Sustainability 77, 101583. https://doi.org/10.1016/j.cosust.2025.101583</w:t>
      </w:r>
    </w:p>
    <w:p w14:paraId="786496CB" w14:textId="4337E907" w:rsidR="00B935FE" w:rsidRPr="00D10ABA" w:rsidRDefault="00B935FE" w:rsidP="00692C12">
      <w:pPr>
        <w:pStyle w:val="Bibliografia"/>
        <w:ind w:left="284" w:hanging="284"/>
      </w:pPr>
      <w:r w:rsidRPr="00B935FE">
        <w:t>Martha Jr, G.B., Lima, C.Z.D., 2023</w:t>
      </w:r>
      <w:r w:rsidR="003E682F">
        <w:t>,</w:t>
      </w:r>
      <w:r w:rsidR="003E682F" w:rsidRPr="00B935FE">
        <w:t xml:space="preserve"> </w:t>
      </w:r>
      <w:r w:rsidRPr="00B935FE">
        <w:t>How Will Global Agriculture and Food Security Respond to Future Socioeconomic Shocks?</w:t>
      </w:r>
      <w:r w:rsidR="002B63C8">
        <w:t>,</w:t>
      </w:r>
      <w:r w:rsidRPr="00B935FE">
        <w:t xml:space="preserve"> </w:t>
      </w:r>
      <w:r w:rsidRPr="00D10ABA">
        <w:t>C</w:t>
      </w:r>
      <w:r w:rsidR="002B63C8">
        <w:rPr>
          <w:lang w:val="en-US"/>
        </w:rPr>
        <w:t xml:space="preserve">adernos de </w:t>
      </w:r>
      <w:r w:rsidRPr="00D10ABA">
        <w:t>C</w:t>
      </w:r>
      <w:r w:rsidR="002B63C8">
        <w:rPr>
          <w:lang w:val="en-US"/>
        </w:rPr>
        <w:t xml:space="preserve">iência &amp; </w:t>
      </w:r>
      <w:r w:rsidRPr="00D10ABA">
        <w:t>T</w:t>
      </w:r>
      <w:r w:rsidR="002B63C8">
        <w:rPr>
          <w:lang w:val="en-US"/>
        </w:rPr>
        <w:t>ecnologia</w:t>
      </w:r>
      <w:r w:rsidR="002B63C8" w:rsidRPr="00692C12">
        <w:rPr>
          <w:lang w:val="en-US"/>
        </w:rPr>
        <w:t>,</w:t>
      </w:r>
      <w:r w:rsidR="002B63C8">
        <w:rPr>
          <w:lang w:val="en-US"/>
        </w:rPr>
        <w:t xml:space="preserve"> </w:t>
      </w:r>
      <w:r w:rsidRPr="00D10ABA">
        <w:t>40, 27361. https://doi.org/10.35977/0104-1096.cct2023.v40.27361</w:t>
      </w:r>
    </w:p>
    <w:p w14:paraId="45F9F4E3" w14:textId="76300079" w:rsidR="00B935FE" w:rsidRPr="00D10ABA" w:rsidRDefault="00B935FE" w:rsidP="00692C12">
      <w:pPr>
        <w:pStyle w:val="Bibliografia"/>
        <w:ind w:left="284" w:hanging="284"/>
      </w:pPr>
      <w:r w:rsidRPr="00692C12">
        <w:t>Massruhá, S.M.F.S., Leite, M.A.</w:t>
      </w:r>
      <w:r w:rsidRPr="00D10ABA">
        <w:t>A., Oliveira, S.R.M., Meira, C.A.A., Luchiari Junior, A., Bolfe, É.L. (Eds.), 2023</w:t>
      </w:r>
      <w:r w:rsidR="003E682F" w:rsidRPr="00692C12">
        <w:rPr>
          <w:lang w:val="en-US"/>
        </w:rPr>
        <w:t>,</w:t>
      </w:r>
      <w:r w:rsidR="003E682F" w:rsidRPr="00D10ABA">
        <w:t xml:space="preserve"> </w:t>
      </w:r>
      <w:r w:rsidRPr="00D10ABA">
        <w:t>Digital agriculture: research, development and innovation in production chains</w:t>
      </w:r>
      <w:r w:rsidR="00336F60">
        <w:rPr>
          <w:lang w:val="en-US"/>
        </w:rPr>
        <w:t>,</w:t>
      </w:r>
      <w:r w:rsidR="00336F60" w:rsidRPr="00D10ABA">
        <w:t xml:space="preserve"> </w:t>
      </w:r>
      <w:r w:rsidRPr="00D10ABA">
        <w:t>Embrapa, Brasília, DF</w:t>
      </w:r>
      <w:r w:rsidR="00E572CC" w:rsidRPr="00D10ABA">
        <w:t>, Brazil</w:t>
      </w:r>
      <w:r w:rsidRPr="00D10ABA">
        <w:t>.</w:t>
      </w:r>
    </w:p>
    <w:p w14:paraId="21348E25" w14:textId="06934DAD" w:rsidR="00B935FE" w:rsidRPr="00B935FE" w:rsidRDefault="00B935FE" w:rsidP="00692C12">
      <w:pPr>
        <w:pStyle w:val="Bibliografia"/>
        <w:ind w:left="284" w:hanging="284"/>
      </w:pPr>
      <w:r w:rsidRPr="00B935FE">
        <w:t>Miller, R.E., Blair, P.D., 2009</w:t>
      </w:r>
      <w:r w:rsidR="003E682F">
        <w:t>,</w:t>
      </w:r>
      <w:r w:rsidR="003E682F" w:rsidRPr="00B935FE">
        <w:t xml:space="preserve"> </w:t>
      </w:r>
      <w:r w:rsidRPr="00B935FE">
        <w:t>Input-output analysis: foundations and extensions, 2nd ed. Cambridge University Press, Cambridge</w:t>
      </w:r>
      <w:r w:rsidR="00642763">
        <w:t>, UK</w:t>
      </w:r>
      <w:r w:rsidRPr="00B935FE">
        <w:t>.</w:t>
      </w:r>
    </w:p>
    <w:p w14:paraId="783DE792" w14:textId="0DE3B38A" w:rsidR="00B935FE" w:rsidRPr="00B935FE" w:rsidRDefault="00B935FE" w:rsidP="00692C12">
      <w:pPr>
        <w:pStyle w:val="Bibliografia"/>
        <w:ind w:left="284" w:hanging="284"/>
      </w:pPr>
      <w:r w:rsidRPr="00B935FE">
        <w:t>Searchinger, T.D., Wirsenius, S., Beringer, T., Dumas, P., 2018</w:t>
      </w:r>
      <w:r w:rsidR="003E682F">
        <w:t>,</w:t>
      </w:r>
      <w:r w:rsidR="003E682F" w:rsidRPr="00B935FE">
        <w:t xml:space="preserve"> </w:t>
      </w:r>
      <w:r w:rsidRPr="00B935FE">
        <w:t>Assessing the efficiency of changes in land use for mitigating climate change</w:t>
      </w:r>
      <w:r w:rsidR="00E572CC">
        <w:t>,</w:t>
      </w:r>
      <w:r w:rsidR="00E572CC" w:rsidRPr="00B935FE">
        <w:t xml:space="preserve"> </w:t>
      </w:r>
      <w:r w:rsidRPr="00B935FE">
        <w:t>Nature</w:t>
      </w:r>
      <w:r w:rsidR="00E572CC">
        <w:t>,</w:t>
      </w:r>
      <w:r w:rsidRPr="00B935FE">
        <w:t xml:space="preserve"> 564, 249–253. https://doi.org/10.1038/s41586-018-0757-z</w:t>
      </w:r>
    </w:p>
    <w:p w14:paraId="1085729B" w14:textId="748F956E" w:rsidR="00AF4B0D" w:rsidRDefault="00B935FE">
      <w:pPr>
        <w:pStyle w:val="Bibliografia"/>
        <w:ind w:left="284" w:hanging="284"/>
      </w:pPr>
      <w:r w:rsidRPr="00B935FE">
        <w:t>Walter, A., Seabra, J.E.A., Moreira, M.M.R., Guarenghi, M.M., Chiodi, L., 2026</w:t>
      </w:r>
      <w:r w:rsidR="003E682F">
        <w:t>,</w:t>
      </w:r>
      <w:r w:rsidR="003E682F" w:rsidRPr="00B935FE">
        <w:t xml:space="preserve"> </w:t>
      </w:r>
      <w:r w:rsidRPr="00B935FE">
        <w:t>Potential and prospects for the production of sustainable aviation fuels in Brazil. Energy 344, 139796. https://doi.org/10.1016/j.energy.2025.139796</w:t>
      </w:r>
      <w:r w:rsidR="002F621B">
        <w:fldChar w:fldCharType="end"/>
      </w:r>
    </w:p>
    <w:p w14:paraId="78B416E5" w14:textId="77777777" w:rsidR="00DF77A3" w:rsidRDefault="00DF77A3" w:rsidP="00DF77A3">
      <w:pPr>
        <w:pStyle w:val="CETBodytext"/>
        <w:rPr>
          <w:lang w:val="en-GB"/>
        </w:rPr>
      </w:pPr>
    </w:p>
    <w:p w14:paraId="26A7B3FD" w14:textId="01C291DB" w:rsidR="00DF77A3" w:rsidRPr="00692C12" w:rsidRDefault="00DF77A3" w:rsidP="00692C12">
      <w:pPr>
        <w:pStyle w:val="CETBodytext"/>
        <w:tabs>
          <w:tab w:val="clear" w:pos="7100"/>
          <w:tab w:val="left" w:pos="3864"/>
        </w:tabs>
        <w:rPr>
          <w:lang w:val="en-GB"/>
        </w:rPr>
      </w:pPr>
    </w:p>
    <w:sectPr w:rsidR="00DF77A3" w:rsidRPr="00692C12" w:rsidSect="008314D7">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AE7E5" w14:textId="77777777" w:rsidR="00EF3601" w:rsidRDefault="00EF3601" w:rsidP="004F5E36">
      <w:r>
        <w:separator/>
      </w:r>
    </w:p>
  </w:endnote>
  <w:endnote w:type="continuationSeparator" w:id="0">
    <w:p w14:paraId="680FF767" w14:textId="77777777" w:rsidR="00EF3601" w:rsidRDefault="00EF360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F9218" w14:textId="77777777" w:rsidR="00EF3601" w:rsidRDefault="00EF3601" w:rsidP="004F5E36">
      <w:r>
        <w:separator/>
      </w:r>
    </w:p>
  </w:footnote>
  <w:footnote w:type="continuationSeparator" w:id="0">
    <w:p w14:paraId="784865AC" w14:textId="77777777" w:rsidR="00EF3601" w:rsidRDefault="00EF3601"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aSimples-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 w:numId="23" w16cid:durableId="1378512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00CA"/>
    <w:rsid w:val="00000861"/>
    <w:rsid w:val="00000A3E"/>
    <w:rsid w:val="00001661"/>
    <w:rsid w:val="0000182C"/>
    <w:rsid w:val="000027C0"/>
    <w:rsid w:val="000028AC"/>
    <w:rsid w:val="00004D37"/>
    <w:rsid w:val="000052FB"/>
    <w:rsid w:val="000053C7"/>
    <w:rsid w:val="00005884"/>
    <w:rsid w:val="00005A19"/>
    <w:rsid w:val="00006F8D"/>
    <w:rsid w:val="00007D22"/>
    <w:rsid w:val="00010189"/>
    <w:rsid w:val="000117CB"/>
    <w:rsid w:val="00011EC2"/>
    <w:rsid w:val="00011F88"/>
    <w:rsid w:val="00012CEB"/>
    <w:rsid w:val="00013136"/>
    <w:rsid w:val="00013D2D"/>
    <w:rsid w:val="000146A4"/>
    <w:rsid w:val="0001542F"/>
    <w:rsid w:val="00015795"/>
    <w:rsid w:val="00020D52"/>
    <w:rsid w:val="00021399"/>
    <w:rsid w:val="00022A49"/>
    <w:rsid w:val="00023584"/>
    <w:rsid w:val="00023CD3"/>
    <w:rsid w:val="0002441F"/>
    <w:rsid w:val="000250F6"/>
    <w:rsid w:val="00025AA0"/>
    <w:rsid w:val="000263E9"/>
    <w:rsid w:val="000264F7"/>
    <w:rsid w:val="00026DF9"/>
    <w:rsid w:val="00026E88"/>
    <w:rsid w:val="00027749"/>
    <w:rsid w:val="0003148D"/>
    <w:rsid w:val="00031EEC"/>
    <w:rsid w:val="000333A1"/>
    <w:rsid w:val="00033F9C"/>
    <w:rsid w:val="00035163"/>
    <w:rsid w:val="00035760"/>
    <w:rsid w:val="00036299"/>
    <w:rsid w:val="00037FCB"/>
    <w:rsid w:val="00041029"/>
    <w:rsid w:val="00042570"/>
    <w:rsid w:val="00042622"/>
    <w:rsid w:val="00042C00"/>
    <w:rsid w:val="00043B60"/>
    <w:rsid w:val="00043F7B"/>
    <w:rsid w:val="00044B65"/>
    <w:rsid w:val="00045B34"/>
    <w:rsid w:val="000502E0"/>
    <w:rsid w:val="00051151"/>
    <w:rsid w:val="000513C3"/>
    <w:rsid w:val="00051566"/>
    <w:rsid w:val="000520C2"/>
    <w:rsid w:val="00053489"/>
    <w:rsid w:val="000535E6"/>
    <w:rsid w:val="000536FC"/>
    <w:rsid w:val="0005416A"/>
    <w:rsid w:val="00054EED"/>
    <w:rsid w:val="000556A1"/>
    <w:rsid w:val="000559BE"/>
    <w:rsid w:val="000562A9"/>
    <w:rsid w:val="00056861"/>
    <w:rsid w:val="000570A4"/>
    <w:rsid w:val="000603A1"/>
    <w:rsid w:val="00061308"/>
    <w:rsid w:val="0006146C"/>
    <w:rsid w:val="0006224C"/>
    <w:rsid w:val="00062A9A"/>
    <w:rsid w:val="0006373C"/>
    <w:rsid w:val="00063F1E"/>
    <w:rsid w:val="000647E1"/>
    <w:rsid w:val="00064F25"/>
    <w:rsid w:val="00065058"/>
    <w:rsid w:val="00065F33"/>
    <w:rsid w:val="00066A4E"/>
    <w:rsid w:val="000679D6"/>
    <w:rsid w:val="00070821"/>
    <w:rsid w:val="00071119"/>
    <w:rsid w:val="00071F89"/>
    <w:rsid w:val="00072550"/>
    <w:rsid w:val="000728E4"/>
    <w:rsid w:val="000735A8"/>
    <w:rsid w:val="00074130"/>
    <w:rsid w:val="00074A03"/>
    <w:rsid w:val="00074C35"/>
    <w:rsid w:val="000761D2"/>
    <w:rsid w:val="00076AD2"/>
    <w:rsid w:val="0007714E"/>
    <w:rsid w:val="000774EF"/>
    <w:rsid w:val="00081018"/>
    <w:rsid w:val="00081380"/>
    <w:rsid w:val="00081DDB"/>
    <w:rsid w:val="00082157"/>
    <w:rsid w:val="00082279"/>
    <w:rsid w:val="00082631"/>
    <w:rsid w:val="00085364"/>
    <w:rsid w:val="00085477"/>
    <w:rsid w:val="00086C39"/>
    <w:rsid w:val="000902E6"/>
    <w:rsid w:val="00090ABC"/>
    <w:rsid w:val="00090D3A"/>
    <w:rsid w:val="00091BEA"/>
    <w:rsid w:val="00092E86"/>
    <w:rsid w:val="00092F06"/>
    <w:rsid w:val="00094067"/>
    <w:rsid w:val="00094CFD"/>
    <w:rsid w:val="00095713"/>
    <w:rsid w:val="00096793"/>
    <w:rsid w:val="000970C0"/>
    <w:rsid w:val="000978B7"/>
    <w:rsid w:val="00097A01"/>
    <w:rsid w:val="000A03B2"/>
    <w:rsid w:val="000A0891"/>
    <w:rsid w:val="000A0A6D"/>
    <w:rsid w:val="000A0C5D"/>
    <w:rsid w:val="000A0F0F"/>
    <w:rsid w:val="000A1380"/>
    <w:rsid w:val="000A2CD0"/>
    <w:rsid w:val="000A378D"/>
    <w:rsid w:val="000A4700"/>
    <w:rsid w:val="000A4FEF"/>
    <w:rsid w:val="000A6608"/>
    <w:rsid w:val="000A6E51"/>
    <w:rsid w:val="000B03C0"/>
    <w:rsid w:val="000B2A00"/>
    <w:rsid w:val="000B39D2"/>
    <w:rsid w:val="000B3A04"/>
    <w:rsid w:val="000B3A48"/>
    <w:rsid w:val="000B3CB5"/>
    <w:rsid w:val="000B4658"/>
    <w:rsid w:val="000B46A4"/>
    <w:rsid w:val="000B5611"/>
    <w:rsid w:val="000B645D"/>
    <w:rsid w:val="000B6479"/>
    <w:rsid w:val="000B64A2"/>
    <w:rsid w:val="000B6597"/>
    <w:rsid w:val="000B6A6B"/>
    <w:rsid w:val="000B6B02"/>
    <w:rsid w:val="000B7A3E"/>
    <w:rsid w:val="000B7B0E"/>
    <w:rsid w:val="000C0B18"/>
    <w:rsid w:val="000C0D10"/>
    <w:rsid w:val="000C168B"/>
    <w:rsid w:val="000C1B6A"/>
    <w:rsid w:val="000C1C66"/>
    <w:rsid w:val="000C246D"/>
    <w:rsid w:val="000C2E59"/>
    <w:rsid w:val="000C339E"/>
    <w:rsid w:val="000C4A0A"/>
    <w:rsid w:val="000C4D74"/>
    <w:rsid w:val="000C59E0"/>
    <w:rsid w:val="000C640F"/>
    <w:rsid w:val="000C681E"/>
    <w:rsid w:val="000C6AA5"/>
    <w:rsid w:val="000C6D1C"/>
    <w:rsid w:val="000C6D6A"/>
    <w:rsid w:val="000C7FCC"/>
    <w:rsid w:val="000D0012"/>
    <w:rsid w:val="000D0268"/>
    <w:rsid w:val="000D0E15"/>
    <w:rsid w:val="000D0E6E"/>
    <w:rsid w:val="000D305C"/>
    <w:rsid w:val="000D3294"/>
    <w:rsid w:val="000D34BE"/>
    <w:rsid w:val="000D3A11"/>
    <w:rsid w:val="000D4798"/>
    <w:rsid w:val="000D4F42"/>
    <w:rsid w:val="000D59E2"/>
    <w:rsid w:val="000D5D95"/>
    <w:rsid w:val="000D633B"/>
    <w:rsid w:val="000D7125"/>
    <w:rsid w:val="000D782B"/>
    <w:rsid w:val="000E0680"/>
    <w:rsid w:val="000E102F"/>
    <w:rsid w:val="000E2389"/>
    <w:rsid w:val="000E2BF9"/>
    <w:rsid w:val="000E3193"/>
    <w:rsid w:val="000E36F1"/>
    <w:rsid w:val="000E3A73"/>
    <w:rsid w:val="000E414A"/>
    <w:rsid w:val="000E5E91"/>
    <w:rsid w:val="000E5FAC"/>
    <w:rsid w:val="000E75FD"/>
    <w:rsid w:val="000F093C"/>
    <w:rsid w:val="000F39F6"/>
    <w:rsid w:val="000F4AA5"/>
    <w:rsid w:val="000F5474"/>
    <w:rsid w:val="000F551F"/>
    <w:rsid w:val="000F58FD"/>
    <w:rsid w:val="000F5C11"/>
    <w:rsid w:val="000F602C"/>
    <w:rsid w:val="000F613B"/>
    <w:rsid w:val="000F6883"/>
    <w:rsid w:val="000F787B"/>
    <w:rsid w:val="000F7910"/>
    <w:rsid w:val="0010003F"/>
    <w:rsid w:val="00100162"/>
    <w:rsid w:val="00100707"/>
    <w:rsid w:val="00100E8D"/>
    <w:rsid w:val="00101CA1"/>
    <w:rsid w:val="00101F02"/>
    <w:rsid w:val="00102208"/>
    <w:rsid w:val="0010245A"/>
    <w:rsid w:val="00102AAF"/>
    <w:rsid w:val="001033EA"/>
    <w:rsid w:val="00103A2A"/>
    <w:rsid w:val="001040E0"/>
    <w:rsid w:val="0010460A"/>
    <w:rsid w:val="00104797"/>
    <w:rsid w:val="001068D4"/>
    <w:rsid w:val="00107450"/>
    <w:rsid w:val="001103BE"/>
    <w:rsid w:val="00110947"/>
    <w:rsid w:val="00110E47"/>
    <w:rsid w:val="00110F30"/>
    <w:rsid w:val="001111C5"/>
    <w:rsid w:val="001116A0"/>
    <w:rsid w:val="00111CFF"/>
    <w:rsid w:val="001127E1"/>
    <w:rsid w:val="00112820"/>
    <w:rsid w:val="00112DC3"/>
    <w:rsid w:val="00112EFE"/>
    <w:rsid w:val="00113447"/>
    <w:rsid w:val="00113BC6"/>
    <w:rsid w:val="0011431D"/>
    <w:rsid w:val="00114C01"/>
    <w:rsid w:val="00114C63"/>
    <w:rsid w:val="00115424"/>
    <w:rsid w:val="00115B23"/>
    <w:rsid w:val="00115CD7"/>
    <w:rsid w:val="00116DDA"/>
    <w:rsid w:val="0012091F"/>
    <w:rsid w:val="00120D78"/>
    <w:rsid w:val="00121DFE"/>
    <w:rsid w:val="001220EF"/>
    <w:rsid w:val="0012277A"/>
    <w:rsid w:val="001237C4"/>
    <w:rsid w:val="00124AAD"/>
    <w:rsid w:val="00124BBC"/>
    <w:rsid w:val="0012569E"/>
    <w:rsid w:val="00125C5C"/>
    <w:rsid w:val="00126824"/>
    <w:rsid w:val="00126A89"/>
    <w:rsid w:val="00126BC2"/>
    <w:rsid w:val="001308B6"/>
    <w:rsid w:val="0013121F"/>
    <w:rsid w:val="00131FE6"/>
    <w:rsid w:val="0013259C"/>
    <w:rsid w:val="0013263F"/>
    <w:rsid w:val="001331DF"/>
    <w:rsid w:val="00133798"/>
    <w:rsid w:val="00133AD8"/>
    <w:rsid w:val="001342CD"/>
    <w:rsid w:val="00134425"/>
    <w:rsid w:val="0013450B"/>
    <w:rsid w:val="00134DE4"/>
    <w:rsid w:val="00135E21"/>
    <w:rsid w:val="00136FCF"/>
    <w:rsid w:val="001375C5"/>
    <w:rsid w:val="0014034D"/>
    <w:rsid w:val="00140FE3"/>
    <w:rsid w:val="00141459"/>
    <w:rsid w:val="0014184C"/>
    <w:rsid w:val="00141D6C"/>
    <w:rsid w:val="00141E3F"/>
    <w:rsid w:val="00143482"/>
    <w:rsid w:val="00144568"/>
    <w:rsid w:val="00144ACF"/>
    <w:rsid w:val="00144CD4"/>
    <w:rsid w:val="00144D16"/>
    <w:rsid w:val="00144EEA"/>
    <w:rsid w:val="001456D9"/>
    <w:rsid w:val="00145962"/>
    <w:rsid w:val="0014632E"/>
    <w:rsid w:val="00146F87"/>
    <w:rsid w:val="001509A6"/>
    <w:rsid w:val="00150E59"/>
    <w:rsid w:val="00151074"/>
    <w:rsid w:val="00151102"/>
    <w:rsid w:val="00152413"/>
    <w:rsid w:val="00152D57"/>
    <w:rsid w:val="00152DE3"/>
    <w:rsid w:val="0015348E"/>
    <w:rsid w:val="001539C6"/>
    <w:rsid w:val="001568E6"/>
    <w:rsid w:val="00157331"/>
    <w:rsid w:val="00157D2F"/>
    <w:rsid w:val="00157D83"/>
    <w:rsid w:val="00161475"/>
    <w:rsid w:val="00161509"/>
    <w:rsid w:val="00161AA0"/>
    <w:rsid w:val="001628F8"/>
    <w:rsid w:val="00162F69"/>
    <w:rsid w:val="001640EB"/>
    <w:rsid w:val="00164CF9"/>
    <w:rsid w:val="00164E58"/>
    <w:rsid w:val="0016518F"/>
    <w:rsid w:val="001659F3"/>
    <w:rsid w:val="0016622D"/>
    <w:rsid w:val="00166707"/>
    <w:rsid w:val="001667A6"/>
    <w:rsid w:val="00167853"/>
    <w:rsid w:val="00170C00"/>
    <w:rsid w:val="00171D9F"/>
    <w:rsid w:val="0017209B"/>
    <w:rsid w:val="00175EE2"/>
    <w:rsid w:val="001772FC"/>
    <w:rsid w:val="0017749B"/>
    <w:rsid w:val="00177B6A"/>
    <w:rsid w:val="0018001A"/>
    <w:rsid w:val="001806E3"/>
    <w:rsid w:val="00180985"/>
    <w:rsid w:val="00181315"/>
    <w:rsid w:val="001822CB"/>
    <w:rsid w:val="00182C1F"/>
    <w:rsid w:val="00183724"/>
    <w:rsid w:val="0018420A"/>
    <w:rsid w:val="001843BD"/>
    <w:rsid w:val="001845F9"/>
    <w:rsid w:val="00184AD6"/>
    <w:rsid w:val="001852E6"/>
    <w:rsid w:val="0018547F"/>
    <w:rsid w:val="00185CB3"/>
    <w:rsid w:val="001864A5"/>
    <w:rsid w:val="00187660"/>
    <w:rsid w:val="00191540"/>
    <w:rsid w:val="00191566"/>
    <w:rsid w:val="001922C6"/>
    <w:rsid w:val="00192434"/>
    <w:rsid w:val="0019347F"/>
    <w:rsid w:val="00193E52"/>
    <w:rsid w:val="00196053"/>
    <w:rsid w:val="0019633A"/>
    <w:rsid w:val="001A00F1"/>
    <w:rsid w:val="001A1AFE"/>
    <w:rsid w:val="001A229C"/>
    <w:rsid w:val="001A4A7B"/>
    <w:rsid w:val="001A4AF7"/>
    <w:rsid w:val="001A4C04"/>
    <w:rsid w:val="001A4D48"/>
    <w:rsid w:val="001A56B4"/>
    <w:rsid w:val="001A5C69"/>
    <w:rsid w:val="001A62A7"/>
    <w:rsid w:val="001B0349"/>
    <w:rsid w:val="001B0617"/>
    <w:rsid w:val="001B0883"/>
    <w:rsid w:val="001B1B0C"/>
    <w:rsid w:val="001B1E93"/>
    <w:rsid w:val="001B1EF3"/>
    <w:rsid w:val="001B25D7"/>
    <w:rsid w:val="001B2F39"/>
    <w:rsid w:val="001B38A0"/>
    <w:rsid w:val="001B3F4D"/>
    <w:rsid w:val="001B58E7"/>
    <w:rsid w:val="001B5A18"/>
    <w:rsid w:val="001B63BE"/>
    <w:rsid w:val="001B65C1"/>
    <w:rsid w:val="001B6D15"/>
    <w:rsid w:val="001B7822"/>
    <w:rsid w:val="001C12FA"/>
    <w:rsid w:val="001C1481"/>
    <w:rsid w:val="001C172D"/>
    <w:rsid w:val="001C1EB4"/>
    <w:rsid w:val="001C2505"/>
    <w:rsid w:val="001C260F"/>
    <w:rsid w:val="001C33F1"/>
    <w:rsid w:val="001C3C1A"/>
    <w:rsid w:val="001C42AF"/>
    <w:rsid w:val="001C487F"/>
    <w:rsid w:val="001C61DE"/>
    <w:rsid w:val="001C6826"/>
    <w:rsid w:val="001C684B"/>
    <w:rsid w:val="001C6995"/>
    <w:rsid w:val="001C6AE6"/>
    <w:rsid w:val="001C7026"/>
    <w:rsid w:val="001C74D5"/>
    <w:rsid w:val="001C77BB"/>
    <w:rsid w:val="001D03BC"/>
    <w:rsid w:val="001D0724"/>
    <w:rsid w:val="001D0CFB"/>
    <w:rsid w:val="001D0D85"/>
    <w:rsid w:val="001D16C3"/>
    <w:rsid w:val="001D21AF"/>
    <w:rsid w:val="001D2E19"/>
    <w:rsid w:val="001D2EEB"/>
    <w:rsid w:val="001D3963"/>
    <w:rsid w:val="001D53FC"/>
    <w:rsid w:val="001D5CA7"/>
    <w:rsid w:val="001D6114"/>
    <w:rsid w:val="001D7310"/>
    <w:rsid w:val="001D7995"/>
    <w:rsid w:val="001E1025"/>
    <w:rsid w:val="001E20E1"/>
    <w:rsid w:val="001E4D7B"/>
    <w:rsid w:val="001E6481"/>
    <w:rsid w:val="001E77E2"/>
    <w:rsid w:val="001F1364"/>
    <w:rsid w:val="001F1E14"/>
    <w:rsid w:val="001F396A"/>
    <w:rsid w:val="001F42A5"/>
    <w:rsid w:val="001F4BB3"/>
    <w:rsid w:val="001F4EA0"/>
    <w:rsid w:val="001F62B3"/>
    <w:rsid w:val="001F657C"/>
    <w:rsid w:val="001F6B26"/>
    <w:rsid w:val="001F6B74"/>
    <w:rsid w:val="001F7443"/>
    <w:rsid w:val="001F7B9D"/>
    <w:rsid w:val="00200EC0"/>
    <w:rsid w:val="00200F00"/>
    <w:rsid w:val="00201801"/>
    <w:rsid w:val="00201852"/>
    <w:rsid w:val="002018AF"/>
    <w:rsid w:val="00201A67"/>
    <w:rsid w:val="00201C93"/>
    <w:rsid w:val="002022A0"/>
    <w:rsid w:val="00202728"/>
    <w:rsid w:val="00202FDD"/>
    <w:rsid w:val="0020581D"/>
    <w:rsid w:val="00206FCF"/>
    <w:rsid w:val="002075AE"/>
    <w:rsid w:val="002077A5"/>
    <w:rsid w:val="00207CF9"/>
    <w:rsid w:val="00210A4F"/>
    <w:rsid w:val="00211F6D"/>
    <w:rsid w:val="0021223A"/>
    <w:rsid w:val="00212BE5"/>
    <w:rsid w:val="00214008"/>
    <w:rsid w:val="00214B91"/>
    <w:rsid w:val="00220AE9"/>
    <w:rsid w:val="00220C24"/>
    <w:rsid w:val="00221088"/>
    <w:rsid w:val="002210A4"/>
    <w:rsid w:val="0022175C"/>
    <w:rsid w:val="00221B1D"/>
    <w:rsid w:val="002224B4"/>
    <w:rsid w:val="002229AC"/>
    <w:rsid w:val="00224194"/>
    <w:rsid w:val="00224482"/>
    <w:rsid w:val="0022502A"/>
    <w:rsid w:val="00225FA8"/>
    <w:rsid w:val="00226001"/>
    <w:rsid w:val="00226936"/>
    <w:rsid w:val="00230D4B"/>
    <w:rsid w:val="00230FC3"/>
    <w:rsid w:val="00232258"/>
    <w:rsid w:val="00232AD6"/>
    <w:rsid w:val="00232B72"/>
    <w:rsid w:val="00232E2F"/>
    <w:rsid w:val="002338B4"/>
    <w:rsid w:val="0023409C"/>
    <w:rsid w:val="00240B19"/>
    <w:rsid w:val="00240C3F"/>
    <w:rsid w:val="0024139F"/>
    <w:rsid w:val="002417F1"/>
    <w:rsid w:val="00241C87"/>
    <w:rsid w:val="00241F56"/>
    <w:rsid w:val="00242717"/>
    <w:rsid w:val="002447EF"/>
    <w:rsid w:val="002448C0"/>
    <w:rsid w:val="002459D0"/>
    <w:rsid w:val="00245AE5"/>
    <w:rsid w:val="002464CC"/>
    <w:rsid w:val="00251550"/>
    <w:rsid w:val="00251A46"/>
    <w:rsid w:val="00251F23"/>
    <w:rsid w:val="0025303B"/>
    <w:rsid w:val="00253A39"/>
    <w:rsid w:val="00253E63"/>
    <w:rsid w:val="002558DD"/>
    <w:rsid w:val="00256FC4"/>
    <w:rsid w:val="00257A11"/>
    <w:rsid w:val="00257BC3"/>
    <w:rsid w:val="00260A05"/>
    <w:rsid w:val="00261FAF"/>
    <w:rsid w:val="00262AFE"/>
    <w:rsid w:val="00263891"/>
    <w:rsid w:val="00263925"/>
    <w:rsid w:val="00263B05"/>
    <w:rsid w:val="00263FD5"/>
    <w:rsid w:val="002646CA"/>
    <w:rsid w:val="00264864"/>
    <w:rsid w:val="00264FE4"/>
    <w:rsid w:val="00265DF7"/>
    <w:rsid w:val="0027004F"/>
    <w:rsid w:val="0027040A"/>
    <w:rsid w:val="00270B18"/>
    <w:rsid w:val="00271B2F"/>
    <w:rsid w:val="00271BAF"/>
    <w:rsid w:val="0027221A"/>
    <w:rsid w:val="00272F56"/>
    <w:rsid w:val="002732B3"/>
    <w:rsid w:val="002737F3"/>
    <w:rsid w:val="00273EC3"/>
    <w:rsid w:val="002744BC"/>
    <w:rsid w:val="002749ED"/>
    <w:rsid w:val="002750F4"/>
    <w:rsid w:val="00275B61"/>
    <w:rsid w:val="00275F0A"/>
    <w:rsid w:val="002765B5"/>
    <w:rsid w:val="0027684D"/>
    <w:rsid w:val="00276F16"/>
    <w:rsid w:val="0028012A"/>
    <w:rsid w:val="00280FAF"/>
    <w:rsid w:val="00282656"/>
    <w:rsid w:val="00282898"/>
    <w:rsid w:val="00283AC3"/>
    <w:rsid w:val="00283CF6"/>
    <w:rsid w:val="00284ED5"/>
    <w:rsid w:val="00286A6A"/>
    <w:rsid w:val="002873BC"/>
    <w:rsid w:val="00290347"/>
    <w:rsid w:val="002914D6"/>
    <w:rsid w:val="002914F9"/>
    <w:rsid w:val="00293071"/>
    <w:rsid w:val="00293465"/>
    <w:rsid w:val="002948DD"/>
    <w:rsid w:val="00294BA4"/>
    <w:rsid w:val="002950A7"/>
    <w:rsid w:val="002951C5"/>
    <w:rsid w:val="00295510"/>
    <w:rsid w:val="002955CE"/>
    <w:rsid w:val="00296B83"/>
    <w:rsid w:val="002975C5"/>
    <w:rsid w:val="00297B9B"/>
    <w:rsid w:val="002A19A6"/>
    <w:rsid w:val="002A204B"/>
    <w:rsid w:val="002A34C8"/>
    <w:rsid w:val="002A3A22"/>
    <w:rsid w:val="002A5C4D"/>
    <w:rsid w:val="002A6145"/>
    <w:rsid w:val="002A62C6"/>
    <w:rsid w:val="002A74A1"/>
    <w:rsid w:val="002A7FD9"/>
    <w:rsid w:val="002B0495"/>
    <w:rsid w:val="002B1DEF"/>
    <w:rsid w:val="002B3098"/>
    <w:rsid w:val="002B4015"/>
    <w:rsid w:val="002B4694"/>
    <w:rsid w:val="002B5C01"/>
    <w:rsid w:val="002B5E24"/>
    <w:rsid w:val="002B63C8"/>
    <w:rsid w:val="002B78CE"/>
    <w:rsid w:val="002C2FB6"/>
    <w:rsid w:val="002C5589"/>
    <w:rsid w:val="002C6169"/>
    <w:rsid w:val="002C6BFE"/>
    <w:rsid w:val="002C747F"/>
    <w:rsid w:val="002C7676"/>
    <w:rsid w:val="002C79C9"/>
    <w:rsid w:val="002D05E9"/>
    <w:rsid w:val="002D090A"/>
    <w:rsid w:val="002D1C02"/>
    <w:rsid w:val="002D33BE"/>
    <w:rsid w:val="002D3865"/>
    <w:rsid w:val="002D5487"/>
    <w:rsid w:val="002D58B7"/>
    <w:rsid w:val="002D5ECB"/>
    <w:rsid w:val="002D7802"/>
    <w:rsid w:val="002E076F"/>
    <w:rsid w:val="002E28B7"/>
    <w:rsid w:val="002E338F"/>
    <w:rsid w:val="002E3B13"/>
    <w:rsid w:val="002E4A99"/>
    <w:rsid w:val="002E4AFD"/>
    <w:rsid w:val="002E5CB8"/>
    <w:rsid w:val="002E5FA7"/>
    <w:rsid w:val="002E6061"/>
    <w:rsid w:val="002E6073"/>
    <w:rsid w:val="002E739C"/>
    <w:rsid w:val="002E75E2"/>
    <w:rsid w:val="002E7843"/>
    <w:rsid w:val="002E7C36"/>
    <w:rsid w:val="002F05DB"/>
    <w:rsid w:val="002F0BEF"/>
    <w:rsid w:val="002F2EE4"/>
    <w:rsid w:val="002F3309"/>
    <w:rsid w:val="002F3FF5"/>
    <w:rsid w:val="002F621B"/>
    <w:rsid w:val="002F6A2E"/>
    <w:rsid w:val="002F6B35"/>
    <w:rsid w:val="002F7F95"/>
    <w:rsid w:val="003001C8"/>
    <w:rsid w:val="00300765"/>
    <w:rsid w:val="003008CE"/>
    <w:rsid w:val="003009B7"/>
    <w:rsid w:val="00300AE8"/>
    <w:rsid w:val="00300D65"/>
    <w:rsid w:val="00300E56"/>
    <w:rsid w:val="00300F8E"/>
    <w:rsid w:val="0030152C"/>
    <w:rsid w:val="00301BDD"/>
    <w:rsid w:val="00302874"/>
    <w:rsid w:val="00302D3E"/>
    <w:rsid w:val="00303AB8"/>
    <w:rsid w:val="00304392"/>
    <w:rsid w:val="003043A3"/>
    <w:rsid w:val="0030469C"/>
    <w:rsid w:val="0030564F"/>
    <w:rsid w:val="003064DD"/>
    <w:rsid w:val="00306B5D"/>
    <w:rsid w:val="00306ED9"/>
    <w:rsid w:val="00306F92"/>
    <w:rsid w:val="00307047"/>
    <w:rsid w:val="00310C19"/>
    <w:rsid w:val="003112B4"/>
    <w:rsid w:val="00311401"/>
    <w:rsid w:val="0031183A"/>
    <w:rsid w:val="00312B69"/>
    <w:rsid w:val="00312F97"/>
    <w:rsid w:val="00313BDC"/>
    <w:rsid w:val="003149B6"/>
    <w:rsid w:val="00314F66"/>
    <w:rsid w:val="00315E5F"/>
    <w:rsid w:val="00315F42"/>
    <w:rsid w:val="0031689E"/>
    <w:rsid w:val="003173F6"/>
    <w:rsid w:val="00317731"/>
    <w:rsid w:val="003177DC"/>
    <w:rsid w:val="003178CD"/>
    <w:rsid w:val="003212FD"/>
    <w:rsid w:val="00321CA6"/>
    <w:rsid w:val="003220F4"/>
    <w:rsid w:val="00322E89"/>
    <w:rsid w:val="0032338B"/>
    <w:rsid w:val="00323763"/>
    <w:rsid w:val="00323B45"/>
    <w:rsid w:val="00323C5F"/>
    <w:rsid w:val="00324551"/>
    <w:rsid w:val="00331821"/>
    <w:rsid w:val="00332607"/>
    <w:rsid w:val="00332634"/>
    <w:rsid w:val="003326E4"/>
    <w:rsid w:val="00334C09"/>
    <w:rsid w:val="00335464"/>
    <w:rsid w:val="00336F60"/>
    <w:rsid w:val="00340B1D"/>
    <w:rsid w:val="00340BB5"/>
    <w:rsid w:val="0034168B"/>
    <w:rsid w:val="00341C17"/>
    <w:rsid w:val="0034242D"/>
    <w:rsid w:val="0034270E"/>
    <w:rsid w:val="00342A99"/>
    <w:rsid w:val="003435DC"/>
    <w:rsid w:val="00344BCE"/>
    <w:rsid w:val="00345163"/>
    <w:rsid w:val="00345CBB"/>
    <w:rsid w:val="00346A07"/>
    <w:rsid w:val="00346D3B"/>
    <w:rsid w:val="00347D6C"/>
    <w:rsid w:val="00350717"/>
    <w:rsid w:val="0035081C"/>
    <w:rsid w:val="00350C91"/>
    <w:rsid w:val="00351408"/>
    <w:rsid w:val="00351438"/>
    <w:rsid w:val="00352BE9"/>
    <w:rsid w:val="00353D26"/>
    <w:rsid w:val="003548CE"/>
    <w:rsid w:val="00355B88"/>
    <w:rsid w:val="0035637A"/>
    <w:rsid w:val="00357467"/>
    <w:rsid w:val="00357553"/>
    <w:rsid w:val="00357C34"/>
    <w:rsid w:val="00357CB8"/>
    <w:rsid w:val="00357DAF"/>
    <w:rsid w:val="00362DD8"/>
    <w:rsid w:val="00363A4E"/>
    <w:rsid w:val="00363D24"/>
    <w:rsid w:val="00363F45"/>
    <w:rsid w:val="0036464B"/>
    <w:rsid w:val="00364D48"/>
    <w:rsid w:val="00366391"/>
    <w:rsid w:val="00367177"/>
    <w:rsid w:val="0036719E"/>
    <w:rsid w:val="00371698"/>
    <w:rsid w:val="00371CC5"/>
    <w:rsid w:val="003723D4"/>
    <w:rsid w:val="00372C79"/>
    <w:rsid w:val="0037328E"/>
    <w:rsid w:val="00374BFF"/>
    <w:rsid w:val="00375BA3"/>
    <w:rsid w:val="00375C3B"/>
    <w:rsid w:val="00375C46"/>
    <w:rsid w:val="0037673C"/>
    <w:rsid w:val="00377360"/>
    <w:rsid w:val="00380967"/>
    <w:rsid w:val="00380EF5"/>
    <w:rsid w:val="003812AE"/>
    <w:rsid w:val="00381905"/>
    <w:rsid w:val="00382203"/>
    <w:rsid w:val="00383F01"/>
    <w:rsid w:val="00384307"/>
    <w:rsid w:val="00384CC8"/>
    <w:rsid w:val="003866EA"/>
    <w:rsid w:val="00386ECF"/>
    <w:rsid w:val="003871FD"/>
    <w:rsid w:val="00387377"/>
    <w:rsid w:val="00390237"/>
    <w:rsid w:val="00390FBE"/>
    <w:rsid w:val="003929A7"/>
    <w:rsid w:val="00392AF1"/>
    <w:rsid w:val="00392B4B"/>
    <w:rsid w:val="003942AA"/>
    <w:rsid w:val="00394D2F"/>
    <w:rsid w:val="00397249"/>
    <w:rsid w:val="00397309"/>
    <w:rsid w:val="003A06D9"/>
    <w:rsid w:val="003A0B0F"/>
    <w:rsid w:val="003A1E30"/>
    <w:rsid w:val="003A2829"/>
    <w:rsid w:val="003A30B7"/>
    <w:rsid w:val="003A3CA0"/>
    <w:rsid w:val="003A42AC"/>
    <w:rsid w:val="003A4E1B"/>
    <w:rsid w:val="003A63E6"/>
    <w:rsid w:val="003A77FA"/>
    <w:rsid w:val="003A7D1C"/>
    <w:rsid w:val="003B02FC"/>
    <w:rsid w:val="003B0388"/>
    <w:rsid w:val="003B090D"/>
    <w:rsid w:val="003B1A51"/>
    <w:rsid w:val="003B21D8"/>
    <w:rsid w:val="003B2295"/>
    <w:rsid w:val="003B3044"/>
    <w:rsid w:val="003B304B"/>
    <w:rsid w:val="003B3146"/>
    <w:rsid w:val="003B3520"/>
    <w:rsid w:val="003B458A"/>
    <w:rsid w:val="003B47BB"/>
    <w:rsid w:val="003B4E4A"/>
    <w:rsid w:val="003B4EA5"/>
    <w:rsid w:val="003B772E"/>
    <w:rsid w:val="003B7B19"/>
    <w:rsid w:val="003C069C"/>
    <w:rsid w:val="003C137E"/>
    <w:rsid w:val="003C2147"/>
    <w:rsid w:val="003C2154"/>
    <w:rsid w:val="003C2929"/>
    <w:rsid w:val="003C2D1A"/>
    <w:rsid w:val="003C60F8"/>
    <w:rsid w:val="003C61E8"/>
    <w:rsid w:val="003C670A"/>
    <w:rsid w:val="003C67D0"/>
    <w:rsid w:val="003C72B3"/>
    <w:rsid w:val="003C7853"/>
    <w:rsid w:val="003C7D1C"/>
    <w:rsid w:val="003D0D6F"/>
    <w:rsid w:val="003D1129"/>
    <w:rsid w:val="003D1E02"/>
    <w:rsid w:val="003D237A"/>
    <w:rsid w:val="003D4302"/>
    <w:rsid w:val="003D4324"/>
    <w:rsid w:val="003D52DB"/>
    <w:rsid w:val="003D537B"/>
    <w:rsid w:val="003D6195"/>
    <w:rsid w:val="003D69F7"/>
    <w:rsid w:val="003E02F5"/>
    <w:rsid w:val="003E0737"/>
    <w:rsid w:val="003E079F"/>
    <w:rsid w:val="003E0E20"/>
    <w:rsid w:val="003E2119"/>
    <w:rsid w:val="003E232E"/>
    <w:rsid w:val="003E2EB7"/>
    <w:rsid w:val="003E3FB9"/>
    <w:rsid w:val="003E4A5A"/>
    <w:rsid w:val="003E5C84"/>
    <w:rsid w:val="003E6340"/>
    <w:rsid w:val="003E682F"/>
    <w:rsid w:val="003E6C3D"/>
    <w:rsid w:val="003E6C48"/>
    <w:rsid w:val="003E6FA0"/>
    <w:rsid w:val="003E7B37"/>
    <w:rsid w:val="003F015E"/>
    <w:rsid w:val="003F02E2"/>
    <w:rsid w:val="003F05CF"/>
    <w:rsid w:val="003F2AA5"/>
    <w:rsid w:val="003F3A31"/>
    <w:rsid w:val="003F3F2B"/>
    <w:rsid w:val="003F3FE1"/>
    <w:rsid w:val="003F43F1"/>
    <w:rsid w:val="003F4F60"/>
    <w:rsid w:val="003F5442"/>
    <w:rsid w:val="003F5FE3"/>
    <w:rsid w:val="003F7165"/>
    <w:rsid w:val="003F7740"/>
    <w:rsid w:val="00400300"/>
    <w:rsid w:val="00400414"/>
    <w:rsid w:val="00400E92"/>
    <w:rsid w:val="00400F21"/>
    <w:rsid w:val="0040193F"/>
    <w:rsid w:val="00402594"/>
    <w:rsid w:val="00402607"/>
    <w:rsid w:val="004031C1"/>
    <w:rsid w:val="00403D2A"/>
    <w:rsid w:val="004047C4"/>
    <w:rsid w:val="00405931"/>
    <w:rsid w:val="00405B80"/>
    <w:rsid w:val="00405DD3"/>
    <w:rsid w:val="00406855"/>
    <w:rsid w:val="00406BAA"/>
    <w:rsid w:val="00406F49"/>
    <w:rsid w:val="00410B42"/>
    <w:rsid w:val="004133D9"/>
    <w:rsid w:val="004140D6"/>
    <w:rsid w:val="0041446B"/>
    <w:rsid w:val="00414992"/>
    <w:rsid w:val="00417048"/>
    <w:rsid w:val="00417CEC"/>
    <w:rsid w:val="00417ED5"/>
    <w:rsid w:val="0042133F"/>
    <w:rsid w:val="00421D9D"/>
    <w:rsid w:val="00421F04"/>
    <w:rsid w:val="004224DA"/>
    <w:rsid w:val="00422933"/>
    <w:rsid w:val="00422F15"/>
    <w:rsid w:val="0042366A"/>
    <w:rsid w:val="00427098"/>
    <w:rsid w:val="00430404"/>
    <w:rsid w:val="00431949"/>
    <w:rsid w:val="00431A71"/>
    <w:rsid w:val="00432496"/>
    <w:rsid w:val="00432DC4"/>
    <w:rsid w:val="00433931"/>
    <w:rsid w:val="00433AC7"/>
    <w:rsid w:val="00434BF7"/>
    <w:rsid w:val="00435043"/>
    <w:rsid w:val="00435636"/>
    <w:rsid w:val="00435682"/>
    <w:rsid w:val="004361A0"/>
    <w:rsid w:val="004363A0"/>
    <w:rsid w:val="00436C04"/>
    <w:rsid w:val="00437BF1"/>
    <w:rsid w:val="00437E47"/>
    <w:rsid w:val="0044071E"/>
    <w:rsid w:val="0044139D"/>
    <w:rsid w:val="00441626"/>
    <w:rsid w:val="00441B17"/>
    <w:rsid w:val="00441F84"/>
    <w:rsid w:val="0044329C"/>
    <w:rsid w:val="004436EF"/>
    <w:rsid w:val="00444EEF"/>
    <w:rsid w:val="00445AD4"/>
    <w:rsid w:val="00445C9C"/>
    <w:rsid w:val="0044692C"/>
    <w:rsid w:val="0044710D"/>
    <w:rsid w:val="004521DE"/>
    <w:rsid w:val="00452FDB"/>
    <w:rsid w:val="00453504"/>
    <w:rsid w:val="00453E24"/>
    <w:rsid w:val="00454FA6"/>
    <w:rsid w:val="004563C2"/>
    <w:rsid w:val="0045698B"/>
    <w:rsid w:val="0045726A"/>
    <w:rsid w:val="00457456"/>
    <w:rsid w:val="004577FE"/>
    <w:rsid w:val="00457B9C"/>
    <w:rsid w:val="00460DBA"/>
    <w:rsid w:val="00461060"/>
    <w:rsid w:val="0046164A"/>
    <w:rsid w:val="004628D2"/>
    <w:rsid w:val="00462DCD"/>
    <w:rsid w:val="0046307A"/>
    <w:rsid w:val="0046366C"/>
    <w:rsid w:val="00463937"/>
    <w:rsid w:val="00463FC8"/>
    <w:rsid w:val="004643B9"/>
    <w:rsid w:val="004648AD"/>
    <w:rsid w:val="00464F8E"/>
    <w:rsid w:val="0046635C"/>
    <w:rsid w:val="00466CA1"/>
    <w:rsid w:val="00467AD9"/>
    <w:rsid w:val="00467EC3"/>
    <w:rsid w:val="004703A9"/>
    <w:rsid w:val="004711B6"/>
    <w:rsid w:val="00471AD1"/>
    <w:rsid w:val="0047397F"/>
    <w:rsid w:val="004739F1"/>
    <w:rsid w:val="00474CD0"/>
    <w:rsid w:val="0047512C"/>
    <w:rsid w:val="004760DE"/>
    <w:rsid w:val="004763D7"/>
    <w:rsid w:val="00476752"/>
    <w:rsid w:val="00476E9A"/>
    <w:rsid w:val="00477343"/>
    <w:rsid w:val="0048140F"/>
    <w:rsid w:val="004816FD"/>
    <w:rsid w:val="0048254D"/>
    <w:rsid w:val="00482C38"/>
    <w:rsid w:val="00482FB1"/>
    <w:rsid w:val="0048524F"/>
    <w:rsid w:val="00485305"/>
    <w:rsid w:val="00485E4A"/>
    <w:rsid w:val="0048678A"/>
    <w:rsid w:val="004867FC"/>
    <w:rsid w:val="00486D43"/>
    <w:rsid w:val="00487791"/>
    <w:rsid w:val="00487F1F"/>
    <w:rsid w:val="00490112"/>
    <w:rsid w:val="004908C8"/>
    <w:rsid w:val="00491CB4"/>
    <w:rsid w:val="004931D6"/>
    <w:rsid w:val="00493B88"/>
    <w:rsid w:val="00493D3D"/>
    <w:rsid w:val="00493EF4"/>
    <w:rsid w:val="00494297"/>
    <w:rsid w:val="00494421"/>
    <w:rsid w:val="00495198"/>
    <w:rsid w:val="00495E70"/>
    <w:rsid w:val="00495FD6"/>
    <w:rsid w:val="00496CCF"/>
    <w:rsid w:val="00497234"/>
    <w:rsid w:val="004978E7"/>
    <w:rsid w:val="004A004E"/>
    <w:rsid w:val="004A0CB4"/>
    <w:rsid w:val="004A24CF"/>
    <w:rsid w:val="004A3180"/>
    <w:rsid w:val="004A4389"/>
    <w:rsid w:val="004A4C99"/>
    <w:rsid w:val="004A52BF"/>
    <w:rsid w:val="004A54E1"/>
    <w:rsid w:val="004A5634"/>
    <w:rsid w:val="004A5708"/>
    <w:rsid w:val="004A5826"/>
    <w:rsid w:val="004A5E57"/>
    <w:rsid w:val="004A5EF2"/>
    <w:rsid w:val="004A6664"/>
    <w:rsid w:val="004A7908"/>
    <w:rsid w:val="004B0032"/>
    <w:rsid w:val="004B018E"/>
    <w:rsid w:val="004B0AEB"/>
    <w:rsid w:val="004B0C2C"/>
    <w:rsid w:val="004B1E43"/>
    <w:rsid w:val="004B4F34"/>
    <w:rsid w:val="004B5429"/>
    <w:rsid w:val="004B5EA5"/>
    <w:rsid w:val="004B6403"/>
    <w:rsid w:val="004C0773"/>
    <w:rsid w:val="004C194F"/>
    <w:rsid w:val="004C2F27"/>
    <w:rsid w:val="004C36AA"/>
    <w:rsid w:val="004C3D1D"/>
    <w:rsid w:val="004C3D84"/>
    <w:rsid w:val="004C4541"/>
    <w:rsid w:val="004C4B26"/>
    <w:rsid w:val="004C4D31"/>
    <w:rsid w:val="004C7913"/>
    <w:rsid w:val="004D1E67"/>
    <w:rsid w:val="004D3339"/>
    <w:rsid w:val="004D36F9"/>
    <w:rsid w:val="004D43B9"/>
    <w:rsid w:val="004D44E4"/>
    <w:rsid w:val="004D4577"/>
    <w:rsid w:val="004D45D7"/>
    <w:rsid w:val="004D5063"/>
    <w:rsid w:val="004D518E"/>
    <w:rsid w:val="004D6E4F"/>
    <w:rsid w:val="004D790F"/>
    <w:rsid w:val="004D7AE6"/>
    <w:rsid w:val="004D7D73"/>
    <w:rsid w:val="004E03A8"/>
    <w:rsid w:val="004E175E"/>
    <w:rsid w:val="004E1A83"/>
    <w:rsid w:val="004E2185"/>
    <w:rsid w:val="004E3D99"/>
    <w:rsid w:val="004E420E"/>
    <w:rsid w:val="004E4DD6"/>
    <w:rsid w:val="004F24EB"/>
    <w:rsid w:val="004F2DA9"/>
    <w:rsid w:val="004F30AF"/>
    <w:rsid w:val="004F3A03"/>
    <w:rsid w:val="004F3CDB"/>
    <w:rsid w:val="004F4073"/>
    <w:rsid w:val="004F431A"/>
    <w:rsid w:val="004F436F"/>
    <w:rsid w:val="004F4491"/>
    <w:rsid w:val="004F549B"/>
    <w:rsid w:val="004F5E36"/>
    <w:rsid w:val="004F652F"/>
    <w:rsid w:val="004F75DF"/>
    <w:rsid w:val="004F7F1C"/>
    <w:rsid w:val="0050059D"/>
    <w:rsid w:val="00501711"/>
    <w:rsid w:val="005017F5"/>
    <w:rsid w:val="00502AD6"/>
    <w:rsid w:val="00502BE2"/>
    <w:rsid w:val="0050341B"/>
    <w:rsid w:val="00503E9C"/>
    <w:rsid w:val="00506137"/>
    <w:rsid w:val="00507B47"/>
    <w:rsid w:val="00507BEF"/>
    <w:rsid w:val="00507C7F"/>
    <w:rsid w:val="00507CC9"/>
    <w:rsid w:val="00510647"/>
    <w:rsid w:val="005119A5"/>
    <w:rsid w:val="00513CE0"/>
    <w:rsid w:val="00514541"/>
    <w:rsid w:val="00514770"/>
    <w:rsid w:val="00515C4A"/>
    <w:rsid w:val="00515DD5"/>
    <w:rsid w:val="00516BB4"/>
    <w:rsid w:val="0051778C"/>
    <w:rsid w:val="0052060F"/>
    <w:rsid w:val="00520D0E"/>
    <w:rsid w:val="0052179E"/>
    <w:rsid w:val="00523168"/>
    <w:rsid w:val="00523B4E"/>
    <w:rsid w:val="00524378"/>
    <w:rsid w:val="00524B86"/>
    <w:rsid w:val="005270A8"/>
    <w:rsid w:val="005278B7"/>
    <w:rsid w:val="00531770"/>
    <w:rsid w:val="0053177E"/>
    <w:rsid w:val="00532016"/>
    <w:rsid w:val="00533312"/>
    <w:rsid w:val="0053399F"/>
    <w:rsid w:val="00534126"/>
    <w:rsid w:val="00534168"/>
    <w:rsid w:val="0053449E"/>
    <w:rsid w:val="005346C8"/>
    <w:rsid w:val="00534DB1"/>
    <w:rsid w:val="005351F0"/>
    <w:rsid w:val="00535AE1"/>
    <w:rsid w:val="005360CA"/>
    <w:rsid w:val="005361AF"/>
    <w:rsid w:val="005368BD"/>
    <w:rsid w:val="00536AF5"/>
    <w:rsid w:val="00536B26"/>
    <w:rsid w:val="00536BB3"/>
    <w:rsid w:val="005420D4"/>
    <w:rsid w:val="00542709"/>
    <w:rsid w:val="00542A6B"/>
    <w:rsid w:val="00542E15"/>
    <w:rsid w:val="00543E7D"/>
    <w:rsid w:val="0054479B"/>
    <w:rsid w:val="0054633E"/>
    <w:rsid w:val="00546B5D"/>
    <w:rsid w:val="00547219"/>
    <w:rsid w:val="00547A68"/>
    <w:rsid w:val="00551555"/>
    <w:rsid w:val="0055227D"/>
    <w:rsid w:val="005531C2"/>
    <w:rsid w:val="005531C9"/>
    <w:rsid w:val="00554058"/>
    <w:rsid w:val="00555460"/>
    <w:rsid w:val="005555F2"/>
    <w:rsid w:val="0055560B"/>
    <w:rsid w:val="005566D1"/>
    <w:rsid w:val="00560521"/>
    <w:rsid w:val="00560767"/>
    <w:rsid w:val="00560A62"/>
    <w:rsid w:val="0056109D"/>
    <w:rsid w:val="005622AD"/>
    <w:rsid w:val="00563A9A"/>
    <w:rsid w:val="00563ACE"/>
    <w:rsid w:val="00566EE1"/>
    <w:rsid w:val="005672CC"/>
    <w:rsid w:val="00567353"/>
    <w:rsid w:val="005709F1"/>
    <w:rsid w:val="00570B2B"/>
    <w:rsid w:val="00570C43"/>
    <w:rsid w:val="00572783"/>
    <w:rsid w:val="00573382"/>
    <w:rsid w:val="00574473"/>
    <w:rsid w:val="00574D3D"/>
    <w:rsid w:val="0057557B"/>
    <w:rsid w:val="00577BAC"/>
    <w:rsid w:val="00577BD8"/>
    <w:rsid w:val="00580317"/>
    <w:rsid w:val="0058054C"/>
    <w:rsid w:val="005806F5"/>
    <w:rsid w:val="005807AF"/>
    <w:rsid w:val="00582860"/>
    <w:rsid w:val="00582EF9"/>
    <w:rsid w:val="0058374F"/>
    <w:rsid w:val="0058435A"/>
    <w:rsid w:val="00584D26"/>
    <w:rsid w:val="005879D6"/>
    <w:rsid w:val="00587A77"/>
    <w:rsid w:val="00590F26"/>
    <w:rsid w:val="00591EAC"/>
    <w:rsid w:val="00592274"/>
    <w:rsid w:val="0059268D"/>
    <w:rsid w:val="005935BB"/>
    <w:rsid w:val="005939EB"/>
    <w:rsid w:val="005958D0"/>
    <w:rsid w:val="00596BE5"/>
    <w:rsid w:val="0059768B"/>
    <w:rsid w:val="00597FC2"/>
    <w:rsid w:val="005A03E7"/>
    <w:rsid w:val="005A09D5"/>
    <w:rsid w:val="005A0CC6"/>
    <w:rsid w:val="005A172A"/>
    <w:rsid w:val="005A2DDD"/>
    <w:rsid w:val="005A32BE"/>
    <w:rsid w:val="005A37AE"/>
    <w:rsid w:val="005A42AA"/>
    <w:rsid w:val="005A43BC"/>
    <w:rsid w:val="005A635D"/>
    <w:rsid w:val="005A76F0"/>
    <w:rsid w:val="005B0AF3"/>
    <w:rsid w:val="005B2110"/>
    <w:rsid w:val="005B2BF0"/>
    <w:rsid w:val="005B3C92"/>
    <w:rsid w:val="005B3E41"/>
    <w:rsid w:val="005B3FF9"/>
    <w:rsid w:val="005B5D51"/>
    <w:rsid w:val="005B61E6"/>
    <w:rsid w:val="005B6204"/>
    <w:rsid w:val="005B69AE"/>
    <w:rsid w:val="005B70C0"/>
    <w:rsid w:val="005B70C1"/>
    <w:rsid w:val="005B713D"/>
    <w:rsid w:val="005B7603"/>
    <w:rsid w:val="005C18A4"/>
    <w:rsid w:val="005C208D"/>
    <w:rsid w:val="005C3CB5"/>
    <w:rsid w:val="005C4084"/>
    <w:rsid w:val="005C5D7B"/>
    <w:rsid w:val="005C687F"/>
    <w:rsid w:val="005C6CFC"/>
    <w:rsid w:val="005C7304"/>
    <w:rsid w:val="005C767D"/>
    <w:rsid w:val="005C77E1"/>
    <w:rsid w:val="005D079A"/>
    <w:rsid w:val="005D0DA8"/>
    <w:rsid w:val="005D352C"/>
    <w:rsid w:val="005D3AC7"/>
    <w:rsid w:val="005D495A"/>
    <w:rsid w:val="005D668A"/>
    <w:rsid w:val="005D6711"/>
    <w:rsid w:val="005D6A2F"/>
    <w:rsid w:val="005E0592"/>
    <w:rsid w:val="005E0676"/>
    <w:rsid w:val="005E07AB"/>
    <w:rsid w:val="005E1014"/>
    <w:rsid w:val="005E1440"/>
    <w:rsid w:val="005E1495"/>
    <w:rsid w:val="005E1A82"/>
    <w:rsid w:val="005E1E9D"/>
    <w:rsid w:val="005E2215"/>
    <w:rsid w:val="005E2908"/>
    <w:rsid w:val="005E2AA5"/>
    <w:rsid w:val="005E34E9"/>
    <w:rsid w:val="005E3AAB"/>
    <w:rsid w:val="005E421B"/>
    <w:rsid w:val="005E4CB1"/>
    <w:rsid w:val="005E5754"/>
    <w:rsid w:val="005E69BA"/>
    <w:rsid w:val="005E7064"/>
    <w:rsid w:val="005E794C"/>
    <w:rsid w:val="005E7AA5"/>
    <w:rsid w:val="005F0A28"/>
    <w:rsid w:val="005F0E5E"/>
    <w:rsid w:val="005F1F17"/>
    <w:rsid w:val="005F20E2"/>
    <w:rsid w:val="005F29B5"/>
    <w:rsid w:val="005F2FEB"/>
    <w:rsid w:val="005F3A06"/>
    <w:rsid w:val="005F49EF"/>
    <w:rsid w:val="005F5194"/>
    <w:rsid w:val="005F5871"/>
    <w:rsid w:val="005F5EB7"/>
    <w:rsid w:val="005F78A6"/>
    <w:rsid w:val="005F7A8B"/>
    <w:rsid w:val="005F7AF3"/>
    <w:rsid w:val="00600535"/>
    <w:rsid w:val="00600DC8"/>
    <w:rsid w:val="00600F4A"/>
    <w:rsid w:val="0060219D"/>
    <w:rsid w:val="00602F6A"/>
    <w:rsid w:val="00610CD6"/>
    <w:rsid w:val="006117BB"/>
    <w:rsid w:val="00611EC0"/>
    <w:rsid w:val="00612021"/>
    <w:rsid w:val="0061208C"/>
    <w:rsid w:val="00612234"/>
    <w:rsid w:val="0061270F"/>
    <w:rsid w:val="006132B0"/>
    <w:rsid w:val="006136FD"/>
    <w:rsid w:val="0061378A"/>
    <w:rsid w:val="00613981"/>
    <w:rsid w:val="00614592"/>
    <w:rsid w:val="00614D43"/>
    <w:rsid w:val="0061540F"/>
    <w:rsid w:val="006158A0"/>
    <w:rsid w:val="00616A13"/>
    <w:rsid w:val="00616A8D"/>
    <w:rsid w:val="00620C8E"/>
    <w:rsid w:val="00620DEE"/>
    <w:rsid w:val="006210CA"/>
    <w:rsid w:val="00621F92"/>
    <w:rsid w:val="0062280A"/>
    <w:rsid w:val="006229D4"/>
    <w:rsid w:val="00622A5B"/>
    <w:rsid w:val="00622BC3"/>
    <w:rsid w:val="00622BCB"/>
    <w:rsid w:val="006231E1"/>
    <w:rsid w:val="0062471C"/>
    <w:rsid w:val="00625639"/>
    <w:rsid w:val="00626C46"/>
    <w:rsid w:val="00627EAC"/>
    <w:rsid w:val="00631B33"/>
    <w:rsid w:val="00632820"/>
    <w:rsid w:val="00632C3D"/>
    <w:rsid w:val="00632D19"/>
    <w:rsid w:val="006336FF"/>
    <w:rsid w:val="00633DFB"/>
    <w:rsid w:val="0063409E"/>
    <w:rsid w:val="006345E6"/>
    <w:rsid w:val="0063489C"/>
    <w:rsid w:val="00636A02"/>
    <w:rsid w:val="00636C0F"/>
    <w:rsid w:val="0064184D"/>
    <w:rsid w:val="00641D8D"/>
    <w:rsid w:val="006422CC"/>
    <w:rsid w:val="006423E6"/>
    <w:rsid w:val="006425C4"/>
    <w:rsid w:val="00642763"/>
    <w:rsid w:val="00642CD7"/>
    <w:rsid w:val="006438ED"/>
    <w:rsid w:val="006441DE"/>
    <w:rsid w:val="006460D7"/>
    <w:rsid w:val="006472E4"/>
    <w:rsid w:val="0064736B"/>
    <w:rsid w:val="00647E70"/>
    <w:rsid w:val="00650382"/>
    <w:rsid w:val="00651D18"/>
    <w:rsid w:val="006548C0"/>
    <w:rsid w:val="00654E40"/>
    <w:rsid w:val="00656B71"/>
    <w:rsid w:val="00657072"/>
    <w:rsid w:val="006573C3"/>
    <w:rsid w:val="006600CF"/>
    <w:rsid w:val="0066081A"/>
    <w:rsid w:val="00660E3E"/>
    <w:rsid w:val="006612B6"/>
    <w:rsid w:val="00661547"/>
    <w:rsid w:val="006615A3"/>
    <w:rsid w:val="006615E9"/>
    <w:rsid w:val="006617F4"/>
    <w:rsid w:val="00661942"/>
    <w:rsid w:val="0066267D"/>
    <w:rsid w:val="00662BDC"/>
    <w:rsid w:val="00662E74"/>
    <w:rsid w:val="00663943"/>
    <w:rsid w:val="00663AC5"/>
    <w:rsid w:val="00663AD9"/>
    <w:rsid w:val="00663B17"/>
    <w:rsid w:val="006647DD"/>
    <w:rsid w:val="006649E6"/>
    <w:rsid w:val="00664F9F"/>
    <w:rsid w:val="00665C57"/>
    <w:rsid w:val="0067077E"/>
    <w:rsid w:val="006716C2"/>
    <w:rsid w:val="00672721"/>
    <w:rsid w:val="00672A0D"/>
    <w:rsid w:val="00674399"/>
    <w:rsid w:val="0067475F"/>
    <w:rsid w:val="00674DB0"/>
    <w:rsid w:val="00676B99"/>
    <w:rsid w:val="00677740"/>
    <w:rsid w:val="0067777F"/>
    <w:rsid w:val="00680C23"/>
    <w:rsid w:val="00682D3B"/>
    <w:rsid w:val="00682F7C"/>
    <w:rsid w:val="00683A62"/>
    <w:rsid w:val="00683E23"/>
    <w:rsid w:val="00686234"/>
    <w:rsid w:val="006868B5"/>
    <w:rsid w:val="00687E92"/>
    <w:rsid w:val="00687F52"/>
    <w:rsid w:val="00687F8F"/>
    <w:rsid w:val="0069103D"/>
    <w:rsid w:val="00691F30"/>
    <w:rsid w:val="00692AA4"/>
    <w:rsid w:val="00692C12"/>
    <w:rsid w:val="006936A5"/>
    <w:rsid w:val="00693766"/>
    <w:rsid w:val="00693EF7"/>
    <w:rsid w:val="00695173"/>
    <w:rsid w:val="00695331"/>
    <w:rsid w:val="00696529"/>
    <w:rsid w:val="00696B74"/>
    <w:rsid w:val="00696C44"/>
    <w:rsid w:val="006A10FA"/>
    <w:rsid w:val="006A1118"/>
    <w:rsid w:val="006A1A0D"/>
    <w:rsid w:val="006A3281"/>
    <w:rsid w:val="006A52FB"/>
    <w:rsid w:val="006A551E"/>
    <w:rsid w:val="006A56B8"/>
    <w:rsid w:val="006A57B0"/>
    <w:rsid w:val="006A63A1"/>
    <w:rsid w:val="006A799C"/>
    <w:rsid w:val="006B02A0"/>
    <w:rsid w:val="006B1072"/>
    <w:rsid w:val="006B1BCC"/>
    <w:rsid w:val="006B24AA"/>
    <w:rsid w:val="006B2AEC"/>
    <w:rsid w:val="006B3843"/>
    <w:rsid w:val="006B3B4C"/>
    <w:rsid w:val="006B43B2"/>
    <w:rsid w:val="006B4888"/>
    <w:rsid w:val="006B778A"/>
    <w:rsid w:val="006C17F1"/>
    <w:rsid w:val="006C2E45"/>
    <w:rsid w:val="006C359C"/>
    <w:rsid w:val="006C4036"/>
    <w:rsid w:val="006C4C3D"/>
    <w:rsid w:val="006C5153"/>
    <w:rsid w:val="006C51D9"/>
    <w:rsid w:val="006C5579"/>
    <w:rsid w:val="006C5B7B"/>
    <w:rsid w:val="006C6071"/>
    <w:rsid w:val="006C6F15"/>
    <w:rsid w:val="006C7202"/>
    <w:rsid w:val="006D02D2"/>
    <w:rsid w:val="006D1A78"/>
    <w:rsid w:val="006D24AB"/>
    <w:rsid w:val="006D44BC"/>
    <w:rsid w:val="006D5EA5"/>
    <w:rsid w:val="006D639F"/>
    <w:rsid w:val="006D6DB4"/>
    <w:rsid w:val="006D6E8B"/>
    <w:rsid w:val="006D7209"/>
    <w:rsid w:val="006D7411"/>
    <w:rsid w:val="006D750B"/>
    <w:rsid w:val="006D7B62"/>
    <w:rsid w:val="006E0178"/>
    <w:rsid w:val="006E0697"/>
    <w:rsid w:val="006E2719"/>
    <w:rsid w:val="006E3F29"/>
    <w:rsid w:val="006E456C"/>
    <w:rsid w:val="006E499D"/>
    <w:rsid w:val="006E53F8"/>
    <w:rsid w:val="006E544C"/>
    <w:rsid w:val="006E5B7D"/>
    <w:rsid w:val="006E65C7"/>
    <w:rsid w:val="006E706F"/>
    <w:rsid w:val="006E737D"/>
    <w:rsid w:val="006E73F3"/>
    <w:rsid w:val="006E744D"/>
    <w:rsid w:val="006F1F63"/>
    <w:rsid w:val="006F2357"/>
    <w:rsid w:val="006F35D7"/>
    <w:rsid w:val="006F4DA3"/>
    <w:rsid w:val="006F4E37"/>
    <w:rsid w:val="006F5A90"/>
    <w:rsid w:val="006F6D80"/>
    <w:rsid w:val="006F7DF1"/>
    <w:rsid w:val="006F7EE5"/>
    <w:rsid w:val="00700944"/>
    <w:rsid w:val="00701EF4"/>
    <w:rsid w:val="007023E5"/>
    <w:rsid w:val="00702D5A"/>
    <w:rsid w:val="007038CD"/>
    <w:rsid w:val="00704AAA"/>
    <w:rsid w:val="0070513C"/>
    <w:rsid w:val="00706359"/>
    <w:rsid w:val="00706AF3"/>
    <w:rsid w:val="00706FD0"/>
    <w:rsid w:val="00707627"/>
    <w:rsid w:val="00707CF3"/>
    <w:rsid w:val="00707DD1"/>
    <w:rsid w:val="00711F9D"/>
    <w:rsid w:val="007128F0"/>
    <w:rsid w:val="00712A82"/>
    <w:rsid w:val="00713216"/>
    <w:rsid w:val="00713973"/>
    <w:rsid w:val="00713A4A"/>
    <w:rsid w:val="00713DDC"/>
    <w:rsid w:val="00713E03"/>
    <w:rsid w:val="007144E3"/>
    <w:rsid w:val="00715BE8"/>
    <w:rsid w:val="00716E3C"/>
    <w:rsid w:val="00717348"/>
    <w:rsid w:val="00720A24"/>
    <w:rsid w:val="00720CE6"/>
    <w:rsid w:val="00721218"/>
    <w:rsid w:val="00721A72"/>
    <w:rsid w:val="00723108"/>
    <w:rsid w:val="00723227"/>
    <w:rsid w:val="007238DD"/>
    <w:rsid w:val="00724CE6"/>
    <w:rsid w:val="007254A1"/>
    <w:rsid w:val="00725797"/>
    <w:rsid w:val="00726AD7"/>
    <w:rsid w:val="0072775B"/>
    <w:rsid w:val="00727B51"/>
    <w:rsid w:val="00730446"/>
    <w:rsid w:val="00730E60"/>
    <w:rsid w:val="007314D9"/>
    <w:rsid w:val="00732386"/>
    <w:rsid w:val="00733352"/>
    <w:rsid w:val="0073514D"/>
    <w:rsid w:val="0073571A"/>
    <w:rsid w:val="00737E01"/>
    <w:rsid w:val="00740921"/>
    <w:rsid w:val="007411F6"/>
    <w:rsid w:val="007447F3"/>
    <w:rsid w:val="00746E37"/>
    <w:rsid w:val="007474FD"/>
    <w:rsid w:val="00747C55"/>
    <w:rsid w:val="00750119"/>
    <w:rsid w:val="0075081D"/>
    <w:rsid w:val="00750B7E"/>
    <w:rsid w:val="0075133D"/>
    <w:rsid w:val="0075133F"/>
    <w:rsid w:val="00752F5D"/>
    <w:rsid w:val="0075369E"/>
    <w:rsid w:val="00753AFC"/>
    <w:rsid w:val="00753C37"/>
    <w:rsid w:val="0075499F"/>
    <w:rsid w:val="00754BE3"/>
    <w:rsid w:val="00754C82"/>
    <w:rsid w:val="007565F5"/>
    <w:rsid w:val="0075765C"/>
    <w:rsid w:val="00760B3E"/>
    <w:rsid w:val="007617CC"/>
    <w:rsid w:val="007622AE"/>
    <w:rsid w:val="00764B38"/>
    <w:rsid w:val="00766091"/>
    <w:rsid w:val="007661C8"/>
    <w:rsid w:val="00767F7B"/>
    <w:rsid w:val="00770088"/>
    <w:rsid w:val="00770148"/>
    <w:rsid w:val="00770819"/>
    <w:rsid w:val="0077098D"/>
    <w:rsid w:val="00770E75"/>
    <w:rsid w:val="0077240F"/>
    <w:rsid w:val="00773458"/>
    <w:rsid w:val="00773DBD"/>
    <w:rsid w:val="00774319"/>
    <w:rsid w:val="00775493"/>
    <w:rsid w:val="00777803"/>
    <w:rsid w:val="00781355"/>
    <w:rsid w:val="007824F0"/>
    <w:rsid w:val="00783842"/>
    <w:rsid w:val="00783C86"/>
    <w:rsid w:val="00784686"/>
    <w:rsid w:val="007847E2"/>
    <w:rsid w:val="00784893"/>
    <w:rsid w:val="0078562C"/>
    <w:rsid w:val="00785687"/>
    <w:rsid w:val="00785A98"/>
    <w:rsid w:val="00785BF9"/>
    <w:rsid w:val="0078604F"/>
    <w:rsid w:val="007864DE"/>
    <w:rsid w:val="007866D3"/>
    <w:rsid w:val="00786759"/>
    <w:rsid w:val="00786C1D"/>
    <w:rsid w:val="00787D5A"/>
    <w:rsid w:val="00787EC1"/>
    <w:rsid w:val="0079048E"/>
    <w:rsid w:val="00790D1E"/>
    <w:rsid w:val="00791DB6"/>
    <w:rsid w:val="00791DBA"/>
    <w:rsid w:val="00792532"/>
    <w:rsid w:val="007931FA"/>
    <w:rsid w:val="007933B4"/>
    <w:rsid w:val="007936C2"/>
    <w:rsid w:val="0079498C"/>
    <w:rsid w:val="00794AC6"/>
    <w:rsid w:val="00794FAA"/>
    <w:rsid w:val="00795285"/>
    <w:rsid w:val="0079590E"/>
    <w:rsid w:val="00795E27"/>
    <w:rsid w:val="00796989"/>
    <w:rsid w:val="0079715C"/>
    <w:rsid w:val="007977D8"/>
    <w:rsid w:val="007A03BC"/>
    <w:rsid w:val="007A1BA4"/>
    <w:rsid w:val="007A24F2"/>
    <w:rsid w:val="007A3627"/>
    <w:rsid w:val="007A459D"/>
    <w:rsid w:val="007A4861"/>
    <w:rsid w:val="007A49A0"/>
    <w:rsid w:val="007A5AD7"/>
    <w:rsid w:val="007A5AEE"/>
    <w:rsid w:val="007A6952"/>
    <w:rsid w:val="007A78C4"/>
    <w:rsid w:val="007A7BBA"/>
    <w:rsid w:val="007B054D"/>
    <w:rsid w:val="007B0C50"/>
    <w:rsid w:val="007B24F6"/>
    <w:rsid w:val="007B2B79"/>
    <w:rsid w:val="007B3CC7"/>
    <w:rsid w:val="007B4523"/>
    <w:rsid w:val="007B48F9"/>
    <w:rsid w:val="007B5A7F"/>
    <w:rsid w:val="007B6AD2"/>
    <w:rsid w:val="007B7C9C"/>
    <w:rsid w:val="007C0A22"/>
    <w:rsid w:val="007C19BE"/>
    <w:rsid w:val="007C1A43"/>
    <w:rsid w:val="007C1ABC"/>
    <w:rsid w:val="007C31CA"/>
    <w:rsid w:val="007C3C5A"/>
    <w:rsid w:val="007C6D14"/>
    <w:rsid w:val="007C7C6D"/>
    <w:rsid w:val="007C7C96"/>
    <w:rsid w:val="007D0435"/>
    <w:rsid w:val="007D091F"/>
    <w:rsid w:val="007D0951"/>
    <w:rsid w:val="007D1BC6"/>
    <w:rsid w:val="007D31E3"/>
    <w:rsid w:val="007D32FF"/>
    <w:rsid w:val="007D34C3"/>
    <w:rsid w:val="007D3ADE"/>
    <w:rsid w:val="007D3B7D"/>
    <w:rsid w:val="007D435C"/>
    <w:rsid w:val="007D4730"/>
    <w:rsid w:val="007D4DC2"/>
    <w:rsid w:val="007D5060"/>
    <w:rsid w:val="007D5189"/>
    <w:rsid w:val="007D55CE"/>
    <w:rsid w:val="007D5A2D"/>
    <w:rsid w:val="007D648E"/>
    <w:rsid w:val="007D6E7A"/>
    <w:rsid w:val="007D7300"/>
    <w:rsid w:val="007D7551"/>
    <w:rsid w:val="007E1900"/>
    <w:rsid w:val="007E1EEA"/>
    <w:rsid w:val="007E2161"/>
    <w:rsid w:val="007E269B"/>
    <w:rsid w:val="007E34CC"/>
    <w:rsid w:val="007E3FF4"/>
    <w:rsid w:val="007E4926"/>
    <w:rsid w:val="007E530F"/>
    <w:rsid w:val="007E540F"/>
    <w:rsid w:val="007E5879"/>
    <w:rsid w:val="007E661A"/>
    <w:rsid w:val="007E6921"/>
    <w:rsid w:val="007F0B23"/>
    <w:rsid w:val="007F17FE"/>
    <w:rsid w:val="007F1A53"/>
    <w:rsid w:val="007F27C8"/>
    <w:rsid w:val="007F33B7"/>
    <w:rsid w:val="007F6B11"/>
    <w:rsid w:val="007F6CED"/>
    <w:rsid w:val="007F7356"/>
    <w:rsid w:val="007F799B"/>
    <w:rsid w:val="0080013E"/>
    <w:rsid w:val="008006D7"/>
    <w:rsid w:val="00800C16"/>
    <w:rsid w:val="00801B3D"/>
    <w:rsid w:val="00801CFC"/>
    <w:rsid w:val="00801F5C"/>
    <w:rsid w:val="0080224E"/>
    <w:rsid w:val="00802533"/>
    <w:rsid w:val="00802B9A"/>
    <w:rsid w:val="00803360"/>
    <w:rsid w:val="00803FEB"/>
    <w:rsid w:val="00804053"/>
    <w:rsid w:val="008046DD"/>
    <w:rsid w:val="00804BEE"/>
    <w:rsid w:val="00806B0E"/>
    <w:rsid w:val="00807EA2"/>
    <w:rsid w:val="00810B61"/>
    <w:rsid w:val="00811F78"/>
    <w:rsid w:val="008124F5"/>
    <w:rsid w:val="0081292E"/>
    <w:rsid w:val="00813217"/>
    <w:rsid w:val="00813288"/>
    <w:rsid w:val="00814624"/>
    <w:rsid w:val="0081496B"/>
    <w:rsid w:val="00814C00"/>
    <w:rsid w:val="00815AA2"/>
    <w:rsid w:val="00816069"/>
    <w:rsid w:val="008168FC"/>
    <w:rsid w:val="00817820"/>
    <w:rsid w:val="008207A5"/>
    <w:rsid w:val="008219FF"/>
    <w:rsid w:val="00822121"/>
    <w:rsid w:val="00823C31"/>
    <w:rsid w:val="00825067"/>
    <w:rsid w:val="00825482"/>
    <w:rsid w:val="0082631A"/>
    <w:rsid w:val="00827F3B"/>
    <w:rsid w:val="008304E6"/>
    <w:rsid w:val="00830996"/>
    <w:rsid w:val="00830C4B"/>
    <w:rsid w:val="008314D7"/>
    <w:rsid w:val="008328F9"/>
    <w:rsid w:val="008338B4"/>
    <w:rsid w:val="008345F1"/>
    <w:rsid w:val="00835D7D"/>
    <w:rsid w:val="00835F31"/>
    <w:rsid w:val="00835F76"/>
    <w:rsid w:val="0083623D"/>
    <w:rsid w:val="00837DDB"/>
    <w:rsid w:val="00840DA8"/>
    <w:rsid w:val="00842087"/>
    <w:rsid w:val="00842782"/>
    <w:rsid w:val="00843916"/>
    <w:rsid w:val="00843D7B"/>
    <w:rsid w:val="008442ED"/>
    <w:rsid w:val="00844665"/>
    <w:rsid w:val="00844DD0"/>
    <w:rsid w:val="008466CC"/>
    <w:rsid w:val="00846B15"/>
    <w:rsid w:val="008478BB"/>
    <w:rsid w:val="00850C9F"/>
    <w:rsid w:val="00850E71"/>
    <w:rsid w:val="00851538"/>
    <w:rsid w:val="00851660"/>
    <w:rsid w:val="0085168C"/>
    <w:rsid w:val="008524E7"/>
    <w:rsid w:val="00852AC5"/>
    <w:rsid w:val="00852B5C"/>
    <w:rsid w:val="00854373"/>
    <w:rsid w:val="00854401"/>
    <w:rsid w:val="0085524E"/>
    <w:rsid w:val="00855B9C"/>
    <w:rsid w:val="00855BDA"/>
    <w:rsid w:val="008560B9"/>
    <w:rsid w:val="0085691A"/>
    <w:rsid w:val="0085728A"/>
    <w:rsid w:val="008579BB"/>
    <w:rsid w:val="008603D0"/>
    <w:rsid w:val="00860661"/>
    <w:rsid w:val="008615CF"/>
    <w:rsid w:val="00862B84"/>
    <w:rsid w:val="00862ECC"/>
    <w:rsid w:val="0086455D"/>
    <w:rsid w:val="00864751"/>
    <w:rsid w:val="00865320"/>
    <w:rsid w:val="00865B07"/>
    <w:rsid w:val="00865BBA"/>
    <w:rsid w:val="00865D0E"/>
    <w:rsid w:val="008667EA"/>
    <w:rsid w:val="0086688D"/>
    <w:rsid w:val="0086747B"/>
    <w:rsid w:val="0087179F"/>
    <w:rsid w:val="00871E1F"/>
    <w:rsid w:val="008725CC"/>
    <w:rsid w:val="00872E51"/>
    <w:rsid w:val="008740D3"/>
    <w:rsid w:val="0087417D"/>
    <w:rsid w:val="00874196"/>
    <w:rsid w:val="0087484A"/>
    <w:rsid w:val="00874A05"/>
    <w:rsid w:val="008750A9"/>
    <w:rsid w:val="0087637F"/>
    <w:rsid w:val="00877A9B"/>
    <w:rsid w:val="00880526"/>
    <w:rsid w:val="008807A6"/>
    <w:rsid w:val="00880DD9"/>
    <w:rsid w:val="00882BD4"/>
    <w:rsid w:val="00883CEF"/>
    <w:rsid w:val="00884A88"/>
    <w:rsid w:val="00884CCE"/>
    <w:rsid w:val="008855B5"/>
    <w:rsid w:val="00885F28"/>
    <w:rsid w:val="008862CA"/>
    <w:rsid w:val="0088661C"/>
    <w:rsid w:val="008871D2"/>
    <w:rsid w:val="00887B2B"/>
    <w:rsid w:val="00892AD5"/>
    <w:rsid w:val="0089305F"/>
    <w:rsid w:val="008941C7"/>
    <w:rsid w:val="0089443B"/>
    <w:rsid w:val="00896662"/>
    <w:rsid w:val="00896E33"/>
    <w:rsid w:val="008A1512"/>
    <w:rsid w:val="008A2AFA"/>
    <w:rsid w:val="008A332C"/>
    <w:rsid w:val="008A5887"/>
    <w:rsid w:val="008A5ADB"/>
    <w:rsid w:val="008A6B08"/>
    <w:rsid w:val="008A6EB2"/>
    <w:rsid w:val="008A70C9"/>
    <w:rsid w:val="008A71F1"/>
    <w:rsid w:val="008A725F"/>
    <w:rsid w:val="008A72E0"/>
    <w:rsid w:val="008A75DE"/>
    <w:rsid w:val="008B0229"/>
    <w:rsid w:val="008B0C7D"/>
    <w:rsid w:val="008B223C"/>
    <w:rsid w:val="008B352D"/>
    <w:rsid w:val="008B5D30"/>
    <w:rsid w:val="008B7A55"/>
    <w:rsid w:val="008C1EBA"/>
    <w:rsid w:val="008C23FC"/>
    <w:rsid w:val="008C2FB3"/>
    <w:rsid w:val="008C3537"/>
    <w:rsid w:val="008D130C"/>
    <w:rsid w:val="008D1B79"/>
    <w:rsid w:val="008D28B5"/>
    <w:rsid w:val="008D32B9"/>
    <w:rsid w:val="008D3359"/>
    <w:rsid w:val="008D3386"/>
    <w:rsid w:val="008D3E73"/>
    <w:rsid w:val="008D433B"/>
    <w:rsid w:val="008D4A16"/>
    <w:rsid w:val="008D4F10"/>
    <w:rsid w:val="008D5BDD"/>
    <w:rsid w:val="008D5FF7"/>
    <w:rsid w:val="008D69A5"/>
    <w:rsid w:val="008D6EE4"/>
    <w:rsid w:val="008E1BB4"/>
    <w:rsid w:val="008E209A"/>
    <w:rsid w:val="008E25BF"/>
    <w:rsid w:val="008E2670"/>
    <w:rsid w:val="008E3904"/>
    <w:rsid w:val="008E3D1C"/>
    <w:rsid w:val="008E45BC"/>
    <w:rsid w:val="008E566E"/>
    <w:rsid w:val="008E6626"/>
    <w:rsid w:val="008E6E92"/>
    <w:rsid w:val="008E715B"/>
    <w:rsid w:val="008F089F"/>
    <w:rsid w:val="008F0D67"/>
    <w:rsid w:val="008F1153"/>
    <w:rsid w:val="008F16E4"/>
    <w:rsid w:val="008F179E"/>
    <w:rsid w:val="008F18DC"/>
    <w:rsid w:val="008F2B5A"/>
    <w:rsid w:val="008F4BAF"/>
    <w:rsid w:val="008F4D60"/>
    <w:rsid w:val="008F520A"/>
    <w:rsid w:val="008F689D"/>
    <w:rsid w:val="008F7BD6"/>
    <w:rsid w:val="009005AA"/>
    <w:rsid w:val="0090161A"/>
    <w:rsid w:val="00901EB6"/>
    <w:rsid w:val="009025F9"/>
    <w:rsid w:val="00903139"/>
    <w:rsid w:val="009031DA"/>
    <w:rsid w:val="00903212"/>
    <w:rsid w:val="00903F52"/>
    <w:rsid w:val="009041F6"/>
    <w:rsid w:val="009041F8"/>
    <w:rsid w:val="00904C62"/>
    <w:rsid w:val="009060F5"/>
    <w:rsid w:val="009062FA"/>
    <w:rsid w:val="00907676"/>
    <w:rsid w:val="009100BC"/>
    <w:rsid w:val="00911206"/>
    <w:rsid w:val="00911DE0"/>
    <w:rsid w:val="0091256D"/>
    <w:rsid w:val="009126B6"/>
    <w:rsid w:val="0091296E"/>
    <w:rsid w:val="00913577"/>
    <w:rsid w:val="0091493C"/>
    <w:rsid w:val="009178F0"/>
    <w:rsid w:val="00917CF0"/>
    <w:rsid w:val="00920657"/>
    <w:rsid w:val="00921986"/>
    <w:rsid w:val="009227D7"/>
    <w:rsid w:val="00922BA8"/>
    <w:rsid w:val="00922BE6"/>
    <w:rsid w:val="00924883"/>
    <w:rsid w:val="00924DAC"/>
    <w:rsid w:val="00925100"/>
    <w:rsid w:val="00925153"/>
    <w:rsid w:val="00925AE8"/>
    <w:rsid w:val="00925D32"/>
    <w:rsid w:val="00927058"/>
    <w:rsid w:val="0092719C"/>
    <w:rsid w:val="00927DC3"/>
    <w:rsid w:val="009306CF"/>
    <w:rsid w:val="00931C76"/>
    <w:rsid w:val="009323C2"/>
    <w:rsid w:val="0093341F"/>
    <w:rsid w:val="00933583"/>
    <w:rsid w:val="0093363F"/>
    <w:rsid w:val="00933C04"/>
    <w:rsid w:val="00933DFF"/>
    <w:rsid w:val="009343A8"/>
    <w:rsid w:val="0093458E"/>
    <w:rsid w:val="009349C3"/>
    <w:rsid w:val="00935751"/>
    <w:rsid w:val="00935E46"/>
    <w:rsid w:val="00935FA9"/>
    <w:rsid w:val="00936C0D"/>
    <w:rsid w:val="009423D8"/>
    <w:rsid w:val="009425CD"/>
    <w:rsid w:val="00942750"/>
    <w:rsid w:val="00942A34"/>
    <w:rsid w:val="009430F0"/>
    <w:rsid w:val="009436CA"/>
    <w:rsid w:val="0094376C"/>
    <w:rsid w:val="009450CE"/>
    <w:rsid w:val="00945242"/>
    <w:rsid w:val="009459BB"/>
    <w:rsid w:val="00947179"/>
    <w:rsid w:val="0095164B"/>
    <w:rsid w:val="00952AB1"/>
    <w:rsid w:val="00952E0E"/>
    <w:rsid w:val="00954090"/>
    <w:rsid w:val="00954D57"/>
    <w:rsid w:val="00955B86"/>
    <w:rsid w:val="00955E01"/>
    <w:rsid w:val="00956688"/>
    <w:rsid w:val="00956C00"/>
    <w:rsid w:val="009571F0"/>
    <w:rsid w:val="009573E7"/>
    <w:rsid w:val="009574B3"/>
    <w:rsid w:val="00960598"/>
    <w:rsid w:val="00961762"/>
    <w:rsid w:val="00961D18"/>
    <w:rsid w:val="00963BA7"/>
    <w:rsid w:val="00963E05"/>
    <w:rsid w:val="009641B2"/>
    <w:rsid w:val="00964A45"/>
    <w:rsid w:val="00964FC1"/>
    <w:rsid w:val="0096527C"/>
    <w:rsid w:val="00966442"/>
    <w:rsid w:val="009664A0"/>
    <w:rsid w:val="00967843"/>
    <w:rsid w:val="00967999"/>
    <w:rsid w:val="00967D54"/>
    <w:rsid w:val="0097033D"/>
    <w:rsid w:val="00971028"/>
    <w:rsid w:val="00971133"/>
    <w:rsid w:val="009738B3"/>
    <w:rsid w:val="00973FFF"/>
    <w:rsid w:val="00974B53"/>
    <w:rsid w:val="00974C84"/>
    <w:rsid w:val="00974F87"/>
    <w:rsid w:val="009774EE"/>
    <w:rsid w:val="00980251"/>
    <w:rsid w:val="00980D80"/>
    <w:rsid w:val="009810A9"/>
    <w:rsid w:val="00981944"/>
    <w:rsid w:val="00981FCC"/>
    <w:rsid w:val="00982198"/>
    <w:rsid w:val="0098253F"/>
    <w:rsid w:val="009828C7"/>
    <w:rsid w:val="00982AEF"/>
    <w:rsid w:val="00983C5F"/>
    <w:rsid w:val="00983F80"/>
    <w:rsid w:val="0098525E"/>
    <w:rsid w:val="00986F9B"/>
    <w:rsid w:val="009915E8"/>
    <w:rsid w:val="009939EE"/>
    <w:rsid w:val="00993B23"/>
    <w:rsid w:val="00993B84"/>
    <w:rsid w:val="00994943"/>
    <w:rsid w:val="00994BE7"/>
    <w:rsid w:val="0099504F"/>
    <w:rsid w:val="00995819"/>
    <w:rsid w:val="00995B41"/>
    <w:rsid w:val="00995C5B"/>
    <w:rsid w:val="00996483"/>
    <w:rsid w:val="00996F5A"/>
    <w:rsid w:val="009A0EAF"/>
    <w:rsid w:val="009A16E6"/>
    <w:rsid w:val="009A1CAA"/>
    <w:rsid w:val="009A2ED8"/>
    <w:rsid w:val="009A3A41"/>
    <w:rsid w:val="009A3FDE"/>
    <w:rsid w:val="009A44B9"/>
    <w:rsid w:val="009A6DC8"/>
    <w:rsid w:val="009A7286"/>
    <w:rsid w:val="009A77BA"/>
    <w:rsid w:val="009A7AB6"/>
    <w:rsid w:val="009A7E1C"/>
    <w:rsid w:val="009B041A"/>
    <w:rsid w:val="009B2807"/>
    <w:rsid w:val="009B3036"/>
    <w:rsid w:val="009B4C6B"/>
    <w:rsid w:val="009B4DF2"/>
    <w:rsid w:val="009B5225"/>
    <w:rsid w:val="009B6E0C"/>
    <w:rsid w:val="009B713A"/>
    <w:rsid w:val="009B7DAA"/>
    <w:rsid w:val="009B7F33"/>
    <w:rsid w:val="009C1078"/>
    <w:rsid w:val="009C10A4"/>
    <w:rsid w:val="009C20F8"/>
    <w:rsid w:val="009C33FA"/>
    <w:rsid w:val="009C37C3"/>
    <w:rsid w:val="009C3FEA"/>
    <w:rsid w:val="009C51DE"/>
    <w:rsid w:val="009C6866"/>
    <w:rsid w:val="009C7C86"/>
    <w:rsid w:val="009D070B"/>
    <w:rsid w:val="009D099E"/>
    <w:rsid w:val="009D1780"/>
    <w:rsid w:val="009D20E9"/>
    <w:rsid w:val="009D267C"/>
    <w:rsid w:val="009D2FF7"/>
    <w:rsid w:val="009D3198"/>
    <w:rsid w:val="009D461F"/>
    <w:rsid w:val="009D56DB"/>
    <w:rsid w:val="009D661E"/>
    <w:rsid w:val="009D78D5"/>
    <w:rsid w:val="009E2A85"/>
    <w:rsid w:val="009E2EC9"/>
    <w:rsid w:val="009E37FE"/>
    <w:rsid w:val="009E3A04"/>
    <w:rsid w:val="009E4D72"/>
    <w:rsid w:val="009E53D6"/>
    <w:rsid w:val="009E5ACA"/>
    <w:rsid w:val="009E7884"/>
    <w:rsid w:val="009E788A"/>
    <w:rsid w:val="009F0717"/>
    <w:rsid w:val="009F0D62"/>
    <w:rsid w:val="009F0E08"/>
    <w:rsid w:val="009F18AB"/>
    <w:rsid w:val="009F334F"/>
    <w:rsid w:val="009F341B"/>
    <w:rsid w:val="009F388A"/>
    <w:rsid w:val="009F3E40"/>
    <w:rsid w:val="009F4750"/>
    <w:rsid w:val="009F6C46"/>
    <w:rsid w:val="009F7373"/>
    <w:rsid w:val="009F7F1B"/>
    <w:rsid w:val="00A0066C"/>
    <w:rsid w:val="00A00841"/>
    <w:rsid w:val="00A01F0C"/>
    <w:rsid w:val="00A02865"/>
    <w:rsid w:val="00A0307F"/>
    <w:rsid w:val="00A030D3"/>
    <w:rsid w:val="00A032A7"/>
    <w:rsid w:val="00A0336A"/>
    <w:rsid w:val="00A0345D"/>
    <w:rsid w:val="00A044BE"/>
    <w:rsid w:val="00A04817"/>
    <w:rsid w:val="00A05035"/>
    <w:rsid w:val="00A052C1"/>
    <w:rsid w:val="00A058E2"/>
    <w:rsid w:val="00A05D60"/>
    <w:rsid w:val="00A068C0"/>
    <w:rsid w:val="00A07948"/>
    <w:rsid w:val="00A079AE"/>
    <w:rsid w:val="00A07D71"/>
    <w:rsid w:val="00A10123"/>
    <w:rsid w:val="00A11D33"/>
    <w:rsid w:val="00A1205B"/>
    <w:rsid w:val="00A14FF3"/>
    <w:rsid w:val="00A1693D"/>
    <w:rsid w:val="00A1763D"/>
    <w:rsid w:val="00A17CEC"/>
    <w:rsid w:val="00A17F11"/>
    <w:rsid w:val="00A2129E"/>
    <w:rsid w:val="00A21C56"/>
    <w:rsid w:val="00A229CB"/>
    <w:rsid w:val="00A22A6B"/>
    <w:rsid w:val="00A239D5"/>
    <w:rsid w:val="00A24C67"/>
    <w:rsid w:val="00A24D1B"/>
    <w:rsid w:val="00A25317"/>
    <w:rsid w:val="00A253F3"/>
    <w:rsid w:val="00A25B09"/>
    <w:rsid w:val="00A25FEF"/>
    <w:rsid w:val="00A26218"/>
    <w:rsid w:val="00A262CE"/>
    <w:rsid w:val="00A26CBB"/>
    <w:rsid w:val="00A27440"/>
    <w:rsid w:val="00A2745A"/>
    <w:rsid w:val="00A27564"/>
    <w:rsid w:val="00A27EF0"/>
    <w:rsid w:val="00A30908"/>
    <w:rsid w:val="00A309F1"/>
    <w:rsid w:val="00A30B39"/>
    <w:rsid w:val="00A30F93"/>
    <w:rsid w:val="00A32E15"/>
    <w:rsid w:val="00A32FB7"/>
    <w:rsid w:val="00A33604"/>
    <w:rsid w:val="00A34D83"/>
    <w:rsid w:val="00A37F56"/>
    <w:rsid w:val="00A40586"/>
    <w:rsid w:val="00A41BE8"/>
    <w:rsid w:val="00A41F25"/>
    <w:rsid w:val="00A42361"/>
    <w:rsid w:val="00A43AB7"/>
    <w:rsid w:val="00A43E62"/>
    <w:rsid w:val="00A44CE0"/>
    <w:rsid w:val="00A45772"/>
    <w:rsid w:val="00A45D9B"/>
    <w:rsid w:val="00A4600E"/>
    <w:rsid w:val="00A4634B"/>
    <w:rsid w:val="00A467F4"/>
    <w:rsid w:val="00A474E6"/>
    <w:rsid w:val="00A4785E"/>
    <w:rsid w:val="00A50931"/>
    <w:rsid w:val="00A50ACC"/>
    <w:rsid w:val="00A50B20"/>
    <w:rsid w:val="00A51390"/>
    <w:rsid w:val="00A5174B"/>
    <w:rsid w:val="00A529E5"/>
    <w:rsid w:val="00A534ED"/>
    <w:rsid w:val="00A54D0B"/>
    <w:rsid w:val="00A550EE"/>
    <w:rsid w:val="00A552CD"/>
    <w:rsid w:val="00A55A6E"/>
    <w:rsid w:val="00A56483"/>
    <w:rsid w:val="00A574A1"/>
    <w:rsid w:val="00A57E62"/>
    <w:rsid w:val="00A60D13"/>
    <w:rsid w:val="00A62606"/>
    <w:rsid w:val="00A62D13"/>
    <w:rsid w:val="00A6345B"/>
    <w:rsid w:val="00A645B9"/>
    <w:rsid w:val="00A65F85"/>
    <w:rsid w:val="00A65FA0"/>
    <w:rsid w:val="00A673B1"/>
    <w:rsid w:val="00A67635"/>
    <w:rsid w:val="00A6764A"/>
    <w:rsid w:val="00A7013B"/>
    <w:rsid w:val="00A70C90"/>
    <w:rsid w:val="00A70F5D"/>
    <w:rsid w:val="00A71137"/>
    <w:rsid w:val="00A7223D"/>
    <w:rsid w:val="00A726FB"/>
    <w:rsid w:val="00A72745"/>
    <w:rsid w:val="00A729A6"/>
    <w:rsid w:val="00A7343F"/>
    <w:rsid w:val="00A73596"/>
    <w:rsid w:val="00A746BC"/>
    <w:rsid w:val="00A76096"/>
    <w:rsid w:val="00A76EFC"/>
    <w:rsid w:val="00A77103"/>
    <w:rsid w:val="00A774DB"/>
    <w:rsid w:val="00A77D62"/>
    <w:rsid w:val="00A802A7"/>
    <w:rsid w:val="00A814A8"/>
    <w:rsid w:val="00A819B0"/>
    <w:rsid w:val="00A8259B"/>
    <w:rsid w:val="00A82F00"/>
    <w:rsid w:val="00A831FB"/>
    <w:rsid w:val="00A855EF"/>
    <w:rsid w:val="00A86572"/>
    <w:rsid w:val="00A86BDC"/>
    <w:rsid w:val="00A87D50"/>
    <w:rsid w:val="00A9076D"/>
    <w:rsid w:val="00A90932"/>
    <w:rsid w:val="00A91010"/>
    <w:rsid w:val="00A95E04"/>
    <w:rsid w:val="00A967D6"/>
    <w:rsid w:val="00A97A0B"/>
    <w:rsid w:val="00A97C34"/>
    <w:rsid w:val="00A97F29"/>
    <w:rsid w:val="00A97F9D"/>
    <w:rsid w:val="00AA05B0"/>
    <w:rsid w:val="00AA0C42"/>
    <w:rsid w:val="00AA1855"/>
    <w:rsid w:val="00AA191B"/>
    <w:rsid w:val="00AA1A36"/>
    <w:rsid w:val="00AA1CFB"/>
    <w:rsid w:val="00AA4B49"/>
    <w:rsid w:val="00AA4D67"/>
    <w:rsid w:val="00AA608F"/>
    <w:rsid w:val="00AA68E9"/>
    <w:rsid w:val="00AA702E"/>
    <w:rsid w:val="00AA73A4"/>
    <w:rsid w:val="00AA7507"/>
    <w:rsid w:val="00AA7A06"/>
    <w:rsid w:val="00AA7D26"/>
    <w:rsid w:val="00AA7FB1"/>
    <w:rsid w:val="00AB0266"/>
    <w:rsid w:val="00AB0964"/>
    <w:rsid w:val="00AB0D0B"/>
    <w:rsid w:val="00AB10BC"/>
    <w:rsid w:val="00AB2002"/>
    <w:rsid w:val="00AB2B73"/>
    <w:rsid w:val="00AB2BE3"/>
    <w:rsid w:val="00AB3529"/>
    <w:rsid w:val="00AB46C3"/>
    <w:rsid w:val="00AB5011"/>
    <w:rsid w:val="00AB5571"/>
    <w:rsid w:val="00AB6D06"/>
    <w:rsid w:val="00AB6F7F"/>
    <w:rsid w:val="00AB7750"/>
    <w:rsid w:val="00AB7B90"/>
    <w:rsid w:val="00AC0D19"/>
    <w:rsid w:val="00AC0ED1"/>
    <w:rsid w:val="00AC14F6"/>
    <w:rsid w:val="00AC1EE7"/>
    <w:rsid w:val="00AC21B5"/>
    <w:rsid w:val="00AC2469"/>
    <w:rsid w:val="00AC2833"/>
    <w:rsid w:val="00AC2957"/>
    <w:rsid w:val="00AC33A7"/>
    <w:rsid w:val="00AC35B9"/>
    <w:rsid w:val="00AC36CC"/>
    <w:rsid w:val="00AC55A7"/>
    <w:rsid w:val="00AC6A87"/>
    <w:rsid w:val="00AC6E0B"/>
    <w:rsid w:val="00AC6FDB"/>
    <w:rsid w:val="00AC7368"/>
    <w:rsid w:val="00AC7650"/>
    <w:rsid w:val="00AC76E1"/>
    <w:rsid w:val="00AD0278"/>
    <w:rsid w:val="00AD03D6"/>
    <w:rsid w:val="00AD0CEE"/>
    <w:rsid w:val="00AD11A5"/>
    <w:rsid w:val="00AD16B9"/>
    <w:rsid w:val="00AD2485"/>
    <w:rsid w:val="00AD25B4"/>
    <w:rsid w:val="00AD3719"/>
    <w:rsid w:val="00AD53D7"/>
    <w:rsid w:val="00AD640F"/>
    <w:rsid w:val="00AD69CE"/>
    <w:rsid w:val="00AE0BFA"/>
    <w:rsid w:val="00AE110F"/>
    <w:rsid w:val="00AE1159"/>
    <w:rsid w:val="00AE28E8"/>
    <w:rsid w:val="00AE33FA"/>
    <w:rsid w:val="00AE377D"/>
    <w:rsid w:val="00AE3998"/>
    <w:rsid w:val="00AE4018"/>
    <w:rsid w:val="00AE4259"/>
    <w:rsid w:val="00AE44B3"/>
    <w:rsid w:val="00AE606C"/>
    <w:rsid w:val="00AE6278"/>
    <w:rsid w:val="00AE70B2"/>
    <w:rsid w:val="00AE79DA"/>
    <w:rsid w:val="00AF02CB"/>
    <w:rsid w:val="00AF0E69"/>
    <w:rsid w:val="00AF0EBA"/>
    <w:rsid w:val="00AF21D8"/>
    <w:rsid w:val="00AF4B0D"/>
    <w:rsid w:val="00AF5C95"/>
    <w:rsid w:val="00AF6A00"/>
    <w:rsid w:val="00AF6B1F"/>
    <w:rsid w:val="00AF76E5"/>
    <w:rsid w:val="00AF798A"/>
    <w:rsid w:val="00AF7E1A"/>
    <w:rsid w:val="00B0016E"/>
    <w:rsid w:val="00B00C91"/>
    <w:rsid w:val="00B01EC4"/>
    <w:rsid w:val="00B01F8F"/>
    <w:rsid w:val="00B02349"/>
    <w:rsid w:val="00B02574"/>
    <w:rsid w:val="00B02781"/>
    <w:rsid w:val="00B02C8A"/>
    <w:rsid w:val="00B03B5C"/>
    <w:rsid w:val="00B03CE3"/>
    <w:rsid w:val="00B04627"/>
    <w:rsid w:val="00B048CF"/>
    <w:rsid w:val="00B064A8"/>
    <w:rsid w:val="00B106C0"/>
    <w:rsid w:val="00B11617"/>
    <w:rsid w:val="00B13EC3"/>
    <w:rsid w:val="00B14619"/>
    <w:rsid w:val="00B152FD"/>
    <w:rsid w:val="00B164FE"/>
    <w:rsid w:val="00B169B0"/>
    <w:rsid w:val="00B171EB"/>
    <w:rsid w:val="00B17FBD"/>
    <w:rsid w:val="00B20759"/>
    <w:rsid w:val="00B2086B"/>
    <w:rsid w:val="00B210D3"/>
    <w:rsid w:val="00B21FB3"/>
    <w:rsid w:val="00B225FB"/>
    <w:rsid w:val="00B23137"/>
    <w:rsid w:val="00B2363E"/>
    <w:rsid w:val="00B23990"/>
    <w:rsid w:val="00B239C9"/>
    <w:rsid w:val="00B245E7"/>
    <w:rsid w:val="00B2484D"/>
    <w:rsid w:val="00B248A5"/>
    <w:rsid w:val="00B24D6E"/>
    <w:rsid w:val="00B24F88"/>
    <w:rsid w:val="00B2534A"/>
    <w:rsid w:val="00B267F5"/>
    <w:rsid w:val="00B30E7B"/>
    <w:rsid w:val="00B315A6"/>
    <w:rsid w:val="00B31813"/>
    <w:rsid w:val="00B32168"/>
    <w:rsid w:val="00B32509"/>
    <w:rsid w:val="00B33143"/>
    <w:rsid w:val="00B33365"/>
    <w:rsid w:val="00B3342F"/>
    <w:rsid w:val="00B3542C"/>
    <w:rsid w:val="00B356C4"/>
    <w:rsid w:val="00B35E88"/>
    <w:rsid w:val="00B360AE"/>
    <w:rsid w:val="00B366FE"/>
    <w:rsid w:val="00B369F9"/>
    <w:rsid w:val="00B3790B"/>
    <w:rsid w:val="00B37E77"/>
    <w:rsid w:val="00B40A87"/>
    <w:rsid w:val="00B40ADC"/>
    <w:rsid w:val="00B4138D"/>
    <w:rsid w:val="00B4140E"/>
    <w:rsid w:val="00B416D9"/>
    <w:rsid w:val="00B41957"/>
    <w:rsid w:val="00B4236D"/>
    <w:rsid w:val="00B42CA4"/>
    <w:rsid w:val="00B44016"/>
    <w:rsid w:val="00B44DAB"/>
    <w:rsid w:val="00B469F8"/>
    <w:rsid w:val="00B46A79"/>
    <w:rsid w:val="00B504FB"/>
    <w:rsid w:val="00B51BDB"/>
    <w:rsid w:val="00B5217C"/>
    <w:rsid w:val="00B52AE1"/>
    <w:rsid w:val="00B52B9C"/>
    <w:rsid w:val="00B52D2A"/>
    <w:rsid w:val="00B5473A"/>
    <w:rsid w:val="00B54985"/>
    <w:rsid w:val="00B54A6A"/>
    <w:rsid w:val="00B56645"/>
    <w:rsid w:val="00B5786F"/>
    <w:rsid w:val="00B57B36"/>
    <w:rsid w:val="00B57CF6"/>
    <w:rsid w:val="00B57E6F"/>
    <w:rsid w:val="00B60168"/>
    <w:rsid w:val="00B6022F"/>
    <w:rsid w:val="00B61CB1"/>
    <w:rsid w:val="00B6201C"/>
    <w:rsid w:val="00B622BE"/>
    <w:rsid w:val="00B628FC"/>
    <w:rsid w:val="00B635BF"/>
    <w:rsid w:val="00B639F4"/>
    <w:rsid w:val="00B63A0A"/>
    <w:rsid w:val="00B63C0A"/>
    <w:rsid w:val="00B63DBD"/>
    <w:rsid w:val="00B65203"/>
    <w:rsid w:val="00B667D1"/>
    <w:rsid w:val="00B706D6"/>
    <w:rsid w:val="00B70F90"/>
    <w:rsid w:val="00B7188F"/>
    <w:rsid w:val="00B73D74"/>
    <w:rsid w:val="00B73E3C"/>
    <w:rsid w:val="00B74FF3"/>
    <w:rsid w:val="00B75BEA"/>
    <w:rsid w:val="00B75C40"/>
    <w:rsid w:val="00B77124"/>
    <w:rsid w:val="00B80322"/>
    <w:rsid w:val="00B80BC0"/>
    <w:rsid w:val="00B8161F"/>
    <w:rsid w:val="00B81D8D"/>
    <w:rsid w:val="00B8257E"/>
    <w:rsid w:val="00B8268F"/>
    <w:rsid w:val="00B82D5C"/>
    <w:rsid w:val="00B83ABB"/>
    <w:rsid w:val="00B83DD5"/>
    <w:rsid w:val="00B84522"/>
    <w:rsid w:val="00B8561F"/>
    <w:rsid w:val="00B856AF"/>
    <w:rsid w:val="00B8662B"/>
    <w:rsid w:val="00B8686D"/>
    <w:rsid w:val="00B87FDD"/>
    <w:rsid w:val="00B902DA"/>
    <w:rsid w:val="00B90F57"/>
    <w:rsid w:val="00B929A5"/>
    <w:rsid w:val="00B935FE"/>
    <w:rsid w:val="00B93F69"/>
    <w:rsid w:val="00B95B73"/>
    <w:rsid w:val="00B96D29"/>
    <w:rsid w:val="00BA0C49"/>
    <w:rsid w:val="00BA15D0"/>
    <w:rsid w:val="00BA43BA"/>
    <w:rsid w:val="00BA480A"/>
    <w:rsid w:val="00BA5382"/>
    <w:rsid w:val="00BA541D"/>
    <w:rsid w:val="00BA573C"/>
    <w:rsid w:val="00BA5D9A"/>
    <w:rsid w:val="00BA6E21"/>
    <w:rsid w:val="00BA6EAE"/>
    <w:rsid w:val="00BA7D17"/>
    <w:rsid w:val="00BB06C0"/>
    <w:rsid w:val="00BB100E"/>
    <w:rsid w:val="00BB1734"/>
    <w:rsid w:val="00BB18F3"/>
    <w:rsid w:val="00BB1DDC"/>
    <w:rsid w:val="00BB200E"/>
    <w:rsid w:val="00BB231E"/>
    <w:rsid w:val="00BB2B0F"/>
    <w:rsid w:val="00BB401E"/>
    <w:rsid w:val="00BB47C9"/>
    <w:rsid w:val="00BB5B13"/>
    <w:rsid w:val="00BC0082"/>
    <w:rsid w:val="00BC06BE"/>
    <w:rsid w:val="00BC07DC"/>
    <w:rsid w:val="00BC082A"/>
    <w:rsid w:val="00BC3087"/>
    <w:rsid w:val="00BC30C9"/>
    <w:rsid w:val="00BC5437"/>
    <w:rsid w:val="00BC5CF6"/>
    <w:rsid w:val="00BC6E8D"/>
    <w:rsid w:val="00BC728E"/>
    <w:rsid w:val="00BC7485"/>
    <w:rsid w:val="00BC77C5"/>
    <w:rsid w:val="00BC7D49"/>
    <w:rsid w:val="00BD01AA"/>
    <w:rsid w:val="00BD077D"/>
    <w:rsid w:val="00BD18B8"/>
    <w:rsid w:val="00BD4233"/>
    <w:rsid w:val="00BD457F"/>
    <w:rsid w:val="00BD4766"/>
    <w:rsid w:val="00BD48C8"/>
    <w:rsid w:val="00BD52FD"/>
    <w:rsid w:val="00BD5939"/>
    <w:rsid w:val="00BD5DFB"/>
    <w:rsid w:val="00BD6803"/>
    <w:rsid w:val="00BD776D"/>
    <w:rsid w:val="00BE052B"/>
    <w:rsid w:val="00BE1EA7"/>
    <w:rsid w:val="00BE26C7"/>
    <w:rsid w:val="00BE3806"/>
    <w:rsid w:val="00BE3E58"/>
    <w:rsid w:val="00BE42DF"/>
    <w:rsid w:val="00BE48C6"/>
    <w:rsid w:val="00BE4E7E"/>
    <w:rsid w:val="00BE5BBB"/>
    <w:rsid w:val="00BE69B8"/>
    <w:rsid w:val="00BE6CDD"/>
    <w:rsid w:val="00BE758D"/>
    <w:rsid w:val="00BF0202"/>
    <w:rsid w:val="00BF020C"/>
    <w:rsid w:val="00BF0C5B"/>
    <w:rsid w:val="00BF2DE5"/>
    <w:rsid w:val="00BF3DCC"/>
    <w:rsid w:val="00BF47C2"/>
    <w:rsid w:val="00BF4C6F"/>
    <w:rsid w:val="00BF525D"/>
    <w:rsid w:val="00BF532D"/>
    <w:rsid w:val="00BF5415"/>
    <w:rsid w:val="00BF7C07"/>
    <w:rsid w:val="00BF7C9D"/>
    <w:rsid w:val="00C000C3"/>
    <w:rsid w:val="00C00810"/>
    <w:rsid w:val="00C00864"/>
    <w:rsid w:val="00C01616"/>
    <w:rsid w:val="00C0162B"/>
    <w:rsid w:val="00C01A22"/>
    <w:rsid w:val="00C01D75"/>
    <w:rsid w:val="00C02243"/>
    <w:rsid w:val="00C068ED"/>
    <w:rsid w:val="00C075CB"/>
    <w:rsid w:val="00C076F9"/>
    <w:rsid w:val="00C10028"/>
    <w:rsid w:val="00C12C10"/>
    <w:rsid w:val="00C12D9C"/>
    <w:rsid w:val="00C1387C"/>
    <w:rsid w:val="00C13B1E"/>
    <w:rsid w:val="00C14C75"/>
    <w:rsid w:val="00C14E48"/>
    <w:rsid w:val="00C16AA0"/>
    <w:rsid w:val="00C20779"/>
    <w:rsid w:val="00C208E4"/>
    <w:rsid w:val="00C208E9"/>
    <w:rsid w:val="00C20DE3"/>
    <w:rsid w:val="00C213FB"/>
    <w:rsid w:val="00C214B8"/>
    <w:rsid w:val="00C21AB1"/>
    <w:rsid w:val="00C22E0C"/>
    <w:rsid w:val="00C23DAB"/>
    <w:rsid w:val="00C242FD"/>
    <w:rsid w:val="00C25699"/>
    <w:rsid w:val="00C26C76"/>
    <w:rsid w:val="00C27B60"/>
    <w:rsid w:val="00C30378"/>
    <w:rsid w:val="00C3130A"/>
    <w:rsid w:val="00C32447"/>
    <w:rsid w:val="00C33625"/>
    <w:rsid w:val="00C33CF4"/>
    <w:rsid w:val="00C33D53"/>
    <w:rsid w:val="00C34362"/>
    <w:rsid w:val="00C34532"/>
    <w:rsid w:val="00C345B1"/>
    <w:rsid w:val="00C34C58"/>
    <w:rsid w:val="00C3516F"/>
    <w:rsid w:val="00C35BFC"/>
    <w:rsid w:val="00C35CB4"/>
    <w:rsid w:val="00C36ACA"/>
    <w:rsid w:val="00C36FCF"/>
    <w:rsid w:val="00C373E1"/>
    <w:rsid w:val="00C40142"/>
    <w:rsid w:val="00C4052E"/>
    <w:rsid w:val="00C42502"/>
    <w:rsid w:val="00C433B7"/>
    <w:rsid w:val="00C4356A"/>
    <w:rsid w:val="00C43D26"/>
    <w:rsid w:val="00C45282"/>
    <w:rsid w:val="00C460FD"/>
    <w:rsid w:val="00C4678B"/>
    <w:rsid w:val="00C474DA"/>
    <w:rsid w:val="00C508C8"/>
    <w:rsid w:val="00C527CB"/>
    <w:rsid w:val="00C52B4C"/>
    <w:rsid w:val="00C52C3C"/>
    <w:rsid w:val="00C53099"/>
    <w:rsid w:val="00C5530B"/>
    <w:rsid w:val="00C56523"/>
    <w:rsid w:val="00C56F35"/>
    <w:rsid w:val="00C57182"/>
    <w:rsid w:val="00C5760E"/>
    <w:rsid w:val="00C577D0"/>
    <w:rsid w:val="00C57863"/>
    <w:rsid w:val="00C57E53"/>
    <w:rsid w:val="00C60AEE"/>
    <w:rsid w:val="00C6141D"/>
    <w:rsid w:val="00C61B08"/>
    <w:rsid w:val="00C61D47"/>
    <w:rsid w:val="00C61D95"/>
    <w:rsid w:val="00C62304"/>
    <w:rsid w:val="00C62DC1"/>
    <w:rsid w:val="00C633C3"/>
    <w:rsid w:val="00C637B9"/>
    <w:rsid w:val="00C640AF"/>
    <w:rsid w:val="00C641F5"/>
    <w:rsid w:val="00C646A9"/>
    <w:rsid w:val="00C65231"/>
    <w:rsid w:val="00C655FD"/>
    <w:rsid w:val="00C65842"/>
    <w:rsid w:val="00C6585B"/>
    <w:rsid w:val="00C67136"/>
    <w:rsid w:val="00C676A6"/>
    <w:rsid w:val="00C67859"/>
    <w:rsid w:val="00C6799E"/>
    <w:rsid w:val="00C7013F"/>
    <w:rsid w:val="00C70CE0"/>
    <w:rsid w:val="00C711EE"/>
    <w:rsid w:val="00C71D9D"/>
    <w:rsid w:val="00C722A2"/>
    <w:rsid w:val="00C7378E"/>
    <w:rsid w:val="00C74FC8"/>
    <w:rsid w:val="00C75407"/>
    <w:rsid w:val="00C7615E"/>
    <w:rsid w:val="00C8035A"/>
    <w:rsid w:val="00C807DC"/>
    <w:rsid w:val="00C8248F"/>
    <w:rsid w:val="00C82B35"/>
    <w:rsid w:val="00C82B51"/>
    <w:rsid w:val="00C83205"/>
    <w:rsid w:val="00C833A6"/>
    <w:rsid w:val="00C8358C"/>
    <w:rsid w:val="00C841C6"/>
    <w:rsid w:val="00C843DC"/>
    <w:rsid w:val="00C84488"/>
    <w:rsid w:val="00C8592C"/>
    <w:rsid w:val="00C8600D"/>
    <w:rsid w:val="00C86C56"/>
    <w:rsid w:val="00C870A8"/>
    <w:rsid w:val="00C90066"/>
    <w:rsid w:val="00C92916"/>
    <w:rsid w:val="00C92DC1"/>
    <w:rsid w:val="00C94434"/>
    <w:rsid w:val="00C95207"/>
    <w:rsid w:val="00C95697"/>
    <w:rsid w:val="00C956D1"/>
    <w:rsid w:val="00C9638F"/>
    <w:rsid w:val="00C97AE6"/>
    <w:rsid w:val="00CA021D"/>
    <w:rsid w:val="00CA0D75"/>
    <w:rsid w:val="00CA1C95"/>
    <w:rsid w:val="00CA313A"/>
    <w:rsid w:val="00CA5425"/>
    <w:rsid w:val="00CA5A9C"/>
    <w:rsid w:val="00CA64A3"/>
    <w:rsid w:val="00CA766D"/>
    <w:rsid w:val="00CA7C5C"/>
    <w:rsid w:val="00CB05BA"/>
    <w:rsid w:val="00CB0635"/>
    <w:rsid w:val="00CB1249"/>
    <w:rsid w:val="00CB2CD9"/>
    <w:rsid w:val="00CB43B2"/>
    <w:rsid w:val="00CB5046"/>
    <w:rsid w:val="00CB52F0"/>
    <w:rsid w:val="00CB5A12"/>
    <w:rsid w:val="00CB6C9F"/>
    <w:rsid w:val="00CB7351"/>
    <w:rsid w:val="00CB7471"/>
    <w:rsid w:val="00CC003D"/>
    <w:rsid w:val="00CC102E"/>
    <w:rsid w:val="00CC1DAE"/>
    <w:rsid w:val="00CC2709"/>
    <w:rsid w:val="00CC2B3E"/>
    <w:rsid w:val="00CC2BF1"/>
    <w:rsid w:val="00CC302E"/>
    <w:rsid w:val="00CC42A4"/>
    <w:rsid w:val="00CC47B8"/>
    <w:rsid w:val="00CC4C20"/>
    <w:rsid w:val="00CC5164"/>
    <w:rsid w:val="00CC571F"/>
    <w:rsid w:val="00CC5B37"/>
    <w:rsid w:val="00CC6B08"/>
    <w:rsid w:val="00CD04BA"/>
    <w:rsid w:val="00CD21E4"/>
    <w:rsid w:val="00CD3517"/>
    <w:rsid w:val="00CD562B"/>
    <w:rsid w:val="00CD5996"/>
    <w:rsid w:val="00CD5FE2"/>
    <w:rsid w:val="00CD6DF1"/>
    <w:rsid w:val="00CE0C9E"/>
    <w:rsid w:val="00CE1C95"/>
    <w:rsid w:val="00CE2ADA"/>
    <w:rsid w:val="00CE3333"/>
    <w:rsid w:val="00CE5845"/>
    <w:rsid w:val="00CE5949"/>
    <w:rsid w:val="00CE5DBB"/>
    <w:rsid w:val="00CE61CF"/>
    <w:rsid w:val="00CE7C68"/>
    <w:rsid w:val="00CE7E1F"/>
    <w:rsid w:val="00CF0E0F"/>
    <w:rsid w:val="00CF190F"/>
    <w:rsid w:val="00CF22A9"/>
    <w:rsid w:val="00CF30BA"/>
    <w:rsid w:val="00CF4A50"/>
    <w:rsid w:val="00CF4FF7"/>
    <w:rsid w:val="00CF5DAE"/>
    <w:rsid w:val="00CF765E"/>
    <w:rsid w:val="00CF7A38"/>
    <w:rsid w:val="00D004AF"/>
    <w:rsid w:val="00D0197A"/>
    <w:rsid w:val="00D01E55"/>
    <w:rsid w:val="00D02B4C"/>
    <w:rsid w:val="00D0385A"/>
    <w:rsid w:val="00D03C30"/>
    <w:rsid w:val="00D03CA7"/>
    <w:rsid w:val="00D040C4"/>
    <w:rsid w:val="00D0449D"/>
    <w:rsid w:val="00D0587C"/>
    <w:rsid w:val="00D06F42"/>
    <w:rsid w:val="00D06F87"/>
    <w:rsid w:val="00D074BF"/>
    <w:rsid w:val="00D07833"/>
    <w:rsid w:val="00D07F98"/>
    <w:rsid w:val="00D10770"/>
    <w:rsid w:val="00D10ABA"/>
    <w:rsid w:val="00D11E81"/>
    <w:rsid w:val="00D1246E"/>
    <w:rsid w:val="00D13B75"/>
    <w:rsid w:val="00D13F07"/>
    <w:rsid w:val="00D14381"/>
    <w:rsid w:val="00D146C2"/>
    <w:rsid w:val="00D151A5"/>
    <w:rsid w:val="00D15340"/>
    <w:rsid w:val="00D15872"/>
    <w:rsid w:val="00D16657"/>
    <w:rsid w:val="00D168C5"/>
    <w:rsid w:val="00D20475"/>
    <w:rsid w:val="00D20AD1"/>
    <w:rsid w:val="00D20FDD"/>
    <w:rsid w:val="00D21D58"/>
    <w:rsid w:val="00D22113"/>
    <w:rsid w:val="00D223A9"/>
    <w:rsid w:val="00D22BB4"/>
    <w:rsid w:val="00D23111"/>
    <w:rsid w:val="00D2493A"/>
    <w:rsid w:val="00D25162"/>
    <w:rsid w:val="00D2549A"/>
    <w:rsid w:val="00D25742"/>
    <w:rsid w:val="00D2582C"/>
    <w:rsid w:val="00D30320"/>
    <w:rsid w:val="00D3077E"/>
    <w:rsid w:val="00D30786"/>
    <w:rsid w:val="00D3188E"/>
    <w:rsid w:val="00D32E1B"/>
    <w:rsid w:val="00D3329D"/>
    <w:rsid w:val="00D3339A"/>
    <w:rsid w:val="00D335A8"/>
    <w:rsid w:val="00D33D46"/>
    <w:rsid w:val="00D345D1"/>
    <w:rsid w:val="00D345D9"/>
    <w:rsid w:val="00D3518D"/>
    <w:rsid w:val="00D36A36"/>
    <w:rsid w:val="00D400AC"/>
    <w:rsid w:val="00D40C4E"/>
    <w:rsid w:val="00D41EBE"/>
    <w:rsid w:val="00D42A23"/>
    <w:rsid w:val="00D42ED1"/>
    <w:rsid w:val="00D43B5C"/>
    <w:rsid w:val="00D457BC"/>
    <w:rsid w:val="00D45C38"/>
    <w:rsid w:val="00D46264"/>
    <w:rsid w:val="00D46B7E"/>
    <w:rsid w:val="00D46B9A"/>
    <w:rsid w:val="00D47FAE"/>
    <w:rsid w:val="00D50247"/>
    <w:rsid w:val="00D50A6D"/>
    <w:rsid w:val="00D515A2"/>
    <w:rsid w:val="00D5161B"/>
    <w:rsid w:val="00D51930"/>
    <w:rsid w:val="00D51BFF"/>
    <w:rsid w:val="00D52A79"/>
    <w:rsid w:val="00D52C62"/>
    <w:rsid w:val="00D53769"/>
    <w:rsid w:val="00D54535"/>
    <w:rsid w:val="00D5595F"/>
    <w:rsid w:val="00D55AC4"/>
    <w:rsid w:val="00D55CC2"/>
    <w:rsid w:val="00D56509"/>
    <w:rsid w:val="00D56E6C"/>
    <w:rsid w:val="00D57C84"/>
    <w:rsid w:val="00D600EA"/>
    <w:rsid w:val="00D6057D"/>
    <w:rsid w:val="00D60955"/>
    <w:rsid w:val="00D625D8"/>
    <w:rsid w:val="00D62C2F"/>
    <w:rsid w:val="00D63D89"/>
    <w:rsid w:val="00D64E9F"/>
    <w:rsid w:val="00D6538E"/>
    <w:rsid w:val="00D6591A"/>
    <w:rsid w:val="00D66FC9"/>
    <w:rsid w:val="00D67A98"/>
    <w:rsid w:val="00D707F1"/>
    <w:rsid w:val="00D71640"/>
    <w:rsid w:val="00D72DD0"/>
    <w:rsid w:val="00D74076"/>
    <w:rsid w:val="00D753D4"/>
    <w:rsid w:val="00D776B5"/>
    <w:rsid w:val="00D7771F"/>
    <w:rsid w:val="00D808D5"/>
    <w:rsid w:val="00D815D7"/>
    <w:rsid w:val="00D81680"/>
    <w:rsid w:val="00D818B8"/>
    <w:rsid w:val="00D823AB"/>
    <w:rsid w:val="00D836C5"/>
    <w:rsid w:val="00D83EAA"/>
    <w:rsid w:val="00D84576"/>
    <w:rsid w:val="00D84727"/>
    <w:rsid w:val="00D8515B"/>
    <w:rsid w:val="00D865DB"/>
    <w:rsid w:val="00D86C63"/>
    <w:rsid w:val="00D91483"/>
    <w:rsid w:val="00D92085"/>
    <w:rsid w:val="00D92929"/>
    <w:rsid w:val="00D9329F"/>
    <w:rsid w:val="00D9457A"/>
    <w:rsid w:val="00D94E0A"/>
    <w:rsid w:val="00D94E6D"/>
    <w:rsid w:val="00D95877"/>
    <w:rsid w:val="00D959D6"/>
    <w:rsid w:val="00D96658"/>
    <w:rsid w:val="00DA066F"/>
    <w:rsid w:val="00DA1399"/>
    <w:rsid w:val="00DA19D1"/>
    <w:rsid w:val="00DA24C6"/>
    <w:rsid w:val="00DA3C99"/>
    <w:rsid w:val="00DA3E25"/>
    <w:rsid w:val="00DA3F08"/>
    <w:rsid w:val="00DA4D7B"/>
    <w:rsid w:val="00DA6110"/>
    <w:rsid w:val="00DA6E02"/>
    <w:rsid w:val="00DA7FDA"/>
    <w:rsid w:val="00DB01B8"/>
    <w:rsid w:val="00DB100A"/>
    <w:rsid w:val="00DB132D"/>
    <w:rsid w:val="00DB1CC8"/>
    <w:rsid w:val="00DB4D83"/>
    <w:rsid w:val="00DB5D89"/>
    <w:rsid w:val="00DB5E60"/>
    <w:rsid w:val="00DB6680"/>
    <w:rsid w:val="00DB7662"/>
    <w:rsid w:val="00DC0482"/>
    <w:rsid w:val="00DC085F"/>
    <w:rsid w:val="00DC2199"/>
    <w:rsid w:val="00DC30F0"/>
    <w:rsid w:val="00DC3163"/>
    <w:rsid w:val="00DC3622"/>
    <w:rsid w:val="00DC4EE3"/>
    <w:rsid w:val="00DC67BE"/>
    <w:rsid w:val="00DD00BF"/>
    <w:rsid w:val="00DD171A"/>
    <w:rsid w:val="00DD271C"/>
    <w:rsid w:val="00DD3096"/>
    <w:rsid w:val="00DD33CE"/>
    <w:rsid w:val="00DD4444"/>
    <w:rsid w:val="00DD5D95"/>
    <w:rsid w:val="00DD60B3"/>
    <w:rsid w:val="00DD628E"/>
    <w:rsid w:val="00DD7AFE"/>
    <w:rsid w:val="00DD7F99"/>
    <w:rsid w:val="00DE1D02"/>
    <w:rsid w:val="00DE264A"/>
    <w:rsid w:val="00DE2CCC"/>
    <w:rsid w:val="00DE3BD7"/>
    <w:rsid w:val="00DE466A"/>
    <w:rsid w:val="00DE50C0"/>
    <w:rsid w:val="00DE52B4"/>
    <w:rsid w:val="00DE53FE"/>
    <w:rsid w:val="00DE551A"/>
    <w:rsid w:val="00DE56CB"/>
    <w:rsid w:val="00DE7555"/>
    <w:rsid w:val="00DE7653"/>
    <w:rsid w:val="00DF005A"/>
    <w:rsid w:val="00DF0C4E"/>
    <w:rsid w:val="00DF19FF"/>
    <w:rsid w:val="00DF2FFE"/>
    <w:rsid w:val="00DF3B6C"/>
    <w:rsid w:val="00DF4525"/>
    <w:rsid w:val="00DF4626"/>
    <w:rsid w:val="00DF5072"/>
    <w:rsid w:val="00DF5214"/>
    <w:rsid w:val="00DF6F9D"/>
    <w:rsid w:val="00DF710A"/>
    <w:rsid w:val="00DF7384"/>
    <w:rsid w:val="00DF77A3"/>
    <w:rsid w:val="00DF7AD5"/>
    <w:rsid w:val="00E00210"/>
    <w:rsid w:val="00E002CF"/>
    <w:rsid w:val="00E02D18"/>
    <w:rsid w:val="00E0315D"/>
    <w:rsid w:val="00E041E7"/>
    <w:rsid w:val="00E04804"/>
    <w:rsid w:val="00E05471"/>
    <w:rsid w:val="00E05639"/>
    <w:rsid w:val="00E057A4"/>
    <w:rsid w:val="00E05B94"/>
    <w:rsid w:val="00E06830"/>
    <w:rsid w:val="00E11132"/>
    <w:rsid w:val="00E129DD"/>
    <w:rsid w:val="00E12FC1"/>
    <w:rsid w:val="00E132BB"/>
    <w:rsid w:val="00E13B71"/>
    <w:rsid w:val="00E15B5E"/>
    <w:rsid w:val="00E2055C"/>
    <w:rsid w:val="00E206D3"/>
    <w:rsid w:val="00E20E60"/>
    <w:rsid w:val="00E21F31"/>
    <w:rsid w:val="00E23143"/>
    <w:rsid w:val="00E23311"/>
    <w:rsid w:val="00E2336F"/>
    <w:rsid w:val="00E23CA1"/>
    <w:rsid w:val="00E24E67"/>
    <w:rsid w:val="00E26D8F"/>
    <w:rsid w:val="00E27B57"/>
    <w:rsid w:val="00E322A2"/>
    <w:rsid w:val="00E32787"/>
    <w:rsid w:val="00E329FD"/>
    <w:rsid w:val="00E33724"/>
    <w:rsid w:val="00E33884"/>
    <w:rsid w:val="00E34B1E"/>
    <w:rsid w:val="00E3727F"/>
    <w:rsid w:val="00E37F46"/>
    <w:rsid w:val="00E40211"/>
    <w:rsid w:val="00E40621"/>
    <w:rsid w:val="00E409A8"/>
    <w:rsid w:val="00E44300"/>
    <w:rsid w:val="00E44BF1"/>
    <w:rsid w:val="00E45B58"/>
    <w:rsid w:val="00E46691"/>
    <w:rsid w:val="00E47853"/>
    <w:rsid w:val="00E47D61"/>
    <w:rsid w:val="00E50955"/>
    <w:rsid w:val="00E50C12"/>
    <w:rsid w:val="00E50FEA"/>
    <w:rsid w:val="00E5116A"/>
    <w:rsid w:val="00E518F8"/>
    <w:rsid w:val="00E51C89"/>
    <w:rsid w:val="00E528E4"/>
    <w:rsid w:val="00E52E7C"/>
    <w:rsid w:val="00E532E0"/>
    <w:rsid w:val="00E53493"/>
    <w:rsid w:val="00E536A4"/>
    <w:rsid w:val="00E53A46"/>
    <w:rsid w:val="00E559F5"/>
    <w:rsid w:val="00E564FD"/>
    <w:rsid w:val="00E572CC"/>
    <w:rsid w:val="00E57DF4"/>
    <w:rsid w:val="00E57E10"/>
    <w:rsid w:val="00E637E4"/>
    <w:rsid w:val="00E6389B"/>
    <w:rsid w:val="00E63AB0"/>
    <w:rsid w:val="00E63CB8"/>
    <w:rsid w:val="00E64F94"/>
    <w:rsid w:val="00E65B91"/>
    <w:rsid w:val="00E67F9B"/>
    <w:rsid w:val="00E71FB7"/>
    <w:rsid w:val="00E72089"/>
    <w:rsid w:val="00E7209D"/>
    <w:rsid w:val="00E72EAD"/>
    <w:rsid w:val="00E73A6C"/>
    <w:rsid w:val="00E74558"/>
    <w:rsid w:val="00E74DE2"/>
    <w:rsid w:val="00E76186"/>
    <w:rsid w:val="00E761B6"/>
    <w:rsid w:val="00E771E7"/>
    <w:rsid w:val="00E77223"/>
    <w:rsid w:val="00E77568"/>
    <w:rsid w:val="00E826B6"/>
    <w:rsid w:val="00E84237"/>
    <w:rsid w:val="00E8456C"/>
    <w:rsid w:val="00E8528B"/>
    <w:rsid w:val="00E85B94"/>
    <w:rsid w:val="00E87929"/>
    <w:rsid w:val="00E905B5"/>
    <w:rsid w:val="00E91772"/>
    <w:rsid w:val="00E919C0"/>
    <w:rsid w:val="00E934A6"/>
    <w:rsid w:val="00E939FE"/>
    <w:rsid w:val="00E9550D"/>
    <w:rsid w:val="00E96AF3"/>
    <w:rsid w:val="00E96EF9"/>
    <w:rsid w:val="00E976ED"/>
    <w:rsid w:val="00E978D0"/>
    <w:rsid w:val="00EA08C0"/>
    <w:rsid w:val="00EA099D"/>
    <w:rsid w:val="00EA0DD2"/>
    <w:rsid w:val="00EA1286"/>
    <w:rsid w:val="00EA3EF9"/>
    <w:rsid w:val="00EA4613"/>
    <w:rsid w:val="00EA481B"/>
    <w:rsid w:val="00EA6306"/>
    <w:rsid w:val="00EA7F91"/>
    <w:rsid w:val="00EB0170"/>
    <w:rsid w:val="00EB0898"/>
    <w:rsid w:val="00EB0E4A"/>
    <w:rsid w:val="00EB0FCD"/>
    <w:rsid w:val="00EB1523"/>
    <w:rsid w:val="00EB24A6"/>
    <w:rsid w:val="00EB3A36"/>
    <w:rsid w:val="00EB3D31"/>
    <w:rsid w:val="00EB4183"/>
    <w:rsid w:val="00EB4333"/>
    <w:rsid w:val="00EB4DA8"/>
    <w:rsid w:val="00EB5807"/>
    <w:rsid w:val="00EB748B"/>
    <w:rsid w:val="00EC00C5"/>
    <w:rsid w:val="00EC0131"/>
    <w:rsid w:val="00EC02DE"/>
    <w:rsid w:val="00EC0D43"/>
    <w:rsid w:val="00EC0E49"/>
    <w:rsid w:val="00EC101F"/>
    <w:rsid w:val="00EC13C5"/>
    <w:rsid w:val="00EC197A"/>
    <w:rsid w:val="00EC1D9F"/>
    <w:rsid w:val="00EC2947"/>
    <w:rsid w:val="00EC32A7"/>
    <w:rsid w:val="00EC3E11"/>
    <w:rsid w:val="00EC40F2"/>
    <w:rsid w:val="00EC4B13"/>
    <w:rsid w:val="00EC4B5D"/>
    <w:rsid w:val="00EC5472"/>
    <w:rsid w:val="00EC57A1"/>
    <w:rsid w:val="00EC5B7A"/>
    <w:rsid w:val="00EC712A"/>
    <w:rsid w:val="00EC7A5F"/>
    <w:rsid w:val="00ED0839"/>
    <w:rsid w:val="00ED0CE9"/>
    <w:rsid w:val="00ED2D7E"/>
    <w:rsid w:val="00ED3BF8"/>
    <w:rsid w:val="00ED3D46"/>
    <w:rsid w:val="00ED5514"/>
    <w:rsid w:val="00ED6D0D"/>
    <w:rsid w:val="00ED7679"/>
    <w:rsid w:val="00ED7A8F"/>
    <w:rsid w:val="00ED7E48"/>
    <w:rsid w:val="00EE0131"/>
    <w:rsid w:val="00EE1579"/>
    <w:rsid w:val="00EE17B0"/>
    <w:rsid w:val="00EE1DCE"/>
    <w:rsid w:val="00EE1DFD"/>
    <w:rsid w:val="00EE229C"/>
    <w:rsid w:val="00EE3A52"/>
    <w:rsid w:val="00EE4018"/>
    <w:rsid w:val="00EE40E7"/>
    <w:rsid w:val="00EE4A3F"/>
    <w:rsid w:val="00EE516F"/>
    <w:rsid w:val="00EE6516"/>
    <w:rsid w:val="00EE66ED"/>
    <w:rsid w:val="00EF06D9"/>
    <w:rsid w:val="00EF0982"/>
    <w:rsid w:val="00EF1E73"/>
    <w:rsid w:val="00EF31DC"/>
    <w:rsid w:val="00EF3601"/>
    <w:rsid w:val="00EF372B"/>
    <w:rsid w:val="00EF413A"/>
    <w:rsid w:val="00EF4CEA"/>
    <w:rsid w:val="00EF617B"/>
    <w:rsid w:val="00EF64A1"/>
    <w:rsid w:val="00EF79BE"/>
    <w:rsid w:val="00EF7F12"/>
    <w:rsid w:val="00F004A2"/>
    <w:rsid w:val="00F0052B"/>
    <w:rsid w:val="00F006EF"/>
    <w:rsid w:val="00F01075"/>
    <w:rsid w:val="00F0184D"/>
    <w:rsid w:val="00F01D23"/>
    <w:rsid w:val="00F021E4"/>
    <w:rsid w:val="00F03235"/>
    <w:rsid w:val="00F036BA"/>
    <w:rsid w:val="00F0527C"/>
    <w:rsid w:val="00F05EDB"/>
    <w:rsid w:val="00F06D20"/>
    <w:rsid w:val="00F06EEC"/>
    <w:rsid w:val="00F112BD"/>
    <w:rsid w:val="00F11A7C"/>
    <w:rsid w:val="00F126A5"/>
    <w:rsid w:val="00F12B11"/>
    <w:rsid w:val="00F13AD1"/>
    <w:rsid w:val="00F14B3B"/>
    <w:rsid w:val="00F14F7C"/>
    <w:rsid w:val="00F15DC7"/>
    <w:rsid w:val="00F15E4E"/>
    <w:rsid w:val="00F165D8"/>
    <w:rsid w:val="00F16A49"/>
    <w:rsid w:val="00F20534"/>
    <w:rsid w:val="00F2070B"/>
    <w:rsid w:val="00F208B5"/>
    <w:rsid w:val="00F20D2A"/>
    <w:rsid w:val="00F214BE"/>
    <w:rsid w:val="00F215C2"/>
    <w:rsid w:val="00F22848"/>
    <w:rsid w:val="00F22EF2"/>
    <w:rsid w:val="00F23AF1"/>
    <w:rsid w:val="00F240DE"/>
    <w:rsid w:val="00F2426B"/>
    <w:rsid w:val="00F24CEA"/>
    <w:rsid w:val="00F26569"/>
    <w:rsid w:val="00F26A1F"/>
    <w:rsid w:val="00F2707E"/>
    <w:rsid w:val="00F2751B"/>
    <w:rsid w:val="00F27828"/>
    <w:rsid w:val="00F3049E"/>
    <w:rsid w:val="00F30C64"/>
    <w:rsid w:val="00F31155"/>
    <w:rsid w:val="00F31B3E"/>
    <w:rsid w:val="00F3212A"/>
    <w:rsid w:val="00F32BA2"/>
    <w:rsid w:val="00F32CDB"/>
    <w:rsid w:val="00F3348F"/>
    <w:rsid w:val="00F33905"/>
    <w:rsid w:val="00F341F1"/>
    <w:rsid w:val="00F34219"/>
    <w:rsid w:val="00F347DB"/>
    <w:rsid w:val="00F3579B"/>
    <w:rsid w:val="00F368D8"/>
    <w:rsid w:val="00F36981"/>
    <w:rsid w:val="00F37280"/>
    <w:rsid w:val="00F401E9"/>
    <w:rsid w:val="00F40875"/>
    <w:rsid w:val="00F40D9C"/>
    <w:rsid w:val="00F40EAC"/>
    <w:rsid w:val="00F41EE4"/>
    <w:rsid w:val="00F427EE"/>
    <w:rsid w:val="00F42E25"/>
    <w:rsid w:val="00F4301A"/>
    <w:rsid w:val="00F4382B"/>
    <w:rsid w:val="00F439E5"/>
    <w:rsid w:val="00F4508E"/>
    <w:rsid w:val="00F45C40"/>
    <w:rsid w:val="00F4640B"/>
    <w:rsid w:val="00F46FD5"/>
    <w:rsid w:val="00F5270F"/>
    <w:rsid w:val="00F54F58"/>
    <w:rsid w:val="00F55D8B"/>
    <w:rsid w:val="00F565FE"/>
    <w:rsid w:val="00F56CF5"/>
    <w:rsid w:val="00F57D2B"/>
    <w:rsid w:val="00F60519"/>
    <w:rsid w:val="00F60AB6"/>
    <w:rsid w:val="00F616E9"/>
    <w:rsid w:val="00F6176D"/>
    <w:rsid w:val="00F62523"/>
    <w:rsid w:val="00F62586"/>
    <w:rsid w:val="00F62998"/>
    <w:rsid w:val="00F63A70"/>
    <w:rsid w:val="00F63D8C"/>
    <w:rsid w:val="00F65065"/>
    <w:rsid w:val="00F6539C"/>
    <w:rsid w:val="00F65C99"/>
    <w:rsid w:val="00F67518"/>
    <w:rsid w:val="00F70195"/>
    <w:rsid w:val="00F710CE"/>
    <w:rsid w:val="00F72A06"/>
    <w:rsid w:val="00F73FA6"/>
    <w:rsid w:val="00F74759"/>
    <w:rsid w:val="00F747A8"/>
    <w:rsid w:val="00F7534E"/>
    <w:rsid w:val="00F75572"/>
    <w:rsid w:val="00F75627"/>
    <w:rsid w:val="00F75D9F"/>
    <w:rsid w:val="00F77AD8"/>
    <w:rsid w:val="00F77CD4"/>
    <w:rsid w:val="00F800B6"/>
    <w:rsid w:val="00F809EF"/>
    <w:rsid w:val="00F8215D"/>
    <w:rsid w:val="00F849AA"/>
    <w:rsid w:val="00F84E28"/>
    <w:rsid w:val="00F8536F"/>
    <w:rsid w:val="00F85614"/>
    <w:rsid w:val="00F87CAD"/>
    <w:rsid w:val="00F90202"/>
    <w:rsid w:val="00F91EDA"/>
    <w:rsid w:val="00F92023"/>
    <w:rsid w:val="00F923DF"/>
    <w:rsid w:val="00F92A0A"/>
    <w:rsid w:val="00F92DDE"/>
    <w:rsid w:val="00F93B8B"/>
    <w:rsid w:val="00F93C14"/>
    <w:rsid w:val="00F93EDF"/>
    <w:rsid w:val="00F946E7"/>
    <w:rsid w:val="00F94DC5"/>
    <w:rsid w:val="00F95F61"/>
    <w:rsid w:val="00F97637"/>
    <w:rsid w:val="00F9793A"/>
    <w:rsid w:val="00F97D23"/>
    <w:rsid w:val="00FA06EC"/>
    <w:rsid w:val="00FA0ACE"/>
    <w:rsid w:val="00FA1802"/>
    <w:rsid w:val="00FA1BE8"/>
    <w:rsid w:val="00FA1C76"/>
    <w:rsid w:val="00FA21D0"/>
    <w:rsid w:val="00FA274E"/>
    <w:rsid w:val="00FA35F3"/>
    <w:rsid w:val="00FA3626"/>
    <w:rsid w:val="00FA5A02"/>
    <w:rsid w:val="00FA5A48"/>
    <w:rsid w:val="00FA5B59"/>
    <w:rsid w:val="00FA5F5F"/>
    <w:rsid w:val="00FA756C"/>
    <w:rsid w:val="00FB0402"/>
    <w:rsid w:val="00FB046E"/>
    <w:rsid w:val="00FB06A8"/>
    <w:rsid w:val="00FB071A"/>
    <w:rsid w:val="00FB0EF3"/>
    <w:rsid w:val="00FB1154"/>
    <w:rsid w:val="00FB122E"/>
    <w:rsid w:val="00FB28DA"/>
    <w:rsid w:val="00FB4E8F"/>
    <w:rsid w:val="00FB5E73"/>
    <w:rsid w:val="00FB6E10"/>
    <w:rsid w:val="00FB730C"/>
    <w:rsid w:val="00FB7D0B"/>
    <w:rsid w:val="00FB7EE3"/>
    <w:rsid w:val="00FC01F4"/>
    <w:rsid w:val="00FC0F17"/>
    <w:rsid w:val="00FC2695"/>
    <w:rsid w:val="00FC27DF"/>
    <w:rsid w:val="00FC2866"/>
    <w:rsid w:val="00FC3687"/>
    <w:rsid w:val="00FC3DEB"/>
    <w:rsid w:val="00FC3E03"/>
    <w:rsid w:val="00FC3FC1"/>
    <w:rsid w:val="00FC6FA0"/>
    <w:rsid w:val="00FC7EF2"/>
    <w:rsid w:val="00FD0410"/>
    <w:rsid w:val="00FD14B3"/>
    <w:rsid w:val="00FD1A75"/>
    <w:rsid w:val="00FD28EA"/>
    <w:rsid w:val="00FD2E15"/>
    <w:rsid w:val="00FD30CD"/>
    <w:rsid w:val="00FD317D"/>
    <w:rsid w:val="00FD3283"/>
    <w:rsid w:val="00FD32E4"/>
    <w:rsid w:val="00FD588D"/>
    <w:rsid w:val="00FD59C1"/>
    <w:rsid w:val="00FD6A50"/>
    <w:rsid w:val="00FD77FC"/>
    <w:rsid w:val="00FD7EED"/>
    <w:rsid w:val="00FE0521"/>
    <w:rsid w:val="00FE11A2"/>
    <w:rsid w:val="00FE1F19"/>
    <w:rsid w:val="00FE27C5"/>
    <w:rsid w:val="00FE304A"/>
    <w:rsid w:val="00FE3862"/>
    <w:rsid w:val="00FE3F70"/>
    <w:rsid w:val="00FE43EB"/>
    <w:rsid w:val="00FE494D"/>
    <w:rsid w:val="00FE4D1B"/>
    <w:rsid w:val="00FE62FD"/>
    <w:rsid w:val="00FE667E"/>
    <w:rsid w:val="00FE6748"/>
    <w:rsid w:val="00FE7802"/>
    <w:rsid w:val="00FF0625"/>
    <w:rsid w:val="00FF07B2"/>
    <w:rsid w:val="00FF08E9"/>
    <w:rsid w:val="00FF3354"/>
    <w:rsid w:val="00FF34E3"/>
    <w:rsid w:val="00FF3D78"/>
    <w:rsid w:val="00FF4B10"/>
    <w:rsid w:val="00FF4E1F"/>
    <w:rsid w:val="00FF5A56"/>
    <w:rsid w:val="00FF7095"/>
    <w:rsid w:val="00FF7467"/>
    <w:rsid w:val="00FF785E"/>
    <w:rsid w:val="00FF7A47"/>
    <w:rsid w:val="00FF7FCF"/>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tulo1">
    <w:name w:val="heading 1"/>
    <w:basedOn w:val="CETHeading1"/>
    <w:next w:val="Normal"/>
    <w:link w:val="Ttulo1Char"/>
    <w:uiPriority w:val="9"/>
    <w:rsid w:val="004F5E36"/>
    <w:pPr>
      <w:tabs>
        <w:tab w:val="clear" w:pos="360"/>
        <w:tab w:val="right" w:pos="7100"/>
      </w:tabs>
      <w:jc w:val="both"/>
      <w:outlineLvl w:val="0"/>
    </w:pPr>
    <w:rPr>
      <w:lang w:val="en-GB"/>
    </w:rPr>
  </w:style>
  <w:style w:type="paragraph" w:styleId="Ttulo2">
    <w:name w:val="heading 2"/>
    <w:basedOn w:val="Normal"/>
    <w:next w:val="Normal"/>
    <w:link w:val="Ttulo2Ch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tulo9">
    <w:name w:val="heading 9"/>
    <w:basedOn w:val="Normal"/>
    <w:next w:val="Normal"/>
    <w:link w:val="Ttulo9Ch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aSimples-1">
    <w:name w:val="Table Simple 1"/>
    <w:basedOn w:val="Tabela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efdecomentrio">
    <w:name w:val="annotation reference"/>
    <w:basedOn w:val="Fontepargpadro"/>
    <w:uiPriority w:val="99"/>
    <w:semiHidden/>
    <w:unhideWhenUsed/>
    <w:rsid w:val="004577FE"/>
    <w:rPr>
      <w:sz w:val="16"/>
      <w:szCs w:val="16"/>
    </w:rPr>
  </w:style>
  <w:style w:type="paragraph" w:styleId="Textodebalo">
    <w:name w:val="Balloon Text"/>
    <w:basedOn w:val="Normal"/>
    <w:link w:val="TextodebaloChar"/>
    <w:uiPriority w:val="99"/>
    <w:semiHidden/>
    <w:unhideWhenUsed/>
    <w:rsid w:val="000D34B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texto2">
    <w:name w:val="Body Text 2"/>
    <w:basedOn w:val="Normal"/>
    <w:link w:val="Corpodetexto2Char"/>
    <w:uiPriority w:val="99"/>
    <w:semiHidden/>
    <w:unhideWhenUsed/>
    <w:rsid w:val="0003148D"/>
    <w:pPr>
      <w:spacing w:after="120" w:line="480" w:lineRule="auto"/>
    </w:pPr>
  </w:style>
  <w:style w:type="character" w:customStyle="1" w:styleId="Corpodetexto2Char">
    <w:name w:val="Corpo de texto 2 Char"/>
    <w:basedOn w:val="Fontepargpadro"/>
    <w:link w:val="Corpodetexto2"/>
    <w:uiPriority w:val="99"/>
    <w:semiHidden/>
    <w:rsid w:val="0003148D"/>
  </w:style>
  <w:style w:type="paragraph" w:styleId="Corpodetexto3">
    <w:name w:val="Body Text 3"/>
    <w:basedOn w:val="Normal"/>
    <w:link w:val="Corpodetexto3Char"/>
    <w:uiPriority w:val="99"/>
    <w:semiHidden/>
    <w:unhideWhenUsed/>
    <w:rsid w:val="0003148D"/>
    <w:pPr>
      <w:spacing w:after="120"/>
    </w:pPr>
    <w:rPr>
      <w:sz w:val="16"/>
      <w:szCs w:val="16"/>
    </w:rPr>
  </w:style>
  <w:style w:type="character" w:customStyle="1" w:styleId="Corpodetexto3Char">
    <w:name w:val="Corpo de texto 3 Char"/>
    <w:basedOn w:val="Fontepargpadro"/>
    <w:link w:val="Corpodetexto3"/>
    <w:uiPriority w:val="99"/>
    <w:semiHidden/>
    <w:rsid w:val="0003148D"/>
    <w:rPr>
      <w:sz w:val="16"/>
      <w:szCs w:val="16"/>
    </w:rPr>
  </w:style>
  <w:style w:type="paragraph" w:styleId="Corpodetexto">
    <w:name w:val="Body Text"/>
    <w:basedOn w:val="Normal"/>
    <w:link w:val="CorpodetextoChar"/>
    <w:uiPriority w:val="99"/>
    <w:semiHidden/>
    <w:unhideWhenUsed/>
    <w:rsid w:val="0003148D"/>
    <w:pPr>
      <w:spacing w:after="120"/>
    </w:pPr>
  </w:style>
  <w:style w:type="character" w:customStyle="1" w:styleId="CorpodetextoChar">
    <w:name w:val="Corpo de texto Char"/>
    <w:basedOn w:val="Fontepargpadro"/>
    <w:link w:val="Corpodetexto"/>
    <w:uiPriority w:val="99"/>
    <w:semiHidden/>
    <w:rsid w:val="0003148D"/>
  </w:style>
  <w:style w:type="paragraph" w:styleId="Data">
    <w:name w:val="Date"/>
    <w:basedOn w:val="Normal"/>
    <w:next w:val="Normal"/>
    <w:link w:val="DataChar"/>
    <w:uiPriority w:val="99"/>
    <w:semiHidden/>
    <w:unhideWhenUsed/>
    <w:rsid w:val="0003148D"/>
  </w:style>
  <w:style w:type="character" w:customStyle="1" w:styleId="DataChar">
    <w:name w:val="Data Char"/>
    <w:basedOn w:val="Fontepargpadro"/>
    <w:link w:val="Data"/>
    <w:uiPriority w:val="99"/>
    <w:semiHidden/>
    <w:rsid w:val="0003148D"/>
  </w:style>
  <w:style w:type="paragraph" w:styleId="Legenda">
    <w:name w:val="caption"/>
    <w:basedOn w:val="Normal"/>
    <w:next w:val="Normal"/>
    <w:uiPriority w:val="35"/>
    <w:semiHidden/>
    <w:unhideWhenUsed/>
    <w:qFormat/>
    <w:rsid w:val="0003148D"/>
    <w:pPr>
      <w:spacing w:line="240" w:lineRule="auto"/>
    </w:pPr>
    <w:rPr>
      <w:b/>
      <w:bCs/>
      <w:color w:val="4F81BD" w:themeColor="accent1"/>
      <w:szCs w:val="18"/>
    </w:rPr>
  </w:style>
  <w:style w:type="paragraph" w:styleId="Lista">
    <w:name w:val="List"/>
    <w:basedOn w:val="Normal"/>
    <w:uiPriority w:val="99"/>
    <w:semiHidden/>
    <w:unhideWhenUsed/>
    <w:rsid w:val="0003148D"/>
    <w:pPr>
      <w:ind w:left="283" w:hanging="283"/>
      <w:contextualSpacing/>
    </w:pPr>
  </w:style>
  <w:style w:type="paragraph" w:styleId="Lista2">
    <w:name w:val="List 2"/>
    <w:basedOn w:val="Normal"/>
    <w:uiPriority w:val="99"/>
    <w:semiHidden/>
    <w:unhideWhenUsed/>
    <w:rsid w:val="0003148D"/>
    <w:pPr>
      <w:ind w:left="566" w:hanging="283"/>
      <w:contextualSpacing/>
    </w:pPr>
  </w:style>
  <w:style w:type="paragraph" w:styleId="Lista3">
    <w:name w:val="List 3"/>
    <w:basedOn w:val="Normal"/>
    <w:uiPriority w:val="99"/>
    <w:semiHidden/>
    <w:unhideWhenUsed/>
    <w:rsid w:val="0003148D"/>
    <w:pPr>
      <w:ind w:left="849" w:hanging="283"/>
      <w:contextualSpacing/>
    </w:pPr>
  </w:style>
  <w:style w:type="paragraph" w:styleId="Lista4">
    <w:name w:val="List 4"/>
    <w:basedOn w:val="Normal"/>
    <w:uiPriority w:val="99"/>
    <w:semiHidden/>
    <w:unhideWhenUsed/>
    <w:rsid w:val="0003148D"/>
    <w:pPr>
      <w:ind w:left="1132" w:hanging="283"/>
      <w:contextualSpacing/>
    </w:pPr>
  </w:style>
  <w:style w:type="paragraph" w:styleId="Lista5">
    <w:name w:val="List 5"/>
    <w:basedOn w:val="Normal"/>
    <w:uiPriority w:val="99"/>
    <w:semiHidden/>
    <w:unhideWhenUsed/>
    <w:rsid w:val="0003148D"/>
    <w:pPr>
      <w:ind w:left="1415" w:hanging="283"/>
      <w:contextualSpacing/>
    </w:pPr>
  </w:style>
  <w:style w:type="paragraph" w:styleId="Listadecontinuao">
    <w:name w:val="List Continue"/>
    <w:basedOn w:val="Normal"/>
    <w:uiPriority w:val="99"/>
    <w:semiHidden/>
    <w:unhideWhenUsed/>
    <w:rsid w:val="0003148D"/>
    <w:pPr>
      <w:spacing w:after="120"/>
      <w:ind w:left="283"/>
      <w:contextualSpacing/>
    </w:pPr>
  </w:style>
  <w:style w:type="paragraph" w:styleId="Listadecontinuao2">
    <w:name w:val="List Continue 2"/>
    <w:basedOn w:val="Normal"/>
    <w:uiPriority w:val="99"/>
    <w:semiHidden/>
    <w:unhideWhenUsed/>
    <w:rsid w:val="0003148D"/>
    <w:pPr>
      <w:spacing w:after="120"/>
      <w:ind w:left="566"/>
      <w:contextualSpacing/>
    </w:pPr>
  </w:style>
  <w:style w:type="paragraph" w:styleId="Listadecontinuao3">
    <w:name w:val="List Continue 3"/>
    <w:basedOn w:val="Normal"/>
    <w:uiPriority w:val="99"/>
    <w:semiHidden/>
    <w:unhideWhenUsed/>
    <w:rsid w:val="0003148D"/>
    <w:pPr>
      <w:spacing w:after="120"/>
      <w:ind w:left="849"/>
      <w:contextualSpacing/>
    </w:pPr>
  </w:style>
  <w:style w:type="paragraph" w:styleId="Listadecontinuao4">
    <w:name w:val="List Continue 4"/>
    <w:basedOn w:val="Normal"/>
    <w:uiPriority w:val="99"/>
    <w:semiHidden/>
    <w:unhideWhenUsed/>
    <w:rsid w:val="0003148D"/>
    <w:pPr>
      <w:spacing w:after="120"/>
      <w:ind w:left="1132"/>
      <w:contextualSpacing/>
    </w:pPr>
  </w:style>
  <w:style w:type="paragraph" w:styleId="Listadecontinuao5">
    <w:name w:val="List Continue 5"/>
    <w:basedOn w:val="Normal"/>
    <w:uiPriority w:val="99"/>
    <w:semiHidden/>
    <w:unhideWhenUsed/>
    <w:rsid w:val="0003148D"/>
    <w:pPr>
      <w:spacing w:after="120"/>
      <w:ind w:left="1415"/>
      <w:contextualSpacing/>
    </w:pPr>
  </w:style>
  <w:style w:type="paragraph" w:styleId="Assinatura">
    <w:name w:val="Signature"/>
    <w:basedOn w:val="Normal"/>
    <w:link w:val="AssinaturaChar"/>
    <w:uiPriority w:val="99"/>
    <w:semiHidden/>
    <w:unhideWhenUsed/>
    <w:rsid w:val="0003148D"/>
    <w:pPr>
      <w:spacing w:line="240" w:lineRule="auto"/>
      <w:ind w:left="4252"/>
    </w:pPr>
  </w:style>
  <w:style w:type="character" w:customStyle="1" w:styleId="AssinaturaChar">
    <w:name w:val="Assinatura Char"/>
    <w:basedOn w:val="Fontepargpadro"/>
    <w:link w:val="Assinatura"/>
    <w:uiPriority w:val="99"/>
    <w:semiHidden/>
    <w:rsid w:val="0003148D"/>
  </w:style>
  <w:style w:type="paragraph" w:styleId="AssinaturadeEmail">
    <w:name w:val="E-mail Signature"/>
    <w:basedOn w:val="Normal"/>
    <w:link w:val="AssinaturadeEmailChar"/>
    <w:uiPriority w:val="99"/>
    <w:semiHidden/>
    <w:unhideWhenUsed/>
    <w:rsid w:val="0003148D"/>
    <w:pPr>
      <w:spacing w:line="240" w:lineRule="auto"/>
    </w:pPr>
  </w:style>
  <w:style w:type="character" w:customStyle="1" w:styleId="AssinaturadeEmailChar">
    <w:name w:val="Assinatura de Email Char"/>
    <w:basedOn w:val="Fontepargpadro"/>
    <w:link w:val="AssinaturadeEmail"/>
    <w:uiPriority w:val="99"/>
    <w:semiHidden/>
    <w:rsid w:val="0003148D"/>
  </w:style>
  <w:style w:type="paragraph" w:styleId="Saudao">
    <w:name w:val="Salutation"/>
    <w:basedOn w:val="Normal"/>
    <w:next w:val="Normal"/>
    <w:link w:val="SaudaoChar"/>
    <w:uiPriority w:val="99"/>
    <w:semiHidden/>
    <w:unhideWhenUsed/>
    <w:rsid w:val="0003148D"/>
  </w:style>
  <w:style w:type="character" w:customStyle="1" w:styleId="SaudaoChar">
    <w:name w:val="Saudação Char"/>
    <w:basedOn w:val="Fontepargpadro"/>
    <w:link w:val="Saudao"/>
    <w:uiPriority w:val="99"/>
    <w:semiHidden/>
    <w:rsid w:val="0003148D"/>
  </w:style>
  <w:style w:type="paragraph" w:styleId="Encerramento">
    <w:name w:val="Closing"/>
    <w:basedOn w:val="Normal"/>
    <w:link w:val="EncerramentoChar"/>
    <w:uiPriority w:val="99"/>
    <w:semiHidden/>
    <w:unhideWhenUsed/>
    <w:rsid w:val="0003148D"/>
    <w:pPr>
      <w:spacing w:line="240" w:lineRule="auto"/>
      <w:ind w:left="4252"/>
    </w:pPr>
  </w:style>
  <w:style w:type="character" w:customStyle="1" w:styleId="EncerramentoChar">
    <w:name w:val="Encerramento Char"/>
    <w:basedOn w:val="Fontepargpadro"/>
    <w:link w:val="Encerramento"/>
    <w:uiPriority w:val="99"/>
    <w:semiHidden/>
    <w:rsid w:val="0003148D"/>
  </w:style>
  <w:style w:type="paragraph" w:styleId="Remissivo1">
    <w:name w:val="index 1"/>
    <w:basedOn w:val="Normal"/>
    <w:next w:val="Normal"/>
    <w:autoRedefine/>
    <w:uiPriority w:val="99"/>
    <w:semiHidden/>
    <w:unhideWhenUsed/>
    <w:rsid w:val="0003148D"/>
    <w:pPr>
      <w:spacing w:line="240" w:lineRule="auto"/>
      <w:ind w:left="220" w:hanging="220"/>
    </w:pPr>
  </w:style>
  <w:style w:type="paragraph" w:styleId="Remissivo2">
    <w:name w:val="index 2"/>
    <w:basedOn w:val="Normal"/>
    <w:next w:val="Normal"/>
    <w:autoRedefine/>
    <w:uiPriority w:val="99"/>
    <w:semiHidden/>
    <w:unhideWhenUsed/>
    <w:rsid w:val="0003148D"/>
    <w:pPr>
      <w:spacing w:line="240" w:lineRule="auto"/>
      <w:ind w:left="440" w:hanging="220"/>
    </w:pPr>
  </w:style>
  <w:style w:type="paragraph" w:styleId="Remissivo3">
    <w:name w:val="index 3"/>
    <w:basedOn w:val="Normal"/>
    <w:next w:val="Normal"/>
    <w:autoRedefine/>
    <w:uiPriority w:val="99"/>
    <w:semiHidden/>
    <w:unhideWhenUsed/>
    <w:rsid w:val="0003148D"/>
    <w:pPr>
      <w:spacing w:line="240" w:lineRule="auto"/>
      <w:ind w:left="660" w:hanging="220"/>
    </w:pPr>
  </w:style>
  <w:style w:type="paragraph" w:styleId="Remissivo4">
    <w:name w:val="index 4"/>
    <w:basedOn w:val="Normal"/>
    <w:next w:val="Normal"/>
    <w:autoRedefine/>
    <w:uiPriority w:val="99"/>
    <w:semiHidden/>
    <w:unhideWhenUsed/>
    <w:rsid w:val="0003148D"/>
    <w:pPr>
      <w:spacing w:line="240" w:lineRule="auto"/>
      <w:ind w:left="880" w:hanging="220"/>
    </w:pPr>
  </w:style>
  <w:style w:type="paragraph" w:styleId="Remissivo5">
    <w:name w:val="index 5"/>
    <w:basedOn w:val="Normal"/>
    <w:next w:val="Normal"/>
    <w:autoRedefine/>
    <w:uiPriority w:val="99"/>
    <w:semiHidden/>
    <w:unhideWhenUsed/>
    <w:rsid w:val="0003148D"/>
    <w:pPr>
      <w:spacing w:line="240" w:lineRule="auto"/>
      <w:ind w:left="1100" w:hanging="220"/>
    </w:pPr>
  </w:style>
  <w:style w:type="paragraph" w:styleId="Remissivo6">
    <w:name w:val="index 6"/>
    <w:basedOn w:val="Normal"/>
    <w:next w:val="Normal"/>
    <w:autoRedefine/>
    <w:uiPriority w:val="99"/>
    <w:semiHidden/>
    <w:unhideWhenUsed/>
    <w:rsid w:val="0003148D"/>
    <w:pPr>
      <w:spacing w:line="240" w:lineRule="auto"/>
      <w:ind w:left="1320" w:hanging="220"/>
    </w:pPr>
  </w:style>
  <w:style w:type="paragraph" w:styleId="Remissivo7">
    <w:name w:val="index 7"/>
    <w:basedOn w:val="Normal"/>
    <w:next w:val="Normal"/>
    <w:autoRedefine/>
    <w:uiPriority w:val="99"/>
    <w:semiHidden/>
    <w:unhideWhenUsed/>
    <w:rsid w:val="0003148D"/>
    <w:pPr>
      <w:spacing w:line="240" w:lineRule="auto"/>
      <w:ind w:left="1540" w:hanging="220"/>
    </w:pPr>
  </w:style>
  <w:style w:type="paragraph" w:styleId="Remissivo8">
    <w:name w:val="index 8"/>
    <w:basedOn w:val="Normal"/>
    <w:next w:val="Normal"/>
    <w:autoRedefine/>
    <w:uiPriority w:val="99"/>
    <w:semiHidden/>
    <w:unhideWhenUsed/>
    <w:rsid w:val="0003148D"/>
    <w:pPr>
      <w:spacing w:line="240" w:lineRule="auto"/>
      <w:ind w:left="1760" w:hanging="220"/>
    </w:pPr>
  </w:style>
  <w:style w:type="paragraph" w:styleId="Remissivo9">
    <w:name w:val="index 9"/>
    <w:basedOn w:val="Normal"/>
    <w:next w:val="Normal"/>
    <w:autoRedefine/>
    <w:uiPriority w:val="99"/>
    <w:semiHidden/>
    <w:unhideWhenUsed/>
    <w:rsid w:val="0003148D"/>
    <w:pPr>
      <w:spacing w:line="240" w:lineRule="auto"/>
      <w:ind w:left="1980" w:hanging="220"/>
    </w:pPr>
  </w:style>
  <w:style w:type="paragraph" w:styleId="ndicedeilustraes">
    <w:name w:val="table of figures"/>
    <w:basedOn w:val="Normal"/>
    <w:next w:val="Normal"/>
    <w:uiPriority w:val="99"/>
    <w:semiHidden/>
    <w:unhideWhenUsed/>
    <w:rsid w:val="0003148D"/>
  </w:style>
  <w:style w:type="paragraph" w:styleId="ndicedeautoridades">
    <w:name w:val="table of authorities"/>
    <w:basedOn w:val="Normal"/>
    <w:next w:val="Normal"/>
    <w:uiPriority w:val="99"/>
    <w:semiHidden/>
    <w:unhideWhenUsed/>
    <w:rsid w:val="0003148D"/>
    <w:pPr>
      <w:ind w:left="220" w:hanging="220"/>
    </w:pPr>
  </w:style>
  <w:style w:type="paragraph" w:styleId="Destinatrio">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dereoHTML">
    <w:name w:val="HTML Address"/>
    <w:basedOn w:val="Normal"/>
    <w:link w:val="EndereoHTMLChar"/>
    <w:uiPriority w:val="99"/>
    <w:semiHidden/>
    <w:unhideWhenUsed/>
    <w:rsid w:val="0003148D"/>
    <w:pPr>
      <w:spacing w:line="240" w:lineRule="auto"/>
    </w:pPr>
    <w:rPr>
      <w:i/>
      <w:iCs/>
    </w:rPr>
  </w:style>
  <w:style w:type="character" w:customStyle="1" w:styleId="EndereoHTMLChar">
    <w:name w:val="Endereço HTML Char"/>
    <w:basedOn w:val="Fontepargpadro"/>
    <w:link w:val="EndereoHTML"/>
    <w:uiPriority w:val="99"/>
    <w:semiHidden/>
    <w:rsid w:val="0003148D"/>
    <w:rPr>
      <w:i/>
      <w:iCs/>
    </w:rPr>
  </w:style>
  <w:style w:type="paragraph" w:styleId="Remetente">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Cabealhodamensagem">
    <w:name w:val="Message Header"/>
    <w:basedOn w:val="Normal"/>
    <w:link w:val="CabealhodamensagemCh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CabealhodamensagemChar">
    <w:name w:val="Cabeçalho da mensagem Char"/>
    <w:basedOn w:val="Fontepargpadro"/>
    <w:link w:val="Cabealhodamensagem"/>
    <w:uiPriority w:val="99"/>
    <w:semiHidden/>
    <w:rsid w:val="0003148D"/>
    <w:rPr>
      <w:rFonts w:asciiTheme="majorHAnsi" w:eastAsiaTheme="majorEastAsia" w:hAnsiTheme="majorHAnsi" w:cstheme="majorBidi"/>
      <w:sz w:val="24"/>
      <w:szCs w:val="24"/>
      <w:shd w:val="pct20" w:color="auto" w:fill="auto"/>
    </w:rPr>
  </w:style>
  <w:style w:type="paragraph" w:styleId="Ttulodanota">
    <w:name w:val="Note Heading"/>
    <w:basedOn w:val="Normal"/>
    <w:next w:val="Normal"/>
    <w:link w:val="TtulodanotaChar"/>
    <w:uiPriority w:val="99"/>
    <w:semiHidden/>
    <w:unhideWhenUsed/>
    <w:rsid w:val="0003148D"/>
    <w:pPr>
      <w:spacing w:line="240" w:lineRule="auto"/>
    </w:pPr>
  </w:style>
  <w:style w:type="character" w:customStyle="1" w:styleId="TtulodanotaChar">
    <w:name w:val="Título da nota Char"/>
    <w:basedOn w:val="Fontepargpadro"/>
    <w:link w:val="Ttulodanota"/>
    <w:uiPriority w:val="99"/>
    <w:semiHidden/>
    <w:rsid w:val="0003148D"/>
  </w:style>
  <w:style w:type="paragraph" w:styleId="MapadoDocumento">
    <w:name w:val="Document Map"/>
    <w:basedOn w:val="Normal"/>
    <w:link w:val="MapadoDocumentoChar"/>
    <w:uiPriority w:val="99"/>
    <w:semiHidden/>
    <w:unhideWhenUsed/>
    <w:rsid w:val="0003148D"/>
    <w:pPr>
      <w:spacing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Numerada">
    <w:name w:val="List Number"/>
    <w:basedOn w:val="Normal"/>
    <w:uiPriority w:val="99"/>
    <w:semiHidden/>
    <w:unhideWhenUsed/>
    <w:rsid w:val="0003148D"/>
    <w:pPr>
      <w:numPr>
        <w:numId w:val="2"/>
      </w:numPr>
      <w:contextualSpacing/>
    </w:pPr>
  </w:style>
  <w:style w:type="paragraph" w:styleId="Numerada2">
    <w:name w:val="List Number 2"/>
    <w:basedOn w:val="Normal"/>
    <w:uiPriority w:val="99"/>
    <w:semiHidden/>
    <w:unhideWhenUsed/>
    <w:rsid w:val="0003148D"/>
    <w:pPr>
      <w:numPr>
        <w:numId w:val="3"/>
      </w:numPr>
      <w:contextualSpacing/>
    </w:pPr>
  </w:style>
  <w:style w:type="paragraph" w:styleId="Numerada3">
    <w:name w:val="List Number 3"/>
    <w:basedOn w:val="Normal"/>
    <w:uiPriority w:val="99"/>
    <w:semiHidden/>
    <w:unhideWhenUsed/>
    <w:rsid w:val="0003148D"/>
    <w:pPr>
      <w:numPr>
        <w:numId w:val="4"/>
      </w:numPr>
      <w:contextualSpacing/>
    </w:pPr>
  </w:style>
  <w:style w:type="paragraph" w:styleId="Numerada4">
    <w:name w:val="List Number 4"/>
    <w:basedOn w:val="Normal"/>
    <w:uiPriority w:val="99"/>
    <w:semiHidden/>
    <w:unhideWhenUsed/>
    <w:rsid w:val="0003148D"/>
    <w:pPr>
      <w:numPr>
        <w:numId w:val="5"/>
      </w:numPr>
      <w:contextualSpacing/>
    </w:pPr>
  </w:style>
  <w:style w:type="paragraph" w:styleId="Numerada5">
    <w:name w:val="List Number 5"/>
    <w:basedOn w:val="Normal"/>
    <w:uiPriority w:val="99"/>
    <w:semiHidden/>
    <w:unhideWhenUsed/>
    <w:rsid w:val="0003148D"/>
    <w:pPr>
      <w:numPr>
        <w:numId w:val="6"/>
      </w:numPr>
      <w:contextualSpacing/>
    </w:pPr>
  </w:style>
  <w:style w:type="paragraph" w:styleId="Pr-formataoHTML">
    <w:name w:val="HTML Preformatted"/>
    <w:basedOn w:val="Normal"/>
    <w:link w:val="Pr-formataoHTMLChar"/>
    <w:uiPriority w:val="99"/>
    <w:semiHidden/>
    <w:unhideWhenUsed/>
    <w:rsid w:val="0003148D"/>
    <w:pPr>
      <w:spacing w:line="240" w:lineRule="auto"/>
    </w:pPr>
    <w:rPr>
      <w:rFonts w:ascii="Consolas" w:hAnsi="Consolas" w:cs="Consolas"/>
    </w:rPr>
  </w:style>
  <w:style w:type="character" w:customStyle="1" w:styleId="Pr-formataoHTMLChar">
    <w:name w:val="Pré-formatação HTML Char"/>
    <w:basedOn w:val="Fontepargpadro"/>
    <w:link w:val="Pr-formataoHTML"/>
    <w:uiPriority w:val="99"/>
    <w:semiHidden/>
    <w:rsid w:val="0003148D"/>
    <w:rPr>
      <w:rFonts w:ascii="Consolas" w:hAnsi="Consolas" w:cs="Consolas"/>
      <w:sz w:val="20"/>
      <w:szCs w:val="20"/>
    </w:rPr>
  </w:style>
  <w:style w:type="paragraph" w:styleId="Primeirorecuodecorpodetexto">
    <w:name w:val="Body Text First Indent"/>
    <w:basedOn w:val="Corpodetexto"/>
    <w:link w:val="PrimeirorecuodecorpodetextoChar"/>
    <w:uiPriority w:val="99"/>
    <w:semiHidden/>
    <w:unhideWhenUsed/>
    <w:rsid w:val="0003148D"/>
    <w:pPr>
      <w:spacing w:after="200"/>
      <w:ind w:firstLine="360"/>
    </w:pPr>
  </w:style>
  <w:style w:type="character" w:customStyle="1" w:styleId="PrimeirorecuodecorpodetextoChar">
    <w:name w:val="Primeiro recuo de corpo de texto Char"/>
    <w:basedOn w:val="CorpodetextoChar"/>
    <w:link w:val="Primeirorecuodecorpodetexto"/>
    <w:uiPriority w:val="99"/>
    <w:semiHidden/>
    <w:rsid w:val="0003148D"/>
  </w:style>
  <w:style w:type="paragraph" w:styleId="Recuodecorpodetexto">
    <w:name w:val="Body Text Indent"/>
    <w:basedOn w:val="Normal"/>
    <w:link w:val="RecuodecorpodetextoChar"/>
    <w:uiPriority w:val="99"/>
    <w:semiHidden/>
    <w:unhideWhenUsed/>
    <w:rsid w:val="0003148D"/>
    <w:pPr>
      <w:spacing w:after="120"/>
      <w:ind w:left="283"/>
    </w:pPr>
  </w:style>
  <w:style w:type="character" w:customStyle="1" w:styleId="RecuodecorpodetextoChar">
    <w:name w:val="Recuo de corpo de texto Char"/>
    <w:basedOn w:val="Fontepargpadro"/>
    <w:link w:val="Recuodecorpodetexto"/>
    <w:uiPriority w:val="99"/>
    <w:semiHidden/>
    <w:rsid w:val="0003148D"/>
  </w:style>
  <w:style w:type="paragraph" w:styleId="Primeirorecuodecorpodetexto2">
    <w:name w:val="Body Text First Indent 2"/>
    <w:basedOn w:val="Recuodecorpodetexto"/>
    <w:link w:val="Primeirorecuodecorpodetexto2Char"/>
    <w:uiPriority w:val="99"/>
    <w:semiHidden/>
    <w:unhideWhenUsed/>
    <w:rsid w:val="0003148D"/>
    <w:pPr>
      <w:spacing w:after="200"/>
      <w:ind w:left="360" w:firstLine="360"/>
    </w:pPr>
  </w:style>
  <w:style w:type="character" w:customStyle="1" w:styleId="Primeirorecuodecorpodetexto2Char">
    <w:name w:val="Primeiro recuo de corpo de texto 2 Char"/>
    <w:basedOn w:val="RecuodecorpodetextoChar"/>
    <w:link w:val="Primeirorecuodecorpodetexto2"/>
    <w:uiPriority w:val="99"/>
    <w:semiHidden/>
    <w:rsid w:val="0003148D"/>
  </w:style>
  <w:style w:type="paragraph" w:styleId="Commarcadores">
    <w:name w:val="List Bullet"/>
    <w:basedOn w:val="Normal"/>
    <w:uiPriority w:val="99"/>
    <w:semiHidden/>
    <w:unhideWhenUsed/>
    <w:rsid w:val="0003148D"/>
    <w:pPr>
      <w:numPr>
        <w:numId w:val="7"/>
      </w:numPr>
      <w:contextualSpacing/>
    </w:pPr>
  </w:style>
  <w:style w:type="paragraph" w:styleId="Commarcadores2">
    <w:name w:val="List Bullet 2"/>
    <w:basedOn w:val="Normal"/>
    <w:uiPriority w:val="99"/>
    <w:semiHidden/>
    <w:unhideWhenUsed/>
    <w:rsid w:val="0003148D"/>
    <w:pPr>
      <w:numPr>
        <w:numId w:val="8"/>
      </w:numPr>
      <w:contextualSpacing/>
    </w:pPr>
  </w:style>
  <w:style w:type="paragraph" w:styleId="Commarcadores3">
    <w:name w:val="List Bullet 3"/>
    <w:basedOn w:val="Normal"/>
    <w:uiPriority w:val="99"/>
    <w:semiHidden/>
    <w:unhideWhenUsed/>
    <w:rsid w:val="0003148D"/>
    <w:pPr>
      <w:numPr>
        <w:numId w:val="9"/>
      </w:numPr>
      <w:contextualSpacing/>
    </w:pPr>
  </w:style>
  <w:style w:type="paragraph" w:styleId="Commarcadores4">
    <w:name w:val="List Bullet 4"/>
    <w:basedOn w:val="Normal"/>
    <w:uiPriority w:val="99"/>
    <w:semiHidden/>
    <w:unhideWhenUsed/>
    <w:rsid w:val="0003148D"/>
    <w:pPr>
      <w:numPr>
        <w:numId w:val="10"/>
      </w:numPr>
      <w:contextualSpacing/>
    </w:pPr>
  </w:style>
  <w:style w:type="paragraph" w:styleId="Commarcadores5">
    <w:name w:val="List Bullet 5"/>
    <w:basedOn w:val="Normal"/>
    <w:uiPriority w:val="99"/>
    <w:semiHidden/>
    <w:unhideWhenUsed/>
    <w:rsid w:val="0003148D"/>
    <w:pPr>
      <w:numPr>
        <w:numId w:val="11"/>
      </w:numPr>
      <w:contextualSpacing/>
    </w:pPr>
  </w:style>
  <w:style w:type="paragraph" w:styleId="Recuodecorpodetexto2">
    <w:name w:val="Body Text Indent 2"/>
    <w:basedOn w:val="Normal"/>
    <w:link w:val="Recuodecorpodetexto2Char"/>
    <w:uiPriority w:val="99"/>
    <w:semiHidden/>
    <w:unhideWhenUsed/>
    <w:rsid w:val="0003148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03148D"/>
  </w:style>
  <w:style w:type="paragraph" w:styleId="Recuodecorpodetexto3">
    <w:name w:val="Body Text Indent 3"/>
    <w:basedOn w:val="Normal"/>
    <w:link w:val="Recuodecorpodetexto3Char"/>
    <w:uiPriority w:val="99"/>
    <w:semiHidden/>
    <w:unhideWhenUsed/>
    <w:rsid w:val="0003148D"/>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03148D"/>
    <w:rPr>
      <w:sz w:val="16"/>
      <w:szCs w:val="16"/>
    </w:rPr>
  </w:style>
  <w:style w:type="paragraph" w:styleId="Recuonormal">
    <w:name w:val="Normal Indent"/>
    <w:basedOn w:val="Normal"/>
    <w:uiPriority w:val="99"/>
    <w:semiHidden/>
    <w:unhideWhenUsed/>
    <w:rsid w:val="0003148D"/>
    <w:pPr>
      <w:ind w:left="720"/>
    </w:pPr>
  </w:style>
  <w:style w:type="paragraph" w:styleId="Textodecomentrio">
    <w:name w:val="annotation text"/>
    <w:basedOn w:val="Normal"/>
    <w:link w:val="TextodecomentrioChar"/>
    <w:uiPriority w:val="99"/>
    <w:unhideWhenUsed/>
    <w:rsid w:val="0003148D"/>
    <w:pPr>
      <w:spacing w:line="240" w:lineRule="auto"/>
    </w:pPr>
  </w:style>
  <w:style w:type="character" w:customStyle="1" w:styleId="TextodecomentrioChar">
    <w:name w:val="Texto de comentário Char"/>
    <w:basedOn w:val="Fontepargpadro"/>
    <w:link w:val="Textodecomentrio"/>
    <w:uiPriority w:val="99"/>
    <w:rsid w:val="0003148D"/>
    <w:rPr>
      <w:sz w:val="20"/>
      <w:szCs w:val="20"/>
    </w:rPr>
  </w:style>
  <w:style w:type="paragraph" w:styleId="Assuntodocomentrio">
    <w:name w:val="annotation subject"/>
    <w:basedOn w:val="Textodecomentrio"/>
    <w:next w:val="Textodecomentrio"/>
    <w:link w:val="AssuntodocomentrioChar"/>
    <w:uiPriority w:val="99"/>
    <w:semiHidden/>
    <w:unhideWhenUsed/>
    <w:rsid w:val="0003148D"/>
    <w:rPr>
      <w:b/>
      <w:bCs/>
    </w:rPr>
  </w:style>
  <w:style w:type="character" w:customStyle="1" w:styleId="AssuntodocomentrioChar">
    <w:name w:val="Assunto do comentário Char"/>
    <w:basedOn w:val="TextodecomentrioChar"/>
    <w:link w:val="Assuntodocomentrio"/>
    <w:uiPriority w:val="99"/>
    <w:semiHidden/>
    <w:rsid w:val="0003148D"/>
    <w:rPr>
      <w:b/>
      <w:bCs/>
      <w:sz w:val="20"/>
      <w:szCs w:val="20"/>
    </w:rPr>
  </w:style>
  <w:style w:type="paragraph" w:styleId="Sumrio1">
    <w:name w:val="toc 1"/>
    <w:basedOn w:val="Normal"/>
    <w:next w:val="Normal"/>
    <w:autoRedefine/>
    <w:uiPriority w:val="39"/>
    <w:semiHidden/>
    <w:unhideWhenUsed/>
    <w:rsid w:val="0003148D"/>
    <w:pPr>
      <w:spacing w:after="100"/>
    </w:pPr>
  </w:style>
  <w:style w:type="paragraph" w:styleId="Sumrio2">
    <w:name w:val="toc 2"/>
    <w:basedOn w:val="Normal"/>
    <w:next w:val="Normal"/>
    <w:autoRedefine/>
    <w:uiPriority w:val="39"/>
    <w:semiHidden/>
    <w:unhideWhenUsed/>
    <w:rsid w:val="0003148D"/>
    <w:pPr>
      <w:spacing w:after="100"/>
      <w:ind w:left="220"/>
    </w:pPr>
  </w:style>
  <w:style w:type="paragraph" w:styleId="Sumrio3">
    <w:name w:val="toc 3"/>
    <w:basedOn w:val="Normal"/>
    <w:next w:val="Normal"/>
    <w:autoRedefine/>
    <w:uiPriority w:val="39"/>
    <w:semiHidden/>
    <w:unhideWhenUsed/>
    <w:rsid w:val="0003148D"/>
    <w:pPr>
      <w:spacing w:after="100"/>
      <w:ind w:left="440"/>
    </w:pPr>
  </w:style>
  <w:style w:type="paragraph" w:styleId="Sumrio4">
    <w:name w:val="toc 4"/>
    <w:basedOn w:val="Normal"/>
    <w:next w:val="Normal"/>
    <w:autoRedefine/>
    <w:uiPriority w:val="39"/>
    <w:semiHidden/>
    <w:unhideWhenUsed/>
    <w:rsid w:val="0003148D"/>
    <w:pPr>
      <w:spacing w:after="100"/>
      <w:ind w:left="660"/>
    </w:pPr>
  </w:style>
  <w:style w:type="paragraph" w:styleId="Sumrio5">
    <w:name w:val="toc 5"/>
    <w:basedOn w:val="Normal"/>
    <w:next w:val="Normal"/>
    <w:autoRedefine/>
    <w:uiPriority w:val="39"/>
    <w:semiHidden/>
    <w:unhideWhenUsed/>
    <w:rsid w:val="0003148D"/>
    <w:pPr>
      <w:spacing w:after="100"/>
      <w:ind w:left="880"/>
    </w:pPr>
  </w:style>
  <w:style w:type="paragraph" w:styleId="Sumrio6">
    <w:name w:val="toc 6"/>
    <w:basedOn w:val="Normal"/>
    <w:next w:val="Normal"/>
    <w:autoRedefine/>
    <w:uiPriority w:val="39"/>
    <w:semiHidden/>
    <w:unhideWhenUsed/>
    <w:rsid w:val="0003148D"/>
    <w:pPr>
      <w:spacing w:after="100"/>
      <w:ind w:left="1100"/>
    </w:pPr>
  </w:style>
  <w:style w:type="paragraph" w:styleId="Sumrio7">
    <w:name w:val="toc 7"/>
    <w:basedOn w:val="Normal"/>
    <w:next w:val="Normal"/>
    <w:autoRedefine/>
    <w:uiPriority w:val="39"/>
    <w:semiHidden/>
    <w:unhideWhenUsed/>
    <w:rsid w:val="0003148D"/>
    <w:pPr>
      <w:spacing w:after="100"/>
      <w:ind w:left="1320"/>
    </w:pPr>
  </w:style>
  <w:style w:type="paragraph" w:styleId="Sumrio8">
    <w:name w:val="toc 8"/>
    <w:basedOn w:val="Normal"/>
    <w:next w:val="Normal"/>
    <w:autoRedefine/>
    <w:uiPriority w:val="39"/>
    <w:semiHidden/>
    <w:unhideWhenUsed/>
    <w:rsid w:val="0003148D"/>
    <w:pPr>
      <w:spacing w:after="100"/>
      <w:ind w:left="1540"/>
    </w:pPr>
  </w:style>
  <w:style w:type="paragraph" w:styleId="Sumrio9">
    <w:name w:val="toc 9"/>
    <w:basedOn w:val="Normal"/>
    <w:next w:val="Normal"/>
    <w:autoRedefine/>
    <w:uiPriority w:val="39"/>
    <w:semiHidden/>
    <w:unhideWhenUsed/>
    <w:rsid w:val="0003148D"/>
    <w:pPr>
      <w:spacing w:after="100"/>
      <w:ind w:left="1760"/>
    </w:pPr>
  </w:style>
  <w:style w:type="paragraph" w:styleId="Textoembloco">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odemacro">
    <w:name w:val="macro"/>
    <w:link w:val="TextodemacroCh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odemacroChar">
    <w:name w:val="Texto de macro Char"/>
    <w:basedOn w:val="Fontepargpadro"/>
    <w:link w:val="Textodemacro"/>
    <w:uiPriority w:val="99"/>
    <w:semiHidden/>
    <w:rsid w:val="0003148D"/>
    <w:rPr>
      <w:rFonts w:ascii="Consolas" w:hAnsi="Consolas" w:cs="Consolas"/>
      <w:sz w:val="20"/>
      <w:szCs w:val="20"/>
    </w:rPr>
  </w:style>
  <w:style w:type="paragraph" w:styleId="TextosemFormatao">
    <w:name w:val="Plain Text"/>
    <w:basedOn w:val="Normal"/>
    <w:link w:val="TextosemFormataoChar"/>
    <w:uiPriority w:val="99"/>
    <w:semiHidden/>
    <w:unhideWhenUsed/>
    <w:rsid w:val="0003148D"/>
    <w:pPr>
      <w:spacing w:line="240" w:lineRule="auto"/>
    </w:pPr>
    <w:rPr>
      <w:rFonts w:ascii="Consolas" w:hAnsi="Consolas" w:cs="Consolas"/>
      <w:sz w:val="21"/>
      <w:szCs w:val="21"/>
    </w:rPr>
  </w:style>
  <w:style w:type="character" w:customStyle="1" w:styleId="TextosemFormataoChar">
    <w:name w:val="Texto sem Formatação Char"/>
    <w:basedOn w:val="Fontepargpadro"/>
    <w:link w:val="TextosemFormatao"/>
    <w:uiPriority w:val="99"/>
    <w:semiHidden/>
    <w:rsid w:val="0003148D"/>
    <w:rPr>
      <w:rFonts w:ascii="Consolas" w:hAnsi="Consolas" w:cs="Consolas"/>
      <w:sz w:val="21"/>
      <w:szCs w:val="21"/>
    </w:rPr>
  </w:style>
  <w:style w:type="paragraph" w:styleId="Textodenotaderodap">
    <w:name w:val="footnote text"/>
    <w:basedOn w:val="Normal"/>
    <w:link w:val="TextodenotaderodapChar"/>
    <w:uiPriority w:val="99"/>
    <w:semiHidden/>
    <w:unhideWhenUsed/>
    <w:rsid w:val="0003148D"/>
    <w:pPr>
      <w:spacing w:line="240" w:lineRule="auto"/>
    </w:pPr>
  </w:style>
  <w:style w:type="character" w:customStyle="1" w:styleId="TextodenotaderodapChar">
    <w:name w:val="Texto de nota de rodapé Char"/>
    <w:basedOn w:val="Fontepargpadro"/>
    <w:link w:val="Textodenotaderodap"/>
    <w:uiPriority w:val="99"/>
    <w:semiHidden/>
    <w:rsid w:val="0003148D"/>
    <w:rPr>
      <w:sz w:val="20"/>
      <w:szCs w:val="20"/>
    </w:rPr>
  </w:style>
  <w:style w:type="paragraph" w:styleId="Textodenotadefim">
    <w:name w:val="endnote text"/>
    <w:basedOn w:val="Normal"/>
    <w:link w:val="TextodenotadefimChar"/>
    <w:uiPriority w:val="99"/>
    <w:semiHidden/>
    <w:unhideWhenUsed/>
    <w:rsid w:val="0003148D"/>
    <w:pPr>
      <w:spacing w:line="240" w:lineRule="auto"/>
    </w:pPr>
  </w:style>
  <w:style w:type="character" w:customStyle="1" w:styleId="TextodenotadefimChar">
    <w:name w:val="Texto de nota de fim Char"/>
    <w:basedOn w:val="Fontepargpadro"/>
    <w:link w:val="Textodenotadefim"/>
    <w:uiPriority w:val="99"/>
    <w:semiHidden/>
    <w:rsid w:val="0003148D"/>
    <w:rPr>
      <w:sz w:val="20"/>
      <w:szCs w:val="20"/>
    </w:rPr>
  </w:style>
  <w:style w:type="character" w:customStyle="1" w:styleId="Ttulo1Char">
    <w:name w:val="Título 1 Char"/>
    <w:basedOn w:val="Fontepargpadro"/>
    <w:link w:val="Ttulo1"/>
    <w:uiPriority w:val="9"/>
    <w:rsid w:val="004F5E36"/>
    <w:rPr>
      <w:rFonts w:ascii="Arial" w:eastAsia="Times New Roman" w:hAnsi="Arial" w:cs="Times New Roman"/>
      <w:b/>
      <w:sz w:val="20"/>
      <w:szCs w:val="20"/>
      <w:lang w:val="en-GB"/>
    </w:rPr>
  </w:style>
  <w:style w:type="character" w:customStyle="1" w:styleId="Ttulo2Char">
    <w:name w:val="Título 2 Char"/>
    <w:basedOn w:val="Fontepargpadro"/>
    <w:link w:val="Ttu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semiHidden/>
    <w:rsid w:val="0003148D"/>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03148D"/>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semiHidden/>
    <w:rsid w:val="0003148D"/>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semiHidden/>
    <w:rsid w:val="0003148D"/>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semiHidden/>
    <w:rsid w:val="0003148D"/>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03148D"/>
    <w:rPr>
      <w:rFonts w:asciiTheme="majorHAnsi" w:eastAsiaTheme="majorEastAsia" w:hAnsiTheme="majorHAnsi" w:cstheme="majorBidi"/>
      <w:i/>
      <w:iCs/>
      <w:color w:val="404040" w:themeColor="text1" w:themeTint="BF"/>
      <w:sz w:val="20"/>
      <w:szCs w:val="20"/>
    </w:rPr>
  </w:style>
  <w:style w:type="paragraph" w:styleId="Ttulodendiceremissivo">
    <w:name w:val="index heading"/>
    <w:basedOn w:val="Normal"/>
    <w:next w:val="Remissivo1"/>
    <w:uiPriority w:val="99"/>
    <w:semiHidden/>
    <w:unhideWhenUsed/>
    <w:rsid w:val="0003148D"/>
    <w:rPr>
      <w:rFonts w:asciiTheme="majorHAnsi" w:eastAsiaTheme="majorEastAsia" w:hAnsiTheme="majorHAnsi" w:cstheme="majorBidi"/>
      <w:b/>
      <w:bCs/>
    </w:rPr>
  </w:style>
  <w:style w:type="paragraph" w:styleId="Ttulodendicedeautoridades">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CabealhodoSumrio">
    <w:name w:val="TOC Heading"/>
    <w:basedOn w:val="Ttulo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Fontepargpadr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Cabealho">
    <w:name w:val="header"/>
    <w:basedOn w:val="Normal"/>
    <w:link w:val="CabealhoChar"/>
    <w:uiPriority w:val="99"/>
    <w:unhideWhenUsed/>
    <w:rsid w:val="005278B7"/>
    <w:pPr>
      <w:tabs>
        <w:tab w:val="clear" w:pos="7100"/>
        <w:tab w:val="center" w:pos="4819"/>
        <w:tab w:val="right" w:pos="9638"/>
      </w:tabs>
      <w:spacing w:line="240" w:lineRule="auto"/>
    </w:pPr>
  </w:style>
  <w:style w:type="character" w:customStyle="1" w:styleId="CabealhoChar">
    <w:name w:val="Cabeçalho Char"/>
    <w:basedOn w:val="Fontepargpadro"/>
    <w:link w:val="Cabealho"/>
    <w:uiPriority w:val="99"/>
    <w:rsid w:val="005278B7"/>
    <w:rPr>
      <w:rFonts w:ascii="Arial" w:eastAsia="Times New Roman" w:hAnsi="Arial" w:cs="Times New Roman"/>
      <w:sz w:val="18"/>
      <w:szCs w:val="20"/>
      <w:lang w:val="en-GB"/>
    </w:rPr>
  </w:style>
  <w:style w:type="paragraph" w:styleId="Rodap">
    <w:name w:val="footer"/>
    <w:basedOn w:val="Normal"/>
    <w:link w:val="RodapChar"/>
    <w:uiPriority w:val="99"/>
    <w:unhideWhenUsed/>
    <w:rsid w:val="005278B7"/>
    <w:pPr>
      <w:tabs>
        <w:tab w:val="clear" w:pos="7100"/>
        <w:tab w:val="center" w:pos="4819"/>
        <w:tab w:val="right" w:pos="9638"/>
      </w:tabs>
      <w:spacing w:line="240" w:lineRule="auto"/>
    </w:pPr>
  </w:style>
  <w:style w:type="character" w:customStyle="1" w:styleId="RodapChar">
    <w:name w:val="Rodapé Char"/>
    <w:basedOn w:val="Fontepargpadro"/>
    <w:link w:val="Rodap"/>
    <w:uiPriority w:val="99"/>
    <w:rsid w:val="005278B7"/>
    <w:rPr>
      <w:rFonts w:ascii="Arial" w:eastAsia="Times New Roman" w:hAnsi="Arial" w:cs="Times New Roman"/>
      <w:sz w:val="18"/>
      <w:szCs w:val="20"/>
      <w:lang w:val="en-GB"/>
    </w:rPr>
  </w:style>
  <w:style w:type="table" w:styleId="Tabelacomgrade">
    <w:name w:val="Table Grid"/>
    <w:basedOn w:val="Tabela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904C62"/>
    <w:rPr>
      <w:color w:val="0000FF" w:themeColor="hyperlink"/>
      <w:u w:val="single"/>
    </w:rPr>
  </w:style>
  <w:style w:type="character" w:customStyle="1" w:styleId="eudoraheader">
    <w:name w:val="eudoraheader"/>
    <w:basedOn w:val="Fontepargpadr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grafodaLista">
    <w:name w:val="List Paragraph"/>
    <w:basedOn w:val="Normal"/>
    <w:uiPriority w:val="34"/>
    <w:rsid w:val="00280FAF"/>
    <w:pPr>
      <w:ind w:left="720"/>
      <w:contextualSpacing/>
    </w:pPr>
  </w:style>
  <w:style w:type="character" w:customStyle="1" w:styleId="gmail-apple-converted-space">
    <w:name w:val="gmail-apple-converted-space"/>
    <w:basedOn w:val="Fontepargpadro"/>
    <w:rsid w:val="00005A19"/>
  </w:style>
  <w:style w:type="character" w:styleId="TextodoEspaoReservado">
    <w:name w:val="Placeholder Text"/>
    <w:basedOn w:val="Fontepargpadro"/>
    <w:uiPriority w:val="99"/>
    <w:semiHidden/>
    <w:rsid w:val="001B1EF3"/>
    <w:rPr>
      <w:color w:val="666666"/>
    </w:rPr>
  </w:style>
  <w:style w:type="paragraph" w:styleId="Reviso">
    <w:name w:val="Revision"/>
    <w:hidden/>
    <w:uiPriority w:val="99"/>
    <w:semiHidden/>
    <w:rsid w:val="00161AA0"/>
    <w:pPr>
      <w:spacing w:after="0" w:line="240" w:lineRule="auto"/>
    </w:pPr>
    <w:rPr>
      <w:rFonts w:ascii="Arial" w:eastAsia="Times New Roman" w:hAnsi="Arial" w:cs="Times New Roman"/>
      <w:sz w:val="18"/>
      <w:szCs w:val="20"/>
      <w:lang w:val="en-GB"/>
    </w:rPr>
  </w:style>
  <w:style w:type="character" w:customStyle="1" w:styleId="msoins0">
    <w:name w:val="msoins"/>
    <w:basedOn w:val="Fontepargpadro"/>
    <w:rsid w:val="009C51DE"/>
  </w:style>
  <w:style w:type="paragraph" w:customStyle="1" w:styleId="cetbodytext0">
    <w:name w:val="cetbodytext"/>
    <w:basedOn w:val="Normal"/>
    <w:rsid w:val="007C31CA"/>
    <w:pPr>
      <w:tabs>
        <w:tab w:val="clear" w:pos="7100"/>
      </w:tabs>
      <w:spacing w:before="100" w:beforeAutospacing="1" w:after="100" w:afterAutospacing="1" w:line="240" w:lineRule="auto"/>
      <w:jc w:val="left"/>
    </w:pPr>
    <w:rPr>
      <w:rFonts w:ascii="Times New Roman" w:eastAsiaTheme="minorEastAsia" w:hAnsi="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681295">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4106</Words>
  <Characters>24428</Characters>
  <Application>Microsoft Office Word</Application>
  <DocSecurity>0</DocSecurity>
  <Lines>392</Lines>
  <Paragraphs>144</Paragraphs>
  <ScaleCrop>false</ScaleCrop>
  <HeadingPairs>
    <vt:vector size="6" baseType="variant">
      <vt:variant>
        <vt:lpstr>Título</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raffaella</dc:creator>
  <cp:lastModifiedBy>Geraldo B Martha Jr</cp:lastModifiedBy>
  <cp:revision>9</cp:revision>
  <cp:lastPrinted>2015-05-12T18:31:00Z</cp:lastPrinted>
  <dcterms:created xsi:type="dcterms:W3CDTF">2026-04-14T12:30:00Z</dcterms:created>
  <dcterms:modified xsi:type="dcterms:W3CDTF">2026-04-14T12:47:00Z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id="SaByKK2v"/&gt;&lt;style id="http://www.zotero.org/styles/applied-clay-science" hasBibliography="1" bibliographyStyleHasBeenSet="1"/&gt;&lt;prefs&gt;&lt;pref name="fieldType" value="Field"/&gt;&lt;pref name="storeReferen</vt:lpwstr>
  </property>
  <property fmtid="{D5CDD505-2E9C-101B-9397-08002B2CF9AE}" pid="3" name="ZOTERO_PREF_2">
    <vt:lpwstr>ces" value="true"/&gt;&lt;/prefs&gt;&lt;/data&gt;</vt:lpwstr>
  </property>
</Properties>
</file>