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243A66" w14:paraId="2A131A54" w14:textId="77777777" w:rsidTr="00BC782F">
        <w:trPr>
          <w:trHeight w:val="852"/>
          <w:jc w:val="center"/>
        </w:trPr>
        <w:tc>
          <w:tcPr>
            <w:tcW w:w="6940" w:type="dxa"/>
            <w:vMerge w:val="restart"/>
            <w:tcBorders>
              <w:right w:val="single" w:sz="4" w:space="0" w:color="auto"/>
            </w:tcBorders>
          </w:tcPr>
          <w:p w14:paraId="38C3D2BA" w14:textId="77777777" w:rsidR="000A03B2" w:rsidRPr="00243A66" w:rsidRDefault="000A03B2" w:rsidP="00DE264A">
            <w:pPr>
              <w:tabs>
                <w:tab w:val="left" w:pos="-108"/>
              </w:tabs>
              <w:ind w:left="-108"/>
              <w:jc w:val="left"/>
              <w:rPr>
                <w:rFonts w:cs="Arial"/>
                <w:b/>
                <w:bCs/>
                <w:i/>
                <w:iCs/>
                <w:color w:val="000066"/>
                <w:sz w:val="12"/>
                <w:szCs w:val="12"/>
                <w:lang w:eastAsia="it-IT"/>
              </w:rPr>
            </w:pPr>
            <w:r w:rsidRPr="00243A66">
              <w:rPr>
                <w:rFonts w:ascii="AdvP6960" w:hAnsi="AdvP6960" w:cs="AdvP6960"/>
                <w:noProof/>
                <w:color w:val="241F20"/>
                <w:szCs w:val="18"/>
                <w:lang w:val="es-ES" w:eastAsia="es-E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243A66">
              <w:rPr>
                <w:rFonts w:ascii="AdvP6960" w:hAnsi="AdvP6960" w:cs="AdvP6960"/>
                <w:color w:val="241F20"/>
                <w:szCs w:val="18"/>
                <w:lang w:eastAsia="it-IT"/>
              </w:rPr>
              <w:t xml:space="preserve"> </w:t>
            </w:r>
            <w:r w:rsidRPr="00243A66">
              <w:rPr>
                <w:rFonts w:cs="Arial"/>
                <w:b/>
                <w:bCs/>
                <w:i/>
                <w:iCs/>
                <w:color w:val="000066"/>
                <w:sz w:val="24"/>
                <w:szCs w:val="24"/>
                <w:lang w:eastAsia="it-IT"/>
              </w:rPr>
              <w:t>CHEMICAL ENGINEERING</w:t>
            </w:r>
            <w:r w:rsidRPr="00243A66">
              <w:rPr>
                <w:rFonts w:cs="Arial"/>
                <w:b/>
                <w:bCs/>
                <w:i/>
                <w:iCs/>
                <w:color w:val="0033FF"/>
                <w:sz w:val="24"/>
                <w:szCs w:val="24"/>
                <w:lang w:eastAsia="it-IT"/>
              </w:rPr>
              <w:t xml:space="preserve"> </w:t>
            </w:r>
            <w:r w:rsidRPr="00243A66">
              <w:rPr>
                <w:rFonts w:cs="Arial"/>
                <w:b/>
                <w:bCs/>
                <w:i/>
                <w:iCs/>
                <w:color w:val="666666"/>
                <w:sz w:val="24"/>
                <w:szCs w:val="24"/>
                <w:lang w:eastAsia="it-IT"/>
              </w:rPr>
              <w:t>TRANSACTIONS</w:t>
            </w:r>
            <w:r w:rsidRPr="00243A66">
              <w:rPr>
                <w:color w:val="333333"/>
                <w:sz w:val="24"/>
                <w:szCs w:val="24"/>
                <w:lang w:eastAsia="it-IT"/>
              </w:rPr>
              <w:t xml:space="preserve"> </w:t>
            </w:r>
            <w:r w:rsidRPr="00243A66">
              <w:rPr>
                <w:rFonts w:cs="Arial"/>
                <w:b/>
                <w:bCs/>
                <w:i/>
                <w:iCs/>
                <w:color w:val="000066"/>
                <w:sz w:val="27"/>
                <w:szCs w:val="27"/>
                <w:lang w:eastAsia="it-IT"/>
              </w:rPr>
              <w:br/>
            </w:r>
          </w:p>
          <w:p w14:paraId="4B780582" w14:textId="45502021" w:rsidR="000A03B2" w:rsidRPr="00243A66" w:rsidRDefault="00A76EFC" w:rsidP="001D21AF">
            <w:pPr>
              <w:tabs>
                <w:tab w:val="left" w:pos="-108"/>
              </w:tabs>
              <w:ind w:left="-108"/>
              <w:rPr>
                <w:rFonts w:cs="Arial"/>
                <w:b/>
                <w:bCs/>
                <w:i/>
                <w:iCs/>
                <w:color w:val="000066"/>
                <w:sz w:val="22"/>
                <w:szCs w:val="22"/>
                <w:lang w:eastAsia="it-IT"/>
              </w:rPr>
            </w:pPr>
            <w:r w:rsidRPr="00243A66">
              <w:rPr>
                <w:rFonts w:cs="Arial"/>
                <w:b/>
                <w:bCs/>
                <w:i/>
                <w:iCs/>
                <w:color w:val="000066"/>
                <w:sz w:val="22"/>
                <w:szCs w:val="22"/>
                <w:lang w:eastAsia="it-IT"/>
              </w:rPr>
              <w:t xml:space="preserve">VOL. </w:t>
            </w:r>
            <w:r w:rsidR="0030152C" w:rsidRPr="00243A66">
              <w:rPr>
                <w:rFonts w:cs="Arial"/>
                <w:b/>
                <w:bCs/>
                <w:i/>
                <w:iCs/>
                <w:color w:val="000066"/>
                <w:sz w:val="22"/>
                <w:szCs w:val="22"/>
                <w:lang w:eastAsia="it-IT"/>
              </w:rPr>
              <w:t xml:space="preserve">   </w:t>
            </w:r>
            <w:r w:rsidR="007B48F9" w:rsidRPr="00243A66">
              <w:rPr>
                <w:rFonts w:cs="Arial"/>
                <w:b/>
                <w:bCs/>
                <w:i/>
                <w:iCs/>
                <w:color w:val="000066"/>
                <w:sz w:val="22"/>
                <w:szCs w:val="22"/>
                <w:lang w:eastAsia="it-IT"/>
              </w:rPr>
              <w:t>,</w:t>
            </w:r>
            <w:r w:rsidR="00FA5F5F" w:rsidRPr="00243A66">
              <w:rPr>
                <w:rFonts w:cs="Arial"/>
                <w:b/>
                <w:bCs/>
                <w:i/>
                <w:iCs/>
                <w:color w:val="000066"/>
                <w:sz w:val="22"/>
                <w:szCs w:val="22"/>
                <w:lang w:eastAsia="it-IT"/>
              </w:rPr>
              <w:t xml:space="preserve"> </w:t>
            </w:r>
            <w:r w:rsidR="0030152C" w:rsidRPr="00243A66">
              <w:rPr>
                <w:rFonts w:cs="Arial"/>
                <w:b/>
                <w:bCs/>
                <w:i/>
                <w:iCs/>
                <w:color w:val="000066"/>
                <w:sz w:val="22"/>
                <w:szCs w:val="22"/>
                <w:lang w:eastAsia="it-IT"/>
              </w:rPr>
              <w:t>202</w:t>
            </w:r>
            <w:r w:rsidR="006A0034" w:rsidRPr="00243A66">
              <w:rPr>
                <w:rFonts w:cs="Arial"/>
                <w:b/>
                <w:bCs/>
                <w:i/>
                <w:iCs/>
                <w:color w:val="000066"/>
                <w:sz w:val="22"/>
                <w:szCs w:val="22"/>
                <w:lang w:eastAsia="it-IT"/>
              </w:rPr>
              <w:t>6</w:t>
            </w:r>
          </w:p>
        </w:tc>
        <w:tc>
          <w:tcPr>
            <w:tcW w:w="1842" w:type="dxa"/>
            <w:tcBorders>
              <w:left w:val="single" w:sz="4" w:space="0" w:color="auto"/>
              <w:bottom w:val="nil"/>
              <w:right w:val="single" w:sz="4" w:space="0" w:color="auto"/>
            </w:tcBorders>
          </w:tcPr>
          <w:p w14:paraId="56782132" w14:textId="77777777" w:rsidR="000A03B2" w:rsidRPr="00243A66" w:rsidRDefault="000A03B2" w:rsidP="00CD5FE2">
            <w:pPr>
              <w:spacing w:line="140" w:lineRule="atLeast"/>
              <w:jc w:val="right"/>
              <w:rPr>
                <w:rFonts w:cs="Arial"/>
                <w:sz w:val="14"/>
                <w:szCs w:val="14"/>
              </w:rPr>
            </w:pPr>
            <w:r w:rsidRPr="00243A66">
              <w:rPr>
                <w:rFonts w:cs="Arial"/>
                <w:sz w:val="14"/>
                <w:szCs w:val="14"/>
              </w:rPr>
              <w:t>A publication of</w:t>
            </w:r>
          </w:p>
          <w:p w14:paraId="599E5441" w14:textId="77777777" w:rsidR="000A03B2" w:rsidRPr="00243A66" w:rsidRDefault="000A03B2" w:rsidP="00CD5FE2">
            <w:pPr>
              <w:jc w:val="right"/>
            </w:pPr>
            <w:r w:rsidRPr="00243A66">
              <w:rPr>
                <w:noProof/>
                <w:lang w:val="es-ES" w:eastAsia="es-E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243A66" w14:paraId="380FA3CD" w14:textId="77777777" w:rsidTr="00BC782F">
        <w:trPr>
          <w:trHeight w:val="567"/>
          <w:jc w:val="center"/>
        </w:trPr>
        <w:tc>
          <w:tcPr>
            <w:tcW w:w="6940" w:type="dxa"/>
            <w:vMerge/>
            <w:tcBorders>
              <w:right w:val="single" w:sz="4" w:space="0" w:color="auto"/>
            </w:tcBorders>
          </w:tcPr>
          <w:p w14:paraId="39E5E4C1" w14:textId="77777777" w:rsidR="000A03B2" w:rsidRPr="00243A6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243A66" w:rsidRDefault="000A03B2" w:rsidP="00CD5FE2">
            <w:pPr>
              <w:spacing w:line="140" w:lineRule="atLeast"/>
              <w:jc w:val="right"/>
              <w:rPr>
                <w:rFonts w:cs="Arial"/>
                <w:sz w:val="14"/>
                <w:szCs w:val="14"/>
              </w:rPr>
            </w:pPr>
            <w:r w:rsidRPr="00243A66">
              <w:rPr>
                <w:rFonts w:cs="Arial"/>
                <w:sz w:val="14"/>
                <w:szCs w:val="14"/>
              </w:rPr>
              <w:t>The Italian Association</w:t>
            </w:r>
          </w:p>
          <w:p w14:paraId="7522B1D2" w14:textId="77777777" w:rsidR="000A03B2" w:rsidRPr="00243A66" w:rsidRDefault="000A03B2" w:rsidP="00CD5FE2">
            <w:pPr>
              <w:spacing w:line="140" w:lineRule="atLeast"/>
              <w:jc w:val="right"/>
              <w:rPr>
                <w:rFonts w:cs="Arial"/>
                <w:sz w:val="14"/>
                <w:szCs w:val="14"/>
              </w:rPr>
            </w:pPr>
            <w:r w:rsidRPr="00243A66">
              <w:rPr>
                <w:rFonts w:cs="Arial"/>
                <w:sz w:val="14"/>
                <w:szCs w:val="14"/>
              </w:rPr>
              <w:t>of Chemical Engineering</w:t>
            </w:r>
          </w:p>
          <w:p w14:paraId="4F0CC5DE" w14:textId="47FDB2FC" w:rsidR="000A03B2" w:rsidRPr="00243A66" w:rsidRDefault="000D0268" w:rsidP="00CD5FE2">
            <w:pPr>
              <w:spacing w:line="140" w:lineRule="atLeast"/>
              <w:jc w:val="right"/>
              <w:rPr>
                <w:rFonts w:cs="Arial"/>
                <w:sz w:val="13"/>
                <w:szCs w:val="13"/>
              </w:rPr>
            </w:pPr>
            <w:r w:rsidRPr="00243A66">
              <w:rPr>
                <w:rFonts w:cs="Arial"/>
                <w:sz w:val="13"/>
                <w:szCs w:val="13"/>
              </w:rPr>
              <w:t>Online at www.cetjournal.it</w:t>
            </w:r>
          </w:p>
        </w:tc>
      </w:tr>
      <w:tr w:rsidR="000A03B2" w:rsidRPr="00243A66" w14:paraId="2D1B7169" w14:textId="77777777" w:rsidTr="00BC782F">
        <w:trPr>
          <w:trHeight w:val="68"/>
          <w:jc w:val="center"/>
        </w:trPr>
        <w:tc>
          <w:tcPr>
            <w:tcW w:w="8782" w:type="dxa"/>
            <w:gridSpan w:val="2"/>
          </w:tcPr>
          <w:p w14:paraId="1D8DD3C9" w14:textId="086598E2" w:rsidR="00AA7D26" w:rsidRPr="00243A66" w:rsidRDefault="00AA7D26" w:rsidP="00AA7D26">
            <w:pPr>
              <w:ind w:left="-107"/>
              <w:outlineLvl w:val="2"/>
              <w:rPr>
                <w:rFonts w:ascii="Tahoma" w:hAnsi="Tahoma" w:cs="Tahoma"/>
                <w:bCs/>
                <w:color w:val="000000"/>
                <w:sz w:val="14"/>
                <w:szCs w:val="14"/>
                <w:lang w:eastAsia="it-IT"/>
              </w:rPr>
            </w:pPr>
            <w:r w:rsidRPr="00243A66">
              <w:rPr>
                <w:rFonts w:ascii="Tahoma" w:hAnsi="Tahoma" w:cs="Tahoma"/>
                <w:iCs/>
                <w:color w:val="333333"/>
                <w:sz w:val="14"/>
                <w:szCs w:val="14"/>
                <w:lang w:eastAsia="it-IT"/>
              </w:rPr>
              <w:t>Guest Editors:</w:t>
            </w:r>
            <w:r w:rsidRPr="00243A66">
              <w:rPr>
                <w:rFonts w:ascii="Tahoma" w:hAnsi="Tahoma" w:cs="Tahoma"/>
                <w:color w:val="000000"/>
                <w:sz w:val="14"/>
                <w:szCs w:val="14"/>
                <w:shd w:val="clear" w:color="auto" w:fill="FFFFFF"/>
              </w:rPr>
              <w:t xml:space="preserve"> </w:t>
            </w:r>
          </w:p>
          <w:p w14:paraId="1B0F1814" w14:textId="1E7F1DDE" w:rsidR="000A03B2" w:rsidRPr="00243A66" w:rsidRDefault="006A6ACE" w:rsidP="00AA7D26">
            <w:pPr>
              <w:tabs>
                <w:tab w:val="left" w:pos="-108"/>
              </w:tabs>
              <w:spacing w:line="140" w:lineRule="atLeast"/>
              <w:ind w:left="-107"/>
              <w:jc w:val="left"/>
            </w:pPr>
            <w:r w:rsidRPr="00243A66">
              <w:rPr>
                <w:rFonts w:ascii="Tahoma" w:hAnsi="Tahoma" w:cs="Tahoma"/>
                <w:iCs/>
                <w:color w:val="333333"/>
                <w:sz w:val="14"/>
                <w:szCs w:val="14"/>
                <w:lang w:eastAsia="it-IT"/>
              </w:rPr>
              <w:t>Copyright © 2025, AIDIC Servizi S.r.l.</w:t>
            </w:r>
            <w:r w:rsidRPr="00243A66">
              <w:rPr>
                <w:rFonts w:ascii="Tahoma" w:hAnsi="Tahoma" w:cs="Tahoma"/>
                <w:iCs/>
                <w:color w:val="333333"/>
                <w:sz w:val="14"/>
                <w:szCs w:val="14"/>
                <w:lang w:eastAsia="it-IT"/>
              </w:rPr>
              <w:br/>
            </w:r>
            <w:r w:rsidRPr="00243A66">
              <w:rPr>
                <w:rFonts w:ascii="Tahoma" w:hAnsi="Tahoma" w:cs="Tahoma"/>
                <w:b/>
                <w:iCs/>
                <w:color w:val="000000"/>
                <w:sz w:val="14"/>
                <w:szCs w:val="14"/>
                <w:lang w:eastAsia="it-IT"/>
              </w:rPr>
              <w:t>ISBN</w:t>
            </w:r>
            <w:r w:rsidRPr="00243A66">
              <w:rPr>
                <w:rFonts w:ascii="Tahoma" w:hAnsi="Tahoma" w:cs="Tahoma"/>
                <w:iCs/>
                <w:color w:val="000000"/>
                <w:sz w:val="14"/>
                <w:szCs w:val="14"/>
                <w:lang w:eastAsia="it-IT"/>
              </w:rPr>
              <w:t xml:space="preserve"> </w:t>
            </w:r>
            <w:r w:rsidRPr="00243A66">
              <w:rPr>
                <w:rFonts w:ascii="Tahoma" w:hAnsi="Tahoma" w:cs="Tahoma"/>
                <w:sz w:val="14"/>
                <w:szCs w:val="14"/>
              </w:rPr>
              <w:t>979-12-81206-XX-X</w:t>
            </w:r>
            <w:r w:rsidRPr="00243A66">
              <w:rPr>
                <w:rFonts w:ascii="Tahoma" w:hAnsi="Tahoma" w:cs="Tahoma"/>
                <w:iCs/>
                <w:color w:val="333333"/>
                <w:sz w:val="14"/>
                <w:szCs w:val="14"/>
                <w:lang w:eastAsia="it-IT"/>
              </w:rPr>
              <w:t xml:space="preserve">; </w:t>
            </w:r>
            <w:r w:rsidRPr="00243A66">
              <w:rPr>
                <w:rFonts w:ascii="Tahoma" w:hAnsi="Tahoma" w:cs="Tahoma"/>
                <w:b/>
                <w:iCs/>
                <w:color w:val="333333"/>
                <w:sz w:val="14"/>
                <w:szCs w:val="14"/>
                <w:lang w:eastAsia="it-IT"/>
              </w:rPr>
              <w:t>ISSN</w:t>
            </w:r>
            <w:r w:rsidRPr="00243A66">
              <w:rPr>
                <w:rFonts w:ascii="Tahoma" w:hAnsi="Tahoma" w:cs="Tahoma"/>
                <w:iCs/>
                <w:color w:val="333333"/>
                <w:sz w:val="14"/>
                <w:szCs w:val="14"/>
                <w:lang w:eastAsia="it-IT"/>
              </w:rPr>
              <w:t xml:space="preserve"> 2283-9216</w:t>
            </w:r>
          </w:p>
        </w:tc>
      </w:tr>
    </w:tbl>
    <w:p w14:paraId="2E667253" w14:textId="02183744" w:rsidR="00E978D0" w:rsidRPr="00243A66" w:rsidRDefault="00830CB4" w:rsidP="00E978D0">
      <w:pPr>
        <w:pStyle w:val="CETTitle"/>
      </w:pPr>
      <w:r w:rsidRPr="00243A66">
        <w:t xml:space="preserve">Effect of Acid Concentration on the Yield, Surface Functionality, and Adsorption Capacity of Activated Hydrochars from Apple Tree Pruning </w:t>
      </w:r>
      <w:r w:rsidR="00BC782F" w:rsidRPr="00243A66">
        <w:t xml:space="preserve"> </w:t>
      </w:r>
    </w:p>
    <w:p w14:paraId="0488FED2" w14:textId="53253F66" w:rsidR="00B57E6F" w:rsidRPr="00867CB4" w:rsidRDefault="00453C59" w:rsidP="00B57E6F">
      <w:pPr>
        <w:pStyle w:val="CETAuthors"/>
        <w:rPr>
          <w:noProof w:val="0"/>
          <w:lang w:val="es-ES"/>
        </w:rPr>
      </w:pPr>
      <w:r w:rsidRPr="00867CB4">
        <w:rPr>
          <w:noProof w:val="0"/>
          <w:lang w:val="es-ES"/>
        </w:rPr>
        <w:t xml:space="preserve">Ameni </w:t>
      </w:r>
      <w:r w:rsidR="009812FC" w:rsidRPr="00867CB4">
        <w:rPr>
          <w:noProof w:val="0"/>
          <w:lang w:val="es-ES"/>
        </w:rPr>
        <w:t xml:space="preserve">Ben-Salah, </w:t>
      </w:r>
      <w:r w:rsidR="00507B41" w:rsidRPr="00867CB4">
        <w:rPr>
          <w:noProof w:val="0"/>
          <w:lang w:val="es-ES"/>
        </w:rPr>
        <w:t>María Gonzalez-Alriols</w:t>
      </w:r>
      <w:r w:rsidR="009F2260" w:rsidRPr="00867CB4">
        <w:rPr>
          <w:noProof w:val="0"/>
          <w:lang w:val="es-ES"/>
        </w:rPr>
        <w:t>,</w:t>
      </w:r>
      <w:r w:rsidR="009F2260" w:rsidRPr="00867CB4">
        <w:rPr>
          <w:noProof w:val="0"/>
          <w:vertAlign w:val="superscript"/>
          <w:lang w:val="es-ES"/>
        </w:rPr>
        <w:t xml:space="preserve"> </w:t>
      </w:r>
      <w:r w:rsidR="00A859B6" w:rsidRPr="00867CB4">
        <w:rPr>
          <w:noProof w:val="0"/>
          <w:lang w:val="es-ES"/>
        </w:rPr>
        <w:t xml:space="preserve">M. </w:t>
      </w:r>
      <w:r w:rsidRPr="00867CB4">
        <w:rPr>
          <w:noProof w:val="0"/>
          <w:lang w:val="es-ES"/>
        </w:rPr>
        <w:t>M</w:t>
      </w:r>
      <w:r w:rsidR="00507B41" w:rsidRPr="00867CB4">
        <w:rPr>
          <w:noProof w:val="0"/>
          <w:lang w:val="es-ES"/>
        </w:rPr>
        <w:t>irari</w:t>
      </w:r>
      <w:r w:rsidRPr="00867CB4">
        <w:rPr>
          <w:noProof w:val="0"/>
          <w:lang w:val="es-ES"/>
        </w:rPr>
        <w:t xml:space="preserve"> </w:t>
      </w:r>
      <w:r w:rsidR="009812FC" w:rsidRPr="00867CB4">
        <w:rPr>
          <w:noProof w:val="0"/>
          <w:lang w:val="es-ES"/>
        </w:rPr>
        <w:t>Antxustegi</w:t>
      </w:r>
      <w:r w:rsidR="00B57E6F" w:rsidRPr="00867CB4">
        <w:rPr>
          <w:noProof w:val="0"/>
          <w:lang w:val="es-ES"/>
        </w:rPr>
        <w:t xml:space="preserve">* </w:t>
      </w:r>
    </w:p>
    <w:p w14:paraId="3D72B0B0" w14:textId="040919C0" w:rsidR="00B57E6F" w:rsidRPr="00243A66" w:rsidRDefault="00100F60" w:rsidP="00B57E6F">
      <w:pPr>
        <w:pStyle w:val="CETAddress"/>
        <w:rPr>
          <w:noProof w:val="0"/>
        </w:rPr>
      </w:pPr>
      <w:r>
        <w:rPr>
          <w:noProof w:val="0"/>
        </w:rPr>
        <w:t>Biorefinery Processes Research Group (BioRP), Chemical and Environmental Engineering Department, University of the Basque Country (</w:t>
      </w:r>
      <w:r w:rsidR="3B12110C">
        <w:rPr>
          <w:noProof w:val="0"/>
        </w:rPr>
        <w:t>UPV/</w:t>
      </w:r>
      <w:r>
        <w:rPr>
          <w:noProof w:val="0"/>
        </w:rPr>
        <w:t xml:space="preserve">EHU), Avda. Otaola 29, 20600, Eibar, Spain </w:t>
      </w:r>
      <w:r w:rsidR="00B57E6F">
        <w:rPr>
          <w:noProof w:val="0"/>
        </w:rPr>
        <w:t xml:space="preserve"> </w:t>
      </w:r>
    </w:p>
    <w:p w14:paraId="325C1225" w14:textId="26A7C169" w:rsidR="00681460" w:rsidRPr="00243A66" w:rsidRDefault="00286766" w:rsidP="00681460">
      <w:pPr>
        <w:pStyle w:val="CETemail"/>
        <w:rPr>
          <w:noProof w:val="0"/>
        </w:rPr>
      </w:pPr>
      <w:r w:rsidRPr="00243A66">
        <w:rPr>
          <w:noProof w:val="0"/>
        </w:rPr>
        <w:t>m</w:t>
      </w:r>
      <w:r w:rsidR="00507B41" w:rsidRPr="00243A66">
        <w:rPr>
          <w:noProof w:val="0"/>
        </w:rPr>
        <w:t>irari</w:t>
      </w:r>
      <w:r w:rsidRPr="00243A66">
        <w:rPr>
          <w:noProof w:val="0"/>
        </w:rPr>
        <w:t>.</w:t>
      </w:r>
      <w:r w:rsidR="00507B41" w:rsidRPr="00243A66">
        <w:rPr>
          <w:noProof w:val="0"/>
        </w:rPr>
        <w:t>antxustegi</w:t>
      </w:r>
      <w:r w:rsidRPr="00243A66">
        <w:rPr>
          <w:noProof w:val="0"/>
        </w:rPr>
        <w:t>@ehu.eus</w:t>
      </w:r>
    </w:p>
    <w:p w14:paraId="5856CD9D" w14:textId="06A0FFAD" w:rsidR="00C776B6" w:rsidRPr="00243A66" w:rsidRDefault="00DB6872" w:rsidP="008D4ACC">
      <w:pPr>
        <w:pStyle w:val="CETBodytext"/>
        <w:rPr>
          <w:lang w:val="en-GB"/>
        </w:rPr>
      </w:pPr>
      <w:bookmarkStart w:id="0" w:name="_Hlk495475023"/>
      <w:r w:rsidRPr="00DB6872">
        <w:rPr>
          <w:lang w:val="en-GB"/>
        </w:rPr>
        <w:t>Hydrothermal carbonisation (HTC) is an efficient route to convert lignocellulosic residues into carbon</w:t>
      </w:r>
      <w:r w:rsidRPr="00DB6872">
        <w:rPr>
          <w:rFonts w:ascii="Cambria Math" w:hAnsi="Cambria Math" w:cs="Cambria Math"/>
          <w:lang w:val="en-GB"/>
        </w:rPr>
        <w:t>‑</w:t>
      </w:r>
      <w:r w:rsidRPr="00DB6872">
        <w:rPr>
          <w:lang w:val="en-GB"/>
        </w:rPr>
        <w:t>rich materials for environmental applications. This work evaluates the influence of phosphoric acid (H</w:t>
      </w:r>
      <w:r w:rsidRPr="00DB6872">
        <w:rPr>
          <w:rFonts w:ascii="Cambria Math" w:hAnsi="Cambria Math" w:cs="Cambria Math"/>
          <w:lang w:val="en-GB"/>
        </w:rPr>
        <w:t>₃</w:t>
      </w:r>
      <w:r w:rsidRPr="00DB6872">
        <w:rPr>
          <w:lang w:val="en-GB"/>
        </w:rPr>
        <w:t>PO</w:t>
      </w:r>
      <w:r w:rsidRPr="00DB6872">
        <w:rPr>
          <w:rFonts w:ascii="Cambria Math" w:hAnsi="Cambria Math" w:cs="Cambria Math"/>
          <w:lang w:val="en-GB"/>
        </w:rPr>
        <w:t>₄</w:t>
      </w:r>
      <w:r w:rsidRPr="00DB6872">
        <w:rPr>
          <w:lang w:val="en-GB"/>
        </w:rPr>
        <w:t>) concentration (2.5 and 5 M) on the yield, surface properties, and methylene blue (MB) adsorption capacity of activated hydrochars (AHCs) produced from apple tree pruning. HTC was conducted at 200 °C for 24 h followed by activation at 450 °C. The AHC obtained using 2.5 M H</w:t>
      </w:r>
      <w:r w:rsidRPr="00DB6872">
        <w:rPr>
          <w:rFonts w:ascii="Cambria Math" w:hAnsi="Cambria Math" w:cs="Cambria Math"/>
          <w:lang w:val="en-GB"/>
        </w:rPr>
        <w:t>₃</w:t>
      </w:r>
      <w:r w:rsidRPr="00DB6872">
        <w:rPr>
          <w:lang w:val="en-GB"/>
        </w:rPr>
        <w:t>PO</w:t>
      </w:r>
      <w:r w:rsidRPr="00DB6872">
        <w:rPr>
          <w:rFonts w:ascii="Cambria Math" w:hAnsi="Cambria Math" w:cs="Cambria Math"/>
          <w:lang w:val="en-GB"/>
        </w:rPr>
        <w:t>₄</w:t>
      </w:r>
      <w:r w:rsidRPr="00DB6872">
        <w:rPr>
          <w:lang w:val="en-GB"/>
        </w:rPr>
        <w:t xml:space="preserve"> developed a markedly higher specific surface area (1,343</w:t>
      </w:r>
      <w:r w:rsidRPr="00DB6872">
        <w:rPr>
          <w:rFonts w:cs="Arial"/>
          <w:lang w:val="en-GB"/>
        </w:rPr>
        <w:t> </w:t>
      </w:r>
      <w:r w:rsidRPr="00DB6872">
        <w:rPr>
          <w:lang w:val="en-GB"/>
        </w:rPr>
        <w:t>m</w:t>
      </w:r>
      <w:r w:rsidRPr="00DB6872">
        <w:rPr>
          <w:rFonts w:cs="Arial"/>
          <w:lang w:val="en-GB"/>
        </w:rPr>
        <w:t>²</w:t>
      </w:r>
      <w:r w:rsidRPr="00DB6872">
        <w:rPr>
          <w:lang w:val="en-GB"/>
        </w:rPr>
        <w:t>/g) and micropore volume (0.591 cm³/g) compared with the 5 M sample (468 m²/g and 0.346 cm³/g, respectively), while also exhibiting a narrower average pore width (1.76 vs. 2.95 nm). These structural differences translated into significantly enhanced MB adsorption performance, with the 2.5 M material achieving the highest adsorption ratio and removal efficiency under the tested conditions. Ultimate analysis further confirmed stronger deoxygenation and carbon enrichment at 2.5 M (C = 76.7 wt%, O/C = 0.26) relative to 5 M (C = 53.4 wt%, O/C = 0.78). Overall, the results demonstrate that moderate H</w:t>
      </w:r>
      <w:r w:rsidRPr="00DB6872">
        <w:rPr>
          <w:rFonts w:ascii="Cambria Math" w:hAnsi="Cambria Math" w:cs="Cambria Math"/>
          <w:lang w:val="en-GB"/>
        </w:rPr>
        <w:t>₃</w:t>
      </w:r>
      <w:r w:rsidRPr="00DB6872">
        <w:rPr>
          <w:lang w:val="en-GB"/>
        </w:rPr>
        <w:t>PO</w:t>
      </w:r>
      <w:r w:rsidRPr="00DB6872">
        <w:rPr>
          <w:rFonts w:ascii="Cambria Math" w:hAnsi="Cambria Math" w:cs="Cambria Math"/>
          <w:lang w:val="en-GB"/>
        </w:rPr>
        <w:t>₄</w:t>
      </w:r>
      <w:r w:rsidRPr="00DB6872">
        <w:rPr>
          <w:lang w:val="en-GB"/>
        </w:rPr>
        <w:t xml:space="preserve"> loading optimises microporosity and functionalisation, yielding superior adsorbents for wastewater treatment.</w:t>
      </w:r>
    </w:p>
    <w:bookmarkEnd w:id="0"/>
    <w:p w14:paraId="476B2F2E" w14:textId="77777777" w:rsidR="00600535" w:rsidRPr="00243A66" w:rsidRDefault="00600535" w:rsidP="00600535">
      <w:pPr>
        <w:pStyle w:val="CETHeading1"/>
        <w:rPr>
          <w:lang w:val="en-GB"/>
        </w:rPr>
      </w:pPr>
      <w:r w:rsidRPr="00243A66">
        <w:rPr>
          <w:lang w:val="en-GB"/>
        </w:rPr>
        <w:t>Introduction</w:t>
      </w:r>
    </w:p>
    <w:p w14:paraId="23F86FEF" w14:textId="4381D457" w:rsidR="00600535" w:rsidRPr="00243A66" w:rsidRDefault="006106A2" w:rsidP="006106A2">
      <w:pPr>
        <w:pStyle w:val="CETBodytext"/>
        <w:rPr>
          <w:lang w:val="en-GB"/>
        </w:rPr>
      </w:pPr>
      <w:r w:rsidRPr="00243A66">
        <w:rPr>
          <w:lang w:val="en-GB"/>
        </w:rPr>
        <w:t>The growing global energy demand and environmental concerns have intensified the search for sustainable technologies capable of valori</w:t>
      </w:r>
      <w:r w:rsidR="009F30A2" w:rsidRPr="00243A66">
        <w:rPr>
          <w:lang w:val="en-GB"/>
        </w:rPr>
        <w:t>s</w:t>
      </w:r>
      <w:r w:rsidRPr="00243A66">
        <w:rPr>
          <w:lang w:val="en-GB"/>
        </w:rPr>
        <w:t>ing biomass into high-value products (Petrović et al., 2024). Lignocellulosic biomass, abundant and renewable, represents a promising feedstock for producing carbon-rich materials that can serve as biofuels, adsorbents, and precursors for advanced applications in energy and environmental remediation (Ighalo et al., 2025). Among the thermochemical conversion processes, HT</w:t>
      </w:r>
      <w:r w:rsidR="00EA6E8E" w:rsidRPr="00243A66">
        <w:rPr>
          <w:lang w:val="en-GB"/>
        </w:rPr>
        <w:t>C</w:t>
      </w:r>
      <w:r w:rsidRPr="00243A66">
        <w:rPr>
          <w:lang w:val="en-GB"/>
        </w:rPr>
        <w:t xml:space="preserve"> has emerged as an efficient and eco-friendly method for transforming wet biomass under subcritical water conditions (180–260 °C, 2–10 MPa), eliminating the need for energy-intensive drying steps (Khandelwal et al., 2024). HTC mimics natural coalification but accelerates the process, producing </w:t>
      </w:r>
      <w:r w:rsidR="00EA6E8E" w:rsidRPr="00243A66">
        <w:rPr>
          <w:lang w:val="en-GB"/>
        </w:rPr>
        <w:t>HC</w:t>
      </w:r>
      <w:r w:rsidRPr="00243A66">
        <w:rPr>
          <w:lang w:val="en-GB"/>
        </w:rPr>
        <w:t xml:space="preserve"> with tailored physicochemical properties through dehydration, decarboxylation, and polymerization reactions (Sathish &amp; Saraswat, 2024).</w:t>
      </w:r>
      <w:r w:rsidR="001C3B7A" w:rsidRPr="00243A66">
        <w:rPr>
          <w:lang w:val="en-GB"/>
        </w:rPr>
        <w:t xml:space="preserve"> </w:t>
      </w:r>
      <w:r w:rsidRPr="00243A66">
        <w:rPr>
          <w:lang w:val="en-GB"/>
        </w:rPr>
        <w:t xml:space="preserve">Recent studies have demonstrated that chemical activation and surface modification of </w:t>
      </w:r>
      <w:r w:rsidR="00EA6E8E" w:rsidRPr="00243A66">
        <w:rPr>
          <w:lang w:val="en-GB"/>
        </w:rPr>
        <w:t>H</w:t>
      </w:r>
      <w:r w:rsidR="00645902" w:rsidRPr="00243A66">
        <w:rPr>
          <w:lang w:val="en-GB"/>
        </w:rPr>
        <w:t>C</w:t>
      </w:r>
      <w:r w:rsidRPr="00243A66">
        <w:rPr>
          <w:lang w:val="en-GB"/>
        </w:rPr>
        <w:t>s significantly enhance their adsorption capacity for organic pollutants and heavy metals, expanding their applicability in wastewater treatment and environmental remediation (Sivaranjanee et al., 2023). Acid activation, particularly with phosphoric acid (H</w:t>
      </w:r>
      <w:r w:rsidRPr="00243A66">
        <w:rPr>
          <w:rFonts w:ascii="Cambria Math" w:hAnsi="Cambria Math" w:cs="Cambria Math"/>
          <w:lang w:val="en-GB"/>
        </w:rPr>
        <w:t>₃</w:t>
      </w:r>
      <w:r w:rsidRPr="00243A66">
        <w:rPr>
          <w:lang w:val="en-GB"/>
        </w:rPr>
        <w:t>PO</w:t>
      </w:r>
      <w:r w:rsidRPr="00243A66">
        <w:rPr>
          <w:rFonts w:ascii="Cambria Math" w:hAnsi="Cambria Math" w:cs="Cambria Math"/>
          <w:lang w:val="en-GB"/>
        </w:rPr>
        <w:t>₄</w:t>
      </w:r>
      <w:r w:rsidRPr="00243A66">
        <w:rPr>
          <w:lang w:val="en-GB"/>
        </w:rPr>
        <w:t xml:space="preserve">), has proven effective in developing porous structures and introducing oxygen-containing functional groups, which improve adsorption performance for dyes such as methylene blue (Supee &amp; Zaini, 2024). Furthermore, HTC-derived </w:t>
      </w:r>
      <w:r w:rsidR="00645902" w:rsidRPr="00243A66">
        <w:rPr>
          <w:lang w:val="en-GB"/>
        </w:rPr>
        <w:t>HC</w:t>
      </w:r>
      <w:r w:rsidRPr="00243A66">
        <w:rPr>
          <w:lang w:val="en-GB"/>
        </w:rPr>
        <w:t>s exhibit potential for integration into energy systems, either as solid biofuels or as feedstock for gasification, contributing to cleaner energy generation (Prifti et al., 2021). Despite these advantages, the influence of process parameters—such as acid concentration, temp</w:t>
      </w:r>
      <w:r w:rsidR="00CB428B" w:rsidRPr="00243A66">
        <w:rPr>
          <w:lang w:val="en-GB"/>
        </w:rPr>
        <w:t xml:space="preserve">erature, and residence time—on </w:t>
      </w:r>
      <w:r w:rsidR="00645902" w:rsidRPr="00243A66">
        <w:rPr>
          <w:lang w:val="en-GB"/>
        </w:rPr>
        <w:t>HC</w:t>
      </w:r>
      <w:r w:rsidRPr="00243A66">
        <w:rPr>
          <w:lang w:val="en-GB"/>
        </w:rPr>
        <w:t xml:space="preserve"> properties remains a critical research area. Understanding these relationships is essential for designing application-specific materials that meet the requirements of energy storage, pollutant removal, and carbon sequestration (Vásquez Llanosa et al., 2024). This study addresses this gap by investigating the effect of </w:t>
      </w:r>
      <w:r w:rsidR="00703F4F" w:rsidRPr="00243A66">
        <w:rPr>
          <w:lang w:val="en-GB"/>
        </w:rPr>
        <w:t>H</w:t>
      </w:r>
      <w:r w:rsidR="00703F4F" w:rsidRPr="00243A66">
        <w:rPr>
          <w:rFonts w:ascii="Cambria Math" w:hAnsi="Cambria Math" w:cs="Cambria Math"/>
          <w:lang w:val="en-GB"/>
        </w:rPr>
        <w:t>₃</w:t>
      </w:r>
      <w:r w:rsidR="00703F4F" w:rsidRPr="00243A66">
        <w:rPr>
          <w:lang w:val="en-GB"/>
        </w:rPr>
        <w:t>PO</w:t>
      </w:r>
      <w:r w:rsidR="00703F4F" w:rsidRPr="00243A66">
        <w:rPr>
          <w:rFonts w:ascii="Cambria Math" w:hAnsi="Cambria Math" w:cs="Cambria Math"/>
          <w:lang w:val="en-GB"/>
        </w:rPr>
        <w:t>₄</w:t>
      </w:r>
      <w:r w:rsidR="00703F4F" w:rsidRPr="00243A66">
        <w:rPr>
          <w:lang w:val="en-GB"/>
        </w:rPr>
        <w:t xml:space="preserve"> </w:t>
      </w:r>
      <w:r w:rsidRPr="00243A66">
        <w:rPr>
          <w:lang w:val="en-GB"/>
        </w:rPr>
        <w:t xml:space="preserve">concentration on the yield, surface characteristics, and adsorption performance of </w:t>
      </w:r>
      <w:r w:rsidR="00645902" w:rsidRPr="00243A66">
        <w:rPr>
          <w:lang w:val="en-GB"/>
        </w:rPr>
        <w:t>HCs</w:t>
      </w:r>
      <w:r w:rsidRPr="00243A66">
        <w:rPr>
          <w:lang w:val="en-GB"/>
        </w:rPr>
        <w:t xml:space="preserve"> derived from </w:t>
      </w:r>
      <w:r w:rsidR="00CB428B" w:rsidRPr="00243A66">
        <w:rPr>
          <w:lang w:val="en-GB"/>
        </w:rPr>
        <w:t>AP</w:t>
      </w:r>
      <w:r w:rsidRPr="00243A66">
        <w:rPr>
          <w:lang w:val="en-GB"/>
        </w:rPr>
        <w:t>, aiming to optimize HTC conditi</w:t>
      </w:r>
      <w:r w:rsidR="0016510C" w:rsidRPr="00243A66">
        <w:rPr>
          <w:lang w:val="en-GB"/>
        </w:rPr>
        <w:t>ons for environmental</w:t>
      </w:r>
      <w:r w:rsidRPr="00243A66">
        <w:rPr>
          <w:lang w:val="en-GB"/>
        </w:rPr>
        <w:t xml:space="preserve">-related applications. </w:t>
      </w:r>
    </w:p>
    <w:p w14:paraId="5741900F" w14:textId="5746238B" w:rsidR="00453E24" w:rsidRPr="00243A66" w:rsidRDefault="001434AE" w:rsidP="00453E24">
      <w:pPr>
        <w:pStyle w:val="CETHeading1"/>
        <w:rPr>
          <w:lang w:val="en-GB"/>
        </w:rPr>
      </w:pPr>
      <w:r w:rsidRPr="00243A66">
        <w:rPr>
          <w:lang w:val="en-GB"/>
        </w:rPr>
        <w:lastRenderedPageBreak/>
        <w:t>Materials and methods</w:t>
      </w:r>
    </w:p>
    <w:p w14:paraId="09406386" w14:textId="404B1DB7" w:rsidR="00453E24" w:rsidRDefault="00D30CAD" w:rsidP="00057D82">
      <w:pPr>
        <w:pStyle w:val="CETBodytext"/>
        <w:rPr>
          <w:lang w:val="en-GB"/>
        </w:rPr>
      </w:pPr>
      <w:r w:rsidRPr="00243A66">
        <w:rPr>
          <w:lang w:val="en-GB"/>
        </w:rPr>
        <w:t xml:space="preserve">In this work, </w:t>
      </w:r>
      <w:r w:rsidR="00703F4F" w:rsidRPr="00243A66">
        <w:rPr>
          <w:lang w:val="en-GB"/>
        </w:rPr>
        <w:t>AP</w:t>
      </w:r>
      <w:r w:rsidRPr="00243A66">
        <w:rPr>
          <w:lang w:val="en-GB"/>
        </w:rPr>
        <w:t xml:space="preserve"> was used as waste lignocellulosic biomass to prepare P-rich </w:t>
      </w:r>
      <w:r w:rsidR="00CB428B" w:rsidRPr="00243A66">
        <w:rPr>
          <w:lang w:val="en-GB"/>
        </w:rPr>
        <w:t>A</w:t>
      </w:r>
      <w:r w:rsidR="00F66A40" w:rsidRPr="00243A66">
        <w:rPr>
          <w:lang w:val="en-GB"/>
        </w:rPr>
        <w:t>HC</w:t>
      </w:r>
      <w:r w:rsidR="00CB428B" w:rsidRPr="00243A66">
        <w:rPr>
          <w:lang w:val="en-GB"/>
        </w:rPr>
        <w:t>s</w:t>
      </w:r>
      <w:r w:rsidRPr="00243A66">
        <w:rPr>
          <w:lang w:val="en-GB"/>
        </w:rPr>
        <w:t xml:space="preserve">, by mixing 1 g of substrate with 4 g of a solution of </w:t>
      </w:r>
      <w:r w:rsidR="00703F4F" w:rsidRPr="00243A66">
        <w:rPr>
          <w:lang w:val="en-GB"/>
        </w:rPr>
        <w:t>H</w:t>
      </w:r>
      <w:r w:rsidR="00703F4F" w:rsidRPr="00243A66">
        <w:rPr>
          <w:rFonts w:ascii="Cambria Math" w:hAnsi="Cambria Math" w:cs="Cambria Math"/>
          <w:lang w:val="en-GB"/>
        </w:rPr>
        <w:t>₃</w:t>
      </w:r>
      <w:r w:rsidR="00703F4F" w:rsidRPr="00243A66">
        <w:rPr>
          <w:lang w:val="en-GB"/>
        </w:rPr>
        <w:t>PO</w:t>
      </w:r>
      <w:r w:rsidR="00703F4F" w:rsidRPr="00243A66">
        <w:rPr>
          <w:rFonts w:ascii="Cambria Math" w:hAnsi="Cambria Math" w:cs="Cambria Math"/>
          <w:lang w:val="en-GB"/>
        </w:rPr>
        <w:t>₄</w:t>
      </w:r>
      <w:r w:rsidR="00703F4F" w:rsidRPr="00243A66">
        <w:rPr>
          <w:lang w:val="en-GB"/>
        </w:rPr>
        <w:t xml:space="preserve"> </w:t>
      </w:r>
      <w:r w:rsidRPr="00243A66">
        <w:rPr>
          <w:lang w:val="en-GB"/>
        </w:rPr>
        <w:t>wi</w:t>
      </w:r>
      <w:r w:rsidR="00CB428B" w:rsidRPr="00243A66">
        <w:rPr>
          <w:lang w:val="en-GB"/>
        </w:rPr>
        <w:t>th different concentrations (</w:t>
      </w:r>
      <w:r w:rsidRPr="00243A66">
        <w:rPr>
          <w:lang w:val="en-GB"/>
        </w:rPr>
        <w:t>2.5 and 5M) in a 50 mL stainless steel reactor, at 200ºC for 24h</w:t>
      </w:r>
      <w:r w:rsidR="00057D82" w:rsidRPr="00243A66">
        <w:rPr>
          <w:lang w:val="en-GB"/>
        </w:rPr>
        <w:t>. Then, an activation stage was performed in a horizontal tube furnace under N</w:t>
      </w:r>
      <w:r w:rsidR="00057D82" w:rsidRPr="00243A66">
        <w:rPr>
          <w:vertAlign w:val="subscript"/>
          <w:lang w:val="en-GB"/>
        </w:rPr>
        <w:t>2</w:t>
      </w:r>
      <w:r w:rsidR="00057D82" w:rsidRPr="00243A66">
        <w:rPr>
          <w:lang w:val="en-GB"/>
        </w:rPr>
        <w:t xml:space="preserve"> atmosphere with a heating rate of 20 K/min up to 450 ºC. Samples were kept at 450 ºC for 2h before cooling down under </w:t>
      </w:r>
      <w:r w:rsidR="00703F4F" w:rsidRPr="00243A66">
        <w:rPr>
          <w:lang w:val="en-GB"/>
        </w:rPr>
        <w:t>N</w:t>
      </w:r>
      <w:r w:rsidR="00703F4F" w:rsidRPr="00243A66">
        <w:rPr>
          <w:vertAlign w:val="subscript"/>
          <w:lang w:val="en-GB"/>
        </w:rPr>
        <w:t>2</w:t>
      </w:r>
      <w:r w:rsidR="00057D82" w:rsidRPr="00243A66">
        <w:rPr>
          <w:lang w:val="en-GB"/>
        </w:rPr>
        <w:t xml:space="preserve">. After the chemical activation, samples were washed with deionized water until neutral pH and dried at 105 ºC for 12 h </w:t>
      </w:r>
      <w:r w:rsidRPr="00243A66">
        <w:rPr>
          <w:lang w:val="en-GB"/>
        </w:rPr>
        <w:t>(Figure 1).</w:t>
      </w:r>
      <w:r w:rsidR="00CB428B" w:rsidRPr="00243A66">
        <w:rPr>
          <w:lang w:val="en-GB"/>
        </w:rPr>
        <w:t xml:space="preserve"> Two</w:t>
      </w:r>
      <w:r w:rsidR="00057D82" w:rsidRPr="00243A66">
        <w:rPr>
          <w:lang w:val="en-GB"/>
        </w:rPr>
        <w:t xml:space="preserve"> samples were produced and characterized, one treated with a 2.5 M</w:t>
      </w:r>
      <w:r w:rsidR="00703F4F" w:rsidRPr="00243A66">
        <w:rPr>
          <w:lang w:val="en-GB"/>
        </w:rPr>
        <w:t xml:space="preserve"> H</w:t>
      </w:r>
      <w:r w:rsidR="00703F4F" w:rsidRPr="00243A66">
        <w:rPr>
          <w:rFonts w:ascii="Cambria Math" w:hAnsi="Cambria Math" w:cs="Cambria Math"/>
          <w:lang w:val="en-GB"/>
        </w:rPr>
        <w:t>₃</w:t>
      </w:r>
      <w:r w:rsidR="00703F4F" w:rsidRPr="00243A66">
        <w:rPr>
          <w:lang w:val="en-GB"/>
        </w:rPr>
        <w:t>PO</w:t>
      </w:r>
      <w:r w:rsidR="00703F4F" w:rsidRPr="00243A66">
        <w:rPr>
          <w:rFonts w:ascii="Cambria Math" w:hAnsi="Cambria Math" w:cs="Cambria Math"/>
          <w:lang w:val="en-GB"/>
        </w:rPr>
        <w:t>₄</w:t>
      </w:r>
      <w:r w:rsidR="00703F4F" w:rsidRPr="00243A66">
        <w:rPr>
          <w:lang w:val="en-GB"/>
        </w:rPr>
        <w:t xml:space="preserve"> solution </w:t>
      </w:r>
      <w:r w:rsidR="00057D82" w:rsidRPr="00243A66">
        <w:rPr>
          <w:lang w:val="en-GB"/>
        </w:rPr>
        <w:t>(AP-</w:t>
      </w:r>
      <w:r w:rsidR="00A04A6D" w:rsidRPr="00243A66">
        <w:rPr>
          <w:lang w:val="en-GB"/>
        </w:rPr>
        <w:t>A</w:t>
      </w:r>
      <w:r w:rsidR="00CB428B" w:rsidRPr="00243A66">
        <w:rPr>
          <w:lang w:val="en-GB"/>
        </w:rPr>
        <w:t>HC-P2.5) and the other</w:t>
      </w:r>
      <w:r w:rsidR="00057D82" w:rsidRPr="00243A66">
        <w:rPr>
          <w:lang w:val="en-GB"/>
        </w:rPr>
        <w:t xml:space="preserve"> one treated wi</w:t>
      </w:r>
      <w:r w:rsidR="00703F4F" w:rsidRPr="00243A66">
        <w:rPr>
          <w:lang w:val="en-GB"/>
        </w:rPr>
        <w:t>th a 5 M H</w:t>
      </w:r>
      <w:r w:rsidR="00703F4F" w:rsidRPr="00243A66">
        <w:rPr>
          <w:rFonts w:ascii="Cambria Math" w:hAnsi="Cambria Math" w:cs="Cambria Math"/>
          <w:lang w:val="en-GB"/>
        </w:rPr>
        <w:t>₃</w:t>
      </w:r>
      <w:r w:rsidR="00703F4F" w:rsidRPr="00243A66">
        <w:rPr>
          <w:lang w:val="en-GB"/>
        </w:rPr>
        <w:t>PO</w:t>
      </w:r>
      <w:r w:rsidR="00703F4F" w:rsidRPr="00243A66">
        <w:rPr>
          <w:rFonts w:ascii="Cambria Math" w:hAnsi="Cambria Math" w:cs="Cambria Math"/>
          <w:lang w:val="en-GB"/>
        </w:rPr>
        <w:t>₄</w:t>
      </w:r>
      <w:r w:rsidR="00703F4F" w:rsidRPr="00243A66">
        <w:rPr>
          <w:lang w:val="en-GB"/>
        </w:rPr>
        <w:t xml:space="preserve"> solution</w:t>
      </w:r>
      <w:r w:rsidR="00057D82" w:rsidRPr="00243A66">
        <w:rPr>
          <w:lang w:val="en-GB"/>
        </w:rPr>
        <w:t xml:space="preserve"> (AP-</w:t>
      </w:r>
      <w:r w:rsidR="00A04A6D" w:rsidRPr="00243A66">
        <w:rPr>
          <w:lang w:val="en-GB"/>
        </w:rPr>
        <w:t>A</w:t>
      </w:r>
      <w:r w:rsidR="00057D82" w:rsidRPr="00243A66">
        <w:rPr>
          <w:lang w:val="en-GB"/>
        </w:rPr>
        <w:t>HC-P5).</w:t>
      </w:r>
    </w:p>
    <w:p w14:paraId="1CBFBF4A" w14:textId="77777777" w:rsidR="00867CB4" w:rsidRPr="00243A66" w:rsidRDefault="00867CB4" w:rsidP="00057D82">
      <w:pPr>
        <w:pStyle w:val="CETBodytext"/>
        <w:rPr>
          <w:lang w:val="en-GB"/>
        </w:rPr>
      </w:pPr>
    </w:p>
    <w:p w14:paraId="51916EEC" w14:textId="0C906C97" w:rsidR="001E35B1" w:rsidRPr="00243A66" w:rsidRDefault="00867CB4" w:rsidP="006E0E7E">
      <w:pPr>
        <w:pStyle w:val="CETBodytext"/>
        <w:jc w:val="left"/>
        <w:rPr>
          <w:lang w:val="en-GB"/>
        </w:rPr>
      </w:pPr>
      <w:r>
        <w:rPr>
          <w:noProof/>
          <w:lang w:val="es-ES" w:eastAsia="es-ES"/>
        </w:rPr>
        <w:drawing>
          <wp:inline distT="0" distB="0" distL="0" distR="0" wp14:anchorId="15FAC6E4" wp14:editId="7B9C9F3C">
            <wp:extent cx="5606143" cy="2032780"/>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4004" cy="2053760"/>
                    </a:xfrm>
                    <a:prstGeom prst="rect">
                      <a:avLst/>
                    </a:prstGeom>
                    <a:noFill/>
                  </pic:spPr>
                </pic:pic>
              </a:graphicData>
            </a:graphic>
          </wp:inline>
        </w:drawing>
      </w:r>
    </w:p>
    <w:p w14:paraId="34FEAA5E" w14:textId="14110EC3" w:rsidR="006E0E7E" w:rsidRPr="00243A66" w:rsidRDefault="006E0E7E" w:rsidP="0FA749F8">
      <w:pPr>
        <w:pStyle w:val="CETBodytext"/>
        <w:jc w:val="left"/>
        <w:rPr>
          <w:rStyle w:val="CETCaptionCarattere"/>
          <w:lang w:val="en-US"/>
        </w:rPr>
      </w:pPr>
      <w:r w:rsidRPr="0FA749F8">
        <w:rPr>
          <w:rStyle w:val="CETCaptionCarattere"/>
          <w:lang w:val="en-US"/>
        </w:rPr>
        <w:t>Figure 1: Experimental procedure for the production of activated hydrochar.</w:t>
      </w:r>
    </w:p>
    <w:p w14:paraId="550767A1" w14:textId="77777777" w:rsidR="0048667C" w:rsidRPr="00243A66" w:rsidRDefault="0048667C" w:rsidP="0048667C">
      <w:pPr>
        <w:pStyle w:val="CETheadingx"/>
        <w:rPr>
          <w:lang w:val="en-GB"/>
        </w:rPr>
      </w:pPr>
      <w:r w:rsidRPr="00243A66">
        <w:rPr>
          <w:lang w:val="en-GB"/>
        </w:rPr>
        <w:t>Adsorption experiments</w:t>
      </w:r>
    </w:p>
    <w:p w14:paraId="181F8121" w14:textId="25E830E9" w:rsidR="0048667C" w:rsidRPr="00243A66" w:rsidRDefault="0048667C" w:rsidP="0048667C">
      <w:pPr>
        <w:pStyle w:val="CETBodytext"/>
        <w:rPr>
          <w:lang w:val="en-GB"/>
        </w:rPr>
      </w:pPr>
      <w:r w:rsidRPr="00243A66">
        <w:rPr>
          <w:lang w:val="en-GB"/>
        </w:rPr>
        <w:t>Adsorption tests were carried out</w:t>
      </w:r>
      <w:r w:rsidR="00312A95" w:rsidRPr="00243A66">
        <w:rPr>
          <w:lang w:val="en-GB"/>
        </w:rPr>
        <w:t xml:space="preserve"> under previously optimised conditions (Antxustegi et al., 2022). </w:t>
      </w:r>
      <w:r w:rsidRPr="00243A66">
        <w:rPr>
          <w:lang w:val="en-GB"/>
        </w:rPr>
        <w:t xml:space="preserve">The absorbance and concentration values of MB were related with a calibration curve and results expressed as: </w:t>
      </w:r>
    </w:p>
    <w:p w14:paraId="0BA98936" w14:textId="77777777" w:rsidR="0048667C" w:rsidRPr="00243A66" w:rsidRDefault="00B1149E" w:rsidP="0048667C">
      <w:pPr>
        <w:pStyle w:val="CETBodytext"/>
        <w:spacing w:before="120" w:after="120"/>
        <w:rPr>
          <w:lang w:val="en-GB"/>
        </w:rPr>
      </w:pPr>
      <m:oMath>
        <m:sSub>
          <m:sSubPr>
            <m:ctrlPr>
              <w:rPr>
                <w:rFonts w:ascii="Cambria Math" w:hAnsi="Cambria Math" w:cs="Arial"/>
                <w:i/>
                <w:sz w:val="24"/>
                <w:szCs w:val="24"/>
                <w:lang w:val="en-GB"/>
              </w:rPr>
            </m:ctrlPr>
          </m:sSubPr>
          <m:e>
            <m:r>
              <w:rPr>
                <w:rFonts w:ascii="Cambria Math" w:hAnsi="Cambria Math" w:cs="Arial"/>
                <w:sz w:val="24"/>
                <w:szCs w:val="24"/>
                <w:lang w:val="en-GB"/>
              </w:rPr>
              <m:t>Q</m:t>
            </m:r>
          </m:e>
          <m:sub>
            <m:r>
              <w:rPr>
                <w:rFonts w:ascii="Cambria Math" w:hAnsi="Cambria Math" w:cs="Arial"/>
                <w:sz w:val="24"/>
                <w:szCs w:val="24"/>
                <w:lang w:val="en-GB"/>
              </w:rPr>
              <m:t>e</m:t>
            </m:r>
          </m:sub>
        </m:sSub>
        <m:r>
          <w:rPr>
            <w:rFonts w:ascii="Cambria Math" w:hAnsi="Cambria Math" w:cs="Arial"/>
            <w:sz w:val="24"/>
            <w:szCs w:val="24"/>
            <w:lang w:val="en-GB"/>
          </w:rPr>
          <m:t xml:space="preserve">= </m:t>
        </m:r>
        <m:f>
          <m:fPr>
            <m:ctrlPr>
              <w:rPr>
                <w:rFonts w:ascii="Cambria Math" w:hAnsi="Cambria Math" w:cs="Arial"/>
                <w:i/>
                <w:sz w:val="24"/>
                <w:szCs w:val="24"/>
                <w:lang w:val="en-GB"/>
              </w:rPr>
            </m:ctrlPr>
          </m:fPr>
          <m:num>
            <m:d>
              <m:dPr>
                <m:ctrlPr>
                  <w:rPr>
                    <w:rFonts w:ascii="Cambria Math" w:hAnsi="Cambria Math" w:cs="Arial"/>
                    <w:i/>
                    <w:sz w:val="24"/>
                    <w:szCs w:val="24"/>
                    <w:lang w:val="en-GB"/>
                  </w:rPr>
                </m:ctrlPr>
              </m:dPr>
              <m:e>
                <m:sSub>
                  <m:sSubPr>
                    <m:ctrlPr>
                      <w:rPr>
                        <w:rFonts w:ascii="Cambria Math" w:hAnsi="Cambria Math" w:cs="Arial"/>
                        <w:i/>
                        <w:sz w:val="24"/>
                        <w:szCs w:val="24"/>
                        <w:lang w:val="en-GB"/>
                      </w:rPr>
                    </m:ctrlPr>
                  </m:sSubPr>
                  <m:e>
                    <m:r>
                      <w:rPr>
                        <w:rFonts w:ascii="Cambria Math" w:hAnsi="Cambria Math" w:cs="Arial"/>
                        <w:sz w:val="24"/>
                        <w:szCs w:val="24"/>
                        <w:lang w:val="en-GB"/>
                      </w:rPr>
                      <m:t>C</m:t>
                    </m:r>
                  </m:e>
                  <m:sub>
                    <m:r>
                      <w:rPr>
                        <w:rFonts w:ascii="Cambria Math" w:hAnsi="Cambria Math" w:cs="Arial"/>
                        <w:sz w:val="24"/>
                        <w:szCs w:val="24"/>
                        <w:lang w:val="en-GB"/>
                      </w:rPr>
                      <m:t>0</m:t>
                    </m:r>
                  </m:sub>
                </m:sSub>
                <m:r>
                  <w:rPr>
                    <w:rFonts w:ascii="Cambria Math" w:hAnsi="Cambria Math" w:cs="Arial"/>
                    <w:sz w:val="24"/>
                    <w:szCs w:val="24"/>
                    <w:lang w:val="en-GB"/>
                  </w:rPr>
                  <m:t>-</m:t>
                </m:r>
                <m:sSub>
                  <m:sSubPr>
                    <m:ctrlPr>
                      <w:rPr>
                        <w:rFonts w:ascii="Cambria Math" w:hAnsi="Cambria Math" w:cs="Arial"/>
                        <w:i/>
                        <w:sz w:val="24"/>
                        <w:szCs w:val="24"/>
                        <w:lang w:val="en-GB"/>
                      </w:rPr>
                    </m:ctrlPr>
                  </m:sSubPr>
                  <m:e>
                    <m:r>
                      <w:rPr>
                        <w:rFonts w:ascii="Cambria Math" w:hAnsi="Cambria Math" w:cs="Arial"/>
                        <w:sz w:val="24"/>
                        <w:szCs w:val="24"/>
                        <w:lang w:val="en-GB"/>
                      </w:rPr>
                      <m:t>C</m:t>
                    </m:r>
                  </m:e>
                  <m:sub>
                    <m:r>
                      <w:rPr>
                        <w:rFonts w:ascii="Cambria Math" w:hAnsi="Cambria Math" w:cs="Arial"/>
                        <w:sz w:val="24"/>
                        <w:szCs w:val="24"/>
                        <w:lang w:val="en-GB"/>
                      </w:rPr>
                      <m:t>eq</m:t>
                    </m:r>
                  </m:sub>
                </m:sSub>
              </m:e>
            </m:d>
          </m:num>
          <m:den>
            <m:r>
              <w:rPr>
                <w:rFonts w:ascii="Cambria Math" w:hAnsi="Cambria Math" w:cs="Arial"/>
                <w:sz w:val="24"/>
                <w:szCs w:val="24"/>
                <w:lang w:val="en-GB"/>
              </w:rPr>
              <m:t>m·V</m:t>
            </m:r>
          </m:den>
        </m:f>
      </m:oMath>
      <w:r w:rsidR="0048667C" w:rsidRPr="00243A66">
        <w:rPr>
          <w:rFonts w:cs="Arial"/>
          <w:lang w:val="en-GB"/>
        </w:rPr>
        <w:tab/>
      </w:r>
      <w:r w:rsidR="0048667C" w:rsidRPr="00243A66">
        <w:rPr>
          <w:lang w:val="en-GB"/>
        </w:rPr>
        <w:t>Adsorption-ratio (mg</w:t>
      </w:r>
      <w:r w:rsidR="0048667C" w:rsidRPr="00243A66">
        <w:rPr>
          <w:vertAlign w:val="subscript"/>
          <w:lang w:val="en-GB"/>
        </w:rPr>
        <w:t>MB</w:t>
      </w:r>
      <w:r w:rsidR="0048667C" w:rsidRPr="00243A66">
        <w:rPr>
          <w:lang w:val="en-GB"/>
        </w:rPr>
        <w:t xml:space="preserve"> adsorbed/g</w:t>
      </w:r>
      <w:r w:rsidR="0048667C" w:rsidRPr="00243A66">
        <w:rPr>
          <w:vertAlign w:val="subscript"/>
          <w:lang w:val="en-GB"/>
        </w:rPr>
        <w:t>bio-char</w:t>
      </w:r>
      <w:r w:rsidR="0048667C" w:rsidRPr="00243A66">
        <w:rPr>
          <w:lang w:val="en-GB"/>
        </w:rPr>
        <w:t>)</w:t>
      </w:r>
      <w:r w:rsidR="0048667C" w:rsidRPr="00243A66">
        <w:rPr>
          <w:i/>
          <w:lang w:val="en-GB"/>
        </w:rPr>
        <w:tab/>
      </w:r>
      <w:r w:rsidR="0048667C" w:rsidRPr="00243A66">
        <w:rPr>
          <w:lang w:val="en-GB"/>
        </w:rPr>
        <w:t>Eq. 1</w:t>
      </w:r>
    </w:p>
    <w:p w14:paraId="02019544" w14:textId="77777777" w:rsidR="0048667C" w:rsidRPr="00243A66" w:rsidRDefault="0048667C" w:rsidP="0048667C">
      <w:pPr>
        <w:pStyle w:val="CETBodytext"/>
        <w:spacing w:before="120" w:after="120"/>
        <w:rPr>
          <w:lang w:val="en-GB"/>
        </w:rPr>
      </w:pPr>
      <m:oMath>
        <m:r>
          <w:rPr>
            <w:rFonts w:ascii="Cambria Math" w:hAnsi="Cambria Math" w:cs="Arial"/>
            <w:sz w:val="24"/>
            <w:szCs w:val="24"/>
            <w:lang w:val="en-GB"/>
          </w:rPr>
          <m:t xml:space="preserve">E= </m:t>
        </m:r>
        <m:f>
          <m:fPr>
            <m:ctrlPr>
              <w:rPr>
                <w:rFonts w:ascii="Cambria Math" w:hAnsi="Cambria Math" w:cs="Arial"/>
                <w:i/>
                <w:sz w:val="24"/>
                <w:szCs w:val="24"/>
                <w:lang w:val="en-GB"/>
              </w:rPr>
            </m:ctrlPr>
          </m:fPr>
          <m:num>
            <m:d>
              <m:dPr>
                <m:ctrlPr>
                  <w:rPr>
                    <w:rFonts w:ascii="Cambria Math" w:hAnsi="Cambria Math" w:cs="Arial"/>
                    <w:i/>
                    <w:sz w:val="24"/>
                    <w:szCs w:val="24"/>
                    <w:lang w:val="en-GB"/>
                  </w:rPr>
                </m:ctrlPr>
              </m:dPr>
              <m:e>
                <m:sSub>
                  <m:sSubPr>
                    <m:ctrlPr>
                      <w:rPr>
                        <w:rFonts w:ascii="Cambria Math" w:hAnsi="Cambria Math" w:cs="Arial"/>
                        <w:i/>
                        <w:sz w:val="24"/>
                        <w:szCs w:val="24"/>
                        <w:lang w:val="en-GB"/>
                      </w:rPr>
                    </m:ctrlPr>
                  </m:sSubPr>
                  <m:e>
                    <m:r>
                      <w:rPr>
                        <w:rFonts w:ascii="Cambria Math" w:hAnsi="Cambria Math" w:cs="Arial"/>
                        <w:sz w:val="24"/>
                        <w:szCs w:val="24"/>
                        <w:lang w:val="en-GB"/>
                      </w:rPr>
                      <m:t>C</m:t>
                    </m:r>
                  </m:e>
                  <m:sub>
                    <m:r>
                      <w:rPr>
                        <w:rFonts w:ascii="Cambria Math" w:hAnsi="Cambria Math" w:cs="Arial"/>
                        <w:sz w:val="24"/>
                        <w:szCs w:val="24"/>
                        <w:lang w:val="en-GB"/>
                      </w:rPr>
                      <m:t>0</m:t>
                    </m:r>
                  </m:sub>
                </m:sSub>
                <m:r>
                  <w:rPr>
                    <w:rFonts w:ascii="Cambria Math" w:hAnsi="Cambria Math" w:cs="Arial"/>
                    <w:sz w:val="24"/>
                    <w:szCs w:val="24"/>
                    <w:lang w:val="en-GB"/>
                  </w:rPr>
                  <m:t>-</m:t>
                </m:r>
                <m:sSub>
                  <m:sSubPr>
                    <m:ctrlPr>
                      <w:rPr>
                        <w:rFonts w:ascii="Cambria Math" w:hAnsi="Cambria Math" w:cs="Arial"/>
                        <w:i/>
                        <w:sz w:val="24"/>
                        <w:szCs w:val="24"/>
                        <w:lang w:val="en-GB"/>
                      </w:rPr>
                    </m:ctrlPr>
                  </m:sSubPr>
                  <m:e>
                    <m:r>
                      <w:rPr>
                        <w:rFonts w:ascii="Cambria Math" w:hAnsi="Cambria Math" w:cs="Arial"/>
                        <w:sz w:val="24"/>
                        <w:szCs w:val="24"/>
                        <w:lang w:val="en-GB"/>
                      </w:rPr>
                      <m:t>C</m:t>
                    </m:r>
                  </m:e>
                  <m:sub>
                    <m:r>
                      <w:rPr>
                        <w:rFonts w:ascii="Cambria Math" w:hAnsi="Cambria Math" w:cs="Arial"/>
                        <w:sz w:val="24"/>
                        <w:szCs w:val="24"/>
                        <w:lang w:val="en-GB"/>
                      </w:rPr>
                      <m:t>eq</m:t>
                    </m:r>
                  </m:sub>
                </m:sSub>
              </m:e>
            </m:d>
          </m:num>
          <m:den>
            <m:r>
              <w:rPr>
                <w:rFonts w:ascii="Cambria Math" w:hAnsi="Cambria Math" w:cs="Arial"/>
                <w:sz w:val="24"/>
                <w:szCs w:val="24"/>
                <w:lang w:val="en-GB"/>
              </w:rPr>
              <m:t>m</m:t>
            </m:r>
            <m:sSub>
              <m:sSubPr>
                <m:ctrlPr>
                  <w:rPr>
                    <w:rFonts w:ascii="Cambria Math" w:hAnsi="Cambria Math" w:cs="Arial"/>
                    <w:i/>
                    <w:sz w:val="24"/>
                    <w:szCs w:val="24"/>
                    <w:lang w:val="en-GB"/>
                  </w:rPr>
                </m:ctrlPr>
              </m:sSubPr>
              <m:e>
                <m:r>
                  <w:rPr>
                    <w:rFonts w:ascii="Cambria Math" w:hAnsi="Cambria Math" w:cs="Arial"/>
                    <w:sz w:val="24"/>
                    <w:szCs w:val="24"/>
                    <w:lang w:val="en-GB"/>
                  </w:rPr>
                  <m:t>C</m:t>
                </m:r>
              </m:e>
              <m:sub>
                <m:r>
                  <w:rPr>
                    <w:rFonts w:ascii="Cambria Math" w:hAnsi="Cambria Math" w:cs="Arial"/>
                    <w:sz w:val="24"/>
                    <w:szCs w:val="24"/>
                    <w:lang w:val="en-GB"/>
                  </w:rPr>
                  <m:t>0</m:t>
                </m:r>
              </m:sub>
            </m:sSub>
            <m:r>
              <w:rPr>
                <w:rFonts w:ascii="Cambria Math" w:hAnsi="Cambria Math" w:cs="Arial"/>
                <w:sz w:val="24"/>
                <w:szCs w:val="24"/>
                <w:lang w:val="en-GB"/>
              </w:rPr>
              <m:t>·100</m:t>
            </m:r>
          </m:den>
        </m:f>
      </m:oMath>
      <w:r w:rsidRPr="00243A66">
        <w:rPr>
          <w:lang w:val="en-GB"/>
        </w:rPr>
        <w:t xml:space="preserve">                                                    MB removal (%)</w:t>
      </w:r>
      <w:r w:rsidRPr="00243A66">
        <w:rPr>
          <w:lang w:val="en-GB"/>
        </w:rPr>
        <w:tab/>
        <w:t xml:space="preserve">             </w:t>
      </w:r>
      <w:r w:rsidRPr="00243A66">
        <w:rPr>
          <w:lang w:val="en-GB"/>
        </w:rPr>
        <w:tab/>
        <w:t>Eq. 2</w:t>
      </w:r>
    </w:p>
    <w:p w14:paraId="11C81178" w14:textId="1D21BBDC" w:rsidR="0048667C" w:rsidRPr="00243A66" w:rsidRDefault="0048667C" w:rsidP="0048667C">
      <w:pPr>
        <w:pStyle w:val="CETBodytext"/>
        <w:rPr>
          <w:lang w:val="en-GB"/>
        </w:rPr>
      </w:pPr>
      <w:r w:rsidRPr="00243A66">
        <w:rPr>
          <w:lang w:val="en-GB"/>
        </w:rPr>
        <w:t>C</w:t>
      </w:r>
      <w:r w:rsidRPr="00243A66">
        <w:rPr>
          <w:vertAlign w:val="subscript"/>
          <w:lang w:val="en-GB"/>
        </w:rPr>
        <w:t>0</w:t>
      </w:r>
      <w:r w:rsidRPr="00243A66">
        <w:rPr>
          <w:lang w:val="en-GB"/>
        </w:rPr>
        <w:t>: initial conc</w:t>
      </w:r>
      <w:r w:rsidR="005716C3">
        <w:rPr>
          <w:lang w:val="en-GB"/>
        </w:rPr>
        <w:t>.</w:t>
      </w:r>
      <w:r w:rsidRPr="00243A66">
        <w:rPr>
          <w:lang w:val="en-GB"/>
        </w:rPr>
        <w:t xml:space="preserve"> (mg MB/L); C</w:t>
      </w:r>
      <w:r w:rsidRPr="00243A66">
        <w:rPr>
          <w:vertAlign w:val="subscript"/>
          <w:lang w:val="en-GB"/>
        </w:rPr>
        <w:t>eq</w:t>
      </w:r>
      <w:r w:rsidRPr="00243A66">
        <w:rPr>
          <w:lang w:val="en-GB"/>
        </w:rPr>
        <w:t>: final or equilibrium conc</w:t>
      </w:r>
      <w:r w:rsidR="005716C3">
        <w:rPr>
          <w:lang w:val="en-GB"/>
        </w:rPr>
        <w:t>.</w:t>
      </w:r>
      <w:r w:rsidRPr="00243A66">
        <w:rPr>
          <w:lang w:val="en-GB"/>
        </w:rPr>
        <w:t xml:space="preserve"> (mg MB/L); m: BC mass (g); V: solution bulk (L).</w:t>
      </w:r>
    </w:p>
    <w:p w14:paraId="677EBFF0" w14:textId="11701D50" w:rsidR="00600535" w:rsidRPr="00243A66" w:rsidRDefault="006E0E7E" w:rsidP="00600535">
      <w:pPr>
        <w:pStyle w:val="CETHeading1"/>
        <w:tabs>
          <w:tab w:val="clear" w:pos="360"/>
          <w:tab w:val="right" w:pos="7100"/>
        </w:tabs>
        <w:jc w:val="both"/>
        <w:rPr>
          <w:lang w:val="en-GB"/>
        </w:rPr>
      </w:pPr>
      <w:r w:rsidRPr="00243A66">
        <w:rPr>
          <w:lang w:val="en-GB"/>
        </w:rPr>
        <w:t>Results</w:t>
      </w:r>
    </w:p>
    <w:p w14:paraId="04963A06" w14:textId="752E4BE9" w:rsidR="00600535" w:rsidRPr="00243A66" w:rsidRDefault="006E0E7E" w:rsidP="00FA5F5F">
      <w:pPr>
        <w:pStyle w:val="CETheadingx"/>
        <w:rPr>
          <w:lang w:val="en-GB"/>
        </w:rPr>
      </w:pPr>
      <w:r w:rsidRPr="00243A66">
        <w:rPr>
          <w:bCs/>
          <w:lang w:val="en-GB"/>
        </w:rPr>
        <w:t>Ultimate analysis</w:t>
      </w:r>
    </w:p>
    <w:p w14:paraId="1217F181" w14:textId="711CCE76" w:rsidR="00347D32" w:rsidRPr="00243A66" w:rsidRDefault="006E0E7E" w:rsidP="006E0E7E">
      <w:pPr>
        <w:pStyle w:val="CETBodytext"/>
        <w:rPr>
          <w:lang w:val="en-GB"/>
        </w:rPr>
      </w:pPr>
      <w:r w:rsidRPr="00243A66">
        <w:rPr>
          <w:lang w:val="en-GB"/>
        </w:rPr>
        <w:t xml:space="preserve">The ultimate analysis of the </w:t>
      </w:r>
      <w:r w:rsidR="00CB428B" w:rsidRPr="00243A66">
        <w:rPr>
          <w:lang w:val="en-GB"/>
        </w:rPr>
        <w:t>AHC samples</w:t>
      </w:r>
      <w:r w:rsidRPr="00243A66">
        <w:rPr>
          <w:lang w:val="en-GB"/>
        </w:rPr>
        <w:t xml:space="preserve"> </w:t>
      </w:r>
      <w:r w:rsidR="00B25EE7" w:rsidRPr="00243A66">
        <w:rPr>
          <w:lang w:val="en-GB"/>
        </w:rPr>
        <w:t>is</w:t>
      </w:r>
      <w:r w:rsidR="00347D32" w:rsidRPr="00243A66">
        <w:rPr>
          <w:lang w:val="en-GB"/>
        </w:rPr>
        <w:t xml:space="preserve"> presented in </w:t>
      </w:r>
      <w:r w:rsidR="00E224C1" w:rsidRPr="00243A66">
        <w:rPr>
          <w:lang w:val="en-GB"/>
        </w:rPr>
        <w:t>Table 1</w:t>
      </w:r>
      <w:r w:rsidR="00347D32" w:rsidRPr="00243A66">
        <w:rPr>
          <w:lang w:val="en-GB"/>
        </w:rPr>
        <w:t>. Raw AP has the typical lignocellulosic signature (moderate C, relatively high O and H). After AHTC, both samples are more carbon</w:t>
      </w:r>
      <w:r w:rsidR="00347D32" w:rsidRPr="00243A66">
        <w:rPr>
          <w:rFonts w:ascii="Cambria Math" w:hAnsi="Cambria Math" w:cs="Cambria Math"/>
          <w:lang w:val="en-GB"/>
        </w:rPr>
        <w:t>‑</w:t>
      </w:r>
      <w:r w:rsidR="00347D32" w:rsidRPr="00243A66">
        <w:rPr>
          <w:lang w:val="en-GB"/>
        </w:rPr>
        <w:t>rich and dehydrogenated than the raw biomass. AP</w:t>
      </w:r>
      <w:r w:rsidR="00347D32" w:rsidRPr="00243A66">
        <w:rPr>
          <w:rFonts w:ascii="Cambria Math" w:hAnsi="Cambria Math" w:cs="Cambria Math"/>
          <w:lang w:val="en-GB"/>
        </w:rPr>
        <w:t>‑</w:t>
      </w:r>
      <w:r w:rsidR="00347D32" w:rsidRPr="00243A66">
        <w:rPr>
          <w:lang w:val="en-GB"/>
        </w:rPr>
        <w:t>AHC</w:t>
      </w:r>
      <w:r w:rsidR="00347D32" w:rsidRPr="00243A66">
        <w:rPr>
          <w:rFonts w:ascii="Cambria Math" w:hAnsi="Cambria Math" w:cs="Cambria Math"/>
          <w:lang w:val="en-GB"/>
        </w:rPr>
        <w:t>‑</w:t>
      </w:r>
      <w:r w:rsidR="00347D32" w:rsidRPr="00243A66">
        <w:rPr>
          <w:lang w:val="en-GB"/>
        </w:rPr>
        <w:t>P2.5 is markedly enriched in C (76.7</w:t>
      </w:r>
      <w:r w:rsidR="00347D32" w:rsidRPr="00243A66">
        <w:rPr>
          <w:rFonts w:cs="Arial"/>
          <w:lang w:val="en-GB"/>
        </w:rPr>
        <w:t> </w:t>
      </w:r>
      <w:r w:rsidR="003D403C" w:rsidRPr="00243A66">
        <w:rPr>
          <w:lang w:val="en-GB"/>
        </w:rPr>
        <w:t>wt.</w:t>
      </w:r>
      <w:r w:rsidR="00347D32" w:rsidRPr="00243A66">
        <w:rPr>
          <w:lang w:val="en-GB"/>
        </w:rPr>
        <w:t>%) and depleted in O (19.8 </w:t>
      </w:r>
      <w:r w:rsidR="003D403C" w:rsidRPr="00243A66">
        <w:rPr>
          <w:lang w:val="en-GB"/>
        </w:rPr>
        <w:t>wt.</w:t>
      </w:r>
      <w:r w:rsidR="00347D32" w:rsidRPr="00243A66">
        <w:rPr>
          <w:lang w:val="en-GB"/>
        </w:rPr>
        <w:t>%) and H (0.38 </w:t>
      </w:r>
      <w:r w:rsidR="008F09CE" w:rsidRPr="00243A66">
        <w:rPr>
          <w:lang w:val="en-GB"/>
        </w:rPr>
        <w:t>wt.</w:t>
      </w:r>
      <w:r w:rsidR="00347D32" w:rsidRPr="00243A66">
        <w:rPr>
          <w:lang w:val="en-GB"/>
        </w:rPr>
        <w:t>%), yielding very low O/C (0.26) and H/C (0.005). In contrast, AP</w:t>
      </w:r>
      <w:r w:rsidR="00347D32" w:rsidRPr="00243A66">
        <w:rPr>
          <w:rFonts w:ascii="Cambria Math" w:hAnsi="Cambria Math" w:cs="Cambria Math"/>
          <w:lang w:val="en-GB"/>
        </w:rPr>
        <w:t>‑</w:t>
      </w:r>
      <w:r w:rsidR="00347D32" w:rsidRPr="00243A66">
        <w:rPr>
          <w:lang w:val="en-GB"/>
        </w:rPr>
        <w:t>AHC</w:t>
      </w:r>
      <w:r w:rsidR="00347D32" w:rsidRPr="00243A66">
        <w:rPr>
          <w:rFonts w:ascii="Cambria Math" w:hAnsi="Cambria Math" w:cs="Cambria Math"/>
          <w:lang w:val="en-GB"/>
        </w:rPr>
        <w:t>‑</w:t>
      </w:r>
      <w:r w:rsidR="00347D32" w:rsidRPr="00243A66">
        <w:rPr>
          <w:lang w:val="en-GB"/>
        </w:rPr>
        <w:t>P5 shows lower C (53.4 </w:t>
      </w:r>
      <w:r w:rsidR="003D403C" w:rsidRPr="00243A66">
        <w:rPr>
          <w:lang w:val="en-GB"/>
        </w:rPr>
        <w:t>wt.</w:t>
      </w:r>
      <w:r w:rsidR="00347D32" w:rsidRPr="00243A66">
        <w:rPr>
          <w:lang w:val="en-GB"/>
        </w:rPr>
        <w:t>%) and higher O (41.5 </w:t>
      </w:r>
      <w:r w:rsidR="003D403C" w:rsidRPr="00243A66">
        <w:rPr>
          <w:lang w:val="en-GB"/>
        </w:rPr>
        <w:t>wt.</w:t>
      </w:r>
      <w:r w:rsidR="00347D32" w:rsidRPr="00243A66">
        <w:rPr>
          <w:lang w:val="en-GB"/>
        </w:rPr>
        <w:t>%) and H (2.33 </w:t>
      </w:r>
      <w:r w:rsidR="008F09CE" w:rsidRPr="00243A66">
        <w:rPr>
          <w:lang w:val="en-GB"/>
        </w:rPr>
        <w:t>wt.</w:t>
      </w:r>
      <w:r w:rsidR="00347D32" w:rsidRPr="00243A66">
        <w:rPr>
          <w:lang w:val="en-GB"/>
        </w:rPr>
        <w:t xml:space="preserve">%), with higher O/C (0.78) and H/C (0.04). </w:t>
      </w:r>
    </w:p>
    <w:p w14:paraId="7442D12D" w14:textId="5018FC60" w:rsidR="006E0E7E" w:rsidRPr="00243A66" w:rsidRDefault="006E0E7E" w:rsidP="006E0E7E">
      <w:pPr>
        <w:pStyle w:val="CETTabletitle"/>
      </w:pPr>
      <w:r w:rsidRPr="00243A66">
        <w:t>Table 1: Ultimate analysis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418"/>
        <w:gridCol w:w="1134"/>
      </w:tblGrid>
      <w:tr w:rsidR="00CB428B" w:rsidRPr="00243A66" w14:paraId="6C6B15CB" w14:textId="69F29CDB" w:rsidTr="000B05DA">
        <w:tc>
          <w:tcPr>
            <w:tcW w:w="1134" w:type="dxa"/>
            <w:tcBorders>
              <w:top w:val="single" w:sz="12" w:space="0" w:color="008000"/>
              <w:bottom w:val="single" w:sz="6" w:space="0" w:color="008000"/>
            </w:tcBorders>
            <w:shd w:val="clear" w:color="auto" w:fill="FFFFFF"/>
          </w:tcPr>
          <w:p w14:paraId="425FA1BC" w14:textId="04E0FEB7" w:rsidR="00CB428B" w:rsidRPr="00243A66" w:rsidRDefault="00CB428B" w:rsidP="006E0E7E">
            <w:pPr>
              <w:pStyle w:val="CETBodytext"/>
              <w:rPr>
                <w:lang w:val="en-GB"/>
              </w:rPr>
            </w:pPr>
            <w:r w:rsidRPr="00243A66">
              <w:rPr>
                <w:lang w:val="en-GB"/>
              </w:rPr>
              <w:t> </w:t>
            </w:r>
          </w:p>
        </w:tc>
        <w:tc>
          <w:tcPr>
            <w:tcW w:w="1134" w:type="dxa"/>
            <w:tcBorders>
              <w:top w:val="single" w:sz="12" w:space="0" w:color="008000"/>
              <w:bottom w:val="single" w:sz="6" w:space="0" w:color="008000"/>
            </w:tcBorders>
            <w:shd w:val="clear" w:color="auto" w:fill="FFFFFF"/>
          </w:tcPr>
          <w:p w14:paraId="69CC82D5" w14:textId="5FEB1568" w:rsidR="00CB428B" w:rsidRPr="00243A66" w:rsidRDefault="00CB428B" w:rsidP="006E0E7E">
            <w:pPr>
              <w:pStyle w:val="CETBodytext"/>
              <w:rPr>
                <w:b/>
                <w:lang w:val="en-GB"/>
              </w:rPr>
            </w:pPr>
            <w:r w:rsidRPr="00243A66">
              <w:rPr>
                <w:b/>
                <w:lang w:val="en-GB"/>
              </w:rPr>
              <w:t> </w:t>
            </w:r>
          </w:p>
        </w:tc>
        <w:tc>
          <w:tcPr>
            <w:tcW w:w="1134" w:type="dxa"/>
            <w:tcBorders>
              <w:top w:val="single" w:sz="12" w:space="0" w:color="008000"/>
              <w:bottom w:val="single" w:sz="6" w:space="0" w:color="008000"/>
            </w:tcBorders>
            <w:shd w:val="clear" w:color="auto" w:fill="FFFFFF"/>
          </w:tcPr>
          <w:p w14:paraId="65C427E7" w14:textId="3893F814" w:rsidR="00CB428B" w:rsidRPr="00243A66" w:rsidRDefault="00CB428B" w:rsidP="006E0E7E">
            <w:pPr>
              <w:pStyle w:val="CETBodytext"/>
              <w:rPr>
                <w:lang w:val="en-GB"/>
              </w:rPr>
            </w:pPr>
            <w:r w:rsidRPr="00243A66">
              <w:rPr>
                <w:b/>
                <w:bCs/>
                <w:lang w:val="en-GB"/>
              </w:rPr>
              <w:t>AP</w:t>
            </w:r>
          </w:p>
        </w:tc>
        <w:tc>
          <w:tcPr>
            <w:tcW w:w="1418" w:type="dxa"/>
            <w:tcBorders>
              <w:top w:val="single" w:sz="12" w:space="0" w:color="008000"/>
              <w:bottom w:val="single" w:sz="6" w:space="0" w:color="008000"/>
            </w:tcBorders>
            <w:shd w:val="clear" w:color="auto" w:fill="FFFFFF"/>
          </w:tcPr>
          <w:p w14:paraId="44AD17E2" w14:textId="22C1168A" w:rsidR="00CB428B" w:rsidRPr="00243A66" w:rsidRDefault="00CB428B" w:rsidP="006E0E7E">
            <w:pPr>
              <w:pStyle w:val="CETBodytext"/>
              <w:ind w:right="-1"/>
              <w:rPr>
                <w:rFonts w:cs="Arial"/>
                <w:szCs w:val="18"/>
                <w:lang w:val="en-GB"/>
              </w:rPr>
            </w:pPr>
            <w:r w:rsidRPr="00243A66">
              <w:rPr>
                <w:b/>
                <w:bCs/>
                <w:lang w:val="en-GB"/>
              </w:rPr>
              <w:t>AP-AHC-P2.5</w:t>
            </w:r>
          </w:p>
        </w:tc>
        <w:tc>
          <w:tcPr>
            <w:tcW w:w="1134" w:type="dxa"/>
            <w:tcBorders>
              <w:top w:val="single" w:sz="12" w:space="0" w:color="008000"/>
              <w:bottom w:val="single" w:sz="6" w:space="0" w:color="008000"/>
            </w:tcBorders>
            <w:shd w:val="clear" w:color="auto" w:fill="FFFFFF"/>
          </w:tcPr>
          <w:p w14:paraId="5A46E279" w14:textId="60084230" w:rsidR="00CB428B" w:rsidRPr="00243A66" w:rsidRDefault="00CB428B" w:rsidP="006E0E7E">
            <w:pPr>
              <w:pStyle w:val="CETBodytext"/>
              <w:ind w:right="-1"/>
              <w:rPr>
                <w:rFonts w:cs="Arial"/>
                <w:szCs w:val="18"/>
                <w:lang w:val="en-GB"/>
              </w:rPr>
            </w:pPr>
            <w:r w:rsidRPr="00243A66">
              <w:rPr>
                <w:b/>
                <w:bCs/>
                <w:lang w:val="en-GB"/>
              </w:rPr>
              <w:t>AP-AHC-P5</w:t>
            </w:r>
          </w:p>
        </w:tc>
      </w:tr>
      <w:tr w:rsidR="00CB428B" w:rsidRPr="00243A66" w14:paraId="343B97E8" w14:textId="761C0EED" w:rsidTr="000B05DA">
        <w:tc>
          <w:tcPr>
            <w:tcW w:w="1134" w:type="dxa"/>
            <w:shd w:val="clear" w:color="auto" w:fill="FFFFFF"/>
          </w:tcPr>
          <w:p w14:paraId="44B1E048" w14:textId="77777777" w:rsidR="00CB428B" w:rsidRPr="00243A66" w:rsidRDefault="00CB428B" w:rsidP="00D30CAD">
            <w:pPr>
              <w:pStyle w:val="CETBodytext"/>
              <w:ind w:right="-1"/>
              <w:rPr>
                <w:b/>
                <w:bCs/>
                <w:lang w:val="en-GB"/>
              </w:rPr>
            </w:pPr>
            <w:r w:rsidRPr="00243A66">
              <w:rPr>
                <w:b/>
                <w:bCs/>
                <w:lang w:val="en-GB"/>
              </w:rPr>
              <w:t>Ultimate analysis</w:t>
            </w:r>
          </w:p>
          <w:p w14:paraId="633004C8" w14:textId="7FF019B2" w:rsidR="00CB428B" w:rsidRPr="00243A66" w:rsidRDefault="00CB428B" w:rsidP="00D30CAD">
            <w:pPr>
              <w:pStyle w:val="CETBodytext"/>
              <w:rPr>
                <w:lang w:val="en-GB"/>
              </w:rPr>
            </w:pPr>
            <w:r w:rsidRPr="00243A66">
              <w:rPr>
                <w:lang w:val="en-GB"/>
              </w:rPr>
              <w:t>(wt.%)</w:t>
            </w:r>
          </w:p>
        </w:tc>
        <w:tc>
          <w:tcPr>
            <w:tcW w:w="1134" w:type="dxa"/>
            <w:tcBorders>
              <w:top w:val="single" w:sz="6" w:space="0" w:color="008000"/>
              <w:bottom w:val="nil"/>
            </w:tcBorders>
            <w:shd w:val="clear" w:color="auto" w:fill="FFFFFF"/>
          </w:tcPr>
          <w:p w14:paraId="7DFDE503" w14:textId="77777777" w:rsidR="00CB428B" w:rsidRPr="00243A66" w:rsidRDefault="00CB428B" w:rsidP="00D30CAD">
            <w:pPr>
              <w:pStyle w:val="CETBodytext"/>
              <w:rPr>
                <w:lang w:val="en-GB"/>
              </w:rPr>
            </w:pPr>
            <w:r w:rsidRPr="00243A66">
              <w:rPr>
                <w:b/>
                <w:bCs/>
                <w:lang w:val="en-GB"/>
              </w:rPr>
              <w:t>C (%)</w:t>
            </w:r>
          </w:p>
          <w:p w14:paraId="1047A857" w14:textId="77777777" w:rsidR="00CB428B" w:rsidRPr="00243A66" w:rsidRDefault="00CB428B" w:rsidP="00D30CAD">
            <w:pPr>
              <w:pStyle w:val="CETBodytext"/>
              <w:rPr>
                <w:lang w:val="en-GB"/>
              </w:rPr>
            </w:pPr>
            <w:r w:rsidRPr="00243A66">
              <w:rPr>
                <w:b/>
                <w:bCs/>
                <w:lang w:val="en-GB"/>
              </w:rPr>
              <w:t>H (%)</w:t>
            </w:r>
          </w:p>
          <w:p w14:paraId="2811DC03" w14:textId="77777777" w:rsidR="00CB428B" w:rsidRPr="00243A66" w:rsidRDefault="00CB428B" w:rsidP="00D30CAD">
            <w:pPr>
              <w:pStyle w:val="CETBodytext"/>
              <w:rPr>
                <w:lang w:val="en-GB"/>
              </w:rPr>
            </w:pPr>
            <w:r w:rsidRPr="00243A66">
              <w:rPr>
                <w:b/>
                <w:bCs/>
                <w:lang w:val="en-GB"/>
              </w:rPr>
              <w:t>N (%)</w:t>
            </w:r>
          </w:p>
          <w:p w14:paraId="503220BA" w14:textId="77777777" w:rsidR="00CB428B" w:rsidRPr="00243A66" w:rsidRDefault="00CB428B" w:rsidP="00D30CAD">
            <w:pPr>
              <w:pStyle w:val="CETBodytext"/>
              <w:rPr>
                <w:lang w:val="en-GB"/>
              </w:rPr>
            </w:pPr>
            <w:r w:rsidRPr="00243A66">
              <w:rPr>
                <w:b/>
                <w:bCs/>
                <w:lang w:val="en-GB"/>
              </w:rPr>
              <w:t>S (%)</w:t>
            </w:r>
          </w:p>
          <w:p w14:paraId="44344632" w14:textId="2E1E5DE8" w:rsidR="00CB428B" w:rsidRPr="00243A66" w:rsidRDefault="00CB428B" w:rsidP="00D30CAD">
            <w:pPr>
              <w:pStyle w:val="CETBodytext"/>
              <w:rPr>
                <w:b/>
                <w:lang w:val="en-GB"/>
              </w:rPr>
            </w:pPr>
            <w:r w:rsidRPr="00243A66">
              <w:rPr>
                <w:b/>
                <w:bCs/>
                <w:lang w:val="en-GB"/>
              </w:rPr>
              <w:t>O (%)*</w:t>
            </w:r>
          </w:p>
        </w:tc>
        <w:tc>
          <w:tcPr>
            <w:tcW w:w="1134" w:type="dxa"/>
            <w:tcBorders>
              <w:top w:val="single" w:sz="6" w:space="0" w:color="008000"/>
              <w:bottom w:val="nil"/>
            </w:tcBorders>
            <w:shd w:val="clear" w:color="auto" w:fill="FFFFFF"/>
          </w:tcPr>
          <w:p w14:paraId="06357879" w14:textId="2DD3013D" w:rsidR="00CB428B" w:rsidRPr="00243A66" w:rsidRDefault="00CB428B" w:rsidP="00D30CAD">
            <w:pPr>
              <w:pStyle w:val="CETBodytext"/>
              <w:rPr>
                <w:lang w:val="en-GB"/>
              </w:rPr>
            </w:pPr>
            <w:r w:rsidRPr="00243A66">
              <w:rPr>
                <w:lang w:val="en-GB"/>
              </w:rPr>
              <w:t>45.1 ± 0.3</w:t>
            </w:r>
          </w:p>
          <w:p w14:paraId="4C5B7107" w14:textId="33A7CAFE" w:rsidR="00CB428B" w:rsidRPr="00243A66" w:rsidRDefault="00CB428B" w:rsidP="00D30CAD">
            <w:pPr>
              <w:pStyle w:val="CETBodytext"/>
              <w:rPr>
                <w:lang w:val="en-GB"/>
              </w:rPr>
            </w:pPr>
            <w:r w:rsidRPr="00243A66">
              <w:rPr>
                <w:lang w:val="en-GB"/>
              </w:rPr>
              <w:t>5.71 ± 0.1</w:t>
            </w:r>
          </w:p>
          <w:p w14:paraId="6B0C06C9" w14:textId="6EFE3C4D" w:rsidR="00CB428B" w:rsidRPr="00243A66" w:rsidRDefault="00CB428B" w:rsidP="00D30CAD">
            <w:pPr>
              <w:pStyle w:val="CETBodytext"/>
              <w:rPr>
                <w:lang w:val="en-GB"/>
              </w:rPr>
            </w:pPr>
            <w:r w:rsidRPr="00243A66">
              <w:rPr>
                <w:lang w:val="en-GB"/>
              </w:rPr>
              <w:t>0.73 ± 0.1</w:t>
            </w:r>
          </w:p>
          <w:p w14:paraId="476D46C7" w14:textId="33353CAA" w:rsidR="00CB428B" w:rsidRPr="00243A66" w:rsidRDefault="00CB428B" w:rsidP="00D30CAD">
            <w:pPr>
              <w:pStyle w:val="CETBodytext"/>
              <w:rPr>
                <w:lang w:val="en-GB"/>
              </w:rPr>
            </w:pPr>
            <w:r w:rsidRPr="00243A66">
              <w:rPr>
                <w:lang w:val="en-GB"/>
              </w:rPr>
              <w:t>0.72 ± 0.1</w:t>
            </w:r>
          </w:p>
          <w:p w14:paraId="2475C854" w14:textId="4B6F604F" w:rsidR="00CB428B" w:rsidRPr="00243A66" w:rsidRDefault="00CB428B" w:rsidP="00D30CAD">
            <w:pPr>
              <w:pStyle w:val="CETBodytext"/>
              <w:rPr>
                <w:lang w:val="en-GB"/>
              </w:rPr>
            </w:pPr>
            <w:r w:rsidRPr="00243A66">
              <w:rPr>
                <w:lang w:val="en-GB"/>
              </w:rPr>
              <w:t>47.7 ± 0.3</w:t>
            </w:r>
          </w:p>
        </w:tc>
        <w:tc>
          <w:tcPr>
            <w:tcW w:w="1418" w:type="dxa"/>
            <w:tcBorders>
              <w:top w:val="single" w:sz="6" w:space="0" w:color="008000"/>
              <w:bottom w:val="nil"/>
            </w:tcBorders>
            <w:shd w:val="clear" w:color="auto" w:fill="FFFFFF"/>
          </w:tcPr>
          <w:p w14:paraId="720CC2D9" w14:textId="37C9E49E" w:rsidR="00CB428B" w:rsidRPr="00243A66" w:rsidRDefault="00CB428B" w:rsidP="00D30CAD">
            <w:pPr>
              <w:pStyle w:val="CETBodytext"/>
              <w:rPr>
                <w:lang w:val="en-GB"/>
              </w:rPr>
            </w:pPr>
            <w:r w:rsidRPr="00243A66">
              <w:rPr>
                <w:lang w:val="en-GB"/>
              </w:rPr>
              <w:t>76.7± 0.2</w:t>
            </w:r>
          </w:p>
          <w:p w14:paraId="6E9BE7A7" w14:textId="6F768C04" w:rsidR="00CB428B" w:rsidRPr="00243A66" w:rsidRDefault="00CB428B" w:rsidP="00D30CAD">
            <w:pPr>
              <w:pStyle w:val="CETBodytext"/>
              <w:rPr>
                <w:lang w:val="en-GB"/>
              </w:rPr>
            </w:pPr>
            <w:r w:rsidRPr="00243A66">
              <w:rPr>
                <w:lang w:val="en-GB"/>
              </w:rPr>
              <w:t>0.38 ± 0.05</w:t>
            </w:r>
          </w:p>
          <w:p w14:paraId="6E12F65D" w14:textId="7E4D7826" w:rsidR="00CB428B" w:rsidRPr="00243A66" w:rsidRDefault="00CB428B" w:rsidP="00D30CAD">
            <w:pPr>
              <w:pStyle w:val="CETBodytext"/>
              <w:rPr>
                <w:lang w:val="en-GB"/>
              </w:rPr>
            </w:pPr>
            <w:r w:rsidRPr="00243A66">
              <w:rPr>
                <w:lang w:val="en-GB"/>
              </w:rPr>
              <w:t>0.56 ± 0.03</w:t>
            </w:r>
          </w:p>
          <w:p w14:paraId="688241FF" w14:textId="70A36035" w:rsidR="00CB428B" w:rsidRPr="00243A66" w:rsidRDefault="00CB428B" w:rsidP="00D30CAD">
            <w:pPr>
              <w:pStyle w:val="CETBodytext"/>
              <w:rPr>
                <w:lang w:val="en-GB"/>
              </w:rPr>
            </w:pPr>
            <w:r w:rsidRPr="00243A66">
              <w:rPr>
                <w:lang w:val="en-GB"/>
              </w:rPr>
              <w:t>2.60 ± 0.3</w:t>
            </w:r>
          </w:p>
          <w:p w14:paraId="47D3E921" w14:textId="2F3A9598" w:rsidR="00CB428B" w:rsidRPr="00243A66" w:rsidRDefault="00CB428B" w:rsidP="00D30CAD">
            <w:pPr>
              <w:pStyle w:val="CETBodytext"/>
              <w:ind w:right="-1"/>
              <w:rPr>
                <w:rFonts w:cs="Arial"/>
                <w:szCs w:val="18"/>
                <w:lang w:val="en-GB"/>
              </w:rPr>
            </w:pPr>
            <w:r w:rsidRPr="00243A66">
              <w:rPr>
                <w:lang w:val="en-GB"/>
              </w:rPr>
              <w:t>19.8 ± 0.2</w:t>
            </w:r>
          </w:p>
        </w:tc>
        <w:tc>
          <w:tcPr>
            <w:tcW w:w="1134" w:type="dxa"/>
            <w:tcBorders>
              <w:top w:val="single" w:sz="6" w:space="0" w:color="008000"/>
              <w:bottom w:val="nil"/>
            </w:tcBorders>
            <w:shd w:val="clear" w:color="auto" w:fill="FFFFFF"/>
          </w:tcPr>
          <w:p w14:paraId="4C7B42E2" w14:textId="627E01FC" w:rsidR="00CB428B" w:rsidRPr="00243A66" w:rsidRDefault="00CB428B" w:rsidP="00D30CAD">
            <w:pPr>
              <w:pStyle w:val="CETBodytext"/>
              <w:rPr>
                <w:lang w:val="en-GB"/>
              </w:rPr>
            </w:pPr>
            <w:r w:rsidRPr="00243A66">
              <w:rPr>
                <w:lang w:val="en-GB"/>
              </w:rPr>
              <w:t>53.4 ± 0.2</w:t>
            </w:r>
          </w:p>
          <w:p w14:paraId="2FC1B2FE" w14:textId="589DF915" w:rsidR="00CB428B" w:rsidRPr="00243A66" w:rsidRDefault="00CB428B" w:rsidP="00D30CAD">
            <w:pPr>
              <w:pStyle w:val="CETBodytext"/>
              <w:rPr>
                <w:lang w:val="en-GB"/>
              </w:rPr>
            </w:pPr>
            <w:r w:rsidRPr="00243A66">
              <w:rPr>
                <w:lang w:val="en-GB"/>
              </w:rPr>
              <w:t>2.33 ± 0.1</w:t>
            </w:r>
          </w:p>
          <w:p w14:paraId="34FC7A6A" w14:textId="5EE52CD2" w:rsidR="00CB428B" w:rsidRPr="00243A66" w:rsidRDefault="00CB428B" w:rsidP="00D30CAD">
            <w:pPr>
              <w:pStyle w:val="CETBodytext"/>
              <w:rPr>
                <w:lang w:val="en-GB"/>
              </w:rPr>
            </w:pPr>
            <w:r w:rsidRPr="00243A66">
              <w:rPr>
                <w:lang w:val="en-GB"/>
              </w:rPr>
              <w:t>0.30 ± 0.03</w:t>
            </w:r>
          </w:p>
          <w:p w14:paraId="54F0FA91" w14:textId="46FC9F74" w:rsidR="00CB428B" w:rsidRPr="00243A66" w:rsidRDefault="00CB428B" w:rsidP="00D30CAD">
            <w:pPr>
              <w:pStyle w:val="CETBodytext"/>
              <w:rPr>
                <w:lang w:val="en-GB"/>
              </w:rPr>
            </w:pPr>
            <w:r w:rsidRPr="00243A66">
              <w:rPr>
                <w:lang w:val="en-GB"/>
              </w:rPr>
              <w:t>2.50 ± 0.3</w:t>
            </w:r>
          </w:p>
          <w:p w14:paraId="03C19346" w14:textId="2E52582C" w:rsidR="00CB428B" w:rsidRPr="00243A66" w:rsidRDefault="00CB428B" w:rsidP="00715B36">
            <w:pPr>
              <w:pStyle w:val="CETBodytext"/>
              <w:ind w:right="-1"/>
              <w:rPr>
                <w:rFonts w:cs="Arial"/>
                <w:szCs w:val="18"/>
                <w:lang w:val="en-GB"/>
              </w:rPr>
            </w:pPr>
            <w:r w:rsidRPr="00243A66">
              <w:rPr>
                <w:lang w:val="en-GB"/>
              </w:rPr>
              <w:t>41.5 ± 0.2</w:t>
            </w:r>
          </w:p>
        </w:tc>
      </w:tr>
      <w:tr w:rsidR="00CB428B" w:rsidRPr="00243A66" w14:paraId="22F33169" w14:textId="77777777" w:rsidTr="000B05DA">
        <w:trPr>
          <w:trHeight w:val="224"/>
        </w:trPr>
        <w:tc>
          <w:tcPr>
            <w:tcW w:w="1134" w:type="dxa"/>
            <w:tcBorders>
              <w:bottom w:val="nil"/>
            </w:tcBorders>
            <w:shd w:val="clear" w:color="auto" w:fill="FFFFFF"/>
          </w:tcPr>
          <w:p w14:paraId="4DA505AF" w14:textId="77777777" w:rsidR="00CB428B" w:rsidRPr="00243A66" w:rsidRDefault="00CB428B" w:rsidP="00D30CAD">
            <w:pPr>
              <w:pStyle w:val="CETBodytext"/>
              <w:ind w:right="-1"/>
              <w:rPr>
                <w:rFonts w:cs="Arial"/>
                <w:szCs w:val="18"/>
                <w:lang w:val="en-GB"/>
              </w:rPr>
            </w:pPr>
          </w:p>
        </w:tc>
        <w:tc>
          <w:tcPr>
            <w:tcW w:w="1134" w:type="dxa"/>
            <w:tcBorders>
              <w:top w:val="nil"/>
              <w:bottom w:val="nil"/>
            </w:tcBorders>
            <w:shd w:val="clear" w:color="auto" w:fill="FFFFFF"/>
          </w:tcPr>
          <w:p w14:paraId="4ED7F93F" w14:textId="4CADB3C0" w:rsidR="00CB428B" w:rsidRPr="00243A66" w:rsidRDefault="00CB428B" w:rsidP="00D30CAD">
            <w:pPr>
              <w:pStyle w:val="CETBodytext"/>
              <w:ind w:right="-1"/>
              <w:rPr>
                <w:rFonts w:cs="Arial"/>
                <w:b/>
                <w:szCs w:val="18"/>
                <w:lang w:val="en-GB"/>
              </w:rPr>
            </w:pPr>
            <w:r w:rsidRPr="00243A66">
              <w:rPr>
                <w:b/>
                <w:bCs/>
                <w:lang w:val="en-GB"/>
              </w:rPr>
              <w:t>O/C</w:t>
            </w:r>
          </w:p>
        </w:tc>
        <w:tc>
          <w:tcPr>
            <w:tcW w:w="1134" w:type="dxa"/>
            <w:tcBorders>
              <w:top w:val="nil"/>
              <w:bottom w:val="nil"/>
            </w:tcBorders>
            <w:shd w:val="clear" w:color="auto" w:fill="FFFFFF"/>
          </w:tcPr>
          <w:p w14:paraId="4E81BB3B" w14:textId="3AF544ED" w:rsidR="00CB428B" w:rsidRPr="00243A66" w:rsidRDefault="00CB428B" w:rsidP="00D30CAD">
            <w:pPr>
              <w:pStyle w:val="CETBodytext"/>
              <w:ind w:right="-1"/>
              <w:rPr>
                <w:rFonts w:cs="Arial"/>
                <w:szCs w:val="18"/>
                <w:lang w:val="en-GB"/>
              </w:rPr>
            </w:pPr>
            <w:r w:rsidRPr="00243A66">
              <w:rPr>
                <w:lang w:val="en-GB"/>
              </w:rPr>
              <w:t>0.94 ± 0.04</w:t>
            </w:r>
          </w:p>
        </w:tc>
        <w:tc>
          <w:tcPr>
            <w:tcW w:w="1418" w:type="dxa"/>
            <w:tcBorders>
              <w:top w:val="nil"/>
              <w:bottom w:val="nil"/>
            </w:tcBorders>
            <w:shd w:val="clear" w:color="auto" w:fill="FFFFFF"/>
          </w:tcPr>
          <w:p w14:paraId="1985967A" w14:textId="0C6FB0B9" w:rsidR="00CB428B" w:rsidRPr="00243A66" w:rsidRDefault="00CB428B" w:rsidP="0010352C">
            <w:pPr>
              <w:pStyle w:val="CETBodytext"/>
              <w:ind w:right="-1"/>
              <w:rPr>
                <w:rFonts w:cs="Arial"/>
                <w:szCs w:val="18"/>
                <w:lang w:val="en-GB"/>
              </w:rPr>
            </w:pPr>
            <w:r w:rsidRPr="00243A66">
              <w:rPr>
                <w:lang w:val="en-GB"/>
              </w:rPr>
              <w:t>0.26 ± 0.05</w:t>
            </w:r>
          </w:p>
        </w:tc>
        <w:tc>
          <w:tcPr>
            <w:tcW w:w="1134" w:type="dxa"/>
            <w:tcBorders>
              <w:top w:val="nil"/>
              <w:bottom w:val="nil"/>
            </w:tcBorders>
            <w:shd w:val="clear" w:color="auto" w:fill="FFFFFF"/>
          </w:tcPr>
          <w:p w14:paraId="34EA7E11" w14:textId="0BED6A0F" w:rsidR="00CB428B" w:rsidRPr="00243A66" w:rsidRDefault="00CB428B" w:rsidP="00D30CAD">
            <w:pPr>
              <w:pStyle w:val="CETBodytext"/>
              <w:ind w:right="-1"/>
              <w:rPr>
                <w:rFonts w:cs="Arial"/>
                <w:szCs w:val="18"/>
                <w:lang w:val="en-GB"/>
              </w:rPr>
            </w:pPr>
            <w:r w:rsidRPr="00243A66">
              <w:rPr>
                <w:lang w:val="en-GB"/>
              </w:rPr>
              <w:t>0.78± 0.05</w:t>
            </w:r>
          </w:p>
        </w:tc>
      </w:tr>
      <w:tr w:rsidR="00CB428B" w:rsidRPr="00243A66" w14:paraId="2C09C4C5" w14:textId="77777777" w:rsidTr="000B05DA">
        <w:trPr>
          <w:trHeight w:val="217"/>
        </w:trPr>
        <w:tc>
          <w:tcPr>
            <w:tcW w:w="1134" w:type="dxa"/>
            <w:tcBorders>
              <w:top w:val="nil"/>
              <w:bottom w:val="single" w:sz="12" w:space="0" w:color="008000"/>
            </w:tcBorders>
            <w:shd w:val="clear" w:color="auto" w:fill="FFFFFF"/>
          </w:tcPr>
          <w:p w14:paraId="04E0A834" w14:textId="77777777" w:rsidR="00CB428B" w:rsidRPr="00243A66" w:rsidRDefault="00CB428B" w:rsidP="00D30CAD">
            <w:pPr>
              <w:pStyle w:val="CETBodytext"/>
              <w:ind w:right="-1"/>
              <w:rPr>
                <w:rFonts w:cs="Arial"/>
                <w:szCs w:val="18"/>
                <w:lang w:val="en-GB"/>
              </w:rPr>
            </w:pPr>
          </w:p>
        </w:tc>
        <w:tc>
          <w:tcPr>
            <w:tcW w:w="1134" w:type="dxa"/>
            <w:tcBorders>
              <w:top w:val="nil"/>
              <w:bottom w:val="single" w:sz="12" w:space="0" w:color="008000"/>
            </w:tcBorders>
            <w:shd w:val="clear" w:color="auto" w:fill="FFFFFF"/>
          </w:tcPr>
          <w:p w14:paraId="39A17462" w14:textId="3ED5AFCE" w:rsidR="00CB428B" w:rsidRPr="00243A66" w:rsidRDefault="00CB428B" w:rsidP="00D30CAD">
            <w:pPr>
              <w:pStyle w:val="CETBodytext"/>
              <w:ind w:right="-1"/>
              <w:rPr>
                <w:rFonts w:cs="Arial"/>
                <w:b/>
                <w:szCs w:val="18"/>
                <w:lang w:val="en-GB"/>
              </w:rPr>
            </w:pPr>
            <w:r w:rsidRPr="00243A66">
              <w:rPr>
                <w:b/>
                <w:bCs/>
                <w:lang w:val="en-GB"/>
              </w:rPr>
              <w:t>H/C</w:t>
            </w:r>
          </w:p>
        </w:tc>
        <w:tc>
          <w:tcPr>
            <w:tcW w:w="1134" w:type="dxa"/>
            <w:tcBorders>
              <w:top w:val="nil"/>
              <w:bottom w:val="single" w:sz="12" w:space="0" w:color="008000"/>
            </w:tcBorders>
            <w:shd w:val="clear" w:color="auto" w:fill="FFFFFF"/>
          </w:tcPr>
          <w:p w14:paraId="01FAB4DD" w14:textId="406B977C" w:rsidR="00CB428B" w:rsidRPr="00243A66" w:rsidRDefault="00CB428B" w:rsidP="00D30CAD">
            <w:pPr>
              <w:pStyle w:val="CETBodytext"/>
              <w:ind w:right="-1"/>
              <w:rPr>
                <w:rFonts w:cs="Arial"/>
                <w:szCs w:val="18"/>
                <w:lang w:val="en-GB"/>
              </w:rPr>
            </w:pPr>
            <w:r w:rsidRPr="00243A66">
              <w:rPr>
                <w:lang w:val="en-GB"/>
              </w:rPr>
              <w:t>0.13 ± 0.04</w:t>
            </w:r>
          </w:p>
        </w:tc>
        <w:tc>
          <w:tcPr>
            <w:tcW w:w="1418" w:type="dxa"/>
            <w:tcBorders>
              <w:top w:val="nil"/>
              <w:bottom w:val="single" w:sz="12" w:space="0" w:color="008000"/>
            </w:tcBorders>
            <w:shd w:val="clear" w:color="auto" w:fill="FFFFFF"/>
          </w:tcPr>
          <w:p w14:paraId="373D1AC6" w14:textId="7D3A156F" w:rsidR="00CB428B" w:rsidRPr="00243A66" w:rsidRDefault="00CB428B" w:rsidP="0010352C">
            <w:pPr>
              <w:pStyle w:val="CETBodytext"/>
              <w:ind w:right="-1"/>
              <w:rPr>
                <w:rFonts w:cs="Arial"/>
                <w:szCs w:val="18"/>
                <w:lang w:val="en-GB"/>
              </w:rPr>
            </w:pPr>
            <w:r w:rsidRPr="00243A66">
              <w:rPr>
                <w:lang w:val="en-GB"/>
              </w:rPr>
              <w:t>0.005 ± 0.001</w:t>
            </w:r>
          </w:p>
        </w:tc>
        <w:tc>
          <w:tcPr>
            <w:tcW w:w="1134" w:type="dxa"/>
            <w:tcBorders>
              <w:top w:val="nil"/>
              <w:bottom w:val="single" w:sz="12" w:space="0" w:color="008000"/>
            </w:tcBorders>
            <w:shd w:val="clear" w:color="auto" w:fill="FFFFFF"/>
          </w:tcPr>
          <w:p w14:paraId="3E3901E0" w14:textId="74043C7C" w:rsidR="00CB428B" w:rsidRPr="00243A66" w:rsidRDefault="00CB428B" w:rsidP="00D30CAD">
            <w:pPr>
              <w:pStyle w:val="CETBodytext"/>
              <w:ind w:right="-1"/>
              <w:rPr>
                <w:rFonts w:cs="Arial"/>
                <w:szCs w:val="18"/>
                <w:lang w:val="en-GB"/>
              </w:rPr>
            </w:pPr>
            <w:r w:rsidRPr="00243A66">
              <w:rPr>
                <w:lang w:val="en-GB"/>
              </w:rPr>
              <w:t>0.04± 0.01</w:t>
            </w:r>
          </w:p>
        </w:tc>
      </w:tr>
    </w:tbl>
    <w:p w14:paraId="07B48B7F" w14:textId="77777777" w:rsidR="00DB6872" w:rsidRDefault="00DB6872" w:rsidP="00347D32">
      <w:pPr>
        <w:pStyle w:val="CETBodytext"/>
        <w:rPr>
          <w:lang w:val="en-GB"/>
        </w:rPr>
      </w:pPr>
    </w:p>
    <w:p w14:paraId="2AC321AE" w14:textId="697D51B5" w:rsidR="00347D32" w:rsidRPr="00243A66" w:rsidRDefault="00347D32" w:rsidP="00347D32">
      <w:pPr>
        <w:pStyle w:val="CETBodytext"/>
        <w:rPr>
          <w:lang w:val="en-GB"/>
        </w:rPr>
      </w:pPr>
      <w:r w:rsidRPr="00243A66">
        <w:rPr>
          <w:lang w:val="en-GB"/>
        </w:rPr>
        <w:t xml:space="preserve">Phosphoric acid activation forms stable phosphate and polyphosphate species covalently bound to the carbon matrix (e.g., C–O–P, P–O–P). Numerous studies report significant residual P (often several </w:t>
      </w:r>
      <w:r w:rsidR="003D403C" w:rsidRPr="00243A66">
        <w:rPr>
          <w:lang w:val="en-GB"/>
        </w:rPr>
        <w:t>wt.</w:t>
      </w:r>
      <w:r w:rsidRPr="00243A66">
        <w:rPr>
          <w:lang w:val="en-GB"/>
        </w:rPr>
        <w:t xml:space="preserve">%, even </w:t>
      </w:r>
      <w:r w:rsidRPr="00243A66">
        <w:rPr>
          <w:lang w:val="en-GB"/>
        </w:rPr>
        <w:lastRenderedPageBreak/>
        <w:t>&gt;10 wt</w:t>
      </w:r>
      <w:r w:rsidR="003D403C" w:rsidRPr="00243A66">
        <w:rPr>
          <w:lang w:val="en-GB"/>
        </w:rPr>
        <w:t>.</w:t>
      </w:r>
      <w:r w:rsidRPr="00243A66">
        <w:rPr>
          <w:lang w:val="en-GB"/>
        </w:rPr>
        <w:t>%) in H</w:t>
      </w:r>
      <w:r w:rsidRPr="00243A66">
        <w:rPr>
          <w:rFonts w:ascii="Cambria Math" w:hAnsi="Cambria Math" w:cs="Cambria Math"/>
          <w:lang w:val="en-GB"/>
        </w:rPr>
        <w:t>₃</w:t>
      </w:r>
      <w:r w:rsidRPr="00243A66">
        <w:rPr>
          <w:lang w:val="en-GB"/>
        </w:rPr>
        <w:t>PO</w:t>
      </w:r>
      <w:r w:rsidRPr="00243A66">
        <w:rPr>
          <w:rFonts w:ascii="Cambria Math" w:hAnsi="Cambria Math" w:cs="Cambria Math"/>
          <w:lang w:val="en-GB"/>
        </w:rPr>
        <w:t>₄‑</w:t>
      </w:r>
      <w:r w:rsidRPr="00243A66">
        <w:rPr>
          <w:lang w:val="en-GB"/>
        </w:rPr>
        <w:t>activated carbons/</w:t>
      </w:r>
      <w:r w:rsidR="005871E5" w:rsidRPr="00243A66">
        <w:rPr>
          <w:lang w:val="en-GB"/>
        </w:rPr>
        <w:t>HC</w:t>
      </w:r>
      <w:r w:rsidRPr="00243A66">
        <w:rPr>
          <w:lang w:val="en-GB"/>
        </w:rPr>
        <w:t>s after washing. These P</w:t>
      </w:r>
      <w:r w:rsidRPr="00243A66">
        <w:rPr>
          <w:rFonts w:ascii="Cambria Math" w:hAnsi="Cambria Math" w:cs="Cambria Math"/>
          <w:lang w:val="en-GB"/>
        </w:rPr>
        <w:t>‑</w:t>
      </w:r>
      <w:r w:rsidRPr="00243A66">
        <w:rPr>
          <w:lang w:val="en-GB"/>
        </w:rPr>
        <w:t xml:space="preserve">species carry multiple oxygen atoms and acidic </w:t>
      </w:r>
      <w:r w:rsidRPr="00243A66">
        <w:rPr>
          <w:rFonts w:cs="Arial"/>
          <w:lang w:val="en-GB"/>
        </w:rPr>
        <w:t>–</w:t>
      </w:r>
      <w:r w:rsidRPr="00243A66">
        <w:rPr>
          <w:lang w:val="en-GB"/>
        </w:rPr>
        <w:t>P</w:t>
      </w:r>
      <w:r w:rsidRPr="00243A66">
        <w:rPr>
          <w:rFonts w:cs="Arial"/>
          <w:lang w:val="en-GB"/>
        </w:rPr>
        <w:t>–</w:t>
      </w:r>
      <w:r w:rsidRPr="00243A66">
        <w:rPr>
          <w:lang w:val="en-GB"/>
        </w:rPr>
        <w:t xml:space="preserve">OH groups. If O is calculated by difference (common in ultimate analysis), unmeasured residual P can spuriously appear as </w:t>
      </w:r>
      <w:r w:rsidRPr="00243A66">
        <w:rPr>
          <w:rFonts w:cs="Arial"/>
          <w:lang w:val="en-GB"/>
        </w:rPr>
        <w:t>“</w:t>
      </w:r>
      <w:r w:rsidRPr="00243A66">
        <w:rPr>
          <w:lang w:val="en-GB"/>
        </w:rPr>
        <w:t>oxygen,</w:t>
      </w:r>
      <w:r w:rsidRPr="00243A66">
        <w:rPr>
          <w:rFonts w:cs="Arial"/>
          <w:lang w:val="en-GB"/>
        </w:rPr>
        <w:t>”</w:t>
      </w:r>
      <w:r w:rsidRPr="00243A66">
        <w:rPr>
          <w:lang w:val="en-GB"/>
        </w:rPr>
        <w:t xml:space="preserve"> lowering the apparent C%. This effect becomes stronger at higher H</w:t>
      </w:r>
      <w:r w:rsidRPr="00243A66">
        <w:rPr>
          <w:rFonts w:ascii="Cambria Math" w:hAnsi="Cambria Math" w:cs="Cambria Math"/>
          <w:lang w:val="en-GB"/>
        </w:rPr>
        <w:t>₃</w:t>
      </w:r>
      <w:r w:rsidRPr="00243A66">
        <w:rPr>
          <w:lang w:val="en-GB"/>
        </w:rPr>
        <w:t>PO</w:t>
      </w:r>
      <w:r w:rsidRPr="00243A66">
        <w:rPr>
          <w:rFonts w:ascii="Cambria Math" w:hAnsi="Cambria Math" w:cs="Cambria Math"/>
          <w:lang w:val="en-GB"/>
        </w:rPr>
        <w:t>₄</w:t>
      </w:r>
      <w:r w:rsidRPr="00243A66">
        <w:rPr>
          <w:lang w:val="en-GB"/>
        </w:rPr>
        <w:t xml:space="preserve"> loading, explaining why AP</w:t>
      </w:r>
      <w:r w:rsidRPr="00243A66">
        <w:rPr>
          <w:rFonts w:ascii="Cambria Math" w:hAnsi="Cambria Math" w:cs="Cambria Math"/>
          <w:lang w:val="en-GB"/>
        </w:rPr>
        <w:t>‑</w:t>
      </w:r>
      <w:r w:rsidRPr="00243A66">
        <w:rPr>
          <w:lang w:val="en-GB"/>
        </w:rPr>
        <w:t>AHC</w:t>
      </w:r>
      <w:r w:rsidRPr="00243A66">
        <w:rPr>
          <w:rFonts w:ascii="Cambria Math" w:hAnsi="Cambria Math" w:cs="Cambria Math"/>
          <w:lang w:val="en-GB"/>
        </w:rPr>
        <w:t>‑</w:t>
      </w:r>
      <w:r w:rsidRPr="00243A66">
        <w:rPr>
          <w:lang w:val="en-GB"/>
        </w:rPr>
        <w:t>P5 shows higher O and lower C than AP</w:t>
      </w:r>
      <w:r w:rsidRPr="00243A66">
        <w:rPr>
          <w:rFonts w:ascii="Cambria Math" w:hAnsi="Cambria Math" w:cs="Cambria Math"/>
          <w:lang w:val="en-GB"/>
        </w:rPr>
        <w:t>‑</w:t>
      </w:r>
      <w:r w:rsidRPr="00243A66">
        <w:rPr>
          <w:lang w:val="en-GB"/>
        </w:rPr>
        <w:t>AHC</w:t>
      </w:r>
      <w:r w:rsidRPr="00243A66">
        <w:rPr>
          <w:rFonts w:ascii="Cambria Math" w:hAnsi="Cambria Math" w:cs="Cambria Math"/>
          <w:lang w:val="en-GB"/>
        </w:rPr>
        <w:t>‑</w:t>
      </w:r>
      <w:r w:rsidRPr="00243A66">
        <w:rPr>
          <w:lang w:val="en-GB"/>
        </w:rPr>
        <w:t>P2.5.</w:t>
      </w:r>
      <w:r w:rsidR="00B808F4" w:rsidRPr="00243A66">
        <w:rPr>
          <w:lang w:val="en-GB"/>
        </w:rPr>
        <w:t xml:space="preserve"> </w:t>
      </w:r>
      <w:r w:rsidRPr="00243A66">
        <w:rPr>
          <w:lang w:val="en-GB"/>
        </w:rPr>
        <w:t>Phosphorus</w:t>
      </w:r>
      <w:r w:rsidRPr="00243A66">
        <w:rPr>
          <w:rFonts w:ascii="Cambria Math" w:hAnsi="Cambria Math" w:cs="Cambria Math"/>
          <w:lang w:val="en-GB"/>
        </w:rPr>
        <w:t>‑</w:t>
      </w:r>
      <w:r w:rsidRPr="00243A66">
        <w:rPr>
          <w:lang w:val="en-GB"/>
        </w:rPr>
        <w:t>containing carbons with exclusively phosphate/polyphosphate environments and up to ~13</w:t>
      </w:r>
      <w:r w:rsidRPr="00243A66">
        <w:rPr>
          <w:rFonts w:cs="Arial"/>
          <w:lang w:val="en-GB"/>
        </w:rPr>
        <w:t> </w:t>
      </w:r>
      <w:r w:rsidR="003D403C" w:rsidRPr="00243A66">
        <w:rPr>
          <w:lang w:val="en-GB"/>
        </w:rPr>
        <w:t>wt.</w:t>
      </w:r>
      <w:r w:rsidRPr="00243A66">
        <w:rPr>
          <w:lang w:val="en-GB"/>
        </w:rPr>
        <w:t>% P were identified by XPS/³¹P MAS NMR after H</w:t>
      </w:r>
      <w:r w:rsidRPr="00243A66">
        <w:rPr>
          <w:rFonts w:ascii="Cambria Math" w:hAnsi="Cambria Math" w:cs="Cambria Math"/>
          <w:lang w:val="en-GB"/>
        </w:rPr>
        <w:t>₃</w:t>
      </w:r>
      <w:r w:rsidRPr="00243A66">
        <w:rPr>
          <w:lang w:val="en-GB"/>
        </w:rPr>
        <w:t>PO</w:t>
      </w:r>
      <w:r w:rsidRPr="00243A66">
        <w:rPr>
          <w:rFonts w:ascii="Cambria Math" w:hAnsi="Cambria Math" w:cs="Cambria Math"/>
          <w:lang w:val="en-GB"/>
        </w:rPr>
        <w:t>₄</w:t>
      </w:r>
      <w:r w:rsidRPr="00243A66">
        <w:rPr>
          <w:lang w:val="en-GB"/>
        </w:rPr>
        <w:t xml:space="preserve"> activation, underscoring the persistence of P</w:t>
      </w:r>
      <w:r w:rsidRPr="00243A66">
        <w:rPr>
          <w:rFonts w:ascii="Cambria Math" w:hAnsi="Cambria Math" w:cs="Cambria Math"/>
          <w:lang w:val="en-GB"/>
        </w:rPr>
        <w:t>‑</w:t>
      </w:r>
      <w:r w:rsidRPr="00243A66">
        <w:rPr>
          <w:lang w:val="en-GB"/>
        </w:rPr>
        <w:t>species after heat treatment and washing (</w:t>
      </w:r>
      <w:r w:rsidR="003C6F56" w:rsidRPr="00243A66">
        <w:rPr>
          <w:rFonts w:ascii="Helvetica" w:hAnsi="Helvetica"/>
          <w:color w:val="222222"/>
          <w:szCs w:val="18"/>
          <w:shd w:val="clear" w:color="auto" w:fill="FFFFFF"/>
          <w:lang w:val="en-GB"/>
        </w:rPr>
        <w:t>Puziy et al., 2022)</w:t>
      </w:r>
      <w:r w:rsidRPr="00243A66">
        <w:rPr>
          <w:lang w:val="en-GB"/>
        </w:rPr>
        <w:t>. H</w:t>
      </w:r>
      <w:r w:rsidRPr="00243A66">
        <w:rPr>
          <w:rFonts w:ascii="Cambria Math" w:hAnsi="Cambria Math" w:cs="Cambria Math"/>
          <w:lang w:val="en-GB"/>
        </w:rPr>
        <w:t>₃</w:t>
      </w:r>
      <w:r w:rsidRPr="00243A66">
        <w:rPr>
          <w:lang w:val="en-GB"/>
        </w:rPr>
        <w:t>PO</w:t>
      </w:r>
      <w:r w:rsidRPr="00243A66">
        <w:rPr>
          <w:rFonts w:ascii="Cambria Math" w:hAnsi="Cambria Math" w:cs="Cambria Math"/>
          <w:lang w:val="en-GB"/>
        </w:rPr>
        <w:t>₄</w:t>
      </w:r>
      <w:r w:rsidRPr="00243A66">
        <w:rPr>
          <w:lang w:val="en-GB"/>
        </w:rPr>
        <w:t xml:space="preserve"> interacts with phenolic/carbonyl groups to form C</w:t>
      </w:r>
      <w:r w:rsidRPr="00243A66">
        <w:rPr>
          <w:rFonts w:cs="Arial"/>
          <w:lang w:val="en-GB"/>
        </w:rPr>
        <w:t>–</w:t>
      </w:r>
      <w:r w:rsidRPr="00243A66">
        <w:rPr>
          <w:lang w:val="en-GB"/>
        </w:rPr>
        <w:t>O</w:t>
      </w:r>
      <w:r w:rsidRPr="00243A66">
        <w:rPr>
          <w:rFonts w:cs="Arial"/>
          <w:lang w:val="en-GB"/>
        </w:rPr>
        <w:t>–</w:t>
      </w:r>
      <w:r w:rsidRPr="00243A66">
        <w:rPr>
          <w:lang w:val="en-GB"/>
        </w:rPr>
        <w:t>P linkages that survive to 450</w:t>
      </w:r>
      <w:r w:rsidRPr="00243A66">
        <w:rPr>
          <w:rFonts w:cs="Arial"/>
          <w:lang w:val="en-GB"/>
        </w:rPr>
        <w:t>–</w:t>
      </w:r>
      <w:r w:rsidRPr="00243A66">
        <w:rPr>
          <w:lang w:val="en-GB"/>
        </w:rPr>
        <w:t>500</w:t>
      </w:r>
      <w:r w:rsidRPr="00243A66">
        <w:rPr>
          <w:rFonts w:cs="Arial"/>
          <w:lang w:val="en-GB"/>
        </w:rPr>
        <w:t> °</w:t>
      </w:r>
      <w:r w:rsidR="00B808F4" w:rsidRPr="00243A66">
        <w:rPr>
          <w:lang w:val="en-GB"/>
        </w:rPr>
        <w:t>C. T</w:t>
      </w:r>
      <w:r w:rsidRPr="00243A66">
        <w:rPr>
          <w:lang w:val="en-GB"/>
        </w:rPr>
        <w:t>he thermal decomposition of phosph(on)ates occurs around ~450 °C, so at 450 °C a substantial fraction can remain in the solid</w:t>
      </w:r>
      <w:r w:rsidR="00B808F4" w:rsidRPr="00243A66">
        <w:rPr>
          <w:lang w:val="en-GB"/>
        </w:rPr>
        <w:t xml:space="preserve"> (</w:t>
      </w:r>
      <w:r w:rsidR="00B808F4" w:rsidRPr="00243A66">
        <w:rPr>
          <w:rFonts w:ascii="Helvetica" w:hAnsi="Helvetica"/>
          <w:color w:val="222222"/>
          <w:shd w:val="clear" w:color="auto" w:fill="FFFFFF"/>
          <w:lang w:val="en-GB"/>
        </w:rPr>
        <w:t>Luo et al., 2019).</w:t>
      </w:r>
      <w:r w:rsidR="005A5F7C" w:rsidRPr="00243A66">
        <w:rPr>
          <w:lang w:val="en-GB"/>
        </w:rPr>
        <w:t xml:space="preserve"> P</w:t>
      </w:r>
      <w:r w:rsidRPr="00243A66">
        <w:rPr>
          <w:lang w:val="en-GB"/>
        </w:rPr>
        <w:t>hosphate incorporation (C</w:t>
      </w:r>
      <w:r w:rsidRPr="00243A66">
        <w:rPr>
          <w:rFonts w:cs="Arial"/>
          <w:lang w:val="en-GB"/>
        </w:rPr>
        <w:t>–</w:t>
      </w:r>
      <w:r w:rsidRPr="00243A66">
        <w:rPr>
          <w:lang w:val="en-GB"/>
        </w:rPr>
        <w:t>O</w:t>
      </w:r>
      <w:r w:rsidRPr="00243A66">
        <w:rPr>
          <w:rFonts w:cs="Arial"/>
          <w:lang w:val="en-GB"/>
        </w:rPr>
        <w:t>–</w:t>
      </w:r>
      <w:r w:rsidRPr="00243A66">
        <w:rPr>
          <w:lang w:val="en-GB"/>
        </w:rPr>
        <w:t>P, P=O, P</w:t>
      </w:r>
      <w:r w:rsidRPr="00243A66">
        <w:rPr>
          <w:rFonts w:cs="Arial"/>
          <w:lang w:val="en-GB"/>
        </w:rPr>
        <w:t>–</w:t>
      </w:r>
      <w:r w:rsidRPr="00243A66">
        <w:rPr>
          <w:lang w:val="en-GB"/>
        </w:rPr>
        <w:t>O–P) is intrinsic to H</w:t>
      </w:r>
      <w:r w:rsidRPr="00243A66">
        <w:rPr>
          <w:rFonts w:ascii="Cambria Math" w:hAnsi="Cambria Math" w:cs="Cambria Math"/>
          <w:lang w:val="en-GB"/>
        </w:rPr>
        <w:t>₃</w:t>
      </w:r>
      <w:r w:rsidRPr="00243A66">
        <w:rPr>
          <w:lang w:val="en-GB"/>
        </w:rPr>
        <w:t>PO</w:t>
      </w:r>
      <w:r w:rsidRPr="00243A66">
        <w:rPr>
          <w:rFonts w:ascii="Cambria Math" w:hAnsi="Cambria Math" w:cs="Cambria Math"/>
          <w:lang w:val="en-GB"/>
        </w:rPr>
        <w:t>₄</w:t>
      </w:r>
      <w:r w:rsidRPr="00243A66">
        <w:rPr>
          <w:lang w:val="en-GB"/>
        </w:rPr>
        <w:t xml:space="preserve"> activation and increases acidity and O</w:t>
      </w:r>
      <w:r w:rsidRPr="00243A66">
        <w:rPr>
          <w:rFonts w:ascii="Cambria Math" w:hAnsi="Cambria Math" w:cs="Cambria Math"/>
          <w:lang w:val="en-GB"/>
        </w:rPr>
        <w:t>‑</w:t>
      </w:r>
      <w:r w:rsidRPr="00243A66">
        <w:rPr>
          <w:lang w:val="en-GB"/>
        </w:rPr>
        <w:t>content of the surface</w:t>
      </w:r>
      <w:r w:rsidR="00A119F7" w:rsidRPr="00243A66">
        <w:rPr>
          <w:lang w:val="en-GB"/>
        </w:rPr>
        <w:t xml:space="preserve"> (Ge et al., 2024)</w:t>
      </w:r>
      <w:r w:rsidRPr="00243A66">
        <w:rPr>
          <w:lang w:val="en-GB"/>
        </w:rPr>
        <w:t>.</w:t>
      </w:r>
      <w:r w:rsidR="005A5F7C" w:rsidRPr="00243A66">
        <w:rPr>
          <w:lang w:val="en-GB"/>
        </w:rPr>
        <w:t xml:space="preserve"> </w:t>
      </w:r>
    </w:p>
    <w:p w14:paraId="22AE4E74" w14:textId="05D946D1" w:rsidR="00D30CAD" w:rsidRPr="00243A66" w:rsidRDefault="00D30CAD" w:rsidP="00D30CAD">
      <w:pPr>
        <w:pStyle w:val="CETheadingx"/>
        <w:rPr>
          <w:bCs/>
          <w:lang w:val="en-GB"/>
        </w:rPr>
      </w:pPr>
      <w:r w:rsidRPr="00243A66">
        <w:rPr>
          <w:bCs/>
          <w:lang w:val="en-GB"/>
        </w:rPr>
        <w:t xml:space="preserve">FATR-FTIR spectra </w:t>
      </w:r>
    </w:p>
    <w:p w14:paraId="19D6EB3E" w14:textId="5C8B080E" w:rsidR="006E0E7E" w:rsidRDefault="008A2223" w:rsidP="00D30CAD">
      <w:pPr>
        <w:pStyle w:val="CETBodytext"/>
        <w:rPr>
          <w:lang w:val="en-GB"/>
        </w:rPr>
      </w:pPr>
      <w:r w:rsidRPr="00243A66">
        <w:rPr>
          <w:lang w:val="en-GB"/>
        </w:rPr>
        <w:t>The FATR</w:t>
      </w:r>
      <w:r w:rsidRPr="00243A66">
        <w:rPr>
          <w:rFonts w:ascii="Cambria Math" w:hAnsi="Cambria Math" w:cs="Cambria Math"/>
          <w:lang w:val="en-GB"/>
        </w:rPr>
        <w:t>‑</w:t>
      </w:r>
      <w:r w:rsidRPr="00243A66">
        <w:rPr>
          <w:lang w:val="en-GB"/>
        </w:rPr>
        <w:t>FTIR spectra (Figure 2) reveal that HTC induces extensive dehydration, evidenced by the strong reduction of O</w:t>
      </w:r>
      <w:r w:rsidRPr="00243A66">
        <w:rPr>
          <w:rFonts w:cs="Arial"/>
          <w:lang w:val="en-GB"/>
        </w:rPr>
        <w:t>–</w:t>
      </w:r>
      <w:r w:rsidRPr="00243A66">
        <w:rPr>
          <w:lang w:val="en-GB"/>
        </w:rPr>
        <w:t>H stretching bands and the consequent increase in hydrophobicity, while persistent aliphatic C</w:t>
      </w:r>
      <w:r w:rsidRPr="00243A66">
        <w:rPr>
          <w:rFonts w:cs="Arial"/>
          <w:lang w:val="en-GB"/>
        </w:rPr>
        <w:t>–</w:t>
      </w:r>
      <w:r w:rsidRPr="00243A66">
        <w:rPr>
          <w:lang w:val="en-GB"/>
        </w:rPr>
        <w:t>H signals indicate that part of the original lignocellulosic aliphatic structures remains after HTC. Simultaneously, prominent C=O and C–O–C absorptions confirm the formation of oxygenated intermediates arising from cellulose and hemicellulose degradation through dehydration, fragmentation, and re</w:t>
      </w:r>
      <w:r w:rsidRPr="00243A66">
        <w:rPr>
          <w:rFonts w:ascii="Cambria Math" w:hAnsi="Cambria Math" w:cs="Cambria Math"/>
          <w:lang w:val="en-GB"/>
        </w:rPr>
        <w:t>‑</w:t>
      </w:r>
      <w:r w:rsidRPr="00243A66">
        <w:rPr>
          <w:lang w:val="en-GB"/>
        </w:rPr>
        <w:t xml:space="preserve">polymerization reactions, and the emergence of olefinic and aromatic C=C bands </w:t>
      </w:r>
      <w:r w:rsidR="007B0845" w:rsidRPr="00243A66">
        <w:rPr>
          <w:lang w:val="en-GB"/>
        </w:rPr>
        <w:t>highlight</w:t>
      </w:r>
      <w:r w:rsidRPr="00243A66">
        <w:rPr>
          <w:lang w:val="en-GB"/>
        </w:rPr>
        <w:t xml:space="preserve"> partial aromatization enhanced during activation at 450</w:t>
      </w:r>
      <w:r w:rsidRPr="00243A66">
        <w:rPr>
          <w:rFonts w:cs="Arial"/>
          <w:lang w:val="en-GB"/>
        </w:rPr>
        <w:t> °</w:t>
      </w:r>
      <w:r w:rsidRPr="00243A66">
        <w:rPr>
          <w:lang w:val="en-GB"/>
        </w:rPr>
        <w:t>C under N</w:t>
      </w:r>
      <w:r w:rsidRPr="00243A66">
        <w:rPr>
          <w:rFonts w:ascii="Cambria Math" w:hAnsi="Cambria Math" w:cs="Cambria Math"/>
          <w:lang w:val="en-GB"/>
        </w:rPr>
        <w:t>₂</w:t>
      </w:r>
      <w:r w:rsidRPr="00243A66">
        <w:rPr>
          <w:lang w:val="en-GB"/>
        </w:rPr>
        <w:t>. The bands corresponding to P</w:t>
      </w:r>
      <w:r w:rsidRPr="00243A66">
        <w:rPr>
          <w:rFonts w:ascii="Cambria Math" w:hAnsi="Cambria Math" w:cs="Cambria Math"/>
          <w:lang w:val="en-GB"/>
        </w:rPr>
        <w:t>‑</w:t>
      </w:r>
      <w:r w:rsidRPr="00243A66">
        <w:rPr>
          <w:lang w:val="en-GB"/>
        </w:rPr>
        <w:t>containing groups (C–O–P, P=O, P–OOH) demonstrate successful H</w:t>
      </w:r>
      <w:r w:rsidRPr="00243A66">
        <w:rPr>
          <w:rFonts w:ascii="Cambria Math" w:hAnsi="Cambria Math" w:cs="Cambria Math"/>
          <w:lang w:val="en-GB"/>
        </w:rPr>
        <w:t>₃</w:t>
      </w:r>
      <w:r w:rsidRPr="00243A66">
        <w:rPr>
          <w:lang w:val="en-GB"/>
        </w:rPr>
        <w:t>PO</w:t>
      </w:r>
      <w:r w:rsidRPr="00243A66">
        <w:rPr>
          <w:rFonts w:ascii="Cambria Math" w:hAnsi="Cambria Math" w:cs="Cambria Math"/>
          <w:lang w:val="en-GB"/>
        </w:rPr>
        <w:t>₄</w:t>
      </w:r>
      <w:r w:rsidRPr="00243A66">
        <w:rPr>
          <w:lang w:val="en-GB"/>
        </w:rPr>
        <w:t xml:space="preserve"> functionalization, consistent with phosphate ester formation and condensation reactions documented during acid</w:t>
      </w:r>
      <w:r w:rsidRPr="00243A66">
        <w:rPr>
          <w:rFonts w:ascii="Cambria Math" w:hAnsi="Cambria Math" w:cs="Cambria Math"/>
          <w:lang w:val="en-GB"/>
        </w:rPr>
        <w:t>‑</w:t>
      </w:r>
      <w:r w:rsidRPr="00243A66">
        <w:rPr>
          <w:lang w:val="en-GB"/>
        </w:rPr>
        <w:t>assisted carbonization, which create acidic surface sites and increase the density of adsorption functionalities. Their higher intensity in AP</w:t>
      </w:r>
      <w:r w:rsidRPr="00243A66">
        <w:rPr>
          <w:rFonts w:ascii="Cambria Math" w:hAnsi="Cambria Math" w:cs="Cambria Math"/>
          <w:lang w:val="en-GB"/>
        </w:rPr>
        <w:t>‑</w:t>
      </w:r>
      <w:r w:rsidRPr="00243A66">
        <w:rPr>
          <w:lang w:val="en-GB"/>
        </w:rPr>
        <w:t>AHC</w:t>
      </w:r>
      <w:r w:rsidRPr="00243A66">
        <w:rPr>
          <w:rFonts w:ascii="Cambria Math" w:hAnsi="Cambria Math" w:cs="Cambria Math"/>
          <w:lang w:val="en-GB"/>
        </w:rPr>
        <w:t>‑</w:t>
      </w:r>
      <w:r w:rsidRPr="00243A66">
        <w:rPr>
          <w:lang w:val="en-GB"/>
        </w:rPr>
        <w:t>P5 suggests more extensive phosphorylation at higher acid concentration. Altogether, the coexistence of dehydrogenated aromatic domains, residual aliphatic structures, and abundant P</w:t>
      </w:r>
      <w:r w:rsidRPr="00243A66">
        <w:rPr>
          <w:rFonts w:ascii="Cambria Math" w:hAnsi="Cambria Math" w:cs="Cambria Math"/>
          <w:lang w:val="en-GB"/>
        </w:rPr>
        <w:t>‑</w:t>
      </w:r>
      <w:r w:rsidRPr="00243A66">
        <w:rPr>
          <w:lang w:val="en-GB"/>
        </w:rPr>
        <w:t>oxygenated moieties yields a heterogeneous, chemically rich surface that enhances the adsorption potential of the AHCs, particularly toward cationic species such as MB.</w:t>
      </w:r>
    </w:p>
    <w:p w14:paraId="5CC0DB13" w14:textId="77777777" w:rsidR="00867CB4" w:rsidRPr="00243A66" w:rsidRDefault="00867CB4" w:rsidP="00D30CAD">
      <w:pPr>
        <w:pStyle w:val="CETBodytext"/>
        <w:rPr>
          <w:lang w:val="en-GB"/>
        </w:rPr>
      </w:pPr>
    </w:p>
    <w:p w14:paraId="79936DF0" w14:textId="1FF21A13" w:rsidR="003D29CE" w:rsidRPr="00243A66" w:rsidRDefault="00867CB4" w:rsidP="00D30CAD">
      <w:pPr>
        <w:pStyle w:val="CETBodytext"/>
        <w:rPr>
          <w:lang w:val="en-GB"/>
        </w:rPr>
      </w:pPr>
      <w:r>
        <w:rPr>
          <w:noProof/>
          <w:lang w:val="es-ES" w:eastAsia="es-ES"/>
        </w:rPr>
        <w:drawing>
          <wp:inline distT="0" distB="0" distL="0" distR="0" wp14:anchorId="16F66C03" wp14:editId="2EF8A341">
            <wp:extent cx="2999014" cy="239191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1927" cy="2426140"/>
                    </a:xfrm>
                    <a:prstGeom prst="rect">
                      <a:avLst/>
                    </a:prstGeom>
                    <a:noFill/>
                  </pic:spPr>
                </pic:pic>
              </a:graphicData>
            </a:graphic>
          </wp:inline>
        </w:drawing>
      </w:r>
    </w:p>
    <w:p w14:paraId="6D9AE647" w14:textId="456A2A9E" w:rsidR="00D30CAD" w:rsidRPr="00243A66" w:rsidRDefault="00D30CAD" w:rsidP="00D30CAD">
      <w:pPr>
        <w:pStyle w:val="CETBodytext"/>
        <w:rPr>
          <w:rStyle w:val="CETCaptionCarattere"/>
        </w:rPr>
      </w:pPr>
      <w:r w:rsidRPr="00243A66">
        <w:rPr>
          <w:rStyle w:val="CETCaptionCarattere"/>
        </w:rPr>
        <w:t xml:space="preserve">Figure 2: </w:t>
      </w:r>
      <w:r w:rsidRPr="00243A66">
        <w:rPr>
          <w:i/>
          <w:lang w:val="en-GB"/>
        </w:rPr>
        <w:t xml:space="preserve">ATR-FTIR spectra </w:t>
      </w:r>
      <w:r w:rsidR="00057D82" w:rsidRPr="00243A66">
        <w:rPr>
          <w:i/>
          <w:lang w:val="en-GB"/>
        </w:rPr>
        <w:t>of the different activated hydrochar samples.</w:t>
      </w:r>
    </w:p>
    <w:p w14:paraId="32626527" w14:textId="01840A82" w:rsidR="00703F4F" w:rsidRPr="00243A66" w:rsidRDefault="00703F4F" w:rsidP="00703F4F">
      <w:pPr>
        <w:pStyle w:val="CETheadingx"/>
        <w:rPr>
          <w:bCs/>
          <w:lang w:val="en-GB"/>
        </w:rPr>
      </w:pPr>
      <w:r w:rsidRPr="00243A66">
        <w:rPr>
          <w:bCs/>
          <w:lang w:val="en-GB"/>
        </w:rPr>
        <w:t xml:space="preserve">Scanning Electron Microscopy (SEM) </w:t>
      </w:r>
    </w:p>
    <w:p w14:paraId="221AFAEE" w14:textId="6EB38482" w:rsidR="00DB2189" w:rsidRDefault="009F7414" w:rsidP="004749E9">
      <w:pPr>
        <w:pStyle w:val="CETnumberingbullets"/>
        <w:numPr>
          <w:ilvl w:val="0"/>
          <w:numId w:val="0"/>
        </w:numPr>
        <w:jc w:val="both"/>
      </w:pPr>
      <w:r w:rsidRPr="00243A66">
        <w:t>The SEM micrographs of the activated hydrochars AP</w:t>
      </w:r>
      <w:r w:rsidRPr="00243A66">
        <w:rPr>
          <w:rFonts w:ascii="Cambria Math" w:hAnsi="Cambria Math" w:cs="Cambria Math"/>
        </w:rPr>
        <w:t>‑</w:t>
      </w:r>
      <w:r w:rsidRPr="00243A66">
        <w:t>AHC</w:t>
      </w:r>
      <w:r w:rsidRPr="00243A66">
        <w:rPr>
          <w:rFonts w:ascii="Cambria Math" w:hAnsi="Cambria Math" w:cs="Cambria Math"/>
        </w:rPr>
        <w:t>‑</w:t>
      </w:r>
      <w:r w:rsidRPr="00243A66">
        <w:t>P2.5 and AP</w:t>
      </w:r>
      <w:r w:rsidRPr="00243A66">
        <w:rPr>
          <w:rFonts w:ascii="Cambria Math" w:hAnsi="Cambria Math" w:cs="Cambria Math"/>
        </w:rPr>
        <w:t>‑</w:t>
      </w:r>
      <w:r w:rsidRPr="00243A66">
        <w:t>AHC</w:t>
      </w:r>
      <w:r w:rsidRPr="00243A66">
        <w:rPr>
          <w:rFonts w:ascii="Cambria Math" w:hAnsi="Cambria Math" w:cs="Cambria Math"/>
        </w:rPr>
        <w:t>‑</w:t>
      </w:r>
      <w:r w:rsidRPr="00243A66">
        <w:t>P5  (Figure 3) show that</w:t>
      </w:r>
      <w:r w:rsidR="005F08F8" w:rsidRPr="00243A66">
        <w:t xml:space="preserve">, in </w:t>
      </w:r>
      <w:r w:rsidR="00CC34DE" w:rsidRPr="00243A66">
        <w:t>both samples</w:t>
      </w:r>
      <w:r w:rsidR="005F08F8" w:rsidRPr="00243A66">
        <w:t>,</w:t>
      </w:r>
      <w:r w:rsidR="00CC34DE" w:rsidRPr="00243A66">
        <w:t xml:space="preserve"> the original block</w:t>
      </w:r>
      <w:r w:rsidR="00CC34DE" w:rsidRPr="00243A66">
        <w:rPr>
          <w:rFonts w:ascii="Cambria Math" w:hAnsi="Cambria Math" w:cs="Cambria Math"/>
        </w:rPr>
        <w:t>‑</w:t>
      </w:r>
      <w:r w:rsidR="00CC34DE" w:rsidRPr="00243A66">
        <w:t>like features of the biomass are no longer visible, indicating extensive decomposition and reorganization of biopolymer fractions under HTC followed by activation.</w:t>
      </w:r>
      <w:r w:rsidR="00DB2189" w:rsidRPr="00243A66">
        <w:t xml:space="preserve"> </w:t>
      </w:r>
      <w:r w:rsidR="004749E9" w:rsidRPr="00243A66">
        <w:t>A</w:t>
      </w:r>
      <w:r w:rsidR="00DB2189" w:rsidRPr="00243A66">
        <w:t xml:space="preserve"> highly disrupted carbon structure</w:t>
      </w:r>
      <w:r w:rsidR="004749E9" w:rsidRPr="00243A66">
        <w:t xml:space="preserve"> is shown </w:t>
      </w:r>
      <w:r w:rsidR="00DB2189" w:rsidRPr="00243A66">
        <w:t>in both AP</w:t>
      </w:r>
      <w:r w:rsidR="00DB2189" w:rsidRPr="00243A66">
        <w:noBreakHyphen/>
        <w:t>AHC</w:t>
      </w:r>
      <w:r w:rsidR="00DB2189" w:rsidRPr="00243A66">
        <w:noBreakHyphen/>
        <w:t>P2.5 and AP</w:t>
      </w:r>
      <w:r w:rsidR="00DB2189" w:rsidRPr="00243A66">
        <w:noBreakHyphen/>
        <w:t>AHC</w:t>
      </w:r>
      <w:r w:rsidR="00DB2189" w:rsidRPr="00243A66">
        <w:noBreakHyphen/>
        <w:t>P5, characteri</w:t>
      </w:r>
      <w:r w:rsidR="00243A66" w:rsidRPr="00243A66">
        <w:t>s</w:t>
      </w:r>
      <w:r w:rsidR="00DB2189" w:rsidRPr="00243A66">
        <w:t>ed by fragmented surfaces, open cavities, and a network of newly formed pores. This morphology indicates that H</w:t>
      </w:r>
      <w:r w:rsidR="00DB2189" w:rsidRPr="00243A66">
        <w:rPr>
          <w:rFonts w:ascii="Cambria Math" w:hAnsi="Cambria Math" w:cs="Cambria Math"/>
        </w:rPr>
        <w:t>₃</w:t>
      </w:r>
      <w:r w:rsidR="00DB2189" w:rsidRPr="00243A66">
        <w:t>PO</w:t>
      </w:r>
      <w:r w:rsidR="00DB2189" w:rsidRPr="00243A66">
        <w:rPr>
          <w:rFonts w:ascii="Cambria Math" w:hAnsi="Cambria Math" w:cs="Cambria Math"/>
        </w:rPr>
        <w:t>₄</w:t>
      </w:r>
      <w:r w:rsidR="00DB2189" w:rsidRPr="00243A66">
        <w:t xml:space="preserve"> promotes extensive matrix swelling, which enlarges mesopores, while the breakdown of C</w:t>
      </w:r>
      <w:r w:rsidR="00DB2189" w:rsidRPr="00243A66">
        <w:rPr>
          <w:rFonts w:cs="Arial"/>
        </w:rPr>
        <w:t>–</w:t>
      </w:r>
      <w:r w:rsidR="00DB2189" w:rsidRPr="00243A66">
        <w:t>O</w:t>
      </w:r>
      <w:r w:rsidR="00DB2189" w:rsidRPr="00243A66">
        <w:rPr>
          <w:rFonts w:cs="Arial"/>
        </w:rPr>
        <w:t>–</w:t>
      </w:r>
      <w:r w:rsidR="00DB2189" w:rsidRPr="00243A66">
        <w:t>C linkages contributes to the formation of finer microporous features. The presence of stabilized pore walls is consistent with the formation of polyphosphate species during activation, preventing collapse during carbonization. Although both acid concentrations produce similarly porous frameworks, the more pronounced fragmentation observed in AP</w:t>
      </w:r>
      <w:r w:rsidR="00DB2189" w:rsidRPr="00243A66">
        <w:noBreakHyphen/>
        <w:t>AHC</w:t>
      </w:r>
      <w:r w:rsidR="00DB2189" w:rsidRPr="00243A66">
        <w:noBreakHyphen/>
        <w:t>P5 suggests that higher H</w:t>
      </w:r>
      <w:r w:rsidR="00DB2189" w:rsidRPr="00243A66">
        <w:rPr>
          <w:rFonts w:ascii="Cambria Math" w:hAnsi="Cambria Math" w:cs="Cambria Math"/>
        </w:rPr>
        <w:t>₃</w:t>
      </w:r>
      <w:r w:rsidR="00DB2189" w:rsidRPr="00243A66">
        <w:t>PO</w:t>
      </w:r>
      <w:r w:rsidR="00DB2189" w:rsidRPr="00243A66">
        <w:rPr>
          <w:rFonts w:ascii="Cambria Math" w:hAnsi="Cambria Math" w:cs="Cambria Math"/>
        </w:rPr>
        <w:t>₄</w:t>
      </w:r>
      <w:r w:rsidR="00DB2189" w:rsidRPr="00243A66">
        <w:t xml:space="preserve"> loading intensifies structural decomposition and pore development.</w:t>
      </w:r>
    </w:p>
    <w:p w14:paraId="77EF599F" w14:textId="7CD60D9C" w:rsidR="00DB6872" w:rsidRDefault="00DB6872" w:rsidP="004749E9">
      <w:pPr>
        <w:pStyle w:val="CETnumberingbullets"/>
        <w:numPr>
          <w:ilvl w:val="0"/>
          <w:numId w:val="0"/>
        </w:numPr>
        <w:jc w:val="both"/>
      </w:pPr>
    </w:p>
    <w:p w14:paraId="3AD52304" w14:textId="77777777" w:rsidR="00DB6872" w:rsidRDefault="00DB6872" w:rsidP="004749E9">
      <w:pPr>
        <w:pStyle w:val="CETnumberingbullets"/>
        <w:numPr>
          <w:ilvl w:val="0"/>
          <w:numId w:val="0"/>
        </w:numPr>
        <w:jc w:val="both"/>
      </w:pPr>
    </w:p>
    <w:p w14:paraId="15E38CF7" w14:textId="77777777" w:rsidR="00B639BF" w:rsidRPr="00243A66" w:rsidRDefault="00B639BF" w:rsidP="004749E9">
      <w:pPr>
        <w:pStyle w:val="CETnumberingbullets"/>
        <w:numPr>
          <w:ilvl w:val="0"/>
          <w:numId w:val="0"/>
        </w:numPr>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681"/>
      </w:tblGrid>
      <w:tr w:rsidR="001604BC" w:rsidRPr="00243A66" w14:paraId="7625AB0F" w14:textId="77777777" w:rsidTr="00C044E7">
        <w:tc>
          <w:tcPr>
            <w:tcW w:w="3360" w:type="dxa"/>
          </w:tcPr>
          <w:p w14:paraId="5C3663D1" w14:textId="0987FFA4" w:rsidR="001604BC" w:rsidRPr="00243A66" w:rsidRDefault="001604BC" w:rsidP="001604BC">
            <w:pPr>
              <w:pStyle w:val="CETnumberingbullets"/>
              <w:numPr>
                <w:ilvl w:val="0"/>
                <w:numId w:val="0"/>
              </w:numPr>
              <w:jc w:val="center"/>
            </w:pPr>
            <w:r w:rsidRPr="00243A66">
              <w:rPr>
                <w:b/>
              </w:rPr>
              <w:lastRenderedPageBreak/>
              <w:t>AP-AHC-P2.5</w:t>
            </w:r>
          </w:p>
        </w:tc>
        <w:tc>
          <w:tcPr>
            <w:tcW w:w="3681" w:type="dxa"/>
          </w:tcPr>
          <w:p w14:paraId="2DA03533" w14:textId="22FD14B2" w:rsidR="001604BC" w:rsidRPr="00243A66" w:rsidRDefault="001604BC" w:rsidP="001604BC">
            <w:pPr>
              <w:pStyle w:val="CETnumberingbullets"/>
              <w:numPr>
                <w:ilvl w:val="0"/>
                <w:numId w:val="0"/>
              </w:numPr>
              <w:jc w:val="center"/>
            </w:pPr>
            <w:r w:rsidRPr="00243A66">
              <w:rPr>
                <w:b/>
              </w:rPr>
              <w:t>AP-AHC-P5</w:t>
            </w:r>
          </w:p>
        </w:tc>
      </w:tr>
      <w:tr w:rsidR="001604BC" w:rsidRPr="00243A66" w14:paraId="471F615B" w14:textId="77777777" w:rsidTr="00C044E7">
        <w:tc>
          <w:tcPr>
            <w:tcW w:w="3360" w:type="dxa"/>
          </w:tcPr>
          <w:p w14:paraId="1E204DDF" w14:textId="0347AB36" w:rsidR="001604BC" w:rsidRPr="00243A66" w:rsidRDefault="001604BC" w:rsidP="004749E9">
            <w:pPr>
              <w:pStyle w:val="CETnumberingbullets"/>
              <w:numPr>
                <w:ilvl w:val="0"/>
                <w:numId w:val="0"/>
              </w:numPr>
              <w:jc w:val="both"/>
            </w:pPr>
            <w:r w:rsidRPr="00243A66">
              <w:rPr>
                <w:noProof/>
                <w:lang w:val="es-ES" w:eastAsia="es-ES"/>
              </w:rPr>
              <w:drawing>
                <wp:inline distT="0" distB="0" distL="0" distR="0" wp14:anchorId="6F7FEFC9" wp14:editId="54EC83DE">
                  <wp:extent cx="1905000" cy="1440510"/>
                  <wp:effectExtent l="0" t="0" r="0" b="7620"/>
                  <wp:docPr id="22" name="Irudia 22" descr="C:\Users\scpanbem\Desktop\SEM\24.03.27 M\HTC PA_m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cpanbem\Desktop\SEM\24.03.27 M\HTC PA_m0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4739" cy="1478122"/>
                          </a:xfrm>
                          <a:prstGeom prst="rect">
                            <a:avLst/>
                          </a:prstGeom>
                          <a:noFill/>
                          <a:ln>
                            <a:noFill/>
                          </a:ln>
                        </pic:spPr>
                      </pic:pic>
                    </a:graphicData>
                  </a:graphic>
                </wp:inline>
              </w:drawing>
            </w:r>
          </w:p>
        </w:tc>
        <w:tc>
          <w:tcPr>
            <w:tcW w:w="3681" w:type="dxa"/>
          </w:tcPr>
          <w:p w14:paraId="58581B62" w14:textId="4FD4ADA1" w:rsidR="001604BC" w:rsidRPr="00243A66" w:rsidRDefault="001604BC" w:rsidP="004749E9">
            <w:pPr>
              <w:pStyle w:val="CETnumberingbullets"/>
              <w:numPr>
                <w:ilvl w:val="0"/>
                <w:numId w:val="0"/>
              </w:numPr>
              <w:jc w:val="both"/>
            </w:pPr>
            <w:r w:rsidRPr="00243A66">
              <w:rPr>
                <w:noProof/>
                <w:lang w:val="es-ES" w:eastAsia="es-ES"/>
              </w:rPr>
              <w:drawing>
                <wp:inline distT="0" distB="0" distL="0" distR="0" wp14:anchorId="2D15CE02" wp14:editId="3EEB3BFF">
                  <wp:extent cx="1868125" cy="1410614"/>
                  <wp:effectExtent l="0" t="0" r="0" b="0"/>
                  <wp:docPr id="14" name="Imagen 14" descr="C:\Users\scpgoalm\OneDrive - UPV EHU\Politecnica\CONGRESOS\2025\Caracterizacion\SEM-hidrochar\ACTIVATED-HTCP-SEM\aHTCP5_m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cpgoalm\OneDrive - UPV EHU\Politecnica\CONGRESOS\2025\Caracterizacion\SEM-hidrochar\ACTIVATED-HTCP-SEM\aHTCP5_m16.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5316" cy="1453799"/>
                          </a:xfrm>
                          <a:prstGeom prst="rect">
                            <a:avLst/>
                          </a:prstGeom>
                          <a:noFill/>
                          <a:ln>
                            <a:noFill/>
                          </a:ln>
                        </pic:spPr>
                      </pic:pic>
                    </a:graphicData>
                  </a:graphic>
                </wp:inline>
              </w:drawing>
            </w:r>
          </w:p>
        </w:tc>
      </w:tr>
      <w:tr w:rsidR="001604BC" w:rsidRPr="00243A66" w14:paraId="707E85EF" w14:textId="77777777" w:rsidTr="00C044E7">
        <w:tc>
          <w:tcPr>
            <w:tcW w:w="3360" w:type="dxa"/>
          </w:tcPr>
          <w:p w14:paraId="19E6C956" w14:textId="43CE1703" w:rsidR="001604BC" w:rsidRPr="00243A66" w:rsidRDefault="001604BC" w:rsidP="004749E9">
            <w:pPr>
              <w:pStyle w:val="CETnumberingbullets"/>
              <w:numPr>
                <w:ilvl w:val="0"/>
                <w:numId w:val="0"/>
              </w:numPr>
              <w:jc w:val="both"/>
            </w:pPr>
            <w:r w:rsidRPr="00243A66">
              <w:rPr>
                <w:noProof/>
                <w:lang w:val="es-ES" w:eastAsia="es-ES"/>
              </w:rPr>
              <w:drawing>
                <wp:inline distT="0" distB="0" distL="0" distR="0" wp14:anchorId="5455A229" wp14:editId="488032C8">
                  <wp:extent cx="1884217" cy="1413163"/>
                  <wp:effectExtent l="0" t="0" r="1905" b="0"/>
                  <wp:docPr id="29" name="Irudia 29" descr="C:\Users\scpanbem\Desktop\SEM\24.03.27 M\HTC PA_m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cpanbem\Desktop\SEM\24.03.27 M\HTC PA_m08.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6" cy="1435895"/>
                          </a:xfrm>
                          <a:prstGeom prst="rect">
                            <a:avLst/>
                          </a:prstGeom>
                          <a:noFill/>
                          <a:ln>
                            <a:noFill/>
                          </a:ln>
                        </pic:spPr>
                      </pic:pic>
                    </a:graphicData>
                  </a:graphic>
                </wp:inline>
              </w:drawing>
            </w:r>
          </w:p>
        </w:tc>
        <w:tc>
          <w:tcPr>
            <w:tcW w:w="3681" w:type="dxa"/>
          </w:tcPr>
          <w:p w14:paraId="45C6A396" w14:textId="159879C2" w:rsidR="001604BC" w:rsidRPr="00243A66" w:rsidRDefault="001604BC" w:rsidP="004749E9">
            <w:pPr>
              <w:pStyle w:val="CETnumberingbullets"/>
              <w:numPr>
                <w:ilvl w:val="0"/>
                <w:numId w:val="0"/>
              </w:numPr>
              <w:jc w:val="both"/>
            </w:pPr>
            <w:r w:rsidRPr="00243A66">
              <w:rPr>
                <w:noProof/>
                <w:lang w:val="es-ES" w:eastAsia="es-ES"/>
              </w:rPr>
              <w:drawing>
                <wp:inline distT="0" distB="0" distL="0" distR="0" wp14:anchorId="1583D09C" wp14:editId="2BBBD2C6">
                  <wp:extent cx="1891541" cy="1420585"/>
                  <wp:effectExtent l="0" t="0" r="0" b="8255"/>
                  <wp:docPr id="60" name="Imagen 60" descr="C:\Users\scpgoalm\OneDrive - UPV EHU\Politecnica\CONGRESOS\2025\Caracterizacion\SEM-hidrochar\ACTIVATED-HTCP-SEM\aHTCP0_m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cpgoalm\OneDrive - UPV EHU\Politecnica\CONGRESOS\2025\Caracterizacion\SEM-hidrochar\ACTIVATED-HTCP-SEM\aHTCP0_m12.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4619" cy="1482979"/>
                          </a:xfrm>
                          <a:prstGeom prst="rect">
                            <a:avLst/>
                          </a:prstGeom>
                          <a:noFill/>
                          <a:ln>
                            <a:noFill/>
                          </a:ln>
                        </pic:spPr>
                      </pic:pic>
                    </a:graphicData>
                  </a:graphic>
                </wp:inline>
              </w:drawing>
            </w:r>
          </w:p>
        </w:tc>
      </w:tr>
    </w:tbl>
    <w:p w14:paraId="25C7E3CC" w14:textId="60B52D1A" w:rsidR="00F95856" w:rsidRPr="00243A66" w:rsidRDefault="00F95856" w:rsidP="00F95856">
      <w:pPr>
        <w:pStyle w:val="CETBodytext"/>
        <w:rPr>
          <w:rStyle w:val="CETCaptionCarattere"/>
        </w:rPr>
      </w:pPr>
      <w:r w:rsidRPr="00243A66">
        <w:rPr>
          <w:rStyle w:val="CETCaptionCarattere"/>
        </w:rPr>
        <w:t xml:space="preserve">Figure 3: </w:t>
      </w:r>
      <w:r w:rsidRPr="00243A66">
        <w:rPr>
          <w:i/>
          <w:lang w:val="en-GB"/>
        </w:rPr>
        <w:t xml:space="preserve">SEM images of the </w:t>
      </w:r>
      <w:r w:rsidR="008D0E3F" w:rsidRPr="00243A66">
        <w:rPr>
          <w:i/>
          <w:lang w:val="en-GB"/>
        </w:rPr>
        <w:t>ACH</w:t>
      </w:r>
      <w:r w:rsidRPr="00243A66">
        <w:rPr>
          <w:i/>
          <w:lang w:val="en-GB"/>
        </w:rPr>
        <w:t xml:space="preserve"> samples.</w:t>
      </w:r>
    </w:p>
    <w:p w14:paraId="78E386CF" w14:textId="56898DF9" w:rsidR="00F95856" w:rsidRPr="00243A66" w:rsidRDefault="00F95856" w:rsidP="00F95856">
      <w:pPr>
        <w:pStyle w:val="CETheadingx"/>
        <w:rPr>
          <w:lang w:val="en-GB"/>
        </w:rPr>
      </w:pPr>
      <w:r w:rsidRPr="00243A66">
        <w:rPr>
          <w:lang w:val="en-GB"/>
        </w:rPr>
        <w:t>P</w:t>
      </w:r>
      <w:r w:rsidRPr="00243A66">
        <w:rPr>
          <w:bCs/>
          <w:lang w:val="en-GB"/>
        </w:rPr>
        <w:t xml:space="preserve">orosity and surface properties </w:t>
      </w:r>
      <w:r w:rsidRPr="00243A66">
        <w:rPr>
          <w:lang w:val="en-GB"/>
        </w:rPr>
        <w:t xml:space="preserve"> </w:t>
      </w:r>
    </w:p>
    <w:p w14:paraId="1B343C06" w14:textId="3716A84B" w:rsidR="00A41954" w:rsidRDefault="00F264DD" w:rsidP="00A41954">
      <w:pPr>
        <w:pStyle w:val="CETnumberingbullets"/>
        <w:numPr>
          <w:ilvl w:val="0"/>
          <w:numId w:val="0"/>
        </w:numPr>
      </w:pPr>
      <w:r w:rsidRPr="00243A66">
        <w:t>The</w:t>
      </w:r>
      <w:r w:rsidR="00B86625" w:rsidRPr="00243A66">
        <w:t xml:space="preserve"> N</w:t>
      </w:r>
      <w:r w:rsidR="00B86625" w:rsidRPr="00243A66">
        <w:rPr>
          <w:vertAlign w:val="subscript"/>
        </w:rPr>
        <w:t>2</w:t>
      </w:r>
      <w:r w:rsidR="00B86625" w:rsidRPr="00243A66">
        <w:t xml:space="preserve"> adsorption/desorption isotherms </w:t>
      </w:r>
      <w:r w:rsidRPr="00243A66">
        <w:t xml:space="preserve">and calculated (NDFT) pore size distribution curves of </w:t>
      </w:r>
      <w:r w:rsidR="008D0E3F" w:rsidRPr="00243A66">
        <w:t xml:space="preserve">ACH samples </w:t>
      </w:r>
      <w:r w:rsidR="00A41954" w:rsidRPr="00243A66">
        <w:t>are</w:t>
      </w:r>
      <w:r w:rsidR="00B86625" w:rsidRPr="00243A66">
        <w:t xml:space="preserve"> presented in Figure 4</w:t>
      </w:r>
      <w:r w:rsidR="00A41954" w:rsidRPr="00243A66">
        <w:t>, whereas the porosity and surface properties are included in Table 2.</w:t>
      </w:r>
    </w:p>
    <w:p w14:paraId="40129E55" w14:textId="77777777" w:rsidR="00B86625" w:rsidRPr="00243A66" w:rsidRDefault="00B86625" w:rsidP="00B86625">
      <w:pPr>
        <w:pStyle w:val="CETnumberingbullets"/>
        <w:numPr>
          <w:ilvl w:val="0"/>
          <w:numId w:val="0"/>
        </w:numPr>
        <w:jc w:val="both"/>
        <w:rPr>
          <w:highlight w:val="yellow"/>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0"/>
        <w:gridCol w:w="4367"/>
      </w:tblGrid>
      <w:tr w:rsidR="0010453F" w:rsidRPr="00243A66" w14:paraId="2E640AD8" w14:textId="77777777" w:rsidTr="00C044E7">
        <w:tc>
          <w:tcPr>
            <w:tcW w:w="3937" w:type="dxa"/>
          </w:tcPr>
          <w:p w14:paraId="18DBFAC4" w14:textId="460E9350" w:rsidR="00591581" w:rsidRPr="00243A66" w:rsidRDefault="000347C0" w:rsidP="000347C0">
            <w:pPr>
              <w:pStyle w:val="CETnumberingbullets"/>
              <w:numPr>
                <w:ilvl w:val="0"/>
                <w:numId w:val="0"/>
              </w:numPr>
              <w:jc w:val="center"/>
            </w:pPr>
            <w:r w:rsidRPr="00243A66">
              <w:rPr>
                <w:b/>
              </w:rPr>
              <w:t>AP-AHC-P2.5</w:t>
            </w:r>
          </w:p>
        </w:tc>
        <w:tc>
          <w:tcPr>
            <w:tcW w:w="4840" w:type="dxa"/>
          </w:tcPr>
          <w:p w14:paraId="4A2FFF5A" w14:textId="3EE06CAC" w:rsidR="00591581" w:rsidRPr="00243A66" w:rsidRDefault="000347C0" w:rsidP="000347C0">
            <w:pPr>
              <w:pStyle w:val="CETnumberingbullets"/>
              <w:numPr>
                <w:ilvl w:val="0"/>
                <w:numId w:val="0"/>
              </w:numPr>
              <w:jc w:val="center"/>
            </w:pPr>
            <w:r w:rsidRPr="00243A66">
              <w:rPr>
                <w:b/>
              </w:rPr>
              <w:t>AP-AHC-P5</w:t>
            </w:r>
          </w:p>
        </w:tc>
      </w:tr>
      <w:tr w:rsidR="0010453F" w:rsidRPr="00243A66" w14:paraId="238632FE" w14:textId="77777777" w:rsidTr="00C044E7">
        <w:tc>
          <w:tcPr>
            <w:tcW w:w="3937" w:type="dxa"/>
          </w:tcPr>
          <w:p w14:paraId="74197DE1" w14:textId="0BA3D384" w:rsidR="00645E8F" w:rsidRPr="00243A66" w:rsidRDefault="00C87389" w:rsidP="00B86625">
            <w:pPr>
              <w:pStyle w:val="CETnumberingbullets"/>
              <w:numPr>
                <w:ilvl w:val="0"/>
                <w:numId w:val="0"/>
              </w:numPr>
              <w:jc w:val="both"/>
            </w:pPr>
            <w:r>
              <w:rPr>
                <w:noProof/>
              </w:rPr>
              <w:drawing>
                <wp:inline distT="0" distB="0" distL="0" distR="0" wp14:anchorId="517C8D49" wp14:editId="3A9174EF">
                  <wp:extent cx="2438400" cy="1817538"/>
                  <wp:effectExtent l="0" t="0" r="0" b="0"/>
                  <wp:docPr id="167835629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0299" cy="1818953"/>
                          </a:xfrm>
                          <a:prstGeom prst="rect">
                            <a:avLst/>
                          </a:prstGeom>
                          <a:noFill/>
                        </pic:spPr>
                      </pic:pic>
                    </a:graphicData>
                  </a:graphic>
                </wp:inline>
              </w:drawing>
            </w:r>
          </w:p>
        </w:tc>
        <w:tc>
          <w:tcPr>
            <w:tcW w:w="4840" w:type="dxa"/>
          </w:tcPr>
          <w:p w14:paraId="10FF0C43" w14:textId="3B4DCB75" w:rsidR="00645E8F" w:rsidRPr="00243A66" w:rsidRDefault="00C87389" w:rsidP="00DE0467">
            <w:pPr>
              <w:pStyle w:val="CETnumberingbullets"/>
              <w:numPr>
                <w:ilvl w:val="0"/>
                <w:numId w:val="0"/>
              </w:numPr>
              <w:jc w:val="center"/>
            </w:pPr>
            <w:r>
              <w:rPr>
                <w:noProof/>
              </w:rPr>
              <w:drawing>
                <wp:inline distT="0" distB="0" distL="0" distR="0" wp14:anchorId="2D6AE91C" wp14:editId="086C670D">
                  <wp:extent cx="2732233" cy="1767840"/>
                  <wp:effectExtent l="0" t="0" r="0" b="3810"/>
                  <wp:docPr id="19494313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4133" cy="1769070"/>
                          </a:xfrm>
                          <a:prstGeom prst="rect">
                            <a:avLst/>
                          </a:prstGeom>
                          <a:noFill/>
                        </pic:spPr>
                      </pic:pic>
                    </a:graphicData>
                  </a:graphic>
                </wp:inline>
              </w:drawing>
            </w:r>
          </w:p>
        </w:tc>
      </w:tr>
      <w:tr w:rsidR="0010453F" w:rsidRPr="00243A66" w14:paraId="5C96BB65" w14:textId="77777777" w:rsidTr="00C044E7">
        <w:tc>
          <w:tcPr>
            <w:tcW w:w="3937" w:type="dxa"/>
          </w:tcPr>
          <w:p w14:paraId="7C81E700" w14:textId="35AC08E9" w:rsidR="00B50429" w:rsidRPr="00243A66" w:rsidRDefault="00C87389" w:rsidP="00B86625">
            <w:pPr>
              <w:pStyle w:val="CETnumberingbullets"/>
              <w:numPr>
                <w:ilvl w:val="0"/>
                <w:numId w:val="0"/>
              </w:numPr>
              <w:jc w:val="both"/>
            </w:pPr>
            <w:r>
              <w:rPr>
                <w:noProof/>
              </w:rPr>
              <w:drawing>
                <wp:inline distT="0" distB="0" distL="0" distR="0" wp14:anchorId="3D15EB4B" wp14:editId="0882F0B9">
                  <wp:extent cx="2766470" cy="1837598"/>
                  <wp:effectExtent l="0" t="0" r="0" b="0"/>
                  <wp:docPr id="17591163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7126" cy="1844676"/>
                          </a:xfrm>
                          <a:prstGeom prst="rect">
                            <a:avLst/>
                          </a:prstGeom>
                          <a:noFill/>
                        </pic:spPr>
                      </pic:pic>
                    </a:graphicData>
                  </a:graphic>
                </wp:inline>
              </w:drawing>
            </w:r>
          </w:p>
        </w:tc>
        <w:tc>
          <w:tcPr>
            <w:tcW w:w="4840" w:type="dxa"/>
          </w:tcPr>
          <w:p w14:paraId="1E87D8D9" w14:textId="12B24334" w:rsidR="00B50429" w:rsidRPr="00243A66" w:rsidRDefault="00C87389" w:rsidP="00B86625">
            <w:pPr>
              <w:pStyle w:val="CETnumberingbullets"/>
              <w:numPr>
                <w:ilvl w:val="0"/>
                <w:numId w:val="0"/>
              </w:numPr>
              <w:jc w:val="both"/>
            </w:pPr>
            <w:r>
              <w:rPr>
                <w:noProof/>
              </w:rPr>
              <w:drawing>
                <wp:inline distT="0" distB="0" distL="0" distR="0" wp14:anchorId="13083FD8" wp14:editId="0EDFDD8B">
                  <wp:extent cx="2708850" cy="1801586"/>
                  <wp:effectExtent l="0" t="0" r="0" b="8255"/>
                  <wp:docPr id="196086417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0383" cy="1802606"/>
                          </a:xfrm>
                          <a:prstGeom prst="rect">
                            <a:avLst/>
                          </a:prstGeom>
                          <a:noFill/>
                        </pic:spPr>
                      </pic:pic>
                    </a:graphicData>
                  </a:graphic>
                </wp:inline>
              </w:drawing>
            </w:r>
          </w:p>
        </w:tc>
      </w:tr>
    </w:tbl>
    <w:p w14:paraId="7CBD4816" w14:textId="35A38CC1" w:rsidR="00B86625" w:rsidRDefault="00B86625" w:rsidP="00F95856">
      <w:pPr>
        <w:pStyle w:val="CETnumberingbullets"/>
        <w:numPr>
          <w:ilvl w:val="0"/>
          <w:numId w:val="0"/>
        </w:numPr>
      </w:pPr>
      <w:r w:rsidRPr="00243A66">
        <w:rPr>
          <w:rStyle w:val="CETCaptionCarattere"/>
        </w:rPr>
        <w:t xml:space="preserve">Figure 4: </w:t>
      </w:r>
      <w:r w:rsidR="00396406" w:rsidRPr="00243A66">
        <w:t>N</w:t>
      </w:r>
      <w:r w:rsidR="00396406" w:rsidRPr="00243A66">
        <w:rPr>
          <w:rFonts w:ascii="Cambria Math" w:hAnsi="Cambria Math" w:cs="Cambria Math"/>
        </w:rPr>
        <w:t>₂</w:t>
      </w:r>
      <w:r w:rsidR="00396406" w:rsidRPr="00243A66">
        <w:t xml:space="preserve"> adsorption/desorption isotherms</w:t>
      </w:r>
      <w:r w:rsidR="00645E8F" w:rsidRPr="00243A66">
        <w:t xml:space="preserve"> (77,3 K)</w:t>
      </w:r>
      <w:r w:rsidR="00396406" w:rsidRPr="00243A66">
        <w:t xml:space="preserve"> and calculated (NDFT) pore size distribution curves </w:t>
      </w:r>
      <w:r w:rsidR="00577668" w:rsidRPr="00243A66">
        <w:t>of AP-AHC-P2.5 (</w:t>
      </w:r>
      <w:r w:rsidR="00DE0467" w:rsidRPr="00243A66">
        <w:t>left</w:t>
      </w:r>
      <w:r w:rsidR="00577668" w:rsidRPr="00243A66">
        <w:t>) and of AP-AHC-P5</w:t>
      </w:r>
      <w:r w:rsidR="00E4471A" w:rsidRPr="00243A66">
        <w:t xml:space="preserve"> (</w:t>
      </w:r>
      <w:r w:rsidR="00DE0467" w:rsidRPr="00243A66">
        <w:t>right</w:t>
      </w:r>
      <w:r w:rsidR="00E4471A" w:rsidRPr="00243A66">
        <w:t>)</w:t>
      </w:r>
      <w:r w:rsidR="00396406" w:rsidRPr="00243A66">
        <w:t>.</w:t>
      </w:r>
    </w:p>
    <w:p w14:paraId="5E5B93CA" w14:textId="4142CF0B" w:rsidR="00062B3B" w:rsidRDefault="00062B3B" w:rsidP="00F95856">
      <w:pPr>
        <w:pStyle w:val="CETnumberingbullets"/>
        <w:numPr>
          <w:ilvl w:val="0"/>
          <w:numId w:val="0"/>
        </w:numPr>
      </w:pPr>
    </w:p>
    <w:p w14:paraId="5377998F" w14:textId="7148A364" w:rsidR="0010453F" w:rsidRDefault="0010453F" w:rsidP="00C656CE">
      <w:pPr>
        <w:pStyle w:val="CETnumberingbullets"/>
        <w:numPr>
          <w:ilvl w:val="0"/>
          <w:numId w:val="0"/>
        </w:numPr>
      </w:pPr>
    </w:p>
    <w:p w14:paraId="0AB1328F" w14:textId="77777777" w:rsidR="0010453F" w:rsidRDefault="0010453F" w:rsidP="00C656CE">
      <w:pPr>
        <w:pStyle w:val="CETnumberingbullets"/>
        <w:numPr>
          <w:ilvl w:val="0"/>
          <w:numId w:val="0"/>
        </w:numPr>
      </w:pPr>
    </w:p>
    <w:p w14:paraId="612E37B3" w14:textId="3BAC1392" w:rsidR="00F6597E" w:rsidRPr="00243A66" w:rsidRDefault="00F6597E" w:rsidP="00C656CE">
      <w:pPr>
        <w:pStyle w:val="CETnumberingbullets"/>
        <w:numPr>
          <w:ilvl w:val="0"/>
          <w:numId w:val="0"/>
        </w:numPr>
      </w:pPr>
      <w:r w:rsidRPr="00243A66">
        <w:lastRenderedPageBreak/>
        <w:t>Table 2: Porosity and surface properties (Dubinin-Radushkevich).</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31"/>
        <w:gridCol w:w="1417"/>
        <w:gridCol w:w="2269"/>
        <w:gridCol w:w="1771"/>
      </w:tblGrid>
      <w:tr w:rsidR="00F6597E" w:rsidRPr="00243A66" w14:paraId="2B530C18" w14:textId="77777777" w:rsidTr="00C656CE">
        <w:tc>
          <w:tcPr>
            <w:tcW w:w="1231" w:type="dxa"/>
            <w:tcBorders>
              <w:top w:val="single" w:sz="12" w:space="0" w:color="008000"/>
              <w:bottom w:val="single" w:sz="4" w:space="0" w:color="008000"/>
            </w:tcBorders>
            <w:shd w:val="clear" w:color="auto" w:fill="FFFFFF"/>
          </w:tcPr>
          <w:p w14:paraId="451BC670" w14:textId="77777777" w:rsidR="00F6597E" w:rsidRPr="00243A66" w:rsidRDefault="00F6597E" w:rsidP="005A06B3">
            <w:pPr>
              <w:pStyle w:val="CETBodytext"/>
              <w:rPr>
                <w:b/>
                <w:bCs/>
                <w:lang w:val="en-GB"/>
              </w:rPr>
            </w:pPr>
            <w:r w:rsidRPr="00243A66">
              <w:rPr>
                <w:b/>
                <w:bCs/>
                <w:lang w:val="en-GB"/>
              </w:rPr>
              <w:t>Sample</w:t>
            </w:r>
          </w:p>
        </w:tc>
        <w:tc>
          <w:tcPr>
            <w:tcW w:w="1417" w:type="dxa"/>
            <w:tcBorders>
              <w:top w:val="single" w:sz="12" w:space="0" w:color="008000"/>
              <w:bottom w:val="single" w:sz="4" w:space="0" w:color="008000"/>
            </w:tcBorders>
            <w:shd w:val="clear" w:color="auto" w:fill="FFFFFF"/>
          </w:tcPr>
          <w:p w14:paraId="55988C8E" w14:textId="77777777" w:rsidR="00F6597E" w:rsidRPr="00243A66" w:rsidRDefault="00F6597E" w:rsidP="005A06B3">
            <w:pPr>
              <w:pStyle w:val="CETBodytext"/>
              <w:jc w:val="center"/>
              <w:rPr>
                <w:b/>
                <w:bCs/>
                <w:lang w:val="en-GB"/>
              </w:rPr>
            </w:pPr>
            <w:r w:rsidRPr="00243A66">
              <w:rPr>
                <w:b/>
                <w:bCs/>
                <w:lang w:val="en-GB"/>
              </w:rPr>
              <w:t>Specific surface (m</w:t>
            </w:r>
            <w:r w:rsidRPr="00243A66">
              <w:rPr>
                <w:b/>
                <w:bCs/>
                <w:vertAlign w:val="superscript"/>
                <w:lang w:val="en-GB"/>
              </w:rPr>
              <w:t>2</w:t>
            </w:r>
            <w:r w:rsidRPr="00243A66">
              <w:rPr>
                <w:b/>
                <w:bCs/>
                <w:lang w:val="en-GB"/>
              </w:rPr>
              <w:t>/g)</w:t>
            </w:r>
          </w:p>
        </w:tc>
        <w:tc>
          <w:tcPr>
            <w:tcW w:w="2269" w:type="dxa"/>
            <w:tcBorders>
              <w:top w:val="single" w:sz="12" w:space="0" w:color="008000"/>
              <w:bottom w:val="single" w:sz="4" w:space="0" w:color="008000"/>
            </w:tcBorders>
            <w:shd w:val="clear" w:color="auto" w:fill="FFFFFF"/>
          </w:tcPr>
          <w:p w14:paraId="58550391" w14:textId="77777777" w:rsidR="00F6597E" w:rsidRPr="00243A66" w:rsidRDefault="00F6597E" w:rsidP="005A06B3">
            <w:pPr>
              <w:pStyle w:val="CETBodytext"/>
              <w:jc w:val="center"/>
              <w:rPr>
                <w:b/>
                <w:bCs/>
                <w:lang w:val="en-GB"/>
              </w:rPr>
            </w:pPr>
            <w:r w:rsidRPr="00243A66">
              <w:rPr>
                <w:b/>
                <w:bCs/>
                <w:lang w:val="en-GB"/>
              </w:rPr>
              <w:t>Micropore volume</w:t>
            </w:r>
          </w:p>
          <w:p w14:paraId="5076C5AA" w14:textId="77777777" w:rsidR="00F6597E" w:rsidRPr="00243A66" w:rsidRDefault="00F6597E" w:rsidP="005A06B3">
            <w:pPr>
              <w:pStyle w:val="CETBodytext"/>
              <w:jc w:val="center"/>
              <w:rPr>
                <w:b/>
                <w:bCs/>
                <w:lang w:val="en-GB"/>
              </w:rPr>
            </w:pPr>
            <w:r w:rsidRPr="00243A66">
              <w:rPr>
                <w:b/>
                <w:bCs/>
                <w:lang w:val="en-GB"/>
              </w:rPr>
              <w:t>(cm</w:t>
            </w:r>
            <w:r w:rsidRPr="00243A66">
              <w:rPr>
                <w:b/>
                <w:bCs/>
                <w:vertAlign w:val="superscript"/>
                <w:lang w:val="en-GB"/>
              </w:rPr>
              <w:t>3</w:t>
            </w:r>
            <w:r w:rsidRPr="00243A66">
              <w:rPr>
                <w:b/>
                <w:bCs/>
                <w:lang w:val="en-GB"/>
              </w:rPr>
              <w:t>/g)</w:t>
            </w:r>
          </w:p>
        </w:tc>
        <w:tc>
          <w:tcPr>
            <w:tcW w:w="1771" w:type="dxa"/>
            <w:tcBorders>
              <w:top w:val="single" w:sz="12" w:space="0" w:color="008000"/>
              <w:bottom w:val="single" w:sz="4" w:space="0" w:color="008000"/>
            </w:tcBorders>
            <w:shd w:val="clear" w:color="auto" w:fill="FFFFFF"/>
          </w:tcPr>
          <w:p w14:paraId="7789EB7D" w14:textId="77777777" w:rsidR="00F6597E" w:rsidRPr="00243A66" w:rsidRDefault="00F6597E" w:rsidP="005A06B3">
            <w:pPr>
              <w:pStyle w:val="CETBodytext"/>
              <w:jc w:val="center"/>
              <w:rPr>
                <w:b/>
                <w:bCs/>
                <w:lang w:val="en-GB"/>
              </w:rPr>
            </w:pPr>
            <w:r w:rsidRPr="00243A66">
              <w:rPr>
                <w:b/>
                <w:bCs/>
                <w:lang w:val="en-GB"/>
              </w:rPr>
              <w:t>Average pore width</w:t>
            </w:r>
          </w:p>
          <w:p w14:paraId="011C075C" w14:textId="77777777" w:rsidR="00F6597E" w:rsidRPr="00243A66" w:rsidRDefault="00F6597E" w:rsidP="005A06B3">
            <w:pPr>
              <w:pStyle w:val="CETBodytext"/>
              <w:jc w:val="center"/>
              <w:rPr>
                <w:b/>
                <w:bCs/>
                <w:lang w:val="en-GB"/>
              </w:rPr>
            </w:pPr>
            <w:r w:rsidRPr="00243A66">
              <w:rPr>
                <w:b/>
                <w:bCs/>
                <w:lang w:val="en-GB"/>
              </w:rPr>
              <w:t>(nm)</w:t>
            </w:r>
          </w:p>
        </w:tc>
      </w:tr>
      <w:tr w:rsidR="00F6597E" w:rsidRPr="00243A66" w14:paraId="47FBE6D2" w14:textId="77777777" w:rsidTr="00C656CE">
        <w:trPr>
          <w:trHeight w:val="342"/>
        </w:trPr>
        <w:tc>
          <w:tcPr>
            <w:tcW w:w="1231" w:type="dxa"/>
            <w:tcBorders>
              <w:top w:val="single" w:sz="4" w:space="0" w:color="008000"/>
              <w:bottom w:val="nil"/>
            </w:tcBorders>
            <w:shd w:val="clear" w:color="auto" w:fill="FFFFFF"/>
            <w:vAlign w:val="center"/>
          </w:tcPr>
          <w:p w14:paraId="2C03CCFD" w14:textId="3C0CDB05" w:rsidR="00F6597E" w:rsidRPr="00243A66" w:rsidRDefault="00F6597E" w:rsidP="00F6597E">
            <w:pPr>
              <w:pStyle w:val="CETBodytext"/>
              <w:rPr>
                <w:lang w:val="en-GB"/>
              </w:rPr>
            </w:pPr>
            <w:r w:rsidRPr="00243A66">
              <w:rPr>
                <w:rFonts w:cs="Arial"/>
                <w:b/>
                <w:bCs/>
                <w:color w:val="000000"/>
                <w:kern w:val="24"/>
                <w:szCs w:val="18"/>
                <w:lang w:val="en-GB" w:eastAsia="es-ES"/>
              </w:rPr>
              <w:t>AP-AHC-P2.5</w:t>
            </w:r>
          </w:p>
        </w:tc>
        <w:tc>
          <w:tcPr>
            <w:tcW w:w="1417" w:type="dxa"/>
            <w:tcBorders>
              <w:top w:val="single" w:sz="4" w:space="0" w:color="008000"/>
            </w:tcBorders>
            <w:shd w:val="clear" w:color="auto" w:fill="FFFFFF"/>
            <w:vAlign w:val="center"/>
          </w:tcPr>
          <w:p w14:paraId="28DBC3D7" w14:textId="7DB019E5" w:rsidR="00F6597E" w:rsidRPr="00243A66" w:rsidRDefault="00F6597E" w:rsidP="00F6597E">
            <w:pPr>
              <w:pStyle w:val="CETBodytext"/>
              <w:jc w:val="center"/>
              <w:rPr>
                <w:lang w:val="en-GB"/>
              </w:rPr>
            </w:pPr>
            <w:r w:rsidRPr="00243A66">
              <w:rPr>
                <w:rFonts w:cs="Arial"/>
                <w:color w:val="000000"/>
                <w:kern w:val="24"/>
                <w:szCs w:val="18"/>
                <w:lang w:val="en-GB" w:eastAsia="es-ES"/>
              </w:rPr>
              <w:t>1,342.8 ± 5</w:t>
            </w:r>
          </w:p>
        </w:tc>
        <w:tc>
          <w:tcPr>
            <w:tcW w:w="2269" w:type="dxa"/>
            <w:tcBorders>
              <w:top w:val="single" w:sz="4" w:space="0" w:color="008000"/>
            </w:tcBorders>
            <w:shd w:val="clear" w:color="auto" w:fill="FFFFFF"/>
            <w:vAlign w:val="center"/>
          </w:tcPr>
          <w:p w14:paraId="11F4DA99" w14:textId="5C134AF4" w:rsidR="00F6597E" w:rsidRPr="00243A66" w:rsidRDefault="00F6597E" w:rsidP="00F6597E">
            <w:pPr>
              <w:pStyle w:val="CETBodytext"/>
              <w:jc w:val="center"/>
              <w:rPr>
                <w:lang w:val="en-GB"/>
              </w:rPr>
            </w:pPr>
            <w:r w:rsidRPr="00243A66">
              <w:rPr>
                <w:rFonts w:cs="Arial"/>
                <w:color w:val="000000"/>
                <w:kern w:val="24"/>
                <w:szCs w:val="18"/>
                <w:lang w:val="en-GB" w:eastAsia="es-ES"/>
              </w:rPr>
              <w:t>0.591</w:t>
            </w:r>
          </w:p>
        </w:tc>
        <w:tc>
          <w:tcPr>
            <w:tcW w:w="1771" w:type="dxa"/>
            <w:tcBorders>
              <w:top w:val="single" w:sz="4" w:space="0" w:color="008000"/>
            </w:tcBorders>
            <w:shd w:val="clear" w:color="auto" w:fill="FFFFFF"/>
            <w:vAlign w:val="center"/>
          </w:tcPr>
          <w:p w14:paraId="7972E659" w14:textId="13B7D847" w:rsidR="00F6597E" w:rsidRPr="00243A66" w:rsidRDefault="00F6597E" w:rsidP="00F6597E">
            <w:pPr>
              <w:pStyle w:val="CETBodytext"/>
              <w:jc w:val="center"/>
              <w:rPr>
                <w:lang w:val="en-GB"/>
              </w:rPr>
            </w:pPr>
            <w:r w:rsidRPr="00243A66">
              <w:rPr>
                <w:rFonts w:cs="Arial"/>
                <w:color w:val="000000"/>
                <w:kern w:val="24"/>
                <w:szCs w:val="18"/>
                <w:lang w:val="en-GB" w:eastAsia="es-ES"/>
              </w:rPr>
              <w:t>1.761</w:t>
            </w:r>
          </w:p>
        </w:tc>
      </w:tr>
      <w:tr w:rsidR="00F6597E" w:rsidRPr="00243A66" w14:paraId="3F00882B" w14:textId="77777777" w:rsidTr="00C656CE">
        <w:trPr>
          <w:trHeight w:val="276"/>
        </w:trPr>
        <w:tc>
          <w:tcPr>
            <w:tcW w:w="1231" w:type="dxa"/>
            <w:tcBorders>
              <w:top w:val="single" w:sz="4" w:space="0" w:color="008000"/>
            </w:tcBorders>
            <w:shd w:val="clear" w:color="auto" w:fill="FFFFFF"/>
            <w:vAlign w:val="center"/>
          </w:tcPr>
          <w:p w14:paraId="25D2D989" w14:textId="3809B26E" w:rsidR="00F6597E" w:rsidRPr="00243A66" w:rsidRDefault="00F6597E" w:rsidP="00F6597E">
            <w:pPr>
              <w:pStyle w:val="CETBodytext"/>
              <w:rPr>
                <w:lang w:val="en-GB"/>
              </w:rPr>
            </w:pPr>
            <w:r w:rsidRPr="00243A66">
              <w:rPr>
                <w:rFonts w:cs="Arial"/>
                <w:b/>
                <w:bCs/>
                <w:color w:val="000000"/>
                <w:kern w:val="24"/>
                <w:szCs w:val="18"/>
                <w:lang w:val="en-GB" w:eastAsia="es-ES"/>
              </w:rPr>
              <w:t>AP-AHC-P5</w:t>
            </w:r>
          </w:p>
        </w:tc>
        <w:tc>
          <w:tcPr>
            <w:tcW w:w="1417" w:type="dxa"/>
            <w:tcBorders>
              <w:top w:val="single" w:sz="4" w:space="0" w:color="008000"/>
            </w:tcBorders>
            <w:shd w:val="clear" w:color="auto" w:fill="FFFFFF"/>
            <w:vAlign w:val="center"/>
          </w:tcPr>
          <w:p w14:paraId="24F02F0B" w14:textId="461EE5A5" w:rsidR="00F6597E" w:rsidRPr="00243A66" w:rsidRDefault="00F6597E" w:rsidP="00F6597E">
            <w:pPr>
              <w:pStyle w:val="CETBodytext"/>
              <w:jc w:val="center"/>
              <w:rPr>
                <w:lang w:val="en-GB"/>
              </w:rPr>
            </w:pPr>
            <w:r w:rsidRPr="00243A66">
              <w:rPr>
                <w:rFonts w:cs="Arial"/>
                <w:color w:val="000000"/>
                <w:kern w:val="24"/>
                <w:szCs w:val="18"/>
                <w:lang w:val="en-GB" w:eastAsia="es-ES"/>
              </w:rPr>
              <w:t xml:space="preserve">468.4 ± 3 </w:t>
            </w:r>
          </w:p>
        </w:tc>
        <w:tc>
          <w:tcPr>
            <w:tcW w:w="2269" w:type="dxa"/>
            <w:tcBorders>
              <w:top w:val="single" w:sz="4" w:space="0" w:color="008000"/>
            </w:tcBorders>
            <w:shd w:val="clear" w:color="auto" w:fill="FFFFFF"/>
            <w:vAlign w:val="center"/>
          </w:tcPr>
          <w:p w14:paraId="2D497D68" w14:textId="42918E5D" w:rsidR="00F6597E" w:rsidRPr="00243A66" w:rsidRDefault="00F6597E" w:rsidP="00F6597E">
            <w:pPr>
              <w:pStyle w:val="CETBodytext"/>
              <w:jc w:val="center"/>
              <w:rPr>
                <w:lang w:val="en-GB"/>
              </w:rPr>
            </w:pPr>
            <w:r w:rsidRPr="00243A66">
              <w:rPr>
                <w:rFonts w:cs="Arial"/>
                <w:color w:val="000000"/>
                <w:kern w:val="24"/>
                <w:szCs w:val="18"/>
                <w:lang w:val="en-GB" w:eastAsia="es-ES"/>
              </w:rPr>
              <w:t>0.346</w:t>
            </w:r>
          </w:p>
        </w:tc>
        <w:tc>
          <w:tcPr>
            <w:tcW w:w="1771" w:type="dxa"/>
            <w:tcBorders>
              <w:top w:val="single" w:sz="4" w:space="0" w:color="008000"/>
            </w:tcBorders>
            <w:shd w:val="clear" w:color="auto" w:fill="FFFFFF"/>
            <w:vAlign w:val="center"/>
          </w:tcPr>
          <w:p w14:paraId="775CD266" w14:textId="1B9A7A5E" w:rsidR="00F6597E" w:rsidRPr="00243A66" w:rsidRDefault="00F6597E" w:rsidP="00F6597E">
            <w:pPr>
              <w:pStyle w:val="CETBodytext"/>
              <w:jc w:val="center"/>
              <w:rPr>
                <w:lang w:val="en-GB"/>
              </w:rPr>
            </w:pPr>
            <w:r w:rsidRPr="00243A66">
              <w:rPr>
                <w:rFonts w:cs="Arial"/>
                <w:color w:val="000000"/>
                <w:kern w:val="24"/>
                <w:szCs w:val="18"/>
                <w:lang w:val="en-GB" w:eastAsia="es-ES"/>
              </w:rPr>
              <w:t>2.951</w:t>
            </w:r>
          </w:p>
        </w:tc>
      </w:tr>
    </w:tbl>
    <w:p w14:paraId="7BB1704D" w14:textId="77777777" w:rsidR="00F6597E" w:rsidRPr="00243A66" w:rsidRDefault="00F6597E" w:rsidP="00F95856">
      <w:pPr>
        <w:pStyle w:val="CETnumberingbullets"/>
        <w:numPr>
          <w:ilvl w:val="0"/>
          <w:numId w:val="0"/>
        </w:numPr>
      </w:pPr>
    </w:p>
    <w:p w14:paraId="71FC0608" w14:textId="6C482BA9" w:rsidR="00DB61AF" w:rsidRPr="00243A66" w:rsidRDefault="00DB61AF" w:rsidP="00DB61AF">
      <w:pPr>
        <w:pStyle w:val="CETnumberingbullets"/>
        <w:numPr>
          <w:ilvl w:val="0"/>
          <w:numId w:val="0"/>
        </w:numPr>
        <w:jc w:val="both"/>
      </w:pPr>
      <w:r w:rsidRPr="00243A66">
        <w:t>Figure 4 shows that the porosity of the activated hydrochars is strongly influenced by the concentration of phosphoric acid used during activation, with AP</w:t>
      </w:r>
      <w:r w:rsidRPr="00243A66">
        <w:rPr>
          <w:rFonts w:ascii="Cambria Math" w:hAnsi="Cambria Math" w:cs="Cambria Math"/>
        </w:rPr>
        <w:t>‑</w:t>
      </w:r>
      <w:r w:rsidRPr="00243A66">
        <w:t>AHC</w:t>
      </w:r>
      <w:r w:rsidRPr="00243A66">
        <w:rPr>
          <w:rFonts w:ascii="Cambria Math" w:hAnsi="Cambria Math" w:cs="Cambria Math"/>
        </w:rPr>
        <w:t>‑</w:t>
      </w:r>
      <w:r w:rsidRPr="00243A66">
        <w:t>P2.5 exhibiting a distinctly microporous structure while AP</w:t>
      </w:r>
      <w:r w:rsidRPr="00243A66">
        <w:rPr>
          <w:rFonts w:ascii="Cambria Math" w:hAnsi="Cambria Math" w:cs="Cambria Math"/>
        </w:rPr>
        <w:t>‑</w:t>
      </w:r>
      <w:r w:rsidRPr="00243A66">
        <w:t>AHC</w:t>
      </w:r>
      <w:r w:rsidRPr="00243A66">
        <w:rPr>
          <w:rFonts w:ascii="Cambria Math" w:hAnsi="Cambria Math" w:cs="Cambria Math"/>
        </w:rPr>
        <w:t>‑</w:t>
      </w:r>
      <w:r w:rsidRPr="00243A66">
        <w:t>P5 shifts toward mesoporosity, a trend consistent with the values in Table 2, where the surface area decreases from 1,342.8 to 468.4 m</w:t>
      </w:r>
      <w:r w:rsidRPr="00243A66">
        <w:rPr>
          <w:rFonts w:cs="Arial"/>
        </w:rPr>
        <w:t>²</w:t>
      </w:r>
      <w:r w:rsidRPr="00243A66">
        <w:t>/g and the micropore volume drops from 0.591 to 0.346 cm</w:t>
      </w:r>
      <w:r w:rsidRPr="00243A66">
        <w:rPr>
          <w:rFonts w:cs="Arial"/>
        </w:rPr>
        <w:t>³</w:t>
      </w:r>
      <w:r w:rsidRPr="00243A66">
        <w:t>/g as the average pore width increases from 1.76 to 2.95 nm. These differences arise from the stronger chemical action of 5 M H</w:t>
      </w:r>
      <w:r w:rsidRPr="00243A66">
        <w:rPr>
          <w:rFonts w:ascii="Cambria Math" w:hAnsi="Cambria Math" w:cs="Cambria Math"/>
        </w:rPr>
        <w:t>₃</w:t>
      </w:r>
      <w:r w:rsidRPr="00243A66">
        <w:t>PO</w:t>
      </w:r>
      <w:r w:rsidRPr="00243A66">
        <w:rPr>
          <w:rFonts w:ascii="Cambria Math" w:hAnsi="Cambria Math" w:cs="Cambria Math"/>
        </w:rPr>
        <w:t>₄</w:t>
      </w:r>
      <w:r w:rsidRPr="00243A66">
        <w:t>, which induces more extensive hydrolysis of lignocellulosic linkages and deeper matrix swelling, widening originally narrow micropores into larger mesopores; at the same time, higher acid loading promotes the formation of abundant phosphate and polyphosphate species (C</w:t>
      </w:r>
      <w:r w:rsidRPr="00243A66">
        <w:rPr>
          <w:rFonts w:cs="Arial"/>
        </w:rPr>
        <w:t>–</w:t>
      </w:r>
      <w:r w:rsidRPr="00243A66">
        <w:t>O</w:t>
      </w:r>
      <w:r w:rsidRPr="00243A66">
        <w:rPr>
          <w:rFonts w:cs="Arial"/>
        </w:rPr>
        <w:t>–</w:t>
      </w:r>
      <w:r w:rsidRPr="00243A66">
        <w:t>P, P</w:t>
      </w:r>
      <w:r w:rsidRPr="00243A66">
        <w:rPr>
          <w:rFonts w:cs="Arial"/>
        </w:rPr>
        <w:t>–</w:t>
      </w:r>
      <w:r w:rsidRPr="00243A66">
        <w:t>O</w:t>
      </w:r>
      <w:r w:rsidRPr="00243A66">
        <w:rPr>
          <w:rFonts w:cs="Arial"/>
        </w:rPr>
        <w:t>–</w:t>
      </w:r>
      <w:r w:rsidRPr="00243A66">
        <w:t>P) that act as swelling templates but can also block or collapse the smallest pores, thus reducing micropore density after carbonization and washing, as indicated by the greater intensity of P</w:t>
      </w:r>
      <w:r w:rsidRPr="00243A66">
        <w:rPr>
          <w:rFonts w:cs="Arial"/>
        </w:rPr>
        <w:t>–</w:t>
      </w:r>
      <w:r w:rsidRPr="00243A66">
        <w:t>O functional groups and the more fragmented morphology observed for AP</w:t>
      </w:r>
      <w:r w:rsidRPr="00243A66">
        <w:rPr>
          <w:rFonts w:ascii="Cambria Math" w:hAnsi="Cambria Math" w:cs="Cambria Math"/>
        </w:rPr>
        <w:t>‑</w:t>
      </w:r>
      <w:r w:rsidRPr="00243A66">
        <w:t>AHC</w:t>
      </w:r>
      <w:r w:rsidRPr="00243A66">
        <w:rPr>
          <w:rFonts w:ascii="Cambria Math" w:hAnsi="Cambria Math" w:cs="Cambria Math"/>
        </w:rPr>
        <w:t>‑</w:t>
      </w:r>
      <w:r w:rsidRPr="00243A66">
        <w:t>P5 in FTIR and SEM analyses. Consequently, the higher H</w:t>
      </w:r>
      <w:r w:rsidRPr="00243A66">
        <w:rPr>
          <w:rFonts w:ascii="Cambria Math" w:hAnsi="Cambria Math" w:cs="Cambria Math"/>
        </w:rPr>
        <w:t>₃</w:t>
      </w:r>
      <w:r w:rsidRPr="00243A66">
        <w:t>PO</w:t>
      </w:r>
      <w:r w:rsidRPr="00243A66">
        <w:rPr>
          <w:rFonts w:ascii="Cambria Math" w:hAnsi="Cambria Math" w:cs="Cambria Math"/>
        </w:rPr>
        <w:t>₄</w:t>
      </w:r>
      <w:r w:rsidRPr="00243A66">
        <w:t xml:space="preserve"> concentration accelerates structural decomposition and broadens the pore network at the expense of microporosity, while the milder 2.5 M activation preserves a more compact carbon framework, </w:t>
      </w:r>
      <w:r w:rsidR="008F09CE" w:rsidRPr="00243A66">
        <w:t>favouring</w:t>
      </w:r>
      <w:r w:rsidRPr="00243A66">
        <w:t xml:space="preserve"> the development of a high surface area dominated by narrow micropores; this explains the contrasting porosity distributions observed in Figure 4 and highlights the critical role of phosphoric acid concentration in tailoring the micro</w:t>
      </w:r>
      <w:r w:rsidRPr="00243A66">
        <w:rPr>
          <w:rFonts w:ascii="Cambria Math" w:hAnsi="Cambria Math" w:cs="Cambria Math"/>
        </w:rPr>
        <w:t>‑</w:t>
      </w:r>
      <w:r w:rsidRPr="00243A66">
        <w:t>/mesopore balance of activated hydrochars.</w:t>
      </w:r>
    </w:p>
    <w:p w14:paraId="204660B7" w14:textId="7D98D85C" w:rsidR="000F375E" w:rsidRPr="00243A66" w:rsidRDefault="00E1347D" w:rsidP="000F375E">
      <w:pPr>
        <w:pStyle w:val="CETheadingx"/>
        <w:rPr>
          <w:lang w:val="en-GB"/>
        </w:rPr>
      </w:pPr>
      <w:r w:rsidRPr="00243A66">
        <w:rPr>
          <w:lang w:val="en-GB"/>
        </w:rPr>
        <w:t xml:space="preserve">MB adsorption </w:t>
      </w:r>
    </w:p>
    <w:p w14:paraId="4FEB72CB" w14:textId="5220C029" w:rsidR="00E1347D" w:rsidRPr="00243A66" w:rsidRDefault="00E1347D" w:rsidP="00E1347D">
      <w:pPr>
        <w:pStyle w:val="Sinespaciado"/>
      </w:pPr>
      <w:r w:rsidRPr="00243A66">
        <w:t xml:space="preserve">The </w:t>
      </w:r>
      <w:r w:rsidR="00786157" w:rsidRPr="00243A66">
        <w:t xml:space="preserve">adsorption performance of </w:t>
      </w:r>
      <w:r w:rsidR="00421DF5" w:rsidRPr="00243A66">
        <w:t>AP-AHC-P2.5 and AP-AHC-P5 samples, expressed as adsorption ratio and MB removal percentage, is presented in</w:t>
      </w:r>
      <w:r w:rsidRPr="00243A66">
        <w:t xml:space="preserve"> Figure </w:t>
      </w:r>
      <w:r w:rsidR="00421DF5" w:rsidRPr="00243A66">
        <w:t>5</w:t>
      </w:r>
      <w:r w:rsidRPr="00243A66">
        <w:t xml:space="preserve">. </w:t>
      </w:r>
    </w:p>
    <w:p w14:paraId="169FC850" w14:textId="4961E9E3" w:rsidR="00E1347D" w:rsidRPr="00243A66" w:rsidRDefault="00C87389" w:rsidP="00E1347D">
      <w:pPr>
        <w:pStyle w:val="CETBodytext"/>
        <w:jc w:val="center"/>
        <w:rPr>
          <w:highlight w:val="lightGray"/>
          <w:lang w:val="en-GB"/>
        </w:rPr>
      </w:pPr>
      <w:r>
        <w:rPr>
          <w:noProof/>
          <w:highlight w:val="lightGray"/>
          <w:lang w:val="en-GB"/>
        </w:rPr>
        <w:drawing>
          <wp:inline distT="0" distB="0" distL="0" distR="0" wp14:anchorId="799021DE" wp14:editId="7FED3046">
            <wp:extent cx="3078480" cy="2158365"/>
            <wp:effectExtent l="0" t="0" r="7620" b="0"/>
            <wp:docPr id="134989459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8480" cy="2158365"/>
                    </a:xfrm>
                    <a:prstGeom prst="rect">
                      <a:avLst/>
                    </a:prstGeom>
                    <a:noFill/>
                  </pic:spPr>
                </pic:pic>
              </a:graphicData>
            </a:graphic>
          </wp:inline>
        </w:drawing>
      </w:r>
    </w:p>
    <w:p w14:paraId="0AD4747D" w14:textId="494A6421" w:rsidR="00E1347D" w:rsidRPr="00243A66" w:rsidRDefault="00E1347D" w:rsidP="00E1347D">
      <w:pPr>
        <w:pStyle w:val="CETBodytext"/>
        <w:spacing w:after="240"/>
        <w:jc w:val="center"/>
        <w:rPr>
          <w:i/>
          <w:lang w:val="en-GB"/>
        </w:rPr>
      </w:pPr>
      <w:r w:rsidRPr="00243A66">
        <w:rPr>
          <w:i/>
          <w:lang w:val="en-GB"/>
        </w:rPr>
        <w:t xml:space="preserve">Figure 5: MB adsorption results for </w:t>
      </w:r>
      <w:r w:rsidR="009F025D" w:rsidRPr="00243A66">
        <w:rPr>
          <w:i/>
          <w:lang w:val="en-GB"/>
        </w:rPr>
        <w:t xml:space="preserve">AP-AHC-P2.5 </w:t>
      </w:r>
      <w:r w:rsidRPr="00243A66">
        <w:rPr>
          <w:i/>
          <w:lang w:val="en-GB"/>
        </w:rPr>
        <w:t xml:space="preserve">and </w:t>
      </w:r>
      <w:r w:rsidR="009F025D" w:rsidRPr="00243A66">
        <w:rPr>
          <w:i/>
          <w:lang w:val="en-GB"/>
        </w:rPr>
        <w:t xml:space="preserve">AP-AHC-P5 </w:t>
      </w:r>
      <w:r w:rsidRPr="00243A66">
        <w:rPr>
          <w:i/>
          <w:lang w:val="en-GB"/>
        </w:rPr>
        <w:t>samples.</w:t>
      </w:r>
    </w:p>
    <w:p w14:paraId="3D81ACA2" w14:textId="4428665D" w:rsidR="00486DE9" w:rsidRPr="00243A66" w:rsidRDefault="00C862C1" w:rsidP="0FA749F8">
      <w:pPr>
        <w:pStyle w:val="CETBodytext"/>
        <w:spacing w:after="240"/>
        <w:rPr>
          <w:lang w:val="en-GB"/>
        </w:rPr>
      </w:pPr>
      <w:r w:rsidRPr="1C6EE9C7">
        <w:rPr>
          <w:lang w:val="en-GB"/>
        </w:rPr>
        <w:t>Figure 5 shows that AP</w:t>
      </w:r>
      <w:r w:rsidRPr="1C6EE9C7">
        <w:rPr>
          <w:rFonts w:ascii="Cambria Math" w:hAnsi="Cambria Math" w:cs="Cambria Math"/>
          <w:lang w:val="en-GB"/>
        </w:rPr>
        <w:t>‑</w:t>
      </w:r>
      <w:r w:rsidRPr="1C6EE9C7">
        <w:rPr>
          <w:lang w:val="en-GB"/>
        </w:rPr>
        <w:t>AHC</w:t>
      </w:r>
      <w:r w:rsidRPr="1C6EE9C7">
        <w:rPr>
          <w:rFonts w:ascii="Cambria Math" w:hAnsi="Cambria Math" w:cs="Cambria Math"/>
          <w:lang w:val="en-GB"/>
        </w:rPr>
        <w:t>‑</w:t>
      </w:r>
      <w:r w:rsidRPr="1C6EE9C7">
        <w:rPr>
          <w:lang w:val="en-GB"/>
        </w:rPr>
        <w:t>P2.5 exhibits a substantially higher adsorption ratio and MB removal efficiency than AP</w:t>
      </w:r>
      <w:r w:rsidRPr="1C6EE9C7">
        <w:rPr>
          <w:rFonts w:ascii="Cambria Math" w:hAnsi="Cambria Math" w:cs="Cambria Math"/>
          <w:lang w:val="en-GB"/>
        </w:rPr>
        <w:t>‑</w:t>
      </w:r>
      <w:r w:rsidRPr="1C6EE9C7">
        <w:rPr>
          <w:lang w:val="en-GB"/>
        </w:rPr>
        <w:t>AHC</w:t>
      </w:r>
      <w:r w:rsidRPr="1C6EE9C7">
        <w:rPr>
          <w:rFonts w:ascii="Cambria Math" w:hAnsi="Cambria Math" w:cs="Cambria Math"/>
          <w:lang w:val="en-GB"/>
        </w:rPr>
        <w:t>‑</w:t>
      </w:r>
      <w:r w:rsidRPr="1C6EE9C7">
        <w:rPr>
          <w:lang w:val="en-GB"/>
        </w:rPr>
        <w:t>P5, a behaviour directly linked to its much larger specific surface area and higher micropore volume, which provide a greater density of high</w:t>
      </w:r>
      <w:r w:rsidRPr="1C6EE9C7">
        <w:rPr>
          <w:rFonts w:ascii="Cambria Math" w:hAnsi="Cambria Math" w:cs="Cambria Math"/>
          <w:lang w:val="en-GB"/>
        </w:rPr>
        <w:t>‑</w:t>
      </w:r>
      <w:r w:rsidRPr="1C6EE9C7">
        <w:rPr>
          <w:lang w:val="en-GB"/>
        </w:rPr>
        <w:t>affinity adsorption sites for rapid MB uptake, whereas the more mesoporous and lower</w:t>
      </w:r>
      <w:r w:rsidRPr="1C6EE9C7">
        <w:rPr>
          <w:rFonts w:ascii="Cambria Math" w:hAnsi="Cambria Math" w:cs="Cambria Math"/>
          <w:lang w:val="en-GB"/>
        </w:rPr>
        <w:t>‑</w:t>
      </w:r>
      <w:r w:rsidRPr="1C6EE9C7">
        <w:rPr>
          <w:lang w:val="en-GB"/>
        </w:rPr>
        <w:t>surface</w:t>
      </w:r>
      <w:r w:rsidRPr="1C6EE9C7">
        <w:rPr>
          <w:rFonts w:ascii="Cambria Math" w:hAnsi="Cambria Math" w:cs="Cambria Math"/>
          <w:lang w:val="en-GB"/>
        </w:rPr>
        <w:t>‑</w:t>
      </w:r>
      <w:r w:rsidRPr="1C6EE9C7">
        <w:rPr>
          <w:lang w:val="en-GB"/>
        </w:rPr>
        <w:t>area structure of AP</w:t>
      </w:r>
      <w:r w:rsidRPr="1C6EE9C7">
        <w:rPr>
          <w:rFonts w:ascii="Cambria Math" w:hAnsi="Cambria Math" w:cs="Cambria Math"/>
          <w:lang w:val="en-GB"/>
        </w:rPr>
        <w:t>‑</w:t>
      </w:r>
      <w:r w:rsidRPr="1C6EE9C7">
        <w:rPr>
          <w:lang w:val="en-GB"/>
        </w:rPr>
        <w:t>AHC</w:t>
      </w:r>
      <w:r w:rsidRPr="1C6EE9C7">
        <w:rPr>
          <w:rFonts w:ascii="Cambria Math" w:hAnsi="Cambria Math" w:cs="Cambria Math"/>
          <w:lang w:val="en-GB"/>
        </w:rPr>
        <w:t>‑</w:t>
      </w:r>
      <w:r w:rsidRPr="1C6EE9C7">
        <w:rPr>
          <w:lang w:val="en-GB"/>
        </w:rPr>
        <w:t>P5 limits both adsorption rate and total removal capacity. These trends are fully consistent with the porosity and surface chemistry differences previously discussed, where the milder 2.5 M H</w:t>
      </w:r>
      <w:r w:rsidRPr="1C6EE9C7">
        <w:rPr>
          <w:rFonts w:ascii="Cambria Math" w:hAnsi="Cambria Math" w:cs="Cambria Math"/>
          <w:lang w:val="en-GB"/>
        </w:rPr>
        <w:t>₃</w:t>
      </w:r>
      <w:r w:rsidRPr="1C6EE9C7">
        <w:rPr>
          <w:lang w:val="en-GB"/>
        </w:rPr>
        <w:t>PO</w:t>
      </w:r>
      <w:r w:rsidRPr="1C6EE9C7">
        <w:rPr>
          <w:rFonts w:ascii="Cambria Math" w:hAnsi="Cambria Math" w:cs="Cambria Math"/>
          <w:lang w:val="en-GB"/>
        </w:rPr>
        <w:t>₄</w:t>
      </w:r>
      <w:r w:rsidRPr="1C6EE9C7">
        <w:rPr>
          <w:lang w:val="en-GB"/>
        </w:rPr>
        <w:t xml:space="preserve"> activation promotes a microporous structure favourable for fast dye diffusion into narrow pores, while the stronger 5 M activation widens pores and reduces micropore density, thereby diminishing adsorption performance.</w:t>
      </w:r>
      <w:r w:rsidR="00486DE9" w:rsidRPr="1C6EE9C7">
        <w:rPr>
          <w:lang w:val="en-GB"/>
        </w:rPr>
        <w:t xml:space="preserve"> When compared with phosphoric</w:t>
      </w:r>
      <w:r w:rsidR="5D49F868" w:rsidRPr="1C6EE9C7">
        <w:rPr>
          <w:lang w:val="en-GB"/>
        </w:rPr>
        <w:t xml:space="preserve"> </w:t>
      </w:r>
      <w:r w:rsidR="00486DE9" w:rsidRPr="1C6EE9C7">
        <w:rPr>
          <w:lang w:val="en-GB"/>
        </w:rPr>
        <w:t>acid</w:t>
      </w:r>
      <w:r w:rsidR="66C721A4" w:rsidRPr="1C6EE9C7">
        <w:rPr>
          <w:lang w:val="en-GB"/>
        </w:rPr>
        <w:t xml:space="preserve"> </w:t>
      </w:r>
      <w:r w:rsidR="00486DE9" w:rsidRPr="1C6EE9C7">
        <w:rPr>
          <w:lang w:val="en-GB"/>
        </w:rPr>
        <w:t>activated hydrochars reported in the literature, the behaviour of APA</w:t>
      </w:r>
      <w:r w:rsidR="0F3CC6D9" w:rsidRPr="1C6EE9C7">
        <w:rPr>
          <w:lang w:val="en-GB"/>
        </w:rPr>
        <w:t>-</w:t>
      </w:r>
      <w:r w:rsidR="00486DE9" w:rsidRPr="1C6EE9C7">
        <w:rPr>
          <w:lang w:val="en-GB"/>
        </w:rPr>
        <w:t>HCP</w:t>
      </w:r>
      <w:r w:rsidR="3004C7A4" w:rsidRPr="1C6EE9C7">
        <w:rPr>
          <w:lang w:val="en-GB"/>
        </w:rPr>
        <w:t>-</w:t>
      </w:r>
      <w:r w:rsidR="00486DE9" w:rsidRPr="1C6EE9C7">
        <w:rPr>
          <w:lang w:val="en-GB"/>
        </w:rPr>
        <w:t>2.5 is consistent with studies showing that moderate H</w:t>
      </w:r>
      <w:r w:rsidR="00486DE9" w:rsidRPr="1C6EE9C7">
        <w:rPr>
          <w:rFonts w:ascii="Cambria Math" w:hAnsi="Cambria Math" w:cs="Cambria Math"/>
          <w:lang w:val="en-GB"/>
        </w:rPr>
        <w:t>₃</w:t>
      </w:r>
      <w:r w:rsidR="00486DE9" w:rsidRPr="1C6EE9C7">
        <w:rPr>
          <w:lang w:val="en-GB"/>
        </w:rPr>
        <w:t>PO</w:t>
      </w:r>
      <w:r w:rsidR="00486DE9" w:rsidRPr="1C6EE9C7">
        <w:rPr>
          <w:rFonts w:ascii="Cambria Math" w:hAnsi="Cambria Math" w:cs="Cambria Math"/>
          <w:lang w:val="en-GB"/>
        </w:rPr>
        <w:t>₄</w:t>
      </w:r>
      <w:r w:rsidR="00486DE9" w:rsidRPr="1C6EE9C7">
        <w:rPr>
          <w:lang w:val="en-GB"/>
        </w:rPr>
        <w:t xml:space="preserve"> concentrations maximise MB uptake due t</w:t>
      </w:r>
      <w:r w:rsidR="0010453F">
        <w:rPr>
          <w:lang w:val="en-GB"/>
        </w:rPr>
        <w:t xml:space="preserve">o dominant microporosity. </w:t>
      </w:r>
      <w:r w:rsidR="00486DE9" w:rsidRPr="1C6EE9C7">
        <w:rPr>
          <w:lang w:val="en-GB"/>
        </w:rPr>
        <w:t>H</w:t>
      </w:r>
      <w:r w:rsidR="00486DE9" w:rsidRPr="1C6EE9C7">
        <w:rPr>
          <w:rFonts w:ascii="Cambria Math" w:hAnsi="Cambria Math" w:cs="Cambria Math"/>
          <w:lang w:val="en-GB"/>
        </w:rPr>
        <w:t>₃</w:t>
      </w:r>
      <w:r w:rsidR="00486DE9" w:rsidRPr="1C6EE9C7">
        <w:rPr>
          <w:lang w:val="en-GB"/>
        </w:rPr>
        <w:t>PO</w:t>
      </w:r>
      <w:r w:rsidR="00486DE9" w:rsidRPr="1C6EE9C7">
        <w:rPr>
          <w:rFonts w:ascii="Cambria Math" w:hAnsi="Cambria Math" w:cs="Cambria Math"/>
          <w:lang w:val="en-GB"/>
        </w:rPr>
        <w:t>₄</w:t>
      </w:r>
      <w:r w:rsidR="00486DE9" w:rsidRPr="1C6EE9C7">
        <w:rPr>
          <w:lang w:val="en-GB"/>
        </w:rPr>
        <w:t>activated bamboo hydrochar achieved ~260–300 mg/g MB adsorption at moderate impregnation ratios, whereas stronger acid loadings (similar to 5 M conditions) reduced performance to ~150–180 mg/g as mesoporosity increased and micropore volume decreased (Supee &amp; Zaini, 2024). Similarly, phosphorus</w:t>
      </w:r>
      <w:r w:rsidR="25F8CDC7" w:rsidRPr="1C6EE9C7">
        <w:rPr>
          <w:lang w:val="en-GB"/>
        </w:rPr>
        <w:t xml:space="preserve"> </w:t>
      </w:r>
      <w:r w:rsidR="00486DE9" w:rsidRPr="1C6EE9C7">
        <w:rPr>
          <w:lang w:val="en-GB"/>
        </w:rPr>
        <w:t>rich activated carbons produced from rice husk showed MB capacities of ~250 mg/g at moderate H</w:t>
      </w:r>
      <w:r w:rsidR="00486DE9" w:rsidRPr="1C6EE9C7">
        <w:rPr>
          <w:rFonts w:ascii="Cambria Math" w:hAnsi="Cambria Math" w:cs="Cambria Math"/>
          <w:lang w:val="en-GB"/>
        </w:rPr>
        <w:t>₃</w:t>
      </w:r>
      <w:r w:rsidR="00486DE9" w:rsidRPr="1C6EE9C7">
        <w:rPr>
          <w:lang w:val="en-GB"/>
        </w:rPr>
        <w:t>PO</w:t>
      </w:r>
      <w:r w:rsidR="00486DE9" w:rsidRPr="1C6EE9C7">
        <w:rPr>
          <w:rFonts w:ascii="Cambria Math" w:hAnsi="Cambria Math" w:cs="Cambria Math"/>
          <w:lang w:val="en-GB"/>
        </w:rPr>
        <w:t>₄</w:t>
      </w:r>
      <w:r w:rsidR="00486DE9" w:rsidRPr="1C6EE9C7">
        <w:rPr>
          <w:lang w:val="en-GB"/>
        </w:rPr>
        <w:t xml:space="preserve"> concentration, dropping to ~120 mg/g at higher acid </w:t>
      </w:r>
      <w:r w:rsidR="00486DE9" w:rsidRPr="1C6EE9C7">
        <w:rPr>
          <w:lang w:val="en-GB"/>
        </w:rPr>
        <w:lastRenderedPageBreak/>
        <w:t>doses due to over</w:t>
      </w:r>
      <w:r w:rsidR="7393C731" w:rsidRPr="1C6EE9C7">
        <w:rPr>
          <w:lang w:val="en-GB"/>
        </w:rPr>
        <w:t xml:space="preserve"> </w:t>
      </w:r>
      <w:r w:rsidR="00486DE9" w:rsidRPr="1C6EE9C7">
        <w:rPr>
          <w:lang w:val="en-GB"/>
        </w:rPr>
        <w:t>etching and structural collapse (Luo et al., 2019). These reported trends confirm that optimal MB adsorption is obtained when activation conditions favour a microporous framework with abundant phosphate</w:t>
      </w:r>
      <w:r w:rsidR="5A3E430B" w:rsidRPr="1C6EE9C7">
        <w:rPr>
          <w:lang w:val="en-GB"/>
        </w:rPr>
        <w:t xml:space="preserve"> </w:t>
      </w:r>
      <w:r w:rsidR="00486DE9" w:rsidRPr="1C6EE9C7">
        <w:rPr>
          <w:lang w:val="en-GB"/>
        </w:rPr>
        <w:t>derived surface functionalities—conditions best met by the 2.5 M treatment—explaining the clear superiority of APAHCP2.5 over APAHCP5 in both adsorption rate and total MB removal.</w:t>
      </w:r>
    </w:p>
    <w:p w14:paraId="6B1D9DE3" w14:textId="648C1C99" w:rsidR="007F03FA" w:rsidRPr="00243A66" w:rsidRDefault="007F03FA" w:rsidP="007F03FA">
      <w:pPr>
        <w:pStyle w:val="CETHeading1"/>
        <w:tabs>
          <w:tab w:val="clear" w:pos="360"/>
          <w:tab w:val="right" w:pos="7100"/>
        </w:tabs>
        <w:jc w:val="both"/>
        <w:rPr>
          <w:lang w:val="en-GB"/>
        </w:rPr>
      </w:pPr>
      <w:r w:rsidRPr="00243A66">
        <w:rPr>
          <w:lang w:val="en-GB"/>
        </w:rPr>
        <w:t>Conclusions</w:t>
      </w:r>
    </w:p>
    <w:p w14:paraId="37A36272" w14:textId="77777777" w:rsidR="00DB6872" w:rsidRDefault="00DB6872" w:rsidP="00DB6872">
      <w:pPr>
        <w:pStyle w:val="CETAcknowledgementstitle"/>
        <w:jc w:val="both"/>
        <w:rPr>
          <w:b w:val="0"/>
        </w:rPr>
      </w:pPr>
      <w:r w:rsidRPr="00DB6872">
        <w:rPr>
          <w:b w:val="0"/>
        </w:rPr>
        <w:t>This study demonstrates that phosphoric acid concentration plays a decisive role in tailoring the physicochemical properties, porosity, and adsorption performance of activated hydrochars derived from apple tree pruning. Moderate activation with 2.5 M H</w:t>
      </w:r>
      <w:r w:rsidRPr="00DB6872">
        <w:rPr>
          <w:rFonts w:ascii="Cambria Math" w:hAnsi="Cambria Math" w:cs="Cambria Math"/>
          <w:b w:val="0"/>
        </w:rPr>
        <w:t>₃</w:t>
      </w:r>
      <w:r w:rsidRPr="00DB6872">
        <w:rPr>
          <w:b w:val="0"/>
        </w:rPr>
        <w:t>PO</w:t>
      </w:r>
      <w:r w:rsidRPr="00DB6872">
        <w:rPr>
          <w:rFonts w:ascii="Cambria Math" w:hAnsi="Cambria Math" w:cs="Cambria Math"/>
          <w:b w:val="0"/>
        </w:rPr>
        <w:t>₄</w:t>
      </w:r>
      <w:r w:rsidRPr="00DB6872">
        <w:rPr>
          <w:b w:val="0"/>
        </w:rPr>
        <w:t xml:space="preserve"> produced a highly microporous material with superior surface area and functionalization, resulting in significantly enhanced methylene blue adsorption compared to the more mesoporous and less efficient hydrochar obtained with 5 M acid. Overall, these findings highlight the importance of controlled chemical activation to optimize pore architecture and surface chemistry for effective environmental applications. Future work should focus on evaluating the long</w:t>
      </w:r>
      <w:r w:rsidRPr="00DB6872">
        <w:rPr>
          <w:rFonts w:ascii="Cambria Math" w:hAnsi="Cambria Math" w:cs="Cambria Math"/>
          <w:b w:val="0"/>
        </w:rPr>
        <w:t>‑</w:t>
      </w:r>
      <w:r w:rsidRPr="00DB6872">
        <w:rPr>
          <w:b w:val="0"/>
        </w:rPr>
        <w:t>term stability and regeneration potential of these materials, as well as exploring their performance against a broader spectrum of pollutants under realistic operating conditions. Additionally, understanding the scalability and economic viability of the activation process remains an important challenge for advancing these bio</w:t>
      </w:r>
      <w:r w:rsidRPr="00DB6872">
        <w:rPr>
          <w:rFonts w:ascii="Cambria Math" w:hAnsi="Cambria Math" w:cs="Cambria Math"/>
          <w:b w:val="0"/>
        </w:rPr>
        <w:t>‑</w:t>
      </w:r>
      <w:r w:rsidRPr="00DB6872">
        <w:rPr>
          <w:b w:val="0"/>
        </w:rPr>
        <w:t>derived adsorbents toward industrial implementation.</w:t>
      </w:r>
    </w:p>
    <w:p w14:paraId="459D05E6" w14:textId="6E83215A" w:rsidR="00600535" w:rsidRPr="00243A66" w:rsidRDefault="00600535" w:rsidP="00600535">
      <w:pPr>
        <w:pStyle w:val="CETAcknowledgementstitle"/>
      </w:pPr>
      <w:r w:rsidRPr="00243A66">
        <w:t>Acknowledgments</w:t>
      </w:r>
    </w:p>
    <w:p w14:paraId="3E45EDFE" w14:textId="0CEA9E5E" w:rsidR="00D90489" w:rsidRPr="00243A66" w:rsidRDefault="00D90489" w:rsidP="00D90489">
      <w:pPr>
        <w:pStyle w:val="CETBodytext"/>
        <w:rPr>
          <w:lang w:val="en-GB"/>
        </w:rPr>
      </w:pPr>
      <w:r w:rsidRPr="00243A66">
        <w:rPr>
          <w:lang w:val="en-GB"/>
        </w:rPr>
        <w:t xml:space="preserve">This research has been founded by the Gipuzkoa’s Provincial Government under the program “Etorkizuna Eraikiz” 2024/2025. </w:t>
      </w:r>
      <w:r w:rsidR="00BF2737" w:rsidRPr="00243A66">
        <w:rPr>
          <w:lang w:val="en-GB"/>
        </w:rPr>
        <w:t>Ameni Ben Salah acknowledges the funding by the University of the Basque Country, EHU (PIF24-262).</w:t>
      </w:r>
    </w:p>
    <w:p w14:paraId="4F1327F8" w14:textId="77777777" w:rsidR="00600535" w:rsidRPr="00243A66" w:rsidRDefault="00600535" w:rsidP="00600535">
      <w:pPr>
        <w:pStyle w:val="CETReference"/>
      </w:pPr>
      <w:r w:rsidRPr="00243A66">
        <w:t>References</w:t>
      </w:r>
    </w:p>
    <w:p w14:paraId="26AA2D6F" w14:textId="77777777" w:rsidR="00312A95" w:rsidRPr="00243A66" w:rsidRDefault="00312A95" w:rsidP="00507493">
      <w:pPr>
        <w:pStyle w:val="CETReferencetext"/>
      </w:pPr>
      <w:r w:rsidRPr="00243A66">
        <w:t>Antxustegi M., Corro E., Baloch M., Volpe R., Gonzalez</w:t>
      </w:r>
      <w:r w:rsidRPr="00243A66">
        <w:rPr>
          <w:rFonts w:ascii="Cambria Math" w:hAnsi="Cambria Math" w:cs="Cambria Math"/>
        </w:rPr>
        <w:t>‑</w:t>
      </w:r>
      <w:r w:rsidRPr="00243A66">
        <w:t>Alriols M., 2022, Production of Activated Bio</w:t>
      </w:r>
      <w:r w:rsidRPr="00243A66">
        <w:rPr>
          <w:rFonts w:ascii="Cambria Math" w:hAnsi="Cambria Math" w:cs="Cambria Math"/>
        </w:rPr>
        <w:t>‑</w:t>
      </w:r>
      <w:r w:rsidRPr="00243A66">
        <w:t>chars for Wastewater Treatment: Characterization, Activation and Evaluation of the Adsorption Capacity, Chemical Engineering Transactions, 92, 547</w:t>
      </w:r>
      <w:r w:rsidRPr="00243A66">
        <w:rPr>
          <w:rFonts w:cs="Arial"/>
        </w:rPr>
        <w:t>–</w:t>
      </w:r>
      <w:r w:rsidRPr="00243A66">
        <w:t>552.</w:t>
      </w:r>
    </w:p>
    <w:p w14:paraId="247381F8" w14:textId="058E9A0E" w:rsidR="00A119F7" w:rsidRPr="00243A66" w:rsidRDefault="00A119F7" w:rsidP="00507493">
      <w:pPr>
        <w:pStyle w:val="CETReferencetext"/>
      </w:pPr>
      <w:r w:rsidRPr="00243A66">
        <w:t>Ge, Q., Dong, Ch</w:t>
      </w:r>
      <w:r w:rsidR="00EF53FB">
        <w:t>.</w:t>
      </w:r>
      <w:r w:rsidRPr="00243A66">
        <w:t xml:space="preserve">J., Wang G.Y., Zhang J., Hou R. 2024. Production, characterization and environmental remediation application of emerging phosphorus-rich biochar/hydrochar: a comprehensive review. RSC Adv., 14, 33649-33665. https://doi.org/10.1039/D4RA03333G. </w:t>
      </w:r>
    </w:p>
    <w:p w14:paraId="342BBDC6" w14:textId="0A02B201" w:rsidR="00507493" w:rsidRPr="00243A66" w:rsidRDefault="00507493" w:rsidP="00507493">
      <w:pPr>
        <w:pStyle w:val="CETReferencetext"/>
      </w:pPr>
      <w:r w:rsidRPr="00243A66">
        <w:t>Ighalo, J.O., Adeniyi, A.G., 2025, Biomass hydrochar: A critical review of process chemistry, synthesis methodology, and applications, Sustainability, 17(4), 1660. DOI: 10.3390/su17041660</w:t>
      </w:r>
    </w:p>
    <w:p w14:paraId="0D1C269B" w14:textId="030CB15F" w:rsidR="00507493" w:rsidRPr="00243A66" w:rsidRDefault="00507493" w:rsidP="00507493">
      <w:pPr>
        <w:pStyle w:val="CETReferencetext"/>
      </w:pPr>
      <w:r w:rsidRPr="00243A66">
        <w:t>Khandelwal, A., Singh, R., 2024, Recent developments in hydrothermal carbonization for bioenergy and material applications, Bioresource Technology, 389, 129–140. DOI: 10.1016/j.biortech.2024.129140</w:t>
      </w:r>
      <w:r w:rsidR="00B84B3B">
        <w:t>.</w:t>
      </w:r>
    </w:p>
    <w:p w14:paraId="6567AB2E" w14:textId="3D871A67" w:rsidR="00B808F4" w:rsidRPr="00243A66" w:rsidRDefault="00B808F4" w:rsidP="00B808F4">
      <w:pPr>
        <w:pStyle w:val="CETReferencetext"/>
      </w:pPr>
      <w:r w:rsidRPr="00243A66">
        <w:t>Luo, Y., Li, D., Chen, Y., Sun, X., Cao, Q., Liu, X. 2019. The performance of phosphoric acid in the preparation of activated carbon-containing phosphorus species from rice husk residue. Journal of Materials Science 54, 5008–5021. https://doi.org/10.1007/s10853-018-03220-x</w:t>
      </w:r>
      <w:r w:rsidR="00B84B3B">
        <w:t>.</w:t>
      </w:r>
    </w:p>
    <w:p w14:paraId="0C01BB57" w14:textId="4752E681" w:rsidR="00507493" w:rsidRPr="00243A66" w:rsidRDefault="00507493" w:rsidP="00507493">
      <w:pPr>
        <w:pStyle w:val="CETReferencetext"/>
      </w:pPr>
      <w:r w:rsidRPr="00243A66">
        <w:t xml:space="preserve">Petrović, J., Vuković, G., Stojanović, M., 2024, Advances in hydrothermal carbonization for sustainable biomass </w:t>
      </w:r>
      <w:r w:rsidR="00C26DF9" w:rsidRPr="00243A66">
        <w:t>valorisation</w:t>
      </w:r>
      <w:r w:rsidRPr="00243A66">
        <w:t>, Renewable Energy, 223, 1198–1212. DOI: 10.1016/j.renene.2024.02.045</w:t>
      </w:r>
    </w:p>
    <w:p w14:paraId="397CA078" w14:textId="1329C1D4" w:rsidR="00507493" w:rsidRPr="00243A66" w:rsidRDefault="00507493" w:rsidP="00507493">
      <w:pPr>
        <w:pStyle w:val="CETReferencetext"/>
      </w:pPr>
      <w:r w:rsidRPr="00243A66">
        <w:t>Prifti K., Basso D., Pavanetto R., Manenti F., 2021, Improving Hydrothermal Carbonization (HTC) Processes by Hydrochar Gasification, Chemical Engineering Transactions, 86, 925–930. DOI: 10.3303/CET2186155</w:t>
      </w:r>
    </w:p>
    <w:p w14:paraId="43FD94D1" w14:textId="555E985B" w:rsidR="003C6F56" w:rsidRPr="00243A66" w:rsidRDefault="003C6F56" w:rsidP="00507493">
      <w:pPr>
        <w:pStyle w:val="CETReferencetext"/>
      </w:pPr>
      <w:r w:rsidRPr="00243A66">
        <w:t>Puziy, A.M., Poddubnaya, O.I., Gawdzik, B., Sobiesiak, M., Sprynskyy, M., 2022. Structural Evolution of Polyimide-Derived Carbon during Phosphoric Acid Activation. Journal of Carbon Research 8(3) 47. https://doi.org/10.3390/c8030047.</w:t>
      </w:r>
    </w:p>
    <w:p w14:paraId="7D24E758" w14:textId="77777777" w:rsidR="00507493" w:rsidRPr="00243A66" w:rsidRDefault="00507493" w:rsidP="00507493">
      <w:pPr>
        <w:pStyle w:val="CETReferencetext"/>
      </w:pPr>
      <w:r w:rsidRPr="00243A66">
        <w:t>Sathish, A., Saraswat, S.K., 2024, Hydrothermal carbonization: Emerging trends and applications in environmental remediation, Journal of Cleaner Production, 412, 137–150. DOI: 10.1016/j.jclepro.2024.137150</w:t>
      </w:r>
    </w:p>
    <w:p w14:paraId="0BCC0D50" w14:textId="4E877457" w:rsidR="00507493" w:rsidRPr="00243A66" w:rsidRDefault="00507493" w:rsidP="00507493">
      <w:pPr>
        <w:pStyle w:val="CETReferencetext"/>
      </w:pPr>
      <w:r w:rsidRPr="00243A66">
        <w:t>Sivaranjanee R., Senthil Kumar P., Rangasamy G., 2023, A recent advancement on hydrothermal carbonization of biomass to produce hydrochar for pollution control, Carbon Letters, 33(7), 1909–1933. DOI: 10.1007/s42823-023-00576-2</w:t>
      </w:r>
      <w:r w:rsidR="00B84B3B">
        <w:t>.</w:t>
      </w:r>
    </w:p>
    <w:p w14:paraId="2E2770BC" w14:textId="1F850E6F" w:rsidR="00507493" w:rsidRPr="00243A66" w:rsidRDefault="00507493" w:rsidP="00507493">
      <w:pPr>
        <w:pStyle w:val="CETReferencetext"/>
      </w:pPr>
      <w:r w:rsidRPr="00243A66">
        <w:t>Supee A.H., Zaini M.A.A., 2024, Phosphoric acid-activated bamboo hydrochar for methylene blue adsorption: isotherm and kinetic studies, Biomass Conversion and Biorefinery, 14, 8563–8577. DOI: 10.1007/s13399-022-03465-2</w:t>
      </w:r>
      <w:r w:rsidR="00B84B3B">
        <w:t>.</w:t>
      </w:r>
    </w:p>
    <w:p w14:paraId="19C4FC68" w14:textId="5BB08FAF" w:rsidR="004628D2" w:rsidRDefault="00507493" w:rsidP="008351C3">
      <w:pPr>
        <w:pStyle w:val="CETReferencetext"/>
      </w:pPr>
      <w:r w:rsidRPr="00243A66">
        <w:t>Vásquez Llanosa S.A., García M., Torres J., 2024, Energy Transformation: Assessment of Urban Lignocellulosic Biomass Biofuels via Hydrothermal Carbonization, Chemical Engineering Transactions, 110, 487–492. DOI: 10.3303/CET24110070</w:t>
      </w:r>
      <w:r w:rsidR="00B84B3B">
        <w:t>.</w:t>
      </w:r>
    </w:p>
    <w:sectPr w:rsidR="004628D2" w:rsidSect="00A714EF">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8710F" w14:textId="77777777" w:rsidR="00B1149E" w:rsidRPr="00243A66" w:rsidRDefault="00B1149E" w:rsidP="004F5E36">
      <w:r w:rsidRPr="00243A66">
        <w:separator/>
      </w:r>
    </w:p>
  </w:endnote>
  <w:endnote w:type="continuationSeparator" w:id="0">
    <w:p w14:paraId="6D3E8A02" w14:textId="77777777" w:rsidR="00B1149E" w:rsidRPr="00243A66" w:rsidRDefault="00B1149E" w:rsidP="004F5E36">
      <w:r w:rsidRPr="00243A6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E6272" w14:textId="77777777" w:rsidR="00B1149E" w:rsidRPr="00243A66" w:rsidRDefault="00B1149E" w:rsidP="004F5E36">
      <w:r w:rsidRPr="00243A66">
        <w:separator/>
      </w:r>
    </w:p>
  </w:footnote>
  <w:footnote w:type="continuationSeparator" w:id="0">
    <w:p w14:paraId="724D7DAB" w14:textId="77777777" w:rsidR="00B1149E" w:rsidRPr="00243A66" w:rsidRDefault="00B1149E" w:rsidP="004F5E36">
      <w:r w:rsidRPr="00243A66">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D695E07"/>
    <w:multiLevelType w:val="multilevel"/>
    <w:tmpl w:val="FB384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05833870">
    <w:abstractNumId w:val="10"/>
  </w:num>
  <w:num w:numId="2" w16cid:durableId="335233044">
    <w:abstractNumId w:val="8"/>
  </w:num>
  <w:num w:numId="3" w16cid:durableId="1330058755">
    <w:abstractNumId w:val="3"/>
  </w:num>
  <w:num w:numId="4" w16cid:durableId="1252423446">
    <w:abstractNumId w:val="2"/>
  </w:num>
  <w:num w:numId="5" w16cid:durableId="51346417">
    <w:abstractNumId w:val="1"/>
  </w:num>
  <w:num w:numId="6" w16cid:durableId="646281365">
    <w:abstractNumId w:val="0"/>
  </w:num>
  <w:num w:numId="7" w16cid:durableId="694308577">
    <w:abstractNumId w:val="9"/>
  </w:num>
  <w:num w:numId="8" w16cid:durableId="1562597941">
    <w:abstractNumId w:val="7"/>
  </w:num>
  <w:num w:numId="9" w16cid:durableId="1950426066">
    <w:abstractNumId w:val="6"/>
  </w:num>
  <w:num w:numId="10" w16cid:durableId="793717335">
    <w:abstractNumId w:val="5"/>
  </w:num>
  <w:num w:numId="11" w16cid:durableId="1640769075">
    <w:abstractNumId w:val="4"/>
  </w:num>
  <w:num w:numId="12" w16cid:durableId="1264723431">
    <w:abstractNumId w:val="17"/>
  </w:num>
  <w:num w:numId="13" w16cid:durableId="822963723">
    <w:abstractNumId w:val="12"/>
  </w:num>
  <w:num w:numId="14" w16cid:durableId="1666086961">
    <w:abstractNumId w:val="18"/>
  </w:num>
  <w:num w:numId="15" w16cid:durableId="918053830">
    <w:abstractNumId w:val="21"/>
  </w:num>
  <w:num w:numId="16" w16cid:durableId="912205053">
    <w:abstractNumId w:val="20"/>
  </w:num>
  <w:num w:numId="17" w16cid:durableId="1291520182">
    <w:abstractNumId w:val="11"/>
  </w:num>
  <w:num w:numId="18" w16cid:durableId="787352097">
    <w:abstractNumId w:val="12"/>
    <w:lvlOverride w:ilvl="0">
      <w:startOverride w:val="1"/>
    </w:lvlOverride>
  </w:num>
  <w:num w:numId="19" w16cid:durableId="631907910">
    <w:abstractNumId w:val="16"/>
  </w:num>
  <w:num w:numId="20" w16cid:durableId="359165567">
    <w:abstractNumId w:val="15"/>
  </w:num>
  <w:num w:numId="21" w16cid:durableId="2006280818">
    <w:abstractNumId w:val="14"/>
  </w:num>
  <w:num w:numId="22" w16cid:durableId="703334038">
    <w:abstractNumId w:val="13"/>
  </w:num>
  <w:num w:numId="23" w16cid:durableId="1682528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s-ES" w:vendorID="64" w:dllVersion="6" w:nlCheck="1" w:checkStyle="0"/>
  <w:activeWritingStyle w:appName="MSWord" w:lang="es-ES" w:vendorID="64" w:dllVersion="0" w:nlCheck="1" w:checkStyle="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3148D"/>
    <w:rsid w:val="00031EEC"/>
    <w:rsid w:val="00032311"/>
    <w:rsid w:val="000347C0"/>
    <w:rsid w:val="00051566"/>
    <w:rsid w:val="00054288"/>
    <w:rsid w:val="000562A9"/>
    <w:rsid w:val="00057D82"/>
    <w:rsid w:val="00062A9A"/>
    <w:rsid w:val="00062B3B"/>
    <w:rsid w:val="00065058"/>
    <w:rsid w:val="00086C39"/>
    <w:rsid w:val="000A03B2"/>
    <w:rsid w:val="000A4FF1"/>
    <w:rsid w:val="000B05DA"/>
    <w:rsid w:val="000D0268"/>
    <w:rsid w:val="000D0704"/>
    <w:rsid w:val="000D34BE"/>
    <w:rsid w:val="000D5AA4"/>
    <w:rsid w:val="000E102F"/>
    <w:rsid w:val="000E2545"/>
    <w:rsid w:val="000E36F1"/>
    <w:rsid w:val="000E3A73"/>
    <w:rsid w:val="000E414A"/>
    <w:rsid w:val="000E453A"/>
    <w:rsid w:val="000F093C"/>
    <w:rsid w:val="000F375E"/>
    <w:rsid w:val="000F787B"/>
    <w:rsid w:val="00100F60"/>
    <w:rsid w:val="0010352C"/>
    <w:rsid w:val="0010453F"/>
    <w:rsid w:val="0011529C"/>
    <w:rsid w:val="0012091F"/>
    <w:rsid w:val="00126BC2"/>
    <w:rsid w:val="001308B6"/>
    <w:rsid w:val="0013121F"/>
    <w:rsid w:val="00131FE6"/>
    <w:rsid w:val="0013263F"/>
    <w:rsid w:val="001331DF"/>
    <w:rsid w:val="00134DE4"/>
    <w:rsid w:val="0014034D"/>
    <w:rsid w:val="001434AE"/>
    <w:rsid w:val="00144D16"/>
    <w:rsid w:val="00150E59"/>
    <w:rsid w:val="00152DE3"/>
    <w:rsid w:val="00156824"/>
    <w:rsid w:val="001604BC"/>
    <w:rsid w:val="00164CF9"/>
    <w:rsid w:val="0016510C"/>
    <w:rsid w:val="00165531"/>
    <w:rsid w:val="001667A6"/>
    <w:rsid w:val="00176533"/>
    <w:rsid w:val="00181728"/>
    <w:rsid w:val="00184AD6"/>
    <w:rsid w:val="001A4AF7"/>
    <w:rsid w:val="001B0349"/>
    <w:rsid w:val="001B1E93"/>
    <w:rsid w:val="001B65C1"/>
    <w:rsid w:val="001C345E"/>
    <w:rsid w:val="001C3B7A"/>
    <w:rsid w:val="001C684B"/>
    <w:rsid w:val="001D0CFB"/>
    <w:rsid w:val="001D21AF"/>
    <w:rsid w:val="001D53FC"/>
    <w:rsid w:val="001E35B1"/>
    <w:rsid w:val="001F42A5"/>
    <w:rsid w:val="001F6475"/>
    <w:rsid w:val="001F7B9D"/>
    <w:rsid w:val="001F7F35"/>
    <w:rsid w:val="00201C93"/>
    <w:rsid w:val="00212469"/>
    <w:rsid w:val="002131F3"/>
    <w:rsid w:val="002224B4"/>
    <w:rsid w:val="00236D60"/>
    <w:rsid w:val="00243A66"/>
    <w:rsid w:val="002447EF"/>
    <w:rsid w:val="00247D58"/>
    <w:rsid w:val="00250EFF"/>
    <w:rsid w:val="00251550"/>
    <w:rsid w:val="00253C52"/>
    <w:rsid w:val="00263B05"/>
    <w:rsid w:val="0027221A"/>
    <w:rsid w:val="00275B61"/>
    <w:rsid w:val="00280FAF"/>
    <w:rsid w:val="00282656"/>
    <w:rsid w:val="00286766"/>
    <w:rsid w:val="002943B1"/>
    <w:rsid w:val="00296B83"/>
    <w:rsid w:val="002A1D8E"/>
    <w:rsid w:val="002B4015"/>
    <w:rsid w:val="002B708F"/>
    <w:rsid w:val="002B78CE"/>
    <w:rsid w:val="002C057D"/>
    <w:rsid w:val="002C2FB6"/>
    <w:rsid w:val="002E5FA7"/>
    <w:rsid w:val="002F3309"/>
    <w:rsid w:val="003008CE"/>
    <w:rsid w:val="003009B7"/>
    <w:rsid w:val="00300E56"/>
    <w:rsid w:val="0030152C"/>
    <w:rsid w:val="0030469C"/>
    <w:rsid w:val="00312A95"/>
    <w:rsid w:val="00313E73"/>
    <w:rsid w:val="00321CA6"/>
    <w:rsid w:val="00323763"/>
    <w:rsid w:val="00323C5F"/>
    <w:rsid w:val="00323DF8"/>
    <w:rsid w:val="00332DB2"/>
    <w:rsid w:val="00334C09"/>
    <w:rsid w:val="00347D32"/>
    <w:rsid w:val="00350D8F"/>
    <w:rsid w:val="00354711"/>
    <w:rsid w:val="00365C5A"/>
    <w:rsid w:val="003723D4"/>
    <w:rsid w:val="00374F0E"/>
    <w:rsid w:val="00375F8A"/>
    <w:rsid w:val="00381905"/>
    <w:rsid w:val="003820A3"/>
    <w:rsid w:val="00384CC8"/>
    <w:rsid w:val="003871FD"/>
    <w:rsid w:val="00396406"/>
    <w:rsid w:val="003A1E30"/>
    <w:rsid w:val="003A2829"/>
    <w:rsid w:val="003A7D1C"/>
    <w:rsid w:val="003B304B"/>
    <w:rsid w:val="003B3146"/>
    <w:rsid w:val="003C6F56"/>
    <w:rsid w:val="003D29CE"/>
    <w:rsid w:val="003D403C"/>
    <w:rsid w:val="003E04F0"/>
    <w:rsid w:val="003F015E"/>
    <w:rsid w:val="00400414"/>
    <w:rsid w:val="0041446B"/>
    <w:rsid w:val="0041489D"/>
    <w:rsid w:val="00417C52"/>
    <w:rsid w:val="00421DF5"/>
    <w:rsid w:val="00431D67"/>
    <w:rsid w:val="0044071E"/>
    <w:rsid w:val="0044329C"/>
    <w:rsid w:val="00453C59"/>
    <w:rsid w:val="00453E24"/>
    <w:rsid w:val="00457456"/>
    <w:rsid w:val="004577FE"/>
    <w:rsid w:val="00457B9C"/>
    <w:rsid w:val="0046164A"/>
    <w:rsid w:val="004628D2"/>
    <w:rsid w:val="00462DCD"/>
    <w:rsid w:val="004648AD"/>
    <w:rsid w:val="004703A9"/>
    <w:rsid w:val="004749E9"/>
    <w:rsid w:val="004760DE"/>
    <w:rsid w:val="004763D7"/>
    <w:rsid w:val="0048667C"/>
    <w:rsid w:val="00486DE9"/>
    <w:rsid w:val="004A004E"/>
    <w:rsid w:val="004A24CF"/>
    <w:rsid w:val="004C3D1D"/>
    <w:rsid w:val="004C3D84"/>
    <w:rsid w:val="004C49D0"/>
    <w:rsid w:val="004C7913"/>
    <w:rsid w:val="004D482F"/>
    <w:rsid w:val="004E4DD6"/>
    <w:rsid w:val="004F5E36"/>
    <w:rsid w:val="004F6E81"/>
    <w:rsid w:val="00503FD8"/>
    <w:rsid w:val="00507493"/>
    <w:rsid w:val="00507B41"/>
    <w:rsid w:val="00507B47"/>
    <w:rsid w:val="00507BEF"/>
    <w:rsid w:val="00507CC9"/>
    <w:rsid w:val="005119A5"/>
    <w:rsid w:val="00525A31"/>
    <w:rsid w:val="005278B7"/>
    <w:rsid w:val="00532016"/>
    <w:rsid w:val="005346C8"/>
    <w:rsid w:val="00543B93"/>
    <w:rsid w:val="00543E7D"/>
    <w:rsid w:val="00547A68"/>
    <w:rsid w:val="005531C9"/>
    <w:rsid w:val="00557E00"/>
    <w:rsid w:val="005609CE"/>
    <w:rsid w:val="0056706A"/>
    <w:rsid w:val="00570C43"/>
    <w:rsid w:val="005716C3"/>
    <w:rsid w:val="00571FCF"/>
    <w:rsid w:val="00577668"/>
    <w:rsid w:val="005871E5"/>
    <w:rsid w:val="00591581"/>
    <w:rsid w:val="005A5F7C"/>
    <w:rsid w:val="005A6488"/>
    <w:rsid w:val="005B2110"/>
    <w:rsid w:val="005B61E6"/>
    <w:rsid w:val="005C77E1"/>
    <w:rsid w:val="005D668A"/>
    <w:rsid w:val="005D6A2F"/>
    <w:rsid w:val="005E1A82"/>
    <w:rsid w:val="005E7116"/>
    <w:rsid w:val="005E794C"/>
    <w:rsid w:val="005F08F8"/>
    <w:rsid w:val="005F0A28"/>
    <w:rsid w:val="005F0E5E"/>
    <w:rsid w:val="00600535"/>
    <w:rsid w:val="006106A2"/>
    <w:rsid w:val="00610CD6"/>
    <w:rsid w:val="00620DEE"/>
    <w:rsid w:val="00621F92"/>
    <w:rsid w:val="0062280A"/>
    <w:rsid w:val="006236F5"/>
    <w:rsid w:val="00625639"/>
    <w:rsid w:val="00631B33"/>
    <w:rsid w:val="0064184D"/>
    <w:rsid w:val="006422CC"/>
    <w:rsid w:val="00645902"/>
    <w:rsid w:val="00645E8F"/>
    <w:rsid w:val="00660E3E"/>
    <w:rsid w:val="00662E74"/>
    <w:rsid w:val="00680C23"/>
    <w:rsid w:val="00681460"/>
    <w:rsid w:val="00693766"/>
    <w:rsid w:val="006A0034"/>
    <w:rsid w:val="006A3281"/>
    <w:rsid w:val="006A3DEE"/>
    <w:rsid w:val="006A6ACE"/>
    <w:rsid w:val="006B4888"/>
    <w:rsid w:val="006C2E45"/>
    <w:rsid w:val="006C359C"/>
    <w:rsid w:val="006C5579"/>
    <w:rsid w:val="006D6E8B"/>
    <w:rsid w:val="006E0E7E"/>
    <w:rsid w:val="006E737D"/>
    <w:rsid w:val="00703F4F"/>
    <w:rsid w:val="00707DD1"/>
    <w:rsid w:val="00713973"/>
    <w:rsid w:val="00715B36"/>
    <w:rsid w:val="00717FD6"/>
    <w:rsid w:val="00720A24"/>
    <w:rsid w:val="00732386"/>
    <w:rsid w:val="0073514D"/>
    <w:rsid w:val="007447F3"/>
    <w:rsid w:val="00744877"/>
    <w:rsid w:val="0075499F"/>
    <w:rsid w:val="007660B0"/>
    <w:rsid w:val="007661C8"/>
    <w:rsid w:val="0077098D"/>
    <w:rsid w:val="00786157"/>
    <w:rsid w:val="007931FA"/>
    <w:rsid w:val="007A4861"/>
    <w:rsid w:val="007A7BBA"/>
    <w:rsid w:val="007B0845"/>
    <w:rsid w:val="007B0C50"/>
    <w:rsid w:val="007B48F9"/>
    <w:rsid w:val="007C1A43"/>
    <w:rsid w:val="007D0951"/>
    <w:rsid w:val="007D4A3A"/>
    <w:rsid w:val="007F03FA"/>
    <w:rsid w:val="0080013E"/>
    <w:rsid w:val="00813288"/>
    <w:rsid w:val="008168FC"/>
    <w:rsid w:val="00821827"/>
    <w:rsid w:val="00830996"/>
    <w:rsid w:val="00830CB4"/>
    <w:rsid w:val="008345F1"/>
    <w:rsid w:val="008351C3"/>
    <w:rsid w:val="00865B07"/>
    <w:rsid w:val="008667EA"/>
    <w:rsid w:val="00867CB4"/>
    <w:rsid w:val="0087154C"/>
    <w:rsid w:val="0087637F"/>
    <w:rsid w:val="00887450"/>
    <w:rsid w:val="00892AD5"/>
    <w:rsid w:val="00892F79"/>
    <w:rsid w:val="008939FC"/>
    <w:rsid w:val="00894A4E"/>
    <w:rsid w:val="008A1512"/>
    <w:rsid w:val="008A2223"/>
    <w:rsid w:val="008B1F82"/>
    <w:rsid w:val="008C01A7"/>
    <w:rsid w:val="008D0E3F"/>
    <w:rsid w:val="008D32B9"/>
    <w:rsid w:val="008D433B"/>
    <w:rsid w:val="008D4A16"/>
    <w:rsid w:val="008D4ACC"/>
    <w:rsid w:val="008E33B3"/>
    <w:rsid w:val="008E566E"/>
    <w:rsid w:val="008E58F7"/>
    <w:rsid w:val="008F09CE"/>
    <w:rsid w:val="0090161A"/>
    <w:rsid w:val="00901EB6"/>
    <w:rsid w:val="00904C62"/>
    <w:rsid w:val="00922BA8"/>
    <w:rsid w:val="00924DAC"/>
    <w:rsid w:val="00927058"/>
    <w:rsid w:val="00932D4C"/>
    <w:rsid w:val="00942750"/>
    <w:rsid w:val="009450CE"/>
    <w:rsid w:val="009459BB"/>
    <w:rsid w:val="00947179"/>
    <w:rsid w:val="0095164B"/>
    <w:rsid w:val="00954090"/>
    <w:rsid w:val="00956EF7"/>
    <w:rsid w:val="009573E7"/>
    <w:rsid w:val="00963E05"/>
    <w:rsid w:val="00964A45"/>
    <w:rsid w:val="00967843"/>
    <w:rsid w:val="00967D54"/>
    <w:rsid w:val="00971028"/>
    <w:rsid w:val="009812FC"/>
    <w:rsid w:val="00993B84"/>
    <w:rsid w:val="00996483"/>
    <w:rsid w:val="00996F5A"/>
    <w:rsid w:val="009A7E56"/>
    <w:rsid w:val="009B041A"/>
    <w:rsid w:val="009B7B53"/>
    <w:rsid w:val="009C37C3"/>
    <w:rsid w:val="009C7C86"/>
    <w:rsid w:val="009D2FF7"/>
    <w:rsid w:val="009E7884"/>
    <w:rsid w:val="009E788A"/>
    <w:rsid w:val="009F025D"/>
    <w:rsid w:val="009F0E08"/>
    <w:rsid w:val="009F2260"/>
    <w:rsid w:val="009F30A2"/>
    <w:rsid w:val="009F478D"/>
    <w:rsid w:val="009F7414"/>
    <w:rsid w:val="00A04A6D"/>
    <w:rsid w:val="00A119F7"/>
    <w:rsid w:val="00A1763D"/>
    <w:rsid w:val="00A17CEC"/>
    <w:rsid w:val="00A27ECB"/>
    <w:rsid w:val="00A27EF0"/>
    <w:rsid w:val="00A41954"/>
    <w:rsid w:val="00A42361"/>
    <w:rsid w:val="00A50B20"/>
    <w:rsid w:val="00A51390"/>
    <w:rsid w:val="00A60D13"/>
    <w:rsid w:val="00A714EF"/>
    <w:rsid w:val="00A7223D"/>
    <w:rsid w:val="00A72745"/>
    <w:rsid w:val="00A76EFC"/>
    <w:rsid w:val="00A859B6"/>
    <w:rsid w:val="00A87D50"/>
    <w:rsid w:val="00A91010"/>
    <w:rsid w:val="00A97F29"/>
    <w:rsid w:val="00AA538D"/>
    <w:rsid w:val="00AA702E"/>
    <w:rsid w:val="00AA7D26"/>
    <w:rsid w:val="00AB0964"/>
    <w:rsid w:val="00AB5011"/>
    <w:rsid w:val="00AC7368"/>
    <w:rsid w:val="00AD16B9"/>
    <w:rsid w:val="00AD40FA"/>
    <w:rsid w:val="00AE00C9"/>
    <w:rsid w:val="00AE1422"/>
    <w:rsid w:val="00AE2E84"/>
    <w:rsid w:val="00AE377D"/>
    <w:rsid w:val="00AE7EA4"/>
    <w:rsid w:val="00AF0EBA"/>
    <w:rsid w:val="00AF46C8"/>
    <w:rsid w:val="00B00F02"/>
    <w:rsid w:val="00B02C8A"/>
    <w:rsid w:val="00B1149E"/>
    <w:rsid w:val="00B17FBD"/>
    <w:rsid w:val="00B25EE7"/>
    <w:rsid w:val="00B315A6"/>
    <w:rsid w:val="00B31813"/>
    <w:rsid w:val="00B32812"/>
    <w:rsid w:val="00B3335F"/>
    <w:rsid w:val="00B33365"/>
    <w:rsid w:val="00B353DB"/>
    <w:rsid w:val="00B35A22"/>
    <w:rsid w:val="00B50429"/>
    <w:rsid w:val="00B57B36"/>
    <w:rsid w:val="00B57E6F"/>
    <w:rsid w:val="00B639BF"/>
    <w:rsid w:val="00B655ED"/>
    <w:rsid w:val="00B808F4"/>
    <w:rsid w:val="00B84B3B"/>
    <w:rsid w:val="00B86625"/>
    <w:rsid w:val="00B8686D"/>
    <w:rsid w:val="00B93F69"/>
    <w:rsid w:val="00BB1DDC"/>
    <w:rsid w:val="00BB34DC"/>
    <w:rsid w:val="00BC30C9"/>
    <w:rsid w:val="00BC782F"/>
    <w:rsid w:val="00BD077D"/>
    <w:rsid w:val="00BE3E58"/>
    <w:rsid w:val="00BF2737"/>
    <w:rsid w:val="00BF542A"/>
    <w:rsid w:val="00C01616"/>
    <w:rsid w:val="00C0162B"/>
    <w:rsid w:val="00C044E7"/>
    <w:rsid w:val="00C068ED"/>
    <w:rsid w:val="00C22E0C"/>
    <w:rsid w:val="00C24AF1"/>
    <w:rsid w:val="00C26DF9"/>
    <w:rsid w:val="00C345B1"/>
    <w:rsid w:val="00C40142"/>
    <w:rsid w:val="00C45188"/>
    <w:rsid w:val="00C52C3C"/>
    <w:rsid w:val="00C57182"/>
    <w:rsid w:val="00C57863"/>
    <w:rsid w:val="00C640AF"/>
    <w:rsid w:val="00C655FD"/>
    <w:rsid w:val="00C656CE"/>
    <w:rsid w:val="00C75407"/>
    <w:rsid w:val="00C776B6"/>
    <w:rsid w:val="00C827CC"/>
    <w:rsid w:val="00C841C6"/>
    <w:rsid w:val="00C862C1"/>
    <w:rsid w:val="00C870A8"/>
    <w:rsid w:val="00C87389"/>
    <w:rsid w:val="00C94434"/>
    <w:rsid w:val="00CA0D75"/>
    <w:rsid w:val="00CA1C95"/>
    <w:rsid w:val="00CA5A9C"/>
    <w:rsid w:val="00CB428B"/>
    <w:rsid w:val="00CB4E0E"/>
    <w:rsid w:val="00CC34DE"/>
    <w:rsid w:val="00CC4C20"/>
    <w:rsid w:val="00CD2829"/>
    <w:rsid w:val="00CD3517"/>
    <w:rsid w:val="00CD5FE2"/>
    <w:rsid w:val="00CE7C68"/>
    <w:rsid w:val="00D02B4C"/>
    <w:rsid w:val="00D02F38"/>
    <w:rsid w:val="00D040C4"/>
    <w:rsid w:val="00D12860"/>
    <w:rsid w:val="00D20AD1"/>
    <w:rsid w:val="00D2582C"/>
    <w:rsid w:val="00D30CAD"/>
    <w:rsid w:val="00D426F4"/>
    <w:rsid w:val="00D46B7E"/>
    <w:rsid w:val="00D57C84"/>
    <w:rsid w:val="00D6057D"/>
    <w:rsid w:val="00D6266D"/>
    <w:rsid w:val="00D62CD5"/>
    <w:rsid w:val="00D71640"/>
    <w:rsid w:val="00D75CAD"/>
    <w:rsid w:val="00D832C6"/>
    <w:rsid w:val="00D836C5"/>
    <w:rsid w:val="00D84576"/>
    <w:rsid w:val="00D90489"/>
    <w:rsid w:val="00D96570"/>
    <w:rsid w:val="00DA1399"/>
    <w:rsid w:val="00DA24C6"/>
    <w:rsid w:val="00DA4D7B"/>
    <w:rsid w:val="00DB2189"/>
    <w:rsid w:val="00DB61AF"/>
    <w:rsid w:val="00DB6872"/>
    <w:rsid w:val="00DD271C"/>
    <w:rsid w:val="00DD75C2"/>
    <w:rsid w:val="00DE00BF"/>
    <w:rsid w:val="00DE0467"/>
    <w:rsid w:val="00DE264A"/>
    <w:rsid w:val="00DE7805"/>
    <w:rsid w:val="00DF5072"/>
    <w:rsid w:val="00E02D18"/>
    <w:rsid w:val="00E041E7"/>
    <w:rsid w:val="00E1347D"/>
    <w:rsid w:val="00E224C1"/>
    <w:rsid w:val="00E23CA1"/>
    <w:rsid w:val="00E409A8"/>
    <w:rsid w:val="00E4471A"/>
    <w:rsid w:val="00E50C12"/>
    <w:rsid w:val="00E65B91"/>
    <w:rsid w:val="00E67C55"/>
    <w:rsid w:val="00E7209D"/>
    <w:rsid w:val="00E72EAD"/>
    <w:rsid w:val="00E77223"/>
    <w:rsid w:val="00E850C8"/>
    <w:rsid w:val="00E8528B"/>
    <w:rsid w:val="00E85B94"/>
    <w:rsid w:val="00E978D0"/>
    <w:rsid w:val="00EA4613"/>
    <w:rsid w:val="00EA6E8E"/>
    <w:rsid w:val="00EA7F91"/>
    <w:rsid w:val="00EB1523"/>
    <w:rsid w:val="00EB2FBA"/>
    <w:rsid w:val="00EC0E49"/>
    <w:rsid w:val="00EC101F"/>
    <w:rsid w:val="00EC1D9F"/>
    <w:rsid w:val="00EE0131"/>
    <w:rsid w:val="00EE17B0"/>
    <w:rsid w:val="00EF06D9"/>
    <w:rsid w:val="00EF53FB"/>
    <w:rsid w:val="00F00532"/>
    <w:rsid w:val="00F231CA"/>
    <w:rsid w:val="00F264DD"/>
    <w:rsid w:val="00F3049E"/>
    <w:rsid w:val="00F30C64"/>
    <w:rsid w:val="00F31893"/>
    <w:rsid w:val="00F32BA2"/>
    <w:rsid w:val="00F32CDB"/>
    <w:rsid w:val="00F5250B"/>
    <w:rsid w:val="00F54D51"/>
    <w:rsid w:val="00F565FE"/>
    <w:rsid w:val="00F6077A"/>
    <w:rsid w:val="00F63A70"/>
    <w:rsid w:val="00F63D8C"/>
    <w:rsid w:val="00F6597E"/>
    <w:rsid w:val="00F66807"/>
    <w:rsid w:val="00F66A40"/>
    <w:rsid w:val="00F7534E"/>
    <w:rsid w:val="00F76681"/>
    <w:rsid w:val="00F93EDF"/>
    <w:rsid w:val="00F95856"/>
    <w:rsid w:val="00F962BC"/>
    <w:rsid w:val="00FA1802"/>
    <w:rsid w:val="00FA21D0"/>
    <w:rsid w:val="00FA5F5F"/>
    <w:rsid w:val="00FB5B4C"/>
    <w:rsid w:val="00FB730C"/>
    <w:rsid w:val="00FC2695"/>
    <w:rsid w:val="00FC3E03"/>
    <w:rsid w:val="00FC3FC1"/>
    <w:rsid w:val="00FE7036"/>
    <w:rsid w:val="00FF69AA"/>
    <w:rsid w:val="0F3CC6D9"/>
    <w:rsid w:val="0FA749F8"/>
    <w:rsid w:val="19161B7D"/>
    <w:rsid w:val="1979E1A7"/>
    <w:rsid w:val="1C6EE9C7"/>
    <w:rsid w:val="25F8CDC7"/>
    <w:rsid w:val="2E41F1F1"/>
    <w:rsid w:val="3004C7A4"/>
    <w:rsid w:val="35968463"/>
    <w:rsid w:val="3A7F855B"/>
    <w:rsid w:val="3B12110C"/>
    <w:rsid w:val="49AB027A"/>
    <w:rsid w:val="5A3E430B"/>
    <w:rsid w:val="5D49F868"/>
    <w:rsid w:val="61995FB5"/>
    <w:rsid w:val="66C721A4"/>
    <w:rsid w:val="7393C731"/>
    <w:rsid w:val="7B035FE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customStyle="1" w:styleId="gmail-apple-converted-space">
    <w:name w:val="gmail-apple-converted-space"/>
    <w:basedOn w:val="Fuentedeprrafopredeter"/>
    <w:rsid w:val="00005A19"/>
  </w:style>
  <w:style w:type="paragraph" w:customStyle="1" w:styleId="MDPI42tablebody">
    <w:name w:val="MDPI_4.2_table_body"/>
    <w:qFormat/>
    <w:rsid w:val="003D29CE"/>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table" w:customStyle="1" w:styleId="MDPI41threelinetable">
    <w:name w:val="MDPI_4.1_three_line_table"/>
    <w:basedOn w:val="Tablanormal"/>
    <w:uiPriority w:val="99"/>
    <w:rsid w:val="003D29CE"/>
    <w:pPr>
      <w:adjustRightInd w:val="0"/>
      <w:snapToGrid w:val="0"/>
      <w:spacing w:after="0" w:line="280" w:lineRule="atLeast"/>
      <w:jc w:val="center"/>
    </w:pPr>
    <w:rPr>
      <w:rFonts w:ascii="Palatino Linotype" w:eastAsia="SimSun" w:hAnsi="Palatino Linotype" w:cs="Times New Roman"/>
      <w:color w:val="000000"/>
      <w:sz w:val="20"/>
      <w:szCs w:val="20"/>
      <w:lang w:val="en-US"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nfasis">
    <w:name w:val="Emphasis"/>
    <w:basedOn w:val="Fuentedeprrafopredeter"/>
    <w:uiPriority w:val="20"/>
    <w:qFormat/>
    <w:rsid w:val="00347D32"/>
    <w:rPr>
      <w:i/>
      <w:iCs/>
    </w:rPr>
  </w:style>
  <w:style w:type="paragraph" w:customStyle="1" w:styleId="MDPI52figure">
    <w:name w:val="MDPI_5.2_figure"/>
    <w:qFormat/>
    <w:rsid w:val="00591581"/>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val="en-US" w:eastAsia="de-DE" w:bidi="en-US"/>
    </w:rPr>
  </w:style>
  <w:style w:type="table" w:customStyle="1" w:styleId="MDPItable">
    <w:name w:val="MDPI_table"/>
    <w:basedOn w:val="Tablanormal"/>
    <w:uiPriority w:val="99"/>
    <w:rsid w:val="00591581"/>
    <w:pPr>
      <w:spacing w:after="0" w:line="240" w:lineRule="auto"/>
    </w:pPr>
    <w:rPr>
      <w:rFonts w:ascii="Palatino Linotype" w:eastAsia="SimSun" w:hAnsi="Palatino Linotype" w:cs="Times New Roman"/>
      <w:color w:val="000000"/>
      <w:sz w:val="20"/>
      <w:szCs w:val="20"/>
      <w:lang w:val="en-CA"/>
    </w:rPr>
    <w:tblPr>
      <w:tblCellMar>
        <w:left w:w="0" w:type="dxa"/>
        <w:right w:w="0" w:type="dxa"/>
      </w:tblCellMar>
    </w:tblPr>
  </w:style>
  <w:style w:type="paragraph" w:styleId="Sinespaciado">
    <w:name w:val="No Spacing"/>
    <w:uiPriority w:val="1"/>
    <w:qFormat/>
    <w:rsid w:val="00E1347D"/>
    <w:pPr>
      <w:tabs>
        <w:tab w:val="right" w:pos="7100"/>
      </w:tabs>
      <w:spacing w:before="120" w:after="120" w:line="264" w:lineRule="auto"/>
      <w:jc w:val="both"/>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983061">
      <w:bodyDiv w:val="1"/>
      <w:marLeft w:val="0"/>
      <w:marRight w:val="0"/>
      <w:marTop w:val="0"/>
      <w:marBottom w:val="0"/>
      <w:divBdr>
        <w:top w:val="none" w:sz="0" w:space="0" w:color="auto"/>
        <w:left w:val="none" w:sz="0" w:space="0" w:color="auto"/>
        <w:bottom w:val="none" w:sz="0" w:space="0" w:color="auto"/>
        <w:right w:val="none" w:sz="0" w:space="0" w:color="auto"/>
      </w:divBdr>
    </w:div>
    <w:div w:id="249583399">
      <w:bodyDiv w:val="1"/>
      <w:marLeft w:val="0"/>
      <w:marRight w:val="0"/>
      <w:marTop w:val="0"/>
      <w:marBottom w:val="0"/>
      <w:divBdr>
        <w:top w:val="none" w:sz="0" w:space="0" w:color="auto"/>
        <w:left w:val="none" w:sz="0" w:space="0" w:color="auto"/>
        <w:bottom w:val="none" w:sz="0" w:space="0" w:color="auto"/>
        <w:right w:val="none" w:sz="0" w:space="0" w:color="auto"/>
      </w:divBdr>
    </w:div>
    <w:div w:id="269749932">
      <w:bodyDiv w:val="1"/>
      <w:marLeft w:val="0"/>
      <w:marRight w:val="0"/>
      <w:marTop w:val="0"/>
      <w:marBottom w:val="0"/>
      <w:divBdr>
        <w:top w:val="none" w:sz="0" w:space="0" w:color="auto"/>
        <w:left w:val="none" w:sz="0" w:space="0" w:color="auto"/>
        <w:bottom w:val="none" w:sz="0" w:space="0" w:color="auto"/>
        <w:right w:val="none" w:sz="0" w:space="0" w:color="auto"/>
      </w:divBdr>
      <w:divsChild>
        <w:div w:id="378283124">
          <w:marLeft w:val="0"/>
          <w:marRight w:val="0"/>
          <w:marTop w:val="0"/>
          <w:marBottom w:val="0"/>
          <w:divBdr>
            <w:top w:val="none" w:sz="0" w:space="0" w:color="auto"/>
            <w:left w:val="none" w:sz="0" w:space="0" w:color="auto"/>
            <w:bottom w:val="none" w:sz="0" w:space="0" w:color="auto"/>
            <w:right w:val="none" w:sz="0" w:space="0" w:color="auto"/>
          </w:divBdr>
        </w:div>
      </w:divsChild>
    </w:div>
    <w:div w:id="271909428">
      <w:bodyDiv w:val="1"/>
      <w:marLeft w:val="0"/>
      <w:marRight w:val="0"/>
      <w:marTop w:val="0"/>
      <w:marBottom w:val="0"/>
      <w:divBdr>
        <w:top w:val="none" w:sz="0" w:space="0" w:color="auto"/>
        <w:left w:val="none" w:sz="0" w:space="0" w:color="auto"/>
        <w:bottom w:val="none" w:sz="0" w:space="0" w:color="auto"/>
        <w:right w:val="none" w:sz="0" w:space="0" w:color="auto"/>
      </w:divBdr>
    </w:div>
    <w:div w:id="305935162">
      <w:bodyDiv w:val="1"/>
      <w:marLeft w:val="0"/>
      <w:marRight w:val="0"/>
      <w:marTop w:val="0"/>
      <w:marBottom w:val="0"/>
      <w:divBdr>
        <w:top w:val="none" w:sz="0" w:space="0" w:color="auto"/>
        <w:left w:val="none" w:sz="0" w:space="0" w:color="auto"/>
        <w:bottom w:val="none" w:sz="0" w:space="0" w:color="auto"/>
        <w:right w:val="none" w:sz="0" w:space="0" w:color="auto"/>
      </w:divBdr>
    </w:div>
    <w:div w:id="355162679">
      <w:bodyDiv w:val="1"/>
      <w:marLeft w:val="0"/>
      <w:marRight w:val="0"/>
      <w:marTop w:val="0"/>
      <w:marBottom w:val="0"/>
      <w:divBdr>
        <w:top w:val="none" w:sz="0" w:space="0" w:color="auto"/>
        <w:left w:val="none" w:sz="0" w:space="0" w:color="auto"/>
        <w:bottom w:val="none" w:sz="0" w:space="0" w:color="auto"/>
        <w:right w:val="none" w:sz="0" w:space="0" w:color="auto"/>
      </w:divBdr>
    </w:div>
    <w:div w:id="380400389">
      <w:bodyDiv w:val="1"/>
      <w:marLeft w:val="0"/>
      <w:marRight w:val="0"/>
      <w:marTop w:val="0"/>
      <w:marBottom w:val="0"/>
      <w:divBdr>
        <w:top w:val="none" w:sz="0" w:space="0" w:color="auto"/>
        <w:left w:val="none" w:sz="0" w:space="0" w:color="auto"/>
        <w:bottom w:val="none" w:sz="0" w:space="0" w:color="auto"/>
        <w:right w:val="none" w:sz="0" w:space="0" w:color="auto"/>
      </w:divBdr>
    </w:div>
    <w:div w:id="451676679">
      <w:bodyDiv w:val="1"/>
      <w:marLeft w:val="0"/>
      <w:marRight w:val="0"/>
      <w:marTop w:val="0"/>
      <w:marBottom w:val="0"/>
      <w:divBdr>
        <w:top w:val="none" w:sz="0" w:space="0" w:color="auto"/>
        <w:left w:val="none" w:sz="0" w:space="0" w:color="auto"/>
        <w:bottom w:val="none" w:sz="0" w:space="0" w:color="auto"/>
        <w:right w:val="none" w:sz="0" w:space="0" w:color="auto"/>
      </w:divBdr>
      <w:divsChild>
        <w:div w:id="1547599248">
          <w:marLeft w:val="0"/>
          <w:marRight w:val="0"/>
          <w:marTop w:val="0"/>
          <w:marBottom w:val="0"/>
          <w:divBdr>
            <w:top w:val="none" w:sz="0" w:space="0" w:color="auto"/>
            <w:left w:val="none" w:sz="0" w:space="0" w:color="auto"/>
            <w:bottom w:val="none" w:sz="0" w:space="0" w:color="auto"/>
            <w:right w:val="none" w:sz="0" w:space="0" w:color="auto"/>
          </w:divBdr>
          <w:divsChild>
            <w:div w:id="1709184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1487603">
      <w:bodyDiv w:val="1"/>
      <w:marLeft w:val="0"/>
      <w:marRight w:val="0"/>
      <w:marTop w:val="0"/>
      <w:marBottom w:val="0"/>
      <w:divBdr>
        <w:top w:val="none" w:sz="0" w:space="0" w:color="auto"/>
        <w:left w:val="none" w:sz="0" w:space="0" w:color="auto"/>
        <w:bottom w:val="none" w:sz="0" w:space="0" w:color="auto"/>
        <w:right w:val="none" w:sz="0" w:space="0" w:color="auto"/>
      </w:divBdr>
    </w:div>
    <w:div w:id="766578536">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4387">
      <w:bodyDiv w:val="1"/>
      <w:marLeft w:val="0"/>
      <w:marRight w:val="0"/>
      <w:marTop w:val="0"/>
      <w:marBottom w:val="0"/>
      <w:divBdr>
        <w:top w:val="none" w:sz="0" w:space="0" w:color="auto"/>
        <w:left w:val="none" w:sz="0" w:space="0" w:color="auto"/>
        <w:bottom w:val="none" w:sz="0" w:space="0" w:color="auto"/>
        <w:right w:val="none" w:sz="0" w:space="0" w:color="auto"/>
      </w:divBdr>
      <w:divsChild>
        <w:div w:id="842431551">
          <w:marLeft w:val="0"/>
          <w:marRight w:val="0"/>
          <w:marTop w:val="0"/>
          <w:marBottom w:val="0"/>
          <w:divBdr>
            <w:top w:val="none" w:sz="0" w:space="0" w:color="auto"/>
            <w:left w:val="none" w:sz="0" w:space="0" w:color="auto"/>
            <w:bottom w:val="none" w:sz="0" w:space="0" w:color="auto"/>
            <w:right w:val="none" w:sz="0" w:space="0" w:color="auto"/>
          </w:divBdr>
        </w:div>
      </w:divsChild>
    </w:div>
    <w:div w:id="842159723">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09188">
      <w:bodyDiv w:val="1"/>
      <w:marLeft w:val="0"/>
      <w:marRight w:val="0"/>
      <w:marTop w:val="0"/>
      <w:marBottom w:val="0"/>
      <w:divBdr>
        <w:top w:val="none" w:sz="0" w:space="0" w:color="auto"/>
        <w:left w:val="none" w:sz="0" w:space="0" w:color="auto"/>
        <w:bottom w:val="none" w:sz="0" w:space="0" w:color="auto"/>
        <w:right w:val="none" w:sz="0" w:space="0" w:color="auto"/>
      </w:divBdr>
      <w:divsChild>
        <w:div w:id="221796506">
          <w:marLeft w:val="0"/>
          <w:marRight w:val="0"/>
          <w:marTop w:val="0"/>
          <w:marBottom w:val="0"/>
          <w:divBdr>
            <w:top w:val="none" w:sz="0" w:space="0" w:color="auto"/>
            <w:left w:val="none" w:sz="0" w:space="0" w:color="auto"/>
            <w:bottom w:val="none" w:sz="0" w:space="0" w:color="auto"/>
            <w:right w:val="none" w:sz="0" w:space="0" w:color="auto"/>
          </w:divBdr>
        </w:div>
      </w:divsChild>
    </w:div>
    <w:div w:id="1066999229">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42336891">
      <w:bodyDiv w:val="1"/>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 w:id="1465658441">
      <w:bodyDiv w:val="1"/>
      <w:marLeft w:val="0"/>
      <w:marRight w:val="0"/>
      <w:marTop w:val="0"/>
      <w:marBottom w:val="0"/>
      <w:divBdr>
        <w:top w:val="none" w:sz="0" w:space="0" w:color="auto"/>
        <w:left w:val="none" w:sz="0" w:space="0" w:color="auto"/>
        <w:bottom w:val="none" w:sz="0" w:space="0" w:color="auto"/>
        <w:right w:val="none" w:sz="0" w:space="0" w:color="auto"/>
      </w:divBdr>
      <w:divsChild>
        <w:div w:id="1280988962">
          <w:marLeft w:val="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340406">
      <w:bodyDiv w:val="1"/>
      <w:marLeft w:val="0"/>
      <w:marRight w:val="0"/>
      <w:marTop w:val="0"/>
      <w:marBottom w:val="0"/>
      <w:divBdr>
        <w:top w:val="none" w:sz="0" w:space="0" w:color="auto"/>
        <w:left w:val="none" w:sz="0" w:space="0" w:color="auto"/>
        <w:bottom w:val="none" w:sz="0" w:space="0" w:color="auto"/>
        <w:right w:val="none" w:sz="0" w:space="0" w:color="auto"/>
      </w:divBdr>
    </w:div>
    <w:div w:id="1758944261">
      <w:bodyDiv w:val="1"/>
      <w:marLeft w:val="0"/>
      <w:marRight w:val="0"/>
      <w:marTop w:val="0"/>
      <w:marBottom w:val="0"/>
      <w:divBdr>
        <w:top w:val="none" w:sz="0" w:space="0" w:color="auto"/>
        <w:left w:val="none" w:sz="0" w:space="0" w:color="auto"/>
        <w:bottom w:val="none" w:sz="0" w:space="0" w:color="auto"/>
        <w:right w:val="none" w:sz="0" w:space="0" w:color="auto"/>
      </w:divBdr>
    </w:div>
    <w:div w:id="2073846968">
      <w:bodyDiv w:val="1"/>
      <w:marLeft w:val="0"/>
      <w:marRight w:val="0"/>
      <w:marTop w:val="0"/>
      <w:marBottom w:val="0"/>
      <w:divBdr>
        <w:top w:val="none" w:sz="0" w:space="0" w:color="auto"/>
        <w:left w:val="none" w:sz="0" w:space="0" w:color="auto"/>
        <w:bottom w:val="none" w:sz="0" w:space="0" w:color="auto"/>
        <w:right w:val="none" w:sz="0" w:space="0" w:color="auto"/>
      </w:divBdr>
      <w:divsChild>
        <w:div w:id="997684205">
          <w:marLeft w:val="0"/>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6728580">
      <w:bodyDiv w:val="1"/>
      <w:marLeft w:val="0"/>
      <w:marRight w:val="0"/>
      <w:marTop w:val="0"/>
      <w:marBottom w:val="0"/>
      <w:divBdr>
        <w:top w:val="none" w:sz="0" w:space="0" w:color="auto"/>
        <w:left w:val="none" w:sz="0" w:space="0" w:color="auto"/>
        <w:bottom w:val="none" w:sz="0" w:space="0" w:color="auto"/>
        <w:right w:val="none" w:sz="0" w:space="0" w:color="auto"/>
      </w:divBdr>
      <w:divsChild>
        <w:div w:id="1905677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tiff"/><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tif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5261C668C1ADB4C88B00BC31CE99114" ma:contentTypeVersion="19" ma:contentTypeDescription="Crear nuevo documento." ma:contentTypeScope="" ma:versionID="f9cafdb0a688dc11449069dad2b2c95c">
  <xsd:schema xmlns:xsd="http://www.w3.org/2001/XMLSchema" xmlns:xs="http://www.w3.org/2001/XMLSchema" xmlns:p="http://schemas.microsoft.com/office/2006/metadata/properties" xmlns:ns3="a8ef0d45-e108-4668-a6c2-b94d093e4a7b" xmlns:ns4="ba25ee7a-8e14-442a-bb77-76f36a1b4539" targetNamespace="http://schemas.microsoft.com/office/2006/metadata/properties" ma:root="true" ma:fieldsID="a4abd5b607bc84dc7c0c8d48e41ca079" ns3:_="" ns4:_="">
    <xsd:import namespace="a8ef0d45-e108-4668-a6c2-b94d093e4a7b"/>
    <xsd:import namespace="ba25ee7a-8e14-442a-bb77-76f36a1b453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f0d45-e108-4668-a6c2-b94d093e4a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25ee7a-8e14-442a-bb77-76f36a1b4539" elementFormDefault="qualified">
    <xsd:import namespace="http://schemas.microsoft.com/office/2006/documentManagement/types"/>
    <xsd:import namespace="http://schemas.microsoft.com/office/infopath/2007/PartnerControls"/>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element name="SharingHintHash" ma:index="2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a8ef0d45-e108-4668-a6c2-b94d093e4a7b" xsi:nil="true"/>
  </documentManagement>
</p:properties>
</file>

<file path=customXml/itemProps1.xml><?xml version="1.0" encoding="utf-8"?>
<ds:datastoreItem xmlns:ds="http://schemas.openxmlformats.org/officeDocument/2006/customXml" ds:itemID="{D9726626-B68A-4B38-A3A8-BE4E6A7DF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f0d45-e108-4668-a6c2-b94d093e4a7b"/>
    <ds:schemaRef ds:uri="ba25ee7a-8e14-442a-bb77-76f36a1b45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2D8715-85B2-4714-9DCC-0A9F75128C45}">
  <ds:schemaRefs>
    <ds:schemaRef ds:uri="http://schemas.microsoft.com/sharepoint/v3/contenttype/forms"/>
  </ds:schemaRefs>
</ds:datastoreItem>
</file>

<file path=customXml/itemProps3.xml><?xml version="1.0" encoding="utf-8"?>
<ds:datastoreItem xmlns:ds="http://schemas.openxmlformats.org/officeDocument/2006/customXml" ds:itemID="{5EF91965-0B03-4C28-97A7-2B81C41AFD90}">
  <ds:schemaRefs>
    <ds:schemaRef ds:uri="http://schemas.openxmlformats.org/officeDocument/2006/bibliography"/>
  </ds:schemaRefs>
</ds:datastoreItem>
</file>

<file path=customXml/itemProps4.xml><?xml version="1.0" encoding="utf-8"?>
<ds:datastoreItem xmlns:ds="http://schemas.openxmlformats.org/officeDocument/2006/customXml" ds:itemID="{CDC0F5FE-515F-475D-96D2-0495589C5B04}">
  <ds:schemaRefs>
    <ds:schemaRef ds:uri="http://schemas.microsoft.com/office/2006/metadata/properties"/>
    <ds:schemaRef ds:uri="http://schemas.microsoft.com/office/infopath/2007/PartnerControls"/>
    <ds:schemaRef ds:uri="a8ef0d45-e108-4668-a6c2-b94d093e4a7b"/>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2907</Words>
  <Characters>15989</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Dipartimento CMIC - Politecnico di Milano</Company>
  <LinksUpToDate>false</LinksUpToDate>
  <CharactersWithSpaces>18859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MARIA GONZALEZ ALRIOLS</cp:lastModifiedBy>
  <cp:revision>4</cp:revision>
  <cp:lastPrinted>2015-05-12T18:31:00Z</cp:lastPrinted>
  <dcterms:created xsi:type="dcterms:W3CDTF">2026-03-16T11:40:00Z</dcterms:created>
  <dcterms:modified xsi:type="dcterms:W3CDTF">2026-03-16T11:43:00Z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0x01010085261C668C1ADB4C88B00BC31CE99114</vt:lpwstr>
  </property>
</Properties>
</file>