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es-ES" w:eastAsia="es-ES"/>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1087A532"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35009F">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es-ES" w:eastAsia="es-ES"/>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086598E2" w:rsidR="00AA7D26" w:rsidRPr="00F93EDF" w:rsidRDefault="00AA7D26" w:rsidP="00AA7D26">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Editors:</w:t>
            </w:r>
            <w:r w:rsidRPr="00F93EDF">
              <w:rPr>
                <w:rFonts w:ascii="Tahoma" w:hAnsi="Tahoma" w:cs="Tahoma"/>
                <w:color w:val="000000"/>
                <w:sz w:val="14"/>
                <w:szCs w:val="14"/>
                <w:shd w:val="clear" w:color="auto" w:fill="FFFFFF"/>
              </w:rPr>
              <w:t xml:space="preserve"> </w:t>
            </w:r>
          </w:p>
          <w:p w14:paraId="1B0F1814" w14:textId="57AA03EA"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557E00">
              <w:rPr>
                <w:rFonts w:ascii="Tahoma" w:hAnsi="Tahoma" w:cs="Tahoma"/>
                <w:sz w:val="14"/>
                <w:szCs w:val="14"/>
              </w:rPr>
              <w:t>XX</w:t>
            </w:r>
            <w:r w:rsidR="00D2582C">
              <w:rPr>
                <w:rFonts w:ascii="Tahoma" w:hAnsi="Tahoma" w:cs="Tahoma"/>
                <w:sz w:val="14"/>
                <w:szCs w:val="14"/>
              </w:rPr>
              <w:t>-</w:t>
            </w:r>
            <w:r w:rsidR="00557E00">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5F6889D1" w:rsidR="00E978D0" w:rsidRPr="00B57B36" w:rsidRDefault="00DC0858" w:rsidP="00E978D0">
      <w:pPr>
        <w:pStyle w:val="CETTitle"/>
      </w:pPr>
      <w:r w:rsidRPr="00DC0858">
        <w:t xml:space="preserve">Scaling Up Sustainable Biochar Production from Apple Pruning Waste: A Techno-Economic Perspective </w:t>
      </w:r>
    </w:p>
    <w:p w14:paraId="0488FED2" w14:textId="5544B16D" w:rsidR="00B57E6F" w:rsidRPr="00702A0F" w:rsidRDefault="00DC0858" w:rsidP="00B57E6F">
      <w:pPr>
        <w:pStyle w:val="CETAuthors"/>
        <w:rPr>
          <w:lang w:val="es-ES"/>
        </w:rPr>
      </w:pPr>
      <w:r w:rsidRPr="00702A0F">
        <w:rPr>
          <w:lang w:val="es-ES"/>
        </w:rPr>
        <w:t>Aicha Mabrouk</w:t>
      </w:r>
      <w:r w:rsidRPr="00702A0F">
        <w:rPr>
          <w:vertAlign w:val="superscript"/>
          <w:lang w:val="es-ES"/>
        </w:rPr>
        <w:t>a</w:t>
      </w:r>
      <w:r w:rsidRPr="00702A0F">
        <w:rPr>
          <w:lang w:val="es-ES"/>
        </w:rPr>
        <w:t>, Ameni Ben-Salah</w:t>
      </w:r>
      <w:r w:rsidRPr="00702A0F">
        <w:rPr>
          <w:vertAlign w:val="superscript"/>
          <w:lang w:val="es-ES"/>
        </w:rPr>
        <w:t>b</w:t>
      </w:r>
      <w:r w:rsidRPr="00702A0F">
        <w:rPr>
          <w:lang w:val="es-ES"/>
        </w:rPr>
        <w:t>, M. Mirari Antxustegi</w:t>
      </w:r>
      <w:r w:rsidRPr="00702A0F">
        <w:rPr>
          <w:vertAlign w:val="superscript"/>
          <w:lang w:val="es-ES"/>
        </w:rPr>
        <w:t>b</w:t>
      </w:r>
      <w:r w:rsidRPr="00702A0F">
        <w:rPr>
          <w:lang w:val="es-ES"/>
        </w:rPr>
        <w:t>, María Gonzalez-Alriols</w:t>
      </w:r>
      <w:r w:rsidRPr="00702A0F">
        <w:rPr>
          <w:vertAlign w:val="superscript"/>
          <w:lang w:val="es-ES"/>
        </w:rPr>
        <w:t>b,</w:t>
      </w:r>
      <w:r w:rsidRPr="00702A0F">
        <w:rPr>
          <w:lang w:val="es-ES"/>
        </w:rPr>
        <w:t xml:space="preserve">* </w:t>
      </w:r>
    </w:p>
    <w:p w14:paraId="6B2D21B3" w14:textId="6E7D31DF" w:rsidR="00B57E6F" w:rsidRPr="00B57B36" w:rsidRDefault="00B57E6F" w:rsidP="00B57E6F">
      <w:pPr>
        <w:pStyle w:val="CETAddress"/>
      </w:pPr>
      <w:r w:rsidRPr="00B57B36">
        <w:rPr>
          <w:vertAlign w:val="superscript"/>
        </w:rPr>
        <w:t>a</w:t>
      </w:r>
      <w:r w:rsidR="00DC0858" w:rsidRPr="00DC0858">
        <w:t xml:space="preserve">Chemical Engineering Department: Research lab: Process, Energy, Environment, and Electric System (PEESE), National Engineering School of Gabes, Gabes University, Tunisia  </w:t>
      </w:r>
      <w:r w:rsidRPr="00B57B36">
        <w:t xml:space="preserve"> </w:t>
      </w:r>
    </w:p>
    <w:p w14:paraId="3D72B0B0" w14:textId="093750FE" w:rsidR="00B57E6F" w:rsidRDefault="00B57E6F" w:rsidP="00B57E6F">
      <w:pPr>
        <w:pStyle w:val="CETAddress"/>
      </w:pPr>
      <w:r w:rsidRPr="00B57B36">
        <w:rPr>
          <w:vertAlign w:val="superscript"/>
        </w:rPr>
        <w:t>b</w:t>
      </w:r>
      <w:r w:rsidR="00DC0858" w:rsidRPr="00DC0858">
        <w:t xml:space="preserve">Biorefinery Processes Research Group (BioRP), Chemical and Environmental Engineering Department, University of the Basque Country (EHU), Avda. Otaola 29, 20600, Eibar, Spain  </w:t>
      </w:r>
    </w:p>
    <w:p w14:paraId="325C1225" w14:textId="4D49791F" w:rsidR="00681460" w:rsidRPr="009378F0" w:rsidRDefault="00DC0858" w:rsidP="00681460">
      <w:pPr>
        <w:pStyle w:val="CETemail"/>
      </w:pPr>
      <w:r>
        <w:t>maria</w:t>
      </w:r>
      <w:r w:rsidR="00681460" w:rsidRPr="00B57B36">
        <w:t>.</w:t>
      </w:r>
      <w:r>
        <w:t>gonzalez@ehu.eus</w:t>
      </w:r>
      <w:r w:rsidR="00681460" w:rsidRPr="00B57B36">
        <w:t>m</w:t>
      </w:r>
      <w:r w:rsidR="00681460" w:rsidRPr="009378F0">
        <w:t xml:space="preserve"> </w:t>
      </w:r>
    </w:p>
    <w:p w14:paraId="4D539827" w14:textId="45C76F02" w:rsidR="005B1584" w:rsidRPr="00B57B36" w:rsidRDefault="005B1584" w:rsidP="00600535">
      <w:pPr>
        <w:pStyle w:val="CETBodytext"/>
        <w:rPr>
          <w:lang w:val="en-GB"/>
        </w:rPr>
      </w:pPr>
      <w:r w:rsidRPr="005B1584">
        <w:rPr>
          <w:lang w:val="en-GB"/>
        </w:rPr>
        <w:t>The growing demand for sustainable biomass valorisation and low</w:t>
      </w:r>
      <w:r w:rsidRPr="005B1584">
        <w:rPr>
          <w:rFonts w:ascii="Cambria Math" w:hAnsi="Cambria Math" w:cs="Cambria Math"/>
          <w:lang w:val="en-GB"/>
        </w:rPr>
        <w:t>‑</w:t>
      </w:r>
      <w:r w:rsidRPr="005B1584">
        <w:rPr>
          <w:lang w:val="en-GB"/>
        </w:rPr>
        <w:t>cost adsorbents has intensified interest in scalable systems for producing activated biochar (ABC) from agricultural residues. While extensive research has demonstrated the high adsorption performance of lignocellulosic waste</w:t>
      </w:r>
      <w:r w:rsidRPr="005B1584">
        <w:rPr>
          <w:rFonts w:ascii="Cambria Math" w:hAnsi="Cambria Math" w:cs="Cambria Math"/>
          <w:lang w:val="en-GB"/>
        </w:rPr>
        <w:t>‑</w:t>
      </w:r>
      <w:r w:rsidRPr="005B1584">
        <w:rPr>
          <w:lang w:val="en-GB"/>
        </w:rPr>
        <w:t>derived biochars, their industrial scalability remains insufficiently explored. This study addresses that gap by simulating full</w:t>
      </w:r>
      <w:r w:rsidRPr="005B1584">
        <w:rPr>
          <w:rFonts w:ascii="Cambria Math" w:hAnsi="Cambria Math" w:cs="Cambria Math"/>
          <w:lang w:val="en-GB"/>
        </w:rPr>
        <w:t>‑</w:t>
      </w:r>
      <w:r w:rsidRPr="005B1584">
        <w:rPr>
          <w:lang w:val="en-GB"/>
        </w:rPr>
        <w:t>scale production of ABC from apple pruning waste using a one</w:t>
      </w:r>
      <w:r w:rsidRPr="005B1584">
        <w:rPr>
          <w:rFonts w:ascii="Cambria Math" w:hAnsi="Cambria Math" w:cs="Cambria Math"/>
          <w:lang w:val="en-GB"/>
        </w:rPr>
        <w:t>‑</w:t>
      </w:r>
      <w:r w:rsidRPr="005B1584">
        <w:rPr>
          <w:lang w:val="en-GB"/>
        </w:rPr>
        <w:t xml:space="preserve">step </w:t>
      </w:r>
      <w:bookmarkStart w:id="0" w:name="_GoBack"/>
      <w:bookmarkEnd w:id="0"/>
      <w:r w:rsidRPr="005B1584">
        <w:rPr>
          <w:lang w:val="en-GB"/>
        </w:rPr>
        <w:t>thermochemical activation process (1S), integrating carbonization and activation to reduce energy use and operational complexity. The process model was developed in Aspen Plus</w:t>
      </w:r>
      <w:r w:rsidRPr="005B1584">
        <w:rPr>
          <w:rFonts w:cs="Arial"/>
          <w:vertAlign w:val="superscript"/>
          <w:lang w:val="en-GB"/>
        </w:rPr>
        <w:t>®</w:t>
      </w:r>
      <w:r w:rsidRPr="005B1584">
        <w:rPr>
          <w:lang w:val="en-GB"/>
        </w:rPr>
        <w:t xml:space="preserve"> V14 and fed with experimentally measured yields, gas compositions, and reactant consumption obtained from previous laboratory work. Experimentally produced 1S</w:t>
      </w:r>
      <w:r w:rsidRPr="005B1584">
        <w:rPr>
          <w:rFonts w:ascii="Cambria Math" w:hAnsi="Cambria Math" w:cs="Cambria Math"/>
          <w:lang w:val="en-GB"/>
        </w:rPr>
        <w:t>‑</w:t>
      </w:r>
      <w:r w:rsidRPr="005B1584">
        <w:rPr>
          <w:lang w:val="en-GB"/>
        </w:rPr>
        <w:t>ABC showed a high fixed</w:t>
      </w:r>
      <w:r w:rsidRPr="005B1584">
        <w:rPr>
          <w:rFonts w:ascii="Cambria Math" w:hAnsi="Cambria Math" w:cs="Cambria Math"/>
          <w:lang w:val="en-GB"/>
        </w:rPr>
        <w:t>‑</w:t>
      </w:r>
      <w:r w:rsidRPr="005B1584">
        <w:rPr>
          <w:lang w:val="en-GB"/>
        </w:rPr>
        <w:t>carbon content and outstanding adsorption performance, achieving &gt;95% methylene blue (MB) removal within 4 h, supported by its well</w:t>
      </w:r>
      <w:r w:rsidRPr="005B1584">
        <w:rPr>
          <w:rFonts w:ascii="Cambria Math" w:hAnsi="Cambria Math" w:cs="Cambria Math"/>
          <w:lang w:val="en-GB"/>
        </w:rPr>
        <w:t>‑</w:t>
      </w:r>
      <w:r w:rsidRPr="005B1584">
        <w:rPr>
          <w:lang w:val="en-GB"/>
        </w:rPr>
        <w:t>developed porosity and enhanced surface chemistry. These results validated the suitability of apple</w:t>
      </w:r>
      <w:r w:rsidRPr="005B1584">
        <w:rPr>
          <w:rFonts w:ascii="Cambria Math" w:hAnsi="Cambria Math" w:cs="Cambria Math"/>
          <w:lang w:val="en-GB"/>
        </w:rPr>
        <w:t>‑</w:t>
      </w:r>
      <w:r w:rsidR="00A0665F">
        <w:rPr>
          <w:lang w:val="en-GB"/>
        </w:rPr>
        <w:t>pruning</w:t>
      </w:r>
      <w:r w:rsidRPr="005B1584">
        <w:rPr>
          <w:rFonts w:ascii="Cambria Math" w:hAnsi="Cambria Math" w:cs="Cambria Math"/>
          <w:lang w:val="en-GB"/>
        </w:rPr>
        <w:t>‑</w:t>
      </w:r>
      <w:r w:rsidRPr="005B1584">
        <w:rPr>
          <w:lang w:val="en-GB"/>
        </w:rPr>
        <w:t>derived ABC as a competitive sorbent. Building on this, a techno</w:t>
      </w:r>
      <w:r w:rsidRPr="005B1584">
        <w:rPr>
          <w:rFonts w:ascii="Cambria Math" w:hAnsi="Cambria Math" w:cs="Cambria Math"/>
          <w:lang w:val="en-GB"/>
        </w:rPr>
        <w:t>‑</w:t>
      </w:r>
      <w:r w:rsidRPr="005B1584">
        <w:rPr>
          <w:lang w:val="en-GB"/>
        </w:rPr>
        <w:t>economic analysis was conducted to evaluate full</w:t>
      </w:r>
      <w:r w:rsidRPr="005B1584">
        <w:rPr>
          <w:rFonts w:ascii="Cambria Math" w:hAnsi="Cambria Math" w:cs="Cambria Math"/>
          <w:lang w:val="en-GB"/>
        </w:rPr>
        <w:t>‑</w:t>
      </w:r>
      <w:r w:rsidRPr="005B1584">
        <w:rPr>
          <w:lang w:val="en-GB"/>
        </w:rPr>
        <w:t>scale feasibility, including capital investment, operating costs, and utilities. The estimated Total Capital Investment was USD 2.23 million, with operating costs dominated by KOH consumption and energy demands. Economic indicators confirmed the profitability of the process, yielding a positive N</w:t>
      </w:r>
      <w:r w:rsidR="00A0665F">
        <w:rPr>
          <w:lang w:val="en-GB"/>
        </w:rPr>
        <w:t xml:space="preserve">et </w:t>
      </w:r>
      <w:r w:rsidRPr="005B1584">
        <w:rPr>
          <w:lang w:val="en-GB"/>
        </w:rPr>
        <w:t>P</w:t>
      </w:r>
      <w:r w:rsidR="00A0665F">
        <w:rPr>
          <w:lang w:val="en-GB"/>
        </w:rPr>
        <w:t xml:space="preserve">resent </w:t>
      </w:r>
      <w:r w:rsidRPr="005B1584">
        <w:rPr>
          <w:lang w:val="en-GB"/>
        </w:rPr>
        <w:t>V</w:t>
      </w:r>
      <w:r w:rsidR="00A0665F">
        <w:rPr>
          <w:lang w:val="en-GB"/>
        </w:rPr>
        <w:t>alue</w:t>
      </w:r>
      <w:r w:rsidRPr="005B1584">
        <w:rPr>
          <w:lang w:val="en-GB"/>
        </w:rPr>
        <w:t xml:space="preserve"> of USD 29,055 over a 20</w:t>
      </w:r>
      <w:r w:rsidRPr="005B1584">
        <w:rPr>
          <w:rFonts w:ascii="Cambria Math" w:hAnsi="Cambria Math" w:cs="Cambria Math"/>
          <w:lang w:val="en-GB"/>
        </w:rPr>
        <w:t>‑</w:t>
      </w:r>
      <w:r w:rsidRPr="005B1584">
        <w:rPr>
          <w:lang w:val="en-GB"/>
        </w:rPr>
        <w:t>year lifetime.</w:t>
      </w:r>
    </w:p>
    <w:p w14:paraId="476B2F2E" w14:textId="77777777" w:rsidR="00600535" w:rsidRPr="00B57B36" w:rsidRDefault="00600535" w:rsidP="00600535">
      <w:pPr>
        <w:pStyle w:val="CETHeading1"/>
        <w:rPr>
          <w:lang w:val="en-GB"/>
        </w:rPr>
      </w:pPr>
      <w:r w:rsidRPr="00B57B36">
        <w:rPr>
          <w:lang w:val="en-GB"/>
        </w:rPr>
        <w:t>Introduction</w:t>
      </w:r>
    </w:p>
    <w:p w14:paraId="7C5E796C" w14:textId="77777777" w:rsidR="006C6218" w:rsidRPr="006C6218" w:rsidRDefault="006C6218" w:rsidP="006C6218">
      <w:pPr>
        <w:pStyle w:val="CETBodytext"/>
        <w:rPr>
          <w:lang w:val="en-GB"/>
        </w:rPr>
      </w:pPr>
      <w:r w:rsidRPr="006C6218">
        <w:rPr>
          <w:lang w:val="en-GB"/>
        </w:rPr>
        <w:t xml:space="preserve">The increasing global demand for sustainable energy and resource recovery has driven interest in biomass valorisation as a pathway to circular economy and carbon mitigation (Ighalo et al., 2025). Lignocellulosic biomass residues, abundant and renewable, are widely recognized as promising feedstocks for producing activated biochar (ABC) with tailored physicochemical properties for environmental remediation (Ge et al., 2023). Activated biochar has gained attention due to its high surface area, porosity, and functional groups, which significantly enhance adsorption performance for organic pollutants such as methylene blue (MB) (Supee and Zaini, 2024). These characteristics position ABC as a competitive alternative to conventional sorbents in wastewater treatment applications, offering a cost-effective and environmentally friendly solution (Yu et al., 2024). Furthermore, ABC production from agricultural residues contributes to waste minimization and carbon sequestration, reinforcing its role in sustainable development strategies (Vásquez Llanosa et al., 2024). Despite these advantages, the scalability and techno-economic feasibility of ABC production remain underexplored, limiting its industrial deployment (Facchino et al., 2024). Addressing these gaps requires integrated approaches that combine process optimization with economic assessment to ensure competitiveness and sustainability in large-scale applications. </w:t>
      </w:r>
    </w:p>
    <w:p w14:paraId="23F86FEF" w14:textId="4BAFC937" w:rsidR="00600535" w:rsidRDefault="006C6218" w:rsidP="006C6218">
      <w:pPr>
        <w:pStyle w:val="CETBodytext"/>
        <w:rPr>
          <w:lang w:val="en-GB"/>
        </w:rPr>
      </w:pPr>
      <w:r w:rsidRPr="006C6218">
        <w:rPr>
          <w:lang w:val="en-GB"/>
        </w:rPr>
        <w:t xml:space="preserve">This study presents the simulation and techno-economic analysis of a full-scale production of activated biochar (ABC) derived from apple pruning waste (AP) using a one-step thermochemical activation process (1S), which combines carbonization and activation in a single stage to reduce complexity and energy consumption (Corro et al., 2024). This approach is particularly relevant for industrial applications, as it simplifies processing and </w:t>
      </w:r>
      <w:r w:rsidRPr="006C6218">
        <w:rPr>
          <w:lang w:val="en-GB"/>
        </w:rPr>
        <w:lastRenderedPageBreak/>
        <w:t xml:space="preserve">lowers operational costs compared to conventional multi-step methods (Adeniyi et al., 2023). The study is based on a previous experimental work in which the ABCs production process by 1S route was analysed in terms of energy, gas and reactants consumption (Ben Salah et al., 2026). The adsorption performance of the produced 1S- ABC against an anionic organic contaminant—Methylene Blue (MB)—in aqueous media was validated in the </w:t>
      </w:r>
      <w:r w:rsidR="0059142E">
        <w:rPr>
          <w:lang w:val="en-GB"/>
        </w:rPr>
        <w:t xml:space="preserve">mentioned </w:t>
      </w:r>
      <w:r w:rsidRPr="006C6218">
        <w:rPr>
          <w:lang w:val="en-GB"/>
        </w:rPr>
        <w:t>previous study</w:t>
      </w:r>
      <w:r w:rsidR="0059142E">
        <w:rPr>
          <w:lang w:val="en-GB"/>
        </w:rPr>
        <w:t xml:space="preserve"> </w:t>
      </w:r>
      <w:r w:rsidR="0059142E" w:rsidRPr="006C6218">
        <w:rPr>
          <w:lang w:val="en-GB"/>
        </w:rPr>
        <w:t>(Ben Salah et al., 2026)</w:t>
      </w:r>
      <w:r w:rsidRPr="006C6218">
        <w:rPr>
          <w:lang w:val="en-GB"/>
        </w:rPr>
        <w:t>. Obtained experimental results revealed MB removal values exceeding 95% within 4 hours, confirming the material’s high performance and suitability for scale-up (Supee and Zaini, 2024).</w:t>
      </w:r>
      <w:r w:rsidR="0059142E">
        <w:rPr>
          <w:lang w:val="en-GB"/>
        </w:rPr>
        <w:t xml:space="preserve"> </w:t>
      </w:r>
      <w:r w:rsidRPr="006C6218">
        <w:rPr>
          <w:lang w:val="en-GB"/>
        </w:rPr>
        <w:t xml:space="preserve">The goal of the current study has been to complete the previous research with a techno-economic analysis to integrate performance evaluation with economic feasibility with the aim </w:t>
      </w:r>
      <w:r w:rsidR="00CF61BE" w:rsidRPr="006C6218">
        <w:rPr>
          <w:lang w:val="en-GB"/>
        </w:rPr>
        <w:t>of bridging</w:t>
      </w:r>
      <w:r w:rsidRPr="006C6218">
        <w:rPr>
          <w:lang w:val="en-GB"/>
        </w:rPr>
        <w:t xml:space="preserve"> the gap between laboratory-scale success and industrial implementation, supporting the deployment of ABC as a sustainable solution for environmental remediation. </w:t>
      </w:r>
    </w:p>
    <w:p w14:paraId="3C3DCA3B" w14:textId="4B90AC3D" w:rsidR="001E43A6" w:rsidRPr="001E43A6" w:rsidRDefault="001E43A6" w:rsidP="001E43A6">
      <w:pPr>
        <w:pStyle w:val="CETHeading1"/>
        <w:rPr>
          <w:lang w:val="en-GB"/>
        </w:rPr>
      </w:pPr>
      <w:r w:rsidRPr="001E43A6">
        <w:rPr>
          <w:lang w:val="en-GB"/>
        </w:rPr>
        <w:t>Materials and methods</w:t>
      </w:r>
    </w:p>
    <w:p w14:paraId="10165ECA" w14:textId="285FF93E" w:rsidR="00DF1AE4" w:rsidRPr="001E43A6" w:rsidRDefault="001E43A6" w:rsidP="00DF1AE4">
      <w:pPr>
        <w:pStyle w:val="CETBodytext"/>
        <w:rPr>
          <w:szCs w:val="18"/>
          <w:lang w:val="en-GB"/>
        </w:rPr>
      </w:pPr>
      <w:r w:rsidRPr="001E43A6">
        <w:rPr>
          <w:szCs w:val="18"/>
        </w:rPr>
        <w:t xml:space="preserve">The </w:t>
      </w:r>
      <w:r w:rsidR="00F216F5">
        <w:rPr>
          <w:szCs w:val="18"/>
        </w:rPr>
        <w:t>flowsheet</w:t>
      </w:r>
      <w:r w:rsidRPr="001E43A6">
        <w:rPr>
          <w:szCs w:val="18"/>
        </w:rPr>
        <w:t xml:space="preserve"> of the 1S </w:t>
      </w:r>
      <w:r w:rsidR="005D0529">
        <w:rPr>
          <w:rStyle w:val="CETCaptionCarattere"/>
          <w:i w:val="0"/>
          <w:szCs w:val="18"/>
        </w:rPr>
        <w:t>thermochemical process</w:t>
      </w:r>
      <w:r w:rsidRPr="001E43A6">
        <w:rPr>
          <w:szCs w:val="18"/>
        </w:rPr>
        <w:t xml:space="preserve"> is summarised in Figure 1. </w:t>
      </w:r>
      <w:r w:rsidR="00DF1AE4" w:rsidRPr="00B57B36">
        <w:rPr>
          <w:lang w:val="en-GB"/>
        </w:rPr>
        <w:t xml:space="preserve">The </w:t>
      </w:r>
      <w:r w:rsidR="00DF1AE4" w:rsidRPr="008033FA">
        <w:rPr>
          <w:lang w:val="en-GB"/>
        </w:rPr>
        <w:t>process simulation was performed using Aspen Plus</w:t>
      </w:r>
      <w:r w:rsidR="00DF1AE4" w:rsidRPr="0001766B">
        <w:rPr>
          <w:vertAlign w:val="superscript"/>
          <w:lang w:val="en-GB"/>
        </w:rPr>
        <w:t>®</w:t>
      </w:r>
      <w:r w:rsidR="00DF1AE4" w:rsidRPr="008033FA">
        <w:rPr>
          <w:lang w:val="en-GB"/>
        </w:rPr>
        <w:t xml:space="preserve"> </w:t>
      </w:r>
      <w:r w:rsidR="00DF1AE4">
        <w:rPr>
          <w:lang w:val="en-GB"/>
        </w:rPr>
        <w:t xml:space="preserve">V14 </w:t>
      </w:r>
      <w:r w:rsidR="00DF1AE4" w:rsidRPr="008033FA">
        <w:rPr>
          <w:lang w:val="en-GB"/>
        </w:rPr>
        <w:t>software</w:t>
      </w:r>
      <w:r w:rsidR="00DF1AE4">
        <w:rPr>
          <w:lang w:val="en-GB"/>
        </w:rPr>
        <w:t xml:space="preserve">, based on the model developed by </w:t>
      </w:r>
      <w:r w:rsidR="00DF1AE4" w:rsidRPr="00F9052A">
        <w:rPr>
          <w:lang w:val="en-GB"/>
        </w:rPr>
        <w:t>Visconti et al. (Visconti et al., 2019)</w:t>
      </w:r>
      <w:r w:rsidR="00DF1AE4">
        <w:rPr>
          <w:lang w:val="en-GB"/>
        </w:rPr>
        <w:t xml:space="preserve">, where the thermochemical process is described by </w:t>
      </w:r>
      <w:r w:rsidR="00DF1AE4" w:rsidRPr="00F9052A">
        <w:rPr>
          <w:lang w:val="en-GB"/>
        </w:rPr>
        <w:t xml:space="preserve">an equilibrium-based, </w:t>
      </w:r>
      <w:r w:rsidR="00DF1AE4">
        <w:rPr>
          <w:lang w:val="en-GB"/>
        </w:rPr>
        <w:t>n</w:t>
      </w:r>
      <w:r w:rsidR="00DF1AE4" w:rsidRPr="00F9052A">
        <w:rPr>
          <w:lang w:val="en-GB"/>
        </w:rPr>
        <w:t>on-stoichiometric approach based on experimental yields and elemental composition of reactants and products. The model assumes that the blocks behave as zero</w:t>
      </w:r>
      <w:r w:rsidR="00DF1AE4" w:rsidRPr="00F9052A">
        <w:rPr>
          <w:lang w:val="en-GB"/>
        </w:rPr>
        <w:noBreakHyphen/>
        <w:t>dimensional, perfectly insulated units with no heat losses, where perfect mixing ensures a uniform temperature within each block. It is further assumed that residence times are sufficiently long for the system to reach thermodynamic equilibrium in the reaction blocks. Additionally, reaction pathways and the formation of intermediate species are not considered in the model.</w:t>
      </w:r>
      <w:r w:rsidR="00DF1AE4">
        <w:rPr>
          <w:lang w:val="en-GB"/>
        </w:rPr>
        <w:t xml:space="preserve"> </w:t>
      </w:r>
      <w:r w:rsidR="00DF1AE4" w:rsidRPr="001E43A6">
        <w:rPr>
          <w:szCs w:val="18"/>
          <w:lang w:val="en-GB"/>
        </w:rPr>
        <w:t>Characterisation of the raw material (proximate analysis, ultimate analysis, ATR-FTIR) can be found elsewhere (Ben Salah et al., 2026).</w:t>
      </w:r>
    </w:p>
    <w:p w14:paraId="3380DBDB" w14:textId="677CCE1A" w:rsidR="001E43A6" w:rsidRPr="004A0418" w:rsidRDefault="00E70008" w:rsidP="00DF1AE4">
      <w:pPr>
        <w:pStyle w:val="CETBodytext"/>
        <w:rPr>
          <w:i/>
          <w:iCs/>
          <w:sz w:val="20"/>
        </w:rPr>
      </w:pPr>
      <w:r>
        <w:rPr>
          <w:noProof/>
          <w:lang w:val="es-ES" w:eastAsia="es-ES"/>
        </w:rPr>
        <w:drawing>
          <wp:inline distT="0" distB="0" distL="0" distR="0" wp14:anchorId="271372DE" wp14:editId="302A7A1A">
            <wp:extent cx="5509260" cy="2458112"/>
            <wp:effectExtent l="0" t="0" r="0" b="0"/>
            <wp:docPr id="8322413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6814" cy="2465944"/>
                    </a:xfrm>
                    <a:prstGeom prst="rect">
                      <a:avLst/>
                    </a:prstGeom>
                    <a:noFill/>
                  </pic:spPr>
                </pic:pic>
              </a:graphicData>
            </a:graphic>
          </wp:inline>
        </w:drawing>
      </w:r>
    </w:p>
    <w:p w14:paraId="717F299C" w14:textId="6C790FB1" w:rsidR="001E43A6" w:rsidRPr="008033FA" w:rsidRDefault="001E43A6" w:rsidP="001E43A6">
      <w:pPr>
        <w:pStyle w:val="CETCaption"/>
        <w:rPr>
          <w:szCs w:val="18"/>
        </w:rPr>
      </w:pPr>
      <w:r w:rsidRPr="008033FA">
        <w:rPr>
          <w:rStyle w:val="CETCaptionCarattere"/>
          <w:i/>
          <w:szCs w:val="18"/>
        </w:rPr>
        <w:t xml:space="preserve">Figure 1: </w:t>
      </w:r>
      <w:r w:rsidR="00F216F5">
        <w:rPr>
          <w:rStyle w:val="CETCaptionCarattere"/>
          <w:i/>
          <w:szCs w:val="18"/>
        </w:rPr>
        <w:t>F</w:t>
      </w:r>
      <w:r w:rsidR="00F216F5">
        <w:rPr>
          <w:szCs w:val="18"/>
        </w:rPr>
        <w:t>lowsheet</w:t>
      </w:r>
      <w:r w:rsidR="00F216F5" w:rsidRPr="001E43A6">
        <w:rPr>
          <w:szCs w:val="18"/>
        </w:rPr>
        <w:t xml:space="preserve"> </w:t>
      </w:r>
      <w:r w:rsidRPr="008033FA">
        <w:rPr>
          <w:rStyle w:val="CETCaptionCarattere"/>
          <w:i/>
          <w:szCs w:val="18"/>
        </w:rPr>
        <w:t xml:space="preserve">of the 1S-ABC </w:t>
      </w:r>
      <w:r w:rsidR="005D0529">
        <w:rPr>
          <w:rStyle w:val="CETCaptionCarattere"/>
          <w:i/>
          <w:szCs w:val="18"/>
        </w:rPr>
        <w:t>thermochemical process</w:t>
      </w:r>
      <w:r w:rsidRPr="008033FA">
        <w:rPr>
          <w:rStyle w:val="CETCaptionCarattere"/>
          <w:i/>
          <w:szCs w:val="18"/>
        </w:rPr>
        <w:t xml:space="preserve">.  </w:t>
      </w:r>
      <w:r w:rsidRPr="008033FA">
        <w:rPr>
          <w:szCs w:val="18"/>
        </w:rPr>
        <w:t xml:space="preserve"> </w:t>
      </w:r>
    </w:p>
    <w:p w14:paraId="3B1D2CF0" w14:textId="3E1B6CFD" w:rsidR="006B2F27" w:rsidRPr="008033FA" w:rsidRDefault="006B2F27" w:rsidP="006B2F27">
      <w:pPr>
        <w:pStyle w:val="CETBodytext"/>
        <w:rPr>
          <w:lang w:val="en-GB"/>
        </w:rPr>
      </w:pPr>
      <w:r w:rsidRPr="008033FA">
        <w:rPr>
          <w:lang w:val="en-GB"/>
        </w:rPr>
        <w:t xml:space="preserve">The flowsheet included </w:t>
      </w:r>
      <w:r>
        <w:rPr>
          <w:lang w:val="en-GB"/>
        </w:rPr>
        <w:t>three</w:t>
      </w:r>
      <w:r w:rsidRPr="008033FA">
        <w:rPr>
          <w:lang w:val="en-GB"/>
        </w:rPr>
        <w:t xml:space="preserve"> main sections: </w:t>
      </w:r>
    </w:p>
    <w:p w14:paraId="585FDC49" w14:textId="54BFF003" w:rsidR="00381D7B" w:rsidRPr="00F9052A" w:rsidRDefault="006B2F27" w:rsidP="004629FD">
      <w:pPr>
        <w:pStyle w:val="CETBodytext"/>
        <w:rPr>
          <w:lang w:val="en-GB"/>
        </w:rPr>
      </w:pPr>
      <w:r>
        <w:rPr>
          <w:b/>
          <w:lang w:val="en-GB"/>
        </w:rPr>
        <w:t>1</w:t>
      </w:r>
      <w:r w:rsidRPr="008033FA">
        <w:rPr>
          <w:b/>
          <w:lang w:val="en-GB"/>
        </w:rPr>
        <w:t>)</w:t>
      </w:r>
      <w:r w:rsidRPr="008033FA">
        <w:rPr>
          <w:lang w:val="en-GB"/>
        </w:rPr>
        <w:t xml:space="preserve"> </w:t>
      </w:r>
      <w:r w:rsidRPr="008033FA">
        <w:rPr>
          <w:b/>
          <w:lang w:val="en-GB"/>
        </w:rPr>
        <w:t>Thermochemical conversion</w:t>
      </w:r>
      <w:r w:rsidRPr="008033FA">
        <w:rPr>
          <w:lang w:val="en-GB"/>
        </w:rPr>
        <w:t xml:space="preserve"> where </w:t>
      </w:r>
      <w:r>
        <w:rPr>
          <w:lang w:val="en-GB"/>
        </w:rPr>
        <w:t xml:space="preserve">a mix of </w:t>
      </w:r>
      <w:r w:rsidRPr="008033FA">
        <w:rPr>
          <w:lang w:val="en-GB"/>
        </w:rPr>
        <w:t>dry biomass and chemical activation agent (KOH</w:t>
      </w:r>
      <w:r w:rsidR="00B83EDF">
        <w:rPr>
          <w:lang w:val="en-GB"/>
        </w:rPr>
        <w:t xml:space="preserve">, 85% </w:t>
      </w:r>
      <w:r w:rsidR="00B7265D">
        <w:rPr>
          <w:lang w:val="en-GB"/>
        </w:rPr>
        <w:t>pure</w:t>
      </w:r>
      <w:r w:rsidRPr="008033FA">
        <w:rPr>
          <w:lang w:val="en-GB"/>
        </w:rPr>
        <w:t xml:space="preserve">) </w:t>
      </w:r>
      <w:r>
        <w:rPr>
          <w:lang w:val="en-GB"/>
        </w:rPr>
        <w:t>(</w:t>
      </w:r>
      <w:r w:rsidR="00B7265D">
        <w:rPr>
          <w:lang w:val="en-GB"/>
        </w:rPr>
        <w:t>3:1 wt</w:t>
      </w:r>
      <w:r w:rsidR="00DB1807">
        <w:rPr>
          <w:lang w:val="en-GB"/>
        </w:rPr>
        <w:t>,</w:t>
      </w:r>
      <w:r>
        <w:rPr>
          <w:lang w:val="en-GB"/>
        </w:rPr>
        <w:t xml:space="preserve">) </w:t>
      </w:r>
      <w:r w:rsidRPr="008033FA">
        <w:rPr>
          <w:lang w:val="en-GB"/>
        </w:rPr>
        <w:t xml:space="preserve">are fed to the pyrolysis reactor which was simulated by RYIELD and </w:t>
      </w:r>
      <w:r w:rsidRPr="00BF72F5">
        <w:rPr>
          <w:lang w:val="en-GB"/>
        </w:rPr>
        <w:t>RGIBBS</w:t>
      </w:r>
      <w:r w:rsidRPr="008033FA">
        <w:rPr>
          <w:lang w:val="en-GB"/>
        </w:rPr>
        <w:t xml:space="preserve"> reactor modules defined at the experimental temperature and pressure conditions (20k/min up to 900ºC</w:t>
      </w:r>
      <w:r w:rsidR="00A639E0">
        <w:rPr>
          <w:lang w:val="en-GB"/>
        </w:rPr>
        <w:t xml:space="preserve">, </w:t>
      </w:r>
      <w:r w:rsidR="00983699">
        <w:rPr>
          <w:lang w:val="en-GB"/>
        </w:rPr>
        <w:t xml:space="preserve">residence time: 2 h, </w:t>
      </w:r>
      <w:r w:rsidRPr="008033FA">
        <w:rPr>
          <w:lang w:val="en-GB"/>
        </w:rPr>
        <w:t>1 bar)</w:t>
      </w:r>
      <w:r w:rsidR="00A62474">
        <w:rPr>
          <w:lang w:val="en-GB"/>
        </w:rPr>
        <w:t>.</w:t>
      </w:r>
      <w:r w:rsidR="00553A7D">
        <w:rPr>
          <w:lang w:val="en-GB"/>
        </w:rPr>
        <w:t xml:space="preserve"> RYIELD module calculates the decomposition of the biomass into </w:t>
      </w:r>
      <w:r w:rsidR="00553A7D" w:rsidRPr="00553A7D">
        <w:rPr>
          <w:lang w:val="en-GB"/>
        </w:rPr>
        <w:t>C (fixed</w:t>
      </w:r>
      <w:r w:rsidR="00553A7D">
        <w:rPr>
          <w:lang w:val="en-GB"/>
        </w:rPr>
        <w:t xml:space="preserve"> </w:t>
      </w:r>
      <w:r w:rsidR="00553A7D" w:rsidRPr="00553A7D">
        <w:rPr>
          <w:lang w:val="en-GB"/>
        </w:rPr>
        <w:t>carbon), ash, H</w:t>
      </w:r>
      <w:r w:rsidR="00553A7D" w:rsidRPr="00553A7D">
        <w:rPr>
          <w:vertAlign w:val="subscript"/>
          <w:lang w:val="en-GB"/>
        </w:rPr>
        <w:t>2</w:t>
      </w:r>
      <w:r w:rsidR="00553A7D" w:rsidRPr="00553A7D">
        <w:rPr>
          <w:lang w:val="en-GB"/>
        </w:rPr>
        <w:t>O, H</w:t>
      </w:r>
      <w:r w:rsidR="00553A7D" w:rsidRPr="00553A7D">
        <w:rPr>
          <w:vertAlign w:val="subscript"/>
          <w:lang w:val="en-GB"/>
        </w:rPr>
        <w:t>2</w:t>
      </w:r>
      <w:r w:rsidR="00553A7D" w:rsidRPr="00553A7D">
        <w:rPr>
          <w:lang w:val="en-GB"/>
        </w:rPr>
        <w:t xml:space="preserve">, S, </w:t>
      </w:r>
      <w:r w:rsidR="00553A7D">
        <w:rPr>
          <w:lang w:val="en-GB"/>
        </w:rPr>
        <w:t>N</w:t>
      </w:r>
      <w:r w:rsidR="00553A7D" w:rsidRPr="00553A7D">
        <w:rPr>
          <w:vertAlign w:val="subscript"/>
          <w:lang w:val="en-GB"/>
        </w:rPr>
        <w:t>2</w:t>
      </w:r>
      <w:r w:rsidR="00553A7D" w:rsidRPr="00553A7D">
        <w:rPr>
          <w:lang w:val="en-GB"/>
        </w:rPr>
        <w:t xml:space="preserve"> and </w:t>
      </w:r>
      <w:r w:rsidR="00553A7D">
        <w:rPr>
          <w:lang w:val="en-GB"/>
        </w:rPr>
        <w:t>O</w:t>
      </w:r>
      <w:r w:rsidR="00553A7D" w:rsidRPr="00553A7D">
        <w:rPr>
          <w:vertAlign w:val="subscript"/>
          <w:lang w:val="en-GB"/>
        </w:rPr>
        <w:t>2</w:t>
      </w:r>
      <w:r w:rsidR="00635743">
        <w:rPr>
          <w:lang w:val="en-GB"/>
        </w:rPr>
        <w:t xml:space="preserve">, </w:t>
      </w:r>
      <w:r w:rsidR="00AD4120">
        <w:rPr>
          <w:lang w:val="en-GB"/>
        </w:rPr>
        <w:t>based on</w:t>
      </w:r>
      <w:r w:rsidR="00635743">
        <w:rPr>
          <w:lang w:val="en-GB"/>
        </w:rPr>
        <w:t xml:space="preserve"> </w:t>
      </w:r>
      <w:r w:rsidR="00553A7D" w:rsidRPr="00553A7D">
        <w:rPr>
          <w:lang w:val="en-GB"/>
        </w:rPr>
        <w:t>the yields of the</w:t>
      </w:r>
      <w:r w:rsidR="00553A7D">
        <w:rPr>
          <w:lang w:val="en-GB"/>
        </w:rPr>
        <w:t xml:space="preserve"> </w:t>
      </w:r>
      <w:r w:rsidR="00553A7D" w:rsidRPr="00553A7D">
        <w:rPr>
          <w:lang w:val="en-GB"/>
        </w:rPr>
        <w:t>products (per unit mass of total feed, excluding any inert</w:t>
      </w:r>
      <w:r w:rsidR="00553A7D">
        <w:rPr>
          <w:lang w:val="en-GB"/>
        </w:rPr>
        <w:t xml:space="preserve"> </w:t>
      </w:r>
      <w:r w:rsidR="00553A7D" w:rsidRPr="00553A7D">
        <w:rPr>
          <w:lang w:val="en-GB"/>
        </w:rPr>
        <w:t xml:space="preserve">components). </w:t>
      </w:r>
      <w:r w:rsidR="00381D7B" w:rsidRPr="00F9052A">
        <w:rPr>
          <w:lang w:val="en-GB"/>
        </w:rPr>
        <w:t>The RGIBBS module determines the thermodynamic equilibrium of an isothermal and isobaric chemical system by minimizing the Gibbs free energy. It receives as input the reference components generated in the RYIELD block, along with the inert gas, and computes simultaneous phase and chemical equilibrium at fixed temperature and pressure through Gibbs free</w:t>
      </w:r>
      <w:r w:rsidR="00381D7B" w:rsidRPr="00F9052A">
        <w:rPr>
          <w:lang w:val="en-GB"/>
        </w:rPr>
        <w:noBreakHyphen/>
        <w:t>energy minimization.</w:t>
      </w:r>
      <w:r w:rsidR="004629FD" w:rsidRPr="00F9052A">
        <w:rPr>
          <w:lang w:val="en-GB"/>
        </w:rPr>
        <w:t xml:space="preserve"> For this assumption, the residence time is considered to be long </w:t>
      </w:r>
      <w:r w:rsidR="00983699" w:rsidRPr="00F9052A">
        <w:rPr>
          <w:lang w:val="en-GB"/>
        </w:rPr>
        <w:t>enough,</w:t>
      </w:r>
      <w:r w:rsidR="004629FD" w:rsidRPr="00F9052A">
        <w:rPr>
          <w:lang w:val="en-GB"/>
        </w:rPr>
        <w:t xml:space="preserve"> and the reaction rates are supposed to be fast enough to reach thermodynamic equilibrium. </w:t>
      </w:r>
    </w:p>
    <w:p w14:paraId="304D9253" w14:textId="2A8CE1FA" w:rsidR="00AE272E" w:rsidRPr="00C90C21" w:rsidRDefault="00A62474" w:rsidP="00110223">
      <w:pPr>
        <w:spacing w:before="120"/>
      </w:pPr>
      <w:r>
        <w:rPr>
          <w:b/>
        </w:rPr>
        <w:t>2</w:t>
      </w:r>
      <w:r w:rsidRPr="008033FA">
        <w:rPr>
          <w:b/>
        </w:rPr>
        <w:t>)</w:t>
      </w:r>
      <w:r w:rsidRPr="008033FA">
        <w:t xml:space="preserve"> </w:t>
      </w:r>
      <w:r w:rsidRPr="008033FA">
        <w:rPr>
          <w:b/>
        </w:rPr>
        <w:t xml:space="preserve">Separation </w:t>
      </w:r>
      <w:r>
        <w:rPr>
          <w:b/>
        </w:rPr>
        <w:t>unit</w:t>
      </w:r>
      <w:r w:rsidRPr="008033FA">
        <w:t xml:space="preserve">, where ABC is obtained, simulated by a cyclone, two heaters and a </w:t>
      </w:r>
      <w:r w:rsidR="00AE272E">
        <w:t>f</w:t>
      </w:r>
      <w:r w:rsidRPr="008033FA">
        <w:t>lash module.</w:t>
      </w:r>
      <w:r w:rsidR="00AE272E">
        <w:t xml:space="preserve"> </w:t>
      </w:r>
      <w:r w:rsidR="00AE272E" w:rsidRPr="00C90C21">
        <w:t xml:space="preserve">The hot </w:t>
      </w:r>
      <w:r w:rsidR="00F9052A" w:rsidRPr="00C90C21">
        <w:t>vapours</w:t>
      </w:r>
      <w:r w:rsidR="00AE272E" w:rsidRPr="00C90C21">
        <w:t xml:space="preserve"> are cooled </w:t>
      </w:r>
      <w:r w:rsidR="00AE272E" w:rsidRPr="00AE272E">
        <w:t xml:space="preserve">in two successive heat exchangers: first an air cooler, followed by a water cooler. The air cooler is used initially to remove a large portion of the sensible heat at high </w:t>
      </w:r>
      <w:r w:rsidR="00525847">
        <w:t>temperature (down to 300ºC)</w:t>
      </w:r>
      <w:r w:rsidR="00AE272E" w:rsidRPr="00AE272E">
        <w:t xml:space="preserve"> in an energy</w:t>
      </w:r>
      <w:r w:rsidR="00AE272E" w:rsidRPr="00C90C21">
        <w:t xml:space="preserve">-efficient and safe manner, reducing thermal stress on downstream equipment. The water cooler is then applied to achieve deeper cooling </w:t>
      </w:r>
      <w:r w:rsidR="00525847">
        <w:t xml:space="preserve">(down to 40º C) </w:t>
      </w:r>
      <w:r w:rsidR="00AE272E" w:rsidRPr="00C90C21">
        <w:t xml:space="preserve">and partial condensation of </w:t>
      </w:r>
      <w:r w:rsidR="00CB6ADB" w:rsidRPr="00C90C21">
        <w:t>vapours</w:t>
      </w:r>
      <w:r w:rsidR="00C82269">
        <w:t xml:space="preserve"> (in the flash)</w:t>
      </w:r>
      <w:r w:rsidR="00AE272E" w:rsidRPr="00C90C21">
        <w:t xml:space="preserve">, which </w:t>
      </w:r>
      <w:r w:rsidR="00AE272E" w:rsidRPr="00C90C21">
        <w:lastRenderedPageBreak/>
        <w:t>would be inefficient or impractical using air cooling alone. This two-step cooling strategy improves heat recovery, protects equipment, and reduces utility consumption.</w:t>
      </w:r>
    </w:p>
    <w:p w14:paraId="4051CA7B" w14:textId="168648F4" w:rsidR="00785D21" w:rsidRDefault="00A62474" w:rsidP="00110223">
      <w:pPr>
        <w:spacing w:before="120"/>
      </w:pPr>
      <w:r>
        <w:rPr>
          <w:b/>
        </w:rPr>
        <w:t>3</w:t>
      </w:r>
      <w:r w:rsidRPr="008033FA">
        <w:rPr>
          <w:b/>
        </w:rPr>
        <w:t xml:space="preserve">) Washing </w:t>
      </w:r>
      <w:r>
        <w:rPr>
          <w:b/>
        </w:rPr>
        <w:t>unit</w:t>
      </w:r>
      <w:r>
        <w:t>, simulated by an S-wash module defined by the LIQ-SO specification.</w:t>
      </w:r>
      <w:r w:rsidR="00785D21">
        <w:t xml:space="preserve"> </w:t>
      </w:r>
      <w:r w:rsidR="00785D21" w:rsidRPr="00C90C21">
        <w:t xml:space="preserve">Finally, the activated biochar is </w:t>
      </w:r>
      <w:r w:rsidR="00693D02" w:rsidRPr="00693D02">
        <w:t>washed</w:t>
      </w:r>
      <w:r w:rsidR="00785D21" w:rsidRPr="00693D02">
        <w:t xml:space="preserve"> in three consecutive washing units using </w:t>
      </w:r>
      <w:r w:rsidR="002A2B2C">
        <w:t>water</w:t>
      </w:r>
      <w:r w:rsidR="001E7804">
        <w:t xml:space="preserve">, </w:t>
      </w:r>
      <w:r w:rsidR="00785D21" w:rsidRPr="00693D02">
        <w:t>nitric acid (HNO₃)</w:t>
      </w:r>
      <w:r w:rsidR="001E7804">
        <w:t>, and again water</w:t>
      </w:r>
      <w:r w:rsidR="00785D21" w:rsidRPr="00693D02">
        <w:t xml:space="preserve"> to </w:t>
      </w:r>
      <w:r w:rsidR="002A2B2C">
        <w:t xml:space="preserve">neutralize the </w:t>
      </w:r>
      <w:r w:rsidR="001E7804">
        <w:t>pH,</w:t>
      </w:r>
      <w:r w:rsidR="002A2B2C">
        <w:t xml:space="preserve"> </w:t>
      </w:r>
      <w:r w:rsidR="00785D21" w:rsidRPr="00693D02">
        <w:t>remove</w:t>
      </w:r>
      <w:r w:rsidR="00785D21" w:rsidRPr="00C90C21">
        <w:t xml:space="preserve"> residual activating agents, inorganic impurities, and ash, resulting in a cleaner and more stable activated carbon product.</w:t>
      </w:r>
    </w:p>
    <w:p w14:paraId="6CC2CA3F" w14:textId="77777777" w:rsidR="008161FC" w:rsidRDefault="008161FC" w:rsidP="008161FC">
      <w:pPr>
        <w:pStyle w:val="CETBodytext"/>
      </w:pPr>
      <w:r w:rsidRPr="008033FA">
        <w:rPr>
          <w:lang w:val="en-GB"/>
        </w:rPr>
        <w:t>Lignocellulosic biomass was defined by its chemical structure and physical properties, whereas other conventional components were selected from the ASPEN PLUS data bank. The selected thermodynamic model for the simulation of the stream properties was PENG-ROB</w:t>
      </w:r>
      <w:r>
        <w:rPr>
          <w:lang w:val="en-GB"/>
        </w:rPr>
        <w:t xml:space="preserve"> </w:t>
      </w:r>
      <w:r w:rsidRPr="00F9052A">
        <w:rPr>
          <w:lang w:val="en-GB"/>
        </w:rPr>
        <w:t>because it is based on a cubic equation of state, which properly represents possible non-ideal behaviours</w:t>
      </w:r>
      <w:r w:rsidRPr="008033FA">
        <w:rPr>
          <w:lang w:val="en-GB"/>
        </w:rPr>
        <w:t xml:space="preserve">. Calculation basis for the simulation was established as 100 kg/h of AP. </w:t>
      </w:r>
      <w:r>
        <w:t xml:space="preserve">Experimental data (Table 1) was used to feed the simulation to determine the material and energy balances to serve as basis of the techno-economic analysis. </w:t>
      </w:r>
    </w:p>
    <w:p w14:paraId="07D5D4D1" w14:textId="77777777" w:rsidR="008161FC" w:rsidRDefault="008161FC" w:rsidP="008161FC">
      <w:pPr>
        <w:pStyle w:val="CETBodytext"/>
      </w:pPr>
    </w:p>
    <w:p w14:paraId="31520834" w14:textId="77777777" w:rsidR="008161FC" w:rsidRPr="000847A9" w:rsidRDefault="008161FC" w:rsidP="008161FC">
      <w:pPr>
        <w:pStyle w:val="CETBodytext"/>
        <w:rPr>
          <w:i/>
          <w:iCs/>
          <w:lang w:val="en-GB"/>
        </w:rPr>
      </w:pPr>
      <w:r w:rsidRPr="000847A9">
        <w:rPr>
          <w:i/>
          <w:iCs/>
          <w:szCs w:val="18"/>
        </w:rPr>
        <w:t xml:space="preserve">Table 1: Experimental data used to define the simulation. </w:t>
      </w:r>
      <w:r w:rsidRPr="000847A9">
        <w:rPr>
          <w:i/>
          <w:iCs/>
          <w:lang w:val="en-GB"/>
        </w:rPr>
        <w:t>*O was calculated by difference.</w:t>
      </w:r>
      <w:r w:rsidRPr="000847A9">
        <w:rPr>
          <w:i/>
          <w:iCs/>
          <w:szCs w:val="18"/>
        </w:rPr>
        <w:t xml:space="preserve">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843"/>
        <w:gridCol w:w="1843"/>
        <w:gridCol w:w="851"/>
        <w:gridCol w:w="992"/>
      </w:tblGrid>
      <w:tr w:rsidR="008161FC" w:rsidRPr="004F5432" w14:paraId="0468F6E3" w14:textId="77777777" w:rsidTr="003F70B4">
        <w:tc>
          <w:tcPr>
            <w:tcW w:w="3686" w:type="dxa"/>
            <w:gridSpan w:val="2"/>
            <w:tcBorders>
              <w:top w:val="single" w:sz="12" w:space="0" w:color="008000"/>
              <w:bottom w:val="single" w:sz="4" w:space="0" w:color="008000"/>
            </w:tcBorders>
            <w:shd w:val="clear" w:color="auto" w:fill="FFFFFF"/>
          </w:tcPr>
          <w:p w14:paraId="33118829" w14:textId="77777777" w:rsidR="008161FC" w:rsidRPr="004F5432" w:rsidRDefault="008161FC" w:rsidP="003F70B4">
            <w:pPr>
              <w:pStyle w:val="CETBodytext"/>
              <w:rPr>
                <w:lang w:val="en-GB"/>
              </w:rPr>
            </w:pPr>
            <w:bookmarkStart w:id="1" w:name="_Hlk153989367"/>
            <w:r w:rsidRPr="004F5432">
              <w:rPr>
                <w:lang w:val="en-GB"/>
              </w:rPr>
              <w:t>Parameter</w:t>
            </w:r>
          </w:p>
        </w:tc>
        <w:tc>
          <w:tcPr>
            <w:tcW w:w="851" w:type="dxa"/>
            <w:tcBorders>
              <w:top w:val="single" w:sz="12" w:space="0" w:color="008000"/>
              <w:bottom w:val="single" w:sz="4" w:space="0" w:color="008000"/>
            </w:tcBorders>
            <w:shd w:val="clear" w:color="auto" w:fill="FFFFFF"/>
          </w:tcPr>
          <w:p w14:paraId="42A15B7F" w14:textId="77777777" w:rsidR="008161FC" w:rsidRPr="004F5432" w:rsidRDefault="008161FC" w:rsidP="003F70B4">
            <w:pPr>
              <w:pStyle w:val="CETBodytext"/>
              <w:rPr>
                <w:lang w:val="en-GB"/>
              </w:rPr>
            </w:pPr>
            <w:r w:rsidRPr="004F5432">
              <w:rPr>
                <w:lang w:val="en-GB"/>
              </w:rPr>
              <w:t>AP</w:t>
            </w:r>
          </w:p>
        </w:tc>
        <w:tc>
          <w:tcPr>
            <w:tcW w:w="992" w:type="dxa"/>
            <w:tcBorders>
              <w:top w:val="single" w:sz="12" w:space="0" w:color="008000"/>
              <w:bottom w:val="single" w:sz="4" w:space="0" w:color="008000"/>
            </w:tcBorders>
            <w:shd w:val="clear" w:color="auto" w:fill="FFFFFF"/>
          </w:tcPr>
          <w:p w14:paraId="433FDF5E" w14:textId="77777777" w:rsidR="008161FC" w:rsidRPr="004F5432" w:rsidRDefault="008161FC" w:rsidP="003F70B4">
            <w:pPr>
              <w:pStyle w:val="CETBodytext"/>
              <w:jc w:val="center"/>
              <w:rPr>
                <w:lang w:val="en-GB"/>
              </w:rPr>
            </w:pPr>
            <w:r w:rsidRPr="004F5432">
              <w:rPr>
                <w:lang w:val="en-GB"/>
              </w:rPr>
              <w:t>ABC</w:t>
            </w:r>
          </w:p>
        </w:tc>
      </w:tr>
      <w:tr w:rsidR="008161FC" w:rsidRPr="004F5432" w14:paraId="5C374F29" w14:textId="77777777" w:rsidTr="003F70B4">
        <w:tc>
          <w:tcPr>
            <w:tcW w:w="1843" w:type="dxa"/>
            <w:vMerge w:val="restart"/>
            <w:tcBorders>
              <w:top w:val="single" w:sz="4" w:space="0" w:color="008000"/>
              <w:bottom w:val="nil"/>
            </w:tcBorders>
            <w:shd w:val="clear" w:color="auto" w:fill="FFFFFF"/>
          </w:tcPr>
          <w:p w14:paraId="49D41EDB" w14:textId="77777777" w:rsidR="008161FC" w:rsidRPr="004F5432" w:rsidRDefault="008161FC" w:rsidP="003F70B4">
            <w:pPr>
              <w:pStyle w:val="CETBodytext"/>
              <w:rPr>
                <w:rFonts w:cs="Arial"/>
                <w:color w:val="000000"/>
                <w:szCs w:val="18"/>
                <w:lang w:val="en-GB"/>
              </w:rPr>
            </w:pPr>
          </w:p>
          <w:p w14:paraId="69B0A0D5" w14:textId="77777777" w:rsidR="008161FC" w:rsidRPr="004F5432" w:rsidRDefault="008161FC" w:rsidP="003F70B4">
            <w:pPr>
              <w:pStyle w:val="CETBodytext"/>
              <w:rPr>
                <w:rFonts w:cs="Arial"/>
                <w:color w:val="000000"/>
                <w:szCs w:val="18"/>
                <w:lang w:val="en-GB"/>
              </w:rPr>
            </w:pPr>
            <w:r w:rsidRPr="004F5432">
              <w:rPr>
                <w:rFonts w:cs="Arial"/>
                <w:color w:val="000000"/>
                <w:szCs w:val="18"/>
                <w:lang w:val="en-GB"/>
              </w:rPr>
              <w:t>Proximate analysis</w:t>
            </w:r>
          </w:p>
          <w:p w14:paraId="3816ED16" w14:textId="77777777" w:rsidR="008161FC" w:rsidRPr="004F5432" w:rsidRDefault="008161FC" w:rsidP="003F70B4">
            <w:pPr>
              <w:pStyle w:val="CETBodytext"/>
              <w:rPr>
                <w:rFonts w:cs="Arial"/>
                <w:color w:val="000000"/>
                <w:szCs w:val="18"/>
                <w:lang w:val="en-GB"/>
              </w:rPr>
            </w:pPr>
            <w:r w:rsidRPr="004F5432">
              <w:rPr>
                <w:rFonts w:cs="Arial"/>
                <w:lang w:val="en-GB"/>
              </w:rPr>
              <w:t>(wt.%)</w:t>
            </w:r>
          </w:p>
        </w:tc>
        <w:tc>
          <w:tcPr>
            <w:tcW w:w="1843" w:type="dxa"/>
            <w:tcBorders>
              <w:top w:val="single" w:sz="4" w:space="0" w:color="008000"/>
              <w:bottom w:val="nil"/>
            </w:tcBorders>
            <w:shd w:val="clear" w:color="auto" w:fill="FFFFFF"/>
            <w:vAlign w:val="center"/>
          </w:tcPr>
          <w:p w14:paraId="6292396F" w14:textId="77777777" w:rsidR="008161FC" w:rsidRPr="004F5432" w:rsidRDefault="008161FC" w:rsidP="003F70B4">
            <w:pPr>
              <w:pStyle w:val="CETBodytext"/>
              <w:rPr>
                <w:rFonts w:cs="Arial"/>
                <w:color w:val="000000"/>
                <w:szCs w:val="18"/>
                <w:lang w:val="en-GB"/>
              </w:rPr>
            </w:pPr>
            <w:r w:rsidRPr="004F5432">
              <w:rPr>
                <w:rFonts w:cs="Arial"/>
                <w:color w:val="000000"/>
                <w:szCs w:val="18"/>
                <w:lang w:val="en-GB"/>
              </w:rPr>
              <w:t>Fixed carbon (%)</w:t>
            </w:r>
          </w:p>
        </w:tc>
        <w:tc>
          <w:tcPr>
            <w:tcW w:w="851" w:type="dxa"/>
            <w:tcBorders>
              <w:top w:val="single" w:sz="4" w:space="0" w:color="008000"/>
              <w:bottom w:val="nil"/>
            </w:tcBorders>
            <w:shd w:val="clear" w:color="auto" w:fill="FFFFFF"/>
            <w:vAlign w:val="center"/>
          </w:tcPr>
          <w:p w14:paraId="1EB24C5D" w14:textId="77777777" w:rsidR="008161FC" w:rsidRPr="004F5432" w:rsidRDefault="008161FC" w:rsidP="003F70B4">
            <w:pPr>
              <w:pStyle w:val="CETBodytext"/>
              <w:rPr>
                <w:lang w:val="en-GB"/>
              </w:rPr>
            </w:pPr>
            <w:r w:rsidRPr="004F5432">
              <w:rPr>
                <w:lang w:val="en-GB"/>
              </w:rPr>
              <w:t>14.86</w:t>
            </w:r>
          </w:p>
        </w:tc>
        <w:tc>
          <w:tcPr>
            <w:tcW w:w="992" w:type="dxa"/>
            <w:tcBorders>
              <w:top w:val="single" w:sz="4" w:space="0" w:color="008000"/>
              <w:bottom w:val="nil"/>
            </w:tcBorders>
            <w:shd w:val="clear" w:color="auto" w:fill="FFFFFF"/>
            <w:vAlign w:val="center"/>
          </w:tcPr>
          <w:p w14:paraId="39285AFC" w14:textId="77777777" w:rsidR="008161FC" w:rsidRPr="004F5432" w:rsidRDefault="008161FC" w:rsidP="003F70B4">
            <w:pPr>
              <w:pStyle w:val="CETBodytext"/>
              <w:jc w:val="center"/>
              <w:rPr>
                <w:rFonts w:cs="Arial"/>
                <w:color w:val="000000"/>
                <w:szCs w:val="18"/>
                <w:lang w:val="en-GB"/>
              </w:rPr>
            </w:pPr>
            <w:r w:rsidRPr="004F5432">
              <w:rPr>
                <w:rFonts w:cs="Arial"/>
                <w:color w:val="000000"/>
                <w:szCs w:val="18"/>
                <w:lang w:val="en-GB"/>
              </w:rPr>
              <w:t>-</w:t>
            </w:r>
          </w:p>
        </w:tc>
      </w:tr>
      <w:tr w:rsidR="008161FC" w:rsidRPr="004F5432" w14:paraId="19F73ED0" w14:textId="77777777" w:rsidTr="003F70B4">
        <w:tc>
          <w:tcPr>
            <w:tcW w:w="1843" w:type="dxa"/>
            <w:vMerge/>
            <w:tcBorders>
              <w:top w:val="nil"/>
              <w:bottom w:val="nil"/>
            </w:tcBorders>
            <w:shd w:val="clear" w:color="auto" w:fill="FFFFFF"/>
          </w:tcPr>
          <w:p w14:paraId="50E4BB06" w14:textId="77777777" w:rsidR="008161FC" w:rsidRPr="004F5432" w:rsidRDefault="008161FC" w:rsidP="003F70B4">
            <w:pPr>
              <w:pStyle w:val="CETBodytext"/>
              <w:rPr>
                <w:rFonts w:cs="Arial"/>
                <w:color w:val="000000"/>
                <w:szCs w:val="18"/>
                <w:lang w:val="en-GB"/>
              </w:rPr>
            </w:pPr>
          </w:p>
        </w:tc>
        <w:tc>
          <w:tcPr>
            <w:tcW w:w="1843" w:type="dxa"/>
            <w:tcBorders>
              <w:top w:val="nil"/>
              <w:bottom w:val="nil"/>
            </w:tcBorders>
            <w:shd w:val="clear" w:color="auto" w:fill="FFFFFF"/>
            <w:vAlign w:val="center"/>
          </w:tcPr>
          <w:p w14:paraId="71E7BAEE" w14:textId="77777777" w:rsidR="008161FC" w:rsidRPr="004F5432" w:rsidRDefault="008161FC" w:rsidP="003F70B4">
            <w:pPr>
              <w:pStyle w:val="CETBodytext"/>
              <w:rPr>
                <w:lang w:val="en-GB"/>
              </w:rPr>
            </w:pPr>
            <w:r w:rsidRPr="004F5432">
              <w:rPr>
                <w:rFonts w:cs="Arial"/>
                <w:color w:val="000000"/>
                <w:szCs w:val="18"/>
                <w:lang w:val="en-GB"/>
              </w:rPr>
              <w:t>Volatile matter (%)</w:t>
            </w:r>
          </w:p>
        </w:tc>
        <w:tc>
          <w:tcPr>
            <w:tcW w:w="851" w:type="dxa"/>
            <w:tcBorders>
              <w:top w:val="nil"/>
              <w:bottom w:val="nil"/>
            </w:tcBorders>
            <w:shd w:val="clear" w:color="auto" w:fill="FFFFFF"/>
            <w:vAlign w:val="center"/>
          </w:tcPr>
          <w:p w14:paraId="61FB2FEC" w14:textId="77777777" w:rsidR="008161FC" w:rsidRPr="004F5432" w:rsidRDefault="008161FC" w:rsidP="003F70B4">
            <w:pPr>
              <w:pStyle w:val="CETBodytext"/>
              <w:rPr>
                <w:lang w:val="en-GB"/>
              </w:rPr>
            </w:pPr>
            <w:r w:rsidRPr="004F5432">
              <w:rPr>
                <w:lang w:val="en-GB"/>
              </w:rPr>
              <w:t>79.69</w:t>
            </w:r>
          </w:p>
        </w:tc>
        <w:tc>
          <w:tcPr>
            <w:tcW w:w="992" w:type="dxa"/>
            <w:tcBorders>
              <w:top w:val="nil"/>
              <w:bottom w:val="nil"/>
            </w:tcBorders>
            <w:shd w:val="clear" w:color="auto" w:fill="FFFFFF"/>
            <w:vAlign w:val="center"/>
          </w:tcPr>
          <w:p w14:paraId="7C6A6D7D" w14:textId="77777777" w:rsidR="008161FC" w:rsidRPr="004F5432" w:rsidRDefault="008161FC" w:rsidP="003F70B4">
            <w:pPr>
              <w:pStyle w:val="CETBodytext"/>
              <w:jc w:val="center"/>
              <w:rPr>
                <w:lang w:val="en-GB"/>
              </w:rPr>
            </w:pPr>
            <w:r w:rsidRPr="004F5432">
              <w:rPr>
                <w:lang w:val="en-GB"/>
              </w:rPr>
              <w:t>-</w:t>
            </w:r>
          </w:p>
        </w:tc>
      </w:tr>
      <w:tr w:rsidR="008161FC" w:rsidRPr="004F5432" w14:paraId="1CF08895" w14:textId="77777777" w:rsidTr="003F70B4">
        <w:tc>
          <w:tcPr>
            <w:tcW w:w="1843" w:type="dxa"/>
            <w:vMerge/>
            <w:tcBorders>
              <w:top w:val="nil"/>
              <w:bottom w:val="nil"/>
            </w:tcBorders>
            <w:shd w:val="clear" w:color="auto" w:fill="FFFFFF"/>
          </w:tcPr>
          <w:p w14:paraId="3D316257" w14:textId="77777777" w:rsidR="008161FC" w:rsidRPr="004F5432" w:rsidRDefault="008161FC" w:rsidP="003F70B4">
            <w:pPr>
              <w:pStyle w:val="CETBodytext"/>
              <w:ind w:right="-1"/>
              <w:rPr>
                <w:rFonts w:cs="Arial"/>
                <w:color w:val="000000"/>
                <w:szCs w:val="18"/>
                <w:lang w:val="en-GB"/>
              </w:rPr>
            </w:pPr>
          </w:p>
        </w:tc>
        <w:tc>
          <w:tcPr>
            <w:tcW w:w="1843" w:type="dxa"/>
            <w:tcBorders>
              <w:top w:val="nil"/>
              <w:bottom w:val="nil"/>
            </w:tcBorders>
            <w:shd w:val="clear" w:color="auto" w:fill="FFFFFF"/>
            <w:vAlign w:val="center"/>
          </w:tcPr>
          <w:p w14:paraId="2A9686F6" w14:textId="77777777" w:rsidR="008161FC" w:rsidRPr="004F5432" w:rsidRDefault="008161FC" w:rsidP="003F70B4">
            <w:pPr>
              <w:pStyle w:val="CETBodytext"/>
              <w:ind w:right="-1"/>
              <w:rPr>
                <w:rFonts w:cs="Arial"/>
                <w:szCs w:val="18"/>
                <w:lang w:val="en-GB"/>
              </w:rPr>
            </w:pPr>
            <w:r w:rsidRPr="004F5432">
              <w:rPr>
                <w:rFonts w:cs="Arial"/>
                <w:color w:val="000000"/>
                <w:szCs w:val="18"/>
                <w:lang w:val="en-GB"/>
              </w:rPr>
              <w:t>Inorganic matter (%)</w:t>
            </w:r>
          </w:p>
        </w:tc>
        <w:tc>
          <w:tcPr>
            <w:tcW w:w="851" w:type="dxa"/>
            <w:tcBorders>
              <w:top w:val="nil"/>
              <w:bottom w:val="nil"/>
            </w:tcBorders>
            <w:shd w:val="clear" w:color="auto" w:fill="FFFFFF"/>
            <w:vAlign w:val="center"/>
          </w:tcPr>
          <w:p w14:paraId="6BC45FA9" w14:textId="77777777" w:rsidR="008161FC" w:rsidRPr="004F5432" w:rsidRDefault="008161FC" w:rsidP="003F70B4">
            <w:pPr>
              <w:pStyle w:val="CETBodytext"/>
              <w:ind w:right="-1"/>
              <w:rPr>
                <w:rFonts w:cs="Arial"/>
                <w:szCs w:val="18"/>
                <w:lang w:val="en-GB"/>
              </w:rPr>
            </w:pPr>
            <w:r w:rsidRPr="004F5432">
              <w:rPr>
                <w:lang w:val="en-GB"/>
              </w:rPr>
              <w:t>5.45</w:t>
            </w:r>
          </w:p>
        </w:tc>
        <w:tc>
          <w:tcPr>
            <w:tcW w:w="992" w:type="dxa"/>
            <w:tcBorders>
              <w:top w:val="nil"/>
              <w:bottom w:val="nil"/>
            </w:tcBorders>
            <w:shd w:val="clear" w:color="auto" w:fill="FFFFFF"/>
            <w:vAlign w:val="center"/>
          </w:tcPr>
          <w:p w14:paraId="6796BD7E" w14:textId="77777777" w:rsidR="008161FC" w:rsidRPr="004F5432" w:rsidRDefault="008161FC" w:rsidP="003F70B4">
            <w:pPr>
              <w:pStyle w:val="CETBodytext"/>
              <w:ind w:right="-1"/>
              <w:jc w:val="center"/>
              <w:rPr>
                <w:rFonts w:cs="Arial"/>
                <w:szCs w:val="18"/>
                <w:lang w:val="en-GB"/>
              </w:rPr>
            </w:pPr>
            <w:r w:rsidRPr="004F5432">
              <w:rPr>
                <w:rFonts w:cs="Arial"/>
                <w:szCs w:val="18"/>
                <w:lang w:val="en-GB"/>
              </w:rPr>
              <w:t>-</w:t>
            </w:r>
          </w:p>
        </w:tc>
      </w:tr>
      <w:tr w:rsidR="008161FC" w:rsidRPr="004F5432" w14:paraId="313FD972" w14:textId="77777777" w:rsidTr="003F70B4">
        <w:tc>
          <w:tcPr>
            <w:tcW w:w="1843" w:type="dxa"/>
            <w:vMerge/>
            <w:tcBorders>
              <w:top w:val="nil"/>
              <w:bottom w:val="single" w:sz="4" w:space="0" w:color="008000"/>
            </w:tcBorders>
            <w:shd w:val="clear" w:color="auto" w:fill="FFFFFF"/>
          </w:tcPr>
          <w:p w14:paraId="52B46EA1" w14:textId="77777777" w:rsidR="008161FC" w:rsidRPr="004F5432" w:rsidRDefault="008161FC" w:rsidP="003F70B4">
            <w:pPr>
              <w:pStyle w:val="CETBodytext"/>
              <w:ind w:right="-1"/>
              <w:rPr>
                <w:rFonts w:cs="Arial"/>
                <w:color w:val="000000"/>
                <w:szCs w:val="18"/>
                <w:lang w:val="en-GB"/>
              </w:rPr>
            </w:pPr>
          </w:p>
        </w:tc>
        <w:tc>
          <w:tcPr>
            <w:tcW w:w="1843" w:type="dxa"/>
            <w:tcBorders>
              <w:top w:val="nil"/>
              <w:bottom w:val="single" w:sz="4" w:space="0" w:color="008000"/>
            </w:tcBorders>
            <w:shd w:val="clear" w:color="auto" w:fill="FFFFFF"/>
            <w:vAlign w:val="center"/>
          </w:tcPr>
          <w:p w14:paraId="6F0500A9" w14:textId="77777777" w:rsidR="008161FC" w:rsidRPr="004F5432" w:rsidRDefault="008161FC" w:rsidP="003F70B4">
            <w:pPr>
              <w:pStyle w:val="CETBodytext"/>
              <w:ind w:right="-1"/>
              <w:rPr>
                <w:rFonts w:cs="Arial"/>
                <w:szCs w:val="18"/>
                <w:lang w:val="en-GB"/>
              </w:rPr>
            </w:pPr>
            <w:r w:rsidRPr="004F5432">
              <w:rPr>
                <w:rFonts w:cs="Arial"/>
                <w:color w:val="000000"/>
                <w:szCs w:val="18"/>
                <w:lang w:val="en-GB"/>
              </w:rPr>
              <w:t>Moisture (%)</w:t>
            </w:r>
          </w:p>
        </w:tc>
        <w:tc>
          <w:tcPr>
            <w:tcW w:w="851" w:type="dxa"/>
            <w:tcBorders>
              <w:top w:val="nil"/>
              <w:bottom w:val="single" w:sz="4" w:space="0" w:color="008000"/>
            </w:tcBorders>
            <w:shd w:val="clear" w:color="auto" w:fill="FFFFFF"/>
            <w:vAlign w:val="center"/>
          </w:tcPr>
          <w:p w14:paraId="2DF73BFF" w14:textId="77777777" w:rsidR="008161FC" w:rsidRPr="004F5432" w:rsidRDefault="008161FC" w:rsidP="003F70B4">
            <w:pPr>
              <w:pStyle w:val="CETBodytext"/>
              <w:ind w:right="-1"/>
              <w:rPr>
                <w:rFonts w:cs="Arial"/>
                <w:szCs w:val="18"/>
                <w:lang w:val="en-GB"/>
              </w:rPr>
            </w:pPr>
            <w:r w:rsidRPr="004F5432">
              <w:rPr>
                <w:lang w:val="en-GB"/>
              </w:rPr>
              <w:t>8.68</w:t>
            </w:r>
          </w:p>
        </w:tc>
        <w:tc>
          <w:tcPr>
            <w:tcW w:w="992" w:type="dxa"/>
            <w:tcBorders>
              <w:top w:val="nil"/>
              <w:bottom w:val="single" w:sz="4" w:space="0" w:color="008000"/>
            </w:tcBorders>
            <w:shd w:val="clear" w:color="auto" w:fill="FFFFFF"/>
            <w:vAlign w:val="center"/>
          </w:tcPr>
          <w:p w14:paraId="00C56EFF" w14:textId="77777777" w:rsidR="008161FC" w:rsidRPr="004F5432" w:rsidRDefault="008161FC" w:rsidP="003F70B4">
            <w:pPr>
              <w:pStyle w:val="CETBodytext"/>
              <w:ind w:right="-1"/>
              <w:jc w:val="center"/>
              <w:rPr>
                <w:rFonts w:cs="Arial"/>
                <w:szCs w:val="18"/>
                <w:lang w:val="en-GB"/>
              </w:rPr>
            </w:pPr>
            <w:r w:rsidRPr="004F5432">
              <w:rPr>
                <w:rFonts w:cs="Arial"/>
                <w:szCs w:val="18"/>
                <w:lang w:val="en-GB"/>
              </w:rPr>
              <w:t>-</w:t>
            </w:r>
          </w:p>
        </w:tc>
      </w:tr>
      <w:tr w:rsidR="008161FC" w:rsidRPr="004F5432" w14:paraId="3853747F" w14:textId="77777777" w:rsidTr="003F70B4">
        <w:trPr>
          <w:trHeight w:val="1246"/>
        </w:trPr>
        <w:tc>
          <w:tcPr>
            <w:tcW w:w="1843" w:type="dxa"/>
            <w:tcBorders>
              <w:top w:val="single" w:sz="4" w:space="0" w:color="008000"/>
              <w:bottom w:val="single" w:sz="4" w:space="0" w:color="008000"/>
            </w:tcBorders>
            <w:shd w:val="clear" w:color="auto" w:fill="FFFFFF"/>
          </w:tcPr>
          <w:p w14:paraId="7985B5B7" w14:textId="77777777" w:rsidR="008161FC" w:rsidRPr="004F5432" w:rsidRDefault="008161FC" w:rsidP="003F70B4">
            <w:pPr>
              <w:pStyle w:val="CETBodytext"/>
              <w:rPr>
                <w:rFonts w:cs="Arial"/>
                <w:color w:val="000000"/>
                <w:szCs w:val="18"/>
                <w:lang w:val="en-GB"/>
              </w:rPr>
            </w:pPr>
          </w:p>
          <w:p w14:paraId="199927E1" w14:textId="77777777" w:rsidR="008161FC" w:rsidRPr="004F5432" w:rsidRDefault="008161FC" w:rsidP="003F70B4">
            <w:pPr>
              <w:pStyle w:val="CETBodytext"/>
              <w:rPr>
                <w:rFonts w:cs="Arial"/>
                <w:color w:val="000000"/>
                <w:szCs w:val="18"/>
                <w:lang w:val="en-GB"/>
              </w:rPr>
            </w:pPr>
            <w:r w:rsidRPr="004F5432">
              <w:rPr>
                <w:rFonts w:cs="Arial"/>
                <w:color w:val="000000"/>
                <w:szCs w:val="18"/>
                <w:lang w:val="en-GB"/>
              </w:rPr>
              <w:t>Ultimate analysis</w:t>
            </w:r>
          </w:p>
          <w:p w14:paraId="239B9E4F" w14:textId="77777777" w:rsidR="008161FC" w:rsidRPr="004F5432" w:rsidRDefault="008161FC" w:rsidP="003F70B4">
            <w:pPr>
              <w:pStyle w:val="CETBodytext"/>
              <w:ind w:right="-1"/>
              <w:rPr>
                <w:rFonts w:cs="Arial"/>
                <w:color w:val="000000"/>
                <w:szCs w:val="18"/>
                <w:lang w:val="en-GB"/>
              </w:rPr>
            </w:pPr>
            <w:r w:rsidRPr="004F5432">
              <w:rPr>
                <w:rFonts w:cs="Arial"/>
                <w:lang w:val="en-GB"/>
              </w:rPr>
              <w:t>(wt.%, ash free)</w:t>
            </w:r>
          </w:p>
        </w:tc>
        <w:tc>
          <w:tcPr>
            <w:tcW w:w="1843" w:type="dxa"/>
            <w:tcBorders>
              <w:top w:val="single" w:sz="4" w:space="0" w:color="008000"/>
              <w:bottom w:val="single" w:sz="4" w:space="0" w:color="008000"/>
            </w:tcBorders>
            <w:shd w:val="clear" w:color="auto" w:fill="FFFFFF"/>
          </w:tcPr>
          <w:p w14:paraId="2414FFB0" w14:textId="77777777" w:rsidR="008161FC" w:rsidRPr="004F5432" w:rsidRDefault="008161FC" w:rsidP="003F70B4">
            <w:pPr>
              <w:pStyle w:val="CETBodytext"/>
              <w:ind w:right="-1"/>
              <w:rPr>
                <w:rFonts w:cs="Arial"/>
                <w:szCs w:val="18"/>
                <w:lang w:val="en-GB"/>
              </w:rPr>
            </w:pPr>
            <w:r w:rsidRPr="004F5432">
              <w:rPr>
                <w:rFonts w:cs="Arial"/>
                <w:color w:val="000000"/>
                <w:szCs w:val="18"/>
                <w:lang w:val="en-GB"/>
              </w:rPr>
              <w:t>C (%)</w:t>
            </w:r>
          </w:p>
          <w:p w14:paraId="54A1C540" w14:textId="77777777" w:rsidR="008161FC" w:rsidRPr="004F5432" w:rsidRDefault="008161FC" w:rsidP="003F70B4">
            <w:pPr>
              <w:pStyle w:val="CETBodytext"/>
              <w:ind w:right="-1"/>
              <w:rPr>
                <w:rFonts w:cs="Arial"/>
                <w:szCs w:val="18"/>
                <w:lang w:val="en-GB"/>
              </w:rPr>
            </w:pPr>
            <w:r w:rsidRPr="004F5432">
              <w:rPr>
                <w:rFonts w:cs="Arial"/>
                <w:color w:val="000000"/>
                <w:szCs w:val="18"/>
                <w:lang w:val="en-GB"/>
              </w:rPr>
              <w:t>H (%)</w:t>
            </w:r>
          </w:p>
          <w:p w14:paraId="5D18F892" w14:textId="77777777" w:rsidR="008161FC" w:rsidRPr="004F5432" w:rsidRDefault="008161FC" w:rsidP="003F70B4">
            <w:pPr>
              <w:pStyle w:val="CETBodytext"/>
              <w:ind w:right="-1"/>
              <w:rPr>
                <w:rFonts w:cs="Arial"/>
                <w:szCs w:val="18"/>
                <w:lang w:val="en-GB"/>
              </w:rPr>
            </w:pPr>
            <w:r w:rsidRPr="004F5432">
              <w:rPr>
                <w:rFonts w:cs="Arial"/>
                <w:color w:val="000000"/>
                <w:szCs w:val="18"/>
                <w:lang w:val="en-GB"/>
              </w:rPr>
              <w:t>N (%)</w:t>
            </w:r>
          </w:p>
          <w:p w14:paraId="2204EE74" w14:textId="77777777" w:rsidR="008161FC" w:rsidRPr="004F5432" w:rsidRDefault="008161FC" w:rsidP="003F70B4">
            <w:pPr>
              <w:pStyle w:val="CETBodytext"/>
              <w:ind w:right="-1"/>
              <w:rPr>
                <w:rFonts w:cs="Arial"/>
                <w:szCs w:val="18"/>
                <w:lang w:val="en-GB"/>
              </w:rPr>
            </w:pPr>
            <w:r w:rsidRPr="004F5432">
              <w:rPr>
                <w:rFonts w:cs="Arial"/>
                <w:color w:val="000000"/>
                <w:szCs w:val="18"/>
                <w:lang w:val="en-GB"/>
              </w:rPr>
              <w:t>S (%)</w:t>
            </w:r>
          </w:p>
          <w:p w14:paraId="323CA3D2" w14:textId="77777777" w:rsidR="008161FC" w:rsidRPr="004F5432" w:rsidRDefault="008161FC" w:rsidP="003F70B4">
            <w:pPr>
              <w:pStyle w:val="CETBodytext"/>
              <w:ind w:right="-1"/>
              <w:rPr>
                <w:rFonts w:cs="Arial"/>
                <w:szCs w:val="18"/>
                <w:lang w:val="en-GB"/>
              </w:rPr>
            </w:pPr>
            <w:r w:rsidRPr="004F5432">
              <w:rPr>
                <w:rFonts w:cs="Arial"/>
                <w:color w:val="000000"/>
                <w:szCs w:val="18"/>
                <w:lang w:val="en-GB"/>
              </w:rPr>
              <w:t>O* (%)</w:t>
            </w:r>
          </w:p>
        </w:tc>
        <w:tc>
          <w:tcPr>
            <w:tcW w:w="851" w:type="dxa"/>
            <w:tcBorders>
              <w:top w:val="single" w:sz="4" w:space="0" w:color="008000"/>
              <w:bottom w:val="single" w:sz="4" w:space="0" w:color="008000"/>
            </w:tcBorders>
            <w:shd w:val="clear" w:color="auto" w:fill="FFFFFF"/>
          </w:tcPr>
          <w:p w14:paraId="5B65744C" w14:textId="77777777" w:rsidR="008161FC" w:rsidRPr="004F5432" w:rsidRDefault="008161FC" w:rsidP="003F70B4">
            <w:pPr>
              <w:pStyle w:val="CETBodytext"/>
              <w:ind w:right="-1"/>
              <w:rPr>
                <w:rFonts w:cs="Arial"/>
                <w:szCs w:val="18"/>
                <w:lang w:val="en-GB"/>
              </w:rPr>
            </w:pPr>
            <w:r w:rsidRPr="004F5432">
              <w:rPr>
                <w:rFonts w:cs="Arial"/>
                <w:szCs w:val="18"/>
                <w:lang w:val="en-GB"/>
              </w:rPr>
              <w:t>45.04</w:t>
            </w:r>
          </w:p>
          <w:p w14:paraId="5E2B6C9C" w14:textId="77777777" w:rsidR="008161FC" w:rsidRPr="004F5432" w:rsidRDefault="008161FC" w:rsidP="003F70B4">
            <w:pPr>
              <w:pStyle w:val="CETBodytext"/>
              <w:ind w:right="-1"/>
              <w:rPr>
                <w:rFonts w:cs="Arial"/>
                <w:szCs w:val="18"/>
                <w:lang w:val="en-GB"/>
              </w:rPr>
            </w:pPr>
            <w:r w:rsidRPr="004F5432">
              <w:rPr>
                <w:rFonts w:cs="Arial"/>
                <w:szCs w:val="18"/>
                <w:lang w:val="en-GB"/>
              </w:rPr>
              <w:t>5.71</w:t>
            </w:r>
          </w:p>
          <w:p w14:paraId="42F2972E" w14:textId="77777777" w:rsidR="008161FC" w:rsidRPr="004F5432" w:rsidRDefault="008161FC" w:rsidP="003F70B4">
            <w:pPr>
              <w:pStyle w:val="CETBodytext"/>
              <w:ind w:right="-1"/>
              <w:rPr>
                <w:rFonts w:cs="Arial"/>
                <w:szCs w:val="18"/>
                <w:lang w:val="en-GB"/>
              </w:rPr>
            </w:pPr>
            <w:r w:rsidRPr="004F5432">
              <w:rPr>
                <w:rFonts w:cs="Arial"/>
                <w:szCs w:val="18"/>
                <w:lang w:val="en-GB"/>
              </w:rPr>
              <w:t>0.73</w:t>
            </w:r>
          </w:p>
          <w:p w14:paraId="6F9E98DF" w14:textId="77777777" w:rsidR="008161FC" w:rsidRPr="004F5432" w:rsidRDefault="008161FC" w:rsidP="003F70B4">
            <w:pPr>
              <w:pStyle w:val="CETBodytext"/>
              <w:ind w:right="-1"/>
              <w:rPr>
                <w:rFonts w:cs="Arial"/>
                <w:szCs w:val="18"/>
                <w:lang w:val="en-GB"/>
              </w:rPr>
            </w:pPr>
            <w:r w:rsidRPr="004F5432">
              <w:rPr>
                <w:rFonts w:cs="Arial"/>
                <w:szCs w:val="18"/>
                <w:lang w:val="en-GB"/>
              </w:rPr>
              <w:t>0.72</w:t>
            </w:r>
          </w:p>
          <w:p w14:paraId="325BA90F" w14:textId="77777777" w:rsidR="008161FC" w:rsidRPr="004F5432" w:rsidRDefault="008161FC" w:rsidP="003F70B4">
            <w:pPr>
              <w:pStyle w:val="CETBodytext"/>
              <w:ind w:right="-1"/>
              <w:rPr>
                <w:rFonts w:cs="Arial"/>
                <w:szCs w:val="18"/>
                <w:lang w:val="en-GB"/>
              </w:rPr>
            </w:pPr>
            <w:r w:rsidRPr="004F5432">
              <w:rPr>
                <w:rFonts w:cs="Arial"/>
                <w:szCs w:val="18"/>
                <w:lang w:val="en-GB"/>
              </w:rPr>
              <w:t>42.35</w:t>
            </w:r>
          </w:p>
        </w:tc>
        <w:tc>
          <w:tcPr>
            <w:tcW w:w="992" w:type="dxa"/>
            <w:tcBorders>
              <w:top w:val="single" w:sz="4" w:space="0" w:color="008000"/>
              <w:bottom w:val="single" w:sz="4" w:space="0" w:color="008000"/>
            </w:tcBorders>
            <w:shd w:val="clear" w:color="auto" w:fill="FFFFFF"/>
          </w:tcPr>
          <w:p w14:paraId="01717CA5" w14:textId="77777777" w:rsidR="008161FC" w:rsidRPr="004F5432" w:rsidRDefault="008161FC" w:rsidP="003F70B4">
            <w:pPr>
              <w:pStyle w:val="CETBodytext"/>
              <w:ind w:right="-1"/>
              <w:jc w:val="center"/>
              <w:rPr>
                <w:rFonts w:cs="Arial"/>
                <w:szCs w:val="18"/>
                <w:lang w:val="en-GB"/>
              </w:rPr>
            </w:pPr>
            <w:r w:rsidRPr="004F5432">
              <w:rPr>
                <w:rFonts w:cs="Arial"/>
                <w:szCs w:val="18"/>
                <w:lang w:val="en-GB"/>
              </w:rPr>
              <w:t>85.05</w:t>
            </w:r>
          </w:p>
          <w:p w14:paraId="79C77166" w14:textId="77777777" w:rsidR="008161FC" w:rsidRPr="004F5432" w:rsidRDefault="008161FC" w:rsidP="003F70B4">
            <w:pPr>
              <w:pStyle w:val="CETBodytext"/>
              <w:ind w:right="-1"/>
              <w:jc w:val="center"/>
              <w:rPr>
                <w:rFonts w:cs="Arial"/>
                <w:szCs w:val="18"/>
                <w:lang w:val="en-GB"/>
              </w:rPr>
            </w:pPr>
            <w:r w:rsidRPr="004F5432">
              <w:rPr>
                <w:rFonts w:cs="Arial"/>
                <w:szCs w:val="18"/>
                <w:lang w:val="en-GB"/>
              </w:rPr>
              <w:t>-</w:t>
            </w:r>
          </w:p>
          <w:p w14:paraId="73563D61" w14:textId="77777777" w:rsidR="008161FC" w:rsidRPr="004F5432" w:rsidRDefault="008161FC" w:rsidP="003F70B4">
            <w:pPr>
              <w:pStyle w:val="CETBodytext"/>
              <w:ind w:right="-1"/>
              <w:jc w:val="center"/>
              <w:rPr>
                <w:rFonts w:cs="Arial"/>
                <w:szCs w:val="18"/>
                <w:lang w:val="en-GB"/>
              </w:rPr>
            </w:pPr>
            <w:r w:rsidRPr="004F5432">
              <w:rPr>
                <w:rFonts w:cs="Arial"/>
                <w:szCs w:val="18"/>
                <w:lang w:val="en-GB"/>
              </w:rPr>
              <w:t>0.40</w:t>
            </w:r>
          </w:p>
          <w:p w14:paraId="4E7DAA33" w14:textId="77777777" w:rsidR="008161FC" w:rsidRPr="004F5432" w:rsidRDefault="008161FC" w:rsidP="003F70B4">
            <w:pPr>
              <w:pStyle w:val="CETBodytext"/>
              <w:ind w:right="-1"/>
              <w:jc w:val="center"/>
              <w:rPr>
                <w:rFonts w:cs="Arial"/>
                <w:szCs w:val="18"/>
                <w:lang w:val="en-GB"/>
              </w:rPr>
            </w:pPr>
            <w:r w:rsidRPr="004F5432">
              <w:rPr>
                <w:rFonts w:cs="Arial"/>
                <w:szCs w:val="18"/>
                <w:lang w:val="en-GB"/>
              </w:rPr>
              <w:t>0.11</w:t>
            </w:r>
          </w:p>
          <w:p w14:paraId="45F73906" w14:textId="77777777" w:rsidR="008161FC" w:rsidRPr="004F5432" w:rsidRDefault="008161FC" w:rsidP="003F70B4">
            <w:pPr>
              <w:pStyle w:val="CETBodytext"/>
              <w:ind w:right="-1"/>
              <w:jc w:val="center"/>
              <w:rPr>
                <w:rFonts w:cs="Arial"/>
                <w:szCs w:val="18"/>
                <w:lang w:val="en-GB"/>
              </w:rPr>
            </w:pPr>
            <w:r w:rsidRPr="004F5432">
              <w:rPr>
                <w:rFonts w:cs="Arial"/>
                <w:szCs w:val="18"/>
                <w:lang w:val="en-GB"/>
              </w:rPr>
              <w:t>14.44</w:t>
            </w:r>
          </w:p>
        </w:tc>
      </w:tr>
      <w:tr w:rsidR="008161FC" w:rsidRPr="004F5432" w14:paraId="7CB5F611" w14:textId="77777777" w:rsidTr="003F70B4">
        <w:trPr>
          <w:trHeight w:val="274"/>
        </w:trPr>
        <w:tc>
          <w:tcPr>
            <w:tcW w:w="1843" w:type="dxa"/>
            <w:tcBorders>
              <w:top w:val="single" w:sz="4" w:space="0" w:color="008000"/>
            </w:tcBorders>
            <w:shd w:val="clear" w:color="auto" w:fill="FFFFFF"/>
          </w:tcPr>
          <w:p w14:paraId="74A8F364" w14:textId="77777777" w:rsidR="008161FC" w:rsidRPr="004F5432" w:rsidRDefault="008161FC" w:rsidP="003F70B4">
            <w:pPr>
              <w:pStyle w:val="CETBodytext"/>
              <w:rPr>
                <w:rFonts w:cs="Arial"/>
                <w:color w:val="000000"/>
                <w:szCs w:val="18"/>
                <w:lang w:val="en-GB"/>
              </w:rPr>
            </w:pPr>
            <w:r>
              <w:rPr>
                <w:rFonts w:cs="Arial"/>
                <w:color w:val="000000"/>
                <w:szCs w:val="18"/>
                <w:lang w:val="en-GB"/>
              </w:rPr>
              <w:t>Yield</w:t>
            </w:r>
          </w:p>
        </w:tc>
        <w:tc>
          <w:tcPr>
            <w:tcW w:w="1843" w:type="dxa"/>
            <w:tcBorders>
              <w:top w:val="single" w:sz="4" w:space="0" w:color="008000"/>
            </w:tcBorders>
            <w:shd w:val="clear" w:color="auto" w:fill="FFFFFF"/>
          </w:tcPr>
          <w:p w14:paraId="108E3991" w14:textId="77777777" w:rsidR="008161FC" w:rsidRPr="004F5432" w:rsidRDefault="008161FC" w:rsidP="003F70B4">
            <w:pPr>
              <w:pStyle w:val="CETBodytext"/>
              <w:ind w:right="-1"/>
              <w:rPr>
                <w:rFonts w:cs="Arial"/>
                <w:color w:val="000000"/>
                <w:szCs w:val="18"/>
                <w:lang w:val="en-GB"/>
              </w:rPr>
            </w:pPr>
            <w:r>
              <w:rPr>
                <w:rFonts w:cs="Arial"/>
                <w:color w:val="000000"/>
                <w:szCs w:val="18"/>
                <w:lang w:val="en-GB"/>
              </w:rPr>
              <w:t>(%)</w:t>
            </w:r>
          </w:p>
        </w:tc>
        <w:tc>
          <w:tcPr>
            <w:tcW w:w="851" w:type="dxa"/>
            <w:tcBorders>
              <w:top w:val="single" w:sz="4" w:space="0" w:color="008000"/>
            </w:tcBorders>
            <w:shd w:val="clear" w:color="auto" w:fill="FFFFFF"/>
          </w:tcPr>
          <w:p w14:paraId="3B433B6E" w14:textId="77777777" w:rsidR="008161FC" w:rsidRPr="004F5432" w:rsidRDefault="008161FC" w:rsidP="003F70B4">
            <w:pPr>
              <w:pStyle w:val="CETBodytext"/>
              <w:ind w:right="-1"/>
              <w:rPr>
                <w:rFonts w:cs="Arial"/>
                <w:szCs w:val="18"/>
                <w:lang w:val="en-GB"/>
              </w:rPr>
            </w:pPr>
          </w:p>
        </w:tc>
        <w:tc>
          <w:tcPr>
            <w:tcW w:w="992" w:type="dxa"/>
            <w:tcBorders>
              <w:top w:val="single" w:sz="4" w:space="0" w:color="008000"/>
            </w:tcBorders>
            <w:shd w:val="clear" w:color="auto" w:fill="FFFFFF"/>
          </w:tcPr>
          <w:p w14:paraId="1D4BB6F1" w14:textId="77777777" w:rsidR="008161FC" w:rsidRPr="004F5432" w:rsidRDefault="008161FC" w:rsidP="003F70B4">
            <w:pPr>
              <w:pStyle w:val="CETBodytext"/>
              <w:ind w:right="-1"/>
              <w:jc w:val="center"/>
              <w:rPr>
                <w:rFonts w:cs="Arial"/>
                <w:szCs w:val="18"/>
                <w:lang w:val="en-GB"/>
              </w:rPr>
            </w:pPr>
            <w:r>
              <w:rPr>
                <w:rFonts w:cs="Arial"/>
                <w:szCs w:val="18"/>
                <w:lang w:val="en-GB"/>
              </w:rPr>
              <w:t>12</w:t>
            </w:r>
          </w:p>
        </w:tc>
      </w:tr>
      <w:bookmarkEnd w:id="1"/>
    </w:tbl>
    <w:p w14:paraId="6BADE50E" w14:textId="77777777" w:rsidR="008161FC" w:rsidRDefault="008161FC" w:rsidP="008161FC">
      <w:pPr>
        <w:pStyle w:val="CETBodytext"/>
        <w:rPr>
          <w:lang w:val="en-GB"/>
        </w:rPr>
      </w:pPr>
    </w:p>
    <w:p w14:paraId="0BACB388" w14:textId="6BC2553C" w:rsidR="003D776D" w:rsidRDefault="003D776D" w:rsidP="00785D21">
      <w:r>
        <w:t xml:space="preserve">Used specifications to define the simulation are included in Table 2. </w:t>
      </w:r>
    </w:p>
    <w:p w14:paraId="0F67CAD4" w14:textId="3DD68CA2" w:rsidR="00931943" w:rsidRPr="000B2890" w:rsidRDefault="00931943" w:rsidP="00931943">
      <w:pPr>
        <w:pStyle w:val="CETTabletitle"/>
        <w:rPr>
          <w:szCs w:val="18"/>
        </w:rPr>
      </w:pPr>
      <w:r w:rsidRPr="000B2890">
        <w:rPr>
          <w:szCs w:val="18"/>
        </w:rPr>
        <w:t xml:space="preserve">Table </w:t>
      </w:r>
      <w:r>
        <w:rPr>
          <w:szCs w:val="18"/>
        </w:rPr>
        <w:t>2</w:t>
      </w:r>
      <w:r w:rsidRPr="000B2890">
        <w:rPr>
          <w:szCs w:val="18"/>
        </w:rPr>
        <w:t>:</w:t>
      </w:r>
      <w:r>
        <w:rPr>
          <w:szCs w:val="18"/>
        </w:rPr>
        <w:t xml:space="preserve"> Definition of parameters for the simulation.</w:t>
      </w:r>
      <w:r w:rsidRPr="000B2890">
        <w:rPr>
          <w:szCs w:val="18"/>
        </w:rPr>
        <w:t xml:space="preserve">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52"/>
        <w:gridCol w:w="1127"/>
        <w:gridCol w:w="982"/>
        <w:gridCol w:w="1252"/>
        <w:gridCol w:w="2274"/>
        <w:gridCol w:w="1600"/>
      </w:tblGrid>
      <w:tr w:rsidR="00931943" w:rsidRPr="004F5432" w14:paraId="75E8BB9E" w14:textId="77777777" w:rsidTr="003F3DDB">
        <w:tc>
          <w:tcPr>
            <w:tcW w:w="1560" w:type="dxa"/>
            <w:tcBorders>
              <w:top w:val="single" w:sz="12" w:space="0" w:color="008000"/>
              <w:bottom w:val="single" w:sz="4" w:space="0" w:color="008000"/>
            </w:tcBorders>
            <w:shd w:val="clear" w:color="auto" w:fill="FFFFFF"/>
          </w:tcPr>
          <w:p w14:paraId="1BDCE5A9" w14:textId="77777777" w:rsidR="00931943" w:rsidRPr="004F5432" w:rsidRDefault="00931943" w:rsidP="003F3DDB">
            <w:pPr>
              <w:pStyle w:val="CETBodytext"/>
              <w:rPr>
                <w:lang w:val="en-GB"/>
              </w:rPr>
            </w:pPr>
            <w:r>
              <w:rPr>
                <w:b/>
                <w:szCs w:val="18"/>
                <w:lang w:val="en-GB"/>
              </w:rPr>
              <w:t>Section</w:t>
            </w:r>
          </w:p>
        </w:tc>
        <w:tc>
          <w:tcPr>
            <w:tcW w:w="1134" w:type="dxa"/>
            <w:tcBorders>
              <w:top w:val="single" w:sz="12" w:space="0" w:color="008000"/>
              <w:bottom w:val="single" w:sz="4" w:space="0" w:color="008000"/>
            </w:tcBorders>
            <w:shd w:val="clear" w:color="auto" w:fill="FFFFFF"/>
          </w:tcPr>
          <w:p w14:paraId="0463322E" w14:textId="77777777" w:rsidR="00931943" w:rsidRPr="004F5432" w:rsidRDefault="00931943" w:rsidP="003F3DDB">
            <w:pPr>
              <w:pStyle w:val="CETBodytext"/>
              <w:rPr>
                <w:lang w:val="en-GB"/>
              </w:rPr>
            </w:pPr>
            <w:r w:rsidRPr="00D63EAA">
              <w:rPr>
                <w:rFonts w:cs="Arial"/>
                <w:b/>
                <w:szCs w:val="18"/>
              </w:rPr>
              <w:t>Equipment</w:t>
            </w:r>
          </w:p>
        </w:tc>
        <w:tc>
          <w:tcPr>
            <w:tcW w:w="992" w:type="dxa"/>
            <w:tcBorders>
              <w:top w:val="single" w:sz="12" w:space="0" w:color="008000"/>
              <w:bottom w:val="single" w:sz="4" w:space="0" w:color="008000"/>
            </w:tcBorders>
            <w:shd w:val="clear" w:color="auto" w:fill="FFFFFF"/>
          </w:tcPr>
          <w:p w14:paraId="6C88C183" w14:textId="77777777" w:rsidR="00931943" w:rsidRPr="004F5432" w:rsidRDefault="00931943" w:rsidP="003F3DDB">
            <w:pPr>
              <w:pStyle w:val="CETBodytext"/>
              <w:rPr>
                <w:lang w:val="en-GB"/>
              </w:rPr>
            </w:pPr>
            <w:r w:rsidRPr="00D63EAA">
              <w:rPr>
                <w:rFonts w:cs="Arial"/>
                <w:b/>
                <w:szCs w:val="18"/>
              </w:rPr>
              <w:t>Aspen module</w:t>
            </w:r>
          </w:p>
        </w:tc>
        <w:tc>
          <w:tcPr>
            <w:tcW w:w="5245" w:type="dxa"/>
            <w:gridSpan w:val="3"/>
            <w:tcBorders>
              <w:top w:val="single" w:sz="12" w:space="0" w:color="008000"/>
              <w:bottom w:val="single" w:sz="4" w:space="0" w:color="008000"/>
            </w:tcBorders>
            <w:shd w:val="clear" w:color="auto" w:fill="FFFFFF"/>
          </w:tcPr>
          <w:p w14:paraId="55749E46" w14:textId="77777777" w:rsidR="00931943" w:rsidRPr="004F5432" w:rsidRDefault="00931943" w:rsidP="003D776D">
            <w:pPr>
              <w:pStyle w:val="CETBodytext"/>
              <w:jc w:val="left"/>
              <w:rPr>
                <w:lang w:val="en-GB"/>
              </w:rPr>
            </w:pPr>
            <w:r w:rsidRPr="00D63EAA">
              <w:rPr>
                <w:rFonts w:cs="Arial"/>
                <w:b/>
                <w:szCs w:val="18"/>
              </w:rPr>
              <w:t>Specifications</w:t>
            </w:r>
          </w:p>
        </w:tc>
      </w:tr>
      <w:tr w:rsidR="00931943" w:rsidRPr="004F5432" w14:paraId="09B82089" w14:textId="77777777" w:rsidTr="003F3DDB">
        <w:tc>
          <w:tcPr>
            <w:tcW w:w="1560" w:type="dxa"/>
            <w:vMerge w:val="restart"/>
            <w:tcBorders>
              <w:top w:val="single" w:sz="4" w:space="0" w:color="008000"/>
            </w:tcBorders>
            <w:shd w:val="clear" w:color="auto" w:fill="FFFFFF"/>
          </w:tcPr>
          <w:p w14:paraId="7C729494" w14:textId="77777777" w:rsidR="00931943" w:rsidRDefault="00931943" w:rsidP="003F3DDB">
            <w:pPr>
              <w:pStyle w:val="CETBodytext"/>
              <w:rPr>
                <w:rFonts w:cs="Arial"/>
                <w:szCs w:val="18"/>
                <w:lang w:val="en-GB"/>
              </w:rPr>
            </w:pPr>
            <w:r w:rsidRPr="00A40281">
              <w:rPr>
                <w:rFonts w:cs="Arial"/>
                <w:szCs w:val="18"/>
                <w:lang w:val="en-GB"/>
              </w:rPr>
              <w:t xml:space="preserve">Thermochemical </w:t>
            </w:r>
          </w:p>
          <w:p w14:paraId="52BAFF74" w14:textId="77777777" w:rsidR="00931943" w:rsidRPr="004F5432" w:rsidRDefault="00931943" w:rsidP="003F3DDB">
            <w:pPr>
              <w:pStyle w:val="CETBodytext"/>
              <w:rPr>
                <w:rFonts w:cs="Arial"/>
                <w:color w:val="000000"/>
                <w:szCs w:val="18"/>
                <w:lang w:val="en-GB"/>
              </w:rPr>
            </w:pPr>
            <w:r w:rsidRPr="00A40281">
              <w:rPr>
                <w:rFonts w:cs="Arial"/>
                <w:szCs w:val="18"/>
                <w:lang w:val="en-GB"/>
              </w:rPr>
              <w:t>conversion</w:t>
            </w:r>
          </w:p>
        </w:tc>
        <w:tc>
          <w:tcPr>
            <w:tcW w:w="1134" w:type="dxa"/>
            <w:tcBorders>
              <w:top w:val="single" w:sz="4" w:space="0" w:color="008000"/>
            </w:tcBorders>
            <w:shd w:val="clear" w:color="auto" w:fill="FFFFFF"/>
            <w:vAlign w:val="center"/>
          </w:tcPr>
          <w:p w14:paraId="6AE6F18F" w14:textId="77777777" w:rsidR="00931943" w:rsidRPr="004F5432" w:rsidRDefault="00931943" w:rsidP="003F3DDB">
            <w:pPr>
              <w:pStyle w:val="CETBodytext"/>
              <w:rPr>
                <w:rFonts w:cs="Arial"/>
                <w:color w:val="000000"/>
                <w:szCs w:val="18"/>
                <w:lang w:val="en-GB"/>
              </w:rPr>
            </w:pPr>
            <w:r w:rsidRPr="00A40281">
              <w:rPr>
                <w:rFonts w:cs="Arial"/>
                <w:bCs/>
                <w:szCs w:val="18"/>
              </w:rPr>
              <w:t>Reactor</w:t>
            </w:r>
          </w:p>
        </w:tc>
        <w:tc>
          <w:tcPr>
            <w:tcW w:w="992" w:type="dxa"/>
            <w:tcBorders>
              <w:top w:val="single" w:sz="4" w:space="0" w:color="008000"/>
              <w:bottom w:val="nil"/>
            </w:tcBorders>
            <w:shd w:val="clear" w:color="auto" w:fill="FFFFFF"/>
            <w:vAlign w:val="center"/>
          </w:tcPr>
          <w:p w14:paraId="38CDF4C9" w14:textId="77777777" w:rsidR="00931943" w:rsidRPr="004F5432" w:rsidRDefault="00931943" w:rsidP="003F3DDB">
            <w:pPr>
              <w:pStyle w:val="CETBodytext"/>
              <w:rPr>
                <w:lang w:val="en-GB"/>
              </w:rPr>
            </w:pPr>
            <w:r w:rsidRPr="00A40281">
              <w:rPr>
                <w:rFonts w:cs="Arial"/>
                <w:bCs/>
                <w:szCs w:val="18"/>
              </w:rPr>
              <w:t>RYIELD</w:t>
            </w:r>
          </w:p>
        </w:tc>
        <w:tc>
          <w:tcPr>
            <w:tcW w:w="5245" w:type="dxa"/>
            <w:gridSpan w:val="3"/>
            <w:tcBorders>
              <w:top w:val="single" w:sz="4" w:space="0" w:color="008000"/>
              <w:bottom w:val="nil"/>
            </w:tcBorders>
            <w:shd w:val="clear" w:color="auto" w:fill="FFFFFF"/>
            <w:vAlign w:val="center"/>
          </w:tcPr>
          <w:p w14:paraId="503483FB" w14:textId="77777777" w:rsidR="00931943" w:rsidRPr="004F5432" w:rsidRDefault="00931943" w:rsidP="003F3DDB">
            <w:pPr>
              <w:rPr>
                <w:rFonts w:cs="Arial"/>
                <w:color w:val="000000"/>
                <w:szCs w:val="18"/>
              </w:rPr>
            </w:pPr>
            <w:r w:rsidRPr="00A40281">
              <w:rPr>
                <w:rFonts w:cs="Arial"/>
                <w:bCs/>
                <w:szCs w:val="18"/>
                <w:lang w:val="en-US"/>
              </w:rPr>
              <w:t>900°C, 1 bar</w:t>
            </w:r>
            <w:r>
              <w:rPr>
                <w:rFonts w:cs="Arial"/>
                <w:bCs/>
                <w:szCs w:val="18"/>
                <w:lang w:val="en-US"/>
              </w:rPr>
              <w:t xml:space="preserve">, </w:t>
            </w:r>
            <w:r w:rsidRPr="00F9052A">
              <w:rPr>
                <w:rFonts w:eastAsia="SimSun" w:cs="Arial"/>
                <w:bCs/>
                <w:szCs w:val="18"/>
                <w:lang w:eastAsia="fr-FR"/>
              </w:rPr>
              <w:t>yields of</w:t>
            </w:r>
            <w:r w:rsidRPr="00F9052A">
              <w:rPr>
                <w:rFonts w:cs="Arial"/>
                <w:bCs/>
                <w:szCs w:val="18"/>
              </w:rPr>
              <w:t xml:space="preserve"> </w:t>
            </w:r>
            <w:r w:rsidRPr="00402801">
              <w:rPr>
                <w:rFonts w:cs="Arial"/>
                <w:szCs w:val="18"/>
              </w:rPr>
              <w:t>fixed</w:t>
            </w:r>
            <w:r>
              <w:rPr>
                <w:rFonts w:cs="Arial"/>
                <w:szCs w:val="18"/>
              </w:rPr>
              <w:t xml:space="preserve"> C</w:t>
            </w:r>
            <w:r w:rsidRPr="00402801">
              <w:rPr>
                <w:rFonts w:cs="Arial"/>
                <w:szCs w:val="18"/>
              </w:rPr>
              <w:t>, ash, H</w:t>
            </w:r>
            <w:r w:rsidRPr="00487F39">
              <w:rPr>
                <w:rFonts w:cs="Arial"/>
                <w:szCs w:val="18"/>
                <w:vertAlign w:val="subscript"/>
              </w:rPr>
              <w:t>2</w:t>
            </w:r>
            <w:r w:rsidRPr="00402801">
              <w:rPr>
                <w:rFonts w:cs="Arial"/>
                <w:szCs w:val="18"/>
              </w:rPr>
              <w:t>O, H</w:t>
            </w:r>
            <w:r w:rsidRPr="00487F39">
              <w:rPr>
                <w:rFonts w:cs="Arial"/>
                <w:szCs w:val="18"/>
                <w:vertAlign w:val="subscript"/>
              </w:rPr>
              <w:t>2</w:t>
            </w:r>
            <w:r w:rsidRPr="00402801">
              <w:rPr>
                <w:rFonts w:cs="Arial"/>
                <w:szCs w:val="18"/>
              </w:rPr>
              <w:t xml:space="preserve">, S, </w:t>
            </w:r>
            <w:r>
              <w:rPr>
                <w:rFonts w:cs="Arial"/>
                <w:szCs w:val="18"/>
              </w:rPr>
              <w:t>N</w:t>
            </w:r>
            <w:r w:rsidRPr="00487F39">
              <w:rPr>
                <w:rFonts w:cs="Arial"/>
                <w:szCs w:val="18"/>
                <w:vertAlign w:val="subscript"/>
              </w:rPr>
              <w:t>2</w:t>
            </w:r>
            <w:r w:rsidRPr="00402801">
              <w:rPr>
                <w:rFonts w:cs="Arial"/>
                <w:szCs w:val="18"/>
              </w:rPr>
              <w:t xml:space="preserve"> and </w:t>
            </w:r>
            <w:r>
              <w:rPr>
                <w:rFonts w:cs="Arial"/>
                <w:szCs w:val="18"/>
              </w:rPr>
              <w:t>O</w:t>
            </w:r>
            <w:r w:rsidRPr="00487F39">
              <w:rPr>
                <w:rFonts w:cs="Arial"/>
                <w:szCs w:val="18"/>
                <w:vertAlign w:val="subscript"/>
              </w:rPr>
              <w:t>2</w:t>
            </w:r>
            <w:r w:rsidRPr="00402801">
              <w:rPr>
                <w:rFonts w:cs="Arial"/>
                <w:szCs w:val="18"/>
              </w:rPr>
              <w:t>.</w:t>
            </w:r>
            <w:r>
              <w:rPr>
                <w:rFonts w:cs="Arial"/>
                <w:szCs w:val="18"/>
              </w:rPr>
              <w:t xml:space="preserve"> </w:t>
            </w:r>
            <w:r w:rsidRPr="00F9052A">
              <w:rPr>
                <w:rFonts w:eastAsia="SimSun" w:cs="Arial"/>
                <w:bCs/>
                <w:szCs w:val="18"/>
                <w:lang w:eastAsia="fr-FR"/>
              </w:rPr>
              <w:t xml:space="preserve"> </w:t>
            </w:r>
          </w:p>
        </w:tc>
      </w:tr>
      <w:tr w:rsidR="00931943" w:rsidRPr="004F5432" w14:paraId="6FCBE673" w14:textId="77777777" w:rsidTr="003F3DDB">
        <w:tc>
          <w:tcPr>
            <w:tcW w:w="1560" w:type="dxa"/>
            <w:vMerge/>
            <w:tcBorders>
              <w:bottom w:val="nil"/>
            </w:tcBorders>
            <w:shd w:val="clear" w:color="auto" w:fill="FFFFFF"/>
          </w:tcPr>
          <w:p w14:paraId="77C4CDE8" w14:textId="77777777" w:rsidR="00931943" w:rsidRPr="004F5432" w:rsidRDefault="00931943" w:rsidP="003F3DDB">
            <w:pPr>
              <w:pStyle w:val="CETBodytext"/>
              <w:ind w:right="-1"/>
              <w:rPr>
                <w:rFonts w:cs="Arial"/>
                <w:color w:val="000000"/>
                <w:szCs w:val="18"/>
                <w:lang w:val="en-GB"/>
              </w:rPr>
            </w:pPr>
          </w:p>
        </w:tc>
        <w:tc>
          <w:tcPr>
            <w:tcW w:w="1134" w:type="dxa"/>
            <w:tcBorders>
              <w:bottom w:val="single" w:sz="4" w:space="0" w:color="008000"/>
            </w:tcBorders>
            <w:shd w:val="clear" w:color="auto" w:fill="FFFFFF"/>
            <w:vAlign w:val="center"/>
          </w:tcPr>
          <w:p w14:paraId="541C2894" w14:textId="77777777" w:rsidR="00931943" w:rsidRPr="004F5432" w:rsidRDefault="00931943" w:rsidP="003F3DDB">
            <w:pPr>
              <w:pStyle w:val="CETBodytext"/>
              <w:rPr>
                <w:rFonts w:cs="Arial"/>
                <w:szCs w:val="18"/>
                <w:lang w:val="en-GB"/>
              </w:rPr>
            </w:pPr>
            <w:r w:rsidRPr="00A40281">
              <w:rPr>
                <w:rFonts w:cs="Arial"/>
                <w:bCs/>
                <w:szCs w:val="18"/>
              </w:rPr>
              <w:t>Reactor</w:t>
            </w:r>
          </w:p>
        </w:tc>
        <w:tc>
          <w:tcPr>
            <w:tcW w:w="992" w:type="dxa"/>
            <w:tcBorders>
              <w:top w:val="nil"/>
              <w:bottom w:val="single" w:sz="4" w:space="0" w:color="008000"/>
            </w:tcBorders>
            <w:shd w:val="clear" w:color="auto" w:fill="FFFFFF"/>
            <w:vAlign w:val="center"/>
          </w:tcPr>
          <w:p w14:paraId="574D93CD" w14:textId="77777777" w:rsidR="00931943" w:rsidRPr="004F5432" w:rsidRDefault="00931943" w:rsidP="003F3DDB">
            <w:pPr>
              <w:pStyle w:val="CETBodytext"/>
              <w:ind w:right="-1"/>
              <w:rPr>
                <w:rFonts w:cs="Arial"/>
                <w:szCs w:val="18"/>
                <w:lang w:val="en-GB"/>
              </w:rPr>
            </w:pPr>
            <w:r w:rsidRPr="00A40281">
              <w:rPr>
                <w:rFonts w:cs="Arial"/>
                <w:bCs/>
                <w:szCs w:val="18"/>
              </w:rPr>
              <w:t>RGIBBS</w:t>
            </w:r>
          </w:p>
        </w:tc>
        <w:tc>
          <w:tcPr>
            <w:tcW w:w="5245" w:type="dxa"/>
            <w:gridSpan w:val="3"/>
            <w:tcBorders>
              <w:top w:val="nil"/>
              <w:bottom w:val="single" w:sz="4" w:space="0" w:color="008000"/>
            </w:tcBorders>
            <w:shd w:val="clear" w:color="auto" w:fill="FFFFFF"/>
            <w:vAlign w:val="center"/>
          </w:tcPr>
          <w:p w14:paraId="562BF7BD" w14:textId="77777777" w:rsidR="00931943" w:rsidRPr="004F5432" w:rsidRDefault="00931943" w:rsidP="003F3DDB">
            <w:pPr>
              <w:pStyle w:val="CETBodytext"/>
              <w:ind w:right="-1"/>
              <w:rPr>
                <w:rFonts w:cs="Arial"/>
                <w:szCs w:val="18"/>
                <w:lang w:val="en-GB"/>
              </w:rPr>
            </w:pPr>
            <w:r w:rsidRPr="00A40281">
              <w:rPr>
                <w:rFonts w:cs="Arial"/>
                <w:bCs/>
                <w:szCs w:val="18"/>
              </w:rPr>
              <w:t>900°C, 1 bar</w:t>
            </w:r>
          </w:p>
        </w:tc>
      </w:tr>
      <w:tr w:rsidR="00931943" w:rsidRPr="004F5432" w14:paraId="6CD207DA" w14:textId="77777777" w:rsidTr="003F3DDB">
        <w:trPr>
          <w:trHeight w:val="172"/>
        </w:trPr>
        <w:tc>
          <w:tcPr>
            <w:tcW w:w="1560" w:type="dxa"/>
            <w:vMerge w:val="restart"/>
            <w:tcBorders>
              <w:top w:val="single" w:sz="4" w:space="0" w:color="008000"/>
            </w:tcBorders>
            <w:shd w:val="clear" w:color="auto" w:fill="FFFFFF"/>
            <w:vAlign w:val="center"/>
          </w:tcPr>
          <w:p w14:paraId="7C54ACFB" w14:textId="77777777" w:rsidR="00931943" w:rsidRPr="004F5432" w:rsidRDefault="00931943" w:rsidP="003F3DDB">
            <w:pPr>
              <w:pStyle w:val="CETBodytext"/>
              <w:rPr>
                <w:rFonts w:cs="Arial"/>
                <w:color w:val="000000"/>
                <w:szCs w:val="18"/>
                <w:lang w:val="en-GB"/>
              </w:rPr>
            </w:pPr>
            <w:r w:rsidRPr="00A40281">
              <w:rPr>
                <w:rFonts w:cs="Arial"/>
                <w:color w:val="000000"/>
                <w:szCs w:val="18"/>
                <w:lang w:eastAsia="fr-FR"/>
              </w:rPr>
              <w:t xml:space="preserve">Separation </w:t>
            </w:r>
            <w:r>
              <w:rPr>
                <w:rFonts w:cs="Arial"/>
                <w:color w:val="000000"/>
                <w:szCs w:val="18"/>
                <w:lang w:eastAsia="fr-FR"/>
              </w:rPr>
              <w:t>unit</w:t>
            </w:r>
          </w:p>
        </w:tc>
        <w:tc>
          <w:tcPr>
            <w:tcW w:w="1134" w:type="dxa"/>
            <w:tcBorders>
              <w:top w:val="single" w:sz="4" w:space="0" w:color="008000"/>
              <w:bottom w:val="nil"/>
            </w:tcBorders>
            <w:shd w:val="clear" w:color="auto" w:fill="FFFFFF"/>
            <w:vAlign w:val="center"/>
          </w:tcPr>
          <w:p w14:paraId="577D05E7" w14:textId="77777777" w:rsidR="00931943" w:rsidRPr="004F5432" w:rsidRDefault="00931943" w:rsidP="003F3DDB">
            <w:pPr>
              <w:pStyle w:val="CETBodytext"/>
              <w:rPr>
                <w:rFonts w:cs="Arial"/>
                <w:szCs w:val="18"/>
                <w:lang w:val="en-GB"/>
              </w:rPr>
            </w:pPr>
            <w:r w:rsidRPr="00A40281">
              <w:rPr>
                <w:rFonts w:cs="Arial"/>
                <w:bCs/>
                <w:szCs w:val="18"/>
              </w:rPr>
              <w:t>Separator</w:t>
            </w:r>
          </w:p>
        </w:tc>
        <w:tc>
          <w:tcPr>
            <w:tcW w:w="992" w:type="dxa"/>
            <w:tcBorders>
              <w:top w:val="single" w:sz="4" w:space="0" w:color="008000"/>
              <w:bottom w:val="nil"/>
            </w:tcBorders>
            <w:shd w:val="clear" w:color="auto" w:fill="FFFFFF"/>
            <w:vAlign w:val="center"/>
          </w:tcPr>
          <w:p w14:paraId="72585E55" w14:textId="77777777" w:rsidR="00931943" w:rsidRPr="004F5432" w:rsidRDefault="00931943" w:rsidP="003F3DDB">
            <w:pPr>
              <w:pStyle w:val="CETBodytext"/>
              <w:ind w:right="-1"/>
              <w:rPr>
                <w:rFonts w:cs="Arial"/>
                <w:szCs w:val="18"/>
                <w:lang w:val="en-GB"/>
              </w:rPr>
            </w:pPr>
            <w:r w:rsidRPr="00A40281">
              <w:rPr>
                <w:rFonts w:cs="Arial"/>
                <w:bCs/>
                <w:szCs w:val="18"/>
              </w:rPr>
              <w:t>Cyclone</w:t>
            </w:r>
          </w:p>
        </w:tc>
        <w:tc>
          <w:tcPr>
            <w:tcW w:w="5245" w:type="dxa"/>
            <w:gridSpan w:val="3"/>
            <w:tcBorders>
              <w:top w:val="single" w:sz="4" w:space="0" w:color="008000"/>
              <w:bottom w:val="nil"/>
            </w:tcBorders>
            <w:shd w:val="clear" w:color="auto" w:fill="FFFFFF"/>
            <w:vAlign w:val="center"/>
          </w:tcPr>
          <w:p w14:paraId="4327E6E7" w14:textId="77777777" w:rsidR="00931943" w:rsidRPr="004F5432" w:rsidRDefault="00931943" w:rsidP="003F3DDB">
            <w:pPr>
              <w:pStyle w:val="CETBodytext"/>
              <w:ind w:right="-1"/>
              <w:jc w:val="left"/>
              <w:rPr>
                <w:rFonts w:cs="Arial"/>
                <w:szCs w:val="18"/>
                <w:lang w:val="en-GB"/>
              </w:rPr>
            </w:pPr>
            <w:r w:rsidRPr="00A40281">
              <w:rPr>
                <w:rFonts w:cs="Arial"/>
                <w:bCs/>
                <w:szCs w:val="18"/>
              </w:rPr>
              <w:t>900°C, 1 bar</w:t>
            </w:r>
          </w:p>
        </w:tc>
      </w:tr>
      <w:tr w:rsidR="00931943" w:rsidRPr="004F5432" w14:paraId="75AF7321" w14:textId="77777777" w:rsidTr="003F3DDB">
        <w:trPr>
          <w:trHeight w:val="228"/>
        </w:trPr>
        <w:tc>
          <w:tcPr>
            <w:tcW w:w="1560" w:type="dxa"/>
            <w:vMerge/>
            <w:shd w:val="clear" w:color="auto" w:fill="FFFFFF"/>
            <w:vAlign w:val="center"/>
          </w:tcPr>
          <w:p w14:paraId="50843187" w14:textId="77777777" w:rsidR="00931943" w:rsidRPr="00A40281" w:rsidRDefault="00931943" w:rsidP="003F3DDB">
            <w:pPr>
              <w:pStyle w:val="CETBodytext"/>
              <w:rPr>
                <w:rFonts w:cs="Arial"/>
                <w:color w:val="000000"/>
                <w:szCs w:val="18"/>
                <w:lang w:eastAsia="fr-FR"/>
              </w:rPr>
            </w:pPr>
          </w:p>
        </w:tc>
        <w:tc>
          <w:tcPr>
            <w:tcW w:w="1134" w:type="dxa"/>
            <w:tcBorders>
              <w:top w:val="nil"/>
              <w:bottom w:val="nil"/>
            </w:tcBorders>
            <w:shd w:val="clear" w:color="auto" w:fill="FFFFFF"/>
            <w:vAlign w:val="center"/>
          </w:tcPr>
          <w:p w14:paraId="7A6CE148" w14:textId="77777777" w:rsidR="00931943" w:rsidRPr="00A40281" w:rsidRDefault="00931943" w:rsidP="003F3DDB">
            <w:pPr>
              <w:pStyle w:val="CETBodytext"/>
              <w:rPr>
                <w:rFonts w:cs="Arial"/>
                <w:bCs/>
                <w:szCs w:val="18"/>
              </w:rPr>
            </w:pPr>
            <w:r w:rsidRPr="00A40281">
              <w:rPr>
                <w:rFonts w:cs="Arial"/>
                <w:bCs/>
                <w:szCs w:val="18"/>
              </w:rPr>
              <w:t>Cooler</w:t>
            </w:r>
          </w:p>
        </w:tc>
        <w:tc>
          <w:tcPr>
            <w:tcW w:w="992" w:type="dxa"/>
            <w:tcBorders>
              <w:top w:val="nil"/>
              <w:bottom w:val="nil"/>
            </w:tcBorders>
            <w:shd w:val="clear" w:color="auto" w:fill="FFFFFF"/>
            <w:vAlign w:val="center"/>
          </w:tcPr>
          <w:p w14:paraId="3E0B6DCF" w14:textId="77777777" w:rsidR="00931943" w:rsidRPr="00A40281" w:rsidRDefault="00931943" w:rsidP="003F3DDB">
            <w:pPr>
              <w:pStyle w:val="CETBodytext"/>
              <w:ind w:right="-1"/>
              <w:rPr>
                <w:rFonts w:cs="Arial"/>
                <w:bCs/>
                <w:szCs w:val="18"/>
              </w:rPr>
            </w:pPr>
            <w:r w:rsidRPr="00A40281">
              <w:rPr>
                <w:rFonts w:cs="Arial"/>
                <w:bCs/>
                <w:szCs w:val="18"/>
              </w:rPr>
              <w:t>Heater</w:t>
            </w:r>
          </w:p>
        </w:tc>
        <w:tc>
          <w:tcPr>
            <w:tcW w:w="5245" w:type="dxa"/>
            <w:gridSpan w:val="3"/>
            <w:tcBorders>
              <w:top w:val="nil"/>
              <w:bottom w:val="nil"/>
            </w:tcBorders>
            <w:shd w:val="clear" w:color="auto" w:fill="FFFFFF"/>
            <w:vAlign w:val="center"/>
          </w:tcPr>
          <w:p w14:paraId="57807258" w14:textId="77777777" w:rsidR="00931943" w:rsidRPr="004F5432" w:rsidRDefault="00931943" w:rsidP="003F3DDB">
            <w:pPr>
              <w:pStyle w:val="CETBodytext"/>
              <w:ind w:right="-1"/>
              <w:jc w:val="left"/>
              <w:rPr>
                <w:rFonts w:cs="Arial"/>
                <w:szCs w:val="18"/>
                <w:lang w:val="en-GB"/>
              </w:rPr>
            </w:pPr>
            <w:r w:rsidRPr="00A40281">
              <w:rPr>
                <w:rFonts w:cs="Arial"/>
                <w:bCs/>
                <w:szCs w:val="18"/>
              </w:rPr>
              <w:t>300°C, 1 bar</w:t>
            </w:r>
          </w:p>
        </w:tc>
      </w:tr>
      <w:tr w:rsidR="00931943" w:rsidRPr="004F5432" w14:paraId="673C25AF" w14:textId="77777777" w:rsidTr="003F3DDB">
        <w:trPr>
          <w:trHeight w:val="133"/>
        </w:trPr>
        <w:tc>
          <w:tcPr>
            <w:tcW w:w="1560" w:type="dxa"/>
            <w:vMerge/>
            <w:shd w:val="clear" w:color="auto" w:fill="FFFFFF"/>
            <w:vAlign w:val="center"/>
          </w:tcPr>
          <w:p w14:paraId="66E0BF08" w14:textId="77777777" w:rsidR="00931943" w:rsidRPr="00A40281" w:rsidRDefault="00931943" w:rsidP="003F3DDB">
            <w:pPr>
              <w:pStyle w:val="CETBodytext"/>
              <w:rPr>
                <w:rFonts w:cs="Arial"/>
                <w:color w:val="000000"/>
                <w:szCs w:val="18"/>
                <w:lang w:eastAsia="fr-FR"/>
              </w:rPr>
            </w:pPr>
          </w:p>
        </w:tc>
        <w:tc>
          <w:tcPr>
            <w:tcW w:w="1134" w:type="dxa"/>
            <w:tcBorders>
              <w:top w:val="nil"/>
              <w:bottom w:val="nil"/>
            </w:tcBorders>
            <w:shd w:val="clear" w:color="auto" w:fill="FFFFFF"/>
            <w:vAlign w:val="center"/>
          </w:tcPr>
          <w:p w14:paraId="570D9476" w14:textId="77777777" w:rsidR="00931943" w:rsidRPr="00A40281" w:rsidRDefault="00931943" w:rsidP="003F3DDB">
            <w:pPr>
              <w:pStyle w:val="CETBodytext"/>
              <w:rPr>
                <w:rFonts w:cs="Arial"/>
                <w:bCs/>
                <w:szCs w:val="18"/>
              </w:rPr>
            </w:pPr>
            <w:r w:rsidRPr="00A40281">
              <w:rPr>
                <w:rFonts w:cs="Arial"/>
                <w:bCs/>
                <w:szCs w:val="18"/>
              </w:rPr>
              <w:t>Cooler</w:t>
            </w:r>
          </w:p>
        </w:tc>
        <w:tc>
          <w:tcPr>
            <w:tcW w:w="992" w:type="dxa"/>
            <w:tcBorders>
              <w:top w:val="nil"/>
              <w:bottom w:val="nil"/>
            </w:tcBorders>
            <w:shd w:val="clear" w:color="auto" w:fill="FFFFFF"/>
            <w:vAlign w:val="center"/>
          </w:tcPr>
          <w:p w14:paraId="3F0544B0" w14:textId="77777777" w:rsidR="00931943" w:rsidRPr="00A40281" w:rsidRDefault="00931943" w:rsidP="003F3DDB">
            <w:pPr>
              <w:pStyle w:val="CETBodytext"/>
              <w:ind w:right="-1"/>
              <w:rPr>
                <w:rFonts w:cs="Arial"/>
                <w:bCs/>
                <w:szCs w:val="18"/>
              </w:rPr>
            </w:pPr>
            <w:r w:rsidRPr="00A40281">
              <w:rPr>
                <w:rFonts w:cs="Arial"/>
                <w:bCs/>
                <w:szCs w:val="18"/>
              </w:rPr>
              <w:t>Heater</w:t>
            </w:r>
          </w:p>
        </w:tc>
        <w:tc>
          <w:tcPr>
            <w:tcW w:w="5245" w:type="dxa"/>
            <w:gridSpan w:val="3"/>
            <w:tcBorders>
              <w:top w:val="nil"/>
              <w:bottom w:val="nil"/>
            </w:tcBorders>
            <w:shd w:val="clear" w:color="auto" w:fill="FFFFFF"/>
          </w:tcPr>
          <w:p w14:paraId="4828FB43" w14:textId="77777777" w:rsidR="00931943" w:rsidRPr="004F5432" w:rsidRDefault="00931943" w:rsidP="003F3DDB">
            <w:pPr>
              <w:pStyle w:val="CETBodytext"/>
              <w:ind w:right="-1"/>
              <w:jc w:val="left"/>
              <w:rPr>
                <w:rFonts w:cs="Arial"/>
                <w:szCs w:val="18"/>
                <w:lang w:val="en-GB"/>
              </w:rPr>
            </w:pPr>
            <w:r w:rsidRPr="00A40281">
              <w:rPr>
                <w:rFonts w:cs="Arial"/>
                <w:bCs/>
                <w:szCs w:val="18"/>
              </w:rPr>
              <w:t>40°C, 1 bar</w:t>
            </w:r>
          </w:p>
        </w:tc>
      </w:tr>
      <w:tr w:rsidR="00931943" w:rsidRPr="004F5432" w14:paraId="1FFE0CA2" w14:textId="77777777" w:rsidTr="003F3DDB">
        <w:trPr>
          <w:trHeight w:val="192"/>
        </w:trPr>
        <w:tc>
          <w:tcPr>
            <w:tcW w:w="1560" w:type="dxa"/>
            <w:vMerge/>
            <w:tcBorders>
              <w:bottom w:val="single" w:sz="4" w:space="0" w:color="008000"/>
            </w:tcBorders>
            <w:shd w:val="clear" w:color="auto" w:fill="FFFFFF"/>
            <w:vAlign w:val="center"/>
          </w:tcPr>
          <w:p w14:paraId="097E9D71" w14:textId="77777777" w:rsidR="00931943" w:rsidRPr="00A40281" w:rsidRDefault="00931943" w:rsidP="003F3DDB">
            <w:pPr>
              <w:pStyle w:val="CETBodytext"/>
              <w:rPr>
                <w:rFonts w:cs="Arial"/>
                <w:color w:val="000000"/>
                <w:szCs w:val="18"/>
                <w:lang w:eastAsia="fr-FR"/>
              </w:rPr>
            </w:pPr>
          </w:p>
        </w:tc>
        <w:tc>
          <w:tcPr>
            <w:tcW w:w="1134" w:type="dxa"/>
            <w:tcBorders>
              <w:top w:val="nil"/>
              <w:bottom w:val="single" w:sz="6" w:space="0" w:color="008000"/>
            </w:tcBorders>
            <w:shd w:val="clear" w:color="auto" w:fill="FFFFFF"/>
            <w:vAlign w:val="center"/>
          </w:tcPr>
          <w:p w14:paraId="596ABCFC" w14:textId="77777777" w:rsidR="00931943" w:rsidRPr="00A40281" w:rsidRDefault="00931943" w:rsidP="003F3DDB">
            <w:pPr>
              <w:pStyle w:val="CETBodytext"/>
              <w:rPr>
                <w:rFonts w:cs="Arial"/>
                <w:bCs/>
                <w:szCs w:val="18"/>
              </w:rPr>
            </w:pPr>
            <w:r>
              <w:rPr>
                <w:rFonts w:cs="Arial"/>
                <w:bCs/>
                <w:szCs w:val="18"/>
              </w:rPr>
              <w:t>Flash</w:t>
            </w:r>
          </w:p>
        </w:tc>
        <w:tc>
          <w:tcPr>
            <w:tcW w:w="992" w:type="dxa"/>
            <w:tcBorders>
              <w:top w:val="nil"/>
              <w:bottom w:val="single" w:sz="6" w:space="0" w:color="008000"/>
            </w:tcBorders>
            <w:shd w:val="clear" w:color="auto" w:fill="FFFFFF"/>
            <w:vAlign w:val="center"/>
          </w:tcPr>
          <w:p w14:paraId="6EE0ED94" w14:textId="77777777" w:rsidR="00931943" w:rsidRPr="00A40281" w:rsidRDefault="00931943" w:rsidP="003F3DDB">
            <w:pPr>
              <w:pStyle w:val="CETBodytext"/>
              <w:ind w:right="-1"/>
              <w:rPr>
                <w:rFonts w:cs="Arial"/>
                <w:bCs/>
                <w:szCs w:val="18"/>
              </w:rPr>
            </w:pPr>
            <w:r>
              <w:rPr>
                <w:rFonts w:cs="Arial"/>
                <w:bCs/>
                <w:szCs w:val="18"/>
              </w:rPr>
              <w:t>Flash2</w:t>
            </w:r>
          </w:p>
        </w:tc>
        <w:tc>
          <w:tcPr>
            <w:tcW w:w="5245" w:type="dxa"/>
            <w:gridSpan w:val="3"/>
            <w:tcBorders>
              <w:top w:val="nil"/>
              <w:bottom w:val="single" w:sz="6" w:space="0" w:color="008000"/>
            </w:tcBorders>
            <w:shd w:val="clear" w:color="auto" w:fill="FFFFFF"/>
            <w:vAlign w:val="center"/>
          </w:tcPr>
          <w:p w14:paraId="46074565" w14:textId="77777777" w:rsidR="00931943" w:rsidRPr="00C12726" w:rsidRDefault="00931943" w:rsidP="003F3DDB">
            <w:pPr>
              <w:rPr>
                <w:rFonts w:cs="Arial"/>
                <w:bCs/>
                <w:szCs w:val="18"/>
                <w:lang w:val="en-US"/>
              </w:rPr>
            </w:pPr>
            <w:r w:rsidRPr="00A40281">
              <w:rPr>
                <w:rFonts w:cs="Arial"/>
                <w:bCs/>
                <w:szCs w:val="18"/>
                <w:lang w:val="en-US"/>
              </w:rPr>
              <w:t>1 bar</w:t>
            </w:r>
          </w:p>
        </w:tc>
      </w:tr>
      <w:tr w:rsidR="00931943" w:rsidRPr="004F5432" w14:paraId="5169A2EC" w14:textId="77777777" w:rsidTr="003F3DDB">
        <w:trPr>
          <w:trHeight w:val="274"/>
        </w:trPr>
        <w:tc>
          <w:tcPr>
            <w:tcW w:w="1560" w:type="dxa"/>
            <w:tcBorders>
              <w:top w:val="single" w:sz="4" w:space="0" w:color="008000"/>
            </w:tcBorders>
            <w:shd w:val="clear" w:color="auto" w:fill="FFFFFF"/>
          </w:tcPr>
          <w:p w14:paraId="70376DA1" w14:textId="77777777" w:rsidR="00931943" w:rsidRPr="004F5432" w:rsidRDefault="00931943" w:rsidP="003F3DDB">
            <w:pPr>
              <w:pStyle w:val="CETBodytext"/>
              <w:rPr>
                <w:rFonts w:cs="Arial"/>
                <w:color w:val="000000"/>
                <w:szCs w:val="18"/>
                <w:lang w:val="en-GB"/>
              </w:rPr>
            </w:pPr>
            <w:r w:rsidRPr="00A40281">
              <w:rPr>
                <w:rFonts w:cs="Arial"/>
                <w:color w:val="000000"/>
                <w:szCs w:val="18"/>
                <w:lang w:eastAsia="fr-FR"/>
              </w:rPr>
              <w:t>Washing unit</w:t>
            </w:r>
          </w:p>
        </w:tc>
        <w:tc>
          <w:tcPr>
            <w:tcW w:w="1134" w:type="dxa"/>
            <w:tcBorders>
              <w:top w:val="single" w:sz="6" w:space="0" w:color="008000"/>
            </w:tcBorders>
            <w:shd w:val="clear" w:color="auto" w:fill="FFFFFF"/>
          </w:tcPr>
          <w:p w14:paraId="19759DF8" w14:textId="77777777" w:rsidR="00931943" w:rsidRPr="004F5432" w:rsidRDefault="00931943" w:rsidP="003F3DDB">
            <w:pPr>
              <w:pStyle w:val="CETBodytext"/>
              <w:ind w:right="-1"/>
              <w:rPr>
                <w:rFonts w:cs="Arial"/>
                <w:color w:val="000000"/>
                <w:szCs w:val="18"/>
                <w:lang w:val="en-GB"/>
              </w:rPr>
            </w:pPr>
            <w:r w:rsidRPr="00A40281">
              <w:rPr>
                <w:rFonts w:cs="Arial"/>
                <w:bCs/>
                <w:szCs w:val="18"/>
              </w:rPr>
              <w:t>Flash</w:t>
            </w:r>
          </w:p>
        </w:tc>
        <w:tc>
          <w:tcPr>
            <w:tcW w:w="992" w:type="dxa"/>
            <w:tcBorders>
              <w:top w:val="single" w:sz="6" w:space="0" w:color="008000"/>
            </w:tcBorders>
            <w:shd w:val="clear" w:color="auto" w:fill="FFFFFF"/>
          </w:tcPr>
          <w:p w14:paraId="5039FCE6" w14:textId="77777777" w:rsidR="00931943" w:rsidRPr="004F5432" w:rsidRDefault="00931943" w:rsidP="003F3DDB">
            <w:pPr>
              <w:pStyle w:val="CETBodytext"/>
              <w:ind w:right="-1"/>
              <w:rPr>
                <w:rFonts w:cs="Arial"/>
                <w:szCs w:val="18"/>
                <w:lang w:val="en-GB"/>
              </w:rPr>
            </w:pPr>
            <w:r w:rsidRPr="00A40281">
              <w:rPr>
                <w:rFonts w:cs="Arial"/>
                <w:bCs/>
                <w:szCs w:val="18"/>
              </w:rPr>
              <w:t>Swash</w:t>
            </w:r>
          </w:p>
        </w:tc>
        <w:tc>
          <w:tcPr>
            <w:tcW w:w="5245" w:type="dxa"/>
            <w:gridSpan w:val="3"/>
            <w:tcBorders>
              <w:top w:val="single" w:sz="6" w:space="0" w:color="008000"/>
            </w:tcBorders>
            <w:shd w:val="clear" w:color="auto" w:fill="FFFFFF"/>
          </w:tcPr>
          <w:p w14:paraId="5BA7DA2C" w14:textId="77777777" w:rsidR="00931943" w:rsidRPr="004F5432" w:rsidRDefault="00931943" w:rsidP="003F3DDB">
            <w:pPr>
              <w:pStyle w:val="CETBodytext"/>
              <w:ind w:right="-1"/>
              <w:jc w:val="left"/>
              <w:rPr>
                <w:rFonts w:cs="Arial"/>
                <w:szCs w:val="18"/>
                <w:lang w:val="en-GB"/>
              </w:rPr>
            </w:pPr>
            <w:r w:rsidRPr="00A40281">
              <w:rPr>
                <w:rFonts w:cs="Arial"/>
                <w:bCs/>
                <w:szCs w:val="18"/>
              </w:rPr>
              <w:t>LIQ-SO</w:t>
            </w:r>
          </w:p>
        </w:tc>
      </w:tr>
      <w:tr w:rsidR="00931943" w:rsidRPr="004F5432" w14:paraId="50F25F61" w14:textId="77777777" w:rsidTr="003F3DDB">
        <w:trPr>
          <w:trHeight w:val="274"/>
        </w:trPr>
        <w:tc>
          <w:tcPr>
            <w:tcW w:w="1560" w:type="dxa"/>
            <w:tcBorders>
              <w:top w:val="single" w:sz="4" w:space="0" w:color="008000"/>
              <w:bottom w:val="single" w:sz="4" w:space="0" w:color="008000"/>
            </w:tcBorders>
            <w:shd w:val="clear" w:color="auto" w:fill="FFFFFF"/>
          </w:tcPr>
          <w:p w14:paraId="5C9C28E0" w14:textId="77777777" w:rsidR="00931943" w:rsidRPr="009F0D25" w:rsidRDefault="00931943" w:rsidP="003F3DDB">
            <w:pPr>
              <w:pStyle w:val="CETBodytext"/>
              <w:rPr>
                <w:rFonts w:cs="Arial"/>
                <w:b/>
                <w:bCs/>
                <w:color w:val="000000"/>
                <w:szCs w:val="18"/>
                <w:lang w:eastAsia="fr-FR"/>
              </w:rPr>
            </w:pPr>
            <w:r>
              <w:rPr>
                <w:rFonts w:cs="Arial"/>
                <w:b/>
                <w:bCs/>
                <w:color w:val="000000"/>
                <w:szCs w:val="18"/>
                <w:lang w:eastAsia="fr-FR"/>
              </w:rPr>
              <w:t>Feed s</w:t>
            </w:r>
            <w:r w:rsidRPr="009F0D25">
              <w:rPr>
                <w:rFonts w:cs="Arial"/>
                <w:b/>
                <w:bCs/>
                <w:color w:val="000000"/>
                <w:szCs w:val="18"/>
                <w:lang w:eastAsia="fr-FR"/>
              </w:rPr>
              <w:t>treams</w:t>
            </w:r>
          </w:p>
        </w:tc>
        <w:tc>
          <w:tcPr>
            <w:tcW w:w="1134" w:type="dxa"/>
            <w:tcBorders>
              <w:top w:val="single" w:sz="4" w:space="0" w:color="008000"/>
              <w:bottom w:val="single" w:sz="4" w:space="0" w:color="008000"/>
            </w:tcBorders>
            <w:shd w:val="clear" w:color="auto" w:fill="FFFFFF"/>
          </w:tcPr>
          <w:p w14:paraId="6DD8FDDA" w14:textId="77777777" w:rsidR="00931943" w:rsidRPr="006D2055" w:rsidRDefault="00931943" w:rsidP="003F3DDB">
            <w:pPr>
              <w:pStyle w:val="CETBodytext"/>
              <w:ind w:right="-1"/>
              <w:rPr>
                <w:rFonts w:cs="Arial"/>
                <w:b/>
                <w:bCs/>
                <w:color w:val="000000"/>
                <w:szCs w:val="18"/>
                <w:lang w:val="en-GB"/>
              </w:rPr>
            </w:pPr>
            <w:r w:rsidRPr="006D2055">
              <w:rPr>
                <w:rFonts w:cs="Arial"/>
                <w:b/>
                <w:bCs/>
                <w:color w:val="000000"/>
                <w:szCs w:val="18"/>
                <w:lang w:val="en-GB"/>
              </w:rPr>
              <w:t>T (ºC)</w:t>
            </w:r>
          </w:p>
        </w:tc>
        <w:tc>
          <w:tcPr>
            <w:tcW w:w="992" w:type="dxa"/>
            <w:tcBorders>
              <w:top w:val="single" w:sz="4" w:space="0" w:color="008000"/>
              <w:bottom w:val="single" w:sz="4" w:space="0" w:color="008000"/>
            </w:tcBorders>
            <w:shd w:val="clear" w:color="auto" w:fill="FFFFFF"/>
          </w:tcPr>
          <w:p w14:paraId="388F844A" w14:textId="77777777" w:rsidR="00931943" w:rsidRPr="006D2055" w:rsidRDefault="00931943" w:rsidP="003F3DDB">
            <w:pPr>
              <w:pStyle w:val="CETBodytext"/>
              <w:ind w:right="-1"/>
              <w:rPr>
                <w:rFonts w:cs="Arial"/>
                <w:b/>
                <w:bCs/>
                <w:szCs w:val="18"/>
                <w:lang w:val="en-GB"/>
              </w:rPr>
            </w:pPr>
            <w:r w:rsidRPr="006D2055">
              <w:rPr>
                <w:rFonts w:cs="Arial"/>
                <w:b/>
                <w:bCs/>
                <w:szCs w:val="18"/>
                <w:lang w:val="en-GB"/>
              </w:rPr>
              <w:t>P (bar)</w:t>
            </w:r>
          </w:p>
        </w:tc>
        <w:tc>
          <w:tcPr>
            <w:tcW w:w="1276" w:type="dxa"/>
            <w:tcBorders>
              <w:top w:val="single" w:sz="4" w:space="0" w:color="008000"/>
              <w:bottom w:val="single" w:sz="4" w:space="0" w:color="008000"/>
            </w:tcBorders>
            <w:shd w:val="clear" w:color="auto" w:fill="FFFFFF"/>
          </w:tcPr>
          <w:p w14:paraId="74D2DA87" w14:textId="77777777" w:rsidR="00931943" w:rsidRPr="00436307" w:rsidRDefault="00931943" w:rsidP="003F3DDB">
            <w:pPr>
              <w:pStyle w:val="CETBodytext"/>
              <w:ind w:right="-1"/>
              <w:jc w:val="left"/>
              <w:rPr>
                <w:rFonts w:cs="Arial"/>
                <w:b/>
                <w:bCs/>
                <w:szCs w:val="18"/>
                <w:lang w:val="en-GB"/>
              </w:rPr>
            </w:pPr>
            <w:r w:rsidRPr="00436307">
              <w:rPr>
                <w:rFonts w:cs="Arial"/>
                <w:b/>
                <w:bCs/>
                <w:szCs w:val="18"/>
                <w:lang w:val="en-GB"/>
              </w:rPr>
              <w:t>Flow rate</w:t>
            </w:r>
          </w:p>
        </w:tc>
        <w:tc>
          <w:tcPr>
            <w:tcW w:w="2315" w:type="dxa"/>
            <w:tcBorders>
              <w:top w:val="single" w:sz="4" w:space="0" w:color="008000"/>
              <w:bottom w:val="single" w:sz="4" w:space="0" w:color="008000"/>
            </w:tcBorders>
            <w:shd w:val="clear" w:color="auto" w:fill="FFFFFF"/>
          </w:tcPr>
          <w:p w14:paraId="58167077" w14:textId="77777777" w:rsidR="00931943" w:rsidRPr="00436307" w:rsidRDefault="00931943" w:rsidP="003F3DDB">
            <w:pPr>
              <w:pStyle w:val="CETBodytext"/>
              <w:ind w:right="-1"/>
              <w:jc w:val="left"/>
              <w:rPr>
                <w:rFonts w:cs="Arial"/>
                <w:b/>
                <w:bCs/>
                <w:szCs w:val="18"/>
                <w:lang w:val="en-GB"/>
              </w:rPr>
            </w:pPr>
            <w:r w:rsidRPr="00436307">
              <w:rPr>
                <w:rFonts w:cs="Arial"/>
                <w:b/>
                <w:bCs/>
                <w:szCs w:val="18"/>
                <w:lang w:val="en-GB"/>
              </w:rPr>
              <w:t>M</w:t>
            </w:r>
            <w:r>
              <w:rPr>
                <w:rFonts w:cs="Arial"/>
                <w:b/>
                <w:bCs/>
                <w:szCs w:val="18"/>
                <w:lang w:val="en-GB"/>
              </w:rPr>
              <w:t>ass</w:t>
            </w:r>
            <w:r w:rsidRPr="00436307">
              <w:rPr>
                <w:rFonts w:cs="Arial"/>
                <w:b/>
                <w:bCs/>
                <w:szCs w:val="18"/>
                <w:lang w:val="en-GB"/>
              </w:rPr>
              <w:t xml:space="preserve"> composition</w:t>
            </w:r>
          </w:p>
        </w:tc>
        <w:tc>
          <w:tcPr>
            <w:tcW w:w="1654" w:type="dxa"/>
            <w:tcBorders>
              <w:top w:val="single" w:sz="4" w:space="0" w:color="008000"/>
              <w:bottom w:val="single" w:sz="4" w:space="0" w:color="008000"/>
            </w:tcBorders>
            <w:shd w:val="clear" w:color="auto" w:fill="FFFFFF"/>
          </w:tcPr>
          <w:p w14:paraId="6FE57625" w14:textId="77777777" w:rsidR="00931943" w:rsidRDefault="00931943" w:rsidP="003F3DDB">
            <w:pPr>
              <w:pStyle w:val="CETBodytext"/>
              <w:ind w:right="-1"/>
              <w:jc w:val="left"/>
              <w:rPr>
                <w:rFonts w:cs="Arial"/>
                <w:szCs w:val="18"/>
                <w:lang w:val="en-GB"/>
              </w:rPr>
            </w:pPr>
          </w:p>
        </w:tc>
      </w:tr>
      <w:tr w:rsidR="00931943" w:rsidRPr="004F5432" w14:paraId="2158BA6B" w14:textId="77777777" w:rsidTr="003F3DDB">
        <w:trPr>
          <w:trHeight w:val="274"/>
        </w:trPr>
        <w:tc>
          <w:tcPr>
            <w:tcW w:w="1560" w:type="dxa"/>
            <w:tcBorders>
              <w:top w:val="single" w:sz="4" w:space="0" w:color="008000"/>
              <w:bottom w:val="single" w:sz="4" w:space="0" w:color="008000"/>
            </w:tcBorders>
            <w:shd w:val="clear" w:color="auto" w:fill="FFFFFF"/>
          </w:tcPr>
          <w:p w14:paraId="7D41E27A" w14:textId="77777777" w:rsidR="00931943" w:rsidRDefault="00931943" w:rsidP="003F3DDB">
            <w:pPr>
              <w:pStyle w:val="CETBodytext"/>
              <w:rPr>
                <w:rFonts w:cs="Arial"/>
                <w:color w:val="000000"/>
                <w:szCs w:val="18"/>
                <w:lang w:eastAsia="fr-FR"/>
              </w:rPr>
            </w:pPr>
            <w:r>
              <w:rPr>
                <w:rFonts w:cs="Arial"/>
                <w:color w:val="000000"/>
                <w:szCs w:val="18"/>
                <w:lang w:eastAsia="fr-FR"/>
              </w:rPr>
              <w:t>Dry feed</w:t>
            </w:r>
          </w:p>
        </w:tc>
        <w:tc>
          <w:tcPr>
            <w:tcW w:w="1134" w:type="dxa"/>
            <w:tcBorders>
              <w:top w:val="single" w:sz="4" w:space="0" w:color="008000"/>
              <w:bottom w:val="single" w:sz="4" w:space="0" w:color="008000"/>
            </w:tcBorders>
            <w:shd w:val="clear" w:color="auto" w:fill="FFFFFF"/>
          </w:tcPr>
          <w:p w14:paraId="639A6525" w14:textId="77777777" w:rsidR="00931943" w:rsidRPr="004F5432" w:rsidRDefault="00931943" w:rsidP="003F3DDB">
            <w:pPr>
              <w:pStyle w:val="CETBodytext"/>
              <w:ind w:right="-1"/>
              <w:rPr>
                <w:rFonts w:cs="Arial"/>
                <w:color w:val="000000"/>
                <w:szCs w:val="18"/>
                <w:lang w:val="en-GB"/>
              </w:rPr>
            </w:pPr>
            <w:r>
              <w:rPr>
                <w:rFonts w:cs="Arial"/>
                <w:color w:val="000000"/>
                <w:szCs w:val="18"/>
                <w:lang w:val="en-GB"/>
              </w:rPr>
              <w:t>25</w:t>
            </w:r>
          </w:p>
        </w:tc>
        <w:tc>
          <w:tcPr>
            <w:tcW w:w="992" w:type="dxa"/>
            <w:tcBorders>
              <w:top w:val="single" w:sz="4" w:space="0" w:color="008000"/>
              <w:bottom w:val="single" w:sz="4" w:space="0" w:color="008000"/>
            </w:tcBorders>
            <w:shd w:val="clear" w:color="auto" w:fill="FFFFFF"/>
          </w:tcPr>
          <w:p w14:paraId="35271BFA" w14:textId="77777777" w:rsidR="00931943" w:rsidRPr="004F5432" w:rsidRDefault="00931943" w:rsidP="003F3DDB">
            <w:pPr>
              <w:pStyle w:val="CETBodytext"/>
              <w:ind w:right="-1"/>
              <w:rPr>
                <w:rFonts w:cs="Arial"/>
                <w:szCs w:val="18"/>
                <w:lang w:val="en-GB"/>
              </w:rPr>
            </w:pPr>
            <w:r>
              <w:rPr>
                <w:rFonts w:cs="Arial"/>
                <w:szCs w:val="18"/>
                <w:lang w:val="en-GB"/>
              </w:rPr>
              <w:t>1</w:t>
            </w:r>
          </w:p>
        </w:tc>
        <w:tc>
          <w:tcPr>
            <w:tcW w:w="1276" w:type="dxa"/>
            <w:tcBorders>
              <w:top w:val="single" w:sz="4" w:space="0" w:color="008000"/>
              <w:bottom w:val="nil"/>
            </w:tcBorders>
            <w:shd w:val="clear" w:color="auto" w:fill="FFFFFF"/>
          </w:tcPr>
          <w:p w14:paraId="38691000" w14:textId="77777777" w:rsidR="00931943" w:rsidRDefault="00931943" w:rsidP="003F3DDB">
            <w:pPr>
              <w:pStyle w:val="CETBodytext"/>
              <w:ind w:right="-1"/>
              <w:jc w:val="left"/>
              <w:rPr>
                <w:rFonts w:cs="Arial"/>
                <w:szCs w:val="18"/>
                <w:lang w:val="en-GB"/>
              </w:rPr>
            </w:pPr>
            <w:r>
              <w:rPr>
                <w:rFonts w:cs="Arial"/>
                <w:szCs w:val="18"/>
                <w:lang w:val="en-GB"/>
              </w:rPr>
              <w:t>100 kg/h</w:t>
            </w:r>
          </w:p>
        </w:tc>
        <w:tc>
          <w:tcPr>
            <w:tcW w:w="3969" w:type="dxa"/>
            <w:gridSpan w:val="2"/>
            <w:tcBorders>
              <w:top w:val="single" w:sz="4" w:space="0" w:color="008000"/>
              <w:bottom w:val="single" w:sz="4" w:space="0" w:color="008000"/>
            </w:tcBorders>
            <w:shd w:val="clear" w:color="auto" w:fill="FFFFFF"/>
          </w:tcPr>
          <w:p w14:paraId="3197A319" w14:textId="3C0A14F5" w:rsidR="00931943" w:rsidRDefault="00931943" w:rsidP="003F3DDB">
            <w:pPr>
              <w:pStyle w:val="CETBodytext"/>
              <w:ind w:right="-1"/>
              <w:jc w:val="left"/>
              <w:rPr>
                <w:rFonts w:cs="Arial"/>
                <w:szCs w:val="18"/>
                <w:lang w:val="en-GB"/>
              </w:rPr>
            </w:pPr>
            <w:r>
              <w:rPr>
                <w:rFonts w:cs="Arial"/>
                <w:szCs w:val="18"/>
                <w:lang w:val="en-GB"/>
              </w:rPr>
              <w:t xml:space="preserve">Biomass (composition defined by </w:t>
            </w:r>
            <w:r w:rsidR="00F9052A">
              <w:rPr>
                <w:rFonts w:cs="Arial"/>
                <w:szCs w:val="18"/>
                <w:lang w:val="en-GB"/>
              </w:rPr>
              <w:t>proximate</w:t>
            </w:r>
            <w:r>
              <w:rPr>
                <w:rFonts w:cs="Arial"/>
                <w:szCs w:val="18"/>
                <w:lang w:val="en-GB"/>
              </w:rPr>
              <w:t xml:space="preserve"> and ultimate analysis in Table 1; KOH ratio (3/1 wt.) </w:t>
            </w:r>
          </w:p>
        </w:tc>
      </w:tr>
      <w:tr w:rsidR="00931943" w:rsidRPr="004F5432" w14:paraId="19D032D6" w14:textId="77777777" w:rsidTr="003F3DDB">
        <w:trPr>
          <w:trHeight w:val="274"/>
        </w:trPr>
        <w:tc>
          <w:tcPr>
            <w:tcW w:w="1560" w:type="dxa"/>
            <w:tcBorders>
              <w:top w:val="single" w:sz="4" w:space="0" w:color="008000"/>
            </w:tcBorders>
            <w:shd w:val="clear" w:color="auto" w:fill="FFFFFF"/>
          </w:tcPr>
          <w:p w14:paraId="63F46785" w14:textId="77777777" w:rsidR="00931943" w:rsidRDefault="00931943" w:rsidP="003F3DDB">
            <w:pPr>
              <w:pStyle w:val="CETBodytext"/>
              <w:rPr>
                <w:rFonts w:cs="Arial"/>
                <w:color w:val="000000"/>
                <w:szCs w:val="18"/>
                <w:lang w:eastAsia="fr-FR"/>
              </w:rPr>
            </w:pPr>
            <w:r>
              <w:rPr>
                <w:rFonts w:cs="Arial"/>
                <w:color w:val="000000"/>
                <w:szCs w:val="18"/>
                <w:lang w:eastAsia="fr-FR"/>
              </w:rPr>
              <w:t>Inert gas</w:t>
            </w:r>
          </w:p>
        </w:tc>
        <w:tc>
          <w:tcPr>
            <w:tcW w:w="1134" w:type="dxa"/>
            <w:tcBorders>
              <w:top w:val="single" w:sz="4" w:space="0" w:color="008000"/>
            </w:tcBorders>
            <w:shd w:val="clear" w:color="auto" w:fill="FFFFFF"/>
          </w:tcPr>
          <w:p w14:paraId="3234528D" w14:textId="77777777" w:rsidR="00931943" w:rsidRPr="004F5432" w:rsidRDefault="00931943" w:rsidP="003F3DDB">
            <w:pPr>
              <w:pStyle w:val="CETBodytext"/>
              <w:ind w:right="-1"/>
              <w:rPr>
                <w:rFonts w:cs="Arial"/>
                <w:color w:val="000000"/>
                <w:szCs w:val="18"/>
                <w:lang w:val="en-GB"/>
              </w:rPr>
            </w:pPr>
            <w:r>
              <w:rPr>
                <w:rFonts w:cs="Arial"/>
                <w:color w:val="000000"/>
                <w:szCs w:val="18"/>
                <w:lang w:val="en-GB"/>
              </w:rPr>
              <w:t>25</w:t>
            </w:r>
          </w:p>
        </w:tc>
        <w:tc>
          <w:tcPr>
            <w:tcW w:w="992" w:type="dxa"/>
            <w:tcBorders>
              <w:top w:val="single" w:sz="4" w:space="0" w:color="008000"/>
            </w:tcBorders>
            <w:shd w:val="clear" w:color="auto" w:fill="FFFFFF"/>
          </w:tcPr>
          <w:p w14:paraId="1C4FC105" w14:textId="77777777" w:rsidR="00931943" w:rsidRPr="004F5432" w:rsidRDefault="00931943" w:rsidP="003F3DDB">
            <w:pPr>
              <w:pStyle w:val="CETBodytext"/>
              <w:ind w:right="-1"/>
              <w:rPr>
                <w:rFonts w:cs="Arial"/>
                <w:szCs w:val="18"/>
                <w:lang w:val="en-GB"/>
              </w:rPr>
            </w:pPr>
            <w:r>
              <w:rPr>
                <w:rFonts w:cs="Arial"/>
                <w:szCs w:val="18"/>
                <w:lang w:val="en-GB"/>
              </w:rPr>
              <w:t>1</w:t>
            </w:r>
          </w:p>
        </w:tc>
        <w:tc>
          <w:tcPr>
            <w:tcW w:w="1276" w:type="dxa"/>
            <w:tcBorders>
              <w:top w:val="single" w:sz="4" w:space="0" w:color="008000"/>
            </w:tcBorders>
            <w:shd w:val="clear" w:color="auto" w:fill="FFFFFF"/>
          </w:tcPr>
          <w:p w14:paraId="3AAC8F78" w14:textId="77777777" w:rsidR="00931943" w:rsidRDefault="00931943" w:rsidP="003F3DDB">
            <w:pPr>
              <w:pStyle w:val="CETBodytext"/>
              <w:ind w:right="-1"/>
              <w:jc w:val="left"/>
              <w:rPr>
                <w:rFonts w:cs="Arial"/>
                <w:szCs w:val="18"/>
                <w:lang w:val="en-GB"/>
              </w:rPr>
            </w:pPr>
            <w:r>
              <w:rPr>
                <w:rFonts w:cs="Arial"/>
                <w:szCs w:val="18"/>
                <w:lang w:val="en-GB"/>
              </w:rPr>
              <w:t>1.1 kg/min</w:t>
            </w:r>
          </w:p>
        </w:tc>
        <w:tc>
          <w:tcPr>
            <w:tcW w:w="2315" w:type="dxa"/>
            <w:tcBorders>
              <w:top w:val="single" w:sz="4" w:space="0" w:color="008000"/>
            </w:tcBorders>
            <w:shd w:val="clear" w:color="auto" w:fill="FFFFFF"/>
          </w:tcPr>
          <w:p w14:paraId="0908C058" w14:textId="77777777" w:rsidR="00931943" w:rsidRDefault="00931943" w:rsidP="003F3DDB">
            <w:pPr>
              <w:pStyle w:val="CETBodytext"/>
              <w:ind w:right="-1"/>
              <w:jc w:val="left"/>
              <w:rPr>
                <w:rFonts w:cs="Arial"/>
                <w:szCs w:val="18"/>
                <w:lang w:val="en-GB"/>
              </w:rPr>
            </w:pPr>
            <w:r>
              <w:rPr>
                <w:rFonts w:cs="Arial"/>
                <w:szCs w:val="18"/>
                <w:lang w:val="en-GB"/>
              </w:rPr>
              <w:t>100% N</w:t>
            </w:r>
            <w:r w:rsidRPr="00963714">
              <w:rPr>
                <w:rFonts w:cs="Arial"/>
                <w:szCs w:val="18"/>
                <w:vertAlign w:val="subscript"/>
                <w:lang w:val="en-GB"/>
              </w:rPr>
              <w:t>2</w:t>
            </w:r>
          </w:p>
        </w:tc>
        <w:tc>
          <w:tcPr>
            <w:tcW w:w="1654" w:type="dxa"/>
            <w:tcBorders>
              <w:top w:val="single" w:sz="4" w:space="0" w:color="008000"/>
            </w:tcBorders>
            <w:shd w:val="clear" w:color="auto" w:fill="FFFFFF"/>
          </w:tcPr>
          <w:p w14:paraId="2FC7A9F7" w14:textId="77777777" w:rsidR="00931943" w:rsidRDefault="00931943" w:rsidP="003F3DDB">
            <w:pPr>
              <w:pStyle w:val="CETBodytext"/>
              <w:ind w:right="-1"/>
              <w:jc w:val="center"/>
              <w:rPr>
                <w:rFonts w:cs="Arial"/>
                <w:szCs w:val="18"/>
                <w:lang w:val="en-GB"/>
              </w:rPr>
            </w:pPr>
          </w:p>
        </w:tc>
      </w:tr>
    </w:tbl>
    <w:p w14:paraId="633B07DE" w14:textId="77777777" w:rsidR="00931943" w:rsidRPr="00A40281" w:rsidRDefault="00931943" w:rsidP="00931943">
      <w:pPr>
        <w:jc w:val="left"/>
        <w:rPr>
          <w:rFonts w:cs="Arial"/>
          <w:szCs w:val="18"/>
        </w:rPr>
      </w:pPr>
    </w:p>
    <w:p w14:paraId="65FDC00C" w14:textId="2C2CBE09" w:rsidR="008B4340" w:rsidRPr="008B4340" w:rsidRDefault="008B4340" w:rsidP="00EA1F9B">
      <w:pPr>
        <w:pStyle w:val="CETheadingx"/>
      </w:pPr>
      <w:r w:rsidRPr="008B4340">
        <w:t>Techno-Economic Analysis (TEA)</w:t>
      </w:r>
    </w:p>
    <w:p w14:paraId="18FD1302" w14:textId="2FA56664" w:rsidR="00BF6BB0" w:rsidRPr="00BF6BB0" w:rsidRDefault="008B4340" w:rsidP="00BF6BB0">
      <w:pPr>
        <w:pStyle w:val="CETListbullets"/>
        <w:ind w:left="0" w:firstLine="0"/>
        <w:rPr>
          <w:szCs w:val="18"/>
        </w:rPr>
      </w:pPr>
      <w:r w:rsidRPr="008B4340">
        <w:t>A techno-economic assessment was conducted to determine the process feasibility using key economic indicators, as the plant’s capital and operating costs. The estimation of capital costs was based on two key factors: (i) the reference (base) year of the cost data, and (ii) the equipment capacity. Initial cost figures were obtained from CAPCOST 2017, literature (Turton et al., 2017; Craig and Mann, 1996), and vendor quotations, and were adjusted to the target year using the Chemical Engineering Plant Cost Index (CEPCI), published regularly by Chemical Engineering (https://www.chemengonline.com/pci-home/). The updated equipment cost was calculated as:</w:t>
      </w:r>
      <w:r w:rsidR="00BF6BB0" w:rsidRPr="00BF6BB0">
        <w:rPr>
          <w:sz w:val="20"/>
        </w:rPr>
        <w:t xml:space="preserve"> </w:t>
      </w:r>
    </w:p>
    <w:p w14:paraId="3FCEFAFC" w14:textId="20A10755" w:rsidR="00BF6BB0" w:rsidRPr="00BF6BB0" w:rsidRDefault="00BF6BB0" w:rsidP="00BF6BB0">
      <w:pPr>
        <w:pStyle w:val="CETListbullets"/>
        <w:spacing w:before="120" w:after="120"/>
        <w:ind w:left="0" w:firstLine="0"/>
        <w:rPr>
          <w:szCs w:val="18"/>
        </w:rPr>
      </w:pPr>
      <w:r w:rsidRPr="00BF6BB0">
        <w:rPr>
          <w:szCs w:val="18"/>
        </w:rPr>
        <w:t xml:space="preserve"> </w:t>
      </w:r>
      <m:oMath>
        <m:r>
          <m:rPr>
            <m:sty m:val="p"/>
          </m:rPr>
          <w:rPr>
            <w:rFonts w:ascii="Cambria Math" w:hAnsi="Cambria Math"/>
            <w:szCs w:val="18"/>
          </w:rPr>
          <m:t>Cost in 2025 $ = Cost in base year·(</m:t>
        </m:r>
        <m:f>
          <m:fPr>
            <m:ctrlPr>
              <w:rPr>
                <w:rFonts w:ascii="Cambria Math" w:hAnsi="Cambria Math"/>
                <w:szCs w:val="18"/>
              </w:rPr>
            </m:ctrlPr>
          </m:fPr>
          <m:num>
            <m:r>
              <m:rPr>
                <m:sty m:val="p"/>
              </m:rPr>
              <w:rPr>
                <w:rFonts w:ascii="Cambria Math" w:hAnsi="Cambria Math"/>
                <w:szCs w:val="18"/>
              </w:rPr>
              <m:t xml:space="preserve">2025 </m:t>
            </m:r>
            <m:r>
              <w:rPr>
                <w:rFonts w:ascii="Cambria Math" w:hAnsi="Cambria Math"/>
                <w:szCs w:val="18"/>
              </w:rPr>
              <m:t>index</m:t>
            </m:r>
            <m:r>
              <m:rPr>
                <m:sty m:val="p"/>
              </m:rPr>
              <w:rPr>
                <w:rFonts w:ascii="Cambria Math" w:hAnsi="Cambria Math"/>
                <w:szCs w:val="18"/>
              </w:rPr>
              <m:t xml:space="preserve"> </m:t>
            </m:r>
          </m:num>
          <m:den>
            <m:r>
              <w:rPr>
                <w:rFonts w:ascii="Cambria Math" w:hAnsi="Cambria Math"/>
                <w:szCs w:val="18"/>
              </w:rPr>
              <m:t>base</m:t>
            </m:r>
            <m:r>
              <m:rPr>
                <m:sty m:val="p"/>
              </m:rPr>
              <w:rPr>
                <w:rFonts w:ascii="Cambria Math" w:hAnsi="Cambria Math"/>
                <w:szCs w:val="18"/>
              </w:rPr>
              <m:t xml:space="preserve"> </m:t>
            </m:r>
            <m:r>
              <w:rPr>
                <w:rFonts w:ascii="Cambria Math" w:hAnsi="Cambria Math"/>
                <w:szCs w:val="18"/>
              </w:rPr>
              <m:t>year</m:t>
            </m:r>
            <m:r>
              <m:rPr>
                <m:sty m:val="p"/>
              </m:rPr>
              <w:rPr>
                <w:rFonts w:ascii="Cambria Math" w:hAnsi="Cambria Math"/>
                <w:szCs w:val="18"/>
              </w:rPr>
              <m:t xml:space="preserve"> </m:t>
            </m:r>
            <m:r>
              <w:rPr>
                <w:rFonts w:ascii="Cambria Math" w:hAnsi="Cambria Math"/>
                <w:szCs w:val="18"/>
              </w:rPr>
              <m:t>index</m:t>
            </m:r>
          </m:den>
        </m:f>
        <m:r>
          <m:rPr>
            <m:sty m:val="p"/>
          </m:rPr>
          <w:rPr>
            <w:rFonts w:ascii="Cambria Math" w:hAnsi="Cambria Math"/>
            <w:szCs w:val="18"/>
          </w:rPr>
          <m:t>)</m:t>
        </m:r>
      </m:oMath>
      <w:r w:rsidRPr="00BF6BB0">
        <w:rPr>
          <w:szCs w:val="18"/>
        </w:rPr>
        <w:t xml:space="preserve">          </w:t>
      </w:r>
      <w:r w:rsidRPr="00BF6BB0">
        <w:rPr>
          <w:szCs w:val="18"/>
        </w:rPr>
        <w:tab/>
      </w:r>
      <w:r w:rsidRPr="00BF6BB0">
        <w:rPr>
          <w:szCs w:val="18"/>
        </w:rPr>
        <w:tab/>
      </w:r>
      <w:r w:rsidRPr="00BF6BB0">
        <w:rPr>
          <w:szCs w:val="18"/>
        </w:rPr>
        <w:tab/>
      </w:r>
      <w:r w:rsidRPr="00BF6BB0">
        <w:rPr>
          <w:szCs w:val="18"/>
        </w:rPr>
        <w:tab/>
        <w:t xml:space="preserve">      </w:t>
      </w:r>
      <w:r>
        <w:rPr>
          <w:szCs w:val="18"/>
        </w:rPr>
        <w:tab/>
      </w:r>
      <w:r>
        <w:rPr>
          <w:szCs w:val="18"/>
        </w:rPr>
        <w:tab/>
      </w:r>
      <w:r w:rsidRPr="00BF6BB0">
        <w:rPr>
          <w:szCs w:val="18"/>
        </w:rPr>
        <w:t xml:space="preserve"> (1)</w:t>
      </w:r>
    </w:p>
    <w:p w14:paraId="027F73CB" w14:textId="027B1080" w:rsidR="00BF6BB0" w:rsidRPr="00BF6BB0" w:rsidRDefault="00BF6BB0" w:rsidP="00BF6BB0">
      <w:pPr>
        <w:pStyle w:val="CETListbullets"/>
        <w:ind w:left="0" w:firstLine="0"/>
        <w:rPr>
          <w:szCs w:val="18"/>
        </w:rPr>
      </w:pPr>
      <w:r w:rsidRPr="00BF6BB0">
        <w:rPr>
          <w:szCs w:val="18"/>
        </w:rPr>
        <w:t xml:space="preserve">The cost of each unit based on its capacity was scaled according to its design throughput using the equation: </w:t>
      </w:r>
    </w:p>
    <w:p w14:paraId="6E89DB0E" w14:textId="753B1096" w:rsidR="00BF6BB0" w:rsidRPr="00BF6BB0" w:rsidRDefault="00BF6BB0" w:rsidP="00BF6BB0">
      <w:pPr>
        <w:pStyle w:val="CETListbullets"/>
        <w:spacing w:before="120" w:after="120"/>
        <w:ind w:left="0" w:firstLine="0"/>
        <w:rPr>
          <w:szCs w:val="18"/>
        </w:rPr>
      </w:pPr>
      <m:oMath>
        <m:r>
          <m:rPr>
            <m:sty m:val="p"/>
          </m:rPr>
          <w:rPr>
            <w:rFonts w:ascii="Cambria Math" w:hAnsi="Cambria Math"/>
            <w:szCs w:val="18"/>
          </w:rPr>
          <w:lastRenderedPageBreak/>
          <m:t>Scaled cost = Cost of original scale</m:t>
        </m:r>
        <m:r>
          <m:rPr>
            <m:sty m:val="p"/>
          </m:rPr>
          <w:rPr>
            <w:rFonts w:ascii="Cambria Math" w:hAnsi="Cambria Math" w:cs="Arial"/>
            <w:szCs w:val="18"/>
          </w:rPr>
          <m:t>·</m:t>
        </m:r>
        <m:sSup>
          <m:sSupPr>
            <m:ctrlPr>
              <w:rPr>
                <w:rFonts w:ascii="Cambria Math" w:hAnsi="Cambria Math" w:cs="Arial"/>
                <w:szCs w:val="18"/>
              </w:rPr>
            </m:ctrlPr>
          </m:sSupPr>
          <m:e>
            <m:r>
              <m:rPr>
                <m:sty m:val="p"/>
              </m:rPr>
              <w:rPr>
                <w:rFonts w:ascii="Cambria Math" w:hAnsi="Cambria Math" w:cs="Arial"/>
                <w:szCs w:val="18"/>
              </w:rPr>
              <m:t>(</m:t>
            </m:r>
            <m:f>
              <m:fPr>
                <m:ctrlPr>
                  <w:rPr>
                    <w:rFonts w:ascii="Cambria Math" w:hAnsi="Cambria Math" w:cs="Arial"/>
                    <w:szCs w:val="18"/>
                  </w:rPr>
                </m:ctrlPr>
              </m:fPr>
              <m:num>
                <m:r>
                  <m:rPr>
                    <m:sty m:val="p"/>
                  </m:rPr>
                  <w:rPr>
                    <w:rFonts w:ascii="Cambria Math" w:hAnsi="Cambria Math" w:cs="Arial"/>
                    <w:szCs w:val="18"/>
                  </w:rPr>
                  <m:t xml:space="preserve">Scaled capacity  </m:t>
                </m:r>
              </m:num>
              <m:den>
                <m:r>
                  <w:rPr>
                    <w:rFonts w:ascii="Cambria Math" w:hAnsi="Cambria Math" w:cs="Arial"/>
                    <w:szCs w:val="18"/>
                  </w:rPr>
                  <m:t>Original</m:t>
                </m:r>
                <m:r>
                  <m:rPr>
                    <m:sty m:val="p"/>
                  </m:rPr>
                  <w:rPr>
                    <w:rFonts w:ascii="Cambria Math" w:hAnsi="Cambria Math" w:cs="Arial"/>
                    <w:szCs w:val="18"/>
                  </w:rPr>
                  <m:t xml:space="preserve"> </m:t>
                </m:r>
                <m:r>
                  <w:rPr>
                    <w:rFonts w:ascii="Cambria Math" w:hAnsi="Cambria Math" w:cs="Arial"/>
                    <w:szCs w:val="18"/>
                  </w:rPr>
                  <m:t>capacity</m:t>
                </m:r>
              </m:den>
            </m:f>
            <m:r>
              <m:rPr>
                <m:sty m:val="p"/>
              </m:rPr>
              <w:rPr>
                <w:rFonts w:ascii="Cambria Math" w:hAnsi="Cambria Math" w:cs="Arial"/>
                <w:szCs w:val="18"/>
              </w:rPr>
              <m:t>)</m:t>
            </m:r>
          </m:e>
          <m:sup>
            <m:r>
              <w:rPr>
                <w:rFonts w:ascii="Cambria Math" w:hAnsi="Cambria Math" w:cs="Arial"/>
                <w:szCs w:val="18"/>
              </w:rPr>
              <m:t>n</m:t>
            </m:r>
          </m:sup>
        </m:sSup>
      </m:oMath>
      <w:r w:rsidRPr="00BF6BB0">
        <w:rPr>
          <w:szCs w:val="18"/>
        </w:rPr>
        <w:t xml:space="preserve">         </w:t>
      </w:r>
      <w:r w:rsidRPr="00BF6BB0">
        <w:rPr>
          <w:szCs w:val="18"/>
        </w:rPr>
        <w:tab/>
      </w:r>
      <w:r w:rsidRPr="00BF6BB0">
        <w:rPr>
          <w:szCs w:val="18"/>
        </w:rPr>
        <w:tab/>
      </w:r>
      <w:r w:rsidRPr="00BF6BB0">
        <w:rPr>
          <w:szCs w:val="18"/>
        </w:rPr>
        <w:tab/>
      </w:r>
      <w:r w:rsidRPr="00BF6BB0">
        <w:rPr>
          <w:szCs w:val="18"/>
        </w:rPr>
        <w:tab/>
        <w:t xml:space="preserve">       </w:t>
      </w:r>
      <w:r>
        <w:rPr>
          <w:szCs w:val="18"/>
        </w:rPr>
        <w:tab/>
      </w:r>
      <w:r w:rsidRPr="00BF6BB0">
        <w:rPr>
          <w:szCs w:val="18"/>
        </w:rPr>
        <w:t xml:space="preserve"> </w:t>
      </w:r>
      <w:r>
        <w:rPr>
          <w:szCs w:val="18"/>
        </w:rPr>
        <w:tab/>
      </w:r>
      <w:r w:rsidRPr="00BF6BB0">
        <w:rPr>
          <w:szCs w:val="18"/>
        </w:rPr>
        <w:t xml:space="preserve"> (2)</w:t>
      </w:r>
    </w:p>
    <w:p w14:paraId="219DD9ED" w14:textId="7A307E5A" w:rsidR="00BF6BB0" w:rsidRPr="00BF6BB0" w:rsidRDefault="00BF6BB0" w:rsidP="00BF6BB0">
      <w:pPr>
        <w:pStyle w:val="CETListbullets"/>
        <w:ind w:left="0" w:firstLine="0"/>
        <w:rPr>
          <w:szCs w:val="18"/>
        </w:rPr>
      </w:pPr>
      <w:r w:rsidRPr="00BF6BB0">
        <w:rPr>
          <w:szCs w:val="18"/>
        </w:rPr>
        <w:t>The scaling exponent, n, is normally around 0.6, following the six-tenths rule, which suggests that doubling equipment capacity increases cost by about 60%. Nevertheless, it may vary between 0.6 and 0.8 depending on the type of equipment (Domanski, 2020). Accordingly, the scaled installed equipment costs were calculated, including installation, covering piping, instrumentation, and control. The sum of the installed costs for all pieces of equipment and the cost for the balance of the plant were defined as the Total Installed Cost (TIC).</w:t>
      </w:r>
      <w:r w:rsidR="00702A0F">
        <w:rPr>
          <w:szCs w:val="18"/>
        </w:rPr>
        <w:t>T</w:t>
      </w:r>
      <w:r w:rsidR="00702A0F">
        <w:rPr>
          <w:rFonts w:cs="Arial"/>
          <w:szCs w:val="18"/>
          <w:lang w:val="en-US"/>
        </w:rPr>
        <w:t>he Total C</w:t>
      </w:r>
      <w:r w:rsidR="00702A0F" w:rsidRPr="009D3577">
        <w:rPr>
          <w:rFonts w:cs="Arial"/>
          <w:szCs w:val="18"/>
          <w:lang w:val="en-US"/>
        </w:rPr>
        <w:t xml:space="preserve">apital </w:t>
      </w:r>
      <w:r w:rsidR="00702A0F">
        <w:rPr>
          <w:rFonts w:cs="Arial"/>
          <w:szCs w:val="18"/>
          <w:lang w:val="en-US"/>
        </w:rPr>
        <w:t>Investment (</w:t>
      </w:r>
      <w:r w:rsidR="00702A0F" w:rsidRPr="00BF6BB0">
        <w:rPr>
          <w:szCs w:val="18"/>
          <w:vertAlign w:val="subscript"/>
        </w:rPr>
        <w:t>0</w:t>
      </w:r>
      <w:r w:rsidR="00702A0F">
        <w:rPr>
          <w:szCs w:val="18"/>
        </w:rPr>
        <w:t>)</w:t>
      </w:r>
      <w:r w:rsidR="00702A0F" w:rsidRPr="009D3577">
        <w:rPr>
          <w:rFonts w:cs="Arial"/>
          <w:szCs w:val="18"/>
          <w:lang w:val="en-US"/>
        </w:rPr>
        <w:t xml:space="preserve"> was estimated using the integrated cost estimation tools of Aspen </w:t>
      </w:r>
      <w:r w:rsidR="00702A0F">
        <w:rPr>
          <w:rFonts w:cs="Arial"/>
          <w:szCs w:val="18"/>
          <w:lang w:val="en-US"/>
        </w:rPr>
        <w:t>P</w:t>
      </w:r>
      <w:r w:rsidR="00702A0F" w:rsidRPr="009D3577">
        <w:rPr>
          <w:rFonts w:cs="Arial"/>
          <w:szCs w:val="18"/>
          <w:lang w:val="en-US"/>
        </w:rPr>
        <w:t>lus</w:t>
      </w:r>
      <w:r w:rsidR="00F216F5">
        <w:rPr>
          <w:rFonts w:cs="Arial"/>
          <w:szCs w:val="18"/>
          <w:lang w:val="en-US"/>
        </w:rPr>
        <w:t>,</w:t>
      </w:r>
      <w:r w:rsidR="00702A0F" w:rsidRPr="009D3577">
        <w:rPr>
          <w:rFonts w:cs="Arial"/>
          <w:szCs w:val="18"/>
          <w:lang w:val="en-US"/>
        </w:rPr>
        <w:t xml:space="preserve"> which incorporate installation, indirect costs, and standard cost correlations based on simulation and equipment sizing</w:t>
      </w:r>
      <w:r w:rsidR="00702A0F">
        <w:rPr>
          <w:rFonts w:cs="Arial"/>
          <w:szCs w:val="18"/>
          <w:lang w:val="en-US"/>
        </w:rPr>
        <w:t xml:space="preserve">. </w:t>
      </w:r>
      <w:r w:rsidRPr="00BF6BB0">
        <w:rPr>
          <w:szCs w:val="18"/>
        </w:rPr>
        <w:t>The Operating Costs (OC) considered in this assessment include labour, raw material supply, utilities (electricity and LPG), and maintenance. The analysis did not include other site costs, as material-storage costs, substation capital, grid connection costs, project management and consultancy costs.</w:t>
      </w:r>
    </w:p>
    <w:p w14:paraId="3FBE0CCC" w14:textId="77777777" w:rsidR="00BF6BB0" w:rsidRPr="00BF6BB0" w:rsidRDefault="00BF6BB0" w:rsidP="00BF6BB0">
      <w:pPr>
        <w:pStyle w:val="CETListbullets"/>
        <w:ind w:left="0" w:firstLine="0"/>
        <w:rPr>
          <w:szCs w:val="18"/>
        </w:rPr>
      </w:pPr>
      <w:r w:rsidRPr="00BF6BB0">
        <w:rPr>
          <w:szCs w:val="18"/>
        </w:rPr>
        <w:t>Net Present Value (NPV) was calculated, as the difference between the present value of cash inflows and outflows, helping assess whether a project generates more value than its cost.</w:t>
      </w:r>
    </w:p>
    <w:p w14:paraId="78FDD4AF" w14:textId="77777777" w:rsidR="00BF6BB0" w:rsidRPr="00BF6BB0" w:rsidRDefault="00BF6BB0" w:rsidP="00BF6BB0">
      <w:pPr>
        <w:pStyle w:val="CETListbullets"/>
        <w:spacing w:before="120" w:after="120"/>
        <w:ind w:firstLine="0"/>
        <w:rPr>
          <w:rFonts w:cs="Arial"/>
          <w:szCs w:val="18"/>
        </w:rPr>
      </w:pPr>
      <w:r w:rsidRPr="00BF6BB0">
        <w:rPr>
          <w:szCs w:val="18"/>
        </w:rPr>
        <w:t xml:space="preserve">     </w:t>
      </w:r>
      <m:oMath>
        <m:r>
          <m:rPr>
            <m:sty m:val="p"/>
          </m:rPr>
          <w:rPr>
            <w:rFonts w:ascii="Cambria Math" w:hAnsi="Cambria Math" w:cs="Arial"/>
            <w:szCs w:val="18"/>
          </w:rPr>
          <m:t xml:space="preserve">NPV= </m:t>
        </m:r>
        <m:nary>
          <m:naryPr>
            <m:chr m:val="∑"/>
            <m:limLoc m:val="undOvr"/>
            <m:ctrlPr>
              <w:rPr>
                <w:rFonts w:ascii="Cambria Math" w:hAnsi="Cambria Math" w:cs="Arial"/>
                <w:szCs w:val="18"/>
              </w:rPr>
            </m:ctrlPr>
          </m:naryPr>
          <m:sub>
            <m:r>
              <w:rPr>
                <w:rFonts w:ascii="Cambria Math" w:hAnsi="Cambria Math" w:cs="Arial"/>
                <w:szCs w:val="18"/>
              </w:rPr>
              <m:t>n</m:t>
            </m:r>
            <m:r>
              <m:rPr>
                <m:sty m:val="p"/>
              </m:rPr>
              <w:rPr>
                <w:rFonts w:ascii="Cambria Math" w:hAnsi="Cambria Math" w:cs="Arial"/>
                <w:szCs w:val="18"/>
              </w:rPr>
              <m:t>=1</m:t>
            </m:r>
          </m:sub>
          <m:sup>
            <m:r>
              <w:rPr>
                <w:rFonts w:ascii="Cambria Math" w:hAnsi="Cambria Math" w:cs="Arial"/>
                <w:szCs w:val="18"/>
              </w:rPr>
              <m:t>T</m:t>
            </m:r>
          </m:sup>
          <m:e>
            <m:f>
              <m:fPr>
                <m:ctrlPr>
                  <w:rPr>
                    <w:rFonts w:ascii="Cambria Math" w:hAnsi="Cambria Math" w:cs="Arial"/>
                    <w:szCs w:val="18"/>
                  </w:rPr>
                </m:ctrlPr>
              </m:fPr>
              <m:num>
                <m:sSub>
                  <m:sSubPr>
                    <m:ctrlPr>
                      <w:rPr>
                        <w:rFonts w:ascii="Cambria Math" w:hAnsi="Cambria Math" w:cs="Arial"/>
                        <w:szCs w:val="18"/>
                      </w:rPr>
                    </m:ctrlPr>
                  </m:sSubPr>
                  <m:e>
                    <m:r>
                      <w:rPr>
                        <w:rFonts w:ascii="Cambria Math" w:hAnsi="Cambria Math" w:cs="Arial"/>
                        <w:szCs w:val="18"/>
                      </w:rPr>
                      <m:t>CF</m:t>
                    </m:r>
                  </m:e>
                  <m:sub>
                    <m:r>
                      <w:rPr>
                        <w:rFonts w:ascii="Cambria Math" w:hAnsi="Cambria Math" w:cs="Arial"/>
                        <w:szCs w:val="18"/>
                      </w:rPr>
                      <m:t>n</m:t>
                    </m:r>
                  </m:sub>
                </m:sSub>
              </m:num>
              <m:den>
                <m:sSup>
                  <m:sSupPr>
                    <m:ctrlPr>
                      <w:rPr>
                        <w:rFonts w:ascii="Cambria Math" w:hAnsi="Cambria Math" w:cs="Arial"/>
                        <w:szCs w:val="18"/>
                      </w:rPr>
                    </m:ctrlPr>
                  </m:sSupPr>
                  <m:e>
                    <m:r>
                      <m:rPr>
                        <m:sty m:val="p"/>
                      </m:rPr>
                      <w:rPr>
                        <w:rFonts w:ascii="Cambria Math" w:hAnsi="Cambria Math" w:cs="Arial"/>
                        <w:szCs w:val="18"/>
                      </w:rPr>
                      <m:t>(1+</m:t>
                    </m:r>
                    <m:r>
                      <w:rPr>
                        <w:rFonts w:ascii="Cambria Math" w:hAnsi="Cambria Math" w:cs="Arial"/>
                        <w:szCs w:val="18"/>
                      </w:rPr>
                      <m:t>i</m:t>
                    </m:r>
                    <m:r>
                      <m:rPr>
                        <m:sty m:val="p"/>
                      </m:rPr>
                      <w:rPr>
                        <w:rFonts w:ascii="Cambria Math" w:hAnsi="Cambria Math" w:cs="Arial"/>
                        <w:szCs w:val="18"/>
                      </w:rPr>
                      <m:t>)</m:t>
                    </m:r>
                  </m:e>
                  <m:sup>
                    <m:r>
                      <w:rPr>
                        <w:rFonts w:ascii="Cambria Math" w:hAnsi="Cambria Math" w:cs="Arial"/>
                        <w:szCs w:val="18"/>
                      </w:rPr>
                      <m:t>n</m:t>
                    </m:r>
                  </m:sup>
                </m:sSup>
              </m:den>
            </m:f>
          </m:e>
        </m:nary>
        <m:r>
          <m:rPr>
            <m:sty m:val="p"/>
          </m:rPr>
          <w:rPr>
            <w:rFonts w:ascii="Cambria Math" w:hAnsi="Cambria Math" w:cs="Arial"/>
            <w:szCs w:val="18"/>
          </w:rPr>
          <m:t>-</m:t>
        </m:r>
        <m:sSub>
          <m:sSubPr>
            <m:ctrlPr>
              <w:rPr>
                <w:rFonts w:ascii="Cambria Math" w:hAnsi="Cambria Math" w:cs="Arial"/>
                <w:szCs w:val="18"/>
              </w:rPr>
            </m:ctrlPr>
          </m:sSubPr>
          <m:e>
            <m:r>
              <w:rPr>
                <w:rFonts w:ascii="Cambria Math" w:hAnsi="Cambria Math" w:cs="Arial"/>
                <w:szCs w:val="18"/>
              </w:rPr>
              <m:t>I</m:t>
            </m:r>
          </m:e>
          <m:sub>
            <m:r>
              <m:rPr>
                <m:sty m:val="p"/>
              </m:rPr>
              <w:rPr>
                <w:rFonts w:ascii="Cambria Math" w:hAnsi="Cambria Math" w:cs="Arial"/>
                <w:szCs w:val="18"/>
              </w:rPr>
              <m:t>0</m:t>
            </m:r>
          </m:sub>
        </m:sSub>
      </m:oMath>
      <w:r w:rsidRPr="00BF6BB0">
        <w:rPr>
          <w:szCs w:val="18"/>
        </w:rPr>
        <w:tab/>
      </w:r>
      <w:r w:rsidRPr="00BF6BB0">
        <w:rPr>
          <w:szCs w:val="18"/>
        </w:rPr>
        <w:tab/>
      </w:r>
      <w:r w:rsidRPr="00BF6BB0">
        <w:rPr>
          <w:szCs w:val="18"/>
        </w:rPr>
        <w:tab/>
      </w:r>
      <w:r w:rsidRPr="00BF6BB0">
        <w:rPr>
          <w:szCs w:val="18"/>
        </w:rPr>
        <w:tab/>
      </w:r>
      <w:r w:rsidRPr="00BF6BB0">
        <w:rPr>
          <w:szCs w:val="18"/>
        </w:rPr>
        <w:tab/>
      </w:r>
      <w:r w:rsidRPr="00BF6BB0">
        <w:rPr>
          <w:szCs w:val="18"/>
        </w:rPr>
        <w:tab/>
      </w:r>
      <w:r w:rsidRPr="00BF6BB0">
        <w:rPr>
          <w:szCs w:val="18"/>
        </w:rPr>
        <w:tab/>
      </w:r>
      <w:r w:rsidRPr="00BF6BB0">
        <w:rPr>
          <w:szCs w:val="18"/>
        </w:rPr>
        <w:tab/>
      </w:r>
      <w:r w:rsidRPr="00BF6BB0">
        <w:rPr>
          <w:szCs w:val="18"/>
        </w:rPr>
        <w:tab/>
        <w:t>(3)</w:t>
      </w:r>
    </w:p>
    <w:p w14:paraId="3CD530F7" w14:textId="77777777" w:rsidR="00BF6BB0" w:rsidRPr="00BF6BB0" w:rsidRDefault="00BF6BB0" w:rsidP="00BF6BB0">
      <w:pPr>
        <w:pStyle w:val="CETListbullets"/>
        <w:rPr>
          <w:szCs w:val="18"/>
        </w:rPr>
      </w:pPr>
      <w:r w:rsidRPr="00BF6BB0">
        <w:rPr>
          <w:szCs w:val="18"/>
        </w:rPr>
        <w:t xml:space="preserve">where: </w:t>
      </w:r>
    </w:p>
    <w:p w14:paraId="59C44314" w14:textId="77777777" w:rsidR="00BF6BB0" w:rsidRPr="00BF6BB0" w:rsidRDefault="00BF6BB0" w:rsidP="00BF6BB0">
      <w:pPr>
        <w:pStyle w:val="CETListbullets"/>
        <w:rPr>
          <w:szCs w:val="18"/>
        </w:rPr>
      </w:pPr>
      <w:r w:rsidRPr="00BF6BB0">
        <w:rPr>
          <w:szCs w:val="18"/>
        </w:rPr>
        <w:t>CF</w:t>
      </w:r>
      <w:r w:rsidRPr="00BF6BB0">
        <w:rPr>
          <w:szCs w:val="18"/>
          <w:vertAlign w:val="subscript"/>
        </w:rPr>
        <w:t>n</w:t>
      </w:r>
      <w:r w:rsidRPr="00BF6BB0">
        <w:rPr>
          <w:szCs w:val="18"/>
        </w:rPr>
        <w:t>: cash flow generated in year n</w:t>
      </w:r>
    </w:p>
    <w:p w14:paraId="594E3DD1" w14:textId="1834E370" w:rsidR="00BF6BB0" w:rsidRPr="00BF6BB0" w:rsidRDefault="00BF6BB0" w:rsidP="00BF6BB0">
      <w:pPr>
        <w:pStyle w:val="CETListbullets"/>
        <w:rPr>
          <w:szCs w:val="18"/>
        </w:rPr>
      </w:pPr>
      <w:r w:rsidRPr="00BF6BB0">
        <w:rPr>
          <w:szCs w:val="18"/>
        </w:rPr>
        <w:t>I</w:t>
      </w:r>
      <w:r w:rsidRPr="00BF6BB0">
        <w:rPr>
          <w:szCs w:val="18"/>
          <w:vertAlign w:val="subscript"/>
        </w:rPr>
        <w:t>0</w:t>
      </w:r>
      <w:r w:rsidR="00702A0F">
        <w:rPr>
          <w:szCs w:val="18"/>
        </w:rPr>
        <w:t>: Total Capital I</w:t>
      </w:r>
      <w:r w:rsidRPr="00BF6BB0">
        <w:rPr>
          <w:szCs w:val="18"/>
        </w:rPr>
        <w:t xml:space="preserve">nvestment in year 0 </w:t>
      </w:r>
    </w:p>
    <w:p w14:paraId="29A655D1" w14:textId="77777777" w:rsidR="00BF6BB0" w:rsidRPr="00BF6BB0" w:rsidRDefault="00BF6BB0" w:rsidP="00BF6BB0">
      <w:pPr>
        <w:pStyle w:val="CETListbullets"/>
        <w:rPr>
          <w:szCs w:val="18"/>
        </w:rPr>
      </w:pPr>
      <w:r w:rsidRPr="00BF6BB0">
        <w:rPr>
          <w:szCs w:val="18"/>
        </w:rPr>
        <w:t>T: project lifetime</w:t>
      </w:r>
    </w:p>
    <w:p w14:paraId="6D36F310" w14:textId="77777777" w:rsidR="00BF6BB0" w:rsidRPr="00BF6BB0" w:rsidRDefault="00BF6BB0" w:rsidP="00BF6BB0">
      <w:pPr>
        <w:pStyle w:val="CETListbullets"/>
        <w:spacing w:after="120"/>
        <w:ind w:left="113" w:firstLine="0"/>
        <w:rPr>
          <w:szCs w:val="18"/>
        </w:rPr>
      </w:pPr>
      <w:r w:rsidRPr="00BF6BB0">
        <w:rPr>
          <w:szCs w:val="18"/>
        </w:rPr>
        <w:t xml:space="preserve"> i: discount rate </w:t>
      </w:r>
    </w:p>
    <w:p w14:paraId="7017993B" w14:textId="642C6328" w:rsidR="00BF6BB0" w:rsidRPr="00BF6BB0" w:rsidRDefault="00BF6BB0" w:rsidP="00BF6BB0">
      <w:pPr>
        <w:pStyle w:val="CETListbullets"/>
        <w:rPr>
          <w:szCs w:val="18"/>
        </w:rPr>
      </w:pPr>
      <w:r w:rsidRPr="00BF6BB0">
        <w:rPr>
          <w:szCs w:val="18"/>
        </w:rPr>
        <w:t>CF</w:t>
      </w:r>
      <w:r w:rsidRPr="00F7225A">
        <w:rPr>
          <w:szCs w:val="18"/>
          <w:vertAlign w:val="subscript"/>
        </w:rPr>
        <w:t>n</w:t>
      </w:r>
      <w:r w:rsidRPr="00BF6BB0">
        <w:rPr>
          <w:szCs w:val="18"/>
        </w:rPr>
        <w:t xml:space="preserve"> can be estimated using by the formula: </w:t>
      </w:r>
    </w:p>
    <w:p w14:paraId="545E6657" w14:textId="4634B233" w:rsidR="00BF6BB0" w:rsidRPr="00BF6BB0" w:rsidRDefault="000C5617" w:rsidP="00BF6BB0">
      <w:pPr>
        <w:pStyle w:val="CETListbullets"/>
        <w:spacing w:before="120" w:after="120"/>
        <w:rPr>
          <w:szCs w:val="18"/>
        </w:rPr>
      </w:pPr>
      <m:oMath>
        <m:sSub>
          <m:sSubPr>
            <m:ctrlPr>
              <w:rPr>
                <w:rFonts w:ascii="Cambria Math" w:hAnsi="Cambria Math" w:cs="Arial"/>
                <w:szCs w:val="18"/>
              </w:rPr>
            </m:ctrlPr>
          </m:sSubPr>
          <m:e>
            <m:r>
              <w:rPr>
                <w:rFonts w:ascii="Cambria Math" w:hAnsi="Cambria Math" w:cs="Arial"/>
                <w:szCs w:val="18"/>
              </w:rPr>
              <m:t>CF</m:t>
            </m:r>
          </m:e>
          <m:sub>
            <m:r>
              <w:rPr>
                <w:rFonts w:ascii="Cambria Math" w:hAnsi="Cambria Math" w:cs="Arial"/>
                <w:szCs w:val="18"/>
              </w:rPr>
              <m:t>n</m:t>
            </m:r>
          </m:sub>
        </m:sSub>
        <m:r>
          <m:rPr>
            <m:sty m:val="p"/>
          </m:rPr>
          <w:rPr>
            <w:rFonts w:ascii="Cambria Math" w:hAnsi="Cambria Math" w:cs="Arial"/>
            <w:szCs w:val="18"/>
          </w:rPr>
          <m:t>=</m:t>
        </m:r>
        <m:d>
          <m:dPr>
            <m:ctrlPr>
              <w:rPr>
                <w:rFonts w:ascii="Cambria Math" w:hAnsi="Cambria Math" w:cs="Arial"/>
                <w:szCs w:val="18"/>
              </w:rPr>
            </m:ctrlPr>
          </m:dPr>
          <m:e>
            <m:r>
              <m:rPr>
                <m:sty m:val="p"/>
              </m:rPr>
              <w:rPr>
                <w:rFonts w:ascii="Cambria Math" w:hAnsi="Cambria Math" w:cs="Arial"/>
                <w:szCs w:val="18"/>
              </w:rPr>
              <m:t>1-t</m:t>
            </m:r>
          </m:e>
        </m:d>
        <m:r>
          <m:rPr>
            <m:sty m:val="p"/>
          </m:rPr>
          <w:rPr>
            <w:rFonts w:ascii="Cambria Math" w:hAnsi="Cambria Math" w:cs="Arial"/>
            <w:szCs w:val="18"/>
          </w:rPr>
          <m:t>·</m:t>
        </m:r>
        <m:d>
          <m:dPr>
            <m:ctrlPr>
              <w:rPr>
                <w:rFonts w:ascii="Cambria Math" w:hAnsi="Cambria Math" w:cs="Arial"/>
                <w:szCs w:val="18"/>
              </w:rPr>
            </m:ctrlPr>
          </m:dPr>
          <m:e>
            <m:r>
              <m:rPr>
                <m:sty m:val="p"/>
              </m:rPr>
              <w:rPr>
                <w:rFonts w:ascii="Cambria Math" w:hAnsi="Cambria Math" w:cs="Arial"/>
                <w:szCs w:val="18"/>
              </w:rPr>
              <m:t>R-E</m:t>
            </m:r>
          </m:e>
        </m:d>
        <m:r>
          <m:rPr>
            <m:sty m:val="p"/>
          </m:rPr>
          <w:rPr>
            <w:rFonts w:ascii="Cambria Math" w:hAnsi="Cambria Math" w:cs="Arial"/>
            <w:szCs w:val="18"/>
          </w:rPr>
          <m:t>+t·D</m:t>
        </m:r>
      </m:oMath>
      <w:r w:rsidR="00BF6BB0" w:rsidRPr="00BF6BB0">
        <w:rPr>
          <w:szCs w:val="18"/>
        </w:rPr>
        <w:t>, where t is the tax rate</w:t>
      </w:r>
      <w:r w:rsidR="00BF6BB0" w:rsidRPr="00BF6BB0">
        <w:rPr>
          <w:szCs w:val="18"/>
        </w:rPr>
        <w:tab/>
      </w:r>
      <w:r w:rsidR="00BF6BB0" w:rsidRPr="00BF6BB0">
        <w:rPr>
          <w:szCs w:val="18"/>
        </w:rPr>
        <w:tab/>
      </w:r>
      <w:r w:rsidR="00BF6BB0" w:rsidRPr="00BF6BB0">
        <w:rPr>
          <w:szCs w:val="18"/>
        </w:rPr>
        <w:tab/>
      </w:r>
      <w:r w:rsidR="00BF6BB0" w:rsidRPr="00BF6BB0">
        <w:rPr>
          <w:szCs w:val="18"/>
        </w:rPr>
        <w:tab/>
      </w:r>
      <w:r w:rsidR="00BF6BB0" w:rsidRPr="00BF6BB0">
        <w:rPr>
          <w:szCs w:val="18"/>
        </w:rPr>
        <w:tab/>
      </w:r>
      <w:r w:rsidR="00BF6BB0" w:rsidRPr="00BF6BB0">
        <w:rPr>
          <w:szCs w:val="18"/>
        </w:rPr>
        <w:tab/>
      </w:r>
      <w:r w:rsidR="00BF6BB0">
        <w:rPr>
          <w:szCs w:val="18"/>
        </w:rPr>
        <w:tab/>
      </w:r>
      <w:r w:rsidR="00BF6BB0" w:rsidRPr="00BF6BB0">
        <w:rPr>
          <w:szCs w:val="18"/>
        </w:rPr>
        <w:t>(4)</w:t>
      </w:r>
    </w:p>
    <w:p w14:paraId="7664128A" w14:textId="77777777" w:rsidR="00D364D2" w:rsidRPr="00702A0F" w:rsidRDefault="00D364D2" w:rsidP="00BF6BB0">
      <w:pPr>
        <w:pStyle w:val="CETListbullets"/>
        <w:ind w:left="113" w:firstLine="0"/>
        <w:rPr>
          <w:szCs w:val="18"/>
        </w:rPr>
      </w:pPr>
      <w:r w:rsidRPr="00702A0F">
        <w:rPr>
          <w:szCs w:val="18"/>
        </w:rPr>
        <w:t xml:space="preserve">where: </w:t>
      </w:r>
    </w:p>
    <w:p w14:paraId="448905D3" w14:textId="294CB2EA" w:rsidR="00BF6BB0" w:rsidRPr="00702A0F" w:rsidRDefault="00D364D2" w:rsidP="003F3DDB">
      <w:pPr>
        <w:pStyle w:val="CETListbullets"/>
        <w:ind w:left="113" w:firstLine="0"/>
        <w:rPr>
          <w:szCs w:val="18"/>
        </w:rPr>
      </w:pPr>
      <w:r w:rsidRPr="00702A0F">
        <w:rPr>
          <w:szCs w:val="18"/>
        </w:rPr>
        <w:t xml:space="preserve">R: </w:t>
      </w:r>
      <w:r w:rsidR="00BF6BB0" w:rsidRPr="00702A0F">
        <w:rPr>
          <w:szCs w:val="18"/>
        </w:rPr>
        <w:t>annual revenue</w:t>
      </w:r>
      <w:r w:rsidRPr="00702A0F">
        <w:rPr>
          <w:szCs w:val="18"/>
        </w:rPr>
        <w:t>, calculated as:</w:t>
      </w:r>
      <w:r w:rsidRPr="00702A0F">
        <w:rPr>
          <w:szCs w:val="18"/>
        </w:rPr>
        <w:tab/>
      </w:r>
      <w:r w:rsidRPr="00702A0F">
        <w:rPr>
          <w:szCs w:val="18"/>
        </w:rPr>
        <w:tab/>
      </w:r>
      <w:r w:rsidR="00BF6BB0" w:rsidRPr="00702A0F">
        <w:rPr>
          <w:szCs w:val="18"/>
        </w:rPr>
        <w:t>R = Annual production</w:t>
      </w:r>
      <w:r w:rsidR="003F3DDB" w:rsidRPr="00702A0F">
        <w:rPr>
          <w:szCs w:val="18"/>
        </w:rPr>
        <w:t>*</w:t>
      </w:r>
      <w:r w:rsidR="00BF6BB0" w:rsidRPr="00702A0F">
        <w:rPr>
          <w:szCs w:val="18"/>
        </w:rPr>
        <w:t>Selling price</w:t>
      </w:r>
      <w:r w:rsidR="00BF6BB0" w:rsidRPr="00702A0F">
        <w:rPr>
          <w:szCs w:val="18"/>
        </w:rPr>
        <w:tab/>
      </w:r>
      <w:r w:rsidR="00BF6BB0" w:rsidRPr="00702A0F">
        <w:rPr>
          <w:szCs w:val="18"/>
        </w:rPr>
        <w:tab/>
      </w:r>
      <w:r w:rsidR="00BF6BB0" w:rsidRPr="00702A0F">
        <w:rPr>
          <w:szCs w:val="18"/>
        </w:rPr>
        <w:tab/>
        <w:t>(5)</w:t>
      </w:r>
    </w:p>
    <w:p w14:paraId="57B150E8" w14:textId="1E00BF0E" w:rsidR="00BF6BB0" w:rsidRPr="00BF6BB0" w:rsidRDefault="00D364D2" w:rsidP="00BF6BB0">
      <w:pPr>
        <w:pStyle w:val="CETListbullets"/>
        <w:ind w:left="113" w:firstLine="0"/>
        <w:rPr>
          <w:szCs w:val="18"/>
        </w:rPr>
      </w:pPr>
      <w:r w:rsidRPr="00702A0F">
        <w:rPr>
          <w:szCs w:val="18"/>
        </w:rPr>
        <w:t xml:space="preserve">D: depreciation, </w:t>
      </w:r>
      <w:r w:rsidR="00BF6BB0" w:rsidRPr="00702A0F">
        <w:rPr>
          <w:szCs w:val="18"/>
        </w:rPr>
        <w:t>calculated as:</w:t>
      </w:r>
      <w:r w:rsidR="00BF6BB0" w:rsidRPr="00BF6BB0">
        <w:rPr>
          <w:szCs w:val="18"/>
        </w:rPr>
        <w:t xml:space="preserve"> </w:t>
      </w:r>
      <w:r>
        <w:rPr>
          <w:szCs w:val="18"/>
        </w:rPr>
        <w:tab/>
      </w:r>
      <w:r>
        <w:rPr>
          <w:szCs w:val="18"/>
        </w:rPr>
        <w:tab/>
      </w:r>
      <w:r w:rsidR="00BF6BB0" w:rsidRPr="00BF6BB0">
        <w:rPr>
          <w:rFonts w:cs="Arial"/>
          <w:szCs w:val="18"/>
        </w:rPr>
        <w:t xml:space="preserve">D = </w:t>
      </w:r>
      <m:oMath>
        <m:f>
          <m:fPr>
            <m:ctrlPr>
              <w:rPr>
                <w:rFonts w:ascii="Cambria Math" w:hAnsi="Cambria Math" w:cs="Arial"/>
                <w:szCs w:val="18"/>
              </w:rPr>
            </m:ctrlPr>
          </m:fPr>
          <m:num>
            <m:sSub>
              <m:sSubPr>
                <m:ctrlPr>
                  <w:rPr>
                    <w:rFonts w:ascii="Cambria Math" w:hAnsi="Cambria Math" w:cs="Arial"/>
                    <w:szCs w:val="18"/>
                  </w:rPr>
                </m:ctrlPr>
              </m:sSubPr>
              <m:e>
                <m:r>
                  <w:rPr>
                    <w:rFonts w:ascii="Cambria Math" w:hAnsi="Cambria Math" w:cs="Arial"/>
                    <w:szCs w:val="18"/>
                  </w:rPr>
                  <m:t>I</m:t>
                </m:r>
              </m:e>
              <m:sub>
                <m:r>
                  <m:rPr>
                    <m:sty m:val="p"/>
                  </m:rPr>
                  <w:rPr>
                    <w:rFonts w:ascii="Cambria Math" w:hAnsi="Cambria Math" w:cs="Arial"/>
                    <w:szCs w:val="18"/>
                  </w:rPr>
                  <m:t>0</m:t>
                </m:r>
              </m:sub>
            </m:sSub>
          </m:num>
          <m:den>
            <m:r>
              <w:rPr>
                <w:rFonts w:ascii="Cambria Math" w:hAnsi="Cambria Math" w:cs="Arial"/>
                <w:szCs w:val="18"/>
              </w:rPr>
              <m:t>T</m:t>
            </m:r>
          </m:den>
        </m:f>
      </m:oMath>
      <w:r w:rsidR="00BF6BB0" w:rsidRPr="00BF6BB0">
        <w:rPr>
          <w:rFonts w:cs="Arial"/>
          <w:szCs w:val="18"/>
        </w:rPr>
        <w:tab/>
      </w:r>
      <w:r w:rsidR="00BF6BB0" w:rsidRPr="00BF6BB0">
        <w:rPr>
          <w:rFonts w:cs="Arial"/>
          <w:szCs w:val="18"/>
        </w:rPr>
        <w:tab/>
      </w:r>
      <w:r w:rsidR="00BF6BB0" w:rsidRPr="00BF6BB0">
        <w:rPr>
          <w:rFonts w:cs="Arial"/>
          <w:szCs w:val="18"/>
        </w:rPr>
        <w:tab/>
      </w:r>
      <w:r w:rsidR="00BF6BB0" w:rsidRPr="00BF6BB0">
        <w:rPr>
          <w:rFonts w:cs="Arial"/>
          <w:szCs w:val="18"/>
        </w:rPr>
        <w:tab/>
      </w:r>
      <w:r w:rsidR="00BF6BB0" w:rsidRPr="00BF6BB0">
        <w:rPr>
          <w:rFonts w:cs="Arial"/>
          <w:szCs w:val="18"/>
        </w:rPr>
        <w:tab/>
      </w:r>
      <w:r w:rsidR="00BF6BB0" w:rsidRPr="00BF6BB0">
        <w:rPr>
          <w:rFonts w:cs="Arial"/>
          <w:szCs w:val="18"/>
        </w:rPr>
        <w:tab/>
      </w:r>
      <w:r w:rsidR="00BF6BB0">
        <w:rPr>
          <w:rFonts w:cs="Arial"/>
          <w:szCs w:val="18"/>
        </w:rPr>
        <w:tab/>
      </w:r>
      <w:r w:rsidR="00BF6BB0" w:rsidRPr="00BF6BB0">
        <w:rPr>
          <w:szCs w:val="18"/>
        </w:rPr>
        <w:t>(6)</w:t>
      </w:r>
    </w:p>
    <w:p w14:paraId="4879CBA4" w14:textId="07814884" w:rsidR="00BF6BB0" w:rsidRPr="00BF6BB0" w:rsidRDefault="00BF6BB0" w:rsidP="00BF6BB0">
      <w:pPr>
        <w:pStyle w:val="CETListbullets"/>
        <w:rPr>
          <w:szCs w:val="18"/>
        </w:rPr>
      </w:pPr>
      <w:r w:rsidRPr="00BF6BB0">
        <w:rPr>
          <w:szCs w:val="18"/>
        </w:rPr>
        <w:t>E</w:t>
      </w:r>
      <w:r w:rsidR="00D364D2">
        <w:rPr>
          <w:szCs w:val="18"/>
        </w:rPr>
        <w:t xml:space="preserve">: expenditure, </w:t>
      </w:r>
      <w:r w:rsidRPr="00BF6BB0">
        <w:rPr>
          <w:szCs w:val="18"/>
        </w:rPr>
        <w:t xml:space="preserve">calculated as: </w:t>
      </w:r>
      <w:r w:rsidR="00D364D2">
        <w:rPr>
          <w:szCs w:val="18"/>
        </w:rPr>
        <w:tab/>
      </w:r>
      <w:r w:rsidR="00D364D2">
        <w:rPr>
          <w:szCs w:val="18"/>
        </w:rPr>
        <w:tab/>
      </w:r>
      <w:r w:rsidRPr="00BF6BB0">
        <w:rPr>
          <w:szCs w:val="18"/>
        </w:rPr>
        <w:t>E= Operating Cost+ Utilities Cost</w:t>
      </w:r>
      <w:r w:rsidR="00D364D2">
        <w:rPr>
          <w:szCs w:val="18"/>
        </w:rPr>
        <w:tab/>
      </w:r>
      <w:r w:rsidR="00D364D2">
        <w:rPr>
          <w:szCs w:val="18"/>
        </w:rPr>
        <w:tab/>
      </w:r>
      <w:r w:rsidR="00D364D2">
        <w:rPr>
          <w:szCs w:val="18"/>
        </w:rPr>
        <w:tab/>
      </w:r>
      <w:r w:rsidR="00D364D2">
        <w:rPr>
          <w:szCs w:val="18"/>
        </w:rPr>
        <w:tab/>
        <w:t>(7)</w:t>
      </w:r>
    </w:p>
    <w:p w14:paraId="5741900F" w14:textId="53BE6522" w:rsidR="00453E24" w:rsidRDefault="00CF6E5C" w:rsidP="00453E24">
      <w:pPr>
        <w:pStyle w:val="CETHeading1"/>
      </w:pPr>
      <w:r>
        <w:t>Results</w:t>
      </w:r>
    </w:p>
    <w:p w14:paraId="75FA009C" w14:textId="6CC7A8A1" w:rsidR="005B0027" w:rsidRDefault="005B0027" w:rsidP="00A0665F">
      <w:pPr>
        <w:pStyle w:val="Prrafodelista"/>
        <w:ind w:left="0"/>
      </w:pPr>
      <w:r>
        <w:t>The equilibrium</w:t>
      </w:r>
      <w:r w:rsidRPr="005B0027">
        <w:rPr>
          <w:rFonts w:ascii="Cambria Math" w:hAnsi="Cambria Math" w:cs="Cambria Math"/>
        </w:rPr>
        <w:t>‑</w:t>
      </w:r>
      <w:r>
        <w:t>based modelling approach, relying on RYIELD and RGIBBS reactor modules, demonstrated the suitability of representing the thermochemical behaviour of lignocellulosic biomass when reaction pathways are complex or partially unknown. The assumptions of perfect mixing, negligible heat losses, and long residence times</w:t>
      </w:r>
      <w:r w:rsidRPr="005B0027">
        <w:rPr>
          <w:rFonts w:cs="Arial"/>
        </w:rPr>
        <w:t>—</w:t>
      </w:r>
      <w:r>
        <w:t>commonly applied in equilibrium</w:t>
      </w:r>
      <w:r w:rsidRPr="005B0027">
        <w:rPr>
          <w:rFonts w:ascii="Cambria Math" w:hAnsi="Cambria Math" w:cs="Cambria Math"/>
        </w:rPr>
        <w:t>‑</w:t>
      </w:r>
      <w:r>
        <w:t>based pyrolysis models</w:t>
      </w:r>
      <w:r w:rsidRPr="005B0027">
        <w:rPr>
          <w:rFonts w:cs="Arial"/>
        </w:rPr>
        <w:t>—</w:t>
      </w:r>
      <w:r>
        <w:t xml:space="preserve">allowed reliable estimation of energy demands, product distribution, and reactor performance, in line with previous literature on equilibrium </w:t>
      </w:r>
      <w:r w:rsidR="00F9052A">
        <w:t>modelling</w:t>
      </w:r>
      <w:r>
        <w:t xml:space="preserve"> of biomass pyrolysis. The simulation of the thermochemical conversion section showed that the 1S process efficiently transforms AP into an activated carbon</w:t>
      </w:r>
      <w:r w:rsidRPr="005B0027">
        <w:rPr>
          <w:rFonts w:ascii="Cambria Math" w:hAnsi="Cambria Math" w:cs="Cambria Math"/>
        </w:rPr>
        <w:t>‑</w:t>
      </w:r>
      <w:r>
        <w:t>rich solid phase, consistent with the high fixed</w:t>
      </w:r>
      <w:r w:rsidRPr="005B0027">
        <w:rPr>
          <w:rFonts w:ascii="Cambria Math" w:hAnsi="Cambria Math" w:cs="Cambria Math"/>
        </w:rPr>
        <w:t>‑</w:t>
      </w:r>
      <w:r>
        <w:t>carbon content measured experimentally in the resulting ABC. The definition of biomass using proximate and ultimate analyses ensured accurate representation of its chemical structure, while the use of the PENG</w:t>
      </w:r>
      <w:r w:rsidRPr="005B0027">
        <w:rPr>
          <w:rFonts w:ascii="Cambria Math" w:hAnsi="Cambria Math" w:cs="Cambria Math"/>
        </w:rPr>
        <w:t>‑</w:t>
      </w:r>
      <w:r>
        <w:t>ROB thermodynamic model offered robust predictions for non</w:t>
      </w:r>
      <w:r w:rsidRPr="005B0027">
        <w:rPr>
          <w:rFonts w:ascii="Cambria Math" w:hAnsi="Cambria Math" w:cs="Cambria Math"/>
        </w:rPr>
        <w:t>‑</w:t>
      </w:r>
      <w:r>
        <w:t>ideal gas behaviour during high</w:t>
      </w:r>
      <w:r w:rsidRPr="005B0027">
        <w:rPr>
          <w:rFonts w:ascii="Cambria Math" w:hAnsi="Cambria Math" w:cs="Cambria Math"/>
        </w:rPr>
        <w:t>‑</w:t>
      </w:r>
      <w:r>
        <w:t>temperature conversions. The separation stage, engineered through a combination of cyclone, heat exchangers, and flash drum, confirmed appropriate thermal management of vapours and particulate separation. The two</w:t>
      </w:r>
      <w:r w:rsidRPr="005B0027">
        <w:rPr>
          <w:rFonts w:ascii="Cambria Math" w:hAnsi="Cambria Math" w:cs="Cambria Math"/>
        </w:rPr>
        <w:t>‑</w:t>
      </w:r>
      <w:r>
        <w:t>step cooling strategy</w:t>
      </w:r>
      <w:r w:rsidRPr="005B0027">
        <w:rPr>
          <w:rFonts w:cs="Arial"/>
        </w:rPr>
        <w:t>—</w:t>
      </w:r>
      <w:r>
        <w:t>first with air, then with water</w:t>
      </w:r>
      <w:r w:rsidRPr="005B0027">
        <w:rPr>
          <w:rFonts w:cs="Arial"/>
        </w:rPr>
        <w:t>—</w:t>
      </w:r>
      <w:r>
        <w:t>proved essential for ensuring energy efficiency, equipment protection, and partial condensation of volatile species, which aligns with optimal heat</w:t>
      </w:r>
      <w:r w:rsidRPr="005B0027">
        <w:rPr>
          <w:rFonts w:ascii="Cambria Math" w:hAnsi="Cambria Math" w:cs="Cambria Math"/>
        </w:rPr>
        <w:t>‑</w:t>
      </w:r>
      <w:r>
        <w:t>recovery design criteria for thermochemical systems.</w:t>
      </w:r>
    </w:p>
    <w:p w14:paraId="0636B784" w14:textId="1DAD3089" w:rsidR="00453E24" w:rsidRDefault="00EA1F9B" w:rsidP="00EA1F9B">
      <w:pPr>
        <w:pStyle w:val="CETheadingx"/>
        <w:numPr>
          <w:ilvl w:val="0"/>
          <w:numId w:val="0"/>
        </w:numPr>
      </w:pPr>
      <w:r>
        <w:t xml:space="preserve">3.1 </w:t>
      </w:r>
      <w:r w:rsidR="006B3BC8" w:rsidRPr="006B3BC8">
        <w:t>Techno-Economic Analysis results</w:t>
      </w:r>
    </w:p>
    <w:p w14:paraId="3B046E7B" w14:textId="77777777" w:rsidR="00A01AA8" w:rsidRDefault="006B3BC8" w:rsidP="00A01AA8">
      <w:r>
        <w:t xml:space="preserve">The key economic indicators of the proposed process are summarized in Table </w:t>
      </w:r>
      <w:r w:rsidR="00793192">
        <w:t>3</w:t>
      </w:r>
      <w:r>
        <w:t>, highlighting the major capital and operating cost components for the reference year 2025.</w:t>
      </w:r>
      <w:r w:rsidR="00A01AA8">
        <w:t xml:space="preserve"> </w:t>
      </w:r>
      <w:r w:rsidR="00A01AA8" w:rsidRPr="00702A0F">
        <w:t>The techno</w:t>
      </w:r>
      <w:r w:rsidR="00A01AA8" w:rsidRPr="00702A0F">
        <w:rPr>
          <w:rFonts w:ascii="Cambria Math" w:hAnsi="Cambria Math" w:cs="Cambria Math"/>
        </w:rPr>
        <w:t>‑</w:t>
      </w:r>
      <w:r w:rsidR="00A01AA8" w:rsidRPr="00702A0F">
        <w:t>economic indicators highlight that the proposed process can be implemented at industrial scale with reasonable investment and operating costs. The I</w:t>
      </w:r>
      <w:r w:rsidR="00A01AA8" w:rsidRPr="00702A0F">
        <w:rPr>
          <w:vertAlign w:val="subscript"/>
        </w:rPr>
        <w:t>0</w:t>
      </w:r>
      <w:r w:rsidR="00A01AA8" w:rsidRPr="00702A0F">
        <w:t xml:space="preserve"> (USD 2.23 million) and Total Installed Cost (USD 0.84 million) fall within the expected range for medium</w:t>
      </w:r>
      <w:r w:rsidR="00A01AA8" w:rsidRPr="00702A0F">
        <w:rPr>
          <w:rFonts w:ascii="Cambria Math" w:hAnsi="Cambria Math" w:cs="Cambria Math"/>
        </w:rPr>
        <w:t>‑</w:t>
      </w:r>
      <w:r w:rsidR="00A01AA8" w:rsidRPr="00702A0F">
        <w:t>scale activation plants handling approximately 100 kg/h of biomass feed (León et al., 2020). Operating costs are dominated by utilities and reactant consumption (mainly KOH), labour, and maintenance, together reaching around USD 995,891 per year. These values are comparable to those reported for similar chemically activated biochar production systems discussed in recent literature</w:t>
      </w:r>
      <w:r w:rsidR="00A01AA8">
        <w:t xml:space="preserve"> (León et al., 2020).</w:t>
      </w:r>
    </w:p>
    <w:p w14:paraId="74BEF687" w14:textId="4918DD80" w:rsidR="006B3BC8" w:rsidRDefault="006B3BC8" w:rsidP="006B3BC8"/>
    <w:p w14:paraId="5D048324" w14:textId="3584DE22" w:rsidR="006B3BC8" w:rsidRPr="000B2890" w:rsidRDefault="006B3BC8" w:rsidP="006B3BC8">
      <w:pPr>
        <w:pStyle w:val="CETTabletitle"/>
        <w:rPr>
          <w:szCs w:val="18"/>
        </w:rPr>
      </w:pPr>
      <w:r w:rsidRPr="000B2890">
        <w:rPr>
          <w:szCs w:val="18"/>
        </w:rPr>
        <w:lastRenderedPageBreak/>
        <w:t xml:space="preserve">Table </w:t>
      </w:r>
      <w:r w:rsidR="00793192">
        <w:rPr>
          <w:szCs w:val="18"/>
        </w:rPr>
        <w:t>3</w:t>
      </w:r>
      <w:r w:rsidRPr="000B2890">
        <w:rPr>
          <w:szCs w:val="18"/>
        </w:rPr>
        <w:t xml:space="preserve">: Techno-Economic Analysis results </w:t>
      </w:r>
    </w:p>
    <w:tbl>
      <w:tblPr>
        <w:tblW w:w="0" w:type="auto"/>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2410"/>
        <w:gridCol w:w="1559"/>
        <w:gridCol w:w="1418"/>
      </w:tblGrid>
      <w:tr w:rsidR="006B3BC8" w:rsidRPr="004A0418" w14:paraId="76C59646" w14:textId="77777777" w:rsidTr="003F3DDB">
        <w:tc>
          <w:tcPr>
            <w:tcW w:w="2410" w:type="dxa"/>
            <w:tcBorders>
              <w:top w:val="single" w:sz="12" w:space="0" w:color="008000"/>
              <w:bottom w:val="single" w:sz="6" w:space="0" w:color="008000"/>
            </w:tcBorders>
            <w:shd w:val="clear" w:color="auto" w:fill="FFFFFF"/>
          </w:tcPr>
          <w:p w14:paraId="1127DDB6" w14:textId="77777777" w:rsidR="006B3BC8" w:rsidRPr="001B4703" w:rsidRDefault="006B3BC8" w:rsidP="003F3DDB">
            <w:pPr>
              <w:pStyle w:val="CETBodytext"/>
              <w:rPr>
                <w:b/>
                <w:szCs w:val="18"/>
                <w:lang w:val="en-GB"/>
              </w:rPr>
            </w:pPr>
            <w:r w:rsidRPr="001B4703">
              <w:rPr>
                <w:b/>
                <w:szCs w:val="18"/>
                <w:lang w:val="en-GB"/>
              </w:rPr>
              <w:t xml:space="preserve">Parameter </w:t>
            </w:r>
          </w:p>
        </w:tc>
        <w:tc>
          <w:tcPr>
            <w:tcW w:w="1559" w:type="dxa"/>
            <w:tcBorders>
              <w:top w:val="single" w:sz="12" w:space="0" w:color="008000"/>
              <w:bottom w:val="single" w:sz="6" w:space="0" w:color="008000"/>
            </w:tcBorders>
            <w:shd w:val="clear" w:color="auto" w:fill="FFFFFF"/>
          </w:tcPr>
          <w:p w14:paraId="41715C98" w14:textId="77777777" w:rsidR="006B3BC8" w:rsidRPr="001B4703" w:rsidRDefault="006B3BC8" w:rsidP="003F3DDB">
            <w:pPr>
              <w:pStyle w:val="CETBodytext"/>
              <w:rPr>
                <w:b/>
                <w:szCs w:val="18"/>
                <w:lang w:val="en-GB"/>
              </w:rPr>
            </w:pPr>
            <w:r w:rsidRPr="001B4703">
              <w:rPr>
                <w:b/>
                <w:szCs w:val="18"/>
                <w:lang w:val="en-GB"/>
              </w:rPr>
              <w:t>Unit</w:t>
            </w:r>
          </w:p>
        </w:tc>
        <w:tc>
          <w:tcPr>
            <w:tcW w:w="1418" w:type="dxa"/>
            <w:tcBorders>
              <w:top w:val="single" w:sz="12" w:space="0" w:color="008000"/>
              <w:bottom w:val="single" w:sz="6" w:space="0" w:color="008000"/>
            </w:tcBorders>
            <w:shd w:val="clear" w:color="auto" w:fill="FFFFFF"/>
          </w:tcPr>
          <w:p w14:paraId="34FA0604" w14:textId="77777777" w:rsidR="006B3BC8" w:rsidRPr="001B4703" w:rsidRDefault="006B3BC8" w:rsidP="003F3DDB">
            <w:pPr>
              <w:pStyle w:val="CETBodytext"/>
              <w:rPr>
                <w:b/>
                <w:szCs w:val="18"/>
                <w:lang w:val="en-GB"/>
              </w:rPr>
            </w:pPr>
            <w:r w:rsidRPr="001B4703">
              <w:rPr>
                <w:b/>
                <w:szCs w:val="18"/>
                <w:lang w:val="en-GB"/>
              </w:rPr>
              <w:t>Value</w:t>
            </w:r>
          </w:p>
        </w:tc>
      </w:tr>
      <w:tr w:rsidR="006B3BC8" w:rsidRPr="004A0418" w14:paraId="125CE8BB" w14:textId="77777777" w:rsidTr="003F3DDB">
        <w:tc>
          <w:tcPr>
            <w:tcW w:w="2410" w:type="dxa"/>
            <w:shd w:val="clear" w:color="auto" w:fill="FFFFFF"/>
          </w:tcPr>
          <w:p w14:paraId="1522FEEF" w14:textId="799B7152" w:rsidR="006B3BC8" w:rsidRPr="001B4703" w:rsidRDefault="006B3BC8" w:rsidP="00702A0F">
            <w:pPr>
              <w:pStyle w:val="CETBodytext"/>
              <w:rPr>
                <w:szCs w:val="18"/>
                <w:lang w:val="en-GB"/>
              </w:rPr>
            </w:pPr>
            <w:r w:rsidRPr="001B4703">
              <w:rPr>
                <w:rFonts w:cs="Arial"/>
                <w:color w:val="000000"/>
                <w:szCs w:val="18"/>
                <w:lang w:eastAsia="fr-FR"/>
              </w:rPr>
              <w:t xml:space="preserve">Total Capital </w:t>
            </w:r>
            <w:r w:rsidR="00702A0F">
              <w:rPr>
                <w:rFonts w:cs="Arial"/>
                <w:color w:val="000000"/>
                <w:szCs w:val="18"/>
                <w:lang w:eastAsia="fr-FR"/>
              </w:rPr>
              <w:t>Investment</w:t>
            </w:r>
            <w:r w:rsidR="00D364D2">
              <w:rPr>
                <w:rFonts w:cs="Arial"/>
                <w:color w:val="000000"/>
                <w:szCs w:val="18"/>
                <w:lang w:eastAsia="fr-FR"/>
              </w:rPr>
              <w:t>,</w:t>
            </w:r>
            <w:r w:rsidRPr="001B4703">
              <w:rPr>
                <w:rFonts w:cs="Arial"/>
                <w:color w:val="000000"/>
                <w:szCs w:val="18"/>
                <w:lang w:eastAsia="fr-FR"/>
              </w:rPr>
              <w:t xml:space="preserve"> I</w:t>
            </w:r>
            <w:r w:rsidRPr="001B4703">
              <w:rPr>
                <w:rFonts w:cs="Arial"/>
                <w:color w:val="000000"/>
                <w:szCs w:val="18"/>
                <w:vertAlign w:val="subscript"/>
                <w:lang w:eastAsia="fr-FR"/>
              </w:rPr>
              <w:t>0</w:t>
            </w:r>
          </w:p>
        </w:tc>
        <w:tc>
          <w:tcPr>
            <w:tcW w:w="1559" w:type="dxa"/>
            <w:shd w:val="clear" w:color="auto" w:fill="FFFFFF"/>
          </w:tcPr>
          <w:p w14:paraId="7A9AC1E8" w14:textId="77777777" w:rsidR="006B3BC8" w:rsidRPr="001B4703" w:rsidRDefault="006B3BC8" w:rsidP="003F3DDB">
            <w:pPr>
              <w:pStyle w:val="CETBodytext"/>
              <w:rPr>
                <w:szCs w:val="18"/>
                <w:lang w:val="en-GB"/>
              </w:rPr>
            </w:pPr>
            <w:r w:rsidRPr="001B4703">
              <w:rPr>
                <w:rFonts w:cs="Arial"/>
                <w:color w:val="000000"/>
                <w:szCs w:val="18"/>
                <w:lang w:eastAsia="fr-FR"/>
              </w:rPr>
              <w:t>USD</w:t>
            </w:r>
          </w:p>
        </w:tc>
        <w:tc>
          <w:tcPr>
            <w:tcW w:w="1418" w:type="dxa"/>
            <w:shd w:val="clear" w:color="auto" w:fill="FFFFFF"/>
          </w:tcPr>
          <w:p w14:paraId="1E0DCC22" w14:textId="73D32E85" w:rsidR="006B3BC8" w:rsidRPr="001B4703" w:rsidRDefault="006B3BC8" w:rsidP="006B3BC8">
            <w:pPr>
              <w:pStyle w:val="CETBodytext"/>
              <w:rPr>
                <w:szCs w:val="18"/>
                <w:lang w:val="en-GB"/>
              </w:rPr>
            </w:pPr>
            <w:r w:rsidRPr="001B4703">
              <w:rPr>
                <w:rFonts w:cs="Arial"/>
                <w:color w:val="000000"/>
                <w:szCs w:val="18"/>
                <w:lang w:eastAsia="fr-FR"/>
              </w:rPr>
              <w:t>2</w:t>
            </w:r>
            <w:r>
              <w:rPr>
                <w:rFonts w:cs="Arial"/>
                <w:color w:val="000000"/>
                <w:szCs w:val="18"/>
                <w:lang w:eastAsia="fr-FR"/>
              </w:rPr>
              <w:t>,</w:t>
            </w:r>
            <w:r w:rsidRPr="001B4703">
              <w:rPr>
                <w:rFonts w:cs="Arial"/>
                <w:color w:val="000000"/>
                <w:szCs w:val="18"/>
                <w:lang w:eastAsia="fr-FR"/>
              </w:rPr>
              <w:t>233</w:t>
            </w:r>
            <w:r>
              <w:rPr>
                <w:rFonts w:cs="Arial"/>
                <w:color w:val="000000"/>
                <w:szCs w:val="18"/>
                <w:lang w:eastAsia="fr-FR"/>
              </w:rPr>
              <w:t>,</w:t>
            </w:r>
            <w:r w:rsidRPr="001B4703">
              <w:rPr>
                <w:rFonts w:cs="Arial"/>
                <w:color w:val="000000"/>
                <w:szCs w:val="18"/>
                <w:lang w:eastAsia="fr-FR"/>
              </w:rPr>
              <w:t>890</w:t>
            </w:r>
          </w:p>
        </w:tc>
      </w:tr>
      <w:tr w:rsidR="006B3BC8" w:rsidRPr="004A0418" w14:paraId="137DF735" w14:textId="77777777" w:rsidTr="003F3DDB">
        <w:tc>
          <w:tcPr>
            <w:tcW w:w="2410" w:type="dxa"/>
            <w:shd w:val="clear" w:color="auto" w:fill="FFFFFF"/>
          </w:tcPr>
          <w:p w14:paraId="11590024" w14:textId="77777777" w:rsidR="006B3BC8" w:rsidRPr="001B4703" w:rsidRDefault="006B3BC8" w:rsidP="003F3DDB">
            <w:pPr>
              <w:pStyle w:val="CETBodytext"/>
              <w:ind w:right="-1"/>
              <w:rPr>
                <w:rFonts w:cs="Arial"/>
                <w:szCs w:val="18"/>
                <w:lang w:val="en-GB"/>
              </w:rPr>
            </w:pPr>
            <w:r w:rsidRPr="001B4703">
              <w:rPr>
                <w:rFonts w:cs="Arial"/>
                <w:color w:val="000000"/>
                <w:szCs w:val="18"/>
                <w:lang w:eastAsia="fr-FR"/>
              </w:rPr>
              <w:t>Total Operating Cost</w:t>
            </w:r>
          </w:p>
        </w:tc>
        <w:tc>
          <w:tcPr>
            <w:tcW w:w="1559" w:type="dxa"/>
            <w:shd w:val="clear" w:color="auto" w:fill="FFFFFF"/>
          </w:tcPr>
          <w:p w14:paraId="1E670D04" w14:textId="77777777" w:rsidR="006B3BC8" w:rsidRPr="001B4703" w:rsidRDefault="006B3BC8" w:rsidP="003F3DDB">
            <w:pPr>
              <w:pStyle w:val="CETBodytext"/>
              <w:ind w:right="-1"/>
              <w:rPr>
                <w:rFonts w:cs="Arial"/>
                <w:szCs w:val="18"/>
                <w:lang w:val="en-GB"/>
              </w:rPr>
            </w:pPr>
            <w:r w:rsidRPr="001B4703">
              <w:rPr>
                <w:rFonts w:cs="Arial"/>
                <w:color w:val="000000"/>
                <w:szCs w:val="18"/>
                <w:lang w:eastAsia="fr-FR"/>
              </w:rPr>
              <w:t>USD/Year</w:t>
            </w:r>
          </w:p>
        </w:tc>
        <w:tc>
          <w:tcPr>
            <w:tcW w:w="1418" w:type="dxa"/>
            <w:shd w:val="clear" w:color="auto" w:fill="FFFFFF"/>
          </w:tcPr>
          <w:p w14:paraId="726B252C" w14:textId="04C5F8ED" w:rsidR="006B3BC8" w:rsidRPr="001B4703" w:rsidRDefault="006B3BC8" w:rsidP="006B3BC8">
            <w:pPr>
              <w:pStyle w:val="CETBodytext"/>
              <w:ind w:right="-1"/>
              <w:rPr>
                <w:rFonts w:cs="Arial"/>
                <w:szCs w:val="18"/>
                <w:lang w:val="en-GB"/>
              </w:rPr>
            </w:pPr>
            <w:r w:rsidRPr="001B4703">
              <w:rPr>
                <w:rFonts w:cs="Arial"/>
                <w:color w:val="000000"/>
                <w:szCs w:val="18"/>
                <w:lang w:eastAsia="fr-FR"/>
              </w:rPr>
              <w:t>995</w:t>
            </w:r>
            <w:r>
              <w:rPr>
                <w:rFonts w:cs="Arial"/>
                <w:color w:val="000000"/>
                <w:szCs w:val="18"/>
                <w:lang w:eastAsia="fr-FR"/>
              </w:rPr>
              <w:t>,</w:t>
            </w:r>
            <w:r w:rsidRPr="001B4703">
              <w:rPr>
                <w:rFonts w:cs="Arial"/>
                <w:color w:val="000000"/>
                <w:szCs w:val="18"/>
                <w:lang w:eastAsia="fr-FR"/>
              </w:rPr>
              <w:t>891</w:t>
            </w:r>
          </w:p>
        </w:tc>
      </w:tr>
      <w:tr w:rsidR="006B3BC8" w:rsidRPr="004A0418" w14:paraId="4A6E8687" w14:textId="77777777" w:rsidTr="003F3DDB">
        <w:tc>
          <w:tcPr>
            <w:tcW w:w="2410" w:type="dxa"/>
            <w:shd w:val="clear" w:color="auto" w:fill="FFFFFF"/>
          </w:tcPr>
          <w:p w14:paraId="62816738" w14:textId="77777777" w:rsidR="006B3BC8" w:rsidRPr="001B4703" w:rsidRDefault="006B3BC8" w:rsidP="003F3DDB">
            <w:pPr>
              <w:pStyle w:val="CETBodytext"/>
              <w:ind w:right="-1"/>
              <w:rPr>
                <w:rFonts w:cs="Arial"/>
                <w:color w:val="000000"/>
                <w:szCs w:val="18"/>
                <w:lang w:eastAsia="fr-FR"/>
              </w:rPr>
            </w:pPr>
            <w:r w:rsidRPr="001B4703">
              <w:rPr>
                <w:rFonts w:cs="Arial"/>
                <w:color w:val="000000"/>
                <w:szCs w:val="18"/>
                <w:lang w:eastAsia="fr-FR"/>
              </w:rPr>
              <w:t>Total Utilities Cost</w:t>
            </w:r>
          </w:p>
        </w:tc>
        <w:tc>
          <w:tcPr>
            <w:tcW w:w="1559" w:type="dxa"/>
            <w:shd w:val="clear" w:color="auto" w:fill="FFFFFF"/>
          </w:tcPr>
          <w:p w14:paraId="1961CDAD" w14:textId="77777777" w:rsidR="006B3BC8" w:rsidRPr="001B4703" w:rsidRDefault="006B3BC8" w:rsidP="003F3DDB">
            <w:pPr>
              <w:pStyle w:val="CETBodytext"/>
              <w:ind w:right="-1"/>
              <w:rPr>
                <w:rFonts w:cs="Arial"/>
                <w:szCs w:val="18"/>
                <w:lang w:val="en-GB"/>
              </w:rPr>
            </w:pPr>
            <w:r w:rsidRPr="001B4703">
              <w:rPr>
                <w:rFonts w:cs="Arial"/>
                <w:color w:val="000000"/>
                <w:szCs w:val="18"/>
                <w:lang w:eastAsia="fr-FR"/>
              </w:rPr>
              <w:t>USD/Year</w:t>
            </w:r>
          </w:p>
        </w:tc>
        <w:tc>
          <w:tcPr>
            <w:tcW w:w="1418" w:type="dxa"/>
            <w:shd w:val="clear" w:color="auto" w:fill="FFFFFF"/>
          </w:tcPr>
          <w:p w14:paraId="581C22C3" w14:textId="1538967B" w:rsidR="006B3BC8" w:rsidRPr="001B4703" w:rsidRDefault="006B3BC8" w:rsidP="006B3BC8">
            <w:pPr>
              <w:pStyle w:val="CETBodytext"/>
              <w:ind w:right="-1"/>
              <w:rPr>
                <w:rFonts w:cs="Arial"/>
                <w:szCs w:val="18"/>
                <w:lang w:val="en-GB"/>
              </w:rPr>
            </w:pPr>
            <w:r w:rsidRPr="001B4703">
              <w:rPr>
                <w:rFonts w:cs="Arial"/>
                <w:color w:val="000000"/>
                <w:szCs w:val="18"/>
                <w:lang w:eastAsia="fr-FR"/>
              </w:rPr>
              <w:t>40</w:t>
            </w:r>
            <w:r>
              <w:rPr>
                <w:rFonts w:cs="Arial"/>
                <w:color w:val="000000"/>
                <w:szCs w:val="18"/>
                <w:lang w:eastAsia="fr-FR"/>
              </w:rPr>
              <w:t>,</w:t>
            </w:r>
            <w:r w:rsidRPr="001B4703">
              <w:rPr>
                <w:rFonts w:cs="Arial"/>
                <w:color w:val="000000"/>
                <w:szCs w:val="18"/>
                <w:lang w:eastAsia="fr-FR"/>
              </w:rPr>
              <w:t>427</w:t>
            </w:r>
          </w:p>
        </w:tc>
      </w:tr>
      <w:tr w:rsidR="006B3BC8" w:rsidRPr="004A0418" w14:paraId="7DB7490D" w14:textId="77777777" w:rsidTr="003F3DDB">
        <w:tc>
          <w:tcPr>
            <w:tcW w:w="2410" w:type="dxa"/>
            <w:shd w:val="clear" w:color="auto" w:fill="FFFFFF"/>
          </w:tcPr>
          <w:p w14:paraId="0D2BD445" w14:textId="77777777" w:rsidR="006B3BC8" w:rsidRPr="001B4703" w:rsidRDefault="006B3BC8" w:rsidP="003F3DDB">
            <w:pPr>
              <w:pStyle w:val="CETBodytext"/>
              <w:ind w:right="-1"/>
              <w:rPr>
                <w:rFonts w:cs="Arial"/>
                <w:color w:val="000000"/>
                <w:szCs w:val="18"/>
                <w:lang w:eastAsia="fr-FR"/>
              </w:rPr>
            </w:pPr>
            <w:r w:rsidRPr="001B4703">
              <w:rPr>
                <w:rFonts w:cs="Arial"/>
                <w:color w:val="000000"/>
                <w:szCs w:val="18"/>
                <w:lang w:eastAsia="fr-FR"/>
              </w:rPr>
              <w:t>Desired Rate of Return</w:t>
            </w:r>
          </w:p>
        </w:tc>
        <w:tc>
          <w:tcPr>
            <w:tcW w:w="1559" w:type="dxa"/>
            <w:shd w:val="clear" w:color="auto" w:fill="FFFFFF"/>
          </w:tcPr>
          <w:p w14:paraId="657B0BC5" w14:textId="77777777" w:rsidR="006B3BC8" w:rsidRPr="001B4703" w:rsidRDefault="006B3BC8" w:rsidP="003F3DDB">
            <w:pPr>
              <w:pStyle w:val="CETBodytext"/>
              <w:ind w:right="-1"/>
              <w:rPr>
                <w:rFonts w:cs="Arial"/>
                <w:color w:val="000000"/>
                <w:szCs w:val="18"/>
                <w:lang w:eastAsia="fr-FR"/>
              </w:rPr>
            </w:pPr>
            <w:r w:rsidRPr="001B4703">
              <w:rPr>
                <w:rFonts w:cs="Arial"/>
                <w:color w:val="000000"/>
                <w:szCs w:val="18"/>
                <w:lang w:eastAsia="fr-FR"/>
              </w:rPr>
              <w:t>Percent/Year</w:t>
            </w:r>
          </w:p>
        </w:tc>
        <w:tc>
          <w:tcPr>
            <w:tcW w:w="1418" w:type="dxa"/>
            <w:shd w:val="clear" w:color="auto" w:fill="FFFFFF"/>
          </w:tcPr>
          <w:p w14:paraId="3C7F60F4" w14:textId="77777777" w:rsidR="006B3BC8" w:rsidRPr="001B4703" w:rsidRDefault="006B3BC8" w:rsidP="003F3DDB">
            <w:pPr>
              <w:pStyle w:val="CETBodytext"/>
              <w:ind w:right="-1"/>
              <w:rPr>
                <w:rFonts w:cs="Arial"/>
                <w:szCs w:val="18"/>
                <w:lang w:val="en-GB"/>
              </w:rPr>
            </w:pPr>
            <w:r w:rsidRPr="001B4703">
              <w:rPr>
                <w:rFonts w:cs="Arial"/>
                <w:szCs w:val="18"/>
                <w:lang w:val="en-GB"/>
              </w:rPr>
              <w:t>20</w:t>
            </w:r>
          </w:p>
        </w:tc>
      </w:tr>
      <w:tr w:rsidR="006B3BC8" w:rsidRPr="004A0418" w14:paraId="0728E7DF" w14:textId="77777777" w:rsidTr="003F3DDB">
        <w:tc>
          <w:tcPr>
            <w:tcW w:w="2410" w:type="dxa"/>
            <w:shd w:val="clear" w:color="auto" w:fill="FFFFFF"/>
          </w:tcPr>
          <w:p w14:paraId="7B7A84CF" w14:textId="77777777" w:rsidR="006B3BC8" w:rsidRPr="001B4703" w:rsidRDefault="006B3BC8" w:rsidP="003F3DDB">
            <w:pPr>
              <w:pStyle w:val="CETBodytext"/>
              <w:ind w:right="-1"/>
              <w:rPr>
                <w:rFonts w:cs="Arial"/>
                <w:color w:val="000000"/>
                <w:szCs w:val="18"/>
                <w:lang w:eastAsia="fr-FR"/>
              </w:rPr>
            </w:pPr>
            <w:r w:rsidRPr="001B4703">
              <w:rPr>
                <w:rFonts w:cs="Arial"/>
                <w:color w:val="000000"/>
                <w:szCs w:val="18"/>
                <w:lang w:eastAsia="fr-FR"/>
              </w:rPr>
              <w:t>Equipment Cost</w:t>
            </w:r>
          </w:p>
        </w:tc>
        <w:tc>
          <w:tcPr>
            <w:tcW w:w="1559" w:type="dxa"/>
            <w:shd w:val="clear" w:color="auto" w:fill="FFFFFF"/>
          </w:tcPr>
          <w:p w14:paraId="2645FA9A" w14:textId="77777777" w:rsidR="006B3BC8" w:rsidRPr="001B4703" w:rsidRDefault="006B3BC8" w:rsidP="003F3DDB">
            <w:pPr>
              <w:pStyle w:val="CETBodytext"/>
              <w:ind w:right="-1"/>
              <w:rPr>
                <w:rFonts w:cs="Arial"/>
                <w:color w:val="000000"/>
                <w:szCs w:val="18"/>
                <w:lang w:eastAsia="fr-FR"/>
              </w:rPr>
            </w:pPr>
            <w:r w:rsidRPr="001B4703">
              <w:rPr>
                <w:rFonts w:cs="Arial"/>
                <w:color w:val="000000"/>
                <w:szCs w:val="18"/>
                <w:lang w:eastAsia="fr-FR"/>
              </w:rPr>
              <w:t>USD</w:t>
            </w:r>
          </w:p>
        </w:tc>
        <w:tc>
          <w:tcPr>
            <w:tcW w:w="1418" w:type="dxa"/>
            <w:shd w:val="clear" w:color="auto" w:fill="FFFFFF"/>
          </w:tcPr>
          <w:p w14:paraId="65ABB418" w14:textId="6EE1F355" w:rsidR="006B3BC8" w:rsidRPr="001B4703" w:rsidRDefault="006B3BC8" w:rsidP="006B3BC8">
            <w:pPr>
              <w:pStyle w:val="CETBodytext"/>
              <w:ind w:right="-1"/>
              <w:rPr>
                <w:rFonts w:cs="Arial"/>
                <w:szCs w:val="18"/>
                <w:lang w:val="en-GB"/>
              </w:rPr>
            </w:pPr>
            <w:r w:rsidRPr="001B4703">
              <w:rPr>
                <w:rFonts w:cs="Arial"/>
                <w:szCs w:val="18"/>
                <w:lang w:val="en-GB"/>
              </w:rPr>
              <w:t>453</w:t>
            </w:r>
            <w:r>
              <w:rPr>
                <w:rFonts w:cs="Arial"/>
                <w:szCs w:val="18"/>
                <w:lang w:val="en-GB"/>
              </w:rPr>
              <w:t>,</w:t>
            </w:r>
            <w:r w:rsidRPr="001B4703">
              <w:rPr>
                <w:rFonts w:cs="Arial"/>
                <w:szCs w:val="18"/>
                <w:lang w:val="en-GB"/>
              </w:rPr>
              <w:t>800</w:t>
            </w:r>
          </w:p>
        </w:tc>
      </w:tr>
      <w:tr w:rsidR="006B3BC8" w:rsidRPr="004A0418" w14:paraId="638158C1" w14:textId="77777777" w:rsidTr="003F3DDB">
        <w:tc>
          <w:tcPr>
            <w:tcW w:w="2410" w:type="dxa"/>
            <w:shd w:val="clear" w:color="auto" w:fill="FFFFFF"/>
          </w:tcPr>
          <w:p w14:paraId="4753FFBF" w14:textId="77777777" w:rsidR="006B3BC8" w:rsidRPr="001B4703" w:rsidRDefault="006B3BC8" w:rsidP="00F863BB">
            <w:pPr>
              <w:pStyle w:val="CETBodytext"/>
              <w:ind w:right="-1"/>
              <w:rPr>
                <w:rFonts w:cs="Arial"/>
                <w:color w:val="000000"/>
                <w:szCs w:val="18"/>
                <w:lang w:eastAsia="fr-FR"/>
              </w:rPr>
            </w:pPr>
            <w:r w:rsidRPr="00B37E59">
              <w:rPr>
                <w:rFonts w:cs="Arial"/>
                <w:color w:val="000000"/>
                <w:szCs w:val="18"/>
                <w:lang w:eastAsia="fr-FR"/>
              </w:rPr>
              <w:t>Total Installed Cost</w:t>
            </w:r>
          </w:p>
        </w:tc>
        <w:tc>
          <w:tcPr>
            <w:tcW w:w="1559" w:type="dxa"/>
            <w:shd w:val="clear" w:color="auto" w:fill="FFFFFF"/>
          </w:tcPr>
          <w:p w14:paraId="7C8722E4" w14:textId="77777777" w:rsidR="006B3BC8" w:rsidRPr="001B4703" w:rsidRDefault="006B3BC8" w:rsidP="00F863BB">
            <w:pPr>
              <w:pStyle w:val="CETBodytext"/>
              <w:ind w:right="-1"/>
              <w:rPr>
                <w:rFonts w:cs="Arial"/>
                <w:color w:val="000000"/>
                <w:szCs w:val="18"/>
                <w:lang w:eastAsia="fr-FR"/>
              </w:rPr>
            </w:pPr>
            <w:r w:rsidRPr="001B4703">
              <w:rPr>
                <w:rFonts w:cs="Arial"/>
                <w:color w:val="000000"/>
                <w:szCs w:val="18"/>
                <w:lang w:eastAsia="fr-FR"/>
              </w:rPr>
              <w:t>USD</w:t>
            </w:r>
          </w:p>
        </w:tc>
        <w:tc>
          <w:tcPr>
            <w:tcW w:w="1418" w:type="dxa"/>
            <w:shd w:val="clear" w:color="auto" w:fill="FFFFFF"/>
          </w:tcPr>
          <w:p w14:paraId="6752833B" w14:textId="6E44399E" w:rsidR="006B3BC8" w:rsidRPr="001B4703" w:rsidRDefault="006B3BC8" w:rsidP="00F863BB">
            <w:pPr>
              <w:pStyle w:val="CETBodytext"/>
              <w:ind w:right="-1"/>
              <w:rPr>
                <w:rFonts w:cs="Arial"/>
                <w:szCs w:val="18"/>
                <w:lang w:val="en-GB"/>
              </w:rPr>
            </w:pPr>
            <w:r w:rsidRPr="001B4703">
              <w:rPr>
                <w:rFonts w:cs="Arial"/>
                <w:szCs w:val="18"/>
                <w:lang w:val="en-GB"/>
              </w:rPr>
              <w:t>841</w:t>
            </w:r>
            <w:r>
              <w:rPr>
                <w:rFonts w:cs="Arial"/>
                <w:szCs w:val="18"/>
                <w:lang w:val="en-GB"/>
              </w:rPr>
              <w:t>,</w:t>
            </w:r>
            <w:r w:rsidRPr="001B4703">
              <w:rPr>
                <w:rFonts w:cs="Arial"/>
                <w:szCs w:val="18"/>
                <w:lang w:val="en-GB"/>
              </w:rPr>
              <w:t>000</w:t>
            </w:r>
          </w:p>
        </w:tc>
      </w:tr>
    </w:tbl>
    <w:p w14:paraId="7436DAA6" w14:textId="77777777" w:rsidR="006B3BC8" w:rsidRDefault="006B3BC8" w:rsidP="00F863BB"/>
    <w:p w14:paraId="7C2B0064" w14:textId="4494463C" w:rsidR="00453E24" w:rsidRDefault="006B3BC8" w:rsidP="00F863BB">
      <w:pPr>
        <w:pStyle w:val="CETBodytext"/>
      </w:pPr>
      <w:r w:rsidRPr="006B3BC8">
        <w:t xml:space="preserve">Table </w:t>
      </w:r>
      <w:r w:rsidR="00793192">
        <w:t>4</w:t>
      </w:r>
      <w:r w:rsidRPr="006B3BC8">
        <w:t xml:space="preserve"> summarizes the economic assumptions adopted for the Net Present Value (NPV) analysis, including the project lifetime, discount rate, operating costs, depreciation, and annual revenues, which serve as the basis for evaluating the long-term economic feasibility of the studied process.</w:t>
      </w:r>
    </w:p>
    <w:p w14:paraId="793273F3" w14:textId="579E19EA" w:rsidR="00BC3C37" w:rsidRPr="000B2890" w:rsidRDefault="00BC3C37" w:rsidP="00BC3C37">
      <w:pPr>
        <w:pStyle w:val="CETTabletitle"/>
        <w:rPr>
          <w:szCs w:val="18"/>
        </w:rPr>
      </w:pPr>
      <w:r w:rsidRPr="000B2890">
        <w:rPr>
          <w:szCs w:val="18"/>
        </w:rPr>
        <w:t xml:space="preserve">Table </w:t>
      </w:r>
      <w:r w:rsidR="00793192">
        <w:rPr>
          <w:szCs w:val="18"/>
        </w:rPr>
        <w:t>4</w:t>
      </w:r>
      <w:r w:rsidRPr="000B2890">
        <w:rPr>
          <w:szCs w:val="18"/>
        </w:rPr>
        <w:t xml:space="preserve">: </w:t>
      </w:r>
      <w:r w:rsidR="00F863BB" w:rsidRPr="000B2890">
        <w:rPr>
          <w:szCs w:val="18"/>
        </w:rPr>
        <w:t xml:space="preserve">Assumptions and results for the </w:t>
      </w:r>
      <w:r w:rsidR="008641BB" w:rsidRPr="000B2890">
        <w:rPr>
          <w:szCs w:val="18"/>
        </w:rPr>
        <w:t xml:space="preserve">Net Present Value (NPV) analysis </w:t>
      </w:r>
    </w:p>
    <w:tbl>
      <w:tblPr>
        <w:tblW w:w="0" w:type="auto"/>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2410"/>
        <w:gridCol w:w="1559"/>
        <w:gridCol w:w="1418"/>
      </w:tblGrid>
      <w:tr w:rsidR="00BC3C37" w:rsidRPr="004A0418" w14:paraId="4DFB5078" w14:textId="77777777" w:rsidTr="003F3DDB">
        <w:tc>
          <w:tcPr>
            <w:tcW w:w="2410" w:type="dxa"/>
            <w:tcBorders>
              <w:top w:val="single" w:sz="12" w:space="0" w:color="008000"/>
              <w:bottom w:val="single" w:sz="6" w:space="0" w:color="008000"/>
            </w:tcBorders>
            <w:shd w:val="clear" w:color="auto" w:fill="FFFFFF"/>
          </w:tcPr>
          <w:p w14:paraId="1F973BAC" w14:textId="77777777" w:rsidR="00BC3C37" w:rsidRPr="001B4703" w:rsidRDefault="00BC3C37" w:rsidP="003F3DDB">
            <w:pPr>
              <w:pStyle w:val="CETBodytext"/>
              <w:rPr>
                <w:b/>
                <w:szCs w:val="18"/>
                <w:lang w:val="en-GB"/>
              </w:rPr>
            </w:pPr>
            <w:r w:rsidRPr="001B4703">
              <w:rPr>
                <w:b/>
                <w:szCs w:val="18"/>
                <w:lang w:val="en-GB"/>
              </w:rPr>
              <w:t xml:space="preserve">Parameter </w:t>
            </w:r>
          </w:p>
        </w:tc>
        <w:tc>
          <w:tcPr>
            <w:tcW w:w="1559" w:type="dxa"/>
            <w:tcBorders>
              <w:top w:val="single" w:sz="12" w:space="0" w:color="008000"/>
              <w:bottom w:val="single" w:sz="6" w:space="0" w:color="008000"/>
            </w:tcBorders>
            <w:shd w:val="clear" w:color="auto" w:fill="FFFFFF"/>
          </w:tcPr>
          <w:p w14:paraId="07D8FBD9" w14:textId="77777777" w:rsidR="00BC3C37" w:rsidRPr="001B4703" w:rsidRDefault="00BC3C37" w:rsidP="003F3DDB">
            <w:pPr>
              <w:pStyle w:val="CETBodytext"/>
              <w:rPr>
                <w:b/>
                <w:szCs w:val="18"/>
                <w:lang w:val="en-GB"/>
              </w:rPr>
            </w:pPr>
            <w:r w:rsidRPr="001B4703">
              <w:rPr>
                <w:b/>
                <w:szCs w:val="18"/>
                <w:lang w:val="en-GB"/>
              </w:rPr>
              <w:t>Unit</w:t>
            </w:r>
          </w:p>
        </w:tc>
        <w:tc>
          <w:tcPr>
            <w:tcW w:w="1418" w:type="dxa"/>
            <w:tcBorders>
              <w:top w:val="single" w:sz="12" w:space="0" w:color="008000"/>
              <w:bottom w:val="single" w:sz="6" w:space="0" w:color="008000"/>
            </w:tcBorders>
            <w:shd w:val="clear" w:color="auto" w:fill="FFFFFF"/>
          </w:tcPr>
          <w:p w14:paraId="2A425673" w14:textId="77777777" w:rsidR="00BC3C37" w:rsidRPr="001B4703" w:rsidRDefault="00BC3C37" w:rsidP="003F3DDB">
            <w:pPr>
              <w:pStyle w:val="CETBodytext"/>
              <w:rPr>
                <w:b/>
                <w:szCs w:val="18"/>
                <w:lang w:val="en-GB"/>
              </w:rPr>
            </w:pPr>
            <w:r w:rsidRPr="001B4703">
              <w:rPr>
                <w:b/>
                <w:szCs w:val="18"/>
                <w:lang w:val="en-GB"/>
              </w:rPr>
              <w:t>Value</w:t>
            </w:r>
          </w:p>
        </w:tc>
      </w:tr>
      <w:tr w:rsidR="00BC3C37" w:rsidRPr="00702A0F" w14:paraId="6584CF57" w14:textId="77777777" w:rsidTr="003F3DDB">
        <w:tc>
          <w:tcPr>
            <w:tcW w:w="2410" w:type="dxa"/>
            <w:shd w:val="clear" w:color="auto" w:fill="FFFFFF"/>
          </w:tcPr>
          <w:p w14:paraId="3D4AEB81" w14:textId="6F6DB46D" w:rsidR="00BC3C37" w:rsidRPr="00702A0F" w:rsidRDefault="00D364D2" w:rsidP="008641BB">
            <w:pPr>
              <w:pStyle w:val="CETBodytext"/>
              <w:rPr>
                <w:szCs w:val="18"/>
                <w:lang w:val="en-GB"/>
              </w:rPr>
            </w:pPr>
            <w:r w:rsidRPr="00702A0F">
              <w:rPr>
                <w:rFonts w:cs="Arial"/>
                <w:color w:val="000000"/>
                <w:szCs w:val="18"/>
                <w:lang w:eastAsia="fr-FR"/>
              </w:rPr>
              <w:t xml:space="preserve">Project lifetime, </w:t>
            </w:r>
            <w:r w:rsidR="008641BB" w:rsidRPr="00702A0F">
              <w:rPr>
                <w:rFonts w:cs="Arial"/>
                <w:color w:val="000000"/>
                <w:szCs w:val="18"/>
                <w:lang w:eastAsia="fr-FR"/>
              </w:rPr>
              <w:t>T</w:t>
            </w:r>
          </w:p>
        </w:tc>
        <w:tc>
          <w:tcPr>
            <w:tcW w:w="1559" w:type="dxa"/>
            <w:shd w:val="clear" w:color="auto" w:fill="FFFFFF"/>
          </w:tcPr>
          <w:p w14:paraId="7E397A84" w14:textId="3B1D2101" w:rsidR="00BC3C37" w:rsidRPr="00702A0F" w:rsidRDefault="008641BB" w:rsidP="003F3DDB">
            <w:pPr>
              <w:pStyle w:val="CETBodytext"/>
              <w:rPr>
                <w:szCs w:val="18"/>
                <w:lang w:val="en-GB"/>
              </w:rPr>
            </w:pPr>
            <w:r w:rsidRPr="00702A0F">
              <w:rPr>
                <w:rFonts w:cs="Arial"/>
                <w:color w:val="000000"/>
                <w:szCs w:val="18"/>
                <w:lang w:eastAsia="fr-FR"/>
              </w:rPr>
              <w:t>Year</w:t>
            </w:r>
          </w:p>
        </w:tc>
        <w:tc>
          <w:tcPr>
            <w:tcW w:w="1418" w:type="dxa"/>
            <w:shd w:val="clear" w:color="auto" w:fill="FFFFFF"/>
          </w:tcPr>
          <w:p w14:paraId="7E1E252B" w14:textId="44BA389A" w:rsidR="00BC3C37" w:rsidRPr="00702A0F" w:rsidRDefault="008641BB" w:rsidP="003F3DDB">
            <w:pPr>
              <w:pStyle w:val="CETBodytext"/>
              <w:rPr>
                <w:szCs w:val="18"/>
                <w:lang w:val="en-GB"/>
              </w:rPr>
            </w:pPr>
            <w:r w:rsidRPr="00702A0F">
              <w:rPr>
                <w:szCs w:val="18"/>
                <w:lang w:val="en-GB"/>
              </w:rPr>
              <w:t>20</w:t>
            </w:r>
          </w:p>
        </w:tc>
      </w:tr>
      <w:tr w:rsidR="00BC3C37" w:rsidRPr="00702A0F" w14:paraId="4CE5F639" w14:textId="77777777" w:rsidTr="003F3DDB">
        <w:tc>
          <w:tcPr>
            <w:tcW w:w="2410" w:type="dxa"/>
            <w:shd w:val="clear" w:color="auto" w:fill="FFFFFF"/>
          </w:tcPr>
          <w:p w14:paraId="33132C06" w14:textId="51D1B5A5" w:rsidR="00BC3C37" w:rsidRPr="00702A0F" w:rsidRDefault="003F3DDB" w:rsidP="003F3DDB">
            <w:pPr>
              <w:pStyle w:val="CETBodytext"/>
              <w:ind w:right="-1"/>
              <w:rPr>
                <w:rFonts w:cs="Arial"/>
                <w:szCs w:val="18"/>
                <w:lang w:val="en-GB"/>
              </w:rPr>
            </w:pPr>
            <w:r w:rsidRPr="00702A0F">
              <w:rPr>
                <w:rFonts w:cs="Arial"/>
                <w:color w:val="000000"/>
                <w:szCs w:val="18"/>
                <w:lang w:eastAsia="fr-FR"/>
              </w:rPr>
              <w:t>Discount rate</w:t>
            </w:r>
            <w:r w:rsidR="00D364D2" w:rsidRPr="00702A0F">
              <w:rPr>
                <w:rFonts w:cs="Arial"/>
                <w:color w:val="000000"/>
                <w:szCs w:val="18"/>
                <w:lang w:eastAsia="fr-FR"/>
              </w:rPr>
              <w:t xml:space="preserve">, </w:t>
            </w:r>
            <w:r w:rsidRPr="00702A0F">
              <w:rPr>
                <w:rFonts w:cs="Arial"/>
                <w:color w:val="000000"/>
                <w:szCs w:val="18"/>
                <w:lang w:eastAsia="fr-FR"/>
              </w:rPr>
              <w:t>i</w:t>
            </w:r>
          </w:p>
        </w:tc>
        <w:tc>
          <w:tcPr>
            <w:tcW w:w="1559" w:type="dxa"/>
            <w:shd w:val="clear" w:color="auto" w:fill="FFFFFF"/>
          </w:tcPr>
          <w:p w14:paraId="018CBFD8" w14:textId="49BEBB85" w:rsidR="00BC3C37" w:rsidRPr="00702A0F" w:rsidRDefault="008641BB" w:rsidP="003F3DDB">
            <w:pPr>
              <w:pStyle w:val="CETBodytext"/>
              <w:ind w:right="-1"/>
              <w:rPr>
                <w:rFonts w:cs="Arial"/>
                <w:szCs w:val="18"/>
                <w:lang w:val="en-GB"/>
              </w:rPr>
            </w:pPr>
            <w:r w:rsidRPr="00702A0F">
              <w:rPr>
                <w:rFonts w:cs="Arial"/>
                <w:szCs w:val="18"/>
                <w:lang w:val="en-GB"/>
              </w:rPr>
              <w:t>%</w:t>
            </w:r>
          </w:p>
        </w:tc>
        <w:tc>
          <w:tcPr>
            <w:tcW w:w="1418" w:type="dxa"/>
            <w:shd w:val="clear" w:color="auto" w:fill="FFFFFF"/>
          </w:tcPr>
          <w:p w14:paraId="0FA876E5" w14:textId="0475B2E5" w:rsidR="00BC3C37" w:rsidRPr="00702A0F" w:rsidRDefault="008641BB" w:rsidP="003F3DDB">
            <w:pPr>
              <w:pStyle w:val="CETBodytext"/>
              <w:ind w:right="-1"/>
              <w:rPr>
                <w:rFonts w:cs="Arial"/>
                <w:szCs w:val="18"/>
                <w:lang w:val="en-GB"/>
              </w:rPr>
            </w:pPr>
            <w:r w:rsidRPr="00702A0F">
              <w:rPr>
                <w:rFonts w:cs="Arial"/>
                <w:szCs w:val="18"/>
                <w:lang w:val="en-GB"/>
              </w:rPr>
              <w:t>10</w:t>
            </w:r>
          </w:p>
        </w:tc>
      </w:tr>
      <w:tr w:rsidR="00BC3C37" w:rsidRPr="00702A0F" w14:paraId="4C7608AE" w14:textId="77777777" w:rsidTr="003F3DDB">
        <w:tc>
          <w:tcPr>
            <w:tcW w:w="2410" w:type="dxa"/>
            <w:shd w:val="clear" w:color="auto" w:fill="FFFFFF"/>
          </w:tcPr>
          <w:p w14:paraId="2D23D58B" w14:textId="63215B1C" w:rsidR="00BC3C37" w:rsidRPr="00702A0F" w:rsidRDefault="008641BB" w:rsidP="003F3DDB">
            <w:pPr>
              <w:pStyle w:val="CETBodytext"/>
              <w:ind w:right="-1"/>
              <w:rPr>
                <w:rFonts w:cs="Arial"/>
                <w:color w:val="000000"/>
                <w:szCs w:val="18"/>
                <w:lang w:eastAsia="fr-FR"/>
              </w:rPr>
            </w:pPr>
            <w:r w:rsidRPr="00702A0F">
              <w:rPr>
                <w:rFonts w:cs="Arial"/>
                <w:color w:val="000000"/>
                <w:szCs w:val="18"/>
                <w:lang w:eastAsia="fr-FR"/>
              </w:rPr>
              <w:t>E</w:t>
            </w:r>
            <w:r w:rsidR="00D364D2" w:rsidRPr="00702A0F">
              <w:rPr>
                <w:rFonts w:cs="Arial"/>
                <w:color w:val="000000"/>
                <w:szCs w:val="18"/>
                <w:lang w:eastAsia="fr-FR"/>
              </w:rPr>
              <w:t>xpenditure, E</w:t>
            </w:r>
          </w:p>
        </w:tc>
        <w:tc>
          <w:tcPr>
            <w:tcW w:w="1559" w:type="dxa"/>
            <w:shd w:val="clear" w:color="auto" w:fill="FFFFFF"/>
          </w:tcPr>
          <w:p w14:paraId="52C3F5C9" w14:textId="59EB8D2B" w:rsidR="00BC3C37" w:rsidRPr="00702A0F" w:rsidRDefault="008641BB" w:rsidP="003F3DDB">
            <w:pPr>
              <w:pStyle w:val="CETBodytext"/>
              <w:ind w:right="-1"/>
              <w:rPr>
                <w:rFonts w:cs="Arial"/>
                <w:szCs w:val="18"/>
                <w:lang w:val="en-GB"/>
              </w:rPr>
            </w:pPr>
            <w:r w:rsidRPr="00702A0F">
              <w:rPr>
                <w:rFonts w:cs="Arial"/>
                <w:color w:val="000000"/>
                <w:szCs w:val="18"/>
                <w:lang w:eastAsia="fr-FR"/>
              </w:rPr>
              <w:t>USD/Year</w:t>
            </w:r>
          </w:p>
        </w:tc>
        <w:tc>
          <w:tcPr>
            <w:tcW w:w="1418" w:type="dxa"/>
            <w:shd w:val="clear" w:color="auto" w:fill="FFFFFF"/>
          </w:tcPr>
          <w:p w14:paraId="42B8F404" w14:textId="320FDCB9" w:rsidR="00BC3C37" w:rsidRPr="00702A0F" w:rsidRDefault="008641BB" w:rsidP="003F3DDB">
            <w:pPr>
              <w:pStyle w:val="CETBodytext"/>
              <w:ind w:right="-1"/>
              <w:rPr>
                <w:rFonts w:cs="Arial"/>
                <w:szCs w:val="18"/>
                <w:lang w:val="en-GB"/>
              </w:rPr>
            </w:pPr>
            <w:r w:rsidRPr="00702A0F">
              <w:rPr>
                <w:rFonts w:cs="Arial"/>
                <w:szCs w:val="18"/>
                <w:lang w:val="en-GB"/>
              </w:rPr>
              <w:t>874,805</w:t>
            </w:r>
          </w:p>
        </w:tc>
      </w:tr>
      <w:tr w:rsidR="00BC3C37" w:rsidRPr="00702A0F" w14:paraId="1A7872FA" w14:textId="77777777" w:rsidTr="003F3DDB">
        <w:tc>
          <w:tcPr>
            <w:tcW w:w="2410" w:type="dxa"/>
            <w:shd w:val="clear" w:color="auto" w:fill="FFFFFF"/>
          </w:tcPr>
          <w:p w14:paraId="6737E322" w14:textId="41C73A6B" w:rsidR="00BC3C37" w:rsidRPr="00702A0F" w:rsidRDefault="00D364D2" w:rsidP="00D364D2">
            <w:pPr>
              <w:pStyle w:val="CETBodytext"/>
              <w:ind w:right="-1"/>
              <w:rPr>
                <w:rFonts w:cs="Arial"/>
                <w:color w:val="000000"/>
                <w:szCs w:val="18"/>
                <w:lang w:eastAsia="fr-FR"/>
              </w:rPr>
            </w:pPr>
            <w:r w:rsidRPr="00702A0F">
              <w:rPr>
                <w:szCs w:val="18"/>
              </w:rPr>
              <w:t>Annual Revenue,</w:t>
            </w:r>
            <w:r w:rsidRPr="00702A0F">
              <w:rPr>
                <w:rFonts w:cs="Arial"/>
                <w:color w:val="000000"/>
                <w:szCs w:val="18"/>
                <w:lang w:eastAsia="fr-FR"/>
              </w:rPr>
              <w:t xml:space="preserve"> </w:t>
            </w:r>
            <w:r w:rsidR="008641BB" w:rsidRPr="00702A0F">
              <w:rPr>
                <w:rFonts w:cs="Arial"/>
                <w:color w:val="000000"/>
                <w:szCs w:val="18"/>
                <w:lang w:eastAsia="fr-FR"/>
              </w:rPr>
              <w:t>R</w:t>
            </w:r>
          </w:p>
        </w:tc>
        <w:tc>
          <w:tcPr>
            <w:tcW w:w="1559" w:type="dxa"/>
            <w:shd w:val="clear" w:color="auto" w:fill="FFFFFF"/>
          </w:tcPr>
          <w:p w14:paraId="66118D14" w14:textId="3C93A32E" w:rsidR="00BC3C37" w:rsidRPr="00702A0F" w:rsidRDefault="008641BB" w:rsidP="003F3DDB">
            <w:pPr>
              <w:pStyle w:val="CETBodytext"/>
              <w:ind w:right="-1"/>
              <w:rPr>
                <w:rFonts w:cs="Arial"/>
                <w:color w:val="000000"/>
                <w:szCs w:val="18"/>
                <w:lang w:eastAsia="fr-FR"/>
              </w:rPr>
            </w:pPr>
            <w:r w:rsidRPr="00702A0F">
              <w:rPr>
                <w:rFonts w:cs="Arial"/>
                <w:color w:val="000000"/>
                <w:szCs w:val="18"/>
                <w:lang w:eastAsia="fr-FR"/>
              </w:rPr>
              <w:t>USD/Year</w:t>
            </w:r>
          </w:p>
        </w:tc>
        <w:tc>
          <w:tcPr>
            <w:tcW w:w="1418" w:type="dxa"/>
            <w:shd w:val="clear" w:color="auto" w:fill="FFFFFF"/>
          </w:tcPr>
          <w:p w14:paraId="4A5E3086" w14:textId="53AFBBD9" w:rsidR="00BC3C37" w:rsidRPr="00702A0F" w:rsidRDefault="008641BB" w:rsidP="003F3DDB">
            <w:pPr>
              <w:pStyle w:val="CETBodytext"/>
              <w:ind w:right="-1"/>
              <w:rPr>
                <w:rFonts w:cs="Arial"/>
                <w:szCs w:val="18"/>
                <w:lang w:val="en-GB"/>
              </w:rPr>
            </w:pPr>
            <w:r w:rsidRPr="00702A0F">
              <w:rPr>
                <w:rFonts w:cs="Arial"/>
                <w:szCs w:val="18"/>
                <w:lang w:val="en-GB"/>
              </w:rPr>
              <w:t>891,953</w:t>
            </w:r>
          </w:p>
        </w:tc>
      </w:tr>
      <w:tr w:rsidR="00BC3C37" w:rsidRPr="00702A0F" w14:paraId="4746A804" w14:textId="77777777" w:rsidTr="003F3DDB">
        <w:tc>
          <w:tcPr>
            <w:tcW w:w="2410" w:type="dxa"/>
            <w:shd w:val="clear" w:color="auto" w:fill="FFFFFF"/>
          </w:tcPr>
          <w:p w14:paraId="19DFA2AF" w14:textId="50850104" w:rsidR="00BC3C37" w:rsidRPr="00702A0F" w:rsidRDefault="00D364D2" w:rsidP="003F3DDB">
            <w:pPr>
              <w:pStyle w:val="CETBodytext"/>
              <w:ind w:right="-1"/>
              <w:rPr>
                <w:rFonts w:cs="Arial"/>
                <w:color w:val="000000"/>
                <w:szCs w:val="18"/>
                <w:lang w:eastAsia="fr-FR"/>
              </w:rPr>
            </w:pPr>
            <w:r w:rsidRPr="00702A0F">
              <w:rPr>
                <w:rFonts w:cs="Arial"/>
                <w:color w:val="000000"/>
                <w:szCs w:val="18"/>
                <w:lang w:eastAsia="fr-FR"/>
              </w:rPr>
              <w:t xml:space="preserve">Cash Flow, </w:t>
            </w:r>
            <w:r w:rsidR="008641BB" w:rsidRPr="00702A0F">
              <w:rPr>
                <w:rFonts w:cs="Arial"/>
                <w:color w:val="000000"/>
                <w:szCs w:val="18"/>
                <w:lang w:eastAsia="fr-FR"/>
              </w:rPr>
              <w:t>CF</w:t>
            </w:r>
            <w:r w:rsidR="008641BB" w:rsidRPr="00702A0F">
              <w:rPr>
                <w:rFonts w:cs="Arial"/>
                <w:color w:val="000000"/>
                <w:szCs w:val="18"/>
                <w:vertAlign w:val="subscript"/>
                <w:lang w:eastAsia="fr-FR"/>
              </w:rPr>
              <w:t>n</w:t>
            </w:r>
          </w:p>
        </w:tc>
        <w:tc>
          <w:tcPr>
            <w:tcW w:w="1559" w:type="dxa"/>
            <w:shd w:val="clear" w:color="auto" w:fill="FFFFFF"/>
          </w:tcPr>
          <w:p w14:paraId="3370E074" w14:textId="12E7233C" w:rsidR="00BC3C37" w:rsidRPr="00702A0F" w:rsidRDefault="008641BB" w:rsidP="003F3DDB">
            <w:pPr>
              <w:pStyle w:val="CETBodytext"/>
              <w:ind w:right="-1"/>
              <w:rPr>
                <w:rFonts w:cs="Arial"/>
                <w:color w:val="000000"/>
                <w:szCs w:val="18"/>
                <w:lang w:eastAsia="fr-FR"/>
              </w:rPr>
            </w:pPr>
            <w:r w:rsidRPr="00702A0F">
              <w:rPr>
                <w:rFonts w:cs="Arial"/>
                <w:color w:val="000000"/>
                <w:szCs w:val="18"/>
                <w:lang w:eastAsia="fr-FR"/>
              </w:rPr>
              <w:t>USD/Year</w:t>
            </w:r>
          </w:p>
        </w:tc>
        <w:tc>
          <w:tcPr>
            <w:tcW w:w="1418" w:type="dxa"/>
            <w:shd w:val="clear" w:color="auto" w:fill="FFFFFF"/>
          </w:tcPr>
          <w:p w14:paraId="0C5F838E" w14:textId="7AB85332" w:rsidR="00BC3C37" w:rsidRPr="00702A0F" w:rsidRDefault="008641BB" w:rsidP="003F3DDB">
            <w:pPr>
              <w:pStyle w:val="CETBodytext"/>
              <w:ind w:right="-1"/>
              <w:rPr>
                <w:rFonts w:cs="Arial"/>
                <w:szCs w:val="18"/>
                <w:lang w:val="en-GB"/>
              </w:rPr>
            </w:pPr>
            <w:r w:rsidRPr="00702A0F">
              <w:rPr>
                <w:rFonts w:cs="Arial"/>
                <w:szCs w:val="18"/>
                <w:lang w:val="en-GB"/>
              </w:rPr>
              <w:t>17,148</w:t>
            </w:r>
          </w:p>
        </w:tc>
      </w:tr>
      <w:tr w:rsidR="00BC3C37" w:rsidRPr="00702A0F" w14:paraId="15D23C9F" w14:textId="77777777" w:rsidTr="003F3DDB">
        <w:tc>
          <w:tcPr>
            <w:tcW w:w="2410" w:type="dxa"/>
            <w:shd w:val="clear" w:color="auto" w:fill="FFFFFF"/>
          </w:tcPr>
          <w:p w14:paraId="7CA87B97" w14:textId="579C1F8A" w:rsidR="00BC3C37" w:rsidRPr="00702A0F" w:rsidRDefault="008641BB" w:rsidP="003F3DDB">
            <w:pPr>
              <w:pStyle w:val="CETBodytext"/>
              <w:ind w:right="-1"/>
              <w:rPr>
                <w:rFonts w:cs="Arial"/>
                <w:color w:val="000000"/>
                <w:szCs w:val="18"/>
                <w:lang w:eastAsia="fr-FR"/>
              </w:rPr>
            </w:pPr>
            <w:r w:rsidRPr="00702A0F">
              <w:rPr>
                <w:rFonts w:cs="Arial"/>
                <w:color w:val="000000"/>
                <w:szCs w:val="18"/>
                <w:lang w:eastAsia="fr-FR"/>
              </w:rPr>
              <w:t>NPV</w:t>
            </w:r>
          </w:p>
        </w:tc>
        <w:tc>
          <w:tcPr>
            <w:tcW w:w="1559" w:type="dxa"/>
            <w:shd w:val="clear" w:color="auto" w:fill="FFFFFF"/>
          </w:tcPr>
          <w:p w14:paraId="669A3D66" w14:textId="483F5E3B" w:rsidR="00BC3C37" w:rsidRPr="00702A0F" w:rsidRDefault="008641BB" w:rsidP="003F3DDB">
            <w:pPr>
              <w:pStyle w:val="CETBodytext"/>
              <w:ind w:right="-1"/>
              <w:rPr>
                <w:rFonts w:cs="Arial"/>
                <w:color w:val="000000"/>
                <w:szCs w:val="18"/>
                <w:lang w:eastAsia="fr-FR"/>
              </w:rPr>
            </w:pPr>
            <w:r w:rsidRPr="00702A0F">
              <w:rPr>
                <w:rFonts w:cs="Arial"/>
                <w:color w:val="000000"/>
                <w:szCs w:val="18"/>
                <w:lang w:eastAsia="fr-FR"/>
              </w:rPr>
              <w:t>USD/Year</w:t>
            </w:r>
          </w:p>
        </w:tc>
        <w:tc>
          <w:tcPr>
            <w:tcW w:w="1418" w:type="dxa"/>
            <w:shd w:val="clear" w:color="auto" w:fill="FFFFFF"/>
          </w:tcPr>
          <w:p w14:paraId="46326179" w14:textId="11C8DB58" w:rsidR="00BC3C37" w:rsidRPr="00702A0F" w:rsidRDefault="008641BB" w:rsidP="003F3DDB">
            <w:pPr>
              <w:pStyle w:val="CETBodytext"/>
              <w:ind w:right="-1"/>
              <w:rPr>
                <w:rFonts w:cs="Arial"/>
                <w:szCs w:val="18"/>
                <w:lang w:val="en-GB"/>
              </w:rPr>
            </w:pPr>
            <w:r w:rsidRPr="00702A0F">
              <w:rPr>
                <w:rFonts w:cs="Arial"/>
                <w:szCs w:val="18"/>
                <w:lang w:val="en-GB"/>
              </w:rPr>
              <w:t>29,055</w:t>
            </w:r>
          </w:p>
        </w:tc>
      </w:tr>
    </w:tbl>
    <w:p w14:paraId="6729C3A2" w14:textId="77777777" w:rsidR="00F863BB" w:rsidRPr="00702A0F" w:rsidRDefault="00F863BB" w:rsidP="00F863BB"/>
    <w:p w14:paraId="383124D6" w14:textId="3C375EB2" w:rsidR="00BA5D01" w:rsidRDefault="00902EA4" w:rsidP="00902EA4">
      <w:r>
        <w:t>The financial performance indicators demonstrate that the large</w:t>
      </w:r>
      <w:r>
        <w:rPr>
          <w:rFonts w:ascii="Cambria Math" w:hAnsi="Cambria Math" w:cs="Cambria Math"/>
        </w:rPr>
        <w:t>‑</w:t>
      </w:r>
      <w:r>
        <w:t>scale implementation of the process is viable. Annual revenues derived from ABC sales (~USD 892,000/year) exceed the total expenditures (~USD 875,000/year), generating a positive annual cash flow and yielding a Net Present Value (NPV) of USD 29,055 over a 20</w:t>
      </w:r>
      <w:r>
        <w:rPr>
          <w:rFonts w:ascii="Cambria Math" w:hAnsi="Cambria Math" w:cs="Cambria Math"/>
        </w:rPr>
        <w:t>‑</w:t>
      </w:r>
      <w:r>
        <w:t>year project life. Although the resulting cash flow margin is modest, the positive NPV indicates that the process provides economic gains under the assumed conditions. This finding is consistent with recently published analyses on the economic viability of engineered biochar systems, where profitability typically depends on optimized process integration, minimized activation agent losses, and market prices for high</w:t>
      </w:r>
      <w:r>
        <w:rPr>
          <w:rFonts w:ascii="Cambria Math" w:hAnsi="Cambria Math" w:cs="Cambria Math"/>
        </w:rPr>
        <w:t>‑</w:t>
      </w:r>
      <w:r>
        <w:t>surface</w:t>
      </w:r>
      <w:r>
        <w:rPr>
          <w:rFonts w:ascii="Cambria Math" w:hAnsi="Cambria Math" w:cs="Cambria Math"/>
        </w:rPr>
        <w:t>‑</w:t>
      </w:r>
      <w:r>
        <w:t>area sorbents</w:t>
      </w:r>
      <w:r w:rsidR="00BA5D01">
        <w:t xml:space="preserve"> (</w:t>
      </w:r>
      <w:r w:rsidR="00BA5D01" w:rsidRPr="00F9052A">
        <w:t>Gamaralalage et al., 2025)</w:t>
      </w:r>
      <w:r>
        <w:t>.</w:t>
      </w:r>
    </w:p>
    <w:p w14:paraId="269F236F" w14:textId="30538F76" w:rsidR="00902EA4" w:rsidRDefault="00902EA4" w:rsidP="00902EA4">
      <w:r>
        <w:t>Importantly, the competitiveness of the produced ABC is reinforced by the high adsorption efficiency (&gt;95% MB removal) reported in the experimental study supporting this work. This performance positions AP</w:t>
      </w:r>
      <w:r>
        <w:rPr>
          <w:rFonts w:ascii="Cambria Math" w:hAnsi="Cambria Math" w:cs="Cambria Math"/>
        </w:rPr>
        <w:t>‑</w:t>
      </w:r>
      <w:r>
        <w:t xml:space="preserve">derived ABC as a technically robust alternative to commercial activated carbons, particularly in water treatment applications. Combined with the low cost and high availability of agricultural residues, the 1S process emerges as an attractive </w:t>
      </w:r>
      <w:r w:rsidR="00BA5D01">
        <w:t>valorisation</w:t>
      </w:r>
      <w:r>
        <w:t xml:space="preserve"> pathway aligned with circular</w:t>
      </w:r>
      <w:r>
        <w:rPr>
          <w:rFonts w:ascii="Cambria Math" w:hAnsi="Cambria Math" w:cs="Cambria Math"/>
        </w:rPr>
        <w:t>‑</w:t>
      </w:r>
      <w:r>
        <w:t>economy and carbon</w:t>
      </w:r>
      <w:r>
        <w:rPr>
          <w:rFonts w:ascii="Cambria Math" w:hAnsi="Cambria Math" w:cs="Cambria Math"/>
        </w:rPr>
        <w:t>‑</w:t>
      </w:r>
      <w:r>
        <w:t>sequestration strategies. The ability to operate with simplified processing steps—compared to traditional two</w:t>
      </w:r>
      <w:r>
        <w:rPr>
          <w:rFonts w:ascii="Cambria Math" w:hAnsi="Cambria Math" w:cs="Cambria Math"/>
        </w:rPr>
        <w:t>‑</w:t>
      </w:r>
      <w:r>
        <w:t>stage activation</w:t>
      </w:r>
      <w:r>
        <w:rPr>
          <w:rFonts w:cs="Arial"/>
        </w:rPr>
        <w:t>—</w:t>
      </w:r>
      <w:r>
        <w:t>further enhances scalability and reduces environmental footprint.</w:t>
      </w:r>
    </w:p>
    <w:p w14:paraId="088A134E" w14:textId="21107919" w:rsidR="00600535" w:rsidRPr="00B57B36" w:rsidRDefault="00902EA4" w:rsidP="00902EA4">
      <w:r>
        <w:t>Overall, the integrated simulation</w:t>
      </w:r>
      <w:r>
        <w:rPr>
          <w:rFonts w:ascii="Cambria Math" w:hAnsi="Cambria Math" w:cs="Cambria Math"/>
        </w:rPr>
        <w:t>‑</w:t>
      </w:r>
      <w:r>
        <w:t>plus</w:t>
      </w:r>
      <w:r>
        <w:rPr>
          <w:rFonts w:ascii="Cambria Math" w:hAnsi="Cambria Math" w:cs="Cambria Math"/>
        </w:rPr>
        <w:t>‑</w:t>
      </w:r>
      <w:r>
        <w:t>TEA approach used in this study proves useful for identifying cost drivers, optimizing equipment sizing, and highlighting bottlenecks that may affect full</w:t>
      </w:r>
      <w:r>
        <w:rPr>
          <w:rFonts w:ascii="Cambria Math" w:hAnsi="Cambria Math" w:cs="Cambria Math"/>
        </w:rPr>
        <w:t>‑</w:t>
      </w:r>
      <w:r>
        <w:t xml:space="preserve">scale implementation. Future work should focus on refining reaction kinetics beyond equilibrium assumptions, evaluating different activation agent recovery strategies, and performing environmental assessments such as life cycle analysis (LCA) to fully quantify the sustainability benefits of the </w:t>
      </w:r>
      <w:r w:rsidR="00BA5D01">
        <w:t>process.</w:t>
      </w:r>
      <w:r w:rsidR="00F863BB" w:rsidRPr="00F863BB">
        <w:t xml:space="preserve">  </w:t>
      </w:r>
    </w:p>
    <w:p w14:paraId="68D26B83" w14:textId="102BA7BB" w:rsidR="00600535" w:rsidRPr="00B57B36" w:rsidRDefault="00EA1F9B" w:rsidP="00EA1F9B">
      <w:pPr>
        <w:pStyle w:val="CETHeading1"/>
        <w:numPr>
          <w:ilvl w:val="0"/>
          <w:numId w:val="0"/>
        </w:numPr>
        <w:rPr>
          <w:lang w:val="en-GB"/>
        </w:rPr>
      </w:pPr>
      <w:r>
        <w:rPr>
          <w:lang w:val="en-GB"/>
        </w:rPr>
        <w:t xml:space="preserve">4. </w:t>
      </w:r>
      <w:r w:rsidR="00600535" w:rsidRPr="00B57B36">
        <w:rPr>
          <w:lang w:val="en-GB"/>
        </w:rPr>
        <w:t>Conclusions</w:t>
      </w:r>
    </w:p>
    <w:p w14:paraId="7A91966B" w14:textId="77777777" w:rsidR="00DA2710" w:rsidRPr="00DA2710" w:rsidRDefault="00DA2710" w:rsidP="00DA2710">
      <w:pPr>
        <w:pStyle w:val="CETBodytext"/>
        <w:rPr>
          <w:lang w:val="en-GB"/>
        </w:rPr>
      </w:pPr>
      <w:r w:rsidRPr="00DA2710">
        <w:rPr>
          <w:lang w:val="en-GB"/>
        </w:rPr>
        <w:t>This study assessed the technical and economic feasibility of producing activated biochar from apple pruning waste through a one</w:t>
      </w:r>
      <w:r w:rsidRPr="00DA2710">
        <w:rPr>
          <w:rFonts w:ascii="Cambria Math" w:hAnsi="Cambria Math" w:cs="Cambria Math"/>
          <w:lang w:val="en-GB"/>
        </w:rPr>
        <w:t>‑</w:t>
      </w:r>
      <w:r w:rsidRPr="00DA2710">
        <w:rPr>
          <w:lang w:val="en-GB"/>
        </w:rPr>
        <w:t>step thermochemical activation process at industrial scale. The Aspen Plus</w:t>
      </w:r>
      <w:r w:rsidRPr="00DA2710">
        <w:rPr>
          <w:rFonts w:cs="Arial"/>
          <w:lang w:val="en-GB"/>
        </w:rPr>
        <w:t>®</w:t>
      </w:r>
      <w:r w:rsidRPr="00DA2710">
        <w:rPr>
          <w:lang w:val="en-GB"/>
        </w:rPr>
        <w:t xml:space="preserve"> model successfully reproduced the transformation of lignocellulosic biomass under high</w:t>
      </w:r>
      <w:r w:rsidRPr="00DA2710">
        <w:rPr>
          <w:rFonts w:ascii="Cambria Math" w:hAnsi="Cambria Math" w:cs="Cambria Math"/>
          <w:lang w:val="en-GB"/>
        </w:rPr>
        <w:t>‑</w:t>
      </w:r>
      <w:r w:rsidRPr="00DA2710">
        <w:rPr>
          <w:lang w:val="en-GB"/>
        </w:rPr>
        <w:t>temperature activation conditions, providing reliable mass and energy balances that served as the basis for the techno</w:t>
      </w:r>
      <w:r w:rsidRPr="00DA2710">
        <w:rPr>
          <w:rFonts w:ascii="Cambria Math" w:hAnsi="Cambria Math" w:cs="Cambria Math"/>
          <w:lang w:val="en-GB"/>
        </w:rPr>
        <w:t>‑</w:t>
      </w:r>
      <w:r w:rsidRPr="00DA2710">
        <w:rPr>
          <w:lang w:val="en-GB"/>
        </w:rPr>
        <w:t>economic evaluation. The 1S process proved capable of generating a high</w:t>
      </w:r>
      <w:r w:rsidRPr="00DA2710">
        <w:rPr>
          <w:rFonts w:ascii="Cambria Math" w:hAnsi="Cambria Math" w:cs="Cambria Math"/>
          <w:lang w:val="en-GB"/>
        </w:rPr>
        <w:t>‑</w:t>
      </w:r>
      <w:r w:rsidRPr="00DA2710">
        <w:rPr>
          <w:lang w:val="en-GB"/>
        </w:rPr>
        <w:t>quality activated biochar suitable for pollutant adsorption, supported by previous experimental validation.</w:t>
      </w:r>
    </w:p>
    <w:p w14:paraId="3E448367" w14:textId="77777777" w:rsidR="00DA2710" w:rsidRPr="00DA2710" w:rsidRDefault="00DA2710" w:rsidP="00DA2710">
      <w:pPr>
        <w:pStyle w:val="CETBodytext"/>
        <w:rPr>
          <w:lang w:val="en-GB"/>
        </w:rPr>
      </w:pPr>
      <w:r w:rsidRPr="00DA2710">
        <w:rPr>
          <w:lang w:val="en-GB"/>
        </w:rPr>
        <w:t>The techno</w:t>
      </w:r>
      <w:r w:rsidRPr="00DA2710">
        <w:rPr>
          <w:rFonts w:ascii="Cambria Math" w:hAnsi="Cambria Math" w:cs="Cambria Math"/>
          <w:lang w:val="en-GB"/>
        </w:rPr>
        <w:t>‑</w:t>
      </w:r>
      <w:r w:rsidRPr="00DA2710">
        <w:rPr>
          <w:lang w:val="en-GB"/>
        </w:rPr>
        <w:t>economic analysis confirmed that the proposed system is financially viable, achieving a positive NPV of USD 29,055 over a 20</w:t>
      </w:r>
      <w:r w:rsidRPr="00DA2710">
        <w:rPr>
          <w:rFonts w:ascii="Cambria Math" w:hAnsi="Cambria Math" w:cs="Cambria Math"/>
          <w:lang w:val="en-GB"/>
        </w:rPr>
        <w:t>‑</w:t>
      </w:r>
      <w:r w:rsidRPr="00DA2710">
        <w:rPr>
          <w:lang w:val="en-GB"/>
        </w:rPr>
        <w:t>year operation horizon. Capital and operating costs fall within the expected range for similar biochar production plants, and annual revenues from ABC sales sufficiently offset expenditures, resulting in a small but positive annual cash flow. These results indicate that the scaled</w:t>
      </w:r>
      <w:r w:rsidRPr="00DA2710">
        <w:rPr>
          <w:rFonts w:ascii="Cambria Math" w:hAnsi="Cambria Math" w:cs="Cambria Math"/>
          <w:lang w:val="en-GB"/>
        </w:rPr>
        <w:t>‑</w:t>
      </w:r>
      <w:r w:rsidRPr="00DA2710">
        <w:rPr>
          <w:lang w:val="en-GB"/>
        </w:rPr>
        <w:t>up production of ABC from AP waste can be a competitive and sustainable industrial solution.</w:t>
      </w:r>
    </w:p>
    <w:p w14:paraId="52DAFDE0" w14:textId="38A24561" w:rsidR="001D0CFB" w:rsidRDefault="00DA2710" w:rsidP="00DA2710">
      <w:pPr>
        <w:pStyle w:val="CETBodytext"/>
        <w:rPr>
          <w:lang w:val="en-GB"/>
        </w:rPr>
      </w:pPr>
      <w:r w:rsidRPr="00DA2710">
        <w:rPr>
          <w:lang w:val="en-GB"/>
        </w:rPr>
        <w:lastRenderedPageBreak/>
        <w:t xml:space="preserve">In addition to its economic feasibility, the process provides environmental advantages by </w:t>
      </w:r>
      <w:r w:rsidR="00F9052A" w:rsidRPr="00DA2710">
        <w:rPr>
          <w:lang w:val="en-GB"/>
        </w:rPr>
        <w:t>valorising</w:t>
      </w:r>
      <w:r w:rsidRPr="00DA2710">
        <w:rPr>
          <w:lang w:val="en-GB"/>
        </w:rPr>
        <w:t xml:space="preserve"> agricultural residues and producing a high</w:t>
      </w:r>
      <w:r w:rsidRPr="00DA2710">
        <w:rPr>
          <w:rFonts w:ascii="Cambria Math" w:hAnsi="Cambria Math" w:cs="Cambria Math"/>
          <w:lang w:val="en-GB"/>
        </w:rPr>
        <w:t>‑</w:t>
      </w:r>
      <w:r w:rsidRPr="00DA2710">
        <w:rPr>
          <w:lang w:val="en-GB"/>
        </w:rPr>
        <w:t>performance sorbent for wastewater remediation. The combined carbonization</w:t>
      </w:r>
      <w:r w:rsidRPr="00DA2710">
        <w:rPr>
          <w:rFonts w:cs="Arial"/>
          <w:lang w:val="en-GB"/>
        </w:rPr>
        <w:t>–</w:t>
      </w:r>
      <w:r w:rsidRPr="00DA2710">
        <w:rPr>
          <w:lang w:val="en-GB"/>
        </w:rPr>
        <w:t>activation in a single step simplifies the process, reduces energy consumption, and enhances the potential for industrial deployment. Overall, this work demonstrates that AP</w:t>
      </w:r>
      <w:r w:rsidRPr="00DA2710">
        <w:rPr>
          <w:rFonts w:ascii="Cambria Math" w:hAnsi="Cambria Math" w:cs="Cambria Math"/>
          <w:lang w:val="en-GB"/>
        </w:rPr>
        <w:t>‑</w:t>
      </w:r>
      <w:r w:rsidRPr="00DA2710">
        <w:rPr>
          <w:lang w:val="en-GB"/>
        </w:rPr>
        <w:t>derived ABC has strong potential to contribute to circular bioeconomy strategies and offers a viable pathway for large</w:t>
      </w:r>
      <w:r w:rsidRPr="00DA2710">
        <w:rPr>
          <w:rFonts w:ascii="Cambria Math" w:hAnsi="Cambria Math" w:cs="Cambria Math"/>
          <w:lang w:val="en-GB"/>
        </w:rPr>
        <w:t>‑</w:t>
      </w:r>
      <w:r w:rsidRPr="00DA2710">
        <w:rPr>
          <w:lang w:val="en-GB"/>
        </w:rPr>
        <w:t>scale application in environmental treatment technologies.</w:t>
      </w:r>
    </w:p>
    <w:p w14:paraId="459D05E6" w14:textId="77777777" w:rsidR="00600535" w:rsidRPr="00B57B36" w:rsidRDefault="00600535" w:rsidP="00600535">
      <w:pPr>
        <w:pStyle w:val="CETAcknowledgementstitle"/>
      </w:pPr>
      <w:r w:rsidRPr="00B57B36">
        <w:t>Acknowledgments</w:t>
      </w:r>
    </w:p>
    <w:p w14:paraId="24876D8A" w14:textId="03C14210" w:rsidR="00C24AF1" w:rsidRPr="00B57B36" w:rsidRDefault="00F863BB" w:rsidP="00F863BB">
      <w:pPr>
        <w:pStyle w:val="CETBodytext"/>
        <w:rPr>
          <w:lang w:val="en-GB"/>
        </w:rPr>
      </w:pPr>
      <w:r w:rsidRPr="00F863BB">
        <w:rPr>
          <w:lang w:val="en-GB"/>
        </w:rPr>
        <w:t xml:space="preserve">This research has been founded by the Gipuzkoa’s Provincial Government under the program “Etorkizuna Eraikiz” 2024/2025. Ameni Ben Salah acknowledges the funding by the University of the Basque Country, EHU (PIF24-262). </w:t>
      </w:r>
    </w:p>
    <w:p w14:paraId="4F1327F8" w14:textId="77777777" w:rsidR="00600535" w:rsidRDefault="00600535" w:rsidP="00600535">
      <w:pPr>
        <w:pStyle w:val="CETReference"/>
      </w:pPr>
      <w:r w:rsidRPr="00B57B36">
        <w:t>References</w:t>
      </w:r>
    </w:p>
    <w:p w14:paraId="332235A7" w14:textId="77777777" w:rsidR="00590632" w:rsidRPr="00F45219" w:rsidRDefault="00590632" w:rsidP="00590632">
      <w:pPr>
        <w:pStyle w:val="CETReferencetext"/>
        <w:rPr>
          <w:szCs w:val="18"/>
        </w:rPr>
      </w:pPr>
      <w:r w:rsidRPr="00F45219">
        <w:rPr>
          <w:szCs w:val="18"/>
        </w:rPr>
        <w:t>Adeniyi A.G., Iwuozo K.O., Emenike E.C., Ogunniyi S., Amoloyee M.A., Sagboye P.A., 2023. One-step chemical activation for the production of engineered orange peel biochar. Emergent Mater 6:211–221. DOI: 10.1007/s42247-022-00442-3.</w:t>
      </w:r>
    </w:p>
    <w:p w14:paraId="42711286" w14:textId="77777777" w:rsidR="00590632" w:rsidRPr="00F45219" w:rsidRDefault="00590632" w:rsidP="00590632">
      <w:pPr>
        <w:pStyle w:val="CETReferencetext"/>
        <w:rPr>
          <w:szCs w:val="18"/>
        </w:rPr>
      </w:pPr>
      <w:r w:rsidRPr="00702A0F">
        <w:rPr>
          <w:szCs w:val="18"/>
          <w:lang w:val="es-ES"/>
        </w:rPr>
        <w:t xml:space="preserve">Ben Salah A., Antxustegi M.M., Corro E., Volpe R., Gonzalez-Alriols M., 2026. </w:t>
      </w:r>
      <w:r w:rsidRPr="00F45219">
        <w:rPr>
          <w:szCs w:val="18"/>
        </w:rPr>
        <w:t>A competitive approach for the production of activated carbons from lignocellulosic biomass. Clean Techn Environ Policy 28, 4. DOI: 10.1007/s10098-025-03400-9</w:t>
      </w:r>
    </w:p>
    <w:p w14:paraId="06E063C4" w14:textId="77777777" w:rsidR="00590632" w:rsidRPr="00F45219" w:rsidRDefault="00590632" w:rsidP="00590632">
      <w:pPr>
        <w:pStyle w:val="CETReferencetext"/>
        <w:rPr>
          <w:szCs w:val="18"/>
        </w:rPr>
      </w:pPr>
      <w:r w:rsidRPr="00F45219">
        <w:rPr>
          <w:szCs w:val="18"/>
        </w:rPr>
        <w:t xml:space="preserve">Corro E., Antxustegi M., Murua Berrio J., Gonzalez Alriols M., 2024, Residual Lignocellulosic Biomass Based Activated Biochar: Comparison Between Single and Two Step Thermochemical and Activation Processes, Chemical Engineering Transactions, 109, 217–222. DOI: 10.3303/CET24109037 </w:t>
      </w:r>
    </w:p>
    <w:p w14:paraId="69601BCF" w14:textId="77777777" w:rsidR="00590632" w:rsidRPr="00F45219" w:rsidRDefault="00590632" w:rsidP="00590632">
      <w:pPr>
        <w:pStyle w:val="CETReferencetext"/>
        <w:rPr>
          <w:szCs w:val="18"/>
        </w:rPr>
      </w:pPr>
      <w:r w:rsidRPr="00F45219">
        <w:rPr>
          <w:szCs w:val="18"/>
        </w:rPr>
        <w:t>Craig K.R., Mann M.K., 1996. Cost and Performance Analysis of Biomass-Based Integrated Gasification Combined-Cycle (BIGCC) Power Systems. National Renewable Energy Laboratory. NREL/TP-430-21657. Available at: https://docs.nrel.gov/docs/legosti/fy97/21657.pdf.</w:t>
      </w:r>
    </w:p>
    <w:p w14:paraId="2717CA96" w14:textId="77777777" w:rsidR="00590632" w:rsidRPr="00F45219" w:rsidRDefault="00590632" w:rsidP="00590632">
      <w:pPr>
        <w:pStyle w:val="CETReferencetext"/>
        <w:rPr>
          <w:szCs w:val="18"/>
        </w:rPr>
      </w:pPr>
      <w:r w:rsidRPr="00F45219">
        <w:rPr>
          <w:szCs w:val="18"/>
        </w:rPr>
        <w:t>Domanski C., 2020. Cost Engineering: A Practical Method for Sustainable Profit Generation in Manufacturing (1st ed.). CRC Press. https://doi.org/10.1201/9781003013877.</w:t>
      </w:r>
    </w:p>
    <w:p w14:paraId="56C3B608" w14:textId="77777777" w:rsidR="00590632" w:rsidRPr="00F45219" w:rsidRDefault="00590632" w:rsidP="00590632">
      <w:pPr>
        <w:pStyle w:val="CETReferencetext"/>
        <w:rPr>
          <w:szCs w:val="18"/>
        </w:rPr>
      </w:pPr>
      <w:r w:rsidRPr="00F45219">
        <w:rPr>
          <w:szCs w:val="18"/>
        </w:rPr>
        <w:t>Facchino M., Marcantonio V., Pistolesi C., Capocelli M., De Falco M., 2024, Techno-Economic and Environmental Assessment of Syngas Cleaning Solutions for Bioenergy Generation, Chemical Engineering Transactions, 109, 553–558. DOI: 10.3303/CET24109082</w:t>
      </w:r>
    </w:p>
    <w:p w14:paraId="33C2DEE8" w14:textId="77777777" w:rsidR="00BA5D01" w:rsidRDefault="00BA5D01" w:rsidP="00590632">
      <w:pPr>
        <w:pStyle w:val="CETReferencetext"/>
        <w:rPr>
          <w:szCs w:val="18"/>
        </w:rPr>
      </w:pPr>
      <w:r w:rsidRPr="00BA5D01">
        <w:rPr>
          <w:szCs w:val="18"/>
        </w:rPr>
        <w:t>Gamaralalage D., Rodgers S., Gill A., Meredith W., Bott T., West H., Alce J., Snape C., McKechnie J., 2025, Biowaste to biochar: a techno economic and life cycle assessment of biochar production from food waste digestate and its agricultural field application, Biochar, 7, 50. DOI: 10.1007/s42773 025 00456 0.</w:t>
      </w:r>
    </w:p>
    <w:p w14:paraId="2D2B2D12" w14:textId="69A32B59" w:rsidR="00590632" w:rsidRPr="00F45219" w:rsidRDefault="00590632" w:rsidP="00590632">
      <w:pPr>
        <w:pStyle w:val="CETReferencetext"/>
        <w:rPr>
          <w:szCs w:val="18"/>
        </w:rPr>
      </w:pPr>
      <w:r w:rsidRPr="00D364D2">
        <w:rPr>
          <w:szCs w:val="18"/>
        </w:rPr>
        <w:t>Ge Q., Li P., Liu M., Xiao G., Xiao Z., Mao J., Gai X., 2023, Removal of methylene blue by porous biochar obtained by KOH activation from bamboo biochar, Bioresources and Bioprocessing, 10, 51. DOI: 10.1186/s40643-023-00671-2</w:t>
      </w:r>
    </w:p>
    <w:p w14:paraId="6C6CCF0C" w14:textId="77777777" w:rsidR="00590632" w:rsidRPr="00F45219" w:rsidRDefault="00590632" w:rsidP="00590632">
      <w:pPr>
        <w:pStyle w:val="CETReferencetext"/>
        <w:rPr>
          <w:szCs w:val="18"/>
        </w:rPr>
      </w:pPr>
      <w:r w:rsidRPr="00F45219">
        <w:rPr>
          <w:szCs w:val="18"/>
        </w:rPr>
        <w:t>Ighalo J.O., Adeniyi A.G., Ajala O.J., 2025, Biomass Hydrochar: A Critical Review of Process Chemistry, Synthesis Methodology, and Applications, Sustainability, 17(4), 1660. DOI: 10.3390/su17041660</w:t>
      </w:r>
    </w:p>
    <w:p w14:paraId="254FF274" w14:textId="77777777" w:rsidR="00590632" w:rsidRPr="00F45219" w:rsidRDefault="00590632" w:rsidP="00590632">
      <w:pPr>
        <w:pStyle w:val="CETReferencetext"/>
        <w:rPr>
          <w:szCs w:val="18"/>
        </w:rPr>
      </w:pPr>
      <w:r w:rsidRPr="00F45219">
        <w:rPr>
          <w:szCs w:val="18"/>
        </w:rPr>
        <w:t>Khandelwal A., Singh R., 2024, Recent developments in hydrothermal carbonization for bioenergy and material applications, Bioresource Technology, 389, 129–140. DOI: 10.1016/j.biortech.2024.129140</w:t>
      </w:r>
    </w:p>
    <w:p w14:paraId="64C4D3F7" w14:textId="43EB4973" w:rsidR="002D1AC5" w:rsidRDefault="002D1AC5" w:rsidP="00590632">
      <w:pPr>
        <w:pStyle w:val="CETReferencetext"/>
        <w:rPr>
          <w:szCs w:val="18"/>
        </w:rPr>
      </w:pPr>
      <w:r>
        <w:rPr>
          <w:szCs w:val="18"/>
        </w:rPr>
        <w:t>L</w:t>
      </w:r>
      <w:r w:rsidRPr="002D1AC5">
        <w:rPr>
          <w:szCs w:val="18"/>
        </w:rPr>
        <w:t xml:space="preserve">eón M., Silva J., Carrasco S., Barrientos N., 2020, Design, Cost Estimation and Sensitivity Analysis for a Production Process of Activated Carbon from Waste Nutshells by Physical Activation, Processes, 8(8), 945. DOI: 10.3390/pr8080945. </w:t>
      </w:r>
    </w:p>
    <w:p w14:paraId="0714FF9F" w14:textId="6323857C" w:rsidR="00590632" w:rsidRPr="00F45219" w:rsidRDefault="00590632" w:rsidP="00590632">
      <w:pPr>
        <w:pStyle w:val="CETReferencetext"/>
        <w:rPr>
          <w:szCs w:val="18"/>
        </w:rPr>
      </w:pPr>
      <w:r w:rsidRPr="00F45219">
        <w:rPr>
          <w:szCs w:val="18"/>
        </w:rPr>
        <w:t>Supee A.H., Zaini M.A.A., 2024, Phosphoric acid-activated bamboo hydrochar for methylene blue adsorption: isotherm and kinetic studies, Biomass Conversion and Biorefinery, 14, 8563–8577. DOI: 10.1007/s13399-022-03465-2.</w:t>
      </w:r>
    </w:p>
    <w:p w14:paraId="4B9F2212" w14:textId="77777777" w:rsidR="00590632" w:rsidRPr="00F45219" w:rsidRDefault="00590632" w:rsidP="00590632">
      <w:pPr>
        <w:pStyle w:val="CETReferencetext"/>
        <w:rPr>
          <w:szCs w:val="18"/>
        </w:rPr>
      </w:pPr>
      <w:r w:rsidRPr="00F45219">
        <w:rPr>
          <w:szCs w:val="18"/>
        </w:rPr>
        <w:t>Turton R., Bailie R.C., Whiting W.B., Shaeiwitz, J.A., 2017. Analysis, synthesis, and design of chemical processes. 5th edition. Prentice Hall.</w:t>
      </w:r>
    </w:p>
    <w:p w14:paraId="7883A9AF" w14:textId="52359261" w:rsidR="00590632" w:rsidRDefault="00590632" w:rsidP="00590632">
      <w:pPr>
        <w:pStyle w:val="CETReferencetext"/>
        <w:rPr>
          <w:szCs w:val="18"/>
        </w:rPr>
      </w:pPr>
      <w:r w:rsidRPr="00F45219">
        <w:rPr>
          <w:szCs w:val="18"/>
        </w:rPr>
        <w:t>Vásquez Llanosa S.A., García M., Torres J., 2024, Energy Transformation: Assessment of Urban Lignocellulosic Biomass Biofuels via Hydrothermal Carbonization, Chemical Engineering Transactions, 110, 487–492. DOI: 10.3303/CET24110070</w:t>
      </w:r>
      <w:r w:rsidR="003809B9">
        <w:rPr>
          <w:szCs w:val="18"/>
        </w:rPr>
        <w:t>.</w:t>
      </w:r>
    </w:p>
    <w:p w14:paraId="0AD67238" w14:textId="7CB934DF" w:rsidR="003809B9" w:rsidRPr="00F45219" w:rsidRDefault="003809B9" w:rsidP="00590632">
      <w:pPr>
        <w:pStyle w:val="CETReferencetext"/>
        <w:rPr>
          <w:szCs w:val="18"/>
        </w:rPr>
      </w:pPr>
      <w:r w:rsidRPr="00C27640">
        <w:rPr>
          <w:szCs w:val="18"/>
        </w:rPr>
        <w:t xml:space="preserve">Visconti A., Miccio M., Juchelková D., 2019. </w:t>
      </w:r>
      <w:r w:rsidRPr="003809B9">
        <w:rPr>
          <w:szCs w:val="18"/>
        </w:rPr>
        <w:t>An Aspen Plus® tool for simulation of lignocellulosic biomass pyrolysis via equilibrium and ranking of the main process variables. International Journal of Mathematical Models and Methods in Applied Sciences, 9, 71-86.</w:t>
      </w:r>
    </w:p>
    <w:p w14:paraId="6E1190B0" w14:textId="77777777" w:rsidR="00590632" w:rsidRPr="00702A0F" w:rsidRDefault="00590632" w:rsidP="00590632">
      <w:pPr>
        <w:pStyle w:val="CETReferencetext"/>
        <w:rPr>
          <w:szCs w:val="18"/>
        </w:rPr>
      </w:pPr>
      <w:r w:rsidRPr="00F45219">
        <w:rPr>
          <w:szCs w:val="18"/>
        </w:rPr>
        <w:t xml:space="preserve">Yu H., Zhang Y., Wang L., Tu Y., Yan S., Ma J., Zhang X., Shen Y., Guo H., Han L., 2024, Experimental and </w:t>
      </w:r>
      <w:r w:rsidRPr="00702A0F">
        <w:rPr>
          <w:szCs w:val="18"/>
        </w:rPr>
        <w:t>DFT insights into the adsorption mechanism of methylene blue by alkali-modified corn straw biochar, RSC Advances, 14, 1854–1865. DOI: 10.1039/D3RA05964B.</w:t>
      </w:r>
    </w:p>
    <w:sectPr w:rsidR="00590632" w:rsidRPr="00702A0F"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6E1E9" w14:textId="77777777" w:rsidR="00FD28C4" w:rsidRDefault="00FD28C4" w:rsidP="004F5E36">
      <w:r>
        <w:separator/>
      </w:r>
    </w:p>
  </w:endnote>
  <w:endnote w:type="continuationSeparator" w:id="0">
    <w:p w14:paraId="0A2DCE87" w14:textId="77777777" w:rsidR="00FD28C4" w:rsidRDefault="00FD28C4"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89710" w14:textId="77777777" w:rsidR="00FD28C4" w:rsidRDefault="00FD28C4" w:rsidP="004F5E36">
      <w:r>
        <w:separator/>
      </w:r>
    </w:p>
  </w:footnote>
  <w:footnote w:type="continuationSeparator" w:id="0">
    <w:p w14:paraId="006F4C5B" w14:textId="77777777" w:rsidR="00FD28C4" w:rsidRDefault="00FD28C4"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AAD2D324"/>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2D171836"/>
    <w:multiLevelType w:val="multilevel"/>
    <w:tmpl w:val="2D171836"/>
    <w:lvl w:ilvl="0">
      <w:start w:val="1"/>
      <w:numFmt w:val="bullet"/>
      <w:lvlText w:val=""/>
      <w:lvlJc w:val="left"/>
      <w:pPr>
        <w:ind w:left="905" w:hanging="360"/>
      </w:pPr>
      <w:rPr>
        <w:rFonts w:ascii="Symbol" w:hAnsi="Symbol" w:hint="default"/>
      </w:rPr>
    </w:lvl>
    <w:lvl w:ilvl="1">
      <w:start w:val="1"/>
      <w:numFmt w:val="bullet"/>
      <w:lvlText w:val="o"/>
      <w:lvlJc w:val="left"/>
      <w:pPr>
        <w:ind w:left="1625" w:hanging="360"/>
      </w:pPr>
      <w:rPr>
        <w:rFonts w:ascii="Courier New" w:hAnsi="Courier New" w:cs="Courier New" w:hint="default"/>
      </w:rPr>
    </w:lvl>
    <w:lvl w:ilvl="2">
      <w:start w:val="1"/>
      <w:numFmt w:val="bullet"/>
      <w:lvlText w:val=""/>
      <w:lvlJc w:val="left"/>
      <w:pPr>
        <w:ind w:left="2345" w:hanging="360"/>
      </w:pPr>
      <w:rPr>
        <w:rFonts w:ascii="Wingdings" w:hAnsi="Wingdings" w:hint="default"/>
      </w:rPr>
    </w:lvl>
    <w:lvl w:ilvl="3">
      <w:start w:val="1"/>
      <w:numFmt w:val="bullet"/>
      <w:lvlText w:val=""/>
      <w:lvlJc w:val="left"/>
      <w:pPr>
        <w:ind w:left="3065" w:hanging="360"/>
      </w:pPr>
      <w:rPr>
        <w:rFonts w:ascii="Symbol" w:hAnsi="Symbol" w:hint="default"/>
      </w:rPr>
    </w:lvl>
    <w:lvl w:ilvl="4">
      <w:start w:val="1"/>
      <w:numFmt w:val="bullet"/>
      <w:lvlText w:val="o"/>
      <w:lvlJc w:val="left"/>
      <w:pPr>
        <w:ind w:left="3785" w:hanging="360"/>
      </w:pPr>
      <w:rPr>
        <w:rFonts w:ascii="Courier New" w:hAnsi="Courier New" w:cs="Courier New" w:hint="default"/>
      </w:rPr>
    </w:lvl>
    <w:lvl w:ilvl="5">
      <w:start w:val="1"/>
      <w:numFmt w:val="bullet"/>
      <w:lvlText w:val=""/>
      <w:lvlJc w:val="left"/>
      <w:pPr>
        <w:ind w:left="4505" w:hanging="360"/>
      </w:pPr>
      <w:rPr>
        <w:rFonts w:ascii="Wingdings" w:hAnsi="Wingdings" w:hint="default"/>
      </w:rPr>
    </w:lvl>
    <w:lvl w:ilvl="6">
      <w:start w:val="1"/>
      <w:numFmt w:val="bullet"/>
      <w:lvlText w:val=""/>
      <w:lvlJc w:val="left"/>
      <w:pPr>
        <w:ind w:left="5225" w:hanging="360"/>
      </w:pPr>
      <w:rPr>
        <w:rFonts w:ascii="Symbol" w:hAnsi="Symbol" w:hint="default"/>
      </w:rPr>
    </w:lvl>
    <w:lvl w:ilvl="7">
      <w:start w:val="1"/>
      <w:numFmt w:val="bullet"/>
      <w:lvlText w:val="o"/>
      <w:lvlJc w:val="left"/>
      <w:pPr>
        <w:ind w:left="5945" w:hanging="360"/>
      </w:pPr>
      <w:rPr>
        <w:rFonts w:ascii="Courier New" w:hAnsi="Courier New" w:cs="Courier New" w:hint="default"/>
      </w:rPr>
    </w:lvl>
    <w:lvl w:ilvl="8">
      <w:start w:val="1"/>
      <w:numFmt w:val="bullet"/>
      <w:lvlText w:val=""/>
      <w:lvlJc w:val="left"/>
      <w:pPr>
        <w:ind w:left="6665" w:hanging="360"/>
      </w:pPr>
      <w:rPr>
        <w:rFonts w:ascii="Wingdings" w:hAnsi="Wingding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3"/>
  </w:num>
  <w:num w:numId="14">
    <w:abstractNumId w:val="19"/>
  </w:num>
  <w:num w:numId="15">
    <w:abstractNumId w:val="21"/>
  </w:num>
  <w:num w:numId="16">
    <w:abstractNumId w:val="20"/>
  </w:num>
  <w:num w:numId="17">
    <w:abstractNumId w:val="12"/>
  </w:num>
  <w:num w:numId="18">
    <w:abstractNumId w:val="13"/>
    <w:lvlOverride w:ilvl="0">
      <w:startOverride w:val="1"/>
    </w:lvlOverride>
  </w:num>
  <w:num w:numId="19">
    <w:abstractNumId w:val="17"/>
  </w:num>
  <w:num w:numId="20">
    <w:abstractNumId w:val="16"/>
  </w:num>
  <w:num w:numId="21">
    <w:abstractNumId w:val="15"/>
  </w:num>
  <w:num w:numId="22">
    <w:abstractNumId w:val="14"/>
  </w:num>
  <w:num w:numId="23">
    <w:abstractNumId w:val="11"/>
  </w:num>
  <w:num w:numId="24">
    <w:abstractNumId w:val="10"/>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A61"/>
    <w:rsid w:val="000027C0"/>
    <w:rsid w:val="000052FB"/>
    <w:rsid w:val="00005A19"/>
    <w:rsid w:val="000117CB"/>
    <w:rsid w:val="0001766B"/>
    <w:rsid w:val="0003148D"/>
    <w:rsid w:val="00031EEC"/>
    <w:rsid w:val="00051566"/>
    <w:rsid w:val="00054288"/>
    <w:rsid w:val="000562A9"/>
    <w:rsid w:val="00062A9A"/>
    <w:rsid w:val="00063A29"/>
    <w:rsid w:val="00065058"/>
    <w:rsid w:val="00082435"/>
    <w:rsid w:val="000847A9"/>
    <w:rsid w:val="00086C39"/>
    <w:rsid w:val="000A03B2"/>
    <w:rsid w:val="000B27DC"/>
    <w:rsid w:val="000B2890"/>
    <w:rsid w:val="000B5729"/>
    <w:rsid w:val="000C4E2A"/>
    <w:rsid w:val="000D0268"/>
    <w:rsid w:val="000D34BE"/>
    <w:rsid w:val="000D72B3"/>
    <w:rsid w:val="000E102F"/>
    <w:rsid w:val="000E36F1"/>
    <w:rsid w:val="000E3A73"/>
    <w:rsid w:val="000E414A"/>
    <w:rsid w:val="000F093C"/>
    <w:rsid w:val="000F0E41"/>
    <w:rsid w:val="000F787B"/>
    <w:rsid w:val="00110223"/>
    <w:rsid w:val="0011403B"/>
    <w:rsid w:val="0012091F"/>
    <w:rsid w:val="00126BC2"/>
    <w:rsid w:val="001308B6"/>
    <w:rsid w:val="0013121F"/>
    <w:rsid w:val="00131FE6"/>
    <w:rsid w:val="0013263F"/>
    <w:rsid w:val="001331DF"/>
    <w:rsid w:val="00134DE4"/>
    <w:rsid w:val="0014034D"/>
    <w:rsid w:val="00144D16"/>
    <w:rsid w:val="00150E59"/>
    <w:rsid w:val="00152DE3"/>
    <w:rsid w:val="00164CF9"/>
    <w:rsid w:val="001667A6"/>
    <w:rsid w:val="00184AD6"/>
    <w:rsid w:val="00196307"/>
    <w:rsid w:val="001A4AF7"/>
    <w:rsid w:val="001B0349"/>
    <w:rsid w:val="001B1E93"/>
    <w:rsid w:val="001B65C1"/>
    <w:rsid w:val="001C684B"/>
    <w:rsid w:val="001D0CFB"/>
    <w:rsid w:val="001D21AF"/>
    <w:rsid w:val="001D53FC"/>
    <w:rsid w:val="001D582B"/>
    <w:rsid w:val="001E43A6"/>
    <w:rsid w:val="001E65B5"/>
    <w:rsid w:val="001E7804"/>
    <w:rsid w:val="001F42A5"/>
    <w:rsid w:val="001F7B9D"/>
    <w:rsid w:val="001F7F35"/>
    <w:rsid w:val="00201C93"/>
    <w:rsid w:val="002224B4"/>
    <w:rsid w:val="002431DA"/>
    <w:rsid w:val="002447EF"/>
    <w:rsid w:val="00251550"/>
    <w:rsid w:val="00255E25"/>
    <w:rsid w:val="00263B05"/>
    <w:rsid w:val="00263D4E"/>
    <w:rsid w:val="00264913"/>
    <w:rsid w:val="0026770A"/>
    <w:rsid w:val="0027221A"/>
    <w:rsid w:val="00275B61"/>
    <w:rsid w:val="00277D71"/>
    <w:rsid w:val="00280FAF"/>
    <w:rsid w:val="00282656"/>
    <w:rsid w:val="00296B83"/>
    <w:rsid w:val="002A2B2C"/>
    <w:rsid w:val="002B4015"/>
    <w:rsid w:val="002B78CE"/>
    <w:rsid w:val="002C2FB6"/>
    <w:rsid w:val="002C34E4"/>
    <w:rsid w:val="002C49DA"/>
    <w:rsid w:val="002D1AC5"/>
    <w:rsid w:val="002E5DEE"/>
    <w:rsid w:val="002E5FA7"/>
    <w:rsid w:val="002F3309"/>
    <w:rsid w:val="003008CE"/>
    <w:rsid w:val="003009B7"/>
    <w:rsid w:val="00300E56"/>
    <w:rsid w:val="0030152C"/>
    <w:rsid w:val="00301C99"/>
    <w:rsid w:val="00304281"/>
    <w:rsid w:val="0030469C"/>
    <w:rsid w:val="00321CA6"/>
    <w:rsid w:val="003234E6"/>
    <w:rsid w:val="00323763"/>
    <w:rsid w:val="00323C5F"/>
    <w:rsid w:val="00334C09"/>
    <w:rsid w:val="0035009F"/>
    <w:rsid w:val="003723D4"/>
    <w:rsid w:val="00374F0E"/>
    <w:rsid w:val="00375996"/>
    <w:rsid w:val="003809B9"/>
    <w:rsid w:val="00381905"/>
    <w:rsid w:val="00381D7B"/>
    <w:rsid w:val="0038209C"/>
    <w:rsid w:val="00384CC8"/>
    <w:rsid w:val="003871FD"/>
    <w:rsid w:val="003A1E30"/>
    <w:rsid w:val="003A2829"/>
    <w:rsid w:val="003A7D1C"/>
    <w:rsid w:val="003B304B"/>
    <w:rsid w:val="003B3146"/>
    <w:rsid w:val="003C5A9B"/>
    <w:rsid w:val="003C6894"/>
    <w:rsid w:val="003D776D"/>
    <w:rsid w:val="003E197B"/>
    <w:rsid w:val="003F015E"/>
    <w:rsid w:val="003F3DDB"/>
    <w:rsid w:val="003F7A0C"/>
    <w:rsid w:val="00400414"/>
    <w:rsid w:val="00403D95"/>
    <w:rsid w:val="0041100E"/>
    <w:rsid w:val="0041446B"/>
    <w:rsid w:val="00431D67"/>
    <w:rsid w:val="0044071E"/>
    <w:rsid w:val="0044329C"/>
    <w:rsid w:val="00453E24"/>
    <w:rsid w:val="00457456"/>
    <w:rsid w:val="004577FE"/>
    <w:rsid w:val="00457B9C"/>
    <w:rsid w:val="0046164A"/>
    <w:rsid w:val="004628D2"/>
    <w:rsid w:val="004629FD"/>
    <w:rsid w:val="00462DCD"/>
    <w:rsid w:val="004648AD"/>
    <w:rsid w:val="00466C23"/>
    <w:rsid w:val="004703A9"/>
    <w:rsid w:val="004760DE"/>
    <w:rsid w:val="004763D7"/>
    <w:rsid w:val="004A004E"/>
    <w:rsid w:val="004A24CF"/>
    <w:rsid w:val="004B4ABD"/>
    <w:rsid w:val="004C3D1D"/>
    <w:rsid w:val="004C3D84"/>
    <w:rsid w:val="004C7913"/>
    <w:rsid w:val="004D482F"/>
    <w:rsid w:val="004E24CF"/>
    <w:rsid w:val="004E4DD6"/>
    <w:rsid w:val="004E61E2"/>
    <w:rsid w:val="004F5E36"/>
    <w:rsid w:val="00507B47"/>
    <w:rsid w:val="00507BEF"/>
    <w:rsid w:val="00507CC9"/>
    <w:rsid w:val="005119A5"/>
    <w:rsid w:val="0051524B"/>
    <w:rsid w:val="00525847"/>
    <w:rsid w:val="005278B7"/>
    <w:rsid w:val="00532016"/>
    <w:rsid w:val="005346C8"/>
    <w:rsid w:val="00543E7D"/>
    <w:rsid w:val="00547A68"/>
    <w:rsid w:val="005531C9"/>
    <w:rsid w:val="00553A7D"/>
    <w:rsid w:val="00557E00"/>
    <w:rsid w:val="005641CA"/>
    <w:rsid w:val="00570C43"/>
    <w:rsid w:val="00576066"/>
    <w:rsid w:val="00590632"/>
    <w:rsid w:val="0059142E"/>
    <w:rsid w:val="005B0027"/>
    <w:rsid w:val="005B1584"/>
    <w:rsid w:val="005B2110"/>
    <w:rsid w:val="005B61E6"/>
    <w:rsid w:val="005B6AE1"/>
    <w:rsid w:val="005C77E1"/>
    <w:rsid w:val="005D0529"/>
    <w:rsid w:val="005D668A"/>
    <w:rsid w:val="005D6A2F"/>
    <w:rsid w:val="005E1A82"/>
    <w:rsid w:val="005E4A93"/>
    <w:rsid w:val="005E794C"/>
    <w:rsid w:val="005F0A28"/>
    <w:rsid w:val="005F0E5E"/>
    <w:rsid w:val="005F2C80"/>
    <w:rsid w:val="00600535"/>
    <w:rsid w:val="00610CD6"/>
    <w:rsid w:val="00620DEE"/>
    <w:rsid w:val="00621F92"/>
    <w:rsid w:val="0062280A"/>
    <w:rsid w:val="00623D1A"/>
    <w:rsid w:val="00625025"/>
    <w:rsid w:val="00625639"/>
    <w:rsid w:val="00631B33"/>
    <w:rsid w:val="00635743"/>
    <w:rsid w:val="0064184D"/>
    <w:rsid w:val="006422CC"/>
    <w:rsid w:val="00660E3E"/>
    <w:rsid w:val="00662E74"/>
    <w:rsid w:val="00680C23"/>
    <w:rsid w:val="00681460"/>
    <w:rsid w:val="00693766"/>
    <w:rsid w:val="00693D02"/>
    <w:rsid w:val="006A3281"/>
    <w:rsid w:val="006A44A0"/>
    <w:rsid w:val="006B2F27"/>
    <w:rsid w:val="006B3BC8"/>
    <w:rsid w:val="006B4888"/>
    <w:rsid w:val="006C2E45"/>
    <w:rsid w:val="006C359C"/>
    <w:rsid w:val="006C5579"/>
    <w:rsid w:val="006C6218"/>
    <w:rsid w:val="006D6E8B"/>
    <w:rsid w:val="006E5CEE"/>
    <w:rsid w:val="006E737D"/>
    <w:rsid w:val="0070293B"/>
    <w:rsid w:val="00702A0F"/>
    <w:rsid w:val="00707DD1"/>
    <w:rsid w:val="00713973"/>
    <w:rsid w:val="00720A24"/>
    <w:rsid w:val="00731218"/>
    <w:rsid w:val="00732386"/>
    <w:rsid w:val="0073514D"/>
    <w:rsid w:val="007447F3"/>
    <w:rsid w:val="007534C3"/>
    <w:rsid w:val="0075499F"/>
    <w:rsid w:val="007661C8"/>
    <w:rsid w:val="00770519"/>
    <w:rsid w:val="0077098D"/>
    <w:rsid w:val="00785D21"/>
    <w:rsid w:val="00793192"/>
    <w:rsid w:val="007931FA"/>
    <w:rsid w:val="007A4861"/>
    <w:rsid w:val="007A7BBA"/>
    <w:rsid w:val="007B0C50"/>
    <w:rsid w:val="007B2281"/>
    <w:rsid w:val="007B48F9"/>
    <w:rsid w:val="007C1A43"/>
    <w:rsid w:val="007D0951"/>
    <w:rsid w:val="007E4804"/>
    <w:rsid w:val="0080013E"/>
    <w:rsid w:val="008033FA"/>
    <w:rsid w:val="00813288"/>
    <w:rsid w:val="008161FC"/>
    <w:rsid w:val="008168FC"/>
    <w:rsid w:val="00830996"/>
    <w:rsid w:val="00832FCA"/>
    <w:rsid w:val="008345F1"/>
    <w:rsid w:val="00842DE3"/>
    <w:rsid w:val="008641BB"/>
    <w:rsid w:val="00865B07"/>
    <w:rsid w:val="008667EA"/>
    <w:rsid w:val="008712E5"/>
    <w:rsid w:val="0087637F"/>
    <w:rsid w:val="00877A55"/>
    <w:rsid w:val="008872FD"/>
    <w:rsid w:val="00892AD5"/>
    <w:rsid w:val="008A1512"/>
    <w:rsid w:val="008B29DE"/>
    <w:rsid w:val="008B4340"/>
    <w:rsid w:val="008D32B9"/>
    <w:rsid w:val="008D433B"/>
    <w:rsid w:val="008D4A16"/>
    <w:rsid w:val="008E3796"/>
    <w:rsid w:val="008E566E"/>
    <w:rsid w:val="008E58F7"/>
    <w:rsid w:val="008F662D"/>
    <w:rsid w:val="0090161A"/>
    <w:rsid w:val="00901EB6"/>
    <w:rsid w:val="00902B26"/>
    <w:rsid w:val="00902EA4"/>
    <w:rsid w:val="00904C62"/>
    <w:rsid w:val="00917110"/>
    <w:rsid w:val="00922BA8"/>
    <w:rsid w:val="00924DAC"/>
    <w:rsid w:val="00927058"/>
    <w:rsid w:val="00931943"/>
    <w:rsid w:val="00942750"/>
    <w:rsid w:val="009450CE"/>
    <w:rsid w:val="009459BB"/>
    <w:rsid w:val="00946B85"/>
    <w:rsid w:val="00947179"/>
    <w:rsid w:val="0095164B"/>
    <w:rsid w:val="00954090"/>
    <w:rsid w:val="009573E7"/>
    <w:rsid w:val="00963E05"/>
    <w:rsid w:val="00964A45"/>
    <w:rsid w:val="00967843"/>
    <w:rsid w:val="00967D54"/>
    <w:rsid w:val="00971028"/>
    <w:rsid w:val="00983699"/>
    <w:rsid w:val="00993B84"/>
    <w:rsid w:val="00996483"/>
    <w:rsid w:val="00996F5A"/>
    <w:rsid w:val="009A23E8"/>
    <w:rsid w:val="009B041A"/>
    <w:rsid w:val="009C37C3"/>
    <w:rsid w:val="009C7C86"/>
    <w:rsid w:val="009D2FF7"/>
    <w:rsid w:val="009E7884"/>
    <w:rsid w:val="009E788A"/>
    <w:rsid w:val="009F0E08"/>
    <w:rsid w:val="009F74C5"/>
    <w:rsid w:val="00A01AA8"/>
    <w:rsid w:val="00A050D4"/>
    <w:rsid w:val="00A0665F"/>
    <w:rsid w:val="00A1763D"/>
    <w:rsid w:val="00A17CEC"/>
    <w:rsid w:val="00A27EF0"/>
    <w:rsid w:val="00A42361"/>
    <w:rsid w:val="00A50B20"/>
    <w:rsid w:val="00A51390"/>
    <w:rsid w:val="00A56736"/>
    <w:rsid w:val="00A60D13"/>
    <w:rsid w:val="00A62474"/>
    <w:rsid w:val="00A639E0"/>
    <w:rsid w:val="00A714EF"/>
    <w:rsid w:val="00A7223D"/>
    <w:rsid w:val="00A72745"/>
    <w:rsid w:val="00A76EFC"/>
    <w:rsid w:val="00A87D50"/>
    <w:rsid w:val="00A91010"/>
    <w:rsid w:val="00A96B79"/>
    <w:rsid w:val="00A96EDF"/>
    <w:rsid w:val="00A97F29"/>
    <w:rsid w:val="00AA702E"/>
    <w:rsid w:val="00AA7D26"/>
    <w:rsid w:val="00AB0964"/>
    <w:rsid w:val="00AB5011"/>
    <w:rsid w:val="00AC6127"/>
    <w:rsid w:val="00AC7368"/>
    <w:rsid w:val="00AD16B9"/>
    <w:rsid w:val="00AD4120"/>
    <w:rsid w:val="00AE272E"/>
    <w:rsid w:val="00AE27FD"/>
    <w:rsid w:val="00AE377D"/>
    <w:rsid w:val="00AF0EBA"/>
    <w:rsid w:val="00AF46C8"/>
    <w:rsid w:val="00B02C8A"/>
    <w:rsid w:val="00B16CC5"/>
    <w:rsid w:val="00B17FBD"/>
    <w:rsid w:val="00B25639"/>
    <w:rsid w:val="00B315A6"/>
    <w:rsid w:val="00B31813"/>
    <w:rsid w:val="00B32496"/>
    <w:rsid w:val="00B33365"/>
    <w:rsid w:val="00B57B36"/>
    <w:rsid w:val="00B57C4E"/>
    <w:rsid w:val="00B57E6F"/>
    <w:rsid w:val="00B7265D"/>
    <w:rsid w:val="00B827BD"/>
    <w:rsid w:val="00B83EDF"/>
    <w:rsid w:val="00B8686D"/>
    <w:rsid w:val="00B910F3"/>
    <w:rsid w:val="00B93F69"/>
    <w:rsid w:val="00BA18C4"/>
    <w:rsid w:val="00BA5D01"/>
    <w:rsid w:val="00BB1DDC"/>
    <w:rsid w:val="00BC30C9"/>
    <w:rsid w:val="00BC3C37"/>
    <w:rsid w:val="00BD077D"/>
    <w:rsid w:val="00BE3E58"/>
    <w:rsid w:val="00BF6BB0"/>
    <w:rsid w:val="00BF72F5"/>
    <w:rsid w:val="00C01616"/>
    <w:rsid w:val="00C0162B"/>
    <w:rsid w:val="00C068ED"/>
    <w:rsid w:val="00C1437F"/>
    <w:rsid w:val="00C22E0C"/>
    <w:rsid w:val="00C24AF1"/>
    <w:rsid w:val="00C27640"/>
    <w:rsid w:val="00C345B1"/>
    <w:rsid w:val="00C40142"/>
    <w:rsid w:val="00C42A72"/>
    <w:rsid w:val="00C52C3C"/>
    <w:rsid w:val="00C57182"/>
    <w:rsid w:val="00C57863"/>
    <w:rsid w:val="00C640AF"/>
    <w:rsid w:val="00C655FD"/>
    <w:rsid w:val="00C75407"/>
    <w:rsid w:val="00C76E76"/>
    <w:rsid w:val="00C82269"/>
    <w:rsid w:val="00C841C6"/>
    <w:rsid w:val="00C870A8"/>
    <w:rsid w:val="00C94434"/>
    <w:rsid w:val="00C94C96"/>
    <w:rsid w:val="00C96F65"/>
    <w:rsid w:val="00CA0D75"/>
    <w:rsid w:val="00CA1C95"/>
    <w:rsid w:val="00CA5A9C"/>
    <w:rsid w:val="00CB6ADB"/>
    <w:rsid w:val="00CC4C20"/>
    <w:rsid w:val="00CD3517"/>
    <w:rsid w:val="00CD5FE2"/>
    <w:rsid w:val="00CE7C68"/>
    <w:rsid w:val="00CF07F3"/>
    <w:rsid w:val="00CF61BE"/>
    <w:rsid w:val="00CF6E5C"/>
    <w:rsid w:val="00D0211C"/>
    <w:rsid w:val="00D02B4C"/>
    <w:rsid w:val="00D040C4"/>
    <w:rsid w:val="00D14562"/>
    <w:rsid w:val="00D20AD1"/>
    <w:rsid w:val="00D2582C"/>
    <w:rsid w:val="00D364D2"/>
    <w:rsid w:val="00D44C6D"/>
    <w:rsid w:val="00D46B7E"/>
    <w:rsid w:val="00D5718E"/>
    <w:rsid w:val="00D57C84"/>
    <w:rsid w:val="00D6057D"/>
    <w:rsid w:val="00D63475"/>
    <w:rsid w:val="00D71640"/>
    <w:rsid w:val="00D836C5"/>
    <w:rsid w:val="00D84576"/>
    <w:rsid w:val="00DA1399"/>
    <w:rsid w:val="00DA24C6"/>
    <w:rsid w:val="00DA2710"/>
    <w:rsid w:val="00DA4D7B"/>
    <w:rsid w:val="00DB1807"/>
    <w:rsid w:val="00DC0858"/>
    <w:rsid w:val="00DD271C"/>
    <w:rsid w:val="00DE264A"/>
    <w:rsid w:val="00DF1AE4"/>
    <w:rsid w:val="00DF5072"/>
    <w:rsid w:val="00E02D18"/>
    <w:rsid w:val="00E041E7"/>
    <w:rsid w:val="00E23CA1"/>
    <w:rsid w:val="00E409A8"/>
    <w:rsid w:val="00E50C12"/>
    <w:rsid w:val="00E5171D"/>
    <w:rsid w:val="00E65B91"/>
    <w:rsid w:val="00E70008"/>
    <w:rsid w:val="00E7209D"/>
    <w:rsid w:val="00E72EAD"/>
    <w:rsid w:val="00E77223"/>
    <w:rsid w:val="00E8528B"/>
    <w:rsid w:val="00E85B94"/>
    <w:rsid w:val="00E978D0"/>
    <w:rsid w:val="00EA0A6A"/>
    <w:rsid w:val="00EA1F9B"/>
    <w:rsid w:val="00EA4613"/>
    <w:rsid w:val="00EA7F91"/>
    <w:rsid w:val="00EB1523"/>
    <w:rsid w:val="00EC0E49"/>
    <w:rsid w:val="00EC101F"/>
    <w:rsid w:val="00EC1D9F"/>
    <w:rsid w:val="00EC6AB2"/>
    <w:rsid w:val="00EE0131"/>
    <w:rsid w:val="00EE17B0"/>
    <w:rsid w:val="00EF06D9"/>
    <w:rsid w:val="00F112C8"/>
    <w:rsid w:val="00F216F5"/>
    <w:rsid w:val="00F3049E"/>
    <w:rsid w:val="00F30C64"/>
    <w:rsid w:val="00F32BA2"/>
    <w:rsid w:val="00F32CDB"/>
    <w:rsid w:val="00F52177"/>
    <w:rsid w:val="00F531B9"/>
    <w:rsid w:val="00F565FE"/>
    <w:rsid w:val="00F63A70"/>
    <w:rsid w:val="00F63D8C"/>
    <w:rsid w:val="00F66807"/>
    <w:rsid w:val="00F7225A"/>
    <w:rsid w:val="00F740C9"/>
    <w:rsid w:val="00F7534E"/>
    <w:rsid w:val="00F7537F"/>
    <w:rsid w:val="00F863BB"/>
    <w:rsid w:val="00F9052A"/>
    <w:rsid w:val="00F93EDF"/>
    <w:rsid w:val="00FA1802"/>
    <w:rsid w:val="00FA21D0"/>
    <w:rsid w:val="00FA5F5F"/>
    <w:rsid w:val="00FB730C"/>
    <w:rsid w:val="00FC2695"/>
    <w:rsid w:val="00FC3E03"/>
    <w:rsid w:val="00FC3FC1"/>
    <w:rsid w:val="00FD28C4"/>
    <w:rsid w:val="00FF7F6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EA1F9B"/>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EA1F9B"/>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paragraph" w:styleId="Sinespaciado">
    <w:name w:val="No Spacing"/>
    <w:uiPriority w:val="1"/>
    <w:qFormat/>
    <w:rsid w:val="00AE27FD"/>
    <w:pPr>
      <w:tabs>
        <w:tab w:val="right" w:pos="7100"/>
      </w:tabs>
      <w:spacing w:before="120" w:after="120" w:line="264" w:lineRule="auto"/>
      <w:jc w:val="both"/>
    </w:pPr>
    <w:rPr>
      <w:rFonts w:ascii="Arial" w:eastAsia="Times New Roman" w:hAnsi="Arial" w:cs="Times New Roman"/>
      <w:sz w:val="18"/>
      <w:szCs w:val="20"/>
      <w:lang w:val="en-GB"/>
    </w:rPr>
  </w:style>
  <w:style w:type="character" w:customStyle="1" w:styleId="Mencinsinresolver1">
    <w:name w:val="Mención sin resolver1"/>
    <w:basedOn w:val="Fuentedeprrafopredeter"/>
    <w:uiPriority w:val="99"/>
    <w:semiHidden/>
    <w:unhideWhenUsed/>
    <w:rsid w:val="00902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724">
      <w:bodyDiv w:val="1"/>
      <w:marLeft w:val="0"/>
      <w:marRight w:val="0"/>
      <w:marTop w:val="0"/>
      <w:marBottom w:val="0"/>
      <w:divBdr>
        <w:top w:val="none" w:sz="0" w:space="0" w:color="auto"/>
        <w:left w:val="none" w:sz="0" w:space="0" w:color="auto"/>
        <w:bottom w:val="none" w:sz="0" w:space="0" w:color="auto"/>
        <w:right w:val="none" w:sz="0" w:space="0" w:color="auto"/>
      </w:divBdr>
      <w:divsChild>
        <w:div w:id="561334278">
          <w:marLeft w:val="0"/>
          <w:marRight w:val="0"/>
          <w:marTop w:val="0"/>
          <w:marBottom w:val="0"/>
          <w:divBdr>
            <w:top w:val="none" w:sz="0" w:space="0" w:color="auto"/>
            <w:left w:val="none" w:sz="0" w:space="0" w:color="auto"/>
            <w:bottom w:val="none" w:sz="0" w:space="0" w:color="auto"/>
            <w:right w:val="none" w:sz="0" w:space="0" w:color="auto"/>
          </w:divBdr>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5261C668C1ADB4C88B00BC31CE99114" ma:contentTypeVersion="19" ma:contentTypeDescription="Crear nuevo documento." ma:contentTypeScope="" ma:versionID="f9cafdb0a688dc11449069dad2b2c95c">
  <xsd:schema xmlns:xsd="http://www.w3.org/2001/XMLSchema" xmlns:xs="http://www.w3.org/2001/XMLSchema" xmlns:p="http://schemas.microsoft.com/office/2006/metadata/properties" xmlns:ns3="a8ef0d45-e108-4668-a6c2-b94d093e4a7b" xmlns:ns4="ba25ee7a-8e14-442a-bb77-76f36a1b4539" targetNamespace="http://schemas.microsoft.com/office/2006/metadata/properties" ma:root="true" ma:fieldsID="a4abd5b607bc84dc7c0c8d48e41ca079" ns3:_="" ns4:_="">
    <xsd:import namespace="a8ef0d45-e108-4668-a6c2-b94d093e4a7b"/>
    <xsd:import namespace="ba25ee7a-8e14-442a-bb77-76f36a1b45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f0d45-e108-4668-a6c2-b94d093e4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25ee7a-8e14-442a-bb77-76f36a1b4539"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ef0d45-e108-4668-a6c2-b94d093e4a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0F18B-9AAB-41EC-972B-E378DC8DA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f0d45-e108-4668-a6c2-b94d093e4a7b"/>
    <ds:schemaRef ds:uri="ba25ee7a-8e14-442a-bb77-76f36a1b4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89970-09BB-494B-A0FC-F02FDC69595B}">
  <ds:schemaRefs>
    <ds:schemaRef ds:uri="http://schemas.microsoft.com/sharepoint/v3/contenttype/forms"/>
  </ds:schemaRefs>
</ds:datastoreItem>
</file>

<file path=customXml/itemProps3.xml><?xml version="1.0" encoding="utf-8"?>
<ds:datastoreItem xmlns:ds="http://schemas.openxmlformats.org/officeDocument/2006/customXml" ds:itemID="{34D55BE9-3200-478D-BBC6-A45E01A0D510}">
  <ds:schemaRefs>
    <ds:schemaRef ds:uri="http://schemas.microsoft.com/office/2006/metadata/properties"/>
    <ds:schemaRef ds:uri="ba25ee7a-8e14-442a-bb77-76f36a1b4539"/>
    <ds:schemaRef ds:uri="a8ef0d45-e108-4668-a6c2-b94d093e4a7b"/>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3AF0D87-A721-486D-B676-5B142162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3670</Words>
  <Characters>20191</Characters>
  <Application>Microsoft Office Word</Application>
  <DocSecurity>0</DocSecurity>
  <Lines>168</Lines>
  <Paragraphs>47</Paragraphs>
  <ScaleCrop>false</ScaleCrop>
  <HeadingPairs>
    <vt:vector size="8" baseType="variant">
      <vt:variant>
        <vt:lpstr>Título</vt:lpstr>
      </vt:variant>
      <vt:variant>
        <vt:i4>1</vt:i4>
      </vt:variant>
      <vt:variant>
        <vt:lpstr>Titre</vt:lpstr>
      </vt:variant>
      <vt:variant>
        <vt:i4>1</vt:i4>
      </vt:variant>
      <vt:variant>
        <vt:lpstr>Titolo</vt:lpstr>
      </vt:variant>
      <vt:variant>
        <vt:i4>1</vt:i4>
      </vt:variant>
      <vt:variant>
        <vt:lpstr>Title</vt:lpstr>
      </vt:variant>
      <vt:variant>
        <vt:i4>1</vt:i4>
      </vt:variant>
    </vt:vector>
  </HeadingPairs>
  <TitlesOfParts>
    <vt:vector size="4" baseType="lpstr">
      <vt:lpstr/>
      <vt:lpstr/>
      <vt:lpstr/>
      <vt:lpstr/>
    </vt:vector>
  </TitlesOfParts>
  <Company>Dipartimento CMIC - Politecnico di Milano</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MARIA GONZALEZ ALRIOLS</cp:lastModifiedBy>
  <cp:revision>30</cp:revision>
  <cp:lastPrinted>2015-05-12T18:31:00Z</cp:lastPrinted>
  <dcterms:created xsi:type="dcterms:W3CDTF">2026-03-26T14:09:00Z</dcterms:created>
  <dcterms:modified xsi:type="dcterms:W3CDTF">2026-03-27T12:12:00Z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ontentTypeId">
    <vt:lpwstr>0x01010085261C668C1ADB4C88B00BC31CE99114</vt:lpwstr>
  </property>
</Properties>
</file>