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61229B97" w:rsidR="00AA7D26" w:rsidRPr="00EA3EF9" w:rsidRDefault="004A5E57" w:rsidP="004A5E57">
            <w:pPr>
              <w:ind w:left="-107"/>
              <w:outlineLvl w:val="2"/>
              <w:rPr>
                <w:rFonts w:ascii="Tahoma" w:hAnsi="Tahoma" w:cs="Tahoma"/>
                <w:bCs/>
                <w:color w:val="000000"/>
                <w:sz w:val="14"/>
                <w:szCs w:val="14"/>
                <w:lang w:val="it-IT" w:eastAsia="it-IT"/>
              </w:rPr>
            </w:pPr>
            <w:r w:rsidRPr="00EA3EF9">
              <w:rPr>
                <w:rFonts w:ascii="Tahoma" w:hAnsi="Tahoma" w:cs="Tahoma"/>
                <w:iCs/>
                <w:color w:val="333333"/>
                <w:sz w:val="14"/>
                <w:szCs w:val="14"/>
                <w:lang w:val="it-IT" w:eastAsia="it-IT"/>
              </w:rPr>
              <w:t>Guest Editors:</w:t>
            </w:r>
            <w:r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shd w:val="clear" w:color="auto" w:fill="FFFFFF"/>
                <w:lang w:val="it-IT"/>
              </w:rPr>
              <w:t xml:space="preserve">Leonardo Tognotti, </w:t>
            </w:r>
            <w:r w:rsidR="00EA3EF9" w:rsidRPr="00EA3EF9">
              <w:rPr>
                <w:rFonts w:ascii="Tahoma" w:hAnsi="Tahoma" w:cs="Tahoma"/>
                <w:color w:val="000000"/>
                <w:sz w:val="14"/>
                <w:szCs w:val="14"/>
                <w:lang w:val="it-IT"/>
              </w:rPr>
              <w:t>Rubens Maciel Filho</w:t>
            </w:r>
            <w:r w:rsidR="00EA3EF9"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lang w:val="it-IT"/>
              </w:rPr>
              <w:t>Viatcheslav Kafarov</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3684AA2" w:rsidR="00E978D0" w:rsidRPr="00B57B36" w:rsidRDefault="00E414E2" w:rsidP="00E978D0">
      <w:pPr>
        <w:pStyle w:val="CETTitle"/>
      </w:pPr>
      <w:r w:rsidRPr="00E414E2">
        <w:t xml:space="preserve">Bioethanol Production </w:t>
      </w:r>
      <w:r>
        <w:t>f</w:t>
      </w:r>
      <w:r w:rsidRPr="00E414E2">
        <w:t>rom Potato Peels (</w:t>
      </w:r>
      <w:r w:rsidRPr="00E414E2">
        <w:rPr>
          <w:i/>
          <w:iCs/>
        </w:rPr>
        <w:t>Solanum Tuberosum</w:t>
      </w:r>
      <w:r w:rsidRPr="00E414E2">
        <w:t xml:space="preserve">) </w:t>
      </w:r>
      <w:r>
        <w:t>a</w:t>
      </w:r>
      <w:r w:rsidRPr="00E414E2">
        <w:t xml:space="preserve">s Sustainable Alternative </w:t>
      </w:r>
      <w:r>
        <w:t>f</w:t>
      </w:r>
      <w:r w:rsidRPr="00E414E2">
        <w:t>or Urban Eco-Communities</w:t>
      </w:r>
    </w:p>
    <w:p w14:paraId="0488FED2" w14:textId="12772397" w:rsidR="00B57E6F" w:rsidRPr="00460552" w:rsidRDefault="007018C9" w:rsidP="00B57E6F">
      <w:pPr>
        <w:pStyle w:val="CETAuthors"/>
        <w:rPr>
          <w:lang w:val="es-CO"/>
        </w:rPr>
      </w:pPr>
      <w:r w:rsidRPr="00460552">
        <w:rPr>
          <w:lang w:val="es-CO"/>
        </w:rPr>
        <w:t>Sofia Baquero</w:t>
      </w:r>
      <w:r w:rsidR="00B57E6F" w:rsidRPr="00460552">
        <w:rPr>
          <w:vertAlign w:val="superscript"/>
          <w:lang w:val="es-CO"/>
        </w:rPr>
        <w:t>a</w:t>
      </w:r>
      <w:r w:rsidRPr="00460552">
        <w:rPr>
          <w:vertAlign w:val="superscript"/>
          <w:lang w:val="es-CO"/>
        </w:rPr>
        <w:t>*</w:t>
      </w:r>
      <w:r w:rsidR="00B57E6F" w:rsidRPr="00460552">
        <w:rPr>
          <w:lang w:val="es-CO"/>
        </w:rPr>
        <w:t xml:space="preserve">, </w:t>
      </w:r>
      <w:r w:rsidRPr="00460552">
        <w:rPr>
          <w:lang w:val="es-CO"/>
        </w:rPr>
        <w:t>German</w:t>
      </w:r>
      <w:r w:rsidR="00B57E6F" w:rsidRPr="00460552">
        <w:rPr>
          <w:lang w:val="es-CO"/>
        </w:rPr>
        <w:t xml:space="preserve"> A. </w:t>
      </w:r>
      <w:r w:rsidRPr="00460552">
        <w:rPr>
          <w:lang w:val="es-CO"/>
        </w:rPr>
        <w:t>Castro</w:t>
      </w:r>
      <w:r w:rsidRPr="00460552">
        <w:rPr>
          <w:vertAlign w:val="superscript"/>
          <w:lang w:val="es-CO"/>
        </w:rPr>
        <w:t>a</w:t>
      </w:r>
      <w:r w:rsidR="00B57E6F" w:rsidRPr="00460552">
        <w:rPr>
          <w:lang w:val="es-CO"/>
        </w:rPr>
        <w:t>,</w:t>
      </w:r>
      <w:r w:rsidRPr="00460552">
        <w:rPr>
          <w:lang w:val="es-CO"/>
        </w:rPr>
        <w:t xml:space="preserve"> Bernay Cifuentes</w:t>
      </w:r>
      <w:r w:rsidRPr="00460552">
        <w:rPr>
          <w:vertAlign w:val="superscript"/>
          <w:lang w:val="es-CO"/>
        </w:rPr>
        <w:t>a</w:t>
      </w:r>
      <w:r w:rsidRPr="00460552">
        <w:rPr>
          <w:lang w:val="es-CO"/>
        </w:rPr>
        <w:t>, Zahira Gómez</w:t>
      </w:r>
      <w:r w:rsidRPr="00460552">
        <w:rPr>
          <w:vertAlign w:val="superscript"/>
          <w:lang w:val="es-CO"/>
        </w:rPr>
        <w:t>a,b</w:t>
      </w:r>
      <w:r w:rsidRPr="00460552">
        <w:rPr>
          <w:lang w:val="es-CO"/>
        </w:rPr>
        <w:t>, Ana Vásquez</w:t>
      </w:r>
      <w:r w:rsidRPr="00460552">
        <w:rPr>
          <w:vertAlign w:val="superscript"/>
          <w:lang w:val="es-CO"/>
        </w:rPr>
        <w:t>c</w:t>
      </w:r>
      <w:r w:rsidRPr="00460552">
        <w:rPr>
          <w:lang w:val="es-CO"/>
        </w:rPr>
        <w:t xml:space="preserve">  </w:t>
      </w:r>
    </w:p>
    <w:p w14:paraId="6B2D21B3" w14:textId="35574811" w:rsidR="00B57E6F" w:rsidRPr="00460552" w:rsidRDefault="00B57E6F" w:rsidP="00B57E6F">
      <w:pPr>
        <w:pStyle w:val="CETAddress"/>
        <w:rPr>
          <w:lang w:val="es-CO"/>
        </w:rPr>
      </w:pPr>
      <w:r w:rsidRPr="00460552">
        <w:rPr>
          <w:vertAlign w:val="superscript"/>
          <w:lang w:val="es-CO"/>
        </w:rPr>
        <w:t>a</w:t>
      </w:r>
      <w:r w:rsidR="00E414E2" w:rsidRPr="00460552">
        <w:rPr>
          <w:rFonts w:cs="Arial"/>
          <w:color w:val="000000"/>
          <w:szCs w:val="16"/>
          <w:shd w:val="clear" w:color="auto" w:fill="FFFFFF"/>
          <w:lang w:val="es-CO"/>
        </w:rPr>
        <w:t xml:space="preserve"> </w:t>
      </w:r>
      <w:r w:rsidR="00E414E2" w:rsidRPr="00460552">
        <w:rPr>
          <w:rStyle w:val="normaltextrun"/>
          <w:rFonts w:cs="Arial"/>
          <w:color w:val="000000"/>
          <w:szCs w:val="16"/>
          <w:shd w:val="clear" w:color="auto" w:fill="FFFFFF"/>
          <w:lang w:val="es-CO"/>
        </w:rPr>
        <w:t>Faculty of Engineering, Universidad de La Salle Bogotá, Bogotá, Colombia.</w:t>
      </w:r>
    </w:p>
    <w:p w14:paraId="3D72B0B0" w14:textId="23284DF1" w:rsidR="00B57E6F" w:rsidRPr="00460552" w:rsidRDefault="00B57E6F" w:rsidP="00B57E6F">
      <w:pPr>
        <w:pStyle w:val="CETAddress"/>
        <w:rPr>
          <w:lang w:val="es-CO"/>
        </w:rPr>
      </w:pPr>
      <w:r w:rsidRPr="00460552">
        <w:rPr>
          <w:vertAlign w:val="superscript"/>
          <w:lang w:val="es-CO"/>
        </w:rPr>
        <w:t>b</w:t>
      </w:r>
      <w:r w:rsidR="00E414E2" w:rsidRPr="00460552">
        <w:rPr>
          <w:rFonts w:cs="Arial"/>
          <w:color w:val="000000"/>
          <w:szCs w:val="16"/>
          <w:shd w:val="clear" w:color="auto" w:fill="FFFFFF"/>
          <w:lang w:val="es-CO"/>
        </w:rPr>
        <w:t xml:space="preserve"> </w:t>
      </w:r>
      <w:r w:rsidR="00E414E2" w:rsidRPr="00460552">
        <w:rPr>
          <w:rStyle w:val="normaltextrun"/>
          <w:rFonts w:cs="Arial"/>
          <w:color w:val="000000"/>
          <w:szCs w:val="16"/>
          <w:shd w:val="clear" w:color="auto" w:fill="FFFFFF"/>
          <w:lang w:val="es-CO"/>
        </w:rPr>
        <w:t xml:space="preserve">Energy, Materials and Environment Laboratory, Faculty of Engineering, Campus Universitario Puente del Común, Universidad de La Sabana, </w:t>
      </w:r>
      <w:r w:rsidR="00ED6B1D">
        <w:rPr>
          <w:rStyle w:val="normaltextrun"/>
          <w:rFonts w:cs="Arial"/>
          <w:color w:val="000000"/>
          <w:szCs w:val="16"/>
          <w:shd w:val="clear" w:color="auto" w:fill="FFFFFF"/>
          <w:lang w:val="es-CO"/>
        </w:rPr>
        <w:t>k</w:t>
      </w:r>
      <w:r w:rsidR="00E414E2" w:rsidRPr="00460552">
        <w:rPr>
          <w:rStyle w:val="normaltextrun"/>
          <w:rFonts w:cs="Arial"/>
          <w:color w:val="000000"/>
          <w:szCs w:val="16"/>
          <w:shd w:val="clear" w:color="auto" w:fill="FFFFFF"/>
          <w:lang w:val="es-CO"/>
        </w:rPr>
        <w:t>m. 7 Autopista Norte de Bogotá, Chía, Colombia.</w:t>
      </w:r>
      <w:r w:rsidRPr="00460552">
        <w:rPr>
          <w:lang w:val="es-CO"/>
        </w:rPr>
        <w:t xml:space="preserve"> </w:t>
      </w:r>
    </w:p>
    <w:p w14:paraId="73F1267A" w14:textId="3532D1B6" w:rsidR="00B57E6F" w:rsidRPr="00460552" w:rsidRDefault="00E414E2" w:rsidP="007018C9">
      <w:pPr>
        <w:pStyle w:val="CETAddress"/>
        <w:rPr>
          <w:lang w:val="es-CO"/>
        </w:rPr>
      </w:pPr>
      <w:r w:rsidRPr="00460552">
        <w:rPr>
          <w:vertAlign w:val="superscript"/>
          <w:lang w:val="es-CO"/>
        </w:rPr>
        <w:t>c</w:t>
      </w:r>
      <w:r w:rsidRPr="00460552">
        <w:rPr>
          <w:rFonts w:cs="Arial"/>
          <w:color w:val="000000"/>
          <w:szCs w:val="16"/>
          <w:shd w:val="clear" w:color="auto" w:fill="FFFFFF"/>
          <w:lang w:val="es-CO"/>
        </w:rPr>
        <w:t xml:space="preserve"> </w:t>
      </w:r>
      <w:r w:rsidRPr="00460552">
        <w:rPr>
          <w:rStyle w:val="normaltextrun"/>
          <w:rFonts w:cs="Arial"/>
          <w:color w:val="000000"/>
          <w:szCs w:val="16"/>
          <w:shd w:val="clear" w:color="auto" w:fill="FFFFFF"/>
          <w:lang w:val="es-CO"/>
        </w:rPr>
        <w:t>Asociación de Familias, Hombres y Mujeres de Colombia (ASOFAHIMCO), Bogotá, Colombia</w:t>
      </w:r>
      <w:r w:rsidR="007018C9" w:rsidRPr="00460552">
        <w:rPr>
          <w:rStyle w:val="normaltextrun"/>
          <w:rFonts w:cs="Arial"/>
          <w:color w:val="000000"/>
          <w:szCs w:val="16"/>
          <w:shd w:val="clear" w:color="auto" w:fill="FFFFFF"/>
          <w:lang w:val="es-CO"/>
        </w:rPr>
        <w:t xml:space="preserve"> </w:t>
      </w:r>
      <w:r w:rsidR="007018C9" w:rsidRPr="007018C9">
        <w:rPr>
          <w:lang w:val="fr-FR"/>
        </w:rPr>
        <w:t>lbaquero59@unisalle.edu.co*</w:t>
      </w:r>
    </w:p>
    <w:p w14:paraId="39B11FE1" w14:textId="77777777" w:rsidR="007018C9" w:rsidRPr="00460552" w:rsidRDefault="007018C9" w:rsidP="00600535">
      <w:pPr>
        <w:pStyle w:val="CETBodytext"/>
        <w:rPr>
          <w:lang w:val="es-CO"/>
        </w:rPr>
      </w:pPr>
    </w:p>
    <w:p w14:paraId="2811B448" w14:textId="1C3867E9" w:rsidR="00BF62F4" w:rsidRPr="00F41F2A" w:rsidRDefault="00BF62F4" w:rsidP="001C7EC3">
      <w:pPr>
        <w:pStyle w:val="CETBodytext"/>
      </w:pPr>
      <w:r w:rsidRPr="00BF62F4">
        <w:t>Potato cultivation in Colombia accounts for 1.4</w:t>
      </w:r>
      <w:r w:rsidR="002D0EF1">
        <w:t xml:space="preserve"> </w:t>
      </w:r>
      <w:r w:rsidRPr="00BF62F4">
        <w:t xml:space="preserve">% of the agricultural GDP, with potato peel waste (PPW) being the main byproduct. The valorization of agro-industrial waste has gained particular interest as a strategy for transitioning to a circular and sustainable economy. Eco-communities play an important role in utilizing this available residual biomass (collecting </w:t>
      </w:r>
      <w:r w:rsidRPr="00AD778C">
        <w:t>1</w:t>
      </w:r>
      <w:r w:rsidR="007F7C08" w:rsidRPr="00AD778C">
        <w:t>2</w:t>
      </w:r>
      <w:r w:rsidRPr="00AD778C">
        <w:t>6 k</w:t>
      </w:r>
      <w:r w:rsidRPr="00BF62F4">
        <w:t>g of PPW per week). This study explored the development of a biotechnological process for obtaining bioethanol from PPW at a laboratory scale. The process began with the application of thermochemical (HCl</w:t>
      </w:r>
      <w:r w:rsidR="00F4384D">
        <w:t xml:space="preserve"> </w:t>
      </w:r>
      <w:r w:rsidR="00F4384D" w:rsidRPr="00BF62F4">
        <w:t>0.1</w:t>
      </w:r>
      <w:r w:rsidR="00F4384D">
        <w:t xml:space="preserve"> </w:t>
      </w:r>
      <w:r w:rsidR="00F4384D" w:rsidRPr="00BF62F4">
        <w:t>%v/v</w:t>
      </w:r>
      <w:r w:rsidRPr="00BF62F4">
        <w:t xml:space="preserve"> and</w:t>
      </w:r>
      <w:r w:rsidR="00F4384D">
        <w:t xml:space="preserve"> </w:t>
      </w:r>
      <w:r w:rsidRPr="00BF62F4">
        <w:t>NaOH</w:t>
      </w:r>
      <w:r w:rsidR="00F4384D">
        <w:t xml:space="preserve"> </w:t>
      </w:r>
      <w:r w:rsidR="00F4384D" w:rsidRPr="00BF62F4">
        <w:t>0.1</w:t>
      </w:r>
      <w:r w:rsidR="00F4384D">
        <w:t xml:space="preserve"> </w:t>
      </w:r>
      <w:r w:rsidR="00F4384D" w:rsidRPr="00BF62F4">
        <w:t>%v/v</w:t>
      </w:r>
      <w:r w:rsidRPr="00BF62F4">
        <w:t>) and hydrothermal pretreatments to the PPW. Enzymatic hydrolysis was evaluated using Celluclast 1.5</w:t>
      </w:r>
      <w:r w:rsidR="004311E2">
        <w:t xml:space="preserve"> </w:t>
      </w:r>
      <w:r w:rsidRPr="00BF62F4">
        <w:t>L (700 EGU/g) and Amylase AG 300</w:t>
      </w:r>
      <w:r w:rsidR="004311E2">
        <w:t xml:space="preserve"> </w:t>
      </w:r>
      <w:r w:rsidRPr="00BF62F4">
        <w:t xml:space="preserve">L (260 AGU/g). The product was then fermented with </w:t>
      </w:r>
      <w:r w:rsidRPr="006A09ED">
        <w:rPr>
          <w:i/>
          <w:iCs/>
        </w:rPr>
        <w:t>Saccharomyces cerevisiae</w:t>
      </w:r>
      <w:r w:rsidRPr="00BF62F4">
        <w:t xml:space="preserve"> and subsequently distilled under reduced pressure. The hydrolysate with HCl</w:t>
      </w:r>
      <w:r w:rsidR="009D793A">
        <w:t xml:space="preserve"> </w:t>
      </w:r>
      <w:r w:rsidR="009D793A" w:rsidRPr="00BF62F4">
        <w:t>0.1</w:t>
      </w:r>
      <w:r w:rsidR="009D793A">
        <w:t xml:space="preserve"> </w:t>
      </w:r>
      <w:r w:rsidR="009D793A" w:rsidRPr="00BF62F4">
        <w:t>%v/v</w:t>
      </w:r>
      <w:r w:rsidR="009D793A">
        <w:t xml:space="preserve"> </w:t>
      </w:r>
      <w:r w:rsidRPr="00BF62F4">
        <w:t>showed a higher sugar release (29.08 ± 0.04 g/L) and lower bioconversion (11.23 ± 0.37 g ethanol / 100 g dry peel) with an 8</w:t>
      </w:r>
      <w:r w:rsidR="00182436">
        <w:t xml:space="preserve"> </w:t>
      </w:r>
      <w:r w:rsidRPr="00BF62F4">
        <w:t>%w/v PPW, compared to the hydrolysate with 0.1</w:t>
      </w:r>
      <w:r w:rsidR="00C33767">
        <w:t xml:space="preserve"> </w:t>
      </w:r>
      <w:r w:rsidRPr="00BF62F4">
        <w:t xml:space="preserve">%v/v NaOH under the same conditions (24.10 ± 0.07 g sugar/L), but the ethanol bioconversion was higher (12.14 ± 0.45 g ethanol / 100 g dry peel). This represents a transformation process applicable in eco-communities, where an </w:t>
      </w:r>
      <w:r w:rsidRPr="00AD778C">
        <w:t>estimated 3.15</w:t>
      </w:r>
      <w:r w:rsidRPr="00BF62F4">
        <w:t xml:space="preserve"> L of</w:t>
      </w:r>
      <w:r w:rsidR="00B0733E">
        <w:t xml:space="preserve"> </w:t>
      </w:r>
      <w:r w:rsidRPr="00BF62F4">
        <w:t xml:space="preserve">alcohol </w:t>
      </w:r>
      <w:r w:rsidR="00B0733E">
        <w:t xml:space="preserve">al 70 – 80 % </w:t>
      </w:r>
      <w:r w:rsidRPr="00BF62F4">
        <w:t>is projected to be produced per week.</w:t>
      </w:r>
    </w:p>
    <w:p w14:paraId="7C4B5E44" w14:textId="4A04E00B" w:rsidR="00543600" w:rsidRDefault="00600535" w:rsidP="00543600">
      <w:pPr>
        <w:pStyle w:val="CETHeading1"/>
        <w:rPr>
          <w:lang w:val="en-GB"/>
        </w:rPr>
      </w:pPr>
      <w:r w:rsidRPr="00B57B36">
        <w:rPr>
          <w:lang w:val="en-GB"/>
        </w:rPr>
        <w:t>Introduction</w:t>
      </w:r>
    </w:p>
    <w:p w14:paraId="3F3DE9B3" w14:textId="6A2D72D2" w:rsidR="00460552" w:rsidRPr="00460552" w:rsidRDefault="00460552" w:rsidP="00460552">
      <w:pPr>
        <w:pStyle w:val="CETBodytext"/>
        <w:rPr>
          <w:lang w:val="en-GB"/>
        </w:rPr>
      </w:pPr>
      <w:r w:rsidRPr="00460552">
        <w:rPr>
          <w:lang w:val="en-GB"/>
        </w:rPr>
        <w:t xml:space="preserve">Contemporary lifestyles have driven a growing energy demand, underscoring a critical dependence on fossil fuels. The intensive use of these fuels is the primary precursor of greenhouse gas emissions (Chauhan </w:t>
      </w:r>
      <w:r w:rsidRPr="00807A3F">
        <w:rPr>
          <w:i/>
          <w:iCs/>
          <w:lang w:val="en-GB"/>
        </w:rPr>
        <w:t>et al</w:t>
      </w:r>
      <w:r w:rsidRPr="00460552">
        <w:rPr>
          <w:lang w:val="en-GB"/>
        </w:rPr>
        <w:t>., 2023). In this scenario, biofuels have emerged as a renewable and viable alternative for diversifying the energy matrix (</w:t>
      </w:r>
      <w:proofErr w:type="spellStart"/>
      <w:r w:rsidRPr="00460552">
        <w:rPr>
          <w:lang w:val="en-GB"/>
        </w:rPr>
        <w:t>Atitallah</w:t>
      </w:r>
      <w:proofErr w:type="spellEnd"/>
      <w:r w:rsidRPr="00460552">
        <w:rPr>
          <w:lang w:val="en-GB"/>
        </w:rPr>
        <w:t xml:space="preserve"> </w:t>
      </w:r>
      <w:r w:rsidRPr="00807A3F">
        <w:rPr>
          <w:i/>
          <w:iCs/>
          <w:lang w:val="en-GB"/>
        </w:rPr>
        <w:t>et al</w:t>
      </w:r>
      <w:r w:rsidRPr="00460552">
        <w:rPr>
          <w:lang w:val="en-GB"/>
        </w:rPr>
        <w:t>., 2019). In Colombia, bioethanol plays a fundamental role as it partially replaces fossil-derived gasoline (10</w:t>
      </w:r>
      <w:r w:rsidR="004A5396">
        <w:rPr>
          <w:lang w:val="en-GB"/>
        </w:rPr>
        <w:t xml:space="preserve"> </w:t>
      </w:r>
      <w:r w:rsidRPr="00460552">
        <w:rPr>
          <w:lang w:val="en-GB"/>
        </w:rPr>
        <w:t xml:space="preserve">%), thereby reducing the environmental impact of the transportation sector </w:t>
      </w:r>
      <w:r w:rsidR="006A5904">
        <w:rPr>
          <w:lang w:val="en-GB"/>
        </w:rPr>
        <w:t>(</w:t>
      </w:r>
      <w:r w:rsidR="005D2327" w:rsidRPr="00ED6B1D">
        <w:t>Congress of the Republic of Colombia</w:t>
      </w:r>
      <w:r w:rsidR="006A5904">
        <w:rPr>
          <w:lang w:val="en-GB"/>
        </w:rPr>
        <w:t xml:space="preserve"> 2001</w:t>
      </w:r>
      <w:r w:rsidR="005D2327">
        <w:rPr>
          <w:lang w:val="en-GB"/>
        </w:rPr>
        <w:t>).</w:t>
      </w:r>
      <w:r w:rsidR="00556052">
        <w:rPr>
          <w:lang w:val="en-GB"/>
        </w:rPr>
        <w:t xml:space="preserve"> </w:t>
      </w:r>
      <w:r w:rsidRPr="00460552">
        <w:rPr>
          <w:lang w:val="en-GB"/>
        </w:rPr>
        <w:t xml:space="preserve">However, the sustainability of first-generation bioethanol is debated due to its competition with food security, which drives the transition towards second-generation processes that </w:t>
      </w:r>
      <w:proofErr w:type="spellStart"/>
      <w:r w:rsidRPr="00460552">
        <w:rPr>
          <w:lang w:val="en-GB"/>
        </w:rPr>
        <w:t>valorize</w:t>
      </w:r>
      <w:proofErr w:type="spellEnd"/>
      <w:r w:rsidRPr="00460552">
        <w:rPr>
          <w:lang w:val="en-GB"/>
        </w:rPr>
        <w:t xml:space="preserve"> residual biomass and agro-industrial </w:t>
      </w:r>
      <w:proofErr w:type="spellStart"/>
      <w:r w:rsidRPr="00460552">
        <w:rPr>
          <w:lang w:val="en-GB"/>
        </w:rPr>
        <w:t>byproducts</w:t>
      </w:r>
      <w:proofErr w:type="spellEnd"/>
      <w:r w:rsidRPr="00460552">
        <w:rPr>
          <w:lang w:val="en-GB"/>
        </w:rPr>
        <w:t xml:space="preserve"> (Ijaz </w:t>
      </w:r>
      <w:r w:rsidRPr="00807A3F">
        <w:rPr>
          <w:i/>
          <w:iCs/>
          <w:lang w:val="en-GB"/>
        </w:rPr>
        <w:t>et al</w:t>
      </w:r>
      <w:r w:rsidRPr="00460552">
        <w:rPr>
          <w:lang w:val="en-GB"/>
        </w:rPr>
        <w:t>., 2024).</w:t>
      </w:r>
    </w:p>
    <w:p w14:paraId="0F5907FB" w14:textId="4B469607" w:rsidR="00460552" w:rsidRPr="00460552" w:rsidRDefault="00460552" w:rsidP="00460552">
      <w:pPr>
        <w:pStyle w:val="CETBodytext"/>
        <w:rPr>
          <w:lang w:val="en-GB"/>
        </w:rPr>
      </w:pPr>
      <w:r w:rsidRPr="00460552">
        <w:rPr>
          <w:lang w:val="en-GB"/>
        </w:rPr>
        <w:t>Potato (</w:t>
      </w:r>
      <w:r w:rsidRPr="00D347EE">
        <w:rPr>
          <w:i/>
          <w:iCs/>
          <w:lang w:val="en-GB"/>
        </w:rPr>
        <w:t>Solanum tuberosum</w:t>
      </w:r>
      <w:r w:rsidRPr="00460552">
        <w:rPr>
          <w:lang w:val="en-GB"/>
        </w:rPr>
        <w:t>) cultivation is a cornerstone of the Colombian agricultural sector, with a production of 2.57 million tons, accounting for 1.4</w:t>
      </w:r>
      <w:r w:rsidR="0045520C">
        <w:rPr>
          <w:lang w:val="en-GB"/>
        </w:rPr>
        <w:t xml:space="preserve"> </w:t>
      </w:r>
      <w:r w:rsidRPr="00460552">
        <w:rPr>
          <w:lang w:val="en-GB"/>
        </w:rPr>
        <w:t>% of the national agrarian</w:t>
      </w:r>
      <w:r w:rsidR="00AA37AF">
        <w:rPr>
          <w:lang w:val="en-GB"/>
        </w:rPr>
        <w:t xml:space="preserve"> </w:t>
      </w:r>
      <w:r w:rsidR="00683FB5" w:rsidRPr="00ED6B1D">
        <w:t>Gross Domestic Product</w:t>
      </w:r>
      <w:r w:rsidR="002F471B" w:rsidRPr="00ED6B1D">
        <w:t xml:space="preserve"> (PIB </w:t>
      </w:r>
      <w:r w:rsidR="001D5FB8" w:rsidRPr="00ED6B1D">
        <w:t>by Spanish acronyms</w:t>
      </w:r>
      <w:r w:rsidR="00683FB5" w:rsidRPr="00ED6B1D">
        <w:t>)</w:t>
      </w:r>
      <w:r w:rsidRPr="00460552">
        <w:rPr>
          <w:lang w:val="en-GB"/>
        </w:rPr>
        <w:t xml:space="preserve"> </w:t>
      </w:r>
      <w:r w:rsidRPr="00212070">
        <w:rPr>
          <w:lang w:val="en-GB"/>
        </w:rPr>
        <w:t>(DANE, 2023</w:t>
      </w:r>
      <w:r w:rsidRPr="00460552">
        <w:rPr>
          <w:lang w:val="en-GB"/>
        </w:rPr>
        <w:t>). In turn, the industrial processing and consumption of this tuber generate potato peel waste (PPW) as the primary residue, which can range from 15</w:t>
      </w:r>
      <w:r w:rsidR="0045520C">
        <w:rPr>
          <w:lang w:val="en-GB"/>
        </w:rPr>
        <w:t xml:space="preserve"> </w:t>
      </w:r>
      <w:r w:rsidRPr="00460552">
        <w:rPr>
          <w:lang w:val="en-GB"/>
        </w:rPr>
        <w:t>% to 40</w:t>
      </w:r>
      <w:r w:rsidR="0045520C">
        <w:rPr>
          <w:lang w:val="en-GB"/>
        </w:rPr>
        <w:t xml:space="preserve"> </w:t>
      </w:r>
      <w:r w:rsidRPr="00460552">
        <w:rPr>
          <w:lang w:val="en-GB"/>
        </w:rPr>
        <w:t xml:space="preserve">% depending on the peeling method used (Ijaz </w:t>
      </w:r>
      <w:r w:rsidRPr="00807A3F">
        <w:rPr>
          <w:i/>
          <w:iCs/>
          <w:lang w:val="en-GB"/>
        </w:rPr>
        <w:t>et al</w:t>
      </w:r>
      <w:r w:rsidRPr="00460552">
        <w:rPr>
          <w:lang w:val="en-GB"/>
        </w:rPr>
        <w:t>., 2024). Inadequate management of PPW leads to the generation of leachate and methane gas in landfills, and it is estimated that by 2030, global PPW production could result in the release of 5 million tons of CO</w:t>
      </w:r>
      <w:r w:rsidRPr="00C91DEB">
        <w:rPr>
          <w:vertAlign w:val="subscript"/>
          <w:lang w:val="en-GB"/>
        </w:rPr>
        <w:t>2</w:t>
      </w:r>
      <w:r w:rsidRPr="00460552">
        <w:rPr>
          <w:lang w:val="en-GB"/>
        </w:rPr>
        <w:t xml:space="preserve"> into the environment (</w:t>
      </w:r>
      <w:proofErr w:type="spellStart"/>
      <w:r w:rsidRPr="00460552">
        <w:rPr>
          <w:lang w:val="en-GB"/>
        </w:rPr>
        <w:t>Khanal</w:t>
      </w:r>
      <w:proofErr w:type="spellEnd"/>
      <w:r w:rsidRPr="00460552">
        <w:rPr>
          <w:lang w:val="en-GB"/>
        </w:rPr>
        <w:t xml:space="preserve"> </w:t>
      </w:r>
      <w:r w:rsidRPr="00807A3F">
        <w:rPr>
          <w:i/>
          <w:iCs/>
          <w:lang w:val="en-GB"/>
        </w:rPr>
        <w:t>et al</w:t>
      </w:r>
      <w:r w:rsidRPr="00460552">
        <w:rPr>
          <w:lang w:val="en-GB"/>
        </w:rPr>
        <w:t>., 2024). Despite its abundance, PPW use in Colombia is limited by logistical collection barriers and a lack of technical protocols adapted to local varieties. This presents an opportunity to strengthen energy sovereignty by creating circular value chains and increasing eco-communities' economic capacity to collect waste based on their consumption levels.</w:t>
      </w:r>
    </w:p>
    <w:p w14:paraId="7594015A" w14:textId="2A7F09EA" w:rsidR="00460552" w:rsidRDefault="00460552" w:rsidP="003713AC">
      <w:pPr>
        <w:pStyle w:val="CETBodytext"/>
        <w:rPr>
          <w:lang w:val="en-GB"/>
        </w:rPr>
      </w:pPr>
      <w:r w:rsidRPr="3347325C">
        <w:rPr>
          <w:lang w:val="en-GB"/>
        </w:rPr>
        <w:lastRenderedPageBreak/>
        <w:t xml:space="preserve">PPW is classified as a secondary plant biomass with high biotechnological potential due to its composition of residual starch (up to </w:t>
      </w:r>
      <w:r w:rsidR="009643DD" w:rsidRPr="009643DD">
        <w:rPr>
          <w:lang w:val="en-GB"/>
        </w:rPr>
        <w:t>44</w:t>
      </w:r>
      <w:r w:rsidR="009643DD">
        <w:rPr>
          <w:lang w:val="en-GB"/>
        </w:rPr>
        <w:t>.</w:t>
      </w:r>
      <w:r w:rsidR="009643DD" w:rsidRPr="009643DD">
        <w:rPr>
          <w:lang w:val="en-GB"/>
        </w:rPr>
        <w:t>80</w:t>
      </w:r>
      <w:r w:rsidR="00B608F2">
        <w:rPr>
          <w:lang w:val="en-GB"/>
        </w:rPr>
        <w:t xml:space="preserve"> </w:t>
      </w:r>
      <w:r w:rsidR="004B6C7B">
        <w:rPr>
          <w:lang w:val="en-GB"/>
        </w:rPr>
        <w:t>%</w:t>
      </w:r>
      <w:r w:rsidRPr="3347325C">
        <w:rPr>
          <w:lang w:val="en-GB"/>
        </w:rPr>
        <w:t>), along with cellulose (</w:t>
      </w:r>
      <w:r w:rsidR="00B40386">
        <w:rPr>
          <w:lang w:val="en-GB"/>
        </w:rPr>
        <w:t>34</w:t>
      </w:r>
      <w:r w:rsidRPr="3347325C">
        <w:rPr>
          <w:lang w:val="en-GB"/>
        </w:rPr>
        <w:t>.3</w:t>
      </w:r>
      <w:r w:rsidR="00B40386">
        <w:rPr>
          <w:lang w:val="en-GB"/>
        </w:rPr>
        <w:t>0</w:t>
      </w:r>
      <w:r w:rsidR="004B6C7B">
        <w:rPr>
          <w:lang w:val="en-GB"/>
        </w:rPr>
        <w:t xml:space="preserve"> </w:t>
      </w:r>
      <w:r w:rsidRPr="3347325C">
        <w:rPr>
          <w:lang w:val="en-GB"/>
        </w:rPr>
        <w:t>%), hemicellulose (</w:t>
      </w:r>
      <w:r w:rsidR="00B608F2">
        <w:rPr>
          <w:lang w:val="en-GB"/>
        </w:rPr>
        <w:t>5</w:t>
      </w:r>
      <w:r w:rsidRPr="3347325C">
        <w:rPr>
          <w:lang w:val="en-GB"/>
        </w:rPr>
        <w:t>.</w:t>
      </w:r>
      <w:r w:rsidR="00B608F2">
        <w:rPr>
          <w:lang w:val="en-GB"/>
        </w:rPr>
        <w:t xml:space="preserve">90 </w:t>
      </w:r>
      <w:r w:rsidRPr="3347325C">
        <w:rPr>
          <w:lang w:val="en-GB"/>
        </w:rPr>
        <w:t xml:space="preserve">%), and </w:t>
      </w:r>
      <w:r w:rsidR="00346DC7">
        <w:rPr>
          <w:lang w:val="en-GB"/>
        </w:rPr>
        <w:t>lignin</w:t>
      </w:r>
      <w:r w:rsidRPr="3347325C">
        <w:rPr>
          <w:lang w:val="en-GB"/>
        </w:rPr>
        <w:t xml:space="preserve"> (</w:t>
      </w:r>
      <w:r w:rsidR="00346DC7">
        <w:rPr>
          <w:lang w:val="en-GB"/>
        </w:rPr>
        <w:t xml:space="preserve">4.3 </w:t>
      </w:r>
      <w:r w:rsidRPr="3347325C">
        <w:rPr>
          <w:lang w:val="en-GB"/>
        </w:rPr>
        <w:t>%) (</w:t>
      </w:r>
      <w:proofErr w:type="spellStart"/>
      <w:r w:rsidR="00105975">
        <w:rPr>
          <w:lang w:val="en-GB"/>
        </w:rPr>
        <w:t>Atitallah</w:t>
      </w:r>
      <w:proofErr w:type="spellEnd"/>
      <w:r w:rsidRPr="3347325C">
        <w:rPr>
          <w:lang w:val="en-GB"/>
        </w:rPr>
        <w:t xml:space="preserve"> </w:t>
      </w:r>
      <w:r w:rsidRPr="005A5F25">
        <w:rPr>
          <w:i/>
          <w:iCs/>
          <w:lang w:val="en-GB"/>
        </w:rPr>
        <w:t>et al</w:t>
      </w:r>
      <w:r w:rsidRPr="3347325C">
        <w:rPr>
          <w:lang w:val="en-GB"/>
        </w:rPr>
        <w:t>., 201</w:t>
      </w:r>
      <w:r w:rsidR="00346DC7">
        <w:rPr>
          <w:lang w:val="en-GB"/>
        </w:rPr>
        <w:t>9</w:t>
      </w:r>
      <w:r w:rsidRPr="3347325C">
        <w:rPr>
          <w:lang w:val="en-GB"/>
        </w:rPr>
        <w:t xml:space="preserve">). This biopolymeric structure enables the production of fermentable sugars via biochemical routes. Previous research </w:t>
      </w:r>
      <w:r w:rsidR="0073530A" w:rsidRPr="3347325C">
        <w:rPr>
          <w:lang w:val="en-GB"/>
        </w:rPr>
        <w:t>(</w:t>
      </w:r>
      <w:proofErr w:type="spellStart"/>
      <w:r w:rsidRPr="3347325C">
        <w:rPr>
          <w:lang w:val="en-GB"/>
        </w:rPr>
        <w:t>Khawla</w:t>
      </w:r>
      <w:proofErr w:type="spellEnd"/>
      <w:r w:rsidRPr="3347325C">
        <w:rPr>
          <w:lang w:val="en-GB"/>
        </w:rPr>
        <w:t xml:space="preserve"> </w:t>
      </w:r>
      <w:r w:rsidRPr="3347325C">
        <w:rPr>
          <w:i/>
          <w:iCs/>
          <w:lang w:val="en-GB"/>
        </w:rPr>
        <w:t>et al.</w:t>
      </w:r>
      <w:r w:rsidR="0073530A" w:rsidRPr="3347325C">
        <w:rPr>
          <w:lang w:val="en-GB"/>
        </w:rPr>
        <w:t>,</w:t>
      </w:r>
      <w:r w:rsidRPr="3347325C">
        <w:rPr>
          <w:lang w:val="en-GB"/>
        </w:rPr>
        <w:t xml:space="preserve"> 2014), shows that enzymatic hydrolysis offers advantages over conventional acid hydrolysis by operating under moderate conditions and minimizing the formation of inhibitory compounds, such as </w:t>
      </w:r>
      <w:proofErr w:type="spellStart"/>
      <w:r w:rsidRPr="3347325C">
        <w:rPr>
          <w:lang w:val="en-GB"/>
        </w:rPr>
        <w:t>hydroxymethylfurfural</w:t>
      </w:r>
      <w:proofErr w:type="spellEnd"/>
      <w:r w:rsidRPr="3347325C">
        <w:rPr>
          <w:lang w:val="en-GB"/>
        </w:rPr>
        <w:t xml:space="preserve"> (HMF), thereby optimizing yield in the subsequent alcoholic fermentation with </w:t>
      </w:r>
      <w:r w:rsidRPr="3347325C">
        <w:rPr>
          <w:i/>
          <w:iCs/>
          <w:lang w:val="en-GB"/>
        </w:rPr>
        <w:t>Saccharomyces cerevisiae</w:t>
      </w:r>
      <w:r w:rsidRPr="3347325C">
        <w:rPr>
          <w:lang w:val="en-GB"/>
        </w:rPr>
        <w:t>. Within this framework, this research focuses on developing a biotechnological process for producing bioethanol from potato (</w:t>
      </w:r>
      <w:r w:rsidRPr="00802D94">
        <w:rPr>
          <w:i/>
          <w:iCs/>
          <w:lang w:val="en-GB"/>
        </w:rPr>
        <w:t>Solanum tuberosum</w:t>
      </w:r>
      <w:r w:rsidRPr="3347325C">
        <w:rPr>
          <w:lang w:val="en-GB"/>
        </w:rPr>
        <w:t xml:space="preserve">) peel waste at a laboratory scale, aiming to represent a transformation process applicable in eco-communities that </w:t>
      </w:r>
      <w:r w:rsidRPr="00AD778C">
        <w:rPr>
          <w:lang w:val="en-GB"/>
        </w:rPr>
        <w:t>generate 1</w:t>
      </w:r>
      <w:r w:rsidR="007C3AE3" w:rsidRPr="00AD778C">
        <w:rPr>
          <w:lang w:val="en-GB"/>
        </w:rPr>
        <w:t>2</w:t>
      </w:r>
      <w:r w:rsidRPr="00AD778C">
        <w:rPr>
          <w:lang w:val="en-GB"/>
        </w:rPr>
        <w:t>6</w:t>
      </w:r>
      <w:r w:rsidRPr="3347325C">
        <w:rPr>
          <w:lang w:val="en-GB"/>
        </w:rPr>
        <w:t xml:space="preserve"> kg of PPW per week.</w:t>
      </w:r>
    </w:p>
    <w:p w14:paraId="7F5D334D" w14:textId="13C487A2" w:rsidR="00DF7CA1" w:rsidRDefault="00D65D74" w:rsidP="00DF7CA1">
      <w:pPr>
        <w:pStyle w:val="CETHeading1"/>
        <w:rPr>
          <w:lang w:val="en-GB"/>
        </w:rPr>
      </w:pPr>
      <w:r w:rsidRPr="00D65D74">
        <w:rPr>
          <w:lang w:val="en-GB"/>
        </w:rPr>
        <w:t>Materials and methods</w:t>
      </w:r>
    </w:p>
    <w:p w14:paraId="6C852052" w14:textId="63735BCD" w:rsidR="009552F5" w:rsidRDefault="00FA2405" w:rsidP="009552F5">
      <w:pPr>
        <w:pStyle w:val="CETheadingx"/>
      </w:pPr>
      <w:r w:rsidRPr="00FA2405">
        <w:t>Raw Material</w:t>
      </w:r>
    </w:p>
    <w:p w14:paraId="1E38D3A3" w14:textId="31CC63AF" w:rsidR="00FA2405" w:rsidRDefault="00FA2405" w:rsidP="00FA2405">
      <w:pPr>
        <w:pStyle w:val="CETBodytext"/>
      </w:pPr>
      <w:r>
        <w:t>Potato peel waste (</w:t>
      </w:r>
      <w:r w:rsidRPr="00FD5A2A">
        <w:rPr>
          <w:i/>
          <w:iCs/>
        </w:rPr>
        <w:t>Solanum tuberosum</w:t>
      </w:r>
      <w:r>
        <w:t>) was used. The peel was obtained by mechanical peeling of fresh potatoes, followed by washing and disinfection with a TIMSEM solution (400 ppm). The material was dried at 50 °C for 4 h, ground using a pin mill, and sieved.</w:t>
      </w:r>
    </w:p>
    <w:p w14:paraId="1115825E" w14:textId="497D21A3" w:rsidR="00B445E8" w:rsidRDefault="001468C3" w:rsidP="00B445E8">
      <w:pPr>
        <w:pStyle w:val="CETheadingx"/>
      </w:pPr>
      <w:r w:rsidRPr="001468C3">
        <w:t>Pretreatment</w:t>
      </w:r>
    </w:p>
    <w:p w14:paraId="1183AA37" w14:textId="21C90803" w:rsidR="3347325C" w:rsidRDefault="001468C3" w:rsidP="3347325C">
      <w:pPr>
        <w:pStyle w:val="CETBodytext"/>
      </w:pPr>
      <w:r>
        <w:t>PPW was evaluated with a hydrothermal pretreatment (using distilled water) and two thermochemical pretreatments employing HCl (0.1</w:t>
      </w:r>
      <w:r w:rsidR="00BE71CF">
        <w:t xml:space="preserve"> </w:t>
      </w:r>
      <w:r>
        <w:t>%v/v) and NaOH (0.1</w:t>
      </w:r>
      <w:r w:rsidR="00BE71CF">
        <w:t xml:space="preserve"> </w:t>
      </w:r>
      <w:r>
        <w:t>%v/v) at a substrate of 5</w:t>
      </w:r>
      <w:r w:rsidR="00BE71CF">
        <w:t xml:space="preserve"> </w:t>
      </w:r>
      <w:r>
        <w:t xml:space="preserve">%w/v for a particle size of 335 µm. A 3x2x2 factorial design was applied in triplicate, varying the type of pretreatment, time (1 h and 1.5 h), and temperature (80 °C and 121 °C). In each case, the release of reducing sugars was evaluated using the DNS technique described by </w:t>
      </w:r>
      <w:r w:rsidR="0A1A2D96">
        <w:t>Miller (</w:t>
      </w:r>
      <w:r>
        <w:t xml:space="preserve">1959) as the response variable. </w:t>
      </w:r>
    </w:p>
    <w:p w14:paraId="0DEC0EA7" w14:textId="67C31675" w:rsidR="009552F5" w:rsidRDefault="00DB6EAB" w:rsidP="009552F5">
      <w:pPr>
        <w:pStyle w:val="CETheadingx"/>
      </w:pPr>
      <w:r w:rsidRPr="00DB6EAB">
        <w:t>Enzymatic Hydrolysis</w:t>
      </w:r>
    </w:p>
    <w:p w14:paraId="5D488D91" w14:textId="08C3C1C7" w:rsidR="00DB6EAB" w:rsidRDefault="00DB6EAB" w:rsidP="00FC2516">
      <w:pPr>
        <w:pStyle w:val="CETBodytext"/>
      </w:pPr>
      <w:r w:rsidRPr="00DB6EAB">
        <w:t>Enzymatic hydrolysis was carried out at 50 °C and pH 4.8 (0.1 M sodium acetate buffer) with constant agitation at 300 rpm for 48 h. The particle size of PPW ranged from 250 µm to 500 µm in a working volume of 150 ml. A 3x2x2 factorial design was used, analyzing the type of pretreatment (HCl 0.1</w:t>
      </w:r>
      <w:r w:rsidR="00E10508">
        <w:t xml:space="preserve"> </w:t>
      </w:r>
      <w:r w:rsidRPr="00DB6EAB">
        <w:t>%</w:t>
      </w:r>
      <w:r w:rsidR="00E10508">
        <w:t>v/v</w:t>
      </w:r>
      <w:r w:rsidRPr="00DB6EAB">
        <w:t xml:space="preserve"> and NaOH 0.1</w:t>
      </w:r>
      <w:r w:rsidR="00E10508">
        <w:t xml:space="preserve"> </w:t>
      </w:r>
      <w:r w:rsidRPr="00DB6EAB">
        <w:t>%</w:t>
      </w:r>
      <w:r w:rsidR="00E10508">
        <w:t>v/v</w:t>
      </w:r>
      <w:r w:rsidRPr="00DB6EAB">
        <w:t>), the type of enzyme—Celluclast 1.5</w:t>
      </w:r>
      <w:r w:rsidR="001017FB">
        <w:t xml:space="preserve"> </w:t>
      </w:r>
      <w:r w:rsidRPr="00DB6EAB">
        <w:t>L (700 EGU/g) and the combination of Celluclast</w:t>
      </w:r>
      <w:r w:rsidR="00B61908">
        <w:t xml:space="preserve"> 1.5 L</w:t>
      </w:r>
      <w:r w:rsidRPr="00DB6EAB">
        <w:t xml:space="preserve"> with Amylase AG 300</w:t>
      </w:r>
      <w:r w:rsidR="00B61908">
        <w:t xml:space="preserve"> </w:t>
      </w:r>
      <w:r w:rsidRPr="00DB6EAB">
        <w:t>L (260 AGU/g)—and the substrate concentration (2</w:t>
      </w:r>
      <w:r w:rsidR="00B61908">
        <w:t xml:space="preserve"> </w:t>
      </w:r>
      <w:r w:rsidRPr="00DB6EAB">
        <w:t>%, 5</w:t>
      </w:r>
      <w:r w:rsidR="00B61908">
        <w:t xml:space="preserve"> </w:t>
      </w:r>
      <w:r w:rsidRPr="00DB6EAB">
        <w:t>%, and 8</w:t>
      </w:r>
      <w:r w:rsidR="00B61908">
        <w:t xml:space="preserve"> </w:t>
      </w:r>
      <w:r w:rsidRPr="00DB6EAB">
        <w:t>%w/v).</w:t>
      </w:r>
      <w:r w:rsidR="00242F93">
        <w:t xml:space="preserve"> </w:t>
      </w:r>
      <w:r w:rsidRPr="00DB6EAB">
        <w:t>The enzyme dosage was set at 23.58 µL/g of cellulose for Celluclast 1.5</w:t>
      </w:r>
      <w:r w:rsidR="00B61908">
        <w:t xml:space="preserve"> </w:t>
      </w:r>
      <w:r w:rsidRPr="00DB6EAB">
        <w:t>L and 2.72</w:t>
      </w:r>
      <w:r w:rsidR="00B61908">
        <w:t xml:space="preserve"> </w:t>
      </w:r>
      <w:r w:rsidRPr="00DB6EAB">
        <w:t>µL/g of starch for Amylase AG. Enzyme inactivation was achieved using a water bath at 95 °C for 10 minutes with thermal shock, and the release of reducing sugars was evaluated using the DNS technique described by (Miller, 1959).</w:t>
      </w:r>
    </w:p>
    <w:p w14:paraId="37DF0F50" w14:textId="174FF64C" w:rsidR="009552F5" w:rsidRDefault="00DB6EAB" w:rsidP="009552F5">
      <w:pPr>
        <w:pStyle w:val="CETheadingx"/>
      </w:pPr>
      <w:bookmarkStart w:id="1" w:name="_Hlk219750417"/>
      <w:r w:rsidRPr="00DB6EAB">
        <w:t>Fermentation and Distillation</w:t>
      </w:r>
    </w:p>
    <w:bookmarkEnd w:id="1"/>
    <w:p w14:paraId="719C60A8" w14:textId="6B6AA9E9" w:rsidR="001C4B28" w:rsidRDefault="00DB6EAB" w:rsidP="00DC1452">
      <w:pPr>
        <w:pStyle w:val="CETBodytext"/>
      </w:pPr>
      <w:r w:rsidRPr="00DB6EAB">
        <w:t>The hydrolysate was fermented with</w:t>
      </w:r>
      <w:r w:rsidR="00FD5A2A">
        <w:t xml:space="preserve"> </w:t>
      </w:r>
      <w:r w:rsidRPr="00FD5A2A">
        <w:rPr>
          <w:i/>
          <w:iCs/>
        </w:rPr>
        <w:t>Saccharomyces cerevisiae</w:t>
      </w:r>
      <w:r w:rsidRPr="00DB6EAB">
        <w:t xml:space="preserve"> (Angel Thermal Tolerance) at an inoculum rate of 0.3 g/L (5 million cells/mL). The process was conducted under conditions of 30 °C, pH 5.0, and 100 rpm for 72 h. The fermented broth underwent simple distillation using a rotary evaporator at </w:t>
      </w:r>
      <w:r w:rsidRPr="00AD778C">
        <w:t xml:space="preserve">50 °C and 150 </w:t>
      </w:r>
      <w:proofErr w:type="spellStart"/>
      <w:r w:rsidRPr="00AD778C">
        <w:t>mBar</w:t>
      </w:r>
      <w:proofErr w:type="spellEnd"/>
      <w:r w:rsidRPr="00DB6EAB">
        <w:t>. The quantity of ethanol produced was determined by gas chromatography (</w:t>
      </w:r>
      <w:r w:rsidR="00391634" w:rsidRPr="00391634">
        <w:t>working volume of 2 µL, the run time was 12 min, and a HP-PLOT Q column at 150°C to 210</w:t>
      </w:r>
      <w:r w:rsidR="00391634">
        <w:t xml:space="preserve"> </w:t>
      </w:r>
      <w:r w:rsidR="00391634" w:rsidRPr="00391634">
        <w:t>°C (rate 20</w:t>
      </w:r>
      <w:r w:rsidR="00391634">
        <w:t xml:space="preserve"> </w:t>
      </w:r>
      <w:r w:rsidR="00391634" w:rsidRPr="00391634">
        <w:t>°C/min) with gas flow of 5 ml/min of N</w:t>
      </w:r>
      <w:r w:rsidR="00391634" w:rsidRPr="00391634">
        <w:rPr>
          <w:vertAlign w:val="subscript"/>
        </w:rPr>
        <w:t>2</w:t>
      </w:r>
      <w:r w:rsidR="00391634" w:rsidRPr="00391634">
        <w:t xml:space="preserve"> and</w:t>
      </w:r>
      <w:r w:rsidR="00AE6A1A">
        <w:t xml:space="preserve"> </w:t>
      </w:r>
      <w:r w:rsidR="00391634" w:rsidRPr="00391634">
        <w:t>FID detector at 275</w:t>
      </w:r>
      <w:r w:rsidR="00391634">
        <w:t xml:space="preserve"> </w:t>
      </w:r>
      <w:r w:rsidR="00391634" w:rsidRPr="00391634">
        <w:t>°C</w:t>
      </w:r>
      <w:r w:rsidR="00ED7C9F">
        <w:t xml:space="preserve">). </w:t>
      </w:r>
      <w:r w:rsidRPr="00DB6EAB">
        <w:t>The fermentation yield was estimated according to equations (1)</w:t>
      </w:r>
      <w:r w:rsidR="009112A2">
        <w:t xml:space="preserve"> </w:t>
      </w:r>
      <w:r w:rsidR="00DC1452" w:rsidRPr="00DB6EAB">
        <w:t>and</w:t>
      </w:r>
      <w:r w:rsidR="00DC1452">
        <w:t xml:space="preserve"> the </w:t>
      </w:r>
      <w:r w:rsidR="009112A2">
        <w:t xml:space="preserve">overall </w:t>
      </w:r>
      <w:r w:rsidR="00DC1452">
        <w:t>ethanol yield</w:t>
      </w:r>
      <w:r w:rsidR="004471FB">
        <w:t xml:space="preserve"> </w:t>
      </w:r>
      <w:r w:rsidR="00DC1452">
        <w:t xml:space="preserve">according </w:t>
      </w:r>
      <w:r w:rsidR="004471FB">
        <w:t xml:space="preserve">to </w:t>
      </w:r>
      <w:r w:rsidR="00DC1452">
        <w:t xml:space="preserve">the </w:t>
      </w:r>
      <w:r w:rsidR="00DC1452" w:rsidRPr="00DB6EAB">
        <w:t>equations</w:t>
      </w:r>
      <w:r w:rsidR="00DC1452">
        <w:t xml:space="preserve"> (2),</w:t>
      </w:r>
      <w:r w:rsidR="004471FB">
        <w:t xml:space="preserve"> where: </w:t>
      </w:r>
      <w:r w:rsidR="00DC1452">
        <w:t>Ce is the ethanol concentration (g/L); M</w:t>
      </w:r>
      <w:r w:rsidR="00CD06F5">
        <w:t xml:space="preserve"> is </w:t>
      </w:r>
      <w:r w:rsidR="00DC1452">
        <w:t xml:space="preserve">Potato peel waste (g); V </w:t>
      </w:r>
      <w:r w:rsidR="00CD06F5">
        <w:t>is s</w:t>
      </w:r>
      <w:r w:rsidR="00DC1452">
        <w:t>olution volume (L)</w:t>
      </w:r>
      <w:r w:rsidR="00DC1452" w:rsidRPr="00DB6EAB">
        <w:t>.</w:t>
      </w:r>
      <w:r w:rsidR="00DC1452">
        <w:t xml:space="preserve"> </w:t>
      </w:r>
    </w:p>
    <w:tbl>
      <w:tblPr>
        <w:tblW w:w="5000" w:type="pct"/>
        <w:tblLook w:val="04A0" w:firstRow="1" w:lastRow="0" w:firstColumn="1" w:lastColumn="0" w:noHBand="0" w:noVBand="1"/>
      </w:tblPr>
      <w:tblGrid>
        <w:gridCol w:w="7986"/>
        <w:gridCol w:w="801"/>
      </w:tblGrid>
      <w:tr w:rsidR="00DC1452" w:rsidRPr="001C4B28" w14:paraId="0EA49EE4" w14:textId="77777777" w:rsidTr="00D90CB8">
        <w:tc>
          <w:tcPr>
            <w:tcW w:w="7986" w:type="dxa"/>
            <w:vAlign w:val="center"/>
          </w:tcPr>
          <w:p w14:paraId="29DD9E95" w14:textId="77777777" w:rsidR="00DC1452" w:rsidRPr="001C4B28" w:rsidRDefault="00DC1452" w:rsidP="001C4B28">
            <w:pPr>
              <w:pStyle w:val="CETEquation"/>
            </w:pPr>
            <m:oMathPara>
              <m:oMathParaPr>
                <m:jc m:val="left"/>
              </m:oMathParaPr>
              <m:oMath>
                <m:r>
                  <m:rPr>
                    <m:sty m:val="p"/>
                  </m:rPr>
                  <w:rPr>
                    <w:rFonts w:ascii="Cambria Math" w:hAnsi="Cambria Math"/>
                  </w:rPr>
                  <m:t xml:space="preserve">% </m:t>
                </m:r>
                <m:r>
                  <w:rPr>
                    <w:rFonts w:ascii="Cambria Math" w:hAnsi="Cambria Math"/>
                  </w:rPr>
                  <m:t>Ethanol</m:t>
                </m:r>
                <m:r>
                  <m:rPr>
                    <m:sty m:val="p"/>
                  </m:rPr>
                  <w:rPr>
                    <w:rFonts w:ascii="Cambria Math" w:hAnsi="Cambria Math"/>
                  </w:rPr>
                  <m:t xml:space="preserve"> </m:t>
                </m:r>
                <m:r>
                  <w:rPr>
                    <w:rFonts w:ascii="Cambria Math" w:hAnsi="Cambria Math"/>
                  </w:rPr>
                  <m:t>yield</m:t>
                </m:r>
                <m:r>
                  <m:rPr>
                    <m:sty m:val="p"/>
                  </m:rPr>
                  <w:rPr>
                    <w:rFonts w:ascii="Cambria Math" w:hAnsi="Cambria Math"/>
                  </w:rPr>
                  <m:t>=</m:t>
                </m:r>
                <m:f>
                  <m:fPr>
                    <m:ctrlPr>
                      <w:rPr>
                        <w:rFonts w:ascii="Cambria Math" w:hAnsi="Cambria Math"/>
                      </w:rPr>
                    </m:ctrlPr>
                  </m:fPr>
                  <m:num>
                    <m:r>
                      <w:rPr>
                        <w:rFonts w:ascii="Cambria Math" w:hAnsi="Cambria Math"/>
                      </w:rPr>
                      <m:t>g</m:t>
                    </m:r>
                    <m:r>
                      <m:rPr>
                        <m:sty m:val="p"/>
                      </m:rPr>
                      <w:rPr>
                        <w:rFonts w:ascii="Cambria Math" w:hAnsi="Cambria Math"/>
                      </w:rPr>
                      <m:t xml:space="preserve"> </m:t>
                    </m:r>
                    <m:r>
                      <w:rPr>
                        <w:rFonts w:ascii="Cambria Math" w:hAnsi="Cambria Math"/>
                      </w:rPr>
                      <m:t>Ethanol</m:t>
                    </m:r>
                    <m:r>
                      <m:rPr>
                        <m:sty m:val="p"/>
                      </m:rPr>
                      <w:rPr>
                        <w:rFonts w:ascii="Cambria Math" w:hAnsi="Cambria Math"/>
                      </w:rPr>
                      <m:t xml:space="preserve"> </m:t>
                    </m:r>
                    <m:r>
                      <w:rPr>
                        <w:rFonts w:ascii="Cambria Math" w:hAnsi="Cambria Math"/>
                      </w:rPr>
                      <m:t>produced</m:t>
                    </m:r>
                  </m:num>
                  <m:den>
                    <m:r>
                      <w:rPr>
                        <w:rFonts w:ascii="Cambria Math" w:hAnsi="Cambria Math"/>
                      </w:rPr>
                      <m:t>g</m:t>
                    </m:r>
                    <m:r>
                      <m:rPr>
                        <m:sty m:val="p"/>
                      </m:rPr>
                      <w:rPr>
                        <w:rFonts w:ascii="Cambria Math" w:hAnsi="Cambria Math"/>
                      </w:rPr>
                      <m:t xml:space="preserve"> </m:t>
                    </m:r>
                    <m:r>
                      <w:rPr>
                        <w:rFonts w:ascii="Cambria Math" w:hAnsi="Cambria Math"/>
                      </w:rPr>
                      <m:t>Ethanol</m:t>
                    </m:r>
                    <m:r>
                      <m:rPr>
                        <m:sty m:val="p"/>
                      </m:rPr>
                      <w:rPr>
                        <w:rFonts w:ascii="Cambria Math" w:hAnsi="Cambria Math"/>
                      </w:rPr>
                      <m:t xml:space="preserve">  </m:t>
                    </m:r>
                    <m:r>
                      <w:rPr>
                        <w:rFonts w:ascii="Cambria Math" w:hAnsi="Cambria Math"/>
                      </w:rPr>
                      <m:t>theorist</m:t>
                    </m:r>
                  </m:den>
                </m:f>
                <m:r>
                  <m:rPr>
                    <m:sty m:val="p"/>
                  </m:rPr>
                  <w:rPr>
                    <w:rFonts w:ascii="Cambria Math" w:hAnsi="Cambria Math"/>
                  </w:rPr>
                  <m:t>*100</m:t>
                </m:r>
              </m:oMath>
            </m:oMathPara>
          </w:p>
        </w:tc>
        <w:tc>
          <w:tcPr>
            <w:tcW w:w="801" w:type="dxa"/>
            <w:vAlign w:val="center"/>
          </w:tcPr>
          <w:p w14:paraId="36199637" w14:textId="77777777" w:rsidR="00DC1452" w:rsidRPr="001C4B28" w:rsidRDefault="00DC1452" w:rsidP="001C4B28">
            <w:pPr>
              <w:pStyle w:val="CETEquation"/>
            </w:pPr>
            <w:r w:rsidRPr="001C4B28">
              <w:t>(1)</w:t>
            </w:r>
          </w:p>
        </w:tc>
      </w:tr>
      <w:tr w:rsidR="00DC1452" w:rsidRPr="001C4B28" w14:paraId="1798213D" w14:textId="77777777" w:rsidTr="00D90CB8">
        <w:tc>
          <w:tcPr>
            <w:tcW w:w="7986" w:type="dxa"/>
            <w:vAlign w:val="center"/>
          </w:tcPr>
          <w:p w14:paraId="5C703B50" w14:textId="200B30AE" w:rsidR="00DC1452" w:rsidRPr="001C4B28" w:rsidRDefault="001C4B28" w:rsidP="001C4B28">
            <w:pPr>
              <w:pStyle w:val="CETEquation"/>
            </w:pPr>
            <m:oMath>
              <m:r>
                <w:rPr>
                  <w:rFonts w:ascii="Cambria Math" w:hAnsi="Cambria Math"/>
                </w:rPr>
                <m:t>Overall</m:t>
              </m:r>
              <m:r>
                <m:rPr>
                  <m:sty m:val="p"/>
                </m:rPr>
                <w:rPr>
                  <w:rFonts w:ascii="Cambria Math" w:hAnsi="Cambria Math"/>
                </w:rPr>
                <m:t xml:space="preserve"> </m:t>
              </m:r>
              <m:r>
                <w:rPr>
                  <w:rFonts w:ascii="Cambria Math" w:hAnsi="Cambria Math"/>
                </w:rPr>
                <m:t>Ethanol</m:t>
              </m:r>
              <m:r>
                <m:rPr>
                  <m:sty m:val="p"/>
                </m:rPr>
                <w:rPr>
                  <w:rFonts w:ascii="Cambria Math" w:hAnsi="Cambria Math"/>
                </w:rPr>
                <m:t xml:space="preserve"> </m:t>
              </m:r>
              <m:r>
                <w:rPr>
                  <w:rFonts w:ascii="Cambria Math" w:hAnsi="Cambria Math"/>
                </w:rPr>
                <m:t>yield</m:t>
              </m:r>
              <m:r>
                <m:rPr>
                  <m:sty m:val="p"/>
                </m:rPr>
                <w:rPr>
                  <w:rFonts w:ascii="Cambria Math" w:hAnsi="Cambria Math"/>
                </w:rPr>
                <m:t xml:space="preserve"> (</m:t>
              </m:r>
              <m:r>
                <w:rPr>
                  <w:rFonts w:ascii="Cambria Math" w:hAnsi="Cambria Math"/>
                </w:rPr>
                <m:t>gEthanol</m:t>
              </m:r>
              <m:r>
                <m:rPr>
                  <m:sty m:val="p"/>
                </m:rPr>
                <w:rPr>
                  <w:rFonts w:ascii="Cambria Math" w:hAnsi="Cambria Math"/>
                </w:rPr>
                <m:t>/100</m:t>
              </m:r>
              <m:r>
                <w:rPr>
                  <w:rFonts w:ascii="Cambria Math" w:hAnsi="Cambria Math"/>
                </w:rPr>
                <m:t>g dry peel</m:t>
              </m:r>
              <m:r>
                <m:rPr>
                  <m:sty m:val="p"/>
                </m:rPr>
                <w:rPr>
                  <w:rFonts w:ascii="Cambria Math" w:hAnsi="Cambria Math"/>
                </w:rPr>
                <m:t>)=</m:t>
              </m:r>
              <m:f>
                <m:fPr>
                  <m:ctrlPr>
                    <w:rPr>
                      <w:rFonts w:ascii="Cambria Math" w:hAnsi="Cambria Math"/>
                    </w:rPr>
                  </m:ctrlPr>
                </m:fPr>
                <m:num>
                  <m:r>
                    <w:rPr>
                      <w:rFonts w:ascii="Cambria Math" w:hAnsi="Cambria Math"/>
                    </w:rPr>
                    <m:t>Ce</m:t>
                  </m:r>
                  <m:r>
                    <m:rPr>
                      <m:sty m:val="p"/>
                    </m:rPr>
                    <w:rPr>
                      <w:rFonts w:ascii="Cambria Math" w:hAnsi="Cambria Math"/>
                    </w:rPr>
                    <m:t>*</m:t>
                  </m:r>
                  <m:r>
                    <w:rPr>
                      <w:rFonts w:ascii="Cambria Math" w:hAnsi="Cambria Math"/>
                    </w:rPr>
                    <m:t>V</m:t>
                  </m:r>
                </m:num>
                <m:den>
                  <m:r>
                    <w:rPr>
                      <w:rFonts w:ascii="Cambria Math" w:hAnsi="Cambria Math"/>
                    </w:rPr>
                    <m:t>M</m:t>
                  </m:r>
                </m:den>
              </m:f>
              <m:r>
                <m:rPr>
                  <m:sty m:val="p"/>
                </m:rPr>
                <w:rPr>
                  <w:rFonts w:ascii="Cambria Math" w:hAnsi="Cambria Math"/>
                </w:rPr>
                <m:t>*100</m:t>
              </m:r>
            </m:oMath>
            <w:r w:rsidR="00DC1452" w:rsidRPr="001C4B28">
              <w:t xml:space="preserve"> </w:t>
            </w:r>
          </w:p>
        </w:tc>
        <w:tc>
          <w:tcPr>
            <w:tcW w:w="801" w:type="dxa"/>
            <w:vAlign w:val="center"/>
          </w:tcPr>
          <w:p w14:paraId="58A04587" w14:textId="77777777" w:rsidR="00DC1452" w:rsidRPr="001C4B28" w:rsidRDefault="00DC1452" w:rsidP="001C4B28">
            <w:pPr>
              <w:pStyle w:val="CETEquation"/>
            </w:pPr>
            <w:r w:rsidRPr="001C4B28">
              <w:t>(2)</w:t>
            </w:r>
          </w:p>
        </w:tc>
      </w:tr>
    </w:tbl>
    <w:p w14:paraId="418027D6" w14:textId="7488DE26" w:rsidR="009552F5" w:rsidRDefault="00F90CB1" w:rsidP="00353F9A">
      <w:pPr>
        <w:pStyle w:val="CETheadingx"/>
      </w:pPr>
      <w:r w:rsidRPr="00F90CB1">
        <w:t>Statistical Analysis</w:t>
      </w:r>
    </w:p>
    <w:p w14:paraId="185079BC" w14:textId="0C02A01A" w:rsidR="008B0D2F" w:rsidRDefault="008B0D2F" w:rsidP="008B0D2F">
      <w:pPr>
        <w:pStyle w:val="CETBodytext"/>
      </w:pPr>
      <w:r>
        <w:t xml:space="preserve">The data presented in this document are the average of at least three replicates with a standard error of less than </w:t>
      </w:r>
      <w:r w:rsidR="00391634">
        <w:t>5</w:t>
      </w:r>
      <w:r w:rsidR="00831EC3">
        <w:t xml:space="preserve"> </w:t>
      </w:r>
      <w:r>
        <w:t>%. Data were analyzed using Minitab</w:t>
      </w:r>
      <w:r w:rsidR="00353F9A">
        <w:t>16</w:t>
      </w:r>
      <w:r>
        <w:t xml:space="preserve"> software</w:t>
      </w:r>
      <w:r w:rsidR="00353F9A">
        <w:t xml:space="preserve"> </w:t>
      </w:r>
      <w:r>
        <w:t>through Tukey tests (</w:t>
      </w:r>
      <w:r w:rsidR="00045811">
        <w:rPr>
          <w:rFonts w:cs="Arial"/>
        </w:rPr>
        <w:t>α</w:t>
      </w:r>
      <w:r w:rsidR="00045811">
        <w:t xml:space="preserve"> </w:t>
      </w:r>
      <w:r>
        <w:t>0.05) to determine significant differences between treatments, following analysis of variance (ANOVA).</w:t>
      </w:r>
    </w:p>
    <w:p w14:paraId="45F0CEF2" w14:textId="1D0CEC3A" w:rsidR="00025D20" w:rsidRDefault="00F90CB1" w:rsidP="00025D20">
      <w:pPr>
        <w:pStyle w:val="CETheadingx"/>
      </w:pPr>
      <w:bookmarkStart w:id="2" w:name="_Hlk219813828"/>
      <w:r w:rsidRPr="00F90CB1">
        <w:t>Work with Eco-Community</w:t>
      </w:r>
    </w:p>
    <w:bookmarkEnd w:id="2"/>
    <w:p w14:paraId="003F1C5B" w14:textId="28E3BDB9" w:rsidR="00474EA2" w:rsidRDefault="00474EA2" w:rsidP="3347325C">
      <w:pPr>
        <w:pStyle w:val="CETBodytext"/>
      </w:pPr>
      <w:r>
        <w:t xml:space="preserve">A 3-hour technical workshop was conducted with the community of ASOFAHIMCO (Association of Families, Men and Women of Colombia), located in El Regalo neighborhood, Bosa locality, Bogotá D.C., Colombia, which </w:t>
      </w:r>
      <w:r>
        <w:lastRenderedPageBreak/>
        <w:t xml:space="preserve">consists of 26 families and 80 urban gardens. The workshop consisted of two phases, one theoretical and one practical, introducing the community to laboratory equipment and visualizing the fermentation process to strengthen their knowledge regarding the utilization of organic waste and the production of ethanol (not suitable for human consumption), </w:t>
      </w:r>
      <w:r w:rsidR="737A0D0A">
        <w:t>to diversify</w:t>
      </w:r>
      <w:r>
        <w:t xml:space="preserve"> waste valorization pathways.</w:t>
      </w:r>
    </w:p>
    <w:p w14:paraId="7578840F" w14:textId="1C28B79C" w:rsidR="00DF7CA1" w:rsidRDefault="00283D4C" w:rsidP="00DF7CA1">
      <w:pPr>
        <w:pStyle w:val="CETHeading1"/>
        <w:rPr>
          <w:lang w:val="en-GB"/>
        </w:rPr>
      </w:pPr>
      <w:r w:rsidRPr="00283D4C">
        <w:rPr>
          <w:lang w:val="en-GB"/>
        </w:rPr>
        <w:t>Results and discussion</w:t>
      </w:r>
    </w:p>
    <w:p w14:paraId="582B3C72" w14:textId="4FA126C1" w:rsidR="009552F5" w:rsidRDefault="00474EA2" w:rsidP="009552F5">
      <w:pPr>
        <w:pStyle w:val="CETheadingx"/>
      </w:pPr>
      <w:r>
        <w:t>Raw Material and Effect of Pretreatment</w:t>
      </w:r>
    </w:p>
    <w:p w14:paraId="589F5893" w14:textId="67A70777" w:rsidR="3347325C" w:rsidRDefault="0554BA68" w:rsidP="3347325C">
      <w:pPr>
        <w:pStyle w:val="CETBodytext"/>
      </w:pPr>
      <w:r>
        <w:t>The conditioning process for potato peel (</w:t>
      </w:r>
      <w:r w:rsidRPr="00D43513">
        <w:rPr>
          <w:i/>
          <w:iCs/>
        </w:rPr>
        <w:t>Solanum tuberosum</w:t>
      </w:r>
      <w:r>
        <w:t>) resulted in a dehydrated material with an average moisture content of 8.7</w:t>
      </w:r>
      <w:r w:rsidR="00045811">
        <w:t xml:space="preserve"> </w:t>
      </w:r>
      <w:r>
        <w:t>% and a final yield of 11.56</w:t>
      </w:r>
      <w:r w:rsidR="00045811">
        <w:t xml:space="preserve"> </w:t>
      </w:r>
      <w:r>
        <w:t xml:space="preserve">% relative to the initial fresh mass. Pretreatment involves rupturing cellulose and lignin microfibrils to increase the biomass's susceptibility to enzymatic hydrolysis (Sharma </w:t>
      </w:r>
      <w:r w:rsidRPr="005A5F25">
        <w:rPr>
          <w:i/>
          <w:iCs/>
        </w:rPr>
        <w:t>et al</w:t>
      </w:r>
      <w:r>
        <w:t>., 2019).</w:t>
      </w:r>
    </w:p>
    <w:p w14:paraId="43617283" w14:textId="29FC70E4" w:rsidR="6575C2C0" w:rsidRDefault="6575C2C0" w:rsidP="3347325C">
      <w:pPr>
        <w:pStyle w:val="CETBodytext"/>
      </w:pPr>
      <w:r>
        <w:t xml:space="preserve">Figure 1 shows that the evaluation of pretreatments revealed that conditions at 80 °C were ineffective for structural rupture of the biomass, with reducing sugar release below 1 g/L. According to </w:t>
      </w:r>
      <w:proofErr w:type="spellStart"/>
      <w:r>
        <w:t>Atitallah</w:t>
      </w:r>
      <w:proofErr w:type="spellEnd"/>
      <w:r>
        <w:t xml:space="preserve"> </w:t>
      </w:r>
      <w:r w:rsidRPr="005A5F25">
        <w:rPr>
          <w:i/>
          <w:iCs/>
        </w:rPr>
        <w:t>et al.</w:t>
      </w:r>
      <w:r>
        <w:t xml:space="preserve"> (2019), the composition of thermally pretreated PPW (80</w:t>
      </w:r>
      <w:r w:rsidR="003E02BE">
        <w:t xml:space="preserve"> </w:t>
      </w:r>
      <w:r>
        <w:t>°C for 24</w:t>
      </w:r>
      <w:r w:rsidR="003E02BE">
        <w:t xml:space="preserve"> </w:t>
      </w:r>
      <w:r>
        <w:t>h) only slightly modified the cellulose, hemicellulose, and lignin composition compared to untreated PPW. In contrast, autoclave processing at 121 °C for 1</w:t>
      </w:r>
      <w:r w:rsidR="003E02BE">
        <w:t xml:space="preserve"> </w:t>
      </w:r>
      <w:r>
        <w:t>h and 1.5</w:t>
      </w:r>
      <w:r w:rsidR="003E02BE">
        <w:t xml:space="preserve"> </w:t>
      </w:r>
      <w:r>
        <w:t xml:space="preserve">h significantly increased sugar yield when using </w:t>
      </w:r>
      <w:r w:rsidR="003E02BE">
        <w:t xml:space="preserve">HCl </w:t>
      </w:r>
      <w:r>
        <w:t>0.</w:t>
      </w:r>
      <w:r w:rsidR="003E02BE">
        <w:t xml:space="preserve">1 </w:t>
      </w:r>
      <w:r>
        <w:t xml:space="preserve">%v/v, with the highest yield of 7.88 ± 0.09 g/L at 1.5 h. This significantly exceeded the </w:t>
      </w:r>
      <w:r w:rsidR="004916EF">
        <w:t xml:space="preserve">NaOH </w:t>
      </w:r>
      <w:r>
        <w:t>0.1% v/v</w:t>
      </w:r>
      <w:r w:rsidR="004916EF">
        <w:t xml:space="preserve"> </w:t>
      </w:r>
      <w:r>
        <w:t>treatment (0.656 ± 0.0</w:t>
      </w:r>
      <w:r w:rsidR="00A775B5">
        <w:t>1</w:t>
      </w:r>
      <w:r>
        <w:t xml:space="preserve"> g/L) and the hydrothermal treatment (0.611 ± 0.0</w:t>
      </w:r>
      <w:r w:rsidR="00A775B5">
        <w:t>1</w:t>
      </w:r>
      <w:r>
        <w:t xml:space="preserve"> g/L). This aligns with the findings of </w:t>
      </w:r>
      <w:proofErr w:type="spellStart"/>
      <w:r>
        <w:t>Atitallah</w:t>
      </w:r>
      <w:proofErr w:type="spellEnd"/>
      <w:r>
        <w:t xml:space="preserve"> </w:t>
      </w:r>
      <w:r w:rsidRPr="005A5F25">
        <w:rPr>
          <w:i/>
          <w:iCs/>
        </w:rPr>
        <w:t>et al</w:t>
      </w:r>
      <w:r>
        <w:t>. (2019), who reported that adding chemical agents under the same conditions as hydrothermal pretreatment results in a significant decrease in PPW recovery. Furthermore, the Tukey test indicated that the type of agent, time, temperature, and their interactions significantly affect reducing sugar yield.</w:t>
      </w:r>
    </w:p>
    <w:p w14:paraId="161525E4" w14:textId="5F531137" w:rsidR="3347325C" w:rsidRDefault="3347325C" w:rsidP="3347325C">
      <w:pPr>
        <w:pStyle w:val="CETBodytext"/>
      </w:pPr>
    </w:p>
    <w:p w14:paraId="59AAD7D4" w14:textId="0620E009" w:rsidR="00B16482" w:rsidRDefault="00345715" w:rsidP="00B16482">
      <w:pPr>
        <w:jc w:val="left"/>
        <w:rPr>
          <w:rStyle w:val="CETCaptionCarattere"/>
        </w:rPr>
      </w:pPr>
      <w:bookmarkStart w:id="3" w:name="_Toc212731657"/>
      <w:r>
        <w:rPr>
          <w:rStyle w:val="CETCaptionCarattere"/>
          <w:noProof/>
        </w:rPr>
        <w:drawing>
          <wp:inline distT="0" distB="0" distL="0" distR="0" wp14:anchorId="708ED86F" wp14:editId="04F44E85">
            <wp:extent cx="2232375" cy="1548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2375" cy="1548000"/>
                    </a:xfrm>
                    <a:prstGeom prst="rect">
                      <a:avLst/>
                    </a:prstGeom>
                    <a:noFill/>
                  </pic:spPr>
                </pic:pic>
              </a:graphicData>
            </a:graphic>
          </wp:inline>
        </w:drawing>
      </w:r>
    </w:p>
    <w:p w14:paraId="0BAC0D1D" w14:textId="1028CBF7" w:rsidR="00B16482" w:rsidRPr="006C597D" w:rsidRDefault="00B16482" w:rsidP="006C597D">
      <w:pPr>
        <w:pStyle w:val="CETCaption"/>
      </w:pPr>
      <w:r w:rsidRPr="3347325C">
        <w:rPr>
          <w:rStyle w:val="CETCaptionCarattere"/>
        </w:rPr>
        <w:t>Figure 1</w:t>
      </w:r>
      <w:r w:rsidR="00404014" w:rsidRPr="3347325C">
        <w:rPr>
          <w:rStyle w:val="CETCaptionCarattere"/>
        </w:rPr>
        <w:t>:</w:t>
      </w:r>
      <w:r w:rsidR="006C597D" w:rsidRPr="3347325C">
        <w:rPr>
          <w:rStyle w:val="CETCaptionCarattere"/>
        </w:rPr>
        <w:t xml:space="preserve"> </w:t>
      </w:r>
      <w:r w:rsidR="00FD5A2A" w:rsidRPr="3347325C">
        <w:rPr>
          <w:rStyle w:val="CETCaptionCarattere"/>
        </w:rPr>
        <w:t>Comparative analysis between Pretreatment (Hydrothermal</w:t>
      </w:r>
      <w:r>
        <w:t>, NaOH 0</w:t>
      </w:r>
      <w:r w:rsidR="00FD5A2A">
        <w:t>.</w:t>
      </w:r>
      <w:r>
        <w:t>1</w:t>
      </w:r>
      <w:r w:rsidR="00FD5A2A">
        <w:t xml:space="preserve"> </w:t>
      </w:r>
      <w:r>
        <w:t>%v/v y HCl 0</w:t>
      </w:r>
      <w:r w:rsidR="00FD5A2A">
        <w:t>.</w:t>
      </w:r>
      <w:r>
        <w:t>1</w:t>
      </w:r>
      <w:r w:rsidR="00FD5A2A">
        <w:t xml:space="preserve"> </w:t>
      </w:r>
      <w:r>
        <w:t>%v/v</w:t>
      </w:r>
      <w:r w:rsidR="00FD5A2A">
        <w:t>)</w:t>
      </w:r>
      <w:r w:rsidR="00EC2F28">
        <w:t xml:space="preserve"> with PPW </w:t>
      </w:r>
      <w:r w:rsidR="006D3D7B">
        <w:t xml:space="preserve">in </w:t>
      </w:r>
      <w:r w:rsidR="00EC2F28" w:rsidRPr="00EC2F28">
        <w:t>5</w:t>
      </w:r>
      <w:r w:rsidR="00327E6F">
        <w:t xml:space="preserve"> </w:t>
      </w:r>
      <w:r w:rsidR="00EC2F28" w:rsidRPr="00EC2F28">
        <w:t>%w/v</w:t>
      </w:r>
      <w:r w:rsidR="00EC2F28">
        <w:t xml:space="preserve"> y</w:t>
      </w:r>
      <w:r w:rsidR="00EC2F28" w:rsidRPr="00EC2F28">
        <w:t xml:space="preserve"> 355 µm</w:t>
      </w:r>
      <w:r w:rsidR="006D3D7B">
        <w:t xml:space="preserve"> </w:t>
      </w:r>
      <w:r w:rsidR="006D3D7B" w:rsidRPr="00DB6EAB">
        <w:t>particle size</w:t>
      </w:r>
      <w:r>
        <w:t>.</w:t>
      </w:r>
      <w:bookmarkEnd w:id="3"/>
    </w:p>
    <w:p w14:paraId="452324A0" w14:textId="5D2C4648" w:rsidR="3347325C" w:rsidRDefault="1821239E" w:rsidP="3347325C">
      <w:pPr>
        <w:pStyle w:val="CETBodytext"/>
      </w:pPr>
      <w:r>
        <w:t xml:space="preserve">According to </w:t>
      </w:r>
      <w:proofErr w:type="spellStart"/>
      <w:r>
        <w:t>Atitallah</w:t>
      </w:r>
      <w:proofErr w:type="spellEnd"/>
      <w:r>
        <w:t xml:space="preserve"> </w:t>
      </w:r>
      <w:r w:rsidRPr="008244AD">
        <w:rPr>
          <w:i/>
          <w:iCs/>
        </w:rPr>
        <w:t>et al</w:t>
      </w:r>
      <w:r>
        <w:t>. (2019), pretreatment with</w:t>
      </w:r>
      <w:r w:rsidR="00CD779E">
        <w:t xml:space="preserve"> </w:t>
      </w:r>
      <w:r>
        <w:t>NaOH</w:t>
      </w:r>
      <w:r w:rsidR="00CD779E">
        <w:t xml:space="preserve"> 0.1 %v/v</w:t>
      </w:r>
      <w:r>
        <w:t xml:space="preserve"> on PPW reduces lignin content by up to 48.8</w:t>
      </w:r>
      <w:r w:rsidR="00CD779E">
        <w:t xml:space="preserve"> </w:t>
      </w:r>
      <w:r>
        <w:t>% (from 4.3 g/100g</w:t>
      </w:r>
      <w:r w:rsidR="00CD779E">
        <w:t xml:space="preserve"> T</w:t>
      </w:r>
      <w:r w:rsidR="008A2CD3">
        <w:t xml:space="preserve">otal </w:t>
      </w:r>
      <w:r w:rsidR="00CD779E">
        <w:t>S</w:t>
      </w:r>
      <w:r w:rsidR="008A2CD3">
        <w:t>olid</w:t>
      </w:r>
      <w:r w:rsidR="00814762">
        <w:t>s</w:t>
      </w:r>
      <w:r>
        <w:t xml:space="preserve"> to 2.2 g/100g </w:t>
      </w:r>
      <w:r w:rsidR="00CD779E">
        <w:t>T</w:t>
      </w:r>
      <w:r w:rsidR="008A2CD3">
        <w:t xml:space="preserve">otal </w:t>
      </w:r>
      <w:r w:rsidR="00CD779E">
        <w:t>S</w:t>
      </w:r>
      <w:r w:rsidR="008A2CD3">
        <w:t>olid</w:t>
      </w:r>
      <w:r w:rsidR="00814762">
        <w:t>s</w:t>
      </w:r>
      <w:r>
        <w:t xml:space="preserve">). In this regard, Ben Taher </w:t>
      </w:r>
      <w:r w:rsidRPr="008244AD">
        <w:rPr>
          <w:i/>
          <w:iCs/>
        </w:rPr>
        <w:t>et al</w:t>
      </w:r>
      <w:r>
        <w:t xml:space="preserve">. (2017) and </w:t>
      </w:r>
      <w:proofErr w:type="spellStart"/>
      <w:r>
        <w:t>Zoghlami</w:t>
      </w:r>
      <w:proofErr w:type="spellEnd"/>
      <w:r>
        <w:t xml:space="preserve"> &amp; </w:t>
      </w:r>
      <w:proofErr w:type="spellStart"/>
      <w:r>
        <w:t>Paës</w:t>
      </w:r>
      <w:proofErr w:type="spellEnd"/>
      <w:r>
        <w:t xml:space="preserve"> (2019) highlight that alkaline treatment, besides reducing lignin, also facilitates the entry of hydrolytic enzymes by promoting material swelling, which decreases crystallinity and increases surface area. In contrast, acid pretreatment is not efficient for lignin removal, as it primarily focuses on hemicellulose solubilization, in addition to hydrolyzing cellulose and starch (</w:t>
      </w:r>
      <w:proofErr w:type="spellStart"/>
      <w:r>
        <w:t>Atitallah</w:t>
      </w:r>
      <w:proofErr w:type="spellEnd"/>
      <w:r>
        <w:t xml:space="preserve"> </w:t>
      </w:r>
      <w:r w:rsidRPr="008244AD">
        <w:rPr>
          <w:i/>
          <w:iCs/>
        </w:rPr>
        <w:t>et al</w:t>
      </w:r>
      <w:r>
        <w:t>., 2019). Therefore, pretreatments with</w:t>
      </w:r>
      <w:r w:rsidR="00CA6339">
        <w:t xml:space="preserve"> </w:t>
      </w:r>
      <w:r>
        <w:t>HCl</w:t>
      </w:r>
      <w:r w:rsidR="00CA6339">
        <w:t xml:space="preserve"> 0.1 %v/v</w:t>
      </w:r>
      <w:r>
        <w:t xml:space="preserve"> and</w:t>
      </w:r>
      <w:r w:rsidR="00CA6339">
        <w:t xml:space="preserve"> </w:t>
      </w:r>
      <w:r>
        <w:t>NaOH</w:t>
      </w:r>
      <w:r w:rsidR="00CA6339">
        <w:t xml:space="preserve"> 0.1 %v/v</w:t>
      </w:r>
      <w:r>
        <w:t xml:space="preserve"> were selected for enzymatic evaluation at 121 °C for 1.5 h, aiming to visualize the effects of both pretreatments during hydrolysis.</w:t>
      </w:r>
    </w:p>
    <w:p w14:paraId="33F9E790" w14:textId="08C26679" w:rsidR="006E56AF" w:rsidRDefault="001B5535" w:rsidP="006E56AF">
      <w:pPr>
        <w:pStyle w:val="CETheadingx"/>
      </w:pPr>
      <w:r>
        <w:t>Enzymatic Hydrolysis</w:t>
      </w:r>
    </w:p>
    <w:p w14:paraId="4596736E" w14:textId="05E576A1" w:rsidR="3347325C" w:rsidRDefault="754DEA40" w:rsidP="3347325C">
      <w:pPr>
        <w:pStyle w:val="CETBodytext"/>
      </w:pPr>
      <w:r>
        <w:t>Figures 2a and 2b show that the combined action of Celluclast 1.5</w:t>
      </w:r>
      <w:r w:rsidR="00077452">
        <w:t xml:space="preserve"> </w:t>
      </w:r>
      <w:r>
        <w:t>L and Amylase AG 300</w:t>
      </w:r>
      <w:r w:rsidR="00077452">
        <w:t xml:space="preserve"> </w:t>
      </w:r>
      <w:r>
        <w:t>L (CEL+AMI) is significantly superior to the individual use of Celluclast 1.5</w:t>
      </w:r>
      <w:r w:rsidR="00077452">
        <w:t xml:space="preserve"> </w:t>
      </w:r>
      <w:r>
        <w:t>L</w:t>
      </w:r>
      <w:r w:rsidR="00077452">
        <w:t xml:space="preserve"> (CEL)</w:t>
      </w:r>
      <w:r>
        <w:t xml:space="preserve">. This aligns with the findings of </w:t>
      </w:r>
      <w:proofErr w:type="spellStart"/>
      <w:r>
        <w:t>Arapoglou</w:t>
      </w:r>
      <w:proofErr w:type="spellEnd"/>
      <w:r>
        <w:t xml:space="preserve"> </w:t>
      </w:r>
      <w:r w:rsidRPr="00B91612">
        <w:rPr>
          <w:i/>
          <w:iCs/>
        </w:rPr>
        <w:t>et al</w:t>
      </w:r>
      <w:r>
        <w:t>. (2010), who reported that the combined use of amylases and cellulases produces a multifocal effect on PPW, enabling synergistic degradation of cellulose and residual starch. ANOVA analysis confirmed that enzyme type, substrate, and the type of previous pretreatment significantly influence sugar concentration. In this case, the hydrolysate with the highest sugar concentration was obtained from PPW hydrolyzed with the enzyme conjugate (Celluclast 1.5</w:t>
      </w:r>
      <w:r w:rsidR="009E42AB">
        <w:t xml:space="preserve"> </w:t>
      </w:r>
      <w:r>
        <w:t>L and Amylase AG</w:t>
      </w:r>
      <w:r w:rsidR="009E42AB">
        <w:t xml:space="preserve"> 300 L</w:t>
      </w:r>
      <w:r>
        <w:t>) and pretreated with</w:t>
      </w:r>
      <w:r w:rsidR="009E42AB">
        <w:t xml:space="preserve"> HCl </w:t>
      </w:r>
      <w:r>
        <w:t>0.1</w:t>
      </w:r>
      <w:r w:rsidR="009E42AB">
        <w:t xml:space="preserve"> </w:t>
      </w:r>
      <w:r>
        <w:t>%v/v at an 8</w:t>
      </w:r>
      <w:r w:rsidR="009E42AB">
        <w:t xml:space="preserve"> </w:t>
      </w:r>
      <w:r>
        <w:t>%w/v substrate, at this condition a sugar concentration of 29.08 ± 0.04 g/L was reached, followed by PPW pretreated with</w:t>
      </w:r>
      <w:r w:rsidR="00260BB4">
        <w:t xml:space="preserve"> NaOH </w:t>
      </w:r>
      <w:r>
        <w:t>0.1</w:t>
      </w:r>
      <w:r w:rsidR="00260BB4">
        <w:t xml:space="preserve"> </w:t>
      </w:r>
      <w:r>
        <w:t>%v/v, which yielded 24.10 ± 0.07 g/L of reducing sugars under the same substrate and enzyme conjugate conditions.</w:t>
      </w:r>
    </w:p>
    <w:p w14:paraId="092286A2" w14:textId="477C40FA" w:rsidR="00383957" w:rsidRDefault="00383957" w:rsidP="3347325C">
      <w:pPr>
        <w:pStyle w:val="CETBodytext"/>
      </w:pPr>
      <w:r w:rsidRPr="00383957">
        <w:lastRenderedPageBreak/>
        <w:t>The heterogeneous nature of biomass and the diversity of enzymes complicate the understanding of enzyme-substrate interactions. However, it is known that biomass is influenced by structural characteristics inherent to its type, such as crystallinity, degree of polymerization, viscosity, accessible surface area, pore volume, among other factors that affect the dynamic behavior and mass transfer of the biomass in solution (</w:t>
      </w:r>
      <w:proofErr w:type="spellStart"/>
      <w:r w:rsidRPr="00383957">
        <w:t>Zoghlami</w:t>
      </w:r>
      <w:proofErr w:type="spellEnd"/>
      <w:r w:rsidRPr="00383957">
        <w:t xml:space="preserve"> &amp; </w:t>
      </w:r>
      <w:proofErr w:type="spellStart"/>
      <w:r w:rsidRPr="00383957">
        <w:t>Paës</w:t>
      </w:r>
      <w:proofErr w:type="spellEnd"/>
      <w:r w:rsidRPr="00383957">
        <w:t xml:space="preserve">, 2019). In this case, it was observed that the use of </w:t>
      </w:r>
      <w:r w:rsidR="00202821" w:rsidRPr="00383957">
        <w:t xml:space="preserve">NaOH </w:t>
      </w:r>
      <w:r w:rsidRPr="00383957">
        <w:t>0.1</w:t>
      </w:r>
      <w:r w:rsidR="00202821">
        <w:t xml:space="preserve"> </w:t>
      </w:r>
      <w:r w:rsidRPr="00383957">
        <w:t>%v/v during pretreatment promoted material swelling, which altered the solution's viscosity and hindered medium agitation during the hydrolytic phase. This effect diminished over time, but it may have impaired the initial enzyme-substrate interaction due to mass transfer limitations, resulting in a lower sugar yield (</w:t>
      </w:r>
      <w:proofErr w:type="spellStart"/>
      <w:r w:rsidRPr="00383957">
        <w:t>Zoghlami</w:t>
      </w:r>
      <w:proofErr w:type="spellEnd"/>
      <w:r w:rsidRPr="00383957">
        <w:t xml:space="preserve"> &amp; </w:t>
      </w:r>
      <w:proofErr w:type="spellStart"/>
      <w:r w:rsidRPr="00383957">
        <w:t>Paës</w:t>
      </w:r>
      <w:proofErr w:type="spellEnd"/>
      <w:r w:rsidRPr="00383957">
        <w:t xml:space="preserve">, 2019). </w:t>
      </w:r>
    </w:p>
    <w:p w14:paraId="73504457" w14:textId="1749760C" w:rsidR="3347325C" w:rsidRDefault="00383957" w:rsidP="3347325C">
      <w:pPr>
        <w:pStyle w:val="CETBodytext"/>
      </w:pPr>
      <w:r w:rsidRPr="00383957">
        <w:t>In contrast, pretreatment with</w:t>
      </w:r>
      <w:r w:rsidR="00F6013F">
        <w:t xml:space="preserve"> </w:t>
      </w:r>
      <w:r w:rsidR="00F6013F" w:rsidRPr="00383957">
        <w:t xml:space="preserve">HCl </w:t>
      </w:r>
      <w:r w:rsidRPr="00383957">
        <w:t>0.1</w:t>
      </w:r>
      <w:r w:rsidR="00F6013F">
        <w:t xml:space="preserve"> </w:t>
      </w:r>
      <w:r w:rsidRPr="00383957">
        <w:t>%v/v partially hydrolyzed the starch in the PPW, preventing swelling and reducing the viscosity of the medium (</w:t>
      </w:r>
      <w:proofErr w:type="spellStart"/>
      <w:r w:rsidRPr="00383957">
        <w:t>Atitallah</w:t>
      </w:r>
      <w:proofErr w:type="spellEnd"/>
      <w:r w:rsidRPr="00383957">
        <w:t xml:space="preserve"> </w:t>
      </w:r>
      <w:r w:rsidRPr="00A148FA">
        <w:rPr>
          <w:i/>
          <w:iCs/>
        </w:rPr>
        <w:t>et al</w:t>
      </w:r>
      <w:r w:rsidRPr="00383957">
        <w:t xml:space="preserve">., 2019). The hydrolysis curve shown in Figure 2a and Figure 2b exhibited a growth trend up to approximately 45 h, which aligns with the results described by </w:t>
      </w:r>
      <w:proofErr w:type="spellStart"/>
      <w:r w:rsidRPr="00383957">
        <w:t>Atitallah</w:t>
      </w:r>
      <w:proofErr w:type="spellEnd"/>
      <w:r w:rsidRPr="00383957">
        <w:t xml:space="preserve"> </w:t>
      </w:r>
      <w:r w:rsidRPr="00A148FA">
        <w:rPr>
          <w:i/>
          <w:iCs/>
        </w:rPr>
        <w:t>et al.</w:t>
      </w:r>
      <w:r w:rsidRPr="00383957">
        <w:t xml:space="preserve"> (2019). This trend was independent of the substrate concentration (2</w:t>
      </w:r>
      <w:r w:rsidR="0074097A">
        <w:t xml:space="preserve"> </w:t>
      </w:r>
      <w:r w:rsidRPr="00383957">
        <w:t>%, 5</w:t>
      </w:r>
      <w:r w:rsidR="0074097A">
        <w:t xml:space="preserve"> </w:t>
      </w:r>
      <w:r w:rsidRPr="00383957">
        <w:t>%, 8</w:t>
      </w:r>
      <w:r w:rsidR="0074097A">
        <w:t xml:space="preserve"> </w:t>
      </w:r>
      <w:r w:rsidRPr="00383957">
        <w:t>%</w:t>
      </w:r>
      <w:r w:rsidR="0074097A">
        <w:t>w/v</w:t>
      </w:r>
      <w:r w:rsidRPr="00383957">
        <w:t xml:space="preserve">), as the availability of PPW influences the quantity of sugars released but does not alter the direct action of the enzymes on the substrate (Ben Taher </w:t>
      </w:r>
      <w:r w:rsidRPr="00A148FA">
        <w:rPr>
          <w:i/>
          <w:iCs/>
        </w:rPr>
        <w:t>et al</w:t>
      </w:r>
      <w:r w:rsidRPr="00383957">
        <w:t>., 2017).</w:t>
      </w:r>
    </w:p>
    <w:p w14:paraId="36103AA3" w14:textId="44CE799F" w:rsidR="00EA15B2" w:rsidRDefault="00EA15B2" w:rsidP="3347325C">
      <w:pPr>
        <w:pStyle w:val="CETBodytext"/>
      </w:pPr>
    </w:p>
    <w:p w14:paraId="2D3B7101" w14:textId="77777777" w:rsidR="000C3888" w:rsidRDefault="00EF005A" w:rsidP="000C3888">
      <w:pPr>
        <w:pStyle w:val="CETBodytext"/>
        <w:rPr>
          <w:rFonts w:ascii="Times New Roman" w:hAnsi="Times New Roman"/>
          <w:b/>
          <w:noProof/>
          <w:sz w:val="24"/>
          <w:szCs w:val="24"/>
        </w:rPr>
      </w:pPr>
      <w:r w:rsidRPr="007B1FB4">
        <w:rPr>
          <w:rFonts w:ascii="Times New Roman" w:hAnsi="Times New Roman"/>
          <w:bCs/>
          <w:noProof/>
        </w:rPr>
        <mc:AlternateContent>
          <mc:Choice Requires="wps">
            <w:drawing>
              <wp:anchor distT="45720" distB="45720" distL="114300" distR="114300" simplePos="0" relativeHeight="251661312" behindDoc="0" locked="0" layoutInCell="1" allowOverlap="1" wp14:anchorId="5707493B" wp14:editId="34FFCB21">
                <wp:simplePos x="0" y="0"/>
                <wp:positionH relativeFrom="column">
                  <wp:posOffset>4635906</wp:posOffset>
                </wp:positionH>
                <wp:positionV relativeFrom="paragraph">
                  <wp:posOffset>220294</wp:posOffset>
                </wp:positionV>
                <wp:extent cx="276225" cy="247650"/>
                <wp:effectExtent l="0" t="0" r="9525"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w="9525">
                          <a:noFill/>
                          <a:miter lim="800000"/>
                          <a:headEnd/>
                          <a:tailEnd/>
                        </a:ln>
                      </wps:spPr>
                      <wps:txbx>
                        <w:txbxContent>
                          <w:p w14:paraId="0AA3789D" w14:textId="77777777" w:rsidR="0063473A" w:rsidRPr="009F1A7A" w:rsidRDefault="0063473A" w:rsidP="0063473A">
                            <w:pPr>
                              <w:rPr>
                                <w:sz w:val="14"/>
                                <w:szCs w:val="14"/>
                              </w:rPr>
                            </w:pPr>
                            <w:r w:rsidRPr="009F1A7A">
                              <w:rPr>
                                <w:sz w:val="14"/>
                                <w:szCs w:val="1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7493B" id="_x0000_t202" coordsize="21600,21600" o:spt="202" path="m,l,21600r21600,l21600,xe">
                <v:stroke joinstyle="miter"/>
                <v:path gradientshapeok="t" o:connecttype="rect"/>
              </v:shapetype>
              <v:shape id="Cuadro de texto 2" o:spid="_x0000_s1026" type="#_x0000_t202" style="position:absolute;left:0;text-align:left;margin-left:365.05pt;margin-top:17.35pt;width:21.75pt;height: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" stroked="f">
                <v:textbox>
                  <w:txbxContent>
                    <w:p w14:paraId="0AA3789D" w14:textId="77777777" w:rsidR="0063473A" w:rsidRPr="009F1A7A" w:rsidRDefault="0063473A" w:rsidP="0063473A">
                      <w:pPr>
                        <w:rPr>
                          <w:sz w:val="14"/>
                          <w:szCs w:val="14"/>
                        </w:rPr>
                      </w:pPr>
                      <w:r w:rsidRPr="009F1A7A">
                        <w:rPr>
                          <w:sz w:val="14"/>
                          <w:szCs w:val="14"/>
                        </w:rPr>
                        <w:t>b)</w:t>
                      </w:r>
                    </w:p>
                  </w:txbxContent>
                </v:textbox>
              </v:shape>
            </w:pict>
          </mc:Fallback>
        </mc:AlternateContent>
      </w:r>
      <w:r w:rsidR="001B3832" w:rsidRPr="007B1FB4">
        <w:rPr>
          <w:rFonts w:ascii="Times New Roman" w:hAnsi="Times New Roman"/>
          <w:bCs/>
          <w:noProof/>
        </w:rPr>
        <mc:AlternateContent>
          <mc:Choice Requires="wps">
            <w:drawing>
              <wp:anchor distT="45720" distB="45720" distL="114300" distR="114300" simplePos="0" relativeHeight="251657216" behindDoc="0" locked="0" layoutInCell="1" allowOverlap="1" wp14:anchorId="0A0CE3F2" wp14:editId="22B71A7D">
                <wp:simplePos x="0" y="0"/>
                <wp:positionH relativeFrom="margin">
                  <wp:posOffset>1902968</wp:posOffset>
                </wp:positionH>
                <wp:positionV relativeFrom="paragraph">
                  <wp:posOffset>211099</wp:posOffset>
                </wp:positionV>
                <wp:extent cx="276225" cy="238125"/>
                <wp:effectExtent l="0" t="0" r="9525" b="952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8125"/>
                        </a:xfrm>
                        <a:prstGeom prst="rect">
                          <a:avLst/>
                        </a:prstGeom>
                        <a:solidFill>
                          <a:srgbClr val="FFFFFF"/>
                        </a:solidFill>
                        <a:ln w="9525">
                          <a:noFill/>
                          <a:miter lim="800000"/>
                          <a:headEnd/>
                          <a:tailEnd/>
                        </a:ln>
                      </wps:spPr>
                      <wps:txbx>
                        <w:txbxContent>
                          <w:p w14:paraId="27B6B504" w14:textId="77777777" w:rsidR="0063473A" w:rsidRPr="009F1A7A" w:rsidRDefault="0063473A" w:rsidP="0063473A">
                            <w:pPr>
                              <w:rPr>
                                <w:sz w:val="14"/>
                                <w:szCs w:val="14"/>
                              </w:rPr>
                            </w:pPr>
                            <w:r w:rsidRPr="009F1A7A">
                              <w:rPr>
                                <w:sz w:val="14"/>
                                <w:szCs w:val="1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CE3F2" id="_x0000_s1027" type="#_x0000_t202" style="position:absolute;left:0;text-align:left;margin-left:149.85pt;margin-top:16.6pt;width:21.75pt;height:18.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" stroked="f">
                <v:textbox>
                  <w:txbxContent>
                    <w:p w14:paraId="27B6B504" w14:textId="77777777" w:rsidR="0063473A" w:rsidRPr="009F1A7A" w:rsidRDefault="0063473A" w:rsidP="0063473A">
                      <w:pPr>
                        <w:rPr>
                          <w:sz w:val="14"/>
                          <w:szCs w:val="14"/>
                        </w:rPr>
                      </w:pPr>
                      <w:r w:rsidRPr="009F1A7A">
                        <w:rPr>
                          <w:sz w:val="14"/>
                          <w:szCs w:val="14"/>
                        </w:rPr>
                        <w:t>a)</w:t>
                      </w:r>
                    </w:p>
                  </w:txbxContent>
                </v:textbox>
                <w10:wrap anchorx="margin"/>
              </v:shape>
            </w:pict>
          </mc:Fallback>
        </mc:AlternateContent>
      </w:r>
      <w:r w:rsidR="002179FD">
        <w:rPr>
          <w:rFonts w:ascii="Times New Roman" w:hAnsi="Times New Roman"/>
          <w:b/>
          <w:noProof/>
          <w:sz w:val="24"/>
          <w:szCs w:val="24"/>
        </w:rPr>
        <w:drawing>
          <wp:inline distT="0" distB="0" distL="0" distR="0" wp14:anchorId="7A55B69C" wp14:editId="4DE2F822">
            <wp:extent cx="2630172" cy="1548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0172" cy="1548000"/>
                    </a:xfrm>
                    <a:prstGeom prst="rect">
                      <a:avLst/>
                    </a:prstGeom>
                    <a:noFill/>
                  </pic:spPr>
                </pic:pic>
              </a:graphicData>
            </a:graphic>
          </wp:inline>
        </w:drawing>
      </w:r>
      <w:r w:rsidR="00EA15B2" w:rsidRPr="00EA15B2">
        <w:rPr>
          <w:rFonts w:ascii="Times New Roman" w:hAnsi="Times New Roman"/>
          <w:b/>
          <w:noProof/>
          <w:sz w:val="24"/>
          <w:szCs w:val="24"/>
        </w:rPr>
        <w:t xml:space="preserve"> </w:t>
      </w:r>
      <w:r>
        <w:rPr>
          <w:rFonts w:ascii="Times New Roman" w:hAnsi="Times New Roman"/>
          <w:b/>
          <w:noProof/>
          <w:sz w:val="24"/>
          <w:szCs w:val="24"/>
        </w:rPr>
        <w:drawing>
          <wp:inline distT="0" distB="0" distL="0" distR="0" wp14:anchorId="7DF5E554" wp14:editId="3C5A1E49">
            <wp:extent cx="2607812" cy="15480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7812" cy="1548000"/>
                    </a:xfrm>
                    <a:prstGeom prst="rect">
                      <a:avLst/>
                    </a:prstGeom>
                    <a:noFill/>
                  </pic:spPr>
                </pic:pic>
              </a:graphicData>
            </a:graphic>
          </wp:inline>
        </w:drawing>
      </w:r>
    </w:p>
    <w:p w14:paraId="641F28F5" w14:textId="1776377D" w:rsidR="00D941B5" w:rsidRPr="00ED6B1D" w:rsidRDefault="0063473A" w:rsidP="000C3888">
      <w:pPr>
        <w:pStyle w:val="CETBodytext"/>
      </w:pPr>
      <w:r w:rsidRPr="00ED6B1D">
        <w:rPr>
          <w:rStyle w:val="CETCaptionCarattere"/>
          <w:iCs/>
          <w:lang w:val="en-US"/>
        </w:rPr>
        <w:t>Figur</w:t>
      </w:r>
      <w:r w:rsidR="15380F14" w:rsidRPr="00ED6B1D">
        <w:rPr>
          <w:rStyle w:val="CETCaptionCarattere"/>
          <w:iCs/>
          <w:lang w:val="en-US"/>
        </w:rPr>
        <w:t>e</w:t>
      </w:r>
      <w:r w:rsidRPr="00ED6B1D">
        <w:rPr>
          <w:rStyle w:val="CETCaptionCarattere"/>
          <w:iCs/>
          <w:lang w:val="en-US"/>
        </w:rPr>
        <w:t xml:space="preserve"> </w:t>
      </w:r>
      <w:r w:rsidR="007D0C05" w:rsidRPr="00ED6B1D">
        <w:rPr>
          <w:rStyle w:val="CETCaptionCarattere"/>
          <w:iCs/>
          <w:lang w:val="en-US"/>
        </w:rPr>
        <w:t>2</w:t>
      </w:r>
      <w:r w:rsidR="00585E18" w:rsidRPr="00ED6B1D">
        <w:rPr>
          <w:rStyle w:val="CETCaptionCarattere"/>
          <w:iCs/>
          <w:lang w:val="en-US"/>
        </w:rPr>
        <w:t>:</w:t>
      </w:r>
      <w:r w:rsidR="008F3564" w:rsidRPr="00ED6B1D">
        <w:rPr>
          <w:rStyle w:val="CETCaptionCarattere"/>
          <w:iCs/>
          <w:lang w:val="en-US"/>
        </w:rPr>
        <w:t xml:space="preserve"> </w:t>
      </w:r>
      <w:r w:rsidR="008F3564" w:rsidRPr="00ED6B1D">
        <w:t>Comparative Analysis of Enzymatic Hydrolysis on PPW with Particle Size Ranging from 250</w:t>
      </w:r>
      <w:r w:rsidR="009D1C23" w:rsidRPr="00ED6B1D">
        <w:t xml:space="preserve"> µm</w:t>
      </w:r>
      <w:r w:rsidR="008F3564" w:rsidRPr="00ED6B1D">
        <w:t xml:space="preserve"> to 500 µm, in Relation to PPW Pretreated with Solutions (NaOH 0.1</w:t>
      </w:r>
      <w:r w:rsidR="0074097A" w:rsidRPr="00ED6B1D">
        <w:t xml:space="preserve"> </w:t>
      </w:r>
      <w:r w:rsidR="008F3564" w:rsidRPr="00ED6B1D">
        <w:t>%v/v and HCl 0.1</w:t>
      </w:r>
      <w:r w:rsidR="009D1C23" w:rsidRPr="00ED6B1D">
        <w:t xml:space="preserve"> %</w:t>
      </w:r>
      <w:r w:rsidR="008F3564" w:rsidRPr="00ED6B1D">
        <w:t>v/v). (a) Hydrolysis with Celluclast 1.5</w:t>
      </w:r>
      <w:r w:rsidR="009D1C23" w:rsidRPr="00ED6B1D">
        <w:t xml:space="preserve"> </w:t>
      </w:r>
      <w:r w:rsidR="008F3564" w:rsidRPr="00ED6B1D">
        <w:t>L. (b) Hydrolysis with Celluclast 1.5</w:t>
      </w:r>
      <w:r w:rsidR="009D1C23" w:rsidRPr="00ED6B1D">
        <w:t xml:space="preserve"> </w:t>
      </w:r>
      <w:r w:rsidR="008F3564" w:rsidRPr="00ED6B1D">
        <w:t>L + Amylase AG</w:t>
      </w:r>
      <w:r w:rsidR="009D1C23" w:rsidRPr="00ED6B1D">
        <w:t xml:space="preserve"> 300 L</w:t>
      </w:r>
      <w:r w:rsidR="008F3564" w:rsidRPr="00ED6B1D">
        <w:t>.</w:t>
      </w:r>
    </w:p>
    <w:p w14:paraId="27753089" w14:textId="2BC6DDDC" w:rsidR="005A6AF3" w:rsidRDefault="00694473" w:rsidP="00694473">
      <w:pPr>
        <w:pStyle w:val="CETheadingx"/>
      </w:pPr>
      <w:r w:rsidRPr="00694473">
        <w:t>Fermentation and Distillation</w:t>
      </w:r>
    </w:p>
    <w:p w14:paraId="44505F68" w14:textId="71BADF8A" w:rsidR="6306ED63" w:rsidRDefault="7E71B38A" w:rsidP="6306ED63">
      <w:pPr>
        <w:pStyle w:val="CETBodytext"/>
      </w:pPr>
      <w:r>
        <w:t>Table 1 shows that for the assay with NaOH 0.1 %v/v CEL+AMI, the ethanol concentration was 9.71 ± 0.36 g/L (yield, 89.6%). The treatment with HCl 0.1 %v/v CEL+AMI produced 9.29 ± 0.3</w:t>
      </w:r>
      <w:r w:rsidR="0028510B">
        <w:t>1</w:t>
      </w:r>
      <w:r>
        <w:t xml:space="preserve"> g/L (yield, 87.8%). Despite this, no statistically significant differences in alcohol production were observed among the evaluated hydrolysates. These values exceed those reported by </w:t>
      </w:r>
      <w:proofErr w:type="spellStart"/>
      <w:r>
        <w:t>Khawla</w:t>
      </w:r>
      <w:proofErr w:type="spellEnd"/>
      <w:r>
        <w:t xml:space="preserve"> </w:t>
      </w:r>
      <w:r w:rsidRPr="00FC2E83">
        <w:rPr>
          <w:i/>
          <w:iCs/>
        </w:rPr>
        <w:t>et al.</w:t>
      </w:r>
      <w:r>
        <w:t xml:space="preserve"> (2014) for the use of HCl as a chemical agent in acid hydrolysis (6.45 g Ethanol/L).</w:t>
      </w:r>
      <w:r w:rsidR="00116CD4" w:rsidRPr="00116CD4">
        <w:t xml:space="preserve"> </w:t>
      </w:r>
      <w:proofErr w:type="spellStart"/>
      <w:r w:rsidR="00116CD4" w:rsidRPr="00116CD4">
        <w:t>Narisetty</w:t>
      </w:r>
      <w:proofErr w:type="spellEnd"/>
      <w:r w:rsidR="00116CD4" w:rsidRPr="00116CD4">
        <w:t xml:space="preserve"> et al. (2022) reported values of 24.9 g ethanol/L from an initial glucose concentration of 50 g/L and 50.2 g ethanol/L from a glucose concentration of 100 g/L. They evaluated how glucose concentration in the medium (50 g/L to 200 g/L) affected outcomes, using the </w:t>
      </w:r>
      <w:r w:rsidR="00116CD4" w:rsidRPr="00AE6A1A">
        <w:rPr>
          <w:i/>
          <w:iCs/>
        </w:rPr>
        <w:t>S. cerevisiae</w:t>
      </w:r>
      <w:r w:rsidR="00116CD4" w:rsidRPr="00116CD4">
        <w:t xml:space="preserve"> Z75578 strain. These results suggest that more fermentable sugars lead to greater ethanol production. Improved cell growth and complete glucose depletion were seen between 24 and 36 hours, depending on the initial substrate concentration</w:t>
      </w:r>
      <w:r>
        <w:t>.</w:t>
      </w:r>
      <w:r w:rsidR="00AE6A1A">
        <w:t xml:space="preserve"> </w:t>
      </w:r>
      <w:r w:rsidR="001A3D4D" w:rsidRPr="001A3D4D">
        <w:t xml:space="preserve">The hydrolysate for this study started from a concentration of 21.19 ± 0.05 g/L for the hydrolysate pretreated with </w:t>
      </w:r>
      <w:r w:rsidR="0063221E" w:rsidRPr="001A3D4D">
        <w:t xml:space="preserve">NaOH </w:t>
      </w:r>
      <w:r w:rsidR="001A3D4D" w:rsidRPr="001A3D4D">
        <w:t>0.1</w:t>
      </w:r>
      <w:r w:rsidR="0063221E">
        <w:t xml:space="preserve"> </w:t>
      </w:r>
      <w:r w:rsidR="001A3D4D" w:rsidRPr="001A3D4D">
        <w:t xml:space="preserve">%v/v and 20.69 ± 0.02 g/L for the hydrolysate pretreated with </w:t>
      </w:r>
      <w:r w:rsidR="0063221E" w:rsidRPr="001A3D4D">
        <w:t>HCl</w:t>
      </w:r>
      <w:r w:rsidR="0063221E">
        <w:t xml:space="preserve"> </w:t>
      </w:r>
      <w:r w:rsidR="001A3D4D" w:rsidRPr="001A3D4D">
        <w:t>0.1</w:t>
      </w:r>
      <w:r w:rsidR="0063221E">
        <w:t xml:space="preserve"> </w:t>
      </w:r>
      <w:r w:rsidR="001A3D4D" w:rsidRPr="001A3D4D">
        <w:t>%v/v.</w:t>
      </w:r>
    </w:p>
    <w:p w14:paraId="3A2FA905" w14:textId="784DB01F" w:rsidR="002B5CA2" w:rsidRPr="00627F3D" w:rsidRDefault="00401F9E" w:rsidP="00627F3D">
      <w:pPr>
        <w:pStyle w:val="CETTabletitle"/>
      </w:pPr>
      <w:r w:rsidRPr="00627F3D">
        <w:t>Tabl</w:t>
      </w:r>
      <w:r>
        <w:t>e</w:t>
      </w:r>
      <w:r w:rsidR="002B5CA2" w:rsidRPr="00627F3D">
        <w:t xml:space="preserve"> 1: </w:t>
      </w:r>
      <w:r w:rsidR="00694473" w:rsidRPr="00627F3D">
        <w:t>Results Fermentation and Distillatio</w:t>
      </w:r>
      <w:r w:rsidR="00C6174E" w:rsidRPr="00627F3D">
        <w:t>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276"/>
        <w:gridCol w:w="1275"/>
        <w:gridCol w:w="2127"/>
      </w:tblGrid>
      <w:tr w:rsidR="001A2960" w:rsidRPr="00B57B36" w14:paraId="5CA5389D" w14:textId="673DC55A" w:rsidTr="00857CC3">
        <w:tc>
          <w:tcPr>
            <w:tcW w:w="1985" w:type="dxa"/>
            <w:tcBorders>
              <w:top w:val="single" w:sz="12" w:space="0" w:color="008000"/>
              <w:bottom w:val="single" w:sz="6" w:space="0" w:color="008000"/>
            </w:tcBorders>
            <w:shd w:val="clear" w:color="auto" w:fill="FFFFFF"/>
          </w:tcPr>
          <w:p w14:paraId="5174059F" w14:textId="77777777" w:rsidR="001A2960" w:rsidRPr="00B57B36" w:rsidRDefault="001A2960" w:rsidP="006463A1">
            <w:pPr>
              <w:pStyle w:val="CETBodytext"/>
              <w:rPr>
                <w:lang w:val="en-GB"/>
              </w:rPr>
            </w:pPr>
            <w:r>
              <w:rPr>
                <w:lang w:val="en-GB"/>
              </w:rPr>
              <w:t>R</w:t>
            </w:r>
            <w:r w:rsidRPr="001B20F0">
              <w:rPr>
                <w:lang w:val="en-GB"/>
              </w:rPr>
              <w:t>ehearsal</w:t>
            </w:r>
          </w:p>
        </w:tc>
        <w:tc>
          <w:tcPr>
            <w:tcW w:w="1276" w:type="dxa"/>
            <w:tcBorders>
              <w:top w:val="single" w:sz="12" w:space="0" w:color="008000"/>
              <w:bottom w:val="single" w:sz="6" w:space="0" w:color="008000"/>
            </w:tcBorders>
            <w:shd w:val="clear" w:color="auto" w:fill="FFFFFF"/>
          </w:tcPr>
          <w:p w14:paraId="6B0898AC" w14:textId="77777777" w:rsidR="001A2960" w:rsidRPr="00B57B36" w:rsidRDefault="001A2960" w:rsidP="006463A1">
            <w:pPr>
              <w:pStyle w:val="CETBodytext"/>
              <w:rPr>
                <w:lang w:val="en-GB"/>
              </w:rPr>
            </w:pPr>
            <w:r>
              <w:t>Ethanol (g/L)</w:t>
            </w:r>
          </w:p>
        </w:tc>
        <w:tc>
          <w:tcPr>
            <w:tcW w:w="1275" w:type="dxa"/>
            <w:tcBorders>
              <w:top w:val="single" w:sz="12" w:space="0" w:color="008000"/>
              <w:bottom w:val="single" w:sz="6" w:space="0" w:color="008000"/>
            </w:tcBorders>
            <w:shd w:val="clear" w:color="auto" w:fill="FFFFFF"/>
          </w:tcPr>
          <w:p w14:paraId="039597E4" w14:textId="77777777" w:rsidR="001A2960" w:rsidRPr="00B57B36" w:rsidRDefault="001A2960" w:rsidP="006463A1">
            <w:pPr>
              <w:pStyle w:val="CETBodytext"/>
              <w:ind w:right="-1"/>
              <w:rPr>
                <w:rFonts w:cs="Arial"/>
                <w:szCs w:val="18"/>
                <w:lang w:val="en-GB"/>
              </w:rPr>
            </w:pPr>
            <w:r>
              <w:rPr>
                <w:rFonts w:cs="Arial"/>
                <w:szCs w:val="18"/>
                <w:lang w:val="en-GB"/>
              </w:rPr>
              <w:t xml:space="preserve"> Yield (%)</w:t>
            </w:r>
          </w:p>
        </w:tc>
        <w:tc>
          <w:tcPr>
            <w:tcW w:w="2127" w:type="dxa"/>
            <w:tcBorders>
              <w:top w:val="single" w:sz="12" w:space="0" w:color="008000"/>
              <w:bottom w:val="single" w:sz="6" w:space="0" w:color="008000"/>
            </w:tcBorders>
            <w:shd w:val="clear" w:color="auto" w:fill="FFFFFF"/>
          </w:tcPr>
          <w:p w14:paraId="39078C3A" w14:textId="77777777" w:rsidR="001A2960" w:rsidRDefault="001A2960" w:rsidP="006463A1">
            <w:pPr>
              <w:pStyle w:val="CETBodytext"/>
              <w:ind w:right="-1"/>
              <w:rPr>
                <w:lang w:val="en-GB"/>
              </w:rPr>
            </w:pPr>
            <w:r>
              <w:rPr>
                <w:lang w:val="en-GB"/>
              </w:rPr>
              <w:t>Overall yield</w:t>
            </w:r>
          </w:p>
          <w:p w14:paraId="51A6F30F" w14:textId="66877AAD" w:rsidR="001A2960" w:rsidRDefault="001A2960" w:rsidP="006463A1">
            <w:pPr>
              <w:pStyle w:val="CETBodytext"/>
              <w:ind w:right="-1"/>
              <w:rPr>
                <w:lang w:val="en-GB"/>
              </w:rPr>
            </w:pPr>
            <w:r>
              <w:rPr>
                <w:lang w:val="en-GB"/>
              </w:rPr>
              <w:t>(g Ethanol/100</w:t>
            </w:r>
            <w:r w:rsidR="00857CC3">
              <w:rPr>
                <w:lang w:val="en-GB"/>
              </w:rPr>
              <w:t xml:space="preserve"> </w:t>
            </w:r>
            <w:r>
              <w:rPr>
                <w:lang w:val="en-GB"/>
              </w:rPr>
              <w:t>g</w:t>
            </w:r>
            <w:r w:rsidR="00857CC3">
              <w:rPr>
                <w:lang w:val="en-GB"/>
              </w:rPr>
              <w:t xml:space="preserve"> dry peel</w:t>
            </w:r>
            <w:r>
              <w:rPr>
                <w:lang w:val="en-GB"/>
              </w:rPr>
              <w:t>)</w:t>
            </w:r>
          </w:p>
        </w:tc>
      </w:tr>
      <w:tr w:rsidR="001A2960" w:rsidRPr="00B57B36" w14:paraId="0F422FBD" w14:textId="0AD2C209" w:rsidTr="00857CC3">
        <w:tc>
          <w:tcPr>
            <w:tcW w:w="1985" w:type="dxa"/>
            <w:shd w:val="clear" w:color="auto" w:fill="FFFFFF"/>
          </w:tcPr>
          <w:p w14:paraId="4979D56C" w14:textId="7796BCA3" w:rsidR="001A2960" w:rsidRPr="00B57B36" w:rsidRDefault="001A2960" w:rsidP="006463A1">
            <w:pPr>
              <w:pStyle w:val="CETBodytext"/>
              <w:rPr>
                <w:lang w:val="en-GB"/>
              </w:rPr>
            </w:pPr>
            <w:r>
              <w:t>HCL 0.1% CEL+AMI</w:t>
            </w:r>
          </w:p>
        </w:tc>
        <w:tc>
          <w:tcPr>
            <w:tcW w:w="1276" w:type="dxa"/>
            <w:shd w:val="clear" w:color="auto" w:fill="FFFFFF"/>
          </w:tcPr>
          <w:p w14:paraId="61FD69C6" w14:textId="0E4DC3E5" w:rsidR="001A2960" w:rsidRPr="00B57B36" w:rsidRDefault="001A2960" w:rsidP="006463A1">
            <w:pPr>
              <w:pStyle w:val="CETBodytext"/>
              <w:rPr>
                <w:lang w:val="en-GB"/>
              </w:rPr>
            </w:pPr>
            <w:r>
              <w:rPr>
                <w:lang w:val="en-GB"/>
              </w:rPr>
              <w:t xml:space="preserve">9.29 </w:t>
            </w:r>
            <w:r w:rsidRPr="009F50E5">
              <w:t>±</w:t>
            </w:r>
            <w:r>
              <w:t xml:space="preserve"> 0.31</w:t>
            </w:r>
          </w:p>
        </w:tc>
        <w:tc>
          <w:tcPr>
            <w:tcW w:w="1275" w:type="dxa"/>
            <w:shd w:val="clear" w:color="auto" w:fill="FFFFFF"/>
          </w:tcPr>
          <w:p w14:paraId="2730353B" w14:textId="3352F7AD" w:rsidR="001A2960" w:rsidRPr="00B57B36" w:rsidRDefault="001A2960" w:rsidP="006463A1">
            <w:pPr>
              <w:pStyle w:val="CETBodytext"/>
              <w:ind w:right="-1"/>
              <w:rPr>
                <w:rFonts w:cs="Arial"/>
                <w:szCs w:val="18"/>
                <w:lang w:val="en-GB"/>
              </w:rPr>
            </w:pPr>
            <w:r>
              <w:rPr>
                <w:rFonts w:cs="Arial"/>
                <w:szCs w:val="18"/>
                <w:lang w:val="en-GB"/>
              </w:rPr>
              <w:t xml:space="preserve">87.8 </w:t>
            </w:r>
            <w:r w:rsidRPr="009F50E5">
              <w:t>±</w:t>
            </w:r>
            <w:r>
              <w:t xml:space="preserve"> </w:t>
            </w:r>
            <w:r>
              <w:rPr>
                <w:rFonts w:cs="Arial"/>
                <w:szCs w:val="18"/>
                <w:lang w:val="en-GB"/>
              </w:rPr>
              <w:t>0.03</w:t>
            </w:r>
          </w:p>
        </w:tc>
        <w:tc>
          <w:tcPr>
            <w:tcW w:w="2127" w:type="dxa"/>
            <w:shd w:val="clear" w:color="auto" w:fill="FFFFFF"/>
          </w:tcPr>
          <w:p w14:paraId="22CE1B4C" w14:textId="742002A9" w:rsidR="001A2960" w:rsidRDefault="009E0634" w:rsidP="006463A1">
            <w:pPr>
              <w:pStyle w:val="CETBodytext"/>
              <w:ind w:right="-1"/>
              <w:rPr>
                <w:rFonts w:cs="Arial"/>
                <w:szCs w:val="18"/>
                <w:lang w:val="en-GB"/>
              </w:rPr>
            </w:pPr>
            <w:bookmarkStart w:id="4" w:name="_Hlk219752912"/>
            <w:r>
              <w:t>11.23</w:t>
            </w:r>
            <w:r w:rsidR="00742BF7">
              <w:t xml:space="preserve"> </w:t>
            </w:r>
            <w:r w:rsidR="00742BF7" w:rsidRPr="009F50E5">
              <w:t>±</w:t>
            </w:r>
            <w:r w:rsidR="00742BF7">
              <w:t xml:space="preserve"> 0.37</w:t>
            </w:r>
            <w:bookmarkEnd w:id="4"/>
          </w:p>
        </w:tc>
      </w:tr>
      <w:tr w:rsidR="001A2960" w:rsidRPr="00B57B36" w14:paraId="4A069EAE" w14:textId="61AD3830" w:rsidTr="00857CC3">
        <w:tc>
          <w:tcPr>
            <w:tcW w:w="1985" w:type="dxa"/>
            <w:shd w:val="clear" w:color="auto" w:fill="FFFFFF"/>
          </w:tcPr>
          <w:p w14:paraId="792E110A" w14:textId="7790550C" w:rsidR="001A2960" w:rsidRPr="00B57B36" w:rsidRDefault="001A2960" w:rsidP="006463A1">
            <w:pPr>
              <w:pStyle w:val="CETBodytext"/>
              <w:ind w:right="-1"/>
              <w:rPr>
                <w:rFonts w:cs="Arial"/>
                <w:szCs w:val="18"/>
                <w:lang w:val="en-GB"/>
              </w:rPr>
            </w:pPr>
            <w:r>
              <w:rPr>
                <w:rFonts w:cs="Arial"/>
                <w:szCs w:val="18"/>
                <w:lang w:val="en-GB"/>
              </w:rPr>
              <w:t>NaOH 0.1% CEL+AMI</w:t>
            </w:r>
          </w:p>
        </w:tc>
        <w:tc>
          <w:tcPr>
            <w:tcW w:w="1276" w:type="dxa"/>
            <w:shd w:val="clear" w:color="auto" w:fill="FFFFFF"/>
          </w:tcPr>
          <w:p w14:paraId="7750B35A" w14:textId="4B54B8C4" w:rsidR="001A2960" w:rsidRPr="00B57B36" w:rsidRDefault="001A2960" w:rsidP="006463A1">
            <w:pPr>
              <w:pStyle w:val="CETBodytext"/>
              <w:ind w:right="-1"/>
              <w:rPr>
                <w:rFonts w:cs="Arial"/>
                <w:szCs w:val="18"/>
                <w:lang w:val="en-GB"/>
              </w:rPr>
            </w:pPr>
            <w:r>
              <w:rPr>
                <w:rFonts w:cs="Arial"/>
                <w:szCs w:val="18"/>
                <w:lang w:val="en-GB"/>
              </w:rPr>
              <w:t xml:space="preserve">9.71 </w:t>
            </w:r>
            <w:r w:rsidRPr="009F50E5">
              <w:t>±</w:t>
            </w:r>
            <w:r>
              <w:t xml:space="preserve"> 0.36</w:t>
            </w:r>
          </w:p>
        </w:tc>
        <w:tc>
          <w:tcPr>
            <w:tcW w:w="1275" w:type="dxa"/>
            <w:shd w:val="clear" w:color="auto" w:fill="FFFFFF"/>
          </w:tcPr>
          <w:p w14:paraId="2F63FB34" w14:textId="3B401969" w:rsidR="001A2960" w:rsidRPr="00B57B36" w:rsidRDefault="001A2960" w:rsidP="006463A1">
            <w:pPr>
              <w:pStyle w:val="CETBodytext"/>
              <w:ind w:right="-1"/>
              <w:rPr>
                <w:rFonts w:cs="Arial"/>
                <w:szCs w:val="18"/>
                <w:lang w:val="en-GB"/>
              </w:rPr>
            </w:pPr>
            <w:r>
              <w:rPr>
                <w:rFonts w:cs="Arial"/>
                <w:szCs w:val="18"/>
                <w:lang w:val="en-GB"/>
              </w:rPr>
              <w:t xml:space="preserve">89.6 </w:t>
            </w:r>
            <w:r w:rsidRPr="009F50E5">
              <w:t>±</w:t>
            </w:r>
            <w:r>
              <w:t xml:space="preserve"> 0.11</w:t>
            </w:r>
          </w:p>
        </w:tc>
        <w:tc>
          <w:tcPr>
            <w:tcW w:w="2127" w:type="dxa"/>
            <w:shd w:val="clear" w:color="auto" w:fill="FFFFFF"/>
          </w:tcPr>
          <w:p w14:paraId="6FCE48DE" w14:textId="08C36A28" w:rsidR="001A2960" w:rsidRDefault="009E0634" w:rsidP="006463A1">
            <w:pPr>
              <w:pStyle w:val="CETBodytext"/>
              <w:ind w:right="-1"/>
              <w:rPr>
                <w:rFonts w:cs="Arial"/>
                <w:szCs w:val="18"/>
                <w:lang w:val="en-GB"/>
              </w:rPr>
            </w:pPr>
            <w:bookmarkStart w:id="5" w:name="_Hlk219752924"/>
            <w:r>
              <w:t>12.14</w:t>
            </w:r>
            <w:r w:rsidR="00264DD4">
              <w:t xml:space="preserve"> </w:t>
            </w:r>
            <w:r w:rsidR="00264DD4" w:rsidRPr="009F50E5">
              <w:t>±</w:t>
            </w:r>
            <w:r w:rsidR="00264DD4">
              <w:t xml:space="preserve"> 0.45</w:t>
            </w:r>
            <w:bookmarkEnd w:id="5"/>
          </w:p>
        </w:tc>
      </w:tr>
    </w:tbl>
    <w:p w14:paraId="6DCD7332" w14:textId="77C19932" w:rsidR="00BF62F4" w:rsidRDefault="00C179BA" w:rsidP="000C3888">
      <w:pPr>
        <w:pStyle w:val="CETTabletitle"/>
        <w:spacing w:before="0"/>
      </w:pPr>
      <w:bookmarkStart w:id="6" w:name="_Hlk219752373"/>
      <w:r w:rsidRPr="00884E2F">
        <w:t>Abbreviations: CEL: Celluclast 1.5</w:t>
      </w:r>
      <w:r w:rsidR="006C716C">
        <w:t xml:space="preserve"> </w:t>
      </w:r>
      <w:r w:rsidRPr="00884E2F">
        <w:t>L; CEL+AMI: Celluclast 1.5</w:t>
      </w:r>
      <w:r w:rsidR="006C716C">
        <w:t xml:space="preserve"> </w:t>
      </w:r>
      <w:r w:rsidRPr="00884E2F">
        <w:t>L con Amylase AG</w:t>
      </w:r>
      <w:r w:rsidR="006C716C">
        <w:t xml:space="preserve"> 300 L</w:t>
      </w:r>
      <w:r w:rsidRPr="00884E2F">
        <w:t>.</w:t>
      </w:r>
      <w:bookmarkEnd w:id="6"/>
    </w:p>
    <w:p w14:paraId="7683BC81" w14:textId="1C773FD4" w:rsidR="004F4D62" w:rsidRDefault="004F4D62" w:rsidP="004F4D62">
      <w:pPr>
        <w:pStyle w:val="CETBodytext"/>
      </w:pPr>
      <w:r>
        <w:t>According to Walker &amp; Stewart (2016),</w:t>
      </w:r>
      <w:r w:rsidR="00940997">
        <w:t xml:space="preserve"> </w:t>
      </w:r>
      <w:r w:rsidRPr="00940997">
        <w:rPr>
          <w:i/>
          <w:iCs/>
        </w:rPr>
        <w:t>S. cerevisiae</w:t>
      </w:r>
      <w:r w:rsidR="00940997">
        <w:t xml:space="preserve"> </w:t>
      </w:r>
      <w:r>
        <w:t>requires low concentrations of O</w:t>
      </w:r>
      <w:r>
        <w:rPr>
          <w:rFonts w:ascii="Cambria Math" w:hAnsi="Cambria Math" w:cs="Cambria Math"/>
        </w:rPr>
        <w:t>₂</w:t>
      </w:r>
      <w:r>
        <w:t xml:space="preserve"> during an initial growth phase for the biosynthesis of fatty acids and sterols; subsequently, in the absence of O</w:t>
      </w:r>
      <w:r>
        <w:rPr>
          <w:rFonts w:ascii="Cambria Math" w:hAnsi="Cambria Math" w:cs="Cambria Math"/>
        </w:rPr>
        <w:t>₂</w:t>
      </w:r>
      <w:r>
        <w:t xml:space="preserve">, it promotes ethanol production. In Figure 3, the highest ethanol production was recorded during the first 23 h, during which the sugar concentration also decreased significantly over the same period. </w:t>
      </w:r>
      <w:proofErr w:type="spellStart"/>
      <w:r>
        <w:t>Narisetty</w:t>
      </w:r>
      <w:proofErr w:type="spellEnd"/>
      <w:r>
        <w:t xml:space="preserve"> </w:t>
      </w:r>
      <w:r w:rsidRPr="00FC2E83">
        <w:rPr>
          <w:i/>
          <w:iCs/>
        </w:rPr>
        <w:t>et al.</w:t>
      </w:r>
      <w:r>
        <w:t xml:space="preserve"> (2022) similarly reported the depletion of carbon present in the medium within the first 24 h of fermentation. This suggests that the fermentable reducing sugars (glucose, fructose, maltose, etc.) were exhausted due to the yeast's high metabolic activity, as the determination of reducing sugars using the DNS technique quantifies all sugars containing a free aldehyde or ketone group in their chemical structure, which can donate electrons in the presence of an oxidizing agent (Miller, 1959).</w:t>
      </w:r>
    </w:p>
    <w:p w14:paraId="64BD4DD7" w14:textId="151CF5FD" w:rsidR="00CE6702" w:rsidRDefault="004F4D62" w:rsidP="00777509">
      <w:pPr>
        <w:pStyle w:val="CETBodytext"/>
        <w:rPr>
          <w:rFonts w:eastAsia="Arial" w:cs="Arial"/>
          <w:color w:val="000000" w:themeColor="text1"/>
          <w:szCs w:val="18"/>
        </w:rPr>
      </w:pPr>
      <w:r w:rsidRPr="67951B29">
        <w:rPr>
          <w:rFonts w:eastAsia="Arial" w:cs="Arial"/>
          <w:color w:val="000000" w:themeColor="text1"/>
          <w:szCs w:val="18"/>
        </w:rPr>
        <w:lastRenderedPageBreak/>
        <w:t>Consequently, the DNS technique also identifies other types of reducing sugars that are non-fermentable, such as oligosaccharides and xylose (common during hemicellulose hydrolysis), which are not assimilable by yeasts (</w:t>
      </w:r>
      <w:proofErr w:type="spellStart"/>
      <w:r w:rsidRPr="67951B29">
        <w:rPr>
          <w:rFonts w:eastAsia="Arial" w:cs="Arial"/>
          <w:color w:val="000000" w:themeColor="text1"/>
          <w:szCs w:val="18"/>
        </w:rPr>
        <w:t>Arapoglou</w:t>
      </w:r>
      <w:proofErr w:type="spellEnd"/>
      <w:r w:rsidRPr="67951B29">
        <w:rPr>
          <w:rFonts w:eastAsia="Arial" w:cs="Arial"/>
          <w:color w:val="000000" w:themeColor="text1"/>
          <w:szCs w:val="18"/>
        </w:rPr>
        <w:t xml:space="preserve"> </w:t>
      </w:r>
      <w:r w:rsidRPr="00B33B78">
        <w:rPr>
          <w:rFonts w:eastAsia="Arial" w:cs="Arial"/>
          <w:i/>
          <w:iCs/>
          <w:color w:val="000000" w:themeColor="text1"/>
          <w:szCs w:val="18"/>
        </w:rPr>
        <w:t>et al</w:t>
      </w:r>
      <w:r w:rsidRPr="67951B29">
        <w:rPr>
          <w:rFonts w:eastAsia="Arial" w:cs="Arial"/>
          <w:color w:val="000000" w:themeColor="text1"/>
          <w:szCs w:val="18"/>
        </w:rPr>
        <w:t xml:space="preserve">., 2010). </w:t>
      </w:r>
      <w:r w:rsidR="00CE6702" w:rsidRPr="67951B29">
        <w:rPr>
          <w:rFonts w:eastAsia="Arial" w:cs="Arial"/>
          <w:color w:val="000000" w:themeColor="text1"/>
          <w:szCs w:val="18"/>
        </w:rPr>
        <w:t>Finally, distillation using a rotary evaporator yielded a distillate with an ethanol concentration of 80.01 ± 0.19 %</w:t>
      </w:r>
      <w:r w:rsidR="00CF6ACD">
        <w:rPr>
          <w:rFonts w:eastAsia="Arial" w:cs="Arial"/>
          <w:color w:val="000000" w:themeColor="text1"/>
          <w:szCs w:val="18"/>
        </w:rPr>
        <w:t>v/v</w:t>
      </w:r>
      <w:r w:rsidR="00CE6702" w:rsidRPr="67951B29">
        <w:rPr>
          <w:rFonts w:eastAsia="Arial" w:cs="Arial"/>
          <w:color w:val="000000" w:themeColor="text1"/>
          <w:szCs w:val="18"/>
        </w:rPr>
        <w:t xml:space="preserve">, and the overall process yield was estimated </w:t>
      </w:r>
      <w:r w:rsidR="00CE6702" w:rsidRPr="000B76E9">
        <w:rPr>
          <w:rFonts w:eastAsia="Arial" w:cs="Arial"/>
          <w:color w:val="000000" w:themeColor="text1"/>
          <w:szCs w:val="18"/>
        </w:rPr>
        <w:t>at</w:t>
      </w:r>
      <w:r w:rsidR="00D476C4" w:rsidRPr="000B76E9">
        <w:rPr>
          <w:rFonts w:eastAsia="Arial" w:cs="Arial"/>
          <w:color w:val="000000" w:themeColor="text1"/>
          <w:szCs w:val="18"/>
        </w:rPr>
        <w:t xml:space="preserve"> 12.14 ± 0.45</w:t>
      </w:r>
      <w:r w:rsidR="00CE6702" w:rsidRPr="000B76E9">
        <w:rPr>
          <w:rFonts w:eastAsia="Arial" w:cs="Arial"/>
          <w:color w:val="000000" w:themeColor="text1"/>
          <w:szCs w:val="18"/>
        </w:rPr>
        <w:t xml:space="preserve"> </w:t>
      </w:r>
      <w:r w:rsidR="00D476C4" w:rsidRPr="000B76E9">
        <w:rPr>
          <w:rFonts w:eastAsia="Arial" w:cs="Arial"/>
          <w:color w:val="000000" w:themeColor="text1"/>
          <w:szCs w:val="18"/>
        </w:rPr>
        <w:t xml:space="preserve">g </w:t>
      </w:r>
      <w:r w:rsidR="00CE6702" w:rsidRPr="000B76E9">
        <w:rPr>
          <w:rFonts w:eastAsia="Arial" w:cs="Arial"/>
          <w:color w:val="000000" w:themeColor="text1"/>
          <w:szCs w:val="18"/>
        </w:rPr>
        <w:t>of ethanol / 100 g of dry peel for the hydrolysate with NaOH 0.1 %</w:t>
      </w:r>
      <w:r w:rsidR="00981D01">
        <w:rPr>
          <w:rFonts w:eastAsia="Arial" w:cs="Arial"/>
          <w:color w:val="000000" w:themeColor="text1"/>
          <w:szCs w:val="18"/>
        </w:rPr>
        <w:t xml:space="preserve"> </w:t>
      </w:r>
      <w:r w:rsidR="00CE6702" w:rsidRPr="000B76E9">
        <w:rPr>
          <w:rFonts w:eastAsia="Arial" w:cs="Arial"/>
          <w:color w:val="000000" w:themeColor="text1"/>
          <w:szCs w:val="18"/>
        </w:rPr>
        <w:t>/ CEL+AMI and</w:t>
      </w:r>
      <w:r w:rsidR="00D476C4" w:rsidRPr="000B76E9">
        <w:rPr>
          <w:rFonts w:eastAsia="Arial" w:cs="Arial"/>
          <w:color w:val="000000" w:themeColor="text1"/>
          <w:szCs w:val="18"/>
        </w:rPr>
        <w:t xml:space="preserve"> 11.23 ± 0.37</w:t>
      </w:r>
      <w:r w:rsidR="00CE6702" w:rsidRPr="000B76E9">
        <w:rPr>
          <w:rFonts w:eastAsia="Arial" w:cs="Arial"/>
          <w:color w:val="000000" w:themeColor="text1"/>
          <w:szCs w:val="18"/>
        </w:rPr>
        <w:t xml:space="preserve"> g /</w:t>
      </w:r>
      <w:r w:rsidR="00CE6702" w:rsidRPr="67951B29">
        <w:rPr>
          <w:rFonts w:eastAsia="Arial" w:cs="Arial"/>
          <w:color w:val="000000" w:themeColor="text1"/>
          <w:szCs w:val="18"/>
        </w:rPr>
        <w:t xml:space="preserve"> 100 g for the hydrolysate with HCl 0.1 % / CEL+AMI.</w:t>
      </w:r>
    </w:p>
    <w:p w14:paraId="1315ACC6" w14:textId="77777777" w:rsidR="00904FF7" w:rsidRDefault="00904FF7" w:rsidP="00777509">
      <w:pPr>
        <w:pStyle w:val="CETBodytext"/>
      </w:pPr>
    </w:p>
    <w:p w14:paraId="467A684C" w14:textId="77777777" w:rsidR="000C3888" w:rsidRDefault="00AD778C" w:rsidP="000C3888">
      <w:pPr>
        <w:pStyle w:val="CETBodytext"/>
        <w:rPr>
          <w:rStyle w:val="CETCaptionCarattere"/>
        </w:rPr>
      </w:pPr>
      <w:r>
        <w:rPr>
          <w:noProof/>
        </w:rPr>
        <w:drawing>
          <wp:inline distT="0" distB="0" distL="0" distR="0" wp14:anchorId="6FFA74E5" wp14:editId="4F315075">
            <wp:extent cx="2795470" cy="15480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470" cy="1548000"/>
                    </a:xfrm>
                    <a:prstGeom prst="rect">
                      <a:avLst/>
                    </a:prstGeom>
                    <a:noFill/>
                  </pic:spPr>
                </pic:pic>
              </a:graphicData>
            </a:graphic>
          </wp:inline>
        </w:drawing>
      </w:r>
    </w:p>
    <w:p w14:paraId="29AC4F0E" w14:textId="122592B8" w:rsidR="00BE383B" w:rsidRPr="00627F3D" w:rsidRDefault="00BE383B" w:rsidP="000C3888">
      <w:pPr>
        <w:pStyle w:val="CETBodytext"/>
      </w:pPr>
      <w:r w:rsidRPr="00627F3D">
        <w:rPr>
          <w:rStyle w:val="CETCaptionCarattere"/>
        </w:rPr>
        <w:t>Figure 3:</w:t>
      </w:r>
      <w:r w:rsidR="00CC126E">
        <w:rPr>
          <w:rStyle w:val="CETCaptionCarattere"/>
        </w:rPr>
        <w:t xml:space="preserve"> </w:t>
      </w:r>
      <w:r w:rsidR="00CC126E" w:rsidRPr="00CC126E">
        <w:rPr>
          <w:rStyle w:val="CETCaptionCarattere"/>
        </w:rPr>
        <w:t>Fermentation curve with Celluclast 1.5</w:t>
      </w:r>
      <w:r w:rsidR="00981D01">
        <w:rPr>
          <w:rStyle w:val="CETCaptionCarattere"/>
        </w:rPr>
        <w:t xml:space="preserve"> </w:t>
      </w:r>
      <w:r w:rsidR="00CC126E" w:rsidRPr="00CC126E">
        <w:rPr>
          <w:rStyle w:val="CETCaptionCarattere"/>
        </w:rPr>
        <w:t xml:space="preserve">L hydrolysates and Amylase AG </w:t>
      </w:r>
      <w:r w:rsidR="00981D01">
        <w:rPr>
          <w:rStyle w:val="CETCaptionCarattere"/>
        </w:rPr>
        <w:t xml:space="preserve">300 L </w:t>
      </w:r>
      <w:r w:rsidR="00CC126E" w:rsidRPr="00CC126E">
        <w:rPr>
          <w:rStyle w:val="CETCaptionCarattere"/>
        </w:rPr>
        <w:t>for pretreatment</w:t>
      </w:r>
      <w:r w:rsidR="00CC126E">
        <w:rPr>
          <w:rStyle w:val="CETCaptionCarattere"/>
        </w:rPr>
        <w:t xml:space="preserve"> </w:t>
      </w:r>
      <w:r w:rsidRPr="00CC126E">
        <w:t>NaOH 0</w:t>
      </w:r>
      <w:r w:rsidR="00163EB1">
        <w:t>.</w:t>
      </w:r>
      <w:r w:rsidRPr="00CC126E">
        <w:t>1</w:t>
      </w:r>
      <w:r w:rsidR="00163EB1">
        <w:t xml:space="preserve"> </w:t>
      </w:r>
      <w:r w:rsidRPr="00CC126E">
        <w:t>%v/v y HCl 0</w:t>
      </w:r>
      <w:r w:rsidR="00163EB1">
        <w:t>.</w:t>
      </w:r>
      <w:r w:rsidRPr="00CC126E">
        <w:t>1</w:t>
      </w:r>
      <w:r w:rsidR="00163EB1">
        <w:t xml:space="preserve"> </w:t>
      </w:r>
      <w:r w:rsidRPr="00CC126E">
        <w:t>%v/v.</w:t>
      </w:r>
      <w:r w:rsidR="00CC126E">
        <w:t xml:space="preserve"> </w:t>
      </w:r>
      <w:r w:rsidR="00CC126E" w:rsidRPr="00CC126E">
        <w:t>Abbreviations: CEL: Celluclast 1.5</w:t>
      </w:r>
      <w:r w:rsidR="00163EB1">
        <w:t xml:space="preserve"> </w:t>
      </w:r>
      <w:r w:rsidR="00CC126E" w:rsidRPr="00CC126E">
        <w:t>L; CEL+AMI: Celluclast 1.5</w:t>
      </w:r>
      <w:r w:rsidR="00163EB1">
        <w:t xml:space="preserve"> </w:t>
      </w:r>
      <w:r w:rsidR="00CC126E" w:rsidRPr="00CC126E">
        <w:t>L con Amylase AG</w:t>
      </w:r>
      <w:r w:rsidR="00981D01">
        <w:t xml:space="preserve"> 300 L</w:t>
      </w:r>
      <w:r w:rsidR="00CC126E" w:rsidRPr="00CC126E">
        <w:t>.</w:t>
      </w:r>
    </w:p>
    <w:p w14:paraId="52E66CE1" w14:textId="555B23B2" w:rsidR="007D0C05" w:rsidRPr="00820242" w:rsidRDefault="00125932" w:rsidP="00125932">
      <w:pPr>
        <w:pStyle w:val="CETheadingx"/>
      </w:pPr>
      <w:r w:rsidRPr="00125932">
        <w:t>Work with Eco-Community</w:t>
      </w:r>
      <w:r>
        <w:t xml:space="preserve"> </w:t>
      </w:r>
      <w:r w:rsidR="00F804E2" w:rsidRPr="00820242">
        <w:t>ASOFAHIMCO</w:t>
      </w:r>
    </w:p>
    <w:p w14:paraId="38EE8536" w14:textId="13A931A5" w:rsidR="006326E5" w:rsidRDefault="3DD051E3" w:rsidP="00924E58">
      <w:pPr>
        <w:spacing w:before="120" w:after="120"/>
        <w:rPr>
          <w:lang w:val="en-US"/>
        </w:rPr>
      </w:pPr>
      <w:r w:rsidRPr="67951B29">
        <w:rPr>
          <w:lang w:val="en-US"/>
        </w:rPr>
        <w:t>Figure 4 illustrates the collaborative work process with the ASOFAHIMCO eco-community, which is based on training in topics related to enzymatic hydrolysis, alcoholic fermentation, and the basic handling of laboratory instruments as an initial approach to analytical techniques. It was established that the community generates a weekly accumulation of 1</w:t>
      </w:r>
      <w:r w:rsidR="006326E5">
        <w:rPr>
          <w:lang w:val="en-US"/>
        </w:rPr>
        <w:t>2</w:t>
      </w:r>
      <w:r w:rsidRPr="67951B29">
        <w:rPr>
          <w:lang w:val="en-US"/>
        </w:rPr>
        <w:t xml:space="preserve">6 kg of </w:t>
      </w:r>
      <w:r w:rsidR="007001DF">
        <w:rPr>
          <w:lang w:val="en-US"/>
        </w:rPr>
        <w:t>PPW</w:t>
      </w:r>
      <w:r w:rsidRPr="67951B29">
        <w:rPr>
          <w:lang w:val="en-US"/>
        </w:rPr>
        <w:t>. An ethanol production of 3</w:t>
      </w:r>
      <w:r w:rsidR="00163EB1">
        <w:rPr>
          <w:lang w:val="en-US"/>
        </w:rPr>
        <w:t>.</w:t>
      </w:r>
      <w:r w:rsidRPr="67951B29">
        <w:rPr>
          <w:lang w:val="en-US"/>
        </w:rPr>
        <w:t>15 L of ethanol at a concentration of 70</w:t>
      </w:r>
      <w:r w:rsidR="007001DF">
        <w:rPr>
          <w:lang w:val="en-US"/>
        </w:rPr>
        <w:t xml:space="preserve"> - </w:t>
      </w:r>
      <w:r w:rsidRPr="67951B29">
        <w:rPr>
          <w:lang w:val="en-US"/>
        </w:rPr>
        <w:t xml:space="preserve">80 % </w:t>
      </w:r>
      <w:r w:rsidR="00CF6ACD">
        <w:rPr>
          <w:lang w:val="en-US"/>
        </w:rPr>
        <w:t>v</w:t>
      </w:r>
      <w:r w:rsidRPr="67951B29">
        <w:rPr>
          <w:lang w:val="en-US"/>
        </w:rPr>
        <w:t>/v was reached. This represents an alternative income source for the community and promotes the circular economy.</w:t>
      </w:r>
    </w:p>
    <w:p w14:paraId="6F8E7988" w14:textId="77777777" w:rsidR="00904FF7" w:rsidRDefault="00904FF7" w:rsidP="00904FF7">
      <w:pPr>
        <w:pStyle w:val="CETBodytext"/>
        <w:rPr>
          <w:noProof/>
        </w:rPr>
      </w:pPr>
      <w:r>
        <w:rPr>
          <w:noProof/>
        </w:rPr>
        <w:drawing>
          <wp:inline distT="0" distB="0" distL="0" distR="0" wp14:anchorId="733F057E" wp14:editId="3D671D76">
            <wp:extent cx="1271458" cy="12960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1458" cy="1296000"/>
                    </a:xfrm>
                    <a:prstGeom prst="rect">
                      <a:avLst/>
                    </a:prstGeom>
                    <a:noFill/>
                  </pic:spPr>
                </pic:pic>
              </a:graphicData>
            </a:graphic>
          </wp:inline>
        </w:drawing>
      </w:r>
      <w:r>
        <w:rPr>
          <w:noProof/>
        </w:rPr>
        <w:drawing>
          <wp:inline distT="0" distB="0" distL="0" distR="0" wp14:anchorId="70250975" wp14:editId="156C9F72">
            <wp:extent cx="1238674" cy="1296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674" cy="1296000"/>
                    </a:xfrm>
                    <a:prstGeom prst="rect">
                      <a:avLst/>
                    </a:prstGeom>
                    <a:noFill/>
                  </pic:spPr>
                </pic:pic>
              </a:graphicData>
            </a:graphic>
          </wp:inline>
        </w:drawing>
      </w:r>
      <w:r>
        <w:rPr>
          <w:noProof/>
        </w:rPr>
        <w:drawing>
          <wp:inline distT="0" distB="0" distL="0" distR="0" wp14:anchorId="17931CD0" wp14:editId="7CCA21E5">
            <wp:extent cx="1199200" cy="12960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9200" cy="1296000"/>
                    </a:xfrm>
                    <a:prstGeom prst="rect">
                      <a:avLst/>
                    </a:prstGeom>
                    <a:noFill/>
                  </pic:spPr>
                </pic:pic>
              </a:graphicData>
            </a:graphic>
          </wp:inline>
        </w:drawing>
      </w:r>
    </w:p>
    <w:p w14:paraId="29E83D80" w14:textId="4D8C2965" w:rsidR="00904FF7" w:rsidRPr="00904FF7" w:rsidRDefault="00904FF7" w:rsidP="00904FF7">
      <w:pPr>
        <w:jc w:val="left"/>
        <w:rPr>
          <w:i/>
        </w:rPr>
      </w:pPr>
      <w:r w:rsidRPr="00BD077D">
        <w:rPr>
          <w:rStyle w:val="CETCaptionCarattere"/>
        </w:rPr>
        <w:t xml:space="preserve">Figure </w:t>
      </w:r>
      <w:r>
        <w:rPr>
          <w:rStyle w:val="CETCaptionCarattere"/>
        </w:rPr>
        <w:t>4</w:t>
      </w:r>
      <w:r w:rsidRPr="00BD077D">
        <w:rPr>
          <w:rStyle w:val="CETCaptionCarattere"/>
        </w:rPr>
        <w:t xml:space="preserve">: </w:t>
      </w:r>
      <w:r w:rsidRPr="00B06F4D">
        <w:rPr>
          <w:rStyle w:val="CETCaptionCarattere"/>
        </w:rPr>
        <w:t>Photographic record of workshop with ASOFAHIMCO eco-community</w:t>
      </w:r>
    </w:p>
    <w:p w14:paraId="7B57DADC" w14:textId="66813E8B" w:rsidR="00E45A9F" w:rsidRPr="00904FF7" w:rsidRDefault="00003396" w:rsidP="00904FF7">
      <w:pPr>
        <w:spacing w:before="120" w:after="120"/>
        <w:rPr>
          <w:lang w:val="en-US"/>
        </w:rPr>
      </w:pPr>
      <w:r w:rsidRPr="00003396">
        <w:rPr>
          <w:lang w:val="en-US"/>
        </w:rPr>
        <w:t>The approximate investment cost within the community is $11,095.80 USD, covering the acquisition of basic equipment and utensils for the production process. Operating costs amount to $14.</w:t>
      </w:r>
      <w:r>
        <w:rPr>
          <w:lang w:val="en-US"/>
        </w:rPr>
        <w:t>4</w:t>
      </w:r>
      <w:r w:rsidRPr="00003396">
        <w:rPr>
          <w:lang w:val="en-US"/>
        </w:rPr>
        <w:t xml:space="preserve"> USD per liter of ethanol, and the selling price, considering a 15% profit margin, would be $17.12 USD per liter. This constitutes a reference baseline experimental process; it is recommended to optimize the hydrolysis and fermentation stages to reduce operating costs and improve the product's market competitiveness. Notably, these stages account for </w:t>
      </w:r>
      <w:r w:rsidR="00534F46">
        <w:rPr>
          <w:lang w:val="en-US"/>
        </w:rPr>
        <w:t>7</w:t>
      </w:r>
      <w:r w:rsidRPr="00003396">
        <w:rPr>
          <w:lang w:val="en-US"/>
        </w:rPr>
        <w:t>7% of operating costs, mainly due to energy and input consumption. By contrast, distillation projects an energy consump</w:t>
      </w:r>
      <w:r w:rsidRPr="00E66CE3">
        <w:rPr>
          <w:lang w:val="en-US"/>
        </w:rPr>
        <w:t>tion of 1.53 kWh.</w:t>
      </w:r>
      <w:r w:rsidRPr="00003396">
        <w:rPr>
          <w:lang w:val="en-US"/>
        </w:rPr>
        <w:t xml:space="preserve"> However, since its operation time is short compared to the duration of fermentation and hydrolysis, distillation represents only 8% of the process's energy cost.</w:t>
      </w:r>
    </w:p>
    <w:p w14:paraId="07D3A4E7" w14:textId="74755684" w:rsidR="00D65D74" w:rsidRDefault="00115CDB" w:rsidP="00D65D74">
      <w:pPr>
        <w:pStyle w:val="CETHeading1"/>
        <w:rPr>
          <w:lang w:val="en-GB"/>
        </w:rPr>
      </w:pPr>
      <w:r w:rsidRPr="00115CDB">
        <w:rPr>
          <w:lang w:val="en-GB"/>
        </w:rPr>
        <w:t>Conclusion</w:t>
      </w:r>
    </w:p>
    <w:p w14:paraId="587424D3" w14:textId="77777777" w:rsidR="00116CD4" w:rsidRDefault="00310094" w:rsidP="00310094">
      <w:pPr>
        <w:pStyle w:val="CETBodytext"/>
      </w:pPr>
      <w:r>
        <w:t>Potato peel (</w:t>
      </w:r>
      <w:r w:rsidRPr="00706A97">
        <w:rPr>
          <w:i/>
          <w:iCs/>
        </w:rPr>
        <w:t>Solanum tuberosum</w:t>
      </w:r>
      <w:r>
        <w:t xml:space="preserve">) </w:t>
      </w:r>
      <w:r w:rsidR="238086F6">
        <w:t>h</w:t>
      </w:r>
      <w:r>
        <w:t xml:space="preserve">as a high-potential raw material for second-generation bioethanol production. Overall, thermochemical pretreatment at 121 °C for 1.5 h was the operating condition that resulted in the highest degree of biomass disruption. The hydrolysate from pretreatment with </w:t>
      </w:r>
      <w:r w:rsidR="000C254E">
        <w:t xml:space="preserve">HCl </w:t>
      </w:r>
      <w:r>
        <w:t>0.1</w:t>
      </w:r>
      <w:r w:rsidR="000C254E">
        <w:t xml:space="preserve"> </w:t>
      </w:r>
      <w:r>
        <w:t>%v/v</w:t>
      </w:r>
      <w:r w:rsidR="000C254E">
        <w:t xml:space="preserve"> </w:t>
      </w:r>
      <w:r>
        <w:t xml:space="preserve">reported a higher sugar release (29.08 ± 0.04 g/L) but a lower bioconversion yield (11.23 ± 0.37 g ethanol / 100 g dry peel). In contrast, the hydrolysate from pretreatment with </w:t>
      </w:r>
      <w:r w:rsidR="00CA1522">
        <w:t xml:space="preserve">NaOH </w:t>
      </w:r>
      <w:r>
        <w:t>0.1</w:t>
      </w:r>
      <w:r w:rsidR="00CA1522">
        <w:t xml:space="preserve"> </w:t>
      </w:r>
      <w:r>
        <w:t xml:space="preserve">%v/v yielded 24.10 ± 0.07 g sugar/L but fostered a more favorable environment for ethanol bioconversion (12.14 ± 0.45 g ethanol / 100 g dry peel). This suggests that the degradation of lignin and swelling of cellulose fibers caused by the alkaline agent compensate for the </w:t>
      </w:r>
      <w:r>
        <w:lastRenderedPageBreak/>
        <w:t xml:space="preserve">lower sugar release during pretreatment, as it promotes enzymatic accessibility and the metabolic efficiency of </w:t>
      </w:r>
      <w:r w:rsidRPr="00CA1522">
        <w:rPr>
          <w:i/>
          <w:iCs/>
        </w:rPr>
        <w:t>S. cerevisiae</w:t>
      </w:r>
      <w:r>
        <w:t>.</w:t>
      </w:r>
    </w:p>
    <w:p w14:paraId="41EEC586" w14:textId="6F608C44" w:rsidR="00CE59BF" w:rsidRDefault="00310094" w:rsidP="00CE59BF">
      <w:pPr>
        <w:pStyle w:val="CETBodytext"/>
      </w:pPr>
      <w:r>
        <w:t>Furthermore, the enzymatic synergy between cellulases (Celluclast 1.5</w:t>
      </w:r>
      <w:r w:rsidR="00CA1522">
        <w:t xml:space="preserve"> </w:t>
      </w:r>
      <w:r>
        <w:t>L) and amylases (Amylase AG 300</w:t>
      </w:r>
      <w:r w:rsidR="00CA1522">
        <w:t xml:space="preserve"> </w:t>
      </w:r>
      <w:r>
        <w:t>L) maximizes the saccharification of the wort, given the substrate's nature (lignocellulosic and starchy). The distillate obtained had an alcohol concentration of 80.01 ± 0.19 %</w:t>
      </w:r>
      <w:r w:rsidR="001446C6">
        <w:t>v/v</w:t>
      </w:r>
      <w:r>
        <w:t>, indicating its potential as a biofuel. However, raising the concentration of anhydrous ethanol (&gt;99</w:t>
      </w:r>
      <w:r w:rsidR="005C1B9D">
        <w:t xml:space="preserve"> </w:t>
      </w:r>
      <w:r>
        <w:t>%). The collaborative work with the ASOFAHIMCO eco-community not only provided technical training but also demonstrated that utilizing PPW represents an alternative to strengthen the neighborhood's circular economy. It can serve as a source of income through the commercialization of alcohol in local markets.</w:t>
      </w:r>
    </w:p>
    <w:p w14:paraId="0320BCAF" w14:textId="19F335E8" w:rsidR="00ED6B1D" w:rsidRDefault="00ED6B1D" w:rsidP="00CE59BF">
      <w:pPr>
        <w:pStyle w:val="CETBodytext"/>
      </w:pPr>
    </w:p>
    <w:p w14:paraId="613B2E91" w14:textId="75B05D9E" w:rsidR="00ED6B1D" w:rsidRPr="00401F9E" w:rsidRDefault="00ED6B1D" w:rsidP="00ED6B1D">
      <w:pPr>
        <w:pStyle w:val="CETBodytext"/>
        <w:rPr>
          <w:b/>
          <w:bCs/>
        </w:rPr>
      </w:pPr>
      <w:r w:rsidRPr="00401F9E">
        <w:rPr>
          <w:b/>
          <w:bCs/>
        </w:rPr>
        <w:t>Acknowledgments</w:t>
      </w:r>
    </w:p>
    <w:p w14:paraId="0A047927" w14:textId="77777777" w:rsidR="00ED6B1D" w:rsidRPr="00401F9E" w:rsidRDefault="00ED6B1D" w:rsidP="00ED6B1D">
      <w:pPr>
        <w:pStyle w:val="CETBodytext"/>
        <w:rPr>
          <w:b/>
          <w:bCs/>
        </w:rPr>
      </w:pPr>
    </w:p>
    <w:p w14:paraId="2267BED5" w14:textId="618B6F7A" w:rsidR="00ED6B1D" w:rsidRPr="00EE01DB" w:rsidRDefault="00ED6B1D" w:rsidP="00ED6B1D">
      <w:pPr>
        <w:pStyle w:val="CETBodytext"/>
      </w:pPr>
      <w:r w:rsidRPr="00401F9E">
        <w:t>The authors gratefully acknowledge the financial support provided by</w:t>
      </w:r>
      <w:r w:rsidR="00401F9E" w:rsidRPr="00401F9E">
        <w:t xml:space="preserve"> </w:t>
      </w:r>
      <w:r w:rsidRPr="00401F9E">
        <w:t xml:space="preserve">the </w:t>
      </w:r>
      <w:proofErr w:type="spellStart"/>
      <w:r w:rsidRPr="00401F9E">
        <w:t>Ministerio</w:t>
      </w:r>
      <w:proofErr w:type="spellEnd"/>
      <w:r w:rsidRPr="00401F9E">
        <w:t xml:space="preserve"> de </w:t>
      </w:r>
      <w:proofErr w:type="spellStart"/>
      <w:r w:rsidRPr="00401F9E">
        <w:t>Ciencia</w:t>
      </w:r>
      <w:proofErr w:type="spellEnd"/>
      <w:r w:rsidRPr="00401F9E">
        <w:t xml:space="preserve">, </w:t>
      </w:r>
      <w:proofErr w:type="spellStart"/>
      <w:r w:rsidRPr="00401F9E">
        <w:t>Tecnología</w:t>
      </w:r>
      <w:proofErr w:type="spellEnd"/>
      <w:r w:rsidRPr="00401F9E">
        <w:t xml:space="preserve"> e </w:t>
      </w:r>
      <w:proofErr w:type="spellStart"/>
      <w:r w:rsidRPr="00401F9E">
        <w:t>Innovación</w:t>
      </w:r>
      <w:proofErr w:type="spellEnd"/>
      <w:r w:rsidRPr="00401F9E">
        <w:t xml:space="preserve"> de Colombia (</w:t>
      </w:r>
      <w:proofErr w:type="spellStart"/>
      <w:r w:rsidRPr="00401F9E">
        <w:t>MinCiencias</w:t>
      </w:r>
      <w:proofErr w:type="spellEnd"/>
      <w:r w:rsidRPr="00401F9E">
        <w:t>, Francisco José de Caldas Fund, Contract 441-2023, Code 106724)</w:t>
      </w:r>
      <w:r w:rsidR="00401F9E" w:rsidRPr="00401F9E">
        <w:t xml:space="preserve">, </w:t>
      </w:r>
      <w:r w:rsidRPr="00401F9E">
        <w:t xml:space="preserve">and Zahira Gómez is grateful to the Universidad de La </w:t>
      </w:r>
      <w:proofErr w:type="spellStart"/>
      <w:r w:rsidRPr="00401F9E">
        <w:t>Sabana</w:t>
      </w:r>
      <w:proofErr w:type="spellEnd"/>
      <w:r w:rsidRPr="00401F9E">
        <w:t xml:space="preserve"> for the funding his PhD studies through the Carlos </w:t>
      </w:r>
      <w:proofErr w:type="spellStart"/>
      <w:r w:rsidRPr="00401F9E">
        <w:t>Jordana</w:t>
      </w:r>
      <w:proofErr w:type="spellEnd"/>
      <w:r w:rsidRPr="00401F9E">
        <w:t xml:space="preserve"> distinction (2025-II) and the Carlos </w:t>
      </w:r>
      <w:proofErr w:type="spellStart"/>
      <w:r w:rsidRPr="00401F9E">
        <w:t>Jordana</w:t>
      </w:r>
      <w:proofErr w:type="spellEnd"/>
      <w:r w:rsidRPr="00401F9E">
        <w:t xml:space="preserve"> Doctoral Scholarship.</w:t>
      </w:r>
    </w:p>
    <w:p w14:paraId="276E29AD" w14:textId="286A207D" w:rsidR="00AD463C" w:rsidRPr="00AD463C" w:rsidRDefault="00EE01DB" w:rsidP="00EE01DB">
      <w:pPr>
        <w:pStyle w:val="CETReference"/>
      </w:pPr>
      <w:r w:rsidRPr="00B57B36">
        <w:t>References</w:t>
      </w:r>
    </w:p>
    <w:p w14:paraId="56F30650" w14:textId="341B3C7C" w:rsidR="00056134" w:rsidRDefault="00056134" w:rsidP="00056134">
      <w:pPr>
        <w:pStyle w:val="CETReferencetext"/>
      </w:pPr>
      <w:proofErr w:type="spellStart"/>
      <w:r>
        <w:t>Arapoglou</w:t>
      </w:r>
      <w:proofErr w:type="spellEnd"/>
      <w:r>
        <w:t xml:space="preserve">, D., </w:t>
      </w:r>
      <w:proofErr w:type="spellStart"/>
      <w:r>
        <w:t>Varzakas</w:t>
      </w:r>
      <w:proofErr w:type="spellEnd"/>
      <w:r>
        <w:t xml:space="preserve">, T., </w:t>
      </w:r>
      <w:proofErr w:type="spellStart"/>
      <w:r>
        <w:t>Vlyssides</w:t>
      </w:r>
      <w:proofErr w:type="spellEnd"/>
      <w:r>
        <w:t xml:space="preserve">, A., &amp; </w:t>
      </w:r>
      <w:proofErr w:type="spellStart"/>
      <w:r>
        <w:t>Israilides</w:t>
      </w:r>
      <w:proofErr w:type="spellEnd"/>
      <w:r>
        <w:t>, C. (2010). Ethanol production from potato peel waste (PPW). Waste Management, 30(10), 1898–1902. doi.org/https://doi.org/10.1016/j.wasman.2010.04.017</w:t>
      </w:r>
    </w:p>
    <w:p w14:paraId="4445FF0F" w14:textId="162CD094" w:rsidR="00056134" w:rsidRDefault="00056134" w:rsidP="00056134">
      <w:pPr>
        <w:pStyle w:val="CETReferencetext"/>
      </w:pPr>
      <w:proofErr w:type="spellStart"/>
      <w:r>
        <w:t>Atitallah</w:t>
      </w:r>
      <w:proofErr w:type="spellEnd"/>
      <w:r>
        <w:t xml:space="preserve">, B., </w:t>
      </w:r>
      <w:proofErr w:type="spellStart"/>
      <w:r>
        <w:t>Antonopoulou</w:t>
      </w:r>
      <w:proofErr w:type="spellEnd"/>
      <w:r>
        <w:t xml:space="preserve">, G., </w:t>
      </w:r>
      <w:proofErr w:type="spellStart"/>
      <w:r>
        <w:t>Ntaikou</w:t>
      </w:r>
      <w:proofErr w:type="spellEnd"/>
      <w:r>
        <w:t xml:space="preserve">, I., </w:t>
      </w:r>
      <w:proofErr w:type="spellStart"/>
      <w:r>
        <w:t>Alexandropoulou</w:t>
      </w:r>
      <w:proofErr w:type="spellEnd"/>
      <w:r>
        <w:t xml:space="preserve">, M., </w:t>
      </w:r>
      <w:proofErr w:type="spellStart"/>
      <w:r>
        <w:t>Nasri</w:t>
      </w:r>
      <w:proofErr w:type="spellEnd"/>
      <w:r>
        <w:t xml:space="preserve">, M., </w:t>
      </w:r>
      <w:proofErr w:type="spellStart"/>
      <w:r>
        <w:t>Mechichi</w:t>
      </w:r>
      <w:proofErr w:type="spellEnd"/>
      <w:r>
        <w:t xml:space="preserve">, T., &amp; </w:t>
      </w:r>
      <w:proofErr w:type="spellStart"/>
      <w:r>
        <w:t>Lyberatos</w:t>
      </w:r>
      <w:proofErr w:type="spellEnd"/>
      <w:r>
        <w:t xml:space="preserve">, G. (2019). On the evaluation of different saccharification schemes for enhanced bioethanol production from potato peels waste via a newly isolated yeast strain of </w:t>
      </w:r>
      <w:proofErr w:type="spellStart"/>
      <w:r w:rsidRPr="00183C1C">
        <w:rPr>
          <w:i/>
          <w:iCs/>
        </w:rPr>
        <w:t>Wickerhamomyces</w:t>
      </w:r>
      <w:proofErr w:type="spellEnd"/>
      <w:r w:rsidRPr="00183C1C">
        <w:rPr>
          <w:i/>
          <w:iCs/>
        </w:rPr>
        <w:t xml:space="preserve"> </w:t>
      </w:r>
      <w:proofErr w:type="spellStart"/>
      <w:r w:rsidRPr="00183C1C">
        <w:rPr>
          <w:i/>
          <w:iCs/>
        </w:rPr>
        <w:t>anomalus</w:t>
      </w:r>
      <w:proofErr w:type="spellEnd"/>
      <w:r>
        <w:t>. Bioresource Technology, 289, 2–8. doi.org/https://doi.org/10.1016/j.biortech.2019.121614</w:t>
      </w:r>
    </w:p>
    <w:p w14:paraId="4C56ADAD" w14:textId="4CE0FFD3" w:rsidR="00056134" w:rsidRDefault="00056134" w:rsidP="00056134">
      <w:pPr>
        <w:pStyle w:val="CETReferencetext"/>
      </w:pPr>
      <w:r>
        <w:t xml:space="preserve">Ben Taher, I., </w:t>
      </w:r>
      <w:proofErr w:type="spellStart"/>
      <w:r>
        <w:t>Fickers</w:t>
      </w:r>
      <w:proofErr w:type="spellEnd"/>
      <w:r>
        <w:t xml:space="preserve">, P., </w:t>
      </w:r>
      <w:proofErr w:type="spellStart"/>
      <w:r>
        <w:t>Chniti</w:t>
      </w:r>
      <w:proofErr w:type="spellEnd"/>
      <w:r>
        <w:t xml:space="preserve">, S., &amp; </w:t>
      </w:r>
      <w:proofErr w:type="spellStart"/>
      <w:r>
        <w:t>Hassouna</w:t>
      </w:r>
      <w:proofErr w:type="spellEnd"/>
      <w:r>
        <w:t>, M. (2017). Optimization of enzymatic hydrolysis and fermentation conditions for improved bioethanol production from potato peel residues. Biotechnology Progress, 33(2), 397–406.</w:t>
      </w:r>
      <w:r w:rsidR="00F12659">
        <w:t xml:space="preserve"> </w:t>
      </w:r>
      <w:r>
        <w:t>doi.org/10.1002/btpr.2427</w:t>
      </w:r>
    </w:p>
    <w:p w14:paraId="3451ADC6" w14:textId="3FC2A433" w:rsidR="00056134" w:rsidRDefault="00056134" w:rsidP="00056134">
      <w:pPr>
        <w:pStyle w:val="CETReferencetext"/>
      </w:pPr>
      <w:r>
        <w:t>Chauhan, A., Islam, F., Imran, A., Ikram, A., Zahoor, T., Khurshid, S., &amp; Shah, M. (2023). A review on waste valorization, biotechnological utilization, and management of potato. Food Science and Nutrition, 11(10), 5773–5785. doi.org/10.1002/fsn3.3546</w:t>
      </w:r>
    </w:p>
    <w:p w14:paraId="3CD5A182" w14:textId="2D3D53C2" w:rsidR="00056134" w:rsidRPr="00ED6B1D" w:rsidRDefault="00683FB5" w:rsidP="00056134">
      <w:pPr>
        <w:pStyle w:val="CETReferencetext"/>
        <w:rPr>
          <w:lang w:val="en-US"/>
        </w:rPr>
      </w:pPr>
      <w:r w:rsidRPr="00ED6B1D">
        <w:rPr>
          <w:lang w:val="en-US"/>
        </w:rPr>
        <w:t>Congress of the Republic of Colombia.</w:t>
      </w:r>
      <w:r w:rsidR="00056134" w:rsidRPr="00ED6B1D">
        <w:rPr>
          <w:lang w:val="en-US"/>
        </w:rPr>
        <w:t xml:space="preserve"> (2001, July 19). Ley 693 del 2001.</w:t>
      </w:r>
      <w:r w:rsidR="00F12659" w:rsidRPr="00ED6B1D">
        <w:rPr>
          <w:lang w:val="en-US"/>
        </w:rPr>
        <w:t xml:space="preserve"> </w:t>
      </w:r>
      <w:r w:rsidR="00CD00C2" w:rsidRPr="00ED6B1D">
        <w:rPr>
          <w:lang w:val="en-US"/>
        </w:rPr>
        <w:t>www.funcionpublica.gov.co/eva/gestornormativo/norma.php?i=19114 Translation of Spanish.</w:t>
      </w:r>
    </w:p>
    <w:p w14:paraId="6AA1C028" w14:textId="32E8042F" w:rsidR="00056134" w:rsidRPr="00ED6B1D" w:rsidRDefault="00056134" w:rsidP="00056134">
      <w:pPr>
        <w:pStyle w:val="CETReferencetext"/>
        <w:rPr>
          <w:lang w:val="en-US"/>
        </w:rPr>
      </w:pPr>
      <w:r w:rsidRPr="00ED6B1D">
        <w:rPr>
          <w:lang w:val="en-US"/>
        </w:rPr>
        <w:t xml:space="preserve">DANE. (2023). DANE - PIB </w:t>
      </w:r>
      <w:r w:rsidR="003A59AA" w:rsidRPr="00ED6B1D">
        <w:rPr>
          <w:lang w:val="en-US"/>
        </w:rPr>
        <w:t xml:space="preserve">Technical information. Gross Domestic Product </w:t>
      </w:r>
      <w:r w:rsidRPr="00ED6B1D">
        <w:rPr>
          <w:lang w:val="en-US"/>
        </w:rPr>
        <w:t xml:space="preserve">- PIB. </w:t>
      </w:r>
      <w:r w:rsidR="00D12F1E" w:rsidRPr="00ED6B1D">
        <w:rPr>
          <w:lang w:val="en-US"/>
        </w:rPr>
        <w:t xml:space="preserve">www.dane.gov.co/index.php/estadisticas-por-tema/cuentas-nacionales/cuentas-nacionales-trimestrales/pib-informacion-tecnica. </w:t>
      </w:r>
      <w:r w:rsidR="00CD00C2" w:rsidRPr="00ED6B1D">
        <w:rPr>
          <w:lang w:val="en-US"/>
        </w:rPr>
        <w:t>Translation of Spanish.</w:t>
      </w:r>
    </w:p>
    <w:p w14:paraId="5A55A6C1" w14:textId="3A660295" w:rsidR="00056134" w:rsidRDefault="00056134" w:rsidP="00056134">
      <w:pPr>
        <w:pStyle w:val="CETReferencetext"/>
      </w:pPr>
      <w:r w:rsidRPr="00ED6B1D">
        <w:rPr>
          <w:lang w:val="en-US"/>
        </w:rPr>
        <w:t xml:space="preserve">Ijaz, N., Bashir, S., Ikram, A., Zafar, A., Bader, H., Ambreen, S., Ahmad, M., </w:t>
      </w:r>
      <w:proofErr w:type="spellStart"/>
      <w:r w:rsidRPr="00ED6B1D">
        <w:rPr>
          <w:lang w:val="en-US"/>
        </w:rPr>
        <w:t>Almalki</w:t>
      </w:r>
      <w:proofErr w:type="spellEnd"/>
      <w:r w:rsidRPr="00ED6B1D">
        <w:rPr>
          <w:lang w:val="en-US"/>
        </w:rPr>
        <w:t xml:space="preserve">, R., Khalid, M., Khalid, W., &amp; </w:t>
      </w:r>
      <w:proofErr w:type="spellStart"/>
      <w:r w:rsidRPr="00ED6B1D">
        <w:rPr>
          <w:lang w:val="en-US"/>
        </w:rPr>
        <w:t>Madilo</w:t>
      </w:r>
      <w:proofErr w:type="spellEnd"/>
      <w:r w:rsidRPr="00ED6B1D">
        <w:rPr>
          <w:lang w:val="en-US"/>
        </w:rPr>
        <w:t xml:space="preserve">, F. (2024). </w:t>
      </w:r>
      <w:r>
        <w:t>Valorization of potato peel: a sustainable eco-friendly approach. CYTA - Journal of Food, 22(1), 2–8.</w:t>
      </w:r>
      <w:r w:rsidR="00F12659">
        <w:t xml:space="preserve"> </w:t>
      </w:r>
      <w:r>
        <w:t>doi.org/https://doi.org/10.1080/19476337.2024.2306951</w:t>
      </w:r>
    </w:p>
    <w:p w14:paraId="22EB2D5B" w14:textId="28F22853" w:rsidR="00056134" w:rsidRDefault="00056134" w:rsidP="00056134">
      <w:pPr>
        <w:pStyle w:val="CETReferencetext"/>
      </w:pPr>
      <w:proofErr w:type="spellStart"/>
      <w:r w:rsidRPr="00460552">
        <w:rPr>
          <w:lang w:val="es-CO"/>
        </w:rPr>
        <w:t>Khanal</w:t>
      </w:r>
      <w:proofErr w:type="spellEnd"/>
      <w:r w:rsidRPr="00460552">
        <w:rPr>
          <w:lang w:val="es-CO"/>
        </w:rPr>
        <w:t xml:space="preserve">, S., </w:t>
      </w:r>
      <w:proofErr w:type="spellStart"/>
      <w:r w:rsidRPr="00460552">
        <w:rPr>
          <w:lang w:val="es-CO"/>
        </w:rPr>
        <w:t>Karimi</w:t>
      </w:r>
      <w:proofErr w:type="spellEnd"/>
      <w:r w:rsidRPr="00460552">
        <w:rPr>
          <w:lang w:val="es-CO"/>
        </w:rPr>
        <w:t xml:space="preserve">, K., </w:t>
      </w:r>
      <w:proofErr w:type="spellStart"/>
      <w:r w:rsidRPr="00460552">
        <w:rPr>
          <w:lang w:val="es-CO"/>
        </w:rPr>
        <w:t>Majumdar</w:t>
      </w:r>
      <w:proofErr w:type="spellEnd"/>
      <w:r w:rsidRPr="00460552">
        <w:rPr>
          <w:lang w:val="es-CO"/>
        </w:rPr>
        <w:t xml:space="preserve">, S., Kumar, V., </w:t>
      </w:r>
      <w:proofErr w:type="spellStart"/>
      <w:r w:rsidRPr="00460552">
        <w:rPr>
          <w:lang w:val="es-CO"/>
        </w:rPr>
        <w:t>Verma</w:t>
      </w:r>
      <w:proofErr w:type="spellEnd"/>
      <w:r w:rsidRPr="00460552">
        <w:rPr>
          <w:lang w:val="es-CO"/>
        </w:rPr>
        <w:t xml:space="preserve">, R., </w:t>
      </w:r>
      <w:proofErr w:type="spellStart"/>
      <w:r w:rsidRPr="00460552">
        <w:rPr>
          <w:lang w:val="es-CO"/>
        </w:rPr>
        <w:t>Bhatia</w:t>
      </w:r>
      <w:proofErr w:type="spellEnd"/>
      <w:r w:rsidRPr="00460552">
        <w:rPr>
          <w:lang w:val="es-CO"/>
        </w:rPr>
        <w:t xml:space="preserve">, S., </w:t>
      </w:r>
      <w:proofErr w:type="spellStart"/>
      <w:r w:rsidRPr="00460552">
        <w:rPr>
          <w:lang w:val="es-CO"/>
        </w:rPr>
        <w:t>Kuca</w:t>
      </w:r>
      <w:proofErr w:type="spellEnd"/>
      <w:r w:rsidRPr="00460552">
        <w:rPr>
          <w:lang w:val="es-CO"/>
        </w:rPr>
        <w:t xml:space="preserve">, K., Esteban, J., &amp; Kumar, D. (2024). </w:t>
      </w:r>
      <w:r>
        <w:t>Sustainable utilization and valorization of potato waste: state of the art, challenges, and perspectives. Biomass Conversion and Biorefinery, 14(19), 23335–23360.</w:t>
      </w:r>
      <w:r w:rsidR="00F12659">
        <w:t xml:space="preserve"> </w:t>
      </w:r>
      <w:r>
        <w:t>doi.org/https://doi.org/10.1007/s13399-023-04521-1</w:t>
      </w:r>
    </w:p>
    <w:p w14:paraId="3337BD79" w14:textId="754D8232" w:rsidR="00056134" w:rsidRDefault="00056134" w:rsidP="00056134">
      <w:pPr>
        <w:pStyle w:val="CETReferencetext"/>
      </w:pPr>
      <w:proofErr w:type="spellStart"/>
      <w:r>
        <w:t>Khawla</w:t>
      </w:r>
      <w:proofErr w:type="spellEnd"/>
      <w:r>
        <w:t xml:space="preserve">, B., </w:t>
      </w:r>
      <w:proofErr w:type="spellStart"/>
      <w:r>
        <w:t>Sameh</w:t>
      </w:r>
      <w:proofErr w:type="spellEnd"/>
      <w:r>
        <w:t xml:space="preserve">, M., </w:t>
      </w:r>
      <w:proofErr w:type="spellStart"/>
      <w:r>
        <w:t>Imen</w:t>
      </w:r>
      <w:proofErr w:type="spellEnd"/>
      <w:r>
        <w:t xml:space="preserve">, G., </w:t>
      </w:r>
      <w:proofErr w:type="spellStart"/>
      <w:r>
        <w:t>Donyes</w:t>
      </w:r>
      <w:proofErr w:type="spellEnd"/>
      <w:r>
        <w:t xml:space="preserve">, F., </w:t>
      </w:r>
      <w:proofErr w:type="spellStart"/>
      <w:r>
        <w:t>Dhouha</w:t>
      </w:r>
      <w:proofErr w:type="spellEnd"/>
      <w:r>
        <w:t xml:space="preserve">, G., </w:t>
      </w:r>
      <w:proofErr w:type="spellStart"/>
      <w:r>
        <w:t>Raoudha</w:t>
      </w:r>
      <w:proofErr w:type="spellEnd"/>
      <w:r>
        <w:t xml:space="preserve">, E., &amp; </w:t>
      </w:r>
      <w:proofErr w:type="spellStart"/>
      <w:r>
        <w:t>Oumèma</w:t>
      </w:r>
      <w:proofErr w:type="spellEnd"/>
      <w:r>
        <w:t>, N.-E. (2014). Potato peel as feedstock for bioethanol production: A comparison of acidic and enzymatic hydrolysis. Industrial Crops and Products, 52, 144–149.</w:t>
      </w:r>
      <w:r w:rsidR="00F12659">
        <w:t xml:space="preserve"> </w:t>
      </w:r>
      <w:r>
        <w:t>doi.org/10.1016/j.indcrop.2013.10.025</w:t>
      </w:r>
    </w:p>
    <w:p w14:paraId="7C6C9462" w14:textId="19400431" w:rsidR="00056134" w:rsidRDefault="00056134" w:rsidP="00056134">
      <w:pPr>
        <w:pStyle w:val="CETReferencetext"/>
      </w:pPr>
      <w:r>
        <w:t xml:space="preserve">Miller, G. (1959). Use of </w:t>
      </w:r>
      <w:proofErr w:type="spellStart"/>
      <w:r>
        <w:t>Dinitrosalicylic</w:t>
      </w:r>
      <w:proofErr w:type="spellEnd"/>
      <w:r>
        <w:t xml:space="preserve"> Acid Reagent for Determination of Reducing Sugar. Analytical Chemistry, 31(3), 426–428. doi.org/10.1021/AC60147A030</w:t>
      </w:r>
    </w:p>
    <w:p w14:paraId="6C85741A" w14:textId="439B7564" w:rsidR="00056134" w:rsidRDefault="00056134" w:rsidP="00056134">
      <w:pPr>
        <w:pStyle w:val="CETReferencetext"/>
      </w:pPr>
      <w:proofErr w:type="spellStart"/>
      <w:r>
        <w:t>Narisetty</w:t>
      </w:r>
      <w:proofErr w:type="spellEnd"/>
      <w:r>
        <w:t xml:space="preserve">, V., Nagarajan, S., Gadkari, S., Ranade, V. V., Zhang, J., </w:t>
      </w:r>
      <w:proofErr w:type="spellStart"/>
      <w:r>
        <w:t>Patchigolla</w:t>
      </w:r>
      <w:proofErr w:type="spellEnd"/>
      <w:r>
        <w:t>, K., Bhatnagar, A., Kumar Awasthi, M., Pandey, A., &amp; Kumar, V. (2022). Process optimization for recycling of bread waste into bioethanol and biomethane: A circular economy approach. Energy Conversion and Management, 266, 115784. doi.org/10.1016/J.ENCONMAN.2022.115784</w:t>
      </w:r>
    </w:p>
    <w:p w14:paraId="56C3F710" w14:textId="58A5298B" w:rsidR="00056134" w:rsidRDefault="00056134" w:rsidP="00056134">
      <w:pPr>
        <w:pStyle w:val="CETReferencetext"/>
      </w:pPr>
      <w:r>
        <w:t>Sharma, H. K., Xu, C., &amp; Qin, W. (2019). Biological Pretreatment of Lignocellulosic Biomass for Biofuels and Bioproducts: An Overview. Waste and Biomass Valorization, 10(2), 235–251. doi.org/10.1007/S12649-017-0059-Y/TABLES/3</w:t>
      </w:r>
    </w:p>
    <w:p w14:paraId="36EA1720" w14:textId="7045C577" w:rsidR="00056134" w:rsidRDefault="00056134" w:rsidP="00056134">
      <w:pPr>
        <w:pStyle w:val="CETReferencetext"/>
      </w:pPr>
      <w:r>
        <w:t xml:space="preserve">Walker, G. M., &amp; Stewart, G. G. (2016). </w:t>
      </w:r>
      <w:r w:rsidRPr="00F12659">
        <w:rPr>
          <w:i/>
          <w:iCs/>
        </w:rPr>
        <w:t>Saccharomyces cerevisiae</w:t>
      </w:r>
      <w:r>
        <w:t xml:space="preserve"> in the Production of Fermented Beverages. Beverages 2016, Vol. 2, Page 30, 2(4), 30. doi.org/10.3390/BEVERAGES2040030</w:t>
      </w:r>
    </w:p>
    <w:p w14:paraId="59A5377A" w14:textId="704B1E16" w:rsidR="00056134" w:rsidRDefault="00056134" w:rsidP="000C3888">
      <w:pPr>
        <w:pStyle w:val="CETReferencetext"/>
      </w:pPr>
      <w:proofErr w:type="spellStart"/>
      <w:r>
        <w:t>Zoghlami</w:t>
      </w:r>
      <w:proofErr w:type="spellEnd"/>
      <w:r>
        <w:t xml:space="preserve">, A., &amp; </w:t>
      </w:r>
      <w:proofErr w:type="spellStart"/>
      <w:r>
        <w:t>Paës</w:t>
      </w:r>
      <w:proofErr w:type="spellEnd"/>
      <w:r>
        <w:t>, G. (2019). Lignocellulosic Biomass: Understanding Recalcitrance and Predicting Hydrolysis. Frontiers in Chemistry, 7, 874.</w:t>
      </w:r>
      <w:r w:rsidR="005C1B9D">
        <w:t xml:space="preserve"> </w:t>
      </w:r>
      <w:r>
        <w:t>doi.org/10.3389/FCHEM.2019.00874/FULL</w:t>
      </w:r>
    </w:p>
    <w:p w14:paraId="512F413D" w14:textId="22002A52" w:rsidR="007C3AE3" w:rsidRDefault="007C3AE3" w:rsidP="007C3AE3">
      <w:pPr>
        <w:rPr>
          <w:lang w:val="en-US"/>
        </w:rPr>
      </w:pPr>
      <w:r w:rsidRPr="002A49C2">
        <w:rPr>
          <w:lang w:val="en-US"/>
        </w:rPr>
        <w:lastRenderedPageBreak/>
        <w:t xml:space="preserve">Bogotá D.C., </w:t>
      </w:r>
      <w:r>
        <w:rPr>
          <w:lang w:val="en-US"/>
        </w:rPr>
        <w:t>April 2026</w:t>
      </w:r>
    </w:p>
    <w:p w14:paraId="1CE695E8" w14:textId="5F634561" w:rsidR="007C3AE3" w:rsidRPr="004E57F0" w:rsidRDefault="007C3AE3" w:rsidP="007C3AE3">
      <w:pPr>
        <w:jc w:val="left"/>
        <w:rPr>
          <w:b/>
          <w:bCs/>
          <w:lang w:val="en-US"/>
        </w:rPr>
      </w:pPr>
      <w:r w:rsidRPr="009B3262">
        <w:rPr>
          <w:b/>
          <w:bCs/>
        </w:rPr>
        <w:t>Organizing</w:t>
      </w:r>
      <w:r>
        <w:rPr>
          <w:b/>
          <w:bCs/>
        </w:rPr>
        <w:t xml:space="preserve"> </w:t>
      </w:r>
      <w:r w:rsidRPr="009B3262">
        <w:rPr>
          <w:b/>
          <w:bCs/>
        </w:rPr>
        <w:t>Committee</w:t>
      </w:r>
      <w:r w:rsidRPr="00AA24B2">
        <w:rPr>
          <w:b/>
          <w:bCs/>
        </w:rPr>
        <w:br/>
      </w:r>
      <w:r w:rsidRPr="00AA24B2">
        <w:t>Editor in Chief</w:t>
      </w:r>
      <w:r w:rsidRPr="00AA24B2">
        <w:br/>
      </w:r>
      <w:r>
        <w:t xml:space="preserve">Chemical Engineering Transactions </w:t>
      </w:r>
    </w:p>
    <w:p w14:paraId="5511A977" w14:textId="48B31530" w:rsidR="007C3AE3" w:rsidRPr="004E57F0" w:rsidRDefault="007C3AE3" w:rsidP="007C3AE3">
      <w:pPr>
        <w:jc w:val="right"/>
        <w:rPr>
          <w:lang w:val="en-US"/>
        </w:rPr>
      </w:pPr>
      <w:r w:rsidRPr="00EE16F9">
        <w:rPr>
          <w:b/>
          <w:bCs/>
        </w:rPr>
        <w:t>Subject:</w:t>
      </w:r>
      <w:r w:rsidRPr="00EE16F9">
        <w:t xml:space="preserve"> Revisions </w:t>
      </w:r>
      <w:r>
        <w:rPr>
          <w:lang w:val="en-US"/>
        </w:rPr>
        <w:t>of paper #47</w:t>
      </w:r>
    </w:p>
    <w:p w14:paraId="219F1F50" w14:textId="77777777" w:rsidR="007C3AE3" w:rsidRDefault="007C3AE3" w:rsidP="007C3AE3">
      <w:pPr>
        <w:jc w:val="right"/>
      </w:pPr>
    </w:p>
    <w:p w14:paraId="01C27A64" w14:textId="77777777" w:rsidR="00401F9E" w:rsidRPr="00AA24B2" w:rsidRDefault="00401F9E" w:rsidP="00401F9E">
      <w:pPr>
        <w:spacing w:after="120" w:line="240" w:lineRule="auto"/>
      </w:pPr>
      <w:r w:rsidRPr="00AA24B2">
        <w:t>Please accept my warm regards.</w:t>
      </w:r>
    </w:p>
    <w:p w14:paraId="1CDDEC9A" w14:textId="77777777" w:rsidR="00401F9E" w:rsidRPr="00287613" w:rsidRDefault="00401F9E" w:rsidP="00401F9E">
      <w:pPr>
        <w:spacing w:after="120" w:line="240" w:lineRule="auto"/>
        <w:rPr>
          <w:i/>
          <w:iCs/>
          <w:lang w:val="en-US"/>
        </w:rPr>
      </w:pPr>
      <w:r w:rsidRPr="00AA24B2">
        <w:t>We have received the comments from the reviewers of the article entitled:</w:t>
      </w:r>
      <w:r>
        <w:t xml:space="preserve"> </w:t>
      </w:r>
      <w:r w:rsidRPr="00AA24B2">
        <w:rPr>
          <w:i/>
          <w:iCs/>
        </w:rPr>
        <w:t>"</w:t>
      </w:r>
      <w:r w:rsidRPr="007C3AE3">
        <w:t xml:space="preserve"> </w:t>
      </w:r>
      <w:r w:rsidRPr="007C3AE3">
        <w:rPr>
          <w:i/>
          <w:iCs/>
        </w:rPr>
        <w:t>Bioethanol Production from Potato Peels (Solanum Tuberosum) as Sustainable Alternative for Urban Eco-Communities</w:t>
      </w:r>
      <w:r w:rsidRPr="00AA24B2">
        <w:rPr>
          <w:i/>
          <w:iCs/>
        </w:rPr>
        <w:t>",</w:t>
      </w:r>
      <w:r>
        <w:t xml:space="preserve"> </w:t>
      </w:r>
      <w:r w:rsidRPr="00AA24B2">
        <w:t>and we appreciate the observations that allow us to improve our manuscript for publication. Below is the detail of the corrections made.</w:t>
      </w:r>
    </w:p>
    <w:tbl>
      <w:tblPr>
        <w:tblStyle w:val="Tablaconcuadrcula"/>
        <w:tblW w:w="0" w:type="auto"/>
        <w:tblLook w:val="04A0" w:firstRow="1" w:lastRow="0" w:firstColumn="1" w:lastColumn="0" w:noHBand="0" w:noVBand="1"/>
      </w:tblPr>
      <w:tblGrid>
        <w:gridCol w:w="4388"/>
        <w:gridCol w:w="4389"/>
      </w:tblGrid>
      <w:tr w:rsidR="00401F9E" w14:paraId="5E54158F" w14:textId="77777777" w:rsidTr="00FB0A7D">
        <w:tc>
          <w:tcPr>
            <w:tcW w:w="8777" w:type="dxa"/>
            <w:gridSpan w:val="2"/>
            <w:shd w:val="clear" w:color="auto" w:fill="EEECE1" w:themeFill="background2"/>
          </w:tcPr>
          <w:p w14:paraId="08CA921D" w14:textId="77777777" w:rsidR="00401F9E" w:rsidRPr="00AA24B2" w:rsidRDefault="00401F9E" w:rsidP="00FB0A7D">
            <w:pPr>
              <w:jc w:val="center"/>
              <w:rPr>
                <w:b/>
                <w:bCs/>
              </w:rPr>
            </w:pPr>
            <w:r w:rsidRPr="00AA24B2">
              <w:rPr>
                <w:b/>
                <w:bCs/>
              </w:rPr>
              <w:t>Reviewer #1:</w:t>
            </w:r>
          </w:p>
        </w:tc>
      </w:tr>
      <w:tr w:rsidR="00401F9E" w:rsidRPr="00F77A08" w14:paraId="13B32072" w14:textId="77777777" w:rsidTr="00FB0A7D">
        <w:tc>
          <w:tcPr>
            <w:tcW w:w="4389" w:type="dxa"/>
          </w:tcPr>
          <w:p w14:paraId="5ACC0389" w14:textId="77777777" w:rsidR="00401F9E" w:rsidRPr="0003021A" w:rsidRDefault="00401F9E" w:rsidP="00FB0A7D">
            <w:pPr>
              <w:rPr>
                <w:lang w:val="en-US"/>
              </w:rPr>
            </w:pPr>
            <w:r w:rsidRPr="00F77A08">
              <w:rPr>
                <w:lang w:val="en-US"/>
              </w:rPr>
              <w:t>Please clarify the energy requirements for the reduced-pressure distillation stage, as this is a critical factor for the feasibility of the process within the community.</w:t>
            </w:r>
          </w:p>
        </w:tc>
        <w:tc>
          <w:tcPr>
            <w:tcW w:w="4388" w:type="dxa"/>
          </w:tcPr>
          <w:p w14:paraId="5FB090E2" w14:textId="74483835" w:rsidR="00401F9E" w:rsidRPr="0018557A" w:rsidRDefault="00E45A9F" w:rsidP="00FB0A7D">
            <w:pPr>
              <w:rPr>
                <w:lang w:val="en-US"/>
              </w:rPr>
            </w:pPr>
            <w:r w:rsidRPr="0018557A">
              <w:rPr>
                <w:lang w:val="en-US"/>
              </w:rPr>
              <w:t>First of all, I appreciate the observation regarding the impact of the distillation stage on the process. Based on this, the operating cost was estimated for the processing of 126 kg of potato peel waste managed weekly by the community. It was identified that the stages with the highest energy consumption are hydrolysis and fermentation, as they remain in operation for 48 h and 72 h, respectively.</w:t>
            </w:r>
          </w:p>
        </w:tc>
      </w:tr>
      <w:tr w:rsidR="00401F9E" w:rsidRPr="00F77A08" w14:paraId="24FE1D9D" w14:textId="77777777" w:rsidTr="00FB0A7D">
        <w:tc>
          <w:tcPr>
            <w:tcW w:w="4389" w:type="dxa"/>
          </w:tcPr>
          <w:p w14:paraId="59F06FEF" w14:textId="77777777" w:rsidR="00401F9E" w:rsidRPr="00F77A08" w:rsidRDefault="00401F9E" w:rsidP="00FB0A7D">
            <w:pPr>
              <w:rPr>
                <w:lang w:val="en-US"/>
              </w:rPr>
            </w:pPr>
            <w:r w:rsidRPr="00F77A08">
              <w:rPr>
                <w:lang w:val="en-US"/>
              </w:rPr>
              <w:t>In Figure 2, ensure that the error bars are clearly visible for all data points to support the stated standard error of less than 5%</w:t>
            </w:r>
          </w:p>
        </w:tc>
        <w:tc>
          <w:tcPr>
            <w:tcW w:w="4388" w:type="dxa"/>
          </w:tcPr>
          <w:p w14:paraId="7802F857" w14:textId="0212AA39" w:rsidR="00401F9E" w:rsidRPr="00F77A08" w:rsidRDefault="006817F6" w:rsidP="00FB0A7D">
            <w:pPr>
              <w:rPr>
                <w:highlight w:val="yellow"/>
                <w:lang w:val="en-US"/>
              </w:rPr>
            </w:pPr>
            <w:r w:rsidRPr="006817F6">
              <w:rPr>
                <w:lang w:val="en-US"/>
              </w:rPr>
              <w:t>Thank you for your valuable observation. We carefully reviewed Figure 2 and confirm that the error bars corresponding to the standard error (less than 5%) are included for all data points. However, due to the relatively small magnitude of the error, the bars may appear less prominent at the current scale of the figure.</w:t>
            </w:r>
          </w:p>
        </w:tc>
      </w:tr>
      <w:tr w:rsidR="00401F9E" w:rsidRPr="00F77A08" w14:paraId="255FA166" w14:textId="77777777" w:rsidTr="000C3888">
        <w:tc>
          <w:tcPr>
            <w:tcW w:w="8777" w:type="dxa"/>
            <w:gridSpan w:val="2"/>
            <w:shd w:val="clear" w:color="auto" w:fill="EEECE1" w:themeFill="background2"/>
          </w:tcPr>
          <w:p w14:paraId="43C2DB30" w14:textId="2D7AF811" w:rsidR="00401F9E" w:rsidRPr="00F77A08" w:rsidRDefault="00401F9E" w:rsidP="00401F9E">
            <w:pPr>
              <w:jc w:val="center"/>
              <w:rPr>
                <w:highlight w:val="yellow"/>
                <w:lang w:val="en-US"/>
              </w:rPr>
            </w:pPr>
            <w:r w:rsidRPr="00AA24B2">
              <w:rPr>
                <w:b/>
                <w:bCs/>
              </w:rPr>
              <w:t>Reviewer #</w:t>
            </w:r>
            <w:r>
              <w:rPr>
                <w:b/>
                <w:bCs/>
              </w:rPr>
              <w:t>2</w:t>
            </w:r>
            <w:r w:rsidRPr="00AA24B2">
              <w:rPr>
                <w:b/>
                <w:bCs/>
              </w:rPr>
              <w:t>:</w:t>
            </w:r>
          </w:p>
        </w:tc>
      </w:tr>
      <w:tr w:rsidR="00401F9E" w:rsidRPr="00F77A08" w14:paraId="6D5EC0FF" w14:textId="77777777" w:rsidTr="001C0F13">
        <w:tc>
          <w:tcPr>
            <w:tcW w:w="4388" w:type="dxa"/>
          </w:tcPr>
          <w:p w14:paraId="0E1D10CE" w14:textId="2186D5DF" w:rsidR="00401F9E" w:rsidRPr="00976735" w:rsidRDefault="00976735" w:rsidP="00FB0A7D">
            <w:r w:rsidRPr="00976735">
              <w:t>The authors should provide, if possible, an analysis of the operating costs.</w:t>
            </w:r>
          </w:p>
        </w:tc>
        <w:tc>
          <w:tcPr>
            <w:tcW w:w="4389" w:type="dxa"/>
          </w:tcPr>
          <w:p w14:paraId="2483BFB8" w14:textId="13B60BD3" w:rsidR="00401F9E" w:rsidRPr="009A4EA8" w:rsidRDefault="00003396" w:rsidP="00FB0A7D">
            <w:r w:rsidRPr="00003396">
              <w:rPr>
                <w:lang w:val="en-US"/>
              </w:rPr>
              <w:t>We appreciate the suggestion and will take it into account when analyzing the operating and initial investment costs required for implementing the Project in the ASOFAHIMCO community. Based on this analysis, an operating cost of $14</w:t>
            </w:r>
            <w:r w:rsidR="002406FE">
              <w:rPr>
                <w:lang w:val="en-US"/>
              </w:rPr>
              <w:t>.</w:t>
            </w:r>
            <w:r w:rsidRPr="00003396">
              <w:rPr>
                <w:lang w:val="en-US"/>
              </w:rPr>
              <w:t>4 USD per liter of ethanol produced is documented, with an investment cost of $11,095.80 USD.</w:t>
            </w:r>
            <w:r w:rsidR="003F5C57">
              <w:rPr>
                <w:lang w:val="en-US"/>
              </w:rPr>
              <w:t xml:space="preserve"> </w:t>
            </w:r>
            <w:r w:rsidR="00534F46" w:rsidRPr="00534F46">
              <w:rPr>
                <w:lang w:val="en-US"/>
              </w:rPr>
              <w:t>It is noteworthy that the experimental process was carried out at laboratory scale and requires the establishment of an optimization process for the hydrolysis and fermentation stages, in order to increase yield and reduce costs associated with energy and input consumption, which account for approximately 77% of production costs.</w:t>
            </w:r>
          </w:p>
        </w:tc>
      </w:tr>
    </w:tbl>
    <w:p w14:paraId="4255E74C" w14:textId="07390530" w:rsidR="007C3AE3" w:rsidRPr="002406FE" w:rsidRDefault="007C3AE3" w:rsidP="00401F9E">
      <w:pPr>
        <w:spacing w:after="120" w:line="240" w:lineRule="auto"/>
      </w:pPr>
    </w:p>
    <w:p w14:paraId="670D88C7" w14:textId="77777777" w:rsidR="007C1A0C" w:rsidRPr="00DD2722" w:rsidRDefault="007C1A0C" w:rsidP="007C1A0C">
      <w:pPr>
        <w:pStyle w:val="Sinespaciado"/>
        <w:rPr>
          <w:rFonts w:ascii="Arial" w:eastAsia="Times New Roman" w:hAnsi="Arial" w:cs="Times New Roman"/>
          <w:kern w:val="0"/>
          <w:sz w:val="18"/>
          <w:szCs w:val="20"/>
          <w:lang w:val="en-GB"/>
          <w14:ligatures w14:val="none"/>
        </w:rPr>
      </w:pPr>
      <w:r w:rsidRPr="00DD2722">
        <w:rPr>
          <w:rFonts w:ascii="Arial" w:eastAsia="Times New Roman" w:hAnsi="Arial" w:cs="Times New Roman"/>
          <w:kern w:val="0"/>
          <w:sz w:val="18"/>
          <w:szCs w:val="20"/>
          <w:lang w:val="en-GB"/>
          <w14:ligatures w14:val="none"/>
        </w:rPr>
        <w:t>We will be following the process closely.</w:t>
      </w:r>
    </w:p>
    <w:p w14:paraId="0D452CDD" w14:textId="77777777" w:rsidR="007C1A0C" w:rsidRPr="00DD2722" w:rsidRDefault="007C1A0C" w:rsidP="007C1A0C">
      <w:pPr>
        <w:pStyle w:val="Sinespaciado"/>
        <w:rPr>
          <w:rFonts w:ascii="Arial" w:eastAsia="Times New Roman" w:hAnsi="Arial" w:cs="Times New Roman"/>
          <w:kern w:val="0"/>
          <w:sz w:val="18"/>
          <w:szCs w:val="20"/>
          <w:lang w:val="en-GB"/>
          <w14:ligatures w14:val="none"/>
        </w:rPr>
      </w:pPr>
      <w:r w:rsidRPr="00DD2722">
        <w:rPr>
          <w:rFonts w:ascii="Arial" w:eastAsia="Times New Roman" w:hAnsi="Arial" w:cs="Times New Roman"/>
          <w:kern w:val="0"/>
          <w:sz w:val="18"/>
          <w:szCs w:val="20"/>
          <w:lang w:val="en-GB"/>
          <w14:ligatures w14:val="none"/>
        </w:rPr>
        <w:t>Sincerely,</w:t>
      </w:r>
    </w:p>
    <w:p w14:paraId="31D6C359" w14:textId="77777777" w:rsidR="007C1A0C" w:rsidRPr="00DD2722" w:rsidRDefault="007C1A0C" w:rsidP="007C1A0C">
      <w:pPr>
        <w:pStyle w:val="Sinespaciado"/>
        <w:rPr>
          <w:rFonts w:ascii="Arial" w:eastAsia="Times New Roman" w:hAnsi="Arial" w:cs="Times New Roman"/>
          <w:kern w:val="0"/>
          <w:sz w:val="18"/>
          <w:szCs w:val="20"/>
          <w:lang w:val="en-GB"/>
          <w14:ligatures w14:val="none"/>
        </w:rPr>
      </w:pPr>
      <w:r w:rsidRPr="00DD2722">
        <w:rPr>
          <w:rFonts w:ascii="Arial" w:eastAsia="Times New Roman" w:hAnsi="Arial" w:cs="Times New Roman"/>
          <w:kern w:val="0"/>
          <w:sz w:val="18"/>
          <w:szCs w:val="20"/>
          <w:lang w:val="en-GB"/>
          <w14:ligatures w14:val="none"/>
        </w:rPr>
        <w:t>Authors</w:t>
      </w:r>
    </w:p>
    <w:p w14:paraId="3188C580" w14:textId="77777777" w:rsidR="007C1A0C" w:rsidRPr="007C3AE3" w:rsidRDefault="007C1A0C" w:rsidP="00401F9E">
      <w:pPr>
        <w:spacing w:after="120" w:line="240" w:lineRule="auto"/>
        <w:rPr>
          <w:lang w:val="en-US"/>
        </w:rPr>
      </w:pPr>
    </w:p>
    <w:sectPr w:rsidR="007C1A0C" w:rsidRPr="007C3AE3"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6A291" w14:textId="77777777" w:rsidR="00D62456" w:rsidRDefault="00D62456" w:rsidP="004F5E36">
      <w:r>
        <w:separator/>
      </w:r>
    </w:p>
  </w:endnote>
  <w:endnote w:type="continuationSeparator" w:id="0">
    <w:p w14:paraId="52F097E9" w14:textId="77777777" w:rsidR="00D62456" w:rsidRDefault="00D62456" w:rsidP="004F5E36">
      <w:r>
        <w:continuationSeparator/>
      </w:r>
    </w:p>
  </w:endnote>
  <w:endnote w:type="continuationNotice" w:id="1">
    <w:p w14:paraId="79243307" w14:textId="77777777" w:rsidR="00D62456" w:rsidRDefault="00D624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9B3E8" w14:textId="77777777" w:rsidR="00D62456" w:rsidRDefault="00D62456" w:rsidP="004F5E36">
      <w:r>
        <w:separator/>
      </w:r>
    </w:p>
  </w:footnote>
  <w:footnote w:type="continuationSeparator" w:id="0">
    <w:p w14:paraId="50F4F2CC" w14:textId="77777777" w:rsidR="00D62456" w:rsidRDefault="00D62456" w:rsidP="004F5E36">
      <w:r>
        <w:continuationSeparator/>
      </w:r>
    </w:p>
  </w:footnote>
  <w:footnote w:type="continuationNotice" w:id="1">
    <w:p w14:paraId="60E65C2C" w14:textId="77777777" w:rsidR="00D62456" w:rsidRDefault="00D6245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482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396"/>
    <w:rsid w:val="00003556"/>
    <w:rsid w:val="000040FF"/>
    <w:rsid w:val="000052FB"/>
    <w:rsid w:val="00005884"/>
    <w:rsid w:val="00005A19"/>
    <w:rsid w:val="000117CB"/>
    <w:rsid w:val="000163C0"/>
    <w:rsid w:val="00017710"/>
    <w:rsid w:val="000177E6"/>
    <w:rsid w:val="000212F0"/>
    <w:rsid w:val="00021650"/>
    <w:rsid w:val="00022B08"/>
    <w:rsid w:val="000240E5"/>
    <w:rsid w:val="00025D20"/>
    <w:rsid w:val="00027317"/>
    <w:rsid w:val="0002778B"/>
    <w:rsid w:val="0003080D"/>
    <w:rsid w:val="00030D7C"/>
    <w:rsid w:val="0003148D"/>
    <w:rsid w:val="00031EEC"/>
    <w:rsid w:val="000337FA"/>
    <w:rsid w:val="00040A8E"/>
    <w:rsid w:val="00041329"/>
    <w:rsid w:val="00042C27"/>
    <w:rsid w:val="00045811"/>
    <w:rsid w:val="0005119B"/>
    <w:rsid w:val="00051566"/>
    <w:rsid w:val="0005408D"/>
    <w:rsid w:val="00054B36"/>
    <w:rsid w:val="00056134"/>
    <w:rsid w:val="000562A9"/>
    <w:rsid w:val="00061A11"/>
    <w:rsid w:val="0006282B"/>
    <w:rsid w:val="00062A9A"/>
    <w:rsid w:val="00064000"/>
    <w:rsid w:val="00065058"/>
    <w:rsid w:val="00070137"/>
    <w:rsid w:val="00074595"/>
    <w:rsid w:val="0007534D"/>
    <w:rsid w:val="00077452"/>
    <w:rsid w:val="00077F27"/>
    <w:rsid w:val="00080728"/>
    <w:rsid w:val="00082008"/>
    <w:rsid w:val="000833D4"/>
    <w:rsid w:val="00086C39"/>
    <w:rsid w:val="0008782E"/>
    <w:rsid w:val="00091DCA"/>
    <w:rsid w:val="00095E98"/>
    <w:rsid w:val="000A03B2"/>
    <w:rsid w:val="000A3505"/>
    <w:rsid w:val="000B01DB"/>
    <w:rsid w:val="000B1162"/>
    <w:rsid w:val="000B2490"/>
    <w:rsid w:val="000B7010"/>
    <w:rsid w:val="000B76E9"/>
    <w:rsid w:val="000C254E"/>
    <w:rsid w:val="000C3888"/>
    <w:rsid w:val="000C6EEA"/>
    <w:rsid w:val="000C7F56"/>
    <w:rsid w:val="000D0268"/>
    <w:rsid w:val="000D1FF0"/>
    <w:rsid w:val="000D34BE"/>
    <w:rsid w:val="000D4441"/>
    <w:rsid w:val="000D5FBC"/>
    <w:rsid w:val="000D6513"/>
    <w:rsid w:val="000D7DFF"/>
    <w:rsid w:val="000E102F"/>
    <w:rsid w:val="000E36F1"/>
    <w:rsid w:val="000E3A73"/>
    <w:rsid w:val="000E414A"/>
    <w:rsid w:val="000E75FD"/>
    <w:rsid w:val="000F093C"/>
    <w:rsid w:val="000F1261"/>
    <w:rsid w:val="000F2585"/>
    <w:rsid w:val="000F341B"/>
    <w:rsid w:val="000F61AB"/>
    <w:rsid w:val="000F787B"/>
    <w:rsid w:val="000F7D22"/>
    <w:rsid w:val="001017FB"/>
    <w:rsid w:val="00101F02"/>
    <w:rsid w:val="001030CB"/>
    <w:rsid w:val="00104924"/>
    <w:rsid w:val="00105975"/>
    <w:rsid w:val="00107EF5"/>
    <w:rsid w:val="00114B0B"/>
    <w:rsid w:val="00115CDB"/>
    <w:rsid w:val="00116CD4"/>
    <w:rsid w:val="001171C3"/>
    <w:rsid w:val="00117C9F"/>
    <w:rsid w:val="0012091F"/>
    <w:rsid w:val="00122267"/>
    <w:rsid w:val="00124AAD"/>
    <w:rsid w:val="00125932"/>
    <w:rsid w:val="00126BC2"/>
    <w:rsid w:val="00126D75"/>
    <w:rsid w:val="001308B6"/>
    <w:rsid w:val="0013121F"/>
    <w:rsid w:val="00131FE6"/>
    <w:rsid w:val="0013263F"/>
    <w:rsid w:val="001331DF"/>
    <w:rsid w:val="00134DE4"/>
    <w:rsid w:val="0014034D"/>
    <w:rsid w:val="001404D0"/>
    <w:rsid w:val="00140FE3"/>
    <w:rsid w:val="0014413D"/>
    <w:rsid w:val="001446C6"/>
    <w:rsid w:val="00144D16"/>
    <w:rsid w:val="001468C3"/>
    <w:rsid w:val="00147FB3"/>
    <w:rsid w:val="00150E59"/>
    <w:rsid w:val="001517DD"/>
    <w:rsid w:val="00152DE3"/>
    <w:rsid w:val="00163EB1"/>
    <w:rsid w:val="00164CF9"/>
    <w:rsid w:val="0016539C"/>
    <w:rsid w:val="001667A6"/>
    <w:rsid w:val="00171186"/>
    <w:rsid w:val="0017494B"/>
    <w:rsid w:val="00177289"/>
    <w:rsid w:val="00182436"/>
    <w:rsid w:val="00183C1C"/>
    <w:rsid w:val="00184AD6"/>
    <w:rsid w:val="0018557A"/>
    <w:rsid w:val="00195C5B"/>
    <w:rsid w:val="001A036E"/>
    <w:rsid w:val="001A0B63"/>
    <w:rsid w:val="001A1300"/>
    <w:rsid w:val="001A2960"/>
    <w:rsid w:val="001A31C0"/>
    <w:rsid w:val="001A3D4D"/>
    <w:rsid w:val="001A4AF7"/>
    <w:rsid w:val="001A52B1"/>
    <w:rsid w:val="001A66BF"/>
    <w:rsid w:val="001A706C"/>
    <w:rsid w:val="001B0349"/>
    <w:rsid w:val="001B1E93"/>
    <w:rsid w:val="001B20F0"/>
    <w:rsid w:val="001B3832"/>
    <w:rsid w:val="001B45EB"/>
    <w:rsid w:val="001B526D"/>
    <w:rsid w:val="001B5535"/>
    <w:rsid w:val="001B65C1"/>
    <w:rsid w:val="001B7407"/>
    <w:rsid w:val="001C260F"/>
    <w:rsid w:val="001C33F1"/>
    <w:rsid w:val="001C3CFD"/>
    <w:rsid w:val="001C4B28"/>
    <w:rsid w:val="001C5FE8"/>
    <w:rsid w:val="001C684B"/>
    <w:rsid w:val="001C7EC3"/>
    <w:rsid w:val="001D0CFB"/>
    <w:rsid w:val="001D21AF"/>
    <w:rsid w:val="001D2C73"/>
    <w:rsid w:val="001D347C"/>
    <w:rsid w:val="001D53FC"/>
    <w:rsid w:val="001D5A0C"/>
    <w:rsid w:val="001D5FB8"/>
    <w:rsid w:val="001D703F"/>
    <w:rsid w:val="001D7941"/>
    <w:rsid w:val="001E11B2"/>
    <w:rsid w:val="001E4D08"/>
    <w:rsid w:val="001E6623"/>
    <w:rsid w:val="001F2561"/>
    <w:rsid w:val="001F42A5"/>
    <w:rsid w:val="001F7B9D"/>
    <w:rsid w:val="00201BCA"/>
    <w:rsid w:val="00201C93"/>
    <w:rsid w:val="00202503"/>
    <w:rsid w:val="00202821"/>
    <w:rsid w:val="0020760D"/>
    <w:rsid w:val="00207D14"/>
    <w:rsid w:val="002100ED"/>
    <w:rsid w:val="00212070"/>
    <w:rsid w:val="00212CBF"/>
    <w:rsid w:val="00212F6A"/>
    <w:rsid w:val="002175D4"/>
    <w:rsid w:val="002179FD"/>
    <w:rsid w:val="00221A1E"/>
    <w:rsid w:val="002224B4"/>
    <w:rsid w:val="002235AE"/>
    <w:rsid w:val="00230478"/>
    <w:rsid w:val="002378B6"/>
    <w:rsid w:val="002406FE"/>
    <w:rsid w:val="00240B19"/>
    <w:rsid w:val="0024236F"/>
    <w:rsid w:val="00242388"/>
    <w:rsid w:val="00242F93"/>
    <w:rsid w:val="002447EF"/>
    <w:rsid w:val="00251550"/>
    <w:rsid w:val="002515BD"/>
    <w:rsid w:val="0025411D"/>
    <w:rsid w:val="00254789"/>
    <w:rsid w:val="0025594F"/>
    <w:rsid w:val="00260BB4"/>
    <w:rsid w:val="00261DBD"/>
    <w:rsid w:val="00261E9C"/>
    <w:rsid w:val="00263B05"/>
    <w:rsid w:val="00264DD4"/>
    <w:rsid w:val="00265765"/>
    <w:rsid w:val="00266A6F"/>
    <w:rsid w:val="00267856"/>
    <w:rsid w:val="0027039C"/>
    <w:rsid w:val="0027221A"/>
    <w:rsid w:val="002759EA"/>
    <w:rsid w:val="00275B61"/>
    <w:rsid w:val="002805B1"/>
    <w:rsid w:val="00280FAF"/>
    <w:rsid w:val="00282656"/>
    <w:rsid w:val="00283D4C"/>
    <w:rsid w:val="0028510B"/>
    <w:rsid w:val="00285C3F"/>
    <w:rsid w:val="00287D56"/>
    <w:rsid w:val="00290F30"/>
    <w:rsid w:val="002969F5"/>
    <w:rsid w:val="00296B83"/>
    <w:rsid w:val="002A116B"/>
    <w:rsid w:val="002A15EF"/>
    <w:rsid w:val="002A26EE"/>
    <w:rsid w:val="002A7F73"/>
    <w:rsid w:val="002B2C65"/>
    <w:rsid w:val="002B4015"/>
    <w:rsid w:val="002B5C01"/>
    <w:rsid w:val="002B5CA2"/>
    <w:rsid w:val="002B78CE"/>
    <w:rsid w:val="002B7D9D"/>
    <w:rsid w:val="002C08A3"/>
    <w:rsid w:val="002C2FB6"/>
    <w:rsid w:val="002C3C60"/>
    <w:rsid w:val="002C4735"/>
    <w:rsid w:val="002C6CAC"/>
    <w:rsid w:val="002D0E56"/>
    <w:rsid w:val="002D0EF1"/>
    <w:rsid w:val="002D219B"/>
    <w:rsid w:val="002D30B6"/>
    <w:rsid w:val="002D4D30"/>
    <w:rsid w:val="002D680B"/>
    <w:rsid w:val="002E0C9F"/>
    <w:rsid w:val="002E1DA2"/>
    <w:rsid w:val="002E3FF2"/>
    <w:rsid w:val="002E5FA7"/>
    <w:rsid w:val="002E7966"/>
    <w:rsid w:val="002F21FE"/>
    <w:rsid w:val="002F3309"/>
    <w:rsid w:val="002F471B"/>
    <w:rsid w:val="002F5890"/>
    <w:rsid w:val="002F5AF6"/>
    <w:rsid w:val="002F6F9F"/>
    <w:rsid w:val="003008CE"/>
    <w:rsid w:val="003009B7"/>
    <w:rsid w:val="00300E56"/>
    <w:rsid w:val="0030152C"/>
    <w:rsid w:val="00303160"/>
    <w:rsid w:val="0030469C"/>
    <w:rsid w:val="003058CA"/>
    <w:rsid w:val="00305925"/>
    <w:rsid w:val="003074E0"/>
    <w:rsid w:val="00310094"/>
    <w:rsid w:val="00311EAD"/>
    <w:rsid w:val="0031440F"/>
    <w:rsid w:val="00314F17"/>
    <w:rsid w:val="0031591D"/>
    <w:rsid w:val="00315F8D"/>
    <w:rsid w:val="00317AA3"/>
    <w:rsid w:val="00321CA6"/>
    <w:rsid w:val="0032241F"/>
    <w:rsid w:val="00322A10"/>
    <w:rsid w:val="00322A2D"/>
    <w:rsid w:val="00323763"/>
    <w:rsid w:val="00323C5F"/>
    <w:rsid w:val="00325957"/>
    <w:rsid w:val="00325F27"/>
    <w:rsid w:val="003264E1"/>
    <w:rsid w:val="00327E6F"/>
    <w:rsid w:val="003304FC"/>
    <w:rsid w:val="00334C09"/>
    <w:rsid w:val="00336E91"/>
    <w:rsid w:val="00345715"/>
    <w:rsid w:val="00346DC7"/>
    <w:rsid w:val="00352A5B"/>
    <w:rsid w:val="00353767"/>
    <w:rsid w:val="00353F9A"/>
    <w:rsid w:val="0035664A"/>
    <w:rsid w:val="003601BC"/>
    <w:rsid w:val="0036366C"/>
    <w:rsid w:val="00365DC2"/>
    <w:rsid w:val="003713AC"/>
    <w:rsid w:val="00371DB6"/>
    <w:rsid w:val="003723D4"/>
    <w:rsid w:val="00372BF0"/>
    <w:rsid w:val="003738C2"/>
    <w:rsid w:val="003769ED"/>
    <w:rsid w:val="003800E1"/>
    <w:rsid w:val="00381905"/>
    <w:rsid w:val="00383957"/>
    <w:rsid w:val="00384CC8"/>
    <w:rsid w:val="003871FD"/>
    <w:rsid w:val="0038756E"/>
    <w:rsid w:val="00391634"/>
    <w:rsid w:val="003A168B"/>
    <w:rsid w:val="003A1E30"/>
    <w:rsid w:val="003A2829"/>
    <w:rsid w:val="003A59AA"/>
    <w:rsid w:val="003A6B1D"/>
    <w:rsid w:val="003A7D1C"/>
    <w:rsid w:val="003B15BF"/>
    <w:rsid w:val="003B18DD"/>
    <w:rsid w:val="003B304B"/>
    <w:rsid w:val="003B3146"/>
    <w:rsid w:val="003B4EA5"/>
    <w:rsid w:val="003B79AC"/>
    <w:rsid w:val="003C042A"/>
    <w:rsid w:val="003C2675"/>
    <w:rsid w:val="003C6F4B"/>
    <w:rsid w:val="003D1E02"/>
    <w:rsid w:val="003D5E81"/>
    <w:rsid w:val="003E02BE"/>
    <w:rsid w:val="003E06A2"/>
    <w:rsid w:val="003E30B8"/>
    <w:rsid w:val="003F015E"/>
    <w:rsid w:val="003F0B29"/>
    <w:rsid w:val="003F18B2"/>
    <w:rsid w:val="003F1CC5"/>
    <w:rsid w:val="003F1DB6"/>
    <w:rsid w:val="003F49AB"/>
    <w:rsid w:val="003F5C57"/>
    <w:rsid w:val="003F7787"/>
    <w:rsid w:val="00400414"/>
    <w:rsid w:val="00401F9E"/>
    <w:rsid w:val="004031EB"/>
    <w:rsid w:val="00404014"/>
    <w:rsid w:val="00407AB3"/>
    <w:rsid w:val="00407E64"/>
    <w:rsid w:val="004126C8"/>
    <w:rsid w:val="0041446B"/>
    <w:rsid w:val="00414871"/>
    <w:rsid w:val="00415026"/>
    <w:rsid w:val="004152D5"/>
    <w:rsid w:val="004252ED"/>
    <w:rsid w:val="004311E2"/>
    <w:rsid w:val="00434336"/>
    <w:rsid w:val="00436569"/>
    <w:rsid w:val="00437BA7"/>
    <w:rsid w:val="0044071E"/>
    <w:rsid w:val="00442DE5"/>
    <w:rsid w:val="0044329C"/>
    <w:rsid w:val="00444244"/>
    <w:rsid w:val="0044676F"/>
    <w:rsid w:val="00446DFB"/>
    <w:rsid w:val="004471FB"/>
    <w:rsid w:val="00453095"/>
    <w:rsid w:val="004530E2"/>
    <w:rsid w:val="00453E24"/>
    <w:rsid w:val="0045520C"/>
    <w:rsid w:val="00457456"/>
    <w:rsid w:val="004577FE"/>
    <w:rsid w:val="00457B9C"/>
    <w:rsid w:val="00460552"/>
    <w:rsid w:val="0046164A"/>
    <w:rsid w:val="004618F9"/>
    <w:rsid w:val="004628D2"/>
    <w:rsid w:val="00462DCD"/>
    <w:rsid w:val="004648AD"/>
    <w:rsid w:val="00465A8F"/>
    <w:rsid w:val="00465E93"/>
    <w:rsid w:val="00466946"/>
    <w:rsid w:val="004679C3"/>
    <w:rsid w:val="00467CA5"/>
    <w:rsid w:val="004703A9"/>
    <w:rsid w:val="00471F09"/>
    <w:rsid w:val="004721FF"/>
    <w:rsid w:val="00474EA2"/>
    <w:rsid w:val="004760DE"/>
    <w:rsid w:val="004763D7"/>
    <w:rsid w:val="004871BD"/>
    <w:rsid w:val="004916EF"/>
    <w:rsid w:val="004917B4"/>
    <w:rsid w:val="004919AE"/>
    <w:rsid w:val="00493EF4"/>
    <w:rsid w:val="004953FD"/>
    <w:rsid w:val="004A004E"/>
    <w:rsid w:val="004A06C1"/>
    <w:rsid w:val="004A0B41"/>
    <w:rsid w:val="004A1C43"/>
    <w:rsid w:val="004A24CF"/>
    <w:rsid w:val="004A30DC"/>
    <w:rsid w:val="004A5396"/>
    <w:rsid w:val="004A5E57"/>
    <w:rsid w:val="004A723A"/>
    <w:rsid w:val="004A7DE0"/>
    <w:rsid w:val="004B3784"/>
    <w:rsid w:val="004B63D3"/>
    <w:rsid w:val="004B6C7B"/>
    <w:rsid w:val="004B6EFF"/>
    <w:rsid w:val="004C0E77"/>
    <w:rsid w:val="004C15B6"/>
    <w:rsid w:val="004C17A6"/>
    <w:rsid w:val="004C194F"/>
    <w:rsid w:val="004C1E63"/>
    <w:rsid w:val="004C3D1D"/>
    <w:rsid w:val="004C3D84"/>
    <w:rsid w:val="004C6049"/>
    <w:rsid w:val="004C7913"/>
    <w:rsid w:val="004D5F6F"/>
    <w:rsid w:val="004E33CC"/>
    <w:rsid w:val="004E4DD6"/>
    <w:rsid w:val="004F083D"/>
    <w:rsid w:val="004F2659"/>
    <w:rsid w:val="004F4D62"/>
    <w:rsid w:val="004F5E36"/>
    <w:rsid w:val="004F744C"/>
    <w:rsid w:val="00501D83"/>
    <w:rsid w:val="00504157"/>
    <w:rsid w:val="00507B47"/>
    <w:rsid w:val="00507BEF"/>
    <w:rsid w:val="00507CC9"/>
    <w:rsid w:val="00510922"/>
    <w:rsid w:val="005119A5"/>
    <w:rsid w:val="005210A0"/>
    <w:rsid w:val="005278B7"/>
    <w:rsid w:val="00532016"/>
    <w:rsid w:val="005346C8"/>
    <w:rsid w:val="00534F46"/>
    <w:rsid w:val="005354BB"/>
    <w:rsid w:val="00540B9B"/>
    <w:rsid w:val="0054187A"/>
    <w:rsid w:val="00541E55"/>
    <w:rsid w:val="00543600"/>
    <w:rsid w:val="00543E7D"/>
    <w:rsid w:val="0054633A"/>
    <w:rsid w:val="00547A68"/>
    <w:rsid w:val="005531C9"/>
    <w:rsid w:val="0055399C"/>
    <w:rsid w:val="005539AF"/>
    <w:rsid w:val="00556052"/>
    <w:rsid w:val="005565F5"/>
    <w:rsid w:val="00556622"/>
    <w:rsid w:val="00557267"/>
    <w:rsid w:val="0055740F"/>
    <w:rsid w:val="00560CBD"/>
    <w:rsid w:val="0056218E"/>
    <w:rsid w:val="00562ACC"/>
    <w:rsid w:val="00562DCA"/>
    <w:rsid w:val="00563DB4"/>
    <w:rsid w:val="0056598A"/>
    <w:rsid w:val="00567F03"/>
    <w:rsid w:val="00570C43"/>
    <w:rsid w:val="00575772"/>
    <w:rsid w:val="00585CF5"/>
    <w:rsid w:val="00585E18"/>
    <w:rsid w:val="00587D04"/>
    <w:rsid w:val="0059005F"/>
    <w:rsid w:val="00592274"/>
    <w:rsid w:val="0059292A"/>
    <w:rsid w:val="005950C7"/>
    <w:rsid w:val="00596944"/>
    <w:rsid w:val="005A0922"/>
    <w:rsid w:val="005A2F6F"/>
    <w:rsid w:val="005A592A"/>
    <w:rsid w:val="005A5F25"/>
    <w:rsid w:val="005A6AF3"/>
    <w:rsid w:val="005A7541"/>
    <w:rsid w:val="005B06C8"/>
    <w:rsid w:val="005B0F3C"/>
    <w:rsid w:val="005B1DFA"/>
    <w:rsid w:val="005B2110"/>
    <w:rsid w:val="005B61E6"/>
    <w:rsid w:val="005B66D7"/>
    <w:rsid w:val="005C1B9D"/>
    <w:rsid w:val="005C3259"/>
    <w:rsid w:val="005C77E1"/>
    <w:rsid w:val="005C788D"/>
    <w:rsid w:val="005D2327"/>
    <w:rsid w:val="005D668A"/>
    <w:rsid w:val="005D6A2F"/>
    <w:rsid w:val="005E0592"/>
    <w:rsid w:val="005E0DF1"/>
    <w:rsid w:val="005E156A"/>
    <w:rsid w:val="005E1A82"/>
    <w:rsid w:val="005E3237"/>
    <w:rsid w:val="005E36C4"/>
    <w:rsid w:val="005E41E3"/>
    <w:rsid w:val="005E4DCC"/>
    <w:rsid w:val="005E794C"/>
    <w:rsid w:val="005F07FE"/>
    <w:rsid w:val="005F0A28"/>
    <w:rsid w:val="005F0E5E"/>
    <w:rsid w:val="005F2B81"/>
    <w:rsid w:val="005F3F7D"/>
    <w:rsid w:val="005F4A05"/>
    <w:rsid w:val="005F5068"/>
    <w:rsid w:val="00600535"/>
    <w:rsid w:val="00600F92"/>
    <w:rsid w:val="00601335"/>
    <w:rsid w:val="00603B7B"/>
    <w:rsid w:val="00607CDC"/>
    <w:rsid w:val="00610CD6"/>
    <w:rsid w:val="00612B25"/>
    <w:rsid w:val="00616756"/>
    <w:rsid w:val="00620DEE"/>
    <w:rsid w:val="0062138B"/>
    <w:rsid w:val="006214D1"/>
    <w:rsid w:val="00621F60"/>
    <w:rsid w:val="00621F92"/>
    <w:rsid w:val="0062280A"/>
    <w:rsid w:val="006231E1"/>
    <w:rsid w:val="00623E2D"/>
    <w:rsid w:val="00624342"/>
    <w:rsid w:val="00625116"/>
    <w:rsid w:val="00625639"/>
    <w:rsid w:val="00627F3D"/>
    <w:rsid w:val="00630564"/>
    <w:rsid w:val="00631B33"/>
    <w:rsid w:val="0063221E"/>
    <w:rsid w:val="006326E5"/>
    <w:rsid w:val="0063426B"/>
    <w:rsid w:val="0063473A"/>
    <w:rsid w:val="0064184D"/>
    <w:rsid w:val="006422CC"/>
    <w:rsid w:val="006514AF"/>
    <w:rsid w:val="00651D18"/>
    <w:rsid w:val="00655759"/>
    <w:rsid w:val="00660E3E"/>
    <w:rsid w:val="00662853"/>
    <w:rsid w:val="00662E74"/>
    <w:rsid w:val="00664F9F"/>
    <w:rsid w:val="00665BA7"/>
    <w:rsid w:val="00671C1C"/>
    <w:rsid w:val="00672C70"/>
    <w:rsid w:val="00680C23"/>
    <w:rsid w:val="006817F6"/>
    <w:rsid w:val="006825CA"/>
    <w:rsid w:val="00683E23"/>
    <w:rsid w:val="00683FB5"/>
    <w:rsid w:val="0068455E"/>
    <w:rsid w:val="00685EE0"/>
    <w:rsid w:val="00693766"/>
    <w:rsid w:val="00693CC9"/>
    <w:rsid w:val="00694473"/>
    <w:rsid w:val="006A09ED"/>
    <w:rsid w:val="006A3281"/>
    <w:rsid w:val="006A5904"/>
    <w:rsid w:val="006B1B05"/>
    <w:rsid w:val="006B485A"/>
    <w:rsid w:val="006B4888"/>
    <w:rsid w:val="006B539B"/>
    <w:rsid w:val="006C2E45"/>
    <w:rsid w:val="006C359C"/>
    <w:rsid w:val="006C4115"/>
    <w:rsid w:val="006C5579"/>
    <w:rsid w:val="006C597D"/>
    <w:rsid w:val="006C6119"/>
    <w:rsid w:val="006C716C"/>
    <w:rsid w:val="006D2F93"/>
    <w:rsid w:val="006D3D7B"/>
    <w:rsid w:val="006D6E8B"/>
    <w:rsid w:val="006D7209"/>
    <w:rsid w:val="006E42DB"/>
    <w:rsid w:val="006E56AF"/>
    <w:rsid w:val="006E737D"/>
    <w:rsid w:val="006F275E"/>
    <w:rsid w:val="006F526A"/>
    <w:rsid w:val="006F6130"/>
    <w:rsid w:val="006F7434"/>
    <w:rsid w:val="006F7890"/>
    <w:rsid w:val="006F7F45"/>
    <w:rsid w:val="007001DF"/>
    <w:rsid w:val="007018C9"/>
    <w:rsid w:val="007028E4"/>
    <w:rsid w:val="007045EF"/>
    <w:rsid w:val="007058DA"/>
    <w:rsid w:val="00706A97"/>
    <w:rsid w:val="00706C4A"/>
    <w:rsid w:val="00707DD1"/>
    <w:rsid w:val="00713973"/>
    <w:rsid w:val="00713D7C"/>
    <w:rsid w:val="00717D8F"/>
    <w:rsid w:val="00720483"/>
    <w:rsid w:val="00720A24"/>
    <w:rsid w:val="00722908"/>
    <w:rsid w:val="007236B9"/>
    <w:rsid w:val="007272E9"/>
    <w:rsid w:val="007274C1"/>
    <w:rsid w:val="00730994"/>
    <w:rsid w:val="00730B61"/>
    <w:rsid w:val="00732386"/>
    <w:rsid w:val="00734AA8"/>
    <w:rsid w:val="00734ABA"/>
    <w:rsid w:val="0073514D"/>
    <w:rsid w:val="0073530A"/>
    <w:rsid w:val="0074097A"/>
    <w:rsid w:val="0074188B"/>
    <w:rsid w:val="00741C55"/>
    <w:rsid w:val="00742BF7"/>
    <w:rsid w:val="007436A7"/>
    <w:rsid w:val="007447F3"/>
    <w:rsid w:val="00745716"/>
    <w:rsid w:val="0075499F"/>
    <w:rsid w:val="007555D3"/>
    <w:rsid w:val="00755F80"/>
    <w:rsid w:val="00757118"/>
    <w:rsid w:val="0075742E"/>
    <w:rsid w:val="00757530"/>
    <w:rsid w:val="00760AC3"/>
    <w:rsid w:val="007617CC"/>
    <w:rsid w:val="007661C8"/>
    <w:rsid w:val="0076759C"/>
    <w:rsid w:val="0077098D"/>
    <w:rsid w:val="007753ED"/>
    <w:rsid w:val="00777509"/>
    <w:rsid w:val="007804AE"/>
    <w:rsid w:val="00785BF9"/>
    <w:rsid w:val="00787A0B"/>
    <w:rsid w:val="00790570"/>
    <w:rsid w:val="007931FA"/>
    <w:rsid w:val="0079606E"/>
    <w:rsid w:val="007A4861"/>
    <w:rsid w:val="007A7BBA"/>
    <w:rsid w:val="007B0C50"/>
    <w:rsid w:val="007B10DE"/>
    <w:rsid w:val="007B147A"/>
    <w:rsid w:val="007B48F9"/>
    <w:rsid w:val="007C0081"/>
    <w:rsid w:val="007C1A0C"/>
    <w:rsid w:val="007C1A43"/>
    <w:rsid w:val="007C3894"/>
    <w:rsid w:val="007C3AE3"/>
    <w:rsid w:val="007C75FC"/>
    <w:rsid w:val="007D0951"/>
    <w:rsid w:val="007D0C05"/>
    <w:rsid w:val="007D100E"/>
    <w:rsid w:val="007D10B8"/>
    <w:rsid w:val="007D57BA"/>
    <w:rsid w:val="007D7D15"/>
    <w:rsid w:val="007E0CC4"/>
    <w:rsid w:val="007E6240"/>
    <w:rsid w:val="007F01EA"/>
    <w:rsid w:val="007F20CE"/>
    <w:rsid w:val="007F24CE"/>
    <w:rsid w:val="007F27C8"/>
    <w:rsid w:val="007F3ABC"/>
    <w:rsid w:val="007F7050"/>
    <w:rsid w:val="007F7C08"/>
    <w:rsid w:val="007F7FAB"/>
    <w:rsid w:val="0080013E"/>
    <w:rsid w:val="00800782"/>
    <w:rsid w:val="00800B48"/>
    <w:rsid w:val="00802D94"/>
    <w:rsid w:val="0080682A"/>
    <w:rsid w:val="008071D8"/>
    <w:rsid w:val="008077FF"/>
    <w:rsid w:val="00807A3F"/>
    <w:rsid w:val="00813288"/>
    <w:rsid w:val="00814762"/>
    <w:rsid w:val="00815E96"/>
    <w:rsid w:val="00816401"/>
    <w:rsid w:val="008168FC"/>
    <w:rsid w:val="00820242"/>
    <w:rsid w:val="00821E4C"/>
    <w:rsid w:val="00823EF6"/>
    <w:rsid w:val="008244AD"/>
    <w:rsid w:val="0082464E"/>
    <w:rsid w:val="008254BA"/>
    <w:rsid w:val="00830996"/>
    <w:rsid w:val="008314D7"/>
    <w:rsid w:val="00831EC3"/>
    <w:rsid w:val="008345F1"/>
    <w:rsid w:val="0083541E"/>
    <w:rsid w:val="008360FF"/>
    <w:rsid w:val="00857CC3"/>
    <w:rsid w:val="00861359"/>
    <w:rsid w:val="00865B07"/>
    <w:rsid w:val="008667EA"/>
    <w:rsid w:val="008671DD"/>
    <w:rsid w:val="00874C3F"/>
    <w:rsid w:val="00875CD3"/>
    <w:rsid w:val="0087637F"/>
    <w:rsid w:val="00884E2F"/>
    <w:rsid w:val="00885697"/>
    <w:rsid w:val="00885EC8"/>
    <w:rsid w:val="00887318"/>
    <w:rsid w:val="0088732B"/>
    <w:rsid w:val="00890518"/>
    <w:rsid w:val="00892AD5"/>
    <w:rsid w:val="00897C88"/>
    <w:rsid w:val="008A0A95"/>
    <w:rsid w:val="008A0BE6"/>
    <w:rsid w:val="008A1512"/>
    <w:rsid w:val="008A2CD3"/>
    <w:rsid w:val="008A40AB"/>
    <w:rsid w:val="008A501C"/>
    <w:rsid w:val="008A566B"/>
    <w:rsid w:val="008B09A4"/>
    <w:rsid w:val="008B0D2F"/>
    <w:rsid w:val="008B156E"/>
    <w:rsid w:val="008B3697"/>
    <w:rsid w:val="008B3F8E"/>
    <w:rsid w:val="008B7335"/>
    <w:rsid w:val="008C006C"/>
    <w:rsid w:val="008C188F"/>
    <w:rsid w:val="008C4097"/>
    <w:rsid w:val="008D180F"/>
    <w:rsid w:val="008D2C6A"/>
    <w:rsid w:val="008D316C"/>
    <w:rsid w:val="008D32B9"/>
    <w:rsid w:val="008D433B"/>
    <w:rsid w:val="008D4A16"/>
    <w:rsid w:val="008D5AD9"/>
    <w:rsid w:val="008D5CD9"/>
    <w:rsid w:val="008D6777"/>
    <w:rsid w:val="008D6BE0"/>
    <w:rsid w:val="008E192C"/>
    <w:rsid w:val="008E209A"/>
    <w:rsid w:val="008E24BD"/>
    <w:rsid w:val="008E443A"/>
    <w:rsid w:val="008E45BC"/>
    <w:rsid w:val="008E566E"/>
    <w:rsid w:val="008F0B08"/>
    <w:rsid w:val="008F3564"/>
    <w:rsid w:val="008F44CA"/>
    <w:rsid w:val="008F4AD4"/>
    <w:rsid w:val="008F4DE3"/>
    <w:rsid w:val="008F6B01"/>
    <w:rsid w:val="009009B0"/>
    <w:rsid w:val="0090161A"/>
    <w:rsid w:val="00901EB6"/>
    <w:rsid w:val="009041F8"/>
    <w:rsid w:val="009045CD"/>
    <w:rsid w:val="0090470E"/>
    <w:rsid w:val="00904C62"/>
    <w:rsid w:val="00904FF7"/>
    <w:rsid w:val="009112A2"/>
    <w:rsid w:val="0091144E"/>
    <w:rsid w:val="00915A1C"/>
    <w:rsid w:val="00922BA8"/>
    <w:rsid w:val="009247D6"/>
    <w:rsid w:val="00924DAC"/>
    <w:rsid w:val="00924E58"/>
    <w:rsid w:val="00925389"/>
    <w:rsid w:val="00926025"/>
    <w:rsid w:val="00926767"/>
    <w:rsid w:val="00927058"/>
    <w:rsid w:val="009302FD"/>
    <w:rsid w:val="0093105C"/>
    <w:rsid w:val="00931AB0"/>
    <w:rsid w:val="00935A24"/>
    <w:rsid w:val="00935DAC"/>
    <w:rsid w:val="00935F2D"/>
    <w:rsid w:val="00936413"/>
    <w:rsid w:val="009367BD"/>
    <w:rsid w:val="00936936"/>
    <w:rsid w:val="0093768B"/>
    <w:rsid w:val="00937B5B"/>
    <w:rsid w:val="00940997"/>
    <w:rsid w:val="00940A79"/>
    <w:rsid w:val="00941270"/>
    <w:rsid w:val="00942750"/>
    <w:rsid w:val="009450CE"/>
    <w:rsid w:val="009459BB"/>
    <w:rsid w:val="00947179"/>
    <w:rsid w:val="00947232"/>
    <w:rsid w:val="0095076D"/>
    <w:rsid w:val="0095164B"/>
    <w:rsid w:val="00951C9D"/>
    <w:rsid w:val="00952052"/>
    <w:rsid w:val="00954090"/>
    <w:rsid w:val="00954527"/>
    <w:rsid w:val="009552F5"/>
    <w:rsid w:val="009558F3"/>
    <w:rsid w:val="009573E7"/>
    <w:rsid w:val="009615D8"/>
    <w:rsid w:val="00963E05"/>
    <w:rsid w:val="009643DD"/>
    <w:rsid w:val="00964A45"/>
    <w:rsid w:val="00964AB7"/>
    <w:rsid w:val="00964B48"/>
    <w:rsid w:val="00966BD6"/>
    <w:rsid w:val="00967614"/>
    <w:rsid w:val="00967843"/>
    <w:rsid w:val="00967D54"/>
    <w:rsid w:val="00971028"/>
    <w:rsid w:val="00975099"/>
    <w:rsid w:val="0097544D"/>
    <w:rsid w:val="00976735"/>
    <w:rsid w:val="00980F10"/>
    <w:rsid w:val="00981D01"/>
    <w:rsid w:val="00981D20"/>
    <w:rsid w:val="009827EE"/>
    <w:rsid w:val="009846E9"/>
    <w:rsid w:val="00985DC4"/>
    <w:rsid w:val="00992D3D"/>
    <w:rsid w:val="00993B84"/>
    <w:rsid w:val="00996483"/>
    <w:rsid w:val="00996F5A"/>
    <w:rsid w:val="009A04DC"/>
    <w:rsid w:val="009A0AA3"/>
    <w:rsid w:val="009A2AC8"/>
    <w:rsid w:val="009A4EA8"/>
    <w:rsid w:val="009A687F"/>
    <w:rsid w:val="009A7544"/>
    <w:rsid w:val="009B041A"/>
    <w:rsid w:val="009B5736"/>
    <w:rsid w:val="009B5FBD"/>
    <w:rsid w:val="009C2963"/>
    <w:rsid w:val="009C37C3"/>
    <w:rsid w:val="009C5968"/>
    <w:rsid w:val="009C61B1"/>
    <w:rsid w:val="009C7C86"/>
    <w:rsid w:val="009D1C23"/>
    <w:rsid w:val="009D25BA"/>
    <w:rsid w:val="009D2FF7"/>
    <w:rsid w:val="009D43DE"/>
    <w:rsid w:val="009D793A"/>
    <w:rsid w:val="009E0634"/>
    <w:rsid w:val="009E23EE"/>
    <w:rsid w:val="009E42AB"/>
    <w:rsid w:val="009E52D6"/>
    <w:rsid w:val="009E7884"/>
    <w:rsid w:val="009E788A"/>
    <w:rsid w:val="009E7A86"/>
    <w:rsid w:val="009F0988"/>
    <w:rsid w:val="009F0E08"/>
    <w:rsid w:val="009F1A7A"/>
    <w:rsid w:val="009F3D40"/>
    <w:rsid w:val="009F50E5"/>
    <w:rsid w:val="009F5138"/>
    <w:rsid w:val="00A01F90"/>
    <w:rsid w:val="00A01FB1"/>
    <w:rsid w:val="00A05986"/>
    <w:rsid w:val="00A079AE"/>
    <w:rsid w:val="00A148FA"/>
    <w:rsid w:val="00A1763D"/>
    <w:rsid w:val="00A17CEC"/>
    <w:rsid w:val="00A22C5C"/>
    <w:rsid w:val="00A2397A"/>
    <w:rsid w:val="00A26188"/>
    <w:rsid w:val="00A26CBB"/>
    <w:rsid w:val="00A27874"/>
    <w:rsid w:val="00A27EF0"/>
    <w:rsid w:val="00A32690"/>
    <w:rsid w:val="00A41EA7"/>
    <w:rsid w:val="00A42361"/>
    <w:rsid w:val="00A50B20"/>
    <w:rsid w:val="00A51390"/>
    <w:rsid w:val="00A5307E"/>
    <w:rsid w:val="00A57926"/>
    <w:rsid w:val="00A57FEF"/>
    <w:rsid w:val="00A60D13"/>
    <w:rsid w:val="00A6261E"/>
    <w:rsid w:val="00A631BE"/>
    <w:rsid w:val="00A67FDB"/>
    <w:rsid w:val="00A7223D"/>
    <w:rsid w:val="00A72745"/>
    <w:rsid w:val="00A75CE8"/>
    <w:rsid w:val="00A763DB"/>
    <w:rsid w:val="00A765E8"/>
    <w:rsid w:val="00A76EFC"/>
    <w:rsid w:val="00A775B5"/>
    <w:rsid w:val="00A8393B"/>
    <w:rsid w:val="00A86119"/>
    <w:rsid w:val="00A87D50"/>
    <w:rsid w:val="00A91010"/>
    <w:rsid w:val="00A9128A"/>
    <w:rsid w:val="00A92092"/>
    <w:rsid w:val="00A97F29"/>
    <w:rsid w:val="00AA37AF"/>
    <w:rsid w:val="00AA573E"/>
    <w:rsid w:val="00AA69BD"/>
    <w:rsid w:val="00AA6CD6"/>
    <w:rsid w:val="00AA702E"/>
    <w:rsid w:val="00AA76E9"/>
    <w:rsid w:val="00AA7D26"/>
    <w:rsid w:val="00AB0964"/>
    <w:rsid w:val="00AB2478"/>
    <w:rsid w:val="00AB5011"/>
    <w:rsid w:val="00AB7E12"/>
    <w:rsid w:val="00AC198B"/>
    <w:rsid w:val="00AC40CA"/>
    <w:rsid w:val="00AC7171"/>
    <w:rsid w:val="00AC7368"/>
    <w:rsid w:val="00AD0278"/>
    <w:rsid w:val="00AD16B9"/>
    <w:rsid w:val="00AD463C"/>
    <w:rsid w:val="00AD778C"/>
    <w:rsid w:val="00AE2330"/>
    <w:rsid w:val="00AE2F21"/>
    <w:rsid w:val="00AE377D"/>
    <w:rsid w:val="00AE6A1A"/>
    <w:rsid w:val="00AF0EBA"/>
    <w:rsid w:val="00AF1C95"/>
    <w:rsid w:val="00AF2DB2"/>
    <w:rsid w:val="00AF3763"/>
    <w:rsid w:val="00AF54B1"/>
    <w:rsid w:val="00AF6DB1"/>
    <w:rsid w:val="00B02C8A"/>
    <w:rsid w:val="00B042AC"/>
    <w:rsid w:val="00B04627"/>
    <w:rsid w:val="00B06358"/>
    <w:rsid w:val="00B06F4D"/>
    <w:rsid w:val="00B0733E"/>
    <w:rsid w:val="00B076BF"/>
    <w:rsid w:val="00B11DB0"/>
    <w:rsid w:val="00B16482"/>
    <w:rsid w:val="00B16FE9"/>
    <w:rsid w:val="00B17FBD"/>
    <w:rsid w:val="00B21264"/>
    <w:rsid w:val="00B315A6"/>
    <w:rsid w:val="00B31813"/>
    <w:rsid w:val="00B33365"/>
    <w:rsid w:val="00B33B78"/>
    <w:rsid w:val="00B40386"/>
    <w:rsid w:val="00B41051"/>
    <w:rsid w:val="00B4352E"/>
    <w:rsid w:val="00B445E8"/>
    <w:rsid w:val="00B4581C"/>
    <w:rsid w:val="00B46538"/>
    <w:rsid w:val="00B5043A"/>
    <w:rsid w:val="00B516DB"/>
    <w:rsid w:val="00B53051"/>
    <w:rsid w:val="00B57B36"/>
    <w:rsid w:val="00B57E6F"/>
    <w:rsid w:val="00B608F2"/>
    <w:rsid w:val="00B61908"/>
    <w:rsid w:val="00B63719"/>
    <w:rsid w:val="00B70ED5"/>
    <w:rsid w:val="00B71825"/>
    <w:rsid w:val="00B73844"/>
    <w:rsid w:val="00B8686D"/>
    <w:rsid w:val="00B91015"/>
    <w:rsid w:val="00B91612"/>
    <w:rsid w:val="00B93F69"/>
    <w:rsid w:val="00B948F6"/>
    <w:rsid w:val="00B97F41"/>
    <w:rsid w:val="00BA79B7"/>
    <w:rsid w:val="00BB0DC4"/>
    <w:rsid w:val="00BB1DDC"/>
    <w:rsid w:val="00BB5B63"/>
    <w:rsid w:val="00BC0FBB"/>
    <w:rsid w:val="00BC2F74"/>
    <w:rsid w:val="00BC30C9"/>
    <w:rsid w:val="00BC3DDA"/>
    <w:rsid w:val="00BC4FB5"/>
    <w:rsid w:val="00BC550D"/>
    <w:rsid w:val="00BC6ECD"/>
    <w:rsid w:val="00BD077D"/>
    <w:rsid w:val="00BD1498"/>
    <w:rsid w:val="00BD2F73"/>
    <w:rsid w:val="00BE122C"/>
    <w:rsid w:val="00BE383B"/>
    <w:rsid w:val="00BE3E58"/>
    <w:rsid w:val="00BE4EF5"/>
    <w:rsid w:val="00BE71CF"/>
    <w:rsid w:val="00BF123E"/>
    <w:rsid w:val="00BF1551"/>
    <w:rsid w:val="00BF1D10"/>
    <w:rsid w:val="00BF29F6"/>
    <w:rsid w:val="00BF4032"/>
    <w:rsid w:val="00BF5426"/>
    <w:rsid w:val="00BF62F4"/>
    <w:rsid w:val="00BF69D4"/>
    <w:rsid w:val="00BF6DF8"/>
    <w:rsid w:val="00BF745E"/>
    <w:rsid w:val="00C01616"/>
    <w:rsid w:val="00C0162B"/>
    <w:rsid w:val="00C0526A"/>
    <w:rsid w:val="00C06579"/>
    <w:rsid w:val="00C068ED"/>
    <w:rsid w:val="00C073F4"/>
    <w:rsid w:val="00C16B01"/>
    <w:rsid w:val="00C16EB0"/>
    <w:rsid w:val="00C179BA"/>
    <w:rsid w:val="00C208E9"/>
    <w:rsid w:val="00C22E0C"/>
    <w:rsid w:val="00C2326B"/>
    <w:rsid w:val="00C25102"/>
    <w:rsid w:val="00C25968"/>
    <w:rsid w:val="00C259FD"/>
    <w:rsid w:val="00C25DA9"/>
    <w:rsid w:val="00C26095"/>
    <w:rsid w:val="00C31024"/>
    <w:rsid w:val="00C33767"/>
    <w:rsid w:val="00C345B1"/>
    <w:rsid w:val="00C348D1"/>
    <w:rsid w:val="00C3596D"/>
    <w:rsid w:val="00C36B4D"/>
    <w:rsid w:val="00C40142"/>
    <w:rsid w:val="00C44B20"/>
    <w:rsid w:val="00C47602"/>
    <w:rsid w:val="00C47A0C"/>
    <w:rsid w:val="00C5002B"/>
    <w:rsid w:val="00C52C3C"/>
    <w:rsid w:val="00C57182"/>
    <w:rsid w:val="00C57863"/>
    <w:rsid w:val="00C6107C"/>
    <w:rsid w:val="00C6174E"/>
    <w:rsid w:val="00C62908"/>
    <w:rsid w:val="00C6293C"/>
    <w:rsid w:val="00C62F4D"/>
    <w:rsid w:val="00C63AD6"/>
    <w:rsid w:val="00C640AF"/>
    <w:rsid w:val="00C641DD"/>
    <w:rsid w:val="00C64516"/>
    <w:rsid w:val="00C655FD"/>
    <w:rsid w:val="00C658F9"/>
    <w:rsid w:val="00C7084D"/>
    <w:rsid w:val="00C75407"/>
    <w:rsid w:val="00C75E70"/>
    <w:rsid w:val="00C841C6"/>
    <w:rsid w:val="00C85E7F"/>
    <w:rsid w:val="00C870A8"/>
    <w:rsid w:val="00C87BB2"/>
    <w:rsid w:val="00C91DEB"/>
    <w:rsid w:val="00C925BC"/>
    <w:rsid w:val="00C93CC5"/>
    <w:rsid w:val="00C93DF4"/>
    <w:rsid w:val="00C94434"/>
    <w:rsid w:val="00C94B7F"/>
    <w:rsid w:val="00C96025"/>
    <w:rsid w:val="00CA0D75"/>
    <w:rsid w:val="00CA12A6"/>
    <w:rsid w:val="00CA1522"/>
    <w:rsid w:val="00CA1C95"/>
    <w:rsid w:val="00CA5A9C"/>
    <w:rsid w:val="00CA6339"/>
    <w:rsid w:val="00CA69AE"/>
    <w:rsid w:val="00CB009C"/>
    <w:rsid w:val="00CB0364"/>
    <w:rsid w:val="00CB464F"/>
    <w:rsid w:val="00CB617D"/>
    <w:rsid w:val="00CB729F"/>
    <w:rsid w:val="00CB76E1"/>
    <w:rsid w:val="00CC0204"/>
    <w:rsid w:val="00CC0DAF"/>
    <w:rsid w:val="00CC126E"/>
    <w:rsid w:val="00CC2E9D"/>
    <w:rsid w:val="00CC38D7"/>
    <w:rsid w:val="00CC4C20"/>
    <w:rsid w:val="00CC4EA3"/>
    <w:rsid w:val="00CC51AE"/>
    <w:rsid w:val="00CC5819"/>
    <w:rsid w:val="00CC5E99"/>
    <w:rsid w:val="00CD00C2"/>
    <w:rsid w:val="00CD06F5"/>
    <w:rsid w:val="00CD0DDC"/>
    <w:rsid w:val="00CD1C6A"/>
    <w:rsid w:val="00CD1CD9"/>
    <w:rsid w:val="00CD3517"/>
    <w:rsid w:val="00CD5403"/>
    <w:rsid w:val="00CD5FE2"/>
    <w:rsid w:val="00CD6BC5"/>
    <w:rsid w:val="00CD779E"/>
    <w:rsid w:val="00CE0DDC"/>
    <w:rsid w:val="00CE4CF2"/>
    <w:rsid w:val="00CE5414"/>
    <w:rsid w:val="00CE5968"/>
    <w:rsid w:val="00CE59BF"/>
    <w:rsid w:val="00CE62E0"/>
    <w:rsid w:val="00CE6702"/>
    <w:rsid w:val="00CE7C68"/>
    <w:rsid w:val="00CE7C7D"/>
    <w:rsid w:val="00CF389F"/>
    <w:rsid w:val="00CF3E1C"/>
    <w:rsid w:val="00CF6ACD"/>
    <w:rsid w:val="00D00DD8"/>
    <w:rsid w:val="00D02B4C"/>
    <w:rsid w:val="00D040C4"/>
    <w:rsid w:val="00D04AF6"/>
    <w:rsid w:val="00D12F1E"/>
    <w:rsid w:val="00D15327"/>
    <w:rsid w:val="00D15FFF"/>
    <w:rsid w:val="00D20AD1"/>
    <w:rsid w:val="00D243F1"/>
    <w:rsid w:val="00D24586"/>
    <w:rsid w:val="00D2582C"/>
    <w:rsid w:val="00D317B1"/>
    <w:rsid w:val="00D347EE"/>
    <w:rsid w:val="00D35789"/>
    <w:rsid w:val="00D424DA"/>
    <w:rsid w:val="00D43513"/>
    <w:rsid w:val="00D44482"/>
    <w:rsid w:val="00D459A2"/>
    <w:rsid w:val="00D46B7E"/>
    <w:rsid w:val="00D46D37"/>
    <w:rsid w:val="00D47276"/>
    <w:rsid w:val="00D476B5"/>
    <w:rsid w:val="00D476C4"/>
    <w:rsid w:val="00D47E97"/>
    <w:rsid w:val="00D50B76"/>
    <w:rsid w:val="00D52EBF"/>
    <w:rsid w:val="00D57C84"/>
    <w:rsid w:val="00D6057D"/>
    <w:rsid w:val="00D60782"/>
    <w:rsid w:val="00D6234D"/>
    <w:rsid w:val="00D62456"/>
    <w:rsid w:val="00D651A7"/>
    <w:rsid w:val="00D65D74"/>
    <w:rsid w:val="00D6648C"/>
    <w:rsid w:val="00D70B05"/>
    <w:rsid w:val="00D71640"/>
    <w:rsid w:val="00D71FD4"/>
    <w:rsid w:val="00D836C5"/>
    <w:rsid w:val="00D84576"/>
    <w:rsid w:val="00D8688E"/>
    <w:rsid w:val="00D8743E"/>
    <w:rsid w:val="00D91459"/>
    <w:rsid w:val="00D941B5"/>
    <w:rsid w:val="00D9536D"/>
    <w:rsid w:val="00DA1399"/>
    <w:rsid w:val="00DA24C6"/>
    <w:rsid w:val="00DA4D7B"/>
    <w:rsid w:val="00DB60F1"/>
    <w:rsid w:val="00DB6EAB"/>
    <w:rsid w:val="00DC0415"/>
    <w:rsid w:val="00DC1452"/>
    <w:rsid w:val="00DC1BBC"/>
    <w:rsid w:val="00DC28CB"/>
    <w:rsid w:val="00DC3787"/>
    <w:rsid w:val="00DC697F"/>
    <w:rsid w:val="00DD0D2E"/>
    <w:rsid w:val="00DD116A"/>
    <w:rsid w:val="00DD271C"/>
    <w:rsid w:val="00DD2722"/>
    <w:rsid w:val="00DD56DA"/>
    <w:rsid w:val="00DE264A"/>
    <w:rsid w:val="00DE3F45"/>
    <w:rsid w:val="00DE5F47"/>
    <w:rsid w:val="00DF1A5D"/>
    <w:rsid w:val="00DF2291"/>
    <w:rsid w:val="00DF2FE6"/>
    <w:rsid w:val="00DF5072"/>
    <w:rsid w:val="00DF6002"/>
    <w:rsid w:val="00DF608D"/>
    <w:rsid w:val="00DF7BAE"/>
    <w:rsid w:val="00DF7CA1"/>
    <w:rsid w:val="00E02D18"/>
    <w:rsid w:val="00E041E7"/>
    <w:rsid w:val="00E0732B"/>
    <w:rsid w:val="00E10508"/>
    <w:rsid w:val="00E12AD5"/>
    <w:rsid w:val="00E155FC"/>
    <w:rsid w:val="00E16D43"/>
    <w:rsid w:val="00E20501"/>
    <w:rsid w:val="00E2102D"/>
    <w:rsid w:val="00E21C61"/>
    <w:rsid w:val="00E23CA1"/>
    <w:rsid w:val="00E26D70"/>
    <w:rsid w:val="00E27721"/>
    <w:rsid w:val="00E409A8"/>
    <w:rsid w:val="00E40B57"/>
    <w:rsid w:val="00E414E2"/>
    <w:rsid w:val="00E45A9F"/>
    <w:rsid w:val="00E47CDE"/>
    <w:rsid w:val="00E47D61"/>
    <w:rsid w:val="00E50C12"/>
    <w:rsid w:val="00E5448F"/>
    <w:rsid w:val="00E55462"/>
    <w:rsid w:val="00E56463"/>
    <w:rsid w:val="00E56C48"/>
    <w:rsid w:val="00E56C76"/>
    <w:rsid w:val="00E622A8"/>
    <w:rsid w:val="00E6427F"/>
    <w:rsid w:val="00E65B91"/>
    <w:rsid w:val="00E66CE3"/>
    <w:rsid w:val="00E7209D"/>
    <w:rsid w:val="00E72EAD"/>
    <w:rsid w:val="00E76199"/>
    <w:rsid w:val="00E77223"/>
    <w:rsid w:val="00E77285"/>
    <w:rsid w:val="00E836E2"/>
    <w:rsid w:val="00E8528B"/>
    <w:rsid w:val="00E85B94"/>
    <w:rsid w:val="00E92E2C"/>
    <w:rsid w:val="00E960C4"/>
    <w:rsid w:val="00E978D0"/>
    <w:rsid w:val="00E97AE3"/>
    <w:rsid w:val="00EA0797"/>
    <w:rsid w:val="00EA15B2"/>
    <w:rsid w:val="00EA3EF9"/>
    <w:rsid w:val="00EA4478"/>
    <w:rsid w:val="00EA4613"/>
    <w:rsid w:val="00EA4AE5"/>
    <w:rsid w:val="00EA7F91"/>
    <w:rsid w:val="00EB1523"/>
    <w:rsid w:val="00EB2D87"/>
    <w:rsid w:val="00EB44B5"/>
    <w:rsid w:val="00EB4501"/>
    <w:rsid w:val="00EB4D09"/>
    <w:rsid w:val="00EB6B13"/>
    <w:rsid w:val="00EC0C48"/>
    <w:rsid w:val="00EC0E49"/>
    <w:rsid w:val="00EC101F"/>
    <w:rsid w:val="00EC1D9F"/>
    <w:rsid w:val="00EC2F28"/>
    <w:rsid w:val="00EC3216"/>
    <w:rsid w:val="00EC5259"/>
    <w:rsid w:val="00EC622A"/>
    <w:rsid w:val="00ED100D"/>
    <w:rsid w:val="00ED14BF"/>
    <w:rsid w:val="00ED27BF"/>
    <w:rsid w:val="00ED2D38"/>
    <w:rsid w:val="00ED5778"/>
    <w:rsid w:val="00ED6B1D"/>
    <w:rsid w:val="00ED7C9F"/>
    <w:rsid w:val="00EE0131"/>
    <w:rsid w:val="00EE01DB"/>
    <w:rsid w:val="00EE17B0"/>
    <w:rsid w:val="00EE2AD0"/>
    <w:rsid w:val="00EE2F43"/>
    <w:rsid w:val="00EE4D78"/>
    <w:rsid w:val="00EE79EB"/>
    <w:rsid w:val="00EF005A"/>
    <w:rsid w:val="00EF06D9"/>
    <w:rsid w:val="00EF0982"/>
    <w:rsid w:val="00EF1F4C"/>
    <w:rsid w:val="00EF20B2"/>
    <w:rsid w:val="00EF2278"/>
    <w:rsid w:val="00EF60A2"/>
    <w:rsid w:val="00EF7DD2"/>
    <w:rsid w:val="00F07696"/>
    <w:rsid w:val="00F12659"/>
    <w:rsid w:val="00F126A5"/>
    <w:rsid w:val="00F127F8"/>
    <w:rsid w:val="00F1465B"/>
    <w:rsid w:val="00F2247B"/>
    <w:rsid w:val="00F22CFC"/>
    <w:rsid w:val="00F23AD4"/>
    <w:rsid w:val="00F3049E"/>
    <w:rsid w:val="00F30C64"/>
    <w:rsid w:val="00F31560"/>
    <w:rsid w:val="00F32BA2"/>
    <w:rsid w:val="00F32CDB"/>
    <w:rsid w:val="00F3348F"/>
    <w:rsid w:val="00F35239"/>
    <w:rsid w:val="00F36967"/>
    <w:rsid w:val="00F37280"/>
    <w:rsid w:val="00F41EE4"/>
    <w:rsid w:val="00F41F2A"/>
    <w:rsid w:val="00F43570"/>
    <w:rsid w:val="00F4384D"/>
    <w:rsid w:val="00F4579A"/>
    <w:rsid w:val="00F516CE"/>
    <w:rsid w:val="00F52143"/>
    <w:rsid w:val="00F565FE"/>
    <w:rsid w:val="00F5729B"/>
    <w:rsid w:val="00F57A43"/>
    <w:rsid w:val="00F6013F"/>
    <w:rsid w:val="00F60376"/>
    <w:rsid w:val="00F63A70"/>
    <w:rsid w:val="00F63D8C"/>
    <w:rsid w:val="00F66087"/>
    <w:rsid w:val="00F72034"/>
    <w:rsid w:val="00F72E7D"/>
    <w:rsid w:val="00F72E8A"/>
    <w:rsid w:val="00F734B5"/>
    <w:rsid w:val="00F7432A"/>
    <w:rsid w:val="00F75081"/>
    <w:rsid w:val="00F7534E"/>
    <w:rsid w:val="00F8036B"/>
    <w:rsid w:val="00F804E2"/>
    <w:rsid w:val="00F84AFB"/>
    <w:rsid w:val="00F8726B"/>
    <w:rsid w:val="00F90CB1"/>
    <w:rsid w:val="00F9309C"/>
    <w:rsid w:val="00F93EDF"/>
    <w:rsid w:val="00F95297"/>
    <w:rsid w:val="00F96332"/>
    <w:rsid w:val="00F970CD"/>
    <w:rsid w:val="00F97D17"/>
    <w:rsid w:val="00FA0634"/>
    <w:rsid w:val="00FA0EB8"/>
    <w:rsid w:val="00FA1802"/>
    <w:rsid w:val="00FA21D0"/>
    <w:rsid w:val="00FA2405"/>
    <w:rsid w:val="00FA2D65"/>
    <w:rsid w:val="00FA37C1"/>
    <w:rsid w:val="00FA3E2F"/>
    <w:rsid w:val="00FA5F5F"/>
    <w:rsid w:val="00FB028B"/>
    <w:rsid w:val="00FB06D5"/>
    <w:rsid w:val="00FB3551"/>
    <w:rsid w:val="00FB730C"/>
    <w:rsid w:val="00FB74D5"/>
    <w:rsid w:val="00FC1D1B"/>
    <w:rsid w:val="00FC2516"/>
    <w:rsid w:val="00FC2695"/>
    <w:rsid w:val="00FC2E83"/>
    <w:rsid w:val="00FC3E03"/>
    <w:rsid w:val="00FC3FC1"/>
    <w:rsid w:val="00FC3FFE"/>
    <w:rsid w:val="00FC46F4"/>
    <w:rsid w:val="00FC5D60"/>
    <w:rsid w:val="00FD1598"/>
    <w:rsid w:val="00FD2145"/>
    <w:rsid w:val="00FD3936"/>
    <w:rsid w:val="00FD5A2A"/>
    <w:rsid w:val="00FE36AC"/>
    <w:rsid w:val="00FE7F3C"/>
    <w:rsid w:val="00FF2B62"/>
    <w:rsid w:val="00FF5D1F"/>
    <w:rsid w:val="00FF6F37"/>
    <w:rsid w:val="02C07521"/>
    <w:rsid w:val="041E86CB"/>
    <w:rsid w:val="04CCEB98"/>
    <w:rsid w:val="0554BA68"/>
    <w:rsid w:val="0A1A2D96"/>
    <w:rsid w:val="10EEE783"/>
    <w:rsid w:val="15380F14"/>
    <w:rsid w:val="1821239E"/>
    <w:rsid w:val="1FB57AB4"/>
    <w:rsid w:val="224FF1D2"/>
    <w:rsid w:val="238086F6"/>
    <w:rsid w:val="2544D2A5"/>
    <w:rsid w:val="2837C6EB"/>
    <w:rsid w:val="283AF2AB"/>
    <w:rsid w:val="2AA58F21"/>
    <w:rsid w:val="2C24B34E"/>
    <w:rsid w:val="2E0BFC28"/>
    <w:rsid w:val="2EB3187F"/>
    <w:rsid w:val="3347325C"/>
    <w:rsid w:val="33DA107C"/>
    <w:rsid w:val="379094AC"/>
    <w:rsid w:val="3DD051E3"/>
    <w:rsid w:val="3E4F8E86"/>
    <w:rsid w:val="428544B2"/>
    <w:rsid w:val="4385910A"/>
    <w:rsid w:val="43A827C1"/>
    <w:rsid w:val="476BEC8C"/>
    <w:rsid w:val="4AAFE8FA"/>
    <w:rsid w:val="5223BAF6"/>
    <w:rsid w:val="572482B1"/>
    <w:rsid w:val="62521C40"/>
    <w:rsid w:val="6306ED63"/>
    <w:rsid w:val="64D0D622"/>
    <w:rsid w:val="651F8F31"/>
    <w:rsid w:val="6575C2C0"/>
    <w:rsid w:val="67951B29"/>
    <w:rsid w:val="6A21A725"/>
    <w:rsid w:val="6C86A9FD"/>
    <w:rsid w:val="6FEB26FD"/>
    <w:rsid w:val="72D06143"/>
    <w:rsid w:val="737A0D0A"/>
    <w:rsid w:val="754DEA40"/>
    <w:rsid w:val="78F69EBD"/>
    <w:rsid w:val="7C2B1FDF"/>
    <w:rsid w:val="7E71B38A"/>
    <w:rsid w:val="7FE02F7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AC517394-543F-4DE6-A4AF-713F9306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
    <w:name w:val="E-mail Signature"/>
    <w:basedOn w:val="Normal"/>
    <w:link w:val="FirmadecorreoCar"/>
    <w:uiPriority w:val="99"/>
    <w:semiHidden/>
    <w:unhideWhenUsed/>
    <w:rsid w:val="0003148D"/>
    <w:pPr>
      <w:spacing w:line="240" w:lineRule="auto"/>
    </w:pPr>
  </w:style>
  <w:style w:type="character" w:customStyle="1" w:styleId="FirmadecorreoCar">
    <w:name w:val="Firma de correo Car"/>
    <w:basedOn w:val="Fuentedeprrafopredeter"/>
    <w:link w:val="Firmadecorre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customStyle="1" w:styleId="normaltextrun">
    <w:name w:val="normaltextrun"/>
    <w:basedOn w:val="Fuentedeprrafopredeter"/>
    <w:rsid w:val="00E414E2"/>
  </w:style>
  <w:style w:type="character" w:customStyle="1" w:styleId="eop">
    <w:name w:val="eop"/>
    <w:basedOn w:val="Fuentedeprrafopredeter"/>
    <w:rsid w:val="00E414E2"/>
  </w:style>
  <w:style w:type="character" w:styleId="Mencinsinresolver">
    <w:name w:val="Unresolved Mention"/>
    <w:basedOn w:val="Fuentedeprrafopredeter"/>
    <w:uiPriority w:val="99"/>
    <w:semiHidden/>
    <w:unhideWhenUsed/>
    <w:rsid w:val="007018C9"/>
    <w:rPr>
      <w:color w:val="605E5C"/>
      <w:shd w:val="clear" w:color="auto" w:fill="E1DFDD"/>
    </w:rPr>
  </w:style>
  <w:style w:type="paragraph" w:styleId="Revisin">
    <w:name w:val="Revision"/>
    <w:hidden/>
    <w:uiPriority w:val="99"/>
    <w:semiHidden/>
    <w:rsid w:val="000B76E9"/>
    <w:pPr>
      <w:spacing w:after="0" w:line="240" w:lineRule="auto"/>
    </w:pPr>
    <w:rPr>
      <w:rFonts w:ascii="Arial" w:eastAsia="Times New Roman" w:hAnsi="Arial" w:cs="Times New Roman"/>
      <w:sz w:val="18"/>
      <w:szCs w:val="20"/>
      <w:lang w:val="en-GB"/>
    </w:rPr>
  </w:style>
  <w:style w:type="paragraph" w:styleId="Sinespaciado">
    <w:name w:val="No Spacing"/>
    <w:uiPriority w:val="1"/>
    <w:qFormat/>
    <w:rsid w:val="007C1A0C"/>
    <w:pPr>
      <w:spacing w:after="0" w:line="240" w:lineRule="auto"/>
    </w:pPr>
    <w:rPr>
      <w:kern w:val="2"/>
      <w:lang w:val="es-C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45822">
      <w:bodyDiv w:val="1"/>
      <w:marLeft w:val="0"/>
      <w:marRight w:val="0"/>
      <w:marTop w:val="0"/>
      <w:marBottom w:val="0"/>
      <w:divBdr>
        <w:top w:val="none" w:sz="0" w:space="0" w:color="auto"/>
        <w:left w:val="none" w:sz="0" w:space="0" w:color="auto"/>
        <w:bottom w:val="none" w:sz="0" w:space="0" w:color="auto"/>
        <w:right w:val="none" w:sz="0" w:space="0" w:color="auto"/>
      </w:divBdr>
      <w:divsChild>
        <w:div w:id="131675820">
          <w:marLeft w:val="0"/>
          <w:marRight w:val="0"/>
          <w:marTop w:val="120"/>
          <w:marBottom w:val="120"/>
          <w:divBdr>
            <w:top w:val="none" w:sz="0" w:space="0" w:color="auto"/>
            <w:left w:val="none" w:sz="0" w:space="0" w:color="auto"/>
            <w:bottom w:val="none" w:sz="0" w:space="0" w:color="auto"/>
            <w:right w:val="none" w:sz="0" w:space="0" w:color="auto"/>
          </w:divBdr>
        </w:div>
      </w:divsChild>
    </w:div>
    <w:div w:id="675425791">
      <w:bodyDiv w:val="1"/>
      <w:marLeft w:val="0"/>
      <w:marRight w:val="0"/>
      <w:marTop w:val="0"/>
      <w:marBottom w:val="0"/>
      <w:divBdr>
        <w:top w:val="none" w:sz="0" w:space="0" w:color="auto"/>
        <w:left w:val="none" w:sz="0" w:space="0" w:color="auto"/>
        <w:bottom w:val="none" w:sz="0" w:space="0" w:color="auto"/>
        <w:right w:val="none" w:sz="0" w:space="0" w:color="auto"/>
      </w:divBdr>
      <w:divsChild>
        <w:div w:id="1304431028">
          <w:marLeft w:val="0"/>
          <w:marRight w:val="0"/>
          <w:marTop w:val="0"/>
          <w:marBottom w:val="0"/>
          <w:divBdr>
            <w:top w:val="none" w:sz="0" w:space="0" w:color="auto"/>
            <w:left w:val="none" w:sz="0" w:space="0" w:color="auto"/>
            <w:bottom w:val="none" w:sz="0" w:space="0" w:color="auto"/>
            <w:right w:val="none" w:sz="0" w:space="0" w:color="auto"/>
          </w:divBdr>
        </w:div>
        <w:div w:id="1369718883">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2852">
      <w:bodyDiv w:val="1"/>
      <w:marLeft w:val="0"/>
      <w:marRight w:val="0"/>
      <w:marTop w:val="0"/>
      <w:marBottom w:val="0"/>
      <w:divBdr>
        <w:top w:val="none" w:sz="0" w:space="0" w:color="auto"/>
        <w:left w:val="none" w:sz="0" w:space="0" w:color="auto"/>
        <w:bottom w:val="none" w:sz="0" w:space="0" w:color="auto"/>
        <w:right w:val="none" w:sz="0" w:space="0" w:color="auto"/>
      </w:divBdr>
      <w:divsChild>
        <w:div w:id="82193335">
          <w:marLeft w:val="660"/>
          <w:marRight w:val="660"/>
          <w:marTop w:val="0"/>
          <w:marBottom w:val="360"/>
          <w:divBdr>
            <w:top w:val="none" w:sz="0" w:space="0" w:color="auto"/>
            <w:left w:val="none" w:sz="0" w:space="0" w:color="auto"/>
            <w:bottom w:val="none" w:sz="0" w:space="0" w:color="auto"/>
            <w:right w:val="none" w:sz="0" w:space="0" w:color="auto"/>
          </w:divBdr>
          <w:divsChild>
            <w:div w:id="588923929">
              <w:marLeft w:val="0"/>
              <w:marRight w:val="0"/>
              <w:marTop w:val="0"/>
              <w:marBottom w:val="0"/>
              <w:divBdr>
                <w:top w:val="none" w:sz="0" w:space="0" w:color="auto"/>
                <w:left w:val="none" w:sz="0" w:space="0" w:color="auto"/>
                <w:bottom w:val="none" w:sz="0" w:space="0" w:color="auto"/>
                <w:right w:val="none" w:sz="0" w:space="0" w:color="auto"/>
              </w:divBdr>
              <w:divsChild>
                <w:div w:id="1646818833">
                  <w:marLeft w:val="0"/>
                  <w:marRight w:val="0"/>
                  <w:marTop w:val="0"/>
                  <w:marBottom w:val="0"/>
                  <w:divBdr>
                    <w:top w:val="none" w:sz="0" w:space="0" w:color="auto"/>
                    <w:left w:val="none" w:sz="0" w:space="0" w:color="auto"/>
                    <w:bottom w:val="none" w:sz="0" w:space="0" w:color="auto"/>
                    <w:right w:val="none" w:sz="0" w:space="0" w:color="auto"/>
                  </w:divBdr>
                  <w:divsChild>
                    <w:div w:id="9273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2872">
      <w:bodyDiv w:val="1"/>
      <w:marLeft w:val="0"/>
      <w:marRight w:val="0"/>
      <w:marTop w:val="0"/>
      <w:marBottom w:val="0"/>
      <w:divBdr>
        <w:top w:val="none" w:sz="0" w:space="0" w:color="auto"/>
        <w:left w:val="none" w:sz="0" w:space="0" w:color="auto"/>
        <w:bottom w:val="none" w:sz="0" w:space="0" w:color="auto"/>
        <w:right w:val="none" w:sz="0" w:space="0" w:color="auto"/>
      </w:divBdr>
      <w:divsChild>
        <w:div w:id="1752197820">
          <w:marLeft w:val="0"/>
          <w:marRight w:val="0"/>
          <w:marTop w:val="120"/>
          <w:marBottom w:val="120"/>
          <w:divBdr>
            <w:top w:val="none" w:sz="0" w:space="0" w:color="auto"/>
            <w:left w:val="none" w:sz="0" w:space="0" w:color="auto"/>
            <w:bottom w:val="none" w:sz="0" w:space="0" w:color="auto"/>
            <w:right w:val="none" w:sz="0" w:space="0" w:color="auto"/>
          </w:divBdr>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62974976">
      <w:bodyDiv w:val="1"/>
      <w:marLeft w:val="0"/>
      <w:marRight w:val="0"/>
      <w:marTop w:val="0"/>
      <w:marBottom w:val="0"/>
      <w:divBdr>
        <w:top w:val="none" w:sz="0" w:space="0" w:color="auto"/>
        <w:left w:val="none" w:sz="0" w:space="0" w:color="auto"/>
        <w:bottom w:val="none" w:sz="0" w:space="0" w:color="auto"/>
        <w:right w:val="none" w:sz="0" w:space="0" w:color="auto"/>
      </w:divBdr>
      <w:divsChild>
        <w:div w:id="1641569445">
          <w:marLeft w:val="0"/>
          <w:marRight w:val="0"/>
          <w:marTop w:val="120"/>
          <w:marBottom w:val="12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54407546">
      <w:bodyDiv w:val="1"/>
      <w:marLeft w:val="0"/>
      <w:marRight w:val="0"/>
      <w:marTop w:val="0"/>
      <w:marBottom w:val="0"/>
      <w:divBdr>
        <w:top w:val="none" w:sz="0" w:space="0" w:color="auto"/>
        <w:left w:val="none" w:sz="0" w:space="0" w:color="auto"/>
        <w:bottom w:val="none" w:sz="0" w:space="0" w:color="auto"/>
        <w:right w:val="none" w:sz="0" w:space="0" w:color="auto"/>
      </w:divBdr>
      <w:divsChild>
        <w:div w:id="1999187009">
          <w:marLeft w:val="0"/>
          <w:marRight w:val="0"/>
          <w:marTop w:val="120"/>
          <w:marBottom w:val="120"/>
          <w:divBdr>
            <w:top w:val="none" w:sz="0" w:space="0" w:color="auto"/>
            <w:left w:val="none" w:sz="0" w:space="0" w:color="auto"/>
            <w:bottom w:val="none" w:sz="0" w:space="0" w:color="auto"/>
            <w:right w:val="none" w:sz="0" w:space="0" w:color="auto"/>
          </w:divBdr>
        </w:div>
        <w:div w:id="1352996622">
          <w:marLeft w:val="0"/>
          <w:marRight w:val="0"/>
          <w:marTop w:val="120"/>
          <w:marBottom w:val="120"/>
          <w:divBdr>
            <w:top w:val="none" w:sz="0" w:space="0" w:color="auto"/>
            <w:left w:val="none" w:sz="0" w:space="0" w:color="auto"/>
            <w:bottom w:val="none" w:sz="0" w:space="0" w:color="auto"/>
            <w:right w:val="none" w:sz="0" w:space="0" w:color="auto"/>
          </w:divBdr>
        </w:div>
        <w:div w:id="34936389">
          <w:marLeft w:val="0"/>
          <w:marRight w:val="0"/>
          <w:marTop w:val="120"/>
          <w:marBottom w:val="12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0915">
      <w:bodyDiv w:val="1"/>
      <w:marLeft w:val="0"/>
      <w:marRight w:val="0"/>
      <w:marTop w:val="0"/>
      <w:marBottom w:val="0"/>
      <w:divBdr>
        <w:top w:val="none" w:sz="0" w:space="0" w:color="auto"/>
        <w:left w:val="none" w:sz="0" w:space="0" w:color="auto"/>
        <w:bottom w:val="none" w:sz="0" w:space="0" w:color="auto"/>
        <w:right w:val="none" w:sz="0" w:space="0" w:color="auto"/>
      </w:divBdr>
      <w:divsChild>
        <w:div w:id="72242591">
          <w:marLeft w:val="0"/>
          <w:marRight w:val="0"/>
          <w:marTop w:val="120"/>
          <w:marBottom w:val="120"/>
          <w:divBdr>
            <w:top w:val="none" w:sz="0" w:space="0" w:color="auto"/>
            <w:left w:val="none" w:sz="0" w:space="0" w:color="auto"/>
            <w:bottom w:val="none" w:sz="0" w:space="0" w:color="auto"/>
            <w:right w:val="none" w:sz="0" w:space="0" w:color="auto"/>
          </w:divBdr>
        </w:div>
      </w:divsChild>
    </w:div>
    <w:div w:id="1761022198">
      <w:bodyDiv w:val="1"/>
      <w:marLeft w:val="0"/>
      <w:marRight w:val="0"/>
      <w:marTop w:val="0"/>
      <w:marBottom w:val="0"/>
      <w:divBdr>
        <w:top w:val="none" w:sz="0" w:space="0" w:color="auto"/>
        <w:left w:val="none" w:sz="0" w:space="0" w:color="auto"/>
        <w:bottom w:val="none" w:sz="0" w:space="0" w:color="auto"/>
        <w:right w:val="none" w:sz="0" w:space="0" w:color="auto"/>
      </w:divBdr>
    </w:div>
    <w:div w:id="1873108838">
      <w:bodyDiv w:val="1"/>
      <w:marLeft w:val="0"/>
      <w:marRight w:val="0"/>
      <w:marTop w:val="0"/>
      <w:marBottom w:val="0"/>
      <w:divBdr>
        <w:top w:val="none" w:sz="0" w:space="0" w:color="auto"/>
        <w:left w:val="none" w:sz="0" w:space="0" w:color="auto"/>
        <w:bottom w:val="none" w:sz="0" w:space="0" w:color="auto"/>
        <w:right w:val="none" w:sz="0" w:space="0" w:color="auto"/>
      </w:divBdr>
      <w:divsChild>
        <w:div w:id="650601465">
          <w:marLeft w:val="0"/>
          <w:marRight w:val="0"/>
          <w:marTop w:val="120"/>
          <w:marBottom w:val="120"/>
          <w:divBdr>
            <w:top w:val="none" w:sz="0" w:space="0" w:color="auto"/>
            <w:left w:val="none" w:sz="0" w:space="0" w:color="auto"/>
            <w:bottom w:val="none" w:sz="0" w:space="0" w:color="auto"/>
            <w:right w:val="none" w:sz="0" w:space="0" w:color="auto"/>
          </w:divBdr>
        </w:div>
      </w:divsChild>
    </w:div>
    <w:div w:id="1954096384">
      <w:bodyDiv w:val="1"/>
      <w:marLeft w:val="0"/>
      <w:marRight w:val="0"/>
      <w:marTop w:val="0"/>
      <w:marBottom w:val="0"/>
      <w:divBdr>
        <w:top w:val="none" w:sz="0" w:space="0" w:color="auto"/>
        <w:left w:val="none" w:sz="0" w:space="0" w:color="auto"/>
        <w:bottom w:val="none" w:sz="0" w:space="0" w:color="auto"/>
        <w:right w:val="none" w:sz="0" w:space="0" w:color="auto"/>
      </w:divBdr>
      <w:divsChild>
        <w:div w:id="373892999">
          <w:marLeft w:val="0"/>
          <w:marRight w:val="0"/>
          <w:marTop w:val="120"/>
          <w:marBottom w:val="120"/>
          <w:divBdr>
            <w:top w:val="none" w:sz="0" w:space="0" w:color="auto"/>
            <w:left w:val="none" w:sz="0" w:space="0" w:color="auto"/>
            <w:bottom w:val="none" w:sz="0" w:space="0" w:color="auto"/>
            <w:right w:val="none" w:sz="0" w:space="0" w:color="auto"/>
          </w:divBdr>
        </w:div>
      </w:divsChild>
    </w:div>
    <w:div w:id="2093695877">
      <w:bodyDiv w:val="1"/>
      <w:marLeft w:val="0"/>
      <w:marRight w:val="0"/>
      <w:marTop w:val="0"/>
      <w:marBottom w:val="0"/>
      <w:divBdr>
        <w:top w:val="none" w:sz="0" w:space="0" w:color="auto"/>
        <w:left w:val="none" w:sz="0" w:space="0" w:color="auto"/>
        <w:bottom w:val="none" w:sz="0" w:space="0" w:color="auto"/>
        <w:right w:val="none" w:sz="0" w:space="0" w:color="auto"/>
      </w:divBdr>
      <w:divsChild>
        <w:div w:id="1518156454">
          <w:marLeft w:val="0"/>
          <w:marRight w:val="0"/>
          <w:marTop w:val="120"/>
          <w:marBottom w:val="12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D69D450832304AA0A5F60816143CB6" ma:contentTypeVersion="17" ma:contentTypeDescription="Create a new document." ma:contentTypeScope="" ma:versionID="aea52884fe95bb90a1efcdd5f91526d2">
  <xsd:schema xmlns:xsd="http://www.w3.org/2001/XMLSchema" xmlns:xs="http://www.w3.org/2001/XMLSchema" xmlns:p="http://schemas.microsoft.com/office/2006/metadata/properties" xmlns:ns3="63c61dc5-437f-4fb5-99e1-7b8003654d7e" xmlns:ns4="36e7d4fb-5820-4780-8ff2-6dde3b3f1c30" targetNamespace="http://schemas.microsoft.com/office/2006/metadata/properties" ma:root="true" ma:fieldsID="743891a459a6594e0ab18fe40c651755" ns3:_="" ns4:_="">
    <xsd:import namespace="63c61dc5-437f-4fb5-99e1-7b8003654d7e"/>
    <xsd:import namespace="36e7d4fb-5820-4780-8ff2-6dde3b3f1c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61dc5-437f-4fb5-99e1-7b8003654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e7d4fb-5820-4780-8ff2-6dde3b3f1c3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3c61dc5-437f-4fb5-99e1-7b8003654d7e" xsi:nil="true"/>
  </documentManagement>
</p:properties>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2.xml><?xml version="1.0" encoding="utf-8"?>
<ds:datastoreItem xmlns:ds="http://schemas.openxmlformats.org/officeDocument/2006/customXml" ds:itemID="{B3AB4151-30B3-4198-A6AB-A624B7445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61dc5-437f-4fb5-99e1-7b8003654d7e"/>
    <ds:schemaRef ds:uri="36e7d4fb-5820-4780-8ff2-6dde3b3f1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1823EE-F410-40E1-AD11-3A1C96E88936}">
  <ds:schemaRefs>
    <ds:schemaRef ds:uri="http://schemas.microsoft.com/sharepoint/v3/contenttype/forms"/>
  </ds:schemaRefs>
</ds:datastoreItem>
</file>

<file path=customXml/itemProps4.xml><?xml version="1.0" encoding="utf-8"?>
<ds:datastoreItem xmlns:ds="http://schemas.openxmlformats.org/officeDocument/2006/customXml" ds:itemID="{18D8CC41-1A67-46EF-9707-DF56372279F1}">
  <ds:schemaRefs>
    <ds:schemaRef ds:uri="http://schemas.microsoft.com/office/2006/metadata/properties"/>
    <ds:schemaRef ds:uri="http://schemas.microsoft.com/office/infopath/2007/PartnerControls"/>
    <ds:schemaRef ds:uri="63c61dc5-437f-4fb5-99e1-7b8003654d7e"/>
  </ds:schemaRefs>
</ds:datastoreItem>
</file>

<file path=docMetadata/LabelInfo.xml><?xml version="1.0" encoding="utf-8"?>
<clbl:labelList xmlns:clbl="http://schemas.microsoft.com/office/2020/mipLabelMetadata">
  <clbl:label id="{aca51631-00fe-490d-91ab-163ef87260ee}" enabled="0" method="" siteId="{aca51631-00fe-490d-91ab-163ef87260ee}" removed="1"/>
</clbl:labelList>
</file>

<file path=docProps/app.xml><?xml version="1.0" encoding="utf-8"?>
<Properties xmlns="http://schemas.openxmlformats.org/officeDocument/2006/extended-properties" xmlns:vt="http://schemas.openxmlformats.org/officeDocument/2006/docPropsVTypes">
  <Template>Normal</Template>
  <TotalTime>16</TotalTime>
  <Pages>7</Pages>
  <Words>4084</Words>
  <Characters>22464</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Dipartimento CMIC - Politecnico di Milano</Company>
  <LinksUpToDate>false</LinksUpToDate>
  <CharactersWithSpaces>26496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Zahira Marilyn Gomez Becerra</cp:lastModifiedBy>
  <cp:revision>10</cp:revision>
  <cp:lastPrinted>2015-05-12T18:31:00Z</cp:lastPrinted>
  <dcterms:created xsi:type="dcterms:W3CDTF">2026-04-07T17:38:00Z</dcterms:created>
  <dcterms:modified xsi:type="dcterms:W3CDTF">2026-04-09T01:55:00Z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0x0101009FD69D450832304AA0A5F60816143CB6</vt:lpwstr>
  </property>
  <property fmtid="{D5CDD505-2E9C-101B-9397-08002B2CF9AE}" pid="5" name="GrammarlyDocumentId">
    <vt:lpwstr>8633f619-7dcc-446d-bc9e-849a83915919</vt:lpwstr>
  </property>
</Properties>
</file>