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5B614D8" w14:textId="411C9D78" w:rsidR="008F33F9" w:rsidRDefault="008F33F9" w:rsidP="008F33F9">
      <w:pPr>
        <w:pStyle w:val="CETTitle"/>
        <w:rPr>
          <w:lang w:val="en-US"/>
        </w:rPr>
      </w:pPr>
      <w:r>
        <w:t>Syngas Production from Biomass in a Fixed Bed Gasifier Using Aspen Plus</w:t>
      </w:r>
      <w:r>
        <w:rPr>
          <w:vertAlign w:val="superscript"/>
        </w:rPr>
        <w:t>TM</w:t>
      </w:r>
      <w:r>
        <w:t>: Modelling and Simulation</w:t>
      </w:r>
    </w:p>
    <w:p w14:paraId="04DDB564" w14:textId="48848243" w:rsidR="008F33F9" w:rsidRPr="008F33F9" w:rsidRDefault="008F33F9" w:rsidP="008F33F9">
      <w:pPr>
        <w:pStyle w:val="CETAuthors"/>
        <w:rPr>
          <w:lang w:val="es-ES"/>
        </w:rPr>
      </w:pPr>
      <w:r w:rsidRPr="008F33F9">
        <w:rPr>
          <w:lang w:val="es-ES"/>
        </w:rPr>
        <w:t>Yurany Camacho Ardila</w:t>
      </w:r>
      <w:r w:rsidRPr="004F5AEB">
        <w:rPr>
          <w:vertAlign w:val="superscript"/>
          <w:lang w:val="es-ES"/>
        </w:rPr>
        <w:t>a</w:t>
      </w:r>
      <w:r w:rsidRPr="008F33F9">
        <w:rPr>
          <w:lang w:val="es-ES"/>
        </w:rPr>
        <w:t>*; Jaiver Efren Jaimes Figueroa</w:t>
      </w:r>
      <w:r w:rsidRPr="004F5AEB">
        <w:rPr>
          <w:vertAlign w:val="superscript"/>
          <w:lang w:val="es-ES"/>
        </w:rPr>
        <w:t>b</w:t>
      </w:r>
      <w:r w:rsidRPr="008F33F9">
        <w:rPr>
          <w:lang w:val="es-ES"/>
        </w:rPr>
        <w:t>, Pablo Miguel Coha Vesga</w:t>
      </w:r>
      <w:r w:rsidRPr="004F5AEB">
        <w:rPr>
          <w:vertAlign w:val="superscript"/>
          <w:lang w:val="es-ES"/>
        </w:rPr>
        <w:t>c</w:t>
      </w:r>
    </w:p>
    <w:p w14:paraId="21E690EB" w14:textId="77777777" w:rsidR="008F33F9" w:rsidRPr="00655B55" w:rsidRDefault="008F33F9" w:rsidP="008F33F9">
      <w:pPr>
        <w:pStyle w:val="CETAddress"/>
        <w:rPr>
          <w:lang w:val="es-ES"/>
        </w:rPr>
      </w:pPr>
      <w:r w:rsidRPr="00F73289">
        <w:rPr>
          <w:sz w:val="20"/>
          <w:vertAlign w:val="superscript"/>
          <w:lang w:val="es-ES"/>
        </w:rPr>
        <w:t xml:space="preserve">a </w:t>
      </w:r>
      <w:r w:rsidRPr="00655B55">
        <w:rPr>
          <w:bCs/>
          <w:iCs/>
          <w:lang w:val="es-CO"/>
        </w:rPr>
        <w:t xml:space="preserve">School of Environmental Engineering, </w:t>
      </w:r>
      <w:r w:rsidRPr="00655B55">
        <w:rPr>
          <w:lang w:val="es-CO"/>
        </w:rPr>
        <w:t>Universidad Pedagógica y Tecnológica de Colombia, 150003, Tunja, Boyacá</w:t>
      </w:r>
    </w:p>
    <w:p w14:paraId="2552506E" w14:textId="77777777" w:rsidR="008F33F9" w:rsidRPr="00495F1E" w:rsidRDefault="008F33F9" w:rsidP="008F33F9">
      <w:pPr>
        <w:pStyle w:val="CETAddress"/>
        <w:rPr>
          <w:lang w:val="es-ES"/>
        </w:rPr>
      </w:pPr>
      <w:r w:rsidRPr="00655B55">
        <w:rPr>
          <w:vertAlign w:val="superscript"/>
          <w:lang w:val="en-US"/>
        </w:rPr>
        <w:t xml:space="preserve">b </w:t>
      </w:r>
      <w:r w:rsidRPr="00655B55">
        <w:rPr>
          <w:lang w:val="en-US"/>
        </w:rPr>
        <w:t xml:space="preserve">School of Chemical Engineering, Federal University of Maranhão, Av. do Portugueses, 1966. </w:t>
      </w:r>
      <w:r w:rsidRPr="00495F1E">
        <w:rPr>
          <w:lang w:val="es-ES"/>
        </w:rPr>
        <w:t>Cidade Universitária “Dom Delgado”, CEP 65080-805.São Luís-M, Brazil.</w:t>
      </w:r>
    </w:p>
    <w:p w14:paraId="61E44342" w14:textId="77777777" w:rsidR="008F33F9" w:rsidRPr="00495F1E" w:rsidRDefault="008F33F9" w:rsidP="008F33F9">
      <w:pPr>
        <w:pStyle w:val="CETAddress"/>
        <w:rPr>
          <w:lang w:val="es-ES"/>
        </w:rPr>
      </w:pPr>
      <w:r w:rsidRPr="00495F1E">
        <w:rPr>
          <w:vertAlign w:val="superscript"/>
          <w:lang w:val="es-ES"/>
        </w:rPr>
        <w:t>c</w:t>
      </w:r>
      <w:r w:rsidRPr="00495F1E">
        <w:rPr>
          <w:lang w:val="es-ES"/>
        </w:rPr>
        <w:t>School of Metallurgical Engineering, Universidad Pedagógica y Tecnológica de Colombia, 150003 Tunja, Boyacá, Colombia</w:t>
      </w:r>
      <w:r w:rsidRPr="00495F1E" w:rsidDel="00883ACF">
        <w:rPr>
          <w:lang w:val="es-ES"/>
        </w:rPr>
        <w:t xml:space="preserve"> </w:t>
      </w:r>
    </w:p>
    <w:p w14:paraId="0CF516C4" w14:textId="6372DF25" w:rsidR="008F33F9" w:rsidRPr="00A441ED" w:rsidRDefault="008F33F9" w:rsidP="008F33F9">
      <w:pPr>
        <w:pStyle w:val="CETemail"/>
        <w:rPr>
          <w:rFonts w:cstheme="minorHAnsi"/>
          <w:lang w:val="en-US"/>
        </w:rPr>
      </w:pPr>
      <w:r w:rsidRPr="00A441ED">
        <w:rPr>
          <w:rFonts w:cs="Arial"/>
          <w:sz w:val="18"/>
          <w:lang w:val="en-US"/>
        </w:rPr>
        <w:t>*</w:t>
      </w:r>
      <w:r w:rsidRPr="00A441ED">
        <w:rPr>
          <w:rFonts w:cs="Arial"/>
          <w:lang w:val="en-US"/>
        </w:rPr>
        <w:t>yurany.camacho01@uptc.edu.co</w:t>
      </w:r>
    </w:p>
    <w:p w14:paraId="139CF3A7" w14:textId="5725B5BA" w:rsidR="008F33F9" w:rsidRPr="00124262" w:rsidRDefault="008F33F9" w:rsidP="00E44A8F">
      <w:pPr>
        <w:pStyle w:val="CETBodytext"/>
        <w:rPr>
          <w:rFonts w:ascii="Times-Roman" w:hAnsi="Times-Roman" w:cs="Times-Roman"/>
        </w:rPr>
      </w:pPr>
      <w:r>
        <w:t xml:space="preserve">The production of biofuels from biomass offers an alternative to supply the limited reserves of petroleum. Currently, biomass is </w:t>
      </w:r>
      <w:r w:rsidR="0069691D">
        <w:t>utilized in various thermochemical processes, with gasification being a notable example</w:t>
      </w:r>
      <w:r>
        <w:t>. Gasification produces synthesis gas, a mixture mainly composed of CO, H</w:t>
      </w:r>
      <w:r w:rsidRPr="00F20E37">
        <w:rPr>
          <w:vertAlign w:val="subscript"/>
        </w:rPr>
        <w:t>2</w:t>
      </w:r>
      <w:r>
        <w:t>, and CO</w:t>
      </w:r>
      <w:r w:rsidRPr="00F20E37">
        <w:rPr>
          <w:vertAlign w:val="subscript"/>
        </w:rPr>
        <w:t>2</w:t>
      </w:r>
      <w:r>
        <w:t xml:space="preserve">. This gas is utilized to generate energy, various chemical products, and biofuels such as bioethanol. Using mathematical models and their computational simulation can help </w:t>
      </w:r>
      <w:r w:rsidR="00652D8E">
        <w:t xml:space="preserve">to </w:t>
      </w:r>
      <w:r>
        <w:t xml:space="preserve">evaluate the feasibility of this technology regarding operational conditions. This work aims to </w:t>
      </w:r>
      <w:r w:rsidR="00EE13BC">
        <w:t>simulate a fixed-bed gasifier (</w:t>
      </w:r>
      <w:r>
        <w:t>F</w:t>
      </w:r>
      <w:r w:rsidR="00EE13BC">
        <w:t>B</w:t>
      </w:r>
      <w:r>
        <w:t>) using elemental and proximate analysis, considering steady state, and employing the Aspen Plus™ simulator. The model accounts for several processes relevant to converting biomass into synthesis gas, including drying, pyrolysis, oxidation, reduction of CO</w:t>
      </w:r>
      <w:r w:rsidRPr="00F20E37">
        <w:rPr>
          <w:vertAlign w:val="subscript"/>
        </w:rPr>
        <w:t>2</w:t>
      </w:r>
      <w:r>
        <w:t>, H</w:t>
      </w:r>
      <w:r w:rsidRPr="00F20E37">
        <w:rPr>
          <w:vertAlign w:val="subscript"/>
        </w:rPr>
        <w:t>2</w:t>
      </w:r>
      <w:r>
        <w:t>O, and H</w:t>
      </w:r>
      <w:r w:rsidRPr="00F20E37">
        <w:rPr>
          <w:vertAlign w:val="subscript"/>
        </w:rPr>
        <w:t>2</w:t>
      </w:r>
      <w:r>
        <w:t xml:space="preserve"> with char, and tar cracking. The gasifier model is based on yields and chemical kinetics, using data from studies on char produced from sugarcane bagasse. Fourteen reactions </w:t>
      </w:r>
      <w:r w:rsidR="00053000">
        <w:t xml:space="preserve">were </w:t>
      </w:r>
      <w:r>
        <w:t xml:space="preserve">considered to represent the gasification process. The effects of the equivalence ratio (ER), steam injection, and air </w:t>
      </w:r>
      <w:r w:rsidRPr="00E5314D">
        <w:t>preheating on the composition of synthesis</w:t>
      </w:r>
      <w:r>
        <w:t xml:space="preserve"> gas were examined. It was observed that the gasification temperature increases nearly linearly with the air temperature</w:t>
      </w:r>
      <w:r w:rsidR="00053000">
        <w:t xml:space="preserve"> and that i</w:t>
      </w:r>
      <w:r>
        <w:t>ncreasing the ER reduces the amount of CH</w:t>
      </w:r>
      <w:r w:rsidRPr="00F20E37">
        <w:rPr>
          <w:vertAlign w:val="subscript"/>
        </w:rPr>
        <w:t>4</w:t>
      </w:r>
      <w:r>
        <w:t>. Low ER lead to higher CO levels compared to CO</w:t>
      </w:r>
      <w:r w:rsidRPr="00F20E37">
        <w:rPr>
          <w:vertAlign w:val="subscript"/>
        </w:rPr>
        <w:t>2</w:t>
      </w:r>
      <w:r>
        <w:t>. For ER values of 0.29-0.38, CO</w:t>
      </w:r>
      <w:r w:rsidRPr="00F20E37">
        <w:rPr>
          <w:vertAlign w:val="subscript"/>
        </w:rPr>
        <w:t>2</w:t>
      </w:r>
      <w:r>
        <w:t xml:space="preserve"> dominates the composition, with only slight changes in H</w:t>
      </w:r>
      <w:r w:rsidRPr="00F20E37">
        <w:rPr>
          <w:vertAlign w:val="subscript"/>
        </w:rPr>
        <w:t>2</w:t>
      </w:r>
      <w:r>
        <w:t>, unlike the other gases (CO, CO</w:t>
      </w:r>
      <w:r w:rsidRPr="00F20E37">
        <w:rPr>
          <w:vertAlign w:val="subscript"/>
        </w:rPr>
        <w:t>2</w:t>
      </w:r>
      <w:r>
        <w:t>, and CH</w:t>
      </w:r>
      <w:r w:rsidRPr="00495F1E">
        <w:rPr>
          <w:vertAlign w:val="subscript"/>
        </w:rPr>
        <w:t>4</w:t>
      </w:r>
      <w:r>
        <w:t>). High H</w:t>
      </w:r>
      <w:r w:rsidRPr="00F20E37">
        <w:rPr>
          <w:vertAlign w:val="subscript"/>
        </w:rPr>
        <w:t>2</w:t>
      </w:r>
      <w:r>
        <w:t xml:space="preserve"> levels are observed when the SB ratio for the LF reactor is varied; as this ratio increases, H</w:t>
      </w:r>
      <w:r w:rsidRPr="00F20E37">
        <w:rPr>
          <w:vertAlign w:val="subscript"/>
        </w:rPr>
        <w:t>2</w:t>
      </w:r>
      <w:r>
        <w:t xml:space="preserve"> and CO</w:t>
      </w:r>
      <w:r w:rsidRPr="00F20E37">
        <w:rPr>
          <w:vertAlign w:val="subscript"/>
        </w:rPr>
        <w:t>2</w:t>
      </w:r>
      <w:r>
        <w:t xml:space="preserve"> concentrations also rise, while CO levels decrease (SB values ≥ 1.75).</w:t>
      </w:r>
    </w:p>
    <w:p w14:paraId="073C1C46" w14:textId="77777777" w:rsidR="008F33F9" w:rsidRDefault="008F33F9" w:rsidP="008F33F9">
      <w:pPr>
        <w:autoSpaceDE w:val="0"/>
        <w:autoSpaceDN w:val="0"/>
        <w:adjustRightInd w:val="0"/>
        <w:spacing w:line="240" w:lineRule="auto"/>
        <w:rPr>
          <w:rFonts w:ascii="Times-Bold" w:hAnsi="Times-Bold" w:cs="Times-Bold"/>
          <w:b/>
          <w:bCs/>
          <w:sz w:val="24"/>
          <w:szCs w:val="24"/>
          <w:lang w:val="en-US"/>
        </w:rPr>
      </w:pPr>
    </w:p>
    <w:p w14:paraId="53F68058" w14:textId="77777777" w:rsidR="008F33F9" w:rsidRPr="00124262" w:rsidRDefault="008F33F9" w:rsidP="008F33F9">
      <w:pPr>
        <w:autoSpaceDE w:val="0"/>
        <w:autoSpaceDN w:val="0"/>
        <w:adjustRightInd w:val="0"/>
        <w:spacing w:line="240" w:lineRule="auto"/>
        <w:rPr>
          <w:rFonts w:ascii="Times-Bold" w:hAnsi="Times-Bold" w:cs="Times-Bold"/>
          <w:b/>
          <w:bCs/>
          <w:sz w:val="24"/>
          <w:szCs w:val="24"/>
          <w:lang w:val="en-US"/>
        </w:rPr>
      </w:pPr>
      <w:r w:rsidRPr="00267749">
        <w:rPr>
          <w:b/>
          <w:lang w:val="en-US"/>
        </w:rPr>
        <w:t>Keywords</w:t>
      </w:r>
      <w:r w:rsidRPr="00221D26">
        <w:rPr>
          <w:b/>
          <w:lang w:val="en-US"/>
        </w:rPr>
        <w:t>:</w:t>
      </w:r>
      <w:r w:rsidRPr="00221D26">
        <w:rPr>
          <w:lang w:val="en-US"/>
        </w:rPr>
        <w:t xml:space="preserve"> </w:t>
      </w:r>
      <w:r>
        <w:rPr>
          <w:lang w:val="en-US"/>
        </w:rPr>
        <w:t>biomass, Aspen Plus, biofuels, Syngas, Gasification</w:t>
      </w:r>
    </w:p>
    <w:p w14:paraId="1FB7F390" w14:textId="77777777" w:rsidR="008F33F9" w:rsidRPr="008F33F9" w:rsidRDefault="008F33F9" w:rsidP="008F33F9">
      <w:pPr>
        <w:pStyle w:val="CETListbullets"/>
        <w:rPr>
          <w:lang w:val="en-US"/>
        </w:rPr>
      </w:pPr>
    </w:p>
    <w:p w14:paraId="688BBF90" w14:textId="77777777" w:rsidR="00384DFF" w:rsidRPr="00EF3920" w:rsidRDefault="00384DFF" w:rsidP="00384DFF">
      <w:pPr>
        <w:pStyle w:val="CETHeading1"/>
      </w:pPr>
      <w:r w:rsidRPr="00EF3920">
        <w:t>Introduction</w:t>
      </w:r>
    </w:p>
    <w:p w14:paraId="5ABB8A9F" w14:textId="13F8906D" w:rsidR="001233C5" w:rsidRPr="005A3225" w:rsidRDefault="00A1651D" w:rsidP="009774E4">
      <w:pPr>
        <w:autoSpaceDE w:val="0"/>
        <w:autoSpaceDN w:val="0"/>
        <w:adjustRightInd w:val="0"/>
        <w:spacing w:line="240" w:lineRule="auto"/>
      </w:pPr>
      <w:r w:rsidRPr="00A1651D">
        <w:t>The production of clean and sustainable fuels is the main challenge in facing future energy crises and global warming. Among all renewable energy sources, biomass stands out as a potential alternative to increase energy independence from fossil fuels and minimize environmental pollution.</w:t>
      </w:r>
      <w:r>
        <w:t xml:space="preserve"> </w:t>
      </w:r>
      <w:r w:rsidRPr="00184C29">
        <w:rPr>
          <w:lang w:val="en-US"/>
        </w:rPr>
        <w:t xml:space="preserve">The use of biomass such as sugarcane bagasse </w:t>
      </w:r>
      <w:r w:rsidR="00EE5A51" w:rsidRPr="00184C29">
        <w:rPr>
          <w:lang w:val="en-US"/>
        </w:rPr>
        <w:t>to produce</w:t>
      </w:r>
      <w:r w:rsidRPr="00184C29">
        <w:rPr>
          <w:lang w:val="en-US"/>
        </w:rPr>
        <w:t xml:space="preserve"> energy, biofuels, or chemicals can be achieved through thermochemical routes. Thermochemical conversion technologies (pyrolysis, gasification, and combustion) are promising options for transforming biomass raw materials into liquid oils and gases that,</w:t>
      </w:r>
      <w:r>
        <w:rPr>
          <w:lang w:val="en-US"/>
        </w:rPr>
        <w:t xml:space="preserve"> </w:t>
      </w:r>
      <w:r w:rsidRPr="00184C29">
        <w:rPr>
          <w:lang w:val="en-US"/>
        </w:rPr>
        <w:t>in turn, through other processes</w:t>
      </w:r>
      <w:r w:rsidR="0069691D">
        <w:rPr>
          <w:lang w:val="en-US"/>
        </w:rPr>
        <w:t>,</w:t>
      </w:r>
      <w:r w:rsidRPr="00184C29">
        <w:rPr>
          <w:lang w:val="en-US"/>
        </w:rPr>
        <w:t xml:space="preserve"> can generate energy, biofuels, and chemicals</w:t>
      </w:r>
      <w:r w:rsidR="002D581B">
        <w:rPr>
          <w:lang w:val="en-US"/>
        </w:rPr>
        <w:t xml:space="preserve"> (Hu and Chen, 2025)</w:t>
      </w:r>
      <w:r w:rsidRPr="00184C29">
        <w:rPr>
          <w:lang w:val="en-US"/>
        </w:rPr>
        <w:t>.</w:t>
      </w:r>
      <w:r w:rsidR="009774E4">
        <w:rPr>
          <w:lang w:val="en-US"/>
        </w:rPr>
        <w:t xml:space="preserve"> </w:t>
      </w:r>
      <w:r w:rsidR="00694241">
        <w:t>Gasification, combustion</w:t>
      </w:r>
      <w:r w:rsidR="0069691D">
        <w:t>,</w:t>
      </w:r>
      <w:r w:rsidR="00694241">
        <w:t xml:space="preserve"> and pyrolysis are distinguished both by the amount of oxidant used and by the products of interest generated. As pyrolysis is carried out without oxidation and combustion with excess product (O</w:t>
      </w:r>
      <w:r w:rsidR="00694241" w:rsidRPr="00694241">
        <w:rPr>
          <w:vertAlign w:val="subscript"/>
        </w:rPr>
        <w:t>2</w:t>
      </w:r>
      <w:r w:rsidR="00694241">
        <w:t xml:space="preserve">), gasification uses quantities below the stoichiometrically necessary quantities based on the amount of carbon present in the reactions. As products of interest, </w:t>
      </w:r>
      <w:r w:rsidR="00B85334">
        <w:t>pyrolysis</w:t>
      </w:r>
      <w:r w:rsidR="00694241">
        <w:t xml:space="preserve"> at low temperatures and short times </w:t>
      </w:r>
      <w:r w:rsidR="00BE20FB">
        <w:t xml:space="preserve">of </w:t>
      </w:r>
      <w:r w:rsidR="00694241">
        <w:t>reaction produced mainly liquid compo</w:t>
      </w:r>
      <w:r w:rsidR="00EF3920">
        <w:t>unds</w:t>
      </w:r>
      <w:r w:rsidR="00694241">
        <w:t xml:space="preserve"> (Figueroa et al., 2013). Combustion is carried out to harness heat, generating gaseous by-products, essentially carbon </w:t>
      </w:r>
      <w:r w:rsidR="00694241">
        <w:lastRenderedPageBreak/>
        <w:t>dioxide (CO</w:t>
      </w:r>
      <w:r w:rsidR="00694241" w:rsidRPr="004B7B0A">
        <w:rPr>
          <w:vertAlign w:val="subscript"/>
        </w:rPr>
        <w:t>2</w:t>
      </w:r>
      <w:r w:rsidR="00694241">
        <w:t xml:space="preserve">) and </w:t>
      </w:r>
      <w:r w:rsidR="004B7B0A">
        <w:t>steam</w:t>
      </w:r>
      <w:r w:rsidR="00694241">
        <w:t xml:space="preserve"> (H</w:t>
      </w:r>
      <w:r w:rsidR="00694241" w:rsidRPr="004B7B0A">
        <w:rPr>
          <w:vertAlign w:val="subscript"/>
        </w:rPr>
        <w:t>2</w:t>
      </w:r>
      <w:r w:rsidR="00694241">
        <w:t>O), while gasification aims to obtain gaseous energy vectors, mainly H</w:t>
      </w:r>
      <w:r w:rsidR="00694241" w:rsidRPr="004B7B0A">
        <w:rPr>
          <w:vertAlign w:val="subscript"/>
        </w:rPr>
        <w:t>2</w:t>
      </w:r>
      <w:r w:rsidR="00694241">
        <w:t>, CO</w:t>
      </w:r>
      <w:r w:rsidR="00BE20FB">
        <w:t>,</w:t>
      </w:r>
      <w:r w:rsidR="00694241">
        <w:t xml:space="preserve"> and CO</w:t>
      </w:r>
      <w:r w:rsidR="00694241" w:rsidRPr="004B7B0A">
        <w:rPr>
          <w:vertAlign w:val="subscript"/>
        </w:rPr>
        <w:t>2</w:t>
      </w:r>
      <w:r w:rsidR="00694241">
        <w:t>. Gasification and pyrolysis are integrated by pyrolysis, which represents the initial stage of the gasification process, known as the initial decomposition of biomass (or pyrolysis), and which also plays an important role in the subsequent chemical and physical changes (Castro et al., 2009).</w:t>
      </w:r>
      <w:r w:rsidR="00244FB8">
        <w:t xml:space="preserve"> </w:t>
      </w:r>
      <w:r w:rsidR="009256B0" w:rsidRPr="009256B0">
        <w:t xml:space="preserve">The gasification of sugarcane bagasse offers the advantage of producing synthesis gas, allowing the entire sugarcane plant, from its origin to its </w:t>
      </w:r>
      <w:r w:rsidR="00B85334">
        <w:t>destination</w:t>
      </w:r>
      <w:r w:rsidR="009256B0" w:rsidRPr="009256B0">
        <w:t>, to be utilized in the process. In addition to steam turbines, the clean synthesis gas from bagasse can also be u</w:t>
      </w:r>
      <w:r w:rsidR="009256B0">
        <w:t>sed in stationary gas turbines (</w:t>
      </w:r>
      <w:r w:rsidR="009D179C">
        <w:rPr>
          <w:lang w:val="en-US"/>
        </w:rPr>
        <w:t xml:space="preserve">Ahmed and </w:t>
      </w:r>
      <w:r w:rsidR="009D179C" w:rsidRPr="009256B0">
        <w:rPr>
          <w:lang w:val="en-US"/>
        </w:rPr>
        <w:t>Gupta</w:t>
      </w:r>
      <w:r w:rsidR="009D179C">
        <w:rPr>
          <w:lang w:val="en-US"/>
        </w:rPr>
        <w:t>, 2012</w:t>
      </w:r>
      <w:r w:rsidR="009256B0">
        <w:t>)</w:t>
      </w:r>
      <w:r w:rsidR="009256B0" w:rsidRPr="009256B0">
        <w:t>. Furthermore, gasification offers the flexibility of using the produced synthesis gas to convert it into liquid fuels.</w:t>
      </w:r>
      <w:r w:rsidR="00244FB8">
        <w:t xml:space="preserve"> </w:t>
      </w:r>
      <w:r w:rsidR="001233C5" w:rsidRPr="005A3225">
        <w:t>Therefore, this work presents the simulation of a fixed-bed reactor for the production of synthesis gas from the gasification of sugarcane bagasse. The influence of temperature, gas composition, product yields, and the effectiveness of the gasifying agent were evaluated.</w:t>
      </w:r>
    </w:p>
    <w:p w14:paraId="633DF3B6" w14:textId="77777777" w:rsidR="001233C5" w:rsidRPr="001233C5" w:rsidRDefault="001233C5" w:rsidP="00384DFF">
      <w:pPr>
        <w:rPr>
          <w:highlight w:val="yellow"/>
          <w:lang w:val="en-US"/>
        </w:rPr>
      </w:pPr>
    </w:p>
    <w:p w14:paraId="2748A7D0" w14:textId="400C0B31" w:rsidR="00384DFF" w:rsidRPr="00EF3920" w:rsidRDefault="00384DFF" w:rsidP="00384DFF">
      <w:pPr>
        <w:pStyle w:val="CETHeading1"/>
        <w:tabs>
          <w:tab w:val="clear" w:pos="360"/>
          <w:tab w:val="right" w:pos="7100"/>
        </w:tabs>
        <w:jc w:val="both"/>
        <w:rPr>
          <w:lang w:val="en-GB"/>
        </w:rPr>
      </w:pPr>
      <w:r w:rsidRPr="00EF3920">
        <w:rPr>
          <w:lang w:val="en-GB"/>
        </w:rPr>
        <w:t>Simulation</w:t>
      </w:r>
    </w:p>
    <w:p w14:paraId="788BBB12" w14:textId="001FEC18" w:rsidR="00975726" w:rsidRPr="00B25DAC" w:rsidRDefault="00975726" w:rsidP="00975726">
      <w:r w:rsidRPr="00B25DAC">
        <w:t xml:space="preserve">The following stages were considered for the </w:t>
      </w:r>
      <w:r w:rsidR="00BC0729">
        <w:t xml:space="preserve">simulation </w:t>
      </w:r>
      <w:r w:rsidRPr="00B25DAC">
        <w:t>development:</w:t>
      </w:r>
    </w:p>
    <w:p w14:paraId="6A37F3C2" w14:textId="77777777" w:rsidR="00867645" w:rsidRDefault="00867645" w:rsidP="00975726"/>
    <w:p w14:paraId="537B6AB3" w14:textId="3D3EE78C" w:rsidR="00975726" w:rsidRPr="00975726" w:rsidRDefault="00975726" w:rsidP="00867645">
      <w:pPr>
        <w:rPr>
          <w:rFonts w:cs="Arial"/>
          <w:szCs w:val="18"/>
          <w:highlight w:val="yellow"/>
        </w:rPr>
      </w:pPr>
      <w:r w:rsidRPr="00B25DAC">
        <w:t xml:space="preserve">The characterization of the biomass for the proximate and elemental non-conventional components was developed using the data shown in Table 1 and following the methodology proposed by </w:t>
      </w:r>
      <w:r w:rsidR="003D3B45">
        <w:t>Camacho-</w:t>
      </w:r>
      <w:r w:rsidRPr="00B25DAC">
        <w:t xml:space="preserve">Ardila et al. (2025). For the higher heating value </w:t>
      </w:r>
      <w:r w:rsidR="00742916">
        <w:t xml:space="preserve">(HHV) </w:t>
      </w:r>
      <w:r w:rsidRPr="00B25DAC">
        <w:t xml:space="preserve">data, the correlations of </w:t>
      </w:r>
      <w:r w:rsidR="003D3B45">
        <w:t>Camacho-</w:t>
      </w:r>
      <w:r w:rsidRPr="00B25DAC">
        <w:t>Ardila et al. (2024) were used in Fortran.</w:t>
      </w:r>
    </w:p>
    <w:p w14:paraId="666DD0C6" w14:textId="3FF60131" w:rsidR="000E0A40" w:rsidRPr="00583355" w:rsidRDefault="000E0A40" w:rsidP="000E0A40">
      <w:pPr>
        <w:pStyle w:val="CET-table-title"/>
        <w:spacing w:before="120"/>
        <w:rPr>
          <w:rFonts w:eastAsia="Arial Unicode MS"/>
          <w:kern w:val="36"/>
        </w:rPr>
      </w:pPr>
      <w:r w:rsidRPr="00583355">
        <w:t xml:space="preserve">Table 1: Proximate and ultimate analysis of sugarcane bagasse used in the simulation </w:t>
      </w:r>
    </w:p>
    <w:tbl>
      <w:tblPr>
        <w:tblStyle w:val="Tablaconcuadrcula"/>
        <w:tblW w:w="8789" w:type="dxa"/>
        <w:tblLayout w:type="fixed"/>
        <w:tblLook w:val="04A0" w:firstRow="1" w:lastRow="0" w:firstColumn="1" w:lastColumn="0" w:noHBand="0" w:noVBand="1"/>
      </w:tblPr>
      <w:tblGrid>
        <w:gridCol w:w="2835"/>
        <w:gridCol w:w="709"/>
        <w:gridCol w:w="567"/>
        <w:gridCol w:w="975"/>
        <w:gridCol w:w="1151"/>
        <w:gridCol w:w="1134"/>
        <w:gridCol w:w="1418"/>
      </w:tblGrid>
      <w:tr w:rsidR="000E0A40" w:rsidRPr="00583355" w14:paraId="4FF8100E" w14:textId="77777777" w:rsidTr="000238D2">
        <w:tc>
          <w:tcPr>
            <w:tcW w:w="3544" w:type="dxa"/>
            <w:gridSpan w:val="2"/>
            <w:tcBorders>
              <w:top w:val="single" w:sz="18" w:space="0" w:color="00B050"/>
              <w:left w:val="nil"/>
              <w:bottom w:val="single" w:sz="18" w:space="0" w:color="00B050"/>
              <w:right w:val="nil"/>
            </w:tcBorders>
          </w:tcPr>
          <w:p w14:paraId="1DEF33AB" w14:textId="3A7E67A7" w:rsidR="000E0A40" w:rsidRPr="009E11C4" w:rsidRDefault="000E0A40" w:rsidP="000238D2">
            <w:pPr>
              <w:pStyle w:val="CETBodytext"/>
              <w:rPr>
                <w:rFonts w:eastAsia="Arial Unicode MS"/>
                <w:vertAlign w:val="superscript"/>
              </w:rPr>
            </w:pPr>
            <w:r w:rsidRPr="00583355">
              <w:rPr>
                <w:rFonts w:eastAsia="Arial Unicode MS"/>
              </w:rPr>
              <w:t>Proximate (w/w%)</w:t>
            </w:r>
            <w:r w:rsidR="009E11C4">
              <w:rPr>
                <w:rFonts w:eastAsia="Arial Unicode MS"/>
                <w:vertAlign w:val="superscript"/>
              </w:rPr>
              <w:t>a</w:t>
            </w:r>
          </w:p>
        </w:tc>
        <w:tc>
          <w:tcPr>
            <w:tcW w:w="1542" w:type="dxa"/>
            <w:gridSpan w:val="2"/>
            <w:tcBorders>
              <w:top w:val="single" w:sz="18" w:space="0" w:color="00B050"/>
              <w:left w:val="nil"/>
              <w:bottom w:val="single" w:sz="18" w:space="0" w:color="00B050"/>
              <w:right w:val="nil"/>
            </w:tcBorders>
          </w:tcPr>
          <w:p w14:paraId="7C9DE4A2" w14:textId="1E5B400C" w:rsidR="000E0A40" w:rsidRPr="009E11C4" w:rsidRDefault="000E0A40" w:rsidP="000238D2">
            <w:pPr>
              <w:pStyle w:val="CETBodytext"/>
              <w:rPr>
                <w:rFonts w:eastAsia="Arial Unicode MS"/>
                <w:vertAlign w:val="superscript"/>
              </w:rPr>
            </w:pPr>
            <w:r w:rsidRPr="00583355">
              <w:rPr>
                <w:rFonts w:eastAsia="Arial Unicode MS"/>
              </w:rPr>
              <w:t>Ultimate (dry basis-w/w%)</w:t>
            </w:r>
            <w:r w:rsidR="009E11C4">
              <w:rPr>
                <w:rFonts w:eastAsia="Arial Unicode MS"/>
                <w:vertAlign w:val="superscript"/>
              </w:rPr>
              <w:t>a</w:t>
            </w:r>
          </w:p>
        </w:tc>
        <w:tc>
          <w:tcPr>
            <w:tcW w:w="2285" w:type="dxa"/>
            <w:gridSpan w:val="2"/>
            <w:tcBorders>
              <w:top w:val="single" w:sz="18" w:space="0" w:color="00B050"/>
              <w:left w:val="nil"/>
              <w:bottom w:val="single" w:sz="18" w:space="0" w:color="00B050"/>
              <w:right w:val="nil"/>
            </w:tcBorders>
            <w:vAlign w:val="bottom"/>
          </w:tcPr>
          <w:p w14:paraId="50591FEC" w14:textId="1C7D561E" w:rsidR="000E0A40" w:rsidRPr="000E0A40" w:rsidRDefault="000E0A40" w:rsidP="000238D2">
            <w:pPr>
              <w:pStyle w:val="CETBodytext"/>
              <w:rPr>
                <w:rFonts w:eastAsia="Arial Unicode MS"/>
              </w:rPr>
            </w:pPr>
            <w:r w:rsidRPr="00583355">
              <w:t>Average particle diameter (mm)</w:t>
            </w:r>
            <w:r w:rsidR="009E11C4">
              <w:rPr>
                <w:vertAlign w:val="superscript"/>
              </w:rPr>
              <w:t>b</w:t>
            </w:r>
          </w:p>
        </w:tc>
        <w:tc>
          <w:tcPr>
            <w:tcW w:w="1418" w:type="dxa"/>
            <w:tcBorders>
              <w:top w:val="single" w:sz="18" w:space="0" w:color="00B050"/>
              <w:left w:val="nil"/>
              <w:bottom w:val="single" w:sz="18" w:space="0" w:color="00B050"/>
              <w:right w:val="nil"/>
            </w:tcBorders>
          </w:tcPr>
          <w:p w14:paraId="062A915B" w14:textId="77777777" w:rsidR="000E0A40" w:rsidRPr="00583355" w:rsidRDefault="000E0A40" w:rsidP="000238D2">
            <w:pPr>
              <w:pStyle w:val="CETBodytext"/>
            </w:pPr>
            <w:r w:rsidRPr="00583355">
              <w:t xml:space="preserve">Mass fraction </w:t>
            </w:r>
          </w:p>
          <w:p w14:paraId="2A1703C3" w14:textId="7BD79A1C" w:rsidR="000E0A40" w:rsidRPr="000E0A40" w:rsidRDefault="009E11C4" w:rsidP="000238D2">
            <w:pPr>
              <w:pStyle w:val="CETBodytext"/>
              <w:rPr>
                <w:rFonts w:eastAsia="Arial Unicode MS"/>
                <w:vertAlign w:val="superscript"/>
              </w:rPr>
            </w:pPr>
            <w:r w:rsidRPr="00583355">
              <w:t>R</w:t>
            </w:r>
            <w:r w:rsidR="000E0A40" w:rsidRPr="00583355">
              <w:t>etained</w:t>
            </w:r>
            <w:r>
              <w:rPr>
                <w:vertAlign w:val="superscript"/>
              </w:rPr>
              <w:t>b</w:t>
            </w:r>
          </w:p>
        </w:tc>
      </w:tr>
      <w:tr w:rsidR="000E0A40" w:rsidRPr="00583355" w14:paraId="5C953D27" w14:textId="77777777" w:rsidTr="000238D2">
        <w:tc>
          <w:tcPr>
            <w:tcW w:w="2835" w:type="dxa"/>
            <w:tcBorders>
              <w:top w:val="single" w:sz="18" w:space="0" w:color="00B050"/>
              <w:left w:val="nil"/>
              <w:bottom w:val="nil"/>
              <w:right w:val="nil"/>
            </w:tcBorders>
          </w:tcPr>
          <w:p w14:paraId="7A8CB61C" w14:textId="77777777" w:rsidR="000E0A40" w:rsidRPr="00583355" w:rsidRDefault="000E0A40" w:rsidP="000238D2">
            <w:pPr>
              <w:pStyle w:val="CETBodytext"/>
              <w:rPr>
                <w:rFonts w:eastAsia="Arial Unicode MS"/>
              </w:rPr>
            </w:pPr>
            <w:r w:rsidRPr="00583355">
              <w:rPr>
                <w:rFonts w:eastAsia="Arial Unicode MS"/>
              </w:rPr>
              <w:t>Moisture (air)</w:t>
            </w:r>
          </w:p>
        </w:tc>
        <w:tc>
          <w:tcPr>
            <w:tcW w:w="709" w:type="dxa"/>
            <w:tcBorders>
              <w:top w:val="single" w:sz="18" w:space="0" w:color="00B050"/>
              <w:left w:val="nil"/>
              <w:bottom w:val="nil"/>
              <w:right w:val="nil"/>
            </w:tcBorders>
          </w:tcPr>
          <w:p w14:paraId="033345E3" w14:textId="77777777" w:rsidR="000E0A40" w:rsidRPr="00583355" w:rsidRDefault="000E0A40" w:rsidP="000238D2">
            <w:pPr>
              <w:pStyle w:val="CETBodytext"/>
              <w:rPr>
                <w:rFonts w:eastAsia="Arial Unicode MS"/>
              </w:rPr>
            </w:pPr>
            <w:r w:rsidRPr="00583355">
              <w:rPr>
                <w:rFonts w:eastAsia="Arial Unicode MS"/>
              </w:rPr>
              <w:t>7.8</w:t>
            </w:r>
          </w:p>
        </w:tc>
        <w:tc>
          <w:tcPr>
            <w:tcW w:w="567" w:type="dxa"/>
            <w:tcBorders>
              <w:top w:val="single" w:sz="18" w:space="0" w:color="00B050"/>
              <w:left w:val="nil"/>
              <w:bottom w:val="nil"/>
              <w:right w:val="nil"/>
            </w:tcBorders>
          </w:tcPr>
          <w:p w14:paraId="610CD6BA" w14:textId="77777777" w:rsidR="000E0A40" w:rsidRPr="00583355" w:rsidRDefault="000E0A40" w:rsidP="000238D2">
            <w:pPr>
              <w:pStyle w:val="CETBodytext"/>
              <w:rPr>
                <w:rFonts w:eastAsia="Arial Unicode MS"/>
              </w:rPr>
            </w:pPr>
            <w:r w:rsidRPr="00583355">
              <w:rPr>
                <w:rFonts w:eastAsia="Arial Unicode MS"/>
              </w:rPr>
              <w:t>C</w:t>
            </w:r>
          </w:p>
        </w:tc>
        <w:tc>
          <w:tcPr>
            <w:tcW w:w="975" w:type="dxa"/>
            <w:tcBorders>
              <w:top w:val="single" w:sz="18" w:space="0" w:color="00B050"/>
              <w:left w:val="nil"/>
              <w:bottom w:val="nil"/>
              <w:right w:val="nil"/>
            </w:tcBorders>
          </w:tcPr>
          <w:p w14:paraId="44967F6E" w14:textId="77777777" w:rsidR="000E0A40" w:rsidRPr="00583355" w:rsidRDefault="000E0A40" w:rsidP="000238D2">
            <w:pPr>
              <w:pStyle w:val="CETBodytext"/>
              <w:rPr>
                <w:rFonts w:eastAsia="Arial Unicode MS"/>
              </w:rPr>
            </w:pPr>
            <w:r w:rsidRPr="00583355">
              <w:rPr>
                <w:rFonts w:eastAsia="Arial Unicode MS"/>
              </w:rPr>
              <w:t>44.52</w:t>
            </w:r>
          </w:p>
        </w:tc>
        <w:tc>
          <w:tcPr>
            <w:tcW w:w="1151" w:type="dxa"/>
            <w:tcBorders>
              <w:top w:val="single" w:sz="18" w:space="0" w:color="00B050"/>
              <w:left w:val="nil"/>
              <w:bottom w:val="nil"/>
              <w:right w:val="nil"/>
            </w:tcBorders>
            <w:vAlign w:val="bottom"/>
          </w:tcPr>
          <w:p w14:paraId="5CA371FB" w14:textId="77777777" w:rsidR="000E0A40" w:rsidRPr="00583355" w:rsidRDefault="000E0A40" w:rsidP="000238D2">
            <w:pPr>
              <w:pStyle w:val="CETBodytext"/>
              <w:rPr>
                <w:rFonts w:eastAsia="Arial Unicode MS"/>
              </w:rPr>
            </w:pPr>
            <w:r w:rsidRPr="00583355">
              <w:t>0.00</w:t>
            </w:r>
          </w:p>
        </w:tc>
        <w:tc>
          <w:tcPr>
            <w:tcW w:w="1134" w:type="dxa"/>
            <w:tcBorders>
              <w:top w:val="single" w:sz="18" w:space="0" w:color="00B050"/>
              <w:left w:val="nil"/>
              <w:bottom w:val="nil"/>
              <w:right w:val="nil"/>
            </w:tcBorders>
            <w:vAlign w:val="bottom"/>
          </w:tcPr>
          <w:p w14:paraId="05588DEB" w14:textId="77777777" w:rsidR="000E0A40" w:rsidRPr="00583355" w:rsidRDefault="000E0A40" w:rsidP="000238D2">
            <w:pPr>
              <w:pStyle w:val="CETBodytext"/>
              <w:rPr>
                <w:rFonts w:eastAsia="Arial Unicode MS"/>
              </w:rPr>
            </w:pPr>
            <w:r w:rsidRPr="00583355">
              <w:t>0.60</w:t>
            </w:r>
          </w:p>
        </w:tc>
        <w:tc>
          <w:tcPr>
            <w:tcW w:w="1418" w:type="dxa"/>
            <w:tcBorders>
              <w:top w:val="single" w:sz="18" w:space="0" w:color="00B050"/>
              <w:left w:val="nil"/>
              <w:bottom w:val="nil"/>
              <w:right w:val="nil"/>
            </w:tcBorders>
            <w:vAlign w:val="bottom"/>
          </w:tcPr>
          <w:p w14:paraId="31491AC8" w14:textId="77777777" w:rsidR="000E0A40" w:rsidRPr="00583355" w:rsidRDefault="000E0A40" w:rsidP="000238D2">
            <w:pPr>
              <w:pStyle w:val="CETBodytext"/>
              <w:rPr>
                <w:rFonts w:eastAsia="Arial Unicode MS"/>
              </w:rPr>
            </w:pPr>
            <w:r w:rsidRPr="00583355">
              <w:t>0.21</w:t>
            </w:r>
          </w:p>
        </w:tc>
      </w:tr>
      <w:tr w:rsidR="000E0A40" w:rsidRPr="00583355" w14:paraId="774D081B" w14:textId="77777777" w:rsidTr="000238D2">
        <w:tc>
          <w:tcPr>
            <w:tcW w:w="2835" w:type="dxa"/>
            <w:tcBorders>
              <w:top w:val="nil"/>
              <w:left w:val="nil"/>
              <w:bottom w:val="nil"/>
              <w:right w:val="nil"/>
            </w:tcBorders>
          </w:tcPr>
          <w:p w14:paraId="6457DA7B" w14:textId="77777777" w:rsidR="000E0A40" w:rsidRPr="00583355" w:rsidRDefault="000E0A40" w:rsidP="000238D2">
            <w:pPr>
              <w:pStyle w:val="CETBodytext"/>
              <w:rPr>
                <w:rFonts w:eastAsia="Arial Unicode MS"/>
              </w:rPr>
            </w:pPr>
            <w:r w:rsidRPr="00583355">
              <w:rPr>
                <w:rFonts w:eastAsia="Arial Unicode MS"/>
              </w:rPr>
              <w:t>Fixed carbon-FC-(dry basis)</w:t>
            </w:r>
          </w:p>
        </w:tc>
        <w:tc>
          <w:tcPr>
            <w:tcW w:w="709" w:type="dxa"/>
            <w:tcBorders>
              <w:top w:val="nil"/>
              <w:left w:val="nil"/>
              <w:bottom w:val="nil"/>
              <w:right w:val="nil"/>
            </w:tcBorders>
          </w:tcPr>
          <w:p w14:paraId="19658E4E" w14:textId="77777777" w:rsidR="000E0A40" w:rsidRPr="00583355" w:rsidRDefault="000E0A40" w:rsidP="000238D2">
            <w:pPr>
              <w:pStyle w:val="CETBodytext"/>
              <w:rPr>
                <w:rFonts w:eastAsia="Arial Unicode MS"/>
              </w:rPr>
            </w:pPr>
            <w:r w:rsidRPr="00583355">
              <w:rPr>
                <w:rFonts w:eastAsia="Arial Unicode MS"/>
              </w:rPr>
              <w:t>10.81</w:t>
            </w:r>
          </w:p>
        </w:tc>
        <w:tc>
          <w:tcPr>
            <w:tcW w:w="567" w:type="dxa"/>
            <w:tcBorders>
              <w:top w:val="nil"/>
              <w:left w:val="nil"/>
              <w:bottom w:val="nil"/>
              <w:right w:val="nil"/>
            </w:tcBorders>
          </w:tcPr>
          <w:p w14:paraId="68111635" w14:textId="77777777" w:rsidR="000E0A40" w:rsidRPr="00583355" w:rsidRDefault="000E0A40" w:rsidP="000238D2">
            <w:pPr>
              <w:pStyle w:val="CETBodytext"/>
              <w:rPr>
                <w:rFonts w:eastAsia="Arial Unicode MS"/>
              </w:rPr>
            </w:pPr>
            <w:r w:rsidRPr="00583355">
              <w:rPr>
                <w:rFonts w:eastAsia="Arial Unicode MS"/>
              </w:rPr>
              <w:t>H</w:t>
            </w:r>
          </w:p>
        </w:tc>
        <w:tc>
          <w:tcPr>
            <w:tcW w:w="975" w:type="dxa"/>
            <w:tcBorders>
              <w:top w:val="nil"/>
              <w:left w:val="nil"/>
              <w:bottom w:val="nil"/>
              <w:right w:val="nil"/>
            </w:tcBorders>
          </w:tcPr>
          <w:p w14:paraId="728DE138" w14:textId="77777777" w:rsidR="000E0A40" w:rsidRPr="00583355" w:rsidRDefault="000E0A40" w:rsidP="000238D2">
            <w:pPr>
              <w:pStyle w:val="CETBodytext"/>
              <w:rPr>
                <w:rFonts w:eastAsia="Arial Unicode MS"/>
              </w:rPr>
            </w:pPr>
            <w:r w:rsidRPr="00583355">
              <w:rPr>
                <w:rFonts w:eastAsia="Arial Unicode MS"/>
              </w:rPr>
              <w:t>5.90</w:t>
            </w:r>
          </w:p>
        </w:tc>
        <w:tc>
          <w:tcPr>
            <w:tcW w:w="1151" w:type="dxa"/>
            <w:tcBorders>
              <w:top w:val="nil"/>
              <w:left w:val="nil"/>
              <w:bottom w:val="nil"/>
              <w:right w:val="nil"/>
            </w:tcBorders>
            <w:vAlign w:val="bottom"/>
          </w:tcPr>
          <w:p w14:paraId="480605BF" w14:textId="77777777" w:rsidR="000E0A40" w:rsidRPr="00583355" w:rsidRDefault="000E0A40" w:rsidP="000238D2">
            <w:pPr>
              <w:pStyle w:val="CETBodytext"/>
              <w:rPr>
                <w:rFonts w:eastAsia="Arial Unicode MS"/>
              </w:rPr>
            </w:pPr>
            <w:r w:rsidRPr="00583355">
              <w:t>0.60</w:t>
            </w:r>
          </w:p>
        </w:tc>
        <w:tc>
          <w:tcPr>
            <w:tcW w:w="1134" w:type="dxa"/>
            <w:tcBorders>
              <w:top w:val="nil"/>
              <w:left w:val="nil"/>
              <w:bottom w:val="nil"/>
              <w:right w:val="nil"/>
            </w:tcBorders>
            <w:vAlign w:val="bottom"/>
          </w:tcPr>
          <w:p w14:paraId="2A175983" w14:textId="77777777" w:rsidR="000E0A40" w:rsidRPr="00583355" w:rsidRDefault="000E0A40" w:rsidP="000238D2">
            <w:pPr>
              <w:pStyle w:val="CETBodytext"/>
              <w:rPr>
                <w:rFonts w:eastAsia="Arial Unicode MS"/>
              </w:rPr>
            </w:pPr>
            <w:r w:rsidRPr="00583355">
              <w:t>0.85</w:t>
            </w:r>
          </w:p>
        </w:tc>
        <w:tc>
          <w:tcPr>
            <w:tcW w:w="1418" w:type="dxa"/>
            <w:tcBorders>
              <w:top w:val="nil"/>
              <w:left w:val="nil"/>
              <w:bottom w:val="nil"/>
              <w:right w:val="nil"/>
            </w:tcBorders>
            <w:vAlign w:val="bottom"/>
          </w:tcPr>
          <w:p w14:paraId="5CD1CA5C" w14:textId="77777777" w:rsidR="000E0A40" w:rsidRPr="00583355" w:rsidRDefault="000E0A40" w:rsidP="000238D2">
            <w:pPr>
              <w:pStyle w:val="CETBodytext"/>
              <w:rPr>
                <w:rFonts w:eastAsia="Arial Unicode MS"/>
              </w:rPr>
            </w:pPr>
            <w:r w:rsidRPr="00583355">
              <w:t>0.18</w:t>
            </w:r>
          </w:p>
        </w:tc>
      </w:tr>
      <w:tr w:rsidR="000E0A40" w:rsidRPr="00583355" w14:paraId="0E42669F" w14:textId="77777777" w:rsidTr="000238D2">
        <w:tc>
          <w:tcPr>
            <w:tcW w:w="2835" w:type="dxa"/>
            <w:tcBorders>
              <w:top w:val="nil"/>
              <w:left w:val="nil"/>
              <w:bottom w:val="nil"/>
              <w:right w:val="nil"/>
            </w:tcBorders>
          </w:tcPr>
          <w:p w14:paraId="613CE818" w14:textId="77777777" w:rsidR="000E0A40" w:rsidRPr="00583355" w:rsidRDefault="000E0A40" w:rsidP="000238D2">
            <w:pPr>
              <w:pStyle w:val="CETBodytext"/>
              <w:rPr>
                <w:rFonts w:eastAsia="Arial Unicode MS"/>
              </w:rPr>
            </w:pPr>
            <w:r w:rsidRPr="00583355">
              <w:rPr>
                <w:rFonts w:eastAsia="Arial Unicode MS"/>
              </w:rPr>
              <w:t>Volatile material-VM-(dry basis)</w:t>
            </w:r>
          </w:p>
        </w:tc>
        <w:tc>
          <w:tcPr>
            <w:tcW w:w="709" w:type="dxa"/>
            <w:tcBorders>
              <w:top w:val="nil"/>
              <w:left w:val="nil"/>
              <w:bottom w:val="nil"/>
              <w:right w:val="nil"/>
            </w:tcBorders>
          </w:tcPr>
          <w:p w14:paraId="78A0DD52" w14:textId="77777777" w:rsidR="000E0A40" w:rsidRPr="00583355" w:rsidRDefault="000E0A40" w:rsidP="000238D2">
            <w:pPr>
              <w:pStyle w:val="CETBodytext"/>
              <w:rPr>
                <w:rFonts w:eastAsia="Arial Unicode MS"/>
              </w:rPr>
            </w:pPr>
            <w:r w:rsidRPr="00583355">
              <w:rPr>
                <w:rFonts w:eastAsia="Arial Unicode MS"/>
              </w:rPr>
              <w:t>83.97</w:t>
            </w:r>
          </w:p>
        </w:tc>
        <w:tc>
          <w:tcPr>
            <w:tcW w:w="567" w:type="dxa"/>
            <w:tcBorders>
              <w:top w:val="nil"/>
              <w:left w:val="nil"/>
              <w:bottom w:val="nil"/>
              <w:right w:val="nil"/>
            </w:tcBorders>
          </w:tcPr>
          <w:p w14:paraId="4E57959D" w14:textId="77777777" w:rsidR="000E0A40" w:rsidRPr="00583355" w:rsidRDefault="000E0A40" w:rsidP="000238D2">
            <w:pPr>
              <w:pStyle w:val="CETBodytext"/>
              <w:rPr>
                <w:rFonts w:eastAsia="Arial Unicode MS"/>
              </w:rPr>
            </w:pPr>
            <w:r w:rsidRPr="00583355">
              <w:rPr>
                <w:rFonts w:eastAsia="Arial Unicode MS"/>
              </w:rPr>
              <w:t>N</w:t>
            </w:r>
          </w:p>
        </w:tc>
        <w:tc>
          <w:tcPr>
            <w:tcW w:w="975" w:type="dxa"/>
            <w:tcBorders>
              <w:top w:val="nil"/>
              <w:left w:val="nil"/>
              <w:bottom w:val="nil"/>
              <w:right w:val="nil"/>
            </w:tcBorders>
          </w:tcPr>
          <w:p w14:paraId="11138792" w14:textId="77777777" w:rsidR="000E0A40" w:rsidRPr="00583355" w:rsidRDefault="000E0A40" w:rsidP="000238D2">
            <w:pPr>
              <w:pStyle w:val="CETBodytext"/>
              <w:rPr>
                <w:rFonts w:eastAsia="Arial Unicode MS"/>
              </w:rPr>
            </w:pPr>
            <w:r w:rsidRPr="00583355">
              <w:rPr>
                <w:rFonts w:eastAsia="Arial Unicode MS"/>
              </w:rPr>
              <w:t>0.32</w:t>
            </w:r>
          </w:p>
        </w:tc>
        <w:tc>
          <w:tcPr>
            <w:tcW w:w="1151" w:type="dxa"/>
            <w:tcBorders>
              <w:top w:val="nil"/>
              <w:left w:val="nil"/>
              <w:bottom w:val="nil"/>
              <w:right w:val="nil"/>
            </w:tcBorders>
            <w:vAlign w:val="bottom"/>
          </w:tcPr>
          <w:p w14:paraId="3544B638" w14:textId="77777777" w:rsidR="000E0A40" w:rsidRPr="00583355" w:rsidRDefault="000E0A40" w:rsidP="000238D2">
            <w:pPr>
              <w:pStyle w:val="CETBodytext"/>
              <w:rPr>
                <w:rFonts w:eastAsia="Arial Unicode MS"/>
              </w:rPr>
            </w:pPr>
            <w:r w:rsidRPr="00583355">
              <w:t>0.85</w:t>
            </w:r>
          </w:p>
        </w:tc>
        <w:tc>
          <w:tcPr>
            <w:tcW w:w="1134" w:type="dxa"/>
            <w:tcBorders>
              <w:top w:val="nil"/>
              <w:left w:val="nil"/>
              <w:bottom w:val="nil"/>
              <w:right w:val="nil"/>
            </w:tcBorders>
            <w:vAlign w:val="bottom"/>
          </w:tcPr>
          <w:p w14:paraId="280F5571" w14:textId="77777777" w:rsidR="000E0A40" w:rsidRPr="00583355" w:rsidRDefault="000E0A40" w:rsidP="000238D2">
            <w:pPr>
              <w:pStyle w:val="CETBodytext"/>
              <w:rPr>
                <w:rFonts w:eastAsia="Arial Unicode MS"/>
              </w:rPr>
            </w:pPr>
            <w:r w:rsidRPr="00583355">
              <w:t>1.18</w:t>
            </w:r>
          </w:p>
        </w:tc>
        <w:tc>
          <w:tcPr>
            <w:tcW w:w="1418" w:type="dxa"/>
            <w:tcBorders>
              <w:top w:val="nil"/>
              <w:left w:val="nil"/>
              <w:bottom w:val="nil"/>
              <w:right w:val="nil"/>
            </w:tcBorders>
            <w:vAlign w:val="bottom"/>
          </w:tcPr>
          <w:p w14:paraId="6F4D9462" w14:textId="77777777" w:rsidR="000E0A40" w:rsidRPr="00583355" w:rsidRDefault="000E0A40" w:rsidP="000238D2">
            <w:pPr>
              <w:pStyle w:val="CETBodytext"/>
              <w:rPr>
                <w:rFonts w:eastAsia="Arial Unicode MS"/>
              </w:rPr>
            </w:pPr>
            <w:r w:rsidRPr="00583355">
              <w:t>0.22</w:t>
            </w:r>
          </w:p>
        </w:tc>
      </w:tr>
      <w:tr w:rsidR="000E0A40" w:rsidRPr="00583355" w14:paraId="375B197C" w14:textId="77777777" w:rsidTr="000238D2">
        <w:tc>
          <w:tcPr>
            <w:tcW w:w="2835" w:type="dxa"/>
            <w:tcBorders>
              <w:top w:val="nil"/>
              <w:left w:val="nil"/>
              <w:bottom w:val="nil"/>
              <w:right w:val="nil"/>
            </w:tcBorders>
          </w:tcPr>
          <w:p w14:paraId="24678E59" w14:textId="77777777" w:rsidR="000E0A40" w:rsidRPr="00583355" w:rsidRDefault="000E0A40" w:rsidP="000238D2">
            <w:pPr>
              <w:pStyle w:val="CETBodytext"/>
              <w:rPr>
                <w:rFonts w:eastAsia="Arial Unicode MS"/>
              </w:rPr>
            </w:pPr>
            <w:r w:rsidRPr="00583355">
              <w:rPr>
                <w:rFonts w:eastAsia="Arial Unicode MS"/>
              </w:rPr>
              <w:t>Ash(dry basis)</w:t>
            </w:r>
          </w:p>
        </w:tc>
        <w:tc>
          <w:tcPr>
            <w:tcW w:w="709" w:type="dxa"/>
            <w:tcBorders>
              <w:top w:val="nil"/>
              <w:left w:val="nil"/>
              <w:bottom w:val="nil"/>
              <w:right w:val="nil"/>
            </w:tcBorders>
          </w:tcPr>
          <w:p w14:paraId="33CCA2BB" w14:textId="77777777" w:rsidR="000E0A40" w:rsidRPr="00583355" w:rsidRDefault="000E0A40" w:rsidP="000238D2">
            <w:pPr>
              <w:pStyle w:val="CETBodytext"/>
              <w:rPr>
                <w:rFonts w:eastAsia="Arial Unicode MS"/>
              </w:rPr>
            </w:pPr>
            <w:r w:rsidRPr="00583355">
              <w:rPr>
                <w:rFonts w:eastAsia="Arial Unicode MS"/>
              </w:rPr>
              <w:t>5.22</w:t>
            </w:r>
          </w:p>
        </w:tc>
        <w:tc>
          <w:tcPr>
            <w:tcW w:w="567" w:type="dxa"/>
            <w:tcBorders>
              <w:top w:val="nil"/>
              <w:left w:val="nil"/>
              <w:bottom w:val="nil"/>
              <w:right w:val="nil"/>
            </w:tcBorders>
          </w:tcPr>
          <w:p w14:paraId="4C8BB4D4" w14:textId="77777777" w:rsidR="000E0A40" w:rsidRPr="00583355" w:rsidRDefault="000E0A40" w:rsidP="000238D2">
            <w:pPr>
              <w:pStyle w:val="CETBodytext"/>
              <w:rPr>
                <w:rFonts w:eastAsia="Arial Unicode MS"/>
              </w:rPr>
            </w:pPr>
            <w:r w:rsidRPr="00583355">
              <w:rPr>
                <w:rFonts w:eastAsia="Arial Unicode MS"/>
              </w:rPr>
              <w:t>Cl</w:t>
            </w:r>
          </w:p>
        </w:tc>
        <w:tc>
          <w:tcPr>
            <w:tcW w:w="975" w:type="dxa"/>
            <w:tcBorders>
              <w:top w:val="nil"/>
              <w:left w:val="nil"/>
              <w:bottom w:val="nil"/>
              <w:right w:val="nil"/>
            </w:tcBorders>
          </w:tcPr>
          <w:p w14:paraId="26A4FB24" w14:textId="77777777" w:rsidR="000E0A40" w:rsidRPr="00583355" w:rsidRDefault="000E0A40" w:rsidP="000238D2">
            <w:pPr>
              <w:pStyle w:val="CETBodytext"/>
              <w:rPr>
                <w:rFonts w:eastAsia="Arial Unicode MS"/>
              </w:rPr>
            </w:pPr>
            <w:r w:rsidRPr="00583355">
              <w:rPr>
                <w:rFonts w:eastAsia="Arial Unicode MS"/>
              </w:rPr>
              <w:t>0.29</w:t>
            </w:r>
          </w:p>
        </w:tc>
        <w:tc>
          <w:tcPr>
            <w:tcW w:w="1151" w:type="dxa"/>
            <w:tcBorders>
              <w:top w:val="nil"/>
              <w:left w:val="nil"/>
              <w:bottom w:val="nil"/>
              <w:right w:val="nil"/>
            </w:tcBorders>
            <w:vAlign w:val="bottom"/>
          </w:tcPr>
          <w:p w14:paraId="22434A8E" w14:textId="77777777" w:rsidR="000E0A40" w:rsidRPr="00583355" w:rsidRDefault="000E0A40" w:rsidP="000238D2">
            <w:pPr>
              <w:pStyle w:val="CETBodytext"/>
              <w:rPr>
                <w:rFonts w:eastAsia="Arial Unicode MS"/>
              </w:rPr>
            </w:pPr>
            <w:r w:rsidRPr="00583355">
              <w:t>1.18</w:t>
            </w:r>
          </w:p>
        </w:tc>
        <w:tc>
          <w:tcPr>
            <w:tcW w:w="1134" w:type="dxa"/>
            <w:tcBorders>
              <w:top w:val="nil"/>
              <w:left w:val="nil"/>
              <w:bottom w:val="nil"/>
              <w:right w:val="nil"/>
            </w:tcBorders>
            <w:vAlign w:val="bottom"/>
          </w:tcPr>
          <w:p w14:paraId="0A8FDF17" w14:textId="77777777" w:rsidR="000E0A40" w:rsidRPr="00583355" w:rsidRDefault="000E0A40" w:rsidP="000238D2">
            <w:pPr>
              <w:pStyle w:val="CETBodytext"/>
              <w:rPr>
                <w:rFonts w:eastAsia="Arial Unicode MS"/>
              </w:rPr>
            </w:pPr>
            <w:r w:rsidRPr="00583355">
              <w:t>2.00</w:t>
            </w:r>
          </w:p>
        </w:tc>
        <w:tc>
          <w:tcPr>
            <w:tcW w:w="1418" w:type="dxa"/>
            <w:tcBorders>
              <w:top w:val="nil"/>
              <w:left w:val="nil"/>
              <w:bottom w:val="nil"/>
              <w:right w:val="nil"/>
            </w:tcBorders>
            <w:vAlign w:val="bottom"/>
          </w:tcPr>
          <w:p w14:paraId="4C6E1CFE" w14:textId="77777777" w:rsidR="000E0A40" w:rsidRPr="00583355" w:rsidRDefault="000E0A40" w:rsidP="000238D2">
            <w:pPr>
              <w:pStyle w:val="CETBodytext"/>
              <w:rPr>
                <w:rFonts w:eastAsia="Arial Unicode MS"/>
              </w:rPr>
            </w:pPr>
            <w:r w:rsidRPr="00583355">
              <w:t>0.11</w:t>
            </w:r>
          </w:p>
        </w:tc>
      </w:tr>
      <w:tr w:rsidR="000E0A40" w:rsidRPr="00583355" w14:paraId="1B0660F0" w14:textId="77777777" w:rsidTr="000238D2">
        <w:tc>
          <w:tcPr>
            <w:tcW w:w="2835" w:type="dxa"/>
            <w:vMerge w:val="restart"/>
            <w:tcBorders>
              <w:top w:val="nil"/>
              <w:left w:val="nil"/>
              <w:bottom w:val="nil"/>
              <w:right w:val="nil"/>
            </w:tcBorders>
          </w:tcPr>
          <w:p w14:paraId="3CED8263" w14:textId="77777777" w:rsidR="000E0A40" w:rsidRPr="00583355" w:rsidRDefault="000E0A40" w:rsidP="000238D2">
            <w:pPr>
              <w:pStyle w:val="CETBodytext"/>
              <w:rPr>
                <w:rFonts w:eastAsia="Arial Unicode MS"/>
              </w:rPr>
            </w:pPr>
          </w:p>
        </w:tc>
        <w:tc>
          <w:tcPr>
            <w:tcW w:w="709" w:type="dxa"/>
            <w:tcBorders>
              <w:top w:val="nil"/>
              <w:left w:val="nil"/>
              <w:bottom w:val="nil"/>
              <w:right w:val="nil"/>
            </w:tcBorders>
          </w:tcPr>
          <w:p w14:paraId="7EAFEFB8" w14:textId="77777777" w:rsidR="000E0A40" w:rsidRPr="00583355" w:rsidRDefault="000E0A40" w:rsidP="000238D2">
            <w:pPr>
              <w:pStyle w:val="CETBodytext"/>
              <w:rPr>
                <w:rFonts w:eastAsia="Arial Unicode MS"/>
              </w:rPr>
            </w:pPr>
          </w:p>
        </w:tc>
        <w:tc>
          <w:tcPr>
            <w:tcW w:w="567" w:type="dxa"/>
            <w:tcBorders>
              <w:top w:val="nil"/>
              <w:left w:val="nil"/>
              <w:bottom w:val="nil"/>
              <w:right w:val="nil"/>
            </w:tcBorders>
          </w:tcPr>
          <w:p w14:paraId="3E8C6B4B" w14:textId="77777777" w:rsidR="000E0A40" w:rsidRPr="00583355" w:rsidRDefault="000E0A40" w:rsidP="000238D2">
            <w:pPr>
              <w:pStyle w:val="CETBodytext"/>
              <w:rPr>
                <w:rFonts w:eastAsia="Arial Unicode MS"/>
              </w:rPr>
            </w:pPr>
            <w:r w:rsidRPr="00583355">
              <w:rPr>
                <w:rFonts w:eastAsia="Arial Unicode MS"/>
              </w:rPr>
              <w:t>S</w:t>
            </w:r>
          </w:p>
        </w:tc>
        <w:tc>
          <w:tcPr>
            <w:tcW w:w="975" w:type="dxa"/>
            <w:tcBorders>
              <w:top w:val="nil"/>
              <w:left w:val="nil"/>
              <w:bottom w:val="nil"/>
              <w:right w:val="nil"/>
            </w:tcBorders>
          </w:tcPr>
          <w:p w14:paraId="2BFCE30E" w14:textId="77777777" w:rsidR="000E0A40" w:rsidRPr="00583355" w:rsidRDefault="000E0A40" w:rsidP="000238D2">
            <w:pPr>
              <w:pStyle w:val="CETBodytext"/>
              <w:rPr>
                <w:rFonts w:eastAsia="Arial Unicode MS"/>
              </w:rPr>
            </w:pPr>
            <w:r w:rsidRPr="00583355">
              <w:rPr>
                <w:rFonts w:eastAsia="Arial Unicode MS"/>
              </w:rPr>
              <w:t>0.10</w:t>
            </w:r>
          </w:p>
        </w:tc>
        <w:tc>
          <w:tcPr>
            <w:tcW w:w="1151" w:type="dxa"/>
            <w:tcBorders>
              <w:top w:val="nil"/>
              <w:left w:val="nil"/>
              <w:bottom w:val="nil"/>
              <w:right w:val="nil"/>
            </w:tcBorders>
            <w:vAlign w:val="bottom"/>
          </w:tcPr>
          <w:p w14:paraId="1F9F5C84" w14:textId="77777777" w:rsidR="000E0A40" w:rsidRPr="00583355" w:rsidRDefault="000E0A40" w:rsidP="000238D2">
            <w:pPr>
              <w:pStyle w:val="CETBodytext"/>
              <w:rPr>
                <w:rFonts w:eastAsia="Arial Unicode MS"/>
              </w:rPr>
            </w:pPr>
            <w:r w:rsidRPr="00583355">
              <w:t>2.00</w:t>
            </w:r>
          </w:p>
        </w:tc>
        <w:tc>
          <w:tcPr>
            <w:tcW w:w="1134" w:type="dxa"/>
            <w:tcBorders>
              <w:top w:val="nil"/>
              <w:left w:val="nil"/>
              <w:bottom w:val="nil"/>
              <w:right w:val="nil"/>
            </w:tcBorders>
            <w:vAlign w:val="bottom"/>
          </w:tcPr>
          <w:p w14:paraId="3FACF1EB" w14:textId="77777777" w:rsidR="000E0A40" w:rsidRPr="00583355" w:rsidRDefault="000E0A40" w:rsidP="000238D2">
            <w:pPr>
              <w:pStyle w:val="CETBodytext"/>
              <w:rPr>
                <w:rFonts w:eastAsia="Arial Unicode MS"/>
              </w:rPr>
            </w:pPr>
            <w:r w:rsidRPr="00583355">
              <w:t>2.36</w:t>
            </w:r>
          </w:p>
        </w:tc>
        <w:tc>
          <w:tcPr>
            <w:tcW w:w="1418" w:type="dxa"/>
            <w:tcBorders>
              <w:top w:val="nil"/>
              <w:left w:val="nil"/>
              <w:bottom w:val="nil"/>
              <w:right w:val="nil"/>
            </w:tcBorders>
            <w:vAlign w:val="bottom"/>
          </w:tcPr>
          <w:p w14:paraId="68C9A686" w14:textId="77777777" w:rsidR="000E0A40" w:rsidRPr="00583355" w:rsidRDefault="000E0A40" w:rsidP="000238D2">
            <w:pPr>
              <w:pStyle w:val="CETBodytext"/>
              <w:rPr>
                <w:rFonts w:eastAsia="Arial Unicode MS"/>
              </w:rPr>
            </w:pPr>
            <w:r w:rsidRPr="00583355">
              <w:t>0.05</w:t>
            </w:r>
          </w:p>
        </w:tc>
      </w:tr>
      <w:tr w:rsidR="000E0A40" w:rsidRPr="00583355" w14:paraId="15A04DF7" w14:textId="77777777" w:rsidTr="000238D2">
        <w:tc>
          <w:tcPr>
            <w:tcW w:w="2835" w:type="dxa"/>
            <w:vMerge/>
            <w:tcBorders>
              <w:top w:val="nil"/>
              <w:left w:val="nil"/>
              <w:bottom w:val="nil"/>
              <w:right w:val="nil"/>
            </w:tcBorders>
          </w:tcPr>
          <w:p w14:paraId="5EC18D22" w14:textId="77777777" w:rsidR="000E0A40" w:rsidRPr="00583355" w:rsidRDefault="000E0A40" w:rsidP="000238D2">
            <w:pPr>
              <w:pStyle w:val="CETBodytext"/>
              <w:rPr>
                <w:rFonts w:eastAsia="Arial Unicode MS"/>
              </w:rPr>
            </w:pPr>
          </w:p>
        </w:tc>
        <w:tc>
          <w:tcPr>
            <w:tcW w:w="709" w:type="dxa"/>
            <w:tcBorders>
              <w:top w:val="nil"/>
              <w:left w:val="nil"/>
              <w:bottom w:val="nil"/>
              <w:right w:val="nil"/>
            </w:tcBorders>
          </w:tcPr>
          <w:p w14:paraId="42504929" w14:textId="77777777" w:rsidR="000E0A40" w:rsidRPr="00583355" w:rsidRDefault="000E0A40" w:rsidP="000238D2">
            <w:pPr>
              <w:pStyle w:val="CETBodytext"/>
              <w:rPr>
                <w:rFonts w:eastAsia="Arial Unicode MS"/>
              </w:rPr>
            </w:pPr>
          </w:p>
        </w:tc>
        <w:tc>
          <w:tcPr>
            <w:tcW w:w="567" w:type="dxa"/>
            <w:tcBorders>
              <w:top w:val="nil"/>
              <w:left w:val="nil"/>
              <w:bottom w:val="nil"/>
              <w:right w:val="nil"/>
            </w:tcBorders>
          </w:tcPr>
          <w:p w14:paraId="1D1394BF" w14:textId="77777777" w:rsidR="000E0A40" w:rsidRPr="00583355" w:rsidRDefault="000E0A40" w:rsidP="000238D2">
            <w:pPr>
              <w:pStyle w:val="CETBodytext"/>
              <w:rPr>
                <w:rFonts w:eastAsia="Arial Unicode MS"/>
              </w:rPr>
            </w:pPr>
            <w:r w:rsidRPr="00583355">
              <w:rPr>
                <w:rFonts w:eastAsia="Arial Unicode MS"/>
              </w:rPr>
              <w:t>O</w:t>
            </w:r>
          </w:p>
        </w:tc>
        <w:tc>
          <w:tcPr>
            <w:tcW w:w="975" w:type="dxa"/>
            <w:tcBorders>
              <w:top w:val="nil"/>
              <w:left w:val="nil"/>
              <w:bottom w:val="nil"/>
              <w:right w:val="nil"/>
            </w:tcBorders>
          </w:tcPr>
          <w:p w14:paraId="133E179D" w14:textId="77777777" w:rsidR="000E0A40" w:rsidRPr="00583355" w:rsidRDefault="000E0A40" w:rsidP="000238D2">
            <w:pPr>
              <w:pStyle w:val="CETBodytext"/>
              <w:rPr>
                <w:rFonts w:eastAsia="Arial Unicode MS"/>
              </w:rPr>
            </w:pPr>
            <w:r w:rsidRPr="00583355">
              <w:rPr>
                <w:rFonts w:eastAsia="Arial Unicode MS"/>
              </w:rPr>
              <w:t>43.65</w:t>
            </w:r>
          </w:p>
        </w:tc>
        <w:tc>
          <w:tcPr>
            <w:tcW w:w="1151" w:type="dxa"/>
            <w:tcBorders>
              <w:top w:val="nil"/>
              <w:left w:val="nil"/>
              <w:bottom w:val="nil"/>
              <w:right w:val="nil"/>
            </w:tcBorders>
            <w:vAlign w:val="bottom"/>
          </w:tcPr>
          <w:p w14:paraId="501CACAA" w14:textId="77777777" w:rsidR="000E0A40" w:rsidRPr="00583355" w:rsidRDefault="000E0A40" w:rsidP="000238D2">
            <w:pPr>
              <w:pStyle w:val="CETBodytext"/>
              <w:rPr>
                <w:rFonts w:eastAsia="Arial Unicode MS"/>
              </w:rPr>
            </w:pPr>
            <w:r w:rsidRPr="00583355">
              <w:t>2.36</w:t>
            </w:r>
          </w:p>
        </w:tc>
        <w:tc>
          <w:tcPr>
            <w:tcW w:w="1134" w:type="dxa"/>
            <w:tcBorders>
              <w:top w:val="nil"/>
              <w:left w:val="nil"/>
              <w:bottom w:val="nil"/>
              <w:right w:val="nil"/>
            </w:tcBorders>
            <w:vAlign w:val="bottom"/>
          </w:tcPr>
          <w:p w14:paraId="7718CC4C" w14:textId="77777777" w:rsidR="000E0A40" w:rsidRPr="00583355" w:rsidRDefault="000E0A40" w:rsidP="000238D2">
            <w:pPr>
              <w:pStyle w:val="CETBodytext"/>
              <w:rPr>
                <w:rFonts w:eastAsia="Arial Unicode MS"/>
              </w:rPr>
            </w:pPr>
            <w:r w:rsidRPr="00583355">
              <w:t>4.75</w:t>
            </w:r>
          </w:p>
        </w:tc>
        <w:tc>
          <w:tcPr>
            <w:tcW w:w="1418" w:type="dxa"/>
            <w:tcBorders>
              <w:top w:val="nil"/>
              <w:left w:val="nil"/>
              <w:bottom w:val="nil"/>
              <w:right w:val="nil"/>
            </w:tcBorders>
            <w:vAlign w:val="bottom"/>
          </w:tcPr>
          <w:p w14:paraId="0D6277F3" w14:textId="77777777" w:rsidR="000E0A40" w:rsidRPr="00583355" w:rsidRDefault="000E0A40" w:rsidP="000238D2">
            <w:pPr>
              <w:pStyle w:val="CETBodytext"/>
              <w:rPr>
                <w:rFonts w:eastAsia="Arial Unicode MS"/>
              </w:rPr>
            </w:pPr>
            <w:r w:rsidRPr="00583355">
              <w:t>0.06</w:t>
            </w:r>
          </w:p>
        </w:tc>
      </w:tr>
      <w:tr w:rsidR="000E0A40" w:rsidRPr="00583355" w14:paraId="589D2AEA" w14:textId="77777777" w:rsidTr="000238D2">
        <w:tc>
          <w:tcPr>
            <w:tcW w:w="2835" w:type="dxa"/>
            <w:tcBorders>
              <w:top w:val="nil"/>
              <w:left w:val="nil"/>
              <w:bottom w:val="nil"/>
              <w:right w:val="nil"/>
            </w:tcBorders>
          </w:tcPr>
          <w:p w14:paraId="41DBC869" w14:textId="77777777" w:rsidR="000E0A40" w:rsidRPr="00583355" w:rsidRDefault="000E0A40" w:rsidP="000238D2">
            <w:pPr>
              <w:pStyle w:val="CETBodytext"/>
              <w:rPr>
                <w:rFonts w:eastAsia="Arial Unicode MS"/>
              </w:rPr>
            </w:pPr>
          </w:p>
        </w:tc>
        <w:tc>
          <w:tcPr>
            <w:tcW w:w="709" w:type="dxa"/>
            <w:tcBorders>
              <w:top w:val="nil"/>
              <w:left w:val="nil"/>
              <w:bottom w:val="nil"/>
              <w:right w:val="nil"/>
            </w:tcBorders>
          </w:tcPr>
          <w:p w14:paraId="27A42928" w14:textId="77777777" w:rsidR="000E0A40" w:rsidRPr="00583355" w:rsidRDefault="000E0A40" w:rsidP="000238D2">
            <w:pPr>
              <w:pStyle w:val="CETBodytext"/>
              <w:rPr>
                <w:rFonts w:eastAsia="Arial Unicode MS"/>
              </w:rPr>
            </w:pPr>
          </w:p>
        </w:tc>
        <w:tc>
          <w:tcPr>
            <w:tcW w:w="567" w:type="dxa"/>
            <w:tcBorders>
              <w:top w:val="nil"/>
              <w:left w:val="nil"/>
              <w:bottom w:val="nil"/>
              <w:right w:val="nil"/>
            </w:tcBorders>
          </w:tcPr>
          <w:p w14:paraId="5FCBA22B" w14:textId="77777777" w:rsidR="000E0A40" w:rsidRPr="00583355" w:rsidRDefault="000E0A40" w:rsidP="000238D2">
            <w:pPr>
              <w:pStyle w:val="CETBodytext"/>
              <w:rPr>
                <w:rFonts w:eastAsia="Arial Unicode MS"/>
              </w:rPr>
            </w:pPr>
          </w:p>
        </w:tc>
        <w:tc>
          <w:tcPr>
            <w:tcW w:w="975" w:type="dxa"/>
            <w:tcBorders>
              <w:top w:val="nil"/>
              <w:left w:val="nil"/>
              <w:bottom w:val="nil"/>
              <w:right w:val="nil"/>
            </w:tcBorders>
          </w:tcPr>
          <w:p w14:paraId="22194622" w14:textId="77777777" w:rsidR="000E0A40" w:rsidRPr="00583355" w:rsidRDefault="000E0A40" w:rsidP="000238D2">
            <w:pPr>
              <w:pStyle w:val="CETBodytext"/>
              <w:rPr>
                <w:rFonts w:eastAsia="Arial Unicode MS"/>
              </w:rPr>
            </w:pPr>
          </w:p>
        </w:tc>
        <w:tc>
          <w:tcPr>
            <w:tcW w:w="1151" w:type="dxa"/>
            <w:tcBorders>
              <w:top w:val="nil"/>
              <w:left w:val="nil"/>
              <w:bottom w:val="nil"/>
              <w:right w:val="nil"/>
            </w:tcBorders>
            <w:vAlign w:val="bottom"/>
          </w:tcPr>
          <w:p w14:paraId="3EA43927" w14:textId="77777777" w:rsidR="000E0A40" w:rsidRPr="00583355" w:rsidRDefault="000E0A40" w:rsidP="000238D2">
            <w:pPr>
              <w:pStyle w:val="CETBodytext"/>
              <w:rPr>
                <w:rFonts w:eastAsia="Arial Unicode MS"/>
              </w:rPr>
            </w:pPr>
            <w:r w:rsidRPr="00583355">
              <w:t>4.75</w:t>
            </w:r>
          </w:p>
        </w:tc>
        <w:tc>
          <w:tcPr>
            <w:tcW w:w="1134" w:type="dxa"/>
            <w:tcBorders>
              <w:top w:val="nil"/>
              <w:left w:val="nil"/>
              <w:bottom w:val="nil"/>
              <w:right w:val="nil"/>
            </w:tcBorders>
            <w:vAlign w:val="bottom"/>
          </w:tcPr>
          <w:p w14:paraId="3D316CDA" w14:textId="77777777" w:rsidR="000E0A40" w:rsidRPr="00583355" w:rsidRDefault="000E0A40" w:rsidP="000238D2">
            <w:pPr>
              <w:pStyle w:val="CETBodytext"/>
              <w:rPr>
                <w:rFonts w:eastAsia="Arial Unicode MS"/>
              </w:rPr>
            </w:pPr>
            <w:r w:rsidRPr="00583355">
              <w:t>6.30</w:t>
            </w:r>
          </w:p>
        </w:tc>
        <w:tc>
          <w:tcPr>
            <w:tcW w:w="1418" w:type="dxa"/>
            <w:tcBorders>
              <w:top w:val="nil"/>
              <w:left w:val="nil"/>
              <w:bottom w:val="nil"/>
              <w:right w:val="nil"/>
            </w:tcBorders>
            <w:vAlign w:val="bottom"/>
          </w:tcPr>
          <w:p w14:paraId="2C29BF50" w14:textId="77777777" w:rsidR="000E0A40" w:rsidRPr="00583355" w:rsidRDefault="000E0A40" w:rsidP="000238D2">
            <w:pPr>
              <w:pStyle w:val="CETBodytext"/>
              <w:rPr>
                <w:rFonts w:eastAsia="Arial Unicode MS"/>
              </w:rPr>
            </w:pPr>
            <w:r w:rsidRPr="00583355">
              <w:t>0.01</w:t>
            </w:r>
          </w:p>
        </w:tc>
      </w:tr>
      <w:tr w:rsidR="000E0A40" w:rsidRPr="00583355" w14:paraId="63828F22" w14:textId="77777777" w:rsidTr="000238D2">
        <w:tc>
          <w:tcPr>
            <w:tcW w:w="2835" w:type="dxa"/>
            <w:tcBorders>
              <w:top w:val="nil"/>
              <w:left w:val="nil"/>
              <w:bottom w:val="single" w:sz="18" w:space="0" w:color="00B050"/>
              <w:right w:val="nil"/>
            </w:tcBorders>
          </w:tcPr>
          <w:p w14:paraId="20843E75" w14:textId="77777777" w:rsidR="000E0A40" w:rsidRPr="00583355" w:rsidRDefault="000E0A40" w:rsidP="000238D2">
            <w:pPr>
              <w:pStyle w:val="CETBodytext"/>
              <w:rPr>
                <w:rFonts w:eastAsia="Arial Unicode MS"/>
              </w:rPr>
            </w:pPr>
          </w:p>
        </w:tc>
        <w:tc>
          <w:tcPr>
            <w:tcW w:w="709" w:type="dxa"/>
            <w:tcBorders>
              <w:top w:val="nil"/>
              <w:left w:val="nil"/>
              <w:bottom w:val="single" w:sz="18" w:space="0" w:color="00B050"/>
              <w:right w:val="nil"/>
            </w:tcBorders>
          </w:tcPr>
          <w:p w14:paraId="0C5CD41E" w14:textId="77777777" w:rsidR="000E0A40" w:rsidRPr="00583355" w:rsidRDefault="000E0A40" w:rsidP="000238D2">
            <w:pPr>
              <w:pStyle w:val="CETBodytext"/>
              <w:rPr>
                <w:rFonts w:eastAsia="Arial Unicode MS"/>
              </w:rPr>
            </w:pPr>
          </w:p>
        </w:tc>
        <w:tc>
          <w:tcPr>
            <w:tcW w:w="567" w:type="dxa"/>
            <w:tcBorders>
              <w:top w:val="nil"/>
              <w:left w:val="nil"/>
              <w:bottom w:val="single" w:sz="18" w:space="0" w:color="00B050"/>
              <w:right w:val="nil"/>
            </w:tcBorders>
          </w:tcPr>
          <w:p w14:paraId="60422C8F" w14:textId="77777777" w:rsidR="000E0A40" w:rsidRPr="00583355" w:rsidRDefault="000E0A40" w:rsidP="000238D2">
            <w:pPr>
              <w:pStyle w:val="CETBodytext"/>
              <w:rPr>
                <w:rFonts w:eastAsia="Arial Unicode MS"/>
              </w:rPr>
            </w:pPr>
          </w:p>
        </w:tc>
        <w:tc>
          <w:tcPr>
            <w:tcW w:w="975" w:type="dxa"/>
            <w:tcBorders>
              <w:top w:val="nil"/>
              <w:left w:val="nil"/>
              <w:bottom w:val="single" w:sz="18" w:space="0" w:color="00B050"/>
              <w:right w:val="nil"/>
            </w:tcBorders>
          </w:tcPr>
          <w:p w14:paraId="65B4437D" w14:textId="77777777" w:rsidR="000E0A40" w:rsidRPr="00583355" w:rsidRDefault="000E0A40" w:rsidP="000238D2">
            <w:pPr>
              <w:pStyle w:val="CETBodytext"/>
              <w:rPr>
                <w:rFonts w:eastAsia="Arial Unicode MS"/>
              </w:rPr>
            </w:pPr>
          </w:p>
        </w:tc>
        <w:tc>
          <w:tcPr>
            <w:tcW w:w="1151" w:type="dxa"/>
            <w:tcBorders>
              <w:top w:val="nil"/>
              <w:left w:val="nil"/>
              <w:bottom w:val="single" w:sz="18" w:space="0" w:color="00B050"/>
              <w:right w:val="nil"/>
            </w:tcBorders>
            <w:vAlign w:val="bottom"/>
          </w:tcPr>
          <w:p w14:paraId="4F8DEE92" w14:textId="77777777" w:rsidR="000E0A40" w:rsidRPr="00583355" w:rsidRDefault="000E0A40" w:rsidP="000238D2">
            <w:pPr>
              <w:pStyle w:val="CETBodytext"/>
              <w:rPr>
                <w:rFonts w:eastAsia="Arial Unicode MS"/>
              </w:rPr>
            </w:pPr>
            <w:r w:rsidRPr="00583355">
              <w:t>6.30</w:t>
            </w:r>
          </w:p>
        </w:tc>
        <w:tc>
          <w:tcPr>
            <w:tcW w:w="1134" w:type="dxa"/>
            <w:tcBorders>
              <w:top w:val="nil"/>
              <w:left w:val="nil"/>
              <w:bottom w:val="single" w:sz="18" w:space="0" w:color="00B050"/>
              <w:right w:val="nil"/>
            </w:tcBorders>
            <w:vAlign w:val="bottom"/>
          </w:tcPr>
          <w:p w14:paraId="130640EA" w14:textId="77777777" w:rsidR="000E0A40" w:rsidRPr="00583355" w:rsidRDefault="000E0A40" w:rsidP="000238D2">
            <w:pPr>
              <w:pStyle w:val="CETBodytext"/>
              <w:rPr>
                <w:rFonts w:eastAsia="Arial Unicode MS"/>
              </w:rPr>
            </w:pPr>
            <w:r w:rsidRPr="00583355">
              <w:t>9.00</w:t>
            </w:r>
          </w:p>
        </w:tc>
        <w:tc>
          <w:tcPr>
            <w:tcW w:w="1418" w:type="dxa"/>
            <w:tcBorders>
              <w:top w:val="nil"/>
              <w:left w:val="nil"/>
              <w:bottom w:val="single" w:sz="18" w:space="0" w:color="00B050"/>
              <w:right w:val="nil"/>
            </w:tcBorders>
            <w:vAlign w:val="bottom"/>
          </w:tcPr>
          <w:p w14:paraId="71F51DBB" w14:textId="77777777" w:rsidR="000E0A40" w:rsidRPr="00583355" w:rsidRDefault="000E0A40" w:rsidP="000238D2">
            <w:pPr>
              <w:pStyle w:val="CETBodytext"/>
              <w:rPr>
                <w:rFonts w:eastAsia="Arial Unicode MS"/>
              </w:rPr>
            </w:pPr>
            <w:r w:rsidRPr="00583355">
              <w:t>0.16</w:t>
            </w:r>
          </w:p>
        </w:tc>
      </w:tr>
      <w:tr w:rsidR="000E0A40" w:rsidRPr="00583355" w14:paraId="5523A639" w14:textId="77777777" w:rsidTr="000238D2">
        <w:tc>
          <w:tcPr>
            <w:tcW w:w="8789" w:type="dxa"/>
            <w:gridSpan w:val="7"/>
            <w:tcBorders>
              <w:top w:val="single" w:sz="18" w:space="0" w:color="00B050"/>
              <w:left w:val="nil"/>
              <w:bottom w:val="nil"/>
              <w:right w:val="nil"/>
            </w:tcBorders>
          </w:tcPr>
          <w:p w14:paraId="22BA0377" w14:textId="69E304B2" w:rsidR="000E0A40" w:rsidRPr="00583355" w:rsidRDefault="009E11C4" w:rsidP="009E11C4">
            <w:pPr>
              <w:pStyle w:val="CETBodytext"/>
              <w:rPr>
                <w:rFonts w:eastAsia="Arial Unicode MS"/>
              </w:rPr>
            </w:pPr>
            <w:r>
              <w:t>a:</w:t>
            </w:r>
            <w:r w:rsidRPr="00583355">
              <w:t xml:space="preserve"> Figueroa et al. 2014</w:t>
            </w:r>
            <w:r>
              <w:t xml:space="preserve"> b</w:t>
            </w:r>
            <w:r w:rsidR="00BE1E2D">
              <w:t>:</w:t>
            </w:r>
            <w:r w:rsidR="000E0A40" w:rsidRPr="00583355">
              <w:t xml:space="preserve"> </w:t>
            </w:r>
            <w:r w:rsidR="000E0A40">
              <w:t xml:space="preserve">Taken from </w:t>
            </w:r>
            <w:r w:rsidR="003D3B45">
              <w:t>Camacho-</w:t>
            </w:r>
            <w:r w:rsidR="000E0A40">
              <w:t>Ardila et al. (2025)</w:t>
            </w:r>
          </w:p>
        </w:tc>
      </w:tr>
    </w:tbl>
    <w:p w14:paraId="2541BFF5" w14:textId="77777777" w:rsidR="000E0A40" w:rsidRPr="000E0A40" w:rsidRDefault="000E0A40" w:rsidP="00854B4B">
      <w:pPr>
        <w:pStyle w:val="CETBodytext"/>
        <w:rPr>
          <w:rStyle w:val="CETAuthorsCarattere"/>
          <w:noProof w:val="0"/>
          <w:sz w:val="18"/>
        </w:rPr>
      </w:pPr>
    </w:p>
    <w:p w14:paraId="2D5BACC9" w14:textId="38174967" w:rsidR="002253D2" w:rsidRPr="00867645" w:rsidRDefault="00854B4B" w:rsidP="00867645">
      <w:pPr>
        <w:pStyle w:val="CETBodytext"/>
      </w:pPr>
      <w:r w:rsidRPr="00867645">
        <w:rPr>
          <w:rStyle w:val="CETAuthorsCarattere"/>
          <w:noProof w:val="0"/>
          <w:sz w:val="18"/>
          <w:lang w:val="en-US"/>
        </w:rPr>
        <w:t>-</w:t>
      </w:r>
      <w:r w:rsidR="002253D2" w:rsidRPr="00867645">
        <w:rPr>
          <w:rStyle w:val="CETAuthorsCarattere"/>
          <w:noProof w:val="0"/>
          <w:sz w:val="18"/>
          <w:lang w:val="en-US"/>
        </w:rPr>
        <w:t>The model was developed in a steady state.</w:t>
      </w:r>
    </w:p>
    <w:p w14:paraId="02D29DD1" w14:textId="5AC24897" w:rsidR="008B22CE" w:rsidRPr="00867645" w:rsidRDefault="00854B4B" w:rsidP="00867645">
      <w:pPr>
        <w:pStyle w:val="CETBodytext"/>
      </w:pPr>
      <w:r w:rsidRPr="00867645">
        <w:rPr>
          <w:rStyle w:val="CETAuthorsCarattere"/>
          <w:noProof w:val="0"/>
          <w:sz w:val="18"/>
          <w:lang w:val="en-US"/>
        </w:rPr>
        <w:t>-</w:t>
      </w:r>
      <w:r w:rsidR="008B22CE" w:rsidRPr="00867645">
        <w:rPr>
          <w:rStyle w:val="CETAuthorsCarattere"/>
          <w:noProof w:val="0"/>
          <w:sz w:val="18"/>
          <w:lang w:val="en-US"/>
        </w:rPr>
        <w:t>The empirical formula for char is CH</w:t>
      </w:r>
      <w:r w:rsidR="008B22CE" w:rsidRPr="009D0462">
        <w:rPr>
          <w:rStyle w:val="CETAuthorsCarattere"/>
          <w:noProof w:val="0"/>
          <w:sz w:val="18"/>
          <w:vertAlign w:val="subscript"/>
          <w:lang w:val="en-US"/>
        </w:rPr>
        <w:t>0.2909</w:t>
      </w:r>
      <w:r w:rsidR="008B22CE" w:rsidRPr="00867645">
        <w:rPr>
          <w:rStyle w:val="CETAuthorsCarattere"/>
          <w:noProof w:val="0"/>
          <w:sz w:val="18"/>
          <w:lang w:val="en-US"/>
        </w:rPr>
        <w:t>O</w:t>
      </w:r>
      <w:r w:rsidR="008B22CE" w:rsidRPr="009D0462">
        <w:rPr>
          <w:rStyle w:val="CETAuthorsCarattere"/>
          <w:noProof w:val="0"/>
          <w:sz w:val="18"/>
          <w:vertAlign w:val="subscript"/>
          <w:lang w:val="en-US"/>
        </w:rPr>
        <w:t>0.0507</w:t>
      </w:r>
      <w:r w:rsidR="008B22CE" w:rsidRPr="00867645">
        <w:rPr>
          <w:rStyle w:val="CETAuthorsCarattere"/>
          <w:noProof w:val="0"/>
          <w:sz w:val="18"/>
          <w:lang w:val="en-US"/>
        </w:rPr>
        <w:t>N</w:t>
      </w:r>
      <w:r w:rsidR="008B22CE" w:rsidRPr="009D0462">
        <w:rPr>
          <w:rStyle w:val="CETAuthorsCarattere"/>
          <w:noProof w:val="0"/>
          <w:sz w:val="18"/>
          <w:vertAlign w:val="subscript"/>
          <w:lang w:val="en-US"/>
        </w:rPr>
        <w:t>0.032</w:t>
      </w:r>
      <w:r w:rsidR="008B22CE" w:rsidRPr="00867645">
        <w:rPr>
          <w:rStyle w:val="CETAuthorsCarattere"/>
          <w:noProof w:val="0"/>
          <w:sz w:val="18"/>
          <w:lang w:val="en-US"/>
        </w:rPr>
        <w:t>S</w:t>
      </w:r>
      <w:r w:rsidR="008B22CE" w:rsidRPr="009D0462">
        <w:rPr>
          <w:rStyle w:val="CETAuthorsCarattere"/>
          <w:noProof w:val="0"/>
          <w:sz w:val="18"/>
          <w:vertAlign w:val="subscript"/>
          <w:lang w:val="en-US"/>
        </w:rPr>
        <w:t>0.0044</w:t>
      </w:r>
      <w:r w:rsidR="008B22CE" w:rsidRPr="00867645">
        <w:rPr>
          <w:rStyle w:val="CETAuthorsCarattere"/>
          <w:noProof w:val="0"/>
          <w:sz w:val="18"/>
          <w:lang w:val="en-US"/>
        </w:rPr>
        <w:t>Cl</w:t>
      </w:r>
      <w:r w:rsidR="008B22CE" w:rsidRPr="009D0462">
        <w:rPr>
          <w:rStyle w:val="CETAuthorsCarattere"/>
          <w:noProof w:val="0"/>
          <w:sz w:val="18"/>
          <w:vertAlign w:val="subscript"/>
          <w:lang w:val="en-US"/>
        </w:rPr>
        <w:t>0.0116</w:t>
      </w:r>
      <w:r w:rsidR="0069691D">
        <w:rPr>
          <w:rStyle w:val="CETAuthorsCarattere"/>
          <w:noProof w:val="0"/>
          <w:sz w:val="18"/>
          <w:vertAlign w:val="subscript"/>
          <w:lang w:val="en-US"/>
        </w:rPr>
        <w:t>,</w:t>
      </w:r>
      <w:r w:rsidR="008B22CE" w:rsidRPr="00867645">
        <w:rPr>
          <w:rStyle w:val="CETAuthorsCarattere"/>
          <w:noProof w:val="0"/>
          <w:sz w:val="18"/>
          <w:lang w:val="en-US"/>
        </w:rPr>
        <w:t xml:space="preserve"> and for tar is CH</w:t>
      </w:r>
      <w:r w:rsidR="008B22CE" w:rsidRPr="009D0462">
        <w:rPr>
          <w:rStyle w:val="CETAuthorsCarattere"/>
          <w:noProof w:val="0"/>
          <w:sz w:val="18"/>
          <w:vertAlign w:val="subscript"/>
          <w:lang w:val="en-US"/>
        </w:rPr>
        <w:t>1.3558</w:t>
      </w:r>
      <w:r w:rsidR="00542105" w:rsidRPr="00867645">
        <w:t>O</w:t>
      </w:r>
      <w:r w:rsidR="008B22CE" w:rsidRPr="009D0462">
        <w:rPr>
          <w:rStyle w:val="CETAuthorsCarattere"/>
          <w:noProof w:val="0"/>
          <w:sz w:val="18"/>
          <w:vertAlign w:val="subscript"/>
          <w:lang w:val="en-US"/>
        </w:rPr>
        <w:t>0.5098</w:t>
      </w:r>
      <w:r w:rsidR="009D0462">
        <w:rPr>
          <w:rStyle w:val="CETAuthorsCarattere"/>
          <w:noProof w:val="0"/>
          <w:sz w:val="18"/>
          <w:lang w:val="en-US"/>
        </w:rPr>
        <w:t>.</w:t>
      </w:r>
      <w:r w:rsidR="00751C3F">
        <w:rPr>
          <w:rStyle w:val="CETAuthorsCarattere"/>
          <w:noProof w:val="0"/>
          <w:sz w:val="18"/>
          <w:lang w:val="en-US"/>
        </w:rPr>
        <w:t xml:space="preserve"> </w:t>
      </w:r>
      <w:r w:rsidR="008B22CE" w:rsidRPr="00867645">
        <w:rPr>
          <w:rStyle w:val="CETAuthorsCarattere"/>
          <w:noProof w:val="0"/>
          <w:sz w:val="18"/>
          <w:lang w:val="en-US"/>
        </w:rPr>
        <w:t xml:space="preserve">These values were obtained from the elemental analysis generated by </w:t>
      </w:r>
      <w:r w:rsidR="003D3B45">
        <w:rPr>
          <w:rStyle w:val="CETAuthorsCarattere"/>
          <w:noProof w:val="0"/>
          <w:sz w:val="18"/>
          <w:lang w:val="en-US"/>
        </w:rPr>
        <w:t>Camacho-</w:t>
      </w:r>
      <w:r w:rsidR="008B22CE" w:rsidRPr="00867645">
        <w:rPr>
          <w:rStyle w:val="CETAuthorsCarattere"/>
          <w:noProof w:val="0"/>
          <w:sz w:val="18"/>
          <w:lang w:val="en-US"/>
        </w:rPr>
        <w:t>Ardila et al. (2025) for the pyrolysis of sugarcane bagasse at a temperature of 600 °C.</w:t>
      </w:r>
    </w:p>
    <w:p w14:paraId="4CE20990" w14:textId="16F08B3A" w:rsidR="006954E6" w:rsidRDefault="008E5C30" w:rsidP="00867645">
      <w:pPr>
        <w:pStyle w:val="CETBodytext"/>
      </w:pPr>
      <w:r w:rsidRPr="00867645">
        <w:rPr>
          <w:rFonts w:eastAsiaTheme="minorHAnsi"/>
        </w:rPr>
        <w:t>-</w:t>
      </w:r>
      <w:r w:rsidR="006954E6" w:rsidRPr="00867645">
        <w:t xml:space="preserve">A fixed-bed reactor with a diameter of 15 cm and a height of 2 m was considered (Akay </w:t>
      </w:r>
      <w:r w:rsidR="006954E6" w:rsidRPr="004B7B0A">
        <w:t>and Jordan</w:t>
      </w:r>
      <w:r w:rsidR="00F064BC" w:rsidRPr="004B7B0A">
        <w:t>,</w:t>
      </w:r>
      <w:r w:rsidR="00F064BC">
        <w:t xml:space="preserve"> 2006).</w:t>
      </w:r>
      <w:r w:rsidR="006954E6" w:rsidRPr="00867645">
        <w:t xml:space="preserve"> The total volume of the reactor was divided into two parts with the same volume</w:t>
      </w:r>
      <w:r w:rsidR="00CF0560">
        <w:t>.</w:t>
      </w:r>
    </w:p>
    <w:p w14:paraId="0DEE824C" w14:textId="1AD4EA14" w:rsidR="005239E1" w:rsidRDefault="005239E1" w:rsidP="00867645">
      <w:pPr>
        <w:pStyle w:val="CETBodytext"/>
      </w:pPr>
      <w:r w:rsidRPr="00867645">
        <w:t>-</w:t>
      </w:r>
      <w:r w:rsidR="00251FB3" w:rsidRPr="00867645">
        <w:rPr>
          <w:rStyle w:val="CETAuthorsCarattere"/>
          <w:noProof w:val="0"/>
          <w:sz w:val="18"/>
          <w:lang w:val="en-US"/>
        </w:rPr>
        <w:t>Conventional components used during the simulation are</w:t>
      </w:r>
      <w:r w:rsidRPr="00867645">
        <w:t xml:space="preserve"> CO,</w:t>
      </w:r>
      <w:r w:rsidR="00867645">
        <w:t xml:space="preserve"> </w:t>
      </w:r>
      <w:r w:rsidRPr="00867645">
        <w:t>CO</w:t>
      </w:r>
      <w:r w:rsidRPr="00867645">
        <w:rPr>
          <w:vertAlign w:val="subscript"/>
        </w:rPr>
        <w:t>2</w:t>
      </w:r>
      <w:r w:rsidRPr="00867645">
        <w:t>, H</w:t>
      </w:r>
      <w:r w:rsidRPr="00867645">
        <w:rPr>
          <w:vertAlign w:val="subscript"/>
        </w:rPr>
        <w:t>2</w:t>
      </w:r>
      <w:r w:rsidRPr="00867645">
        <w:t>, CH</w:t>
      </w:r>
      <w:r w:rsidRPr="00867645">
        <w:rPr>
          <w:vertAlign w:val="subscript"/>
        </w:rPr>
        <w:t>4</w:t>
      </w:r>
      <w:r w:rsidRPr="00867645">
        <w:t>, ethane, ethylene, HCl, H</w:t>
      </w:r>
      <w:r w:rsidRPr="00867645">
        <w:rPr>
          <w:vertAlign w:val="subscript"/>
        </w:rPr>
        <w:t>2</w:t>
      </w:r>
      <w:r w:rsidRPr="00867645">
        <w:t>S, NO and NH</w:t>
      </w:r>
      <w:r w:rsidRPr="00867645">
        <w:rPr>
          <w:vertAlign w:val="subscript"/>
        </w:rPr>
        <w:t>3</w:t>
      </w:r>
      <w:r w:rsidRPr="00867645">
        <w:t>.</w:t>
      </w:r>
    </w:p>
    <w:p w14:paraId="2F1CF2AC" w14:textId="52A66D8F" w:rsidR="00CF0560" w:rsidRDefault="00CF0560" w:rsidP="00CF0560">
      <w:r>
        <w:t>-</w:t>
      </w:r>
      <w:r w:rsidRPr="00CF0560">
        <w:t xml:space="preserve"> </w:t>
      </w:r>
      <w:r w:rsidRPr="00C71857">
        <w:t xml:space="preserve">Air or </w:t>
      </w:r>
      <w:r w:rsidR="003C298D">
        <w:t xml:space="preserve">steam </w:t>
      </w:r>
      <w:r w:rsidRPr="00C71857">
        <w:t xml:space="preserve">water was considered as the gasifying agent. </w:t>
      </w:r>
    </w:p>
    <w:p w14:paraId="27770698" w14:textId="0C13B1E1" w:rsidR="00CF0560" w:rsidRPr="00C71857" w:rsidRDefault="00CF0560" w:rsidP="00CF0560">
      <w:r>
        <w:t>-</w:t>
      </w:r>
      <w:r w:rsidRPr="00C71857">
        <w:t>Variations were made in the main operating parameters such as equivalence ratio (ER), steam-biomass ratio</w:t>
      </w:r>
      <w:r>
        <w:t xml:space="preserve"> (SB)</w:t>
      </w:r>
      <w:r w:rsidRPr="00C71857">
        <w:t>, gasification temperature, and air preheating temperature.</w:t>
      </w:r>
    </w:p>
    <w:p w14:paraId="328316DE" w14:textId="42F0E9A1" w:rsidR="00D256B7" w:rsidRDefault="00D256B7" w:rsidP="00D256B7">
      <w:r>
        <w:t>-</w:t>
      </w:r>
      <w:r w:rsidRPr="00D256B7">
        <w:t xml:space="preserve"> </w:t>
      </w:r>
      <w:r w:rsidRPr="004B3A6C">
        <w:t>Figure 1 represents the flow</w:t>
      </w:r>
      <w:r>
        <w:t>sheet</w:t>
      </w:r>
      <w:r w:rsidRPr="004B3A6C">
        <w:t xml:space="preserve"> for fixed-bed gasification of sugarcane bagasse.</w:t>
      </w:r>
    </w:p>
    <w:p w14:paraId="4BCF4837" w14:textId="277E4754" w:rsidR="00820158" w:rsidRDefault="00820158" w:rsidP="00820158"/>
    <w:p w14:paraId="54005F58" w14:textId="7DD97350" w:rsidR="00DF6220" w:rsidRDefault="00DF6220" w:rsidP="00DF6220">
      <w:pPr>
        <w:pStyle w:val="CETheadingx"/>
      </w:pPr>
      <w:r w:rsidRPr="00B25DAC">
        <w:t>Drying and pyrolysis</w:t>
      </w:r>
    </w:p>
    <w:p w14:paraId="0BFED636" w14:textId="4242AD01" w:rsidR="0034721C" w:rsidRDefault="0034721C" w:rsidP="0034721C">
      <w:pPr>
        <w:pStyle w:val="Prrafodelista"/>
        <w:ind w:left="0"/>
        <w:rPr>
          <w:lang w:val="en-US"/>
        </w:rPr>
      </w:pPr>
      <w:r w:rsidRPr="0034721C">
        <w:rPr>
          <w:lang w:val="en-US"/>
        </w:rPr>
        <w:t>To define the compositions of tar, gases, and char generated during the initial stage of</w:t>
      </w:r>
      <w:r>
        <w:rPr>
          <w:lang w:val="en-US"/>
        </w:rPr>
        <w:t xml:space="preserve"> </w:t>
      </w:r>
      <w:r w:rsidRPr="0034721C">
        <w:rPr>
          <w:lang w:val="en-US"/>
        </w:rPr>
        <w:t xml:space="preserve">gasification, the methodology presented in </w:t>
      </w:r>
      <w:r w:rsidR="004F5AEB">
        <w:rPr>
          <w:lang w:val="en-US"/>
        </w:rPr>
        <w:t>Camacho-</w:t>
      </w:r>
      <w:r w:rsidRPr="0034721C">
        <w:rPr>
          <w:lang w:val="en-US"/>
        </w:rPr>
        <w:t>Ardila et al. (2025) (blocks SEC-1, SEC-2,</w:t>
      </w:r>
      <w:r>
        <w:rPr>
          <w:lang w:val="en-US"/>
        </w:rPr>
        <w:t xml:space="preserve"> </w:t>
      </w:r>
      <w:r w:rsidRPr="00C31784">
        <w:t>PIROLPRI</w:t>
      </w:r>
      <w:r w:rsidR="00E36762">
        <w:t xml:space="preserve"> Figure 1</w:t>
      </w:r>
      <w:r w:rsidRPr="00C31784">
        <w:t xml:space="preserve">) was used, thus defining the drying and devolatilization of sugarcane bagasse. </w:t>
      </w:r>
      <w:r w:rsidRPr="0034721C">
        <w:rPr>
          <w:lang w:val="en-US"/>
        </w:rPr>
        <w:t>For this case study, the correlations proposed for the fixed bed were considered as a basis. The</w:t>
      </w:r>
      <w:r>
        <w:rPr>
          <w:lang w:val="en-US"/>
        </w:rPr>
        <w:t xml:space="preserve"> </w:t>
      </w:r>
      <w:r w:rsidRPr="0034721C">
        <w:rPr>
          <w:lang w:val="en-US"/>
        </w:rPr>
        <w:t>pyrolysis temperature was fixed at 600 °C.</w:t>
      </w:r>
    </w:p>
    <w:p w14:paraId="2E101C05" w14:textId="3B0FB253" w:rsidR="00E36762" w:rsidRDefault="00E36762" w:rsidP="0034721C">
      <w:pPr>
        <w:pStyle w:val="Prrafodelista"/>
        <w:ind w:left="0"/>
        <w:rPr>
          <w:lang w:val="en-US"/>
        </w:rPr>
      </w:pPr>
    </w:p>
    <w:p w14:paraId="70AB38E9" w14:textId="77777777" w:rsidR="00D256B7" w:rsidRDefault="00D256B7" w:rsidP="00D256B7">
      <w:pPr>
        <w:pStyle w:val="CETheadingx"/>
      </w:pPr>
      <w:r>
        <w:t xml:space="preserve">Gasification </w:t>
      </w:r>
    </w:p>
    <w:p w14:paraId="73B32B51" w14:textId="63B0FCCE" w:rsidR="00D256B7" w:rsidRPr="000228FD" w:rsidRDefault="00E869E6" w:rsidP="00E869E6">
      <w:pPr>
        <w:pStyle w:val="CETBodytext"/>
      </w:pPr>
      <w:r w:rsidRPr="00E869E6">
        <w:t>The reactions used to represent the behavior of the fixed bed reactor and the kinetic parameters were taken according to the methodology proposed by Ardila (2015) on page 140.</w:t>
      </w:r>
      <w:r w:rsidR="001D5656">
        <w:t xml:space="preserve"> Fourteen reactions are considered to represent the char, tar</w:t>
      </w:r>
      <w:r w:rsidR="0069691D">
        <w:t>,</w:t>
      </w:r>
      <w:r w:rsidR="001D5656">
        <w:t xml:space="preserve"> and gases.</w:t>
      </w:r>
      <w:r>
        <w:t xml:space="preserve"> </w:t>
      </w:r>
      <w:r w:rsidR="00D256B7" w:rsidRPr="001C6789">
        <w:t>The reactions consider the c</w:t>
      </w:r>
      <w:r w:rsidR="00D256B7">
        <w:t>har</w:t>
      </w:r>
      <w:r w:rsidR="00D256B7" w:rsidRPr="001C6789">
        <w:t xml:space="preserve"> </w:t>
      </w:r>
      <w:r w:rsidR="0069691D">
        <w:t xml:space="preserve">in </w:t>
      </w:r>
      <w:r w:rsidR="00D256B7" w:rsidRPr="001C6789">
        <w:t>the form of</w:t>
      </w:r>
      <w:r w:rsidR="00D256B7">
        <w:t xml:space="preserve"> CH</w:t>
      </w:r>
      <w:r w:rsidR="00D256B7">
        <w:rPr>
          <w:vertAlign w:val="subscript"/>
        </w:rPr>
        <w:t>x</w:t>
      </w:r>
      <w:r w:rsidR="00D256B7">
        <w:t>O</w:t>
      </w:r>
      <w:r w:rsidR="00D256B7">
        <w:rPr>
          <w:vertAlign w:val="subscript"/>
        </w:rPr>
        <w:t>y</w:t>
      </w:r>
      <w:r w:rsidR="00D256B7">
        <w:t>N</w:t>
      </w:r>
      <w:r w:rsidR="00D256B7">
        <w:rPr>
          <w:vertAlign w:val="subscript"/>
        </w:rPr>
        <w:t>w</w:t>
      </w:r>
      <w:r w:rsidR="00D256B7">
        <w:t xml:space="preserve"> S</w:t>
      </w:r>
      <w:r w:rsidR="00D256B7">
        <w:rPr>
          <w:vertAlign w:val="subscript"/>
        </w:rPr>
        <w:t>z</w:t>
      </w:r>
      <w:r w:rsidR="00D256B7">
        <w:t>Cl</w:t>
      </w:r>
      <w:r w:rsidR="00D256B7">
        <w:rPr>
          <w:vertAlign w:val="subscript"/>
        </w:rPr>
        <w:t xml:space="preserve">p </w:t>
      </w:r>
      <w:r w:rsidR="00D256B7" w:rsidRPr="00EE4754">
        <w:rPr>
          <w:rStyle w:val="y2iqfc"/>
        </w:rPr>
        <w:t xml:space="preserve">and tar in the </w:t>
      </w:r>
      <w:r w:rsidR="00D256B7" w:rsidRPr="00EE4754">
        <w:rPr>
          <w:rStyle w:val="y2iqfc"/>
        </w:rPr>
        <w:lastRenderedPageBreak/>
        <w:t>form of</w:t>
      </w:r>
      <w:r w:rsidR="00D256B7">
        <w:rPr>
          <w:rStyle w:val="y2iqfc"/>
        </w:rPr>
        <w:t xml:space="preserve"> CHaOb, </w:t>
      </w:r>
      <w:r w:rsidR="00D256B7" w:rsidRPr="00A05D27">
        <w:rPr>
          <w:rStyle w:val="y2iqfc"/>
        </w:rPr>
        <w:t>derived from the pyrolysis of sugarcane bagasse</w:t>
      </w:r>
      <w:r w:rsidR="00D256B7">
        <w:rPr>
          <w:rStyle w:val="y2iqfc"/>
        </w:rPr>
        <w:t xml:space="preserve">. </w:t>
      </w:r>
      <w:r w:rsidR="00D256B7" w:rsidRPr="000228FD">
        <w:t>Homogeneous and heterogeneous reactions were applied to the CSTR reactor block</w:t>
      </w:r>
      <w:r w:rsidR="00D256B7">
        <w:t xml:space="preserve"> COMBS (Figure </w:t>
      </w:r>
      <w:r w:rsidR="00D256B7" w:rsidRPr="000228FD">
        <w:t>1), using kinetics through a FORTRAN code. In the reactions of the</w:t>
      </w:r>
      <w:r w:rsidR="00D256B7">
        <w:t xml:space="preserve"> </w:t>
      </w:r>
      <w:r w:rsidR="00D256B7" w:rsidRPr="000228FD">
        <w:t>GAF block, only homogeneous reactions were considered. The Z0-0 mixing block simulates the distributor</w:t>
      </w:r>
      <w:r w:rsidR="00D256B7">
        <w:t xml:space="preserve"> </w:t>
      </w:r>
      <w:r w:rsidR="00D256B7" w:rsidRPr="000228FD">
        <w:t>of the gasifier.</w:t>
      </w:r>
    </w:p>
    <w:p w14:paraId="46768391" w14:textId="77777777" w:rsidR="00E36762" w:rsidRDefault="00E36762" w:rsidP="00E36762"/>
    <w:p w14:paraId="4BA237CD" w14:textId="77777777" w:rsidR="00E36762" w:rsidRPr="0010721B" w:rsidRDefault="00E36762" w:rsidP="00E36762">
      <w:pPr>
        <w:pStyle w:val="CETBodytext"/>
        <w:rPr>
          <w:lang w:val="es-ES"/>
        </w:rPr>
      </w:pPr>
      <w:r>
        <w:rPr>
          <w:noProof/>
          <w:lang w:val="es-ES" w:eastAsia="es-ES"/>
        </w:rPr>
        <w:drawing>
          <wp:inline distT="0" distB="0" distL="0" distR="0" wp14:anchorId="22E10196" wp14:editId="39263561">
            <wp:extent cx="5690976" cy="261518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93" t="22591" r="8501" b="8907"/>
                    <a:stretch/>
                  </pic:blipFill>
                  <pic:spPr bwMode="auto">
                    <a:xfrm>
                      <a:off x="0" y="0"/>
                      <a:ext cx="5854184" cy="2690183"/>
                    </a:xfrm>
                    <a:prstGeom prst="rect">
                      <a:avLst/>
                    </a:prstGeom>
                    <a:ln>
                      <a:noFill/>
                    </a:ln>
                    <a:extLst>
                      <a:ext uri="{53640926-AAD7-44D8-BBD7-CCE9431645EC}">
                        <a14:shadowObscured xmlns:a14="http://schemas.microsoft.com/office/drawing/2010/main"/>
                      </a:ext>
                    </a:extLst>
                  </pic:spPr>
                </pic:pic>
              </a:graphicData>
            </a:graphic>
          </wp:inline>
        </w:drawing>
      </w:r>
    </w:p>
    <w:p w14:paraId="2943A36B" w14:textId="1A13153D" w:rsidR="00E36762" w:rsidRDefault="00E36762" w:rsidP="00E36762">
      <w:r>
        <w:rPr>
          <w:noProof/>
          <w:lang w:val="es-ES" w:eastAsia="es-ES"/>
        </w:rPr>
        <mc:AlternateContent>
          <mc:Choice Requires="wps">
            <w:drawing>
              <wp:anchor distT="0" distB="0" distL="114300" distR="114300" simplePos="0" relativeHeight="251659264" behindDoc="0" locked="0" layoutInCell="1" allowOverlap="1" wp14:anchorId="70C5E9FA" wp14:editId="73AE0ADC">
                <wp:simplePos x="0" y="0"/>
                <wp:positionH relativeFrom="column">
                  <wp:posOffset>390525</wp:posOffset>
                </wp:positionH>
                <wp:positionV relativeFrom="paragraph">
                  <wp:posOffset>198120</wp:posOffset>
                </wp:positionV>
                <wp:extent cx="76200" cy="121920"/>
                <wp:effectExtent l="0" t="0" r="19050" b="11430"/>
                <wp:wrapSquare wrapText="bothSides"/>
                <wp:docPr id="4" name="Elipse 4"/>
                <wp:cNvGraphicFramePr/>
                <a:graphic xmlns:a="http://schemas.openxmlformats.org/drawingml/2006/main">
                  <a:graphicData uri="http://schemas.microsoft.com/office/word/2010/wordprocessingShape">
                    <wps:wsp>
                      <wps:cNvSpPr/>
                      <wps:spPr>
                        <a:xfrm>
                          <a:off x="0" y="0"/>
                          <a:ext cx="76200" cy="121920"/>
                        </a:xfrm>
                        <a:prstGeom prst="ellipse">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B10AF57" id="Elipse 4" o:spid="_x0000_s1026" style="position:absolute;margin-left:30.75pt;margin-top:15.6pt;width:6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" filled="f" strokecolor="#00b050" strokeweight="2pt">
                <v:stroke dashstyle="1 1"/>
                <w10:wrap type="square"/>
              </v:oval>
            </w:pict>
          </mc:Fallback>
        </mc:AlternateContent>
      </w:r>
      <w:r w:rsidRPr="00820158">
        <w:rPr>
          <w:lang w:val="en-US"/>
        </w:rPr>
        <w:t xml:space="preserve">Figure 1. </w:t>
      </w:r>
      <w:r w:rsidR="0069691D">
        <w:t>Flowsheet</w:t>
      </w:r>
      <w:r w:rsidR="0069691D" w:rsidRPr="00CC7D20">
        <w:t xml:space="preserve"> </w:t>
      </w:r>
      <w:r w:rsidRPr="00CC7D20">
        <w:t>of a fixed-bed reactor simulation for sugarcane bagasse gasification in Aspen Plus™</w:t>
      </w:r>
      <w:r w:rsidRPr="00820158">
        <w:rPr>
          <w:rFonts w:ascii="Times-Roman" w:eastAsiaTheme="minorHAnsi" w:hAnsi="Times-Roman" w:cs="Times-Roman"/>
          <w:sz w:val="24"/>
          <w:szCs w:val="24"/>
          <w:lang w:val="en-US"/>
        </w:rPr>
        <w:t xml:space="preserve">.   </w:t>
      </w:r>
      <w:r w:rsidRPr="00CC7D20">
        <w:t>Pyrolysis stage</w:t>
      </w:r>
      <w:r w:rsidR="0069691D">
        <w:t>,</w:t>
      </w:r>
      <w:r w:rsidRPr="00CC7D20">
        <w:t xml:space="preserve"> according to </w:t>
      </w:r>
      <w:r w:rsidR="003D3B45">
        <w:t>Camacho-</w:t>
      </w:r>
      <w:r w:rsidRPr="00CC7D20">
        <w:t>Ardila et al. (2025)</w:t>
      </w:r>
      <w:r>
        <w:t>.</w:t>
      </w:r>
    </w:p>
    <w:p w14:paraId="1A29C22B" w14:textId="77777777" w:rsidR="00DF6220" w:rsidRPr="00B761B2" w:rsidRDefault="00DF6220" w:rsidP="00DF6220">
      <w:pPr>
        <w:pStyle w:val="CETBodytext"/>
        <w:rPr>
          <w:sz w:val="14"/>
        </w:rPr>
      </w:pPr>
    </w:p>
    <w:p w14:paraId="3BB35EC4" w14:textId="77777777" w:rsidR="000637C0" w:rsidRPr="008550C1" w:rsidRDefault="000637C0" w:rsidP="000637C0">
      <w:pPr>
        <w:pStyle w:val="CETheadingx"/>
      </w:pPr>
      <w:r w:rsidRPr="008550C1">
        <w:t>Gas Cleaning</w:t>
      </w:r>
    </w:p>
    <w:p w14:paraId="6260EEBB" w14:textId="52B7A870" w:rsidR="000637C0" w:rsidRDefault="000637C0" w:rsidP="000637C0">
      <w:pPr>
        <w:pStyle w:val="CETBodytext"/>
      </w:pPr>
      <w:r w:rsidRPr="008550C1">
        <w:t>The gas outlet from the gasifier contains impurities of particulate matter, carbon</w:t>
      </w:r>
      <w:r w:rsidR="0069691D">
        <w:t>,</w:t>
      </w:r>
      <w:r w:rsidRPr="008550C1">
        <w:t xml:space="preserve"> and ash,</w:t>
      </w:r>
      <w:r>
        <w:t xml:space="preserve"> </w:t>
      </w:r>
      <w:r w:rsidRPr="008550C1">
        <w:t>as well as tar, which are considerable and must be separated in order to use this gas</w:t>
      </w:r>
      <w:r>
        <w:t xml:space="preserve"> </w:t>
      </w:r>
      <w:r w:rsidRPr="008550C1">
        <w:t>for future chemical processes. The CYCLONE block simulates the cyclone separator, which is commonly</w:t>
      </w:r>
      <w:r>
        <w:t xml:space="preserve"> </w:t>
      </w:r>
      <w:r w:rsidRPr="008550C1">
        <w:t>used for the separation of solid particles dispersed in the gas phase. The streams corresponding</w:t>
      </w:r>
      <w:r>
        <w:t xml:space="preserve"> </w:t>
      </w:r>
      <w:r w:rsidRPr="008550C1">
        <w:t>to SOLIDS represent the separation of carbon and ash. The blocks, CON1 and CON2 represent</w:t>
      </w:r>
      <w:r>
        <w:t xml:space="preserve"> </w:t>
      </w:r>
      <w:r w:rsidRPr="008550C1">
        <w:t>the condensation of tar. Finally, the GAS stream represents the synthesis gas obtained during gasification, no other cleaning methods besides cyclones and condensers having been used</w:t>
      </w:r>
      <w:r>
        <w:t>.</w:t>
      </w:r>
    </w:p>
    <w:p w14:paraId="29C1968C" w14:textId="56320E35" w:rsidR="00C64641" w:rsidRDefault="00C64641" w:rsidP="00C64641">
      <w:pPr>
        <w:pStyle w:val="CETheadingx"/>
      </w:pPr>
      <w:r w:rsidRPr="00C64641">
        <w:t>Simulation validation</w:t>
      </w:r>
    </w:p>
    <w:p w14:paraId="56636B5F" w14:textId="2BA1E1CE" w:rsidR="00A8732A" w:rsidRDefault="00C64641" w:rsidP="00C64641">
      <w:pPr>
        <w:pStyle w:val="CETBodytext"/>
      </w:pPr>
      <w:r w:rsidRPr="00FA1DEF">
        <w:t>To validate the developed model, experimental data from the literature for the fixed-bed gasifier were used. The differences between the expe</w:t>
      </w:r>
      <w:r>
        <w:t xml:space="preserve">rimental and predicted values </w:t>
      </w:r>
      <w:r w:rsidRPr="00FA1DEF">
        <w:t>are estimated using the root mean square (RMS) value for each dataset</w:t>
      </w:r>
      <w:r w:rsidR="00A8732A">
        <w:t xml:space="preserve"> (Eq. 1)</w:t>
      </w:r>
      <w:r w:rsidR="00595982">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44"/>
      </w:tblGrid>
      <w:tr w:rsidR="00C64641" w14:paraId="78F4A15C" w14:textId="77777777" w:rsidTr="00A81527">
        <w:tc>
          <w:tcPr>
            <w:tcW w:w="7933" w:type="dxa"/>
          </w:tcPr>
          <w:p w14:paraId="7EEAE178" w14:textId="19FCD1A1" w:rsidR="00C64641" w:rsidRDefault="00EC213E" w:rsidP="00C64641">
            <w:pPr>
              <w:pStyle w:val="CETBodytext"/>
              <w:rPr>
                <w:lang w:val="en-GB"/>
              </w:rPr>
            </w:pPr>
            <w:r w:rsidRPr="00721BC4">
              <w:rPr>
                <w:position w:val="-22"/>
                <w:lang w:val="en-GB"/>
              </w:rPr>
              <w:object w:dxaOrig="2540" w:dyaOrig="720" w14:anchorId="05D5C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8pt;height:36pt" o:ole="">
                  <v:imagedata r:id="rId11" o:title=""/>
                </v:shape>
                <o:OLEObject Type="Embed" ProgID="Equation.3" ShapeID="_x0000_i1025" DrawAspect="Content" ObjectID="_1837059214" r:id="rId12"/>
              </w:object>
            </w:r>
          </w:p>
        </w:tc>
        <w:tc>
          <w:tcPr>
            <w:tcW w:w="844" w:type="dxa"/>
            <w:vAlign w:val="center"/>
          </w:tcPr>
          <w:p w14:paraId="13D8A312" w14:textId="71B65EFB" w:rsidR="00C64641" w:rsidRDefault="00A8732A" w:rsidP="00A81527">
            <w:pPr>
              <w:pStyle w:val="CETBodytext"/>
              <w:jc w:val="center"/>
              <w:rPr>
                <w:lang w:val="en-GB"/>
              </w:rPr>
            </w:pPr>
            <w:r>
              <w:rPr>
                <w:lang w:val="en-GB"/>
              </w:rPr>
              <w:t>(1)</w:t>
            </w:r>
          </w:p>
        </w:tc>
      </w:tr>
    </w:tbl>
    <w:p w14:paraId="1344DA03" w14:textId="5DC22BAC" w:rsidR="007D4485" w:rsidRPr="00314226" w:rsidRDefault="007D4485" w:rsidP="00314226">
      <w:r w:rsidRPr="007D4485">
        <w:t>Where n is the number of points studied.</w:t>
      </w:r>
    </w:p>
    <w:p w14:paraId="0A945899" w14:textId="4D62EC43" w:rsidR="00C64641" w:rsidRPr="00BC7617" w:rsidRDefault="007169C4" w:rsidP="00BC7617">
      <w:pPr>
        <w:pStyle w:val="CETHeading1"/>
        <w:tabs>
          <w:tab w:val="clear" w:pos="360"/>
          <w:tab w:val="right" w:pos="7100"/>
        </w:tabs>
        <w:jc w:val="both"/>
        <w:rPr>
          <w:lang w:val="en-GB"/>
        </w:rPr>
      </w:pPr>
      <w:r w:rsidRPr="00583355">
        <w:rPr>
          <w:lang w:val="en-GB"/>
        </w:rPr>
        <w:t>Results and Discussions</w:t>
      </w:r>
    </w:p>
    <w:p w14:paraId="670EA7D2" w14:textId="144FF03A" w:rsidR="00BC7617" w:rsidRPr="008113A5" w:rsidRDefault="00BC7617" w:rsidP="008113A5">
      <w:pPr>
        <w:pStyle w:val="CETBodytext"/>
      </w:pPr>
      <w:r w:rsidRPr="00B761B2">
        <w:t xml:space="preserve">The gasification model was validated with experimental data obtained by Akay and Jordan </w:t>
      </w:r>
      <w:r w:rsidR="00AE3C23" w:rsidRPr="00B761B2">
        <w:t>(2011)</w:t>
      </w:r>
      <w:r w:rsidRPr="00B761B2">
        <w:t xml:space="preserve"> and Figueroa et al. </w:t>
      </w:r>
      <w:r w:rsidR="00AE3C23" w:rsidRPr="00B761B2">
        <w:t>(2013)</w:t>
      </w:r>
      <w:r w:rsidRPr="00B761B2">
        <w:t xml:space="preserve">. Akay and Jordan </w:t>
      </w:r>
      <w:r w:rsidR="000804D1" w:rsidRPr="00B761B2">
        <w:t>(2011</w:t>
      </w:r>
      <w:r w:rsidR="000804D1" w:rsidRPr="008113A5">
        <w:t xml:space="preserve">) </w:t>
      </w:r>
      <w:r w:rsidRPr="008113A5">
        <w:t xml:space="preserve">used air as a gasifying agent in their experiments, while Figueroa et al. </w:t>
      </w:r>
      <w:r w:rsidR="000804D1" w:rsidRPr="008113A5">
        <w:t>(2013)</w:t>
      </w:r>
      <w:r w:rsidRPr="008113A5">
        <w:t xml:space="preserve"> used </w:t>
      </w:r>
      <w:r w:rsidR="000804D1" w:rsidRPr="008113A5">
        <w:t xml:space="preserve">water steam </w:t>
      </w:r>
      <w:r w:rsidRPr="008113A5">
        <w:t xml:space="preserve">in a biomass ratio (SB) of 2 and a temperature of 900 °C (Table </w:t>
      </w:r>
      <w:r w:rsidR="000916A9" w:rsidRPr="008113A5">
        <w:t>2</w:t>
      </w:r>
      <w:r w:rsidRPr="008113A5">
        <w:t>).</w:t>
      </w:r>
    </w:p>
    <w:p w14:paraId="33B1211F" w14:textId="424766FA" w:rsidR="00A53501" w:rsidRPr="008113A5" w:rsidRDefault="00A53501" w:rsidP="008113A5">
      <w:pPr>
        <w:pStyle w:val="CETBodytext"/>
      </w:pPr>
    </w:p>
    <w:p w14:paraId="2E7B4DF5" w14:textId="300B7FAF" w:rsidR="00675B6F" w:rsidRPr="008113A5" w:rsidRDefault="00675B6F" w:rsidP="008113A5">
      <w:pPr>
        <w:pStyle w:val="CETBodytext"/>
      </w:pPr>
      <w:r w:rsidRPr="008113A5">
        <w:t>The largest deviations between simulated and experimental data were obtained for CO composition, and the smallest deviations for CO</w:t>
      </w:r>
      <w:r w:rsidRPr="008113A5">
        <w:rPr>
          <w:vertAlign w:val="subscript"/>
        </w:rPr>
        <w:t>2</w:t>
      </w:r>
      <w:r w:rsidRPr="008113A5">
        <w:t>, H</w:t>
      </w:r>
      <w:r w:rsidRPr="008113A5">
        <w:rPr>
          <w:vertAlign w:val="subscript"/>
        </w:rPr>
        <w:t>2</w:t>
      </w:r>
      <w:r w:rsidRPr="008113A5">
        <w:t>, and CH</w:t>
      </w:r>
      <w:r w:rsidRPr="008113A5">
        <w:rPr>
          <w:vertAlign w:val="subscript"/>
        </w:rPr>
        <w:t>4</w:t>
      </w:r>
      <w:r w:rsidRPr="008113A5">
        <w:t xml:space="preserve"> (Table </w:t>
      </w:r>
      <w:r w:rsidR="00E869E6" w:rsidRPr="008113A5">
        <w:t>2</w:t>
      </w:r>
      <w:r w:rsidRPr="008113A5">
        <w:t xml:space="preserve">). </w:t>
      </w:r>
      <w:r w:rsidR="00A2374C" w:rsidRPr="008113A5">
        <w:t xml:space="preserve">Specifically, deviations the CO at ER = 0.26 are attributed to the difference between the kinetic model and experimental conditions. While the simulation is based on the kinetic subroutine, which assumes an optimized conversion of the char into gaseous products, the experimental setup by Akay and Jordan (2011) is subject to physical constraints. At low ER values (0.26), heat losses and shorter residence times in the physical reactor reduce the efficiency of the gasification reactions, resulting in a higher accumulation of residual char and a consequently lower CO yield compared to the simulated predictions. Furthermore, the impact of this deviation on the overall energy balance is minimal. Since the model accurately </w:t>
      </w:r>
      <w:r w:rsidR="00A2374C" w:rsidRPr="008113A5">
        <w:lastRenderedPageBreak/>
        <w:t>predicts the concentrations of H</w:t>
      </w:r>
      <w:r w:rsidR="00A2374C" w:rsidRPr="008113A5">
        <w:rPr>
          <w:vertAlign w:val="subscript"/>
        </w:rPr>
        <w:t>2</w:t>
      </w:r>
      <w:r w:rsidR="00A2374C" w:rsidRPr="008113A5">
        <w:t xml:space="preserve"> and CH</w:t>
      </w:r>
      <w:r w:rsidR="00A2374C" w:rsidRPr="008113A5">
        <w:rPr>
          <w:vertAlign w:val="subscript"/>
        </w:rPr>
        <w:t>4</w:t>
      </w:r>
      <w:r w:rsidR="00A2374C" w:rsidRPr="008113A5">
        <w:t xml:space="preserve">, the slight overestimation of CO does not significantly shift the total </w:t>
      </w:r>
      <w:r w:rsidR="009B63FB" w:rsidRPr="008113A5">
        <w:t>higher</w:t>
      </w:r>
      <w:r w:rsidR="00A2374C" w:rsidRPr="008113A5">
        <w:t xml:space="preserve"> heating value (</w:t>
      </w:r>
      <w:r w:rsidR="009B63FB" w:rsidRPr="008113A5">
        <w:t>H</w:t>
      </w:r>
      <w:r w:rsidR="00A2374C" w:rsidRPr="008113A5">
        <w:t xml:space="preserve">HV) trends. </w:t>
      </w:r>
      <w:r w:rsidRPr="008113A5">
        <w:t>However, the overall deviation for CO is low, without significantly altering a gasification study. The RMS in the fixed-bed gasification process shows good agreement between experimental and simulated data. These RMS values indicate that the proposed simulation adequately represents the process and</w:t>
      </w:r>
      <w:r w:rsidR="00A21BEA" w:rsidRPr="008113A5">
        <w:t>,</w:t>
      </w:r>
      <w:r w:rsidRPr="008113A5">
        <w:t xml:space="preserve"> therefore</w:t>
      </w:r>
      <w:r w:rsidR="00A21BEA" w:rsidRPr="008113A5">
        <w:t>,</w:t>
      </w:r>
      <w:r w:rsidRPr="008113A5">
        <w:t xml:space="preserve"> can be applied to gasification studies.</w:t>
      </w:r>
    </w:p>
    <w:p w14:paraId="57368A33" w14:textId="09DA989E" w:rsidR="00343511" w:rsidRPr="008113A5" w:rsidRDefault="00343511" w:rsidP="008113A5">
      <w:pPr>
        <w:pStyle w:val="CETBodytext"/>
      </w:pPr>
    </w:p>
    <w:p w14:paraId="1DCA6247" w14:textId="3D0EE480" w:rsidR="00314226" w:rsidRPr="008113A5" w:rsidRDefault="00314226" w:rsidP="008113A5">
      <w:pPr>
        <w:spacing w:after="240"/>
      </w:pPr>
      <w:r w:rsidRPr="008113A5">
        <w:t xml:space="preserve">Table </w:t>
      </w:r>
      <w:r w:rsidR="00E869E6" w:rsidRPr="008113A5">
        <w:t>2</w:t>
      </w:r>
      <w:r w:rsidRPr="008113A5">
        <w:t xml:space="preserve">: Comparison between simulated and experimental data of the gasification process using </w:t>
      </w:r>
      <w:r w:rsidR="00A21BEA" w:rsidRPr="008113A5">
        <w:t xml:space="preserve">an </w:t>
      </w:r>
      <w:r w:rsidRPr="008113A5">
        <w:t>FB gasifier</w:t>
      </w:r>
    </w:p>
    <w:tbl>
      <w:tblPr>
        <w:tblStyle w:val="Tablaconcuadrcula"/>
        <w:tblpPr w:leftFromText="141" w:rightFromText="141" w:vertAnchor="text" w:tblpY="1"/>
        <w:tblOverlap w:val="never"/>
        <w:tblW w:w="6804" w:type="dxa"/>
        <w:tblLayout w:type="fixed"/>
        <w:tblLook w:val="04A0" w:firstRow="1" w:lastRow="0" w:firstColumn="1" w:lastColumn="0" w:noHBand="0" w:noVBand="1"/>
      </w:tblPr>
      <w:tblGrid>
        <w:gridCol w:w="851"/>
        <w:gridCol w:w="142"/>
        <w:gridCol w:w="567"/>
        <w:gridCol w:w="850"/>
        <w:gridCol w:w="142"/>
        <w:gridCol w:w="709"/>
        <w:gridCol w:w="850"/>
        <w:gridCol w:w="709"/>
        <w:gridCol w:w="567"/>
        <w:gridCol w:w="709"/>
        <w:gridCol w:w="708"/>
      </w:tblGrid>
      <w:tr w:rsidR="00C076AF" w:rsidRPr="008113A5" w14:paraId="412266C7" w14:textId="77777777" w:rsidTr="00AE270A">
        <w:trPr>
          <w:trHeight w:val="104"/>
        </w:trPr>
        <w:tc>
          <w:tcPr>
            <w:tcW w:w="993" w:type="dxa"/>
            <w:gridSpan w:val="2"/>
            <w:tcBorders>
              <w:top w:val="single" w:sz="18" w:space="0" w:color="00B050"/>
              <w:left w:val="nil"/>
              <w:bottom w:val="single" w:sz="18" w:space="0" w:color="00B050"/>
              <w:right w:val="nil"/>
            </w:tcBorders>
          </w:tcPr>
          <w:p w14:paraId="2FDFA6DB" w14:textId="77777777" w:rsidR="00C076AF" w:rsidRPr="008113A5" w:rsidRDefault="00C076AF" w:rsidP="008113A5">
            <w:pPr>
              <w:pStyle w:val="CETBodytext"/>
              <w:rPr>
                <w:rFonts w:eastAsia="Arial Unicode MS" w:cs="Arial"/>
                <w:sz w:val="16"/>
                <w:szCs w:val="16"/>
                <w:lang w:val="es-ES"/>
              </w:rPr>
            </w:pPr>
            <w:r w:rsidRPr="008113A5">
              <w:rPr>
                <w:rFonts w:cs="Arial"/>
                <w:sz w:val="16"/>
                <w:szCs w:val="16"/>
              </w:rPr>
              <w:t>ER</w:t>
            </w:r>
          </w:p>
        </w:tc>
        <w:tc>
          <w:tcPr>
            <w:tcW w:w="567" w:type="dxa"/>
            <w:tcBorders>
              <w:top w:val="single" w:sz="18" w:space="0" w:color="00B050"/>
              <w:left w:val="nil"/>
              <w:bottom w:val="single" w:sz="18" w:space="0" w:color="00B050"/>
              <w:right w:val="nil"/>
            </w:tcBorders>
          </w:tcPr>
          <w:p w14:paraId="3210F248" w14:textId="77777777" w:rsidR="00C076AF" w:rsidRPr="008113A5" w:rsidRDefault="00C076AF" w:rsidP="008113A5">
            <w:pPr>
              <w:pStyle w:val="CETBodytext"/>
              <w:rPr>
                <w:rFonts w:eastAsia="Arial Unicode MS" w:cs="Arial"/>
                <w:sz w:val="16"/>
                <w:szCs w:val="16"/>
                <w:lang w:val="es-ES"/>
              </w:rPr>
            </w:pPr>
            <w:r w:rsidRPr="008113A5">
              <w:rPr>
                <w:rFonts w:cs="Arial"/>
                <w:sz w:val="16"/>
                <w:szCs w:val="16"/>
              </w:rPr>
              <w:t>CO</w:t>
            </w:r>
            <w:r w:rsidRPr="008113A5">
              <w:rPr>
                <w:rFonts w:cs="Arial"/>
                <w:sz w:val="16"/>
                <w:szCs w:val="16"/>
                <w:vertAlign w:val="superscript"/>
              </w:rPr>
              <w:t>a</w:t>
            </w:r>
          </w:p>
        </w:tc>
        <w:tc>
          <w:tcPr>
            <w:tcW w:w="850" w:type="dxa"/>
            <w:tcBorders>
              <w:top w:val="single" w:sz="18" w:space="0" w:color="00B050"/>
              <w:left w:val="nil"/>
              <w:bottom w:val="single" w:sz="18" w:space="0" w:color="00B050"/>
              <w:right w:val="nil"/>
            </w:tcBorders>
          </w:tcPr>
          <w:p w14:paraId="4F2B7C03" w14:textId="77777777" w:rsidR="00C076AF" w:rsidRPr="008113A5" w:rsidRDefault="00C076AF" w:rsidP="008113A5">
            <w:pPr>
              <w:pStyle w:val="CETBodytext"/>
              <w:rPr>
                <w:rFonts w:eastAsia="Arial Unicode MS" w:cs="Arial"/>
                <w:sz w:val="16"/>
                <w:szCs w:val="16"/>
                <w:lang w:val="es-ES"/>
              </w:rPr>
            </w:pPr>
            <w:r w:rsidRPr="008113A5">
              <w:rPr>
                <w:rFonts w:cs="Arial"/>
                <w:sz w:val="16"/>
                <w:szCs w:val="16"/>
              </w:rPr>
              <w:t>CO</w:t>
            </w:r>
            <w:r w:rsidRPr="008113A5">
              <w:rPr>
                <w:rFonts w:cs="Arial"/>
                <w:sz w:val="16"/>
                <w:szCs w:val="16"/>
                <w:vertAlign w:val="superscript"/>
              </w:rPr>
              <w:t>b</w:t>
            </w:r>
          </w:p>
        </w:tc>
        <w:tc>
          <w:tcPr>
            <w:tcW w:w="851" w:type="dxa"/>
            <w:gridSpan w:val="2"/>
            <w:tcBorders>
              <w:top w:val="single" w:sz="18" w:space="0" w:color="00B050"/>
              <w:left w:val="nil"/>
              <w:bottom w:val="single" w:sz="18" w:space="0" w:color="00B050"/>
              <w:right w:val="nil"/>
            </w:tcBorders>
          </w:tcPr>
          <w:p w14:paraId="52416059" w14:textId="77777777" w:rsidR="00C076AF" w:rsidRPr="008113A5" w:rsidRDefault="00C076AF" w:rsidP="008113A5">
            <w:pPr>
              <w:pStyle w:val="CETBodytext"/>
              <w:rPr>
                <w:rFonts w:eastAsia="Arial Unicode MS" w:cs="Arial"/>
                <w:sz w:val="16"/>
                <w:szCs w:val="16"/>
                <w:lang w:val="es-ES"/>
              </w:rPr>
            </w:pPr>
            <w:r w:rsidRPr="008113A5">
              <w:rPr>
                <w:rFonts w:cs="Arial"/>
                <w:sz w:val="16"/>
                <w:szCs w:val="16"/>
              </w:rPr>
              <w:t>CO</w:t>
            </w:r>
            <w:r w:rsidRPr="008113A5">
              <w:rPr>
                <w:rFonts w:cs="Arial"/>
                <w:sz w:val="16"/>
                <w:szCs w:val="16"/>
                <w:vertAlign w:val="subscript"/>
              </w:rPr>
              <w:t>2</w:t>
            </w:r>
            <w:r w:rsidRPr="008113A5">
              <w:rPr>
                <w:rFonts w:cs="Arial"/>
                <w:sz w:val="16"/>
                <w:szCs w:val="16"/>
                <w:vertAlign w:val="superscript"/>
              </w:rPr>
              <w:t>a</w:t>
            </w:r>
          </w:p>
        </w:tc>
        <w:tc>
          <w:tcPr>
            <w:tcW w:w="850" w:type="dxa"/>
            <w:tcBorders>
              <w:top w:val="single" w:sz="18" w:space="0" w:color="00B050"/>
              <w:left w:val="nil"/>
              <w:bottom w:val="single" w:sz="18" w:space="0" w:color="00B050"/>
              <w:right w:val="nil"/>
            </w:tcBorders>
          </w:tcPr>
          <w:p w14:paraId="311A0755" w14:textId="77777777" w:rsidR="00C076AF" w:rsidRPr="008113A5" w:rsidRDefault="00C076AF" w:rsidP="008113A5">
            <w:pPr>
              <w:pStyle w:val="CETBodytext"/>
              <w:rPr>
                <w:rFonts w:eastAsia="Arial Unicode MS" w:cs="Arial"/>
                <w:sz w:val="16"/>
                <w:szCs w:val="16"/>
                <w:lang w:val="es-ES"/>
              </w:rPr>
            </w:pPr>
            <w:r w:rsidRPr="008113A5">
              <w:rPr>
                <w:rFonts w:cs="Arial"/>
                <w:sz w:val="16"/>
                <w:szCs w:val="16"/>
              </w:rPr>
              <w:t>CO</w:t>
            </w:r>
            <w:r w:rsidRPr="008113A5">
              <w:rPr>
                <w:rFonts w:cs="Arial"/>
                <w:sz w:val="16"/>
                <w:szCs w:val="16"/>
                <w:vertAlign w:val="subscript"/>
              </w:rPr>
              <w:t>2</w:t>
            </w:r>
            <w:r w:rsidRPr="008113A5">
              <w:rPr>
                <w:rFonts w:cs="Arial"/>
                <w:sz w:val="16"/>
                <w:szCs w:val="16"/>
                <w:vertAlign w:val="superscript"/>
              </w:rPr>
              <w:t>b</w:t>
            </w:r>
          </w:p>
        </w:tc>
        <w:tc>
          <w:tcPr>
            <w:tcW w:w="709" w:type="dxa"/>
            <w:tcBorders>
              <w:top w:val="single" w:sz="18" w:space="0" w:color="00B050"/>
              <w:left w:val="nil"/>
              <w:bottom w:val="single" w:sz="18" w:space="0" w:color="00B050"/>
              <w:right w:val="nil"/>
            </w:tcBorders>
          </w:tcPr>
          <w:p w14:paraId="4E9808EB" w14:textId="77777777" w:rsidR="00C076AF" w:rsidRPr="008113A5" w:rsidRDefault="00C076AF" w:rsidP="008113A5">
            <w:pPr>
              <w:pStyle w:val="CETBodytext"/>
              <w:rPr>
                <w:rFonts w:eastAsia="Arial Unicode MS" w:cs="Arial"/>
                <w:sz w:val="16"/>
                <w:szCs w:val="16"/>
                <w:lang w:val="es-ES"/>
              </w:rPr>
            </w:pPr>
            <w:r w:rsidRPr="008113A5">
              <w:rPr>
                <w:rFonts w:cs="Arial"/>
                <w:sz w:val="16"/>
                <w:szCs w:val="16"/>
              </w:rPr>
              <w:t>H</w:t>
            </w:r>
            <w:r w:rsidRPr="008113A5">
              <w:rPr>
                <w:rFonts w:cs="Arial"/>
                <w:sz w:val="16"/>
                <w:szCs w:val="16"/>
                <w:vertAlign w:val="subscript"/>
              </w:rPr>
              <w:t>2</w:t>
            </w:r>
            <w:r w:rsidRPr="008113A5">
              <w:rPr>
                <w:rFonts w:cs="Arial"/>
                <w:sz w:val="16"/>
                <w:szCs w:val="16"/>
                <w:vertAlign w:val="superscript"/>
              </w:rPr>
              <w:t>a</w:t>
            </w:r>
          </w:p>
        </w:tc>
        <w:tc>
          <w:tcPr>
            <w:tcW w:w="567" w:type="dxa"/>
            <w:tcBorders>
              <w:top w:val="single" w:sz="18" w:space="0" w:color="00B050"/>
              <w:left w:val="nil"/>
              <w:bottom w:val="single" w:sz="18" w:space="0" w:color="00B050"/>
              <w:right w:val="nil"/>
            </w:tcBorders>
          </w:tcPr>
          <w:p w14:paraId="399AEC53" w14:textId="77777777" w:rsidR="00C076AF" w:rsidRPr="008113A5" w:rsidRDefault="00C076AF" w:rsidP="008113A5">
            <w:pPr>
              <w:pStyle w:val="CETBodytext"/>
              <w:rPr>
                <w:rFonts w:eastAsia="Arial Unicode MS" w:cs="Arial"/>
                <w:sz w:val="16"/>
                <w:szCs w:val="16"/>
                <w:vertAlign w:val="superscript"/>
                <w:lang w:val="es-ES"/>
              </w:rPr>
            </w:pPr>
            <w:r w:rsidRPr="008113A5">
              <w:rPr>
                <w:rFonts w:cs="Arial"/>
                <w:sz w:val="16"/>
                <w:szCs w:val="16"/>
              </w:rPr>
              <w:t>H</w:t>
            </w:r>
            <w:r w:rsidRPr="008113A5">
              <w:rPr>
                <w:rFonts w:cs="Arial"/>
                <w:sz w:val="16"/>
                <w:szCs w:val="16"/>
                <w:vertAlign w:val="subscript"/>
              </w:rPr>
              <w:t>2</w:t>
            </w:r>
            <w:r w:rsidRPr="008113A5">
              <w:rPr>
                <w:rFonts w:cs="Arial"/>
                <w:sz w:val="16"/>
                <w:szCs w:val="16"/>
                <w:vertAlign w:val="superscript"/>
              </w:rPr>
              <w:t>b</w:t>
            </w:r>
          </w:p>
        </w:tc>
        <w:tc>
          <w:tcPr>
            <w:tcW w:w="709" w:type="dxa"/>
            <w:tcBorders>
              <w:top w:val="single" w:sz="18" w:space="0" w:color="00B050"/>
              <w:left w:val="nil"/>
              <w:bottom w:val="single" w:sz="18" w:space="0" w:color="00B050"/>
              <w:right w:val="nil"/>
            </w:tcBorders>
          </w:tcPr>
          <w:p w14:paraId="0768F489" w14:textId="77777777" w:rsidR="00C076AF" w:rsidRPr="008113A5" w:rsidRDefault="00C076AF" w:rsidP="008113A5">
            <w:pPr>
              <w:pStyle w:val="CETBodytext"/>
              <w:rPr>
                <w:rFonts w:cs="Arial"/>
                <w:sz w:val="16"/>
                <w:szCs w:val="16"/>
                <w:lang w:val="es-ES"/>
              </w:rPr>
            </w:pPr>
            <w:r w:rsidRPr="008113A5">
              <w:rPr>
                <w:rFonts w:cs="Arial"/>
                <w:sz w:val="16"/>
                <w:szCs w:val="16"/>
              </w:rPr>
              <w:t>CH</w:t>
            </w:r>
            <w:r w:rsidRPr="008113A5">
              <w:rPr>
                <w:rFonts w:cs="Arial"/>
                <w:sz w:val="16"/>
                <w:szCs w:val="16"/>
                <w:vertAlign w:val="subscript"/>
              </w:rPr>
              <w:t>4</w:t>
            </w:r>
            <w:r w:rsidRPr="008113A5">
              <w:rPr>
                <w:rFonts w:cs="Arial"/>
                <w:sz w:val="16"/>
                <w:szCs w:val="16"/>
                <w:vertAlign w:val="superscript"/>
              </w:rPr>
              <w:t>a</w:t>
            </w:r>
          </w:p>
        </w:tc>
        <w:tc>
          <w:tcPr>
            <w:tcW w:w="708" w:type="dxa"/>
            <w:tcBorders>
              <w:top w:val="single" w:sz="18" w:space="0" w:color="00B050"/>
              <w:left w:val="nil"/>
              <w:bottom w:val="single" w:sz="18" w:space="0" w:color="00B050"/>
              <w:right w:val="nil"/>
            </w:tcBorders>
          </w:tcPr>
          <w:p w14:paraId="6079F114" w14:textId="77777777" w:rsidR="00C076AF" w:rsidRPr="008113A5" w:rsidRDefault="00C076AF" w:rsidP="008113A5">
            <w:pPr>
              <w:pStyle w:val="CETBodytext"/>
              <w:rPr>
                <w:rFonts w:cs="Arial"/>
                <w:sz w:val="16"/>
                <w:szCs w:val="16"/>
                <w:lang w:val="es-ES"/>
              </w:rPr>
            </w:pPr>
            <w:r w:rsidRPr="008113A5">
              <w:rPr>
                <w:rFonts w:cs="Arial"/>
                <w:sz w:val="16"/>
                <w:szCs w:val="16"/>
              </w:rPr>
              <w:t>CH</w:t>
            </w:r>
            <w:r w:rsidRPr="008113A5">
              <w:rPr>
                <w:rFonts w:cs="Arial"/>
                <w:sz w:val="16"/>
                <w:szCs w:val="16"/>
                <w:vertAlign w:val="subscript"/>
              </w:rPr>
              <w:t>4</w:t>
            </w:r>
            <w:r w:rsidRPr="008113A5">
              <w:rPr>
                <w:rFonts w:cs="Arial"/>
                <w:sz w:val="16"/>
                <w:szCs w:val="16"/>
                <w:vertAlign w:val="superscript"/>
              </w:rPr>
              <w:t>b</w:t>
            </w:r>
          </w:p>
        </w:tc>
      </w:tr>
      <w:tr w:rsidR="00C076AF" w:rsidRPr="008113A5" w14:paraId="0395AE20" w14:textId="77777777" w:rsidTr="00AE270A">
        <w:tc>
          <w:tcPr>
            <w:tcW w:w="851" w:type="dxa"/>
            <w:tcBorders>
              <w:top w:val="single" w:sz="18" w:space="0" w:color="00B050"/>
              <w:left w:val="nil"/>
              <w:bottom w:val="nil"/>
              <w:right w:val="nil"/>
            </w:tcBorders>
            <w:vAlign w:val="bottom"/>
          </w:tcPr>
          <w:p w14:paraId="5FCDCA51" w14:textId="77777777" w:rsidR="00C076AF" w:rsidRPr="008113A5" w:rsidRDefault="00C076AF" w:rsidP="008113A5">
            <w:pPr>
              <w:pStyle w:val="CETBodytext"/>
              <w:rPr>
                <w:rFonts w:eastAsia="Arial Unicode MS" w:cs="Arial"/>
                <w:sz w:val="16"/>
                <w:szCs w:val="16"/>
              </w:rPr>
            </w:pPr>
            <w:r w:rsidRPr="008113A5">
              <w:rPr>
                <w:rFonts w:cs="Arial"/>
                <w:sz w:val="16"/>
                <w:szCs w:val="16"/>
              </w:rPr>
              <w:t>0.26</w:t>
            </w:r>
          </w:p>
        </w:tc>
        <w:tc>
          <w:tcPr>
            <w:tcW w:w="709" w:type="dxa"/>
            <w:gridSpan w:val="2"/>
            <w:tcBorders>
              <w:top w:val="single" w:sz="18" w:space="0" w:color="00B050"/>
              <w:left w:val="nil"/>
              <w:bottom w:val="nil"/>
              <w:right w:val="nil"/>
            </w:tcBorders>
            <w:vAlign w:val="bottom"/>
          </w:tcPr>
          <w:p w14:paraId="74D76016" w14:textId="591C618F" w:rsidR="00C076AF" w:rsidRPr="008113A5" w:rsidRDefault="00F820FD" w:rsidP="008113A5">
            <w:pPr>
              <w:pStyle w:val="CETBodytext"/>
              <w:rPr>
                <w:rFonts w:eastAsia="Arial Unicode MS" w:cs="Arial"/>
                <w:sz w:val="16"/>
                <w:szCs w:val="16"/>
              </w:rPr>
            </w:pPr>
            <w:r w:rsidRPr="008113A5">
              <w:rPr>
                <w:rFonts w:cs="Arial"/>
                <w:sz w:val="16"/>
                <w:szCs w:val="16"/>
              </w:rPr>
              <w:t>18</w:t>
            </w:r>
          </w:p>
        </w:tc>
        <w:tc>
          <w:tcPr>
            <w:tcW w:w="992" w:type="dxa"/>
            <w:gridSpan w:val="2"/>
            <w:tcBorders>
              <w:top w:val="single" w:sz="18" w:space="0" w:color="00B050"/>
              <w:left w:val="nil"/>
              <w:bottom w:val="nil"/>
              <w:right w:val="nil"/>
            </w:tcBorders>
            <w:vAlign w:val="bottom"/>
          </w:tcPr>
          <w:p w14:paraId="058E23F5" w14:textId="77777777" w:rsidR="00C076AF" w:rsidRPr="008113A5" w:rsidRDefault="00C076AF" w:rsidP="008113A5">
            <w:pPr>
              <w:pStyle w:val="CETBodytext"/>
              <w:rPr>
                <w:rFonts w:eastAsia="Arial Unicode MS" w:cs="Arial"/>
                <w:sz w:val="16"/>
                <w:szCs w:val="16"/>
              </w:rPr>
            </w:pPr>
            <w:r w:rsidRPr="008113A5">
              <w:rPr>
                <w:rFonts w:cs="Arial"/>
                <w:sz w:val="16"/>
                <w:szCs w:val="16"/>
              </w:rPr>
              <w:t>11</w:t>
            </w:r>
          </w:p>
        </w:tc>
        <w:tc>
          <w:tcPr>
            <w:tcW w:w="709" w:type="dxa"/>
            <w:tcBorders>
              <w:top w:val="single" w:sz="18" w:space="0" w:color="00B050"/>
              <w:left w:val="nil"/>
              <w:bottom w:val="nil"/>
              <w:right w:val="nil"/>
            </w:tcBorders>
            <w:vAlign w:val="bottom"/>
          </w:tcPr>
          <w:p w14:paraId="39061A23" w14:textId="76584889" w:rsidR="00C076AF" w:rsidRPr="008113A5" w:rsidRDefault="00C076AF" w:rsidP="008113A5">
            <w:pPr>
              <w:pStyle w:val="CETBodytext"/>
              <w:rPr>
                <w:rFonts w:eastAsia="Arial Unicode MS" w:cs="Arial"/>
                <w:sz w:val="16"/>
                <w:szCs w:val="16"/>
              </w:rPr>
            </w:pPr>
            <w:r w:rsidRPr="008113A5">
              <w:rPr>
                <w:rFonts w:cs="Arial"/>
                <w:sz w:val="16"/>
                <w:szCs w:val="16"/>
              </w:rPr>
              <w:t>12.</w:t>
            </w:r>
            <w:r w:rsidR="00F820FD" w:rsidRPr="008113A5">
              <w:rPr>
                <w:rFonts w:cs="Arial"/>
                <w:sz w:val="16"/>
                <w:szCs w:val="16"/>
              </w:rPr>
              <w:t>2</w:t>
            </w:r>
          </w:p>
        </w:tc>
        <w:tc>
          <w:tcPr>
            <w:tcW w:w="850" w:type="dxa"/>
            <w:tcBorders>
              <w:top w:val="single" w:sz="18" w:space="0" w:color="00B050"/>
              <w:left w:val="nil"/>
              <w:bottom w:val="nil"/>
              <w:right w:val="nil"/>
            </w:tcBorders>
            <w:vAlign w:val="bottom"/>
          </w:tcPr>
          <w:p w14:paraId="3A258A08" w14:textId="28734FA3" w:rsidR="00C076AF" w:rsidRPr="008113A5" w:rsidRDefault="00C076AF" w:rsidP="008113A5">
            <w:pPr>
              <w:pStyle w:val="CETBodytext"/>
              <w:rPr>
                <w:rFonts w:eastAsia="Arial Unicode MS" w:cs="Arial"/>
                <w:sz w:val="16"/>
                <w:szCs w:val="16"/>
              </w:rPr>
            </w:pPr>
            <w:r w:rsidRPr="008113A5">
              <w:rPr>
                <w:rFonts w:cs="Arial"/>
                <w:sz w:val="16"/>
                <w:szCs w:val="16"/>
              </w:rPr>
              <w:t>14</w:t>
            </w:r>
            <w:r w:rsidR="00F820FD" w:rsidRPr="008113A5">
              <w:rPr>
                <w:rFonts w:cs="Arial"/>
                <w:sz w:val="16"/>
                <w:szCs w:val="16"/>
              </w:rPr>
              <w:t>.3</w:t>
            </w:r>
          </w:p>
        </w:tc>
        <w:tc>
          <w:tcPr>
            <w:tcW w:w="709" w:type="dxa"/>
            <w:tcBorders>
              <w:top w:val="single" w:sz="18" w:space="0" w:color="00B050"/>
              <w:left w:val="nil"/>
              <w:bottom w:val="nil"/>
              <w:right w:val="nil"/>
            </w:tcBorders>
            <w:vAlign w:val="bottom"/>
          </w:tcPr>
          <w:p w14:paraId="4D2D1C2A" w14:textId="6D5CE6AF" w:rsidR="00C076AF" w:rsidRPr="008113A5" w:rsidRDefault="00C076AF" w:rsidP="008113A5">
            <w:pPr>
              <w:pStyle w:val="CETBodytext"/>
              <w:rPr>
                <w:rFonts w:eastAsia="Arial Unicode MS" w:cs="Arial"/>
                <w:sz w:val="16"/>
                <w:szCs w:val="16"/>
              </w:rPr>
            </w:pPr>
            <w:r w:rsidRPr="008113A5">
              <w:rPr>
                <w:rFonts w:cs="Arial"/>
                <w:sz w:val="16"/>
                <w:szCs w:val="16"/>
              </w:rPr>
              <w:t>7.</w:t>
            </w:r>
            <w:r w:rsidR="00F820FD" w:rsidRPr="008113A5">
              <w:rPr>
                <w:rFonts w:cs="Arial"/>
                <w:sz w:val="16"/>
                <w:szCs w:val="16"/>
              </w:rPr>
              <w:t>9</w:t>
            </w:r>
          </w:p>
        </w:tc>
        <w:tc>
          <w:tcPr>
            <w:tcW w:w="567" w:type="dxa"/>
            <w:tcBorders>
              <w:top w:val="single" w:sz="18" w:space="0" w:color="00B050"/>
              <w:left w:val="nil"/>
              <w:bottom w:val="nil"/>
              <w:right w:val="nil"/>
            </w:tcBorders>
            <w:vAlign w:val="bottom"/>
          </w:tcPr>
          <w:p w14:paraId="569E4721" w14:textId="55BF8898" w:rsidR="00C076AF" w:rsidRPr="008113A5" w:rsidRDefault="00C076AF" w:rsidP="008113A5">
            <w:pPr>
              <w:pStyle w:val="CETBodytext"/>
              <w:rPr>
                <w:rFonts w:eastAsia="Arial Unicode MS" w:cs="Arial"/>
                <w:sz w:val="16"/>
                <w:szCs w:val="16"/>
              </w:rPr>
            </w:pPr>
            <w:r w:rsidRPr="008113A5">
              <w:rPr>
                <w:rFonts w:cs="Arial"/>
                <w:sz w:val="16"/>
                <w:szCs w:val="16"/>
              </w:rPr>
              <w:t>8</w:t>
            </w:r>
            <w:r w:rsidR="00F820FD" w:rsidRPr="008113A5">
              <w:rPr>
                <w:rFonts w:cs="Arial"/>
                <w:sz w:val="16"/>
                <w:szCs w:val="16"/>
              </w:rPr>
              <w:t>.9</w:t>
            </w:r>
          </w:p>
        </w:tc>
        <w:tc>
          <w:tcPr>
            <w:tcW w:w="709" w:type="dxa"/>
            <w:tcBorders>
              <w:top w:val="single" w:sz="18" w:space="0" w:color="00B050"/>
              <w:left w:val="nil"/>
              <w:bottom w:val="nil"/>
              <w:right w:val="nil"/>
            </w:tcBorders>
            <w:vAlign w:val="bottom"/>
          </w:tcPr>
          <w:p w14:paraId="111BAEF5" w14:textId="6706CD35" w:rsidR="00C076AF" w:rsidRPr="008113A5" w:rsidRDefault="004D3D94" w:rsidP="008113A5">
            <w:pPr>
              <w:pStyle w:val="CETBodytext"/>
              <w:rPr>
                <w:rFonts w:cs="Arial"/>
                <w:sz w:val="16"/>
                <w:szCs w:val="16"/>
              </w:rPr>
            </w:pPr>
            <w:r w:rsidRPr="008113A5">
              <w:rPr>
                <w:rFonts w:cs="Arial"/>
                <w:sz w:val="16"/>
                <w:szCs w:val="16"/>
              </w:rPr>
              <w:t>2.3</w:t>
            </w:r>
          </w:p>
        </w:tc>
        <w:tc>
          <w:tcPr>
            <w:tcW w:w="708" w:type="dxa"/>
            <w:tcBorders>
              <w:top w:val="single" w:sz="18" w:space="0" w:color="00B050"/>
              <w:left w:val="nil"/>
              <w:bottom w:val="nil"/>
              <w:right w:val="nil"/>
            </w:tcBorders>
            <w:vAlign w:val="bottom"/>
          </w:tcPr>
          <w:p w14:paraId="6E13AB0B" w14:textId="656A44D9" w:rsidR="00C076AF" w:rsidRPr="008113A5" w:rsidRDefault="004D3D94" w:rsidP="008113A5">
            <w:pPr>
              <w:pStyle w:val="CETBodytext"/>
              <w:rPr>
                <w:rFonts w:cs="Arial"/>
                <w:sz w:val="16"/>
                <w:szCs w:val="16"/>
              </w:rPr>
            </w:pPr>
            <w:r w:rsidRPr="008113A5">
              <w:rPr>
                <w:rFonts w:cs="Arial"/>
                <w:sz w:val="16"/>
                <w:szCs w:val="16"/>
              </w:rPr>
              <w:t>1.8</w:t>
            </w:r>
          </w:p>
        </w:tc>
      </w:tr>
      <w:tr w:rsidR="00C076AF" w:rsidRPr="008113A5" w14:paraId="0655188E" w14:textId="77777777" w:rsidTr="00AE270A">
        <w:tc>
          <w:tcPr>
            <w:tcW w:w="851" w:type="dxa"/>
            <w:tcBorders>
              <w:top w:val="nil"/>
              <w:left w:val="nil"/>
              <w:bottom w:val="nil"/>
              <w:right w:val="nil"/>
            </w:tcBorders>
            <w:vAlign w:val="bottom"/>
          </w:tcPr>
          <w:p w14:paraId="2045AF1C" w14:textId="5EBFB836" w:rsidR="00C076AF" w:rsidRPr="008113A5" w:rsidRDefault="00C076AF" w:rsidP="008113A5">
            <w:pPr>
              <w:pStyle w:val="CETBodytext"/>
              <w:rPr>
                <w:rFonts w:eastAsia="Arial Unicode MS" w:cs="Arial"/>
                <w:sz w:val="16"/>
                <w:szCs w:val="16"/>
              </w:rPr>
            </w:pPr>
            <w:r w:rsidRPr="008113A5">
              <w:rPr>
                <w:rFonts w:cs="Arial"/>
                <w:sz w:val="16"/>
                <w:szCs w:val="16"/>
              </w:rPr>
              <w:t>0.</w:t>
            </w:r>
            <w:r w:rsidR="00F820FD" w:rsidRPr="008113A5">
              <w:rPr>
                <w:rFonts w:cs="Arial"/>
                <w:sz w:val="16"/>
                <w:szCs w:val="16"/>
              </w:rPr>
              <w:t>3</w:t>
            </w:r>
          </w:p>
        </w:tc>
        <w:tc>
          <w:tcPr>
            <w:tcW w:w="709" w:type="dxa"/>
            <w:gridSpan w:val="2"/>
            <w:tcBorders>
              <w:top w:val="nil"/>
              <w:left w:val="nil"/>
              <w:bottom w:val="nil"/>
              <w:right w:val="nil"/>
            </w:tcBorders>
            <w:vAlign w:val="bottom"/>
          </w:tcPr>
          <w:p w14:paraId="2C5B8277" w14:textId="19FAEA28"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3.2</w:t>
            </w:r>
          </w:p>
        </w:tc>
        <w:tc>
          <w:tcPr>
            <w:tcW w:w="992" w:type="dxa"/>
            <w:gridSpan w:val="2"/>
            <w:tcBorders>
              <w:top w:val="nil"/>
              <w:left w:val="nil"/>
              <w:bottom w:val="nil"/>
              <w:right w:val="nil"/>
            </w:tcBorders>
            <w:vAlign w:val="bottom"/>
          </w:tcPr>
          <w:p w14:paraId="4DA8D909" w14:textId="32BD242A"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0.8</w:t>
            </w:r>
          </w:p>
        </w:tc>
        <w:tc>
          <w:tcPr>
            <w:tcW w:w="709" w:type="dxa"/>
            <w:tcBorders>
              <w:top w:val="nil"/>
              <w:left w:val="nil"/>
              <w:bottom w:val="nil"/>
              <w:right w:val="nil"/>
            </w:tcBorders>
            <w:vAlign w:val="bottom"/>
          </w:tcPr>
          <w:p w14:paraId="619B04E3" w14:textId="7F3113F1"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4.9</w:t>
            </w:r>
          </w:p>
        </w:tc>
        <w:tc>
          <w:tcPr>
            <w:tcW w:w="850" w:type="dxa"/>
            <w:tcBorders>
              <w:top w:val="nil"/>
              <w:left w:val="nil"/>
              <w:bottom w:val="nil"/>
              <w:right w:val="nil"/>
            </w:tcBorders>
            <w:vAlign w:val="bottom"/>
          </w:tcPr>
          <w:p w14:paraId="13175168" w14:textId="21C36A26"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5.2</w:t>
            </w:r>
          </w:p>
        </w:tc>
        <w:tc>
          <w:tcPr>
            <w:tcW w:w="709" w:type="dxa"/>
            <w:tcBorders>
              <w:top w:val="nil"/>
              <w:left w:val="nil"/>
              <w:bottom w:val="nil"/>
              <w:right w:val="nil"/>
            </w:tcBorders>
            <w:vAlign w:val="bottom"/>
          </w:tcPr>
          <w:p w14:paraId="009ACD90" w14:textId="1D9C5735" w:rsidR="00C076AF" w:rsidRPr="008113A5" w:rsidRDefault="00F820FD" w:rsidP="008113A5">
            <w:pPr>
              <w:pStyle w:val="CETBodytext"/>
              <w:rPr>
                <w:rFonts w:eastAsia="Arial Unicode MS" w:cs="Arial"/>
                <w:sz w:val="16"/>
                <w:szCs w:val="16"/>
              </w:rPr>
            </w:pPr>
            <w:r w:rsidRPr="008113A5">
              <w:rPr>
                <w:rFonts w:cs="Arial"/>
                <w:sz w:val="16"/>
                <w:szCs w:val="16"/>
              </w:rPr>
              <w:t>6.8</w:t>
            </w:r>
          </w:p>
        </w:tc>
        <w:tc>
          <w:tcPr>
            <w:tcW w:w="567" w:type="dxa"/>
            <w:tcBorders>
              <w:top w:val="nil"/>
              <w:left w:val="nil"/>
              <w:bottom w:val="nil"/>
              <w:right w:val="nil"/>
            </w:tcBorders>
            <w:vAlign w:val="bottom"/>
          </w:tcPr>
          <w:p w14:paraId="4DCCCB6D" w14:textId="521F74CC" w:rsidR="00C076AF" w:rsidRPr="008113A5" w:rsidRDefault="00F820FD" w:rsidP="008113A5">
            <w:pPr>
              <w:pStyle w:val="CETBodytext"/>
              <w:rPr>
                <w:rFonts w:eastAsia="Arial Unicode MS" w:cs="Arial"/>
                <w:sz w:val="16"/>
                <w:szCs w:val="16"/>
              </w:rPr>
            </w:pPr>
            <w:r w:rsidRPr="008113A5">
              <w:rPr>
                <w:rFonts w:cs="Arial"/>
                <w:sz w:val="16"/>
                <w:szCs w:val="16"/>
              </w:rPr>
              <w:t>5.8</w:t>
            </w:r>
          </w:p>
        </w:tc>
        <w:tc>
          <w:tcPr>
            <w:tcW w:w="709" w:type="dxa"/>
            <w:tcBorders>
              <w:top w:val="nil"/>
              <w:left w:val="nil"/>
              <w:bottom w:val="nil"/>
              <w:right w:val="nil"/>
            </w:tcBorders>
            <w:vAlign w:val="bottom"/>
          </w:tcPr>
          <w:p w14:paraId="44A504B1" w14:textId="6780DB15" w:rsidR="00C076AF" w:rsidRPr="008113A5" w:rsidRDefault="00C076AF" w:rsidP="008113A5">
            <w:pPr>
              <w:pStyle w:val="CETBodytext"/>
              <w:rPr>
                <w:rFonts w:cs="Arial"/>
                <w:sz w:val="16"/>
                <w:szCs w:val="16"/>
              </w:rPr>
            </w:pPr>
            <w:r w:rsidRPr="008113A5">
              <w:rPr>
                <w:rFonts w:cs="Arial"/>
                <w:sz w:val="16"/>
                <w:szCs w:val="16"/>
              </w:rPr>
              <w:t>2</w:t>
            </w:r>
            <w:r w:rsidR="004D3D94" w:rsidRPr="008113A5">
              <w:rPr>
                <w:rFonts w:cs="Arial"/>
                <w:sz w:val="16"/>
                <w:szCs w:val="16"/>
              </w:rPr>
              <w:t>.6</w:t>
            </w:r>
          </w:p>
        </w:tc>
        <w:tc>
          <w:tcPr>
            <w:tcW w:w="708" w:type="dxa"/>
            <w:tcBorders>
              <w:top w:val="nil"/>
              <w:left w:val="nil"/>
              <w:bottom w:val="nil"/>
              <w:right w:val="nil"/>
            </w:tcBorders>
            <w:vAlign w:val="bottom"/>
          </w:tcPr>
          <w:p w14:paraId="09B1D56B" w14:textId="56903B5D" w:rsidR="00C076AF" w:rsidRPr="008113A5" w:rsidRDefault="004D3D94" w:rsidP="008113A5">
            <w:pPr>
              <w:pStyle w:val="CETBodytext"/>
              <w:rPr>
                <w:rFonts w:cs="Arial"/>
                <w:sz w:val="16"/>
                <w:szCs w:val="16"/>
              </w:rPr>
            </w:pPr>
            <w:r w:rsidRPr="008113A5">
              <w:rPr>
                <w:rFonts w:cs="Arial"/>
                <w:sz w:val="16"/>
                <w:szCs w:val="16"/>
              </w:rPr>
              <w:t>2.5</w:t>
            </w:r>
          </w:p>
        </w:tc>
      </w:tr>
      <w:tr w:rsidR="00C076AF" w:rsidRPr="008113A5" w14:paraId="47CFD1DB" w14:textId="77777777" w:rsidTr="00AE270A">
        <w:tc>
          <w:tcPr>
            <w:tcW w:w="851" w:type="dxa"/>
            <w:tcBorders>
              <w:top w:val="nil"/>
              <w:left w:val="nil"/>
              <w:bottom w:val="nil"/>
              <w:right w:val="nil"/>
            </w:tcBorders>
            <w:vAlign w:val="bottom"/>
          </w:tcPr>
          <w:p w14:paraId="099BB949" w14:textId="7C0AE148" w:rsidR="00C076AF" w:rsidRPr="008113A5" w:rsidRDefault="00C076AF" w:rsidP="008113A5">
            <w:pPr>
              <w:pStyle w:val="CETBodytext"/>
              <w:rPr>
                <w:rFonts w:eastAsia="Arial Unicode MS" w:cs="Arial"/>
                <w:sz w:val="16"/>
                <w:szCs w:val="16"/>
              </w:rPr>
            </w:pPr>
            <w:r w:rsidRPr="008113A5">
              <w:rPr>
                <w:rFonts w:cs="Arial"/>
                <w:sz w:val="16"/>
                <w:szCs w:val="16"/>
              </w:rPr>
              <w:t>0.3</w:t>
            </w:r>
            <w:r w:rsidR="00F820FD" w:rsidRPr="008113A5">
              <w:rPr>
                <w:rFonts w:cs="Arial"/>
                <w:sz w:val="16"/>
                <w:szCs w:val="16"/>
              </w:rPr>
              <w:t>2</w:t>
            </w:r>
          </w:p>
        </w:tc>
        <w:tc>
          <w:tcPr>
            <w:tcW w:w="709" w:type="dxa"/>
            <w:gridSpan w:val="2"/>
            <w:tcBorders>
              <w:top w:val="nil"/>
              <w:left w:val="nil"/>
              <w:bottom w:val="nil"/>
              <w:right w:val="nil"/>
            </w:tcBorders>
            <w:vAlign w:val="bottom"/>
          </w:tcPr>
          <w:p w14:paraId="361FD3C0" w14:textId="762F128B" w:rsidR="00C076AF" w:rsidRPr="008113A5" w:rsidRDefault="00C076AF" w:rsidP="008113A5">
            <w:pPr>
              <w:pStyle w:val="CETBodytext"/>
              <w:rPr>
                <w:rFonts w:eastAsia="Arial Unicode MS" w:cs="Arial"/>
                <w:sz w:val="16"/>
                <w:szCs w:val="16"/>
              </w:rPr>
            </w:pPr>
            <w:r w:rsidRPr="008113A5">
              <w:rPr>
                <w:rFonts w:cs="Arial"/>
                <w:sz w:val="16"/>
                <w:szCs w:val="16"/>
              </w:rPr>
              <w:t>11</w:t>
            </w:r>
            <w:r w:rsidR="00F820FD" w:rsidRPr="008113A5">
              <w:rPr>
                <w:rFonts w:cs="Arial"/>
                <w:sz w:val="16"/>
                <w:szCs w:val="16"/>
              </w:rPr>
              <w:t>.8</w:t>
            </w:r>
          </w:p>
        </w:tc>
        <w:tc>
          <w:tcPr>
            <w:tcW w:w="992" w:type="dxa"/>
            <w:gridSpan w:val="2"/>
            <w:tcBorders>
              <w:top w:val="nil"/>
              <w:left w:val="nil"/>
              <w:bottom w:val="nil"/>
              <w:right w:val="nil"/>
            </w:tcBorders>
            <w:vAlign w:val="bottom"/>
          </w:tcPr>
          <w:p w14:paraId="7E0B495C" w14:textId="1DD1FB6A"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1.9</w:t>
            </w:r>
          </w:p>
        </w:tc>
        <w:tc>
          <w:tcPr>
            <w:tcW w:w="709" w:type="dxa"/>
            <w:tcBorders>
              <w:top w:val="nil"/>
              <w:left w:val="nil"/>
              <w:bottom w:val="nil"/>
              <w:right w:val="nil"/>
            </w:tcBorders>
            <w:vAlign w:val="bottom"/>
          </w:tcPr>
          <w:p w14:paraId="120A3BBF" w14:textId="0C0C2FCB" w:rsidR="00C076AF" w:rsidRPr="008113A5" w:rsidRDefault="00C076AF" w:rsidP="008113A5">
            <w:pPr>
              <w:pStyle w:val="CETBodytext"/>
              <w:rPr>
                <w:rFonts w:eastAsia="Arial Unicode MS" w:cs="Arial"/>
                <w:sz w:val="16"/>
                <w:szCs w:val="16"/>
              </w:rPr>
            </w:pPr>
            <w:r w:rsidRPr="008113A5">
              <w:rPr>
                <w:rFonts w:cs="Arial"/>
                <w:sz w:val="16"/>
                <w:szCs w:val="16"/>
              </w:rPr>
              <w:t>15</w:t>
            </w:r>
            <w:r w:rsidR="00F820FD" w:rsidRPr="008113A5">
              <w:rPr>
                <w:rFonts w:cs="Arial"/>
                <w:sz w:val="16"/>
                <w:szCs w:val="16"/>
              </w:rPr>
              <w:t>.6</w:t>
            </w:r>
          </w:p>
        </w:tc>
        <w:tc>
          <w:tcPr>
            <w:tcW w:w="850" w:type="dxa"/>
            <w:tcBorders>
              <w:top w:val="nil"/>
              <w:left w:val="nil"/>
              <w:bottom w:val="nil"/>
              <w:right w:val="nil"/>
            </w:tcBorders>
            <w:vAlign w:val="bottom"/>
          </w:tcPr>
          <w:p w14:paraId="2DA2C277" w14:textId="458466C6"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4.9</w:t>
            </w:r>
          </w:p>
        </w:tc>
        <w:tc>
          <w:tcPr>
            <w:tcW w:w="709" w:type="dxa"/>
            <w:tcBorders>
              <w:top w:val="nil"/>
              <w:left w:val="nil"/>
              <w:bottom w:val="nil"/>
              <w:right w:val="nil"/>
            </w:tcBorders>
            <w:vAlign w:val="bottom"/>
          </w:tcPr>
          <w:p w14:paraId="580B0BEC" w14:textId="1809EE74" w:rsidR="00C076AF" w:rsidRPr="008113A5" w:rsidRDefault="00C076AF" w:rsidP="008113A5">
            <w:pPr>
              <w:pStyle w:val="CETBodytext"/>
              <w:rPr>
                <w:rFonts w:eastAsia="Arial Unicode MS" w:cs="Arial"/>
                <w:sz w:val="16"/>
                <w:szCs w:val="16"/>
              </w:rPr>
            </w:pPr>
            <w:r w:rsidRPr="008113A5">
              <w:rPr>
                <w:rFonts w:cs="Arial"/>
                <w:sz w:val="16"/>
                <w:szCs w:val="16"/>
              </w:rPr>
              <w:t>6</w:t>
            </w:r>
            <w:r w:rsidR="00F820FD" w:rsidRPr="008113A5">
              <w:rPr>
                <w:rFonts w:cs="Arial"/>
                <w:sz w:val="16"/>
                <w:szCs w:val="16"/>
              </w:rPr>
              <w:t>.5</w:t>
            </w:r>
          </w:p>
        </w:tc>
        <w:tc>
          <w:tcPr>
            <w:tcW w:w="567" w:type="dxa"/>
            <w:tcBorders>
              <w:top w:val="nil"/>
              <w:left w:val="nil"/>
              <w:bottom w:val="nil"/>
              <w:right w:val="nil"/>
            </w:tcBorders>
            <w:vAlign w:val="bottom"/>
          </w:tcPr>
          <w:p w14:paraId="3AD53B85" w14:textId="63C8060C" w:rsidR="00C076AF" w:rsidRPr="008113A5" w:rsidRDefault="00F820FD" w:rsidP="008113A5">
            <w:pPr>
              <w:pStyle w:val="CETBodytext"/>
              <w:rPr>
                <w:rFonts w:eastAsia="Arial Unicode MS" w:cs="Arial"/>
                <w:sz w:val="16"/>
                <w:szCs w:val="16"/>
              </w:rPr>
            </w:pPr>
            <w:r w:rsidRPr="008113A5">
              <w:rPr>
                <w:rFonts w:cs="Arial"/>
                <w:sz w:val="16"/>
                <w:szCs w:val="16"/>
              </w:rPr>
              <w:t>8.5</w:t>
            </w:r>
          </w:p>
        </w:tc>
        <w:tc>
          <w:tcPr>
            <w:tcW w:w="709" w:type="dxa"/>
            <w:tcBorders>
              <w:top w:val="nil"/>
              <w:left w:val="nil"/>
              <w:bottom w:val="nil"/>
              <w:right w:val="nil"/>
            </w:tcBorders>
            <w:vAlign w:val="bottom"/>
          </w:tcPr>
          <w:p w14:paraId="21592E8A" w14:textId="274918C2" w:rsidR="00C076AF" w:rsidRPr="008113A5" w:rsidRDefault="004D3D94" w:rsidP="008113A5">
            <w:pPr>
              <w:pStyle w:val="CETBodytext"/>
              <w:rPr>
                <w:rFonts w:cs="Arial"/>
                <w:sz w:val="16"/>
                <w:szCs w:val="16"/>
              </w:rPr>
            </w:pPr>
            <w:r w:rsidRPr="008113A5">
              <w:rPr>
                <w:rFonts w:cs="Arial"/>
                <w:sz w:val="16"/>
                <w:szCs w:val="16"/>
              </w:rPr>
              <w:t>2.5</w:t>
            </w:r>
          </w:p>
        </w:tc>
        <w:tc>
          <w:tcPr>
            <w:tcW w:w="708" w:type="dxa"/>
            <w:tcBorders>
              <w:top w:val="nil"/>
              <w:left w:val="nil"/>
              <w:bottom w:val="nil"/>
              <w:right w:val="nil"/>
            </w:tcBorders>
            <w:vAlign w:val="bottom"/>
          </w:tcPr>
          <w:p w14:paraId="755B3A13" w14:textId="4C364FB2" w:rsidR="00C076AF" w:rsidRPr="008113A5" w:rsidRDefault="004D3D94" w:rsidP="008113A5">
            <w:pPr>
              <w:pStyle w:val="CETBodytext"/>
              <w:rPr>
                <w:rFonts w:cs="Arial"/>
                <w:sz w:val="16"/>
                <w:szCs w:val="16"/>
              </w:rPr>
            </w:pPr>
            <w:r w:rsidRPr="008113A5">
              <w:rPr>
                <w:rFonts w:cs="Arial"/>
                <w:sz w:val="16"/>
                <w:szCs w:val="16"/>
              </w:rPr>
              <w:t>1.6</w:t>
            </w:r>
          </w:p>
        </w:tc>
      </w:tr>
      <w:tr w:rsidR="00C076AF" w:rsidRPr="008113A5" w14:paraId="3DA397E4" w14:textId="77777777" w:rsidTr="00AE270A">
        <w:tc>
          <w:tcPr>
            <w:tcW w:w="851" w:type="dxa"/>
            <w:tcBorders>
              <w:top w:val="nil"/>
              <w:left w:val="nil"/>
              <w:bottom w:val="nil"/>
              <w:right w:val="nil"/>
            </w:tcBorders>
            <w:vAlign w:val="bottom"/>
          </w:tcPr>
          <w:p w14:paraId="0AB28837" w14:textId="77777777" w:rsidR="00C076AF" w:rsidRPr="008113A5" w:rsidRDefault="00C076AF" w:rsidP="008113A5">
            <w:pPr>
              <w:pStyle w:val="CETBodytext"/>
              <w:rPr>
                <w:rFonts w:eastAsia="Arial Unicode MS" w:cs="Arial"/>
                <w:sz w:val="16"/>
                <w:szCs w:val="16"/>
              </w:rPr>
            </w:pPr>
            <w:r w:rsidRPr="008113A5">
              <w:rPr>
                <w:rFonts w:cs="Arial"/>
                <w:sz w:val="16"/>
                <w:szCs w:val="16"/>
              </w:rPr>
              <w:t>0.38</w:t>
            </w:r>
          </w:p>
        </w:tc>
        <w:tc>
          <w:tcPr>
            <w:tcW w:w="709" w:type="dxa"/>
            <w:gridSpan w:val="2"/>
            <w:tcBorders>
              <w:top w:val="nil"/>
              <w:left w:val="nil"/>
              <w:bottom w:val="nil"/>
              <w:right w:val="nil"/>
            </w:tcBorders>
            <w:vAlign w:val="bottom"/>
          </w:tcPr>
          <w:p w14:paraId="7E206EA8" w14:textId="768D3ABC" w:rsidR="00C076AF" w:rsidRPr="008113A5" w:rsidRDefault="00C076AF" w:rsidP="008113A5">
            <w:pPr>
              <w:pStyle w:val="CETBodytext"/>
              <w:rPr>
                <w:rFonts w:eastAsia="Arial Unicode MS" w:cs="Arial"/>
                <w:sz w:val="16"/>
                <w:szCs w:val="16"/>
              </w:rPr>
            </w:pPr>
            <w:r w:rsidRPr="008113A5">
              <w:rPr>
                <w:rFonts w:cs="Arial"/>
                <w:sz w:val="16"/>
                <w:szCs w:val="16"/>
              </w:rPr>
              <w:t>13</w:t>
            </w:r>
            <w:r w:rsidR="00F820FD" w:rsidRPr="008113A5">
              <w:rPr>
                <w:rFonts w:cs="Arial"/>
                <w:sz w:val="16"/>
                <w:szCs w:val="16"/>
              </w:rPr>
              <w:t>.2</w:t>
            </w:r>
          </w:p>
        </w:tc>
        <w:tc>
          <w:tcPr>
            <w:tcW w:w="992" w:type="dxa"/>
            <w:gridSpan w:val="2"/>
            <w:tcBorders>
              <w:top w:val="nil"/>
              <w:left w:val="nil"/>
              <w:bottom w:val="nil"/>
              <w:right w:val="nil"/>
            </w:tcBorders>
            <w:vAlign w:val="bottom"/>
          </w:tcPr>
          <w:p w14:paraId="3D422A94" w14:textId="044EBA55"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3.1</w:t>
            </w:r>
          </w:p>
        </w:tc>
        <w:tc>
          <w:tcPr>
            <w:tcW w:w="709" w:type="dxa"/>
            <w:tcBorders>
              <w:top w:val="nil"/>
              <w:left w:val="nil"/>
              <w:bottom w:val="nil"/>
              <w:right w:val="nil"/>
            </w:tcBorders>
            <w:vAlign w:val="bottom"/>
          </w:tcPr>
          <w:p w14:paraId="2E6839DF" w14:textId="68358881" w:rsidR="00C076AF" w:rsidRPr="008113A5" w:rsidRDefault="00C076AF" w:rsidP="008113A5">
            <w:pPr>
              <w:pStyle w:val="CETBodytext"/>
              <w:rPr>
                <w:rFonts w:eastAsia="Arial Unicode MS" w:cs="Arial"/>
                <w:sz w:val="16"/>
                <w:szCs w:val="16"/>
              </w:rPr>
            </w:pPr>
            <w:r w:rsidRPr="008113A5">
              <w:rPr>
                <w:rFonts w:cs="Arial"/>
                <w:sz w:val="16"/>
                <w:szCs w:val="16"/>
              </w:rPr>
              <w:t>14</w:t>
            </w:r>
            <w:r w:rsidR="00F820FD" w:rsidRPr="008113A5">
              <w:rPr>
                <w:rFonts w:cs="Arial"/>
                <w:sz w:val="16"/>
                <w:szCs w:val="16"/>
              </w:rPr>
              <w:t>.9</w:t>
            </w:r>
          </w:p>
        </w:tc>
        <w:tc>
          <w:tcPr>
            <w:tcW w:w="850" w:type="dxa"/>
            <w:tcBorders>
              <w:top w:val="nil"/>
              <w:left w:val="nil"/>
              <w:bottom w:val="nil"/>
              <w:right w:val="nil"/>
            </w:tcBorders>
            <w:vAlign w:val="bottom"/>
          </w:tcPr>
          <w:p w14:paraId="6F80EC23" w14:textId="2E766836" w:rsidR="00C076AF" w:rsidRPr="008113A5" w:rsidRDefault="00C076AF" w:rsidP="008113A5">
            <w:pPr>
              <w:pStyle w:val="CETBodytext"/>
              <w:rPr>
                <w:rFonts w:eastAsia="Arial Unicode MS" w:cs="Arial"/>
                <w:sz w:val="16"/>
                <w:szCs w:val="16"/>
              </w:rPr>
            </w:pPr>
            <w:r w:rsidRPr="008113A5">
              <w:rPr>
                <w:rFonts w:cs="Arial"/>
                <w:sz w:val="16"/>
                <w:szCs w:val="16"/>
              </w:rPr>
              <w:t>1</w:t>
            </w:r>
            <w:r w:rsidR="00F820FD" w:rsidRPr="008113A5">
              <w:rPr>
                <w:rFonts w:cs="Arial"/>
                <w:sz w:val="16"/>
                <w:szCs w:val="16"/>
              </w:rPr>
              <w:t>3.7</w:t>
            </w:r>
          </w:p>
        </w:tc>
        <w:tc>
          <w:tcPr>
            <w:tcW w:w="709" w:type="dxa"/>
            <w:tcBorders>
              <w:top w:val="nil"/>
              <w:left w:val="nil"/>
              <w:bottom w:val="nil"/>
              <w:right w:val="nil"/>
            </w:tcBorders>
            <w:vAlign w:val="bottom"/>
          </w:tcPr>
          <w:p w14:paraId="3FEFE989" w14:textId="32110550" w:rsidR="00C076AF" w:rsidRPr="008113A5" w:rsidRDefault="00C076AF" w:rsidP="008113A5">
            <w:pPr>
              <w:pStyle w:val="CETBodytext"/>
              <w:rPr>
                <w:rFonts w:eastAsia="Arial Unicode MS" w:cs="Arial"/>
                <w:sz w:val="16"/>
                <w:szCs w:val="16"/>
              </w:rPr>
            </w:pPr>
            <w:r w:rsidRPr="008113A5">
              <w:rPr>
                <w:rFonts w:cs="Arial"/>
                <w:sz w:val="16"/>
                <w:szCs w:val="16"/>
              </w:rPr>
              <w:t>7</w:t>
            </w:r>
            <w:r w:rsidR="00F820FD" w:rsidRPr="008113A5">
              <w:rPr>
                <w:rFonts w:cs="Arial"/>
                <w:sz w:val="16"/>
                <w:szCs w:val="16"/>
              </w:rPr>
              <w:t>.2</w:t>
            </w:r>
          </w:p>
        </w:tc>
        <w:tc>
          <w:tcPr>
            <w:tcW w:w="567" w:type="dxa"/>
            <w:tcBorders>
              <w:top w:val="nil"/>
              <w:left w:val="nil"/>
              <w:bottom w:val="nil"/>
              <w:right w:val="nil"/>
            </w:tcBorders>
            <w:vAlign w:val="bottom"/>
          </w:tcPr>
          <w:p w14:paraId="71DEF91E" w14:textId="3AAB3451" w:rsidR="00C076AF" w:rsidRPr="008113A5" w:rsidRDefault="00F820FD" w:rsidP="008113A5">
            <w:pPr>
              <w:pStyle w:val="CETBodytext"/>
              <w:rPr>
                <w:rFonts w:eastAsia="Arial Unicode MS" w:cs="Arial"/>
                <w:sz w:val="16"/>
                <w:szCs w:val="16"/>
              </w:rPr>
            </w:pPr>
            <w:r w:rsidRPr="008113A5">
              <w:rPr>
                <w:rFonts w:cs="Arial"/>
                <w:sz w:val="16"/>
                <w:szCs w:val="16"/>
              </w:rPr>
              <w:t>6.5</w:t>
            </w:r>
          </w:p>
        </w:tc>
        <w:tc>
          <w:tcPr>
            <w:tcW w:w="709" w:type="dxa"/>
            <w:tcBorders>
              <w:top w:val="nil"/>
              <w:left w:val="nil"/>
              <w:bottom w:val="nil"/>
              <w:right w:val="nil"/>
            </w:tcBorders>
            <w:vAlign w:val="bottom"/>
          </w:tcPr>
          <w:p w14:paraId="1207F7A0" w14:textId="74E3950E" w:rsidR="00C076AF" w:rsidRPr="008113A5" w:rsidRDefault="00C076AF" w:rsidP="008113A5">
            <w:pPr>
              <w:pStyle w:val="CETBodytext"/>
              <w:rPr>
                <w:rFonts w:cs="Arial"/>
                <w:sz w:val="16"/>
                <w:szCs w:val="16"/>
              </w:rPr>
            </w:pPr>
            <w:r w:rsidRPr="008113A5">
              <w:rPr>
                <w:rFonts w:cs="Arial"/>
                <w:sz w:val="16"/>
                <w:szCs w:val="16"/>
              </w:rPr>
              <w:t>0</w:t>
            </w:r>
            <w:r w:rsidR="004D3D94" w:rsidRPr="008113A5">
              <w:rPr>
                <w:rFonts w:cs="Arial"/>
                <w:sz w:val="16"/>
                <w:szCs w:val="16"/>
              </w:rPr>
              <w:t>.6</w:t>
            </w:r>
          </w:p>
        </w:tc>
        <w:tc>
          <w:tcPr>
            <w:tcW w:w="708" w:type="dxa"/>
            <w:tcBorders>
              <w:top w:val="nil"/>
              <w:left w:val="nil"/>
              <w:bottom w:val="nil"/>
              <w:right w:val="nil"/>
            </w:tcBorders>
            <w:vAlign w:val="bottom"/>
          </w:tcPr>
          <w:p w14:paraId="56B37530" w14:textId="77777777" w:rsidR="00C076AF" w:rsidRPr="008113A5" w:rsidRDefault="00C076AF" w:rsidP="008113A5">
            <w:pPr>
              <w:pStyle w:val="CETBodytext"/>
              <w:rPr>
                <w:rFonts w:cs="Arial"/>
                <w:sz w:val="16"/>
                <w:szCs w:val="16"/>
              </w:rPr>
            </w:pPr>
            <w:r w:rsidRPr="008113A5">
              <w:rPr>
                <w:rFonts w:cs="Arial"/>
                <w:sz w:val="16"/>
                <w:szCs w:val="16"/>
              </w:rPr>
              <w:t>0</w:t>
            </w:r>
          </w:p>
        </w:tc>
      </w:tr>
      <w:tr w:rsidR="00C076AF" w:rsidRPr="008113A5" w14:paraId="0D38C320" w14:textId="77777777" w:rsidTr="00AE270A">
        <w:tc>
          <w:tcPr>
            <w:tcW w:w="851" w:type="dxa"/>
            <w:tcBorders>
              <w:top w:val="nil"/>
              <w:left w:val="nil"/>
              <w:bottom w:val="single" w:sz="18" w:space="0" w:color="00B050"/>
              <w:right w:val="nil"/>
            </w:tcBorders>
          </w:tcPr>
          <w:p w14:paraId="4806DD6B" w14:textId="77777777" w:rsidR="00C076AF" w:rsidRPr="008113A5" w:rsidRDefault="00C076AF" w:rsidP="008113A5">
            <w:pPr>
              <w:pStyle w:val="CETBodytext"/>
              <w:rPr>
                <w:rFonts w:eastAsia="Arial Unicode MS" w:cs="Arial"/>
                <w:sz w:val="16"/>
                <w:szCs w:val="16"/>
              </w:rPr>
            </w:pPr>
            <w:r w:rsidRPr="008113A5">
              <w:rPr>
                <w:rFonts w:eastAsia="Arial Unicode MS" w:cs="Arial"/>
                <w:sz w:val="16"/>
                <w:szCs w:val="16"/>
              </w:rPr>
              <w:t>RMS</w:t>
            </w:r>
          </w:p>
        </w:tc>
        <w:tc>
          <w:tcPr>
            <w:tcW w:w="1701" w:type="dxa"/>
            <w:gridSpan w:val="4"/>
            <w:tcBorders>
              <w:top w:val="nil"/>
              <w:left w:val="nil"/>
              <w:bottom w:val="single" w:sz="18" w:space="0" w:color="00B050"/>
              <w:right w:val="nil"/>
            </w:tcBorders>
          </w:tcPr>
          <w:p w14:paraId="4A6938AC" w14:textId="0B6D058A" w:rsidR="00C076AF" w:rsidRPr="008113A5" w:rsidRDefault="00C076AF" w:rsidP="008113A5">
            <w:pPr>
              <w:pStyle w:val="CETBodytext"/>
              <w:rPr>
                <w:rFonts w:eastAsia="Arial Unicode MS" w:cs="Arial"/>
                <w:sz w:val="16"/>
                <w:szCs w:val="16"/>
              </w:rPr>
            </w:pPr>
            <w:r w:rsidRPr="008113A5">
              <w:rPr>
                <w:rFonts w:eastAsia="Arial Unicode MS" w:cs="Arial"/>
                <w:sz w:val="16"/>
                <w:szCs w:val="16"/>
              </w:rPr>
              <w:t>4.</w:t>
            </w:r>
            <w:r w:rsidR="00F820FD" w:rsidRPr="008113A5">
              <w:rPr>
                <w:rFonts w:eastAsia="Arial Unicode MS" w:cs="Arial"/>
                <w:sz w:val="16"/>
                <w:szCs w:val="16"/>
              </w:rPr>
              <w:t>3</w:t>
            </w:r>
          </w:p>
        </w:tc>
        <w:tc>
          <w:tcPr>
            <w:tcW w:w="1559" w:type="dxa"/>
            <w:gridSpan w:val="2"/>
            <w:tcBorders>
              <w:top w:val="nil"/>
              <w:left w:val="nil"/>
              <w:bottom w:val="single" w:sz="18" w:space="0" w:color="00B050"/>
              <w:right w:val="nil"/>
            </w:tcBorders>
          </w:tcPr>
          <w:p w14:paraId="41B0006A" w14:textId="0700CD93" w:rsidR="00C076AF" w:rsidRPr="008113A5" w:rsidRDefault="00F820FD" w:rsidP="008113A5">
            <w:pPr>
              <w:pStyle w:val="CETBodytext"/>
              <w:rPr>
                <w:rFonts w:eastAsia="Arial Unicode MS" w:cs="Arial"/>
                <w:sz w:val="16"/>
                <w:szCs w:val="16"/>
              </w:rPr>
            </w:pPr>
            <w:r w:rsidRPr="008113A5">
              <w:rPr>
                <w:rFonts w:eastAsia="Arial Unicode MS" w:cs="Arial"/>
                <w:sz w:val="16"/>
                <w:szCs w:val="16"/>
              </w:rPr>
              <w:t>1.3</w:t>
            </w:r>
          </w:p>
        </w:tc>
        <w:tc>
          <w:tcPr>
            <w:tcW w:w="1276" w:type="dxa"/>
            <w:gridSpan w:val="2"/>
            <w:tcBorders>
              <w:top w:val="nil"/>
              <w:left w:val="nil"/>
              <w:bottom w:val="single" w:sz="18" w:space="0" w:color="00B050"/>
              <w:right w:val="nil"/>
            </w:tcBorders>
            <w:vAlign w:val="bottom"/>
          </w:tcPr>
          <w:p w14:paraId="180CCBDC" w14:textId="0BF89E1E" w:rsidR="00C076AF" w:rsidRPr="008113A5" w:rsidRDefault="00F820FD" w:rsidP="008113A5">
            <w:pPr>
              <w:pStyle w:val="CETBodytext"/>
              <w:rPr>
                <w:rFonts w:eastAsia="Arial Unicode MS" w:cs="Arial"/>
                <w:sz w:val="16"/>
                <w:szCs w:val="16"/>
              </w:rPr>
            </w:pPr>
            <w:r w:rsidRPr="008113A5">
              <w:rPr>
                <w:rFonts w:eastAsia="Arial Unicode MS" w:cs="Arial"/>
                <w:sz w:val="16"/>
                <w:szCs w:val="16"/>
              </w:rPr>
              <w:t>1.3</w:t>
            </w:r>
          </w:p>
        </w:tc>
        <w:tc>
          <w:tcPr>
            <w:tcW w:w="1417" w:type="dxa"/>
            <w:gridSpan w:val="2"/>
            <w:tcBorders>
              <w:top w:val="nil"/>
              <w:left w:val="nil"/>
              <w:bottom w:val="single" w:sz="18" w:space="0" w:color="00B050"/>
              <w:right w:val="nil"/>
            </w:tcBorders>
          </w:tcPr>
          <w:p w14:paraId="3DF5793C" w14:textId="5417413F" w:rsidR="00C076AF" w:rsidRPr="008113A5" w:rsidRDefault="004D3D94" w:rsidP="008113A5">
            <w:pPr>
              <w:pStyle w:val="CETBodytext"/>
              <w:rPr>
                <w:rFonts w:cs="Arial"/>
                <w:sz w:val="16"/>
                <w:szCs w:val="16"/>
              </w:rPr>
            </w:pPr>
            <w:r w:rsidRPr="008113A5">
              <w:rPr>
                <w:rFonts w:cs="Arial"/>
                <w:sz w:val="16"/>
                <w:szCs w:val="16"/>
              </w:rPr>
              <w:t>0.6</w:t>
            </w:r>
          </w:p>
        </w:tc>
      </w:tr>
      <w:tr w:rsidR="00C076AF" w:rsidRPr="008113A5" w14:paraId="467CCAFD" w14:textId="77777777" w:rsidTr="00EF3920">
        <w:trPr>
          <w:trHeight w:val="220"/>
        </w:trPr>
        <w:tc>
          <w:tcPr>
            <w:tcW w:w="851" w:type="dxa"/>
            <w:tcBorders>
              <w:top w:val="nil"/>
              <w:left w:val="nil"/>
              <w:bottom w:val="single" w:sz="18" w:space="0" w:color="00B050"/>
              <w:right w:val="nil"/>
            </w:tcBorders>
          </w:tcPr>
          <w:p w14:paraId="55A24B4F" w14:textId="77777777" w:rsidR="00C076AF" w:rsidRPr="008113A5" w:rsidRDefault="00C076AF" w:rsidP="008113A5">
            <w:pPr>
              <w:pStyle w:val="CETBodytext"/>
              <w:rPr>
                <w:rFonts w:eastAsia="Arial Unicode MS" w:cs="Arial"/>
                <w:sz w:val="16"/>
                <w:szCs w:val="16"/>
              </w:rPr>
            </w:pPr>
            <w:r w:rsidRPr="008113A5">
              <w:rPr>
                <w:rFonts w:cs="Arial"/>
                <w:sz w:val="16"/>
                <w:szCs w:val="16"/>
              </w:rPr>
              <w:t>SB</w:t>
            </w:r>
          </w:p>
        </w:tc>
        <w:tc>
          <w:tcPr>
            <w:tcW w:w="709" w:type="dxa"/>
            <w:gridSpan w:val="2"/>
            <w:tcBorders>
              <w:top w:val="nil"/>
              <w:left w:val="nil"/>
              <w:bottom w:val="single" w:sz="18" w:space="0" w:color="00B050"/>
              <w:right w:val="nil"/>
            </w:tcBorders>
          </w:tcPr>
          <w:p w14:paraId="4E3007BD" w14:textId="77777777" w:rsidR="00C076AF" w:rsidRPr="008113A5" w:rsidRDefault="00C076AF" w:rsidP="008113A5">
            <w:pPr>
              <w:pStyle w:val="CETBodytext"/>
              <w:rPr>
                <w:rFonts w:eastAsia="Arial Unicode MS" w:cs="Arial"/>
                <w:sz w:val="16"/>
                <w:szCs w:val="16"/>
              </w:rPr>
            </w:pPr>
            <w:r w:rsidRPr="008113A5">
              <w:rPr>
                <w:rFonts w:cs="Arial"/>
                <w:sz w:val="16"/>
                <w:szCs w:val="16"/>
              </w:rPr>
              <w:t>CO</w:t>
            </w:r>
            <w:r w:rsidRPr="008113A5">
              <w:rPr>
                <w:rFonts w:cs="Arial"/>
                <w:sz w:val="16"/>
                <w:szCs w:val="16"/>
                <w:vertAlign w:val="superscript"/>
              </w:rPr>
              <w:t>a</w:t>
            </w:r>
          </w:p>
        </w:tc>
        <w:tc>
          <w:tcPr>
            <w:tcW w:w="992" w:type="dxa"/>
            <w:gridSpan w:val="2"/>
            <w:tcBorders>
              <w:top w:val="nil"/>
              <w:left w:val="nil"/>
              <w:bottom w:val="single" w:sz="18" w:space="0" w:color="00B050"/>
              <w:right w:val="nil"/>
            </w:tcBorders>
          </w:tcPr>
          <w:p w14:paraId="23A5C909" w14:textId="77777777" w:rsidR="00C076AF" w:rsidRPr="008113A5" w:rsidRDefault="00C076AF" w:rsidP="008113A5">
            <w:pPr>
              <w:pStyle w:val="CETBodytext"/>
              <w:rPr>
                <w:rFonts w:eastAsia="Arial Unicode MS" w:cs="Arial"/>
                <w:sz w:val="16"/>
                <w:szCs w:val="16"/>
              </w:rPr>
            </w:pPr>
            <w:r w:rsidRPr="008113A5">
              <w:rPr>
                <w:rFonts w:cs="Arial"/>
                <w:sz w:val="16"/>
                <w:szCs w:val="16"/>
              </w:rPr>
              <w:t>CO</w:t>
            </w:r>
            <w:r w:rsidRPr="008113A5">
              <w:rPr>
                <w:rFonts w:cs="Arial"/>
                <w:sz w:val="16"/>
                <w:szCs w:val="16"/>
                <w:vertAlign w:val="superscript"/>
              </w:rPr>
              <w:t>c</w:t>
            </w:r>
          </w:p>
        </w:tc>
        <w:tc>
          <w:tcPr>
            <w:tcW w:w="709" w:type="dxa"/>
            <w:tcBorders>
              <w:top w:val="nil"/>
              <w:left w:val="nil"/>
              <w:bottom w:val="single" w:sz="18" w:space="0" w:color="00B050"/>
              <w:right w:val="nil"/>
            </w:tcBorders>
          </w:tcPr>
          <w:p w14:paraId="2A1E1CE9" w14:textId="77777777" w:rsidR="00C076AF" w:rsidRPr="008113A5" w:rsidRDefault="00C076AF" w:rsidP="008113A5">
            <w:pPr>
              <w:pStyle w:val="CETBodytext"/>
              <w:rPr>
                <w:rFonts w:eastAsia="Arial Unicode MS" w:cs="Arial"/>
                <w:sz w:val="16"/>
                <w:szCs w:val="16"/>
              </w:rPr>
            </w:pPr>
            <w:r w:rsidRPr="008113A5">
              <w:rPr>
                <w:rFonts w:cs="Arial"/>
                <w:sz w:val="16"/>
                <w:szCs w:val="16"/>
              </w:rPr>
              <w:t>CO</w:t>
            </w:r>
            <w:r w:rsidRPr="008113A5">
              <w:rPr>
                <w:rFonts w:cs="Arial"/>
                <w:sz w:val="16"/>
                <w:szCs w:val="16"/>
                <w:vertAlign w:val="subscript"/>
              </w:rPr>
              <w:t>2</w:t>
            </w:r>
            <w:r w:rsidRPr="008113A5">
              <w:rPr>
                <w:rFonts w:cs="Arial"/>
                <w:sz w:val="16"/>
                <w:szCs w:val="16"/>
                <w:vertAlign w:val="superscript"/>
              </w:rPr>
              <w:t>a</w:t>
            </w:r>
          </w:p>
        </w:tc>
        <w:tc>
          <w:tcPr>
            <w:tcW w:w="850" w:type="dxa"/>
            <w:tcBorders>
              <w:top w:val="nil"/>
              <w:left w:val="nil"/>
              <w:bottom w:val="single" w:sz="18" w:space="0" w:color="00B050"/>
              <w:right w:val="nil"/>
            </w:tcBorders>
          </w:tcPr>
          <w:p w14:paraId="6047EACA" w14:textId="77777777" w:rsidR="00C076AF" w:rsidRPr="008113A5" w:rsidRDefault="00C076AF" w:rsidP="008113A5">
            <w:pPr>
              <w:pStyle w:val="CETBodytext"/>
              <w:rPr>
                <w:rFonts w:eastAsia="Arial Unicode MS" w:cs="Arial"/>
                <w:sz w:val="16"/>
                <w:szCs w:val="16"/>
              </w:rPr>
            </w:pPr>
            <w:r w:rsidRPr="008113A5">
              <w:rPr>
                <w:rFonts w:cs="Arial"/>
                <w:sz w:val="16"/>
                <w:szCs w:val="16"/>
              </w:rPr>
              <w:t>CO</w:t>
            </w:r>
            <w:r w:rsidRPr="008113A5">
              <w:rPr>
                <w:rFonts w:cs="Arial"/>
                <w:sz w:val="16"/>
                <w:szCs w:val="16"/>
                <w:vertAlign w:val="subscript"/>
              </w:rPr>
              <w:t>2</w:t>
            </w:r>
            <w:r w:rsidRPr="008113A5">
              <w:rPr>
                <w:rFonts w:cs="Arial"/>
                <w:sz w:val="16"/>
                <w:szCs w:val="16"/>
                <w:vertAlign w:val="superscript"/>
              </w:rPr>
              <w:t>c</w:t>
            </w:r>
          </w:p>
        </w:tc>
        <w:tc>
          <w:tcPr>
            <w:tcW w:w="709" w:type="dxa"/>
            <w:tcBorders>
              <w:top w:val="nil"/>
              <w:left w:val="nil"/>
              <w:bottom w:val="single" w:sz="18" w:space="0" w:color="00B050"/>
              <w:right w:val="nil"/>
            </w:tcBorders>
          </w:tcPr>
          <w:p w14:paraId="4207208C" w14:textId="77777777" w:rsidR="00C076AF" w:rsidRPr="008113A5" w:rsidRDefault="00C076AF" w:rsidP="008113A5">
            <w:pPr>
              <w:pStyle w:val="CETBodytext"/>
              <w:rPr>
                <w:rFonts w:eastAsia="Arial Unicode MS" w:cs="Arial"/>
                <w:sz w:val="16"/>
                <w:szCs w:val="16"/>
              </w:rPr>
            </w:pPr>
            <w:r w:rsidRPr="008113A5">
              <w:rPr>
                <w:rFonts w:cs="Arial"/>
                <w:sz w:val="16"/>
                <w:szCs w:val="16"/>
              </w:rPr>
              <w:t>H</w:t>
            </w:r>
            <w:r w:rsidRPr="008113A5">
              <w:rPr>
                <w:rFonts w:cs="Arial"/>
                <w:sz w:val="16"/>
                <w:szCs w:val="16"/>
                <w:vertAlign w:val="subscript"/>
              </w:rPr>
              <w:t>2</w:t>
            </w:r>
            <w:r w:rsidRPr="008113A5">
              <w:rPr>
                <w:rFonts w:cs="Arial"/>
                <w:sz w:val="16"/>
                <w:szCs w:val="16"/>
                <w:vertAlign w:val="superscript"/>
              </w:rPr>
              <w:t>a</w:t>
            </w:r>
          </w:p>
        </w:tc>
        <w:tc>
          <w:tcPr>
            <w:tcW w:w="567" w:type="dxa"/>
            <w:tcBorders>
              <w:top w:val="nil"/>
              <w:left w:val="nil"/>
              <w:bottom w:val="single" w:sz="18" w:space="0" w:color="00B050"/>
              <w:right w:val="nil"/>
            </w:tcBorders>
          </w:tcPr>
          <w:p w14:paraId="26787A8B" w14:textId="77777777" w:rsidR="00C076AF" w:rsidRPr="008113A5" w:rsidRDefault="00C076AF" w:rsidP="008113A5">
            <w:pPr>
              <w:pStyle w:val="CETBodytext"/>
              <w:rPr>
                <w:rFonts w:eastAsia="Arial Unicode MS" w:cs="Arial"/>
                <w:sz w:val="16"/>
                <w:szCs w:val="16"/>
              </w:rPr>
            </w:pPr>
            <w:r w:rsidRPr="008113A5">
              <w:rPr>
                <w:rFonts w:cs="Arial"/>
                <w:sz w:val="16"/>
                <w:szCs w:val="16"/>
              </w:rPr>
              <w:t>H</w:t>
            </w:r>
            <w:r w:rsidRPr="008113A5">
              <w:rPr>
                <w:rFonts w:cs="Arial"/>
                <w:sz w:val="16"/>
                <w:szCs w:val="16"/>
                <w:vertAlign w:val="subscript"/>
              </w:rPr>
              <w:t>2</w:t>
            </w:r>
            <w:r w:rsidRPr="008113A5">
              <w:rPr>
                <w:rFonts w:cs="Arial"/>
                <w:sz w:val="16"/>
                <w:szCs w:val="16"/>
                <w:vertAlign w:val="superscript"/>
              </w:rPr>
              <w:t>c</w:t>
            </w:r>
          </w:p>
        </w:tc>
        <w:tc>
          <w:tcPr>
            <w:tcW w:w="709" w:type="dxa"/>
            <w:tcBorders>
              <w:top w:val="nil"/>
              <w:left w:val="nil"/>
              <w:bottom w:val="single" w:sz="18" w:space="0" w:color="00B050"/>
              <w:right w:val="nil"/>
            </w:tcBorders>
          </w:tcPr>
          <w:p w14:paraId="7701FE9C" w14:textId="77777777" w:rsidR="00C076AF" w:rsidRPr="008113A5" w:rsidRDefault="00C076AF" w:rsidP="008113A5">
            <w:pPr>
              <w:pStyle w:val="CETBodytext"/>
              <w:rPr>
                <w:rFonts w:cs="Arial"/>
                <w:sz w:val="16"/>
                <w:szCs w:val="16"/>
              </w:rPr>
            </w:pPr>
            <w:r w:rsidRPr="008113A5">
              <w:rPr>
                <w:rFonts w:cs="Arial"/>
                <w:sz w:val="16"/>
                <w:szCs w:val="16"/>
              </w:rPr>
              <w:t>CH</w:t>
            </w:r>
            <w:r w:rsidRPr="008113A5">
              <w:rPr>
                <w:rFonts w:cs="Arial"/>
                <w:sz w:val="16"/>
                <w:szCs w:val="16"/>
                <w:vertAlign w:val="subscript"/>
              </w:rPr>
              <w:t>4</w:t>
            </w:r>
            <w:r w:rsidRPr="008113A5">
              <w:rPr>
                <w:rFonts w:cs="Arial"/>
                <w:sz w:val="16"/>
                <w:szCs w:val="16"/>
                <w:vertAlign w:val="superscript"/>
              </w:rPr>
              <w:t>a</w:t>
            </w:r>
          </w:p>
        </w:tc>
        <w:tc>
          <w:tcPr>
            <w:tcW w:w="708" w:type="dxa"/>
            <w:tcBorders>
              <w:top w:val="nil"/>
              <w:left w:val="nil"/>
              <w:bottom w:val="single" w:sz="18" w:space="0" w:color="00B050"/>
              <w:right w:val="nil"/>
            </w:tcBorders>
            <w:vAlign w:val="center"/>
          </w:tcPr>
          <w:p w14:paraId="229197E4" w14:textId="77777777" w:rsidR="00C076AF" w:rsidRPr="008113A5" w:rsidRDefault="00C076AF" w:rsidP="008113A5">
            <w:pPr>
              <w:pStyle w:val="CETBodytext"/>
              <w:rPr>
                <w:rFonts w:cs="Arial"/>
                <w:i/>
                <w:sz w:val="16"/>
                <w:szCs w:val="16"/>
              </w:rPr>
            </w:pPr>
            <w:r w:rsidRPr="008113A5">
              <w:rPr>
                <w:rFonts w:cs="Arial"/>
                <w:i/>
                <w:sz w:val="16"/>
                <w:szCs w:val="16"/>
              </w:rPr>
              <w:t>CH</w:t>
            </w:r>
            <w:r w:rsidRPr="008113A5">
              <w:rPr>
                <w:rFonts w:cs="Arial"/>
                <w:i/>
                <w:sz w:val="16"/>
                <w:szCs w:val="16"/>
                <w:vertAlign w:val="subscript"/>
              </w:rPr>
              <w:t>4</w:t>
            </w:r>
            <w:r w:rsidRPr="008113A5">
              <w:rPr>
                <w:rFonts w:cs="Arial"/>
                <w:i/>
                <w:sz w:val="16"/>
                <w:szCs w:val="16"/>
                <w:vertAlign w:val="superscript"/>
              </w:rPr>
              <w:t>c</w:t>
            </w:r>
          </w:p>
        </w:tc>
      </w:tr>
      <w:tr w:rsidR="00C076AF" w:rsidRPr="008113A5" w14:paraId="15594327" w14:textId="77777777" w:rsidTr="00EF3920">
        <w:trPr>
          <w:trHeight w:val="220"/>
        </w:trPr>
        <w:tc>
          <w:tcPr>
            <w:tcW w:w="851" w:type="dxa"/>
            <w:tcBorders>
              <w:top w:val="single" w:sz="18" w:space="0" w:color="00B050"/>
              <w:left w:val="nil"/>
              <w:bottom w:val="nil"/>
              <w:right w:val="nil"/>
            </w:tcBorders>
          </w:tcPr>
          <w:p w14:paraId="3C84187D" w14:textId="77777777" w:rsidR="00C076AF" w:rsidRPr="008113A5" w:rsidRDefault="00C076AF" w:rsidP="008113A5">
            <w:pPr>
              <w:pStyle w:val="CETBodytext"/>
              <w:rPr>
                <w:rFonts w:eastAsia="Arial Unicode MS" w:cs="Arial"/>
                <w:sz w:val="16"/>
                <w:szCs w:val="16"/>
              </w:rPr>
            </w:pPr>
            <w:r w:rsidRPr="008113A5">
              <w:rPr>
                <w:rFonts w:eastAsia="Arial Unicode MS" w:cs="Arial"/>
                <w:sz w:val="16"/>
                <w:szCs w:val="16"/>
              </w:rPr>
              <w:t>2</w:t>
            </w:r>
          </w:p>
        </w:tc>
        <w:tc>
          <w:tcPr>
            <w:tcW w:w="709" w:type="dxa"/>
            <w:gridSpan w:val="2"/>
            <w:tcBorders>
              <w:top w:val="single" w:sz="18" w:space="0" w:color="00B050"/>
              <w:left w:val="nil"/>
              <w:bottom w:val="nil"/>
              <w:right w:val="nil"/>
            </w:tcBorders>
          </w:tcPr>
          <w:p w14:paraId="32AC3F50" w14:textId="77777777" w:rsidR="00C076AF" w:rsidRPr="008113A5" w:rsidRDefault="00C076AF" w:rsidP="008113A5">
            <w:pPr>
              <w:pStyle w:val="CETBodytext"/>
              <w:rPr>
                <w:rFonts w:cs="Arial"/>
                <w:sz w:val="16"/>
                <w:szCs w:val="16"/>
              </w:rPr>
            </w:pPr>
            <w:r w:rsidRPr="008113A5">
              <w:rPr>
                <w:rFonts w:cs="Arial"/>
                <w:sz w:val="16"/>
                <w:szCs w:val="16"/>
              </w:rPr>
              <w:t>14.91</w:t>
            </w:r>
          </w:p>
        </w:tc>
        <w:tc>
          <w:tcPr>
            <w:tcW w:w="992" w:type="dxa"/>
            <w:gridSpan w:val="2"/>
            <w:tcBorders>
              <w:top w:val="single" w:sz="18" w:space="0" w:color="00B050"/>
              <w:left w:val="nil"/>
              <w:bottom w:val="nil"/>
              <w:right w:val="nil"/>
            </w:tcBorders>
          </w:tcPr>
          <w:p w14:paraId="1505B9FB" w14:textId="77777777" w:rsidR="00C076AF" w:rsidRPr="008113A5" w:rsidRDefault="00C076AF" w:rsidP="008113A5">
            <w:pPr>
              <w:pStyle w:val="CETBodytext"/>
              <w:rPr>
                <w:rFonts w:cs="Arial"/>
                <w:sz w:val="16"/>
                <w:szCs w:val="16"/>
              </w:rPr>
            </w:pPr>
            <w:r w:rsidRPr="008113A5">
              <w:rPr>
                <w:rFonts w:cs="Arial"/>
                <w:sz w:val="16"/>
                <w:szCs w:val="16"/>
              </w:rPr>
              <w:t>17</w:t>
            </w:r>
          </w:p>
        </w:tc>
        <w:tc>
          <w:tcPr>
            <w:tcW w:w="709" w:type="dxa"/>
            <w:tcBorders>
              <w:top w:val="single" w:sz="18" w:space="0" w:color="00B050"/>
              <w:left w:val="nil"/>
              <w:bottom w:val="nil"/>
              <w:right w:val="nil"/>
            </w:tcBorders>
          </w:tcPr>
          <w:p w14:paraId="17BC8477" w14:textId="77777777" w:rsidR="00C076AF" w:rsidRPr="008113A5" w:rsidRDefault="00C076AF" w:rsidP="008113A5">
            <w:pPr>
              <w:pStyle w:val="CETBodytext"/>
              <w:rPr>
                <w:rFonts w:cs="Arial"/>
                <w:sz w:val="16"/>
                <w:szCs w:val="16"/>
              </w:rPr>
            </w:pPr>
            <w:r w:rsidRPr="008113A5">
              <w:rPr>
                <w:rFonts w:cs="Arial"/>
                <w:sz w:val="16"/>
                <w:szCs w:val="16"/>
              </w:rPr>
              <w:t>17.03</w:t>
            </w:r>
          </w:p>
        </w:tc>
        <w:tc>
          <w:tcPr>
            <w:tcW w:w="850" w:type="dxa"/>
            <w:tcBorders>
              <w:top w:val="single" w:sz="18" w:space="0" w:color="00B050"/>
              <w:left w:val="nil"/>
              <w:bottom w:val="nil"/>
              <w:right w:val="nil"/>
            </w:tcBorders>
          </w:tcPr>
          <w:p w14:paraId="36327823" w14:textId="77777777" w:rsidR="00C076AF" w:rsidRPr="008113A5" w:rsidRDefault="00C076AF" w:rsidP="008113A5">
            <w:pPr>
              <w:pStyle w:val="CETBodytext"/>
              <w:rPr>
                <w:rFonts w:cs="Arial"/>
                <w:sz w:val="16"/>
                <w:szCs w:val="16"/>
              </w:rPr>
            </w:pPr>
            <w:r w:rsidRPr="008113A5">
              <w:rPr>
                <w:rFonts w:cs="Arial"/>
                <w:sz w:val="16"/>
                <w:szCs w:val="16"/>
              </w:rPr>
              <w:t>20.0</w:t>
            </w:r>
          </w:p>
        </w:tc>
        <w:tc>
          <w:tcPr>
            <w:tcW w:w="709" w:type="dxa"/>
            <w:tcBorders>
              <w:top w:val="single" w:sz="18" w:space="0" w:color="00B050"/>
              <w:left w:val="nil"/>
              <w:bottom w:val="nil"/>
              <w:right w:val="nil"/>
            </w:tcBorders>
          </w:tcPr>
          <w:p w14:paraId="4937A550" w14:textId="77777777" w:rsidR="00C076AF" w:rsidRPr="008113A5" w:rsidRDefault="00C076AF" w:rsidP="008113A5">
            <w:pPr>
              <w:pStyle w:val="CETBodytext"/>
              <w:rPr>
                <w:rFonts w:cs="Arial"/>
                <w:sz w:val="16"/>
                <w:szCs w:val="16"/>
              </w:rPr>
            </w:pPr>
            <w:r w:rsidRPr="008113A5">
              <w:rPr>
                <w:rFonts w:cs="Arial"/>
                <w:sz w:val="16"/>
                <w:szCs w:val="16"/>
              </w:rPr>
              <w:t>66.25</w:t>
            </w:r>
          </w:p>
        </w:tc>
        <w:tc>
          <w:tcPr>
            <w:tcW w:w="567" w:type="dxa"/>
            <w:tcBorders>
              <w:top w:val="single" w:sz="18" w:space="0" w:color="00B050"/>
              <w:left w:val="nil"/>
              <w:bottom w:val="nil"/>
              <w:right w:val="nil"/>
            </w:tcBorders>
          </w:tcPr>
          <w:p w14:paraId="76CDDCA7" w14:textId="77777777" w:rsidR="00C076AF" w:rsidRPr="008113A5" w:rsidRDefault="00C076AF" w:rsidP="008113A5">
            <w:pPr>
              <w:pStyle w:val="CETBodytext"/>
              <w:rPr>
                <w:rFonts w:cs="Arial"/>
                <w:sz w:val="16"/>
                <w:szCs w:val="16"/>
              </w:rPr>
            </w:pPr>
            <w:r w:rsidRPr="008113A5">
              <w:rPr>
                <w:rFonts w:cs="Arial"/>
                <w:sz w:val="16"/>
                <w:szCs w:val="16"/>
              </w:rPr>
              <w:t>60</w:t>
            </w:r>
          </w:p>
        </w:tc>
        <w:tc>
          <w:tcPr>
            <w:tcW w:w="709" w:type="dxa"/>
            <w:tcBorders>
              <w:top w:val="single" w:sz="18" w:space="0" w:color="00B050"/>
              <w:left w:val="nil"/>
              <w:bottom w:val="nil"/>
              <w:right w:val="nil"/>
            </w:tcBorders>
          </w:tcPr>
          <w:p w14:paraId="5296F6C4" w14:textId="77777777" w:rsidR="00C076AF" w:rsidRPr="008113A5" w:rsidRDefault="00C076AF" w:rsidP="008113A5">
            <w:pPr>
              <w:pStyle w:val="CETBodytext"/>
              <w:rPr>
                <w:rFonts w:cs="Arial"/>
                <w:sz w:val="16"/>
                <w:szCs w:val="16"/>
              </w:rPr>
            </w:pPr>
            <w:r w:rsidRPr="008113A5">
              <w:rPr>
                <w:rFonts w:cs="Arial"/>
                <w:sz w:val="16"/>
                <w:szCs w:val="16"/>
              </w:rPr>
              <w:t>1.44</w:t>
            </w:r>
          </w:p>
        </w:tc>
        <w:tc>
          <w:tcPr>
            <w:tcW w:w="708" w:type="dxa"/>
            <w:tcBorders>
              <w:top w:val="single" w:sz="18" w:space="0" w:color="00B050"/>
              <w:left w:val="nil"/>
              <w:bottom w:val="nil"/>
              <w:right w:val="nil"/>
            </w:tcBorders>
          </w:tcPr>
          <w:p w14:paraId="0485A00A" w14:textId="77777777" w:rsidR="00C076AF" w:rsidRPr="008113A5" w:rsidRDefault="00C076AF" w:rsidP="008113A5">
            <w:pPr>
              <w:pStyle w:val="CETBodytext"/>
              <w:rPr>
                <w:rFonts w:cs="Arial"/>
                <w:sz w:val="16"/>
                <w:szCs w:val="16"/>
              </w:rPr>
            </w:pPr>
            <w:r w:rsidRPr="008113A5">
              <w:rPr>
                <w:rFonts w:cs="Arial"/>
                <w:sz w:val="16"/>
                <w:szCs w:val="16"/>
              </w:rPr>
              <w:t>3.0</w:t>
            </w:r>
          </w:p>
        </w:tc>
      </w:tr>
      <w:tr w:rsidR="00C076AF" w:rsidRPr="008113A5" w14:paraId="6A5B0514" w14:textId="77777777" w:rsidTr="00EF3920">
        <w:trPr>
          <w:trHeight w:val="220"/>
        </w:trPr>
        <w:tc>
          <w:tcPr>
            <w:tcW w:w="851" w:type="dxa"/>
            <w:tcBorders>
              <w:top w:val="nil"/>
              <w:left w:val="nil"/>
              <w:bottom w:val="single" w:sz="18" w:space="0" w:color="00B050"/>
              <w:right w:val="nil"/>
            </w:tcBorders>
          </w:tcPr>
          <w:p w14:paraId="1C71E665" w14:textId="77777777" w:rsidR="00C076AF" w:rsidRPr="008113A5" w:rsidRDefault="00C076AF" w:rsidP="008113A5">
            <w:pPr>
              <w:pStyle w:val="CETBodytext"/>
              <w:rPr>
                <w:rFonts w:eastAsia="Arial Unicode MS" w:cs="Arial"/>
                <w:sz w:val="16"/>
                <w:szCs w:val="16"/>
              </w:rPr>
            </w:pPr>
            <w:r w:rsidRPr="008113A5">
              <w:rPr>
                <w:rFonts w:eastAsia="Arial Unicode MS" w:cs="Arial"/>
                <w:sz w:val="16"/>
                <w:szCs w:val="16"/>
              </w:rPr>
              <w:t>RMS</w:t>
            </w:r>
          </w:p>
        </w:tc>
        <w:tc>
          <w:tcPr>
            <w:tcW w:w="1701" w:type="dxa"/>
            <w:gridSpan w:val="4"/>
            <w:tcBorders>
              <w:top w:val="nil"/>
              <w:left w:val="nil"/>
              <w:bottom w:val="single" w:sz="18" w:space="0" w:color="00B050"/>
              <w:right w:val="nil"/>
            </w:tcBorders>
          </w:tcPr>
          <w:p w14:paraId="58A05F25" w14:textId="77777777" w:rsidR="00C076AF" w:rsidRPr="008113A5" w:rsidRDefault="00C076AF" w:rsidP="008113A5">
            <w:pPr>
              <w:pStyle w:val="CETBodytext"/>
              <w:rPr>
                <w:rFonts w:cs="Arial"/>
                <w:sz w:val="16"/>
                <w:szCs w:val="16"/>
              </w:rPr>
            </w:pPr>
            <w:r w:rsidRPr="008113A5">
              <w:rPr>
                <w:rFonts w:cs="Arial"/>
                <w:sz w:val="16"/>
                <w:szCs w:val="16"/>
              </w:rPr>
              <w:t>2.09</w:t>
            </w:r>
          </w:p>
        </w:tc>
        <w:tc>
          <w:tcPr>
            <w:tcW w:w="1559" w:type="dxa"/>
            <w:gridSpan w:val="2"/>
            <w:tcBorders>
              <w:top w:val="nil"/>
              <w:left w:val="nil"/>
              <w:bottom w:val="single" w:sz="18" w:space="0" w:color="00B050"/>
              <w:right w:val="nil"/>
            </w:tcBorders>
          </w:tcPr>
          <w:p w14:paraId="1B6EFFF6" w14:textId="77777777" w:rsidR="00C076AF" w:rsidRPr="008113A5" w:rsidRDefault="00C076AF" w:rsidP="008113A5">
            <w:pPr>
              <w:pStyle w:val="CETBodytext"/>
              <w:rPr>
                <w:rFonts w:cs="Arial"/>
                <w:sz w:val="16"/>
                <w:szCs w:val="16"/>
              </w:rPr>
            </w:pPr>
            <w:r w:rsidRPr="008113A5">
              <w:rPr>
                <w:rFonts w:cs="Arial"/>
                <w:sz w:val="16"/>
                <w:szCs w:val="16"/>
              </w:rPr>
              <w:t>2.97</w:t>
            </w:r>
          </w:p>
        </w:tc>
        <w:tc>
          <w:tcPr>
            <w:tcW w:w="1276" w:type="dxa"/>
            <w:gridSpan w:val="2"/>
            <w:tcBorders>
              <w:top w:val="nil"/>
              <w:left w:val="nil"/>
              <w:bottom w:val="single" w:sz="18" w:space="0" w:color="00B050"/>
              <w:right w:val="nil"/>
            </w:tcBorders>
          </w:tcPr>
          <w:p w14:paraId="0C5E3AF7" w14:textId="77777777" w:rsidR="00C076AF" w:rsidRPr="008113A5" w:rsidRDefault="00C076AF" w:rsidP="008113A5">
            <w:pPr>
              <w:pStyle w:val="CETBodytext"/>
              <w:rPr>
                <w:rFonts w:cs="Arial"/>
                <w:sz w:val="16"/>
                <w:szCs w:val="16"/>
              </w:rPr>
            </w:pPr>
            <w:r w:rsidRPr="008113A5">
              <w:rPr>
                <w:rFonts w:cs="Arial"/>
                <w:sz w:val="16"/>
                <w:szCs w:val="16"/>
              </w:rPr>
              <w:t>0.25</w:t>
            </w:r>
          </w:p>
        </w:tc>
        <w:tc>
          <w:tcPr>
            <w:tcW w:w="1417" w:type="dxa"/>
            <w:gridSpan w:val="2"/>
            <w:tcBorders>
              <w:top w:val="nil"/>
              <w:left w:val="nil"/>
              <w:bottom w:val="single" w:sz="18" w:space="0" w:color="00B050"/>
            </w:tcBorders>
            <w:vAlign w:val="center"/>
          </w:tcPr>
          <w:p w14:paraId="1608CADC" w14:textId="77777777" w:rsidR="00C076AF" w:rsidRPr="008113A5" w:rsidRDefault="00C076AF" w:rsidP="008113A5">
            <w:pPr>
              <w:pStyle w:val="CETBodytext"/>
              <w:rPr>
                <w:rFonts w:cs="Arial"/>
                <w:sz w:val="16"/>
                <w:szCs w:val="16"/>
              </w:rPr>
            </w:pPr>
            <w:r w:rsidRPr="008113A5">
              <w:rPr>
                <w:rFonts w:cs="Arial"/>
                <w:sz w:val="16"/>
                <w:szCs w:val="16"/>
              </w:rPr>
              <w:t>1.56</w:t>
            </w:r>
          </w:p>
        </w:tc>
      </w:tr>
      <w:tr w:rsidR="00C076AF" w:rsidRPr="008113A5" w14:paraId="3CC87619" w14:textId="77777777" w:rsidTr="00EF3920">
        <w:tc>
          <w:tcPr>
            <w:tcW w:w="6804" w:type="dxa"/>
            <w:gridSpan w:val="11"/>
            <w:tcBorders>
              <w:top w:val="single" w:sz="18" w:space="0" w:color="00B050"/>
              <w:left w:val="nil"/>
              <w:bottom w:val="nil"/>
              <w:right w:val="nil"/>
            </w:tcBorders>
          </w:tcPr>
          <w:p w14:paraId="40DEC215" w14:textId="32AD4024" w:rsidR="00C076AF" w:rsidRPr="008113A5" w:rsidRDefault="00C076AF" w:rsidP="008113A5">
            <w:pPr>
              <w:pStyle w:val="CETBodytext"/>
              <w:spacing w:line="240" w:lineRule="auto"/>
              <w:rPr>
                <w:rFonts w:cs="Arial"/>
                <w:sz w:val="16"/>
                <w:szCs w:val="16"/>
                <w:lang w:val="es-ES"/>
              </w:rPr>
            </w:pPr>
            <w:r w:rsidRPr="008113A5">
              <w:rPr>
                <w:rFonts w:cs="Arial"/>
                <w:sz w:val="16"/>
                <w:szCs w:val="16"/>
                <w:lang w:val="es-ES"/>
              </w:rPr>
              <w:t>a:</w:t>
            </w:r>
            <w:r w:rsidR="00A21BEA" w:rsidRPr="008113A5">
              <w:rPr>
                <w:rFonts w:cs="Arial"/>
                <w:sz w:val="16"/>
                <w:szCs w:val="16"/>
                <w:lang w:val="es-ES"/>
              </w:rPr>
              <w:t xml:space="preserve"> </w:t>
            </w:r>
            <w:r w:rsidRPr="008113A5">
              <w:rPr>
                <w:rFonts w:cs="Arial"/>
                <w:sz w:val="16"/>
                <w:szCs w:val="16"/>
                <w:lang w:val="es-ES"/>
              </w:rPr>
              <w:t xml:space="preserve">simulation; b:  Akay and Jordan (2011) c:  Figueroa et al. </w:t>
            </w:r>
            <w:r w:rsidRPr="008113A5">
              <w:rPr>
                <w:rFonts w:cs="Arial"/>
                <w:sz w:val="16"/>
                <w:szCs w:val="16"/>
              </w:rPr>
              <w:t>(2013).</w:t>
            </w:r>
          </w:p>
        </w:tc>
      </w:tr>
    </w:tbl>
    <w:p w14:paraId="26CA49C3" w14:textId="666B5903" w:rsidR="00314226" w:rsidRPr="008113A5" w:rsidRDefault="00314226" w:rsidP="008113A5">
      <w:pPr>
        <w:pStyle w:val="CETBodytext"/>
      </w:pPr>
    </w:p>
    <w:p w14:paraId="3F42A2AE" w14:textId="7A67B7D6" w:rsidR="00C076AF" w:rsidRPr="008113A5" w:rsidRDefault="00C076AF" w:rsidP="008113A5">
      <w:pPr>
        <w:pStyle w:val="CETBodytext"/>
      </w:pPr>
    </w:p>
    <w:p w14:paraId="780489A5" w14:textId="61217759" w:rsidR="00C076AF" w:rsidRPr="008113A5" w:rsidRDefault="00C076AF" w:rsidP="008113A5">
      <w:pPr>
        <w:pStyle w:val="CETBodytext"/>
      </w:pPr>
    </w:p>
    <w:p w14:paraId="5BEC8DA3" w14:textId="1D028D2B" w:rsidR="00C076AF" w:rsidRPr="008113A5" w:rsidRDefault="00C076AF" w:rsidP="008113A5">
      <w:pPr>
        <w:pStyle w:val="CETBodytext"/>
      </w:pPr>
    </w:p>
    <w:p w14:paraId="05EE7421" w14:textId="27E9D0BC" w:rsidR="00C076AF" w:rsidRPr="008113A5" w:rsidRDefault="00C076AF" w:rsidP="008113A5">
      <w:pPr>
        <w:pStyle w:val="CETBodytext"/>
      </w:pPr>
    </w:p>
    <w:p w14:paraId="4FF97F5B" w14:textId="3197B5B4" w:rsidR="00C076AF" w:rsidRPr="008113A5" w:rsidRDefault="00C076AF" w:rsidP="008113A5">
      <w:pPr>
        <w:pStyle w:val="CETBodytext"/>
      </w:pPr>
    </w:p>
    <w:p w14:paraId="24228698" w14:textId="5B9244A4" w:rsidR="00C076AF" w:rsidRPr="008113A5" w:rsidRDefault="00C076AF" w:rsidP="008113A5">
      <w:pPr>
        <w:pStyle w:val="CETBodytext"/>
      </w:pPr>
    </w:p>
    <w:p w14:paraId="1560361A" w14:textId="270833DA" w:rsidR="00C076AF" w:rsidRPr="008113A5" w:rsidRDefault="00C076AF" w:rsidP="008113A5">
      <w:pPr>
        <w:pStyle w:val="CETBodytext"/>
      </w:pPr>
    </w:p>
    <w:p w14:paraId="00B9F2B6" w14:textId="78A0F2A6" w:rsidR="00C076AF" w:rsidRPr="008113A5" w:rsidRDefault="00C076AF" w:rsidP="008113A5">
      <w:pPr>
        <w:pStyle w:val="CETBodytext"/>
      </w:pPr>
    </w:p>
    <w:p w14:paraId="5189D5E6" w14:textId="77777777" w:rsidR="00C076AF" w:rsidRPr="008113A5" w:rsidRDefault="00C076AF" w:rsidP="008113A5">
      <w:pPr>
        <w:pStyle w:val="CETBodytext"/>
      </w:pPr>
    </w:p>
    <w:p w14:paraId="0DD72791" w14:textId="12159EA0" w:rsidR="00314226" w:rsidRPr="008113A5" w:rsidRDefault="00314226" w:rsidP="008113A5">
      <w:pPr>
        <w:pStyle w:val="CETBodytext"/>
      </w:pPr>
    </w:p>
    <w:p w14:paraId="5D0CE5CE" w14:textId="3E74114C" w:rsidR="00B80388" w:rsidRPr="008113A5" w:rsidRDefault="00B80388" w:rsidP="008113A5">
      <w:pPr>
        <w:pStyle w:val="CETheadingx"/>
      </w:pPr>
      <w:r w:rsidRPr="008113A5">
        <w:t>Effect of the equivalence ratio (ER) on the composition of the synthesis gas.</w:t>
      </w:r>
    </w:p>
    <w:p w14:paraId="0BAA5604" w14:textId="7F60C94E" w:rsidR="00191772" w:rsidRPr="008113A5" w:rsidRDefault="00191772" w:rsidP="008113A5">
      <w:pPr>
        <w:pStyle w:val="Prrafodelista"/>
        <w:ind w:left="0"/>
      </w:pPr>
      <w:r w:rsidRPr="008113A5">
        <w:t xml:space="preserve">The variation in the composition of the gasification gas as a function of the equivalence ratio (ER) in the reactor using sugarcane bagasse with a moisture content of 7.8% is shown in </w:t>
      </w:r>
      <w:r w:rsidR="00A21BEA" w:rsidRPr="008113A5">
        <w:t xml:space="preserve">Figure </w:t>
      </w:r>
      <w:r w:rsidRPr="008113A5">
        <w:t>2.</w:t>
      </w:r>
    </w:p>
    <w:p w14:paraId="26D52F69" w14:textId="5B889354" w:rsidR="00343511" w:rsidRPr="008113A5" w:rsidRDefault="00343511" w:rsidP="008113A5">
      <w:pPr>
        <w:pStyle w:val="CETBodytext"/>
        <w:rPr>
          <w:lang w:val="en-GB"/>
        </w:rPr>
      </w:pPr>
    </w:p>
    <w:p w14:paraId="475E31E3" w14:textId="77777777" w:rsidR="00042FED" w:rsidRDefault="00503701" w:rsidP="008113A5">
      <w:pPr>
        <w:pStyle w:val="CETBodytext"/>
      </w:pPr>
      <w:r w:rsidRPr="008113A5">
        <w:rPr>
          <w:noProof/>
          <w:lang w:val="es-ES" w:eastAsia="es-ES"/>
        </w:rPr>
        <w:drawing>
          <wp:inline distT="0" distB="0" distL="0" distR="0" wp14:anchorId="23A37B32" wp14:editId="4BD06EF3">
            <wp:extent cx="2704904" cy="19431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 ARTICULO 2026-1.png"/>
                    <pic:cNvPicPr/>
                  </pic:nvPicPr>
                  <pic:blipFill rotWithShape="1">
                    <a:blip r:embed="rId13">
                      <a:extLst>
                        <a:ext uri="{28A0092B-C50C-407E-A947-70E740481C1C}">
                          <a14:useLocalDpi xmlns:a14="http://schemas.microsoft.com/office/drawing/2010/main" val="0"/>
                        </a:ext>
                      </a:extLst>
                    </a:blip>
                    <a:srcRect r="13964" b="2796"/>
                    <a:stretch/>
                  </pic:blipFill>
                  <pic:spPr bwMode="auto">
                    <a:xfrm>
                      <a:off x="0" y="0"/>
                      <a:ext cx="2729484" cy="1960757"/>
                    </a:xfrm>
                    <a:prstGeom prst="rect">
                      <a:avLst/>
                    </a:prstGeom>
                    <a:ln>
                      <a:noFill/>
                    </a:ln>
                    <a:extLst>
                      <a:ext uri="{53640926-AAD7-44D8-BBD7-CCE9431645EC}">
                        <a14:shadowObscured xmlns:a14="http://schemas.microsoft.com/office/drawing/2010/main"/>
                      </a:ext>
                    </a:extLst>
                  </pic:spPr>
                </pic:pic>
              </a:graphicData>
            </a:graphic>
          </wp:inline>
        </w:drawing>
      </w:r>
    </w:p>
    <w:p w14:paraId="22CFCC1E" w14:textId="3F17A820" w:rsidR="00042FED" w:rsidRPr="008113A5" w:rsidRDefault="00042FED" w:rsidP="00042FED">
      <w:pPr>
        <w:pStyle w:val="CETBodytext"/>
      </w:pPr>
      <w:r w:rsidRPr="008113A5">
        <w:t xml:space="preserve">Figure 2. Variation in the composition of the synthesis gas when varying the ER in </w:t>
      </w:r>
      <w:r w:rsidR="00A21BEA" w:rsidRPr="008113A5">
        <w:t xml:space="preserve">an </w:t>
      </w:r>
      <w:r w:rsidRPr="008113A5">
        <w:t>FB reactor using sugarcane bagasse.</w:t>
      </w:r>
    </w:p>
    <w:p w14:paraId="426ADDEC" w14:textId="325FDDE1" w:rsidR="00343511" w:rsidRPr="008113A5" w:rsidRDefault="00343511" w:rsidP="00A53501">
      <w:pPr>
        <w:pStyle w:val="CETBodytext"/>
        <w:rPr>
          <w:sz w:val="16"/>
          <w:lang w:val="en-GB"/>
        </w:rPr>
      </w:pPr>
    </w:p>
    <w:p w14:paraId="5FF0F964" w14:textId="0999B7F5" w:rsidR="004230A7" w:rsidRDefault="008D6FF6" w:rsidP="004230A7">
      <w:r w:rsidRPr="008113A5">
        <w:rPr>
          <w:lang w:val="en-US"/>
        </w:rPr>
        <w:t>According to Figure 2, increasing the ER ratio decreases the amount of CH</w:t>
      </w:r>
      <w:r w:rsidRPr="008113A5">
        <w:rPr>
          <w:vertAlign w:val="subscript"/>
          <w:lang w:val="en-US"/>
        </w:rPr>
        <w:t>4</w:t>
      </w:r>
      <w:r w:rsidRPr="008113A5">
        <w:rPr>
          <w:lang w:val="en-US"/>
        </w:rPr>
        <w:t>. Low ER ratios show higher CO values when compared to the composition of CO</w:t>
      </w:r>
      <w:r w:rsidRPr="008113A5">
        <w:rPr>
          <w:vertAlign w:val="subscript"/>
          <w:lang w:val="en-US"/>
        </w:rPr>
        <w:t>2</w:t>
      </w:r>
      <w:r w:rsidRPr="008113A5">
        <w:rPr>
          <w:lang w:val="en-US"/>
        </w:rPr>
        <w:t>. For ER values of 0.29-0.38, the</w:t>
      </w:r>
      <w:r w:rsidRPr="000720E7">
        <w:rPr>
          <w:lang w:val="en-US"/>
        </w:rPr>
        <w:t xml:space="preserve"> composition of CO</w:t>
      </w:r>
      <w:r w:rsidRPr="004230A7">
        <w:rPr>
          <w:vertAlign w:val="subscript"/>
          <w:lang w:val="en-US"/>
        </w:rPr>
        <w:t>2</w:t>
      </w:r>
      <w:r w:rsidRPr="000720E7">
        <w:rPr>
          <w:lang w:val="en-US"/>
        </w:rPr>
        <w:t xml:space="preserve"> predominates, </w:t>
      </w:r>
      <w:r w:rsidR="00A21BEA">
        <w:rPr>
          <w:lang w:val="en-US"/>
        </w:rPr>
        <w:t xml:space="preserve">and </w:t>
      </w:r>
      <w:r w:rsidRPr="000720E7">
        <w:rPr>
          <w:lang w:val="en-US"/>
        </w:rPr>
        <w:t>the amount of H</w:t>
      </w:r>
      <w:r w:rsidRPr="004230A7">
        <w:rPr>
          <w:vertAlign w:val="subscript"/>
          <w:lang w:val="en-US"/>
        </w:rPr>
        <w:t>2</w:t>
      </w:r>
      <w:r w:rsidRPr="000720E7">
        <w:rPr>
          <w:lang w:val="en-US"/>
        </w:rPr>
        <w:t xml:space="preserve"> is altered in small proportions, unlike what happens with the other three gases analyzed (CO, CO</w:t>
      </w:r>
      <w:r w:rsidRPr="004230A7">
        <w:rPr>
          <w:vertAlign w:val="subscript"/>
          <w:lang w:val="en-US"/>
        </w:rPr>
        <w:t>2</w:t>
      </w:r>
      <w:r w:rsidR="00A21BEA">
        <w:rPr>
          <w:vertAlign w:val="subscript"/>
          <w:lang w:val="en-US"/>
        </w:rPr>
        <w:t>,</w:t>
      </w:r>
      <w:r w:rsidRPr="000720E7">
        <w:rPr>
          <w:lang w:val="en-US"/>
        </w:rPr>
        <w:t xml:space="preserve"> and CH</w:t>
      </w:r>
      <w:r w:rsidRPr="004230A7">
        <w:rPr>
          <w:vertAlign w:val="subscript"/>
          <w:lang w:val="en-US"/>
        </w:rPr>
        <w:t>4</w:t>
      </w:r>
      <w:r w:rsidRPr="000720E7">
        <w:rPr>
          <w:lang w:val="en-US"/>
        </w:rPr>
        <w:t>).</w:t>
      </w:r>
      <w:r w:rsidR="00FB0325">
        <w:rPr>
          <w:lang w:val="en-US"/>
        </w:rPr>
        <w:t xml:space="preserve"> </w:t>
      </w:r>
      <w:r w:rsidR="004230A7" w:rsidRPr="004230A7">
        <w:t>A synthesis gas composition</w:t>
      </w:r>
      <w:r w:rsidR="0041089F">
        <w:t xml:space="preserve">, the </w:t>
      </w:r>
      <w:r w:rsidR="004230A7">
        <w:t>HHV</w:t>
      </w:r>
      <w:r w:rsidR="0041089F">
        <w:t xml:space="preserve"> </w:t>
      </w:r>
      <w:r w:rsidR="0041089F" w:rsidRPr="004230A7">
        <w:t>of the gas</w:t>
      </w:r>
      <w:r w:rsidR="00A21BEA">
        <w:t>,</w:t>
      </w:r>
      <w:r w:rsidR="004230A7" w:rsidRPr="004230A7">
        <w:t xml:space="preserve"> </w:t>
      </w:r>
      <w:r w:rsidR="0041089F">
        <w:t xml:space="preserve">and products yield </w:t>
      </w:r>
      <w:r w:rsidR="004230A7" w:rsidRPr="004230A7">
        <w:t xml:space="preserve">in the FB reactor, when using a specific ER (with air) ratio, </w:t>
      </w:r>
      <w:r w:rsidR="00A21BEA">
        <w:t>are</w:t>
      </w:r>
      <w:r w:rsidR="00A21BEA" w:rsidRPr="004230A7">
        <w:t xml:space="preserve"> </w:t>
      </w:r>
      <w:r w:rsidR="004230A7" w:rsidRPr="004230A7">
        <w:t xml:space="preserve">presented in Table </w:t>
      </w:r>
      <w:r w:rsidR="00E869E6">
        <w:t>3</w:t>
      </w:r>
      <w:r w:rsidR="004230A7">
        <w:t>.</w:t>
      </w:r>
    </w:p>
    <w:p w14:paraId="20033DF8" w14:textId="376D0931" w:rsidR="007A77E1" w:rsidRPr="009400C2" w:rsidRDefault="007A77E1" w:rsidP="004230A7">
      <w:pPr>
        <w:rPr>
          <w:sz w:val="12"/>
        </w:rPr>
      </w:pPr>
    </w:p>
    <w:p w14:paraId="76511855" w14:textId="7C3CD32A" w:rsidR="00A77E4C" w:rsidRDefault="007A77E1" w:rsidP="00DD6503">
      <w:r w:rsidRPr="00583355">
        <w:t xml:space="preserve">Table </w:t>
      </w:r>
      <w:r>
        <w:t>3</w:t>
      </w:r>
      <w:r w:rsidRPr="00583355">
        <w:t xml:space="preserve">: </w:t>
      </w:r>
      <w:r w:rsidR="003221AA" w:rsidRPr="00781F39">
        <w:rPr>
          <w:lang w:val="en-US"/>
        </w:rPr>
        <w:t>Characterization of synthesis gas using ER</w:t>
      </w:r>
    </w:p>
    <w:tbl>
      <w:tblPr>
        <w:tblStyle w:val="Tablaconcuadrcula"/>
        <w:tblpPr w:leftFromText="141" w:rightFromText="141" w:vertAnchor="text" w:tblpY="1"/>
        <w:tblOverlap w:val="never"/>
        <w:tblW w:w="6237" w:type="dxa"/>
        <w:tblLayout w:type="fixed"/>
        <w:tblLook w:val="04A0" w:firstRow="1" w:lastRow="0" w:firstColumn="1" w:lastColumn="0" w:noHBand="0" w:noVBand="1"/>
      </w:tblPr>
      <w:tblGrid>
        <w:gridCol w:w="1560"/>
        <w:gridCol w:w="1275"/>
        <w:gridCol w:w="993"/>
        <w:gridCol w:w="2409"/>
      </w:tblGrid>
      <w:tr w:rsidR="00C076AF" w:rsidRPr="00C076AF" w14:paraId="3E4C1A1F" w14:textId="77777777" w:rsidTr="00AE270A">
        <w:trPr>
          <w:trHeight w:val="104"/>
        </w:trPr>
        <w:tc>
          <w:tcPr>
            <w:tcW w:w="2835" w:type="dxa"/>
            <w:gridSpan w:val="2"/>
            <w:tcBorders>
              <w:top w:val="single" w:sz="18" w:space="0" w:color="00B050"/>
              <w:left w:val="nil"/>
              <w:bottom w:val="single" w:sz="18" w:space="0" w:color="00B050"/>
              <w:right w:val="nil"/>
            </w:tcBorders>
          </w:tcPr>
          <w:p w14:paraId="3C655859" w14:textId="77777777" w:rsidR="00C076AF" w:rsidRPr="00C076AF" w:rsidRDefault="00C076AF" w:rsidP="00AE270A">
            <w:pPr>
              <w:pStyle w:val="CETBodytext"/>
              <w:rPr>
                <w:rFonts w:eastAsia="Arial Unicode MS" w:cs="Arial"/>
                <w:szCs w:val="16"/>
              </w:rPr>
            </w:pPr>
            <w:r w:rsidRPr="00C076AF">
              <w:rPr>
                <w:rFonts w:cs="Arial"/>
                <w:szCs w:val="16"/>
              </w:rPr>
              <w:t>Syngas Composition</w:t>
            </w:r>
            <w:r w:rsidRPr="00C076AF">
              <w:rPr>
                <w:rFonts w:eastAsia="Arial Unicode MS" w:cs="Arial"/>
                <w:szCs w:val="16"/>
              </w:rPr>
              <w:t>, vol% ER:0.25</w:t>
            </w:r>
          </w:p>
        </w:tc>
        <w:tc>
          <w:tcPr>
            <w:tcW w:w="3402" w:type="dxa"/>
            <w:gridSpan w:val="2"/>
            <w:tcBorders>
              <w:top w:val="single" w:sz="18" w:space="0" w:color="00B050"/>
              <w:left w:val="nil"/>
              <w:bottom w:val="single" w:sz="18" w:space="0" w:color="00B050"/>
              <w:right w:val="nil"/>
            </w:tcBorders>
          </w:tcPr>
          <w:p w14:paraId="16FB35D0" w14:textId="77777777" w:rsidR="00C076AF" w:rsidRPr="00C076AF" w:rsidRDefault="00C076AF" w:rsidP="00AE270A">
            <w:pPr>
              <w:pStyle w:val="CETBodytext"/>
              <w:rPr>
                <w:rFonts w:eastAsia="Arial Unicode MS" w:cs="Arial"/>
                <w:szCs w:val="16"/>
              </w:rPr>
            </w:pPr>
            <w:r w:rsidRPr="00C076AF">
              <w:rPr>
                <w:rFonts w:cs="Arial"/>
                <w:szCs w:val="16"/>
              </w:rPr>
              <w:t>Yield of products from gasification (%) ER:0.3</w:t>
            </w:r>
          </w:p>
        </w:tc>
      </w:tr>
      <w:tr w:rsidR="00C076AF" w:rsidRPr="00C076AF" w14:paraId="6A9A50A7" w14:textId="77777777" w:rsidTr="00AE270A">
        <w:tc>
          <w:tcPr>
            <w:tcW w:w="1560" w:type="dxa"/>
            <w:tcBorders>
              <w:top w:val="single" w:sz="18" w:space="0" w:color="00B050"/>
              <w:left w:val="nil"/>
              <w:bottom w:val="nil"/>
              <w:right w:val="nil"/>
            </w:tcBorders>
            <w:vAlign w:val="bottom"/>
          </w:tcPr>
          <w:p w14:paraId="0892DB86" w14:textId="77777777" w:rsidR="00C076AF" w:rsidRPr="00C076AF" w:rsidRDefault="00C076AF" w:rsidP="00AE270A">
            <w:pPr>
              <w:pStyle w:val="CETBodytext"/>
              <w:rPr>
                <w:rFonts w:eastAsia="Arial Unicode MS" w:cs="Arial"/>
                <w:szCs w:val="16"/>
              </w:rPr>
            </w:pPr>
            <w:r w:rsidRPr="00C076AF">
              <w:rPr>
                <w:rFonts w:cs="Arial"/>
                <w:szCs w:val="16"/>
              </w:rPr>
              <w:t>CO</w:t>
            </w:r>
          </w:p>
        </w:tc>
        <w:tc>
          <w:tcPr>
            <w:tcW w:w="1275" w:type="dxa"/>
            <w:tcBorders>
              <w:top w:val="single" w:sz="18" w:space="0" w:color="00B050"/>
              <w:left w:val="nil"/>
              <w:bottom w:val="nil"/>
              <w:right w:val="nil"/>
            </w:tcBorders>
            <w:vAlign w:val="bottom"/>
          </w:tcPr>
          <w:p w14:paraId="04FC695E" w14:textId="77777777" w:rsidR="00C076AF" w:rsidRPr="00C076AF" w:rsidRDefault="00C076AF" w:rsidP="00AE270A">
            <w:pPr>
              <w:pStyle w:val="CETBodytext"/>
              <w:rPr>
                <w:rFonts w:eastAsia="Arial Unicode MS" w:cs="Arial"/>
                <w:szCs w:val="16"/>
              </w:rPr>
            </w:pPr>
            <w:r w:rsidRPr="00C076AF">
              <w:rPr>
                <w:rFonts w:eastAsia="Arial Unicode MS" w:cs="Arial"/>
                <w:szCs w:val="16"/>
              </w:rPr>
              <w:t>18.0</w:t>
            </w:r>
          </w:p>
        </w:tc>
        <w:tc>
          <w:tcPr>
            <w:tcW w:w="993" w:type="dxa"/>
            <w:tcBorders>
              <w:top w:val="single" w:sz="18" w:space="0" w:color="00B050"/>
              <w:left w:val="nil"/>
              <w:bottom w:val="nil"/>
              <w:right w:val="nil"/>
            </w:tcBorders>
            <w:vAlign w:val="bottom"/>
          </w:tcPr>
          <w:p w14:paraId="6262EBC6" w14:textId="77777777" w:rsidR="00C076AF" w:rsidRPr="00C076AF" w:rsidRDefault="00C076AF" w:rsidP="00AE270A">
            <w:pPr>
              <w:pStyle w:val="CETBodytext"/>
              <w:rPr>
                <w:rFonts w:eastAsia="Arial Unicode MS" w:cs="Arial"/>
                <w:szCs w:val="16"/>
              </w:rPr>
            </w:pPr>
            <w:r w:rsidRPr="00C076AF">
              <w:rPr>
                <w:rFonts w:eastAsia="Arial Unicode MS" w:cs="Arial"/>
                <w:szCs w:val="16"/>
              </w:rPr>
              <w:t>Y</w:t>
            </w:r>
            <w:r w:rsidRPr="00C076AF">
              <w:rPr>
                <w:rFonts w:eastAsia="Arial Unicode MS" w:cs="Arial"/>
                <w:szCs w:val="16"/>
                <w:vertAlign w:val="subscript"/>
              </w:rPr>
              <w:t>gas</w:t>
            </w:r>
          </w:p>
        </w:tc>
        <w:tc>
          <w:tcPr>
            <w:tcW w:w="2409" w:type="dxa"/>
            <w:tcBorders>
              <w:top w:val="single" w:sz="18" w:space="0" w:color="00B050"/>
              <w:left w:val="nil"/>
              <w:bottom w:val="nil"/>
              <w:right w:val="nil"/>
            </w:tcBorders>
            <w:vAlign w:val="bottom"/>
          </w:tcPr>
          <w:p w14:paraId="07FC06B7" w14:textId="77777777" w:rsidR="00C076AF" w:rsidRPr="00C076AF" w:rsidRDefault="00C076AF" w:rsidP="00AE270A">
            <w:pPr>
              <w:pStyle w:val="CETBodytext"/>
              <w:rPr>
                <w:rFonts w:eastAsia="Arial Unicode MS" w:cs="Arial"/>
                <w:szCs w:val="16"/>
              </w:rPr>
            </w:pPr>
            <w:r w:rsidRPr="00C076AF">
              <w:rPr>
                <w:rFonts w:eastAsia="Arial Unicode MS" w:cs="Arial"/>
                <w:szCs w:val="16"/>
              </w:rPr>
              <w:t>86.06</w:t>
            </w:r>
          </w:p>
        </w:tc>
      </w:tr>
      <w:tr w:rsidR="00C076AF" w:rsidRPr="00C076AF" w14:paraId="3F5D7574" w14:textId="77777777" w:rsidTr="00AE270A">
        <w:tc>
          <w:tcPr>
            <w:tcW w:w="1560" w:type="dxa"/>
            <w:tcBorders>
              <w:top w:val="nil"/>
              <w:left w:val="nil"/>
              <w:bottom w:val="nil"/>
              <w:right w:val="nil"/>
            </w:tcBorders>
            <w:vAlign w:val="bottom"/>
          </w:tcPr>
          <w:p w14:paraId="3D14FD05" w14:textId="55F3D0B9" w:rsidR="00C076AF" w:rsidRPr="00C076AF" w:rsidRDefault="00C076AF" w:rsidP="00AE270A">
            <w:pPr>
              <w:pStyle w:val="CETBodytext"/>
              <w:rPr>
                <w:rFonts w:eastAsia="Arial Unicode MS" w:cs="Arial"/>
                <w:szCs w:val="16"/>
              </w:rPr>
            </w:pPr>
            <w:r w:rsidRPr="00C076AF">
              <w:rPr>
                <w:rFonts w:cs="Arial"/>
                <w:szCs w:val="16"/>
              </w:rPr>
              <w:t>CO</w:t>
            </w:r>
            <w:r w:rsidRPr="00C076AF">
              <w:rPr>
                <w:rFonts w:cs="Arial"/>
                <w:szCs w:val="16"/>
                <w:vertAlign w:val="subscript"/>
              </w:rPr>
              <w:t>2</w:t>
            </w:r>
          </w:p>
        </w:tc>
        <w:tc>
          <w:tcPr>
            <w:tcW w:w="1275" w:type="dxa"/>
            <w:tcBorders>
              <w:top w:val="nil"/>
              <w:left w:val="nil"/>
              <w:bottom w:val="nil"/>
              <w:right w:val="nil"/>
            </w:tcBorders>
            <w:vAlign w:val="bottom"/>
          </w:tcPr>
          <w:p w14:paraId="693B874C" w14:textId="77777777" w:rsidR="00C076AF" w:rsidRPr="00C076AF" w:rsidRDefault="00C076AF" w:rsidP="00AE270A">
            <w:pPr>
              <w:pStyle w:val="CETBodytext"/>
              <w:rPr>
                <w:rFonts w:eastAsia="Arial Unicode MS" w:cs="Arial"/>
                <w:szCs w:val="16"/>
              </w:rPr>
            </w:pPr>
            <w:r w:rsidRPr="00C076AF">
              <w:rPr>
                <w:rFonts w:eastAsia="Arial Unicode MS" w:cs="Arial"/>
                <w:szCs w:val="16"/>
              </w:rPr>
              <w:t>11.0</w:t>
            </w:r>
          </w:p>
        </w:tc>
        <w:tc>
          <w:tcPr>
            <w:tcW w:w="993" w:type="dxa"/>
            <w:tcBorders>
              <w:top w:val="nil"/>
              <w:left w:val="nil"/>
              <w:bottom w:val="nil"/>
              <w:right w:val="nil"/>
            </w:tcBorders>
            <w:vAlign w:val="bottom"/>
          </w:tcPr>
          <w:p w14:paraId="2BC270B0" w14:textId="77777777" w:rsidR="00C076AF" w:rsidRPr="00C076AF" w:rsidRDefault="00C076AF" w:rsidP="00AE270A">
            <w:pPr>
              <w:pStyle w:val="CETBodytext"/>
              <w:rPr>
                <w:rFonts w:eastAsia="Arial Unicode MS" w:cs="Arial"/>
                <w:szCs w:val="16"/>
              </w:rPr>
            </w:pPr>
            <w:r w:rsidRPr="00C076AF">
              <w:rPr>
                <w:rFonts w:eastAsia="Arial Unicode MS" w:cs="Arial"/>
                <w:szCs w:val="16"/>
              </w:rPr>
              <w:t>Y</w:t>
            </w:r>
            <w:r w:rsidRPr="00C076AF">
              <w:rPr>
                <w:rFonts w:eastAsia="Arial Unicode MS" w:cs="Arial"/>
                <w:szCs w:val="16"/>
                <w:vertAlign w:val="subscript"/>
              </w:rPr>
              <w:t>liquid</w:t>
            </w:r>
          </w:p>
        </w:tc>
        <w:tc>
          <w:tcPr>
            <w:tcW w:w="2409" w:type="dxa"/>
            <w:tcBorders>
              <w:top w:val="nil"/>
              <w:left w:val="nil"/>
              <w:bottom w:val="nil"/>
              <w:right w:val="nil"/>
            </w:tcBorders>
            <w:vAlign w:val="bottom"/>
          </w:tcPr>
          <w:p w14:paraId="5D69D000" w14:textId="77777777" w:rsidR="00C076AF" w:rsidRPr="00C076AF" w:rsidRDefault="00C076AF" w:rsidP="00AE270A">
            <w:pPr>
              <w:pStyle w:val="CETBodytext"/>
              <w:rPr>
                <w:rFonts w:eastAsia="Arial Unicode MS" w:cs="Arial"/>
                <w:szCs w:val="16"/>
              </w:rPr>
            </w:pPr>
            <w:r w:rsidRPr="00C076AF">
              <w:rPr>
                <w:rFonts w:eastAsia="Arial Unicode MS" w:cs="Arial"/>
                <w:szCs w:val="16"/>
              </w:rPr>
              <w:t>3.46</w:t>
            </w:r>
          </w:p>
        </w:tc>
      </w:tr>
      <w:tr w:rsidR="00C076AF" w:rsidRPr="00C076AF" w14:paraId="7DA0376A" w14:textId="77777777" w:rsidTr="00AE270A">
        <w:tc>
          <w:tcPr>
            <w:tcW w:w="1560" w:type="dxa"/>
            <w:tcBorders>
              <w:top w:val="nil"/>
              <w:left w:val="nil"/>
              <w:bottom w:val="nil"/>
              <w:right w:val="nil"/>
            </w:tcBorders>
            <w:vAlign w:val="bottom"/>
          </w:tcPr>
          <w:p w14:paraId="7F6FBABA" w14:textId="62879CE4" w:rsidR="00C076AF" w:rsidRPr="00C076AF" w:rsidRDefault="00C076AF" w:rsidP="00AE270A">
            <w:pPr>
              <w:pStyle w:val="CETBodytext"/>
              <w:rPr>
                <w:rFonts w:eastAsia="Arial Unicode MS" w:cs="Arial"/>
                <w:szCs w:val="16"/>
              </w:rPr>
            </w:pPr>
            <w:r w:rsidRPr="00C076AF">
              <w:rPr>
                <w:rFonts w:cs="Arial"/>
                <w:szCs w:val="16"/>
              </w:rPr>
              <w:t>H</w:t>
            </w:r>
            <w:r w:rsidRPr="00C076AF">
              <w:rPr>
                <w:rFonts w:cs="Arial"/>
                <w:szCs w:val="16"/>
                <w:vertAlign w:val="subscript"/>
              </w:rPr>
              <w:t>2</w:t>
            </w:r>
          </w:p>
        </w:tc>
        <w:tc>
          <w:tcPr>
            <w:tcW w:w="1275" w:type="dxa"/>
            <w:tcBorders>
              <w:top w:val="nil"/>
              <w:left w:val="nil"/>
              <w:bottom w:val="nil"/>
              <w:right w:val="nil"/>
            </w:tcBorders>
            <w:vAlign w:val="bottom"/>
          </w:tcPr>
          <w:p w14:paraId="7C5B7EBB" w14:textId="77777777" w:rsidR="00C076AF" w:rsidRPr="00C076AF" w:rsidRDefault="00C076AF" w:rsidP="00AE270A">
            <w:pPr>
              <w:pStyle w:val="CETBodytext"/>
              <w:rPr>
                <w:rFonts w:eastAsia="Arial Unicode MS" w:cs="Arial"/>
                <w:szCs w:val="16"/>
              </w:rPr>
            </w:pPr>
            <w:r w:rsidRPr="00C076AF">
              <w:rPr>
                <w:rFonts w:eastAsia="Arial Unicode MS" w:cs="Arial"/>
                <w:szCs w:val="16"/>
              </w:rPr>
              <w:t>8.0</w:t>
            </w:r>
          </w:p>
        </w:tc>
        <w:tc>
          <w:tcPr>
            <w:tcW w:w="993" w:type="dxa"/>
            <w:tcBorders>
              <w:top w:val="nil"/>
              <w:left w:val="nil"/>
              <w:bottom w:val="nil"/>
              <w:right w:val="nil"/>
            </w:tcBorders>
            <w:vAlign w:val="bottom"/>
          </w:tcPr>
          <w:p w14:paraId="5D19D43A" w14:textId="77777777" w:rsidR="00C076AF" w:rsidRPr="00C076AF" w:rsidRDefault="00C076AF" w:rsidP="00AE270A">
            <w:pPr>
              <w:pStyle w:val="CETBodytext"/>
              <w:rPr>
                <w:rFonts w:eastAsia="Arial Unicode MS" w:cs="Arial"/>
                <w:szCs w:val="16"/>
              </w:rPr>
            </w:pPr>
            <w:r w:rsidRPr="00C076AF">
              <w:rPr>
                <w:rFonts w:eastAsia="Arial Unicode MS" w:cs="Arial"/>
                <w:szCs w:val="16"/>
              </w:rPr>
              <w:t>Y</w:t>
            </w:r>
            <w:r w:rsidRPr="00C076AF">
              <w:rPr>
                <w:rFonts w:eastAsia="Arial Unicode MS" w:cs="Arial"/>
                <w:szCs w:val="16"/>
                <w:vertAlign w:val="subscript"/>
              </w:rPr>
              <w:t>solid</w:t>
            </w:r>
          </w:p>
        </w:tc>
        <w:tc>
          <w:tcPr>
            <w:tcW w:w="2409" w:type="dxa"/>
            <w:tcBorders>
              <w:top w:val="nil"/>
              <w:left w:val="nil"/>
              <w:bottom w:val="nil"/>
              <w:right w:val="nil"/>
            </w:tcBorders>
            <w:vAlign w:val="bottom"/>
          </w:tcPr>
          <w:p w14:paraId="42EF9E7F" w14:textId="77777777" w:rsidR="00C076AF" w:rsidRPr="00C076AF" w:rsidRDefault="00C076AF" w:rsidP="00AE270A">
            <w:pPr>
              <w:pStyle w:val="CETBodytext"/>
              <w:rPr>
                <w:rFonts w:eastAsia="Arial Unicode MS" w:cs="Arial"/>
                <w:szCs w:val="16"/>
              </w:rPr>
            </w:pPr>
            <w:r w:rsidRPr="00C076AF">
              <w:rPr>
                <w:rFonts w:eastAsia="Arial Unicode MS" w:cs="Arial"/>
                <w:szCs w:val="16"/>
              </w:rPr>
              <w:t>10.48</w:t>
            </w:r>
          </w:p>
        </w:tc>
      </w:tr>
      <w:tr w:rsidR="00C076AF" w:rsidRPr="00C076AF" w14:paraId="488ABD54" w14:textId="77777777" w:rsidTr="00AE270A">
        <w:tc>
          <w:tcPr>
            <w:tcW w:w="1560" w:type="dxa"/>
            <w:tcBorders>
              <w:top w:val="nil"/>
              <w:left w:val="nil"/>
              <w:bottom w:val="nil"/>
              <w:right w:val="nil"/>
            </w:tcBorders>
            <w:vAlign w:val="bottom"/>
          </w:tcPr>
          <w:p w14:paraId="067AD014" w14:textId="77777777" w:rsidR="00C076AF" w:rsidRPr="00C076AF" w:rsidRDefault="00C076AF" w:rsidP="00AE270A">
            <w:pPr>
              <w:pStyle w:val="CETBodytext"/>
              <w:rPr>
                <w:rFonts w:eastAsia="Arial Unicode MS" w:cs="Arial"/>
                <w:szCs w:val="16"/>
              </w:rPr>
            </w:pPr>
            <w:r w:rsidRPr="00C076AF">
              <w:rPr>
                <w:rFonts w:cs="Arial"/>
                <w:szCs w:val="16"/>
              </w:rPr>
              <w:t>CH</w:t>
            </w:r>
            <w:r w:rsidRPr="00C076AF">
              <w:rPr>
                <w:rFonts w:cs="Arial"/>
                <w:szCs w:val="16"/>
                <w:vertAlign w:val="subscript"/>
              </w:rPr>
              <w:t>4</w:t>
            </w:r>
          </w:p>
        </w:tc>
        <w:tc>
          <w:tcPr>
            <w:tcW w:w="1275" w:type="dxa"/>
            <w:tcBorders>
              <w:top w:val="nil"/>
              <w:left w:val="nil"/>
              <w:bottom w:val="nil"/>
              <w:right w:val="nil"/>
            </w:tcBorders>
            <w:vAlign w:val="bottom"/>
          </w:tcPr>
          <w:p w14:paraId="308D3867" w14:textId="77777777" w:rsidR="00C076AF" w:rsidRPr="00C076AF" w:rsidRDefault="00C076AF" w:rsidP="00AE270A">
            <w:pPr>
              <w:pStyle w:val="CETBodytext"/>
              <w:rPr>
                <w:rFonts w:eastAsia="Arial Unicode MS" w:cs="Arial"/>
                <w:szCs w:val="16"/>
              </w:rPr>
            </w:pPr>
            <w:r w:rsidRPr="00C076AF">
              <w:rPr>
                <w:rFonts w:cs="Arial"/>
                <w:szCs w:val="16"/>
              </w:rPr>
              <w:t>2.0</w:t>
            </w:r>
          </w:p>
        </w:tc>
        <w:tc>
          <w:tcPr>
            <w:tcW w:w="993" w:type="dxa"/>
            <w:tcBorders>
              <w:top w:val="nil"/>
              <w:left w:val="nil"/>
              <w:bottom w:val="nil"/>
              <w:right w:val="nil"/>
            </w:tcBorders>
            <w:vAlign w:val="bottom"/>
          </w:tcPr>
          <w:p w14:paraId="34B9968B" w14:textId="77777777" w:rsidR="00C076AF" w:rsidRPr="00C076AF" w:rsidRDefault="00C076AF" w:rsidP="00AE270A">
            <w:pPr>
              <w:pStyle w:val="CETBodytext"/>
              <w:rPr>
                <w:rFonts w:eastAsia="Arial Unicode MS" w:cs="Arial"/>
                <w:szCs w:val="16"/>
              </w:rPr>
            </w:pPr>
          </w:p>
        </w:tc>
        <w:tc>
          <w:tcPr>
            <w:tcW w:w="2409" w:type="dxa"/>
            <w:tcBorders>
              <w:top w:val="nil"/>
              <w:left w:val="nil"/>
              <w:bottom w:val="nil"/>
              <w:right w:val="nil"/>
            </w:tcBorders>
            <w:vAlign w:val="bottom"/>
          </w:tcPr>
          <w:p w14:paraId="4ED12524" w14:textId="77777777" w:rsidR="00C076AF" w:rsidRPr="00C076AF" w:rsidRDefault="00C076AF" w:rsidP="00AE270A">
            <w:pPr>
              <w:pStyle w:val="CETBodytext"/>
              <w:rPr>
                <w:rFonts w:eastAsia="Arial Unicode MS" w:cs="Arial"/>
                <w:szCs w:val="16"/>
              </w:rPr>
            </w:pPr>
          </w:p>
        </w:tc>
      </w:tr>
      <w:tr w:rsidR="00C076AF" w:rsidRPr="00C076AF" w14:paraId="3B2C2DF7" w14:textId="77777777" w:rsidTr="00390223">
        <w:trPr>
          <w:trHeight w:val="220"/>
        </w:trPr>
        <w:tc>
          <w:tcPr>
            <w:tcW w:w="1560" w:type="dxa"/>
            <w:tcBorders>
              <w:top w:val="nil"/>
              <w:left w:val="nil"/>
              <w:bottom w:val="single" w:sz="18" w:space="0" w:color="00B050"/>
              <w:right w:val="nil"/>
            </w:tcBorders>
          </w:tcPr>
          <w:p w14:paraId="0D8E24E6" w14:textId="77777777" w:rsidR="00C076AF" w:rsidRPr="00C076AF" w:rsidRDefault="00C076AF" w:rsidP="00AE270A">
            <w:pPr>
              <w:pStyle w:val="CETBodytext"/>
              <w:rPr>
                <w:rFonts w:eastAsia="Arial Unicode MS" w:cs="Arial"/>
                <w:szCs w:val="16"/>
              </w:rPr>
            </w:pPr>
            <w:r w:rsidRPr="00C076AF">
              <w:rPr>
                <w:rFonts w:cs="Arial"/>
                <w:szCs w:val="16"/>
              </w:rPr>
              <w:t>HHV</w:t>
            </w:r>
          </w:p>
        </w:tc>
        <w:tc>
          <w:tcPr>
            <w:tcW w:w="1275" w:type="dxa"/>
            <w:tcBorders>
              <w:top w:val="nil"/>
              <w:left w:val="nil"/>
              <w:bottom w:val="single" w:sz="18" w:space="0" w:color="00B050"/>
              <w:right w:val="nil"/>
            </w:tcBorders>
          </w:tcPr>
          <w:p w14:paraId="212A35D1" w14:textId="77777777" w:rsidR="00C076AF" w:rsidRPr="00C076AF" w:rsidRDefault="00C076AF" w:rsidP="00AE270A">
            <w:pPr>
              <w:pStyle w:val="CETBodytext"/>
              <w:rPr>
                <w:rFonts w:eastAsia="Arial Unicode MS" w:cs="Arial"/>
                <w:szCs w:val="16"/>
              </w:rPr>
            </w:pPr>
            <w:r w:rsidRPr="00C076AF">
              <w:rPr>
                <w:rFonts w:cs="Arial"/>
                <w:szCs w:val="16"/>
              </w:rPr>
              <w:t>4.08</w:t>
            </w:r>
            <w:r w:rsidRPr="004F2769">
              <w:rPr>
                <w:rFonts w:cs="Arial"/>
                <w:szCs w:val="16"/>
                <w:vertAlign w:val="superscript"/>
              </w:rPr>
              <w:t>a</w:t>
            </w:r>
          </w:p>
        </w:tc>
        <w:tc>
          <w:tcPr>
            <w:tcW w:w="993" w:type="dxa"/>
            <w:tcBorders>
              <w:top w:val="nil"/>
              <w:left w:val="nil"/>
              <w:bottom w:val="single" w:sz="18" w:space="0" w:color="00B050"/>
              <w:right w:val="nil"/>
            </w:tcBorders>
          </w:tcPr>
          <w:p w14:paraId="6B5F577C" w14:textId="77777777" w:rsidR="00C076AF" w:rsidRPr="00C076AF" w:rsidRDefault="00C076AF" w:rsidP="00AE270A">
            <w:pPr>
              <w:pStyle w:val="CETBodytext"/>
              <w:rPr>
                <w:rFonts w:eastAsia="Arial Unicode MS" w:cs="Arial"/>
                <w:szCs w:val="16"/>
              </w:rPr>
            </w:pPr>
          </w:p>
        </w:tc>
        <w:tc>
          <w:tcPr>
            <w:tcW w:w="2409" w:type="dxa"/>
            <w:tcBorders>
              <w:top w:val="nil"/>
              <w:left w:val="nil"/>
              <w:bottom w:val="single" w:sz="18" w:space="0" w:color="00B050"/>
              <w:right w:val="nil"/>
            </w:tcBorders>
          </w:tcPr>
          <w:p w14:paraId="43AC119B" w14:textId="77777777" w:rsidR="00C076AF" w:rsidRPr="00C076AF" w:rsidRDefault="00C076AF" w:rsidP="00AE270A">
            <w:pPr>
              <w:pStyle w:val="CETBodytext"/>
              <w:rPr>
                <w:rFonts w:eastAsia="Arial Unicode MS" w:cs="Arial"/>
                <w:szCs w:val="16"/>
              </w:rPr>
            </w:pPr>
          </w:p>
        </w:tc>
      </w:tr>
      <w:tr w:rsidR="00C076AF" w:rsidRPr="00C076AF" w14:paraId="0A9CDDB4" w14:textId="77777777" w:rsidTr="00390223">
        <w:trPr>
          <w:trHeight w:val="220"/>
        </w:trPr>
        <w:tc>
          <w:tcPr>
            <w:tcW w:w="6237" w:type="dxa"/>
            <w:gridSpan w:val="4"/>
            <w:tcBorders>
              <w:top w:val="single" w:sz="18" w:space="0" w:color="00B050"/>
              <w:left w:val="nil"/>
              <w:bottom w:val="nil"/>
              <w:right w:val="nil"/>
            </w:tcBorders>
          </w:tcPr>
          <w:p w14:paraId="28EC4196" w14:textId="77777777" w:rsidR="00C076AF" w:rsidRPr="00C076AF" w:rsidRDefault="00C076AF" w:rsidP="00AE270A">
            <w:pPr>
              <w:pStyle w:val="CETBodytext"/>
              <w:rPr>
                <w:rFonts w:eastAsia="Arial Unicode MS" w:cs="Arial"/>
                <w:szCs w:val="16"/>
              </w:rPr>
            </w:pPr>
            <w:r w:rsidRPr="00C076AF">
              <w:rPr>
                <w:rFonts w:eastAsia="Arial Unicode MS" w:cs="Arial"/>
                <w:szCs w:val="16"/>
                <w:vertAlign w:val="superscript"/>
              </w:rPr>
              <w:t>a</w:t>
            </w:r>
            <w:r w:rsidRPr="00C076AF">
              <w:rPr>
                <w:rFonts w:eastAsiaTheme="minorHAnsi" w:cs="Arial"/>
                <w:szCs w:val="16"/>
                <w:vertAlign w:val="superscript"/>
              </w:rPr>
              <w:t xml:space="preserve"> </w:t>
            </w:r>
            <w:r w:rsidRPr="00C076AF">
              <w:rPr>
                <w:rFonts w:eastAsiaTheme="minorHAnsi" w:cs="Arial"/>
                <w:szCs w:val="16"/>
              </w:rPr>
              <w:t>HHV= 12.75(H</w:t>
            </w:r>
            <w:r w:rsidRPr="004F2769">
              <w:rPr>
                <w:rFonts w:eastAsiaTheme="minorHAnsi" w:cs="Arial"/>
                <w:szCs w:val="16"/>
                <w:vertAlign w:val="subscript"/>
              </w:rPr>
              <w:t>2</w:t>
            </w:r>
            <w:r w:rsidRPr="00C076AF">
              <w:rPr>
                <w:rFonts w:eastAsiaTheme="minorHAnsi" w:cs="Arial"/>
                <w:szCs w:val="16"/>
              </w:rPr>
              <w:t xml:space="preserve"> )+ 12.65(CO)+39.82(CH</w:t>
            </w:r>
            <w:r w:rsidRPr="004F2769">
              <w:rPr>
                <w:rFonts w:eastAsiaTheme="minorHAnsi" w:cs="Arial"/>
                <w:szCs w:val="16"/>
                <w:vertAlign w:val="subscript"/>
              </w:rPr>
              <w:t>4</w:t>
            </w:r>
            <w:r w:rsidRPr="00C076AF">
              <w:rPr>
                <w:rFonts w:eastAsiaTheme="minorHAnsi" w:cs="Arial"/>
                <w:szCs w:val="16"/>
              </w:rPr>
              <w:t xml:space="preserve">) / 100  </w:t>
            </w:r>
            <w:r w:rsidRPr="00C076AF">
              <w:rPr>
                <w:rFonts w:cs="Arial"/>
                <w:szCs w:val="16"/>
              </w:rPr>
              <w:t xml:space="preserve"> Radmanesh et al (2006)</w:t>
            </w:r>
          </w:p>
        </w:tc>
      </w:tr>
    </w:tbl>
    <w:p w14:paraId="36924F5F" w14:textId="25FBBDD0" w:rsidR="00C076AF" w:rsidRDefault="00C076AF" w:rsidP="004230A7"/>
    <w:p w14:paraId="45ADA749" w14:textId="31F76360" w:rsidR="00C076AF" w:rsidRDefault="00C076AF" w:rsidP="004230A7"/>
    <w:p w14:paraId="7AAC3B21" w14:textId="77777777" w:rsidR="00C076AF" w:rsidRDefault="00C076AF" w:rsidP="004230A7"/>
    <w:p w14:paraId="72DB4CCA" w14:textId="621DCBA1" w:rsidR="00A77E4C" w:rsidRDefault="00A77E4C" w:rsidP="004230A7"/>
    <w:p w14:paraId="2C19CF35" w14:textId="752EF76C" w:rsidR="00A77E4C" w:rsidRDefault="00A77E4C" w:rsidP="004230A7"/>
    <w:p w14:paraId="25D6DBE7" w14:textId="3EBEF586" w:rsidR="00A77E4C" w:rsidRDefault="00A77E4C" w:rsidP="004230A7"/>
    <w:p w14:paraId="3EDDEFE5" w14:textId="6348F257" w:rsidR="00A77E4C" w:rsidRDefault="00A77E4C" w:rsidP="004230A7"/>
    <w:p w14:paraId="0085DEC2" w14:textId="2ABF6237" w:rsidR="00A77E4C" w:rsidRDefault="00A77E4C" w:rsidP="004230A7"/>
    <w:p w14:paraId="0B279221" w14:textId="77777777" w:rsidR="00A77E4C" w:rsidRDefault="00A77E4C" w:rsidP="004230A7"/>
    <w:p w14:paraId="5677127A" w14:textId="5DCA4BAB" w:rsidR="00A77E4C" w:rsidRDefault="00A77E4C" w:rsidP="004230A7">
      <w:pPr>
        <w:rPr>
          <w:sz w:val="14"/>
        </w:rPr>
      </w:pPr>
    </w:p>
    <w:p w14:paraId="22974D0C" w14:textId="77777777" w:rsidR="000C1695" w:rsidRPr="00366C56" w:rsidRDefault="000C1695" w:rsidP="000C1695">
      <w:pPr>
        <w:pStyle w:val="CETBodytext"/>
      </w:pPr>
      <w:r w:rsidRPr="00366C56">
        <w:t xml:space="preserve">The gas yield of 86.06% is significantly high for a fixed-bed reactor, suggesting that the Aspen Plus™ model effectively captures biomass decomposition and tar cracking. This reduces reliance on complex solid (char) and </w:t>
      </w:r>
      <w:r w:rsidRPr="00366C56">
        <w:lastRenderedPageBreak/>
        <w:t>liquid (bio-oil) waste management systems, simplifying industrial operation. The HHV of 4.08 MJ/Nm³ is due to a synergistic mixture where carbon monoxide (18.0% vol) acts as the primary energy carrier, complemented by hydrogen and methane.</w:t>
      </w:r>
    </w:p>
    <w:p w14:paraId="34C5C806" w14:textId="77777777" w:rsidR="000C1695" w:rsidRPr="000C1695" w:rsidRDefault="000C1695" w:rsidP="004230A7">
      <w:pPr>
        <w:rPr>
          <w:sz w:val="14"/>
          <w:lang w:val="en-US"/>
        </w:rPr>
      </w:pPr>
    </w:p>
    <w:p w14:paraId="1967FEA6" w14:textId="6C08E451" w:rsidR="00AD034C" w:rsidRPr="00240B6E" w:rsidRDefault="00AD034C" w:rsidP="00240B6E">
      <w:pPr>
        <w:pStyle w:val="CETheadingx"/>
      </w:pPr>
      <w:r w:rsidRPr="00240B6E">
        <w:t xml:space="preserve">Effect of the </w:t>
      </w:r>
      <w:r w:rsidR="00240B6E" w:rsidRPr="00240B6E">
        <w:rPr>
          <w:rFonts w:eastAsiaTheme="minorHAnsi"/>
        </w:rPr>
        <w:t xml:space="preserve">steam-biomass ratio (SB) </w:t>
      </w:r>
      <w:r w:rsidRPr="00240B6E">
        <w:t>on the c</w:t>
      </w:r>
      <w:r w:rsidR="00240B6E" w:rsidRPr="00240B6E">
        <w:t>omposition of the synthesis gas</w:t>
      </w:r>
    </w:p>
    <w:p w14:paraId="3065AF8C" w14:textId="77777777" w:rsidR="009400C2" w:rsidRPr="009400C2" w:rsidRDefault="00000D3F" w:rsidP="009400C2">
      <w:pPr>
        <w:pStyle w:val="CETBodytext"/>
      </w:pPr>
      <w:r w:rsidRPr="009400C2">
        <w:t>Figure 3 shows the effect of water vapor on the composition of gases in the fixed-bed reactor</w:t>
      </w:r>
      <w:r w:rsidR="009400C2" w:rsidRPr="009400C2">
        <w:t>.  Figure 3.a shows that high H</w:t>
      </w:r>
      <w:r w:rsidR="009400C2" w:rsidRPr="009400C2">
        <w:rPr>
          <w:vertAlign w:val="subscript"/>
        </w:rPr>
        <w:t>2</w:t>
      </w:r>
      <w:r w:rsidR="009400C2" w:rsidRPr="009400C2">
        <w:t xml:space="preserve"> values are found when the SB ratio is varied for the FB reactor. As this ratio increases, the H</w:t>
      </w:r>
      <w:r w:rsidR="009400C2" w:rsidRPr="009400C2">
        <w:rPr>
          <w:vertAlign w:val="subscript"/>
        </w:rPr>
        <w:t>2</w:t>
      </w:r>
      <w:r w:rsidR="009400C2" w:rsidRPr="009400C2">
        <w:t xml:space="preserve"> composition also increases, as does the CO</w:t>
      </w:r>
      <w:r w:rsidR="009400C2" w:rsidRPr="009400C2">
        <w:rPr>
          <w:vertAlign w:val="subscript"/>
        </w:rPr>
        <w:t>2</w:t>
      </w:r>
      <w:r w:rsidR="009400C2" w:rsidRPr="009400C2">
        <w:t xml:space="preserve"> composition, while the CO composition decreases (SB values ≥ 1.75). The CH</w:t>
      </w:r>
      <w:r w:rsidR="009400C2" w:rsidRPr="009400C2">
        <w:rPr>
          <w:vertAlign w:val="subscript"/>
        </w:rPr>
        <w:t>4</w:t>
      </w:r>
      <w:r w:rsidR="009400C2" w:rsidRPr="009400C2">
        <w:t xml:space="preserve"> composition was approximately 2% (vol). The NH</w:t>
      </w:r>
      <w:r w:rsidR="009400C2" w:rsidRPr="009400C2">
        <w:rPr>
          <w:vertAlign w:val="subscript"/>
        </w:rPr>
        <w:t>3</w:t>
      </w:r>
      <w:r w:rsidR="009400C2" w:rsidRPr="009400C2">
        <w:t xml:space="preserve"> composition was the highest among the impurities (Figure 3.b). When the SB value was varied above 1.5, the maximum percentages of NH</w:t>
      </w:r>
      <w:r w:rsidR="009400C2" w:rsidRPr="002825EF">
        <w:rPr>
          <w:vertAlign w:val="subscript"/>
        </w:rPr>
        <w:t>3</w:t>
      </w:r>
      <w:r w:rsidR="009400C2" w:rsidRPr="009400C2">
        <w:t>, HCl, H</w:t>
      </w:r>
      <w:r w:rsidR="009400C2" w:rsidRPr="002825EF">
        <w:rPr>
          <w:vertAlign w:val="subscript"/>
        </w:rPr>
        <w:t>2</w:t>
      </w:r>
      <w:r w:rsidR="009400C2" w:rsidRPr="009400C2">
        <w:t>S, and NO obtained were 0.0075%, 0.0025%, 0.00125%, and &lt; 0.001% (vol), respectively.</w:t>
      </w:r>
    </w:p>
    <w:p w14:paraId="7709F416" w14:textId="55D6E6EB" w:rsidR="00000D3F" w:rsidRPr="00000D3F" w:rsidRDefault="00000D3F" w:rsidP="00000D3F">
      <w:pPr>
        <w:pStyle w:val="Prrafodelista"/>
        <w:ind w:left="0"/>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529"/>
      </w:tblGrid>
      <w:tr w:rsidR="006F2918" w14:paraId="12856ECA" w14:textId="77777777" w:rsidTr="009400C2">
        <w:tc>
          <w:tcPr>
            <w:tcW w:w="4248" w:type="dxa"/>
          </w:tcPr>
          <w:p w14:paraId="77F47A9D" w14:textId="756B7B40" w:rsidR="006F2918" w:rsidRDefault="00FA4E56" w:rsidP="006F2918">
            <w:pPr>
              <w:tabs>
                <w:tab w:val="clear" w:pos="7100"/>
                <w:tab w:val="left" w:pos="1833"/>
              </w:tabs>
            </w:pPr>
            <w:r>
              <w:rPr>
                <w:noProof/>
                <w:lang w:val="es-ES" w:eastAsia="es-ES"/>
              </w:rPr>
              <mc:AlternateContent>
                <mc:Choice Requires="wps">
                  <w:drawing>
                    <wp:anchor distT="0" distB="0" distL="114300" distR="114300" simplePos="0" relativeHeight="251662336" behindDoc="0" locked="0" layoutInCell="1" allowOverlap="1" wp14:anchorId="37644C5F" wp14:editId="4C054FC5">
                      <wp:simplePos x="0" y="0"/>
                      <wp:positionH relativeFrom="column">
                        <wp:posOffset>2301199</wp:posOffset>
                      </wp:positionH>
                      <wp:positionV relativeFrom="paragraph">
                        <wp:posOffset>1213485</wp:posOffset>
                      </wp:positionV>
                      <wp:extent cx="368320" cy="361336"/>
                      <wp:effectExtent l="0" t="0" r="0" b="635"/>
                      <wp:wrapNone/>
                      <wp:docPr id="11" name="Cuadro de texto 11"/>
                      <wp:cNvGraphicFramePr/>
                      <a:graphic xmlns:a="http://schemas.openxmlformats.org/drawingml/2006/main">
                        <a:graphicData uri="http://schemas.microsoft.com/office/word/2010/wordprocessingShape">
                          <wps:wsp>
                            <wps:cNvSpPr txBox="1"/>
                            <wps:spPr>
                              <a:xfrm>
                                <a:off x="0" y="0"/>
                                <a:ext cx="368320" cy="361336"/>
                              </a:xfrm>
                              <a:prstGeom prst="rect">
                                <a:avLst/>
                              </a:prstGeom>
                              <a:noFill/>
                              <a:ln w="6350">
                                <a:noFill/>
                              </a:ln>
                            </wps:spPr>
                            <wps:txbx>
                              <w:txbxContent>
                                <w:p w14:paraId="3CDFEBF2" w14:textId="77777777" w:rsidR="00FA4E56" w:rsidRPr="0091250C" w:rsidRDefault="00FA4E56" w:rsidP="00FA4E56">
                                  <w:pPr>
                                    <w:rPr>
                                      <w:b/>
                                    </w:rPr>
                                  </w:pPr>
                                  <w:r w:rsidRPr="0091250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644C5F" id="_x0000_t202" coordsize="21600,21600" o:spt="202" path="m,l,21600r21600,l21600,xe">
                      <v:stroke joinstyle="miter"/>
                      <v:path gradientshapeok="t" o:connecttype="rect"/>
                    </v:shapetype>
                    <v:shape id="Cuadro de texto 11" o:spid="_x0000_s1026" type="#_x0000_t202" style="position:absolute;left:0;text-align:left;margin-left:181.2pt;margin-top:95.55pt;width:29pt;height:2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" filled="f" stroked="f" strokeweight=".5pt">
                      <v:textbox>
                        <w:txbxContent>
                          <w:p w14:paraId="3CDFEBF2" w14:textId="77777777" w:rsidR="00FA4E56" w:rsidRPr="0091250C" w:rsidRDefault="00FA4E56" w:rsidP="00FA4E56">
                            <w:pPr>
                              <w:rPr>
                                <w:b/>
                              </w:rPr>
                            </w:pPr>
                            <w:r w:rsidRPr="0091250C">
                              <w:rPr>
                                <w:b/>
                              </w:rPr>
                              <w:t>(a)</w:t>
                            </w:r>
                          </w:p>
                        </w:txbxContent>
                      </v:textbox>
                    </v:shape>
                  </w:pict>
                </mc:Fallback>
              </mc:AlternateContent>
            </w:r>
            <w:r w:rsidR="006F2918">
              <w:rPr>
                <w:noProof/>
                <w:lang w:val="es-ES" w:eastAsia="es-ES"/>
              </w:rPr>
              <w:drawing>
                <wp:inline distT="0" distB="0" distL="0" distR="0" wp14:anchorId="79757CB0" wp14:editId="57841E27">
                  <wp:extent cx="2369128" cy="180541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 ARTICULO 2026-1.png"/>
                          <pic:cNvPicPr/>
                        </pic:nvPicPr>
                        <pic:blipFill rotWithShape="1">
                          <a:blip r:embed="rId14">
                            <a:extLst>
                              <a:ext uri="{28A0092B-C50C-407E-A947-70E740481C1C}">
                                <a14:useLocalDpi xmlns:a14="http://schemas.microsoft.com/office/drawing/2010/main" val="0"/>
                              </a:ext>
                            </a:extLst>
                          </a:blip>
                          <a:srcRect l="837" r="4999" b="3217"/>
                          <a:stretch/>
                        </pic:blipFill>
                        <pic:spPr bwMode="auto">
                          <a:xfrm>
                            <a:off x="0" y="0"/>
                            <a:ext cx="2392535" cy="1823247"/>
                          </a:xfrm>
                          <a:prstGeom prst="rect">
                            <a:avLst/>
                          </a:prstGeom>
                          <a:ln>
                            <a:noFill/>
                          </a:ln>
                          <a:extLst>
                            <a:ext uri="{53640926-AAD7-44D8-BBD7-CCE9431645EC}">
                              <a14:shadowObscured xmlns:a14="http://schemas.microsoft.com/office/drawing/2010/main"/>
                            </a:ext>
                          </a:extLst>
                        </pic:spPr>
                      </pic:pic>
                    </a:graphicData>
                  </a:graphic>
                </wp:inline>
              </w:drawing>
            </w:r>
          </w:p>
        </w:tc>
        <w:tc>
          <w:tcPr>
            <w:tcW w:w="4529" w:type="dxa"/>
          </w:tcPr>
          <w:p w14:paraId="7910BF3D" w14:textId="4750278D" w:rsidR="006F2918" w:rsidRDefault="0091250C" w:rsidP="006F2918">
            <w:pPr>
              <w:tabs>
                <w:tab w:val="clear" w:pos="7100"/>
                <w:tab w:val="left" w:pos="1833"/>
              </w:tabs>
            </w:pPr>
            <w:r>
              <w:rPr>
                <w:noProof/>
                <w:lang w:val="es-ES" w:eastAsia="es-ES"/>
              </w:rPr>
              <mc:AlternateContent>
                <mc:Choice Requires="wps">
                  <w:drawing>
                    <wp:anchor distT="0" distB="0" distL="114300" distR="114300" simplePos="0" relativeHeight="251663360" behindDoc="0" locked="0" layoutInCell="1" allowOverlap="1" wp14:anchorId="690A198C" wp14:editId="0145DBFD">
                      <wp:simplePos x="0" y="0"/>
                      <wp:positionH relativeFrom="column">
                        <wp:posOffset>2410644</wp:posOffset>
                      </wp:positionH>
                      <wp:positionV relativeFrom="paragraph">
                        <wp:posOffset>1293638</wp:posOffset>
                      </wp:positionV>
                      <wp:extent cx="346301" cy="376084"/>
                      <wp:effectExtent l="0" t="0" r="0" b="5080"/>
                      <wp:wrapNone/>
                      <wp:docPr id="12" name="Cuadro de texto 12"/>
                      <wp:cNvGraphicFramePr/>
                      <a:graphic xmlns:a="http://schemas.openxmlformats.org/drawingml/2006/main">
                        <a:graphicData uri="http://schemas.microsoft.com/office/word/2010/wordprocessingShape">
                          <wps:wsp>
                            <wps:cNvSpPr txBox="1"/>
                            <wps:spPr>
                              <a:xfrm>
                                <a:off x="0" y="0"/>
                                <a:ext cx="346301" cy="376084"/>
                              </a:xfrm>
                              <a:prstGeom prst="rect">
                                <a:avLst/>
                              </a:prstGeom>
                              <a:noFill/>
                              <a:ln w="6350">
                                <a:noFill/>
                              </a:ln>
                            </wps:spPr>
                            <wps:txbx>
                              <w:txbxContent>
                                <w:p w14:paraId="4984280D" w14:textId="7B9D7896" w:rsidR="0091250C" w:rsidRPr="0091250C" w:rsidRDefault="0091250C">
                                  <w:pPr>
                                    <w:rPr>
                                      <w:b/>
                                    </w:rPr>
                                  </w:pPr>
                                  <w:r w:rsidRPr="0091250C">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0A198C" id="Cuadro de texto 12" o:spid="_x0000_s1027" type="#_x0000_t202" style="position:absolute;left:0;text-align:left;margin-left:189.8pt;margin-top:101.85pt;width:27.25pt;height:29.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" filled="f" stroked="f" strokeweight=".5pt">
                      <v:textbox>
                        <w:txbxContent>
                          <w:p w14:paraId="4984280D" w14:textId="7B9D7896" w:rsidR="0091250C" w:rsidRPr="0091250C" w:rsidRDefault="0091250C">
                            <w:pPr>
                              <w:rPr>
                                <w:b/>
                              </w:rPr>
                            </w:pPr>
                            <w:r w:rsidRPr="0091250C">
                              <w:rPr>
                                <w:b/>
                              </w:rPr>
                              <w:t>(b)</w:t>
                            </w:r>
                          </w:p>
                        </w:txbxContent>
                      </v:textbox>
                    </v:shape>
                  </w:pict>
                </mc:Fallback>
              </mc:AlternateContent>
            </w:r>
            <w:r w:rsidR="006F2918">
              <w:rPr>
                <w:noProof/>
                <w:lang w:val="es-ES" w:eastAsia="es-ES"/>
              </w:rPr>
              <w:drawing>
                <wp:inline distT="0" distB="0" distL="0" distR="0" wp14:anchorId="0CC58A58" wp14:editId="7B7B1864">
                  <wp:extent cx="2470355" cy="1825546"/>
                  <wp:effectExtent l="0" t="0" r="635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Cl-SB ARTICULO 2026-1.png"/>
                          <pic:cNvPicPr/>
                        </pic:nvPicPr>
                        <pic:blipFill rotWithShape="1">
                          <a:blip r:embed="rId15">
                            <a:extLst>
                              <a:ext uri="{28A0092B-C50C-407E-A947-70E740481C1C}">
                                <a14:useLocalDpi xmlns:a14="http://schemas.microsoft.com/office/drawing/2010/main" val="0"/>
                              </a:ext>
                            </a:extLst>
                          </a:blip>
                          <a:srcRect b="3464"/>
                          <a:stretch/>
                        </pic:blipFill>
                        <pic:spPr bwMode="auto">
                          <a:xfrm>
                            <a:off x="0" y="0"/>
                            <a:ext cx="2542051" cy="18785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6C81D9" w14:textId="34471C23" w:rsidR="006F2918" w:rsidRDefault="009400C2" w:rsidP="006F2918">
      <w:pPr>
        <w:tabs>
          <w:tab w:val="clear" w:pos="7100"/>
          <w:tab w:val="left" w:pos="1833"/>
        </w:tabs>
      </w:pPr>
      <w:r>
        <w:t xml:space="preserve">Figure 3. </w:t>
      </w:r>
      <w:r w:rsidRPr="009400C2">
        <w:t>Effect of steam injection on syngas composition (T=800 °C) a) CO, CO</w:t>
      </w:r>
      <w:r w:rsidRPr="00796572">
        <w:rPr>
          <w:vertAlign w:val="subscript"/>
        </w:rPr>
        <w:t>2</w:t>
      </w:r>
      <w:r w:rsidRPr="009400C2">
        <w:t>, H</w:t>
      </w:r>
      <w:r w:rsidRPr="00796572">
        <w:rPr>
          <w:vertAlign w:val="subscript"/>
        </w:rPr>
        <w:t>2</w:t>
      </w:r>
      <w:r w:rsidRPr="009400C2">
        <w:t xml:space="preserve"> and CH</w:t>
      </w:r>
      <w:r w:rsidRPr="00796572">
        <w:rPr>
          <w:vertAlign w:val="subscript"/>
        </w:rPr>
        <w:t>4</w:t>
      </w:r>
      <w:r w:rsidRPr="009400C2">
        <w:t xml:space="preserve"> b) H</w:t>
      </w:r>
      <w:r w:rsidRPr="00EB154D">
        <w:rPr>
          <w:vertAlign w:val="subscript"/>
        </w:rPr>
        <w:t>2</w:t>
      </w:r>
      <w:r w:rsidRPr="009400C2">
        <w:t>S, HCl, NH</w:t>
      </w:r>
      <w:r w:rsidRPr="00796572">
        <w:rPr>
          <w:vertAlign w:val="subscript"/>
        </w:rPr>
        <w:t>3</w:t>
      </w:r>
      <w:r w:rsidRPr="009400C2">
        <w:t xml:space="preserve"> and NO</w:t>
      </w:r>
    </w:p>
    <w:p w14:paraId="5AFE748B" w14:textId="77777777" w:rsidR="00266A4A" w:rsidRDefault="00266A4A" w:rsidP="00964F48">
      <w:pPr>
        <w:rPr>
          <w:lang w:val="en-US"/>
        </w:rPr>
      </w:pPr>
    </w:p>
    <w:p w14:paraId="2599974E" w14:textId="7162164D" w:rsidR="00343511" w:rsidRDefault="008318ED" w:rsidP="00964F48">
      <w:pPr>
        <w:rPr>
          <w:lang w:val="en-US"/>
        </w:rPr>
      </w:pPr>
      <w:r w:rsidRPr="00C9585E">
        <w:rPr>
          <w:lang w:val="en-US"/>
        </w:rPr>
        <w:t xml:space="preserve">The behavior of gases in relation to gasification temperature is shown in Figure </w:t>
      </w:r>
      <w:r w:rsidR="00964F48">
        <w:rPr>
          <w:lang w:val="en-US"/>
        </w:rPr>
        <w:t>4.</w:t>
      </w:r>
    </w:p>
    <w:p w14:paraId="41132C20" w14:textId="2D226878" w:rsidR="00964F48" w:rsidRDefault="00964F48" w:rsidP="00964F48">
      <w:pPr>
        <w:rPr>
          <w:lang w:val="en-US"/>
        </w:rPr>
      </w:pPr>
    </w:p>
    <w:p w14:paraId="6CB69EF1" w14:textId="2C644FA2" w:rsidR="00C11C3C" w:rsidRPr="008113A5" w:rsidRDefault="00964F48" w:rsidP="00AD4853">
      <w:r>
        <w:rPr>
          <w:noProof/>
          <w:lang w:val="es-ES" w:eastAsia="es-ES"/>
        </w:rPr>
        <w:drawing>
          <wp:anchor distT="0" distB="0" distL="114300" distR="114300" simplePos="0" relativeHeight="251664384" behindDoc="0" locked="0" layoutInCell="1" allowOverlap="1" wp14:anchorId="1F6FF2A4" wp14:editId="680B81DD">
            <wp:simplePos x="1075038" y="3645243"/>
            <wp:positionH relativeFrom="column">
              <wp:align>left</wp:align>
            </wp:positionH>
            <wp:positionV relativeFrom="paragraph">
              <wp:align>top</wp:align>
            </wp:positionV>
            <wp:extent cx="2538000" cy="1972988"/>
            <wp:effectExtent l="0" t="0" r="0"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erature ARTICULO 2026-1.png"/>
                    <pic:cNvPicPr/>
                  </pic:nvPicPr>
                  <pic:blipFill rotWithShape="1">
                    <a:blip r:embed="rId16">
                      <a:extLst>
                        <a:ext uri="{28A0092B-C50C-407E-A947-70E740481C1C}">
                          <a14:useLocalDpi xmlns:a14="http://schemas.microsoft.com/office/drawing/2010/main" val="0"/>
                        </a:ext>
                      </a:extLst>
                    </a:blip>
                    <a:srcRect l="1728" b="2302"/>
                    <a:stretch/>
                  </pic:blipFill>
                  <pic:spPr bwMode="auto">
                    <a:xfrm>
                      <a:off x="0" y="0"/>
                      <a:ext cx="2538000" cy="1972988"/>
                    </a:xfrm>
                    <a:prstGeom prst="rect">
                      <a:avLst/>
                    </a:prstGeom>
                    <a:ln>
                      <a:noFill/>
                    </a:ln>
                    <a:extLst>
                      <a:ext uri="{53640926-AAD7-44D8-BBD7-CCE9431645EC}">
                        <a14:shadowObscured xmlns:a14="http://schemas.microsoft.com/office/drawing/2010/main"/>
                      </a:ext>
                    </a:extLst>
                  </pic:spPr>
                </pic:pic>
              </a:graphicData>
            </a:graphic>
          </wp:anchor>
        </w:drawing>
      </w:r>
      <w:r w:rsidR="00C11C3C">
        <w:rPr>
          <w:lang w:val="en-US"/>
        </w:rPr>
        <w:br w:type="textWrapping" w:clear="all"/>
        <w:t xml:space="preserve">Figure 4. </w:t>
      </w:r>
      <w:r w:rsidR="00AD4853" w:rsidRPr="00AD4853">
        <w:t xml:space="preserve">Effect of gasification temperature on the composition of synthesis gas in </w:t>
      </w:r>
      <w:r w:rsidR="00AD4853" w:rsidRPr="008113A5">
        <w:t xml:space="preserve">an </w:t>
      </w:r>
      <w:r w:rsidR="00BC7A4D" w:rsidRPr="008113A5">
        <w:t xml:space="preserve">FB </w:t>
      </w:r>
      <w:r w:rsidR="00AD4853" w:rsidRPr="008113A5">
        <w:t>reactor (SB = 2)</w:t>
      </w:r>
    </w:p>
    <w:p w14:paraId="6F3F8EE7" w14:textId="77777777" w:rsidR="00AD4853" w:rsidRPr="008113A5" w:rsidRDefault="00AD4853" w:rsidP="00AD4853">
      <w:pPr>
        <w:rPr>
          <w:lang w:val="en-US"/>
        </w:rPr>
      </w:pPr>
    </w:p>
    <w:p w14:paraId="56177020" w14:textId="19EDB488" w:rsidR="00964F48" w:rsidRDefault="00964F48" w:rsidP="00964F48">
      <w:pPr>
        <w:rPr>
          <w:lang w:val="en-US"/>
        </w:rPr>
      </w:pPr>
      <w:r w:rsidRPr="008113A5">
        <w:rPr>
          <w:lang w:val="en-US"/>
        </w:rPr>
        <w:t>For a fixed value of SB, increasing the temperature favors the formation of CO and</w:t>
      </w:r>
      <w:r w:rsidRPr="00C9585E">
        <w:rPr>
          <w:lang w:val="en-US"/>
        </w:rPr>
        <w:t xml:space="preserve"> a decrease in CO</w:t>
      </w:r>
      <w:r w:rsidRPr="00964F48">
        <w:rPr>
          <w:vertAlign w:val="subscript"/>
          <w:lang w:val="en-US"/>
        </w:rPr>
        <w:t>2</w:t>
      </w:r>
      <w:r w:rsidRPr="00C9585E">
        <w:rPr>
          <w:lang w:val="en-US"/>
        </w:rPr>
        <w:t>, as well as CH</w:t>
      </w:r>
      <w:r w:rsidRPr="00964F48">
        <w:rPr>
          <w:vertAlign w:val="subscript"/>
          <w:lang w:val="en-US"/>
        </w:rPr>
        <w:t>4</w:t>
      </w:r>
      <w:r w:rsidRPr="00C9585E">
        <w:rPr>
          <w:lang w:val="en-US"/>
        </w:rPr>
        <w:t>. The composition of H</w:t>
      </w:r>
      <w:r w:rsidRPr="00964F48">
        <w:rPr>
          <w:vertAlign w:val="subscript"/>
          <w:lang w:val="en-US"/>
        </w:rPr>
        <w:t>2</w:t>
      </w:r>
      <w:r w:rsidRPr="00C9585E">
        <w:rPr>
          <w:lang w:val="en-US"/>
        </w:rPr>
        <w:t xml:space="preserve"> shows a slight reduction; however, its composition is always high, around 65% at a temperature of 700 °C and 59% at a temperature of 950 °C.</w:t>
      </w:r>
      <w:r w:rsidR="00C11C3C">
        <w:rPr>
          <w:lang w:val="en-US"/>
        </w:rPr>
        <w:t xml:space="preserve"> </w:t>
      </w:r>
    </w:p>
    <w:p w14:paraId="2996733C" w14:textId="4D0A934B" w:rsidR="0077223D" w:rsidRDefault="0077223D" w:rsidP="0077223D">
      <w:pPr>
        <w:pStyle w:val="CETheadingx"/>
      </w:pPr>
      <w:r w:rsidRPr="0077223D">
        <w:t>Effect of air preheating on t</w:t>
      </w:r>
      <w:r>
        <w:t>he composition of synthesis gas</w:t>
      </w:r>
    </w:p>
    <w:p w14:paraId="25036141" w14:textId="7227CD1F" w:rsidR="0077223D" w:rsidRPr="009B6C39" w:rsidRDefault="0077223D" w:rsidP="0077223D">
      <w:pPr>
        <w:pStyle w:val="Prrafodelista"/>
        <w:autoSpaceDE w:val="0"/>
        <w:autoSpaceDN w:val="0"/>
        <w:adjustRightInd w:val="0"/>
        <w:spacing w:line="240" w:lineRule="auto"/>
        <w:ind w:left="0"/>
        <w:jc w:val="left"/>
      </w:pPr>
      <w:r w:rsidRPr="00121E63">
        <w:t xml:space="preserve">The influence of air preheating during gasification reactions was studied for the fixed-bed reactor (Figure </w:t>
      </w:r>
      <w:r w:rsidR="00C11C3C">
        <w:t>5</w:t>
      </w:r>
      <w:r w:rsidRPr="00121E63">
        <w:t xml:space="preserve">). It was verified that the gasification temperature increases practically linearly with the air temperature, as already demonstrated by authors such as </w:t>
      </w:r>
      <w:r w:rsidR="00211C3D" w:rsidRPr="004B7B0A">
        <w:t>Puig Arnavat</w:t>
      </w:r>
      <w:r w:rsidR="00211C3D">
        <w:rPr>
          <w:rFonts w:ascii="Times-Roman" w:hAnsi="Times-Roman" w:cs="Times-Roman"/>
          <w:lang w:val="en-US"/>
        </w:rPr>
        <w:t xml:space="preserve"> (2011) </w:t>
      </w:r>
      <w:r w:rsidR="00211C3D" w:rsidRPr="004B7B0A">
        <w:t>and Radmanesh</w:t>
      </w:r>
      <w:r w:rsidR="00211C3D" w:rsidRPr="00211C3D">
        <w:t xml:space="preserve"> et al. (2006)</w:t>
      </w:r>
      <w:r w:rsidRPr="00211C3D">
        <w:t>.</w:t>
      </w:r>
    </w:p>
    <w:p w14:paraId="29C18461" w14:textId="5F21DE56" w:rsidR="0077223D" w:rsidRDefault="0077223D" w:rsidP="0077223D">
      <w:pPr>
        <w:pStyle w:val="CETBodytext"/>
        <w:rPr>
          <w:lang w:val="en-GB"/>
        </w:rPr>
      </w:pPr>
    </w:p>
    <w:p w14:paraId="32285B0E" w14:textId="325D92C4" w:rsidR="00DB5693" w:rsidRDefault="00DB5693" w:rsidP="00DB5693">
      <w:pPr>
        <w:pStyle w:val="CETBodytext"/>
      </w:pPr>
      <w:r w:rsidRPr="00303114">
        <w:t>The composition of H</w:t>
      </w:r>
      <w:r w:rsidRPr="00DB5693">
        <w:rPr>
          <w:vertAlign w:val="subscript"/>
        </w:rPr>
        <w:t>2</w:t>
      </w:r>
      <w:r w:rsidRPr="00303114">
        <w:t xml:space="preserve"> and CO in the synthesis gas increases with temperature, as shown in Figure </w:t>
      </w:r>
      <w:r>
        <w:t>5</w:t>
      </w:r>
      <w:r w:rsidRPr="00303114">
        <w:t>. At a temperature of 25 °C, an H</w:t>
      </w:r>
      <w:r w:rsidRPr="00DB5693">
        <w:rPr>
          <w:vertAlign w:val="subscript"/>
        </w:rPr>
        <w:t>2</w:t>
      </w:r>
      <w:r w:rsidRPr="00303114">
        <w:t xml:space="preserve"> composition close to 5% vol was found, while at an air temperature of 825 °C</w:t>
      </w:r>
      <w:r w:rsidR="00A21BEA">
        <w:t>,</w:t>
      </w:r>
      <w:r w:rsidRPr="00303114">
        <w:t xml:space="preserve"> a composition of 7.5% vol was obtained. The CO</w:t>
      </w:r>
      <w:r w:rsidRPr="00DB5693">
        <w:rPr>
          <w:vertAlign w:val="subscript"/>
        </w:rPr>
        <w:t xml:space="preserve">2 </w:t>
      </w:r>
      <w:r w:rsidRPr="00303114">
        <w:t>composition decreases slightly with increasing air temperature, reducing by 3% of its value when compared at temperatures of 25 °C and 825 °C.</w:t>
      </w:r>
    </w:p>
    <w:p w14:paraId="68378E64" w14:textId="77777777" w:rsidR="00C076AF" w:rsidRDefault="00C076AF" w:rsidP="00C076AF">
      <w:pPr>
        <w:pStyle w:val="CETBodytext"/>
        <w:rPr>
          <w:lang w:val="en-GB"/>
        </w:rPr>
      </w:pPr>
      <w:r>
        <w:rPr>
          <w:noProof/>
          <w:lang w:val="es-ES" w:eastAsia="es-ES"/>
        </w:rPr>
        <w:lastRenderedPageBreak/>
        <w:drawing>
          <wp:inline distT="0" distB="0" distL="0" distR="0" wp14:anchorId="61F22210" wp14:editId="2111B4ED">
            <wp:extent cx="2887641" cy="20141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acque AR Temperature ARTICULO 2026-1.png"/>
                    <pic:cNvPicPr/>
                  </pic:nvPicPr>
                  <pic:blipFill>
                    <a:blip r:embed="rId17">
                      <a:extLst>
                        <a:ext uri="{28A0092B-C50C-407E-A947-70E740481C1C}">
                          <a14:useLocalDpi xmlns:a14="http://schemas.microsoft.com/office/drawing/2010/main" val="0"/>
                        </a:ext>
                      </a:extLst>
                    </a:blip>
                    <a:stretch>
                      <a:fillRect/>
                    </a:stretch>
                  </pic:blipFill>
                  <pic:spPr>
                    <a:xfrm>
                      <a:off x="0" y="0"/>
                      <a:ext cx="2910113" cy="2029826"/>
                    </a:xfrm>
                    <a:prstGeom prst="rect">
                      <a:avLst/>
                    </a:prstGeom>
                  </pic:spPr>
                </pic:pic>
              </a:graphicData>
            </a:graphic>
          </wp:inline>
        </w:drawing>
      </w:r>
    </w:p>
    <w:p w14:paraId="365E7D1A" w14:textId="77777777" w:rsidR="00C076AF" w:rsidRDefault="00C076AF" w:rsidP="00C076AF">
      <w:pPr>
        <w:tabs>
          <w:tab w:val="left" w:pos="7100"/>
        </w:tabs>
        <w:autoSpaceDE w:val="0"/>
        <w:autoSpaceDN w:val="0"/>
        <w:adjustRightInd w:val="0"/>
        <w:spacing w:line="240" w:lineRule="auto"/>
      </w:pPr>
      <w:r>
        <w:rPr>
          <w:lang w:val="en-US"/>
        </w:rPr>
        <w:t xml:space="preserve">Figure 5. </w:t>
      </w:r>
      <w:r w:rsidRPr="00121E63">
        <w:t>Effect of air preheating on the composition of the synthesis gas in a reactor of</w:t>
      </w:r>
      <w:r>
        <w:t xml:space="preserve"> </w:t>
      </w:r>
      <w:r w:rsidRPr="00BC7A4D">
        <w:t>FB</w:t>
      </w:r>
      <w:r w:rsidRPr="00121E63">
        <w:t xml:space="preserve"> (ER = 0.28)</w:t>
      </w:r>
    </w:p>
    <w:p w14:paraId="228BCCAB" w14:textId="77777777" w:rsidR="00C076AF" w:rsidRPr="00C076AF" w:rsidRDefault="00C076AF" w:rsidP="00DB5693">
      <w:pPr>
        <w:pStyle w:val="CETBodytext"/>
        <w:rPr>
          <w:lang w:val="en-GB"/>
        </w:rPr>
      </w:pPr>
    </w:p>
    <w:p w14:paraId="68D26B83" w14:textId="4F7DF88B" w:rsidR="00600535" w:rsidRPr="00B57B36" w:rsidRDefault="00600535" w:rsidP="00600535">
      <w:pPr>
        <w:pStyle w:val="CETHeading1"/>
        <w:rPr>
          <w:lang w:val="en-GB"/>
        </w:rPr>
      </w:pPr>
      <w:r w:rsidRPr="00B57B36">
        <w:rPr>
          <w:lang w:val="en-GB"/>
        </w:rPr>
        <w:t>Conclusions</w:t>
      </w:r>
    </w:p>
    <w:p w14:paraId="0186557A" w14:textId="77777777" w:rsidR="00E57861" w:rsidRPr="00E57861" w:rsidRDefault="00E57861" w:rsidP="00E57861">
      <w:pPr>
        <w:pStyle w:val="CETBodytext"/>
      </w:pPr>
      <w:r w:rsidRPr="00E57861">
        <w:t xml:space="preserve">Simulation in Aspen Plus™ </w:t>
      </w:r>
      <w:r w:rsidRPr="008113A5">
        <w:t>demonstrated that the proposed kinetic model accurately represents sugarcane bagasse gasification, with RMS values as low as 0.25 for H</w:t>
      </w:r>
      <w:r w:rsidRPr="008113A5">
        <w:rPr>
          <w:vertAlign w:val="subscript"/>
        </w:rPr>
        <w:t>2</w:t>
      </w:r>
      <w:r w:rsidRPr="008113A5">
        <w:t>. It was determined that air preheating acts as a thermal driver, linearly raising the reactor temperature and kinetically favoring the formation of H</w:t>
      </w:r>
      <w:r w:rsidRPr="008113A5">
        <w:rPr>
          <w:vertAlign w:val="subscript"/>
        </w:rPr>
        <w:t>2</w:t>
      </w:r>
      <w:r w:rsidRPr="008113A5">
        <w:t xml:space="preserve"> and CO while reducing CO</w:t>
      </w:r>
      <w:r w:rsidRPr="008113A5">
        <w:rPr>
          <w:vertAlign w:val="subscript"/>
        </w:rPr>
        <w:t xml:space="preserve">2 </w:t>
      </w:r>
      <w:r w:rsidRPr="008113A5">
        <w:t>content. Furthermore, the transition to steam gasification (SB ≥ 1.75) shifts the equilibrium toward higher hydrogen production. Finally, impurity analysis revealed NH3 as the predominant contaminant (0.0075% vol), establishing critical parameters for the design of gas cleaning and</w:t>
      </w:r>
      <w:bookmarkStart w:id="1" w:name="_GoBack"/>
      <w:bookmarkEnd w:id="1"/>
      <w:r w:rsidRPr="00E57861">
        <w:t xml:space="preserve"> purification systems.</w:t>
      </w:r>
    </w:p>
    <w:p w14:paraId="537BD953" w14:textId="77777777" w:rsidR="00A8732A" w:rsidRPr="00583355" w:rsidRDefault="00A8732A" w:rsidP="00A8732A">
      <w:pPr>
        <w:pStyle w:val="CETAcknowledgements"/>
        <w:spacing w:before="120" w:after="0"/>
      </w:pPr>
      <w:r w:rsidRPr="00583355">
        <w:t xml:space="preserve">Acknowledgments </w:t>
      </w:r>
    </w:p>
    <w:p w14:paraId="58CB9193" w14:textId="77777777" w:rsidR="004159F9" w:rsidRDefault="004159F9" w:rsidP="004159F9">
      <w:pPr>
        <w:rPr>
          <w:kern w:val="36"/>
          <w:sz w:val="20"/>
          <w:lang w:val="en-US" w:eastAsia="es-ES"/>
        </w:rPr>
      </w:pPr>
      <w:r w:rsidRPr="00D02985">
        <w:rPr>
          <w:kern w:val="36"/>
          <w:sz w:val="20"/>
          <w:lang w:val="en-US" w:eastAsia="es-ES"/>
        </w:rPr>
        <w:t>The authors gratefully acknowledge the Laboratory of Optimization, Design, and Advanced Control (LOPCA-UNICAMP) for using the software Aspen Plus.</w:t>
      </w:r>
    </w:p>
    <w:p w14:paraId="4F1327F8" w14:textId="77777777" w:rsidR="00600535" w:rsidRPr="00276D6E" w:rsidRDefault="00600535" w:rsidP="00600535">
      <w:pPr>
        <w:pStyle w:val="CETReference"/>
        <w:rPr>
          <w:lang w:val="es-ES"/>
        </w:rPr>
      </w:pPr>
      <w:r w:rsidRPr="00276D6E">
        <w:rPr>
          <w:lang w:val="es-ES"/>
        </w:rPr>
        <w:t>References</w:t>
      </w:r>
    </w:p>
    <w:p w14:paraId="284CD073" w14:textId="77777777" w:rsidR="00BC7617" w:rsidRDefault="00BC7617" w:rsidP="007E69EC">
      <w:pPr>
        <w:pStyle w:val="CETReferencetext"/>
        <w:rPr>
          <w:lang w:val="es-ES"/>
        </w:rPr>
      </w:pPr>
    </w:p>
    <w:p w14:paraId="7326F190" w14:textId="34DECE32" w:rsidR="00BC7617" w:rsidRDefault="00BC7617" w:rsidP="007E69EC">
      <w:pPr>
        <w:pStyle w:val="CETReferencetext"/>
      </w:pPr>
      <w:r w:rsidRPr="00BC7617">
        <w:rPr>
          <w:lang w:val="es-ES"/>
        </w:rPr>
        <w:t xml:space="preserve">Akay, G., Jordan, C. A., 2011. </w:t>
      </w:r>
      <w:r>
        <w:t xml:space="preserve">Gasification of Fuel Cane Bagasse in a Downdraft Gasifier: Influence of Lignocellulosic Composition and Fuel Particle Size on Syngas Composition and Yield, </w:t>
      </w:r>
      <w:r w:rsidRPr="009300CE">
        <w:rPr>
          <w:bCs/>
        </w:rPr>
        <w:t>Energy &amp; Fuels</w:t>
      </w:r>
      <w:r>
        <w:t>, 25, 5, 2274-2283.</w:t>
      </w:r>
    </w:p>
    <w:p w14:paraId="295E6FD9" w14:textId="5633ED30" w:rsidR="009256B0" w:rsidRDefault="009256B0" w:rsidP="009256B0">
      <w:pPr>
        <w:pStyle w:val="CETReferencetext"/>
        <w:rPr>
          <w:lang w:val="en-US"/>
        </w:rPr>
      </w:pPr>
      <w:r w:rsidRPr="009256B0">
        <w:rPr>
          <w:lang w:val="en-US"/>
        </w:rPr>
        <w:t>Ahmed,</w:t>
      </w:r>
      <w:r>
        <w:rPr>
          <w:lang w:val="en-US"/>
        </w:rPr>
        <w:t xml:space="preserve"> I.I., </w:t>
      </w:r>
      <w:r w:rsidRPr="009256B0">
        <w:rPr>
          <w:lang w:val="en-US"/>
        </w:rPr>
        <w:t>Gupta,</w:t>
      </w:r>
      <w:r>
        <w:rPr>
          <w:lang w:val="en-US"/>
        </w:rPr>
        <w:t xml:space="preserve"> A.K., 2012, </w:t>
      </w:r>
      <w:r w:rsidRPr="009256B0">
        <w:rPr>
          <w:lang w:val="en-US"/>
        </w:rPr>
        <w:t>Sugarcane bagasse gasification: Global reaction mechanism of syngas evolution,</w:t>
      </w:r>
      <w:r>
        <w:rPr>
          <w:lang w:val="en-US"/>
        </w:rPr>
        <w:t xml:space="preserve"> </w:t>
      </w:r>
      <w:r w:rsidRPr="009256B0">
        <w:rPr>
          <w:lang w:val="en-US"/>
        </w:rPr>
        <w:t>Applied Energy</w:t>
      </w:r>
      <w:r>
        <w:rPr>
          <w:lang w:val="en-US"/>
        </w:rPr>
        <w:t xml:space="preserve">, 91, </w:t>
      </w:r>
      <w:r w:rsidRPr="009256B0">
        <w:rPr>
          <w:lang w:val="en-US"/>
        </w:rPr>
        <w:t>1,</w:t>
      </w:r>
      <w:r>
        <w:rPr>
          <w:lang w:val="en-US"/>
        </w:rPr>
        <w:t xml:space="preserve"> </w:t>
      </w:r>
      <w:r w:rsidRPr="009256B0">
        <w:rPr>
          <w:lang w:val="en-US"/>
        </w:rPr>
        <w:t>2012,</w:t>
      </w:r>
      <w:r>
        <w:rPr>
          <w:lang w:val="en-US"/>
        </w:rPr>
        <w:t xml:space="preserve"> 75-81.</w:t>
      </w:r>
    </w:p>
    <w:p w14:paraId="5D6A8CCB" w14:textId="278C9AB9" w:rsidR="00D37898" w:rsidRPr="004E24B4" w:rsidRDefault="00D37898" w:rsidP="006F390E">
      <w:pPr>
        <w:pStyle w:val="CETReferencetext"/>
        <w:rPr>
          <w:lang w:val="pt-BR"/>
        </w:rPr>
      </w:pPr>
      <w:r w:rsidRPr="004E24B4">
        <w:rPr>
          <w:lang w:val="pt-BR"/>
        </w:rPr>
        <w:t xml:space="preserve">Ardila C.Y., 2015. </w:t>
      </w:r>
      <w:r w:rsidR="004407C7" w:rsidRPr="0051718E">
        <w:rPr>
          <w:lang w:val="en-US"/>
        </w:rPr>
        <w:t xml:space="preserve">Gasification of </w:t>
      </w:r>
      <w:r w:rsidR="004407C7" w:rsidRPr="0051718E">
        <w:rPr>
          <w:bCs/>
          <w:lang w:val="en-US"/>
        </w:rPr>
        <w:t>biomass</w:t>
      </w:r>
      <w:r w:rsidR="004407C7" w:rsidRPr="0051718E">
        <w:rPr>
          <w:lang w:val="en-US"/>
        </w:rPr>
        <w:t xml:space="preserve"> for syngas production and subsequent fermentation to bioethanol: modeling and process simulation</w:t>
      </w:r>
      <w:r w:rsidR="004407C7">
        <w:rPr>
          <w:lang w:val="en-US"/>
        </w:rPr>
        <w:t xml:space="preserve">, </w:t>
      </w:r>
      <w:r w:rsidRPr="004E24B4">
        <w:rPr>
          <w:lang w:val="pt-BR"/>
        </w:rPr>
        <w:t>PhD Thesis, Universidad</w:t>
      </w:r>
      <w:r w:rsidR="00A21BEA">
        <w:rPr>
          <w:lang w:val="pt-BR"/>
        </w:rPr>
        <w:t>e</w:t>
      </w:r>
      <w:r w:rsidRPr="004E24B4">
        <w:rPr>
          <w:lang w:val="pt-BR"/>
        </w:rPr>
        <w:t xml:space="preserve"> Esta</w:t>
      </w:r>
      <w:r w:rsidR="00A21BEA">
        <w:rPr>
          <w:lang w:val="pt-BR"/>
        </w:rPr>
        <w:t>du</w:t>
      </w:r>
      <w:r w:rsidRPr="004E24B4">
        <w:rPr>
          <w:lang w:val="pt-BR"/>
        </w:rPr>
        <w:t>al de Campinas, Campinas, Brasil, p. 140</w:t>
      </w:r>
      <w:r w:rsidR="004407C7">
        <w:rPr>
          <w:lang w:val="pt-BR"/>
        </w:rPr>
        <w:t xml:space="preserve"> (in Portuguese)</w:t>
      </w:r>
      <w:r w:rsidRPr="004E24B4">
        <w:rPr>
          <w:lang w:val="pt-BR"/>
        </w:rPr>
        <w:t>.</w:t>
      </w:r>
    </w:p>
    <w:p w14:paraId="05A3A195" w14:textId="25E59236" w:rsidR="00FC15F4" w:rsidRDefault="00FC15F4" w:rsidP="007E69EC">
      <w:pPr>
        <w:pStyle w:val="CETReferencetext"/>
      </w:pPr>
      <w:r w:rsidRPr="004E24B4">
        <w:rPr>
          <w:lang w:val="pt-BR"/>
        </w:rPr>
        <w:t>Camacho-Ardila</w:t>
      </w:r>
      <w:r w:rsidR="007E69EC" w:rsidRPr="004E24B4">
        <w:rPr>
          <w:lang w:val="pt-BR"/>
        </w:rPr>
        <w:t xml:space="preserve">, C. Y., Figueroa, J.E.J., Wolf M., M.R., 2024. </w:t>
      </w:r>
      <w:r w:rsidR="007E69EC" w:rsidRPr="00FC15F4">
        <w:t>Mathematical models for predicting the higher heating value and ultimate analysis of biomass, Industrial Crops and Products, 208, 117777.</w:t>
      </w:r>
      <w:r>
        <w:t xml:space="preserve"> </w:t>
      </w:r>
    </w:p>
    <w:p w14:paraId="717A7671" w14:textId="703EA1E1" w:rsidR="00FC15F4" w:rsidRPr="002D581B" w:rsidRDefault="00FC15F4" w:rsidP="00FC15F4">
      <w:pPr>
        <w:pStyle w:val="CETReferencetext"/>
        <w:rPr>
          <w:shd w:val="clear" w:color="auto" w:fill="FFFFFF"/>
          <w:lang w:val="en-US"/>
        </w:rPr>
      </w:pPr>
      <w:r w:rsidRPr="004B7B0A">
        <w:rPr>
          <w:shd w:val="clear" w:color="auto" w:fill="FFFFFF"/>
          <w:lang w:val="es-ES"/>
        </w:rPr>
        <w:t xml:space="preserve">Camacho-Ardila Y., Figueroa J.E.J., Coha-Vesga P.M., 2025. </w:t>
      </w:r>
      <w:r w:rsidRPr="00C13145">
        <w:rPr>
          <w:shd w:val="clear" w:color="auto" w:fill="FFFFFF"/>
          <w:lang w:val="en-US"/>
        </w:rPr>
        <w:t xml:space="preserve">Simulation of the Pyrolysis of Biomass Based on </w:t>
      </w:r>
      <w:r w:rsidRPr="002D581B">
        <w:rPr>
          <w:shd w:val="clear" w:color="auto" w:fill="FFFFFF"/>
          <w:lang w:val="en-US"/>
        </w:rPr>
        <w:t>Ultimate and Proximate Characterizations, Chemical Engineering Transactions, 118, 373-378.</w:t>
      </w:r>
    </w:p>
    <w:p w14:paraId="2DD51A31" w14:textId="1979CC8F" w:rsidR="00694241" w:rsidRPr="009256B0" w:rsidRDefault="002D581B" w:rsidP="00FC15F4">
      <w:pPr>
        <w:pStyle w:val="CETReferencetext"/>
        <w:rPr>
          <w:shd w:val="clear" w:color="auto" w:fill="FFFFFF"/>
          <w:lang w:val="en-US"/>
        </w:rPr>
      </w:pPr>
      <w:r w:rsidRPr="004E24B4">
        <w:rPr>
          <w:lang w:val="pt-BR"/>
        </w:rPr>
        <w:t>Castro, J. A., Cassiano, D. A. Ferreira, N. L</w:t>
      </w:r>
      <w:r w:rsidR="00694241" w:rsidRPr="004E24B4">
        <w:rPr>
          <w:lang w:val="pt-BR"/>
        </w:rPr>
        <w:t>.</w:t>
      </w:r>
      <w:r w:rsidRPr="004E24B4">
        <w:rPr>
          <w:lang w:val="pt-BR"/>
        </w:rPr>
        <w:t xml:space="preserve">, 2009, </w:t>
      </w:r>
      <w:r w:rsidR="00694241" w:rsidRPr="004E24B4">
        <w:rPr>
          <w:lang w:val="pt-BR"/>
        </w:rPr>
        <w:t xml:space="preserve">Gaseificação do bagaço de cana-de-açúcar: modelagem, análise e comparação com sistema real. </w:t>
      </w:r>
      <w:r w:rsidR="00694241" w:rsidRPr="009256B0">
        <w:rPr>
          <w:bCs/>
          <w:lang w:val="en-US"/>
        </w:rPr>
        <w:t>Exacta</w:t>
      </w:r>
      <w:r w:rsidR="00694241" w:rsidRPr="009256B0">
        <w:rPr>
          <w:lang w:val="en-US"/>
        </w:rPr>
        <w:t>, 7, 1, 39-47.</w:t>
      </w:r>
    </w:p>
    <w:p w14:paraId="49F38958" w14:textId="136C1FB6" w:rsidR="00D10681" w:rsidRPr="00D10681" w:rsidRDefault="00D10681" w:rsidP="007E69EC">
      <w:pPr>
        <w:pStyle w:val="CETReferencetext"/>
      </w:pPr>
      <w:r w:rsidRPr="00D10681">
        <w:t>Doherty, W., Reynolds, A., Kennedy, D</w:t>
      </w:r>
      <w:r w:rsidRPr="00D10681">
        <w:rPr>
          <w:lang w:val="en-US"/>
        </w:rPr>
        <w:t>.</w:t>
      </w:r>
      <w:r w:rsidRPr="00D10681">
        <w:t>,</w:t>
      </w:r>
      <w:r w:rsidRPr="00D10681">
        <w:rPr>
          <w:lang w:val="en-US"/>
        </w:rPr>
        <w:t xml:space="preserve"> </w:t>
      </w:r>
      <w:r w:rsidRPr="00D10681">
        <w:t xml:space="preserve">2009, </w:t>
      </w:r>
      <w:r w:rsidRPr="00D10681">
        <w:rPr>
          <w:lang w:val="en-US"/>
        </w:rPr>
        <w:t>The effect of air preheating in a biomass CFB</w:t>
      </w:r>
      <w:r w:rsidRPr="00D10681">
        <w:t xml:space="preserve"> </w:t>
      </w:r>
      <w:r w:rsidRPr="00D10681">
        <w:rPr>
          <w:lang w:val="en-US"/>
        </w:rPr>
        <w:t>gasifier using ASPEN Plus simulation</w:t>
      </w:r>
      <w:r w:rsidRPr="00D10681">
        <w:t>,</w:t>
      </w:r>
      <w:r w:rsidRPr="00D10681">
        <w:rPr>
          <w:lang w:val="en-US"/>
        </w:rPr>
        <w:t xml:space="preserve"> Biomass and Bioenergy, 33, 9, 1158-1167</w:t>
      </w:r>
      <w:r w:rsidRPr="00D10681">
        <w:t>.</w:t>
      </w:r>
    </w:p>
    <w:p w14:paraId="366BE2DD" w14:textId="143ED810" w:rsidR="007E69EC" w:rsidRPr="00133E1E" w:rsidRDefault="007E69EC" w:rsidP="007E69EC">
      <w:pPr>
        <w:pStyle w:val="CETReferencetext"/>
      </w:pPr>
      <w:r w:rsidRPr="00AE3C23">
        <w:rPr>
          <w:lang w:val="en-US"/>
        </w:rPr>
        <w:t>Figueroa, J.E.J., Ardila, Y.C., Hoss L.</w:t>
      </w:r>
      <w:r w:rsidRPr="00AE3C23">
        <w:t>B., Filho, R.M. Wolf M.M.R., 2013, Evaluation of pyrolysis and steam gasification processes of sugarcane bagasse in a fixed bed reactor, Chemical Engineering Transactions, 32, 925-930.</w:t>
      </w:r>
    </w:p>
    <w:p w14:paraId="63EB02D6" w14:textId="2C3C28BF" w:rsidR="007E69EC" w:rsidRDefault="007E69EC" w:rsidP="007E69EC">
      <w:pPr>
        <w:pStyle w:val="CETReferencetext"/>
      </w:pPr>
      <w:r w:rsidRPr="00F17B83">
        <w:rPr>
          <w:lang w:val="en-US"/>
        </w:rPr>
        <w:t xml:space="preserve">Figueroa, J. E.J., Ardila, Y.C., Filho, R. M., Wolf, M.R., 2014, </w:t>
      </w:r>
      <w:r w:rsidRPr="00F17B83">
        <w:t>Fluidized bed reactor for gasification of sugarcane bagasse: Distribution of syngas, bio-tar and char. Chemical Engineering Transactions, 37, 229-234.</w:t>
      </w:r>
    </w:p>
    <w:p w14:paraId="1AF3F756" w14:textId="0BE43F45" w:rsidR="002D581B" w:rsidRDefault="002D581B" w:rsidP="007E69EC">
      <w:pPr>
        <w:pStyle w:val="CETReferencetext"/>
      </w:pPr>
      <w:r>
        <w:rPr>
          <w:rFonts w:ascii="Helvetica" w:hAnsi="Helvetica"/>
          <w:color w:val="222222"/>
          <w:szCs w:val="18"/>
          <w:shd w:val="clear" w:color="auto" w:fill="FFFFFF"/>
        </w:rPr>
        <w:t>Hu, Y.; Chen, Z., 2025, Thermochemical Conversion of Sewage Sludge: Progress in Pyrolysis and Gasification. </w:t>
      </w:r>
      <w:r>
        <w:rPr>
          <w:rStyle w:val="nfasis"/>
          <w:rFonts w:ascii="Helvetica" w:hAnsi="Helvetica"/>
          <w:color w:val="222222"/>
          <w:szCs w:val="18"/>
          <w:shd w:val="clear" w:color="auto" w:fill="FFFFFF"/>
        </w:rPr>
        <w:t>Water,17</w:t>
      </w:r>
      <w:r>
        <w:rPr>
          <w:rFonts w:ascii="Helvetica" w:hAnsi="Helvetica"/>
          <w:color w:val="222222"/>
          <w:szCs w:val="18"/>
          <w:shd w:val="clear" w:color="auto" w:fill="FFFFFF"/>
        </w:rPr>
        <w:t>, 1833.</w:t>
      </w:r>
    </w:p>
    <w:p w14:paraId="36FC236C" w14:textId="77777777" w:rsidR="001D4517" w:rsidRDefault="001D4517" w:rsidP="001D4517">
      <w:pPr>
        <w:pStyle w:val="CETReferencetext"/>
        <w:rPr>
          <w:rFonts w:ascii="Times-Roman" w:hAnsi="Times-Roman" w:cs="Times-Roman"/>
          <w:lang w:val="en-US"/>
        </w:rPr>
      </w:pPr>
      <w:r w:rsidRPr="00303114">
        <w:rPr>
          <w:rFonts w:ascii="Times-Roman" w:hAnsi="Times-Roman" w:cs="Times-Roman"/>
          <w:lang w:val="en-US"/>
        </w:rPr>
        <w:t>P</w:t>
      </w:r>
      <w:r>
        <w:rPr>
          <w:rFonts w:ascii="Times-Roman" w:hAnsi="Times-Roman" w:cs="Times-Roman"/>
          <w:lang w:val="en-US"/>
        </w:rPr>
        <w:t xml:space="preserve">uig Arnavat M., 2011, </w:t>
      </w:r>
      <w:r w:rsidRPr="00303114">
        <w:rPr>
          <w:lang w:val="en-US"/>
        </w:rPr>
        <w:t>Performance modelling and validation of biomass gasifiers for</w:t>
      </w:r>
      <w:r>
        <w:rPr>
          <w:lang w:val="en-US"/>
        </w:rPr>
        <w:t xml:space="preserve"> </w:t>
      </w:r>
      <w:r w:rsidRPr="00303114">
        <w:rPr>
          <w:lang w:val="en-US"/>
        </w:rPr>
        <w:t>trigeneration plants</w:t>
      </w:r>
      <w:r>
        <w:rPr>
          <w:lang w:val="en-US"/>
        </w:rPr>
        <w:t xml:space="preserve">, PhD Thesis, </w:t>
      </w:r>
      <w:r w:rsidRPr="00303114">
        <w:rPr>
          <w:rFonts w:ascii="Times-Roman" w:hAnsi="Times-Roman" w:cs="Times-Roman"/>
          <w:lang w:val="en-US"/>
        </w:rPr>
        <w:t>Universitat RoviraI Virgili, Tarragona.</w:t>
      </w:r>
    </w:p>
    <w:p w14:paraId="0B279D16" w14:textId="3EF1FD6F" w:rsidR="009256B0" w:rsidRDefault="00AD034C" w:rsidP="00AD034C">
      <w:pPr>
        <w:pStyle w:val="CETReferencetext"/>
        <w:rPr>
          <w:lang w:val="en-US"/>
        </w:rPr>
      </w:pPr>
      <w:r w:rsidRPr="00941D7A">
        <w:rPr>
          <w:lang w:val="en-US"/>
        </w:rPr>
        <w:t>R</w:t>
      </w:r>
      <w:r>
        <w:rPr>
          <w:lang w:val="en-US"/>
        </w:rPr>
        <w:t>admanesh</w:t>
      </w:r>
      <w:r w:rsidRPr="00941D7A">
        <w:rPr>
          <w:lang w:val="en-US"/>
        </w:rPr>
        <w:t>, R., C</w:t>
      </w:r>
      <w:r>
        <w:rPr>
          <w:lang w:val="en-US"/>
        </w:rPr>
        <w:t>haouki</w:t>
      </w:r>
      <w:r w:rsidRPr="00941D7A">
        <w:rPr>
          <w:lang w:val="en-US"/>
        </w:rPr>
        <w:t>, J.</w:t>
      </w:r>
      <w:r>
        <w:rPr>
          <w:lang w:val="en-US"/>
        </w:rPr>
        <w:t xml:space="preserve">, </w:t>
      </w:r>
      <w:r w:rsidRPr="00941D7A">
        <w:rPr>
          <w:lang w:val="en-US"/>
        </w:rPr>
        <w:t>G</w:t>
      </w:r>
      <w:r>
        <w:rPr>
          <w:lang w:val="en-US"/>
        </w:rPr>
        <w:t>uy</w:t>
      </w:r>
      <w:r w:rsidRPr="00941D7A">
        <w:rPr>
          <w:lang w:val="en-US"/>
        </w:rPr>
        <w:t>, C</w:t>
      </w:r>
      <w:r w:rsidR="00D10681">
        <w:rPr>
          <w:lang w:val="en-US"/>
        </w:rPr>
        <w:t>., 2006,</w:t>
      </w:r>
      <w:r w:rsidRPr="00941D7A">
        <w:rPr>
          <w:lang w:val="en-US"/>
        </w:rPr>
        <w:t xml:space="preserve"> Biomass gasification in a bubbling fluidized bed reactor:</w:t>
      </w:r>
      <w:r>
        <w:rPr>
          <w:lang w:val="en-US"/>
        </w:rPr>
        <w:t xml:space="preserve"> </w:t>
      </w:r>
      <w:r w:rsidRPr="00941D7A">
        <w:rPr>
          <w:lang w:val="en-US"/>
        </w:rPr>
        <w:t xml:space="preserve">Experiments and modeling. </w:t>
      </w:r>
      <w:r w:rsidRPr="00AD034C">
        <w:rPr>
          <w:rFonts w:ascii="Times-Bold" w:hAnsi="Times-Bold" w:cs="Times-Bold"/>
          <w:bCs/>
          <w:lang w:val="en-US"/>
        </w:rPr>
        <w:t>AIChE Journal,</w:t>
      </w:r>
      <w:r w:rsidRPr="00941D7A">
        <w:rPr>
          <w:rFonts w:ascii="Times-Bold" w:hAnsi="Times-Bold" w:cs="Times-Bold"/>
          <w:b/>
          <w:bCs/>
          <w:lang w:val="en-US"/>
        </w:rPr>
        <w:t xml:space="preserve"> </w:t>
      </w:r>
      <w:r w:rsidRPr="00941D7A">
        <w:rPr>
          <w:lang w:val="en-US"/>
        </w:rPr>
        <w:t>52, 12, 4258-4272.</w:t>
      </w:r>
    </w:p>
    <w:sectPr w:rsidR="009256B0" w:rsidSect="008314D7">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AD9C1B" w16cex:dateUtc="2026-01-30T02:51:00Z"/>
  <w16cex:commentExtensible w16cex:durableId="458030EC" w16cex:dateUtc="2026-01-30T02:52:00Z"/>
  <w16cex:commentExtensible w16cex:durableId="28468E0D" w16cex:dateUtc="2026-01-30T13:57:00Z"/>
  <w16cex:commentExtensible w16cex:durableId="23C951EF" w16cex:dateUtc="2026-01-30T13:59:00Z"/>
  <w16cex:commentExtensible w16cex:durableId="5416169A" w16cex:dateUtc="2026-01-31T1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609EC0" w16cid:durableId="33AD9C1B"/>
  <w16cid:commentId w16cid:paraId="5E47BB35" w16cid:durableId="458030EC"/>
  <w16cid:commentId w16cid:paraId="2C47DFEF" w16cid:durableId="28468E0D"/>
  <w16cid:commentId w16cid:paraId="536F9E03" w16cid:durableId="23C951EF"/>
  <w16cid:commentId w16cid:paraId="035DC333" w16cid:durableId="035DC333"/>
  <w16cid:commentId w16cid:paraId="037A2F57" w16cid:durableId="5416169A"/>
  <w16cid:commentId w16cid:paraId="0AF0B0B7" w16cid:durableId="0AF0B0B7"/>
  <w16cid:commentId w16cid:paraId="67C1D91D" w16cid:durableId="67C1D91D"/>
  <w16cid:commentId w16cid:paraId="158FA47C" w16cid:durableId="158FA47C"/>
  <w16cid:commentId w16cid:paraId="1AE050FB" w16cid:durableId="1AE050FB"/>
  <w16cid:commentId w16cid:paraId="1A628AA6" w16cid:durableId="1A628AA6"/>
  <w16cid:commentId w16cid:paraId="2317017B" w16cid:durableId="2317017B"/>
  <w16cid:commentId w16cid:paraId="6C7E7056" w16cid:durableId="6C7E7056"/>
  <w16cid:commentId w16cid:paraId="29A1E592" w16cid:durableId="29A1E592"/>
  <w16cid:commentId w16cid:paraId="5F2AA550" w16cid:durableId="5F2AA5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F1292" w14:textId="77777777" w:rsidR="00EC0DD5" w:rsidRDefault="00EC0DD5" w:rsidP="004F5E36">
      <w:r>
        <w:separator/>
      </w:r>
    </w:p>
  </w:endnote>
  <w:endnote w:type="continuationSeparator" w:id="0">
    <w:p w14:paraId="0707B3A4" w14:textId="77777777" w:rsidR="00EC0DD5" w:rsidRDefault="00EC0DD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9365B" w14:textId="77777777" w:rsidR="00EC0DD5" w:rsidRDefault="00EC0DD5" w:rsidP="004F5E36">
      <w:r>
        <w:separator/>
      </w:r>
    </w:p>
  </w:footnote>
  <w:footnote w:type="continuationSeparator" w:id="0">
    <w:p w14:paraId="76957AF7" w14:textId="77777777" w:rsidR="00EC0DD5" w:rsidRDefault="00EC0DD5"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273A34F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D3F"/>
    <w:rsid w:val="000027C0"/>
    <w:rsid w:val="000052FB"/>
    <w:rsid w:val="00005884"/>
    <w:rsid w:val="00005A19"/>
    <w:rsid w:val="000117CB"/>
    <w:rsid w:val="000238D2"/>
    <w:rsid w:val="0003148D"/>
    <w:rsid w:val="00031EEC"/>
    <w:rsid w:val="00042FED"/>
    <w:rsid w:val="000430E8"/>
    <w:rsid w:val="00051566"/>
    <w:rsid w:val="00053000"/>
    <w:rsid w:val="000562A9"/>
    <w:rsid w:val="00061FB4"/>
    <w:rsid w:val="00062A9A"/>
    <w:rsid w:val="000637C0"/>
    <w:rsid w:val="00065058"/>
    <w:rsid w:val="000804D1"/>
    <w:rsid w:val="00086C39"/>
    <w:rsid w:val="000916A9"/>
    <w:rsid w:val="000A02E0"/>
    <w:rsid w:val="000A03B2"/>
    <w:rsid w:val="000C1695"/>
    <w:rsid w:val="000D0268"/>
    <w:rsid w:val="000D34BE"/>
    <w:rsid w:val="000E0A40"/>
    <w:rsid w:val="000E102F"/>
    <w:rsid w:val="000E36F1"/>
    <w:rsid w:val="000E3A73"/>
    <w:rsid w:val="000E414A"/>
    <w:rsid w:val="000E60F2"/>
    <w:rsid w:val="000E75FD"/>
    <w:rsid w:val="000F093C"/>
    <w:rsid w:val="000F787B"/>
    <w:rsid w:val="00101F02"/>
    <w:rsid w:val="0010721B"/>
    <w:rsid w:val="0012091F"/>
    <w:rsid w:val="001233C5"/>
    <w:rsid w:val="00124AAD"/>
    <w:rsid w:val="00126BC2"/>
    <w:rsid w:val="001308B6"/>
    <w:rsid w:val="0013121F"/>
    <w:rsid w:val="00131FE6"/>
    <w:rsid w:val="0013263F"/>
    <w:rsid w:val="001331DF"/>
    <w:rsid w:val="00133E1E"/>
    <w:rsid w:val="00134DE4"/>
    <w:rsid w:val="00135190"/>
    <w:rsid w:val="0014034D"/>
    <w:rsid w:val="00140FE3"/>
    <w:rsid w:val="00144D16"/>
    <w:rsid w:val="00150E59"/>
    <w:rsid w:val="00152DE3"/>
    <w:rsid w:val="00164CF9"/>
    <w:rsid w:val="001667A6"/>
    <w:rsid w:val="00171589"/>
    <w:rsid w:val="00184AD6"/>
    <w:rsid w:val="00191772"/>
    <w:rsid w:val="001A1548"/>
    <w:rsid w:val="001A4AF7"/>
    <w:rsid w:val="001B0349"/>
    <w:rsid w:val="001B1E93"/>
    <w:rsid w:val="001B65C1"/>
    <w:rsid w:val="001C260F"/>
    <w:rsid w:val="001C33F1"/>
    <w:rsid w:val="001C684B"/>
    <w:rsid w:val="001D0CFB"/>
    <w:rsid w:val="001D21AF"/>
    <w:rsid w:val="001D4517"/>
    <w:rsid w:val="001D53FC"/>
    <w:rsid w:val="001D5656"/>
    <w:rsid w:val="001F42A5"/>
    <w:rsid w:val="001F7B9D"/>
    <w:rsid w:val="00201C93"/>
    <w:rsid w:val="00211C3D"/>
    <w:rsid w:val="002224B4"/>
    <w:rsid w:val="002253D2"/>
    <w:rsid w:val="00240B19"/>
    <w:rsid w:val="00240B6E"/>
    <w:rsid w:val="002447EF"/>
    <w:rsid w:val="00244FB8"/>
    <w:rsid w:val="00247B40"/>
    <w:rsid w:val="00250108"/>
    <w:rsid w:val="00251550"/>
    <w:rsid w:val="00251FB3"/>
    <w:rsid w:val="002577B1"/>
    <w:rsid w:val="00263B05"/>
    <w:rsid w:val="00266A4A"/>
    <w:rsid w:val="00271CBE"/>
    <w:rsid w:val="0027221A"/>
    <w:rsid w:val="00275B61"/>
    <w:rsid w:val="00276D6E"/>
    <w:rsid w:val="00280FAF"/>
    <w:rsid w:val="002825EF"/>
    <w:rsid w:val="00282656"/>
    <w:rsid w:val="00296B83"/>
    <w:rsid w:val="002B4015"/>
    <w:rsid w:val="002B5C01"/>
    <w:rsid w:val="002B78CE"/>
    <w:rsid w:val="002C2FB6"/>
    <w:rsid w:val="002D581B"/>
    <w:rsid w:val="002E5FA7"/>
    <w:rsid w:val="002F3309"/>
    <w:rsid w:val="003008CE"/>
    <w:rsid w:val="003009B7"/>
    <w:rsid w:val="00300E56"/>
    <w:rsid w:val="0030152C"/>
    <w:rsid w:val="0030469C"/>
    <w:rsid w:val="00314226"/>
    <w:rsid w:val="00321CA6"/>
    <w:rsid w:val="003221AA"/>
    <w:rsid w:val="00323763"/>
    <w:rsid w:val="00323C5F"/>
    <w:rsid w:val="00334C09"/>
    <w:rsid w:val="00343511"/>
    <w:rsid w:val="0034721C"/>
    <w:rsid w:val="003723D4"/>
    <w:rsid w:val="003726F7"/>
    <w:rsid w:val="003748EA"/>
    <w:rsid w:val="00381905"/>
    <w:rsid w:val="00384CC8"/>
    <w:rsid w:val="00384DFF"/>
    <w:rsid w:val="003871FD"/>
    <w:rsid w:val="00390223"/>
    <w:rsid w:val="003A1E30"/>
    <w:rsid w:val="003A2829"/>
    <w:rsid w:val="003A5F1C"/>
    <w:rsid w:val="003A7D1C"/>
    <w:rsid w:val="003B304B"/>
    <w:rsid w:val="003B3146"/>
    <w:rsid w:val="003B4EA5"/>
    <w:rsid w:val="003B626B"/>
    <w:rsid w:val="003C298D"/>
    <w:rsid w:val="003D1E02"/>
    <w:rsid w:val="003D3B45"/>
    <w:rsid w:val="003E379F"/>
    <w:rsid w:val="003E471A"/>
    <w:rsid w:val="003F015E"/>
    <w:rsid w:val="00400414"/>
    <w:rsid w:val="00403AE8"/>
    <w:rsid w:val="0041089F"/>
    <w:rsid w:val="00410E6F"/>
    <w:rsid w:val="0041446B"/>
    <w:rsid w:val="004159F9"/>
    <w:rsid w:val="004230A7"/>
    <w:rsid w:val="004379EF"/>
    <w:rsid w:val="0044071E"/>
    <w:rsid w:val="004407C7"/>
    <w:rsid w:val="0044329C"/>
    <w:rsid w:val="004459E4"/>
    <w:rsid w:val="00453E24"/>
    <w:rsid w:val="00457456"/>
    <w:rsid w:val="004577FE"/>
    <w:rsid w:val="00457B9C"/>
    <w:rsid w:val="004604F7"/>
    <w:rsid w:val="0046164A"/>
    <w:rsid w:val="004628D2"/>
    <w:rsid w:val="00462DCD"/>
    <w:rsid w:val="00463B20"/>
    <w:rsid w:val="004648AD"/>
    <w:rsid w:val="004703A9"/>
    <w:rsid w:val="004760DE"/>
    <w:rsid w:val="004763D7"/>
    <w:rsid w:val="00493EF4"/>
    <w:rsid w:val="00495F1E"/>
    <w:rsid w:val="004A004E"/>
    <w:rsid w:val="004A24CF"/>
    <w:rsid w:val="004A5E57"/>
    <w:rsid w:val="004B3A6C"/>
    <w:rsid w:val="004B7B0A"/>
    <w:rsid w:val="004C194F"/>
    <w:rsid w:val="004C3D1D"/>
    <w:rsid w:val="004C3D84"/>
    <w:rsid w:val="004C7913"/>
    <w:rsid w:val="004D0E34"/>
    <w:rsid w:val="004D3D94"/>
    <w:rsid w:val="004E24B4"/>
    <w:rsid w:val="004E330C"/>
    <w:rsid w:val="004E4DD6"/>
    <w:rsid w:val="004E6530"/>
    <w:rsid w:val="004F2769"/>
    <w:rsid w:val="004F5AEB"/>
    <w:rsid w:val="004F5E36"/>
    <w:rsid w:val="00503701"/>
    <w:rsid w:val="00503FE6"/>
    <w:rsid w:val="00507B47"/>
    <w:rsid w:val="00507BEF"/>
    <w:rsid w:val="00507CC9"/>
    <w:rsid w:val="005119A5"/>
    <w:rsid w:val="00514D27"/>
    <w:rsid w:val="0051771C"/>
    <w:rsid w:val="005239E1"/>
    <w:rsid w:val="005278B7"/>
    <w:rsid w:val="00532016"/>
    <w:rsid w:val="005346C8"/>
    <w:rsid w:val="00542105"/>
    <w:rsid w:val="00543E7D"/>
    <w:rsid w:val="00547A68"/>
    <w:rsid w:val="005531C9"/>
    <w:rsid w:val="00557FF2"/>
    <w:rsid w:val="005709F9"/>
    <w:rsid w:val="00570C43"/>
    <w:rsid w:val="00592274"/>
    <w:rsid w:val="00595982"/>
    <w:rsid w:val="005B2110"/>
    <w:rsid w:val="005B61E6"/>
    <w:rsid w:val="005C77E1"/>
    <w:rsid w:val="005D668A"/>
    <w:rsid w:val="005D6A2F"/>
    <w:rsid w:val="005E0592"/>
    <w:rsid w:val="005E1A82"/>
    <w:rsid w:val="005E794C"/>
    <w:rsid w:val="005F0A28"/>
    <w:rsid w:val="005F0E5E"/>
    <w:rsid w:val="005F49E4"/>
    <w:rsid w:val="00600535"/>
    <w:rsid w:val="00610CD6"/>
    <w:rsid w:val="00620DEE"/>
    <w:rsid w:val="00621F92"/>
    <w:rsid w:val="0062280A"/>
    <w:rsid w:val="006231E1"/>
    <w:rsid w:val="00625639"/>
    <w:rsid w:val="00631B33"/>
    <w:rsid w:val="00634DF1"/>
    <w:rsid w:val="0064184D"/>
    <w:rsid w:val="006422CC"/>
    <w:rsid w:val="00651D18"/>
    <w:rsid w:val="00652D8E"/>
    <w:rsid w:val="00660E3E"/>
    <w:rsid w:val="00662E74"/>
    <w:rsid w:val="00664F9F"/>
    <w:rsid w:val="00675B6F"/>
    <w:rsid w:val="00680C23"/>
    <w:rsid w:val="00683E23"/>
    <w:rsid w:val="00692400"/>
    <w:rsid w:val="00693766"/>
    <w:rsid w:val="00694241"/>
    <w:rsid w:val="006954E6"/>
    <w:rsid w:val="0069691D"/>
    <w:rsid w:val="006A3281"/>
    <w:rsid w:val="006A429A"/>
    <w:rsid w:val="006B4888"/>
    <w:rsid w:val="006C2E45"/>
    <w:rsid w:val="006C359C"/>
    <w:rsid w:val="006C5579"/>
    <w:rsid w:val="006D38D5"/>
    <w:rsid w:val="006D6E8B"/>
    <w:rsid w:val="006D7209"/>
    <w:rsid w:val="006E222A"/>
    <w:rsid w:val="006E737D"/>
    <w:rsid w:val="006F2918"/>
    <w:rsid w:val="006F390E"/>
    <w:rsid w:val="00707DD1"/>
    <w:rsid w:val="00713973"/>
    <w:rsid w:val="007169C4"/>
    <w:rsid w:val="00720A24"/>
    <w:rsid w:val="00721BC4"/>
    <w:rsid w:val="00726BBA"/>
    <w:rsid w:val="00726C93"/>
    <w:rsid w:val="00731C2B"/>
    <w:rsid w:val="00732386"/>
    <w:rsid w:val="0073514D"/>
    <w:rsid w:val="00742916"/>
    <w:rsid w:val="007447F3"/>
    <w:rsid w:val="0074616F"/>
    <w:rsid w:val="00751C3F"/>
    <w:rsid w:val="0075499F"/>
    <w:rsid w:val="007617CC"/>
    <w:rsid w:val="00764431"/>
    <w:rsid w:val="007661C8"/>
    <w:rsid w:val="0077098D"/>
    <w:rsid w:val="0077223D"/>
    <w:rsid w:val="00785BF9"/>
    <w:rsid w:val="00792B71"/>
    <w:rsid w:val="007931FA"/>
    <w:rsid w:val="00796572"/>
    <w:rsid w:val="007A4861"/>
    <w:rsid w:val="007A77E1"/>
    <w:rsid w:val="007A7BBA"/>
    <w:rsid w:val="007B0C50"/>
    <w:rsid w:val="007B48F9"/>
    <w:rsid w:val="007B6A4F"/>
    <w:rsid w:val="007C1A43"/>
    <w:rsid w:val="007C376D"/>
    <w:rsid w:val="007D0951"/>
    <w:rsid w:val="007D4485"/>
    <w:rsid w:val="007E08D6"/>
    <w:rsid w:val="007E69EC"/>
    <w:rsid w:val="007F27C8"/>
    <w:rsid w:val="0080013E"/>
    <w:rsid w:val="00807B8F"/>
    <w:rsid w:val="008113A5"/>
    <w:rsid w:val="008114B8"/>
    <w:rsid w:val="00813288"/>
    <w:rsid w:val="008168FC"/>
    <w:rsid w:val="00820158"/>
    <w:rsid w:val="00821E5E"/>
    <w:rsid w:val="00830996"/>
    <w:rsid w:val="008314D7"/>
    <w:rsid w:val="008318ED"/>
    <w:rsid w:val="008345F1"/>
    <w:rsid w:val="00854712"/>
    <w:rsid w:val="00854B4B"/>
    <w:rsid w:val="00865B07"/>
    <w:rsid w:val="008667EA"/>
    <w:rsid w:val="00867645"/>
    <w:rsid w:val="00874F93"/>
    <w:rsid w:val="0087637F"/>
    <w:rsid w:val="00892AD5"/>
    <w:rsid w:val="008A1512"/>
    <w:rsid w:val="008B22CE"/>
    <w:rsid w:val="008C0C29"/>
    <w:rsid w:val="008D32B9"/>
    <w:rsid w:val="008D433B"/>
    <w:rsid w:val="008D4A16"/>
    <w:rsid w:val="008D6FF6"/>
    <w:rsid w:val="008E209A"/>
    <w:rsid w:val="008E2A72"/>
    <w:rsid w:val="008E45BC"/>
    <w:rsid w:val="008E566E"/>
    <w:rsid w:val="008E5C30"/>
    <w:rsid w:val="008E7911"/>
    <w:rsid w:val="008F24D1"/>
    <w:rsid w:val="008F32C3"/>
    <w:rsid w:val="008F33F9"/>
    <w:rsid w:val="008F7B8C"/>
    <w:rsid w:val="0090161A"/>
    <w:rsid w:val="00901EB6"/>
    <w:rsid w:val="009041F8"/>
    <w:rsid w:val="00904C62"/>
    <w:rsid w:val="0091250C"/>
    <w:rsid w:val="00922BA8"/>
    <w:rsid w:val="00924DAC"/>
    <w:rsid w:val="009256B0"/>
    <w:rsid w:val="00927058"/>
    <w:rsid w:val="009300CE"/>
    <w:rsid w:val="009400C2"/>
    <w:rsid w:val="00942750"/>
    <w:rsid w:val="009450CE"/>
    <w:rsid w:val="009459BB"/>
    <w:rsid w:val="00947179"/>
    <w:rsid w:val="0095164B"/>
    <w:rsid w:val="00954090"/>
    <w:rsid w:val="009573E7"/>
    <w:rsid w:val="00963E05"/>
    <w:rsid w:val="00964A45"/>
    <w:rsid w:val="00964F48"/>
    <w:rsid w:val="00967843"/>
    <w:rsid w:val="00967D54"/>
    <w:rsid w:val="00971028"/>
    <w:rsid w:val="009733EC"/>
    <w:rsid w:val="00975726"/>
    <w:rsid w:val="009774E4"/>
    <w:rsid w:val="00983584"/>
    <w:rsid w:val="00993B84"/>
    <w:rsid w:val="00996483"/>
    <w:rsid w:val="00996F5A"/>
    <w:rsid w:val="00997FC7"/>
    <w:rsid w:val="009B041A"/>
    <w:rsid w:val="009B33F7"/>
    <w:rsid w:val="009B63FB"/>
    <w:rsid w:val="009C37C3"/>
    <w:rsid w:val="009C7C86"/>
    <w:rsid w:val="009D0462"/>
    <w:rsid w:val="009D179C"/>
    <w:rsid w:val="009D2FF7"/>
    <w:rsid w:val="009E11C4"/>
    <w:rsid w:val="009E7884"/>
    <w:rsid w:val="009E788A"/>
    <w:rsid w:val="009F0E08"/>
    <w:rsid w:val="00A05D27"/>
    <w:rsid w:val="00A079AE"/>
    <w:rsid w:val="00A1651D"/>
    <w:rsid w:val="00A1763D"/>
    <w:rsid w:val="00A17CEC"/>
    <w:rsid w:val="00A21BEA"/>
    <w:rsid w:val="00A2374C"/>
    <w:rsid w:val="00A26CBB"/>
    <w:rsid w:val="00A27EA5"/>
    <w:rsid w:val="00A27EF0"/>
    <w:rsid w:val="00A3403D"/>
    <w:rsid w:val="00A42361"/>
    <w:rsid w:val="00A441ED"/>
    <w:rsid w:val="00A50B20"/>
    <w:rsid w:val="00A51390"/>
    <w:rsid w:val="00A53501"/>
    <w:rsid w:val="00A60D13"/>
    <w:rsid w:val="00A7223D"/>
    <w:rsid w:val="00A72745"/>
    <w:rsid w:val="00A76EFC"/>
    <w:rsid w:val="00A77E4C"/>
    <w:rsid w:val="00A81527"/>
    <w:rsid w:val="00A8732A"/>
    <w:rsid w:val="00A87D50"/>
    <w:rsid w:val="00A91010"/>
    <w:rsid w:val="00A97F29"/>
    <w:rsid w:val="00AA702E"/>
    <w:rsid w:val="00AA7D26"/>
    <w:rsid w:val="00AB0964"/>
    <w:rsid w:val="00AB1775"/>
    <w:rsid w:val="00AB5011"/>
    <w:rsid w:val="00AB5423"/>
    <w:rsid w:val="00AB5E49"/>
    <w:rsid w:val="00AC7368"/>
    <w:rsid w:val="00AC7573"/>
    <w:rsid w:val="00AD0278"/>
    <w:rsid w:val="00AD034C"/>
    <w:rsid w:val="00AD16B9"/>
    <w:rsid w:val="00AD4853"/>
    <w:rsid w:val="00AE377D"/>
    <w:rsid w:val="00AE3C23"/>
    <w:rsid w:val="00AF0EBA"/>
    <w:rsid w:val="00B02C8A"/>
    <w:rsid w:val="00B04627"/>
    <w:rsid w:val="00B1510D"/>
    <w:rsid w:val="00B17A95"/>
    <w:rsid w:val="00B17FBD"/>
    <w:rsid w:val="00B315A6"/>
    <w:rsid w:val="00B31813"/>
    <w:rsid w:val="00B33365"/>
    <w:rsid w:val="00B44176"/>
    <w:rsid w:val="00B4464F"/>
    <w:rsid w:val="00B57B36"/>
    <w:rsid w:val="00B57E6F"/>
    <w:rsid w:val="00B761B2"/>
    <w:rsid w:val="00B80388"/>
    <w:rsid w:val="00B85334"/>
    <w:rsid w:val="00B8686D"/>
    <w:rsid w:val="00B91A96"/>
    <w:rsid w:val="00B93F69"/>
    <w:rsid w:val="00BB1DDC"/>
    <w:rsid w:val="00BC0729"/>
    <w:rsid w:val="00BC30C9"/>
    <w:rsid w:val="00BC7617"/>
    <w:rsid w:val="00BC7A4D"/>
    <w:rsid w:val="00BD0086"/>
    <w:rsid w:val="00BD077D"/>
    <w:rsid w:val="00BD66A1"/>
    <w:rsid w:val="00BE1E2D"/>
    <w:rsid w:val="00BE20FB"/>
    <w:rsid w:val="00BE3E58"/>
    <w:rsid w:val="00C01616"/>
    <w:rsid w:val="00C0162B"/>
    <w:rsid w:val="00C068ED"/>
    <w:rsid w:val="00C076AF"/>
    <w:rsid w:val="00C11C3C"/>
    <w:rsid w:val="00C208E9"/>
    <w:rsid w:val="00C22E0C"/>
    <w:rsid w:val="00C26D01"/>
    <w:rsid w:val="00C26EDD"/>
    <w:rsid w:val="00C27021"/>
    <w:rsid w:val="00C345B1"/>
    <w:rsid w:val="00C40142"/>
    <w:rsid w:val="00C51A83"/>
    <w:rsid w:val="00C52C3C"/>
    <w:rsid w:val="00C57182"/>
    <w:rsid w:val="00C57863"/>
    <w:rsid w:val="00C6220B"/>
    <w:rsid w:val="00C640AF"/>
    <w:rsid w:val="00C64641"/>
    <w:rsid w:val="00C655FD"/>
    <w:rsid w:val="00C72325"/>
    <w:rsid w:val="00C75407"/>
    <w:rsid w:val="00C83736"/>
    <w:rsid w:val="00C841C6"/>
    <w:rsid w:val="00C870A8"/>
    <w:rsid w:val="00C94434"/>
    <w:rsid w:val="00CA0D75"/>
    <w:rsid w:val="00CA1C95"/>
    <w:rsid w:val="00CA5A9C"/>
    <w:rsid w:val="00CC4C20"/>
    <w:rsid w:val="00CD3517"/>
    <w:rsid w:val="00CD5FE2"/>
    <w:rsid w:val="00CE7C68"/>
    <w:rsid w:val="00CF0560"/>
    <w:rsid w:val="00D02B4C"/>
    <w:rsid w:val="00D040C4"/>
    <w:rsid w:val="00D10681"/>
    <w:rsid w:val="00D2087A"/>
    <w:rsid w:val="00D20AD1"/>
    <w:rsid w:val="00D256B7"/>
    <w:rsid w:val="00D2582C"/>
    <w:rsid w:val="00D37898"/>
    <w:rsid w:val="00D46B7E"/>
    <w:rsid w:val="00D545E0"/>
    <w:rsid w:val="00D57C84"/>
    <w:rsid w:val="00D6057D"/>
    <w:rsid w:val="00D611C4"/>
    <w:rsid w:val="00D71640"/>
    <w:rsid w:val="00D836C5"/>
    <w:rsid w:val="00D84576"/>
    <w:rsid w:val="00DA1399"/>
    <w:rsid w:val="00DA24C6"/>
    <w:rsid w:val="00DA4D7B"/>
    <w:rsid w:val="00DB5693"/>
    <w:rsid w:val="00DD271C"/>
    <w:rsid w:val="00DD6503"/>
    <w:rsid w:val="00DE15C0"/>
    <w:rsid w:val="00DE264A"/>
    <w:rsid w:val="00DF5072"/>
    <w:rsid w:val="00DF6220"/>
    <w:rsid w:val="00E02D18"/>
    <w:rsid w:val="00E041E7"/>
    <w:rsid w:val="00E0648A"/>
    <w:rsid w:val="00E23CA1"/>
    <w:rsid w:val="00E36762"/>
    <w:rsid w:val="00E409A8"/>
    <w:rsid w:val="00E443F8"/>
    <w:rsid w:val="00E44A8F"/>
    <w:rsid w:val="00E47D61"/>
    <w:rsid w:val="00E50C12"/>
    <w:rsid w:val="00E5314D"/>
    <w:rsid w:val="00E5406C"/>
    <w:rsid w:val="00E57861"/>
    <w:rsid w:val="00E65B91"/>
    <w:rsid w:val="00E7209D"/>
    <w:rsid w:val="00E72EAD"/>
    <w:rsid w:val="00E73F19"/>
    <w:rsid w:val="00E77223"/>
    <w:rsid w:val="00E81458"/>
    <w:rsid w:val="00E8528B"/>
    <w:rsid w:val="00E85B94"/>
    <w:rsid w:val="00E869E6"/>
    <w:rsid w:val="00E978D0"/>
    <w:rsid w:val="00EA3EF9"/>
    <w:rsid w:val="00EA4613"/>
    <w:rsid w:val="00EA7F91"/>
    <w:rsid w:val="00EB1523"/>
    <w:rsid w:val="00EB154D"/>
    <w:rsid w:val="00EC0DD5"/>
    <w:rsid w:val="00EC0E49"/>
    <w:rsid w:val="00EC101F"/>
    <w:rsid w:val="00EC1D9F"/>
    <w:rsid w:val="00EC213E"/>
    <w:rsid w:val="00EC2683"/>
    <w:rsid w:val="00EE0131"/>
    <w:rsid w:val="00EE03D6"/>
    <w:rsid w:val="00EE13BC"/>
    <w:rsid w:val="00EE17B0"/>
    <w:rsid w:val="00EE4754"/>
    <w:rsid w:val="00EE5A51"/>
    <w:rsid w:val="00EE675B"/>
    <w:rsid w:val="00EF06D9"/>
    <w:rsid w:val="00EF0982"/>
    <w:rsid w:val="00EF3920"/>
    <w:rsid w:val="00F064BC"/>
    <w:rsid w:val="00F126A5"/>
    <w:rsid w:val="00F158CF"/>
    <w:rsid w:val="00F17B83"/>
    <w:rsid w:val="00F3049E"/>
    <w:rsid w:val="00F30C64"/>
    <w:rsid w:val="00F32BA2"/>
    <w:rsid w:val="00F32CDB"/>
    <w:rsid w:val="00F3348F"/>
    <w:rsid w:val="00F37280"/>
    <w:rsid w:val="00F41EE4"/>
    <w:rsid w:val="00F46FAC"/>
    <w:rsid w:val="00F50F89"/>
    <w:rsid w:val="00F565FE"/>
    <w:rsid w:val="00F63A70"/>
    <w:rsid w:val="00F63D8C"/>
    <w:rsid w:val="00F64FEB"/>
    <w:rsid w:val="00F7191A"/>
    <w:rsid w:val="00F7534E"/>
    <w:rsid w:val="00F820FD"/>
    <w:rsid w:val="00F93EDF"/>
    <w:rsid w:val="00FA1802"/>
    <w:rsid w:val="00FA21D0"/>
    <w:rsid w:val="00FA296A"/>
    <w:rsid w:val="00FA4E56"/>
    <w:rsid w:val="00FA5F5F"/>
    <w:rsid w:val="00FB0325"/>
    <w:rsid w:val="00FB730C"/>
    <w:rsid w:val="00FC15F4"/>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40B6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40B6E"/>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styleId="Sinespaciado">
    <w:name w:val="No Spacing"/>
    <w:uiPriority w:val="1"/>
    <w:qFormat/>
    <w:rsid w:val="008F33F9"/>
    <w:pPr>
      <w:spacing w:after="0" w:line="240" w:lineRule="auto"/>
    </w:pPr>
    <w:rPr>
      <w:rFonts w:ascii="Times New Roman" w:eastAsia="Times New Roman" w:hAnsi="Times New Roman" w:cs="Times New Roman"/>
      <w:sz w:val="24"/>
      <w:szCs w:val="24"/>
      <w:lang w:val="es-ES" w:eastAsia="es-ES"/>
    </w:rPr>
  </w:style>
  <w:style w:type="paragraph" w:customStyle="1" w:styleId="CET-table-title">
    <w:name w:val="CET-table-title"/>
    <w:rsid w:val="00384DFF"/>
    <w:pPr>
      <w:keepNext/>
      <w:spacing w:before="240" w:after="80" w:line="240" w:lineRule="exact"/>
    </w:pPr>
    <w:rPr>
      <w:rFonts w:ascii="Arial" w:eastAsia="Times New Roman" w:hAnsi="Arial" w:cs="Times New Roman"/>
      <w:i/>
      <w:sz w:val="18"/>
      <w:szCs w:val="20"/>
      <w:lang w:val="en-US"/>
    </w:rPr>
  </w:style>
  <w:style w:type="paragraph" w:customStyle="1" w:styleId="TEXTODOUTORA">
    <w:name w:val="TEXTODOUTORA"/>
    <w:basedOn w:val="Normal"/>
    <w:link w:val="TEXTODOUTORAChar"/>
    <w:qFormat/>
    <w:rsid w:val="00384DFF"/>
    <w:pPr>
      <w:tabs>
        <w:tab w:val="clear" w:pos="7100"/>
      </w:tabs>
      <w:spacing w:after="120" w:line="360" w:lineRule="auto"/>
      <w:ind w:firstLine="851"/>
    </w:pPr>
    <w:rPr>
      <w:rFonts w:ascii="Times New Roman" w:hAnsi="Times New Roman"/>
      <w:sz w:val="24"/>
      <w:szCs w:val="24"/>
      <w:lang w:val="pt-BR" w:eastAsia="es-ES"/>
    </w:rPr>
  </w:style>
  <w:style w:type="character" w:customStyle="1" w:styleId="TEXTODOUTORAChar">
    <w:name w:val="TEXTODOUTORA Char"/>
    <w:basedOn w:val="Fuentedeprrafopredeter"/>
    <w:link w:val="TEXTODOUTORA"/>
    <w:locked/>
    <w:rsid w:val="00384DFF"/>
    <w:rPr>
      <w:rFonts w:ascii="Times New Roman" w:eastAsia="Times New Roman" w:hAnsi="Times New Roman" w:cs="Times New Roman"/>
      <w:sz w:val="24"/>
      <w:szCs w:val="24"/>
      <w:lang w:val="pt-BR" w:eastAsia="es-ES"/>
    </w:rPr>
  </w:style>
  <w:style w:type="character" w:customStyle="1" w:styleId="y2iqfc">
    <w:name w:val="y2iqfc"/>
    <w:basedOn w:val="Fuentedeprrafopredeter"/>
    <w:rsid w:val="004B3A6C"/>
  </w:style>
  <w:style w:type="paragraph" w:customStyle="1" w:styleId="CETAcknowledgements">
    <w:name w:val="CET_Acknowledgements"/>
    <w:next w:val="CETBodytext"/>
    <w:qFormat/>
    <w:rsid w:val="00A8732A"/>
    <w:pPr>
      <w:spacing w:before="200" w:after="120"/>
    </w:pPr>
    <w:rPr>
      <w:rFonts w:ascii="Arial" w:eastAsia="Times New Roman" w:hAnsi="Arial" w:cs="Times New Roman"/>
      <w:b/>
      <w:sz w:val="18"/>
      <w:szCs w:val="20"/>
      <w:lang w:val="en-GB"/>
    </w:rPr>
  </w:style>
  <w:style w:type="character" w:styleId="nfasis">
    <w:name w:val="Emphasis"/>
    <w:basedOn w:val="Fuentedeprrafopredeter"/>
    <w:uiPriority w:val="20"/>
    <w:qFormat/>
    <w:rsid w:val="002D581B"/>
    <w:rPr>
      <w:i/>
      <w:iCs/>
    </w:rPr>
  </w:style>
  <w:style w:type="paragraph" w:styleId="Revisin">
    <w:name w:val="Revision"/>
    <w:hidden/>
    <w:uiPriority w:val="99"/>
    <w:semiHidden/>
    <w:rsid w:val="00652D8E"/>
    <w:pPr>
      <w:spacing w:after="0" w:line="240" w:lineRule="auto"/>
    </w:pPr>
    <w:rPr>
      <w:rFonts w:ascii="Arial" w:eastAsia="Times New Roman" w:hAnsi="Arial" w:cs="Times New Roman"/>
      <w:sz w:val="18"/>
      <w:szCs w:val="20"/>
      <w:lang w:val="en-GB"/>
    </w:rPr>
  </w:style>
  <w:style w:type="character" w:customStyle="1" w:styleId="math-inline">
    <w:name w:val="math-inline"/>
    <w:basedOn w:val="Fuentedeprrafopredeter"/>
    <w:rsid w:val="00A34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96955">
      <w:bodyDiv w:val="1"/>
      <w:marLeft w:val="0"/>
      <w:marRight w:val="0"/>
      <w:marTop w:val="0"/>
      <w:marBottom w:val="0"/>
      <w:divBdr>
        <w:top w:val="none" w:sz="0" w:space="0" w:color="auto"/>
        <w:left w:val="none" w:sz="0" w:space="0" w:color="auto"/>
        <w:bottom w:val="none" w:sz="0" w:space="0" w:color="auto"/>
        <w:right w:val="none" w:sz="0" w:space="0" w:color="auto"/>
      </w:divBdr>
    </w:div>
    <w:div w:id="474297664">
      <w:bodyDiv w:val="1"/>
      <w:marLeft w:val="0"/>
      <w:marRight w:val="0"/>
      <w:marTop w:val="0"/>
      <w:marBottom w:val="0"/>
      <w:divBdr>
        <w:top w:val="none" w:sz="0" w:space="0" w:color="auto"/>
        <w:left w:val="none" w:sz="0" w:space="0" w:color="auto"/>
        <w:bottom w:val="none" w:sz="0" w:space="0" w:color="auto"/>
        <w:right w:val="none" w:sz="0" w:space="0" w:color="auto"/>
      </w:divBdr>
    </w:div>
    <w:div w:id="69858092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70557">
      <w:bodyDiv w:val="1"/>
      <w:marLeft w:val="0"/>
      <w:marRight w:val="0"/>
      <w:marTop w:val="0"/>
      <w:marBottom w:val="0"/>
      <w:divBdr>
        <w:top w:val="none" w:sz="0" w:space="0" w:color="auto"/>
        <w:left w:val="none" w:sz="0" w:space="0" w:color="auto"/>
        <w:bottom w:val="none" w:sz="0" w:space="0" w:color="auto"/>
        <w:right w:val="none" w:sz="0" w:space="0" w:color="auto"/>
      </w:divBdr>
    </w:div>
    <w:div w:id="974526090">
      <w:bodyDiv w:val="1"/>
      <w:marLeft w:val="0"/>
      <w:marRight w:val="0"/>
      <w:marTop w:val="0"/>
      <w:marBottom w:val="0"/>
      <w:divBdr>
        <w:top w:val="none" w:sz="0" w:space="0" w:color="auto"/>
        <w:left w:val="none" w:sz="0" w:space="0" w:color="auto"/>
        <w:bottom w:val="none" w:sz="0" w:space="0" w:color="auto"/>
        <w:right w:val="none" w:sz="0" w:space="0" w:color="auto"/>
      </w:divBdr>
    </w:div>
    <w:div w:id="1135953421">
      <w:bodyDiv w:val="1"/>
      <w:marLeft w:val="0"/>
      <w:marRight w:val="0"/>
      <w:marTop w:val="0"/>
      <w:marBottom w:val="0"/>
      <w:divBdr>
        <w:top w:val="none" w:sz="0" w:space="0" w:color="auto"/>
        <w:left w:val="none" w:sz="0" w:space="0" w:color="auto"/>
        <w:bottom w:val="none" w:sz="0" w:space="0" w:color="auto"/>
        <w:right w:val="none" w:sz="0" w:space="0" w:color="auto"/>
      </w:divBdr>
    </w:div>
    <w:div w:id="1139763578">
      <w:bodyDiv w:val="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46706257">
      <w:bodyDiv w:val="1"/>
      <w:marLeft w:val="0"/>
      <w:marRight w:val="0"/>
      <w:marTop w:val="0"/>
      <w:marBottom w:val="0"/>
      <w:divBdr>
        <w:top w:val="none" w:sz="0" w:space="0" w:color="auto"/>
        <w:left w:val="none" w:sz="0" w:space="0" w:color="auto"/>
        <w:bottom w:val="none" w:sz="0" w:space="0" w:color="auto"/>
        <w:right w:val="none" w:sz="0" w:space="0" w:color="auto"/>
      </w:divBdr>
    </w:div>
    <w:div w:id="137110487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3914999">
      <w:bodyDiv w:val="1"/>
      <w:marLeft w:val="0"/>
      <w:marRight w:val="0"/>
      <w:marTop w:val="0"/>
      <w:marBottom w:val="0"/>
      <w:divBdr>
        <w:top w:val="none" w:sz="0" w:space="0" w:color="auto"/>
        <w:left w:val="none" w:sz="0" w:space="0" w:color="auto"/>
        <w:bottom w:val="none" w:sz="0" w:space="0" w:color="auto"/>
        <w:right w:val="none" w:sz="0" w:space="0" w:color="auto"/>
      </w:divBdr>
    </w:div>
    <w:div w:id="148828156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2481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A823E-2ACD-4B34-8D2F-00191578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Pages>
  <Words>2845</Words>
  <Characters>15650</Characters>
  <Application>Microsoft Office Word</Application>
  <DocSecurity>0</DocSecurity>
  <Lines>130</Lines>
  <Paragraphs>36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YCA</cp:lastModifiedBy>
  <cp:revision>34</cp:revision>
  <cp:lastPrinted>2015-05-12T18:31:00Z</cp:lastPrinted>
  <dcterms:created xsi:type="dcterms:W3CDTF">2026-02-02T03:49:00Z</dcterms:created>
  <dcterms:modified xsi:type="dcterms:W3CDTF">2026-04-07T14:27:00Z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98edbf74-7eb5-4281-906f-f64d4fe0c4a6</vt:lpwstr>
  </property>
</Properties>
</file>