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524202">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es-ES" w:eastAsia="es-ES"/>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es-ES" w:eastAsia="es-ES"/>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524202">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524202">
        <w:trPr>
          <w:trHeight w:val="68"/>
          <w:jc w:val="center"/>
        </w:trPr>
        <w:tc>
          <w:tcPr>
            <w:tcW w:w="8782" w:type="dxa"/>
            <w:gridSpan w:val="2"/>
          </w:tcPr>
          <w:p w14:paraId="1D8DD3C9" w14:textId="61229B97"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78FFFCE2" w:rsidR="00E978D0" w:rsidRPr="005E0512" w:rsidRDefault="00524202" w:rsidP="009F6578">
      <w:pPr>
        <w:pStyle w:val="CETTitle"/>
      </w:pPr>
      <w:r w:rsidRPr="005E0512">
        <w:t>Gasification of Agricultural Waste from Maranhão</w:t>
      </w:r>
      <w:r w:rsidR="00482DD4" w:rsidRPr="005E0512">
        <w:t xml:space="preserve">, </w:t>
      </w:r>
      <w:r w:rsidR="00D416E9" w:rsidRPr="005E0512">
        <w:t>Brazil</w:t>
      </w:r>
      <w:r w:rsidRPr="005E0512">
        <w:t>: Process Simulation</w:t>
      </w:r>
    </w:p>
    <w:p w14:paraId="235E3FDD" w14:textId="6639D6D8" w:rsidR="009F6578" w:rsidRPr="00247769" w:rsidRDefault="00552660" w:rsidP="009F6578">
      <w:pPr>
        <w:pStyle w:val="CETAuthors"/>
        <w:rPr>
          <w:vertAlign w:val="superscript"/>
          <w:lang w:val="es-ES"/>
        </w:rPr>
      </w:pPr>
      <w:r w:rsidRPr="005E0512">
        <w:rPr>
          <w:lang w:val="es-ES"/>
        </w:rPr>
        <w:t>Jaiver Efren Jaimes Figueroa</w:t>
      </w:r>
      <w:r w:rsidRPr="005E0512">
        <w:rPr>
          <w:vertAlign w:val="superscript"/>
          <w:lang w:val="es-ES"/>
        </w:rPr>
        <w:t>a</w:t>
      </w:r>
      <w:r w:rsidRPr="005E0512">
        <w:rPr>
          <w:lang w:val="es-ES"/>
        </w:rPr>
        <w:t xml:space="preserve">, </w:t>
      </w:r>
      <w:r w:rsidR="005E084D" w:rsidRPr="005E0512">
        <w:rPr>
          <w:lang w:val="es-ES"/>
        </w:rPr>
        <w:t>Adauto de Souza Lima Neto</w:t>
      </w:r>
      <w:r w:rsidR="009F6578" w:rsidRPr="005E0512">
        <w:rPr>
          <w:vertAlign w:val="superscript"/>
          <w:lang w:val="es-ES"/>
        </w:rPr>
        <w:t>a</w:t>
      </w:r>
      <w:r w:rsidR="009F6578" w:rsidRPr="005E0512">
        <w:rPr>
          <w:lang w:val="es-ES"/>
        </w:rPr>
        <w:t>, Yurany Camacho Ardila</w:t>
      </w:r>
      <w:r w:rsidR="009F6578" w:rsidRPr="005E0512">
        <w:rPr>
          <w:vertAlign w:val="superscript"/>
          <w:lang w:val="es-ES"/>
        </w:rPr>
        <w:t>b</w:t>
      </w:r>
      <w:r w:rsidR="009F6578" w:rsidRPr="005E0512">
        <w:rPr>
          <w:lang w:val="es-ES"/>
        </w:rPr>
        <w:t>*</w:t>
      </w:r>
    </w:p>
    <w:p w14:paraId="3C9CD025" w14:textId="2BB52D3C" w:rsidR="009F6578" w:rsidRPr="005E0512" w:rsidRDefault="009F6578" w:rsidP="009F6578">
      <w:pPr>
        <w:pStyle w:val="CETAddress"/>
        <w:rPr>
          <w:lang w:val="pt-BR"/>
        </w:rPr>
      </w:pPr>
      <w:r w:rsidRPr="005E0512">
        <w:rPr>
          <w:vertAlign w:val="superscript"/>
          <w:lang w:val="en-US"/>
        </w:rPr>
        <w:t xml:space="preserve">a </w:t>
      </w:r>
      <w:r w:rsidR="007B67F8" w:rsidRPr="005E0512">
        <w:rPr>
          <w:lang w:val="en-US"/>
        </w:rPr>
        <w:t>Postgraduate Program in Energy and Environment</w:t>
      </w:r>
      <w:r w:rsidR="00EC61F9" w:rsidRPr="005E0512">
        <w:rPr>
          <w:lang w:val="en-US"/>
        </w:rPr>
        <w:t xml:space="preserve"> – PPGEA/CCET</w:t>
      </w:r>
      <w:r w:rsidRPr="005E0512">
        <w:rPr>
          <w:lang w:val="en-US"/>
        </w:rPr>
        <w:t>, Federal University of Maranhão</w:t>
      </w:r>
      <w:r w:rsidR="00A43056" w:rsidRPr="005E0512">
        <w:rPr>
          <w:lang w:val="en-US"/>
        </w:rPr>
        <w:t xml:space="preserve"> - UFMA</w:t>
      </w:r>
      <w:r w:rsidRPr="005E0512">
        <w:rPr>
          <w:lang w:val="en-US"/>
        </w:rPr>
        <w:t xml:space="preserve">, Av. do Portugueses, 1966. </w:t>
      </w:r>
      <w:r w:rsidRPr="005E0512">
        <w:rPr>
          <w:lang w:val="pt-BR"/>
        </w:rPr>
        <w:t>Cidade Universitária “Dom Delgado”, CEP 65080-805.São Luís-M, Brazil.</w:t>
      </w:r>
    </w:p>
    <w:p w14:paraId="71C4D6C7" w14:textId="776D76C0" w:rsidR="009F6578" w:rsidRPr="005E0512" w:rsidRDefault="009F6578" w:rsidP="009F6578">
      <w:pPr>
        <w:pStyle w:val="CETAddress"/>
        <w:rPr>
          <w:lang w:val="pt-BR"/>
        </w:rPr>
      </w:pPr>
      <w:r w:rsidRPr="005E0512">
        <w:rPr>
          <w:sz w:val="20"/>
          <w:vertAlign w:val="superscript"/>
          <w:lang w:val="pt-BR"/>
        </w:rPr>
        <w:t xml:space="preserve">b </w:t>
      </w:r>
      <w:r w:rsidRPr="005E0512">
        <w:rPr>
          <w:bCs/>
          <w:iCs/>
          <w:lang w:val="pt-BR"/>
        </w:rPr>
        <w:t xml:space="preserve">School of Environmental Engineering, </w:t>
      </w:r>
      <w:r w:rsidRPr="005E0512">
        <w:rPr>
          <w:lang w:val="pt-BR"/>
        </w:rPr>
        <w:t>Universidad Pedagógica y Tecnológica de Colombia, 150003, Tunja, Boyacá</w:t>
      </w:r>
    </w:p>
    <w:p w14:paraId="364C5777" w14:textId="77777777" w:rsidR="009F6578" w:rsidRPr="007A6986" w:rsidRDefault="009F6578" w:rsidP="009F6578">
      <w:pPr>
        <w:pStyle w:val="CETemail"/>
        <w:rPr>
          <w:rFonts w:cstheme="minorHAnsi"/>
          <w:lang w:val="en-US"/>
        </w:rPr>
      </w:pPr>
      <w:r w:rsidRPr="005E0512">
        <w:rPr>
          <w:rFonts w:cs="Arial"/>
          <w:sz w:val="18"/>
          <w:lang w:val="en-US"/>
        </w:rPr>
        <w:t>*</w:t>
      </w:r>
      <w:r w:rsidRPr="005E0512">
        <w:rPr>
          <w:rFonts w:cs="Arial"/>
          <w:lang w:val="en-US"/>
        </w:rPr>
        <w:t>yurany.camacho01@uptc.edu.co</w:t>
      </w:r>
    </w:p>
    <w:p w14:paraId="3C1D2A92" w14:textId="63A37BEA" w:rsidR="002B248E" w:rsidRPr="00BF17D5" w:rsidRDefault="00B16C1E" w:rsidP="002B248E">
      <w:pPr>
        <w:pStyle w:val="CETBodytext"/>
      </w:pPr>
      <w:r w:rsidRPr="00E14FDC">
        <w:t>The search for alternative energy sources to diversify and expand the renewable energy matrix has intensified in recent years, both in Brazil and worldwide</w:t>
      </w:r>
      <w:r w:rsidR="002B248E" w:rsidRPr="00E14FDC">
        <w:t>. Consequently</w:t>
      </w:r>
      <w:r w:rsidR="002B248E" w:rsidRPr="00BF17D5">
        <w:t xml:space="preserve">, the interest in biomass as an energy source has grown significantly. Various </w:t>
      </w:r>
      <w:r w:rsidR="002B248E">
        <w:t xml:space="preserve">biomass </w:t>
      </w:r>
      <w:r w:rsidR="002B248E" w:rsidRPr="00BF17D5">
        <w:t>conversion methods can be applied, including biochemical routes such as anaerobic digestion and alcohol fermentation, and thermochemical routes such as combustion, pyrolysis, and gasification. In the state of Maranhão, Brazil, agricultural residues are abundant, particularly babassu coconut shells and açaí seeds</w:t>
      </w:r>
      <w:r w:rsidR="000D050F">
        <w:t>.</w:t>
      </w:r>
      <w:r w:rsidR="002B248E" w:rsidRPr="00BF17D5">
        <w:t xml:space="preserve"> These residues are traditionally used for babassu nut oil extraction and açaí pulp production. Within this context, the present study aimed to evaluate the products generated from biomass gasification using babassu coconut shells and açaí seeds as feedstocks, </w:t>
      </w:r>
      <w:r w:rsidR="005B5821">
        <w:t>to produce</w:t>
      </w:r>
      <w:r w:rsidR="002B248E" w:rsidRPr="00BF17D5">
        <w:t xml:space="preserve"> energy and </w:t>
      </w:r>
      <w:r w:rsidR="005B5821">
        <w:t>high-value-added</w:t>
      </w:r>
      <w:r w:rsidR="002B248E" w:rsidRPr="00BF17D5">
        <w:t xml:space="preserve"> by-products. The study was conducted through computer simulations using Aspen Plus software (version 8.8). The chemical compositions of each biomass were adapted and implemented in the simulator’s standard model. The gasification process was simulated, yielding 78.52% gas, 15.34% liquid, and 6.14% solid for babassu coconut shells. For açaí seeds, the yields were 79.04% gas, 15% liquid, and 5.95% solid. In the gas phase, syngas concentrations reached 64.23% for babassu shells and 60.81% for açaí seeds. The results demonstrate that both biomasses, when applied to the gasifier model, can accurately predict the final composition of the product gas, confirming their substantial energy potential.</w:t>
      </w:r>
    </w:p>
    <w:p w14:paraId="45F6F409" w14:textId="77777777" w:rsidR="002B248E" w:rsidRPr="00BF17D5" w:rsidRDefault="002B248E" w:rsidP="002B248E">
      <w:pPr>
        <w:pStyle w:val="CETBodytext"/>
      </w:pPr>
    </w:p>
    <w:p w14:paraId="2DFCE4AC" w14:textId="704374EA" w:rsidR="002B248E" w:rsidRPr="000C5A75" w:rsidRDefault="005B5821" w:rsidP="000C5A75">
      <w:pPr>
        <w:pStyle w:val="CETBodytext"/>
      </w:pPr>
      <w:r>
        <w:rPr>
          <w:b/>
        </w:rPr>
        <w:t>Keywords</w:t>
      </w:r>
      <w:r w:rsidR="002B248E" w:rsidRPr="000C5A75">
        <w:rPr>
          <w:b/>
        </w:rPr>
        <w:t>:</w:t>
      </w:r>
      <w:r w:rsidR="002B248E" w:rsidRPr="000C5A75">
        <w:t xml:space="preserve"> açaí, babassu coconut, gasification, Aspen Plus</w:t>
      </w:r>
    </w:p>
    <w:p w14:paraId="476B2F2E" w14:textId="77777777" w:rsidR="00600535" w:rsidRPr="00B57B36" w:rsidRDefault="00600535" w:rsidP="00600535">
      <w:pPr>
        <w:pStyle w:val="CETHeading1"/>
        <w:rPr>
          <w:lang w:val="en-GB"/>
        </w:rPr>
      </w:pPr>
      <w:r w:rsidRPr="00B57B36">
        <w:rPr>
          <w:lang w:val="en-GB"/>
        </w:rPr>
        <w:t>Introduction</w:t>
      </w:r>
    </w:p>
    <w:p w14:paraId="6BFB520A" w14:textId="65C39151" w:rsidR="00D72622" w:rsidRDefault="00A14C28" w:rsidP="00A14C28">
      <w:pPr>
        <w:pStyle w:val="CETBodytext"/>
        <w:rPr>
          <w:lang w:val="en-GB"/>
        </w:rPr>
      </w:pPr>
      <w:r w:rsidRPr="00A14C28">
        <w:rPr>
          <w:lang w:val="en-GB"/>
        </w:rPr>
        <w:t xml:space="preserve">The excessive use of fossil fuels has generated negative environmental impacts, </w:t>
      </w:r>
      <w:r w:rsidR="001D5051">
        <w:rPr>
          <w:lang w:val="en-GB"/>
        </w:rPr>
        <w:t>motivating the transition to renewable sources,</w:t>
      </w:r>
      <w:r w:rsidRPr="00A14C28">
        <w:rPr>
          <w:lang w:val="en-GB"/>
        </w:rPr>
        <w:t xml:space="preserve"> such </w:t>
      </w:r>
      <w:r w:rsidRPr="00E14FDC">
        <w:rPr>
          <w:lang w:val="en-GB"/>
        </w:rPr>
        <w:t>as biomass.</w:t>
      </w:r>
      <w:r w:rsidR="00227FC8" w:rsidRPr="00E14FDC">
        <w:rPr>
          <w:lang w:val="en-GB"/>
        </w:rPr>
        <w:t xml:space="preserve"> </w:t>
      </w:r>
      <w:r w:rsidRPr="00E14FDC">
        <w:rPr>
          <w:lang w:val="en-GB"/>
        </w:rPr>
        <w:t xml:space="preserve">Biomass is considered a primary source of renewable energy, </w:t>
      </w:r>
      <w:r w:rsidR="001D5051" w:rsidRPr="00E14FDC">
        <w:rPr>
          <w:lang w:val="en-GB"/>
        </w:rPr>
        <w:t>comprising</w:t>
      </w:r>
      <w:r w:rsidRPr="00E14FDC">
        <w:rPr>
          <w:lang w:val="en-GB"/>
        </w:rPr>
        <w:t xml:space="preserve"> all organic matter of animal or plant origin (EPE, 2018).</w:t>
      </w:r>
      <w:r w:rsidR="00227FC8" w:rsidRPr="00E14FDC">
        <w:rPr>
          <w:lang w:val="en-GB"/>
        </w:rPr>
        <w:t xml:space="preserve"> </w:t>
      </w:r>
      <w:r w:rsidR="00C025D0" w:rsidRPr="00E14FDC">
        <w:rPr>
          <w:lang w:val="en-GB"/>
        </w:rPr>
        <w:t>It is increasingly used as a raw material to meet global energy demand sustainably, particularly for heat and electricity generation</w:t>
      </w:r>
      <w:r w:rsidR="005F60DC" w:rsidRPr="00E14FDC">
        <w:rPr>
          <w:lang w:val="en-GB"/>
        </w:rPr>
        <w:t xml:space="preserve"> and </w:t>
      </w:r>
      <w:r w:rsidR="001D5051" w:rsidRPr="00E14FDC">
        <w:rPr>
          <w:lang w:val="en-GB"/>
        </w:rPr>
        <w:t>to produce</w:t>
      </w:r>
      <w:r w:rsidRPr="00E14FDC">
        <w:rPr>
          <w:lang w:val="en-GB"/>
        </w:rPr>
        <w:t xml:space="preserve"> fuels, solvents</w:t>
      </w:r>
      <w:r w:rsidR="005B5821" w:rsidRPr="00E14FDC">
        <w:rPr>
          <w:lang w:val="en-GB"/>
        </w:rPr>
        <w:t>,</w:t>
      </w:r>
      <w:r w:rsidRPr="00E14FDC">
        <w:rPr>
          <w:lang w:val="en-GB"/>
        </w:rPr>
        <w:t xml:space="preserve"> and other industrial inputs </w:t>
      </w:r>
      <w:r w:rsidRPr="00E14FDC">
        <w:rPr>
          <w:lang w:eastAsia="es-ES"/>
        </w:rPr>
        <w:t>(</w:t>
      </w:r>
      <w:r w:rsidR="00BE4BD0" w:rsidRPr="00E14FDC">
        <w:rPr>
          <w:lang w:eastAsia="es-ES"/>
        </w:rPr>
        <w:t>Rocha and Andrade</w:t>
      </w:r>
      <w:r w:rsidRPr="00E14FDC">
        <w:rPr>
          <w:lang w:eastAsia="es-ES"/>
        </w:rPr>
        <w:t>, 2013).</w:t>
      </w:r>
      <w:r w:rsidR="00467924" w:rsidRPr="00E14FDC">
        <w:rPr>
          <w:lang w:eastAsia="es-ES"/>
        </w:rPr>
        <w:t xml:space="preserve"> </w:t>
      </w:r>
      <w:r w:rsidR="00227FC8" w:rsidRPr="00E14FDC">
        <w:t>Currently, there has been attention directed toward the utilization of residual biomass for energy purposes, for example, citing two abundant</w:t>
      </w:r>
      <w:r w:rsidR="00227FC8" w:rsidRPr="00227FC8">
        <w:t xml:space="preserve"> sources in the state of Maranhão, Brazil, </w:t>
      </w:r>
      <w:r w:rsidR="005B5821">
        <w:t>such as</w:t>
      </w:r>
      <w:r w:rsidR="00227FC8" w:rsidRPr="00227FC8">
        <w:t xml:space="preserve"> biomass from coconut</w:t>
      </w:r>
      <w:r w:rsidR="005B5821">
        <w:t>,</w:t>
      </w:r>
      <w:r w:rsidR="00227FC8" w:rsidRPr="00227FC8">
        <w:t xml:space="preserve"> babaçu</w:t>
      </w:r>
      <w:r w:rsidR="005B5821">
        <w:t>,</w:t>
      </w:r>
      <w:r w:rsidR="00227FC8" w:rsidRPr="00227FC8">
        <w:t xml:space="preserve"> and açaí.</w:t>
      </w:r>
      <w:r w:rsidR="00D556B3">
        <w:t xml:space="preserve"> </w:t>
      </w:r>
      <w:r w:rsidR="00A20248" w:rsidRPr="00A20248">
        <w:t>The babassu coconut consists of four usable parts: the husk, which is formed by the epicarp (11%), mesocarp (23%)</w:t>
      </w:r>
      <w:r w:rsidR="005B5821">
        <w:t>,</w:t>
      </w:r>
      <w:r w:rsidR="00A20248" w:rsidRPr="00A20248">
        <w:t xml:space="preserve"> and endocarp (59%), and kernels (7%). However, 93% of the husk is normally wasted during manual breaking processes (EMBRAPA, 1984).</w:t>
      </w:r>
      <w:r w:rsidR="00E07B38">
        <w:t xml:space="preserve"> </w:t>
      </w:r>
      <w:r w:rsidR="00E07B38" w:rsidRPr="00E07B38">
        <w:t>Regarding açaí, the seed has shown promise for energy production, being the main byproduct in pulp production</w:t>
      </w:r>
      <w:r w:rsidR="00D72622">
        <w:t xml:space="preserve">, representing 83% of the fruit </w:t>
      </w:r>
      <w:r w:rsidR="00CD0687">
        <w:t xml:space="preserve">(Lins et al., 2017). </w:t>
      </w:r>
      <w:r w:rsidR="00D72622" w:rsidRPr="00D72622">
        <w:rPr>
          <w:lang w:val="en-GB"/>
        </w:rPr>
        <w:t>The products obtained from biomass conversion, which can have considerable energy potential, depend on the characteristics of the raw material and the processing technology used.</w:t>
      </w:r>
      <w:r w:rsidR="00CD0687">
        <w:rPr>
          <w:lang w:val="en-GB"/>
        </w:rPr>
        <w:t xml:space="preserve"> </w:t>
      </w:r>
      <w:r w:rsidR="00D72622" w:rsidRPr="00E14FDC">
        <w:rPr>
          <w:lang w:val="en-GB"/>
        </w:rPr>
        <w:t xml:space="preserve">The utilization of these residues can be done through thermochemical processes (such as combustion, pyrolysis, gasification, and liquefaction), aiming at adding value to the fruit, as well as minimizing the environmental impacts associated with its non-processing. </w:t>
      </w:r>
      <w:r w:rsidR="006C2531" w:rsidRPr="00E14FDC">
        <w:rPr>
          <w:lang w:val="en-GB"/>
        </w:rPr>
        <w:t>Gasification plays a crucial role in addressing future global energy demands</w:t>
      </w:r>
      <w:r w:rsidR="00D72622" w:rsidRPr="00E14FDC">
        <w:rPr>
          <w:lang w:val="en-GB"/>
        </w:rPr>
        <w:t xml:space="preserve"> (Tezer, 2022).</w:t>
      </w:r>
    </w:p>
    <w:p w14:paraId="2BDBA85F" w14:textId="34500EC0" w:rsidR="00BF3012" w:rsidRDefault="00BF3012" w:rsidP="00A14C28">
      <w:pPr>
        <w:pStyle w:val="CETBodytext"/>
      </w:pPr>
      <w:r w:rsidRPr="00BF3012">
        <w:rPr>
          <w:lang w:val="en-GB"/>
        </w:rPr>
        <w:lastRenderedPageBreak/>
        <w:t>In gasification, temperatures are between 800 and 1000 °C</w:t>
      </w:r>
      <w:r w:rsidR="005B5821">
        <w:rPr>
          <w:lang w:val="en-GB"/>
        </w:rPr>
        <w:t>,</w:t>
      </w:r>
      <w:r w:rsidRPr="00BF3012">
        <w:rPr>
          <w:lang w:val="en-GB"/>
        </w:rPr>
        <w:t xml:space="preserve"> and with a relatively low presence of oxidizing agent, the highest yields are obtained in the gas phase (</w:t>
      </w:r>
      <w:r w:rsidR="004F7149">
        <w:rPr>
          <w:lang w:val="en-GB"/>
        </w:rPr>
        <w:t>Maitlo et al., 2022; Figueroa et al</w:t>
      </w:r>
      <w:r w:rsidR="00762C05">
        <w:rPr>
          <w:lang w:val="en-GB"/>
        </w:rPr>
        <w:t>., 2013</w:t>
      </w:r>
      <w:r w:rsidRPr="00BF3012">
        <w:rPr>
          <w:lang w:val="en-GB"/>
        </w:rPr>
        <w:t>).</w:t>
      </w:r>
      <w:r w:rsidR="00CD0687">
        <w:rPr>
          <w:lang w:val="en-GB"/>
        </w:rPr>
        <w:t xml:space="preserve"> </w:t>
      </w:r>
      <w:r w:rsidRPr="00BF3012">
        <w:rPr>
          <w:lang w:val="en-GB"/>
        </w:rPr>
        <w:t xml:space="preserve">Syngas, also called synthesis gas, is one of the main products of </w:t>
      </w:r>
      <w:r w:rsidRPr="00285C35">
        <w:rPr>
          <w:lang w:val="en-GB"/>
        </w:rPr>
        <w:t>gasification (</w:t>
      </w:r>
      <w:r w:rsidR="00285C35" w:rsidRPr="00285C35">
        <w:rPr>
          <w:lang w:val="en-GB"/>
        </w:rPr>
        <w:t>Camacho-</w:t>
      </w:r>
      <w:r w:rsidR="00FB014C" w:rsidRPr="00285C35">
        <w:rPr>
          <w:lang w:val="en-GB"/>
        </w:rPr>
        <w:t>Ardila et al., 2025</w:t>
      </w:r>
      <w:r w:rsidRPr="00285C35">
        <w:rPr>
          <w:lang w:val="en-GB"/>
        </w:rPr>
        <w:t>).</w:t>
      </w:r>
      <w:r w:rsidR="00CD0687" w:rsidRPr="00285C35">
        <w:rPr>
          <w:lang w:val="en-GB"/>
        </w:rPr>
        <w:t xml:space="preserve"> </w:t>
      </w:r>
      <w:r w:rsidRPr="00285C35">
        <w:t>It has</w:t>
      </w:r>
      <w:r w:rsidRPr="00BF3012">
        <w:t xml:space="preserve"> received considerable attention, as it is the basic input </w:t>
      </w:r>
      <w:r w:rsidR="00FA6A64" w:rsidRPr="00BF3012">
        <w:t>to produce</w:t>
      </w:r>
      <w:r w:rsidRPr="00BF3012">
        <w:t xml:space="preserve"> other </w:t>
      </w:r>
      <w:r w:rsidR="005B5821">
        <w:t>high-value-added</w:t>
      </w:r>
      <w:r w:rsidRPr="00BF3012">
        <w:t xml:space="preserve"> products through Fischer-Tropsch synthesis and fermentation processes (</w:t>
      </w:r>
      <w:r w:rsidRPr="00440C3E">
        <w:t>E</w:t>
      </w:r>
      <w:r w:rsidR="00440C3E" w:rsidRPr="00440C3E">
        <w:t>ichler</w:t>
      </w:r>
      <w:r w:rsidRPr="00440C3E">
        <w:t xml:space="preserve"> et al., 2015</w:t>
      </w:r>
      <w:r w:rsidRPr="00BF3012">
        <w:t>).</w:t>
      </w:r>
      <w:r w:rsidR="00FB014C">
        <w:t xml:space="preserve"> </w:t>
      </w:r>
      <w:r w:rsidRPr="00BF3012">
        <w:t xml:space="preserve">Given the growing demand for cleaner, renewable, and sustainable energy sources, and knowing that biomass has great potential to meet these demands, it is relevant to investigate the use of biomass, especially the </w:t>
      </w:r>
      <w:r w:rsidR="001D5051" w:rsidRPr="00BF3012">
        <w:t>agricultural</w:t>
      </w:r>
      <w:r w:rsidRPr="00BF3012">
        <w:t xml:space="preserve"> residues from Maranhão, in thermochemical processes and to evaluate the products generated.</w:t>
      </w:r>
      <w:r w:rsidR="00F71642">
        <w:t xml:space="preserve"> T</w:t>
      </w:r>
      <w:r w:rsidR="00F71642" w:rsidRPr="00F71642">
        <w:t xml:space="preserve">his work evaluates the </w:t>
      </w:r>
      <w:r w:rsidR="00F71642" w:rsidRPr="000A4CFE">
        <w:t>potential of using açaí seeds and babaçu coconut husks, simulated in the Aspen Plus software, to obtain higher value-added products, such as synthesis gas.</w:t>
      </w:r>
    </w:p>
    <w:p w14:paraId="510A1713" w14:textId="0FDF7836" w:rsidR="00482DD4" w:rsidRPr="000A4CFE" w:rsidRDefault="00482DD4" w:rsidP="00A14C28">
      <w:pPr>
        <w:pStyle w:val="CETBodytext"/>
      </w:pPr>
      <w:r w:rsidRPr="00482DD4">
        <w:t>Maranhão is a state located in the northeastern region of Brazil, characterized by a strong agricultural economy and significant production of biomass residues. The region presents high availability of agroindustrial waste, particularly from babassu coconut and açaí processing, which are widely consumed and industrialized. Despite this abundance, a large portion of these residues remains underutilized, leading to environmental and disposal challenges. Therefore, the selection of Maranhão as a case study is justified by its high biomass availability and the potential for developing sustainable energy solutions based on local resources.</w:t>
      </w:r>
    </w:p>
    <w:p w14:paraId="0178FCB5" w14:textId="77777777" w:rsidR="000A4CFE" w:rsidRPr="000A4CFE" w:rsidRDefault="000A4CFE" w:rsidP="000A4CFE">
      <w:pPr>
        <w:pStyle w:val="CETHeading1"/>
        <w:tabs>
          <w:tab w:val="right" w:pos="7100"/>
        </w:tabs>
        <w:jc w:val="both"/>
        <w:rPr>
          <w:lang w:val="en-GB"/>
        </w:rPr>
      </w:pPr>
      <w:r w:rsidRPr="000A4CFE">
        <w:rPr>
          <w:lang w:val="en-GB"/>
        </w:rPr>
        <w:t>Simulation</w:t>
      </w:r>
    </w:p>
    <w:p w14:paraId="2A89D625" w14:textId="77777777" w:rsidR="0056324A" w:rsidRPr="00E14FDC" w:rsidRDefault="000A4CFE" w:rsidP="000A4CFE">
      <w:pPr>
        <w:pStyle w:val="CETBodytext"/>
        <w:rPr>
          <w:lang w:val="en-GB"/>
        </w:rPr>
      </w:pPr>
      <w:r w:rsidRPr="000A4CFE">
        <w:rPr>
          <w:lang w:val="en-GB"/>
        </w:rPr>
        <w:t xml:space="preserve">The Aspen Plus simulator was the software used to simulate the gasification process of babassu coconut shells and açaí seeds. The components used in the simulation were divided into solids, unconventional components, </w:t>
      </w:r>
      <w:r w:rsidRPr="00E14FDC">
        <w:rPr>
          <w:lang w:val="en-GB"/>
        </w:rPr>
        <w:t>and conventional components. The conventional components included the gas phase with H</w:t>
      </w:r>
      <w:r w:rsidRPr="00E14FDC">
        <w:rPr>
          <w:vertAlign w:val="subscript"/>
          <w:lang w:val="en-GB"/>
        </w:rPr>
        <w:t>2</w:t>
      </w:r>
      <w:r w:rsidRPr="00E14FDC">
        <w:rPr>
          <w:lang w:val="en-GB"/>
        </w:rPr>
        <w:t>, CO, CO</w:t>
      </w:r>
      <w:r w:rsidRPr="00E14FDC">
        <w:rPr>
          <w:vertAlign w:val="subscript"/>
          <w:lang w:val="en-GB"/>
        </w:rPr>
        <w:t>2</w:t>
      </w:r>
      <w:r w:rsidRPr="00E14FDC">
        <w:rPr>
          <w:lang w:val="en-GB"/>
        </w:rPr>
        <w:t>, CH</w:t>
      </w:r>
      <w:r w:rsidRPr="00E14FDC">
        <w:rPr>
          <w:vertAlign w:val="subscript"/>
          <w:lang w:val="en-GB"/>
        </w:rPr>
        <w:t>4</w:t>
      </w:r>
      <w:r w:rsidRPr="00E14FDC">
        <w:rPr>
          <w:lang w:val="en-GB"/>
        </w:rPr>
        <w:t>, and H</w:t>
      </w:r>
      <w:r w:rsidRPr="00E14FDC">
        <w:rPr>
          <w:vertAlign w:val="subscript"/>
          <w:lang w:val="en-GB"/>
        </w:rPr>
        <w:t>2</w:t>
      </w:r>
      <w:r w:rsidRPr="00E14FDC">
        <w:rPr>
          <w:lang w:val="en-GB"/>
        </w:rPr>
        <w:t>O; benzene was used for tar; unconventional components included char, biomass, and ash; and carbon was used as a solid component. The RK-SOAVE (Redlich-Kwong-Soave) method, which is suitable for nonpolar or slightly polar mixtures such as hydrocarbons and light gases (ASPEN TECHNOLOGY INC., 2013), was used to determine the thermodynamic properties of the conventional components.</w:t>
      </w:r>
      <w:r w:rsidR="009201A6" w:rsidRPr="00E14FDC">
        <w:rPr>
          <w:lang w:val="en-GB"/>
        </w:rPr>
        <w:t xml:space="preserve"> </w:t>
      </w:r>
    </w:p>
    <w:p w14:paraId="3273D5A0" w14:textId="4EEBF8F0" w:rsidR="000A4CFE" w:rsidRDefault="0056324A" w:rsidP="000A4CFE">
      <w:pPr>
        <w:pStyle w:val="CETBodytext"/>
        <w:rPr>
          <w:lang w:val="en-GB"/>
        </w:rPr>
      </w:pPr>
      <w:r w:rsidRPr="00E14FDC">
        <w:rPr>
          <w:lang w:val="en-GB"/>
        </w:rPr>
        <w:t>In this simulation, Tar was represented by benzene (C</w:t>
      </w:r>
      <w:r w:rsidRPr="00E14FDC">
        <w:rPr>
          <w:vertAlign w:val="subscript"/>
          <w:lang w:val="en-GB"/>
        </w:rPr>
        <w:t>6</w:t>
      </w:r>
      <w:r w:rsidRPr="00E14FDC">
        <w:rPr>
          <w:lang w:val="en-GB"/>
        </w:rPr>
        <w:t>H</w:t>
      </w:r>
      <w:r w:rsidRPr="00E14FDC">
        <w:rPr>
          <w:vertAlign w:val="subscript"/>
          <w:lang w:val="en-GB"/>
        </w:rPr>
        <w:t>6</w:t>
      </w:r>
      <w:r w:rsidRPr="00E14FDC">
        <w:rPr>
          <w:lang w:val="en-GB"/>
        </w:rPr>
        <w:t xml:space="preserve">) as a model compound, following common simplifications adopted in Aspen Plus-based gasification </w:t>
      </w:r>
      <w:r w:rsidR="006371F8" w:rsidRPr="00E14FDC">
        <w:rPr>
          <w:lang w:val="en-GB"/>
        </w:rPr>
        <w:t>studies. A</w:t>
      </w:r>
      <w:r w:rsidR="009201A6" w:rsidRPr="00E14FDC">
        <w:rPr>
          <w:lang w:val="en-GB"/>
        </w:rPr>
        <w:t xml:space="preserve"> </w:t>
      </w:r>
      <w:r w:rsidR="00074053" w:rsidRPr="00E14FDC">
        <w:rPr>
          <w:lang w:val="en-GB"/>
        </w:rPr>
        <w:t xml:space="preserve">Technology </w:t>
      </w:r>
      <w:r w:rsidR="009201A6" w:rsidRPr="00E14FDC">
        <w:rPr>
          <w:lang w:val="en-GB"/>
        </w:rPr>
        <w:t>equivalence ratio (ER) value of 0.25 was considered, which is within the typical range for biomass gasification processes reported in the literature.</w:t>
      </w:r>
    </w:p>
    <w:p w14:paraId="61DA6815" w14:textId="77777777" w:rsidR="007A6986" w:rsidRPr="006E217F" w:rsidRDefault="007A6986" w:rsidP="006F4BC7">
      <w:pPr>
        <w:pStyle w:val="CETheadingx"/>
      </w:pPr>
      <w:r w:rsidRPr="006E217F">
        <w:t>Biomass characterization</w:t>
      </w:r>
    </w:p>
    <w:p w14:paraId="12D7E538" w14:textId="20D47877" w:rsidR="007A6986" w:rsidRDefault="002868A1" w:rsidP="007A6986">
      <w:r w:rsidRPr="002868A1">
        <w:rPr>
          <w:lang w:val="en-US"/>
        </w:rPr>
        <w:t>Table 1 presents the characterization of the biomass according to its proximate and elemental analysis. The information regarding the proximate analysis was obtained through the work of LIMA 2017 carried out in the laboratories of UFMA, considering the moisture, volatile matter, ash, and fixed carbon content according to ASTM standards E871-82, D3175-11, E1534-93, and D3172-13.</w:t>
      </w:r>
      <w:r>
        <w:rPr>
          <w:lang w:val="en-US"/>
        </w:rPr>
        <w:t xml:space="preserve"> </w:t>
      </w:r>
      <w:r w:rsidRPr="006E217F">
        <w:t>Subsequently, the correlations of Ardila et al. (2024) were used for the elemental compositions of C, H, and O of each of the biomasses, and N was calculated by difference. For the higher heating value, the correlation of Yin (2011) was used in its elemental analysis. The HCOALGEN and DCOALIGT models were employed to calculate the enthalpy and density, respectively, of all non-conventional components</w:t>
      </w:r>
      <w:r w:rsidR="00CA0930">
        <w:t>.</w:t>
      </w:r>
    </w:p>
    <w:p w14:paraId="121E2BCC" w14:textId="77777777" w:rsidR="00CA0930" w:rsidRPr="002868A1" w:rsidRDefault="00CA0930" w:rsidP="007A6986">
      <w:pPr>
        <w:rPr>
          <w:lang w:val="en-US"/>
        </w:rPr>
      </w:pPr>
    </w:p>
    <w:p w14:paraId="41BD6EE1" w14:textId="6605834B" w:rsidR="00646F24" w:rsidRDefault="00986DE8" w:rsidP="00646F24">
      <w:pPr>
        <w:rPr>
          <w:lang w:val="en-US"/>
        </w:rPr>
      </w:pPr>
      <w:r w:rsidRPr="00F539AE">
        <w:rPr>
          <w:lang w:val="en-US"/>
        </w:rPr>
        <w:t xml:space="preserve">Table 1. </w:t>
      </w:r>
      <w:r w:rsidR="00646F24" w:rsidRPr="00F539AE">
        <w:rPr>
          <w:lang w:val="en-US"/>
        </w:rPr>
        <w:t>Proximate</w:t>
      </w:r>
      <w:r w:rsidR="00646F24" w:rsidRPr="006E217F">
        <w:rPr>
          <w:lang w:val="en-US"/>
        </w:rPr>
        <w:t xml:space="preserve"> and ultimate analysis of biomasses used in the simulation</w:t>
      </w:r>
    </w:p>
    <w:p w14:paraId="7C8AC29D" w14:textId="77777777" w:rsidR="000010F6" w:rsidRPr="006E217F" w:rsidRDefault="000010F6" w:rsidP="00646F24">
      <w:pPr>
        <w:rPr>
          <w:lang w:val="en-US"/>
        </w:rPr>
      </w:pPr>
    </w:p>
    <w:tbl>
      <w:tblPr>
        <w:tblStyle w:val="Tablaconcuadrcula"/>
        <w:tblW w:w="7513" w:type="dxa"/>
        <w:tblLayout w:type="fixed"/>
        <w:tblLook w:val="04A0" w:firstRow="1" w:lastRow="0" w:firstColumn="1" w:lastColumn="0" w:noHBand="0" w:noVBand="1"/>
      </w:tblPr>
      <w:tblGrid>
        <w:gridCol w:w="1772"/>
        <w:gridCol w:w="71"/>
        <w:gridCol w:w="992"/>
        <w:gridCol w:w="851"/>
        <w:gridCol w:w="850"/>
        <w:gridCol w:w="709"/>
        <w:gridCol w:w="709"/>
        <w:gridCol w:w="709"/>
        <w:gridCol w:w="850"/>
      </w:tblGrid>
      <w:tr w:rsidR="00400AD8" w:rsidRPr="00583355" w14:paraId="754215CD" w14:textId="6E8D5B9B" w:rsidTr="00400AD8">
        <w:tc>
          <w:tcPr>
            <w:tcW w:w="1772" w:type="dxa"/>
            <w:vMerge w:val="restart"/>
            <w:tcBorders>
              <w:top w:val="single" w:sz="18" w:space="0" w:color="00B050"/>
              <w:left w:val="nil"/>
              <w:right w:val="nil"/>
            </w:tcBorders>
            <w:vAlign w:val="center"/>
          </w:tcPr>
          <w:p w14:paraId="3F54312C" w14:textId="76E57428" w:rsidR="00400AD8" w:rsidRPr="00D065BF" w:rsidRDefault="00074053" w:rsidP="000F140B">
            <w:pPr>
              <w:pStyle w:val="CETBodytext"/>
              <w:jc w:val="left"/>
              <w:rPr>
                <w:rFonts w:eastAsia="Arial Unicode MS"/>
                <w:vertAlign w:val="superscript"/>
              </w:rPr>
            </w:pPr>
            <w:r>
              <w:rPr>
                <w:rFonts w:eastAsia="Arial Unicode MS"/>
              </w:rPr>
              <w:t>Biomass</w:t>
            </w:r>
          </w:p>
        </w:tc>
        <w:tc>
          <w:tcPr>
            <w:tcW w:w="2764" w:type="dxa"/>
            <w:gridSpan w:val="4"/>
            <w:tcBorders>
              <w:top w:val="single" w:sz="18" w:space="0" w:color="00B050"/>
              <w:left w:val="nil"/>
              <w:bottom w:val="single" w:sz="18" w:space="0" w:color="00B050"/>
              <w:right w:val="nil"/>
            </w:tcBorders>
          </w:tcPr>
          <w:p w14:paraId="795859B6" w14:textId="2D0DE684" w:rsidR="00400AD8" w:rsidRPr="00583355" w:rsidRDefault="00400AD8" w:rsidP="00AE270A">
            <w:pPr>
              <w:pStyle w:val="CETBodytext"/>
              <w:rPr>
                <w:rFonts w:eastAsia="Arial Unicode MS"/>
              </w:rPr>
            </w:pPr>
            <w:r w:rsidRPr="00583355">
              <w:rPr>
                <w:rFonts w:eastAsia="Arial Unicode MS"/>
              </w:rPr>
              <w:t>Proximate (dry basis-w/w%)</w:t>
            </w:r>
          </w:p>
        </w:tc>
        <w:tc>
          <w:tcPr>
            <w:tcW w:w="2977" w:type="dxa"/>
            <w:gridSpan w:val="4"/>
            <w:tcBorders>
              <w:top w:val="single" w:sz="18" w:space="0" w:color="00B050"/>
              <w:left w:val="nil"/>
              <w:bottom w:val="single" w:sz="18" w:space="0" w:color="00B050"/>
              <w:right w:val="nil"/>
            </w:tcBorders>
            <w:vAlign w:val="bottom"/>
          </w:tcPr>
          <w:p w14:paraId="4000332F" w14:textId="462E0E20" w:rsidR="00400AD8" w:rsidRPr="00583355" w:rsidRDefault="00400AD8" w:rsidP="00AE270A">
            <w:pPr>
              <w:pStyle w:val="CETBodytext"/>
              <w:rPr>
                <w:rFonts w:eastAsia="Arial Unicode MS"/>
              </w:rPr>
            </w:pPr>
            <w:r w:rsidRPr="00583355">
              <w:rPr>
                <w:rFonts w:eastAsia="Arial Unicode MS"/>
              </w:rPr>
              <w:t>Ultimate (dry basis-w/w%)</w:t>
            </w:r>
          </w:p>
        </w:tc>
      </w:tr>
      <w:tr w:rsidR="00400AD8" w:rsidRPr="00583355" w14:paraId="14351480" w14:textId="62B85EE0" w:rsidTr="00400AD8">
        <w:tc>
          <w:tcPr>
            <w:tcW w:w="1772" w:type="dxa"/>
            <w:vMerge/>
            <w:tcBorders>
              <w:left w:val="nil"/>
              <w:bottom w:val="single" w:sz="18" w:space="0" w:color="00B050"/>
              <w:right w:val="nil"/>
            </w:tcBorders>
          </w:tcPr>
          <w:p w14:paraId="2BFAD6B5" w14:textId="77777777" w:rsidR="00400AD8" w:rsidRPr="00583355" w:rsidRDefault="00400AD8" w:rsidP="00AE270A">
            <w:pPr>
              <w:pStyle w:val="CETBodytext"/>
              <w:rPr>
                <w:rFonts w:eastAsia="Arial Unicode MS"/>
              </w:rPr>
            </w:pPr>
          </w:p>
        </w:tc>
        <w:tc>
          <w:tcPr>
            <w:tcW w:w="1063" w:type="dxa"/>
            <w:gridSpan w:val="2"/>
            <w:tcBorders>
              <w:top w:val="single" w:sz="18" w:space="0" w:color="00B050"/>
              <w:left w:val="nil"/>
              <w:bottom w:val="single" w:sz="18" w:space="0" w:color="00B050"/>
              <w:right w:val="nil"/>
            </w:tcBorders>
          </w:tcPr>
          <w:p w14:paraId="510BB379" w14:textId="184D763A" w:rsidR="00400AD8" w:rsidRPr="00583355" w:rsidRDefault="00400AD8" w:rsidP="000F140B">
            <w:pPr>
              <w:pStyle w:val="CETBodytext"/>
              <w:rPr>
                <w:rFonts w:eastAsia="Arial Unicode MS"/>
              </w:rPr>
            </w:pPr>
            <w:r>
              <w:rPr>
                <w:rFonts w:eastAsia="Arial Unicode MS"/>
              </w:rPr>
              <w:t>VM</w:t>
            </w:r>
          </w:p>
        </w:tc>
        <w:tc>
          <w:tcPr>
            <w:tcW w:w="851" w:type="dxa"/>
            <w:tcBorders>
              <w:top w:val="single" w:sz="18" w:space="0" w:color="00B050"/>
              <w:left w:val="nil"/>
              <w:bottom w:val="single" w:sz="18" w:space="0" w:color="00B050"/>
              <w:right w:val="nil"/>
            </w:tcBorders>
          </w:tcPr>
          <w:p w14:paraId="4BAB2742" w14:textId="77777777" w:rsidR="00400AD8" w:rsidRPr="00583355" w:rsidRDefault="00400AD8" w:rsidP="00AE270A">
            <w:pPr>
              <w:pStyle w:val="CETBodytext"/>
              <w:rPr>
                <w:rFonts w:eastAsia="Arial Unicode MS"/>
              </w:rPr>
            </w:pPr>
            <w:r>
              <w:rPr>
                <w:rFonts w:eastAsia="Arial Unicode MS"/>
              </w:rPr>
              <w:t>FC</w:t>
            </w:r>
          </w:p>
        </w:tc>
        <w:tc>
          <w:tcPr>
            <w:tcW w:w="850" w:type="dxa"/>
            <w:tcBorders>
              <w:top w:val="single" w:sz="18" w:space="0" w:color="00B050"/>
              <w:left w:val="nil"/>
              <w:bottom w:val="single" w:sz="18" w:space="0" w:color="00B050"/>
              <w:right w:val="nil"/>
            </w:tcBorders>
          </w:tcPr>
          <w:p w14:paraId="48F0FB01" w14:textId="4F0B5EFD" w:rsidR="00400AD8" w:rsidRPr="00583355" w:rsidRDefault="00400AD8" w:rsidP="00AE270A">
            <w:pPr>
              <w:pStyle w:val="CETBodytext"/>
              <w:rPr>
                <w:rFonts w:eastAsia="Arial Unicode MS"/>
              </w:rPr>
            </w:pPr>
            <w:r>
              <w:rPr>
                <w:rFonts w:eastAsia="Arial Unicode MS"/>
              </w:rPr>
              <w:t>Ash</w:t>
            </w:r>
          </w:p>
        </w:tc>
        <w:tc>
          <w:tcPr>
            <w:tcW w:w="709" w:type="dxa"/>
            <w:tcBorders>
              <w:top w:val="single" w:sz="18" w:space="0" w:color="00B050"/>
              <w:left w:val="nil"/>
              <w:bottom w:val="single" w:sz="18" w:space="0" w:color="00B050"/>
              <w:right w:val="nil"/>
            </w:tcBorders>
            <w:vAlign w:val="bottom"/>
          </w:tcPr>
          <w:p w14:paraId="48D51245" w14:textId="103285D6" w:rsidR="00400AD8" w:rsidRPr="00583355" w:rsidRDefault="00400AD8" w:rsidP="00AE270A">
            <w:pPr>
              <w:pStyle w:val="CETBodytext"/>
              <w:rPr>
                <w:rFonts w:eastAsia="Arial Unicode MS"/>
              </w:rPr>
            </w:pPr>
            <w:r>
              <w:rPr>
                <w:rFonts w:eastAsia="Arial Unicode MS"/>
              </w:rPr>
              <w:t>C</w:t>
            </w:r>
          </w:p>
        </w:tc>
        <w:tc>
          <w:tcPr>
            <w:tcW w:w="709" w:type="dxa"/>
            <w:tcBorders>
              <w:top w:val="single" w:sz="18" w:space="0" w:color="00B050"/>
              <w:left w:val="nil"/>
              <w:bottom w:val="single" w:sz="18" w:space="0" w:color="00B050"/>
              <w:right w:val="nil"/>
            </w:tcBorders>
            <w:vAlign w:val="bottom"/>
          </w:tcPr>
          <w:p w14:paraId="447CC578" w14:textId="4BC8AB96" w:rsidR="00400AD8" w:rsidRPr="00583355" w:rsidRDefault="00400AD8" w:rsidP="00400AD8">
            <w:pPr>
              <w:pStyle w:val="CETBodytext"/>
              <w:rPr>
                <w:rFonts w:eastAsia="Arial Unicode MS"/>
              </w:rPr>
            </w:pPr>
            <w:r>
              <w:rPr>
                <w:rFonts w:eastAsia="Arial Unicode MS"/>
              </w:rPr>
              <w:t>H</w:t>
            </w:r>
          </w:p>
        </w:tc>
        <w:tc>
          <w:tcPr>
            <w:tcW w:w="709" w:type="dxa"/>
            <w:tcBorders>
              <w:top w:val="single" w:sz="18" w:space="0" w:color="00B050"/>
              <w:left w:val="nil"/>
              <w:bottom w:val="single" w:sz="18" w:space="0" w:color="00B050"/>
              <w:right w:val="nil"/>
            </w:tcBorders>
            <w:vAlign w:val="bottom"/>
          </w:tcPr>
          <w:p w14:paraId="6C48A0CB" w14:textId="3C1444E3" w:rsidR="00400AD8" w:rsidRDefault="00400AD8" w:rsidP="00AE270A">
            <w:pPr>
              <w:pStyle w:val="CETBodytext"/>
              <w:rPr>
                <w:rFonts w:eastAsia="Arial Unicode MS"/>
              </w:rPr>
            </w:pPr>
            <w:r>
              <w:rPr>
                <w:rFonts w:eastAsia="Arial Unicode MS"/>
              </w:rPr>
              <w:t>O</w:t>
            </w:r>
          </w:p>
        </w:tc>
        <w:tc>
          <w:tcPr>
            <w:tcW w:w="850" w:type="dxa"/>
            <w:tcBorders>
              <w:top w:val="single" w:sz="18" w:space="0" w:color="00B050"/>
              <w:left w:val="nil"/>
              <w:bottom w:val="single" w:sz="18" w:space="0" w:color="00B050"/>
              <w:right w:val="nil"/>
            </w:tcBorders>
          </w:tcPr>
          <w:p w14:paraId="561C982E" w14:textId="70A38DBB" w:rsidR="00400AD8" w:rsidRDefault="00400AD8" w:rsidP="00AE270A">
            <w:pPr>
              <w:pStyle w:val="CETBodytext"/>
              <w:rPr>
                <w:rFonts w:eastAsia="Arial Unicode MS"/>
              </w:rPr>
            </w:pPr>
            <w:r>
              <w:rPr>
                <w:rFonts w:eastAsia="Arial Unicode MS"/>
              </w:rPr>
              <w:t>N</w:t>
            </w:r>
          </w:p>
        </w:tc>
      </w:tr>
      <w:tr w:rsidR="00400AD8" w:rsidRPr="00583355" w14:paraId="609A5599" w14:textId="220710A1" w:rsidTr="006B2762">
        <w:tc>
          <w:tcPr>
            <w:tcW w:w="1843" w:type="dxa"/>
            <w:gridSpan w:val="2"/>
            <w:tcBorders>
              <w:top w:val="single" w:sz="18" w:space="0" w:color="00B050"/>
              <w:left w:val="nil"/>
              <w:bottom w:val="nil"/>
              <w:right w:val="nil"/>
            </w:tcBorders>
          </w:tcPr>
          <w:p w14:paraId="034B5F73" w14:textId="3BBFE2EB" w:rsidR="00400AD8" w:rsidRPr="00400AD8" w:rsidRDefault="000010F6" w:rsidP="006B2762">
            <w:pPr>
              <w:pStyle w:val="CETBodytext"/>
              <w:jc w:val="left"/>
              <w:rPr>
                <w:rFonts w:eastAsia="Arial Unicode MS"/>
                <w:highlight w:val="green"/>
              </w:rPr>
            </w:pPr>
            <w:r>
              <w:t>B</w:t>
            </w:r>
            <w:r w:rsidRPr="00BF17D5">
              <w:t>abassu shells</w:t>
            </w:r>
          </w:p>
        </w:tc>
        <w:tc>
          <w:tcPr>
            <w:tcW w:w="992" w:type="dxa"/>
            <w:tcBorders>
              <w:top w:val="single" w:sz="18" w:space="0" w:color="00B050"/>
              <w:left w:val="nil"/>
              <w:bottom w:val="nil"/>
              <w:right w:val="nil"/>
            </w:tcBorders>
          </w:tcPr>
          <w:p w14:paraId="7D99698F" w14:textId="64BFD8B7" w:rsidR="00400AD8" w:rsidRPr="00583355" w:rsidRDefault="00400AD8" w:rsidP="006B2762">
            <w:pPr>
              <w:pStyle w:val="CETBodytext"/>
              <w:jc w:val="left"/>
              <w:rPr>
                <w:rFonts w:eastAsia="Arial Unicode MS"/>
              </w:rPr>
            </w:pPr>
            <w:r>
              <w:rPr>
                <w:rFonts w:eastAsia="Arial Unicode MS"/>
              </w:rPr>
              <w:t>92.18</w:t>
            </w:r>
          </w:p>
        </w:tc>
        <w:tc>
          <w:tcPr>
            <w:tcW w:w="851" w:type="dxa"/>
            <w:tcBorders>
              <w:top w:val="single" w:sz="18" w:space="0" w:color="00B050"/>
              <w:left w:val="nil"/>
              <w:bottom w:val="nil"/>
              <w:right w:val="nil"/>
            </w:tcBorders>
          </w:tcPr>
          <w:p w14:paraId="0173884B" w14:textId="51ADF70E" w:rsidR="00400AD8" w:rsidRPr="00583355" w:rsidRDefault="00400AD8" w:rsidP="006B2762">
            <w:pPr>
              <w:pStyle w:val="CETBodytext"/>
              <w:jc w:val="left"/>
              <w:rPr>
                <w:rFonts w:eastAsia="Arial Unicode MS"/>
              </w:rPr>
            </w:pPr>
            <w:r>
              <w:rPr>
                <w:rFonts w:eastAsia="Arial Unicode MS"/>
              </w:rPr>
              <w:t>1.92</w:t>
            </w:r>
          </w:p>
        </w:tc>
        <w:tc>
          <w:tcPr>
            <w:tcW w:w="850" w:type="dxa"/>
            <w:tcBorders>
              <w:top w:val="single" w:sz="18" w:space="0" w:color="00B050"/>
              <w:left w:val="nil"/>
              <w:bottom w:val="nil"/>
              <w:right w:val="nil"/>
            </w:tcBorders>
          </w:tcPr>
          <w:p w14:paraId="48405AAB" w14:textId="64204AB4" w:rsidR="00400AD8" w:rsidRPr="00583355" w:rsidRDefault="00400AD8" w:rsidP="006B2762">
            <w:pPr>
              <w:pStyle w:val="CETBodytext"/>
              <w:jc w:val="left"/>
              <w:rPr>
                <w:rFonts w:eastAsia="Arial Unicode MS"/>
              </w:rPr>
            </w:pPr>
            <w:r>
              <w:rPr>
                <w:rFonts w:eastAsia="Arial Unicode MS"/>
              </w:rPr>
              <w:t>5.9</w:t>
            </w:r>
          </w:p>
        </w:tc>
        <w:tc>
          <w:tcPr>
            <w:tcW w:w="709" w:type="dxa"/>
            <w:tcBorders>
              <w:top w:val="single" w:sz="18" w:space="0" w:color="00B050"/>
              <w:left w:val="nil"/>
              <w:bottom w:val="nil"/>
              <w:right w:val="nil"/>
            </w:tcBorders>
          </w:tcPr>
          <w:p w14:paraId="67E33F84" w14:textId="7471906E" w:rsidR="00400AD8" w:rsidRPr="00583355" w:rsidRDefault="00400AD8" w:rsidP="006B2762">
            <w:pPr>
              <w:pStyle w:val="CETBodytext"/>
              <w:jc w:val="left"/>
              <w:rPr>
                <w:rFonts w:eastAsia="Arial Unicode MS"/>
              </w:rPr>
            </w:pPr>
            <w:r>
              <w:rPr>
                <w:rFonts w:eastAsia="Arial Unicode MS"/>
              </w:rPr>
              <w:t>44.75</w:t>
            </w:r>
          </w:p>
        </w:tc>
        <w:tc>
          <w:tcPr>
            <w:tcW w:w="709" w:type="dxa"/>
            <w:tcBorders>
              <w:top w:val="single" w:sz="18" w:space="0" w:color="00B050"/>
              <w:left w:val="nil"/>
              <w:bottom w:val="nil"/>
              <w:right w:val="nil"/>
            </w:tcBorders>
          </w:tcPr>
          <w:p w14:paraId="140897C1" w14:textId="0145D514" w:rsidR="00400AD8" w:rsidRPr="00583355" w:rsidRDefault="00400AD8" w:rsidP="006B2762">
            <w:pPr>
              <w:pStyle w:val="CETBodytext"/>
              <w:jc w:val="left"/>
              <w:rPr>
                <w:rFonts w:eastAsia="Arial Unicode MS"/>
              </w:rPr>
            </w:pPr>
            <w:r>
              <w:rPr>
                <w:rFonts w:eastAsia="Arial Unicode MS"/>
              </w:rPr>
              <w:t>6.15</w:t>
            </w:r>
          </w:p>
        </w:tc>
        <w:tc>
          <w:tcPr>
            <w:tcW w:w="709" w:type="dxa"/>
            <w:tcBorders>
              <w:top w:val="single" w:sz="18" w:space="0" w:color="00B050"/>
              <w:left w:val="nil"/>
              <w:bottom w:val="nil"/>
              <w:right w:val="nil"/>
            </w:tcBorders>
          </w:tcPr>
          <w:p w14:paraId="6E9A1F79" w14:textId="005BBB5A" w:rsidR="00400AD8" w:rsidRPr="00583355" w:rsidRDefault="00400AD8" w:rsidP="006B2762">
            <w:pPr>
              <w:pStyle w:val="CETBodytext"/>
              <w:jc w:val="left"/>
              <w:rPr>
                <w:rFonts w:eastAsia="Arial Unicode MS"/>
              </w:rPr>
            </w:pPr>
            <w:r>
              <w:rPr>
                <w:rFonts w:eastAsia="Arial Unicode MS"/>
              </w:rPr>
              <w:t>42.59</w:t>
            </w:r>
          </w:p>
        </w:tc>
        <w:tc>
          <w:tcPr>
            <w:tcW w:w="850" w:type="dxa"/>
            <w:tcBorders>
              <w:top w:val="single" w:sz="18" w:space="0" w:color="00B050"/>
              <w:left w:val="nil"/>
              <w:bottom w:val="nil"/>
              <w:right w:val="nil"/>
            </w:tcBorders>
          </w:tcPr>
          <w:p w14:paraId="0415A3E5" w14:textId="4535BFDD" w:rsidR="00400AD8" w:rsidRPr="00583355" w:rsidRDefault="00400AD8" w:rsidP="006B2762">
            <w:pPr>
              <w:pStyle w:val="CETBodytext"/>
              <w:jc w:val="left"/>
              <w:rPr>
                <w:rFonts w:eastAsia="Arial Unicode MS"/>
              </w:rPr>
            </w:pPr>
            <w:r>
              <w:rPr>
                <w:rFonts w:eastAsia="Arial Unicode MS"/>
              </w:rPr>
              <w:t>0.62</w:t>
            </w:r>
          </w:p>
        </w:tc>
      </w:tr>
      <w:tr w:rsidR="006B2762" w:rsidRPr="00583355" w14:paraId="40A314F4" w14:textId="4D3D2C88" w:rsidTr="006B2762">
        <w:trPr>
          <w:trHeight w:val="323"/>
        </w:trPr>
        <w:tc>
          <w:tcPr>
            <w:tcW w:w="1843" w:type="dxa"/>
            <w:gridSpan w:val="2"/>
            <w:tcBorders>
              <w:top w:val="nil"/>
              <w:left w:val="nil"/>
              <w:right w:val="nil"/>
            </w:tcBorders>
          </w:tcPr>
          <w:p w14:paraId="1BD2AEDE" w14:textId="71534D74" w:rsidR="006B2762" w:rsidRPr="00400AD8" w:rsidRDefault="006B2762" w:rsidP="006B2762">
            <w:pPr>
              <w:pStyle w:val="CETBodytext"/>
              <w:jc w:val="left"/>
              <w:rPr>
                <w:rFonts w:eastAsia="Arial Unicode MS"/>
                <w:highlight w:val="green"/>
              </w:rPr>
            </w:pPr>
            <w:r>
              <w:t>A</w:t>
            </w:r>
            <w:r w:rsidRPr="00BF17D5">
              <w:t>çaí seeds</w:t>
            </w:r>
          </w:p>
        </w:tc>
        <w:tc>
          <w:tcPr>
            <w:tcW w:w="992" w:type="dxa"/>
            <w:tcBorders>
              <w:top w:val="nil"/>
              <w:left w:val="nil"/>
              <w:right w:val="nil"/>
            </w:tcBorders>
          </w:tcPr>
          <w:p w14:paraId="7C8B3DC8" w14:textId="78AEE990" w:rsidR="006B2762" w:rsidRPr="00583355" w:rsidRDefault="006B2762" w:rsidP="006B2762">
            <w:pPr>
              <w:pStyle w:val="CETBodytext"/>
              <w:jc w:val="left"/>
              <w:rPr>
                <w:rFonts w:eastAsia="Arial Unicode MS"/>
              </w:rPr>
            </w:pPr>
            <w:r>
              <w:rPr>
                <w:rFonts w:eastAsia="Arial Unicode MS"/>
              </w:rPr>
              <w:t>90.58</w:t>
            </w:r>
          </w:p>
        </w:tc>
        <w:tc>
          <w:tcPr>
            <w:tcW w:w="851" w:type="dxa"/>
            <w:tcBorders>
              <w:top w:val="nil"/>
              <w:left w:val="nil"/>
              <w:right w:val="nil"/>
            </w:tcBorders>
          </w:tcPr>
          <w:p w14:paraId="04CE1846" w14:textId="0875BE37" w:rsidR="006B2762" w:rsidRPr="00583355" w:rsidRDefault="006B2762" w:rsidP="006B2762">
            <w:pPr>
              <w:pStyle w:val="CETBodytext"/>
              <w:jc w:val="left"/>
              <w:rPr>
                <w:rFonts w:eastAsia="Arial Unicode MS"/>
              </w:rPr>
            </w:pPr>
            <w:r>
              <w:rPr>
                <w:rFonts w:eastAsia="Arial Unicode MS"/>
              </w:rPr>
              <w:t>1.06</w:t>
            </w:r>
          </w:p>
        </w:tc>
        <w:tc>
          <w:tcPr>
            <w:tcW w:w="850" w:type="dxa"/>
            <w:tcBorders>
              <w:top w:val="nil"/>
              <w:left w:val="nil"/>
              <w:right w:val="nil"/>
            </w:tcBorders>
          </w:tcPr>
          <w:p w14:paraId="7185D738" w14:textId="77E023DA" w:rsidR="006B2762" w:rsidRPr="00583355" w:rsidRDefault="006B2762" w:rsidP="006B2762">
            <w:pPr>
              <w:pStyle w:val="CETBodytext"/>
              <w:jc w:val="left"/>
              <w:rPr>
                <w:rFonts w:eastAsia="Arial Unicode MS"/>
              </w:rPr>
            </w:pPr>
            <w:r>
              <w:rPr>
                <w:rFonts w:eastAsia="Arial Unicode MS"/>
              </w:rPr>
              <w:t>8.36</w:t>
            </w:r>
          </w:p>
        </w:tc>
        <w:tc>
          <w:tcPr>
            <w:tcW w:w="709" w:type="dxa"/>
            <w:tcBorders>
              <w:top w:val="nil"/>
              <w:left w:val="nil"/>
              <w:right w:val="nil"/>
            </w:tcBorders>
          </w:tcPr>
          <w:p w14:paraId="369E7C7A" w14:textId="0978C9F5" w:rsidR="006B2762" w:rsidRPr="00583355" w:rsidRDefault="006B2762" w:rsidP="006B2762">
            <w:pPr>
              <w:pStyle w:val="CETBodytext"/>
              <w:jc w:val="left"/>
              <w:rPr>
                <w:rFonts w:eastAsia="Arial Unicode MS"/>
              </w:rPr>
            </w:pPr>
            <w:r>
              <w:rPr>
                <w:rFonts w:eastAsia="Arial Unicode MS"/>
              </w:rPr>
              <w:t>43.47</w:t>
            </w:r>
          </w:p>
        </w:tc>
        <w:tc>
          <w:tcPr>
            <w:tcW w:w="709" w:type="dxa"/>
            <w:tcBorders>
              <w:top w:val="nil"/>
              <w:left w:val="nil"/>
              <w:right w:val="nil"/>
            </w:tcBorders>
          </w:tcPr>
          <w:p w14:paraId="791A14FB" w14:textId="1422A284" w:rsidR="006B2762" w:rsidRPr="00583355" w:rsidRDefault="006B2762" w:rsidP="006B2762">
            <w:pPr>
              <w:pStyle w:val="CETBodytext"/>
              <w:jc w:val="left"/>
              <w:rPr>
                <w:rFonts w:eastAsia="Arial Unicode MS"/>
              </w:rPr>
            </w:pPr>
            <w:r>
              <w:rPr>
                <w:rFonts w:eastAsia="Arial Unicode MS"/>
              </w:rPr>
              <w:t>6.05</w:t>
            </w:r>
          </w:p>
        </w:tc>
        <w:tc>
          <w:tcPr>
            <w:tcW w:w="709" w:type="dxa"/>
            <w:tcBorders>
              <w:top w:val="nil"/>
              <w:left w:val="nil"/>
              <w:right w:val="nil"/>
            </w:tcBorders>
          </w:tcPr>
          <w:p w14:paraId="53E0D866" w14:textId="20B28159" w:rsidR="006B2762" w:rsidRPr="00583355" w:rsidRDefault="006B2762" w:rsidP="006B2762">
            <w:pPr>
              <w:pStyle w:val="CETBodytext"/>
              <w:jc w:val="left"/>
              <w:rPr>
                <w:rFonts w:eastAsia="Arial Unicode MS"/>
              </w:rPr>
            </w:pPr>
            <w:r>
              <w:rPr>
                <w:rFonts w:eastAsia="Arial Unicode MS"/>
              </w:rPr>
              <w:t>41.57</w:t>
            </w:r>
          </w:p>
        </w:tc>
        <w:tc>
          <w:tcPr>
            <w:tcW w:w="850" w:type="dxa"/>
            <w:tcBorders>
              <w:top w:val="nil"/>
              <w:left w:val="nil"/>
              <w:right w:val="nil"/>
            </w:tcBorders>
          </w:tcPr>
          <w:p w14:paraId="3EE23AEB" w14:textId="401EEEAD" w:rsidR="006B2762" w:rsidRPr="00583355" w:rsidRDefault="006B2762" w:rsidP="006B2762">
            <w:pPr>
              <w:pStyle w:val="CETBodytext"/>
              <w:jc w:val="left"/>
              <w:rPr>
                <w:rFonts w:eastAsia="Arial Unicode MS"/>
              </w:rPr>
            </w:pPr>
            <w:r>
              <w:rPr>
                <w:rFonts w:eastAsia="Arial Unicode MS"/>
              </w:rPr>
              <w:t>0.55</w:t>
            </w:r>
          </w:p>
        </w:tc>
      </w:tr>
      <w:tr w:rsidR="00D065BF" w:rsidRPr="00583355" w14:paraId="2BBC8CF7" w14:textId="77777777" w:rsidTr="00F95B4E">
        <w:tc>
          <w:tcPr>
            <w:tcW w:w="7513" w:type="dxa"/>
            <w:gridSpan w:val="9"/>
            <w:tcBorders>
              <w:top w:val="single" w:sz="24" w:space="0" w:color="00B050"/>
              <w:left w:val="nil"/>
              <w:bottom w:val="nil"/>
              <w:right w:val="nil"/>
            </w:tcBorders>
          </w:tcPr>
          <w:p w14:paraId="1545A44B" w14:textId="6FFF7FD0" w:rsidR="00D065BF" w:rsidRPr="00583355" w:rsidRDefault="00D065BF" w:rsidP="00D065BF">
            <w:pPr>
              <w:pStyle w:val="CETBodytext"/>
              <w:rPr>
                <w:rFonts w:eastAsia="Arial Unicode MS"/>
              </w:rPr>
            </w:pPr>
            <w:r>
              <w:rPr>
                <w:rFonts w:eastAsia="Arial Unicode MS"/>
              </w:rPr>
              <w:t>a:</w:t>
            </w:r>
            <w:r w:rsidRPr="00583355">
              <w:t xml:space="preserve"> </w:t>
            </w:r>
            <w:r w:rsidR="00DD23BA" w:rsidRPr="00DD23BA">
              <w:t>Characterization carried out by the authors</w:t>
            </w:r>
            <w:r>
              <w:t xml:space="preserve">; </w:t>
            </w:r>
            <w:r>
              <w:rPr>
                <w:rFonts w:eastAsia="Arial Unicode MS"/>
              </w:rPr>
              <w:t>VM:</w:t>
            </w:r>
            <w:r w:rsidR="004868A2" w:rsidRPr="00583355">
              <w:rPr>
                <w:rFonts w:eastAsia="Arial Unicode MS"/>
              </w:rPr>
              <w:t xml:space="preserve"> Volatile material</w:t>
            </w:r>
            <w:r w:rsidR="004868A2">
              <w:rPr>
                <w:rFonts w:eastAsia="Arial Unicode MS"/>
              </w:rPr>
              <w:t>;</w:t>
            </w:r>
            <w:r>
              <w:rPr>
                <w:rFonts w:eastAsia="Arial Unicode MS"/>
              </w:rPr>
              <w:t xml:space="preserve"> FC: </w:t>
            </w:r>
            <w:r w:rsidR="004868A2" w:rsidRPr="00583355">
              <w:rPr>
                <w:rFonts w:eastAsia="Arial Unicode MS"/>
              </w:rPr>
              <w:t>Fixed carbon</w:t>
            </w:r>
          </w:p>
        </w:tc>
      </w:tr>
    </w:tbl>
    <w:p w14:paraId="02D209E1" w14:textId="2DFE32D2" w:rsidR="000F140B" w:rsidRDefault="000F140B" w:rsidP="000A4CFE">
      <w:pPr>
        <w:pStyle w:val="CETBodytext"/>
        <w:rPr>
          <w:highlight w:val="yellow"/>
          <w:lang w:val="en-GB"/>
        </w:rPr>
      </w:pPr>
    </w:p>
    <w:p w14:paraId="0BF067AD" w14:textId="75A4C543" w:rsidR="00D1626F" w:rsidRPr="001642BF" w:rsidRDefault="00273B5F" w:rsidP="006F4BC7">
      <w:pPr>
        <w:pStyle w:val="CETheadingx"/>
      </w:pPr>
      <w:r w:rsidRPr="001642BF">
        <w:t>Char characterization</w:t>
      </w:r>
    </w:p>
    <w:p w14:paraId="7FABC8C0" w14:textId="4379B4D0" w:rsidR="00273B5F" w:rsidRPr="005B5821" w:rsidRDefault="00273B5F" w:rsidP="005B5821">
      <w:pPr>
        <w:rPr>
          <w:lang w:val="en-US"/>
        </w:rPr>
      </w:pPr>
      <w:r w:rsidRPr="005B5821">
        <w:rPr>
          <w:lang w:val="en-US"/>
        </w:rPr>
        <w:t xml:space="preserve">Similar to biomass, the models chosen for characterizing the char were HCOALGEN and DCOALIGT. The PROXANAL and ULTANAL analyses (Table </w:t>
      </w:r>
      <w:r w:rsidR="006C5080" w:rsidRPr="005B5821">
        <w:rPr>
          <w:lang w:val="en-US"/>
        </w:rPr>
        <w:t>2</w:t>
      </w:r>
      <w:r w:rsidRPr="005B5821">
        <w:rPr>
          <w:lang w:val="en-US"/>
        </w:rPr>
        <w:t xml:space="preserve">) included in the simulation were based on empirical values corresponding to dry char obtained from the pyrolysis of an </w:t>
      </w:r>
      <w:r w:rsidRPr="00F777B5">
        <w:rPr>
          <w:lang w:val="en-US"/>
        </w:rPr>
        <w:t>agroindustrial</w:t>
      </w:r>
      <w:r w:rsidRPr="005B5821">
        <w:rPr>
          <w:lang w:val="en-US"/>
        </w:rPr>
        <w:t xml:space="preserve"> biomass (T</w:t>
      </w:r>
      <w:r w:rsidR="004D65D6" w:rsidRPr="005B5821">
        <w:rPr>
          <w:lang w:val="en-US"/>
        </w:rPr>
        <w:t>inwala</w:t>
      </w:r>
      <w:r w:rsidRPr="005B5821">
        <w:rPr>
          <w:lang w:val="en-US"/>
        </w:rPr>
        <w:t xml:space="preserve"> et al., 2015).</w:t>
      </w:r>
    </w:p>
    <w:p w14:paraId="61DBA9BA" w14:textId="25FD0565" w:rsidR="001642BF" w:rsidRPr="008F5B08" w:rsidRDefault="000B3314" w:rsidP="006F4BC7">
      <w:pPr>
        <w:pStyle w:val="CETheadingx"/>
        <w:numPr>
          <w:ilvl w:val="0"/>
          <w:numId w:val="0"/>
        </w:numPr>
      </w:pPr>
      <w:r>
        <w:t xml:space="preserve">2.3 </w:t>
      </w:r>
      <w:r w:rsidR="001642BF" w:rsidRPr="008F5B08">
        <w:t>Ash Characterization</w:t>
      </w:r>
    </w:p>
    <w:p w14:paraId="598AEBDF" w14:textId="5D528A99" w:rsidR="001642BF" w:rsidRDefault="001642BF" w:rsidP="001642BF">
      <w:r w:rsidRPr="008F5B08">
        <w:t>The same methodology was used to characterize the ash; that is, the HCOALGEN and DCOALIGT models were used to determine the enthalpy and density, respectively, of the ash.</w:t>
      </w:r>
      <w:r w:rsidR="00AE1575">
        <w:t xml:space="preserve"> </w:t>
      </w:r>
      <w:r w:rsidRPr="008F5B08">
        <w:t xml:space="preserve">For the proximate and elemental </w:t>
      </w:r>
      <w:r w:rsidRPr="008F5B08">
        <w:lastRenderedPageBreak/>
        <w:t xml:space="preserve">analyses, the ash component was considered to be 100%, and the other components (C, H, O, and N) </w:t>
      </w:r>
      <w:r w:rsidR="001D5051" w:rsidRPr="008F5B08">
        <w:t>were</w:t>
      </w:r>
      <w:r w:rsidRPr="008F5B08">
        <w:t xml:space="preserve"> zero.</w:t>
      </w:r>
    </w:p>
    <w:p w14:paraId="0882B3F0" w14:textId="77777777" w:rsidR="0030536B" w:rsidRDefault="0030536B" w:rsidP="001642BF"/>
    <w:p w14:paraId="1C32E298" w14:textId="77777777" w:rsidR="0030536B" w:rsidRPr="00273B5F" w:rsidRDefault="0030536B" w:rsidP="0030536B">
      <w:pPr>
        <w:rPr>
          <w:highlight w:val="green"/>
          <w:lang w:val="en-US"/>
        </w:rPr>
      </w:pPr>
      <w:r w:rsidRPr="00F539AE">
        <w:rPr>
          <w:lang w:val="en-US"/>
        </w:rPr>
        <w:t>Table 2. Proximate</w:t>
      </w:r>
      <w:r w:rsidRPr="006E217F">
        <w:rPr>
          <w:lang w:val="en-US"/>
        </w:rPr>
        <w:t xml:space="preserve"> and ultimate analysis of </w:t>
      </w:r>
      <w:r>
        <w:rPr>
          <w:lang w:val="en-US"/>
        </w:rPr>
        <w:t>char</w:t>
      </w:r>
    </w:p>
    <w:p w14:paraId="672BB37D" w14:textId="77777777" w:rsidR="0030536B" w:rsidRDefault="0030536B" w:rsidP="0030536B">
      <w:pPr>
        <w:rPr>
          <w:highlight w:val="green"/>
          <w:lang w:val="en-US"/>
        </w:rPr>
      </w:pPr>
    </w:p>
    <w:tbl>
      <w:tblPr>
        <w:tblStyle w:val="Tablaconcuadrcula"/>
        <w:tblW w:w="6096" w:type="dxa"/>
        <w:tblLayout w:type="fixed"/>
        <w:tblLook w:val="04A0" w:firstRow="1" w:lastRow="0" w:firstColumn="1" w:lastColumn="0" w:noHBand="0" w:noVBand="1"/>
      </w:tblPr>
      <w:tblGrid>
        <w:gridCol w:w="2552"/>
        <w:gridCol w:w="992"/>
        <w:gridCol w:w="567"/>
        <w:gridCol w:w="1985"/>
      </w:tblGrid>
      <w:tr w:rsidR="0030536B" w:rsidRPr="00583355" w14:paraId="186CF66B" w14:textId="77777777" w:rsidTr="0024685A">
        <w:tc>
          <w:tcPr>
            <w:tcW w:w="3544" w:type="dxa"/>
            <w:gridSpan w:val="2"/>
            <w:tcBorders>
              <w:top w:val="single" w:sz="18" w:space="0" w:color="00B050"/>
              <w:left w:val="nil"/>
              <w:bottom w:val="single" w:sz="18" w:space="0" w:color="00B050"/>
              <w:right w:val="nil"/>
            </w:tcBorders>
          </w:tcPr>
          <w:p w14:paraId="1291AD30" w14:textId="77777777" w:rsidR="0030536B" w:rsidRPr="00BA241E" w:rsidRDefault="0030536B" w:rsidP="0024685A">
            <w:pPr>
              <w:pStyle w:val="CETBodytext"/>
              <w:rPr>
                <w:rFonts w:eastAsia="Arial Unicode MS"/>
                <w:vertAlign w:val="superscript"/>
              </w:rPr>
            </w:pPr>
            <w:r w:rsidRPr="00583355">
              <w:rPr>
                <w:rFonts w:eastAsia="Arial Unicode MS"/>
              </w:rPr>
              <w:t xml:space="preserve">Proximate (dry basis </w:t>
            </w:r>
            <w:r>
              <w:rPr>
                <w:rFonts w:eastAsia="Arial Unicode MS"/>
              </w:rPr>
              <w:t>-</w:t>
            </w:r>
            <w:r w:rsidRPr="00583355">
              <w:rPr>
                <w:rFonts w:eastAsia="Arial Unicode MS"/>
              </w:rPr>
              <w:t>w/w%)</w:t>
            </w:r>
            <w:r>
              <w:rPr>
                <w:rFonts w:eastAsia="Arial Unicode MS"/>
                <w:vertAlign w:val="superscript"/>
              </w:rPr>
              <w:t>a</w:t>
            </w:r>
          </w:p>
        </w:tc>
        <w:tc>
          <w:tcPr>
            <w:tcW w:w="2552" w:type="dxa"/>
            <w:gridSpan w:val="2"/>
            <w:tcBorders>
              <w:top w:val="single" w:sz="18" w:space="0" w:color="00B050"/>
              <w:left w:val="nil"/>
              <w:bottom w:val="single" w:sz="18" w:space="0" w:color="00B050"/>
              <w:right w:val="nil"/>
            </w:tcBorders>
          </w:tcPr>
          <w:p w14:paraId="79ADB7B1" w14:textId="77777777" w:rsidR="0030536B" w:rsidRPr="00BA241E" w:rsidRDefault="0030536B" w:rsidP="0024685A">
            <w:pPr>
              <w:pStyle w:val="CETBodytext"/>
              <w:rPr>
                <w:rFonts w:eastAsia="Arial Unicode MS"/>
                <w:vertAlign w:val="superscript"/>
              </w:rPr>
            </w:pPr>
            <w:r w:rsidRPr="00583355">
              <w:rPr>
                <w:rFonts w:eastAsia="Arial Unicode MS"/>
              </w:rPr>
              <w:t>Ultimate (dry basis-w/w%)</w:t>
            </w:r>
            <w:r>
              <w:rPr>
                <w:rFonts w:eastAsia="Arial Unicode MS"/>
                <w:vertAlign w:val="superscript"/>
              </w:rPr>
              <w:t>a</w:t>
            </w:r>
          </w:p>
        </w:tc>
      </w:tr>
      <w:tr w:rsidR="0030536B" w:rsidRPr="00583355" w14:paraId="79913EA5" w14:textId="77777777" w:rsidTr="0024685A">
        <w:tc>
          <w:tcPr>
            <w:tcW w:w="2552" w:type="dxa"/>
            <w:tcBorders>
              <w:top w:val="single" w:sz="18" w:space="0" w:color="00B050"/>
              <w:left w:val="nil"/>
              <w:bottom w:val="nil"/>
              <w:right w:val="nil"/>
            </w:tcBorders>
          </w:tcPr>
          <w:p w14:paraId="273616C1" w14:textId="77777777" w:rsidR="0030536B" w:rsidRPr="00583355" w:rsidRDefault="0030536B" w:rsidP="0024685A">
            <w:pPr>
              <w:pStyle w:val="CETBodytext"/>
              <w:rPr>
                <w:rFonts w:eastAsia="Arial Unicode MS"/>
              </w:rPr>
            </w:pPr>
            <w:r w:rsidRPr="00583355">
              <w:rPr>
                <w:rFonts w:eastAsia="Arial Unicode MS"/>
              </w:rPr>
              <w:t>Volatile material-VM</w:t>
            </w:r>
            <w:r>
              <w:rPr>
                <w:rFonts w:eastAsia="Arial Unicode MS"/>
              </w:rPr>
              <w:t xml:space="preserve"> </w:t>
            </w:r>
          </w:p>
        </w:tc>
        <w:tc>
          <w:tcPr>
            <w:tcW w:w="992" w:type="dxa"/>
            <w:tcBorders>
              <w:top w:val="single" w:sz="18" w:space="0" w:color="00B050"/>
              <w:left w:val="nil"/>
              <w:bottom w:val="nil"/>
              <w:right w:val="nil"/>
            </w:tcBorders>
          </w:tcPr>
          <w:p w14:paraId="6113A036" w14:textId="77777777" w:rsidR="0030536B" w:rsidRPr="00583355" w:rsidRDefault="0030536B" w:rsidP="0024685A">
            <w:pPr>
              <w:pStyle w:val="CETBodytext"/>
              <w:rPr>
                <w:rFonts w:eastAsia="Arial Unicode MS"/>
              </w:rPr>
            </w:pPr>
            <w:r>
              <w:rPr>
                <w:rFonts w:eastAsia="Arial Unicode MS"/>
              </w:rPr>
              <w:t>30.43</w:t>
            </w:r>
          </w:p>
        </w:tc>
        <w:tc>
          <w:tcPr>
            <w:tcW w:w="567" w:type="dxa"/>
            <w:tcBorders>
              <w:top w:val="single" w:sz="18" w:space="0" w:color="00B050"/>
              <w:left w:val="nil"/>
              <w:bottom w:val="nil"/>
              <w:right w:val="nil"/>
            </w:tcBorders>
          </w:tcPr>
          <w:p w14:paraId="48F61700" w14:textId="77777777" w:rsidR="0030536B" w:rsidRPr="00583355" w:rsidRDefault="0030536B" w:rsidP="0024685A">
            <w:pPr>
              <w:pStyle w:val="CETBodytext"/>
              <w:rPr>
                <w:rFonts w:eastAsia="Arial Unicode MS"/>
              </w:rPr>
            </w:pPr>
            <w:r w:rsidRPr="00583355">
              <w:rPr>
                <w:rFonts w:eastAsia="Arial Unicode MS"/>
              </w:rPr>
              <w:t>C</w:t>
            </w:r>
          </w:p>
        </w:tc>
        <w:tc>
          <w:tcPr>
            <w:tcW w:w="1985" w:type="dxa"/>
            <w:tcBorders>
              <w:top w:val="single" w:sz="18" w:space="0" w:color="00B050"/>
              <w:left w:val="nil"/>
              <w:bottom w:val="nil"/>
              <w:right w:val="nil"/>
            </w:tcBorders>
          </w:tcPr>
          <w:p w14:paraId="23DD3D9C" w14:textId="77777777" w:rsidR="0030536B" w:rsidRPr="00583355" w:rsidRDefault="0030536B" w:rsidP="0024685A">
            <w:pPr>
              <w:pStyle w:val="CETBodytext"/>
              <w:rPr>
                <w:rFonts w:eastAsia="Arial Unicode MS"/>
              </w:rPr>
            </w:pPr>
            <w:r>
              <w:rPr>
                <w:rFonts w:eastAsia="Arial Unicode MS"/>
              </w:rPr>
              <w:t>63.44</w:t>
            </w:r>
          </w:p>
        </w:tc>
      </w:tr>
      <w:tr w:rsidR="0030536B" w:rsidRPr="00273B5F" w14:paraId="76291375" w14:textId="77777777" w:rsidTr="0024685A">
        <w:tc>
          <w:tcPr>
            <w:tcW w:w="2552" w:type="dxa"/>
            <w:tcBorders>
              <w:top w:val="nil"/>
              <w:left w:val="nil"/>
              <w:bottom w:val="nil"/>
              <w:right w:val="nil"/>
            </w:tcBorders>
          </w:tcPr>
          <w:p w14:paraId="541D29E4" w14:textId="77777777" w:rsidR="0030536B" w:rsidRPr="00583355" w:rsidRDefault="0030536B" w:rsidP="0024685A">
            <w:pPr>
              <w:pStyle w:val="CETBodytext"/>
              <w:rPr>
                <w:rFonts w:eastAsia="Arial Unicode MS"/>
              </w:rPr>
            </w:pPr>
            <w:r>
              <w:rPr>
                <w:rFonts w:eastAsia="Arial Unicode MS"/>
              </w:rPr>
              <w:t>Fixed carbon-FC</w:t>
            </w:r>
          </w:p>
        </w:tc>
        <w:tc>
          <w:tcPr>
            <w:tcW w:w="992" w:type="dxa"/>
            <w:tcBorders>
              <w:top w:val="nil"/>
              <w:left w:val="nil"/>
              <w:bottom w:val="nil"/>
              <w:right w:val="nil"/>
            </w:tcBorders>
          </w:tcPr>
          <w:p w14:paraId="7DDCE3AB" w14:textId="77777777" w:rsidR="0030536B" w:rsidRPr="00583355" w:rsidRDefault="0030536B" w:rsidP="0024685A">
            <w:pPr>
              <w:pStyle w:val="CETBodytext"/>
              <w:rPr>
                <w:rFonts w:eastAsia="Arial Unicode MS"/>
              </w:rPr>
            </w:pPr>
            <w:r>
              <w:rPr>
                <w:rFonts w:eastAsia="Arial Unicode MS"/>
              </w:rPr>
              <w:t>51.56</w:t>
            </w:r>
          </w:p>
        </w:tc>
        <w:tc>
          <w:tcPr>
            <w:tcW w:w="567" w:type="dxa"/>
            <w:tcBorders>
              <w:top w:val="nil"/>
              <w:left w:val="nil"/>
              <w:bottom w:val="nil"/>
              <w:right w:val="nil"/>
            </w:tcBorders>
          </w:tcPr>
          <w:p w14:paraId="1E172124" w14:textId="77777777" w:rsidR="0030536B" w:rsidRPr="00583355" w:rsidRDefault="0030536B" w:rsidP="0024685A">
            <w:pPr>
              <w:pStyle w:val="CETBodytext"/>
              <w:rPr>
                <w:rFonts w:eastAsia="Arial Unicode MS"/>
              </w:rPr>
            </w:pPr>
            <w:r w:rsidRPr="00583355">
              <w:rPr>
                <w:rFonts w:eastAsia="Arial Unicode MS"/>
              </w:rPr>
              <w:t>H</w:t>
            </w:r>
          </w:p>
        </w:tc>
        <w:tc>
          <w:tcPr>
            <w:tcW w:w="1985" w:type="dxa"/>
            <w:tcBorders>
              <w:top w:val="nil"/>
              <w:left w:val="nil"/>
              <w:bottom w:val="nil"/>
              <w:right w:val="nil"/>
            </w:tcBorders>
          </w:tcPr>
          <w:p w14:paraId="785F2C07" w14:textId="77777777" w:rsidR="0030536B" w:rsidRPr="00273B5F" w:rsidRDefault="0030536B" w:rsidP="0024685A">
            <w:pPr>
              <w:pStyle w:val="CETBodytext"/>
              <w:rPr>
                <w:rFonts w:eastAsia="Arial Unicode MS"/>
                <w:lang w:val="es-ES"/>
              </w:rPr>
            </w:pPr>
            <w:r w:rsidRPr="00273B5F">
              <w:rPr>
                <w:rFonts w:eastAsia="Arial Unicode MS"/>
                <w:lang w:val="es-ES"/>
              </w:rPr>
              <w:t>1.</w:t>
            </w:r>
            <w:r>
              <w:rPr>
                <w:rFonts w:eastAsia="Arial Unicode MS"/>
                <w:lang w:val="es-ES"/>
              </w:rPr>
              <w:t>29</w:t>
            </w:r>
          </w:p>
        </w:tc>
      </w:tr>
      <w:tr w:rsidR="0030536B" w:rsidRPr="00273B5F" w14:paraId="5644B064" w14:textId="77777777" w:rsidTr="0024685A">
        <w:tc>
          <w:tcPr>
            <w:tcW w:w="2552" w:type="dxa"/>
            <w:tcBorders>
              <w:top w:val="nil"/>
              <w:left w:val="nil"/>
              <w:bottom w:val="nil"/>
              <w:right w:val="nil"/>
            </w:tcBorders>
          </w:tcPr>
          <w:p w14:paraId="20DC66B8" w14:textId="77777777" w:rsidR="0030536B" w:rsidRPr="00273B5F" w:rsidRDefault="0030536B" w:rsidP="0024685A">
            <w:pPr>
              <w:pStyle w:val="CETBodytext"/>
              <w:rPr>
                <w:rFonts w:eastAsia="Arial Unicode MS"/>
                <w:lang w:val="es-ES"/>
              </w:rPr>
            </w:pPr>
            <w:r w:rsidRPr="00273B5F">
              <w:rPr>
                <w:rFonts w:eastAsia="Arial Unicode MS"/>
                <w:lang w:val="es-ES"/>
              </w:rPr>
              <w:t>Ash</w:t>
            </w:r>
          </w:p>
        </w:tc>
        <w:tc>
          <w:tcPr>
            <w:tcW w:w="992" w:type="dxa"/>
            <w:tcBorders>
              <w:top w:val="nil"/>
              <w:left w:val="nil"/>
              <w:bottom w:val="nil"/>
              <w:right w:val="nil"/>
            </w:tcBorders>
          </w:tcPr>
          <w:p w14:paraId="425D5405" w14:textId="77777777" w:rsidR="0030536B" w:rsidRPr="00273B5F" w:rsidRDefault="0030536B" w:rsidP="0024685A">
            <w:pPr>
              <w:pStyle w:val="CETBodytext"/>
              <w:rPr>
                <w:rFonts w:eastAsia="Arial Unicode MS"/>
                <w:lang w:val="es-ES"/>
              </w:rPr>
            </w:pPr>
            <w:r w:rsidRPr="00273B5F">
              <w:rPr>
                <w:rFonts w:eastAsia="Arial Unicode MS"/>
                <w:lang w:val="es-ES"/>
              </w:rPr>
              <w:t>18.01</w:t>
            </w:r>
          </w:p>
        </w:tc>
        <w:tc>
          <w:tcPr>
            <w:tcW w:w="567" w:type="dxa"/>
            <w:tcBorders>
              <w:top w:val="nil"/>
              <w:left w:val="nil"/>
              <w:bottom w:val="nil"/>
              <w:right w:val="nil"/>
            </w:tcBorders>
          </w:tcPr>
          <w:p w14:paraId="116D1FFB" w14:textId="77777777" w:rsidR="0030536B" w:rsidRPr="00273B5F" w:rsidRDefault="0030536B" w:rsidP="0024685A">
            <w:pPr>
              <w:pStyle w:val="CETBodytext"/>
              <w:rPr>
                <w:rFonts w:eastAsia="Arial Unicode MS"/>
                <w:lang w:val="es-ES"/>
              </w:rPr>
            </w:pPr>
            <w:r w:rsidRPr="00273B5F">
              <w:rPr>
                <w:rFonts w:eastAsia="Arial Unicode MS"/>
                <w:lang w:val="es-ES"/>
              </w:rPr>
              <w:t>N</w:t>
            </w:r>
          </w:p>
        </w:tc>
        <w:tc>
          <w:tcPr>
            <w:tcW w:w="1985" w:type="dxa"/>
            <w:tcBorders>
              <w:top w:val="nil"/>
              <w:left w:val="nil"/>
              <w:bottom w:val="nil"/>
              <w:right w:val="nil"/>
            </w:tcBorders>
          </w:tcPr>
          <w:p w14:paraId="2270A3B2" w14:textId="77777777" w:rsidR="0030536B" w:rsidRPr="00273B5F" w:rsidRDefault="0030536B" w:rsidP="0024685A">
            <w:pPr>
              <w:pStyle w:val="CETBodytext"/>
              <w:rPr>
                <w:rFonts w:eastAsia="Arial Unicode MS"/>
                <w:lang w:val="es-ES"/>
              </w:rPr>
            </w:pPr>
            <w:r w:rsidRPr="00273B5F">
              <w:rPr>
                <w:rFonts w:eastAsia="Arial Unicode MS"/>
                <w:lang w:val="es-ES"/>
              </w:rPr>
              <w:t>0.</w:t>
            </w:r>
            <w:r>
              <w:rPr>
                <w:rFonts w:eastAsia="Arial Unicode MS"/>
                <w:lang w:val="es-ES"/>
              </w:rPr>
              <w:t>75</w:t>
            </w:r>
          </w:p>
        </w:tc>
      </w:tr>
      <w:tr w:rsidR="0030536B" w:rsidRPr="00273B5F" w14:paraId="46F064CE" w14:textId="77777777" w:rsidTr="0024685A">
        <w:trPr>
          <w:trHeight w:val="265"/>
        </w:trPr>
        <w:tc>
          <w:tcPr>
            <w:tcW w:w="2552" w:type="dxa"/>
            <w:tcBorders>
              <w:top w:val="nil"/>
              <w:left w:val="nil"/>
              <w:bottom w:val="single" w:sz="24" w:space="0" w:color="00B050"/>
              <w:right w:val="nil"/>
            </w:tcBorders>
          </w:tcPr>
          <w:p w14:paraId="242FC62B" w14:textId="77777777" w:rsidR="0030536B" w:rsidRPr="00273B5F" w:rsidRDefault="0030536B" w:rsidP="0024685A">
            <w:pPr>
              <w:pStyle w:val="CETBodytext"/>
              <w:rPr>
                <w:rFonts w:eastAsia="Arial Unicode MS"/>
                <w:lang w:val="es-ES"/>
              </w:rPr>
            </w:pPr>
          </w:p>
        </w:tc>
        <w:tc>
          <w:tcPr>
            <w:tcW w:w="992" w:type="dxa"/>
            <w:tcBorders>
              <w:top w:val="nil"/>
              <w:left w:val="nil"/>
              <w:bottom w:val="single" w:sz="24" w:space="0" w:color="00B050"/>
              <w:right w:val="nil"/>
            </w:tcBorders>
          </w:tcPr>
          <w:p w14:paraId="57D2314B" w14:textId="77777777" w:rsidR="0030536B" w:rsidRPr="00273B5F" w:rsidRDefault="0030536B" w:rsidP="0024685A">
            <w:pPr>
              <w:pStyle w:val="CETBodytext"/>
              <w:rPr>
                <w:rFonts w:eastAsia="Arial Unicode MS"/>
                <w:lang w:val="es-ES"/>
              </w:rPr>
            </w:pPr>
          </w:p>
        </w:tc>
        <w:tc>
          <w:tcPr>
            <w:tcW w:w="567" w:type="dxa"/>
            <w:tcBorders>
              <w:top w:val="nil"/>
              <w:left w:val="nil"/>
              <w:bottom w:val="single" w:sz="24" w:space="0" w:color="00B050"/>
              <w:right w:val="nil"/>
            </w:tcBorders>
          </w:tcPr>
          <w:p w14:paraId="35B9E3A3" w14:textId="77777777" w:rsidR="0030536B" w:rsidRPr="00273B5F" w:rsidRDefault="0030536B" w:rsidP="0024685A">
            <w:pPr>
              <w:pStyle w:val="CETBodytext"/>
              <w:rPr>
                <w:rFonts w:eastAsia="Arial Unicode MS"/>
                <w:lang w:val="es-ES"/>
              </w:rPr>
            </w:pPr>
            <w:r w:rsidRPr="00273B5F">
              <w:rPr>
                <w:rFonts w:eastAsia="Arial Unicode MS"/>
                <w:lang w:val="es-ES"/>
              </w:rPr>
              <w:t>O</w:t>
            </w:r>
          </w:p>
        </w:tc>
        <w:tc>
          <w:tcPr>
            <w:tcW w:w="1985" w:type="dxa"/>
            <w:tcBorders>
              <w:top w:val="nil"/>
              <w:left w:val="nil"/>
              <w:bottom w:val="single" w:sz="24" w:space="0" w:color="00B050"/>
              <w:right w:val="nil"/>
            </w:tcBorders>
          </w:tcPr>
          <w:p w14:paraId="375EB271" w14:textId="77777777" w:rsidR="0030536B" w:rsidRPr="00273B5F" w:rsidRDefault="0030536B" w:rsidP="0024685A">
            <w:pPr>
              <w:pStyle w:val="CETBodytext"/>
              <w:rPr>
                <w:rFonts w:eastAsia="Arial Unicode MS"/>
                <w:lang w:val="es-ES"/>
              </w:rPr>
            </w:pPr>
            <w:r>
              <w:rPr>
                <w:rFonts w:eastAsia="Arial Unicode MS"/>
                <w:lang w:val="es-ES"/>
              </w:rPr>
              <w:t>17.25</w:t>
            </w:r>
          </w:p>
        </w:tc>
      </w:tr>
    </w:tbl>
    <w:p w14:paraId="0F57FED1" w14:textId="77777777" w:rsidR="0030536B" w:rsidRPr="00E46DAD" w:rsidRDefault="0030536B" w:rsidP="0030536B">
      <w:pPr>
        <w:rPr>
          <w:vertAlign w:val="superscript"/>
          <w:lang w:val="en-US"/>
        </w:rPr>
      </w:pPr>
      <w:r w:rsidRPr="00E46DAD">
        <w:rPr>
          <w:vertAlign w:val="superscript"/>
          <w:lang w:val="en-US"/>
        </w:rPr>
        <w:t xml:space="preserve">a </w:t>
      </w:r>
      <w:r w:rsidRPr="00E14FDC">
        <w:rPr>
          <w:lang w:val="en-US"/>
        </w:rPr>
        <w:t>Tinwala et al., 2015</w:t>
      </w:r>
    </w:p>
    <w:p w14:paraId="4CE5852D" w14:textId="77777777" w:rsidR="0030536B" w:rsidRDefault="0030536B" w:rsidP="001642BF"/>
    <w:p w14:paraId="5B0A4A42" w14:textId="04BC024F" w:rsidR="00AE1575" w:rsidRPr="008F5B08" w:rsidRDefault="006F4BC7" w:rsidP="006F4BC7">
      <w:pPr>
        <w:pStyle w:val="CETheadingx"/>
        <w:numPr>
          <w:ilvl w:val="0"/>
          <w:numId w:val="0"/>
        </w:numPr>
      </w:pPr>
      <w:r>
        <w:rPr>
          <w:lang w:val="en-GB"/>
        </w:rPr>
        <w:t xml:space="preserve">2.4 </w:t>
      </w:r>
      <w:r w:rsidR="00AE1575" w:rsidRPr="008F5B08">
        <w:t>M</w:t>
      </w:r>
      <w:r w:rsidR="00AE1575">
        <w:t>odel Description</w:t>
      </w:r>
    </w:p>
    <w:p w14:paraId="34CFB698" w14:textId="74862448" w:rsidR="00AE1575" w:rsidRPr="008F5B08" w:rsidRDefault="00AE1575" w:rsidP="004F7E19">
      <w:pPr>
        <w:spacing w:after="120"/>
        <w:rPr>
          <w:lang w:val="en-US"/>
        </w:rPr>
      </w:pPr>
      <w:r>
        <w:rPr>
          <w:lang w:val="en-US"/>
        </w:rPr>
        <w:t>Figure 1</w:t>
      </w:r>
      <w:r w:rsidRPr="008F5B08">
        <w:rPr>
          <w:lang w:val="en-US"/>
        </w:rPr>
        <w:t xml:space="preserve"> shows the flowsheet of the biomass gasification process under study. In this model, the process was described in four stages: biomass drying and pyrolysis, and the gasification and combustion of the char produced from the biomass. The gasifier used was a countercurrent moving bed reactor.</w:t>
      </w:r>
      <w:r>
        <w:rPr>
          <w:lang w:val="en-US"/>
        </w:rPr>
        <w:t xml:space="preserve"> </w:t>
      </w:r>
      <w:r w:rsidRPr="008F5B08">
        <w:rPr>
          <w:lang w:val="en-US"/>
        </w:rPr>
        <w:t>This model was simulated in a moving bed reactor, in which a set of RCSTR blocks was used. RCSTRs are reactors employed when the kinetics are known.</w:t>
      </w:r>
      <w:r w:rsidR="00664351">
        <w:rPr>
          <w:lang w:val="en-US"/>
        </w:rPr>
        <w:t xml:space="preserve"> </w:t>
      </w:r>
      <w:r w:rsidR="00664351" w:rsidRPr="00583355">
        <w:t>Table 2 describes the operations used in the flowcharts</w:t>
      </w:r>
      <w:r w:rsidR="005B5821">
        <w:t>.</w:t>
      </w:r>
      <w:bookmarkStart w:id="1" w:name="_GoBack"/>
      <w:bookmarkEnd w:id="1"/>
    </w:p>
    <w:p w14:paraId="641554AD" w14:textId="75D4D0B8" w:rsidR="00AE1575" w:rsidRDefault="004F7E19" w:rsidP="00AE1575">
      <w:pPr>
        <w:rPr>
          <w:lang w:val="en-US"/>
        </w:rPr>
      </w:pPr>
      <w:r w:rsidRPr="00BF181B">
        <w:rPr>
          <w:rFonts w:ascii="Times New Roman" w:hAnsi="Times New Roman"/>
          <w:noProof/>
          <w:lang w:val="es-ES" w:eastAsia="es-ES"/>
        </w:rPr>
        <w:drawing>
          <wp:inline distT="0" distB="0" distL="0" distR="0" wp14:anchorId="00581F74" wp14:editId="6F1CEDFB">
            <wp:extent cx="5579745" cy="2055089"/>
            <wp:effectExtent l="0" t="0" r="1905" b="254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r="4875" b="27802"/>
                    <a:stretch>
                      <a:fillRect/>
                    </a:stretch>
                  </pic:blipFill>
                  <pic:spPr>
                    <a:xfrm>
                      <a:off x="0" y="0"/>
                      <a:ext cx="5579745" cy="2055089"/>
                    </a:xfrm>
                    <a:prstGeom prst="rect">
                      <a:avLst/>
                    </a:prstGeom>
                    <a:ln/>
                  </pic:spPr>
                </pic:pic>
              </a:graphicData>
            </a:graphic>
          </wp:inline>
        </w:drawing>
      </w:r>
    </w:p>
    <w:p w14:paraId="3ED07525" w14:textId="77777777" w:rsidR="00AE1575" w:rsidRPr="008F5B08" w:rsidRDefault="00AE1575" w:rsidP="00AE1575">
      <w:pPr>
        <w:rPr>
          <w:lang w:val="en-US"/>
        </w:rPr>
      </w:pPr>
    </w:p>
    <w:p w14:paraId="5B6313BB" w14:textId="0577EBC1" w:rsidR="00AE1575" w:rsidRPr="008F5B08" w:rsidRDefault="00664351" w:rsidP="00AE1575">
      <w:r>
        <w:t>Figure 1</w:t>
      </w:r>
      <w:r w:rsidR="00AE1575" w:rsidRPr="008F5B08">
        <w:t>: Biomass gasification flow</w:t>
      </w:r>
      <w:r w:rsidR="00AE1575">
        <w:t xml:space="preserve">sheet (Aspen </w:t>
      </w:r>
      <w:r w:rsidR="00074053">
        <w:t>Technology</w:t>
      </w:r>
      <w:r w:rsidR="00AE1575">
        <w:t xml:space="preserve"> INC (2014, p. 12))</w:t>
      </w:r>
    </w:p>
    <w:p w14:paraId="6FB3DABE" w14:textId="6295A0D9" w:rsidR="001642BF" w:rsidRDefault="001642BF" w:rsidP="00D1626F">
      <w:pPr>
        <w:rPr>
          <w:highlight w:val="green"/>
        </w:rPr>
      </w:pPr>
    </w:p>
    <w:p w14:paraId="756CA4C5" w14:textId="77777777" w:rsidR="0030536B" w:rsidRPr="006815D6" w:rsidRDefault="0030536B" w:rsidP="0030536B">
      <w:pPr>
        <w:pStyle w:val="CETBodytext"/>
      </w:pPr>
      <w:r w:rsidRPr="006815D6">
        <w:t xml:space="preserve">In simulations, the MIXCINC flow class is considered, which allows conventional and non-conventional flows to be used in the simulation. Temperatures of 298 K were considered for </w:t>
      </w:r>
      <w:r>
        <w:t xml:space="preserve">the </w:t>
      </w:r>
      <w:r w:rsidRPr="006815D6">
        <w:t>power supply (BIO), and operating conditions for equipment in the simulator were: RYield (dried) at 600 K and RYield (pyrolysis) at 900 K. These parameters remain fixed in each simulation.</w:t>
      </w:r>
    </w:p>
    <w:p w14:paraId="09D00DF1" w14:textId="77777777" w:rsidR="0030536B" w:rsidRPr="00827834" w:rsidRDefault="0030536B" w:rsidP="0030536B">
      <w:r w:rsidRPr="00827834">
        <w:t>Gasification can be classified according to the gasifying agents used, such as air, steam, steam/oxygen, steam/air, and air/oxygen. In this work, steam and oxygen were used as gasifying agents. The combination of both is capable of generating a higher calorific value and products with more gaseous components of interest.</w:t>
      </w:r>
      <w:r>
        <w:t xml:space="preserve"> </w:t>
      </w:r>
    </w:p>
    <w:p w14:paraId="0DB38DDA" w14:textId="77777777" w:rsidR="0030536B" w:rsidRPr="000D1FDD" w:rsidRDefault="0030536B" w:rsidP="0030536B">
      <w:r w:rsidRPr="00827834">
        <w:t xml:space="preserve">The equivalence ratio (ER), when using air or oxygen, and the steam-to-biomass ratio (SB), when using steam in the gasification process, are important parameters that must be considered. In this work, an SB value of 2.85 </w:t>
      </w:r>
      <w:r w:rsidRPr="000D1FDD">
        <w:t>was used. A steam-to-biomass ratio (SB) of 2.85 was selected based on literature recommendations, where higher SB values favor hydrogen production and improve gas quality (Maitlo et al., 2022).</w:t>
      </w:r>
    </w:p>
    <w:p w14:paraId="42534631" w14:textId="77777777" w:rsidR="0030536B" w:rsidRPr="000D1FDD" w:rsidRDefault="0030536B" w:rsidP="0030536B">
      <w:pPr>
        <w:pStyle w:val="CETheadingx"/>
        <w:numPr>
          <w:ilvl w:val="0"/>
          <w:numId w:val="0"/>
        </w:numPr>
      </w:pPr>
      <w:r w:rsidRPr="000D1FDD">
        <w:rPr>
          <w:lang w:val="en-GB"/>
        </w:rPr>
        <w:t xml:space="preserve">2.5 </w:t>
      </w:r>
      <w:r w:rsidRPr="000D1FDD">
        <w:t>Model Validation</w:t>
      </w:r>
    </w:p>
    <w:p w14:paraId="1C19FD90" w14:textId="77777777" w:rsidR="00864ED8" w:rsidRPr="000D1FDD" w:rsidRDefault="0030536B" w:rsidP="00864ED8">
      <w:pPr>
        <w:pStyle w:val="CETHeading1"/>
        <w:numPr>
          <w:ilvl w:val="0"/>
          <w:numId w:val="0"/>
        </w:numPr>
        <w:spacing w:before="0" w:after="0"/>
        <w:jc w:val="both"/>
        <w:rPr>
          <w:b w:val="0"/>
          <w:sz w:val="18"/>
          <w:lang w:val="en-GB"/>
        </w:rPr>
      </w:pPr>
      <w:r w:rsidRPr="000D1FDD">
        <w:rPr>
          <w:b w:val="0"/>
          <w:sz w:val="18"/>
          <w:lang w:val="en-GB"/>
        </w:rPr>
        <w:t>To ensure the reliability of the simulation results, the model was qualitatively validated by comparison with literature data reported for biomass gasification in fixed-bed and fluidized-bed reactors (Figueroa et al., 2013; Trninić et al., 2020; Loha et al., 2014). The predicted syngas composition showed good agreement with reported ranges, particularly for CO and H</w:t>
      </w:r>
      <w:r w:rsidRPr="000D1FDD">
        <w:rPr>
          <w:b w:val="0"/>
          <w:sz w:val="18"/>
          <w:vertAlign w:val="subscript"/>
          <w:lang w:val="en-GB"/>
        </w:rPr>
        <w:t>2</w:t>
      </w:r>
      <w:r w:rsidRPr="000D1FDD">
        <w:rPr>
          <w:b w:val="0"/>
          <w:sz w:val="18"/>
          <w:lang w:val="en-GB"/>
        </w:rPr>
        <w:t>, which are the main components of synthesis gas.</w:t>
      </w:r>
    </w:p>
    <w:p w14:paraId="36C5FFCA" w14:textId="633C51C6" w:rsidR="0030536B" w:rsidRPr="00955D1C" w:rsidRDefault="0030536B" w:rsidP="00864ED8">
      <w:pPr>
        <w:pStyle w:val="CETHeading1"/>
        <w:numPr>
          <w:ilvl w:val="0"/>
          <w:numId w:val="0"/>
        </w:numPr>
        <w:spacing w:before="0" w:after="0"/>
        <w:jc w:val="both"/>
        <w:rPr>
          <w:b w:val="0"/>
          <w:sz w:val="18"/>
          <w:lang w:val="en-GB"/>
        </w:rPr>
      </w:pPr>
      <w:r w:rsidRPr="000D1FDD">
        <w:rPr>
          <w:b w:val="0"/>
          <w:sz w:val="18"/>
          <w:lang w:val="en-GB"/>
        </w:rPr>
        <w:t>Although no direct experimental validation was performed for the specific biomasses studied, the consistency of the results with previously published experimental and simulation studies supports the validity of the adopted modeling approach.</w:t>
      </w:r>
    </w:p>
    <w:p w14:paraId="4B2F6CC5" w14:textId="77777777" w:rsidR="0030536B" w:rsidRPr="0030536B" w:rsidRDefault="0030536B" w:rsidP="00D1626F">
      <w:pPr>
        <w:rPr>
          <w:highlight w:val="green"/>
        </w:rPr>
      </w:pPr>
    </w:p>
    <w:p w14:paraId="4865A71D" w14:textId="64CF67A5" w:rsidR="00664351" w:rsidRPr="00583355" w:rsidRDefault="00664351" w:rsidP="00664351">
      <w:pPr>
        <w:pStyle w:val="CET-table-title"/>
        <w:spacing w:before="120"/>
      </w:pPr>
      <w:r>
        <w:lastRenderedPageBreak/>
        <w:t xml:space="preserve">Table 3. </w:t>
      </w:r>
      <w:r w:rsidRPr="00583355">
        <w:t>Description of the flow</w:t>
      </w:r>
      <w:r>
        <w:t>sheet</w:t>
      </w:r>
      <w:r w:rsidRPr="00583355">
        <w:t xml:space="preserve"> for the </w:t>
      </w:r>
      <w:r>
        <w:t>gasification</w:t>
      </w:r>
      <w:r w:rsidRPr="00583355">
        <w:t xml:space="preserve"> process presented in Figure 1</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417"/>
        <w:gridCol w:w="5812"/>
      </w:tblGrid>
      <w:tr w:rsidR="00761A5E" w:rsidRPr="00583355" w14:paraId="4AAF1388" w14:textId="77777777" w:rsidTr="0025060D">
        <w:trPr>
          <w:trHeight w:val="20"/>
        </w:trPr>
        <w:tc>
          <w:tcPr>
            <w:tcW w:w="1418" w:type="dxa"/>
            <w:tcBorders>
              <w:top w:val="single" w:sz="18" w:space="0" w:color="00B050"/>
              <w:left w:val="nil"/>
              <w:bottom w:val="single" w:sz="18" w:space="0" w:color="00B050"/>
              <w:right w:val="nil"/>
            </w:tcBorders>
            <w:shd w:val="clear" w:color="auto" w:fill="FFFFFF" w:themeFill="background1"/>
            <w:tcMar>
              <w:top w:w="15" w:type="dxa"/>
              <w:left w:w="144" w:type="dxa"/>
              <w:bottom w:w="0" w:type="dxa"/>
              <w:right w:w="144" w:type="dxa"/>
            </w:tcMar>
            <w:hideMark/>
          </w:tcPr>
          <w:p w14:paraId="68BE800C" w14:textId="77777777" w:rsidR="00761A5E" w:rsidRPr="00583355" w:rsidRDefault="00761A5E" w:rsidP="008A220A">
            <w:pPr>
              <w:pStyle w:val="CETBodytext"/>
              <w:spacing w:line="360" w:lineRule="auto"/>
              <w:ind w:right="-288"/>
              <w:jc w:val="left"/>
              <w:rPr>
                <w:szCs w:val="18"/>
              </w:rPr>
            </w:pPr>
            <w:r w:rsidRPr="00583355">
              <w:rPr>
                <w:szCs w:val="18"/>
              </w:rPr>
              <w:t>ASPEN Plus</w:t>
            </w:r>
            <w:r w:rsidRPr="00583355">
              <w:rPr>
                <w:szCs w:val="18"/>
                <w:vertAlign w:val="superscript"/>
              </w:rPr>
              <w:t xml:space="preserve">TM </w:t>
            </w:r>
            <w:r w:rsidRPr="00583355">
              <w:rPr>
                <w:szCs w:val="18"/>
              </w:rPr>
              <w:t>Name</w:t>
            </w:r>
          </w:p>
        </w:tc>
        <w:tc>
          <w:tcPr>
            <w:tcW w:w="1417" w:type="dxa"/>
            <w:tcBorders>
              <w:top w:val="single" w:sz="18" w:space="0" w:color="00B050"/>
              <w:left w:val="nil"/>
              <w:bottom w:val="single" w:sz="18" w:space="0" w:color="00B050"/>
              <w:right w:val="nil"/>
            </w:tcBorders>
            <w:shd w:val="clear" w:color="auto" w:fill="FFFFFF" w:themeFill="background1"/>
            <w:tcMar>
              <w:top w:w="15" w:type="dxa"/>
              <w:left w:w="144" w:type="dxa"/>
              <w:bottom w:w="0" w:type="dxa"/>
              <w:right w:w="144" w:type="dxa"/>
            </w:tcMar>
            <w:hideMark/>
          </w:tcPr>
          <w:p w14:paraId="6F434E35" w14:textId="77777777" w:rsidR="00761A5E" w:rsidRPr="00583355" w:rsidRDefault="00761A5E" w:rsidP="008A220A">
            <w:pPr>
              <w:pStyle w:val="CETBodytext"/>
              <w:spacing w:line="360" w:lineRule="auto"/>
              <w:rPr>
                <w:szCs w:val="18"/>
              </w:rPr>
            </w:pPr>
            <w:r w:rsidRPr="00583355">
              <w:rPr>
                <w:szCs w:val="18"/>
              </w:rPr>
              <w:t>ID Block</w:t>
            </w:r>
          </w:p>
        </w:tc>
        <w:tc>
          <w:tcPr>
            <w:tcW w:w="5812" w:type="dxa"/>
            <w:tcBorders>
              <w:top w:val="single" w:sz="18" w:space="0" w:color="00B050"/>
              <w:left w:val="nil"/>
              <w:bottom w:val="single" w:sz="18" w:space="0" w:color="00B050"/>
              <w:right w:val="nil"/>
            </w:tcBorders>
            <w:shd w:val="clear" w:color="auto" w:fill="FFFFFF" w:themeFill="background1"/>
            <w:tcMar>
              <w:top w:w="15" w:type="dxa"/>
              <w:left w:w="144" w:type="dxa"/>
              <w:bottom w:w="0" w:type="dxa"/>
              <w:right w:w="144" w:type="dxa"/>
            </w:tcMar>
            <w:hideMark/>
          </w:tcPr>
          <w:p w14:paraId="041C3F25" w14:textId="77777777" w:rsidR="00761A5E" w:rsidRPr="00583355" w:rsidRDefault="00761A5E" w:rsidP="008A220A">
            <w:pPr>
              <w:pStyle w:val="CETBodytext"/>
              <w:spacing w:line="360" w:lineRule="auto"/>
              <w:rPr>
                <w:szCs w:val="18"/>
              </w:rPr>
            </w:pPr>
            <w:r w:rsidRPr="00583355">
              <w:rPr>
                <w:szCs w:val="18"/>
              </w:rPr>
              <w:t>Description</w:t>
            </w:r>
          </w:p>
        </w:tc>
      </w:tr>
      <w:tr w:rsidR="00761A5E" w:rsidRPr="00583355" w14:paraId="523305B5" w14:textId="77777777" w:rsidTr="0025060D">
        <w:trPr>
          <w:trHeight w:val="20"/>
        </w:trPr>
        <w:tc>
          <w:tcPr>
            <w:tcW w:w="1418" w:type="dxa"/>
            <w:vMerge w:val="restart"/>
            <w:tcBorders>
              <w:top w:val="single" w:sz="18" w:space="0" w:color="00B050"/>
              <w:left w:val="nil"/>
              <w:bottom w:val="nil"/>
              <w:right w:val="nil"/>
            </w:tcBorders>
            <w:tcMar>
              <w:top w:w="15" w:type="dxa"/>
              <w:left w:w="144" w:type="dxa"/>
              <w:bottom w:w="0" w:type="dxa"/>
              <w:right w:w="144" w:type="dxa"/>
            </w:tcMar>
            <w:vAlign w:val="center"/>
            <w:hideMark/>
          </w:tcPr>
          <w:p w14:paraId="398D1EE0" w14:textId="77777777" w:rsidR="00761A5E" w:rsidRPr="00583355" w:rsidRDefault="00761A5E" w:rsidP="008A220A">
            <w:pPr>
              <w:pStyle w:val="CETBodytext"/>
              <w:spacing w:line="360" w:lineRule="auto"/>
              <w:rPr>
                <w:szCs w:val="18"/>
              </w:rPr>
            </w:pPr>
            <w:r w:rsidRPr="00583355">
              <w:rPr>
                <w:szCs w:val="18"/>
              </w:rPr>
              <w:t>RYIELD</w:t>
            </w:r>
          </w:p>
        </w:tc>
        <w:tc>
          <w:tcPr>
            <w:tcW w:w="1417" w:type="dxa"/>
            <w:tcBorders>
              <w:top w:val="single" w:sz="18" w:space="0" w:color="00B050"/>
              <w:left w:val="nil"/>
              <w:bottom w:val="nil"/>
              <w:right w:val="nil"/>
            </w:tcBorders>
            <w:tcMar>
              <w:top w:w="15" w:type="dxa"/>
              <w:left w:w="144" w:type="dxa"/>
              <w:bottom w:w="0" w:type="dxa"/>
              <w:right w:w="144" w:type="dxa"/>
            </w:tcMar>
            <w:hideMark/>
          </w:tcPr>
          <w:p w14:paraId="75E64260" w14:textId="686314DC" w:rsidR="00761A5E" w:rsidRPr="00050C4F" w:rsidRDefault="00050C4F" w:rsidP="008A220A">
            <w:pPr>
              <w:pStyle w:val="CETBodytext"/>
              <w:spacing w:line="360" w:lineRule="auto"/>
              <w:jc w:val="left"/>
              <w:rPr>
                <w:szCs w:val="18"/>
                <w:highlight w:val="yellow"/>
              </w:rPr>
            </w:pPr>
            <w:r w:rsidRPr="00050C4F">
              <w:rPr>
                <w:szCs w:val="18"/>
              </w:rPr>
              <w:t>DRYIN</w:t>
            </w:r>
            <w:r>
              <w:rPr>
                <w:szCs w:val="18"/>
              </w:rPr>
              <w:t>G</w:t>
            </w:r>
          </w:p>
        </w:tc>
        <w:tc>
          <w:tcPr>
            <w:tcW w:w="5812" w:type="dxa"/>
            <w:tcBorders>
              <w:top w:val="single" w:sz="18" w:space="0" w:color="00B050"/>
              <w:left w:val="nil"/>
              <w:bottom w:val="nil"/>
              <w:right w:val="nil"/>
            </w:tcBorders>
            <w:tcMar>
              <w:top w:w="15" w:type="dxa"/>
              <w:left w:w="144" w:type="dxa"/>
              <w:bottom w:w="0" w:type="dxa"/>
              <w:right w:w="144" w:type="dxa"/>
            </w:tcMar>
            <w:vAlign w:val="center"/>
            <w:hideMark/>
          </w:tcPr>
          <w:p w14:paraId="1D8D5643" w14:textId="15F6E3DB" w:rsidR="00761A5E" w:rsidRPr="003A503D" w:rsidRDefault="00761A5E" w:rsidP="008A220A">
            <w:pPr>
              <w:spacing w:line="360" w:lineRule="auto"/>
              <w:rPr>
                <w:szCs w:val="18"/>
                <w:highlight w:val="yellow"/>
              </w:rPr>
            </w:pPr>
            <w:r w:rsidRPr="00050C4F">
              <w:rPr>
                <w:szCs w:val="18"/>
              </w:rPr>
              <w:t xml:space="preserve">Simulation of the biomass drying step. </w:t>
            </w:r>
            <w:r w:rsidR="003A503D" w:rsidRPr="00827834">
              <w:t xml:space="preserve">The moisture content of the babaçu </w:t>
            </w:r>
            <w:r w:rsidR="007C513F">
              <w:t>shells</w:t>
            </w:r>
            <w:r w:rsidR="003A503D" w:rsidRPr="00827834">
              <w:t xml:space="preserve"> biomass was considered to be 10%, and that of the açaí seed was considered to be 15%</w:t>
            </w:r>
            <w:r w:rsidR="003A503D">
              <w:t>.</w:t>
            </w:r>
          </w:p>
        </w:tc>
      </w:tr>
      <w:tr w:rsidR="00761A5E" w:rsidRPr="00583355" w14:paraId="24D40809" w14:textId="77777777" w:rsidTr="0025060D">
        <w:trPr>
          <w:trHeight w:val="20"/>
        </w:trPr>
        <w:tc>
          <w:tcPr>
            <w:tcW w:w="1418" w:type="dxa"/>
            <w:vMerge/>
            <w:tcBorders>
              <w:top w:val="nil"/>
              <w:left w:val="nil"/>
              <w:bottom w:val="nil"/>
              <w:right w:val="nil"/>
            </w:tcBorders>
            <w:tcMar>
              <w:top w:w="15" w:type="dxa"/>
              <w:left w:w="144" w:type="dxa"/>
              <w:bottom w:w="0" w:type="dxa"/>
              <w:right w:w="144" w:type="dxa"/>
            </w:tcMar>
            <w:vAlign w:val="center"/>
            <w:hideMark/>
          </w:tcPr>
          <w:p w14:paraId="0A6EC188" w14:textId="77777777" w:rsidR="00761A5E" w:rsidRPr="00583355" w:rsidRDefault="00761A5E" w:rsidP="008A220A">
            <w:pPr>
              <w:pStyle w:val="CETBodytext"/>
              <w:spacing w:line="360" w:lineRule="auto"/>
              <w:rPr>
                <w:szCs w:val="18"/>
              </w:rPr>
            </w:pPr>
          </w:p>
        </w:tc>
        <w:tc>
          <w:tcPr>
            <w:tcW w:w="1417" w:type="dxa"/>
            <w:tcBorders>
              <w:top w:val="nil"/>
              <w:left w:val="nil"/>
              <w:bottom w:val="nil"/>
              <w:right w:val="nil"/>
            </w:tcBorders>
            <w:tcMar>
              <w:top w:w="15" w:type="dxa"/>
              <w:left w:w="144" w:type="dxa"/>
              <w:bottom w:w="0" w:type="dxa"/>
              <w:right w:w="144" w:type="dxa"/>
            </w:tcMar>
            <w:vAlign w:val="center"/>
            <w:hideMark/>
          </w:tcPr>
          <w:p w14:paraId="56032A8A" w14:textId="2D7CC86E" w:rsidR="00761A5E" w:rsidRPr="00050C4F" w:rsidRDefault="00761A5E" w:rsidP="008A220A">
            <w:pPr>
              <w:pStyle w:val="CETBodytext"/>
              <w:spacing w:line="360" w:lineRule="auto"/>
              <w:rPr>
                <w:szCs w:val="18"/>
                <w:highlight w:val="yellow"/>
              </w:rPr>
            </w:pPr>
            <w:r w:rsidRPr="00050C4F">
              <w:rPr>
                <w:szCs w:val="18"/>
              </w:rPr>
              <w:t>P</w:t>
            </w:r>
            <w:r w:rsidR="00050C4F" w:rsidRPr="00050C4F">
              <w:rPr>
                <w:szCs w:val="18"/>
              </w:rPr>
              <w:t>YROLYS</w:t>
            </w:r>
          </w:p>
        </w:tc>
        <w:tc>
          <w:tcPr>
            <w:tcW w:w="5812" w:type="dxa"/>
            <w:tcBorders>
              <w:top w:val="nil"/>
              <w:left w:val="nil"/>
              <w:bottom w:val="nil"/>
              <w:right w:val="nil"/>
            </w:tcBorders>
            <w:tcMar>
              <w:top w:w="15" w:type="dxa"/>
              <w:left w:w="144" w:type="dxa"/>
              <w:bottom w:w="0" w:type="dxa"/>
              <w:right w:w="144" w:type="dxa"/>
            </w:tcMar>
            <w:hideMark/>
          </w:tcPr>
          <w:p w14:paraId="5283C972" w14:textId="6A0FB9CF" w:rsidR="00761A5E" w:rsidRPr="00050C4F" w:rsidRDefault="00050C4F" w:rsidP="008A220A">
            <w:pPr>
              <w:spacing w:line="360" w:lineRule="auto"/>
              <w:rPr>
                <w:szCs w:val="18"/>
                <w:highlight w:val="yellow"/>
              </w:rPr>
            </w:pPr>
            <w:r w:rsidRPr="00822B17">
              <w:t>It simulates biomass pyrolysis based on experimental data</w:t>
            </w:r>
            <w:r w:rsidR="003A503D">
              <w:t xml:space="preserve"> (</w:t>
            </w:r>
            <w:r w:rsidR="003A503D" w:rsidRPr="00273B5F">
              <w:rPr>
                <w:lang w:val="en-US"/>
              </w:rPr>
              <w:t>T</w:t>
            </w:r>
            <w:r w:rsidR="003A503D">
              <w:rPr>
                <w:lang w:val="en-US"/>
              </w:rPr>
              <w:t>inwala</w:t>
            </w:r>
            <w:r w:rsidR="003A503D" w:rsidRPr="00273B5F">
              <w:rPr>
                <w:lang w:val="en-US"/>
              </w:rPr>
              <w:t xml:space="preserve"> et al., 2015</w:t>
            </w:r>
            <w:r w:rsidR="003A503D">
              <w:rPr>
                <w:lang w:val="en-US"/>
              </w:rPr>
              <w:t>)</w:t>
            </w:r>
            <w:r w:rsidR="00566199">
              <w:t>.</w:t>
            </w:r>
          </w:p>
        </w:tc>
      </w:tr>
      <w:tr w:rsidR="00761A5E" w:rsidRPr="00583355" w14:paraId="0F25D821" w14:textId="77777777" w:rsidTr="0025060D">
        <w:trPr>
          <w:trHeight w:val="20"/>
        </w:trPr>
        <w:tc>
          <w:tcPr>
            <w:tcW w:w="1418" w:type="dxa"/>
            <w:vMerge w:val="restart"/>
            <w:tcBorders>
              <w:top w:val="nil"/>
              <w:left w:val="nil"/>
              <w:bottom w:val="nil"/>
              <w:right w:val="nil"/>
            </w:tcBorders>
            <w:tcMar>
              <w:top w:w="15" w:type="dxa"/>
              <w:left w:w="144" w:type="dxa"/>
              <w:bottom w:w="0" w:type="dxa"/>
              <w:right w:w="144" w:type="dxa"/>
            </w:tcMar>
            <w:vAlign w:val="center"/>
            <w:hideMark/>
          </w:tcPr>
          <w:p w14:paraId="75451124" w14:textId="77777777" w:rsidR="00761A5E" w:rsidRPr="00583355" w:rsidRDefault="00761A5E" w:rsidP="008A220A">
            <w:pPr>
              <w:pStyle w:val="CETBodytext"/>
              <w:spacing w:line="360" w:lineRule="auto"/>
              <w:rPr>
                <w:szCs w:val="18"/>
              </w:rPr>
            </w:pPr>
            <w:r w:rsidRPr="00583355">
              <w:rPr>
                <w:szCs w:val="18"/>
              </w:rPr>
              <w:t>SEP</w:t>
            </w:r>
          </w:p>
        </w:tc>
        <w:tc>
          <w:tcPr>
            <w:tcW w:w="1417" w:type="dxa"/>
            <w:tcBorders>
              <w:top w:val="nil"/>
              <w:left w:val="nil"/>
              <w:bottom w:val="nil"/>
              <w:right w:val="nil"/>
            </w:tcBorders>
            <w:tcMar>
              <w:top w:w="15" w:type="dxa"/>
              <w:left w:w="144" w:type="dxa"/>
              <w:bottom w:w="0" w:type="dxa"/>
              <w:right w:w="144" w:type="dxa"/>
            </w:tcMar>
            <w:vAlign w:val="center"/>
            <w:hideMark/>
          </w:tcPr>
          <w:p w14:paraId="75AF840B" w14:textId="3D986167" w:rsidR="00761A5E" w:rsidRPr="00050C4F" w:rsidRDefault="00050C4F" w:rsidP="008A220A">
            <w:pPr>
              <w:pStyle w:val="CETBodytext"/>
              <w:spacing w:line="360" w:lineRule="auto"/>
              <w:rPr>
                <w:szCs w:val="18"/>
                <w:highlight w:val="yellow"/>
              </w:rPr>
            </w:pPr>
            <w:r w:rsidRPr="00050C4F">
              <w:rPr>
                <w:szCs w:val="18"/>
              </w:rPr>
              <w:t>SEP-1</w:t>
            </w:r>
          </w:p>
        </w:tc>
        <w:tc>
          <w:tcPr>
            <w:tcW w:w="5812" w:type="dxa"/>
            <w:tcBorders>
              <w:top w:val="nil"/>
              <w:left w:val="nil"/>
              <w:bottom w:val="nil"/>
              <w:right w:val="nil"/>
            </w:tcBorders>
            <w:tcMar>
              <w:top w:w="15" w:type="dxa"/>
              <w:left w:w="144" w:type="dxa"/>
              <w:bottom w:w="0" w:type="dxa"/>
              <w:right w:w="144" w:type="dxa"/>
            </w:tcMar>
            <w:hideMark/>
          </w:tcPr>
          <w:p w14:paraId="69697E79" w14:textId="6DB7398A" w:rsidR="00761A5E" w:rsidRPr="00050C4F" w:rsidRDefault="00050C4F" w:rsidP="008A220A">
            <w:pPr>
              <w:spacing w:line="360" w:lineRule="auto"/>
              <w:rPr>
                <w:szCs w:val="18"/>
                <w:highlight w:val="yellow"/>
              </w:rPr>
            </w:pPr>
            <w:r w:rsidRPr="00822B17">
              <w:t>It simulates the separation of water from biomass</w:t>
            </w:r>
          </w:p>
        </w:tc>
      </w:tr>
      <w:tr w:rsidR="00761A5E" w:rsidRPr="00583355" w14:paraId="25DB4E35" w14:textId="77777777" w:rsidTr="0025060D">
        <w:trPr>
          <w:trHeight w:val="20"/>
        </w:trPr>
        <w:tc>
          <w:tcPr>
            <w:tcW w:w="1418" w:type="dxa"/>
            <w:vMerge/>
            <w:tcBorders>
              <w:top w:val="nil"/>
              <w:left w:val="nil"/>
              <w:bottom w:val="nil"/>
              <w:right w:val="nil"/>
            </w:tcBorders>
            <w:tcMar>
              <w:top w:w="15" w:type="dxa"/>
              <w:left w:w="144" w:type="dxa"/>
              <w:bottom w:w="0" w:type="dxa"/>
              <w:right w:w="144" w:type="dxa"/>
            </w:tcMar>
            <w:hideMark/>
          </w:tcPr>
          <w:p w14:paraId="39E11A3E" w14:textId="77777777" w:rsidR="00761A5E" w:rsidRPr="00583355" w:rsidRDefault="00761A5E" w:rsidP="008A220A">
            <w:pPr>
              <w:pStyle w:val="CETBodytext"/>
              <w:spacing w:line="360" w:lineRule="auto"/>
              <w:rPr>
                <w:szCs w:val="18"/>
              </w:rPr>
            </w:pPr>
          </w:p>
        </w:tc>
        <w:tc>
          <w:tcPr>
            <w:tcW w:w="1417" w:type="dxa"/>
            <w:tcBorders>
              <w:top w:val="nil"/>
              <w:left w:val="nil"/>
              <w:bottom w:val="nil"/>
              <w:right w:val="nil"/>
            </w:tcBorders>
            <w:tcMar>
              <w:top w:w="15" w:type="dxa"/>
              <w:left w:w="144" w:type="dxa"/>
              <w:bottom w:w="0" w:type="dxa"/>
              <w:right w:w="144" w:type="dxa"/>
            </w:tcMar>
            <w:vAlign w:val="center"/>
            <w:hideMark/>
          </w:tcPr>
          <w:p w14:paraId="0BB89578" w14:textId="1F40582D" w:rsidR="00761A5E" w:rsidRPr="00050C4F" w:rsidRDefault="00566199" w:rsidP="008A220A">
            <w:pPr>
              <w:pStyle w:val="CETBodytext"/>
              <w:spacing w:line="360" w:lineRule="auto"/>
              <w:rPr>
                <w:szCs w:val="18"/>
                <w:highlight w:val="yellow"/>
              </w:rPr>
            </w:pPr>
            <w:r w:rsidRPr="00566199">
              <w:rPr>
                <w:szCs w:val="18"/>
              </w:rPr>
              <w:t>SEP-2</w:t>
            </w:r>
          </w:p>
        </w:tc>
        <w:tc>
          <w:tcPr>
            <w:tcW w:w="5812" w:type="dxa"/>
            <w:tcBorders>
              <w:top w:val="nil"/>
              <w:left w:val="nil"/>
              <w:bottom w:val="nil"/>
              <w:right w:val="nil"/>
            </w:tcBorders>
            <w:tcMar>
              <w:top w:w="15" w:type="dxa"/>
              <w:left w:w="144" w:type="dxa"/>
              <w:bottom w:w="0" w:type="dxa"/>
              <w:right w:w="144" w:type="dxa"/>
            </w:tcMar>
            <w:hideMark/>
          </w:tcPr>
          <w:p w14:paraId="434AC102" w14:textId="391583FB" w:rsidR="00761A5E" w:rsidRPr="00050C4F" w:rsidRDefault="00566199" w:rsidP="008A220A">
            <w:pPr>
              <w:spacing w:line="360" w:lineRule="auto"/>
              <w:rPr>
                <w:szCs w:val="18"/>
                <w:highlight w:val="yellow"/>
              </w:rPr>
            </w:pPr>
            <w:r w:rsidRPr="002B54C8">
              <w:t>It simulates the separation of volatiles generated in the pyrolysis of char</w:t>
            </w:r>
            <w:r w:rsidR="005B5821">
              <w:t>.</w:t>
            </w:r>
          </w:p>
        </w:tc>
      </w:tr>
      <w:tr w:rsidR="00696DBA" w:rsidRPr="00583355" w14:paraId="17F9EB83" w14:textId="77777777" w:rsidTr="0025060D">
        <w:trPr>
          <w:trHeight w:val="20"/>
        </w:trPr>
        <w:tc>
          <w:tcPr>
            <w:tcW w:w="1418" w:type="dxa"/>
            <w:vMerge/>
            <w:tcBorders>
              <w:top w:val="nil"/>
              <w:left w:val="nil"/>
              <w:bottom w:val="nil"/>
              <w:right w:val="nil"/>
            </w:tcBorders>
            <w:tcMar>
              <w:top w:w="15" w:type="dxa"/>
              <w:left w:w="144" w:type="dxa"/>
              <w:bottom w:w="0" w:type="dxa"/>
              <w:right w:w="144" w:type="dxa"/>
            </w:tcMar>
          </w:tcPr>
          <w:p w14:paraId="7149FBBF" w14:textId="77777777" w:rsidR="00696DBA" w:rsidRPr="00583355" w:rsidRDefault="00696DBA" w:rsidP="008A220A">
            <w:pPr>
              <w:pStyle w:val="CETBodytext"/>
              <w:spacing w:line="360" w:lineRule="auto"/>
              <w:rPr>
                <w:szCs w:val="18"/>
              </w:rPr>
            </w:pPr>
          </w:p>
        </w:tc>
        <w:tc>
          <w:tcPr>
            <w:tcW w:w="1417" w:type="dxa"/>
            <w:tcBorders>
              <w:top w:val="nil"/>
              <w:left w:val="nil"/>
              <w:bottom w:val="nil"/>
              <w:right w:val="nil"/>
            </w:tcBorders>
            <w:tcMar>
              <w:top w:w="15" w:type="dxa"/>
              <w:left w:w="144" w:type="dxa"/>
              <w:bottom w:w="0" w:type="dxa"/>
              <w:right w:w="144" w:type="dxa"/>
            </w:tcMar>
            <w:vAlign w:val="center"/>
          </w:tcPr>
          <w:p w14:paraId="3E4BB676" w14:textId="7C042B15" w:rsidR="00696DBA" w:rsidRPr="00566199" w:rsidRDefault="00696DBA" w:rsidP="008A220A">
            <w:pPr>
              <w:pStyle w:val="CETBodytext"/>
              <w:spacing w:line="360" w:lineRule="auto"/>
              <w:rPr>
                <w:szCs w:val="18"/>
              </w:rPr>
            </w:pPr>
            <w:r>
              <w:rPr>
                <w:szCs w:val="18"/>
              </w:rPr>
              <w:t>SEP-3</w:t>
            </w:r>
          </w:p>
        </w:tc>
        <w:tc>
          <w:tcPr>
            <w:tcW w:w="5812" w:type="dxa"/>
            <w:tcBorders>
              <w:top w:val="nil"/>
              <w:left w:val="nil"/>
              <w:bottom w:val="nil"/>
              <w:right w:val="nil"/>
            </w:tcBorders>
            <w:tcMar>
              <w:top w:w="15" w:type="dxa"/>
              <w:left w:w="144" w:type="dxa"/>
              <w:bottom w:w="0" w:type="dxa"/>
              <w:right w:w="144" w:type="dxa"/>
            </w:tcMar>
          </w:tcPr>
          <w:p w14:paraId="79A3B23E" w14:textId="2CEDE82D" w:rsidR="00696DBA" w:rsidRPr="002B54C8" w:rsidRDefault="00696DBA" w:rsidP="008A220A">
            <w:pPr>
              <w:spacing w:line="360" w:lineRule="auto"/>
            </w:pPr>
            <w:r w:rsidRPr="002B54C8">
              <w:t>It simulates the separation of gases from the solid part</w:t>
            </w:r>
            <w:r w:rsidR="005B5821">
              <w:t>.</w:t>
            </w:r>
          </w:p>
        </w:tc>
      </w:tr>
      <w:tr w:rsidR="00761A5E" w:rsidRPr="00583355" w14:paraId="4DE3120F" w14:textId="77777777" w:rsidTr="0025060D">
        <w:trPr>
          <w:trHeight w:val="20"/>
        </w:trPr>
        <w:tc>
          <w:tcPr>
            <w:tcW w:w="1418" w:type="dxa"/>
            <w:tcBorders>
              <w:top w:val="nil"/>
              <w:left w:val="nil"/>
              <w:bottom w:val="nil"/>
              <w:right w:val="nil"/>
            </w:tcBorders>
            <w:tcMar>
              <w:top w:w="15" w:type="dxa"/>
              <w:left w:w="144" w:type="dxa"/>
              <w:bottom w:w="0" w:type="dxa"/>
              <w:right w:w="144" w:type="dxa"/>
            </w:tcMar>
            <w:vAlign w:val="center"/>
            <w:hideMark/>
          </w:tcPr>
          <w:p w14:paraId="553F1AF5" w14:textId="77777777" w:rsidR="00761A5E" w:rsidRPr="00583355" w:rsidRDefault="00761A5E" w:rsidP="008A220A">
            <w:pPr>
              <w:pStyle w:val="CETBodytext"/>
              <w:spacing w:line="360" w:lineRule="auto"/>
              <w:rPr>
                <w:szCs w:val="18"/>
              </w:rPr>
            </w:pPr>
            <w:r w:rsidRPr="00583355">
              <w:rPr>
                <w:szCs w:val="18"/>
              </w:rPr>
              <w:t>HEATER</w:t>
            </w:r>
          </w:p>
        </w:tc>
        <w:tc>
          <w:tcPr>
            <w:tcW w:w="1417" w:type="dxa"/>
            <w:tcBorders>
              <w:top w:val="nil"/>
              <w:left w:val="nil"/>
              <w:bottom w:val="nil"/>
              <w:right w:val="nil"/>
            </w:tcBorders>
            <w:tcMar>
              <w:top w:w="15" w:type="dxa"/>
              <w:left w:w="144" w:type="dxa"/>
              <w:bottom w:w="0" w:type="dxa"/>
              <w:right w:w="144" w:type="dxa"/>
            </w:tcMar>
            <w:vAlign w:val="center"/>
            <w:hideMark/>
          </w:tcPr>
          <w:p w14:paraId="70FA0756" w14:textId="1FA3E91A" w:rsidR="007E4CA9" w:rsidRPr="00050C4F" w:rsidRDefault="007E4CA9" w:rsidP="008A220A">
            <w:pPr>
              <w:pStyle w:val="CETBodytext"/>
              <w:spacing w:line="360" w:lineRule="auto"/>
              <w:rPr>
                <w:szCs w:val="18"/>
                <w:highlight w:val="yellow"/>
              </w:rPr>
            </w:pPr>
            <w:r w:rsidRPr="00C004C0">
              <w:rPr>
                <w:szCs w:val="18"/>
              </w:rPr>
              <w:t>MIX-EXCH</w:t>
            </w:r>
          </w:p>
        </w:tc>
        <w:tc>
          <w:tcPr>
            <w:tcW w:w="5812" w:type="dxa"/>
            <w:tcBorders>
              <w:top w:val="nil"/>
              <w:left w:val="nil"/>
              <w:bottom w:val="nil"/>
              <w:right w:val="nil"/>
            </w:tcBorders>
            <w:tcMar>
              <w:top w:w="15" w:type="dxa"/>
              <w:left w:w="144" w:type="dxa"/>
              <w:bottom w:w="0" w:type="dxa"/>
              <w:right w:w="144" w:type="dxa"/>
            </w:tcMar>
            <w:hideMark/>
          </w:tcPr>
          <w:p w14:paraId="42F86262" w14:textId="13F4A82C" w:rsidR="00761A5E" w:rsidRPr="00050C4F" w:rsidRDefault="00C004C0" w:rsidP="008A220A">
            <w:pPr>
              <w:pStyle w:val="CETBodytext"/>
              <w:spacing w:line="360" w:lineRule="auto"/>
              <w:rPr>
                <w:szCs w:val="18"/>
                <w:highlight w:val="yellow"/>
              </w:rPr>
            </w:pPr>
            <w:r w:rsidRPr="00C004C0">
              <w:t xml:space="preserve">It provides heat </w:t>
            </w:r>
            <w:r w:rsidR="005B5821" w:rsidRPr="00C004C0">
              <w:t>for</w:t>
            </w:r>
            <w:r w:rsidRPr="00C004C0">
              <w:t xml:space="preserve"> the drying and pyrolysis processes through the heat generated by the gas.</w:t>
            </w:r>
          </w:p>
        </w:tc>
      </w:tr>
      <w:tr w:rsidR="007E4CA9" w:rsidRPr="00583355" w14:paraId="7E77EFD4" w14:textId="77777777" w:rsidTr="0025060D">
        <w:trPr>
          <w:trHeight w:val="20"/>
        </w:trPr>
        <w:tc>
          <w:tcPr>
            <w:tcW w:w="1418" w:type="dxa"/>
            <w:tcBorders>
              <w:top w:val="nil"/>
              <w:left w:val="nil"/>
              <w:bottom w:val="nil"/>
              <w:right w:val="nil"/>
            </w:tcBorders>
            <w:tcMar>
              <w:top w:w="15" w:type="dxa"/>
              <w:left w:w="144" w:type="dxa"/>
              <w:bottom w:w="0" w:type="dxa"/>
              <w:right w:w="144" w:type="dxa"/>
            </w:tcMar>
            <w:vAlign w:val="center"/>
          </w:tcPr>
          <w:p w14:paraId="301C268E" w14:textId="12B6D227" w:rsidR="007E4CA9" w:rsidRPr="00583355" w:rsidRDefault="007E4CA9" w:rsidP="008A220A">
            <w:pPr>
              <w:pStyle w:val="CETBodytext"/>
              <w:spacing w:line="360" w:lineRule="auto"/>
              <w:rPr>
                <w:szCs w:val="18"/>
              </w:rPr>
            </w:pPr>
            <w:r>
              <w:rPr>
                <w:szCs w:val="18"/>
              </w:rPr>
              <w:t>MIXER</w:t>
            </w:r>
          </w:p>
        </w:tc>
        <w:tc>
          <w:tcPr>
            <w:tcW w:w="1417" w:type="dxa"/>
            <w:tcBorders>
              <w:top w:val="nil"/>
              <w:left w:val="nil"/>
              <w:bottom w:val="nil"/>
              <w:right w:val="nil"/>
            </w:tcBorders>
            <w:tcMar>
              <w:top w:w="15" w:type="dxa"/>
              <w:left w:w="144" w:type="dxa"/>
              <w:bottom w:w="0" w:type="dxa"/>
              <w:right w:w="144" w:type="dxa"/>
            </w:tcMar>
            <w:vAlign w:val="center"/>
          </w:tcPr>
          <w:p w14:paraId="42FFF139" w14:textId="5E08DC47" w:rsidR="007E4CA9" w:rsidRDefault="007E4CA9" w:rsidP="008A220A">
            <w:pPr>
              <w:pStyle w:val="CETBodytext"/>
              <w:spacing w:line="360" w:lineRule="auto"/>
              <w:rPr>
                <w:szCs w:val="18"/>
                <w:highlight w:val="yellow"/>
              </w:rPr>
            </w:pPr>
            <w:r w:rsidRPr="000D705B">
              <w:rPr>
                <w:szCs w:val="18"/>
              </w:rPr>
              <w:t>MIX-GASIN</w:t>
            </w:r>
          </w:p>
        </w:tc>
        <w:tc>
          <w:tcPr>
            <w:tcW w:w="5812" w:type="dxa"/>
            <w:tcBorders>
              <w:top w:val="nil"/>
              <w:left w:val="nil"/>
              <w:bottom w:val="nil"/>
              <w:right w:val="nil"/>
            </w:tcBorders>
            <w:tcMar>
              <w:top w:w="15" w:type="dxa"/>
              <w:left w:w="144" w:type="dxa"/>
              <w:bottom w:w="0" w:type="dxa"/>
              <w:right w:w="144" w:type="dxa"/>
            </w:tcMar>
          </w:tcPr>
          <w:p w14:paraId="6FD5F72A" w14:textId="300034DC" w:rsidR="007E4CA9" w:rsidRPr="00050C4F" w:rsidRDefault="0086102E" w:rsidP="008A220A">
            <w:pPr>
              <w:spacing w:line="360" w:lineRule="auto"/>
              <w:rPr>
                <w:szCs w:val="18"/>
                <w:highlight w:val="yellow"/>
              </w:rPr>
            </w:pPr>
            <w:r>
              <w:t>M</w:t>
            </w:r>
            <w:r w:rsidRPr="0086102E">
              <w:t>ixes water and O</w:t>
            </w:r>
            <w:r w:rsidRPr="00E35727">
              <w:rPr>
                <w:vertAlign w:val="subscript"/>
              </w:rPr>
              <w:t>2</w:t>
            </w:r>
            <w:r w:rsidRPr="0086102E">
              <w:t xml:space="preserve"> with gaseous products</w:t>
            </w:r>
          </w:p>
        </w:tc>
      </w:tr>
      <w:tr w:rsidR="0025060D" w:rsidRPr="00583355" w14:paraId="01604DD5" w14:textId="77777777" w:rsidTr="0025060D">
        <w:trPr>
          <w:trHeight w:val="20"/>
        </w:trPr>
        <w:tc>
          <w:tcPr>
            <w:tcW w:w="1418" w:type="dxa"/>
            <w:tcBorders>
              <w:top w:val="nil"/>
              <w:left w:val="nil"/>
              <w:bottom w:val="nil"/>
              <w:right w:val="nil"/>
            </w:tcBorders>
            <w:tcMar>
              <w:top w:w="15" w:type="dxa"/>
              <w:left w:w="144" w:type="dxa"/>
              <w:bottom w:w="0" w:type="dxa"/>
              <w:right w:w="144" w:type="dxa"/>
            </w:tcMar>
            <w:vAlign w:val="center"/>
          </w:tcPr>
          <w:p w14:paraId="45284BC7" w14:textId="37FFBE79" w:rsidR="0025060D" w:rsidRDefault="0025060D" w:rsidP="008A220A">
            <w:pPr>
              <w:pStyle w:val="CETBodytext"/>
              <w:spacing w:line="360" w:lineRule="auto"/>
              <w:rPr>
                <w:szCs w:val="18"/>
              </w:rPr>
            </w:pPr>
            <w:r>
              <w:rPr>
                <w:szCs w:val="18"/>
              </w:rPr>
              <w:t>RCSTR</w:t>
            </w:r>
          </w:p>
        </w:tc>
        <w:tc>
          <w:tcPr>
            <w:tcW w:w="1417" w:type="dxa"/>
            <w:tcBorders>
              <w:top w:val="nil"/>
              <w:left w:val="nil"/>
              <w:bottom w:val="nil"/>
              <w:right w:val="nil"/>
            </w:tcBorders>
            <w:tcMar>
              <w:top w:w="15" w:type="dxa"/>
              <w:left w:w="144" w:type="dxa"/>
              <w:bottom w:w="0" w:type="dxa"/>
              <w:right w:w="144" w:type="dxa"/>
            </w:tcMar>
            <w:vAlign w:val="center"/>
          </w:tcPr>
          <w:p w14:paraId="35EFFAB8" w14:textId="3DBA3552" w:rsidR="0025060D" w:rsidRPr="000D705B" w:rsidRDefault="0025060D" w:rsidP="008A220A">
            <w:pPr>
              <w:pStyle w:val="CETBodytext"/>
              <w:spacing w:line="360" w:lineRule="auto"/>
              <w:rPr>
                <w:szCs w:val="18"/>
              </w:rPr>
            </w:pPr>
            <w:r>
              <w:rPr>
                <w:szCs w:val="18"/>
              </w:rPr>
              <w:t>GASIF 1…1</w:t>
            </w:r>
            <w:r w:rsidR="004303E9">
              <w:rPr>
                <w:szCs w:val="18"/>
              </w:rPr>
              <w:t>0</w:t>
            </w:r>
          </w:p>
        </w:tc>
        <w:tc>
          <w:tcPr>
            <w:tcW w:w="5812" w:type="dxa"/>
            <w:tcBorders>
              <w:top w:val="nil"/>
              <w:left w:val="nil"/>
              <w:bottom w:val="nil"/>
              <w:right w:val="nil"/>
            </w:tcBorders>
            <w:tcMar>
              <w:top w:w="15" w:type="dxa"/>
              <w:left w:w="144" w:type="dxa"/>
              <w:bottom w:w="0" w:type="dxa"/>
              <w:right w:w="144" w:type="dxa"/>
            </w:tcMar>
          </w:tcPr>
          <w:p w14:paraId="52722E1F" w14:textId="0CF3523B" w:rsidR="0025060D" w:rsidRPr="0025060D" w:rsidRDefault="0025060D" w:rsidP="008A220A">
            <w:pPr>
              <w:spacing w:line="360" w:lineRule="auto"/>
              <w:rPr>
                <w:highlight w:val="yellow"/>
              </w:rPr>
            </w:pPr>
            <w:r w:rsidRPr="0025060D">
              <w:t>It simulates char gasification and combustion</w:t>
            </w:r>
          </w:p>
        </w:tc>
      </w:tr>
      <w:tr w:rsidR="0086102E" w:rsidRPr="00583355" w14:paraId="0A4BF5CC" w14:textId="77777777" w:rsidTr="00F95B4E">
        <w:trPr>
          <w:trHeight w:val="470"/>
        </w:trPr>
        <w:tc>
          <w:tcPr>
            <w:tcW w:w="1418" w:type="dxa"/>
            <w:tcBorders>
              <w:top w:val="nil"/>
              <w:left w:val="nil"/>
              <w:bottom w:val="single" w:sz="24" w:space="0" w:color="00B050"/>
              <w:right w:val="nil"/>
            </w:tcBorders>
            <w:tcMar>
              <w:top w:w="15" w:type="dxa"/>
              <w:left w:w="144" w:type="dxa"/>
              <w:bottom w:w="0" w:type="dxa"/>
              <w:right w:w="144" w:type="dxa"/>
            </w:tcMar>
            <w:vAlign w:val="center"/>
          </w:tcPr>
          <w:p w14:paraId="7DA3DBBB" w14:textId="263041AD" w:rsidR="0086102E" w:rsidRDefault="0086102E" w:rsidP="008A220A">
            <w:pPr>
              <w:pStyle w:val="CETBodytext"/>
              <w:spacing w:line="360" w:lineRule="auto"/>
              <w:rPr>
                <w:szCs w:val="18"/>
              </w:rPr>
            </w:pPr>
            <w:r>
              <w:rPr>
                <w:szCs w:val="18"/>
              </w:rPr>
              <w:t>RSTOIC</w:t>
            </w:r>
          </w:p>
        </w:tc>
        <w:tc>
          <w:tcPr>
            <w:tcW w:w="1417" w:type="dxa"/>
            <w:tcBorders>
              <w:top w:val="nil"/>
              <w:left w:val="nil"/>
              <w:bottom w:val="single" w:sz="24" w:space="0" w:color="00B050"/>
              <w:right w:val="nil"/>
            </w:tcBorders>
            <w:tcMar>
              <w:top w:w="15" w:type="dxa"/>
              <w:left w:w="144" w:type="dxa"/>
              <w:bottom w:w="0" w:type="dxa"/>
              <w:right w:w="144" w:type="dxa"/>
            </w:tcMar>
            <w:vAlign w:val="center"/>
          </w:tcPr>
          <w:p w14:paraId="12319F08" w14:textId="7BB3E958" w:rsidR="0086102E" w:rsidRDefault="0086102E" w:rsidP="008A220A">
            <w:pPr>
              <w:pStyle w:val="CETBodytext"/>
              <w:spacing w:line="360" w:lineRule="auto"/>
              <w:rPr>
                <w:szCs w:val="18"/>
              </w:rPr>
            </w:pPr>
            <w:r>
              <w:rPr>
                <w:szCs w:val="18"/>
              </w:rPr>
              <w:t>CHAR-DEC</w:t>
            </w:r>
          </w:p>
        </w:tc>
        <w:tc>
          <w:tcPr>
            <w:tcW w:w="5812" w:type="dxa"/>
            <w:tcBorders>
              <w:top w:val="nil"/>
              <w:left w:val="nil"/>
              <w:bottom w:val="single" w:sz="24" w:space="0" w:color="00B050"/>
              <w:right w:val="nil"/>
            </w:tcBorders>
            <w:tcMar>
              <w:top w:w="15" w:type="dxa"/>
              <w:left w:w="144" w:type="dxa"/>
              <w:bottom w:w="0" w:type="dxa"/>
              <w:right w:w="144" w:type="dxa"/>
            </w:tcMar>
          </w:tcPr>
          <w:p w14:paraId="14AEA065" w14:textId="19AC8318" w:rsidR="0086102E" w:rsidRPr="00DD0A42" w:rsidRDefault="0086102E" w:rsidP="008A220A">
            <w:pPr>
              <w:spacing w:line="360" w:lineRule="auto"/>
              <w:rPr>
                <w:highlight w:val="yellow"/>
              </w:rPr>
            </w:pPr>
            <w:r w:rsidRPr="00DD0A42">
              <w:t>It decomposes the char into C, H</w:t>
            </w:r>
            <w:r w:rsidRPr="00E35727">
              <w:rPr>
                <w:vertAlign w:val="subscript"/>
              </w:rPr>
              <w:t>2</w:t>
            </w:r>
            <w:r w:rsidRPr="00DD0A42">
              <w:t>, O</w:t>
            </w:r>
            <w:r w:rsidRPr="00E35727">
              <w:rPr>
                <w:vertAlign w:val="subscript"/>
              </w:rPr>
              <w:t>2</w:t>
            </w:r>
            <w:r w:rsidRPr="00DD0A42">
              <w:t>, N</w:t>
            </w:r>
            <w:r w:rsidRPr="00E35727">
              <w:rPr>
                <w:vertAlign w:val="subscript"/>
              </w:rPr>
              <w:t>2</w:t>
            </w:r>
            <w:r w:rsidRPr="00DD0A42">
              <w:t>, and ash to facilitate the simulation of gasification and combustion</w:t>
            </w:r>
          </w:p>
        </w:tc>
      </w:tr>
    </w:tbl>
    <w:p w14:paraId="55217F83" w14:textId="665EEF36" w:rsidR="00093593" w:rsidRDefault="00093593" w:rsidP="0014245C">
      <w:pPr>
        <w:pStyle w:val="CETHeading1"/>
      </w:pPr>
      <w:r w:rsidRPr="00F777B5">
        <w:t>Results and Discussions</w:t>
      </w:r>
    </w:p>
    <w:p w14:paraId="3E36B49B" w14:textId="1E972050" w:rsidR="0014245C" w:rsidRDefault="0014245C" w:rsidP="0014245C">
      <w:pPr>
        <w:pStyle w:val="Prrafodelista"/>
        <w:ind w:left="0"/>
        <w:rPr>
          <w:bCs/>
          <w:lang w:val="en-US"/>
        </w:rPr>
      </w:pPr>
      <w:r w:rsidRPr="0014245C">
        <w:rPr>
          <w:bCs/>
          <w:lang w:val="en-US"/>
        </w:rPr>
        <w:t>Figure 2 presents</w:t>
      </w:r>
      <w:r w:rsidRPr="0014245C">
        <w:rPr>
          <w:lang w:val="en-US"/>
        </w:rPr>
        <w:t xml:space="preserve"> a simplified diagram of the main substances involved in the simulation and their respective </w:t>
      </w:r>
      <w:r w:rsidRPr="0014245C">
        <w:rPr>
          <w:bCs/>
          <w:lang w:val="en-US"/>
        </w:rPr>
        <w:t>mass flow rates</w:t>
      </w:r>
      <w:r w:rsidRPr="0014245C">
        <w:rPr>
          <w:lang w:val="en-US"/>
        </w:rPr>
        <w:t xml:space="preserve">. These flows vary according to the compositions described during the simulation; for example, for the babassu shell biomass, the reference moisture content was 10%, </w:t>
      </w:r>
      <w:r w:rsidRPr="0014245C">
        <w:rPr>
          <w:bCs/>
          <w:lang w:val="en-US"/>
        </w:rPr>
        <w:t>consequently</w:t>
      </w:r>
      <w:r w:rsidRPr="0014245C">
        <w:rPr>
          <w:lang w:val="en-US"/>
        </w:rPr>
        <w:t xml:space="preserve"> the amount of water to be </w:t>
      </w:r>
      <w:r w:rsidRPr="0014245C">
        <w:rPr>
          <w:bCs/>
          <w:lang w:val="en-US"/>
        </w:rPr>
        <w:t>removed</w:t>
      </w:r>
      <w:r w:rsidRPr="0014245C">
        <w:rPr>
          <w:lang w:val="en-US"/>
        </w:rPr>
        <w:t xml:space="preserve"> in the SEP-1 block is different from the simulation carried out for açaí seeds, with a moisture content of 15%. The main stages of the gasification process are explained in </w:t>
      </w:r>
      <w:r w:rsidRPr="0014245C">
        <w:rPr>
          <w:bCs/>
          <w:lang w:val="en-US"/>
        </w:rPr>
        <w:t>Table 3</w:t>
      </w:r>
      <w:r>
        <w:rPr>
          <w:bCs/>
          <w:lang w:val="en-US"/>
        </w:rPr>
        <w:t>.</w:t>
      </w:r>
    </w:p>
    <w:p w14:paraId="26BF62E6" w14:textId="77777777" w:rsidR="0014245C" w:rsidRDefault="0014245C" w:rsidP="0014245C">
      <w:pPr>
        <w:pStyle w:val="Prrafodelista"/>
        <w:ind w:left="0"/>
        <w:rPr>
          <w:bCs/>
          <w:lang w:val="en-US"/>
        </w:rPr>
      </w:pPr>
    </w:p>
    <w:p w14:paraId="66656602" w14:textId="09C2AC18" w:rsidR="0014245C" w:rsidRDefault="0077517E" w:rsidP="0014245C">
      <w:pPr>
        <w:pStyle w:val="Prrafodelista"/>
        <w:ind w:left="0"/>
        <w:rPr>
          <w:bCs/>
          <w:lang w:val="en-US"/>
        </w:rPr>
      </w:pPr>
      <w:r>
        <w:rPr>
          <w:bCs/>
          <w:noProof/>
          <w:lang w:val="es-ES" w:eastAsia="es-ES"/>
        </w:rPr>
        <w:drawing>
          <wp:inline distT="0" distB="0" distL="0" distR="0" wp14:anchorId="37E0B5AF" wp14:editId="116A6676">
            <wp:extent cx="5425440" cy="2761806"/>
            <wp:effectExtent l="0" t="0" r="381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 balance.png"/>
                    <pic:cNvPicPr/>
                  </pic:nvPicPr>
                  <pic:blipFill>
                    <a:blip r:embed="rId11">
                      <a:extLst>
                        <a:ext uri="{28A0092B-C50C-407E-A947-70E740481C1C}">
                          <a14:useLocalDpi xmlns:a14="http://schemas.microsoft.com/office/drawing/2010/main" val="0"/>
                        </a:ext>
                      </a:extLst>
                    </a:blip>
                    <a:stretch>
                      <a:fillRect/>
                    </a:stretch>
                  </pic:blipFill>
                  <pic:spPr>
                    <a:xfrm>
                      <a:off x="0" y="0"/>
                      <a:ext cx="5429664" cy="2763956"/>
                    </a:xfrm>
                    <a:prstGeom prst="rect">
                      <a:avLst/>
                    </a:prstGeom>
                  </pic:spPr>
                </pic:pic>
              </a:graphicData>
            </a:graphic>
          </wp:inline>
        </w:drawing>
      </w:r>
    </w:p>
    <w:p w14:paraId="0F84084A" w14:textId="77777777" w:rsidR="00A63DF8" w:rsidRPr="00EE4CB3" w:rsidRDefault="00360733" w:rsidP="00A63DF8">
      <w:r w:rsidRPr="00A63DF8">
        <w:t xml:space="preserve">Figure </w:t>
      </w:r>
      <w:r w:rsidRPr="00A63DF8">
        <w:t>2</w:t>
      </w:r>
      <w:r w:rsidRPr="00A63DF8">
        <w:t xml:space="preserve">. </w:t>
      </w:r>
      <w:r w:rsidR="00A63DF8" w:rsidRPr="00A63DF8">
        <w:t>Mass balance of biomass gasification</w:t>
      </w:r>
    </w:p>
    <w:p w14:paraId="0C50D636" w14:textId="77777777" w:rsidR="0077517E" w:rsidRDefault="0077517E" w:rsidP="0014245C">
      <w:pPr>
        <w:pStyle w:val="Prrafodelista"/>
        <w:ind w:left="0"/>
        <w:rPr>
          <w:bCs/>
          <w:lang w:val="en-US"/>
        </w:rPr>
      </w:pPr>
    </w:p>
    <w:p w14:paraId="2142253F" w14:textId="5A1AB2C4" w:rsidR="00216FFA" w:rsidRDefault="0014245C" w:rsidP="00216FFA">
      <w:r w:rsidRPr="0014245C">
        <w:t>Figure 3</w:t>
      </w:r>
      <w:r w:rsidR="00216FFA" w:rsidRPr="0014245C">
        <w:t xml:space="preserve"> sh</w:t>
      </w:r>
      <w:r w:rsidR="00216FFA" w:rsidRPr="00A72A78">
        <w:t xml:space="preserve">ows that for both biomasses, the highest yield was in the gaseous phase, at 78.52% for babassu </w:t>
      </w:r>
      <w:r w:rsidR="00216FFA">
        <w:t>shells</w:t>
      </w:r>
      <w:r w:rsidR="00216FFA" w:rsidRPr="00A72A78">
        <w:t xml:space="preserve"> and 79.04% for açaí seed</w:t>
      </w:r>
      <w:r w:rsidR="00216FFA">
        <w:t>s</w:t>
      </w:r>
      <w:r w:rsidR="00216FFA" w:rsidRPr="00A72A78">
        <w:t>. These results were expected, since in gasification</w:t>
      </w:r>
      <w:r w:rsidR="005B5821">
        <w:t>,</w:t>
      </w:r>
      <w:r w:rsidR="00216FFA" w:rsidRPr="00A72A78">
        <w:t xml:space="preserve"> </w:t>
      </w:r>
      <w:r w:rsidR="001D5051" w:rsidRPr="00A72A78">
        <w:t>most of</w:t>
      </w:r>
      <w:r w:rsidR="00216FFA" w:rsidRPr="00A72A78">
        <w:t xml:space="preserve"> the yield is used for gas production. The lowest yield was in terms of solids. The literature reports </w:t>
      </w:r>
      <w:r w:rsidR="001D5051" w:rsidRPr="00A72A78">
        <w:t>yield</w:t>
      </w:r>
      <w:r w:rsidR="00216FFA" w:rsidRPr="00A72A78">
        <w:t xml:space="preserve"> from sugarcane bagasse </w:t>
      </w:r>
      <w:r w:rsidR="00216FFA" w:rsidRPr="00A72A78">
        <w:lastRenderedPageBreak/>
        <w:t>gasification processes ranging from 1% to 12% in the liquid phase, 1% to 8% in the solid phase, and 80% to 98% in the gaseous phase</w:t>
      </w:r>
      <w:r w:rsidR="007B10A1">
        <w:t xml:space="preserve"> </w:t>
      </w:r>
      <w:r w:rsidR="007B10A1" w:rsidRPr="00A72A78">
        <w:t>(Figueroa et al., 2014).</w:t>
      </w:r>
      <w:r w:rsidR="007B10A1">
        <w:t xml:space="preserve"> </w:t>
      </w:r>
      <w:r w:rsidR="00216FFA" w:rsidRPr="00A72A78">
        <w:t>In this study, the liquid composition was greater than or equal to 15%, the solid composition was less than 6.2%, and the gaseous composition was greater than 78%</w:t>
      </w:r>
      <w:r w:rsidR="0038027B">
        <w:t>.</w:t>
      </w:r>
      <w:r w:rsidR="00216FFA" w:rsidRPr="00A72A78">
        <w:t xml:space="preserve"> </w:t>
      </w:r>
    </w:p>
    <w:p w14:paraId="772FA091" w14:textId="77777777" w:rsidR="0037724C" w:rsidRDefault="0037724C" w:rsidP="00216FFA"/>
    <w:p w14:paraId="693D467D" w14:textId="77777777" w:rsidR="006B12FE" w:rsidRDefault="006B12FE" w:rsidP="006B12FE">
      <w:pPr>
        <w:pStyle w:val="CETBodytext"/>
        <w:rPr>
          <w:highlight w:val="yellow"/>
        </w:rPr>
      </w:pPr>
      <w:r>
        <w:rPr>
          <w:noProof/>
          <w:lang w:val="es-ES" w:eastAsia="es-ES"/>
        </w:rPr>
        <w:drawing>
          <wp:inline distT="0" distB="0" distL="0" distR="0" wp14:anchorId="4D44F3C9" wp14:editId="6EA8CDE6">
            <wp:extent cx="3756025" cy="2206296"/>
            <wp:effectExtent l="0" t="0" r="0" b="3810"/>
            <wp:docPr id="3" name="Imagen 3" descr="Gráfico, Histograma, Gráfico de casca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Histograma, Gráfico de cascata&#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3769885" cy="2214437"/>
                    </a:xfrm>
                    <a:prstGeom prst="rect">
                      <a:avLst/>
                    </a:prstGeom>
                  </pic:spPr>
                </pic:pic>
              </a:graphicData>
            </a:graphic>
          </wp:inline>
        </w:drawing>
      </w:r>
    </w:p>
    <w:p w14:paraId="416B5266" w14:textId="2C78D1F9" w:rsidR="006B12FE" w:rsidRDefault="006B12FE" w:rsidP="006B12FE">
      <w:pPr>
        <w:pStyle w:val="CETBodytext"/>
        <w:rPr>
          <w:lang w:eastAsia="es-ES"/>
        </w:rPr>
      </w:pPr>
      <w:r w:rsidRPr="0038027B">
        <w:t xml:space="preserve">Figure </w:t>
      </w:r>
      <w:r w:rsidR="0014245C">
        <w:t>3</w:t>
      </w:r>
      <w:r w:rsidRPr="0038027B">
        <w:t xml:space="preserve">. </w:t>
      </w:r>
      <w:r>
        <w:rPr>
          <w:lang w:eastAsia="es-ES"/>
        </w:rPr>
        <w:t>Mass</w:t>
      </w:r>
      <w:r w:rsidRPr="0038027B">
        <w:rPr>
          <w:lang w:eastAsia="es-ES"/>
        </w:rPr>
        <w:t xml:space="preserve"> composition obtained from gasification</w:t>
      </w:r>
    </w:p>
    <w:p w14:paraId="321C0B4F" w14:textId="77777777" w:rsidR="0014245C" w:rsidRPr="00912DA2" w:rsidRDefault="0014245C" w:rsidP="006B12FE">
      <w:pPr>
        <w:pStyle w:val="CETBodytext"/>
        <w:rPr>
          <w:lang w:eastAsia="es-ES"/>
        </w:rPr>
      </w:pPr>
    </w:p>
    <w:p w14:paraId="527DD8A9" w14:textId="77777777" w:rsidR="00864ED8" w:rsidRDefault="00864ED8" w:rsidP="00771C38">
      <w:pPr>
        <w:spacing w:line="240" w:lineRule="auto"/>
      </w:pPr>
      <w:r>
        <w:t xml:space="preserve">Table </w:t>
      </w:r>
      <w:r w:rsidRPr="00554ADB">
        <w:t>4 summarizes the inlet and outlet temperatures of the reactor set. These temperatures varied for each biomass studied. It was observed that the temperatures for açaí processing were slightly higher in the solid streams than for the same streams in babassu processing. This may be related to the higher moisture content in the açaí seed, requiring higher operating temperatures.</w:t>
      </w:r>
    </w:p>
    <w:p w14:paraId="4B940648" w14:textId="77777777" w:rsidR="00A75E57" w:rsidRDefault="00A75E57" w:rsidP="00771C38">
      <w:pPr>
        <w:spacing w:line="240" w:lineRule="auto"/>
      </w:pPr>
    </w:p>
    <w:p w14:paraId="03BA6905" w14:textId="77777777" w:rsidR="00A75E57" w:rsidRPr="00554ADB" w:rsidRDefault="00A75E57" w:rsidP="00A75E57">
      <w:pPr>
        <w:rPr>
          <w:lang w:val="en-US"/>
        </w:rPr>
      </w:pPr>
      <w:r w:rsidRPr="005B670C">
        <w:t xml:space="preserve">Table 4. </w:t>
      </w:r>
      <w:r w:rsidRPr="00554ADB">
        <w:rPr>
          <w:lang w:val="en-US"/>
        </w:rPr>
        <w:t>Temperature results after biomass processing</w:t>
      </w:r>
    </w:p>
    <w:tbl>
      <w:tblPr>
        <w:tblStyle w:val="Tablaconcuadrcula"/>
        <w:tblW w:w="7088" w:type="dxa"/>
        <w:tblLayout w:type="fixed"/>
        <w:tblLook w:val="04A0" w:firstRow="1" w:lastRow="0" w:firstColumn="1" w:lastColumn="0" w:noHBand="0" w:noVBand="1"/>
      </w:tblPr>
      <w:tblGrid>
        <w:gridCol w:w="1772"/>
        <w:gridCol w:w="71"/>
        <w:gridCol w:w="1134"/>
        <w:gridCol w:w="1276"/>
        <w:gridCol w:w="1417"/>
        <w:gridCol w:w="1418"/>
      </w:tblGrid>
      <w:tr w:rsidR="00A75E57" w:rsidRPr="00583355" w14:paraId="42B90DD8" w14:textId="77777777" w:rsidTr="0024685A">
        <w:tc>
          <w:tcPr>
            <w:tcW w:w="1772" w:type="dxa"/>
            <w:vMerge w:val="restart"/>
            <w:tcBorders>
              <w:top w:val="single" w:sz="18" w:space="0" w:color="00B050"/>
              <w:left w:val="nil"/>
              <w:right w:val="nil"/>
            </w:tcBorders>
            <w:vAlign w:val="center"/>
          </w:tcPr>
          <w:p w14:paraId="215BA542" w14:textId="77777777" w:rsidR="00A75E57" w:rsidRPr="00D065BF" w:rsidRDefault="00A75E57" w:rsidP="0024685A">
            <w:pPr>
              <w:pStyle w:val="CETBodytext"/>
              <w:jc w:val="left"/>
              <w:rPr>
                <w:rFonts w:eastAsia="Arial Unicode MS"/>
                <w:vertAlign w:val="superscript"/>
              </w:rPr>
            </w:pPr>
            <w:r>
              <w:rPr>
                <w:rFonts w:eastAsia="Arial Unicode MS"/>
              </w:rPr>
              <w:t>Biomass</w:t>
            </w:r>
          </w:p>
        </w:tc>
        <w:tc>
          <w:tcPr>
            <w:tcW w:w="5316" w:type="dxa"/>
            <w:gridSpan w:val="5"/>
            <w:tcBorders>
              <w:top w:val="single" w:sz="18" w:space="0" w:color="00B050"/>
              <w:left w:val="nil"/>
              <w:bottom w:val="single" w:sz="18" w:space="0" w:color="00B050"/>
              <w:right w:val="nil"/>
            </w:tcBorders>
          </w:tcPr>
          <w:p w14:paraId="53DF908B" w14:textId="77777777" w:rsidR="00A75E57" w:rsidRPr="00583355" w:rsidRDefault="00A75E57" w:rsidP="0024685A">
            <w:pPr>
              <w:pStyle w:val="CETBodytext"/>
              <w:jc w:val="center"/>
              <w:rPr>
                <w:rFonts w:eastAsia="Arial Unicode MS"/>
              </w:rPr>
            </w:pPr>
            <w:r>
              <w:rPr>
                <w:rFonts w:eastAsia="Arial Unicode MS"/>
              </w:rPr>
              <w:t>Temperature (K)</w:t>
            </w:r>
          </w:p>
        </w:tc>
      </w:tr>
      <w:tr w:rsidR="00A75E57" w:rsidRPr="00583355" w14:paraId="2F04DE5C" w14:textId="77777777" w:rsidTr="0024685A">
        <w:tc>
          <w:tcPr>
            <w:tcW w:w="1772" w:type="dxa"/>
            <w:vMerge/>
            <w:tcBorders>
              <w:left w:val="nil"/>
              <w:bottom w:val="single" w:sz="18" w:space="0" w:color="00B050"/>
              <w:right w:val="nil"/>
            </w:tcBorders>
          </w:tcPr>
          <w:p w14:paraId="50550025" w14:textId="77777777" w:rsidR="00A75E57" w:rsidRPr="00583355" w:rsidRDefault="00A75E57" w:rsidP="0024685A">
            <w:pPr>
              <w:pStyle w:val="CETBodytext"/>
              <w:rPr>
                <w:rFonts w:eastAsia="Arial Unicode MS"/>
              </w:rPr>
            </w:pPr>
          </w:p>
        </w:tc>
        <w:tc>
          <w:tcPr>
            <w:tcW w:w="1205" w:type="dxa"/>
            <w:gridSpan w:val="2"/>
            <w:tcBorders>
              <w:top w:val="single" w:sz="18" w:space="0" w:color="00B050"/>
              <w:left w:val="nil"/>
              <w:bottom w:val="single" w:sz="18" w:space="0" w:color="00B050"/>
              <w:right w:val="nil"/>
            </w:tcBorders>
          </w:tcPr>
          <w:p w14:paraId="67F35BC3" w14:textId="77777777" w:rsidR="00A75E57" w:rsidRPr="00583355" w:rsidRDefault="00A75E57" w:rsidP="0024685A">
            <w:pPr>
              <w:pStyle w:val="CETBodytext"/>
              <w:rPr>
                <w:rFonts w:eastAsia="Arial Unicode MS"/>
              </w:rPr>
            </w:pPr>
            <w:r>
              <w:rPr>
                <w:rFonts w:eastAsia="Arial Unicode MS"/>
              </w:rPr>
              <w:t>ELEM-SLD</w:t>
            </w:r>
          </w:p>
        </w:tc>
        <w:tc>
          <w:tcPr>
            <w:tcW w:w="1276" w:type="dxa"/>
            <w:tcBorders>
              <w:top w:val="single" w:sz="18" w:space="0" w:color="00B050"/>
              <w:left w:val="nil"/>
              <w:bottom w:val="single" w:sz="18" w:space="0" w:color="00B050"/>
              <w:right w:val="nil"/>
            </w:tcBorders>
          </w:tcPr>
          <w:p w14:paraId="7E143D40" w14:textId="77777777" w:rsidR="00A75E57" w:rsidRPr="00583355" w:rsidRDefault="00A75E57" w:rsidP="0024685A">
            <w:pPr>
              <w:pStyle w:val="CETBodytext"/>
              <w:rPr>
                <w:rFonts w:eastAsia="Arial Unicode MS"/>
              </w:rPr>
            </w:pPr>
            <w:r>
              <w:rPr>
                <w:rFonts w:eastAsia="Arial Unicode MS"/>
              </w:rPr>
              <w:t>GASI-GAS</w:t>
            </w:r>
          </w:p>
        </w:tc>
        <w:tc>
          <w:tcPr>
            <w:tcW w:w="1417" w:type="dxa"/>
            <w:tcBorders>
              <w:top w:val="single" w:sz="18" w:space="0" w:color="00B050"/>
              <w:left w:val="nil"/>
              <w:bottom w:val="single" w:sz="18" w:space="0" w:color="00B050"/>
              <w:right w:val="nil"/>
            </w:tcBorders>
          </w:tcPr>
          <w:p w14:paraId="697EB24A" w14:textId="77777777" w:rsidR="00A75E57" w:rsidRPr="00583355" w:rsidRDefault="00A75E57" w:rsidP="0024685A">
            <w:pPr>
              <w:pStyle w:val="CETBodytext"/>
              <w:rPr>
                <w:rFonts w:eastAsia="Arial Unicode MS"/>
              </w:rPr>
            </w:pPr>
            <w:r>
              <w:rPr>
                <w:rFonts w:eastAsia="Arial Unicode MS"/>
              </w:rPr>
              <w:t>SLD-OUT</w:t>
            </w:r>
          </w:p>
        </w:tc>
        <w:tc>
          <w:tcPr>
            <w:tcW w:w="1418" w:type="dxa"/>
            <w:tcBorders>
              <w:top w:val="single" w:sz="18" w:space="0" w:color="00B050"/>
              <w:left w:val="nil"/>
              <w:bottom w:val="single" w:sz="18" w:space="0" w:color="00B050"/>
              <w:right w:val="nil"/>
            </w:tcBorders>
          </w:tcPr>
          <w:p w14:paraId="3C8AAC68" w14:textId="77777777" w:rsidR="00A75E57" w:rsidRDefault="00A75E57" w:rsidP="0024685A">
            <w:pPr>
              <w:pStyle w:val="CETBodytext"/>
              <w:rPr>
                <w:rFonts w:eastAsia="Arial Unicode MS"/>
              </w:rPr>
            </w:pPr>
            <w:r>
              <w:rPr>
                <w:rFonts w:eastAsia="Arial Unicode MS"/>
              </w:rPr>
              <w:t>GAS-IN</w:t>
            </w:r>
          </w:p>
        </w:tc>
      </w:tr>
      <w:tr w:rsidR="00A75E57" w:rsidRPr="00583355" w14:paraId="47071F2D" w14:textId="77777777" w:rsidTr="0024685A">
        <w:tc>
          <w:tcPr>
            <w:tcW w:w="1843" w:type="dxa"/>
            <w:gridSpan w:val="2"/>
            <w:tcBorders>
              <w:top w:val="single" w:sz="18" w:space="0" w:color="00B050"/>
              <w:left w:val="nil"/>
              <w:bottom w:val="nil"/>
              <w:right w:val="nil"/>
            </w:tcBorders>
          </w:tcPr>
          <w:p w14:paraId="68D33B52" w14:textId="77777777" w:rsidR="00A75E57" w:rsidRPr="00400AD8" w:rsidRDefault="00A75E57" w:rsidP="0024685A">
            <w:pPr>
              <w:pStyle w:val="CETBodytext"/>
              <w:jc w:val="left"/>
              <w:rPr>
                <w:rFonts w:eastAsia="Arial Unicode MS"/>
                <w:highlight w:val="green"/>
              </w:rPr>
            </w:pPr>
            <w:r>
              <w:t>B</w:t>
            </w:r>
            <w:r w:rsidRPr="00BF17D5">
              <w:t>abassu shells</w:t>
            </w:r>
          </w:p>
        </w:tc>
        <w:tc>
          <w:tcPr>
            <w:tcW w:w="1134" w:type="dxa"/>
            <w:tcBorders>
              <w:top w:val="single" w:sz="18" w:space="0" w:color="00B050"/>
              <w:left w:val="nil"/>
              <w:bottom w:val="nil"/>
              <w:right w:val="nil"/>
            </w:tcBorders>
          </w:tcPr>
          <w:p w14:paraId="0A97B912" w14:textId="77777777" w:rsidR="00A75E57" w:rsidRPr="00583355" w:rsidRDefault="00A75E57" w:rsidP="0024685A">
            <w:pPr>
              <w:pStyle w:val="CETBodytext"/>
              <w:jc w:val="left"/>
              <w:rPr>
                <w:rFonts w:eastAsia="Arial Unicode MS"/>
              </w:rPr>
            </w:pPr>
            <w:r>
              <w:rPr>
                <w:rFonts w:eastAsia="Arial Unicode MS"/>
              </w:rPr>
              <w:t>370</w:t>
            </w:r>
          </w:p>
        </w:tc>
        <w:tc>
          <w:tcPr>
            <w:tcW w:w="1276" w:type="dxa"/>
            <w:tcBorders>
              <w:top w:val="single" w:sz="18" w:space="0" w:color="00B050"/>
              <w:left w:val="nil"/>
              <w:bottom w:val="nil"/>
              <w:right w:val="nil"/>
            </w:tcBorders>
          </w:tcPr>
          <w:p w14:paraId="79A399D0" w14:textId="77777777" w:rsidR="00A75E57" w:rsidRPr="00583355" w:rsidRDefault="00A75E57" w:rsidP="0024685A">
            <w:pPr>
              <w:pStyle w:val="CETBodytext"/>
              <w:jc w:val="left"/>
              <w:rPr>
                <w:rFonts w:eastAsia="Arial Unicode MS"/>
              </w:rPr>
            </w:pPr>
            <w:r>
              <w:rPr>
                <w:rFonts w:eastAsia="Arial Unicode MS"/>
              </w:rPr>
              <w:t>1290</w:t>
            </w:r>
          </w:p>
        </w:tc>
        <w:tc>
          <w:tcPr>
            <w:tcW w:w="1417" w:type="dxa"/>
            <w:tcBorders>
              <w:top w:val="single" w:sz="18" w:space="0" w:color="00B050"/>
              <w:left w:val="nil"/>
              <w:bottom w:val="nil"/>
              <w:right w:val="nil"/>
            </w:tcBorders>
          </w:tcPr>
          <w:p w14:paraId="1450BC32" w14:textId="77777777" w:rsidR="00A75E57" w:rsidRPr="00583355" w:rsidRDefault="00A75E57" w:rsidP="0024685A">
            <w:pPr>
              <w:pStyle w:val="CETBodytext"/>
              <w:jc w:val="left"/>
              <w:rPr>
                <w:rFonts w:eastAsia="Arial Unicode MS"/>
              </w:rPr>
            </w:pPr>
            <w:r>
              <w:rPr>
                <w:rFonts w:eastAsia="Arial Unicode MS"/>
              </w:rPr>
              <w:t>717.8</w:t>
            </w:r>
          </w:p>
        </w:tc>
        <w:tc>
          <w:tcPr>
            <w:tcW w:w="1418" w:type="dxa"/>
            <w:tcBorders>
              <w:top w:val="single" w:sz="18" w:space="0" w:color="00B050"/>
              <w:left w:val="nil"/>
              <w:bottom w:val="nil"/>
              <w:right w:val="nil"/>
            </w:tcBorders>
          </w:tcPr>
          <w:p w14:paraId="785098E9" w14:textId="77777777" w:rsidR="00A75E57" w:rsidRDefault="00A75E57" w:rsidP="0024685A">
            <w:pPr>
              <w:pStyle w:val="CETBodytext"/>
              <w:jc w:val="left"/>
              <w:rPr>
                <w:rFonts w:eastAsia="Arial Unicode MS"/>
              </w:rPr>
            </w:pPr>
            <w:r>
              <w:rPr>
                <w:rFonts w:eastAsia="Arial Unicode MS"/>
              </w:rPr>
              <w:t>634.8</w:t>
            </w:r>
          </w:p>
        </w:tc>
      </w:tr>
      <w:tr w:rsidR="00A75E57" w:rsidRPr="00583355" w14:paraId="78B9CA2B" w14:textId="77777777" w:rsidTr="0024685A">
        <w:trPr>
          <w:trHeight w:val="323"/>
        </w:trPr>
        <w:tc>
          <w:tcPr>
            <w:tcW w:w="1843" w:type="dxa"/>
            <w:gridSpan w:val="2"/>
            <w:tcBorders>
              <w:top w:val="nil"/>
              <w:left w:val="nil"/>
              <w:bottom w:val="single" w:sz="24" w:space="0" w:color="00B050"/>
              <w:right w:val="nil"/>
            </w:tcBorders>
          </w:tcPr>
          <w:p w14:paraId="7743D6FD" w14:textId="77777777" w:rsidR="00A75E57" w:rsidRPr="00400AD8" w:rsidRDefault="00A75E57" w:rsidP="0024685A">
            <w:pPr>
              <w:pStyle w:val="CETBodytext"/>
              <w:jc w:val="left"/>
              <w:rPr>
                <w:rFonts w:eastAsia="Arial Unicode MS"/>
                <w:highlight w:val="green"/>
              </w:rPr>
            </w:pPr>
            <w:r>
              <w:t>A</w:t>
            </w:r>
            <w:r w:rsidRPr="00BF17D5">
              <w:t>çaí seeds</w:t>
            </w:r>
          </w:p>
        </w:tc>
        <w:tc>
          <w:tcPr>
            <w:tcW w:w="1134" w:type="dxa"/>
            <w:tcBorders>
              <w:top w:val="nil"/>
              <w:left w:val="nil"/>
              <w:bottom w:val="single" w:sz="24" w:space="0" w:color="00B050"/>
              <w:right w:val="nil"/>
            </w:tcBorders>
          </w:tcPr>
          <w:p w14:paraId="009B995B" w14:textId="77777777" w:rsidR="00A75E57" w:rsidRPr="00583355" w:rsidRDefault="00A75E57" w:rsidP="0024685A">
            <w:pPr>
              <w:pStyle w:val="CETBodytext"/>
              <w:jc w:val="left"/>
              <w:rPr>
                <w:rFonts w:eastAsia="Arial Unicode MS"/>
              </w:rPr>
            </w:pPr>
            <w:r>
              <w:rPr>
                <w:rFonts w:eastAsia="Arial Unicode MS"/>
              </w:rPr>
              <w:t>357</w:t>
            </w:r>
          </w:p>
        </w:tc>
        <w:tc>
          <w:tcPr>
            <w:tcW w:w="1276" w:type="dxa"/>
            <w:tcBorders>
              <w:top w:val="nil"/>
              <w:left w:val="nil"/>
              <w:bottom w:val="single" w:sz="24" w:space="0" w:color="00B050"/>
              <w:right w:val="nil"/>
            </w:tcBorders>
          </w:tcPr>
          <w:p w14:paraId="6C56EBD5" w14:textId="77777777" w:rsidR="00A75E57" w:rsidRPr="00583355" w:rsidRDefault="00A75E57" w:rsidP="0024685A">
            <w:pPr>
              <w:pStyle w:val="CETBodytext"/>
              <w:jc w:val="left"/>
              <w:rPr>
                <w:rFonts w:eastAsia="Arial Unicode MS"/>
              </w:rPr>
            </w:pPr>
            <w:r>
              <w:rPr>
                <w:rFonts w:eastAsia="Arial Unicode MS"/>
              </w:rPr>
              <w:t>1308</w:t>
            </w:r>
          </w:p>
        </w:tc>
        <w:tc>
          <w:tcPr>
            <w:tcW w:w="1417" w:type="dxa"/>
            <w:tcBorders>
              <w:top w:val="nil"/>
              <w:left w:val="nil"/>
              <w:bottom w:val="single" w:sz="24" w:space="0" w:color="00B050"/>
              <w:right w:val="nil"/>
            </w:tcBorders>
          </w:tcPr>
          <w:p w14:paraId="5DA237EC" w14:textId="77777777" w:rsidR="00A75E57" w:rsidRPr="00583355" w:rsidRDefault="00A75E57" w:rsidP="0024685A">
            <w:pPr>
              <w:pStyle w:val="CETBodytext"/>
              <w:jc w:val="left"/>
              <w:rPr>
                <w:rFonts w:eastAsia="Arial Unicode MS"/>
              </w:rPr>
            </w:pPr>
            <w:r>
              <w:rPr>
                <w:rFonts w:eastAsia="Arial Unicode MS"/>
              </w:rPr>
              <w:t>715.8</w:t>
            </w:r>
          </w:p>
        </w:tc>
        <w:tc>
          <w:tcPr>
            <w:tcW w:w="1418" w:type="dxa"/>
            <w:tcBorders>
              <w:top w:val="nil"/>
              <w:left w:val="nil"/>
              <w:bottom w:val="single" w:sz="24" w:space="0" w:color="00B050"/>
              <w:right w:val="nil"/>
            </w:tcBorders>
          </w:tcPr>
          <w:p w14:paraId="3348538B" w14:textId="77777777" w:rsidR="00A75E57" w:rsidRDefault="00A75E57" w:rsidP="0024685A">
            <w:pPr>
              <w:pStyle w:val="CETBodytext"/>
              <w:jc w:val="left"/>
              <w:rPr>
                <w:rFonts w:eastAsia="Arial Unicode MS"/>
              </w:rPr>
            </w:pPr>
            <w:r>
              <w:rPr>
                <w:rFonts w:eastAsia="Arial Unicode MS"/>
              </w:rPr>
              <w:t>634.7</w:t>
            </w:r>
          </w:p>
        </w:tc>
      </w:tr>
    </w:tbl>
    <w:p w14:paraId="4FC95A7D" w14:textId="77777777" w:rsidR="00A75E57" w:rsidRPr="00554ADB" w:rsidRDefault="00A75E57" w:rsidP="00771C38">
      <w:pPr>
        <w:spacing w:line="240" w:lineRule="auto"/>
      </w:pPr>
    </w:p>
    <w:p w14:paraId="35AAAE0A" w14:textId="77777777" w:rsidR="00771C38" w:rsidRDefault="00771C38" w:rsidP="00771C38">
      <w:r w:rsidRPr="00771C38">
        <w:t>Table 5 shows the composition of the gases produced at the end of the gasification process.</w:t>
      </w:r>
      <w:r>
        <w:t xml:space="preserve"> </w:t>
      </w:r>
      <w:r w:rsidRPr="008F00EF">
        <w:t>Based on the results obtained</w:t>
      </w:r>
      <w:r>
        <w:t xml:space="preserve"> (Table 5)</w:t>
      </w:r>
      <w:r w:rsidRPr="008F00EF">
        <w:t xml:space="preserve">, it was observed that the largest quantities produced were carbon monoxide and hydrogen, which together represented 64.23% and 60.81% of the total product streams from the processing of babassu coconut </w:t>
      </w:r>
      <w:r>
        <w:t>shells</w:t>
      </w:r>
      <w:r w:rsidRPr="008F00EF">
        <w:t xml:space="preserve"> and açaí seed, respectively. This quantity is significant from the perspective of utilizing synthesis gas, a gaseous mixture composed mainly of H</w:t>
      </w:r>
      <w:r w:rsidRPr="00AC0689">
        <w:rPr>
          <w:vertAlign w:val="subscript"/>
        </w:rPr>
        <w:t>2</w:t>
      </w:r>
      <w:r w:rsidRPr="008F00EF">
        <w:t xml:space="preserve"> and CO, for conversion into synthetic fuels and high-value-added chemicals.</w:t>
      </w:r>
      <w:r>
        <w:t xml:space="preserve"> T</w:t>
      </w:r>
      <w:r w:rsidRPr="008F00EF">
        <w:t>he compositions of these gas streams using the two biomasses studied were very similar, which was expected given their very similar compositions and the very close moisture content. In gasification, the objective is to maximize gas yield, especially of CO and H</w:t>
      </w:r>
      <w:r w:rsidRPr="00AC0689">
        <w:rPr>
          <w:vertAlign w:val="subscript"/>
        </w:rPr>
        <w:t>2</w:t>
      </w:r>
      <w:r w:rsidRPr="008F00EF">
        <w:t>. However, the gas composition depends on several factors, such as the biomass used as raw material, the reactor configuration, and the operational parameters of the gasification process</w:t>
      </w:r>
      <w:r>
        <w:t xml:space="preserve"> (Figueroa et al., 2014)</w:t>
      </w:r>
      <w:r w:rsidRPr="008F00EF">
        <w:t>.</w:t>
      </w:r>
    </w:p>
    <w:p w14:paraId="76E05AC3" w14:textId="77777777" w:rsidR="00771C38" w:rsidRPr="00912DA2" w:rsidRDefault="00771C38" w:rsidP="00771C38">
      <w:pPr>
        <w:pStyle w:val="CETBodytext"/>
        <w:rPr>
          <w:lang w:eastAsia="es-ES"/>
        </w:rPr>
      </w:pPr>
      <w:r w:rsidRPr="00B402E1">
        <w:rPr>
          <w:lang w:eastAsia="es-ES"/>
        </w:rPr>
        <w:t>Loha et al. (2014), in their work on biomass gasification simulation in fluidized beds, found approximate values, in mole fraction, of dry gas between 12.5 to 15% CO, 7.5 to 14% H</w:t>
      </w:r>
      <w:r w:rsidRPr="00F32746">
        <w:rPr>
          <w:vertAlign w:val="subscript"/>
          <w:lang w:eastAsia="es-ES"/>
        </w:rPr>
        <w:t>2</w:t>
      </w:r>
      <w:r w:rsidRPr="00B402E1">
        <w:rPr>
          <w:lang w:eastAsia="es-ES"/>
        </w:rPr>
        <w:t>, 16 to 19.5% CO2, and 3 to 4% CH</w:t>
      </w:r>
      <w:r w:rsidRPr="00F32746">
        <w:rPr>
          <w:vertAlign w:val="subscript"/>
          <w:lang w:eastAsia="es-ES"/>
        </w:rPr>
        <w:t>4</w:t>
      </w:r>
      <w:r w:rsidRPr="00B402E1">
        <w:rPr>
          <w:lang w:eastAsia="es-ES"/>
        </w:rPr>
        <w:t>. T</w:t>
      </w:r>
      <w:r>
        <w:rPr>
          <w:lang w:eastAsia="es-ES"/>
        </w:rPr>
        <w:t>rninic</w:t>
      </w:r>
      <w:r w:rsidRPr="00B402E1">
        <w:rPr>
          <w:lang w:eastAsia="es-ES"/>
        </w:rPr>
        <w:t xml:space="preserve"> et al. (2020), when studying biomass gasification in fixed-bed or slow-movi</w:t>
      </w:r>
      <w:r>
        <w:rPr>
          <w:lang w:eastAsia="es-ES"/>
        </w:rPr>
        <w:t xml:space="preserve">ng gasifiers, reported values </w:t>
      </w:r>
      <w:r w:rsidRPr="00B402E1">
        <w:rPr>
          <w:lang w:eastAsia="es-ES"/>
        </w:rPr>
        <w:t>between 33.66% and 46.64% CO; 28.68 to 36.67% H</w:t>
      </w:r>
      <w:r w:rsidRPr="00F32746">
        <w:rPr>
          <w:vertAlign w:val="subscript"/>
          <w:lang w:eastAsia="es-ES"/>
        </w:rPr>
        <w:t>2</w:t>
      </w:r>
      <w:r w:rsidRPr="00B402E1">
        <w:rPr>
          <w:lang w:eastAsia="es-ES"/>
        </w:rPr>
        <w:t>; 17.11 to 28.64% CO</w:t>
      </w:r>
      <w:r w:rsidRPr="00F32746">
        <w:rPr>
          <w:vertAlign w:val="subscript"/>
          <w:lang w:eastAsia="es-ES"/>
        </w:rPr>
        <w:t>2</w:t>
      </w:r>
      <w:r w:rsidRPr="00B402E1">
        <w:rPr>
          <w:lang w:eastAsia="es-ES"/>
        </w:rPr>
        <w:t>; and 3.38 to 4.54% CH</w:t>
      </w:r>
      <w:r w:rsidRPr="00F32746">
        <w:rPr>
          <w:vertAlign w:val="subscript"/>
          <w:lang w:eastAsia="es-ES"/>
        </w:rPr>
        <w:t>4</w:t>
      </w:r>
      <w:r w:rsidRPr="00B402E1">
        <w:rPr>
          <w:lang w:eastAsia="es-ES"/>
        </w:rPr>
        <w:t xml:space="preserve"> by volume, on a dry basis and without considering the amount of N</w:t>
      </w:r>
      <w:r w:rsidRPr="00F32746">
        <w:rPr>
          <w:vertAlign w:val="subscript"/>
          <w:lang w:eastAsia="es-ES"/>
        </w:rPr>
        <w:t>2</w:t>
      </w:r>
      <w:r w:rsidRPr="00B402E1">
        <w:rPr>
          <w:lang w:eastAsia="es-ES"/>
        </w:rPr>
        <w:t>. For their part, Y</w:t>
      </w:r>
      <w:r>
        <w:rPr>
          <w:lang w:eastAsia="es-ES"/>
        </w:rPr>
        <w:t>u</w:t>
      </w:r>
      <w:r w:rsidRPr="00B402E1">
        <w:rPr>
          <w:lang w:eastAsia="es-ES"/>
        </w:rPr>
        <w:t xml:space="preserve"> et al. (2018), in their studies on biomass gasification in a circulating fluidized bed reactor, found 74.93% CO, 5.61% H</w:t>
      </w:r>
      <w:r w:rsidRPr="00F32746">
        <w:rPr>
          <w:vertAlign w:val="subscript"/>
          <w:lang w:eastAsia="es-ES"/>
        </w:rPr>
        <w:t>2</w:t>
      </w:r>
      <w:r w:rsidRPr="00B402E1">
        <w:rPr>
          <w:lang w:eastAsia="es-ES"/>
        </w:rPr>
        <w:t>, 18.47% CO</w:t>
      </w:r>
      <w:r w:rsidRPr="00F32746">
        <w:rPr>
          <w:vertAlign w:val="subscript"/>
          <w:lang w:eastAsia="es-ES"/>
        </w:rPr>
        <w:t>2</w:t>
      </w:r>
      <w:r w:rsidRPr="00B402E1">
        <w:rPr>
          <w:lang w:eastAsia="es-ES"/>
        </w:rPr>
        <w:t>, 0.99% CH</w:t>
      </w:r>
      <w:r w:rsidRPr="00F32746">
        <w:rPr>
          <w:vertAlign w:val="subscript"/>
          <w:lang w:eastAsia="es-ES"/>
        </w:rPr>
        <w:t>4</w:t>
      </w:r>
      <w:r w:rsidRPr="00B402E1">
        <w:rPr>
          <w:lang w:eastAsia="es-ES"/>
        </w:rPr>
        <w:t xml:space="preserve"> by volume, dry basis</w:t>
      </w:r>
      <w:r>
        <w:rPr>
          <w:lang w:eastAsia="es-ES"/>
        </w:rPr>
        <w:t>,</w:t>
      </w:r>
      <w:r w:rsidRPr="00B402E1">
        <w:rPr>
          <w:lang w:eastAsia="es-ES"/>
        </w:rPr>
        <w:t xml:space="preserve"> and considering only the components mentioned above.</w:t>
      </w:r>
    </w:p>
    <w:p w14:paraId="59ED13EA" w14:textId="77777777" w:rsidR="00771C38" w:rsidRPr="009F6AA1" w:rsidRDefault="00771C38" w:rsidP="00771C38">
      <w:pPr>
        <w:pStyle w:val="CETBodytext"/>
        <w:rPr>
          <w:lang w:eastAsia="es-ES"/>
        </w:rPr>
      </w:pPr>
      <w:r w:rsidRPr="00B402E1">
        <w:rPr>
          <w:lang w:eastAsia="es-ES"/>
        </w:rPr>
        <w:t>The variations observed compared to the literature are attributed to the use of oxygen and steam as gasifying agents instead of air, which increases the H</w:t>
      </w:r>
      <w:r w:rsidRPr="001A446E">
        <w:rPr>
          <w:vertAlign w:val="subscript"/>
          <w:lang w:eastAsia="es-ES"/>
        </w:rPr>
        <w:t>2</w:t>
      </w:r>
      <w:r w:rsidRPr="00B402E1">
        <w:rPr>
          <w:lang w:eastAsia="es-ES"/>
        </w:rPr>
        <w:t xml:space="preserve"> fraction by avoiding nitrogen dilution. Furthermore, differences in </w:t>
      </w:r>
      <w:r w:rsidRPr="009F6AA1">
        <w:rPr>
          <w:lang w:eastAsia="es-ES"/>
        </w:rPr>
        <w:t>reactor configuration, kinetic parameters, and the higher moisture content of the biomass (especially in açaí) influence the specific thermal profiles and tar yields of this model.</w:t>
      </w:r>
    </w:p>
    <w:p w14:paraId="6A7BC0F9" w14:textId="77777777" w:rsidR="00771C38" w:rsidRDefault="00771C38" w:rsidP="00771C38">
      <w:pPr>
        <w:pStyle w:val="CETBodytext"/>
        <w:rPr>
          <w:lang w:eastAsia="es-ES"/>
        </w:rPr>
      </w:pPr>
      <w:r w:rsidRPr="009F6AA1">
        <w:rPr>
          <w:lang w:eastAsia="es-ES"/>
        </w:rPr>
        <w:t>The presence of residual O2 in the product gas (approximately 5–6%) is attributed to the use of oxygen as a gasifying agent and to the non-stoichiometric conditions adopted in the model. In practical gasification systems, small amounts of unreacted oxygen may remain due to incomplete reactions and mixing limitations. Additionally, the modeling assumptions in Aspen Plus may contribute to this behavior.</w:t>
      </w:r>
    </w:p>
    <w:p w14:paraId="63EDE3F6" w14:textId="4CFC08DF" w:rsidR="002B4470" w:rsidRPr="009B3A68" w:rsidRDefault="002B4470" w:rsidP="008A220A">
      <w:pPr>
        <w:spacing w:after="120"/>
      </w:pPr>
      <w:r>
        <w:lastRenderedPageBreak/>
        <w:t>Table 5. C</w:t>
      </w:r>
      <w:r w:rsidRPr="009B3A68">
        <w:t>omposition of the gaseous product stream</w:t>
      </w:r>
    </w:p>
    <w:tbl>
      <w:tblPr>
        <w:tblStyle w:val="Tablaconcuadrcula"/>
        <w:tblW w:w="7230" w:type="dxa"/>
        <w:tblLayout w:type="fixed"/>
        <w:tblLook w:val="04A0" w:firstRow="1" w:lastRow="0" w:firstColumn="1" w:lastColumn="0" w:noHBand="0" w:noVBand="1"/>
      </w:tblPr>
      <w:tblGrid>
        <w:gridCol w:w="1772"/>
        <w:gridCol w:w="780"/>
        <w:gridCol w:w="2126"/>
        <w:gridCol w:w="2552"/>
      </w:tblGrid>
      <w:tr w:rsidR="00C65329" w:rsidRPr="00583355" w14:paraId="1570078A" w14:textId="318F52A9" w:rsidTr="00C65329">
        <w:tc>
          <w:tcPr>
            <w:tcW w:w="1772" w:type="dxa"/>
            <w:tcBorders>
              <w:top w:val="single" w:sz="18" w:space="0" w:color="00B050"/>
              <w:left w:val="nil"/>
              <w:bottom w:val="single" w:sz="18" w:space="0" w:color="00B050"/>
              <w:right w:val="nil"/>
            </w:tcBorders>
          </w:tcPr>
          <w:p w14:paraId="4B7646C9" w14:textId="0FCCDD9C" w:rsidR="00C65329" w:rsidRPr="00BA241E" w:rsidRDefault="00C65329" w:rsidP="008A220A">
            <w:pPr>
              <w:pStyle w:val="CETBodytext"/>
              <w:spacing w:line="276" w:lineRule="auto"/>
              <w:rPr>
                <w:rFonts w:eastAsia="Arial Unicode MS"/>
                <w:vertAlign w:val="superscript"/>
              </w:rPr>
            </w:pPr>
            <w:r>
              <w:rPr>
                <w:rFonts w:eastAsia="Arial Unicode MS"/>
              </w:rPr>
              <w:t>Component</w:t>
            </w:r>
          </w:p>
        </w:tc>
        <w:tc>
          <w:tcPr>
            <w:tcW w:w="2906" w:type="dxa"/>
            <w:gridSpan w:val="2"/>
            <w:tcBorders>
              <w:top w:val="single" w:sz="18" w:space="0" w:color="00B050"/>
              <w:left w:val="nil"/>
              <w:bottom w:val="single" w:sz="18" w:space="0" w:color="00B050"/>
              <w:right w:val="nil"/>
            </w:tcBorders>
          </w:tcPr>
          <w:p w14:paraId="4347B340" w14:textId="131CA3B0" w:rsidR="00C65329" w:rsidRPr="00C65329" w:rsidRDefault="00C65329" w:rsidP="008A220A">
            <w:pPr>
              <w:spacing w:line="276" w:lineRule="auto"/>
              <w:rPr>
                <w:rFonts w:eastAsia="Arial Unicode MS"/>
                <w:vertAlign w:val="superscript"/>
              </w:rPr>
            </w:pPr>
            <w:r>
              <w:t>G</w:t>
            </w:r>
            <w:r w:rsidRPr="009B3A68">
              <w:t xml:space="preserve">as composition using </w:t>
            </w:r>
            <w:r w:rsidR="00074053">
              <w:t>babassu</w:t>
            </w:r>
            <w:r w:rsidRPr="009B3A68">
              <w:t xml:space="preserve"> coconut shell (</w:t>
            </w:r>
            <w:r>
              <w:t xml:space="preserve">% </w:t>
            </w:r>
            <w:r w:rsidRPr="009B3A68">
              <w:t>molar dry basis)</w:t>
            </w:r>
          </w:p>
        </w:tc>
        <w:tc>
          <w:tcPr>
            <w:tcW w:w="2552" w:type="dxa"/>
            <w:tcBorders>
              <w:top w:val="single" w:sz="18" w:space="0" w:color="00B050"/>
              <w:left w:val="nil"/>
              <w:bottom w:val="single" w:sz="18" w:space="0" w:color="00B050"/>
              <w:right w:val="nil"/>
            </w:tcBorders>
          </w:tcPr>
          <w:p w14:paraId="6262E254" w14:textId="2BD1A81E" w:rsidR="00C65329" w:rsidRDefault="00C65329" w:rsidP="008A220A">
            <w:pPr>
              <w:spacing w:line="276" w:lineRule="auto"/>
            </w:pPr>
            <w:r>
              <w:t>G</w:t>
            </w:r>
            <w:r w:rsidRPr="009B3A68">
              <w:t xml:space="preserve">as composition using </w:t>
            </w:r>
            <w:r>
              <w:t>A</w:t>
            </w:r>
            <w:r w:rsidRPr="00BF17D5">
              <w:t>çaí seeds</w:t>
            </w:r>
            <w:r w:rsidRPr="009B3A68">
              <w:t xml:space="preserve"> (</w:t>
            </w:r>
            <w:r>
              <w:t xml:space="preserve">% </w:t>
            </w:r>
            <w:r w:rsidRPr="009B3A68">
              <w:t>molar dry basis)</w:t>
            </w:r>
          </w:p>
        </w:tc>
      </w:tr>
      <w:tr w:rsidR="00C65329" w:rsidRPr="00583355" w14:paraId="7CC1A4BE" w14:textId="06918E8E" w:rsidTr="00C65329">
        <w:tc>
          <w:tcPr>
            <w:tcW w:w="2552" w:type="dxa"/>
            <w:gridSpan w:val="2"/>
            <w:tcBorders>
              <w:top w:val="single" w:sz="18" w:space="0" w:color="00B050"/>
              <w:left w:val="nil"/>
              <w:bottom w:val="nil"/>
              <w:right w:val="nil"/>
            </w:tcBorders>
          </w:tcPr>
          <w:p w14:paraId="05DE01AB" w14:textId="55159BCE" w:rsidR="00C65329" w:rsidRPr="00583355" w:rsidRDefault="00C65329" w:rsidP="008A220A">
            <w:pPr>
              <w:pStyle w:val="CETBodytext"/>
              <w:spacing w:line="276" w:lineRule="auto"/>
              <w:rPr>
                <w:rFonts w:eastAsia="Arial Unicode MS"/>
              </w:rPr>
            </w:pPr>
            <w:r>
              <w:rPr>
                <w:rFonts w:eastAsia="Arial Unicode MS"/>
              </w:rPr>
              <w:t>CO</w:t>
            </w:r>
          </w:p>
        </w:tc>
        <w:tc>
          <w:tcPr>
            <w:tcW w:w="2126" w:type="dxa"/>
            <w:tcBorders>
              <w:top w:val="single" w:sz="18" w:space="0" w:color="00B050"/>
              <w:left w:val="nil"/>
              <w:bottom w:val="nil"/>
              <w:right w:val="nil"/>
            </w:tcBorders>
          </w:tcPr>
          <w:p w14:paraId="30F2AA01" w14:textId="1423F62A" w:rsidR="00C65329" w:rsidRPr="00583355" w:rsidRDefault="00F7738D" w:rsidP="008A220A">
            <w:pPr>
              <w:pStyle w:val="CETBodytext"/>
              <w:spacing w:line="276" w:lineRule="auto"/>
              <w:rPr>
                <w:rFonts w:eastAsia="Arial Unicode MS"/>
              </w:rPr>
            </w:pPr>
            <w:r>
              <w:rPr>
                <w:rFonts w:eastAsia="Arial Unicode MS"/>
              </w:rPr>
              <w:t>46.79</w:t>
            </w:r>
          </w:p>
        </w:tc>
        <w:tc>
          <w:tcPr>
            <w:tcW w:w="2552" w:type="dxa"/>
            <w:tcBorders>
              <w:top w:val="single" w:sz="18" w:space="0" w:color="00B050"/>
              <w:left w:val="nil"/>
              <w:bottom w:val="nil"/>
              <w:right w:val="nil"/>
            </w:tcBorders>
          </w:tcPr>
          <w:p w14:paraId="19168F7E" w14:textId="3D4709EC" w:rsidR="00C65329" w:rsidRDefault="00F7738D" w:rsidP="008A220A">
            <w:pPr>
              <w:pStyle w:val="CETBodytext"/>
              <w:spacing w:line="276" w:lineRule="auto"/>
              <w:rPr>
                <w:rFonts w:eastAsia="Arial Unicode MS"/>
              </w:rPr>
            </w:pPr>
            <w:r>
              <w:rPr>
                <w:rFonts w:eastAsia="Arial Unicode MS"/>
              </w:rPr>
              <w:t>43.47</w:t>
            </w:r>
          </w:p>
        </w:tc>
      </w:tr>
      <w:tr w:rsidR="00C65329" w:rsidRPr="00273B5F" w14:paraId="0B3B3EB8" w14:textId="118B8734" w:rsidTr="00C65329">
        <w:tc>
          <w:tcPr>
            <w:tcW w:w="2552" w:type="dxa"/>
            <w:gridSpan w:val="2"/>
            <w:tcBorders>
              <w:top w:val="nil"/>
              <w:left w:val="nil"/>
              <w:bottom w:val="nil"/>
              <w:right w:val="nil"/>
            </w:tcBorders>
          </w:tcPr>
          <w:p w14:paraId="2BDA0223" w14:textId="5D87ABFA" w:rsidR="00C65329" w:rsidRPr="00583355" w:rsidRDefault="00C65329" w:rsidP="008A220A">
            <w:pPr>
              <w:pStyle w:val="CETBodytext"/>
              <w:spacing w:line="276" w:lineRule="auto"/>
              <w:rPr>
                <w:rFonts w:eastAsia="Arial Unicode MS"/>
              </w:rPr>
            </w:pPr>
            <w:r>
              <w:rPr>
                <w:rFonts w:eastAsia="Arial Unicode MS"/>
              </w:rPr>
              <w:t>H</w:t>
            </w:r>
            <w:r w:rsidRPr="00C65329">
              <w:rPr>
                <w:rFonts w:eastAsia="Arial Unicode MS"/>
                <w:vertAlign w:val="subscript"/>
              </w:rPr>
              <w:t>2</w:t>
            </w:r>
          </w:p>
        </w:tc>
        <w:tc>
          <w:tcPr>
            <w:tcW w:w="2126" w:type="dxa"/>
            <w:tcBorders>
              <w:top w:val="nil"/>
              <w:left w:val="nil"/>
              <w:bottom w:val="nil"/>
              <w:right w:val="nil"/>
            </w:tcBorders>
          </w:tcPr>
          <w:p w14:paraId="6590CEF5" w14:textId="68C757A8" w:rsidR="00C65329" w:rsidRPr="00583355" w:rsidRDefault="00F7738D" w:rsidP="008A220A">
            <w:pPr>
              <w:pStyle w:val="CETBodytext"/>
              <w:spacing w:line="276" w:lineRule="auto"/>
              <w:rPr>
                <w:rFonts w:eastAsia="Arial Unicode MS"/>
              </w:rPr>
            </w:pPr>
            <w:r>
              <w:rPr>
                <w:rFonts w:eastAsia="Arial Unicode MS"/>
              </w:rPr>
              <w:t>17.44</w:t>
            </w:r>
          </w:p>
        </w:tc>
        <w:tc>
          <w:tcPr>
            <w:tcW w:w="2552" w:type="dxa"/>
            <w:tcBorders>
              <w:top w:val="nil"/>
              <w:left w:val="nil"/>
              <w:bottom w:val="nil"/>
              <w:right w:val="nil"/>
            </w:tcBorders>
          </w:tcPr>
          <w:p w14:paraId="30CE92BC" w14:textId="76118471" w:rsidR="00C65329" w:rsidRDefault="00F7738D" w:rsidP="008A220A">
            <w:pPr>
              <w:pStyle w:val="CETBodytext"/>
              <w:spacing w:line="276" w:lineRule="auto"/>
              <w:rPr>
                <w:rFonts w:eastAsia="Arial Unicode MS"/>
              </w:rPr>
            </w:pPr>
            <w:r>
              <w:rPr>
                <w:rFonts w:eastAsia="Arial Unicode MS"/>
              </w:rPr>
              <w:t>17.34</w:t>
            </w:r>
          </w:p>
        </w:tc>
      </w:tr>
      <w:tr w:rsidR="00C65329" w:rsidRPr="00273B5F" w14:paraId="0A66963C" w14:textId="7FDFFCA7" w:rsidTr="00C65329">
        <w:tc>
          <w:tcPr>
            <w:tcW w:w="2552" w:type="dxa"/>
            <w:gridSpan w:val="2"/>
            <w:tcBorders>
              <w:top w:val="nil"/>
              <w:left w:val="nil"/>
              <w:bottom w:val="nil"/>
              <w:right w:val="nil"/>
            </w:tcBorders>
          </w:tcPr>
          <w:p w14:paraId="7AE1D4C8" w14:textId="223C9621" w:rsidR="00C65329" w:rsidRPr="00273B5F" w:rsidRDefault="00C65329" w:rsidP="008A220A">
            <w:pPr>
              <w:pStyle w:val="CETBodytext"/>
              <w:spacing w:line="276" w:lineRule="auto"/>
              <w:rPr>
                <w:rFonts w:eastAsia="Arial Unicode MS"/>
                <w:lang w:val="es-ES"/>
              </w:rPr>
            </w:pPr>
            <w:r>
              <w:rPr>
                <w:rFonts w:eastAsia="Arial Unicode MS"/>
                <w:lang w:val="es-ES"/>
              </w:rPr>
              <w:t>O</w:t>
            </w:r>
            <w:r w:rsidRPr="00C65329">
              <w:rPr>
                <w:rFonts w:eastAsia="Arial Unicode MS"/>
                <w:vertAlign w:val="subscript"/>
                <w:lang w:val="es-ES"/>
              </w:rPr>
              <w:t>2</w:t>
            </w:r>
          </w:p>
        </w:tc>
        <w:tc>
          <w:tcPr>
            <w:tcW w:w="2126" w:type="dxa"/>
            <w:tcBorders>
              <w:top w:val="nil"/>
              <w:left w:val="nil"/>
              <w:bottom w:val="nil"/>
              <w:right w:val="nil"/>
            </w:tcBorders>
          </w:tcPr>
          <w:p w14:paraId="44AD08D9" w14:textId="3E362A1F" w:rsidR="00C65329" w:rsidRPr="00273B5F" w:rsidRDefault="00F7738D" w:rsidP="008A220A">
            <w:pPr>
              <w:pStyle w:val="CETBodytext"/>
              <w:spacing w:line="276" w:lineRule="auto"/>
              <w:rPr>
                <w:rFonts w:eastAsia="Arial Unicode MS"/>
                <w:lang w:val="es-ES"/>
              </w:rPr>
            </w:pPr>
            <w:r>
              <w:rPr>
                <w:rFonts w:eastAsia="Arial Unicode MS"/>
                <w:lang w:val="es-ES"/>
              </w:rPr>
              <w:t>5.40</w:t>
            </w:r>
          </w:p>
        </w:tc>
        <w:tc>
          <w:tcPr>
            <w:tcW w:w="2552" w:type="dxa"/>
            <w:tcBorders>
              <w:top w:val="nil"/>
              <w:left w:val="nil"/>
              <w:bottom w:val="nil"/>
              <w:right w:val="nil"/>
            </w:tcBorders>
          </w:tcPr>
          <w:p w14:paraId="4EEC8203" w14:textId="64887E2A" w:rsidR="00C65329" w:rsidRPr="00273B5F" w:rsidRDefault="00F7738D" w:rsidP="008A220A">
            <w:pPr>
              <w:pStyle w:val="CETBodytext"/>
              <w:spacing w:line="276" w:lineRule="auto"/>
              <w:rPr>
                <w:rFonts w:eastAsia="Arial Unicode MS"/>
                <w:lang w:val="es-ES"/>
              </w:rPr>
            </w:pPr>
            <w:r>
              <w:rPr>
                <w:rFonts w:eastAsia="Arial Unicode MS"/>
                <w:lang w:val="es-ES"/>
              </w:rPr>
              <w:t>5.86</w:t>
            </w:r>
          </w:p>
        </w:tc>
      </w:tr>
      <w:tr w:rsidR="00C65329" w:rsidRPr="00273B5F" w14:paraId="25D0771A" w14:textId="624483EE" w:rsidTr="00C65329">
        <w:trPr>
          <w:trHeight w:val="265"/>
        </w:trPr>
        <w:tc>
          <w:tcPr>
            <w:tcW w:w="2552" w:type="dxa"/>
            <w:gridSpan w:val="2"/>
            <w:tcBorders>
              <w:top w:val="nil"/>
              <w:left w:val="nil"/>
              <w:bottom w:val="nil"/>
              <w:right w:val="nil"/>
            </w:tcBorders>
          </w:tcPr>
          <w:p w14:paraId="1C9E2D8D" w14:textId="47F9301F" w:rsidR="00C65329" w:rsidRPr="00273B5F" w:rsidRDefault="00C65329" w:rsidP="008A220A">
            <w:pPr>
              <w:pStyle w:val="CETBodytext"/>
              <w:spacing w:line="276" w:lineRule="auto"/>
              <w:rPr>
                <w:rFonts w:eastAsia="Arial Unicode MS"/>
                <w:lang w:val="es-ES"/>
              </w:rPr>
            </w:pPr>
            <w:r>
              <w:rPr>
                <w:rFonts w:eastAsia="Arial Unicode MS"/>
                <w:lang w:val="es-ES"/>
              </w:rPr>
              <w:t>CO</w:t>
            </w:r>
            <w:r w:rsidRPr="00C65329">
              <w:rPr>
                <w:rFonts w:eastAsia="Arial Unicode MS"/>
                <w:vertAlign w:val="subscript"/>
                <w:lang w:val="es-ES"/>
              </w:rPr>
              <w:t>2</w:t>
            </w:r>
          </w:p>
        </w:tc>
        <w:tc>
          <w:tcPr>
            <w:tcW w:w="2126" w:type="dxa"/>
            <w:tcBorders>
              <w:top w:val="nil"/>
              <w:left w:val="nil"/>
              <w:bottom w:val="nil"/>
              <w:right w:val="nil"/>
            </w:tcBorders>
          </w:tcPr>
          <w:p w14:paraId="7B464513" w14:textId="1551D5E7" w:rsidR="00C65329" w:rsidRPr="00273B5F" w:rsidRDefault="00F7738D" w:rsidP="008A220A">
            <w:pPr>
              <w:pStyle w:val="CETBodytext"/>
              <w:spacing w:line="276" w:lineRule="auto"/>
              <w:rPr>
                <w:rFonts w:eastAsia="Arial Unicode MS"/>
                <w:lang w:val="es-ES"/>
              </w:rPr>
            </w:pPr>
            <w:r>
              <w:rPr>
                <w:rFonts w:eastAsia="Arial Unicode MS"/>
                <w:lang w:val="es-ES"/>
              </w:rPr>
              <w:t>12.9</w:t>
            </w:r>
          </w:p>
        </w:tc>
        <w:tc>
          <w:tcPr>
            <w:tcW w:w="2552" w:type="dxa"/>
            <w:tcBorders>
              <w:top w:val="nil"/>
              <w:left w:val="nil"/>
              <w:bottom w:val="nil"/>
              <w:right w:val="nil"/>
            </w:tcBorders>
          </w:tcPr>
          <w:p w14:paraId="79862F4D" w14:textId="7F0D0C52" w:rsidR="00C65329" w:rsidRPr="00273B5F" w:rsidRDefault="00F7738D" w:rsidP="008A220A">
            <w:pPr>
              <w:pStyle w:val="CETBodytext"/>
              <w:spacing w:line="276" w:lineRule="auto"/>
              <w:rPr>
                <w:rFonts w:eastAsia="Arial Unicode MS"/>
                <w:lang w:val="es-ES"/>
              </w:rPr>
            </w:pPr>
            <w:r>
              <w:rPr>
                <w:rFonts w:eastAsia="Arial Unicode MS"/>
                <w:lang w:val="es-ES"/>
              </w:rPr>
              <w:t>15.83</w:t>
            </w:r>
          </w:p>
        </w:tc>
      </w:tr>
      <w:tr w:rsidR="00C65329" w:rsidRPr="00273B5F" w14:paraId="1FB6015E" w14:textId="77777777" w:rsidTr="00C65329">
        <w:trPr>
          <w:trHeight w:val="265"/>
        </w:trPr>
        <w:tc>
          <w:tcPr>
            <w:tcW w:w="2552" w:type="dxa"/>
            <w:gridSpan w:val="2"/>
            <w:tcBorders>
              <w:top w:val="nil"/>
              <w:left w:val="nil"/>
              <w:bottom w:val="nil"/>
              <w:right w:val="nil"/>
            </w:tcBorders>
          </w:tcPr>
          <w:p w14:paraId="08D1E5D6" w14:textId="0EC5F34B" w:rsidR="00C65329" w:rsidRPr="00273B5F" w:rsidRDefault="00C65329" w:rsidP="008A220A">
            <w:pPr>
              <w:pStyle w:val="CETBodytext"/>
              <w:spacing w:line="276" w:lineRule="auto"/>
              <w:rPr>
                <w:rFonts w:eastAsia="Arial Unicode MS"/>
                <w:lang w:val="es-ES"/>
              </w:rPr>
            </w:pPr>
            <w:r>
              <w:rPr>
                <w:rFonts w:eastAsia="Arial Unicode MS"/>
                <w:lang w:val="es-ES"/>
              </w:rPr>
              <w:t>CH</w:t>
            </w:r>
            <w:r w:rsidRPr="00C65329">
              <w:rPr>
                <w:rFonts w:eastAsia="Arial Unicode MS"/>
                <w:vertAlign w:val="subscript"/>
                <w:lang w:val="es-ES"/>
              </w:rPr>
              <w:t>4</w:t>
            </w:r>
          </w:p>
        </w:tc>
        <w:tc>
          <w:tcPr>
            <w:tcW w:w="2126" w:type="dxa"/>
            <w:tcBorders>
              <w:top w:val="nil"/>
              <w:left w:val="nil"/>
              <w:bottom w:val="nil"/>
              <w:right w:val="nil"/>
            </w:tcBorders>
          </w:tcPr>
          <w:p w14:paraId="776AE6C8" w14:textId="7F3D8CBB" w:rsidR="00C65329" w:rsidRPr="00273B5F" w:rsidRDefault="00F7738D" w:rsidP="008A220A">
            <w:pPr>
              <w:pStyle w:val="CETBodytext"/>
              <w:spacing w:line="276" w:lineRule="auto"/>
              <w:rPr>
                <w:rFonts w:eastAsia="Arial Unicode MS"/>
                <w:lang w:val="es-ES"/>
              </w:rPr>
            </w:pPr>
            <w:r>
              <w:rPr>
                <w:rFonts w:eastAsia="Arial Unicode MS"/>
                <w:lang w:val="es-ES"/>
              </w:rPr>
              <w:t>8.84</w:t>
            </w:r>
          </w:p>
        </w:tc>
        <w:tc>
          <w:tcPr>
            <w:tcW w:w="2552" w:type="dxa"/>
            <w:tcBorders>
              <w:top w:val="nil"/>
              <w:left w:val="nil"/>
              <w:bottom w:val="nil"/>
              <w:right w:val="nil"/>
            </w:tcBorders>
          </w:tcPr>
          <w:p w14:paraId="5B246EA8" w14:textId="299AA4AE" w:rsidR="00C65329" w:rsidRPr="00273B5F" w:rsidRDefault="00F7738D" w:rsidP="008A220A">
            <w:pPr>
              <w:pStyle w:val="CETBodytext"/>
              <w:spacing w:line="276" w:lineRule="auto"/>
              <w:rPr>
                <w:rFonts w:eastAsia="Arial Unicode MS"/>
                <w:lang w:val="es-ES"/>
              </w:rPr>
            </w:pPr>
            <w:r>
              <w:rPr>
                <w:rFonts w:eastAsia="Arial Unicode MS"/>
                <w:lang w:val="es-ES"/>
              </w:rPr>
              <w:t>8.78</w:t>
            </w:r>
          </w:p>
        </w:tc>
      </w:tr>
      <w:tr w:rsidR="00C65329" w:rsidRPr="00273B5F" w14:paraId="3DB70CAD" w14:textId="77777777" w:rsidTr="00C65329">
        <w:trPr>
          <w:trHeight w:val="265"/>
        </w:trPr>
        <w:tc>
          <w:tcPr>
            <w:tcW w:w="2552" w:type="dxa"/>
            <w:gridSpan w:val="2"/>
            <w:tcBorders>
              <w:top w:val="nil"/>
              <w:left w:val="nil"/>
              <w:bottom w:val="nil"/>
              <w:right w:val="nil"/>
            </w:tcBorders>
          </w:tcPr>
          <w:p w14:paraId="2C385C0F" w14:textId="66560469" w:rsidR="00C65329" w:rsidRPr="00273B5F" w:rsidRDefault="00C65329" w:rsidP="008A220A">
            <w:pPr>
              <w:pStyle w:val="CETBodytext"/>
              <w:spacing w:line="276" w:lineRule="auto"/>
              <w:rPr>
                <w:rFonts w:eastAsia="Arial Unicode MS"/>
                <w:lang w:val="es-ES"/>
              </w:rPr>
            </w:pPr>
            <w:r>
              <w:rPr>
                <w:rFonts w:eastAsia="Arial Unicode MS"/>
                <w:lang w:val="es-ES"/>
              </w:rPr>
              <w:t>N</w:t>
            </w:r>
            <w:r w:rsidRPr="00C65329">
              <w:rPr>
                <w:rFonts w:eastAsia="Arial Unicode MS"/>
                <w:vertAlign w:val="subscript"/>
                <w:lang w:val="es-ES"/>
              </w:rPr>
              <w:t>2</w:t>
            </w:r>
          </w:p>
        </w:tc>
        <w:tc>
          <w:tcPr>
            <w:tcW w:w="2126" w:type="dxa"/>
            <w:tcBorders>
              <w:top w:val="nil"/>
              <w:left w:val="nil"/>
              <w:bottom w:val="nil"/>
              <w:right w:val="nil"/>
            </w:tcBorders>
          </w:tcPr>
          <w:p w14:paraId="09308212" w14:textId="3C6C190A" w:rsidR="00C65329" w:rsidRPr="00273B5F" w:rsidRDefault="00F7738D" w:rsidP="008A220A">
            <w:pPr>
              <w:pStyle w:val="CETBodytext"/>
              <w:spacing w:line="276" w:lineRule="auto"/>
              <w:rPr>
                <w:rFonts w:eastAsia="Arial Unicode MS"/>
                <w:lang w:val="es-ES"/>
              </w:rPr>
            </w:pPr>
            <w:r>
              <w:rPr>
                <w:rFonts w:eastAsia="Arial Unicode MS"/>
                <w:lang w:val="es-ES"/>
              </w:rPr>
              <w:t>2.86</w:t>
            </w:r>
          </w:p>
        </w:tc>
        <w:tc>
          <w:tcPr>
            <w:tcW w:w="2552" w:type="dxa"/>
            <w:tcBorders>
              <w:top w:val="nil"/>
              <w:left w:val="nil"/>
              <w:bottom w:val="nil"/>
              <w:right w:val="nil"/>
            </w:tcBorders>
          </w:tcPr>
          <w:p w14:paraId="24FA9F1E" w14:textId="6FDE9A4F" w:rsidR="00C65329" w:rsidRPr="00273B5F" w:rsidRDefault="00F7738D" w:rsidP="008A220A">
            <w:pPr>
              <w:pStyle w:val="CETBodytext"/>
              <w:spacing w:line="276" w:lineRule="auto"/>
              <w:rPr>
                <w:rFonts w:eastAsia="Arial Unicode MS"/>
                <w:lang w:val="es-ES"/>
              </w:rPr>
            </w:pPr>
            <w:r>
              <w:rPr>
                <w:rFonts w:eastAsia="Arial Unicode MS"/>
                <w:lang w:val="es-ES"/>
              </w:rPr>
              <w:t>2.98</w:t>
            </w:r>
          </w:p>
        </w:tc>
      </w:tr>
      <w:tr w:rsidR="00C65329" w:rsidRPr="00273B5F" w14:paraId="6176A2CC" w14:textId="77777777" w:rsidTr="00C65329">
        <w:trPr>
          <w:trHeight w:val="265"/>
        </w:trPr>
        <w:tc>
          <w:tcPr>
            <w:tcW w:w="2552" w:type="dxa"/>
            <w:gridSpan w:val="2"/>
            <w:tcBorders>
              <w:top w:val="nil"/>
              <w:left w:val="nil"/>
              <w:bottom w:val="single" w:sz="24" w:space="0" w:color="00B050"/>
              <w:right w:val="nil"/>
            </w:tcBorders>
          </w:tcPr>
          <w:p w14:paraId="5AC08BAB" w14:textId="12AF8790" w:rsidR="00C65329" w:rsidRPr="00273B5F" w:rsidRDefault="00C65329" w:rsidP="008A220A">
            <w:pPr>
              <w:pStyle w:val="CETBodytext"/>
              <w:spacing w:line="276" w:lineRule="auto"/>
              <w:rPr>
                <w:rFonts w:eastAsia="Arial Unicode MS"/>
                <w:lang w:val="es-ES"/>
              </w:rPr>
            </w:pPr>
            <w:r>
              <w:rPr>
                <w:rFonts w:eastAsia="Arial Unicode MS"/>
                <w:lang w:val="es-ES"/>
              </w:rPr>
              <w:t>C</w:t>
            </w:r>
            <w:r w:rsidRPr="00230E86">
              <w:rPr>
                <w:rFonts w:eastAsia="Arial Unicode MS"/>
                <w:vertAlign w:val="subscript"/>
                <w:lang w:val="es-ES"/>
              </w:rPr>
              <w:t>6</w:t>
            </w:r>
            <w:r>
              <w:rPr>
                <w:rFonts w:eastAsia="Arial Unicode MS"/>
                <w:lang w:val="es-ES"/>
              </w:rPr>
              <w:t>H</w:t>
            </w:r>
            <w:r w:rsidRPr="00230E86">
              <w:rPr>
                <w:rFonts w:eastAsia="Arial Unicode MS"/>
                <w:vertAlign w:val="subscript"/>
                <w:lang w:val="es-ES"/>
              </w:rPr>
              <w:t>6</w:t>
            </w:r>
            <w:r>
              <w:rPr>
                <w:rFonts w:eastAsia="Arial Unicode MS"/>
                <w:lang w:val="es-ES"/>
              </w:rPr>
              <w:t xml:space="preserve"> (Volatile)</w:t>
            </w:r>
          </w:p>
        </w:tc>
        <w:tc>
          <w:tcPr>
            <w:tcW w:w="2126" w:type="dxa"/>
            <w:tcBorders>
              <w:top w:val="nil"/>
              <w:left w:val="nil"/>
              <w:bottom w:val="single" w:sz="24" w:space="0" w:color="00B050"/>
              <w:right w:val="nil"/>
            </w:tcBorders>
          </w:tcPr>
          <w:p w14:paraId="27BB0B9E" w14:textId="1A7A8E1B" w:rsidR="00C65329" w:rsidRPr="00273B5F" w:rsidRDefault="00F7738D" w:rsidP="008A220A">
            <w:pPr>
              <w:pStyle w:val="CETBodytext"/>
              <w:spacing w:line="276" w:lineRule="auto"/>
              <w:rPr>
                <w:rFonts w:eastAsia="Arial Unicode MS"/>
                <w:lang w:val="es-ES"/>
              </w:rPr>
            </w:pPr>
            <w:r>
              <w:rPr>
                <w:rFonts w:eastAsia="Arial Unicode MS"/>
                <w:lang w:val="es-ES"/>
              </w:rPr>
              <w:t>5.77</w:t>
            </w:r>
          </w:p>
        </w:tc>
        <w:tc>
          <w:tcPr>
            <w:tcW w:w="2552" w:type="dxa"/>
            <w:tcBorders>
              <w:top w:val="nil"/>
              <w:left w:val="nil"/>
              <w:bottom w:val="single" w:sz="24" w:space="0" w:color="00B050"/>
              <w:right w:val="nil"/>
            </w:tcBorders>
          </w:tcPr>
          <w:p w14:paraId="4DB986D6" w14:textId="579FD5E7" w:rsidR="00C65329" w:rsidRPr="00273B5F" w:rsidRDefault="00F7738D" w:rsidP="008A220A">
            <w:pPr>
              <w:pStyle w:val="CETBodytext"/>
              <w:spacing w:line="276" w:lineRule="auto"/>
              <w:rPr>
                <w:rFonts w:eastAsia="Arial Unicode MS"/>
                <w:lang w:val="es-ES"/>
              </w:rPr>
            </w:pPr>
            <w:r>
              <w:rPr>
                <w:rFonts w:eastAsia="Arial Unicode MS"/>
                <w:lang w:val="es-ES"/>
              </w:rPr>
              <w:t>5.74</w:t>
            </w:r>
          </w:p>
        </w:tc>
      </w:tr>
    </w:tbl>
    <w:p w14:paraId="64D2EF31" w14:textId="77777777" w:rsidR="005E189E" w:rsidRPr="006F4036" w:rsidRDefault="005E189E" w:rsidP="005E189E">
      <w:pPr>
        <w:pStyle w:val="CETHeading1"/>
        <w:rPr>
          <w:lang w:eastAsia="es-ES"/>
        </w:rPr>
      </w:pPr>
      <w:r w:rsidRPr="006F4036">
        <w:rPr>
          <w:lang w:eastAsia="es-ES"/>
        </w:rPr>
        <w:t>C</w:t>
      </w:r>
      <w:r>
        <w:rPr>
          <w:lang w:eastAsia="es-ES"/>
        </w:rPr>
        <w:t>onclusions</w:t>
      </w:r>
    </w:p>
    <w:p w14:paraId="0B2F11C1" w14:textId="327DEF3A" w:rsidR="005E189E" w:rsidRPr="00912DA2" w:rsidRDefault="005E189E" w:rsidP="005E189E">
      <w:pPr>
        <w:pStyle w:val="CETBodytext"/>
        <w:rPr>
          <w:lang w:eastAsia="es-ES"/>
        </w:rPr>
      </w:pPr>
      <w:r w:rsidRPr="006F4036">
        <w:rPr>
          <w:lang w:eastAsia="es-ES"/>
        </w:rPr>
        <w:t xml:space="preserve">The moving bed model implemented in Aspen Plus® proved effective in predicting the composition of the gas produced from Maranhão waste. The high synthesis gas yields (greater than 60%) confirm that babassu </w:t>
      </w:r>
      <w:r>
        <w:rPr>
          <w:lang w:eastAsia="es-ES"/>
        </w:rPr>
        <w:t>shells</w:t>
      </w:r>
      <w:r w:rsidRPr="006F4036">
        <w:rPr>
          <w:lang w:eastAsia="es-ES"/>
        </w:rPr>
        <w:t xml:space="preserve"> and açaí</w:t>
      </w:r>
      <w:r>
        <w:rPr>
          <w:lang w:eastAsia="es-ES"/>
        </w:rPr>
        <w:t xml:space="preserve"> </w:t>
      </w:r>
      <w:r w:rsidRPr="006F4036">
        <w:t>seeds</w:t>
      </w:r>
      <w:r w:rsidRPr="006F4036">
        <w:rPr>
          <w:lang w:eastAsia="es-ES"/>
        </w:rPr>
        <w:t xml:space="preserve"> are viable energy resources that can mitigate the environmental impact of agroindustrial waste and streng</w:t>
      </w:r>
      <w:r w:rsidR="0014245C">
        <w:rPr>
          <w:lang w:eastAsia="es-ES"/>
        </w:rPr>
        <w:t>then the regional energy matrix.</w:t>
      </w:r>
    </w:p>
    <w:p w14:paraId="0FA26A41" w14:textId="77777777" w:rsidR="005E189E" w:rsidRDefault="005E189E" w:rsidP="000A4CFE">
      <w:pPr>
        <w:pStyle w:val="CETBodytext"/>
        <w:rPr>
          <w:highlight w:val="yellow"/>
        </w:rPr>
      </w:pPr>
    </w:p>
    <w:p w14:paraId="121A3B0A" w14:textId="77777777" w:rsidR="005E084D" w:rsidRPr="00B57B36" w:rsidRDefault="005E084D" w:rsidP="0014245C">
      <w:pPr>
        <w:pStyle w:val="CETAcknowledgementstitle"/>
        <w:spacing w:before="120"/>
      </w:pPr>
      <w:r w:rsidRPr="00B57B36">
        <w:t>Acknowledgments</w:t>
      </w:r>
    </w:p>
    <w:p w14:paraId="632EB673" w14:textId="23E4604A" w:rsidR="005E084D" w:rsidRPr="005E084D" w:rsidRDefault="005E084D" w:rsidP="000A4CFE">
      <w:pPr>
        <w:pStyle w:val="CETBodytext"/>
        <w:rPr>
          <w:highlight w:val="yellow"/>
          <w:lang w:val="en-GB"/>
        </w:rPr>
      </w:pPr>
      <w:r w:rsidRPr="005E084D">
        <w:rPr>
          <w:lang w:val="en-GB"/>
        </w:rPr>
        <w:t>The authors would like to express their gratitude to CAPES (Coordenação de Aperfeiçoamento de Pessoal de Nível Superior) for the financial support provided under “CAPES - Finance Code 001”, specifically through project process no. 88881.510240/2020-01, within the framework of the CAPES Program 013/2020 – PDPG Amazônia Legal.</w:t>
      </w:r>
    </w:p>
    <w:p w14:paraId="0BAB561B" w14:textId="7238D42F" w:rsidR="009F2F3C" w:rsidRPr="005B5821" w:rsidRDefault="009F2F3C" w:rsidP="009F2F3C">
      <w:pPr>
        <w:pStyle w:val="CETReference"/>
        <w:rPr>
          <w:lang w:val="pt-BR"/>
        </w:rPr>
      </w:pPr>
      <w:r w:rsidRPr="005B5821">
        <w:rPr>
          <w:lang w:val="pt-BR"/>
        </w:rPr>
        <w:t>References</w:t>
      </w:r>
    </w:p>
    <w:p w14:paraId="60BDF3A4" w14:textId="77777777" w:rsidR="0038027B" w:rsidRPr="00583355" w:rsidRDefault="0038027B" w:rsidP="0038027B">
      <w:pPr>
        <w:pStyle w:val="CETReferencetext"/>
      </w:pPr>
      <w:r w:rsidRPr="005B5821">
        <w:rPr>
          <w:lang w:val="pt-BR"/>
        </w:rPr>
        <w:t xml:space="preserve">Ardila, C. Y., Figueroa, J.E.J., Wolf M., M.R., 2024. </w:t>
      </w:r>
      <w:r w:rsidRPr="00583355">
        <w:t xml:space="preserve">Mathematical models for predicting the higher heating value and ultimate analysis of biomass, Industrial Crops and Products, 208, 117777.   </w:t>
      </w:r>
    </w:p>
    <w:p w14:paraId="428B022A" w14:textId="53E82FAD" w:rsidR="00E65B91" w:rsidRPr="00D72622" w:rsidRDefault="00EB04EE" w:rsidP="00600535">
      <w:pPr>
        <w:pStyle w:val="CETReferencetext"/>
        <w:rPr>
          <w:highlight w:val="yellow"/>
        </w:rPr>
      </w:pPr>
      <w:r w:rsidRPr="00982C4B">
        <w:rPr>
          <w:bCs/>
        </w:rPr>
        <w:t>ASPEN TECHNOLOGY INC.</w:t>
      </w:r>
      <w:r w:rsidR="00982C4B">
        <w:t xml:space="preserve"> 2014.</w:t>
      </w:r>
      <w:r>
        <w:t xml:space="preserve"> Aspen Plus User Guide</w:t>
      </w:r>
      <w:r w:rsidR="00982C4B">
        <w:t>.</w:t>
      </w:r>
    </w:p>
    <w:p w14:paraId="4AD718DD" w14:textId="22088155" w:rsidR="00891A30" w:rsidRDefault="00891A30" w:rsidP="00F40A09">
      <w:pPr>
        <w:pStyle w:val="CETReferencetext"/>
        <w:rPr>
          <w:shd w:val="clear" w:color="auto" w:fill="FFFFFF"/>
          <w:lang w:val="en-US"/>
        </w:rPr>
      </w:pPr>
      <w:r w:rsidRPr="00247769">
        <w:rPr>
          <w:shd w:val="clear" w:color="auto" w:fill="FFFFFF"/>
          <w:lang w:val="es-ES"/>
        </w:rPr>
        <w:t xml:space="preserve">Camacho-Ardila Y., Figueroa J.E.J., Coha-Vesga P.M., 2025. </w:t>
      </w:r>
      <w:r w:rsidRPr="00F40A09">
        <w:rPr>
          <w:shd w:val="clear" w:color="auto" w:fill="FFFFFF"/>
          <w:lang w:val="en-US"/>
        </w:rPr>
        <w:t>Simulation of the Pyrolysis of Biomass Based on Ultimate and Proximate Characterizations, Chemical Engineering Transactions, 118, 373-378.</w:t>
      </w:r>
    </w:p>
    <w:p w14:paraId="3B566435" w14:textId="0777FBBF" w:rsidR="00440C3E" w:rsidRPr="005B5821" w:rsidRDefault="00440C3E" w:rsidP="00F40A09">
      <w:pPr>
        <w:pStyle w:val="CETReferencetext"/>
        <w:rPr>
          <w:shd w:val="clear" w:color="auto" w:fill="FFFFFF"/>
          <w:lang w:val="pt-BR"/>
        </w:rPr>
      </w:pPr>
      <w:r w:rsidRPr="005B5821">
        <w:rPr>
          <w:bCs/>
          <w:lang w:val="pt-BR"/>
        </w:rPr>
        <w:t xml:space="preserve">Eilchler, P., Santos F., Toledo, M., Zerbin, P., </w:t>
      </w:r>
      <w:r w:rsidRPr="005B5821">
        <w:rPr>
          <w:lang w:val="pt-BR"/>
        </w:rPr>
        <w:t xml:space="preserve">Schmitza G., Alvesa, C., Lúcias Riesa, L., Gomes, F., 2015, Produção do biometanol via gaseificação de </w:t>
      </w:r>
      <w:r w:rsidR="00074053">
        <w:rPr>
          <w:lang w:val="pt-BR"/>
        </w:rPr>
        <w:t>Biomass</w:t>
      </w:r>
      <w:r w:rsidRPr="005B5821">
        <w:rPr>
          <w:lang w:val="pt-BR"/>
        </w:rPr>
        <w:t xml:space="preserve"> lignocelulósica. </w:t>
      </w:r>
      <w:r w:rsidRPr="005B5821">
        <w:rPr>
          <w:bCs/>
          <w:lang w:val="pt-BR"/>
        </w:rPr>
        <w:t>Quimica Nova</w:t>
      </w:r>
      <w:r w:rsidRPr="005B5821">
        <w:rPr>
          <w:lang w:val="pt-BR"/>
        </w:rPr>
        <w:t>, 38, 6, 828–835, 2015.</w:t>
      </w:r>
    </w:p>
    <w:p w14:paraId="3F62C846" w14:textId="02ADD608" w:rsidR="008F0BAD" w:rsidRPr="005B5821" w:rsidRDefault="008F0BAD" w:rsidP="00F40A09">
      <w:pPr>
        <w:pStyle w:val="CETReferencetext"/>
        <w:rPr>
          <w:lang w:val="pt-BR"/>
        </w:rPr>
      </w:pPr>
      <w:r w:rsidRPr="005B5821">
        <w:rPr>
          <w:bCs/>
          <w:lang w:val="pt-BR"/>
        </w:rPr>
        <w:t>EMBRAPA (EMPRESA BRASILEIRA DE PESQUISA AGROPECUÁRIA), 1984,</w:t>
      </w:r>
      <w:r w:rsidRPr="005B5821">
        <w:rPr>
          <w:lang w:val="pt-BR"/>
        </w:rPr>
        <w:t xml:space="preserve"> Babaçu: programa nacional de pesquisa. Brasília: Embrapa-DDT.</w:t>
      </w:r>
    </w:p>
    <w:p w14:paraId="61F898D7" w14:textId="627A9BCB" w:rsidR="007C2E97" w:rsidRPr="005B5821" w:rsidRDefault="007C2E97" w:rsidP="00F40A09">
      <w:pPr>
        <w:pStyle w:val="CETReferencetext"/>
        <w:rPr>
          <w:shd w:val="clear" w:color="auto" w:fill="FFFFFF"/>
        </w:rPr>
      </w:pPr>
      <w:r w:rsidRPr="005B5821">
        <w:rPr>
          <w:bCs/>
          <w:lang w:val="pt-BR"/>
        </w:rPr>
        <w:t>EPE (EMPRESA DE PESQUISA ENERGÉTICA), 2018,</w:t>
      </w:r>
      <w:r w:rsidRPr="005B5821">
        <w:rPr>
          <w:lang w:val="pt-BR"/>
        </w:rPr>
        <w:t xml:space="preserve"> Balanço Energético Nacional 2018. </w:t>
      </w:r>
      <w:r w:rsidRPr="005B5821">
        <w:t>Rio de Janeiro: EPE.</w:t>
      </w:r>
    </w:p>
    <w:p w14:paraId="4370F489" w14:textId="1CFABA1A" w:rsidR="00891A30" w:rsidRDefault="00891A30" w:rsidP="00F40A09">
      <w:pPr>
        <w:pStyle w:val="CETReferencetext"/>
      </w:pPr>
      <w:r w:rsidRPr="00F40A09">
        <w:rPr>
          <w:lang w:val="en-US"/>
        </w:rPr>
        <w:t>Figueroa, J.E.J., Ardila, Y.C., Hoss L.</w:t>
      </w:r>
      <w:r w:rsidRPr="00F40A09">
        <w:t>B., Filho, R.M. Wolf M.M.R., 2013, Evaluation of pyrolysis and steam gasification processes of sugarcane bagasse in a fixed bed reactor, Chemical Engineering Transactions, 32, 925-930.</w:t>
      </w:r>
    </w:p>
    <w:p w14:paraId="097F6B34" w14:textId="77777777" w:rsidR="00FC654F" w:rsidRPr="00583355" w:rsidRDefault="00FC654F" w:rsidP="00FC654F">
      <w:pPr>
        <w:pStyle w:val="CETReferencetext"/>
      </w:pPr>
      <w:r w:rsidRPr="00583355">
        <w:rPr>
          <w:lang w:val="en-US"/>
        </w:rPr>
        <w:t xml:space="preserve">Figueroa, J. E.J., Ardila, Y.C., Filho, R. M., Wolf, M.R., 2014, </w:t>
      </w:r>
      <w:r w:rsidRPr="00583355">
        <w:t>Fluidized bed reactor for gasification of sugarcane bagasse: Distribution of syngas, bio-tar and char. Chemical Engineering Transactions, 37, 229-234.</w:t>
      </w:r>
    </w:p>
    <w:p w14:paraId="4D83EEEE" w14:textId="4F9E06F3" w:rsidR="00891A30" w:rsidRPr="005B5821" w:rsidRDefault="00C34B8E" w:rsidP="00F40A09">
      <w:pPr>
        <w:pStyle w:val="CETReferencetext"/>
        <w:rPr>
          <w:lang w:val="pt-BR"/>
        </w:rPr>
      </w:pPr>
      <w:hyperlink r:id="rId13" w:history="1">
        <w:r w:rsidR="00891A30" w:rsidRPr="005B5821">
          <w:rPr>
            <w:rStyle w:val="Hipervnculo"/>
            <w:color w:val="auto"/>
            <w:u w:val="none"/>
            <w:lang w:val="pt-BR"/>
          </w:rPr>
          <w:t>Lins, R. B. S.</w:t>
        </w:r>
      </w:hyperlink>
      <w:r w:rsidR="00F36D93" w:rsidRPr="005B5821">
        <w:rPr>
          <w:lang w:val="pt-BR"/>
        </w:rPr>
        <w:t>,</w:t>
      </w:r>
      <w:hyperlink r:id="rId14" w:history="1">
        <w:r w:rsidR="00891A30" w:rsidRPr="005B5821">
          <w:rPr>
            <w:rStyle w:val="Hipervnculo"/>
            <w:color w:val="auto"/>
            <w:u w:val="none"/>
            <w:lang w:val="pt-BR"/>
          </w:rPr>
          <w:t>Serra, R. L.</w:t>
        </w:r>
      </w:hyperlink>
      <w:r w:rsidR="00891A30" w:rsidRPr="005B5821">
        <w:rPr>
          <w:lang w:val="pt-BR"/>
        </w:rPr>
        <w:t>, </w:t>
      </w:r>
      <w:hyperlink r:id="rId15" w:history="1">
        <w:r w:rsidR="00891A30" w:rsidRPr="005B5821">
          <w:rPr>
            <w:rStyle w:val="Hipervnculo"/>
            <w:color w:val="auto"/>
            <w:u w:val="none"/>
            <w:lang w:val="pt-BR"/>
          </w:rPr>
          <w:t>Prado, M. M.</w:t>
        </w:r>
      </w:hyperlink>
      <w:r w:rsidR="00891A30" w:rsidRPr="005B5821">
        <w:rPr>
          <w:lang w:val="pt-BR"/>
        </w:rPr>
        <w:t>, </w:t>
      </w:r>
      <w:hyperlink r:id="rId16" w:history="1">
        <w:r w:rsidR="00891A30" w:rsidRPr="005B5821">
          <w:rPr>
            <w:rStyle w:val="Hipervnculo"/>
            <w:color w:val="auto"/>
            <w:u w:val="none"/>
            <w:lang w:val="pt-BR"/>
          </w:rPr>
          <w:t>Marques, L. G.</w:t>
        </w:r>
      </w:hyperlink>
      <w:r w:rsidR="00891A30" w:rsidRPr="005B5821">
        <w:rPr>
          <w:lang w:val="pt-BR"/>
        </w:rPr>
        <w:t xml:space="preserve">, 2017, Secagem da </w:t>
      </w:r>
      <w:r w:rsidR="00074053">
        <w:rPr>
          <w:lang w:val="pt-BR"/>
        </w:rPr>
        <w:t>Biomass</w:t>
      </w:r>
      <w:r w:rsidR="00891A30" w:rsidRPr="005B5821">
        <w:rPr>
          <w:lang w:val="pt-BR"/>
        </w:rPr>
        <w:t xml:space="preserve"> de açaí via radiação infravermelho. In: Congresso Brasileiro de Engenharia Química em Iniciação Científica, 12, São Carlos. </w:t>
      </w:r>
    </w:p>
    <w:p w14:paraId="016729E5" w14:textId="758933A9" w:rsidR="00F36D93" w:rsidRPr="00F40A09" w:rsidRDefault="00F36D93" w:rsidP="00F40A09">
      <w:pPr>
        <w:pStyle w:val="CETReferencetext"/>
      </w:pPr>
      <w:r w:rsidRPr="00F40A09">
        <w:rPr>
          <w:bCs/>
        </w:rPr>
        <w:t>L</w:t>
      </w:r>
      <w:r w:rsidR="00F40A09">
        <w:rPr>
          <w:bCs/>
        </w:rPr>
        <w:t>oha</w:t>
      </w:r>
      <w:r w:rsidRPr="00F40A09">
        <w:rPr>
          <w:bCs/>
        </w:rPr>
        <w:t>, C., C</w:t>
      </w:r>
      <w:r w:rsidR="00F40A09">
        <w:rPr>
          <w:bCs/>
        </w:rPr>
        <w:t>hattopadhyay</w:t>
      </w:r>
      <w:r w:rsidRPr="00F40A09">
        <w:rPr>
          <w:bCs/>
        </w:rPr>
        <w:t>, H., C</w:t>
      </w:r>
      <w:r w:rsidR="00F40A09">
        <w:rPr>
          <w:bCs/>
        </w:rPr>
        <w:t>hatterjee</w:t>
      </w:r>
      <w:r w:rsidRPr="00F40A09">
        <w:rPr>
          <w:bCs/>
        </w:rPr>
        <w:t>, P. K., 2014.</w:t>
      </w:r>
      <w:r w:rsidRPr="00F40A09">
        <w:t xml:space="preserve"> </w:t>
      </w:r>
      <w:r w:rsidR="005B5821">
        <w:t>Three-dimensional</w:t>
      </w:r>
      <w:r w:rsidRPr="00F40A09">
        <w:t xml:space="preserve"> kinetic modeling of fluidized bed biomass gasification. </w:t>
      </w:r>
      <w:r w:rsidRPr="00F40A09">
        <w:rPr>
          <w:bCs/>
        </w:rPr>
        <w:t>Chemical Engineering Science</w:t>
      </w:r>
      <w:r w:rsidRPr="00F40A09">
        <w:t>, 109, 53–64.</w:t>
      </w:r>
    </w:p>
    <w:p w14:paraId="5A2713AF" w14:textId="25B893FC" w:rsidR="004F7149" w:rsidRDefault="004F7149" w:rsidP="00F40A09">
      <w:pPr>
        <w:pStyle w:val="CETReferencetext"/>
      </w:pPr>
      <w:r w:rsidRPr="00F40A09">
        <w:t>Maitlo, G., Ali, I., Mangi, K.H., Ali, S., Maitlo, H.A., Unar, I.N., Pirzada, A.M., 2022, Thermochemical Conversion of Biomass for Syngas Production: Current Status and Future Trends, </w:t>
      </w:r>
      <w:r w:rsidRPr="00F40A09">
        <w:rPr>
          <w:rStyle w:val="nfasis"/>
          <w:i w:val="0"/>
          <w:iCs w:val="0"/>
        </w:rPr>
        <w:t>Sustainability,</w:t>
      </w:r>
      <w:r w:rsidRPr="00F40A09">
        <w:t> </w:t>
      </w:r>
      <w:r w:rsidRPr="00F40A09">
        <w:rPr>
          <w:rStyle w:val="nfasis"/>
          <w:i w:val="0"/>
          <w:iCs w:val="0"/>
        </w:rPr>
        <w:t>14</w:t>
      </w:r>
      <w:r w:rsidRPr="00F40A09">
        <w:t xml:space="preserve">, 2596. </w:t>
      </w:r>
    </w:p>
    <w:p w14:paraId="3511F387" w14:textId="0A680795" w:rsidR="004A4119" w:rsidRPr="005B5821" w:rsidRDefault="004A4119" w:rsidP="00F40A09">
      <w:pPr>
        <w:pStyle w:val="CETReferencetext"/>
      </w:pPr>
      <w:r w:rsidRPr="005B5821">
        <w:rPr>
          <w:lang w:val="pt-BR"/>
        </w:rPr>
        <w:t xml:space="preserve">Da Rocha, G. O., De Andrade, J. B., 2013, Química sem fronteiras: o desafio da energia. </w:t>
      </w:r>
      <w:r w:rsidRPr="005B5821">
        <w:rPr>
          <w:bCs/>
        </w:rPr>
        <w:t>Química Nova</w:t>
      </w:r>
      <w:r w:rsidRPr="005B5821">
        <w:t>, 36, 10, 1540–1551, 2013.</w:t>
      </w:r>
    </w:p>
    <w:p w14:paraId="045730C1" w14:textId="42F50E45" w:rsidR="00891A30" w:rsidRPr="00F40A09" w:rsidRDefault="00891A30" w:rsidP="00F40A09">
      <w:pPr>
        <w:pStyle w:val="CETReferencetext"/>
      </w:pPr>
      <w:r w:rsidRPr="00F40A09">
        <w:t>Tezer, Z., Karabağ, N., Öngen, A., Çolpan, C.O. A., 2022, Biomass gasification for sustainable energy production: A review, International Journal of Hydrogen Energy, 47, 34, 15419-15433.</w:t>
      </w:r>
    </w:p>
    <w:p w14:paraId="6EBCDB23" w14:textId="40CC3282" w:rsidR="00F36D93" w:rsidRDefault="00F36D93" w:rsidP="00F40A09">
      <w:pPr>
        <w:pStyle w:val="CETReferencetext"/>
      </w:pPr>
      <w:r w:rsidRPr="00F40A09">
        <w:t xml:space="preserve">Trninić M., Stojiljković D., Manić N., Skreiberg Ø., Wang L., Jovović A., 2020, A mathematical model of biomass downdraft gasification with an integrated pyrolysis model, Fuel, 265. </w:t>
      </w:r>
    </w:p>
    <w:p w14:paraId="44E01F4B" w14:textId="6CE7B531" w:rsidR="00B33372" w:rsidRPr="00F40A09" w:rsidRDefault="00B33372" w:rsidP="00B33372">
      <w:pPr>
        <w:pStyle w:val="CETReferencetext"/>
      </w:pPr>
      <w:r>
        <w:t>Yu, X., Blanco, P.F., Makkawi, Y., Bridgwater A.V, 2018, CFD and experimental studies on a circulating fluidised bed reactor for biomass gasification, Chemical Engineering and Processing - Process Intensification, 130, 284-295.</w:t>
      </w:r>
    </w:p>
    <w:sectPr w:rsidR="00B33372" w:rsidRPr="00F40A09"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E4BCF" w14:textId="77777777" w:rsidR="00C34B8E" w:rsidRDefault="00C34B8E" w:rsidP="004F5E36">
      <w:r>
        <w:separator/>
      </w:r>
    </w:p>
  </w:endnote>
  <w:endnote w:type="continuationSeparator" w:id="0">
    <w:p w14:paraId="1E598F5D" w14:textId="77777777" w:rsidR="00C34B8E" w:rsidRDefault="00C34B8E"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2CCB3" w14:textId="77777777" w:rsidR="00C34B8E" w:rsidRDefault="00C34B8E" w:rsidP="004F5E36">
      <w:r>
        <w:separator/>
      </w:r>
    </w:p>
  </w:footnote>
  <w:footnote w:type="continuationSeparator" w:id="0">
    <w:p w14:paraId="544771A5" w14:textId="77777777" w:rsidR="00C34B8E" w:rsidRDefault="00C34B8E" w:rsidP="004F5E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DA9E84A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AA1540"/>
    <w:multiLevelType w:val="multilevel"/>
    <w:tmpl w:val="C742A5A8"/>
    <w:lvl w:ilvl="0">
      <w:start w:val="2"/>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2"/>
  </w:num>
  <w:num w:numId="14">
    <w:abstractNumId w:val="19"/>
  </w:num>
  <w:num w:numId="15">
    <w:abstractNumId w:val="21"/>
  </w:num>
  <w:num w:numId="16">
    <w:abstractNumId w:val="20"/>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 w:numId="23">
    <w:abstractNumId w:val="10"/>
    <w:lvlOverride w:ilvl="0">
      <w:startOverride w:val="1"/>
    </w:lvlOverride>
    <w:lvlOverride w:ilvl="1">
      <w:startOverride w:val="3"/>
    </w:lvlOverride>
  </w:num>
  <w:num w:numId="24">
    <w:abstractNumId w:val="10"/>
    <w:lvlOverride w:ilvl="0">
      <w:startOverride w:val="1"/>
    </w:lvlOverride>
    <w:lvlOverride w:ilvl="1">
      <w:startOverride w:val="2"/>
    </w:lvlOverride>
    <w:lvlOverride w:ilvl="2">
      <w:startOverride w:val="4"/>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0F6"/>
    <w:rsid w:val="000016DB"/>
    <w:rsid w:val="000027C0"/>
    <w:rsid w:val="000052FB"/>
    <w:rsid w:val="00005884"/>
    <w:rsid w:val="00005A19"/>
    <w:rsid w:val="00010C4A"/>
    <w:rsid w:val="000117CB"/>
    <w:rsid w:val="0003148D"/>
    <w:rsid w:val="00031EEC"/>
    <w:rsid w:val="00050C4F"/>
    <w:rsid w:val="00051566"/>
    <w:rsid w:val="000562A9"/>
    <w:rsid w:val="00062A9A"/>
    <w:rsid w:val="00065058"/>
    <w:rsid w:val="00074053"/>
    <w:rsid w:val="00086C39"/>
    <w:rsid w:val="00093593"/>
    <w:rsid w:val="000A03B2"/>
    <w:rsid w:val="000A4CFE"/>
    <w:rsid w:val="000B3314"/>
    <w:rsid w:val="000C5A75"/>
    <w:rsid w:val="000D0268"/>
    <w:rsid w:val="000D050F"/>
    <w:rsid w:val="000D1FDD"/>
    <w:rsid w:val="000D34BE"/>
    <w:rsid w:val="000D705B"/>
    <w:rsid w:val="000E102F"/>
    <w:rsid w:val="000E36F1"/>
    <w:rsid w:val="000E3A73"/>
    <w:rsid w:val="000E414A"/>
    <w:rsid w:val="000E67ED"/>
    <w:rsid w:val="000E75FD"/>
    <w:rsid w:val="000F093C"/>
    <w:rsid w:val="000F140B"/>
    <w:rsid w:val="000F787B"/>
    <w:rsid w:val="00101F02"/>
    <w:rsid w:val="0012091F"/>
    <w:rsid w:val="00124AAD"/>
    <w:rsid w:val="00126BC2"/>
    <w:rsid w:val="001308B6"/>
    <w:rsid w:val="0013121F"/>
    <w:rsid w:val="00131FE6"/>
    <w:rsid w:val="0013263F"/>
    <w:rsid w:val="001331DF"/>
    <w:rsid w:val="00134DE4"/>
    <w:rsid w:val="00135197"/>
    <w:rsid w:val="00137C8B"/>
    <w:rsid w:val="0014034D"/>
    <w:rsid w:val="00140FE3"/>
    <w:rsid w:val="0014245C"/>
    <w:rsid w:val="00144D16"/>
    <w:rsid w:val="00150E59"/>
    <w:rsid w:val="00152DE3"/>
    <w:rsid w:val="001642BF"/>
    <w:rsid w:val="00164CF9"/>
    <w:rsid w:val="001667A6"/>
    <w:rsid w:val="0017214F"/>
    <w:rsid w:val="00175777"/>
    <w:rsid w:val="00184AD6"/>
    <w:rsid w:val="00192026"/>
    <w:rsid w:val="001A446E"/>
    <w:rsid w:val="001A4AF7"/>
    <w:rsid w:val="001B0349"/>
    <w:rsid w:val="001B1E93"/>
    <w:rsid w:val="001B4D10"/>
    <w:rsid w:val="001B65C1"/>
    <w:rsid w:val="001C260F"/>
    <w:rsid w:val="001C33F1"/>
    <w:rsid w:val="001C684B"/>
    <w:rsid w:val="001D0CFB"/>
    <w:rsid w:val="001D21AF"/>
    <w:rsid w:val="001D5051"/>
    <w:rsid w:val="001D53FC"/>
    <w:rsid w:val="001F42A5"/>
    <w:rsid w:val="001F7B9D"/>
    <w:rsid w:val="00201C93"/>
    <w:rsid w:val="002103F9"/>
    <w:rsid w:val="00213629"/>
    <w:rsid w:val="00216FFA"/>
    <w:rsid w:val="002224B4"/>
    <w:rsid w:val="00226133"/>
    <w:rsid w:val="00227FC8"/>
    <w:rsid w:val="00230617"/>
    <w:rsid w:val="00230E86"/>
    <w:rsid w:val="00240B19"/>
    <w:rsid w:val="002447EF"/>
    <w:rsid w:val="00247769"/>
    <w:rsid w:val="0025060D"/>
    <w:rsid w:val="00251550"/>
    <w:rsid w:val="0025672E"/>
    <w:rsid w:val="00263B05"/>
    <w:rsid w:val="0027221A"/>
    <w:rsid w:val="00273B5F"/>
    <w:rsid w:val="00275B61"/>
    <w:rsid w:val="00280FAF"/>
    <w:rsid w:val="00282656"/>
    <w:rsid w:val="00285C35"/>
    <w:rsid w:val="002868A1"/>
    <w:rsid w:val="00296B83"/>
    <w:rsid w:val="002A66A3"/>
    <w:rsid w:val="002B248E"/>
    <w:rsid w:val="002B4015"/>
    <w:rsid w:val="002B4470"/>
    <w:rsid w:val="002B5C01"/>
    <w:rsid w:val="002B78CE"/>
    <w:rsid w:val="002C01AB"/>
    <w:rsid w:val="002C21F1"/>
    <w:rsid w:val="002C2FB6"/>
    <w:rsid w:val="002E5FA7"/>
    <w:rsid w:val="002F3309"/>
    <w:rsid w:val="003008CE"/>
    <w:rsid w:val="003009B7"/>
    <w:rsid w:val="00300E56"/>
    <w:rsid w:val="0030152C"/>
    <w:rsid w:val="0030469C"/>
    <w:rsid w:val="0030536B"/>
    <w:rsid w:val="003122E1"/>
    <w:rsid w:val="00321CA6"/>
    <w:rsid w:val="00323763"/>
    <w:rsid w:val="00323C5F"/>
    <w:rsid w:val="00334C09"/>
    <w:rsid w:val="00347CE2"/>
    <w:rsid w:val="00360733"/>
    <w:rsid w:val="00366B85"/>
    <w:rsid w:val="003723D4"/>
    <w:rsid w:val="0037724C"/>
    <w:rsid w:val="0038027B"/>
    <w:rsid w:val="00381905"/>
    <w:rsid w:val="00384CC8"/>
    <w:rsid w:val="003871FD"/>
    <w:rsid w:val="003A1E30"/>
    <w:rsid w:val="003A2829"/>
    <w:rsid w:val="003A503D"/>
    <w:rsid w:val="003A7D1C"/>
    <w:rsid w:val="003B304B"/>
    <w:rsid w:val="003B3146"/>
    <w:rsid w:val="003B4EA5"/>
    <w:rsid w:val="003D1E02"/>
    <w:rsid w:val="003E38FB"/>
    <w:rsid w:val="003F015E"/>
    <w:rsid w:val="00400414"/>
    <w:rsid w:val="00400AD8"/>
    <w:rsid w:val="0041446B"/>
    <w:rsid w:val="00420A70"/>
    <w:rsid w:val="004303E9"/>
    <w:rsid w:val="0044071E"/>
    <w:rsid w:val="00440C3E"/>
    <w:rsid w:val="0044329C"/>
    <w:rsid w:val="00453E24"/>
    <w:rsid w:val="00457456"/>
    <w:rsid w:val="004577FE"/>
    <w:rsid w:val="00457B9C"/>
    <w:rsid w:val="0046164A"/>
    <w:rsid w:val="004628D2"/>
    <w:rsid w:val="00462DCD"/>
    <w:rsid w:val="004648AD"/>
    <w:rsid w:val="00467924"/>
    <w:rsid w:val="004703A9"/>
    <w:rsid w:val="004760DE"/>
    <w:rsid w:val="004763D7"/>
    <w:rsid w:val="00482DD4"/>
    <w:rsid w:val="004868A2"/>
    <w:rsid w:val="00487BF0"/>
    <w:rsid w:val="00493EF4"/>
    <w:rsid w:val="004A004E"/>
    <w:rsid w:val="004A24CF"/>
    <w:rsid w:val="004A4119"/>
    <w:rsid w:val="004A5E57"/>
    <w:rsid w:val="004C194F"/>
    <w:rsid w:val="004C3D1D"/>
    <w:rsid w:val="004C3D84"/>
    <w:rsid w:val="004C7913"/>
    <w:rsid w:val="004D0D28"/>
    <w:rsid w:val="004D65D6"/>
    <w:rsid w:val="004E4DD6"/>
    <w:rsid w:val="004F5E36"/>
    <w:rsid w:val="004F7149"/>
    <w:rsid w:val="004F7E19"/>
    <w:rsid w:val="00501B96"/>
    <w:rsid w:val="00507B47"/>
    <w:rsid w:val="00507BEF"/>
    <w:rsid w:val="00507CC9"/>
    <w:rsid w:val="005119A5"/>
    <w:rsid w:val="00516B13"/>
    <w:rsid w:val="00524202"/>
    <w:rsid w:val="005278B7"/>
    <w:rsid w:val="00532016"/>
    <w:rsid w:val="00533CF3"/>
    <w:rsid w:val="005346C8"/>
    <w:rsid w:val="00536B9D"/>
    <w:rsid w:val="00540A2E"/>
    <w:rsid w:val="00543E7D"/>
    <w:rsid w:val="00547A68"/>
    <w:rsid w:val="00552660"/>
    <w:rsid w:val="005531C9"/>
    <w:rsid w:val="0056324A"/>
    <w:rsid w:val="005649FB"/>
    <w:rsid w:val="00566199"/>
    <w:rsid w:val="00570C43"/>
    <w:rsid w:val="00592274"/>
    <w:rsid w:val="005B2110"/>
    <w:rsid w:val="005B5821"/>
    <w:rsid w:val="005B61E6"/>
    <w:rsid w:val="005B670C"/>
    <w:rsid w:val="005C77E1"/>
    <w:rsid w:val="005D668A"/>
    <w:rsid w:val="005D6A2F"/>
    <w:rsid w:val="005E0512"/>
    <w:rsid w:val="005E0592"/>
    <w:rsid w:val="005E084D"/>
    <w:rsid w:val="005E189E"/>
    <w:rsid w:val="005E1A82"/>
    <w:rsid w:val="005E55AA"/>
    <w:rsid w:val="005E794C"/>
    <w:rsid w:val="005F0A28"/>
    <w:rsid w:val="005F0E5E"/>
    <w:rsid w:val="005F60DC"/>
    <w:rsid w:val="00600535"/>
    <w:rsid w:val="00610CD6"/>
    <w:rsid w:val="00620DEE"/>
    <w:rsid w:val="00621F92"/>
    <w:rsid w:val="0062280A"/>
    <w:rsid w:val="006231E1"/>
    <w:rsid w:val="00625639"/>
    <w:rsid w:val="00631B33"/>
    <w:rsid w:val="006371F8"/>
    <w:rsid w:val="006372A2"/>
    <w:rsid w:val="0064184D"/>
    <w:rsid w:val="006422CC"/>
    <w:rsid w:val="00646F24"/>
    <w:rsid w:val="006503F8"/>
    <w:rsid w:val="00651D18"/>
    <w:rsid w:val="00660E3E"/>
    <w:rsid w:val="00662E74"/>
    <w:rsid w:val="00664351"/>
    <w:rsid w:val="00664F9F"/>
    <w:rsid w:val="00680C23"/>
    <w:rsid w:val="006815D6"/>
    <w:rsid w:val="00683E23"/>
    <w:rsid w:val="00693766"/>
    <w:rsid w:val="00696B1B"/>
    <w:rsid w:val="00696DBA"/>
    <w:rsid w:val="006A3281"/>
    <w:rsid w:val="006B12FE"/>
    <w:rsid w:val="006B2762"/>
    <w:rsid w:val="006B4888"/>
    <w:rsid w:val="006C2531"/>
    <w:rsid w:val="006C2E45"/>
    <w:rsid w:val="006C359C"/>
    <w:rsid w:val="006C5080"/>
    <w:rsid w:val="006C5579"/>
    <w:rsid w:val="006D6E8B"/>
    <w:rsid w:val="006D7209"/>
    <w:rsid w:val="006D7612"/>
    <w:rsid w:val="006E737D"/>
    <w:rsid w:val="006F4BC7"/>
    <w:rsid w:val="00703C0F"/>
    <w:rsid w:val="00707DD1"/>
    <w:rsid w:val="00713973"/>
    <w:rsid w:val="00720A24"/>
    <w:rsid w:val="00721F22"/>
    <w:rsid w:val="00732386"/>
    <w:rsid w:val="0073514D"/>
    <w:rsid w:val="007447F3"/>
    <w:rsid w:val="0075499F"/>
    <w:rsid w:val="007617CC"/>
    <w:rsid w:val="00761A5E"/>
    <w:rsid w:val="00762C05"/>
    <w:rsid w:val="007661C8"/>
    <w:rsid w:val="0077098D"/>
    <w:rsid w:val="00771C38"/>
    <w:rsid w:val="0077517E"/>
    <w:rsid w:val="007768FE"/>
    <w:rsid w:val="00785BF9"/>
    <w:rsid w:val="007931FA"/>
    <w:rsid w:val="007A4861"/>
    <w:rsid w:val="007A6986"/>
    <w:rsid w:val="007A7BBA"/>
    <w:rsid w:val="007B0C50"/>
    <w:rsid w:val="007B10A1"/>
    <w:rsid w:val="007B48F9"/>
    <w:rsid w:val="007B67F8"/>
    <w:rsid w:val="007C1A43"/>
    <w:rsid w:val="007C2E97"/>
    <w:rsid w:val="007C513F"/>
    <w:rsid w:val="007D0951"/>
    <w:rsid w:val="007E4CA9"/>
    <w:rsid w:val="007F27C8"/>
    <w:rsid w:val="0080013E"/>
    <w:rsid w:val="00813288"/>
    <w:rsid w:val="008168FC"/>
    <w:rsid w:val="00821E66"/>
    <w:rsid w:val="00830996"/>
    <w:rsid w:val="008314D7"/>
    <w:rsid w:val="00832986"/>
    <w:rsid w:val="008345F1"/>
    <w:rsid w:val="0083530F"/>
    <w:rsid w:val="0086102E"/>
    <w:rsid w:val="00864ED8"/>
    <w:rsid w:val="00865B07"/>
    <w:rsid w:val="008667EA"/>
    <w:rsid w:val="00875371"/>
    <w:rsid w:val="0087637F"/>
    <w:rsid w:val="00891A30"/>
    <w:rsid w:val="00892AD5"/>
    <w:rsid w:val="008A1512"/>
    <w:rsid w:val="008A220A"/>
    <w:rsid w:val="008A4B21"/>
    <w:rsid w:val="008C5D31"/>
    <w:rsid w:val="008D32B9"/>
    <w:rsid w:val="008D433B"/>
    <w:rsid w:val="008D4A16"/>
    <w:rsid w:val="008E209A"/>
    <w:rsid w:val="008E45BC"/>
    <w:rsid w:val="008E566E"/>
    <w:rsid w:val="008F0BAD"/>
    <w:rsid w:val="0090161A"/>
    <w:rsid w:val="00901EB6"/>
    <w:rsid w:val="009041F8"/>
    <w:rsid w:val="00904C62"/>
    <w:rsid w:val="009201A6"/>
    <w:rsid w:val="00922BA8"/>
    <w:rsid w:val="00924DAC"/>
    <w:rsid w:val="00927058"/>
    <w:rsid w:val="00942750"/>
    <w:rsid w:val="009450CE"/>
    <w:rsid w:val="009459BB"/>
    <w:rsid w:val="00947179"/>
    <w:rsid w:val="0095164B"/>
    <w:rsid w:val="00954090"/>
    <w:rsid w:val="00955D1C"/>
    <w:rsid w:val="009573E7"/>
    <w:rsid w:val="00963E05"/>
    <w:rsid w:val="00964A45"/>
    <w:rsid w:val="00967843"/>
    <w:rsid w:val="00967D54"/>
    <w:rsid w:val="00971028"/>
    <w:rsid w:val="00982C4B"/>
    <w:rsid w:val="00986DE8"/>
    <w:rsid w:val="00993B84"/>
    <w:rsid w:val="00996483"/>
    <w:rsid w:val="00996F5A"/>
    <w:rsid w:val="009B041A"/>
    <w:rsid w:val="009B7468"/>
    <w:rsid w:val="009C37C3"/>
    <w:rsid w:val="009C7C86"/>
    <w:rsid w:val="009D2FF7"/>
    <w:rsid w:val="009E7884"/>
    <w:rsid w:val="009E788A"/>
    <w:rsid w:val="009F0E08"/>
    <w:rsid w:val="009F2F3C"/>
    <w:rsid w:val="009F6578"/>
    <w:rsid w:val="009F6AA1"/>
    <w:rsid w:val="00A079AE"/>
    <w:rsid w:val="00A14C28"/>
    <w:rsid w:val="00A1763D"/>
    <w:rsid w:val="00A17CEC"/>
    <w:rsid w:val="00A20248"/>
    <w:rsid w:val="00A26CBB"/>
    <w:rsid w:val="00A27EF0"/>
    <w:rsid w:val="00A37EA1"/>
    <w:rsid w:val="00A42361"/>
    <w:rsid w:val="00A43056"/>
    <w:rsid w:val="00A50B20"/>
    <w:rsid w:val="00A51390"/>
    <w:rsid w:val="00A60D13"/>
    <w:rsid w:val="00A63DF8"/>
    <w:rsid w:val="00A70537"/>
    <w:rsid w:val="00A7223D"/>
    <w:rsid w:val="00A72745"/>
    <w:rsid w:val="00A75E57"/>
    <w:rsid w:val="00A76EFC"/>
    <w:rsid w:val="00A87D50"/>
    <w:rsid w:val="00A91010"/>
    <w:rsid w:val="00A97F29"/>
    <w:rsid w:val="00AA5B78"/>
    <w:rsid w:val="00AA702E"/>
    <w:rsid w:val="00AA7D26"/>
    <w:rsid w:val="00AB0964"/>
    <w:rsid w:val="00AB5011"/>
    <w:rsid w:val="00AC0689"/>
    <w:rsid w:val="00AC7368"/>
    <w:rsid w:val="00AD0278"/>
    <w:rsid w:val="00AD16B9"/>
    <w:rsid w:val="00AE1575"/>
    <w:rsid w:val="00AE377D"/>
    <w:rsid w:val="00AF0EBA"/>
    <w:rsid w:val="00AF4B87"/>
    <w:rsid w:val="00B02C8A"/>
    <w:rsid w:val="00B04627"/>
    <w:rsid w:val="00B16C1E"/>
    <w:rsid w:val="00B17FBD"/>
    <w:rsid w:val="00B25E29"/>
    <w:rsid w:val="00B26F6F"/>
    <w:rsid w:val="00B315A6"/>
    <w:rsid w:val="00B31813"/>
    <w:rsid w:val="00B33365"/>
    <w:rsid w:val="00B33372"/>
    <w:rsid w:val="00B57B36"/>
    <w:rsid w:val="00B57E6F"/>
    <w:rsid w:val="00B8686D"/>
    <w:rsid w:val="00B93F69"/>
    <w:rsid w:val="00BA241E"/>
    <w:rsid w:val="00BB1DDC"/>
    <w:rsid w:val="00BC30C9"/>
    <w:rsid w:val="00BC79FD"/>
    <w:rsid w:val="00BD077D"/>
    <w:rsid w:val="00BD4409"/>
    <w:rsid w:val="00BE3E58"/>
    <w:rsid w:val="00BE4BD0"/>
    <w:rsid w:val="00BF3012"/>
    <w:rsid w:val="00C002AD"/>
    <w:rsid w:val="00C004C0"/>
    <w:rsid w:val="00C01616"/>
    <w:rsid w:val="00C0162B"/>
    <w:rsid w:val="00C01CF9"/>
    <w:rsid w:val="00C025D0"/>
    <w:rsid w:val="00C068ED"/>
    <w:rsid w:val="00C208E9"/>
    <w:rsid w:val="00C22E0C"/>
    <w:rsid w:val="00C345B1"/>
    <w:rsid w:val="00C34B8E"/>
    <w:rsid w:val="00C40142"/>
    <w:rsid w:val="00C40EB1"/>
    <w:rsid w:val="00C52C3C"/>
    <w:rsid w:val="00C57182"/>
    <w:rsid w:val="00C57863"/>
    <w:rsid w:val="00C640AF"/>
    <w:rsid w:val="00C65329"/>
    <w:rsid w:val="00C655FD"/>
    <w:rsid w:val="00C67A6C"/>
    <w:rsid w:val="00C75407"/>
    <w:rsid w:val="00C841C6"/>
    <w:rsid w:val="00C84395"/>
    <w:rsid w:val="00C870A8"/>
    <w:rsid w:val="00C94434"/>
    <w:rsid w:val="00CA0930"/>
    <w:rsid w:val="00CA0D75"/>
    <w:rsid w:val="00CA1C95"/>
    <w:rsid w:val="00CA5A9C"/>
    <w:rsid w:val="00CB335F"/>
    <w:rsid w:val="00CC19B2"/>
    <w:rsid w:val="00CC4C20"/>
    <w:rsid w:val="00CD0687"/>
    <w:rsid w:val="00CD3517"/>
    <w:rsid w:val="00CD5FE2"/>
    <w:rsid w:val="00CE7C68"/>
    <w:rsid w:val="00D02B4C"/>
    <w:rsid w:val="00D040C4"/>
    <w:rsid w:val="00D065BF"/>
    <w:rsid w:val="00D1626F"/>
    <w:rsid w:val="00D20AD1"/>
    <w:rsid w:val="00D2582C"/>
    <w:rsid w:val="00D416E9"/>
    <w:rsid w:val="00D46B7E"/>
    <w:rsid w:val="00D556B3"/>
    <w:rsid w:val="00D57C84"/>
    <w:rsid w:val="00D6057D"/>
    <w:rsid w:val="00D71640"/>
    <w:rsid w:val="00D72622"/>
    <w:rsid w:val="00D836C5"/>
    <w:rsid w:val="00D84576"/>
    <w:rsid w:val="00DA1399"/>
    <w:rsid w:val="00DA24C6"/>
    <w:rsid w:val="00DA4D7B"/>
    <w:rsid w:val="00DC5585"/>
    <w:rsid w:val="00DD0A42"/>
    <w:rsid w:val="00DD23BA"/>
    <w:rsid w:val="00DD271C"/>
    <w:rsid w:val="00DD2E3C"/>
    <w:rsid w:val="00DE264A"/>
    <w:rsid w:val="00DE6EC6"/>
    <w:rsid w:val="00DF3E31"/>
    <w:rsid w:val="00DF5072"/>
    <w:rsid w:val="00E02D18"/>
    <w:rsid w:val="00E041E7"/>
    <w:rsid w:val="00E07B38"/>
    <w:rsid w:val="00E14FDC"/>
    <w:rsid w:val="00E23CA1"/>
    <w:rsid w:val="00E35727"/>
    <w:rsid w:val="00E409A8"/>
    <w:rsid w:val="00E44002"/>
    <w:rsid w:val="00E46DAD"/>
    <w:rsid w:val="00E47D61"/>
    <w:rsid w:val="00E50C12"/>
    <w:rsid w:val="00E65B91"/>
    <w:rsid w:val="00E7209D"/>
    <w:rsid w:val="00E72EAD"/>
    <w:rsid w:val="00E77223"/>
    <w:rsid w:val="00E8528B"/>
    <w:rsid w:val="00E85B94"/>
    <w:rsid w:val="00E978D0"/>
    <w:rsid w:val="00EA3EF9"/>
    <w:rsid w:val="00EA4613"/>
    <w:rsid w:val="00EA7F91"/>
    <w:rsid w:val="00EB04EE"/>
    <w:rsid w:val="00EB1523"/>
    <w:rsid w:val="00EC0E49"/>
    <w:rsid w:val="00EC101F"/>
    <w:rsid w:val="00EC1D9F"/>
    <w:rsid w:val="00EC61F9"/>
    <w:rsid w:val="00EE0131"/>
    <w:rsid w:val="00EE17B0"/>
    <w:rsid w:val="00EF06D9"/>
    <w:rsid w:val="00EF0982"/>
    <w:rsid w:val="00EF2C2A"/>
    <w:rsid w:val="00EF3EBA"/>
    <w:rsid w:val="00F00046"/>
    <w:rsid w:val="00F126A5"/>
    <w:rsid w:val="00F235FB"/>
    <w:rsid w:val="00F3049E"/>
    <w:rsid w:val="00F30C64"/>
    <w:rsid w:val="00F32746"/>
    <w:rsid w:val="00F32BA2"/>
    <w:rsid w:val="00F32CDB"/>
    <w:rsid w:val="00F3348F"/>
    <w:rsid w:val="00F36D93"/>
    <w:rsid w:val="00F37280"/>
    <w:rsid w:val="00F40A09"/>
    <w:rsid w:val="00F41EE4"/>
    <w:rsid w:val="00F539AE"/>
    <w:rsid w:val="00F565FE"/>
    <w:rsid w:val="00F63A70"/>
    <w:rsid w:val="00F63D8C"/>
    <w:rsid w:val="00F71642"/>
    <w:rsid w:val="00F7534E"/>
    <w:rsid w:val="00F7738D"/>
    <w:rsid w:val="00F777B5"/>
    <w:rsid w:val="00F93EDF"/>
    <w:rsid w:val="00F95B4E"/>
    <w:rsid w:val="00FA1802"/>
    <w:rsid w:val="00FA21D0"/>
    <w:rsid w:val="00FA5F5F"/>
    <w:rsid w:val="00FA6A64"/>
    <w:rsid w:val="00FB014C"/>
    <w:rsid w:val="00FB39C1"/>
    <w:rsid w:val="00FB730C"/>
    <w:rsid w:val="00FC2695"/>
    <w:rsid w:val="00FC3E03"/>
    <w:rsid w:val="00FC3FC1"/>
    <w:rsid w:val="00FC654F"/>
    <w:rsid w:val="00FE0435"/>
    <w:rsid w:val="00FE19A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6F4BC7"/>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6F4BC7"/>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customStyle="1" w:styleId="ztplmc">
    <w:name w:val="ztplmc"/>
    <w:basedOn w:val="Fuentedeprrafopredeter"/>
    <w:rsid w:val="00BF3012"/>
  </w:style>
  <w:style w:type="character" w:customStyle="1" w:styleId="rynqvb">
    <w:name w:val="rynqvb"/>
    <w:basedOn w:val="Fuentedeprrafopredeter"/>
    <w:rsid w:val="00BF3012"/>
  </w:style>
  <w:style w:type="character" w:styleId="nfasis">
    <w:name w:val="Emphasis"/>
    <w:basedOn w:val="Fuentedeprrafopredeter"/>
    <w:uiPriority w:val="20"/>
    <w:qFormat/>
    <w:rsid w:val="004F7149"/>
    <w:rPr>
      <w:i/>
      <w:iCs/>
    </w:rPr>
  </w:style>
  <w:style w:type="paragraph" w:customStyle="1" w:styleId="CET-table-title">
    <w:name w:val="CET-table-title"/>
    <w:rsid w:val="00664351"/>
    <w:pPr>
      <w:keepNext/>
      <w:spacing w:before="240" w:after="80" w:line="240" w:lineRule="exact"/>
    </w:pPr>
    <w:rPr>
      <w:rFonts w:ascii="Arial" w:eastAsia="Times New Roman" w:hAnsi="Arial" w:cs="Times New Roman"/>
      <w:i/>
      <w:sz w:val="18"/>
      <w:szCs w:val="20"/>
      <w:lang w:val="en-US"/>
    </w:rPr>
  </w:style>
  <w:style w:type="character" w:customStyle="1" w:styleId="y2iqfc">
    <w:name w:val="y2iqfc"/>
    <w:basedOn w:val="Fuentedeprrafopredeter"/>
    <w:rsid w:val="00C0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540">
      <w:bodyDiv w:val="1"/>
      <w:marLeft w:val="0"/>
      <w:marRight w:val="0"/>
      <w:marTop w:val="0"/>
      <w:marBottom w:val="0"/>
      <w:divBdr>
        <w:top w:val="none" w:sz="0" w:space="0" w:color="auto"/>
        <w:left w:val="none" w:sz="0" w:space="0" w:color="auto"/>
        <w:bottom w:val="none" w:sz="0" w:space="0" w:color="auto"/>
        <w:right w:val="none" w:sz="0" w:space="0" w:color="auto"/>
      </w:divBdr>
    </w:div>
    <w:div w:id="70010964">
      <w:bodyDiv w:val="1"/>
      <w:marLeft w:val="0"/>
      <w:marRight w:val="0"/>
      <w:marTop w:val="0"/>
      <w:marBottom w:val="0"/>
      <w:divBdr>
        <w:top w:val="none" w:sz="0" w:space="0" w:color="auto"/>
        <w:left w:val="none" w:sz="0" w:space="0" w:color="auto"/>
        <w:bottom w:val="none" w:sz="0" w:space="0" w:color="auto"/>
        <w:right w:val="none" w:sz="0" w:space="0" w:color="auto"/>
      </w:divBdr>
      <w:divsChild>
        <w:div w:id="864253059">
          <w:marLeft w:val="0"/>
          <w:marRight w:val="0"/>
          <w:marTop w:val="0"/>
          <w:marBottom w:val="0"/>
          <w:divBdr>
            <w:top w:val="none" w:sz="0" w:space="0" w:color="auto"/>
            <w:left w:val="none" w:sz="0" w:space="0" w:color="auto"/>
            <w:bottom w:val="none" w:sz="0" w:space="0" w:color="auto"/>
            <w:right w:val="none" w:sz="0" w:space="0" w:color="auto"/>
          </w:divBdr>
          <w:divsChild>
            <w:div w:id="1404372096">
              <w:marLeft w:val="0"/>
              <w:marRight w:val="0"/>
              <w:marTop w:val="0"/>
              <w:marBottom w:val="0"/>
              <w:divBdr>
                <w:top w:val="none" w:sz="0" w:space="0" w:color="auto"/>
                <w:left w:val="none" w:sz="0" w:space="0" w:color="auto"/>
                <w:bottom w:val="none" w:sz="0" w:space="0" w:color="auto"/>
                <w:right w:val="none" w:sz="0" w:space="0" w:color="auto"/>
              </w:divBdr>
              <w:divsChild>
                <w:div w:id="15713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6243">
          <w:marLeft w:val="0"/>
          <w:marRight w:val="0"/>
          <w:marTop w:val="0"/>
          <w:marBottom w:val="0"/>
          <w:divBdr>
            <w:top w:val="none" w:sz="0" w:space="0" w:color="auto"/>
            <w:left w:val="none" w:sz="0" w:space="0" w:color="auto"/>
            <w:bottom w:val="none" w:sz="0" w:space="0" w:color="auto"/>
            <w:right w:val="none" w:sz="0" w:space="0" w:color="auto"/>
          </w:divBdr>
          <w:divsChild>
            <w:div w:id="1057895839">
              <w:marLeft w:val="0"/>
              <w:marRight w:val="0"/>
              <w:marTop w:val="0"/>
              <w:marBottom w:val="0"/>
              <w:divBdr>
                <w:top w:val="none" w:sz="0" w:space="0" w:color="auto"/>
                <w:left w:val="none" w:sz="0" w:space="0" w:color="auto"/>
                <w:bottom w:val="none" w:sz="0" w:space="0" w:color="auto"/>
                <w:right w:val="none" w:sz="0" w:space="0" w:color="auto"/>
              </w:divBdr>
              <w:divsChild>
                <w:div w:id="286279770">
                  <w:marLeft w:val="0"/>
                  <w:marRight w:val="0"/>
                  <w:marTop w:val="0"/>
                  <w:marBottom w:val="0"/>
                  <w:divBdr>
                    <w:top w:val="none" w:sz="0" w:space="0" w:color="auto"/>
                    <w:left w:val="none" w:sz="0" w:space="0" w:color="auto"/>
                    <w:bottom w:val="none" w:sz="0" w:space="0" w:color="auto"/>
                    <w:right w:val="none" w:sz="0" w:space="0" w:color="auto"/>
                  </w:divBdr>
                  <w:divsChild>
                    <w:div w:id="18446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694">
      <w:bodyDiv w:val="1"/>
      <w:marLeft w:val="0"/>
      <w:marRight w:val="0"/>
      <w:marTop w:val="0"/>
      <w:marBottom w:val="0"/>
      <w:divBdr>
        <w:top w:val="none" w:sz="0" w:space="0" w:color="auto"/>
        <w:left w:val="none" w:sz="0" w:space="0" w:color="auto"/>
        <w:bottom w:val="none" w:sz="0" w:space="0" w:color="auto"/>
        <w:right w:val="none" w:sz="0" w:space="0" w:color="auto"/>
      </w:divBdr>
    </w:div>
    <w:div w:id="247466521">
      <w:bodyDiv w:val="1"/>
      <w:marLeft w:val="0"/>
      <w:marRight w:val="0"/>
      <w:marTop w:val="0"/>
      <w:marBottom w:val="0"/>
      <w:divBdr>
        <w:top w:val="none" w:sz="0" w:space="0" w:color="auto"/>
        <w:left w:val="none" w:sz="0" w:space="0" w:color="auto"/>
        <w:bottom w:val="none" w:sz="0" w:space="0" w:color="auto"/>
        <w:right w:val="none" w:sz="0" w:space="0" w:color="auto"/>
      </w:divBdr>
      <w:divsChild>
        <w:div w:id="810705760">
          <w:marLeft w:val="0"/>
          <w:marRight w:val="0"/>
          <w:marTop w:val="0"/>
          <w:marBottom w:val="0"/>
          <w:divBdr>
            <w:top w:val="none" w:sz="0" w:space="0" w:color="auto"/>
            <w:left w:val="none" w:sz="0" w:space="0" w:color="auto"/>
            <w:bottom w:val="none" w:sz="0" w:space="0" w:color="auto"/>
            <w:right w:val="none" w:sz="0" w:space="0" w:color="auto"/>
          </w:divBdr>
          <w:divsChild>
            <w:div w:id="808791398">
              <w:marLeft w:val="0"/>
              <w:marRight w:val="0"/>
              <w:marTop w:val="0"/>
              <w:marBottom w:val="0"/>
              <w:divBdr>
                <w:top w:val="none" w:sz="0" w:space="0" w:color="auto"/>
                <w:left w:val="none" w:sz="0" w:space="0" w:color="auto"/>
                <w:bottom w:val="none" w:sz="0" w:space="0" w:color="auto"/>
                <w:right w:val="none" w:sz="0" w:space="0" w:color="auto"/>
              </w:divBdr>
              <w:divsChild>
                <w:div w:id="946035673">
                  <w:marLeft w:val="0"/>
                  <w:marRight w:val="0"/>
                  <w:marTop w:val="0"/>
                  <w:marBottom w:val="0"/>
                  <w:divBdr>
                    <w:top w:val="none" w:sz="0" w:space="0" w:color="auto"/>
                    <w:left w:val="none" w:sz="0" w:space="0" w:color="auto"/>
                    <w:bottom w:val="none" w:sz="0" w:space="0" w:color="auto"/>
                    <w:right w:val="none" w:sz="0" w:space="0" w:color="auto"/>
                  </w:divBdr>
                  <w:divsChild>
                    <w:div w:id="372576879">
                      <w:marLeft w:val="0"/>
                      <w:marRight w:val="0"/>
                      <w:marTop w:val="0"/>
                      <w:marBottom w:val="0"/>
                      <w:divBdr>
                        <w:top w:val="none" w:sz="0" w:space="0" w:color="auto"/>
                        <w:left w:val="none" w:sz="0" w:space="0" w:color="auto"/>
                        <w:bottom w:val="none" w:sz="0" w:space="0" w:color="auto"/>
                        <w:right w:val="none" w:sz="0" w:space="0" w:color="auto"/>
                      </w:divBdr>
                      <w:divsChild>
                        <w:div w:id="1215854054">
                          <w:marLeft w:val="0"/>
                          <w:marRight w:val="0"/>
                          <w:marTop w:val="150"/>
                          <w:marBottom w:val="0"/>
                          <w:divBdr>
                            <w:top w:val="none" w:sz="0" w:space="0" w:color="auto"/>
                            <w:left w:val="none" w:sz="0" w:space="0" w:color="auto"/>
                            <w:bottom w:val="none" w:sz="0" w:space="0" w:color="auto"/>
                            <w:right w:val="none" w:sz="0" w:space="0" w:color="auto"/>
                          </w:divBdr>
                          <w:divsChild>
                            <w:div w:id="2085486861">
                              <w:marLeft w:val="0"/>
                              <w:marRight w:val="0"/>
                              <w:marTop w:val="0"/>
                              <w:marBottom w:val="0"/>
                              <w:divBdr>
                                <w:top w:val="none" w:sz="0" w:space="0" w:color="auto"/>
                                <w:left w:val="none" w:sz="0" w:space="0" w:color="auto"/>
                                <w:bottom w:val="none" w:sz="0" w:space="0" w:color="auto"/>
                                <w:right w:val="none" w:sz="0" w:space="0" w:color="auto"/>
                              </w:divBdr>
                              <w:divsChild>
                                <w:div w:id="1158692695">
                                  <w:marLeft w:val="0"/>
                                  <w:marRight w:val="0"/>
                                  <w:marTop w:val="0"/>
                                  <w:marBottom w:val="0"/>
                                  <w:divBdr>
                                    <w:top w:val="none" w:sz="0" w:space="0" w:color="auto"/>
                                    <w:left w:val="none" w:sz="0" w:space="0" w:color="auto"/>
                                    <w:bottom w:val="none" w:sz="0" w:space="0" w:color="auto"/>
                                    <w:right w:val="none" w:sz="0" w:space="0" w:color="auto"/>
                                  </w:divBdr>
                                  <w:divsChild>
                                    <w:div w:id="4463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333876">
      <w:bodyDiv w:val="1"/>
      <w:marLeft w:val="0"/>
      <w:marRight w:val="0"/>
      <w:marTop w:val="0"/>
      <w:marBottom w:val="0"/>
      <w:divBdr>
        <w:top w:val="none" w:sz="0" w:space="0" w:color="auto"/>
        <w:left w:val="none" w:sz="0" w:space="0" w:color="auto"/>
        <w:bottom w:val="none" w:sz="0" w:space="0" w:color="auto"/>
        <w:right w:val="none" w:sz="0" w:space="0" w:color="auto"/>
      </w:divBdr>
      <w:divsChild>
        <w:div w:id="1685591373">
          <w:marLeft w:val="0"/>
          <w:marRight w:val="0"/>
          <w:marTop w:val="0"/>
          <w:marBottom w:val="0"/>
          <w:divBdr>
            <w:top w:val="none" w:sz="0" w:space="0" w:color="auto"/>
            <w:left w:val="none" w:sz="0" w:space="0" w:color="auto"/>
            <w:bottom w:val="none" w:sz="0" w:space="0" w:color="auto"/>
            <w:right w:val="none" w:sz="0" w:space="0" w:color="auto"/>
          </w:divBdr>
          <w:divsChild>
            <w:div w:id="234898946">
              <w:marLeft w:val="0"/>
              <w:marRight w:val="0"/>
              <w:marTop w:val="0"/>
              <w:marBottom w:val="0"/>
              <w:divBdr>
                <w:top w:val="none" w:sz="0" w:space="0" w:color="auto"/>
                <w:left w:val="none" w:sz="0" w:space="0" w:color="auto"/>
                <w:bottom w:val="none" w:sz="0" w:space="0" w:color="auto"/>
                <w:right w:val="none" w:sz="0" w:space="0" w:color="auto"/>
              </w:divBdr>
              <w:divsChild>
                <w:div w:id="7307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7198">
          <w:marLeft w:val="0"/>
          <w:marRight w:val="0"/>
          <w:marTop w:val="0"/>
          <w:marBottom w:val="0"/>
          <w:divBdr>
            <w:top w:val="none" w:sz="0" w:space="0" w:color="auto"/>
            <w:left w:val="none" w:sz="0" w:space="0" w:color="auto"/>
            <w:bottom w:val="none" w:sz="0" w:space="0" w:color="auto"/>
            <w:right w:val="none" w:sz="0" w:space="0" w:color="auto"/>
          </w:divBdr>
          <w:divsChild>
            <w:div w:id="649331849">
              <w:marLeft w:val="0"/>
              <w:marRight w:val="0"/>
              <w:marTop w:val="0"/>
              <w:marBottom w:val="0"/>
              <w:divBdr>
                <w:top w:val="none" w:sz="0" w:space="0" w:color="auto"/>
                <w:left w:val="none" w:sz="0" w:space="0" w:color="auto"/>
                <w:bottom w:val="none" w:sz="0" w:space="0" w:color="auto"/>
                <w:right w:val="none" w:sz="0" w:space="0" w:color="auto"/>
              </w:divBdr>
              <w:divsChild>
                <w:div w:id="480267444">
                  <w:marLeft w:val="0"/>
                  <w:marRight w:val="0"/>
                  <w:marTop w:val="0"/>
                  <w:marBottom w:val="0"/>
                  <w:divBdr>
                    <w:top w:val="none" w:sz="0" w:space="0" w:color="auto"/>
                    <w:left w:val="none" w:sz="0" w:space="0" w:color="auto"/>
                    <w:bottom w:val="none" w:sz="0" w:space="0" w:color="auto"/>
                    <w:right w:val="none" w:sz="0" w:space="0" w:color="auto"/>
                  </w:divBdr>
                  <w:divsChild>
                    <w:div w:id="8371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815">
      <w:bodyDiv w:val="1"/>
      <w:marLeft w:val="0"/>
      <w:marRight w:val="0"/>
      <w:marTop w:val="0"/>
      <w:marBottom w:val="0"/>
      <w:divBdr>
        <w:top w:val="none" w:sz="0" w:space="0" w:color="auto"/>
        <w:left w:val="none" w:sz="0" w:space="0" w:color="auto"/>
        <w:bottom w:val="none" w:sz="0" w:space="0" w:color="auto"/>
        <w:right w:val="none" w:sz="0" w:space="0" w:color="auto"/>
      </w:divBdr>
    </w:div>
    <w:div w:id="637033581">
      <w:bodyDiv w:val="1"/>
      <w:marLeft w:val="0"/>
      <w:marRight w:val="0"/>
      <w:marTop w:val="0"/>
      <w:marBottom w:val="0"/>
      <w:divBdr>
        <w:top w:val="none" w:sz="0" w:space="0" w:color="auto"/>
        <w:left w:val="none" w:sz="0" w:space="0" w:color="auto"/>
        <w:bottom w:val="none" w:sz="0" w:space="0" w:color="auto"/>
        <w:right w:val="none" w:sz="0" w:space="0" w:color="auto"/>
      </w:divBdr>
    </w:div>
    <w:div w:id="705448904">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35091">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oceedings.blucher.com.br/author-user-profile/Ui4gQi4gUy4gTElOU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oceedings.blucher.com.br/author-user-profile/TC4gRy4gTUFSUVVFU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proceedings.blucher.com.br/author-user-profile/TS4gTS4gUFJBRE8="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roceedings.blucher.com.br/author-user-profile/Ui4gTC4gU0VSUk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A80D-AFB7-425F-AD55-3DB50388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3191</Words>
  <Characters>17554</Characters>
  <Application>Microsoft Office Word</Application>
  <DocSecurity>0</DocSecurity>
  <Lines>146</Lines>
  <Paragraphs>41</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YCA</cp:lastModifiedBy>
  <cp:revision>50</cp:revision>
  <cp:lastPrinted>2015-05-12T18:31:00Z</cp:lastPrinted>
  <dcterms:created xsi:type="dcterms:W3CDTF">2026-03-24T17:07:00Z</dcterms:created>
  <dcterms:modified xsi:type="dcterms:W3CDTF">2026-03-30T17:03:00Z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d30bf43b-5282-4adb-9e2f-9c37f713a40a</vt:lpwstr>
  </property>
</Properties>
</file>