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bottom w:val="single" w:sz="4" w:space="0" w:color="auto"/>
        </w:tblBorders>
        <w:tblLook w:val="01E0" w:firstRow="1" w:lastRow="1" w:firstColumn="1" w:lastColumn="1" w:noHBand="0" w:noVBand="0"/>
      </w:tblPr>
      <w:tblGrid>
        <w:gridCol w:w="6946"/>
        <w:gridCol w:w="1843"/>
      </w:tblGrid>
      <w:tr w:rsidR="000A03B2" w:rsidRPr="00B57B36" w:rsidTr="00DE264A">
        <w:trPr>
          <w:trHeight w:val="852"/>
          <w:jc w:val="center"/>
        </w:trPr>
        <w:tc>
          <w:tcPr>
            <w:tcW w:w="6946" w:type="dxa"/>
            <w:vMerge w:val="restart"/>
            <w:tcBorders>
              <w:right w:val="single" w:sz="4" w:space="0" w:color="auto"/>
            </w:tcBorders>
          </w:tcPr>
          <w:p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en-US"/>
              </w:rPr>
              <w:drawing>
                <wp:inline distT="0" distB="0" distL="0" distR="0">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cs="Arial"/>
                <w:b/>
                <w:bCs/>
                <w:i/>
                <w:iCs/>
                <w:color w:val="000066"/>
                <w:sz w:val="24"/>
                <w:szCs w:val="24"/>
                <w:lang w:eastAsia="it-IT"/>
              </w:rPr>
              <w:t>CHEMICAL ENGINEERING</w:t>
            </w:r>
            <w:r w:rsidRPr="00B57B36">
              <w:rPr>
                <w:rFonts w:cs="Arial"/>
                <w:b/>
                <w:bCs/>
                <w:i/>
                <w:iCs/>
                <w:color w:val="666666"/>
                <w:sz w:val="24"/>
                <w:szCs w:val="24"/>
                <w:lang w:eastAsia="it-IT"/>
              </w:rPr>
              <w:t>TRANSACTIONS</w:t>
            </w:r>
            <w:r w:rsidRPr="00B57B36">
              <w:rPr>
                <w:rFonts w:cs="Arial"/>
                <w:b/>
                <w:bCs/>
                <w:i/>
                <w:iCs/>
                <w:color w:val="000066"/>
                <w:sz w:val="27"/>
                <w:szCs w:val="27"/>
                <w:lang w:eastAsia="it-IT"/>
              </w:rPr>
              <w:br/>
            </w:r>
          </w:p>
          <w:p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rsidR="000A03B2" w:rsidRPr="00B57B36" w:rsidRDefault="000A03B2" w:rsidP="00CD5FE2">
            <w:pPr>
              <w:jc w:val="right"/>
            </w:pPr>
            <w:r w:rsidRPr="00B57B36">
              <w:rPr>
                <w:noProof/>
                <w:lang w:val="en-US"/>
              </w:rPr>
              <w:drawing>
                <wp:inline distT="0" distB="0" distL="0" distR="0">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rsidTr="00DE264A">
        <w:trPr>
          <w:trHeight w:val="567"/>
          <w:jc w:val="center"/>
        </w:trPr>
        <w:tc>
          <w:tcPr>
            <w:tcW w:w="6946" w:type="dxa"/>
            <w:vMerge/>
            <w:tcBorders>
              <w:right w:val="single" w:sz="4" w:space="0" w:color="auto"/>
            </w:tcBorders>
          </w:tcPr>
          <w:p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rsidTr="00DE264A">
        <w:trPr>
          <w:trHeight w:val="68"/>
          <w:jc w:val="center"/>
        </w:trPr>
        <w:tc>
          <w:tcPr>
            <w:tcW w:w="8789" w:type="dxa"/>
            <w:gridSpan w:val="2"/>
          </w:tcPr>
          <w:p w:rsidR="00AA7D26" w:rsidRPr="00EA3EF9" w:rsidRDefault="004A5E57" w:rsidP="004A5E57">
            <w:pPr>
              <w:ind w:left="-107"/>
              <w:outlineLvl w:val="2"/>
              <w:rPr>
                <w:rFonts w:ascii="Tahoma" w:hAnsi="Tahoma" w:cs="Tahoma"/>
                <w:bCs/>
                <w:color w:val="000000"/>
                <w:sz w:val="14"/>
                <w:szCs w:val="14"/>
                <w:lang w:val="it-IT" w:eastAsia="it-IT"/>
              </w:rPr>
            </w:pPr>
            <w:r w:rsidRPr="00EA3EF9">
              <w:rPr>
                <w:rFonts w:ascii="Tahoma" w:hAnsi="Tahoma" w:cs="Tahoma"/>
                <w:iCs/>
                <w:color w:val="333333"/>
                <w:sz w:val="14"/>
                <w:szCs w:val="14"/>
                <w:lang w:val="it-IT" w:eastAsia="it-IT"/>
              </w:rPr>
              <w:t>Guest Editors:</w:t>
            </w:r>
            <w:r w:rsidR="00EA3EF9" w:rsidRPr="00EA3EF9">
              <w:rPr>
                <w:rFonts w:ascii="Tahoma" w:hAnsi="Tahoma" w:cs="Tahoma"/>
                <w:color w:val="000000"/>
                <w:sz w:val="14"/>
                <w:szCs w:val="14"/>
                <w:shd w:val="clear" w:color="auto" w:fill="FFFFFF"/>
                <w:lang w:val="it-IT"/>
              </w:rPr>
              <w:t xml:space="preserve">Leonardo Tognotti, </w:t>
            </w:r>
            <w:r w:rsidR="00EA3EF9" w:rsidRPr="00EA3EF9">
              <w:rPr>
                <w:rFonts w:ascii="Tahoma" w:hAnsi="Tahoma" w:cs="Tahoma"/>
                <w:color w:val="000000"/>
                <w:sz w:val="14"/>
                <w:szCs w:val="14"/>
                <w:lang w:val="it-IT"/>
              </w:rPr>
              <w:t>Rubens Maciel Filho</w:t>
            </w:r>
            <w:r w:rsidR="00EA3EF9"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lang w:val="it-IT"/>
              </w:rPr>
              <w:t>Viatcheslav Kafarov</w:t>
            </w:r>
          </w:p>
          <w:p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rsidR="00E978D0" w:rsidRPr="00B57B36" w:rsidRDefault="003F4143" w:rsidP="00E978D0">
      <w:pPr>
        <w:pStyle w:val="CETTitle"/>
      </w:pPr>
      <w:r>
        <w:t>Techno-Economic Evaluation of CO</w:t>
      </w:r>
      <w:r w:rsidRPr="003F4143">
        <w:rPr>
          <w:vertAlign w:val="subscript"/>
        </w:rPr>
        <w:t>2</w:t>
      </w:r>
      <w:r>
        <w:t xml:space="preserve"> Capture in Biomass Boilers: A Comparison between MEA and DEA</w:t>
      </w:r>
    </w:p>
    <w:p w:rsidR="00B57E6F" w:rsidRPr="00DD4150" w:rsidRDefault="003F4143" w:rsidP="00B57E6F">
      <w:pPr>
        <w:pStyle w:val="CETAuthors"/>
        <w:rPr>
          <w:lang w:val="pt-BR"/>
        </w:rPr>
      </w:pPr>
      <w:r w:rsidRPr="00DD4150">
        <w:rPr>
          <w:lang w:val="pt-BR"/>
        </w:rPr>
        <w:t>Caio</w:t>
      </w:r>
      <w:r w:rsidR="0019606A" w:rsidRPr="00DD4150">
        <w:rPr>
          <w:lang w:val="pt-BR"/>
        </w:rPr>
        <w:t xml:space="preserve"> H.</w:t>
      </w:r>
      <w:r w:rsidRPr="00DD4150">
        <w:rPr>
          <w:lang w:val="pt-BR"/>
        </w:rPr>
        <w:t>O. Costa</w:t>
      </w:r>
      <w:r w:rsidR="00996ED1">
        <w:rPr>
          <w:lang w:val="pt-BR"/>
        </w:rPr>
        <w:t>*</w:t>
      </w:r>
      <w:r w:rsidR="00B57E6F" w:rsidRPr="00DD4150">
        <w:rPr>
          <w:vertAlign w:val="superscript"/>
          <w:lang w:val="pt-BR"/>
        </w:rPr>
        <w:t>a</w:t>
      </w:r>
      <w:r w:rsidR="00DD4150" w:rsidRPr="00DD4150">
        <w:rPr>
          <w:lang w:val="pt-BR"/>
        </w:rPr>
        <w:t>, Victor H.S. Ramos</w:t>
      </w:r>
      <w:r w:rsidR="00B57E6F" w:rsidRPr="00DD4150">
        <w:rPr>
          <w:lang w:val="pt-BR"/>
        </w:rPr>
        <w:t xml:space="preserve">, </w:t>
      </w:r>
      <w:r w:rsidR="00DD4150" w:rsidRPr="00DD4150">
        <w:rPr>
          <w:lang w:val="pt-BR"/>
        </w:rPr>
        <w:t>R</w:t>
      </w:r>
      <w:r w:rsidR="00BC112F">
        <w:rPr>
          <w:lang w:val="pt-BR"/>
        </w:rPr>
        <w:t>ubens Maciel</w:t>
      </w:r>
      <w:r w:rsidR="00DD4150">
        <w:rPr>
          <w:lang w:val="pt-BR"/>
        </w:rPr>
        <w:t xml:space="preserve"> Filho</w:t>
      </w:r>
      <w:r w:rsidR="00BC112F">
        <w:rPr>
          <w:lang w:val="pt-BR"/>
        </w:rPr>
        <w:t>, Maria R. Wolf</w:t>
      </w:r>
      <w:r w:rsidR="00AF083D">
        <w:rPr>
          <w:lang w:val="pt-BR"/>
        </w:rPr>
        <w:t xml:space="preserve"> Maciel</w:t>
      </w:r>
      <w:r w:rsidR="00DD4150">
        <w:rPr>
          <w:lang w:val="pt-BR"/>
        </w:rPr>
        <w:t>, Leonardo V. Fregolente.</w:t>
      </w:r>
    </w:p>
    <w:p w:rsidR="00B57E6F" w:rsidRPr="00B57B36" w:rsidRDefault="00B57E6F" w:rsidP="00B57E6F">
      <w:pPr>
        <w:pStyle w:val="CETAddress"/>
      </w:pPr>
      <w:r w:rsidRPr="00B57B36">
        <w:rPr>
          <w:vertAlign w:val="superscript"/>
        </w:rPr>
        <w:t>a</w:t>
      </w:r>
      <w:r w:rsidR="00DD4150">
        <w:t>Faculty of Chemical Engineering, University of Campinas (</w:t>
      </w:r>
      <w:r w:rsidR="007E35C3">
        <w:t xml:space="preserve">UNICAMP), Cidade Universitária </w:t>
      </w:r>
      <w:r w:rsidR="00DD4150">
        <w:t>Zeferino Vaz, Av. Albert Einstein, 500 Campinas, SP, Brazil</w:t>
      </w:r>
    </w:p>
    <w:p w:rsidR="00DD4150" w:rsidRDefault="004670A6" w:rsidP="00600535">
      <w:pPr>
        <w:pStyle w:val="CETBodytext"/>
        <w:rPr>
          <w:sz w:val="16"/>
          <w:lang w:val="en-GB"/>
        </w:rPr>
      </w:pPr>
      <w:r>
        <w:rPr>
          <w:sz w:val="16"/>
          <w:lang w:val="en-GB"/>
        </w:rPr>
        <w:t>*</w:t>
      </w:r>
      <w:r w:rsidR="00BD704B" w:rsidRPr="00BD704B">
        <w:rPr>
          <w:sz w:val="16"/>
          <w:lang w:val="en-GB"/>
        </w:rPr>
        <w:t>c168274@dac.unicamp.br</w:t>
      </w:r>
    </w:p>
    <w:p w:rsidR="00BD704B" w:rsidRPr="00BD704B" w:rsidRDefault="00BD704B" w:rsidP="00600535">
      <w:pPr>
        <w:pStyle w:val="CETBodytext"/>
        <w:rPr>
          <w:sz w:val="16"/>
          <w:lang w:val="en-GB"/>
        </w:rPr>
      </w:pPr>
    </w:p>
    <w:p w:rsidR="009D5165" w:rsidRPr="008F0686" w:rsidRDefault="009337B5" w:rsidP="00600535">
      <w:pPr>
        <w:pStyle w:val="CETBodytext"/>
      </w:pPr>
      <w:r w:rsidRPr="009337B5">
        <w:rPr>
          <w:lang w:val="en-GB"/>
        </w:rPr>
        <w:t>The increase in carbon dioxide (CO</w:t>
      </w:r>
      <w:r w:rsidRPr="009337B5">
        <w:rPr>
          <w:rFonts w:ascii="Cambria Math" w:hAnsi="Cambria Math" w:cs="Cambria Math"/>
          <w:lang w:val="en-GB"/>
        </w:rPr>
        <w:t>₂</w:t>
      </w:r>
      <w:r w:rsidRPr="009337B5">
        <w:rPr>
          <w:lang w:val="en-GB"/>
        </w:rPr>
        <w:t>) emissions has driven the development of mitigation technologies, with Bioenergy with Carbon Capture and Storage (BECCS) standing out as a promising alternative for achieving negative emissions. Among the available technologies, chemical absorption using amines presents a high level of industrial maturity. In this context, this study performed a technical and economic assessment of CO</w:t>
      </w:r>
      <w:r w:rsidRPr="009337B5">
        <w:rPr>
          <w:rFonts w:ascii="Cambria Math" w:hAnsi="Cambria Math" w:cs="Cambria Math"/>
          <w:lang w:val="en-GB"/>
        </w:rPr>
        <w:t>₂</w:t>
      </w:r>
      <w:r w:rsidRPr="009337B5">
        <w:rPr>
          <w:lang w:val="en-GB"/>
        </w:rPr>
        <w:t xml:space="preserve"> capture from the flue gas of a sugarcane bagasse</w:t>
      </w:r>
      <w:r w:rsidRPr="009337B5">
        <w:rPr>
          <w:rFonts w:cs="Arial"/>
          <w:lang w:val="en-GB"/>
        </w:rPr>
        <w:t>–</w:t>
      </w:r>
      <w:r w:rsidRPr="009337B5">
        <w:rPr>
          <w:lang w:val="en-GB"/>
        </w:rPr>
        <w:t xml:space="preserve">fired boiler with a flow rate of 200 t/h, corresponding to a steam production of 100 t/h. </w:t>
      </w:r>
      <w:proofErr w:type="spellStart"/>
      <w:r w:rsidRPr="009337B5">
        <w:rPr>
          <w:lang w:val="en-GB"/>
        </w:rPr>
        <w:t>Monoethanolamine</w:t>
      </w:r>
      <w:proofErr w:type="spellEnd"/>
      <w:r w:rsidRPr="009337B5">
        <w:rPr>
          <w:lang w:val="en-GB"/>
        </w:rPr>
        <w:t xml:space="preserve"> (MEA) and </w:t>
      </w:r>
      <w:proofErr w:type="spellStart"/>
      <w:r w:rsidRPr="009337B5">
        <w:rPr>
          <w:lang w:val="en-GB"/>
        </w:rPr>
        <w:t>diethanolamine</w:t>
      </w:r>
      <w:proofErr w:type="spellEnd"/>
      <w:r w:rsidRPr="009337B5">
        <w:rPr>
          <w:lang w:val="en-GB"/>
        </w:rPr>
        <w:t xml:space="preserve"> (DEA) were evaluated as solvents through simulations carried out in Aspen Plus®, considering both absorption and desorption stages. The results indicated a capture efficiency of 90% and a CO</w:t>
      </w:r>
      <w:r w:rsidRPr="009337B5">
        <w:rPr>
          <w:rFonts w:ascii="Cambria Math" w:hAnsi="Cambria Math" w:cs="Cambria Math"/>
          <w:lang w:val="en-GB"/>
        </w:rPr>
        <w:t>₂</w:t>
      </w:r>
      <w:r w:rsidRPr="009337B5">
        <w:rPr>
          <w:lang w:val="en-GB"/>
        </w:rPr>
        <w:t xml:space="preserve"> purity of 99%. The optimal liquid-to-gas mass ratio was 2.5 for MEA and 3.25 for DEA, corresponding to loadings of 0.30 and 0.40 </w:t>
      </w:r>
      <w:proofErr w:type="spellStart"/>
      <w:r w:rsidRPr="009337B5">
        <w:rPr>
          <w:lang w:val="en-GB"/>
        </w:rPr>
        <w:t>mol</w:t>
      </w:r>
      <w:proofErr w:type="spellEnd"/>
      <w:r w:rsidRPr="009337B5">
        <w:rPr>
          <w:lang w:val="en-GB"/>
        </w:rPr>
        <w:t xml:space="preserve"> CO</w:t>
      </w:r>
      <w:r w:rsidRPr="009337B5">
        <w:rPr>
          <w:rFonts w:ascii="Cambria Math" w:hAnsi="Cambria Math" w:cs="Cambria Math"/>
          <w:lang w:val="en-GB"/>
        </w:rPr>
        <w:t>₂</w:t>
      </w:r>
      <w:r w:rsidRPr="009337B5">
        <w:rPr>
          <w:lang w:val="en-GB"/>
        </w:rPr>
        <w:t>/</w:t>
      </w:r>
      <w:proofErr w:type="spellStart"/>
      <w:r w:rsidRPr="009337B5">
        <w:rPr>
          <w:lang w:val="en-GB"/>
        </w:rPr>
        <w:t>mol</w:t>
      </w:r>
      <w:proofErr w:type="spellEnd"/>
      <w:r w:rsidRPr="009337B5">
        <w:rPr>
          <w:lang w:val="en-GB"/>
        </w:rPr>
        <w:t xml:space="preserve"> solvent, respectively. The </w:t>
      </w:r>
      <w:proofErr w:type="spellStart"/>
      <w:r w:rsidRPr="009337B5">
        <w:rPr>
          <w:lang w:val="en-GB"/>
        </w:rPr>
        <w:t>reboiler</w:t>
      </w:r>
      <w:proofErr w:type="spellEnd"/>
      <w:r w:rsidRPr="009337B5">
        <w:rPr>
          <w:lang w:val="en-GB"/>
        </w:rPr>
        <w:t xml:space="preserve"> energy requirements were 4.4 and 4.8 GJ/</w:t>
      </w:r>
      <w:proofErr w:type="spellStart"/>
      <w:r w:rsidRPr="009337B5">
        <w:rPr>
          <w:lang w:val="en-GB"/>
        </w:rPr>
        <w:t>tCO</w:t>
      </w:r>
      <w:proofErr w:type="spellEnd"/>
      <w:r w:rsidRPr="009337B5">
        <w:rPr>
          <w:rFonts w:ascii="Cambria Math" w:hAnsi="Cambria Math" w:cs="Cambria Math"/>
          <w:lang w:val="en-GB"/>
        </w:rPr>
        <w:t>₂</w:t>
      </w:r>
      <w:r w:rsidRPr="009337B5">
        <w:rPr>
          <w:lang w:val="en-GB"/>
        </w:rPr>
        <w:t>. The economic analysis indicated a CAPEX between 6.7 and 7.6 M</w:t>
      </w:r>
      <w:r w:rsidR="00EE2534">
        <w:rPr>
          <w:lang w:val="en-GB"/>
        </w:rPr>
        <w:t>US</w:t>
      </w:r>
      <w:r w:rsidRPr="009337B5">
        <w:rPr>
          <w:lang w:val="en-GB"/>
        </w:rPr>
        <w:t>$/year and an OPEX between 19 and 20 M</w:t>
      </w:r>
      <w:r w:rsidR="00EE2534">
        <w:rPr>
          <w:lang w:val="en-GB"/>
        </w:rPr>
        <w:t>US</w:t>
      </w:r>
      <w:r w:rsidRPr="009337B5">
        <w:rPr>
          <w:lang w:val="en-GB"/>
        </w:rPr>
        <w:t xml:space="preserve">$/year, resulting in capture costs ranging from 81 to 88 </w:t>
      </w:r>
      <w:r w:rsidR="00EE2534">
        <w:rPr>
          <w:lang w:val="en-GB"/>
        </w:rPr>
        <w:t>US</w:t>
      </w:r>
      <w:r w:rsidRPr="009337B5">
        <w:rPr>
          <w:lang w:val="en-GB"/>
        </w:rPr>
        <w:t>$/</w:t>
      </w:r>
      <w:proofErr w:type="spellStart"/>
      <w:r w:rsidRPr="009337B5">
        <w:rPr>
          <w:lang w:val="en-GB"/>
        </w:rPr>
        <w:t>tCO</w:t>
      </w:r>
      <w:proofErr w:type="spellEnd"/>
      <w:r w:rsidRPr="009337B5">
        <w:rPr>
          <w:rFonts w:ascii="Cambria Math" w:hAnsi="Cambria Math" w:cs="Cambria Math"/>
          <w:lang w:val="en-GB"/>
        </w:rPr>
        <w:t>₂</w:t>
      </w:r>
      <w:r w:rsidRPr="009337B5">
        <w:rPr>
          <w:lang w:val="en-GB"/>
        </w:rPr>
        <w:t>. The results confirm the technical feasibility of the process and the superior economic performance of MEA</w:t>
      </w:r>
      <w:r>
        <w:rPr>
          <w:lang w:val="en-GB"/>
        </w:rPr>
        <w:t xml:space="preserve"> under the evaluated conditions</w:t>
      </w:r>
      <w:r w:rsidR="00A74F28" w:rsidRPr="008F0686">
        <w:t>.</w:t>
      </w:r>
    </w:p>
    <w:p w:rsidR="00600535" w:rsidRDefault="00600535" w:rsidP="00600535">
      <w:pPr>
        <w:pStyle w:val="CETHeading1"/>
        <w:rPr>
          <w:lang w:val="en-GB"/>
        </w:rPr>
      </w:pPr>
      <w:r w:rsidRPr="00B57B36">
        <w:rPr>
          <w:lang w:val="en-GB"/>
        </w:rPr>
        <w:t>Introduction</w:t>
      </w:r>
    </w:p>
    <w:p w:rsidR="007E1272" w:rsidRPr="008F0686" w:rsidRDefault="007E1272" w:rsidP="007E1272">
      <w:pPr>
        <w:pStyle w:val="CETBodytext"/>
        <w:rPr>
          <w:rFonts w:cs="Arial"/>
        </w:rPr>
      </w:pPr>
      <w:r w:rsidRPr="008F0686">
        <w:rPr>
          <w:rFonts w:cs="Arial"/>
        </w:rPr>
        <w:t>In the current global scenario, climate change intensified by the increasing concentration of carbon dioxide (CO</w:t>
      </w:r>
      <w:r w:rsidRPr="008F0686">
        <w:rPr>
          <w:rFonts w:ascii="Cambria Math" w:hAnsi="Cambria Math" w:cs="Arial"/>
        </w:rPr>
        <w:t>₂</w:t>
      </w:r>
      <w:r w:rsidRPr="008F0686">
        <w:rPr>
          <w:rFonts w:cs="Arial"/>
        </w:rPr>
        <w:t>) in the atmosphere represents one of the major environmental challenges of our time. Anthropogenic greenhouse gas emissions have increased significantly, leading to pronounced climate changes and rising glob</w:t>
      </w:r>
      <w:r w:rsidR="001A4FEB">
        <w:rPr>
          <w:rFonts w:cs="Arial"/>
        </w:rPr>
        <w:t xml:space="preserve">al average temperatures (Singh and </w:t>
      </w:r>
      <w:proofErr w:type="spellStart"/>
      <w:r w:rsidRPr="008F0686">
        <w:rPr>
          <w:rFonts w:cs="Arial"/>
        </w:rPr>
        <w:t>Dhar</w:t>
      </w:r>
      <w:proofErr w:type="spellEnd"/>
      <w:r w:rsidRPr="008F0686">
        <w:rPr>
          <w:rFonts w:cs="Arial"/>
        </w:rPr>
        <w:t>, 2019). Among these gases, CO</w:t>
      </w:r>
      <w:r w:rsidRPr="008F0686">
        <w:rPr>
          <w:rFonts w:ascii="Cambria Math" w:hAnsi="Cambria Math" w:cs="Arial"/>
        </w:rPr>
        <w:t>₂</w:t>
      </w:r>
      <w:r w:rsidRPr="008F0686">
        <w:rPr>
          <w:rFonts w:cs="Arial"/>
        </w:rPr>
        <w:t xml:space="preserve"> stands out as the main contributor, followed by methane, nitrogen oxides, and fluorinated gases (Forster et al., 2023), highlighting the need for technologies aimed at mitigating its emissions.</w:t>
      </w:r>
    </w:p>
    <w:p w:rsidR="007E1272" w:rsidRPr="008F0686" w:rsidRDefault="007E1272" w:rsidP="007E1272">
      <w:pPr>
        <w:pStyle w:val="CETBodytext"/>
        <w:rPr>
          <w:rFonts w:cs="Arial"/>
        </w:rPr>
      </w:pPr>
      <w:r w:rsidRPr="008F0686">
        <w:rPr>
          <w:rFonts w:cs="Arial"/>
        </w:rPr>
        <w:t>In this context, several strategies have been proposed to reduce carbon emissions, including carbon capture, utilization and storage (CCUS), the expansion of renewable energy sources, and improvements in energy efficiency (</w:t>
      </w:r>
      <w:proofErr w:type="spellStart"/>
      <w:r w:rsidRPr="008F0686">
        <w:rPr>
          <w:rFonts w:cs="Arial"/>
        </w:rPr>
        <w:t>Moioli</w:t>
      </w:r>
      <w:proofErr w:type="spellEnd"/>
      <w:r w:rsidR="001A4FEB">
        <w:rPr>
          <w:rFonts w:cs="Arial"/>
        </w:rPr>
        <w:t xml:space="preserve"> and </w:t>
      </w:r>
      <w:proofErr w:type="spellStart"/>
      <w:r w:rsidRPr="008F0686">
        <w:rPr>
          <w:rFonts w:cs="Arial"/>
        </w:rPr>
        <w:t>Pellegrini</w:t>
      </w:r>
      <w:proofErr w:type="spellEnd"/>
      <w:r w:rsidRPr="008F0686">
        <w:rPr>
          <w:rFonts w:cs="Arial"/>
        </w:rPr>
        <w:t>, 2019). Among these alternatives, Bioenergy with Carbon Capture and Storage (BECCS) stands out for enabling negative emissions by combining renewable energy generation with CO</w:t>
      </w:r>
      <w:r w:rsidRPr="008F0686">
        <w:rPr>
          <w:rFonts w:ascii="Cambria Math" w:hAnsi="Cambria Math" w:cs="Arial"/>
        </w:rPr>
        <w:t>₂</w:t>
      </w:r>
      <w:r w:rsidRPr="008F0686">
        <w:rPr>
          <w:rFonts w:cs="Arial"/>
        </w:rPr>
        <w:t xml:space="preserve"> capture.</w:t>
      </w:r>
    </w:p>
    <w:p w:rsidR="007E1272" w:rsidRPr="008F0686" w:rsidRDefault="007E1272" w:rsidP="007E1272">
      <w:pPr>
        <w:pStyle w:val="CETBodytext"/>
        <w:rPr>
          <w:rFonts w:cs="Arial"/>
        </w:rPr>
      </w:pPr>
      <w:r w:rsidRPr="008F0686">
        <w:rPr>
          <w:rFonts w:cs="Arial"/>
        </w:rPr>
        <w:t>Biomass-based energy systems play a strategic role in this scenario, particularly in the sugar–energy sector, where sugarcane bagasse is widely used. Although renewable, biomass combustion generates significant CO</w:t>
      </w:r>
      <w:r w:rsidRPr="008F0686">
        <w:rPr>
          <w:rFonts w:ascii="Cambria Math" w:hAnsi="Cambria Math" w:cs="Arial"/>
        </w:rPr>
        <w:t>₂</w:t>
      </w:r>
      <w:r w:rsidRPr="008F0686">
        <w:rPr>
          <w:rFonts w:cs="Arial"/>
        </w:rPr>
        <w:t xml:space="preserve"> emissions, making the application of capture technologies a relevant alternative for emission mitigation (</w:t>
      </w:r>
      <w:proofErr w:type="spellStart"/>
      <w:r w:rsidRPr="008F0686">
        <w:rPr>
          <w:rFonts w:cs="Arial"/>
        </w:rPr>
        <w:t>Wiesberg</w:t>
      </w:r>
      <w:proofErr w:type="spellEnd"/>
      <w:r w:rsidRPr="008F0686">
        <w:rPr>
          <w:rFonts w:cs="Arial"/>
        </w:rPr>
        <w:t xml:space="preserve"> et al., 2021).</w:t>
      </w:r>
    </w:p>
    <w:p w:rsidR="007E1272" w:rsidRPr="008F0686" w:rsidRDefault="007E1272" w:rsidP="007E1272">
      <w:pPr>
        <w:pStyle w:val="CETBodytext"/>
        <w:rPr>
          <w:rFonts w:cs="Arial"/>
        </w:rPr>
      </w:pPr>
      <w:r w:rsidRPr="008F0686">
        <w:rPr>
          <w:rFonts w:cs="Arial"/>
        </w:rPr>
        <w:t xml:space="preserve">Among the available technologies, post-combustion capture by chemical absorption using amines presents a high level of industrial maturity. </w:t>
      </w:r>
      <w:proofErr w:type="spellStart"/>
      <w:r w:rsidRPr="008F0686">
        <w:rPr>
          <w:rFonts w:cs="Arial"/>
        </w:rPr>
        <w:t>Monoethanolamine</w:t>
      </w:r>
      <w:proofErr w:type="spellEnd"/>
      <w:r w:rsidRPr="008F0686">
        <w:rPr>
          <w:rFonts w:cs="Arial"/>
        </w:rPr>
        <w:t xml:space="preserve"> (MEA) is widely employed due to its high reactivity, while </w:t>
      </w:r>
      <w:proofErr w:type="spellStart"/>
      <w:r w:rsidRPr="008F0686">
        <w:rPr>
          <w:rFonts w:cs="Arial"/>
        </w:rPr>
        <w:t>diethanolamine</w:t>
      </w:r>
      <w:proofErr w:type="spellEnd"/>
      <w:r w:rsidRPr="008F0686">
        <w:rPr>
          <w:rFonts w:cs="Arial"/>
        </w:rPr>
        <w:t xml:space="preserve"> (DEA) exhibits lower degradation rates, with distinct energy requirements during the regeneration step (</w:t>
      </w:r>
      <w:proofErr w:type="spellStart"/>
      <w:r w:rsidRPr="008F0686">
        <w:rPr>
          <w:rFonts w:cs="Arial"/>
        </w:rPr>
        <w:t>Madugula</w:t>
      </w:r>
      <w:proofErr w:type="spellEnd"/>
      <w:r w:rsidRPr="008F0686">
        <w:rPr>
          <w:rFonts w:cs="Arial"/>
        </w:rPr>
        <w:t>, 2024). However, studies comparing the technical and economic performance of these amines in biomass combustion systems remain limited.</w:t>
      </w:r>
    </w:p>
    <w:p w:rsidR="007E1272" w:rsidRPr="008F0686" w:rsidRDefault="007E1272" w:rsidP="007E1272">
      <w:pPr>
        <w:pStyle w:val="CETBodytext"/>
        <w:rPr>
          <w:rFonts w:cs="Arial"/>
        </w:rPr>
      </w:pPr>
      <w:r w:rsidRPr="008F0686">
        <w:rPr>
          <w:rFonts w:cs="Arial"/>
        </w:rPr>
        <w:lastRenderedPageBreak/>
        <w:t>In this context, the present work aims to perform a technical and economic assessment of CO</w:t>
      </w:r>
      <w:r w:rsidRPr="008F0686">
        <w:rPr>
          <w:rFonts w:ascii="Cambria Math" w:hAnsi="Cambria Math" w:cs="Arial"/>
        </w:rPr>
        <w:t>₂</w:t>
      </w:r>
      <w:r w:rsidRPr="008F0686">
        <w:rPr>
          <w:rFonts w:cs="Arial"/>
        </w:rPr>
        <w:t xml:space="preserve"> capture from the flue gas of a biomass-fired boiler using aqueous solutions of MEA and DEA. The simulations were carried out using Aspen Plus®, allowing the evaluation of process performance, energy consumption, operating costs, and the specific cost of CO</w:t>
      </w:r>
      <w:r w:rsidRPr="008F0686">
        <w:rPr>
          <w:rFonts w:ascii="Cambria Math" w:hAnsi="Cambria Math" w:cs="Arial"/>
        </w:rPr>
        <w:t>₂</w:t>
      </w:r>
      <w:r w:rsidRPr="008F0686">
        <w:rPr>
          <w:rFonts w:cs="Arial"/>
        </w:rPr>
        <w:t xml:space="preserve"> capture per </w:t>
      </w:r>
      <w:proofErr w:type="spellStart"/>
      <w:r w:rsidRPr="008F0686">
        <w:rPr>
          <w:rFonts w:cs="Arial"/>
        </w:rPr>
        <w:t>tonne</w:t>
      </w:r>
      <w:proofErr w:type="spellEnd"/>
      <w:r w:rsidRPr="008F0686">
        <w:rPr>
          <w:rFonts w:cs="Arial"/>
        </w:rPr>
        <w:t>, contributing to the assessment of the technology’s feasibility for industrial applications.</w:t>
      </w:r>
    </w:p>
    <w:p w:rsidR="00600535" w:rsidRPr="00524678" w:rsidRDefault="00524678" w:rsidP="00524678">
      <w:pPr>
        <w:pStyle w:val="CETheadingx"/>
        <w:rPr>
          <w:lang w:val="pt-BR"/>
        </w:rPr>
      </w:pPr>
      <w:proofErr w:type="spellStart"/>
      <w:r w:rsidRPr="00AE6523">
        <w:rPr>
          <w:lang w:val="pt-BR"/>
        </w:rPr>
        <w:t>Exhaust</w:t>
      </w:r>
      <w:proofErr w:type="spellEnd"/>
      <w:r w:rsidR="00957FF8">
        <w:rPr>
          <w:lang w:val="pt-BR"/>
        </w:rPr>
        <w:t xml:space="preserve"> </w:t>
      </w:r>
      <w:proofErr w:type="spellStart"/>
      <w:r w:rsidRPr="00AE6523">
        <w:rPr>
          <w:lang w:val="pt-BR"/>
        </w:rPr>
        <w:t>Gas</w:t>
      </w:r>
      <w:proofErr w:type="spellEnd"/>
    </w:p>
    <w:p w:rsidR="008F0686" w:rsidRPr="008F0686" w:rsidRDefault="008F0686" w:rsidP="008F0686">
      <w:pPr>
        <w:pStyle w:val="CETBodytext"/>
        <w:rPr>
          <w:rFonts w:cs="Arial"/>
        </w:rPr>
      </w:pPr>
      <w:r w:rsidRPr="008F0686">
        <w:rPr>
          <w:rFonts w:cs="Arial"/>
        </w:rPr>
        <w:t>Flue gases resulting from combustion present a composition that depends on the type of fuel used and the operating conditions. In general, they are mainly composed of nitrogen (N</w:t>
      </w:r>
      <w:r w:rsidRPr="008F0686">
        <w:rPr>
          <w:rFonts w:ascii="Cambria Math" w:hAnsi="Cambria Math" w:cs="Arial"/>
        </w:rPr>
        <w:t>₂</w:t>
      </w:r>
      <w:r w:rsidRPr="008F0686">
        <w:rPr>
          <w:rFonts w:cs="Arial"/>
        </w:rPr>
        <w:t>), water vapor (H</w:t>
      </w:r>
      <w:r w:rsidRPr="008F0686">
        <w:rPr>
          <w:rFonts w:ascii="Cambria Math" w:hAnsi="Cambria Math" w:cs="Arial"/>
        </w:rPr>
        <w:t>₂</w:t>
      </w:r>
      <w:r w:rsidRPr="008F0686">
        <w:rPr>
          <w:rFonts w:cs="Arial"/>
        </w:rPr>
        <w:t>O), carbon dioxide (CO</w:t>
      </w:r>
      <w:r w:rsidRPr="008F0686">
        <w:rPr>
          <w:rFonts w:ascii="Cambria Math" w:hAnsi="Cambria Math" w:cs="Arial"/>
        </w:rPr>
        <w:t>₂</w:t>
      </w:r>
      <w:r w:rsidRPr="008F0686">
        <w:rPr>
          <w:rFonts w:cs="Arial"/>
        </w:rPr>
        <w:t>), and residual oxygen (O</w:t>
      </w:r>
      <w:r w:rsidRPr="008F0686">
        <w:rPr>
          <w:rFonts w:ascii="Cambria Math" w:hAnsi="Cambria Math" w:cs="Arial"/>
        </w:rPr>
        <w:t>₂</w:t>
      </w:r>
      <w:r w:rsidRPr="008F0686">
        <w:rPr>
          <w:rFonts w:cs="Arial"/>
        </w:rPr>
        <w:t>), along with small amounts of contaminants such</w:t>
      </w:r>
      <w:r w:rsidR="001A4FEB">
        <w:rPr>
          <w:rFonts w:cs="Arial"/>
        </w:rPr>
        <w:t xml:space="preserve"> as NOₓ, SOₓ, and CO (</w:t>
      </w:r>
      <w:proofErr w:type="spellStart"/>
      <w:r w:rsidR="001A4FEB">
        <w:rPr>
          <w:rFonts w:cs="Arial"/>
        </w:rPr>
        <w:t>Laubscher</w:t>
      </w:r>
      <w:proofErr w:type="spellEnd"/>
      <w:r w:rsidR="001A4FEB">
        <w:rPr>
          <w:rFonts w:cs="Arial"/>
        </w:rPr>
        <w:t xml:space="preserve"> and</w:t>
      </w:r>
      <w:r w:rsidRPr="008F0686">
        <w:rPr>
          <w:rFonts w:cs="Arial"/>
        </w:rPr>
        <w:t xml:space="preserve"> De Villiers, 2021), which are neglected in the technical analysis of this study. In coal combustion, the flue gas typically contains a molar composition of 12–14% CO</w:t>
      </w:r>
      <w:r w:rsidRPr="008F0686">
        <w:rPr>
          <w:rFonts w:ascii="Cambria Math" w:hAnsi="Cambria Math" w:cs="Arial"/>
        </w:rPr>
        <w:t>₂</w:t>
      </w:r>
      <w:r w:rsidRPr="008F0686">
        <w:rPr>
          <w:rFonts w:cs="Arial"/>
        </w:rPr>
        <w:t>, 8–10% H</w:t>
      </w:r>
      <w:r w:rsidRPr="008F0686">
        <w:rPr>
          <w:rFonts w:ascii="Cambria Math" w:hAnsi="Cambria Math" w:cs="Arial"/>
        </w:rPr>
        <w:t>₂</w:t>
      </w:r>
      <w:r w:rsidRPr="008F0686">
        <w:rPr>
          <w:rFonts w:cs="Arial"/>
        </w:rPr>
        <w:t>O, and 3–5% O</w:t>
      </w:r>
      <w:r w:rsidRPr="008F0686">
        <w:rPr>
          <w:rFonts w:ascii="Cambria Math" w:hAnsi="Cambria Math" w:cs="Arial"/>
        </w:rPr>
        <w:t>₂</w:t>
      </w:r>
      <w:r w:rsidRPr="008F0686">
        <w:rPr>
          <w:rFonts w:cs="Arial"/>
        </w:rPr>
        <w:t>, with the remainder consisting primarily of N</w:t>
      </w:r>
      <w:r w:rsidRPr="008F0686">
        <w:rPr>
          <w:rFonts w:ascii="Cambria Math" w:hAnsi="Cambria Math" w:cs="Arial"/>
        </w:rPr>
        <w:t>₂</w:t>
      </w:r>
      <w:r w:rsidRPr="008F0686">
        <w:rPr>
          <w:rFonts w:cs="Arial"/>
        </w:rPr>
        <w:t xml:space="preserve"> (Song, 2004). In contrast, natural gas combustion results in lower CO</w:t>
      </w:r>
      <w:r w:rsidRPr="008F0686">
        <w:rPr>
          <w:rFonts w:ascii="Cambria Math" w:hAnsi="Cambria Math" w:cs="Arial"/>
        </w:rPr>
        <w:t>₂</w:t>
      </w:r>
      <w:r w:rsidRPr="008F0686">
        <w:rPr>
          <w:rFonts w:cs="Arial"/>
        </w:rPr>
        <w:t xml:space="preserve"> concentrations (8–10%) and a higher fraction of water vapor due to the higher hydrogen co</w:t>
      </w:r>
      <w:r w:rsidR="000624EF">
        <w:rPr>
          <w:rFonts w:cs="Arial"/>
        </w:rPr>
        <w:t>ntent of the fuel (Song, 2004).</w:t>
      </w:r>
    </w:p>
    <w:p w:rsidR="008F0686" w:rsidRPr="008F0686" w:rsidRDefault="008F0686" w:rsidP="008F0686">
      <w:pPr>
        <w:pStyle w:val="CETBodytext"/>
        <w:rPr>
          <w:rFonts w:cs="Arial"/>
        </w:rPr>
      </w:pPr>
      <w:r w:rsidRPr="008F0686">
        <w:rPr>
          <w:rFonts w:cs="Arial"/>
        </w:rPr>
        <w:t>In the case of biomass, particularly sugarcane bagasse, the molar composition of the flue gas presents intermediate values, with approximately 12–15% CO</w:t>
      </w:r>
      <w:r w:rsidRPr="008F0686">
        <w:rPr>
          <w:rFonts w:ascii="Cambria Math" w:hAnsi="Cambria Math" w:cs="Arial"/>
        </w:rPr>
        <w:t>₂</w:t>
      </w:r>
      <w:r w:rsidRPr="008F0686">
        <w:rPr>
          <w:rFonts w:cs="Arial"/>
        </w:rPr>
        <w:t>, 10–15% H</w:t>
      </w:r>
      <w:r w:rsidRPr="008F0686">
        <w:rPr>
          <w:rFonts w:ascii="Cambria Math" w:hAnsi="Cambria Math" w:cs="Arial"/>
        </w:rPr>
        <w:t>₂</w:t>
      </w:r>
      <w:r w:rsidRPr="008F0686">
        <w:rPr>
          <w:rFonts w:cs="Arial"/>
        </w:rPr>
        <w:t>O, 5–8% O</w:t>
      </w:r>
      <w:r w:rsidRPr="008F0686">
        <w:rPr>
          <w:rFonts w:ascii="Cambria Math" w:hAnsi="Cambria Math" w:cs="Arial"/>
        </w:rPr>
        <w:t>₂</w:t>
      </w:r>
      <w:r w:rsidRPr="008F0686">
        <w:rPr>
          <w:rFonts w:cs="Arial"/>
        </w:rPr>
        <w:t>, and the remainder mainly composed of N</w:t>
      </w:r>
      <w:r w:rsidRPr="008F0686">
        <w:rPr>
          <w:rFonts w:ascii="Cambria Math" w:hAnsi="Cambria Math" w:cs="Arial"/>
        </w:rPr>
        <w:t>₂</w:t>
      </w:r>
      <w:r w:rsidRPr="008F0686">
        <w:rPr>
          <w:rFonts w:cs="Arial"/>
        </w:rPr>
        <w:t xml:space="preserve"> (</w:t>
      </w:r>
      <w:proofErr w:type="spellStart"/>
      <w:r w:rsidRPr="008F0686">
        <w:rPr>
          <w:rFonts w:cs="Arial"/>
        </w:rPr>
        <w:t>Hugot</w:t>
      </w:r>
      <w:proofErr w:type="spellEnd"/>
      <w:r w:rsidRPr="008F0686">
        <w:rPr>
          <w:rFonts w:cs="Arial"/>
        </w:rPr>
        <w:t xml:space="preserve">, 2014; </w:t>
      </w:r>
      <w:proofErr w:type="spellStart"/>
      <w:r w:rsidRPr="008F0686">
        <w:rPr>
          <w:rFonts w:cs="Arial"/>
        </w:rPr>
        <w:t>Wiesberg</w:t>
      </w:r>
      <w:proofErr w:type="spellEnd"/>
      <w:r w:rsidRPr="008F0686">
        <w:rPr>
          <w:rFonts w:cs="Arial"/>
        </w:rPr>
        <w:t xml:space="preserve"> et al., 2021; </w:t>
      </w:r>
      <w:proofErr w:type="spellStart"/>
      <w:r w:rsidRPr="008F0686">
        <w:rPr>
          <w:rFonts w:cs="Arial"/>
        </w:rPr>
        <w:t>Batlle</w:t>
      </w:r>
      <w:proofErr w:type="spellEnd"/>
      <w:r w:rsidRPr="008F0686">
        <w:rPr>
          <w:rFonts w:cs="Arial"/>
        </w:rPr>
        <w:t>, 2013). It should be noted, however, that the composition of biomass-derived flue gases may vary significantly depending on the fuel origin, moisture content, and com</w:t>
      </w:r>
      <w:r>
        <w:rPr>
          <w:rFonts w:cs="Arial"/>
        </w:rPr>
        <w:t>bustion conditions. Even so</w:t>
      </w:r>
      <w:r w:rsidRPr="008F0686">
        <w:rPr>
          <w:rFonts w:cs="Arial"/>
        </w:rPr>
        <w:t>, sugarcane bagasse represents a suitable reference for CO</w:t>
      </w:r>
      <w:r w:rsidRPr="008F0686">
        <w:rPr>
          <w:rFonts w:ascii="Cambria Math" w:hAnsi="Cambria Math" w:cs="Arial"/>
        </w:rPr>
        <w:t>₂</w:t>
      </w:r>
      <w:r w:rsidRPr="008F0686">
        <w:rPr>
          <w:rFonts w:cs="Arial"/>
        </w:rPr>
        <w:t xml:space="preserve"> capture studies due to its wide availability in Brazil and its significant role in the national energy matrix.</w:t>
      </w:r>
    </w:p>
    <w:p w:rsidR="00600535" w:rsidRPr="00524678" w:rsidRDefault="00524678" w:rsidP="00524678">
      <w:pPr>
        <w:pStyle w:val="CETheadingx"/>
        <w:rPr>
          <w:lang w:val="pt-BR"/>
        </w:rPr>
      </w:pPr>
      <w:proofErr w:type="spellStart"/>
      <w:r>
        <w:rPr>
          <w:lang w:val="pt-BR"/>
        </w:rPr>
        <w:t>Process</w:t>
      </w:r>
      <w:proofErr w:type="spellEnd"/>
      <w:r w:rsidR="00957FF8">
        <w:rPr>
          <w:lang w:val="pt-BR"/>
        </w:rPr>
        <w:t xml:space="preserve"> </w:t>
      </w:r>
      <w:proofErr w:type="spellStart"/>
      <w:r>
        <w:rPr>
          <w:lang w:val="pt-BR"/>
        </w:rPr>
        <w:t>D</w:t>
      </w:r>
      <w:r w:rsidRPr="00524678">
        <w:rPr>
          <w:lang w:val="pt-BR"/>
        </w:rPr>
        <w:t>escription</w:t>
      </w:r>
      <w:proofErr w:type="spellEnd"/>
    </w:p>
    <w:p w:rsidR="00FC75FF" w:rsidRPr="00FC75FF" w:rsidRDefault="00FC75FF" w:rsidP="00FC75FF">
      <w:pPr>
        <w:pStyle w:val="CETBodytext"/>
      </w:pPr>
      <w:r>
        <w:t>Several amine-based CO</w:t>
      </w:r>
      <w:r>
        <w:rPr>
          <w:rFonts w:ascii="Cambria Math" w:hAnsi="Cambria Math" w:cs="Cambria Math"/>
        </w:rPr>
        <w:t>₂</w:t>
      </w:r>
      <w:r>
        <w:t xml:space="preserve"> capture flowsheets have been reported in the literature, but detailed configurations including CO</w:t>
      </w:r>
      <w:r>
        <w:rPr>
          <w:rFonts w:ascii="Cambria Math" w:hAnsi="Cambria Math" w:cs="Cambria Math"/>
        </w:rPr>
        <w:t>₂</w:t>
      </w:r>
      <w:r>
        <w:t xml:space="preserve"> purification and solvent management are less common. Here, an enhanced process configuration is proposed, aiming to reduce steam demand in the stripping section and to lower solvent make-up requirements. </w:t>
      </w:r>
      <w:r w:rsidRPr="00FC75FF">
        <w:t>It should be noted that the process involves reactive mass transfer in an ionic medium, which increases modeling complexity.</w:t>
      </w:r>
    </w:p>
    <w:p w:rsidR="00FC75FF" w:rsidRPr="00FC75FF" w:rsidRDefault="00FC75FF" w:rsidP="00FC75FF">
      <w:pPr>
        <w:pStyle w:val="CETBodytext"/>
      </w:pPr>
      <w:r>
        <w:t xml:space="preserve">First, the flue gas is cooled to prevent solvent degradation and to remove part of the water content, a particularly important step for biomass-derived flue gas due to its high humidity. The cooled gas is then fed to the absorber, where it contacts the solvent countercurrently and undergoes simultaneous mass and heat transfer with chemical reaction. </w:t>
      </w:r>
      <w:r w:rsidRPr="00FC75FF">
        <w:t>Treated gas leaves the column overhead, while the CO</w:t>
      </w:r>
      <w:r w:rsidRPr="00FC75FF">
        <w:rPr>
          <w:rFonts w:ascii="Cambria Math" w:hAnsi="Cambria Math" w:cs="Cambria Math"/>
        </w:rPr>
        <w:t>₂</w:t>
      </w:r>
      <w:r w:rsidRPr="00FC75FF">
        <w:t>-rich solution is withdrawn from the bottom and sent to regeneration.</w:t>
      </w:r>
    </w:p>
    <w:p w:rsidR="00FC75FF" w:rsidRPr="00FC75FF" w:rsidRDefault="00FC75FF" w:rsidP="005B6AA8">
      <w:pPr>
        <w:pStyle w:val="CETBodytext"/>
      </w:pPr>
      <w:r>
        <w:t>In the stripper, reboiler heat breaks the chemical bonds between CO</w:t>
      </w:r>
      <w:r>
        <w:rPr>
          <w:rFonts w:ascii="Cambria Math" w:hAnsi="Cambria Math" w:cs="Cambria Math"/>
        </w:rPr>
        <w:t>₂</w:t>
      </w:r>
      <w:r>
        <w:t xml:space="preserve"> and the solvent, releasing a CO</w:t>
      </w:r>
      <w:r>
        <w:rPr>
          <w:rFonts w:ascii="Cambria Math" w:hAnsi="Cambria Math" w:cs="Cambria Math"/>
        </w:rPr>
        <w:t>₂</w:t>
      </w:r>
      <w:r>
        <w:t xml:space="preserve"> plus water-vapor stream at the top and producing a CO</w:t>
      </w:r>
      <w:r>
        <w:rPr>
          <w:rFonts w:ascii="Cambria Math" w:hAnsi="Cambria Math" w:cs="Cambria Math"/>
        </w:rPr>
        <w:t>₂</w:t>
      </w:r>
      <w:r>
        <w:t>-lean solution at the bottom. The regenerated solvent is cooled, adjusted by adding solvent and water, and recycled to the absorber. The released CO</w:t>
      </w:r>
      <w:r>
        <w:rPr>
          <w:rFonts w:ascii="Cambria Math" w:hAnsi="Cambria Math" w:cs="Cambria Math"/>
        </w:rPr>
        <w:t>₂</w:t>
      </w:r>
      <w:r>
        <w:t xml:space="preserve"> is sent to cooling and compression, where condensed water is removed and reused in the process. This configuration improves energy performance because upstream water removal limits solvent dilution, and operating the stripper without reflux reduces thermal demand while maintaining adequate solvent regeneration.</w:t>
      </w:r>
    </w:p>
    <w:p w:rsidR="00FB54CB" w:rsidRDefault="00FC75FF" w:rsidP="00FB54CB">
      <w:pPr>
        <w:pStyle w:val="CETheadingx"/>
      </w:pPr>
      <w:r>
        <w:t>Case Study</w:t>
      </w:r>
    </w:p>
    <w:p w:rsidR="00E4321F" w:rsidRDefault="00E4321F" w:rsidP="00E4321F">
      <w:pPr>
        <w:pStyle w:val="CETBodytext"/>
      </w:pPr>
      <w:r>
        <w:t xml:space="preserve">The case study refers to a sugarcane bagasse-fired boiler producing approximately 100 t/h of steam and generating about 200 t/h of flue gas. The flue-gas composition was set to 60 </w:t>
      </w:r>
      <w:proofErr w:type="spellStart"/>
      <w:r>
        <w:t>mol</w:t>
      </w:r>
      <w:proofErr w:type="spellEnd"/>
      <w:r>
        <w:t>% N</w:t>
      </w:r>
      <w:r>
        <w:rPr>
          <w:rFonts w:ascii="Cambria Math" w:hAnsi="Cambria Math" w:cs="Cambria Math"/>
        </w:rPr>
        <w:t>₂</w:t>
      </w:r>
      <w:r>
        <w:t xml:space="preserve">, 20 </w:t>
      </w:r>
      <w:proofErr w:type="spellStart"/>
      <w:r>
        <w:t>mol</w:t>
      </w:r>
      <w:proofErr w:type="spellEnd"/>
      <w:r>
        <w:t>% O</w:t>
      </w:r>
      <w:r>
        <w:rPr>
          <w:rFonts w:ascii="Cambria Math" w:hAnsi="Cambria Math" w:cs="Cambria Math"/>
        </w:rPr>
        <w:t>₂</w:t>
      </w:r>
      <w:r>
        <w:t xml:space="preserve">, 10 </w:t>
      </w:r>
      <w:proofErr w:type="spellStart"/>
      <w:r>
        <w:t>mol</w:t>
      </w:r>
      <w:proofErr w:type="spellEnd"/>
      <w:r>
        <w:t>% CO</w:t>
      </w:r>
      <w:r>
        <w:rPr>
          <w:rFonts w:ascii="Cambria Math" w:hAnsi="Cambria Math" w:cs="Cambria Math"/>
        </w:rPr>
        <w:t>₂</w:t>
      </w:r>
      <w:r>
        <w:t xml:space="preserve">, and 10 </w:t>
      </w:r>
      <w:proofErr w:type="spellStart"/>
      <w:r>
        <w:t>mol</w:t>
      </w:r>
      <w:proofErr w:type="spellEnd"/>
      <w:r>
        <w:t>% H</w:t>
      </w:r>
      <w:r>
        <w:rPr>
          <w:rFonts w:ascii="Cambria Math" w:hAnsi="Cambria Math" w:cs="Cambria Math"/>
        </w:rPr>
        <w:t>₂</w:t>
      </w:r>
      <w:r>
        <w:t xml:space="preserve">O, with a flow rate of 200 t/h, pressure of 1.05 </w:t>
      </w:r>
      <w:proofErr w:type="spellStart"/>
      <w:r>
        <w:t>atm</w:t>
      </w:r>
      <w:proofErr w:type="spellEnd"/>
      <w:r>
        <w:t>, and temperature of 168</w:t>
      </w:r>
      <w:r>
        <w:rPr>
          <w:rFonts w:cs="Arial"/>
        </w:rPr>
        <w:t>°</w:t>
      </w:r>
      <w:r>
        <w:t xml:space="preserve">C. This setup is representative of sugarcane </w:t>
      </w:r>
      <w:proofErr w:type="spellStart"/>
      <w:r>
        <w:t>biorefineries</w:t>
      </w:r>
      <w:proofErr w:type="spellEnd"/>
      <w:r>
        <w:t>, where bagasse is widely used as a renewable fuel.</w:t>
      </w:r>
    </w:p>
    <w:p w:rsidR="00E4321F" w:rsidRPr="00E4321F" w:rsidRDefault="00E4321F" w:rsidP="00E4321F">
      <w:pPr>
        <w:pStyle w:val="CETBodytext"/>
      </w:pPr>
      <w:r>
        <w:t>The flue gas was treated in a post-combustion CO</w:t>
      </w:r>
      <w:r>
        <w:rPr>
          <w:rFonts w:ascii="Cambria Math" w:hAnsi="Cambria Math" w:cs="Cambria Math"/>
        </w:rPr>
        <w:t>₂</w:t>
      </w:r>
      <w:r>
        <w:t xml:space="preserve"> capture system based on chemical absorption using 30 </w:t>
      </w:r>
      <w:proofErr w:type="spellStart"/>
      <w:r>
        <w:t>wt</w:t>
      </w:r>
      <w:proofErr w:type="spellEnd"/>
      <w:r>
        <w:t xml:space="preserve">% aqueous MEA and 30 </w:t>
      </w:r>
      <w:proofErr w:type="spellStart"/>
      <w:r>
        <w:t>wt</w:t>
      </w:r>
      <w:proofErr w:type="spellEnd"/>
      <w:r>
        <w:t>% aqueous DEA. The process includes flue-gas cooling, CO</w:t>
      </w:r>
      <w:r>
        <w:rPr>
          <w:rFonts w:ascii="Cambria Math" w:hAnsi="Cambria Math" w:cs="Cambria Math"/>
        </w:rPr>
        <w:t>₂</w:t>
      </w:r>
      <w:r>
        <w:t xml:space="preserve"> absorption, and solvent regeneration in a stripping column. </w:t>
      </w:r>
      <w:r w:rsidRPr="00E4321F">
        <w:t>Simulations were performed in Aspen Plus® targeting a 90% CO</w:t>
      </w:r>
      <w:r w:rsidRPr="00E4321F">
        <w:rPr>
          <w:rFonts w:ascii="Cambria Math" w:hAnsi="Cambria Math" w:cs="Cambria Math"/>
        </w:rPr>
        <w:t>₂</w:t>
      </w:r>
      <w:r w:rsidRPr="00E4321F">
        <w:t xml:space="preserve"> capture efficiency.</w:t>
      </w:r>
    </w:p>
    <w:p w:rsidR="00E4321F" w:rsidRPr="00E4321F" w:rsidRDefault="00E4321F" w:rsidP="00E4321F">
      <w:pPr>
        <w:pStyle w:val="CETBodytext"/>
        <w:rPr>
          <w:rFonts w:cs="Arial"/>
        </w:rPr>
      </w:pPr>
      <w:r>
        <w:t xml:space="preserve">The assessment covered technical and energy performance as well as an economic evaluation, including </w:t>
      </w:r>
      <w:proofErr w:type="spellStart"/>
      <w:r>
        <w:t>reboiler</w:t>
      </w:r>
      <w:proofErr w:type="spellEnd"/>
      <w:r>
        <w:t xml:space="preserve"> heat demand, liquid-to-gas ratio (L/G), and specific capture cost, enabling a direct comparison between the evaluated solvents.</w:t>
      </w:r>
    </w:p>
    <w:p w:rsidR="00AF083D" w:rsidRPr="00E4321F" w:rsidRDefault="004173B1" w:rsidP="00642A09">
      <w:pPr>
        <w:pStyle w:val="CETHeading1"/>
      </w:pPr>
      <w:r>
        <w:t>Methodology</w:t>
      </w:r>
    </w:p>
    <w:p w:rsidR="00642A09" w:rsidRPr="00642A09" w:rsidRDefault="00642A09" w:rsidP="00642A09">
      <w:pPr>
        <w:pStyle w:val="CETBodytext"/>
        <w:rPr>
          <w:b/>
        </w:rPr>
      </w:pPr>
      <w:r w:rsidRPr="00642A09">
        <w:rPr>
          <w:b/>
          <w:lang w:val="pt-BR"/>
        </w:rPr>
        <w:t xml:space="preserve">2.1 </w:t>
      </w:r>
      <w:r w:rsidR="00737EDB" w:rsidRPr="00642A09">
        <w:rPr>
          <w:b/>
        </w:rPr>
        <w:t xml:space="preserve">Technical </w:t>
      </w:r>
      <w:r w:rsidR="00F65315">
        <w:rPr>
          <w:b/>
        </w:rPr>
        <w:t>A</w:t>
      </w:r>
      <w:r w:rsidR="00737EDB" w:rsidRPr="00642A09">
        <w:rPr>
          <w:b/>
        </w:rPr>
        <w:t>nalysis</w:t>
      </w:r>
    </w:p>
    <w:p w:rsidR="00E4321F" w:rsidRDefault="00E4321F" w:rsidP="00642A09">
      <w:pPr>
        <w:pStyle w:val="CETBodytext"/>
        <w:rPr>
          <w:lang w:val="pt-BR"/>
        </w:rPr>
      </w:pPr>
    </w:p>
    <w:p w:rsidR="00E4321F" w:rsidRPr="00E4321F" w:rsidRDefault="00E4321F" w:rsidP="00E4321F">
      <w:pPr>
        <w:pStyle w:val="CETBodytext"/>
      </w:pPr>
      <w:r w:rsidRPr="00E4321F">
        <w:t>The technical assessment was carried out in Aspen Plus® V14. The process components were defined as CO</w:t>
      </w:r>
      <w:r w:rsidRPr="00E4321F">
        <w:rPr>
          <w:rFonts w:ascii="Cambria Math" w:hAnsi="Cambria Math" w:cs="Cambria Math"/>
        </w:rPr>
        <w:t>₂</w:t>
      </w:r>
      <w:r w:rsidRPr="00E4321F">
        <w:t>, H</w:t>
      </w:r>
      <w:r w:rsidRPr="00E4321F">
        <w:rPr>
          <w:rFonts w:ascii="Cambria Math" w:hAnsi="Cambria Math" w:cs="Cambria Math"/>
        </w:rPr>
        <w:t>₂</w:t>
      </w:r>
      <w:r w:rsidRPr="00E4321F">
        <w:t>O, N</w:t>
      </w:r>
      <w:r w:rsidRPr="00E4321F">
        <w:rPr>
          <w:rFonts w:ascii="Cambria Math" w:hAnsi="Cambria Math" w:cs="Cambria Math"/>
        </w:rPr>
        <w:t>₂</w:t>
      </w:r>
      <w:r w:rsidRPr="00E4321F">
        <w:t>, O</w:t>
      </w:r>
      <w:r w:rsidRPr="00E4321F">
        <w:rPr>
          <w:rFonts w:ascii="Cambria Math" w:hAnsi="Cambria Math" w:cs="Cambria Math"/>
        </w:rPr>
        <w:t>₂</w:t>
      </w:r>
      <w:r w:rsidRPr="00E4321F">
        <w:t xml:space="preserve">, MEA or DEA, including their ionic species, and the ELECNRTL (Electrolyte Non-Random </w:t>
      </w:r>
      <w:r w:rsidRPr="00E4321F">
        <w:lastRenderedPageBreak/>
        <w:t>Two-Liquid) property method was selected, as recommended for non-ideal electrolyte systems with ions in the liquid phase (</w:t>
      </w:r>
      <w:proofErr w:type="spellStart"/>
      <w:r w:rsidRPr="00E4321F">
        <w:t>Madeddu</w:t>
      </w:r>
      <w:proofErr w:type="spellEnd"/>
      <w:r w:rsidRPr="00E4321F">
        <w:t xml:space="preserve"> et al., 2018). A reaction set was then implemented by inputting the kinetic parameters for each reaction from the literature (</w:t>
      </w:r>
      <w:proofErr w:type="spellStart"/>
      <w:r w:rsidRPr="00E4321F">
        <w:t>Madeddu</w:t>
      </w:r>
      <w:proofErr w:type="spellEnd"/>
      <w:r w:rsidRPr="00E4321F">
        <w:t xml:space="preserve"> et al., 2018), where the full reaction scheme and parameter values are reported.</w:t>
      </w:r>
    </w:p>
    <w:p w:rsidR="00E4321F" w:rsidRPr="00E4321F" w:rsidRDefault="00E4321F" w:rsidP="00E4321F">
      <w:pPr>
        <w:pStyle w:val="CETBodytext"/>
      </w:pPr>
      <w:r w:rsidRPr="00E4321F">
        <w:t xml:space="preserve">Finally, process streams (with their specifications) and equipment blocks were built in the simulation </w:t>
      </w:r>
      <w:proofErr w:type="spellStart"/>
      <w:r w:rsidRPr="00E4321F">
        <w:t>flowsheet</w:t>
      </w:r>
      <w:proofErr w:type="spellEnd"/>
      <w:r w:rsidRPr="00E4321F">
        <w:t xml:space="preserve">. Both the absorber and stripper were modeled using </w:t>
      </w:r>
      <w:proofErr w:type="spellStart"/>
      <w:r w:rsidRPr="00E4321F">
        <w:t>RadFrac</w:t>
      </w:r>
      <w:proofErr w:type="spellEnd"/>
      <w:r w:rsidRPr="00E4321F">
        <w:t xml:space="preserve"> coupled to the reaction set under the rate-based approach. The main specifications adopted for each simulation block are summarized in Table 1.</w:t>
      </w:r>
    </w:p>
    <w:p w:rsidR="00D64904" w:rsidRPr="00B01C21" w:rsidRDefault="00D64904" w:rsidP="004C19DC">
      <w:pPr>
        <w:pStyle w:val="CETBodytext"/>
      </w:pPr>
    </w:p>
    <w:p w:rsidR="00EA16D8" w:rsidRPr="002E2EF2" w:rsidRDefault="00E4321F" w:rsidP="00EA16D8">
      <w:pPr>
        <w:pStyle w:val="CETBodytext"/>
        <w:rPr>
          <w:i/>
        </w:rPr>
      </w:pPr>
      <w:proofErr w:type="gramStart"/>
      <w:r>
        <w:rPr>
          <w:i/>
        </w:rPr>
        <w:t>Table 1</w:t>
      </w:r>
      <w:r w:rsidR="00EA16D8">
        <w:rPr>
          <w:i/>
        </w:rPr>
        <w:t>: Important</w:t>
      </w:r>
      <w:r w:rsidR="00EA16D8" w:rsidRPr="00EA16D8">
        <w:rPr>
          <w:i/>
        </w:rPr>
        <w:t xml:space="preserve"> information in the simulation environment</w:t>
      </w:r>
      <w:r w:rsidR="00EA16D8" w:rsidRPr="002E2EF2">
        <w:rPr>
          <w:i/>
        </w:rPr>
        <w:t>.</w:t>
      </w:r>
      <w:proofErr w:type="gramEnd"/>
    </w:p>
    <w:tbl>
      <w:tblPr>
        <w:tblW w:w="8789" w:type="dxa"/>
        <w:tblBorders>
          <w:top w:val="single" w:sz="12" w:space="0" w:color="008000"/>
          <w:bottom w:val="single" w:sz="12" w:space="0" w:color="008000"/>
          <w:insideH w:val="single" w:sz="4" w:space="0" w:color="auto"/>
        </w:tblBorders>
        <w:shd w:val="clear" w:color="auto" w:fill="FFFFFF"/>
        <w:tblLayout w:type="fixed"/>
        <w:tblCellMar>
          <w:left w:w="0" w:type="dxa"/>
          <w:right w:w="0" w:type="dxa"/>
        </w:tblCellMar>
        <w:tblLook w:val="00A0" w:firstRow="1" w:lastRow="0" w:firstColumn="1" w:lastColumn="0" w:noHBand="0" w:noVBand="0"/>
      </w:tblPr>
      <w:tblGrid>
        <w:gridCol w:w="1560"/>
        <w:gridCol w:w="2693"/>
        <w:gridCol w:w="4536"/>
      </w:tblGrid>
      <w:tr w:rsidR="00EA16D8" w:rsidRPr="00B57B36" w:rsidTr="00DC0276">
        <w:tc>
          <w:tcPr>
            <w:tcW w:w="1560" w:type="dxa"/>
            <w:shd w:val="clear" w:color="auto" w:fill="FFFFFF"/>
          </w:tcPr>
          <w:p w:rsidR="00EA16D8" w:rsidRPr="00B57B36" w:rsidRDefault="00EA16D8" w:rsidP="00DC0276">
            <w:pPr>
              <w:pStyle w:val="CETBodytext"/>
              <w:spacing w:line="240" w:lineRule="auto"/>
              <w:jc w:val="center"/>
              <w:rPr>
                <w:lang w:val="en-GB"/>
              </w:rPr>
            </w:pPr>
            <w:r>
              <w:rPr>
                <w:lang w:val="en-GB"/>
              </w:rPr>
              <w:t>Equipment/Stream</w:t>
            </w:r>
          </w:p>
        </w:tc>
        <w:tc>
          <w:tcPr>
            <w:tcW w:w="2693" w:type="dxa"/>
            <w:shd w:val="clear" w:color="auto" w:fill="FFFFFF"/>
          </w:tcPr>
          <w:p w:rsidR="00EA16D8" w:rsidRPr="00B57B36" w:rsidRDefault="00EA16D8" w:rsidP="00DC0276">
            <w:pPr>
              <w:pStyle w:val="CETBodytext"/>
              <w:spacing w:line="240" w:lineRule="auto"/>
              <w:jc w:val="center"/>
              <w:rPr>
                <w:lang w:val="en-GB"/>
              </w:rPr>
            </w:pPr>
            <w:r>
              <w:rPr>
                <w:lang w:val="en-GB"/>
              </w:rPr>
              <w:t>Description</w:t>
            </w:r>
          </w:p>
        </w:tc>
        <w:tc>
          <w:tcPr>
            <w:tcW w:w="4536" w:type="dxa"/>
            <w:shd w:val="clear" w:color="auto" w:fill="FFFFFF"/>
          </w:tcPr>
          <w:p w:rsidR="00EA16D8" w:rsidRDefault="00EA16D8" w:rsidP="00DC0276">
            <w:pPr>
              <w:pStyle w:val="CETBodytext"/>
              <w:spacing w:line="240" w:lineRule="auto"/>
              <w:jc w:val="center"/>
              <w:rPr>
                <w:lang w:val="en-GB"/>
              </w:rPr>
            </w:pPr>
            <w:r w:rsidRPr="00CE062E">
              <w:rPr>
                <w:lang w:val="en-GB"/>
              </w:rPr>
              <w:t>Information</w:t>
            </w:r>
          </w:p>
        </w:tc>
      </w:tr>
      <w:tr w:rsidR="00EA16D8" w:rsidRPr="003070C1" w:rsidTr="001A10E1">
        <w:tc>
          <w:tcPr>
            <w:tcW w:w="1560" w:type="dxa"/>
            <w:tcBorders>
              <w:bottom w:val="single" w:sz="4" w:space="0" w:color="00B050"/>
            </w:tcBorders>
            <w:shd w:val="clear" w:color="auto" w:fill="FFFFFF"/>
            <w:vAlign w:val="center"/>
          </w:tcPr>
          <w:p w:rsidR="00EA16D8" w:rsidRPr="00B57B36" w:rsidRDefault="00EA16D8" w:rsidP="00DC0276">
            <w:pPr>
              <w:pStyle w:val="CETBodytext"/>
              <w:spacing w:line="240" w:lineRule="auto"/>
              <w:jc w:val="center"/>
              <w:rPr>
                <w:lang w:val="en-GB"/>
              </w:rPr>
            </w:pPr>
            <w:r>
              <w:rPr>
                <w:lang w:val="en-GB"/>
              </w:rPr>
              <w:t>Absorber</w:t>
            </w:r>
          </w:p>
        </w:tc>
        <w:tc>
          <w:tcPr>
            <w:tcW w:w="2693" w:type="dxa"/>
            <w:tcBorders>
              <w:bottom w:val="single" w:sz="4" w:space="0" w:color="00B050"/>
            </w:tcBorders>
            <w:shd w:val="clear" w:color="auto" w:fill="FFFFFF"/>
            <w:vAlign w:val="center"/>
          </w:tcPr>
          <w:p w:rsidR="00EA16D8" w:rsidRPr="003070C1" w:rsidRDefault="003070C1" w:rsidP="00DC0276">
            <w:pPr>
              <w:pStyle w:val="CETBodytext"/>
              <w:spacing w:line="240" w:lineRule="auto"/>
              <w:jc w:val="center"/>
            </w:pPr>
            <w:r>
              <w:t xml:space="preserve">Column </w:t>
            </w:r>
            <w:r w:rsidRPr="003070C1">
              <w:t>responsible for capturing CO</w:t>
            </w:r>
            <w:r w:rsidRPr="003070C1">
              <w:rPr>
                <w:vertAlign w:val="subscript"/>
              </w:rPr>
              <w:t>2</w:t>
            </w:r>
            <w:r w:rsidRPr="003070C1">
              <w:t xml:space="preserve"> in a chemical absorption process using an amine solvent in countercurrent flow</w:t>
            </w:r>
            <w:r>
              <w:t>.</w:t>
            </w:r>
          </w:p>
        </w:tc>
        <w:tc>
          <w:tcPr>
            <w:tcW w:w="4536" w:type="dxa"/>
            <w:tcBorders>
              <w:bottom w:val="single" w:sz="4" w:space="0" w:color="00B050"/>
            </w:tcBorders>
            <w:shd w:val="clear" w:color="auto" w:fill="FFFFFF"/>
          </w:tcPr>
          <w:p w:rsidR="00EA16D8" w:rsidRPr="00AD41D5" w:rsidRDefault="00133FEE" w:rsidP="00DC0276">
            <w:pPr>
              <w:pStyle w:val="CETBodytext"/>
              <w:spacing w:line="240" w:lineRule="auto"/>
              <w:jc w:val="center"/>
            </w:pPr>
            <w:r>
              <w:t>Pressure = 1atm</w:t>
            </w:r>
            <w:r w:rsidR="00A814AC">
              <w:t>,</w:t>
            </w:r>
            <w:r w:rsidR="0097234F">
              <w:t xml:space="preserve"> Hei</w:t>
            </w:r>
            <w:r w:rsidR="00A814AC">
              <w:t>gh</w:t>
            </w:r>
            <w:r w:rsidR="0097234F">
              <w:t>t</w:t>
            </w:r>
            <w:r w:rsidR="00A814AC">
              <w:t xml:space="preserve"> = 6m and Diameter = 4m</w:t>
            </w:r>
          </w:p>
          <w:p w:rsidR="003070C1" w:rsidRPr="003070C1" w:rsidRDefault="003070C1" w:rsidP="00DC0276">
            <w:pPr>
              <w:pStyle w:val="CETBodytext"/>
              <w:spacing w:line="240" w:lineRule="auto"/>
              <w:jc w:val="center"/>
            </w:pPr>
            <w:r w:rsidRPr="003070C1">
              <w:t>Rated Based Model with 30 part</w:t>
            </w:r>
            <w:r>
              <w:t>itions</w:t>
            </w:r>
          </w:p>
          <w:p w:rsidR="007612F0" w:rsidRPr="007612F0" w:rsidRDefault="007612F0" w:rsidP="00DC0276">
            <w:pPr>
              <w:pStyle w:val="CETBodytext"/>
              <w:spacing w:line="240" w:lineRule="auto"/>
              <w:jc w:val="center"/>
            </w:pPr>
            <w:proofErr w:type="spellStart"/>
            <w:r w:rsidRPr="007612F0">
              <w:t>Rashig</w:t>
            </w:r>
            <w:proofErr w:type="spellEnd"/>
            <w:r w:rsidRPr="007612F0">
              <w:t xml:space="preserve"> model in mass transfer and holdup</w:t>
            </w:r>
          </w:p>
          <w:p w:rsidR="003070C1" w:rsidRPr="003070C1" w:rsidRDefault="003070C1" w:rsidP="00DC0276">
            <w:pPr>
              <w:pStyle w:val="CETBodytext"/>
              <w:spacing w:line="240" w:lineRule="auto"/>
              <w:jc w:val="center"/>
              <w:rPr>
                <w:lang w:val="pt-BR"/>
              </w:rPr>
            </w:pPr>
            <w:r>
              <w:rPr>
                <w:lang w:val="pt-BR"/>
              </w:rPr>
              <w:t>MELLAPACK</w:t>
            </w:r>
            <w:r w:rsidR="00A814AC">
              <w:rPr>
                <w:lang w:val="pt-BR"/>
              </w:rPr>
              <w:t xml:space="preserve"> </w:t>
            </w:r>
            <w:proofErr w:type="spellStart"/>
            <w:r w:rsidR="007612F0">
              <w:rPr>
                <w:lang w:val="pt-BR"/>
              </w:rPr>
              <w:t>packed</w:t>
            </w:r>
            <w:proofErr w:type="spellEnd"/>
            <w:r w:rsidR="00A814AC">
              <w:rPr>
                <w:lang w:val="pt-BR"/>
              </w:rPr>
              <w:t xml:space="preserve"> </w:t>
            </w:r>
            <w:proofErr w:type="spellStart"/>
            <w:r w:rsidR="007612F0">
              <w:rPr>
                <w:lang w:val="pt-BR"/>
              </w:rPr>
              <w:t>from</w:t>
            </w:r>
            <w:proofErr w:type="spellEnd"/>
            <w:r w:rsidR="00A814AC">
              <w:rPr>
                <w:lang w:val="pt-BR"/>
              </w:rPr>
              <w:t xml:space="preserve"> </w:t>
            </w:r>
            <w:proofErr w:type="spellStart"/>
            <w:r>
              <w:rPr>
                <w:lang w:val="pt-BR"/>
              </w:rPr>
              <w:t>Sulzer</w:t>
            </w:r>
            <w:proofErr w:type="spellEnd"/>
          </w:p>
        </w:tc>
      </w:tr>
      <w:tr w:rsidR="003070C1" w:rsidRPr="00B57B36" w:rsidTr="001A10E1">
        <w:trPr>
          <w:trHeight w:val="996"/>
        </w:trPr>
        <w:tc>
          <w:tcPr>
            <w:tcW w:w="1560" w:type="dxa"/>
            <w:tcBorders>
              <w:top w:val="single" w:sz="4" w:space="0" w:color="00B050"/>
              <w:bottom w:val="single" w:sz="4" w:space="0" w:color="00B050"/>
            </w:tcBorders>
            <w:shd w:val="clear" w:color="auto" w:fill="FFFFFF"/>
            <w:vAlign w:val="center"/>
          </w:tcPr>
          <w:p w:rsidR="003070C1" w:rsidRPr="00B57B36" w:rsidRDefault="003070C1" w:rsidP="00DC0276">
            <w:pPr>
              <w:pStyle w:val="CETBodytext"/>
              <w:spacing w:line="240" w:lineRule="auto"/>
              <w:jc w:val="center"/>
              <w:rPr>
                <w:lang w:val="en-GB"/>
              </w:rPr>
            </w:pPr>
            <w:r>
              <w:rPr>
                <w:lang w:val="en-GB"/>
              </w:rPr>
              <w:t>Stripper</w:t>
            </w:r>
          </w:p>
        </w:tc>
        <w:tc>
          <w:tcPr>
            <w:tcW w:w="2693" w:type="dxa"/>
            <w:tcBorders>
              <w:top w:val="single" w:sz="4" w:space="0" w:color="00B050"/>
              <w:bottom w:val="single" w:sz="4" w:space="0" w:color="00B050"/>
            </w:tcBorders>
            <w:shd w:val="clear" w:color="auto" w:fill="FFFFFF"/>
            <w:vAlign w:val="center"/>
          </w:tcPr>
          <w:p w:rsidR="003070C1" w:rsidRPr="003070C1" w:rsidRDefault="003070C1" w:rsidP="00DC0276">
            <w:pPr>
              <w:pStyle w:val="CETBodytext"/>
              <w:spacing w:line="240" w:lineRule="auto"/>
              <w:jc w:val="center"/>
            </w:pPr>
            <w:r>
              <w:t>C</w:t>
            </w:r>
            <w:r w:rsidRPr="003070C1">
              <w:t>olumn responsible for releasing the absorbed CO</w:t>
            </w:r>
            <w:r w:rsidRPr="003070C1">
              <w:rPr>
                <w:vertAlign w:val="subscript"/>
              </w:rPr>
              <w:t>2</w:t>
            </w:r>
            <w:r w:rsidRPr="003070C1">
              <w:t xml:space="preserve"> into the gaseous phase using energy from the vapor.</w:t>
            </w:r>
          </w:p>
        </w:tc>
        <w:tc>
          <w:tcPr>
            <w:tcW w:w="4536" w:type="dxa"/>
            <w:tcBorders>
              <w:top w:val="single" w:sz="4" w:space="0" w:color="00B050"/>
              <w:bottom w:val="single" w:sz="4" w:space="0" w:color="00B050"/>
            </w:tcBorders>
            <w:shd w:val="clear" w:color="auto" w:fill="FFFFFF"/>
          </w:tcPr>
          <w:p w:rsidR="003070C1" w:rsidRPr="003070C1" w:rsidRDefault="00A814AC" w:rsidP="00A814AC">
            <w:pPr>
              <w:pStyle w:val="CETBodytext"/>
              <w:spacing w:line="240" w:lineRule="auto"/>
              <w:jc w:val="center"/>
            </w:pPr>
            <w:r>
              <w:t>Pressure = 1atm,</w:t>
            </w:r>
            <w:r w:rsidR="0097234F">
              <w:t xml:space="preserve"> </w:t>
            </w:r>
            <w:r w:rsidR="0097234F">
              <w:t>Height</w:t>
            </w:r>
            <w:r>
              <w:t xml:space="preserve"> =</w:t>
            </w:r>
            <w:r w:rsidR="00C8629C">
              <w:t xml:space="preserve"> 5m and Diameter = 2,5</w:t>
            </w:r>
            <w:r>
              <w:t>m</w:t>
            </w:r>
          </w:p>
          <w:p w:rsidR="003070C1" w:rsidRPr="003070C1" w:rsidRDefault="003070C1" w:rsidP="00DC0276">
            <w:pPr>
              <w:pStyle w:val="CETBodytext"/>
              <w:spacing w:line="240" w:lineRule="auto"/>
              <w:jc w:val="center"/>
            </w:pPr>
            <w:r w:rsidRPr="003070C1">
              <w:t>Rated Based Model with 50 pa</w:t>
            </w:r>
            <w:r>
              <w:t>rtitions</w:t>
            </w:r>
          </w:p>
          <w:p w:rsidR="007612F0" w:rsidRPr="007612F0" w:rsidRDefault="007612F0" w:rsidP="00DC0276">
            <w:pPr>
              <w:pStyle w:val="CETBodytext"/>
              <w:spacing w:line="240" w:lineRule="auto"/>
              <w:jc w:val="center"/>
            </w:pPr>
            <w:proofErr w:type="spellStart"/>
            <w:r w:rsidRPr="007612F0">
              <w:t>Rashig</w:t>
            </w:r>
            <w:proofErr w:type="spellEnd"/>
            <w:r w:rsidRPr="007612F0">
              <w:t xml:space="preserve"> model in mass transfer and holdup</w:t>
            </w:r>
          </w:p>
          <w:p w:rsidR="003070C1" w:rsidRDefault="007612F0" w:rsidP="00DC0276">
            <w:pPr>
              <w:pStyle w:val="CETBodytext"/>
              <w:spacing w:line="240" w:lineRule="auto"/>
              <w:jc w:val="center"/>
              <w:rPr>
                <w:lang w:val="en-GB"/>
              </w:rPr>
            </w:pPr>
            <w:r>
              <w:rPr>
                <w:lang w:val="pt-BR"/>
              </w:rPr>
              <w:t xml:space="preserve">MELLAPACK </w:t>
            </w:r>
            <w:proofErr w:type="spellStart"/>
            <w:proofErr w:type="gramStart"/>
            <w:r>
              <w:rPr>
                <w:lang w:val="pt-BR"/>
              </w:rPr>
              <w:t>packedfromSulzer</w:t>
            </w:r>
            <w:proofErr w:type="spellEnd"/>
            <w:proofErr w:type="gramEnd"/>
          </w:p>
        </w:tc>
      </w:tr>
      <w:tr w:rsidR="003070C1" w:rsidRPr="00B57B36" w:rsidTr="001A10E1">
        <w:trPr>
          <w:trHeight w:val="275"/>
        </w:trPr>
        <w:tc>
          <w:tcPr>
            <w:tcW w:w="1560" w:type="dxa"/>
            <w:tcBorders>
              <w:top w:val="single" w:sz="4" w:space="0" w:color="00B050"/>
              <w:bottom w:val="single" w:sz="4" w:space="0" w:color="00B050"/>
            </w:tcBorders>
            <w:shd w:val="clear" w:color="auto" w:fill="FFFFFF"/>
          </w:tcPr>
          <w:p w:rsidR="003070C1" w:rsidRPr="00B57B36" w:rsidRDefault="003070C1" w:rsidP="00DC0276">
            <w:pPr>
              <w:pStyle w:val="CETBodytext"/>
              <w:spacing w:line="240" w:lineRule="auto"/>
              <w:ind w:right="-1"/>
              <w:jc w:val="center"/>
              <w:rPr>
                <w:rFonts w:cs="Arial"/>
                <w:szCs w:val="18"/>
                <w:lang w:val="en-GB"/>
              </w:rPr>
            </w:pPr>
            <w:r>
              <w:rPr>
                <w:rFonts w:cs="Arial"/>
                <w:szCs w:val="18"/>
                <w:lang w:val="en-GB"/>
              </w:rPr>
              <w:t>HE1</w:t>
            </w:r>
          </w:p>
        </w:tc>
        <w:tc>
          <w:tcPr>
            <w:tcW w:w="2693" w:type="dxa"/>
            <w:tcBorders>
              <w:top w:val="single" w:sz="4" w:space="0" w:color="00B050"/>
              <w:bottom w:val="single" w:sz="4" w:space="0" w:color="00B050"/>
            </w:tcBorders>
            <w:shd w:val="clear" w:color="auto" w:fill="FFFFFF"/>
          </w:tcPr>
          <w:p w:rsidR="003070C1" w:rsidRPr="00B57B36" w:rsidRDefault="00AD41D5" w:rsidP="00DC0276">
            <w:pPr>
              <w:pStyle w:val="CETBodytext"/>
              <w:spacing w:line="240" w:lineRule="auto"/>
              <w:ind w:right="-1"/>
              <w:jc w:val="center"/>
              <w:rPr>
                <w:rFonts w:cs="Arial"/>
                <w:szCs w:val="18"/>
                <w:lang w:val="en-GB"/>
              </w:rPr>
            </w:pPr>
            <w:r>
              <w:rPr>
                <w:rFonts w:cs="Arial"/>
                <w:szCs w:val="18"/>
                <w:lang w:val="en-GB"/>
              </w:rPr>
              <w:t>Flue gas cooler</w:t>
            </w:r>
          </w:p>
        </w:tc>
        <w:tc>
          <w:tcPr>
            <w:tcW w:w="4536" w:type="dxa"/>
            <w:tcBorders>
              <w:top w:val="single" w:sz="4" w:space="0" w:color="00B050"/>
              <w:bottom w:val="single" w:sz="4" w:space="0" w:color="00B050"/>
            </w:tcBorders>
            <w:shd w:val="clear" w:color="auto" w:fill="FFFFFF"/>
          </w:tcPr>
          <w:p w:rsidR="003070C1" w:rsidRPr="00AD41D5" w:rsidRDefault="00133FEE" w:rsidP="00DC0276">
            <w:pPr>
              <w:pStyle w:val="CETBodytext"/>
              <w:spacing w:line="240" w:lineRule="auto"/>
              <w:ind w:right="-1"/>
              <w:jc w:val="center"/>
              <w:rPr>
                <w:rFonts w:cs="Arial"/>
                <w:szCs w:val="18"/>
              </w:rPr>
            </w:pPr>
            <w:r>
              <w:rPr>
                <w:rFonts w:cs="Arial"/>
                <w:szCs w:val="18"/>
              </w:rPr>
              <w:t>U = 27 Btu/h.m².</w:t>
            </w:r>
            <w:r>
              <w:rPr>
                <w:rFonts w:cs="Arial"/>
                <w:sz w:val="20"/>
                <w:szCs w:val="18"/>
              </w:rPr>
              <w:t>º</w:t>
            </w:r>
            <w:r>
              <w:rPr>
                <w:rFonts w:cs="Arial"/>
                <w:szCs w:val="18"/>
              </w:rPr>
              <w:t>F</w:t>
            </w:r>
            <w:r w:rsidR="00AF1F21">
              <w:rPr>
                <w:rFonts w:cs="Arial"/>
                <w:szCs w:val="18"/>
              </w:rPr>
              <w:t>*</w:t>
            </w:r>
            <w:r w:rsidR="00487E57">
              <w:rPr>
                <w:rFonts w:cs="Arial"/>
                <w:szCs w:val="18"/>
              </w:rPr>
              <w:t xml:space="preserve"> and T=</w:t>
            </w:r>
            <w:r w:rsidR="00AD41D5" w:rsidRPr="00AD41D5">
              <w:rPr>
                <w:rFonts w:cs="Arial"/>
                <w:szCs w:val="18"/>
              </w:rPr>
              <w:t xml:space="preserve"> 50°C for gas outlet</w:t>
            </w:r>
          </w:p>
        </w:tc>
      </w:tr>
      <w:tr w:rsidR="003070C1" w:rsidRPr="00B57B36" w:rsidTr="001A10E1">
        <w:tc>
          <w:tcPr>
            <w:tcW w:w="1560" w:type="dxa"/>
            <w:tcBorders>
              <w:top w:val="single" w:sz="4" w:space="0" w:color="00B050"/>
              <w:bottom w:val="single" w:sz="4" w:space="0" w:color="00B050"/>
            </w:tcBorders>
            <w:shd w:val="clear" w:color="auto" w:fill="FFFFFF"/>
          </w:tcPr>
          <w:p w:rsidR="003070C1" w:rsidRPr="00B57B36" w:rsidRDefault="003070C1" w:rsidP="00DC0276">
            <w:pPr>
              <w:pStyle w:val="CETBodytext"/>
              <w:spacing w:line="240" w:lineRule="auto"/>
              <w:ind w:right="-1"/>
              <w:jc w:val="center"/>
              <w:rPr>
                <w:rFonts w:cs="Arial"/>
                <w:szCs w:val="18"/>
                <w:lang w:val="en-GB"/>
              </w:rPr>
            </w:pPr>
            <w:r>
              <w:rPr>
                <w:rFonts w:cs="Arial"/>
                <w:szCs w:val="18"/>
                <w:lang w:val="en-GB"/>
              </w:rPr>
              <w:t>HE2</w:t>
            </w:r>
          </w:p>
        </w:tc>
        <w:tc>
          <w:tcPr>
            <w:tcW w:w="2693" w:type="dxa"/>
            <w:tcBorders>
              <w:top w:val="single" w:sz="4" w:space="0" w:color="00B050"/>
              <w:bottom w:val="single" w:sz="4" w:space="0" w:color="00B050"/>
            </w:tcBorders>
            <w:shd w:val="clear" w:color="auto" w:fill="FFFFFF"/>
          </w:tcPr>
          <w:p w:rsidR="003070C1" w:rsidRPr="00B57B36" w:rsidRDefault="00AD41D5" w:rsidP="00DC0276">
            <w:pPr>
              <w:pStyle w:val="CETBodytext"/>
              <w:spacing w:line="240" w:lineRule="auto"/>
              <w:ind w:right="-1"/>
              <w:jc w:val="center"/>
              <w:rPr>
                <w:rFonts w:cs="Arial"/>
                <w:szCs w:val="18"/>
                <w:lang w:val="en-GB"/>
              </w:rPr>
            </w:pPr>
            <w:r>
              <w:rPr>
                <w:rFonts w:cs="Arial"/>
                <w:szCs w:val="18"/>
                <w:lang w:val="en-GB"/>
              </w:rPr>
              <w:t>Solvent cooler</w:t>
            </w:r>
          </w:p>
        </w:tc>
        <w:tc>
          <w:tcPr>
            <w:tcW w:w="4536" w:type="dxa"/>
            <w:tcBorders>
              <w:top w:val="single" w:sz="4" w:space="0" w:color="00B050"/>
              <w:bottom w:val="single" w:sz="4" w:space="0" w:color="00B050"/>
            </w:tcBorders>
            <w:shd w:val="clear" w:color="auto" w:fill="FFFFFF"/>
          </w:tcPr>
          <w:p w:rsidR="003070C1" w:rsidRPr="00AD41D5" w:rsidRDefault="00133FEE" w:rsidP="00DC0276">
            <w:pPr>
              <w:pStyle w:val="CETBodytext"/>
              <w:spacing w:line="240" w:lineRule="auto"/>
              <w:ind w:right="-1"/>
              <w:jc w:val="center"/>
              <w:rPr>
                <w:rFonts w:cs="Arial"/>
                <w:szCs w:val="18"/>
              </w:rPr>
            </w:pPr>
            <w:r>
              <w:rPr>
                <w:rFonts w:cs="Arial"/>
                <w:szCs w:val="18"/>
              </w:rPr>
              <w:t>U = 170</w:t>
            </w:r>
            <w:r w:rsidR="00487E57">
              <w:rPr>
                <w:rFonts w:cs="Arial"/>
                <w:szCs w:val="18"/>
              </w:rPr>
              <w:t xml:space="preserve"> Btu/h</w:t>
            </w:r>
            <w:r>
              <w:rPr>
                <w:rFonts w:cs="Arial"/>
                <w:szCs w:val="18"/>
              </w:rPr>
              <w:t>.m².°F</w:t>
            </w:r>
            <w:r w:rsidR="00487E57">
              <w:rPr>
                <w:rFonts w:cs="Arial"/>
                <w:szCs w:val="18"/>
              </w:rPr>
              <w:t xml:space="preserve"> and T= 40°C for solvent</w:t>
            </w:r>
            <w:r w:rsidR="00487E57" w:rsidRPr="00AD41D5">
              <w:rPr>
                <w:rFonts w:cs="Arial"/>
                <w:szCs w:val="18"/>
              </w:rPr>
              <w:t xml:space="preserve"> outlet</w:t>
            </w:r>
          </w:p>
        </w:tc>
      </w:tr>
      <w:tr w:rsidR="003070C1" w:rsidRPr="00B57B36" w:rsidTr="001A10E1">
        <w:tc>
          <w:tcPr>
            <w:tcW w:w="1560" w:type="dxa"/>
            <w:tcBorders>
              <w:top w:val="single" w:sz="4" w:space="0" w:color="00B050"/>
              <w:bottom w:val="single" w:sz="4" w:space="0" w:color="00B050"/>
            </w:tcBorders>
            <w:shd w:val="clear" w:color="auto" w:fill="FFFFFF"/>
            <w:vAlign w:val="center"/>
          </w:tcPr>
          <w:p w:rsidR="003070C1" w:rsidRDefault="003070C1" w:rsidP="00DC0276">
            <w:pPr>
              <w:pStyle w:val="CETBodytext"/>
              <w:spacing w:line="240" w:lineRule="auto"/>
              <w:ind w:right="-1"/>
              <w:jc w:val="center"/>
              <w:rPr>
                <w:rFonts w:cs="Arial"/>
                <w:szCs w:val="18"/>
                <w:lang w:val="en-GB"/>
              </w:rPr>
            </w:pPr>
            <w:r>
              <w:rPr>
                <w:rFonts w:cs="Arial"/>
                <w:szCs w:val="18"/>
                <w:lang w:val="en-GB"/>
              </w:rPr>
              <w:t>HE3</w:t>
            </w:r>
            <w:r w:rsidR="00487E57">
              <w:rPr>
                <w:rFonts w:cs="Arial"/>
                <w:szCs w:val="18"/>
                <w:lang w:val="en-GB"/>
              </w:rPr>
              <w:t xml:space="preserve"> (Intermediary)</w:t>
            </w:r>
          </w:p>
        </w:tc>
        <w:tc>
          <w:tcPr>
            <w:tcW w:w="2693" w:type="dxa"/>
            <w:tcBorders>
              <w:top w:val="single" w:sz="4" w:space="0" w:color="00B050"/>
              <w:bottom w:val="single" w:sz="4" w:space="0" w:color="00B050"/>
            </w:tcBorders>
            <w:shd w:val="clear" w:color="auto" w:fill="FFFFFF"/>
            <w:vAlign w:val="center"/>
          </w:tcPr>
          <w:p w:rsidR="00487E57" w:rsidRPr="00487E57" w:rsidRDefault="00487E57" w:rsidP="00DC0276">
            <w:pPr>
              <w:pStyle w:val="CETBodytext"/>
              <w:spacing w:line="240" w:lineRule="auto"/>
              <w:ind w:right="-1"/>
              <w:jc w:val="center"/>
              <w:rPr>
                <w:rFonts w:cs="Arial"/>
                <w:szCs w:val="18"/>
              </w:rPr>
            </w:pPr>
            <w:r w:rsidRPr="00487E57">
              <w:rPr>
                <w:rFonts w:cs="Arial"/>
                <w:szCs w:val="18"/>
              </w:rPr>
              <w:t>Preheater for the desorption column feed stream</w:t>
            </w:r>
          </w:p>
          <w:p w:rsidR="003070C1" w:rsidRPr="00487E57" w:rsidRDefault="003070C1" w:rsidP="00DC0276">
            <w:pPr>
              <w:pStyle w:val="CETBodytext"/>
              <w:spacing w:line="240" w:lineRule="auto"/>
              <w:ind w:right="-1"/>
              <w:jc w:val="center"/>
              <w:rPr>
                <w:rFonts w:cs="Arial"/>
                <w:szCs w:val="18"/>
              </w:rPr>
            </w:pPr>
          </w:p>
        </w:tc>
        <w:tc>
          <w:tcPr>
            <w:tcW w:w="4536" w:type="dxa"/>
            <w:tcBorders>
              <w:top w:val="single" w:sz="4" w:space="0" w:color="00B050"/>
              <w:bottom w:val="single" w:sz="4" w:space="0" w:color="00B050"/>
            </w:tcBorders>
            <w:shd w:val="clear" w:color="auto" w:fill="FFFFFF"/>
            <w:vAlign w:val="center"/>
          </w:tcPr>
          <w:p w:rsidR="00487E57" w:rsidRDefault="00133FEE" w:rsidP="00DC0276">
            <w:pPr>
              <w:pStyle w:val="CETBodytext"/>
              <w:spacing w:line="240" w:lineRule="auto"/>
              <w:ind w:right="-1"/>
              <w:jc w:val="center"/>
              <w:rPr>
                <w:rFonts w:cs="Arial"/>
                <w:szCs w:val="18"/>
              </w:rPr>
            </w:pPr>
            <w:r>
              <w:rPr>
                <w:rFonts w:cs="Arial"/>
                <w:szCs w:val="18"/>
                <w:lang w:val="en-GB"/>
              </w:rPr>
              <w:t>U = 170</w:t>
            </w:r>
            <w:r w:rsidR="00487E57">
              <w:rPr>
                <w:rFonts w:cs="Arial"/>
                <w:szCs w:val="18"/>
                <w:lang w:val="en-GB"/>
              </w:rPr>
              <w:t xml:space="preserve"> Btu/h</w:t>
            </w:r>
            <w:r>
              <w:rPr>
                <w:rFonts w:cs="Arial"/>
                <w:szCs w:val="18"/>
                <w:lang w:val="en-GB"/>
              </w:rPr>
              <w:t>.m².°F</w:t>
            </w:r>
          </w:p>
          <w:p w:rsidR="003070C1" w:rsidRPr="00487E57" w:rsidRDefault="00487E57" w:rsidP="00DC0276">
            <w:pPr>
              <w:pStyle w:val="CETBodytext"/>
              <w:spacing w:line="240" w:lineRule="auto"/>
              <w:ind w:right="-1"/>
              <w:jc w:val="center"/>
              <w:rPr>
                <w:rFonts w:cs="Arial"/>
                <w:szCs w:val="18"/>
              </w:rPr>
            </w:pPr>
            <w:r w:rsidRPr="00487E57">
              <w:rPr>
                <w:rFonts w:cs="Arial"/>
                <w:szCs w:val="18"/>
              </w:rPr>
              <w:t>Temperature varies between 66-74 °C</w:t>
            </w:r>
          </w:p>
        </w:tc>
      </w:tr>
      <w:tr w:rsidR="003070C1" w:rsidRPr="00B57B36" w:rsidTr="001A10E1">
        <w:tc>
          <w:tcPr>
            <w:tcW w:w="1560" w:type="dxa"/>
            <w:tcBorders>
              <w:top w:val="single" w:sz="4" w:space="0" w:color="00B050"/>
              <w:bottom w:val="single" w:sz="4" w:space="0" w:color="00B050"/>
            </w:tcBorders>
            <w:shd w:val="clear" w:color="auto" w:fill="FFFFFF"/>
          </w:tcPr>
          <w:p w:rsidR="003070C1" w:rsidRDefault="003070C1" w:rsidP="00DC0276">
            <w:pPr>
              <w:pStyle w:val="CETBodytext"/>
              <w:spacing w:line="240" w:lineRule="auto"/>
              <w:ind w:right="-1"/>
              <w:jc w:val="center"/>
              <w:rPr>
                <w:rFonts w:cs="Arial"/>
                <w:szCs w:val="18"/>
                <w:lang w:val="en-GB"/>
              </w:rPr>
            </w:pPr>
            <w:r>
              <w:rPr>
                <w:rFonts w:cs="Arial"/>
                <w:szCs w:val="18"/>
                <w:lang w:val="en-GB"/>
              </w:rPr>
              <w:t>HE4</w:t>
            </w:r>
          </w:p>
        </w:tc>
        <w:tc>
          <w:tcPr>
            <w:tcW w:w="2693" w:type="dxa"/>
            <w:tcBorders>
              <w:top w:val="single" w:sz="4" w:space="0" w:color="00B050"/>
              <w:bottom w:val="single" w:sz="4" w:space="0" w:color="00B050"/>
            </w:tcBorders>
            <w:shd w:val="clear" w:color="auto" w:fill="FFFFFF"/>
          </w:tcPr>
          <w:p w:rsidR="003070C1" w:rsidRPr="00B57B36" w:rsidRDefault="00487E57" w:rsidP="00DC0276">
            <w:pPr>
              <w:pStyle w:val="CETBodytext"/>
              <w:spacing w:line="240" w:lineRule="auto"/>
              <w:ind w:right="-1"/>
              <w:jc w:val="center"/>
              <w:rPr>
                <w:rFonts w:cs="Arial"/>
                <w:szCs w:val="18"/>
                <w:lang w:val="en-GB"/>
              </w:rPr>
            </w:pPr>
            <w:r>
              <w:rPr>
                <w:rFonts w:cs="Arial"/>
                <w:szCs w:val="18"/>
                <w:lang w:val="en-GB"/>
              </w:rPr>
              <w:t>1</w:t>
            </w:r>
            <w:r w:rsidRPr="00487E57">
              <w:rPr>
                <w:rFonts w:cs="Arial"/>
                <w:szCs w:val="18"/>
                <w:vertAlign w:val="superscript"/>
                <w:lang w:val="en-GB"/>
              </w:rPr>
              <w:t>st</w:t>
            </w:r>
            <w:r>
              <w:rPr>
                <w:rFonts w:cs="Arial"/>
                <w:szCs w:val="18"/>
                <w:lang w:val="en-GB"/>
              </w:rPr>
              <w:t xml:space="preserve"> condenser</w:t>
            </w:r>
          </w:p>
        </w:tc>
        <w:tc>
          <w:tcPr>
            <w:tcW w:w="4536" w:type="dxa"/>
            <w:tcBorders>
              <w:top w:val="single" w:sz="4" w:space="0" w:color="00B050"/>
              <w:bottom w:val="single" w:sz="4" w:space="0" w:color="00B050"/>
            </w:tcBorders>
            <w:shd w:val="clear" w:color="auto" w:fill="FFFFFF"/>
          </w:tcPr>
          <w:p w:rsidR="003070C1" w:rsidRDefault="00487E57" w:rsidP="00DC0276">
            <w:pPr>
              <w:pStyle w:val="CETBodytext"/>
              <w:spacing w:line="240" w:lineRule="auto"/>
              <w:ind w:right="-1"/>
              <w:jc w:val="center"/>
              <w:rPr>
                <w:rFonts w:cs="Arial"/>
                <w:szCs w:val="18"/>
                <w:lang w:val="en-GB"/>
              </w:rPr>
            </w:pPr>
            <w:r>
              <w:rPr>
                <w:rFonts w:cs="Arial"/>
                <w:szCs w:val="18"/>
              </w:rPr>
              <w:t xml:space="preserve">U = </w:t>
            </w:r>
            <w:r w:rsidR="00133FEE">
              <w:rPr>
                <w:rFonts w:cs="Arial"/>
                <w:szCs w:val="18"/>
              </w:rPr>
              <w:t>1</w:t>
            </w:r>
            <w:r>
              <w:rPr>
                <w:rFonts w:cs="Arial"/>
                <w:szCs w:val="18"/>
              </w:rPr>
              <w:t>50 Btu/h</w:t>
            </w:r>
            <w:r w:rsidR="00133FEE">
              <w:rPr>
                <w:rFonts w:cs="Arial"/>
                <w:szCs w:val="18"/>
              </w:rPr>
              <w:t>.m².°F</w:t>
            </w:r>
            <w:r>
              <w:rPr>
                <w:rFonts w:cs="Arial"/>
                <w:szCs w:val="18"/>
              </w:rPr>
              <w:t xml:space="preserve"> and T= 40°C for gas</w:t>
            </w:r>
            <w:r w:rsidRPr="00AD41D5">
              <w:rPr>
                <w:rFonts w:cs="Arial"/>
                <w:szCs w:val="18"/>
              </w:rPr>
              <w:t xml:space="preserve"> outlet</w:t>
            </w:r>
          </w:p>
        </w:tc>
      </w:tr>
      <w:tr w:rsidR="003070C1" w:rsidRPr="00B57B36" w:rsidTr="001A10E1">
        <w:tc>
          <w:tcPr>
            <w:tcW w:w="1560" w:type="dxa"/>
            <w:tcBorders>
              <w:top w:val="single" w:sz="4" w:space="0" w:color="00B050"/>
            </w:tcBorders>
            <w:shd w:val="clear" w:color="auto" w:fill="FFFFFF"/>
          </w:tcPr>
          <w:p w:rsidR="003070C1" w:rsidRDefault="003070C1" w:rsidP="00DC0276">
            <w:pPr>
              <w:pStyle w:val="CETBodytext"/>
              <w:spacing w:line="240" w:lineRule="auto"/>
              <w:ind w:right="-1"/>
              <w:jc w:val="center"/>
              <w:rPr>
                <w:rFonts w:cs="Arial"/>
                <w:szCs w:val="18"/>
                <w:lang w:val="en-GB"/>
              </w:rPr>
            </w:pPr>
            <w:r>
              <w:rPr>
                <w:rFonts w:cs="Arial"/>
                <w:szCs w:val="18"/>
                <w:lang w:val="en-GB"/>
              </w:rPr>
              <w:t>HE5</w:t>
            </w:r>
          </w:p>
        </w:tc>
        <w:tc>
          <w:tcPr>
            <w:tcW w:w="2693" w:type="dxa"/>
            <w:tcBorders>
              <w:top w:val="single" w:sz="4" w:space="0" w:color="00B050"/>
            </w:tcBorders>
            <w:shd w:val="clear" w:color="auto" w:fill="FFFFFF"/>
          </w:tcPr>
          <w:p w:rsidR="003070C1" w:rsidRPr="00B57B36" w:rsidRDefault="00487E57" w:rsidP="00DC0276">
            <w:pPr>
              <w:pStyle w:val="CETBodytext"/>
              <w:spacing w:line="240" w:lineRule="auto"/>
              <w:ind w:right="-1"/>
              <w:jc w:val="center"/>
              <w:rPr>
                <w:rFonts w:cs="Arial"/>
                <w:szCs w:val="18"/>
                <w:lang w:val="en-GB"/>
              </w:rPr>
            </w:pPr>
            <w:r>
              <w:rPr>
                <w:rFonts w:cs="Arial"/>
                <w:szCs w:val="18"/>
                <w:lang w:val="en-GB"/>
              </w:rPr>
              <w:t>2</w:t>
            </w:r>
            <w:r w:rsidRPr="00487E57">
              <w:rPr>
                <w:rFonts w:cs="Arial"/>
                <w:szCs w:val="18"/>
                <w:vertAlign w:val="superscript"/>
                <w:lang w:val="en-GB"/>
              </w:rPr>
              <w:t>st</w:t>
            </w:r>
            <w:r>
              <w:rPr>
                <w:rFonts w:cs="Arial"/>
                <w:szCs w:val="18"/>
                <w:lang w:val="en-GB"/>
              </w:rPr>
              <w:t xml:space="preserve"> condenser</w:t>
            </w:r>
          </w:p>
        </w:tc>
        <w:tc>
          <w:tcPr>
            <w:tcW w:w="4536" w:type="dxa"/>
            <w:tcBorders>
              <w:top w:val="single" w:sz="4" w:space="0" w:color="00B050"/>
            </w:tcBorders>
            <w:shd w:val="clear" w:color="auto" w:fill="FFFFFF"/>
          </w:tcPr>
          <w:p w:rsidR="003070C1" w:rsidRDefault="00487E57" w:rsidP="00DC0276">
            <w:pPr>
              <w:pStyle w:val="CETBodytext"/>
              <w:spacing w:line="240" w:lineRule="auto"/>
              <w:ind w:right="-1"/>
              <w:jc w:val="center"/>
              <w:rPr>
                <w:rFonts w:cs="Arial"/>
                <w:szCs w:val="18"/>
                <w:lang w:val="en-GB"/>
              </w:rPr>
            </w:pPr>
            <w:r>
              <w:rPr>
                <w:rFonts w:cs="Arial"/>
                <w:szCs w:val="18"/>
              </w:rPr>
              <w:t>U = 50 Btu/h</w:t>
            </w:r>
            <w:r w:rsidR="00133FEE">
              <w:rPr>
                <w:rFonts w:cs="Arial"/>
                <w:szCs w:val="18"/>
              </w:rPr>
              <w:t>.m².°F</w:t>
            </w:r>
            <w:r>
              <w:rPr>
                <w:rFonts w:cs="Arial"/>
                <w:szCs w:val="18"/>
              </w:rPr>
              <w:t xml:space="preserve"> and T= 40°C for gas</w:t>
            </w:r>
            <w:r w:rsidRPr="00AD41D5">
              <w:rPr>
                <w:rFonts w:cs="Arial"/>
                <w:szCs w:val="18"/>
              </w:rPr>
              <w:t xml:space="preserve"> outlet</w:t>
            </w:r>
          </w:p>
        </w:tc>
      </w:tr>
      <w:tr w:rsidR="003070C1" w:rsidRPr="00B57B36" w:rsidTr="001A10E1">
        <w:tc>
          <w:tcPr>
            <w:tcW w:w="1560" w:type="dxa"/>
            <w:tcBorders>
              <w:bottom w:val="single" w:sz="4" w:space="0" w:color="00B050"/>
            </w:tcBorders>
            <w:shd w:val="clear" w:color="auto" w:fill="FFFFFF"/>
          </w:tcPr>
          <w:p w:rsidR="003070C1" w:rsidRDefault="003070C1" w:rsidP="00DC0276">
            <w:pPr>
              <w:pStyle w:val="CETBodytext"/>
              <w:spacing w:line="240" w:lineRule="auto"/>
              <w:ind w:right="-1"/>
              <w:jc w:val="center"/>
              <w:rPr>
                <w:rFonts w:cs="Arial"/>
                <w:szCs w:val="18"/>
                <w:lang w:val="en-GB"/>
              </w:rPr>
            </w:pPr>
            <w:r>
              <w:rPr>
                <w:rFonts w:cs="Arial"/>
                <w:szCs w:val="18"/>
                <w:lang w:val="en-GB"/>
              </w:rPr>
              <w:t>HE6</w:t>
            </w:r>
          </w:p>
        </w:tc>
        <w:tc>
          <w:tcPr>
            <w:tcW w:w="2693" w:type="dxa"/>
            <w:tcBorders>
              <w:bottom w:val="single" w:sz="4" w:space="0" w:color="00B050"/>
            </w:tcBorders>
            <w:shd w:val="clear" w:color="auto" w:fill="FFFFFF"/>
          </w:tcPr>
          <w:p w:rsidR="003070C1" w:rsidRDefault="00487E57" w:rsidP="00DC0276">
            <w:pPr>
              <w:pStyle w:val="CETBodytext"/>
              <w:spacing w:line="240" w:lineRule="auto"/>
              <w:ind w:right="-1"/>
              <w:jc w:val="center"/>
              <w:rPr>
                <w:rFonts w:cs="Arial"/>
                <w:szCs w:val="18"/>
                <w:lang w:val="en-GB"/>
              </w:rPr>
            </w:pPr>
            <w:r>
              <w:rPr>
                <w:rFonts w:cs="Arial"/>
                <w:szCs w:val="18"/>
                <w:lang w:val="en-GB"/>
              </w:rPr>
              <w:t>3</w:t>
            </w:r>
            <w:r w:rsidRPr="00487E57">
              <w:rPr>
                <w:rFonts w:cs="Arial"/>
                <w:szCs w:val="18"/>
                <w:vertAlign w:val="superscript"/>
                <w:lang w:val="en-GB"/>
              </w:rPr>
              <w:t>st</w:t>
            </w:r>
            <w:r>
              <w:rPr>
                <w:rFonts w:cs="Arial"/>
                <w:szCs w:val="18"/>
                <w:lang w:val="en-GB"/>
              </w:rPr>
              <w:t xml:space="preserve"> condenser</w:t>
            </w:r>
          </w:p>
        </w:tc>
        <w:tc>
          <w:tcPr>
            <w:tcW w:w="4536" w:type="dxa"/>
            <w:tcBorders>
              <w:bottom w:val="single" w:sz="4" w:space="0" w:color="00B050"/>
            </w:tcBorders>
            <w:shd w:val="clear" w:color="auto" w:fill="FFFFFF"/>
          </w:tcPr>
          <w:p w:rsidR="003070C1" w:rsidRDefault="00487E57" w:rsidP="00DC0276">
            <w:pPr>
              <w:pStyle w:val="CETBodytext"/>
              <w:spacing w:line="240" w:lineRule="auto"/>
              <w:ind w:right="-1"/>
              <w:jc w:val="center"/>
              <w:rPr>
                <w:rFonts w:cs="Arial"/>
                <w:szCs w:val="18"/>
                <w:lang w:val="en-GB"/>
              </w:rPr>
            </w:pPr>
            <w:r>
              <w:rPr>
                <w:rFonts w:cs="Arial"/>
                <w:szCs w:val="18"/>
              </w:rPr>
              <w:t>U = 50 Btu/h</w:t>
            </w:r>
            <w:r w:rsidR="00133FEE">
              <w:rPr>
                <w:rFonts w:cs="Arial"/>
                <w:szCs w:val="18"/>
              </w:rPr>
              <w:t>.m².°F</w:t>
            </w:r>
            <w:r>
              <w:rPr>
                <w:rFonts w:cs="Arial"/>
                <w:szCs w:val="18"/>
              </w:rPr>
              <w:t xml:space="preserve"> and T= 40°C for gas</w:t>
            </w:r>
            <w:r w:rsidRPr="00AD41D5">
              <w:rPr>
                <w:rFonts w:cs="Arial"/>
                <w:szCs w:val="18"/>
              </w:rPr>
              <w:t xml:space="preserve"> outlet</w:t>
            </w:r>
          </w:p>
        </w:tc>
      </w:tr>
      <w:tr w:rsidR="003070C1" w:rsidRPr="00B57B36" w:rsidTr="001A10E1">
        <w:tc>
          <w:tcPr>
            <w:tcW w:w="1560" w:type="dxa"/>
            <w:tcBorders>
              <w:top w:val="single" w:sz="4" w:space="0" w:color="00B050"/>
              <w:bottom w:val="single" w:sz="4" w:space="0" w:color="00B050"/>
            </w:tcBorders>
            <w:shd w:val="clear" w:color="auto" w:fill="FFFFFF"/>
            <w:vAlign w:val="center"/>
          </w:tcPr>
          <w:p w:rsidR="003070C1" w:rsidRDefault="003070C1" w:rsidP="00DC0276">
            <w:pPr>
              <w:pStyle w:val="CETBodytext"/>
              <w:spacing w:line="240" w:lineRule="auto"/>
              <w:ind w:right="-1"/>
              <w:jc w:val="center"/>
              <w:rPr>
                <w:rFonts w:cs="Arial"/>
                <w:szCs w:val="18"/>
                <w:lang w:val="en-GB"/>
              </w:rPr>
            </w:pPr>
            <w:proofErr w:type="spellStart"/>
            <w:r>
              <w:rPr>
                <w:rFonts w:cs="Arial"/>
                <w:szCs w:val="18"/>
                <w:lang w:val="en-GB"/>
              </w:rPr>
              <w:t>Reboiler</w:t>
            </w:r>
            <w:proofErr w:type="spellEnd"/>
          </w:p>
        </w:tc>
        <w:tc>
          <w:tcPr>
            <w:tcW w:w="2693" w:type="dxa"/>
            <w:tcBorders>
              <w:top w:val="single" w:sz="4" w:space="0" w:color="00B050"/>
              <w:bottom w:val="single" w:sz="4" w:space="0" w:color="00B050"/>
            </w:tcBorders>
            <w:shd w:val="clear" w:color="auto" w:fill="FFFFFF"/>
            <w:vAlign w:val="center"/>
          </w:tcPr>
          <w:p w:rsidR="003070C1" w:rsidRPr="00487E57" w:rsidRDefault="00487E57" w:rsidP="00DC0276">
            <w:pPr>
              <w:pStyle w:val="CETBodytext"/>
              <w:spacing w:line="240" w:lineRule="auto"/>
              <w:ind w:right="-1"/>
              <w:jc w:val="center"/>
              <w:rPr>
                <w:rFonts w:cs="Arial"/>
                <w:szCs w:val="18"/>
              </w:rPr>
            </w:pPr>
            <w:r w:rsidRPr="00487E57">
              <w:rPr>
                <w:rFonts w:cs="Arial"/>
                <w:szCs w:val="18"/>
              </w:rPr>
              <w:t>responsible for providing energy for the release of CO</w:t>
            </w:r>
            <w:r w:rsidRPr="00487E57">
              <w:rPr>
                <w:rFonts w:cs="Arial"/>
                <w:szCs w:val="18"/>
                <w:vertAlign w:val="subscript"/>
              </w:rPr>
              <w:t>2</w:t>
            </w:r>
            <w:r w:rsidRPr="00487E57">
              <w:rPr>
                <w:rFonts w:cs="Arial"/>
                <w:szCs w:val="18"/>
              </w:rPr>
              <w:t xml:space="preserve"> into the gaseous phase</w:t>
            </w:r>
          </w:p>
        </w:tc>
        <w:tc>
          <w:tcPr>
            <w:tcW w:w="4536" w:type="dxa"/>
            <w:tcBorders>
              <w:top w:val="single" w:sz="4" w:space="0" w:color="00B050"/>
              <w:bottom w:val="single" w:sz="4" w:space="0" w:color="00B050"/>
            </w:tcBorders>
            <w:shd w:val="clear" w:color="auto" w:fill="FFFFFF"/>
            <w:vAlign w:val="center"/>
          </w:tcPr>
          <w:p w:rsidR="00487E57" w:rsidRDefault="00487E57" w:rsidP="00DC0276">
            <w:pPr>
              <w:pStyle w:val="CETBodytext"/>
              <w:spacing w:line="240" w:lineRule="auto"/>
              <w:ind w:right="-1"/>
              <w:jc w:val="center"/>
              <w:rPr>
                <w:rFonts w:cs="Arial"/>
                <w:szCs w:val="18"/>
                <w:lang w:val="en-GB"/>
              </w:rPr>
            </w:pPr>
          </w:p>
          <w:p w:rsidR="00487E57" w:rsidRDefault="00133FEE" w:rsidP="00DC0276">
            <w:pPr>
              <w:pStyle w:val="CETBodytext"/>
              <w:spacing w:line="240" w:lineRule="auto"/>
              <w:ind w:right="-1"/>
              <w:jc w:val="center"/>
              <w:rPr>
                <w:rFonts w:cs="Arial"/>
                <w:szCs w:val="18"/>
              </w:rPr>
            </w:pPr>
            <w:r>
              <w:rPr>
                <w:rFonts w:cs="Arial"/>
                <w:szCs w:val="18"/>
                <w:lang w:val="en-GB"/>
              </w:rPr>
              <w:t>U = 200</w:t>
            </w:r>
            <w:r w:rsidR="00487E57">
              <w:rPr>
                <w:rFonts w:cs="Arial"/>
                <w:szCs w:val="18"/>
                <w:lang w:val="en-GB"/>
              </w:rPr>
              <w:t xml:space="preserve"> Btu/h</w:t>
            </w:r>
            <w:r>
              <w:rPr>
                <w:rFonts w:cs="Arial"/>
                <w:szCs w:val="18"/>
                <w:lang w:val="en-GB"/>
              </w:rPr>
              <w:t>.m².°F</w:t>
            </w:r>
          </w:p>
          <w:p w:rsidR="00487E57" w:rsidRDefault="00487E57" w:rsidP="00DC0276">
            <w:pPr>
              <w:pStyle w:val="CETBodytext"/>
              <w:spacing w:line="240" w:lineRule="auto"/>
              <w:ind w:right="-1"/>
              <w:jc w:val="center"/>
              <w:rPr>
                <w:rFonts w:cs="Arial"/>
                <w:szCs w:val="18"/>
                <w:lang w:val="en-GB"/>
              </w:rPr>
            </w:pPr>
            <w:r>
              <w:rPr>
                <w:rFonts w:cs="Arial"/>
                <w:szCs w:val="18"/>
              </w:rPr>
              <w:t>V</w:t>
            </w:r>
            <w:r w:rsidRPr="00487E57">
              <w:rPr>
                <w:rFonts w:cs="Arial"/>
                <w:szCs w:val="18"/>
              </w:rPr>
              <w:t>aporized fraction varying from 0.05 to 0.9</w:t>
            </w:r>
            <w:r w:rsidR="006577C6">
              <w:rPr>
                <w:rFonts w:cs="Arial"/>
                <w:szCs w:val="18"/>
              </w:rPr>
              <w:t>*</w:t>
            </w:r>
            <w:r w:rsidR="00AF1F21">
              <w:rPr>
                <w:rFonts w:cs="Arial"/>
                <w:szCs w:val="18"/>
              </w:rPr>
              <w:t>*</w:t>
            </w:r>
          </w:p>
        </w:tc>
      </w:tr>
      <w:tr w:rsidR="003070C1" w:rsidRPr="00B57B36" w:rsidTr="001A10E1">
        <w:tc>
          <w:tcPr>
            <w:tcW w:w="1560" w:type="dxa"/>
            <w:tcBorders>
              <w:top w:val="single" w:sz="4" w:space="0" w:color="00B050"/>
              <w:bottom w:val="single" w:sz="4" w:space="0" w:color="00B050"/>
            </w:tcBorders>
            <w:shd w:val="clear" w:color="auto" w:fill="FFFFFF"/>
          </w:tcPr>
          <w:p w:rsidR="003070C1" w:rsidRDefault="003070C1" w:rsidP="00DC0276">
            <w:pPr>
              <w:pStyle w:val="CETBodytext"/>
              <w:spacing w:line="240" w:lineRule="auto"/>
              <w:ind w:right="-1"/>
              <w:jc w:val="center"/>
              <w:rPr>
                <w:rFonts w:cs="Arial"/>
                <w:szCs w:val="18"/>
                <w:lang w:val="en-GB"/>
              </w:rPr>
            </w:pPr>
            <w:r>
              <w:rPr>
                <w:rFonts w:cs="Arial"/>
                <w:szCs w:val="18"/>
                <w:lang w:val="en-GB"/>
              </w:rPr>
              <w:t>P1</w:t>
            </w:r>
          </w:p>
        </w:tc>
        <w:tc>
          <w:tcPr>
            <w:tcW w:w="2693" w:type="dxa"/>
            <w:tcBorders>
              <w:top w:val="single" w:sz="4" w:space="0" w:color="00B050"/>
              <w:bottom w:val="single" w:sz="4" w:space="0" w:color="00B050"/>
            </w:tcBorders>
            <w:shd w:val="clear" w:color="auto" w:fill="FFFFFF"/>
          </w:tcPr>
          <w:p w:rsidR="003070C1" w:rsidRPr="00487E57" w:rsidRDefault="00B03C29" w:rsidP="00DC0276">
            <w:pPr>
              <w:pStyle w:val="CETBodytext"/>
              <w:spacing w:line="240" w:lineRule="auto"/>
              <w:ind w:right="-1"/>
              <w:jc w:val="center"/>
              <w:rPr>
                <w:rFonts w:cs="Arial"/>
                <w:szCs w:val="18"/>
              </w:rPr>
            </w:pPr>
            <w:r>
              <w:rPr>
                <w:rFonts w:cs="Arial"/>
                <w:szCs w:val="18"/>
              </w:rPr>
              <w:t>F</w:t>
            </w:r>
            <w:r w:rsidR="00487E57">
              <w:rPr>
                <w:rFonts w:cs="Arial"/>
                <w:szCs w:val="18"/>
              </w:rPr>
              <w:t>eed</w:t>
            </w:r>
            <w:r w:rsidR="00487E57" w:rsidRPr="00487E57">
              <w:rPr>
                <w:rFonts w:cs="Arial"/>
                <w:szCs w:val="18"/>
              </w:rPr>
              <w:t xml:space="preserve"> the desorption column</w:t>
            </w:r>
          </w:p>
        </w:tc>
        <w:tc>
          <w:tcPr>
            <w:tcW w:w="4536" w:type="dxa"/>
            <w:tcBorders>
              <w:top w:val="single" w:sz="4" w:space="0" w:color="00B050"/>
              <w:bottom w:val="single" w:sz="4" w:space="0" w:color="00B050"/>
            </w:tcBorders>
            <w:shd w:val="clear" w:color="auto" w:fill="FFFFFF"/>
          </w:tcPr>
          <w:p w:rsidR="00487E57" w:rsidRPr="00D75547" w:rsidRDefault="00A45BC6" w:rsidP="00DC0276">
            <w:pPr>
              <w:pStyle w:val="CETBodytext"/>
              <w:spacing w:line="240" w:lineRule="auto"/>
              <w:ind w:right="-1"/>
              <w:jc w:val="center"/>
              <w:rPr>
                <w:rFonts w:cs="Arial"/>
                <w:szCs w:val="18"/>
              </w:rPr>
            </w:pPr>
            <w:r>
              <w:rPr>
                <w:rFonts w:cs="Arial"/>
                <w:szCs w:val="18"/>
              </w:rPr>
              <w:t>I</w:t>
            </w:r>
            <w:r w:rsidRPr="00A45BC6">
              <w:rPr>
                <w:rFonts w:cs="Arial"/>
                <w:szCs w:val="18"/>
              </w:rPr>
              <w:t>sentropic efficiency</w:t>
            </w:r>
            <w:r>
              <w:rPr>
                <w:rFonts w:cs="Arial"/>
                <w:szCs w:val="18"/>
              </w:rPr>
              <w:t xml:space="preserve"> = 90%</w:t>
            </w:r>
            <w:r w:rsidR="00DF6676">
              <w:rPr>
                <w:rFonts w:cs="Arial"/>
                <w:szCs w:val="18"/>
              </w:rPr>
              <w:t>***</w:t>
            </w:r>
            <w:r w:rsidR="009D187A">
              <w:rPr>
                <w:rFonts w:cs="Arial"/>
                <w:szCs w:val="18"/>
              </w:rPr>
              <w:t>, P</w:t>
            </w:r>
            <w:r w:rsidR="009D187A" w:rsidRPr="00416CE1">
              <w:rPr>
                <w:rFonts w:cs="Arial"/>
                <w:szCs w:val="18"/>
                <w:vertAlign w:val="subscript"/>
              </w:rPr>
              <w:t>out</w:t>
            </w:r>
            <w:r w:rsidR="006A0797">
              <w:rPr>
                <w:rFonts w:cs="Arial"/>
                <w:szCs w:val="18"/>
              </w:rPr>
              <w:t xml:space="preserve"> = 1.</w:t>
            </w:r>
            <w:r w:rsidR="009D187A">
              <w:rPr>
                <w:rFonts w:cs="Arial"/>
                <w:szCs w:val="18"/>
              </w:rPr>
              <w:t xml:space="preserve">2 </w:t>
            </w:r>
            <w:proofErr w:type="spellStart"/>
            <w:r w:rsidR="009D187A">
              <w:rPr>
                <w:rFonts w:cs="Arial"/>
                <w:szCs w:val="18"/>
              </w:rPr>
              <w:t>bara</w:t>
            </w:r>
            <w:proofErr w:type="spellEnd"/>
          </w:p>
        </w:tc>
      </w:tr>
      <w:tr w:rsidR="003070C1" w:rsidRPr="00B57B36" w:rsidTr="001A10E1">
        <w:tc>
          <w:tcPr>
            <w:tcW w:w="1560" w:type="dxa"/>
            <w:tcBorders>
              <w:top w:val="single" w:sz="4" w:space="0" w:color="00B050"/>
              <w:bottom w:val="single" w:sz="4" w:space="0" w:color="00B050"/>
            </w:tcBorders>
            <w:shd w:val="clear" w:color="auto" w:fill="FFFFFF"/>
          </w:tcPr>
          <w:p w:rsidR="003070C1" w:rsidRDefault="003070C1" w:rsidP="00DC0276">
            <w:pPr>
              <w:pStyle w:val="CETBodytext"/>
              <w:spacing w:line="240" w:lineRule="auto"/>
              <w:ind w:right="-1"/>
              <w:jc w:val="center"/>
              <w:rPr>
                <w:rFonts w:cs="Arial"/>
                <w:szCs w:val="18"/>
                <w:lang w:val="en-GB"/>
              </w:rPr>
            </w:pPr>
            <w:r>
              <w:rPr>
                <w:rFonts w:cs="Arial"/>
                <w:szCs w:val="18"/>
                <w:lang w:val="en-GB"/>
              </w:rPr>
              <w:t>P2</w:t>
            </w:r>
          </w:p>
        </w:tc>
        <w:tc>
          <w:tcPr>
            <w:tcW w:w="2693" w:type="dxa"/>
            <w:tcBorders>
              <w:top w:val="single" w:sz="4" w:space="0" w:color="00B050"/>
              <w:bottom w:val="single" w:sz="4" w:space="0" w:color="00B050"/>
            </w:tcBorders>
            <w:shd w:val="clear" w:color="auto" w:fill="FFFFFF"/>
          </w:tcPr>
          <w:p w:rsidR="003070C1" w:rsidRPr="00B03C29" w:rsidRDefault="00B03C29" w:rsidP="00DC0276">
            <w:pPr>
              <w:pStyle w:val="CETBodytext"/>
              <w:spacing w:line="240" w:lineRule="auto"/>
              <w:ind w:right="-1"/>
              <w:jc w:val="center"/>
              <w:rPr>
                <w:rFonts w:cs="Arial"/>
                <w:szCs w:val="18"/>
                <w:lang w:val="pt-BR"/>
              </w:rPr>
            </w:pPr>
            <w:r>
              <w:rPr>
                <w:rFonts w:cs="Arial"/>
                <w:szCs w:val="18"/>
              </w:rPr>
              <w:t>S</w:t>
            </w:r>
            <w:r w:rsidRPr="00B03C29">
              <w:rPr>
                <w:rFonts w:cs="Arial"/>
                <w:szCs w:val="18"/>
              </w:rPr>
              <w:t>olvent recycling</w:t>
            </w:r>
          </w:p>
        </w:tc>
        <w:tc>
          <w:tcPr>
            <w:tcW w:w="4536" w:type="dxa"/>
            <w:tcBorders>
              <w:top w:val="single" w:sz="4" w:space="0" w:color="00B050"/>
              <w:bottom w:val="single" w:sz="4" w:space="0" w:color="00B050"/>
            </w:tcBorders>
            <w:shd w:val="clear" w:color="auto" w:fill="FFFFFF"/>
          </w:tcPr>
          <w:p w:rsidR="003070C1" w:rsidRPr="00D75547" w:rsidRDefault="008F7EE2" w:rsidP="00DC0276">
            <w:pPr>
              <w:pStyle w:val="CETBodytext"/>
              <w:spacing w:line="240" w:lineRule="auto"/>
              <w:ind w:right="-1"/>
              <w:jc w:val="center"/>
              <w:rPr>
                <w:rFonts w:cs="Arial"/>
                <w:szCs w:val="18"/>
              </w:rPr>
            </w:pPr>
            <w:r>
              <w:rPr>
                <w:rFonts w:cs="Arial"/>
                <w:szCs w:val="18"/>
              </w:rPr>
              <w:t>I</w:t>
            </w:r>
            <w:r w:rsidRPr="00A45BC6">
              <w:rPr>
                <w:rFonts w:cs="Arial"/>
                <w:szCs w:val="18"/>
              </w:rPr>
              <w:t>sentropic efficiency</w:t>
            </w:r>
            <w:r w:rsidR="00DF6676">
              <w:rPr>
                <w:rFonts w:cs="Arial"/>
                <w:szCs w:val="18"/>
              </w:rPr>
              <w:t xml:space="preserve"> = 90%***</w:t>
            </w:r>
            <w:r w:rsidR="009D187A">
              <w:rPr>
                <w:rFonts w:cs="Arial"/>
                <w:szCs w:val="18"/>
              </w:rPr>
              <w:t>, P</w:t>
            </w:r>
            <w:r w:rsidR="009D187A" w:rsidRPr="00416CE1">
              <w:rPr>
                <w:rFonts w:cs="Arial"/>
                <w:szCs w:val="18"/>
                <w:vertAlign w:val="subscript"/>
              </w:rPr>
              <w:t>out</w:t>
            </w:r>
            <w:r w:rsidR="009D187A">
              <w:rPr>
                <w:rFonts w:cs="Arial"/>
                <w:szCs w:val="18"/>
              </w:rPr>
              <w:t xml:space="preserve"> = 2 </w:t>
            </w:r>
            <w:proofErr w:type="spellStart"/>
            <w:r w:rsidR="009D187A">
              <w:rPr>
                <w:rFonts w:cs="Arial"/>
                <w:szCs w:val="18"/>
              </w:rPr>
              <w:t>bara</w:t>
            </w:r>
            <w:proofErr w:type="spellEnd"/>
          </w:p>
        </w:tc>
      </w:tr>
      <w:tr w:rsidR="003070C1" w:rsidRPr="00B57B36" w:rsidTr="001A10E1">
        <w:tc>
          <w:tcPr>
            <w:tcW w:w="1560" w:type="dxa"/>
            <w:tcBorders>
              <w:top w:val="single" w:sz="4" w:space="0" w:color="00B050"/>
              <w:bottom w:val="single" w:sz="4" w:space="0" w:color="00B050"/>
            </w:tcBorders>
            <w:shd w:val="clear" w:color="auto" w:fill="FFFFFF"/>
          </w:tcPr>
          <w:p w:rsidR="003070C1" w:rsidRDefault="003070C1" w:rsidP="00DC0276">
            <w:pPr>
              <w:pStyle w:val="CETBodytext"/>
              <w:spacing w:line="240" w:lineRule="auto"/>
              <w:ind w:right="-1"/>
              <w:jc w:val="center"/>
              <w:rPr>
                <w:rFonts w:cs="Arial"/>
                <w:szCs w:val="18"/>
                <w:lang w:val="en-GB"/>
              </w:rPr>
            </w:pPr>
            <w:r>
              <w:rPr>
                <w:rFonts w:cs="Arial"/>
                <w:szCs w:val="18"/>
                <w:lang w:val="en-GB"/>
              </w:rPr>
              <w:t>P3</w:t>
            </w:r>
          </w:p>
        </w:tc>
        <w:tc>
          <w:tcPr>
            <w:tcW w:w="2693" w:type="dxa"/>
            <w:tcBorders>
              <w:top w:val="single" w:sz="4" w:space="0" w:color="00B050"/>
              <w:bottom w:val="single" w:sz="4" w:space="0" w:color="00B050"/>
            </w:tcBorders>
            <w:shd w:val="clear" w:color="auto" w:fill="FFFFFF"/>
          </w:tcPr>
          <w:p w:rsidR="003070C1" w:rsidRPr="00A45BC6" w:rsidRDefault="00B03C29" w:rsidP="00DC0276">
            <w:pPr>
              <w:pStyle w:val="CETBodytext"/>
              <w:spacing w:line="240" w:lineRule="auto"/>
              <w:ind w:right="-1"/>
              <w:jc w:val="center"/>
              <w:rPr>
                <w:rFonts w:cs="Arial"/>
                <w:szCs w:val="18"/>
                <w:lang w:val="pt-BR"/>
              </w:rPr>
            </w:pPr>
            <w:r>
              <w:rPr>
                <w:rFonts w:cs="Arial"/>
                <w:szCs w:val="18"/>
              </w:rPr>
              <w:t>Water</w:t>
            </w:r>
            <w:r w:rsidRPr="00B03C29">
              <w:rPr>
                <w:rFonts w:cs="Arial"/>
                <w:szCs w:val="18"/>
              </w:rPr>
              <w:t xml:space="preserve"> recycling</w:t>
            </w:r>
          </w:p>
        </w:tc>
        <w:tc>
          <w:tcPr>
            <w:tcW w:w="4536" w:type="dxa"/>
            <w:tcBorders>
              <w:top w:val="single" w:sz="4" w:space="0" w:color="00B050"/>
              <w:bottom w:val="single" w:sz="4" w:space="0" w:color="00B050"/>
            </w:tcBorders>
            <w:shd w:val="clear" w:color="auto" w:fill="FFFFFF"/>
          </w:tcPr>
          <w:p w:rsidR="003070C1" w:rsidRPr="00D75547" w:rsidRDefault="008F7EE2" w:rsidP="00DC0276">
            <w:pPr>
              <w:pStyle w:val="CETBodytext"/>
              <w:spacing w:line="240" w:lineRule="auto"/>
              <w:ind w:right="-1"/>
              <w:jc w:val="center"/>
              <w:rPr>
                <w:rFonts w:cs="Arial"/>
                <w:szCs w:val="18"/>
              </w:rPr>
            </w:pPr>
            <w:r>
              <w:rPr>
                <w:rFonts w:cs="Arial"/>
                <w:szCs w:val="18"/>
              </w:rPr>
              <w:t>I</w:t>
            </w:r>
            <w:r w:rsidRPr="00A45BC6">
              <w:rPr>
                <w:rFonts w:cs="Arial"/>
                <w:szCs w:val="18"/>
              </w:rPr>
              <w:t>sentropic efficiency</w:t>
            </w:r>
            <w:r>
              <w:rPr>
                <w:rFonts w:cs="Arial"/>
                <w:szCs w:val="18"/>
              </w:rPr>
              <w:t xml:space="preserve"> = 90%</w:t>
            </w:r>
            <w:r w:rsidR="00DF6676">
              <w:rPr>
                <w:rFonts w:cs="Arial"/>
                <w:szCs w:val="18"/>
              </w:rPr>
              <w:t>***</w:t>
            </w:r>
            <w:r w:rsidR="009D187A">
              <w:rPr>
                <w:rFonts w:cs="Arial"/>
                <w:szCs w:val="18"/>
              </w:rPr>
              <w:t>, P</w:t>
            </w:r>
            <w:r w:rsidR="009D187A" w:rsidRPr="00416CE1">
              <w:rPr>
                <w:rFonts w:cs="Arial"/>
                <w:szCs w:val="18"/>
                <w:vertAlign w:val="subscript"/>
              </w:rPr>
              <w:t>out</w:t>
            </w:r>
            <w:r w:rsidR="006A0797">
              <w:rPr>
                <w:rFonts w:cs="Arial"/>
                <w:szCs w:val="18"/>
              </w:rPr>
              <w:t xml:space="preserve"> = 1.</w:t>
            </w:r>
            <w:r w:rsidR="009D187A">
              <w:rPr>
                <w:rFonts w:cs="Arial"/>
                <w:szCs w:val="18"/>
              </w:rPr>
              <w:t xml:space="preserve">5 </w:t>
            </w:r>
            <w:proofErr w:type="spellStart"/>
            <w:r w:rsidR="009D187A">
              <w:rPr>
                <w:rFonts w:cs="Arial"/>
                <w:szCs w:val="18"/>
              </w:rPr>
              <w:t>bara</w:t>
            </w:r>
            <w:proofErr w:type="spellEnd"/>
          </w:p>
        </w:tc>
      </w:tr>
      <w:tr w:rsidR="003070C1" w:rsidRPr="00B57B36" w:rsidTr="001A10E1">
        <w:tc>
          <w:tcPr>
            <w:tcW w:w="1560" w:type="dxa"/>
            <w:tcBorders>
              <w:top w:val="single" w:sz="4" w:space="0" w:color="00B050"/>
              <w:bottom w:val="single" w:sz="4" w:space="0" w:color="00B050"/>
            </w:tcBorders>
            <w:shd w:val="clear" w:color="auto" w:fill="FFFFFF"/>
          </w:tcPr>
          <w:p w:rsidR="003070C1" w:rsidRDefault="003070C1" w:rsidP="00DC0276">
            <w:pPr>
              <w:pStyle w:val="CETBodytext"/>
              <w:spacing w:line="240" w:lineRule="auto"/>
              <w:ind w:right="-1"/>
              <w:jc w:val="center"/>
              <w:rPr>
                <w:rFonts w:cs="Arial"/>
                <w:szCs w:val="18"/>
                <w:lang w:val="en-GB"/>
              </w:rPr>
            </w:pPr>
            <w:r>
              <w:rPr>
                <w:rFonts w:cs="Arial"/>
                <w:szCs w:val="18"/>
                <w:lang w:val="en-GB"/>
              </w:rPr>
              <w:t>C1</w:t>
            </w:r>
          </w:p>
        </w:tc>
        <w:tc>
          <w:tcPr>
            <w:tcW w:w="2693" w:type="dxa"/>
            <w:tcBorders>
              <w:top w:val="single" w:sz="4" w:space="0" w:color="00B050"/>
              <w:bottom w:val="single" w:sz="4" w:space="0" w:color="00B050"/>
            </w:tcBorders>
            <w:shd w:val="clear" w:color="auto" w:fill="FFFFFF"/>
          </w:tcPr>
          <w:p w:rsidR="003070C1" w:rsidRPr="00A45BC6" w:rsidRDefault="00A45BC6" w:rsidP="00DC0276">
            <w:pPr>
              <w:pStyle w:val="CETBodytext"/>
              <w:spacing w:line="240" w:lineRule="auto"/>
              <w:ind w:right="-1"/>
              <w:jc w:val="center"/>
              <w:rPr>
                <w:rFonts w:cs="Arial"/>
                <w:szCs w:val="18"/>
                <w:lang w:val="pt-BR"/>
              </w:rPr>
            </w:pPr>
            <w:r w:rsidRPr="00A45BC6">
              <w:rPr>
                <w:rFonts w:cs="Arial"/>
                <w:szCs w:val="18"/>
              </w:rPr>
              <w:t>1st stage of compression</w:t>
            </w:r>
          </w:p>
        </w:tc>
        <w:tc>
          <w:tcPr>
            <w:tcW w:w="4536" w:type="dxa"/>
            <w:tcBorders>
              <w:top w:val="single" w:sz="4" w:space="0" w:color="00B050"/>
              <w:bottom w:val="single" w:sz="4" w:space="0" w:color="00B050"/>
            </w:tcBorders>
            <w:shd w:val="clear" w:color="auto" w:fill="FFFFFF"/>
          </w:tcPr>
          <w:p w:rsidR="003070C1" w:rsidRPr="00D75547" w:rsidRDefault="008F7EE2" w:rsidP="00DC0276">
            <w:pPr>
              <w:pStyle w:val="CETBodytext"/>
              <w:spacing w:line="240" w:lineRule="auto"/>
              <w:ind w:right="-1"/>
              <w:jc w:val="center"/>
              <w:rPr>
                <w:rFonts w:cs="Arial"/>
                <w:szCs w:val="18"/>
              </w:rPr>
            </w:pPr>
            <w:r>
              <w:rPr>
                <w:rFonts w:cs="Arial"/>
                <w:szCs w:val="18"/>
              </w:rPr>
              <w:t>I</w:t>
            </w:r>
            <w:r w:rsidRPr="00A45BC6">
              <w:rPr>
                <w:rFonts w:cs="Arial"/>
                <w:szCs w:val="18"/>
              </w:rPr>
              <w:t>sentropic efficiency</w:t>
            </w:r>
            <w:r w:rsidR="00DF6676">
              <w:rPr>
                <w:rFonts w:cs="Arial"/>
                <w:szCs w:val="18"/>
              </w:rPr>
              <w:t xml:space="preserve"> = 75%***</w:t>
            </w:r>
            <w:r w:rsidR="00416CE1">
              <w:rPr>
                <w:rFonts w:cs="Arial"/>
                <w:szCs w:val="18"/>
              </w:rPr>
              <w:t>, P</w:t>
            </w:r>
            <w:r w:rsidR="00416CE1" w:rsidRPr="00416CE1">
              <w:rPr>
                <w:rFonts w:cs="Arial"/>
                <w:szCs w:val="18"/>
                <w:vertAlign w:val="subscript"/>
              </w:rPr>
              <w:t>out</w:t>
            </w:r>
            <w:r w:rsidR="006A0797">
              <w:rPr>
                <w:rFonts w:cs="Arial"/>
                <w:szCs w:val="18"/>
              </w:rPr>
              <w:t xml:space="preserve"> = 1.</w:t>
            </w:r>
            <w:r w:rsidR="00416CE1">
              <w:rPr>
                <w:rFonts w:cs="Arial"/>
                <w:szCs w:val="18"/>
              </w:rPr>
              <w:t xml:space="preserve">87 </w:t>
            </w:r>
            <w:proofErr w:type="spellStart"/>
            <w:r w:rsidR="00416CE1">
              <w:rPr>
                <w:rFonts w:cs="Arial"/>
                <w:szCs w:val="18"/>
              </w:rPr>
              <w:t>bara</w:t>
            </w:r>
            <w:proofErr w:type="spellEnd"/>
          </w:p>
        </w:tc>
      </w:tr>
      <w:tr w:rsidR="003070C1" w:rsidRPr="00B57B36" w:rsidTr="001A10E1">
        <w:tc>
          <w:tcPr>
            <w:tcW w:w="1560" w:type="dxa"/>
            <w:tcBorders>
              <w:top w:val="single" w:sz="4" w:space="0" w:color="00B050"/>
              <w:bottom w:val="single" w:sz="4" w:space="0" w:color="00B050"/>
            </w:tcBorders>
            <w:shd w:val="clear" w:color="auto" w:fill="FFFFFF"/>
          </w:tcPr>
          <w:p w:rsidR="003070C1" w:rsidRDefault="003070C1" w:rsidP="00DC0276">
            <w:pPr>
              <w:pStyle w:val="CETBodytext"/>
              <w:spacing w:line="240" w:lineRule="auto"/>
              <w:ind w:right="-1"/>
              <w:jc w:val="center"/>
              <w:rPr>
                <w:rFonts w:cs="Arial"/>
                <w:szCs w:val="18"/>
                <w:lang w:val="en-GB"/>
              </w:rPr>
            </w:pPr>
            <w:r>
              <w:rPr>
                <w:rFonts w:cs="Arial"/>
                <w:szCs w:val="18"/>
                <w:lang w:val="en-GB"/>
              </w:rPr>
              <w:t>C2</w:t>
            </w:r>
          </w:p>
        </w:tc>
        <w:tc>
          <w:tcPr>
            <w:tcW w:w="2693" w:type="dxa"/>
            <w:tcBorders>
              <w:top w:val="single" w:sz="4" w:space="0" w:color="00B050"/>
              <w:bottom w:val="single" w:sz="4" w:space="0" w:color="00B050"/>
            </w:tcBorders>
            <w:shd w:val="clear" w:color="auto" w:fill="FFFFFF"/>
          </w:tcPr>
          <w:p w:rsidR="003070C1" w:rsidRPr="00A45BC6" w:rsidRDefault="008F7EE2" w:rsidP="00DC0276">
            <w:pPr>
              <w:pStyle w:val="CETBodytext"/>
              <w:spacing w:line="240" w:lineRule="auto"/>
              <w:ind w:right="-1"/>
              <w:jc w:val="center"/>
              <w:rPr>
                <w:rFonts w:cs="Arial"/>
                <w:szCs w:val="18"/>
                <w:lang w:val="pt-BR"/>
              </w:rPr>
            </w:pPr>
            <w:r>
              <w:rPr>
                <w:rFonts w:cs="Arial"/>
                <w:szCs w:val="18"/>
              </w:rPr>
              <w:t>2</w:t>
            </w:r>
            <w:r w:rsidR="00A45BC6" w:rsidRPr="00A45BC6">
              <w:rPr>
                <w:rFonts w:cs="Arial"/>
                <w:szCs w:val="18"/>
              </w:rPr>
              <w:t>st stage of compression</w:t>
            </w:r>
          </w:p>
        </w:tc>
        <w:tc>
          <w:tcPr>
            <w:tcW w:w="4536" w:type="dxa"/>
            <w:tcBorders>
              <w:top w:val="single" w:sz="4" w:space="0" w:color="00B050"/>
              <w:bottom w:val="single" w:sz="4" w:space="0" w:color="00B050"/>
            </w:tcBorders>
            <w:shd w:val="clear" w:color="auto" w:fill="FFFFFF"/>
          </w:tcPr>
          <w:p w:rsidR="003070C1" w:rsidRPr="00D75547" w:rsidRDefault="008F7EE2" w:rsidP="00DC0276">
            <w:pPr>
              <w:pStyle w:val="CETBodytext"/>
              <w:spacing w:line="240" w:lineRule="auto"/>
              <w:ind w:right="-1"/>
              <w:jc w:val="center"/>
              <w:rPr>
                <w:rFonts w:cs="Arial"/>
                <w:szCs w:val="18"/>
              </w:rPr>
            </w:pPr>
            <w:r>
              <w:rPr>
                <w:rFonts w:cs="Arial"/>
                <w:szCs w:val="18"/>
              </w:rPr>
              <w:t>I</w:t>
            </w:r>
            <w:r w:rsidRPr="00A45BC6">
              <w:rPr>
                <w:rFonts w:cs="Arial"/>
                <w:szCs w:val="18"/>
              </w:rPr>
              <w:t>sentropic efficiency</w:t>
            </w:r>
            <w:r w:rsidR="00DF6676">
              <w:rPr>
                <w:rFonts w:cs="Arial"/>
                <w:szCs w:val="18"/>
              </w:rPr>
              <w:t xml:space="preserve"> = 75%***</w:t>
            </w:r>
            <w:r w:rsidR="00416CE1">
              <w:rPr>
                <w:rFonts w:cs="Arial"/>
                <w:szCs w:val="18"/>
              </w:rPr>
              <w:t>, P</w:t>
            </w:r>
            <w:r w:rsidR="00416CE1" w:rsidRPr="00416CE1">
              <w:rPr>
                <w:rFonts w:cs="Arial"/>
                <w:szCs w:val="18"/>
                <w:vertAlign w:val="subscript"/>
              </w:rPr>
              <w:t>out</w:t>
            </w:r>
            <w:r w:rsidR="006A0797">
              <w:rPr>
                <w:rFonts w:cs="Arial"/>
                <w:szCs w:val="18"/>
              </w:rPr>
              <w:t xml:space="preserve"> = 3.</w:t>
            </w:r>
            <w:r w:rsidR="00416CE1">
              <w:rPr>
                <w:rFonts w:cs="Arial"/>
                <w:szCs w:val="18"/>
              </w:rPr>
              <w:t xml:space="preserve">5 </w:t>
            </w:r>
            <w:proofErr w:type="spellStart"/>
            <w:r w:rsidR="00416CE1">
              <w:rPr>
                <w:rFonts w:cs="Arial"/>
                <w:szCs w:val="18"/>
              </w:rPr>
              <w:t>bara</w:t>
            </w:r>
            <w:proofErr w:type="spellEnd"/>
          </w:p>
        </w:tc>
      </w:tr>
      <w:tr w:rsidR="003070C1" w:rsidRPr="00B57B36" w:rsidTr="001A10E1">
        <w:tc>
          <w:tcPr>
            <w:tcW w:w="1560" w:type="dxa"/>
            <w:tcBorders>
              <w:top w:val="single" w:sz="4" w:space="0" w:color="00B050"/>
              <w:bottom w:val="single" w:sz="4" w:space="0" w:color="00B050"/>
            </w:tcBorders>
            <w:shd w:val="clear" w:color="auto" w:fill="FFFFFF"/>
          </w:tcPr>
          <w:p w:rsidR="003070C1" w:rsidRDefault="003070C1" w:rsidP="00DC0276">
            <w:pPr>
              <w:pStyle w:val="CETBodytext"/>
              <w:spacing w:line="240" w:lineRule="auto"/>
              <w:ind w:right="-1"/>
              <w:jc w:val="center"/>
              <w:rPr>
                <w:rFonts w:cs="Arial"/>
                <w:szCs w:val="18"/>
                <w:lang w:val="en-GB"/>
              </w:rPr>
            </w:pPr>
            <w:r>
              <w:rPr>
                <w:rFonts w:cs="Arial"/>
                <w:szCs w:val="18"/>
                <w:lang w:val="en-GB"/>
              </w:rPr>
              <w:t>MEA/DEA</w:t>
            </w:r>
          </w:p>
        </w:tc>
        <w:tc>
          <w:tcPr>
            <w:tcW w:w="2693" w:type="dxa"/>
            <w:tcBorders>
              <w:top w:val="single" w:sz="4" w:space="0" w:color="00B050"/>
              <w:bottom w:val="single" w:sz="4" w:space="0" w:color="00B050"/>
            </w:tcBorders>
            <w:shd w:val="clear" w:color="auto" w:fill="FFFFFF"/>
          </w:tcPr>
          <w:p w:rsidR="003070C1" w:rsidRPr="008F7EE2" w:rsidRDefault="008F7EE2" w:rsidP="00DC0276">
            <w:pPr>
              <w:pStyle w:val="CETBodytext"/>
              <w:spacing w:line="240" w:lineRule="auto"/>
              <w:ind w:right="-1"/>
              <w:jc w:val="center"/>
              <w:rPr>
                <w:rFonts w:cs="Arial"/>
                <w:szCs w:val="18"/>
              </w:rPr>
            </w:pPr>
            <w:r>
              <w:rPr>
                <w:rFonts w:cs="Arial"/>
                <w:szCs w:val="18"/>
              </w:rPr>
              <w:t xml:space="preserve">Amine solvent </w:t>
            </w:r>
          </w:p>
        </w:tc>
        <w:tc>
          <w:tcPr>
            <w:tcW w:w="4536" w:type="dxa"/>
            <w:tcBorders>
              <w:top w:val="single" w:sz="4" w:space="0" w:color="00B050"/>
              <w:bottom w:val="single" w:sz="4" w:space="0" w:color="00B050"/>
            </w:tcBorders>
            <w:shd w:val="clear" w:color="auto" w:fill="FFFFFF"/>
          </w:tcPr>
          <w:p w:rsidR="003070C1" w:rsidRDefault="008F7EE2" w:rsidP="00DC0276">
            <w:pPr>
              <w:pStyle w:val="CETBodytext"/>
              <w:spacing w:line="240" w:lineRule="auto"/>
              <w:ind w:right="-1"/>
              <w:jc w:val="center"/>
              <w:rPr>
                <w:rFonts w:cs="Arial"/>
                <w:szCs w:val="18"/>
                <w:lang w:val="en-GB"/>
              </w:rPr>
            </w:pPr>
            <w:r>
              <w:rPr>
                <w:rFonts w:cs="Arial"/>
                <w:szCs w:val="18"/>
                <w:lang w:val="en-GB"/>
              </w:rPr>
              <w:t xml:space="preserve">Pressure = 2 </w:t>
            </w:r>
            <w:proofErr w:type="spellStart"/>
            <w:r>
              <w:rPr>
                <w:rFonts w:cs="Arial"/>
                <w:szCs w:val="18"/>
                <w:lang w:val="en-GB"/>
              </w:rPr>
              <w:t>bara</w:t>
            </w:r>
            <w:proofErr w:type="spellEnd"/>
            <w:r>
              <w:rPr>
                <w:rFonts w:cs="Arial"/>
                <w:szCs w:val="18"/>
                <w:lang w:val="en-GB"/>
              </w:rPr>
              <w:t>, T = 40°C and %</w:t>
            </w:r>
            <w:proofErr w:type="spellStart"/>
            <w:r>
              <w:rPr>
                <w:rFonts w:cs="Arial"/>
                <w:szCs w:val="18"/>
                <w:lang w:val="en-GB"/>
              </w:rPr>
              <w:t>wt</w:t>
            </w:r>
            <w:proofErr w:type="spellEnd"/>
            <w:r>
              <w:rPr>
                <w:rFonts w:cs="Arial"/>
                <w:szCs w:val="18"/>
                <w:lang w:val="en-GB"/>
              </w:rPr>
              <w:t xml:space="preserve"> = 30%</w:t>
            </w:r>
          </w:p>
        </w:tc>
      </w:tr>
      <w:tr w:rsidR="00A45BC6" w:rsidRPr="00B57B36" w:rsidTr="001A10E1">
        <w:tc>
          <w:tcPr>
            <w:tcW w:w="1560" w:type="dxa"/>
            <w:tcBorders>
              <w:top w:val="single" w:sz="4" w:space="0" w:color="00B050"/>
            </w:tcBorders>
            <w:shd w:val="clear" w:color="auto" w:fill="FFFFFF"/>
          </w:tcPr>
          <w:p w:rsidR="00A45BC6" w:rsidRDefault="00A45BC6" w:rsidP="00DC0276">
            <w:pPr>
              <w:pStyle w:val="CETBodytext"/>
              <w:spacing w:line="240" w:lineRule="auto"/>
              <w:ind w:right="-1"/>
              <w:jc w:val="center"/>
              <w:rPr>
                <w:rFonts w:cs="Arial"/>
                <w:szCs w:val="18"/>
                <w:lang w:val="en-GB"/>
              </w:rPr>
            </w:pPr>
            <w:r>
              <w:rPr>
                <w:rFonts w:cs="Arial"/>
                <w:szCs w:val="18"/>
                <w:lang w:val="en-GB"/>
              </w:rPr>
              <w:t>Utilities</w:t>
            </w:r>
          </w:p>
        </w:tc>
        <w:tc>
          <w:tcPr>
            <w:tcW w:w="2693" w:type="dxa"/>
            <w:tcBorders>
              <w:top w:val="single" w:sz="4" w:space="0" w:color="00B050"/>
            </w:tcBorders>
            <w:shd w:val="clear" w:color="auto" w:fill="FFFFFF"/>
          </w:tcPr>
          <w:p w:rsidR="00A45BC6" w:rsidRDefault="00A45BC6" w:rsidP="00DC0276">
            <w:pPr>
              <w:pStyle w:val="CETBodytext"/>
              <w:spacing w:line="240" w:lineRule="auto"/>
              <w:ind w:right="-1"/>
              <w:jc w:val="center"/>
              <w:rPr>
                <w:rFonts w:cs="Arial"/>
                <w:szCs w:val="18"/>
                <w:lang w:val="en-GB"/>
              </w:rPr>
            </w:pPr>
            <w:r>
              <w:rPr>
                <w:rFonts w:cs="Arial"/>
                <w:szCs w:val="18"/>
                <w:lang w:val="en-GB"/>
              </w:rPr>
              <w:t xml:space="preserve">Water, electric energy and </w:t>
            </w:r>
            <w:proofErr w:type="spellStart"/>
            <w:r>
              <w:rPr>
                <w:rFonts w:cs="Arial"/>
                <w:szCs w:val="18"/>
                <w:lang w:val="en-GB"/>
              </w:rPr>
              <w:t>vapor</w:t>
            </w:r>
            <w:proofErr w:type="spellEnd"/>
          </w:p>
        </w:tc>
        <w:tc>
          <w:tcPr>
            <w:tcW w:w="4536" w:type="dxa"/>
            <w:tcBorders>
              <w:top w:val="single" w:sz="4" w:space="0" w:color="00B050"/>
            </w:tcBorders>
            <w:shd w:val="clear" w:color="auto" w:fill="FFFFFF"/>
          </w:tcPr>
          <w:p w:rsidR="00A45BC6" w:rsidRDefault="006577C6" w:rsidP="00DC0276">
            <w:pPr>
              <w:pStyle w:val="CETBodytext"/>
              <w:spacing w:line="240" w:lineRule="auto"/>
              <w:ind w:right="-1"/>
              <w:jc w:val="center"/>
              <w:rPr>
                <w:rFonts w:cs="Arial"/>
                <w:szCs w:val="18"/>
                <w:lang w:val="en-GB"/>
              </w:rPr>
            </w:pPr>
            <w:proofErr w:type="spellStart"/>
            <w:r>
              <w:rPr>
                <w:rFonts w:cs="Arial"/>
                <w:szCs w:val="18"/>
                <w:lang w:val="en-GB"/>
              </w:rPr>
              <w:t>T</w:t>
            </w:r>
            <w:r w:rsidRPr="00DE7612">
              <w:rPr>
                <w:rFonts w:cs="Arial"/>
                <w:szCs w:val="18"/>
                <w:vertAlign w:val="subscript"/>
                <w:lang w:val="en-GB"/>
              </w:rPr>
              <w:t>water</w:t>
            </w:r>
            <w:proofErr w:type="spellEnd"/>
            <w:r>
              <w:rPr>
                <w:rFonts w:cs="Arial"/>
                <w:szCs w:val="18"/>
                <w:lang w:val="en-GB"/>
              </w:rPr>
              <w:t xml:space="preserve"> = 30 to </w:t>
            </w:r>
            <w:r w:rsidR="00DE7612">
              <w:rPr>
                <w:rFonts w:cs="Arial"/>
                <w:szCs w:val="18"/>
                <w:lang w:val="en-GB"/>
              </w:rPr>
              <w:t>38°C,P</w:t>
            </w:r>
            <w:r w:rsidR="00DE7612" w:rsidRPr="00DE7612">
              <w:rPr>
                <w:rFonts w:cs="Arial"/>
                <w:szCs w:val="18"/>
                <w:vertAlign w:val="subscript"/>
                <w:lang w:val="en-GB"/>
              </w:rPr>
              <w:t>vapor</w:t>
            </w:r>
            <w:r w:rsidR="00DE7612">
              <w:rPr>
                <w:rFonts w:cs="Arial"/>
                <w:szCs w:val="18"/>
                <w:lang w:val="en-GB"/>
              </w:rPr>
              <w:t xml:space="preserve"> = 10barg and </w:t>
            </w:r>
            <w:proofErr w:type="spellStart"/>
            <w:r w:rsidR="00DE7612">
              <w:rPr>
                <w:rFonts w:cs="Arial"/>
                <w:szCs w:val="18"/>
                <w:lang w:val="en-GB"/>
              </w:rPr>
              <w:t>T</w:t>
            </w:r>
            <w:r w:rsidR="00DE7612" w:rsidRPr="00DE7612">
              <w:rPr>
                <w:rFonts w:cs="Arial"/>
                <w:szCs w:val="18"/>
                <w:vertAlign w:val="subscript"/>
                <w:lang w:val="en-GB"/>
              </w:rPr>
              <w:t>vapor</w:t>
            </w:r>
            <w:proofErr w:type="spellEnd"/>
            <w:r w:rsidR="00DE7612">
              <w:rPr>
                <w:rFonts w:cs="Arial"/>
                <w:szCs w:val="18"/>
                <w:lang w:val="en-GB"/>
              </w:rPr>
              <w:t xml:space="preserve"> = 178°C</w:t>
            </w:r>
          </w:p>
        </w:tc>
      </w:tr>
    </w:tbl>
    <w:p w:rsidR="00E52EAB" w:rsidRPr="00E52EAB" w:rsidRDefault="00E52EAB" w:rsidP="00E52EAB">
      <w:pPr>
        <w:pStyle w:val="CETBodytext"/>
      </w:pPr>
      <w:r w:rsidRPr="00E52EAB">
        <w:t xml:space="preserve">* U values were taken from </w:t>
      </w:r>
      <w:proofErr w:type="spellStart"/>
      <w:r w:rsidRPr="00E52EAB">
        <w:t>Towler</w:t>
      </w:r>
      <w:proofErr w:type="spellEnd"/>
      <w:r w:rsidRPr="00E52EAB">
        <w:t xml:space="preserve"> and </w:t>
      </w:r>
      <w:proofErr w:type="spellStart"/>
      <w:r w:rsidRPr="00E52EAB">
        <w:t>Sinnott</w:t>
      </w:r>
      <w:proofErr w:type="spellEnd"/>
      <w:r w:rsidRPr="00E52EAB">
        <w:t xml:space="preserve"> (2021).</w:t>
      </w:r>
    </w:p>
    <w:p w:rsidR="00E52EAB" w:rsidRPr="00E52EAB" w:rsidRDefault="00E52EAB" w:rsidP="00E52EAB">
      <w:pPr>
        <w:pStyle w:val="CETBodytext"/>
      </w:pPr>
      <w:r w:rsidRPr="00E52EAB">
        <w:t>**Care was taken regarding the degradation temperature of the solvents.</w:t>
      </w:r>
    </w:p>
    <w:p w:rsidR="00DA542C" w:rsidRPr="00C03B0C" w:rsidRDefault="00E52EAB" w:rsidP="0062126F">
      <w:pPr>
        <w:pStyle w:val="CETBodytext"/>
      </w:pPr>
      <w:r w:rsidRPr="00E52EAB">
        <w:t>*** Pump efficiencies were taken from Cooper et al. (2008), and compressor efficiencies from Green and Perry (2008).</w:t>
      </w:r>
    </w:p>
    <w:p w:rsidR="00D320F5" w:rsidRPr="00D320F5" w:rsidRDefault="00DA542C" w:rsidP="00D320F5">
      <w:pPr>
        <w:pStyle w:val="CETBodytext"/>
      </w:pPr>
      <w:r w:rsidRPr="00DA542C">
        <w:t>Finally, to minimize steam consumption while maintaining the same CO</w:t>
      </w:r>
      <w:r w:rsidRPr="00DA542C">
        <w:rPr>
          <w:rFonts w:ascii="Cambria Math" w:hAnsi="Cambria Math" w:cs="Cambria Math"/>
        </w:rPr>
        <w:t>₂</w:t>
      </w:r>
      <w:r w:rsidRPr="00DA542C">
        <w:t xml:space="preserve"> capture efficiency and product purity, different liquid-to-gas mass flow ratios (L/G) were evaluated and an optimal value was identified. In addition, the effect of </w:t>
      </w:r>
      <w:proofErr w:type="spellStart"/>
      <w:r w:rsidRPr="00DA542C">
        <w:t>reboiler</w:t>
      </w:r>
      <w:proofErr w:type="spellEnd"/>
      <w:r w:rsidRPr="00DA542C">
        <w:t xml:space="preserve"> steam demand on the process indirect CO</w:t>
      </w:r>
      <w:r w:rsidRPr="00DA542C">
        <w:rPr>
          <w:rFonts w:ascii="Cambria Math" w:hAnsi="Cambria Math" w:cs="Cambria Math"/>
        </w:rPr>
        <w:t>₂</w:t>
      </w:r>
      <w:r w:rsidRPr="00DA542C">
        <w:t xml:space="preserve"> emissions was assessed using Aspen Plus® Carbon Tracking, which quantifies the CO</w:t>
      </w:r>
      <w:r w:rsidRPr="00DA542C">
        <w:rPr>
          <w:rFonts w:ascii="Cambria Math" w:hAnsi="Cambria Math" w:cs="Cambria Math"/>
        </w:rPr>
        <w:t>₂</w:t>
      </w:r>
      <w:r w:rsidRPr="00DA542C">
        <w:t xml:space="preserve">-equivalent associated with steam generation. This approach enabled identification of the operating condition that simultaneously minimizes energy use and emissions linked to solvent </w:t>
      </w:r>
      <w:r w:rsidR="00B57D0C" w:rsidRPr="00DA542C">
        <w:t>regeneration.</w:t>
      </w:r>
      <w:r w:rsidR="00B57D0C" w:rsidRPr="00163DC6">
        <w:t xml:space="preserve"> Furthermore</w:t>
      </w:r>
      <w:r w:rsidR="00163DC6" w:rsidRPr="00163DC6">
        <w:t>, this makes i</w:t>
      </w:r>
      <w:r w:rsidR="00163DC6">
        <w:t>t possible to verify the global</w:t>
      </w:r>
      <w:r w:rsidR="00163DC6" w:rsidRPr="00163DC6">
        <w:t xml:space="preserve"> capture of the process</w:t>
      </w:r>
      <w:r w:rsidR="00163DC6">
        <w:t>. The implemented simulation</w:t>
      </w:r>
      <w:r w:rsidR="00D320F5" w:rsidRPr="00D320F5">
        <w:t xml:space="preserve"> is shown in Figure 1</w:t>
      </w:r>
      <w:r w:rsidR="00D320F5">
        <w:t>.</w:t>
      </w:r>
    </w:p>
    <w:p w:rsidR="00DA542C" w:rsidRPr="00DA542C" w:rsidRDefault="00DA542C" w:rsidP="0062126F">
      <w:pPr>
        <w:pStyle w:val="CETBodytext"/>
      </w:pPr>
    </w:p>
    <w:p w:rsidR="00597774" w:rsidRDefault="00543C14" w:rsidP="00D320F5">
      <w:pPr>
        <w:pStyle w:val="CETBodytext"/>
        <w:jc w:val="left"/>
        <w:rPr>
          <w:lang w:val="pt-BR"/>
        </w:rPr>
      </w:pPr>
      <w:r>
        <w:rPr>
          <w:noProof/>
        </w:rPr>
        <w:drawing>
          <wp:inline distT="0" distB="0" distL="0" distR="0">
            <wp:extent cx="3942272" cy="1483681"/>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quema.PNG"/>
                    <pic:cNvPicPr/>
                  </pic:nvPicPr>
                  <pic:blipFill>
                    <a:blip r:embed="rId11">
                      <a:extLst>
                        <a:ext uri="{28A0092B-C50C-407E-A947-70E740481C1C}">
                          <a14:useLocalDpi xmlns:a14="http://schemas.microsoft.com/office/drawing/2010/main" val="0"/>
                        </a:ext>
                      </a:extLst>
                    </a:blip>
                    <a:stretch>
                      <a:fillRect/>
                    </a:stretch>
                  </pic:blipFill>
                  <pic:spPr>
                    <a:xfrm>
                      <a:off x="0" y="0"/>
                      <a:ext cx="4027510" cy="1515761"/>
                    </a:xfrm>
                    <a:prstGeom prst="rect">
                      <a:avLst/>
                    </a:prstGeom>
                  </pic:spPr>
                </pic:pic>
              </a:graphicData>
            </a:graphic>
          </wp:inline>
        </w:drawing>
      </w:r>
    </w:p>
    <w:p w:rsidR="00BE544B" w:rsidRPr="00DC0276" w:rsidRDefault="00621691" w:rsidP="00597774">
      <w:pPr>
        <w:pStyle w:val="CETBodytext"/>
        <w:rPr>
          <w:i/>
        </w:rPr>
      </w:pPr>
      <w:r w:rsidRPr="00B55275">
        <w:rPr>
          <w:rStyle w:val="CETCaptionCarattere"/>
        </w:rPr>
        <w:t xml:space="preserve">Figure </w:t>
      </w:r>
      <w:r w:rsidR="00B55275" w:rsidRPr="00B55275">
        <w:rPr>
          <w:rStyle w:val="CETCaptionCarattere"/>
        </w:rPr>
        <w:t>1</w:t>
      </w:r>
      <w:r w:rsidRPr="00B55275">
        <w:rPr>
          <w:rStyle w:val="CETCaptionCarattere"/>
        </w:rPr>
        <w:t>:</w:t>
      </w:r>
      <w:r w:rsidR="00383AA9">
        <w:rPr>
          <w:rStyle w:val="CETCaptionCarattere"/>
        </w:rPr>
        <w:t xml:space="preserve"> </w:t>
      </w:r>
      <w:r>
        <w:rPr>
          <w:i/>
        </w:rPr>
        <w:t>R</w:t>
      </w:r>
      <w:r w:rsidRPr="00621691">
        <w:rPr>
          <w:i/>
        </w:rPr>
        <w:t>epresentation of the simulation performed in Aspen Plus</w:t>
      </w:r>
      <w:r w:rsidR="00A300BA">
        <w:rPr>
          <w:i/>
        </w:rPr>
        <w:t xml:space="preserve"> using MEA</w:t>
      </w:r>
      <w:r>
        <w:rPr>
          <w:i/>
        </w:rPr>
        <w:t>.</w:t>
      </w:r>
    </w:p>
    <w:p w:rsidR="00453E24" w:rsidRPr="00642A09" w:rsidRDefault="00737EDB" w:rsidP="00642A09">
      <w:pPr>
        <w:pStyle w:val="CETheadingx"/>
        <w:numPr>
          <w:ilvl w:val="2"/>
          <w:numId w:val="25"/>
        </w:numPr>
        <w:rPr>
          <w:lang w:val="pt-BR"/>
        </w:rPr>
      </w:pPr>
      <w:proofErr w:type="spellStart"/>
      <w:r w:rsidRPr="00642A09">
        <w:rPr>
          <w:lang w:val="pt-BR"/>
        </w:rPr>
        <w:lastRenderedPageBreak/>
        <w:t>Economic</w:t>
      </w:r>
      <w:proofErr w:type="spellEnd"/>
      <w:r w:rsidR="00957FF8">
        <w:rPr>
          <w:lang w:val="pt-BR"/>
        </w:rPr>
        <w:t xml:space="preserve"> </w:t>
      </w:r>
      <w:proofErr w:type="spellStart"/>
      <w:r w:rsidR="00957FF8">
        <w:rPr>
          <w:lang w:val="pt-BR"/>
        </w:rPr>
        <w:t>A</w:t>
      </w:r>
      <w:r w:rsidRPr="00642A09">
        <w:rPr>
          <w:lang w:val="pt-BR"/>
        </w:rPr>
        <w:t>nalysis</w:t>
      </w:r>
      <w:proofErr w:type="spellEnd"/>
    </w:p>
    <w:p w:rsidR="00FE2B7B" w:rsidRDefault="0061202C" w:rsidP="007F3ED4">
      <w:pPr>
        <w:pStyle w:val="CETBodytext"/>
      </w:pPr>
      <w:r>
        <w:t>Preliminary cost estimates can be obtained using literature correlations, typically within about 30% accuracy (</w:t>
      </w:r>
      <w:proofErr w:type="spellStart"/>
      <w:r>
        <w:t>Towler</w:t>
      </w:r>
      <w:proofErr w:type="spellEnd"/>
      <w:r>
        <w:t xml:space="preserve"> and </w:t>
      </w:r>
      <w:proofErr w:type="spellStart"/>
      <w:r>
        <w:t>Sinnott</w:t>
      </w:r>
      <w:proofErr w:type="spellEnd"/>
      <w:r>
        <w:t>, 2021). In this work, CAPEX was estimated as the sum of purchased equipment costs multiplied by the Lang factor (FL) and a location factor (</w:t>
      </w:r>
      <w:proofErr w:type="spellStart"/>
      <w:r>
        <w:t>FLo</w:t>
      </w:r>
      <w:proofErr w:type="spellEnd"/>
      <w:r>
        <w:t>) of 1.14 for Brazil (</w:t>
      </w:r>
      <w:proofErr w:type="spellStart"/>
      <w:r>
        <w:t>Towler</w:t>
      </w:r>
      <w:proofErr w:type="spellEnd"/>
      <w:r>
        <w:t xml:space="preserve"> and </w:t>
      </w:r>
      <w:proofErr w:type="spellStart"/>
      <w:r>
        <w:t>Sinnott</w:t>
      </w:r>
      <w:proofErr w:type="spellEnd"/>
      <w:r>
        <w:t xml:space="preserve">, 2021). Costs were also escalated using the Chemical Engineering Plant Cost Index (CEPCI), from a reference value of 525 (2007) to 797.1 (2025) (Chemical Engineering, 2025), as shown in Equation </w:t>
      </w:r>
      <w:r w:rsidR="006E0250">
        <w:t>(</w:t>
      </w:r>
      <w:r>
        <w:t>1</w:t>
      </w:r>
      <w:r w:rsidR="006E0250">
        <w:t>)</w:t>
      </w:r>
      <w:r>
        <w:t>.</w:t>
      </w:r>
    </w:p>
    <w:p w:rsidR="00AF10FC" w:rsidRPr="0061202C" w:rsidRDefault="00AF10FC" w:rsidP="007F3ED4">
      <w:pPr>
        <w:pStyle w:val="CETBodytext"/>
      </w:pPr>
    </w:p>
    <w:tbl>
      <w:tblPr>
        <w:tblW w:w="5000" w:type="pct"/>
        <w:tblLook w:val="04A0" w:firstRow="1" w:lastRow="0" w:firstColumn="1" w:lastColumn="0" w:noHBand="0" w:noVBand="1"/>
      </w:tblPr>
      <w:tblGrid>
        <w:gridCol w:w="8182"/>
        <w:gridCol w:w="821"/>
      </w:tblGrid>
      <w:tr w:rsidR="00E759A0" w:rsidRPr="00B57B36" w:rsidTr="00DC0276">
        <w:tc>
          <w:tcPr>
            <w:tcW w:w="8182" w:type="dxa"/>
            <w:vAlign w:val="center"/>
          </w:tcPr>
          <w:p w:rsidR="00E759A0" w:rsidRPr="00E759A0" w:rsidRDefault="00E759A0" w:rsidP="00E759A0">
            <w:pPr>
              <w:pStyle w:val="CETEquation"/>
            </w:pPr>
            <m:oMathPara>
              <m:oMathParaPr>
                <m:jc m:val="left"/>
              </m:oMathParaPr>
              <m:oMath>
                <m:r>
                  <w:rPr>
                    <w:rFonts w:ascii="Cambria Math" w:hAnsi="Cambria Math"/>
                  </w:rPr>
                  <m:t>CAPEX=</m:t>
                </m:r>
                <m:d>
                  <m:dPr>
                    <m:ctrlPr>
                      <w:rPr>
                        <w:rFonts w:ascii="Cambria Math" w:hAnsi="Cambria Math"/>
                        <w:i/>
                      </w:rPr>
                    </m:ctrlPr>
                  </m:dPr>
                  <m:e>
                    <m:nary>
                      <m:naryPr>
                        <m:chr m:val="∑"/>
                        <m:limLoc m:val="undOvr"/>
                        <m:subHide m:val="1"/>
                        <m:supHide m:val="1"/>
                        <m:ctrlPr>
                          <w:rPr>
                            <w:rFonts w:ascii="Cambria Math" w:hAnsi="Cambria Math"/>
                            <w:i/>
                          </w:rPr>
                        </m:ctrlPr>
                      </m:naryPr>
                      <m:sub/>
                      <m:sup/>
                      <m:e>
                        <m:r>
                          <w:rPr>
                            <w:rFonts w:ascii="Cambria Math" w:hAnsi="Cambria Math"/>
                          </w:rPr>
                          <m:t>Ce</m:t>
                        </m:r>
                      </m:e>
                    </m:nary>
                  </m:e>
                </m:d>
                <m:r>
                  <w:rPr>
                    <w:rFonts w:ascii="Cambria Math" w:hAnsi="Cambria Math"/>
                  </w:rPr>
                  <m:t xml:space="preserve">*FL*FLo* </m:t>
                </m:r>
                <m:f>
                  <m:fPr>
                    <m:ctrlPr>
                      <w:rPr>
                        <w:rFonts w:ascii="Cambria Math" w:hAnsi="Cambria Math"/>
                        <w:i/>
                      </w:rPr>
                    </m:ctrlPr>
                  </m:fPr>
                  <m:num>
                    <m:sSub>
                      <m:sSubPr>
                        <m:ctrlPr>
                          <w:rPr>
                            <w:rFonts w:ascii="Cambria Math" w:hAnsi="Cambria Math"/>
                            <w:i/>
                          </w:rPr>
                        </m:ctrlPr>
                      </m:sSubPr>
                      <m:e>
                        <m:r>
                          <w:rPr>
                            <w:rFonts w:ascii="Cambria Math" w:hAnsi="Cambria Math"/>
                          </w:rPr>
                          <m:t>CEPCI</m:t>
                        </m:r>
                      </m:e>
                      <m:sub>
                        <m:r>
                          <w:rPr>
                            <w:rFonts w:ascii="Cambria Math" w:hAnsi="Cambria Math"/>
                          </w:rPr>
                          <m:t>present</m:t>
                        </m:r>
                      </m:sub>
                    </m:sSub>
                  </m:num>
                  <m:den>
                    <m:sSub>
                      <m:sSubPr>
                        <m:ctrlPr>
                          <w:rPr>
                            <w:rFonts w:ascii="Cambria Math" w:hAnsi="Cambria Math"/>
                            <w:i/>
                          </w:rPr>
                        </m:ctrlPr>
                      </m:sSubPr>
                      <m:e>
                        <m:r>
                          <w:rPr>
                            <w:rFonts w:ascii="Cambria Math" w:hAnsi="Cambria Math"/>
                          </w:rPr>
                          <m:t>CEPCI</m:t>
                        </m:r>
                      </m:e>
                      <m:sub>
                        <m:r>
                          <w:rPr>
                            <w:rFonts w:ascii="Cambria Math" w:hAnsi="Cambria Math"/>
                          </w:rPr>
                          <m:t>ref</m:t>
                        </m:r>
                      </m:sub>
                    </m:sSub>
                  </m:den>
                </m:f>
              </m:oMath>
            </m:oMathPara>
          </w:p>
        </w:tc>
        <w:tc>
          <w:tcPr>
            <w:tcW w:w="821" w:type="dxa"/>
            <w:vAlign w:val="center"/>
          </w:tcPr>
          <w:p w:rsidR="00E759A0" w:rsidRDefault="00B55275" w:rsidP="00E759A0">
            <w:pPr>
              <w:pStyle w:val="CETEquation"/>
              <w:jc w:val="right"/>
            </w:pPr>
            <w:r>
              <w:t>(1</w:t>
            </w:r>
            <w:r w:rsidR="00E759A0" w:rsidRPr="00B57B36">
              <w:t>)</w:t>
            </w:r>
          </w:p>
          <w:p w:rsidR="001B5DF9" w:rsidRPr="001B5DF9" w:rsidRDefault="001B5DF9" w:rsidP="001B5DF9">
            <w:pPr>
              <w:pStyle w:val="CETBodytext"/>
              <w:rPr>
                <w:lang w:val="en-GB"/>
              </w:rPr>
            </w:pPr>
          </w:p>
        </w:tc>
      </w:tr>
    </w:tbl>
    <w:p w:rsidR="0061202C" w:rsidRPr="0061202C" w:rsidRDefault="0061202C" w:rsidP="0061202C">
      <w:pPr>
        <w:pStyle w:val="CETBodytext"/>
      </w:pPr>
      <w:r w:rsidRPr="0061202C">
        <w:t>For comparison against operating costs, CAPEX was annualized, assuming a 10% discount rate and a 20-year plant lifetime (</w:t>
      </w:r>
      <w:proofErr w:type="spellStart"/>
      <w:r w:rsidRPr="0061202C">
        <w:t>Towler</w:t>
      </w:r>
      <w:proofErr w:type="spellEnd"/>
      <w:r w:rsidRPr="0061202C">
        <w:t xml:space="preserve"> and </w:t>
      </w:r>
      <w:proofErr w:type="spellStart"/>
      <w:r w:rsidRPr="0061202C">
        <w:t>Sinnott</w:t>
      </w:r>
      <w:proofErr w:type="spellEnd"/>
      <w:r w:rsidRPr="0061202C">
        <w:t xml:space="preserve">, 2021). </w:t>
      </w:r>
    </w:p>
    <w:p w:rsidR="0061202C" w:rsidRPr="0061202C" w:rsidRDefault="0061202C" w:rsidP="0061202C">
      <w:pPr>
        <w:pStyle w:val="CETBodytext"/>
      </w:pPr>
      <w:r w:rsidRPr="0061202C">
        <w:t>OPEX was calculated assuming 350 operating days per year. Utility prices were set to US$ 0.067/t for water and US$ 0.12/kWh for electricity, representat</w:t>
      </w:r>
      <w:r w:rsidR="00EE5437">
        <w:t>ive values for Brazil (ANA</w:t>
      </w:r>
      <w:bookmarkStart w:id="1" w:name="_GoBack"/>
      <w:bookmarkEnd w:id="1"/>
      <w:r w:rsidR="00EE5437">
        <w:t>, 2026; ANEEL, 2026</w:t>
      </w:r>
      <w:r w:rsidRPr="0061202C">
        <w:t>), and US$ 29.59/t for steam (</w:t>
      </w:r>
      <w:proofErr w:type="spellStart"/>
      <w:r w:rsidRPr="0061202C">
        <w:t>Turton</w:t>
      </w:r>
      <w:proofErr w:type="spellEnd"/>
      <w:r w:rsidRPr="0061202C">
        <w:t xml:space="preserve"> et al., 2008). For reference, steam from biomass boilers typically ranges from US$ 20 to 30/t (Pérez-</w:t>
      </w:r>
      <w:proofErr w:type="spellStart"/>
      <w:r w:rsidRPr="0061202C">
        <w:t>Uresti</w:t>
      </w:r>
      <w:proofErr w:type="spellEnd"/>
      <w:r w:rsidRPr="0061202C">
        <w:t>, 2019). Solvent costs were assumed as US$ 1015/t for MEA and</w:t>
      </w:r>
      <w:r w:rsidR="00E335E3">
        <w:t xml:space="preserve"> US$ 1030/t for DEA (</w:t>
      </w:r>
      <w:proofErr w:type="spellStart"/>
      <w:r w:rsidR="00E335E3">
        <w:t>Accio</w:t>
      </w:r>
      <w:proofErr w:type="spellEnd"/>
      <w:r w:rsidR="00E335E3">
        <w:t>, 2026</w:t>
      </w:r>
      <w:r w:rsidRPr="0061202C">
        <w:t>).</w:t>
      </w:r>
    </w:p>
    <w:p w:rsidR="0070576F" w:rsidRDefault="0061202C" w:rsidP="00D53EBC">
      <w:pPr>
        <w:pStyle w:val="CETBodytext"/>
      </w:pPr>
      <w:r w:rsidRPr="0061202C">
        <w:t>Finally, using the estimated CAPEX and OPEX, the specific CO</w:t>
      </w:r>
      <w:r w:rsidRPr="0061202C">
        <w:rPr>
          <w:rFonts w:ascii="Cambria Math" w:hAnsi="Cambria Math" w:cs="Cambria Math"/>
        </w:rPr>
        <w:t>₂</w:t>
      </w:r>
      <w:r w:rsidRPr="0061202C">
        <w:t xml:space="preserve"> capture cost (US$/</w:t>
      </w:r>
      <w:proofErr w:type="spellStart"/>
      <w:r w:rsidRPr="0061202C">
        <w:t>tCO</w:t>
      </w:r>
      <w:proofErr w:type="spellEnd"/>
      <w:r w:rsidRPr="0061202C">
        <w:rPr>
          <w:rFonts w:ascii="Cambria Math" w:hAnsi="Cambria Math" w:cs="Cambria Math"/>
        </w:rPr>
        <w:t>₂</w:t>
      </w:r>
      <w:r w:rsidRPr="0061202C">
        <w:t>) was calculated f</w:t>
      </w:r>
      <w:r w:rsidR="006E0250">
        <w:t>or each solvent according to Equation</w:t>
      </w:r>
      <w:r w:rsidRPr="0061202C">
        <w:t xml:space="preserve"> (2). A sensitivity analysis was also performed to quantify the effect of steam price on capture cost by varying steam cost from US$ 15 to 38/t.</w:t>
      </w:r>
    </w:p>
    <w:p w:rsidR="00AF10FC" w:rsidRPr="000B4D1C" w:rsidRDefault="00AF10FC" w:rsidP="00D53EBC">
      <w:pPr>
        <w:pStyle w:val="CETBodytext"/>
      </w:pPr>
    </w:p>
    <w:tbl>
      <w:tblPr>
        <w:tblW w:w="5000" w:type="pct"/>
        <w:tblLook w:val="04A0" w:firstRow="1" w:lastRow="0" w:firstColumn="1" w:lastColumn="0" w:noHBand="0" w:noVBand="1"/>
      </w:tblPr>
      <w:tblGrid>
        <w:gridCol w:w="8182"/>
        <w:gridCol w:w="821"/>
      </w:tblGrid>
      <w:tr w:rsidR="0070576F" w:rsidRPr="00B57B36" w:rsidTr="00D75547">
        <w:tc>
          <w:tcPr>
            <w:tcW w:w="7986" w:type="dxa"/>
            <w:vAlign w:val="center"/>
          </w:tcPr>
          <w:p w:rsidR="0070576F" w:rsidRPr="00E759A0" w:rsidRDefault="009248DA" w:rsidP="0070576F">
            <w:pPr>
              <w:pStyle w:val="CETEquation"/>
            </w:pPr>
            <m:oMathPara>
              <m:oMathParaPr>
                <m:jc m:val="left"/>
              </m:oMathParaPr>
              <m:oMath>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CO</m:t>
                        </m:r>
                      </m:e>
                      <m:sub>
                        <m:r>
                          <w:rPr>
                            <w:rFonts w:ascii="Cambria Math" w:hAnsi="Cambria Math"/>
                          </w:rPr>
                          <m:t>2</m:t>
                        </m:r>
                      </m:sub>
                    </m:sSub>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CAPEX</m:t>
                        </m:r>
                      </m:e>
                      <m:sub>
                        <m:r>
                          <w:rPr>
                            <w:rFonts w:ascii="Cambria Math" w:hAnsi="Cambria Math"/>
                          </w:rPr>
                          <m:t>annualized</m:t>
                        </m:r>
                      </m:sub>
                    </m:sSub>
                    <m:r>
                      <w:rPr>
                        <w:rFonts w:ascii="Cambria Math" w:hAnsi="Cambria Math"/>
                      </w:rPr>
                      <m:t xml:space="preserve">+OPEX </m:t>
                    </m:r>
                  </m:num>
                  <m:den>
                    <m:r>
                      <w:rPr>
                        <w:rFonts w:ascii="Cambria Math" w:hAnsi="Cambria Math"/>
                      </w:rPr>
                      <m:t xml:space="preserve">Total </m:t>
                    </m:r>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 xml:space="preserve"> captured in a year</m:t>
                    </m:r>
                  </m:den>
                </m:f>
              </m:oMath>
            </m:oMathPara>
          </w:p>
        </w:tc>
        <w:tc>
          <w:tcPr>
            <w:tcW w:w="801" w:type="dxa"/>
            <w:vAlign w:val="center"/>
          </w:tcPr>
          <w:p w:rsidR="0070576F" w:rsidRPr="00E759A0" w:rsidRDefault="004B0AE6" w:rsidP="00D75547">
            <w:pPr>
              <w:pStyle w:val="CETEquation"/>
              <w:jc w:val="right"/>
            </w:pPr>
            <w:r>
              <w:t>(2</w:t>
            </w:r>
            <w:r w:rsidR="0070576F" w:rsidRPr="00B57B36">
              <w:t>)</w:t>
            </w:r>
          </w:p>
        </w:tc>
      </w:tr>
    </w:tbl>
    <w:p w:rsidR="00600535" w:rsidRPr="00B57B36" w:rsidRDefault="004173B1" w:rsidP="00600535">
      <w:pPr>
        <w:pStyle w:val="CETHeading1"/>
        <w:tabs>
          <w:tab w:val="clear" w:pos="360"/>
          <w:tab w:val="right" w:pos="7100"/>
        </w:tabs>
        <w:jc w:val="both"/>
        <w:rPr>
          <w:lang w:val="en-GB"/>
        </w:rPr>
      </w:pPr>
      <w:r>
        <w:rPr>
          <w:lang w:val="en-GB"/>
        </w:rPr>
        <w:t>Results</w:t>
      </w:r>
    </w:p>
    <w:p w:rsidR="0074757A" w:rsidRPr="00AB7AE7" w:rsidRDefault="0074757A" w:rsidP="00600535">
      <w:pPr>
        <w:pStyle w:val="CETheadingx"/>
        <w:rPr>
          <w:lang w:val="pt-BR"/>
        </w:rPr>
      </w:pPr>
      <w:r w:rsidRPr="0074757A">
        <w:t>Technical Assessment</w:t>
      </w:r>
    </w:p>
    <w:p w:rsidR="00545CD7" w:rsidRDefault="00681E35" w:rsidP="00600535">
      <w:pPr>
        <w:pStyle w:val="CETBodytext"/>
      </w:pPr>
      <w:r w:rsidRPr="00681E35">
        <w:t>The</w:t>
      </w:r>
      <w:r w:rsidR="00F36961">
        <w:t xml:space="preserve"> outlet pressure of the purified</w:t>
      </w:r>
      <w:r w:rsidRPr="00681E35">
        <w:t xml:space="preserve"> CO</w:t>
      </w:r>
      <w:r w:rsidRPr="00681E35">
        <w:rPr>
          <w:rFonts w:ascii="Cambria Math" w:hAnsi="Cambria Math" w:cs="Cambria Math"/>
        </w:rPr>
        <w:t>₂</w:t>
      </w:r>
      <w:r w:rsidRPr="00681E35">
        <w:t xml:space="preserve"> stream was set to meet a 99% purity target, a minimum requirement for downstream use or disposal (e.g., refrigeration, as a reactant, storage/transport, or geological sequestration). Under the simulated conditions, the lowest pressure achieving this specification was 3.5 </w:t>
      </w:r>
      <w:proofErr w:type="spellStart"/>
      <w:proofErr w:type="gramStart"/>
      <w:r w:rsidRPr="00681E35">
        <w:t>bara</w:t>
      </w:r>
      <w:proofErr w:type="spellEnd"/>
      <w:proofErr w:type="gramEnd"/>
      <w:r w:rsidRPr="00681E35">
        <w:t xml:space="preserve"> for both solvents, requiring two compression stages as previously discussed. Next, for each solvent, the optimal L/G was identified to minimize </w:t>
      </w:r>
      <w:proofErr w:type="spellStart"/>
      <w:r w:rsidRPr="00681E35">
        <w:t>reboiler</w:t>
      </w:r>
      <w:proofErr w:type="spellEnd"/>
      <w:r w:rsidRPr="00681E35">
        <w:t xml:space="preserve"> duty and, consequently, CO</w:t>
      </w:r>
      <w:r w:rsidRPr="00681E35">
        <w:rPr>
          <w:rFonts w:ascii="Cambria Math" w:hAnsi="Cambria Math" w:cs="Cambria Math"/>
        </w:rPr>
        <w:t>₂</w:t>
      </w:r>
      <w:r w:rsidRPr="00681E35">
        <w:t>-equivalent emissions, while keeping capture at 90% and CO</w:t>
      </w:r>
      <w:r w:rsidRPr="00681E35">
        <w:rPr>
          <w:rFonts w:ascii="Cambria Math" w:hAnsi="Cambria Math" w:cs="Cambria Math"/>
        </w:rPr>
        <w:t>₂</w:t>
      </w:r>
      <w:r w:rsidR="00DE51A6">
        <w:t xml:space="preserve"> purity at 99% (Table 2</w:t>
      </w:r>
      <w:r w:rsidR="00C03B0C">
        <w:t>).</w:t>
      </w:r>
      <w:r w:rsidR="00D61D32">
        <w:t xml:space="preserve"> L= Solvent Flow Rate (t/h); G=Gas Flow Rate (t/h).</w:t>
      </w:r>
    </w:p>
    <w:p w:rsidR="000B4D1C" w:rsidRPr="00681E35" w:rsidRDefault="000B4D1C" w:rsidP="00600535">
      <w:pPr>
        <w:pStyle w:val="CETBodytext"/>
      </w:pPr>
    </w:p>
    <w:p w:rsidR="005305C8" w:rsidRPr="002E2EF2" w:rsidRDefault="00DE51A6" w:rsidP="005305C8">
      <w:pPr>
        <w:pStyle w:val="CETBodytext"/>
        <w:rPr>
          <w:i/>
        </w:rPr>
      </w:pPr>
      <w:proofErr w:type="gramStart"/>
      <w:r>
        <w:rPr>
          <w:i/>
        </w:rPr>
        <w:t>Table 2</w:t>
      </w:r>
      <w:r w:rsidR="005305C8" w:rsidRPr="002E2EF2">
        <w:rPr>
          <w:i/>
        </w:rPr>
        <w:t>:</w:t>
      </w:r>
      <w:r w:rsidR="009530E1">
        <w:rPr>
          <w:i/>
        </w:rPr>
        <w:t xml:space="preserve"> </w:t>
      </w:r>
      <w:r w:rsidR="00F14B9A" w:rsidRPr="00F14B9A">
        <w:rPr>
          <w:i/>
        </w:rPr>
        <w:t xml:space="preserve">L/G </w:t>
      </w:r>
      <w:r w:rsidR="00D61D32">
        <w:rPr>
          <w:i/>
        </w:rPr>
        <w:t>A</w:t>
      </w:r>
      <w:r w:rsidR="00F14B9A" w:rsidRPr="00F14B9A">
        <w:rPr>
          <w:i/>
        </w:rPr>
        <w:t>nalysis information</w:t>
      </w:r>
      <w:r w:rsidR="005305C8" w:rsidRPr="00F14B9A">
        <w:rPr>
          <w:i/>
        </w:rPr>
        <w:t>.</w:t>
      </w:r>
      <w:proofErr w:type="gramEnd"/>
    </w:p>
    <w:tbl>
      <w:tblPr>
        <w:tblW w:w="6663"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708"/>
        <w:gridCol w:w="426"/>
        <w:gridCol w:w="1276"/>
        <w:gridCol w:w="1134"/>
        <w:gridCol w:w="1134"/>
        <w:gridCol w:w="992"/>
        <w:gridCol w:w="993"/>
      </w:tblGrid>
      <w:tr w:rsidR="002C2A42" w:rsidRPr="00B57B36" w:rsidTr="00853275">
        <w:tc>
          <w:tcPr>
            <w:tcW w:w="708" w:type="dxa"/>
            <w:tcBorders>
              <w:top w:val="single" w:sz="12" w:space="0" w:color="008000"/>
              <w:bottom w:val="single" w:sz="6" w:space="0" w:color="008000"/>
            </w:tcBorders>
            <w:shd w:val="clear" w:color="auto" w:fill="FFFFFF"/>
            <w:vAlign w:val="center"/>
          </w:tcPr>
          <w:p w:rsidR="000776B6" w:rsidRPr="00545CD7" w:rsidRDefault="000776B6" w:rsidP="007D4FC4">
            <w:pPr>
              <w:pStyle w:val="CETBodytext"/>
              <w:jc w:val="center"/>
              <w:rPr>
                <w:rFonts w:cs="Arial"/>
                <w:szCs w:val="18"/>
                <w:lang w:val="en-GB"/>
              </w:rPr>
            </w:pPr>
            <w:r w:rsidRPr="00545CD7">
              <w:rPr>
                <w:rFonts w:cs="Arial"/>
                <w:szCs w:val="18"/>
                <w:lang w:val="en-GB"/>
              </w:rPr>
              <w:t>Solvent</w:t>
            </w:r>
          </w:p>
        </w:tc>
        <w:tc>
          <w:tcPr>
            <w:tcW w:w="426" w:type="dxa"/>
            <w:tcBorders>
              <w:top w:val="single" w:sz="12" w:space="0" w:color="008000"/>
              <w:bottom w:val="single" w:sz="6" w:space="0" w:color="008000"/>
            </w:tcBorders>
            <w:shd w:val="clear" w:color="auto" w:fill="FFFFFF"/>
            <w:vAlign w:val="center"/>
          </w:tcPr>
          <w:p w:rsidR="000776B6" w:rsidRPr="00545CD7" w:rsidRDefault="000776B6" w:rsidP="007D4FC4">
            <w:pPr>
              <w:pStyle w:val="CETBodytext"/>
              <w:jc w:val="center"/>
              <w:rPr>
                <w:rFonts w:cs="Arial"/>
                <w:szCs w:val="18"/>
                <w:lang w:val="en-GB"/>
              </w:rPr>
            </w:pPr>
            <w:r w:rsidRPr="00545CD7">
              <w:rPr>
                <w:rFonts w:cs="Arial"/>
                <w:szCs w:val="18"/>
                <w:lang w:val="en-GB"/>
              </w:rPr>
              <w:t>L/G</w:t>
            </w:r>
          </w:p>
        </w:tc>
        <w:tc>
          <w:tcPr>
            <w:tcW w:w="1276" w:type="dxa"/>
            <w:tcBorders>
              <w:top w:val="single" w:sz="12" w:space="0" w:color="008000"/>
              <w:bottom w:val="single" w:sz="6" w:space="0" w:color="008000"/>
            </w:tcBorders>
            <w:shd w:val="clear" w:color="auto" w:fill="FFFFFF"/>
            <w:vAlign w:val="center"/>
          </w:tcPr>
          <w:p w:rsidR="000776B6" w:rsidRPr="00545CD7" w:rsidRDefault="000776B6" w:rsidP="007D4FC4">
            <w:pPr>
              <w:pStyle w:val="CETBodytext"/>
              <w:jc w:val="center"/>
              <w:rPr>
                <w:rFonts w:cs="Arial"/>
                <w:szCs w:val="18"/>
                <w:lang w:val="en-GB"/>
              </w:rPr>
            </w:pPr>
            <w:r w:rsidRPr="00545CD7">
              <w:rPr>
                <w:rFonts w:cs="Arial"/>
                <w:szCs w:val="18"/>
                <w:lang w:val="en-GB"/>
              </w:rPr>
              <w:t>Solvent Flow Rate (t/h)</w:t>
            </w:r>
          </w:p>
        </w:tc>
        <w:tc>
          <w:tcPr>
            <w:tcW w:w="1134" w:type="dxa"/>
            <w:tcBorders>
              <w:top w:val="single" w:sz="12" w:space="0" w:color="008000"/>
              <w:bottom w:val="single" w:sz="6" w:space="0" w:color="008000"/>
            </w:tcBorders>
            <w:shd w:val="clear" w:color="auto" w:fill="FFFFFF"/>
            <w:vAlign w:val="center"/>
          </w:tcPr>
          <w:p w:rsidR="000776B6" w:rsidRPr="00545CD7" w:rsidRDefault="00B32BF7" w:rsidP="00545CD7">
            <w:pPr>
              <w:pStyle w:val="CETBodytext"/>
              <w:jc w:val="center"/>
              <w:rPr>
                <w:rFonts w:cs="Arial"/>
                <w:szCs w:val="18"/>
                <w:lang w:val="en-GB"/>
              </w:rPr>
            </w:pPr>
            <w:r>
              <w:rPr>
                <w:rFonts w:cs="Arial"/>
                <w:szCs w:val="18"/>
                <w:lang w:val="en-GB"/>
              </w:rPr>
              <w:t xml:space="preserve">Steam </w:t>
            </w:r>
            <w:proofErr w:type="spellStart"/>
            <w:r>
              <w:rPr>
                <w:rFonts w:cs="Arial"/>
                <w:szCs w:val="18"/>
                <w:lang w:val="en-GB"/>
              </w:rPr>
              <w:t>Reboiler</w:t>
            </w:r>
            <w:proofErr w:type="spellEnd"/>
            <w:r w:rsidR="000776B6" w:rsidRPr="00545CD7">
              <w:rPr>
                <w:rFonts w:cs="Arial"/>
                <w:szCs w:val="18"/>
                <w:lang w:val="en-GB"/>
              </w:rPr>
              <w:t xml:space="preserve"> (t/h)</w:t>
            </w:r>
          </w:p>
        </w:tc>
        <w:tc>
          <w:tcPr>
            <w:tcW w:w="1134" w:type="dxa"/>
            <w:tcBorders>
              <w:top w:val="single" w:sz="12" w:space="0" w:color="008000"/>
              <w:bottom w:val="single" w:sz="6" w:space="0" w:color="008000"/>
            </w:tcBorders>
            <w:shd w:val="clear" w:color="auto" w:fill="FFFFFF"/>
            <w:vAlign w:val="center"/>
          </w:tcPr>
          <w:p w:rsidR="000776B6" w:rsidRPr="00372829" w:rsidRDefault="000776B6" w:rsidP="007D4FC4">
            <w:pPr>
              <w:pStyle w:val="CETBodytext"/>
              <w:jc w:val="center"/>
              <w:rPr>
                <w:rFonts w:cs="Arial"/>
                <w:szCs w:val="18"/>
                <w:lang w:val="en-GB"/>
              </w:rPr>
            </w:pPr>
            <w:proofErr w:type="spellStart"/>
            <w:r w:rsidRPr="005628D7">
              <w:rPr>
                <w:rFonts w:cs="Arial"/>
                <w:szCs w:val="18"/>
                <w:lang w:val="en-GB"/>
              </w:rPr>
              <w:t>Q</w:t>
            </w:r>
            <w:r w:rsidRPr="005628D7">
              <w:rPr>
                <w:rFonts w:cs="Arial"/>
                <w:szCs w:val="18"/>
                <w:vertAlign w:val="subscript"/>
                <w:lang w:val="en-GB"/>
              </w:rPr>
              <w:t>reboiler</w:t>
            </w:r>
            <w:proofErr w:type="spellEnd"/>
            <w:r w:rsidR="00AF083D" w:rsidRPr="005628D7">
              <w:rPr>
                <w:rFonts w:cs="Arial"/>
                <w:szCs w:val="18"/>
                <w:lang w:val="en-GB"/>
              </w:rPr>
              <w:t>(M</w:t>
            </w:r>
            <w:r w:rsidRPr="005628D7">
              <w:rPr>
                <w:rFonts w:cs="Arial"/>
                <w:szCs w:val="18"/>
                <w:lang w:val="en-GB"/>
              </w:rPr>
              <w:t>W)</w:t>
            </w:r>
          </w:p>
        </w:tc>
        <w:tc>
          <w:tcPr>
            <w:tcW w:w="992" w:type="dxa"/>
            <w:tcBorders>
              <w:top w:val="single" w:sz="12" w:space="0" w:color="008000"/>
              <w:bottom w:val="single" w:sz="6" w:space="0" w:color="008000"/>
            </w:tcBorders>
            <w:shd w:val="clear" w:color="auto" w:fill="FFFFFF"/>
            <w:vAlign w:val="center"/>
          </w:tcPr>
          <w:p w:rsidR="000776B6" w:rsidRPr="00545CD7" w:rsidRDefault="000776B6" w:rsidP="00545CD7">
            <w:pPr>
              <w:pStyle w:val="CETBodytext"/>
              <w:jc w:val="center"/>
              <w:rPr>
                <w:rFonts w:cs="Arial"/>
                <w:szCs w:val="18"/>
                <w:lang w:val="en-GB"/>
              </w:rPr>
            </w:pPr>
            <w:r w:rsidRPr="00545CD7">
              <w:rPr>
                <w:rFonts w:cs="Arial"/>
                <w:szCs w:val="18"/>
                <w:lang w:val="en-GB"/>
              </w:rPr>
              <w:t>CO</w:t>
            </w:r>
            <w:r w:rsidRPr="00545CD7">
              <w:rPr>
                <w:rFonts w:cs="Arial"/>
                <w:szCs w:val="18"/>
                <w:vertAlign w:val="subscript"/>
                <w:lang w:val="en-GB"/>
              </w:rPr>
              <w:t>2</w:t>
            </w:r>
            <w:r w:rsidRPr="00545CD7">
              <w:rPr>
                <w:rFonts w:cs="Arial"/>
                <w:szCs w:val="18"/>
                <w:lang w:val="en-GB"/>
              </w:rPr>
              <w:t>e(t/h)</w:t>
            </w:r>
          </w:p>
        </w:tc>
        <w:tc>
          <w:tcPr>
            <w:tcW w:w="993" w:type="dxa"/>
            <w:tcBorders>
              <w:top w:val="single" w:sz="12" w:space="0" w:color="008000"/>
              <w:bottom w:val="single" w:sz="6" w:space="0" w:color="008000"/>
            </w:tcBorders>
            <w:shd w:val="clear" w:color="auto" w:fill="FFFFFF"/>
            <w:vAlign w:val="center"/>
          </w:tcPr>
          <w:p w:rsidR="000776B6" w:rsidRPr="00545CD7" w:rsidRDefault="000776B6" w:rsidP="00545CD7">
            <w:pPr>
              <w:pStyle w:val="CETBodytext"/>
              <w:jc w:val="center"/>
              <w:rPr>
                <w:rFonts w:cs="Arial"/>
                <w:szCs w:val="18"/>
                <w:lang w:val="en-GB"/>
              </w:rPr>
            </w:pPr>
            <w:r w:rsidRPr="00545CD7">
              <w:rPr>
                <w:rFonts w:cs="Arial"/>
                <w:szCs w:val="18"/>
                <w:lang w:val="en-GB"/>
              </w:rPr>
              <w:t>CO</w:t>
            </w:r>
            <w:r w:rsidRPr="00545CD7">
              <w:rPr>
                <w:rFonts w:cs="Arial"/>
                <w:szCs w:val="18"/>
                <w:vertAlign w:val="subscript"/>
                <w:lang w:val="en-GB"/>
              </w:rPr>
              <w:t>2</w:t>
            </w:r>
            <w:r w:rsidRPr="00545CD7">
              <w:rPr>
                <w:rFonts w:cs="Arial"/>
                <w:szCs w:val="18"/>
                <w:lang w:val="en-GB"/>
              </w:rPr>
              <w:t xml:space="preserve"> Global Capture (%)</w:t>
            </w:r>
          </w:p>
        </w:tc>
      </w:tr>
      <w:tr w:rsidR="002C2A42" w:rsidRPr="00B57B36" w:rsidTr="00853275">
        <w:tc>
          <w:tcPr>
            <w:tcW w:w="708" w:type="dxa"/>
            <w:tcBorders>
              <w:top w:val="single" w:sz="6" w:space="0" w:color="008000"/>
              <w:bottom w:val="nil"/>
            </w:tcBorders>
            <w:shd w:val="clear" w:color="auto" w:fill="FFFFFF"/>
          </w:tcPr>
          <w:p w:rsidR="000776B6" w:rsidRPr="00545CD7" w:rsidRDefault="000776B6" w:rsidP="009522C9">
            <w:pPr>
              <w:pStyle w:val="CETBodytext"/>
              <w:jc w:val="center"/>
              <w:rPr>
                <w:rFonts w:cs="Arial"/>
                <w:szCs w:val="18"/>
                <w:lang w:val="en-GB"/>
              </w:rPr>
            </w:pPr>
            <w:r w:rsidRPr="00545CD7">
              <w:rPr>
                <w:rFonts w:cs="Arial"/>
                <w:szCs w:val="18"/>
                <w:lang w:val="en-GB"/>
              </w:rPr>
              <w:t>MEA</w:t>
            </w:r>
          </w:p>
        </w:tc>
        <w:tc>
          <w:tcPr>
            <w:tcW w:w="426" w:type="dxa"/>
            <w:tcBorders>
              <w:top w:val="single" w:sz="6" w:space="0" w:color="008000"/>
              <w:bottom w:val="nil"/>
            </w:tcBorders>
            <w:shd w:val="clear" w:color="auto" w:fill="FFFFFF"/>
          </w:tcPr>
          <w:p w:rsidR="000776B6" w:rsidRPr="00545CD7" w:rsidRDefault="002C2A42" w:rsidP="009522C9">
            <w:pPr>
              <w:pStyle w:val="CETBodytext"/>
              <w:jc w:val="center"/>
              <w:rPr>
                <w:rFonts w:cs="Arial"/>
                <w:szCs w:val="18"/>
                <w:lang w:val="en-GB"/>
              </w:rPr>
            </w:pPr>
            <w:r>
              <w:rPr>
                <w:rFonts w:cs="Arial"/>
                <w:szCs w:val="18"/>
                <w:lang w:val="en-GB"/>
              </w:rPr>
              <w:t>1.</w:t>
            </w:r>
            <w:r w:rsidR="000776B6" w:rsidRPr="00545CD7">
              <w:rPr>
                <w:rFonts w:cs="Arial"/>
                <w:szCs w:val="18"/>
                <w:lang w:val="en-GB"/>
              </w:rPr>
              <w:t>8</w:t>
            </w:r>
          </w:p>
        </w:tc>
        <w:tc>
          <w:tcPr>
            <w:tcW w:w="1276" w:type="dxa"/>
            <w:tcBorders>
              <w:top w:val="single" w:sz="6" w:space="0" w:color="008000"/>
              <w:left w:val="nil"/>
              <w:bottom w:val="nil"/>
              <w:right w:val="nil"/>
            </w:tcBorders>
            <w:shd w:val="clear" w:color="auto" w:fill="auto"/>
            <w:vAlign w:val="bottom"/>
          </w:tcPr>
          <w:p w:rsidR="000776B6" w:rsidRPr="00545CD7" w:rsidRDefault="000776B6" w:rsidP="009522C9">
            <w:pPr>
              <w:pStyle w:val="CETBodytext"/>
              <w:jc w:val="center"/>
              <w:rPr>
                <w:rFonts w:cs="Arial"/>
                <w:szCs w:val="18"/>
                <w:lang w:val="en-GB"/>
              </w:rPr>
            </w:pPr>
            <w:r w:rsidRPr="00545CD7">
              <w:rPr>
                <w:rFonts w:cs="Arial"/>
                <w:color w:val="000000"/>
                <w:szCs w:val="18"/>
              </w:rPr>
              <w:t>350</w:t>
            </w:r>
          </w:p>
        </w:tc>
        <w:tc>
          <w:tcPr>
            <w:tcW w:w="1134" w:type="dxa"/>
            <w:tcBorders>
              <w:top w:val="single" w:sz="6" w:space="0" w:color="008000"/>
              <w:left w:val="nil"/>
              <w:bottom w:val="nil"/>
              <w:right w:val="nil"/>
            </w:tcBorders>
            <w:shd w:val="clear" w:color="auto" w:fill="auto"/>
            <w:vAlign w:val="bottom"/>
          </w:tcPr>
          <w:p w:rsidR="000776B6" w:rsidRPr="00545CD7" w:rsidRDefault="002C2A42" w:rsidP="009522C9">
            <w:pPr>
              <w:pStyle w:val="CETBodytext"/>
              <w:jc w:val="center"/>
              <w:rPr>
                <w:rFonts w:cs="Arial"/>
                <w:szCs w:val="18"/>
                <w:lang w:val="en-GB"/>
              </w:rPr>
            </w:pPr>
            <w:r>
              <w:rPr>
                <w:rFonts w:cs="Arial"/>
                <w:color w:val="000000"/>
                <w:szCs w:val="18"/>
              </w:rPr>
              <w:t>263.</w:t>
            </w:r>
            <w:r w:rsidR="000776B6" w:rsidRPr="00545CD7">
              <w:rPr>
                <w:rFonts w:cs="Arial"/>
                <w:color w:val="000000"/>
                <w:szCs w:val="18"/>
              </w:rPr>
              <w:t>4</w:t>
            </w:r>
          </w:p>
        </w:tc>
        <w:tc>
          <w:tcPr>
            <w:tcW w:w="1134" w:type="dxa"/>
            <w:tcBorders>
              <w:top w:val="single" w:sz="6" w:space="0" w:color="008000"/>
              <w:left w:val="nil"/>
              <w:bottom w:val="nil"/>
              <w:right w:val="nil"/>
            </w:tcBorders>
            <w:shd w:val="clear" w:color="auto" w:fill="auto"/>
            <w:vAlign w:val="bottom"/>
          </w:tcPr>
          <w:p w:rsidR="000776B6" w:rsidRPr="00545CD7" w:rsidRDefault="002C2A42" w:rsidP="009522C9">
            <w:pPr>
              <w:pStyle w:val="CETBodytext"/>
              <w:jc w:val="center"/>
              <w:rPr>
                <w:rFonts w:cs="Arial"/>
                <w:szCs w:val="18"/>
                <w:lang w:val="en-GB"/>
              </w:rPr>
            </w:pPr>
            <w:r>
              <w:rPr>
                <w:rFonts w:cs="Arial"/>
                <w:color w:val="000000"/>
                <w:szCs w:val="18"/>
              </w:rPr>
              <w:t>146</w:t>
            </w:r>
            <w:r w:rsidR="00AF083D">
              <w:rPr>
                <w:rFonts w:cs="Arial"/>
                <w:color w:val="000000"/>
                <w:szCs w:val="18"/>
              </w:rPr>
              <w:t>.3</w:t>
            </w:r>
          </w:p>
        </w:tc>
        <w:tc>
          <w:tcPr>
            <w:tcW w:w="992" w:type="dxa"/>
            <w:tcBorders>
              <w:top w:val="single" w:sz="6" w:space="0" w:color="008000"/>
              <w:left w:val="nil"/>
              <w:bottom w:val="nil"/>
              <w:right w:val="nil"/>
            </w:tcBorders>
            <w:shd w:val="clear" w:color="auto" w:fill="auto"/>
            <w:vAlign w:val="bottom"/>
          </w:tcPr>
          <w:p w:rsidR="000776B6" w:rsidRPr="00545CD7" w:rsidRDefault="002C2A42" w:rsidP="009522C9">
            <w:pPr>
              <w:pStyle w:val="CETBodytext"/>
              <w:jc w:val="center"/>
              <w:rPr>
                <w:rFonts w:cs="Arial"/>
                <w:szCs w:val="18"/>
                <w:lang w:val="en-GB"/>
              </w:rPr>
            </w:pPr>
            <w:r>
              <w:rPr>
                <w:rFonts w:cs="Arial"/>
                <w:color w:val="000000"/>
                <w:szCs w:val="18"/>
              </w:rPr>
              <w:t>52.</w:t>
            </w:r>
            <w:r w:rsidR="000776B6" w:rsidRPr="00545CD7">
              <w:rPr>
                <w:rFonts w:cs="Arial"/>
                <w:color w:val="000000"/>
                <w:szCs w:val="18"/>
              </w:rPr>
              <w:t>6</w:t>
            </w:r>
          </w:p>
        </w:tc>
        <w:tc>
          <w:tcPr>
            <w:tcW w:w="993" w:type="dxa"/>
            <w:tcBorders>
              <w:top w:val="single" w:sz="6" w:space="0" w:color="008000"/>
              <w:left w:val="nil"/>
              <w:bottom w:val="nil"/>
              <w:right w:val="nil"/>
            </w:tcBorders>
            <w:shd w:val="clear" w:color="auto" w:fill="auto"/>
            <w:vAlign w:val="bottom"/>
          </w:tcPr>
          <w:p w:rsidR="000776B6" w:rsidRPr="00545CD7" w:rsidRDefault="000776B6" w:rsidP="009522C9">
            <w:pPr>
              <w:pStyle w:val="CETBodytext"/>
              <w:jc w:val="center"/>
              <w:rPr>
                <w:rFonts w:cs="Arial"/>
                <w:szCs w:val="18"/>
                <w:lang w:val="en-GB"/>
              </w:rPr>
            </w:pPr>
            <w:r w:rsidRPr="00545CD7">
              <w:rPr>
                <w:rFonts w:cs="Arial"/>
                <w:color w:val="000000"/>
                <w:szCs w:val="18"/>
              </w:rPr>
              <w:t>35%</w:t>
            </w:r>
          </w:p>
        </w:tc>
      </w:tr>
      <w:tr w:rsidR="002C2A42" w:rsidRPr="00B57B36" w:rsidTr="00853275">
        <w:tc>
          <w:tcPr>
            <w:tcW w:w="708" w:type="dxa"/>
            <w:tcBorders>
              <w:top w:val="nil"/>
              <w:bottom w:val="nil"/>
            </w:tcBorders>
            <w:shd w:val="clear" w:color="auto" w:fill="FFFFFF"/>
          </w:tcPr>
          <w:p w:rsidR="000776B6" w:rsidRPr="00545CD7" w:rsidRDefault="000776B6" w:rsidP="009522C9">
            <w:pPr>
              <w:pStyle w:val="CETBodytext"/>
              <w:jc w:val="center"/>
              <w:rPr>
                <w:rFonts w:cs="Arial"/>
                <w:szCs w:val="18"/>
              </w:rPr>
            </w:pPr>
          </w:p>
        </w:tc>
        <w:tc>
          <w:tcPr>
            <w:tcW w:w="426" w:type="dxa"/>
            <w:tcBorders>
              <w:top w:val="nil"/>
              <w:bottom w:val="nil"/>
            </w:tcBorders>
            <w:shd w:val="clear" w:color="auto" w:fill="FFFFFF"/>
          </w:tcPr>
          <w:p w:rsidR="000776B6" w:rsidRPr="00545CD7" w:rsidRDefault="002C2A42" w:rsidP="009522C9">
            <w:pPr>
              <w:pStyle w:val="CETBodytext"/>
              <w:jc w:val="center"/>
              <w:rPr>
                <w:rFonts w:cs="Arial"/>
                <w:szCs w:val="18"/>
              </w:rPr>
            </w:pPr>
            <w:r>
              <w:rPr>
                <w:rFonts w:cs="Arial"/>
                <w:szCs w:val="18"/>
              </w:rPr>
              <w:t>1.</w:t>
            </w:r>
            <w:r w:rsidR="000776B6" w:rsidRPr="00545CD7">
              <w:rPr>
                <w:rFonts w:cs="Arial"/>
                <w:szCs w:val="18"/>
              </w:rPr>
              <w:t>9</w:t>
            </w:r>
          </w:p>
        </w:tc>
        <w:tc>
          <w:tcPr>
            <w:tcW w:w="1276" w:type="dxa"/>
            <w:tcBorders>
              <w:top w:val="nil"/>
              <w:left w:val="nil"/>
              <w:bottom w:val="nil"/>
              <w:right w:val="nil"/>
            </w:tcBorders>
            <w:shd w:val="clear" w:color="auto" w:fill="auto"/>
            <w:vAlign w:val="bottom"/>
          </w:tcPr>
          <w:p w:rsidR="000776B6" w:rsidRPr="00545CD7" w:rsidRDefault="000776B6" w:rsidP="009522C9">
            <w:pPr>
              <w:pStyle w:val="CETBodytext"/>
              <w:jc w:val="center"/>
              <w:rPr>
                <w:rFonts w:cs="Arial"/>
                <w:szCs w:val="18"/>
                <w:lang w:val="en-GB"/>
              </w:rPr>
            </w:pPr>
            <w:r w:rsidRPr="00545CD7">
              <w:rPr>
                <w:rFonts w:cs="Arial"/>
                <w:color w:val="000000"/>
                <w:szCs w:val="18"/>
              </w:rPr>
              <w:t>380</w:t>
            </w:r>
          </w:p>
        </w:tc>
        <w:tc>
          <w:tcPr>
            <w:tcW w:w="1134" w:type="dxa"/>
            <w:tcBorders>
              <w:top w:val="nil"/>
              <w:left w:val="nil"/>
              <w:bottom w:val="nil"/>
              <w:right w:val="nil"/>
            </w:tcBorders>
            <w:shd w:val="clear" w:color="auto" w:fill="auto"/>
            <w:vAlign w:val="bottom"/>
          </w:tcPr>
          <w:p w:rsidR="000776B6" w:rsidRPr="00545CD7" w:rsidRDefault="002C2A42" w:rsidP="009522C9">
            <w:pPr>
              <w:pStyle w:val="CETBodytext"/>
              <w:jc w:val="center"/>
              <w:rPr>
                <w:rFonts w:cs="Arial"/>
                <w:szCs w:val="18"/>
                <w:lang w:val="en-GB"/>
              </w:rPr>
            </w:pPr>
            <w:r>
              <w:rPr>
                <w:rFonts w:cs="Arial"/>
                <w:color w:val="000000"/>
                <w:szCs w:val="18"/>
              </w:rPr>
              <w:t>153.</w:t>
            </w:r>
            <w:r w:rsidR="000776B6" w:rsidRPr="00545CD7">
              <w:rPr>
                <w:rFonts w:cs="Arial"/>
                <w:color w:val="000000"/>
                <w:szCs w:val="18"/>
              </w:rPr>
              <w:t>6</w:t>
            </w:r>
          </w:p>
        </w:tc>
        <w:tc>
          <w:tcPr>
            <w:tcW w:w="1134" w:type="dxa"/>
            <w:tcBorders>
              <w:top w:val="nil"/>
              <w:left w:val="nil"/>
              <w:bottom w:val="nil"/>
              <w:right w:val="nil"/>
            </w:tcBorders>
            <w:shd w:val="clear" w:color="auto" w:fill="auto"/>
            <w:vAlign w:val="bottom"/>
          </w:tcPr>
          <w:p w:rsidR="000776B6" w:rsidRPr="00545CD7" w:rsidRDefault="002C2A42" w:rsidP="009522C9">
            <w:pPr>
              <w:pStyle w:val="CETBodytext"/>
              <w:jc w:val="center"/>
              <w:rPr>
                <w:rFonts w:cs="Arial"/>
                <w:szCs w:val="18"/>
                <w:lang w:val="en-GB"/>
              </w:rPr>
            </w:pPr>
            <w:r>
              <w:rPr>
                <w:rFonts w:cs="Arial"/>
                <w:color w:val="000000"/>
                <w:szCs w:val="18"/>
              </w:rPr>
              <w:t>85</w:t>
            </w:r>
            <w:r w:rsidR="00AF083D">
              <w:rPr>
                <w:rFonts w:cs="Arial"/>
                <w:color w:val="000000"/>
                <w:szCs w:val="18"/>
              </w:rPr>
              <w:t>.3</w:t>
            </w:r>
          </w:p>
        </w:tc>
        <w:tc>
          <w:tcPr>
            <w:tcW w:w="992" w:type="dxa"/>
            <w:tcBorders>
              <w:top w:val="nil"/>
              <w:left w:val="nil"/>
              <w:bottom w:val="nil"/>
              <w:right w:val="nil"/>
            </w:tcBorders>
            <w:shd w:val="clear" w:color="auto" w:fill="auto"/>
            <w:vAlign w:val="bottom"/>
          </w:tcPr>
          <w:p w:rsidR="000776B6" w:rsidRPr="00545CD7" w:rsidRDefault="002C2A42" w:rsidP="009522C9">
            <w:pPr>
              <w:pStyle w:val="CETBodytext"/>
              <w:jc w:val="center"/>
              <w:rPr>
                <w:rFonts w:cs="Arial"/>
                <w:szCs w:val="18"/>
                <w:lang w:val="en-GB"/>
              </w:rPr>
            </w:pPr>
            <w:r>
              <w:rPr>
                <w:rFonts w:cs="Arial"/>
                <w:color w:val="000000"/>
                <w:szCs w:val="18"/>
              </w:rPr>
              <w:t>30.</w:t>
            </w:r>
            <w:r w:rsidR="000776B6" w:rsidRPr="00545CD7">
              <w:rPr>
                <w:rFonts w:cs="Arial"/>
                <w:color w:val="000000"/>
                <w:szCs w:val="18"/>
              </w:rPr>
              <w:t>7</w:t>
            </w:r>
          </w:p>
        </w:tc>
        <w:tc>
          <w:tcPr>
            <w:tcW w:w="993" w:type="dxa"/>
            <w:tcBorders>
              <w:top w:val="nil"/>
              <w:left w:val="nil"/>
              <w:bottom w:val="nil"/>
              <w:right w:val="nil"/>
            </w:tcBorders>
            <w:shd w:val="clear" w:color="auto" w:fill="auto"/>
            <w:vAlign w:val="bottom"/>
          </w:tcPr>
          <w:p w:rsidR="000776B6" w:rsidRPr="00545CD7" w:rsidRDefault="000776B6" w:rsidP="009522C9">
            <w:pPr>
              <w:pStyle w:val="CETBodytext"/>
              <w:jc w:val="center"/>
              <w:rPr>
                <w:rFonts w:cs="Arial"/>
                <w:szCs w:val="18"/>
                <w:lang w:val="en-GB"/>
              </w:rPr>
            </w:pPr>
            <w:r w:rsidRPr="00545CD7">
              <w:rPr>
                <w:rFonts w:cs="Arial"/>
                <w:color w:val="000000"/>
                <w:szCs w:val="18"/>
              </w:rPr>
              <w:t>47%</w:t>
            </w:r>
          </w:p>
        </w:tc>
      </w:tr>
      <w:tr w:rsidR="002C2A42" w:rsidRPr="00B57B36" w:rsidTr="00853275">
        <w:tc>
          <w:tcPr>
            <w:tcW w:w="708" w:type="dxa"/>
            <w:tcBorders>
              <w:top w:val="nil"/>
              <w:bottom w:val="nil"/>
            </w:tcBorders>
            <w:shd w:val="clear" w:color="auto" w:fill="FFFFFF"/>
          </w:tcPr>
          <w:p w:rsidR="000776B6" w:rsidRPr="00545CD7" w:rsidRDefault="000776B6" w:rsidP="009522C9">
            <w:pPr>
              <w:pStyle w:val="CETBodytext"/>
              <w:jc w:val="center"/>
              <w:rPr>
                <w:rFonts w:cs="Arial"/>
                <w:szCs w:val="18"/>
              </w:rPr>
            </w:pPr>
          </w:p>
        </w:tc>
        <w:tc>
          <w:tcPr>
            <w:tcW w:w="426" w:type="dxa"/>
            <w:tcBorders>
              <w:top w:val="nil"/>
              <w:bottom w:val="nil"/>
            </w:tcBorders>
            <w:shd w:val="clear" w:color="auto" w:fill="FFFFFF"/>
          </w:tcPr>
          <w:p w:rsidR="000776B6" w:rsidRPr="00545CD7" w:rsidRDefault="002C2A42" w:rsidP="009522C9">
            <w:pPr>
              <w:pStyle w:val="CETBodytext"/>
              <w:jc w:val="center"/>
              <w:rPr>
                <w:rFonts w:cs="Arial"/>
                <w:szCs w:val="18"/>
              </w:rPr>
            </w:pPr>
            <w:r>
              <w:rPr>
                <w:rFonts w:cs="Arial"/>
                <w:szCs w:val="18"/>
              </w:rPr>
              <w:t>2.</w:t>
            </w:r>
            <w:r w:rsidR="000776B6" w:rsidRPr="00545CD7">
              <w:rPr>
                <w:rFonts w:cs="Arial"/>
                <w:szCs w:val="18"/>
              </w:rPr>
              <w:t>0</w:t>
            </w:r>
          </w:p>
        </w:tc>
        <w:tc>
          <w:tcPr>
            <w:tcW w:w="1276" w:type="dxa"/>
            <w:tcBorders>
              <w:top w:val="nil"/>
              <w:left w:val="nil"/>
              <w:bottom w:val="nil"/>
              <w:right w:val="nil"/>
            </w:tcBorders>
            <w:shd w:val="clear" w:color="auto" w:fill="auto"/>
            <w:vAlign w:val="bottom"/>
          </w:tcPr>
          <w:p w:rsidR="000776B6" w:rsidRPr="00545CD7" w:rsidRDefault="000776B6" w:rsidP="009522C9">
            <w:pPr>
              <w:pStyle w:val="CETBodytext"/>
              <w:jc w:val="center"/>
              <w:rPr>
                <w:rFonts w:cs="Arial"/>
                <w:szCs w:val="18"/>
                <w:lang w:val="en-GB"/>
              </w:rPr>
            </w:pPr>
            <w:r w:rsidRPr="00545CD7">
              <w:rPr>
                <w:rFonts w:cs="Arial"/>
                <w:color w:val="000000"/>
                <w:szCs w:val="18"/>
              </w:rPr>
              <w:t>400</w:t>
            </w:r>
          </w:p>
        </w:tc>
        <w:tc>
          <w:tcPr>
            <w:tcW w:w="1134" w:type="dxa"/>
            <w:tcBorders>
              <w:top w:val="nil"/>
              <w:left w:val="nil"/>
              <w:bottom w:val="nil"/>
              <w:right w:val="nil"/>
            </w:tcBorders>
            <w:shd w:val="clear" w:color="auto" w:fill="auto"/>
            <w:vAlign w:val="bottom"/>
          </w:tcPr>
          <w:p w:rsidR="000776B6" w:rsidRPr="00545CD7" w:rsidRDefault="002C2A42" w:rsidP="009522C9">
            <w:pPr>
              <w:pStyle w:val="CETBodytext"/>
              <w:jc w:val="center"/>
              <w:rPr>
                <w:rFonts w:cs="Arial"/>
                <w:szCs w:val="18"/>
                <w:lang w:val="en-GB"/>
              </w:rPr>
            </w:pPr>
            <w:r>
              <w:rPr>
                <w:rFonts w:cs="Arial"/>
                <w:color w:val="000000"/>
                <w:szCs w:val="18"/>
              </w:rPr>
              <w:t>94.</w:t>
            </w:r>
            <w:r w:rsidR="000776B6" w:rsidRPr="00545CD7">
              <w:rPr>
                <w:rFonts w:cs="Arial"/>
                <w:color w:val="000000"/>
                <w:szCs w:val="18"/>
              </w:rPr>
              <w:t>5</w:t>
            </w:r>
          </w:p>
        </w:tc>
        <w:tc>
          <w:tcPr>
            <w:tcW w:w="1134" w:type="dxa"/>
            <w:tcBorders>
              <w:top w:val="nil"/>
              <w:left w:val="nil"/>
              <w:bottom w:val="nil"/>
              <w:right w:val="nil"/>
            </w:tcBorders>
            <w:shd w:val="clear" w:color="auto" w:fill="auto"/>
            <w:vAlign w:val="bottom"/>
          </w:tcPr>
          <w:p w:rsidR="000776B6" w:rsidRPr="00545CD7" w:rsidRDefault="002C2A42" w:rsidP="009522C9">
            <w:pPr>
              <w:pStyle w:val="CETBodytext"/>
              <w:jc w:val="center"/>
              <w:rPr>
                <w:rFonts w:cs="Arial"/>
                <w:szCs w:val="18"/>
                <w:lang w:val="en-GB"/>
              </w:rPr>
            </w:pPr>
            <w:r>
              <w:rPr>
                <w:rFonts w:cs="Arial"/>
                <w:color w:val="000000"/>
                <w:szCs w:val="18"/>
              </w:rPr>
              <w:t>52</w:t>
            </w:r>
            <w:r w:rsidR="00853275">
              <w:rPr>
                <w:rFonts w:cs="Arial"/>
                <w:color w:val="000000"/>
                <w:szCs w:val="18"/>
              </w:rPr>
              <w:t>.4</w:t>
            </w:r>
          </w:p>
        </w:tc>
        <w:tc>
          <w:tcPr>
            <w:tcW w:w="992" w:type="dxa"/>
            <w:tcBorders>
              <w:top w:val="nil"/>
              <w:left w:val="nil"/>
              <w:bottom w:val="nil"/>
              <w:right w:val="nil"/>
            </w:tcBorders>
            <w:shd w:val="clear" w:color="auto" w:fill="auto"/>
            <w:vAlign w:val="bottom"/>
          </w:tcPr>
          <w:p w:rsidR="000776B6" w:rsidRPr="00545CD7" w:rsidRDefault="002C2A42" w:rsidP="009522C9">
            <w:pPr>
              <w:pStyle w:val="CETBodytext"/>
              <w:jc w:val="center"/>
              <w:rPr>
                <w:rFonts w:cs="Arial"/>
                <w:szCs w:val="18"/>
                <w:lang w:val="en-GB"/>
              </w:rPr>
            </w:pPr>
            <w:r>
              <w:rPr>
                <w:rFonts w:cs="Arial"/>
                <w:color w:val="000000"/>
                <w:szCs w:val="18"/>
              </w:rPr>
              <w:t>18.</w:t>
            </w:r>
            <w:r w:rsidR="000776B6" w:rsidRPr="00545CD7">
              <w:rPr>
                <w:rFonts w:cs="Arial"/>
                <w:color w:val="000000"/>
                <w:szCs w:val="18"/>
              </w:rPr>
              <w:t>9</w:t>
            </w:r>
          </w:p>
        </w:tc>
        <w:tc>
          <w:tcPr>
            <w:tcW w:w="993" w:type="dxa"/>
            <w:tcBorders>
              <w:top w:val="nil"/>
              <w:left w:val="nil"/>
              <w:bottom w:val="nil"/>
              <w:right w:val="nil"/>
            </w:tcBorders>
            <w:shd w:val="clear" w:color="auto" w:fill="auto"/>
            <w:vAlign w:val="bottom"/>
          </w:tcPr>
          <w:p w:rsidR="000776B6" w:rsidRPr="00545CD7" w:rsidRDefault="000776B6" w:rsidP="009522C9">
            <w:pPr>
              <w:pStyle w:val="CETBodytext"/>
              <w:jc w:val="center"/>
              <w:rPr>
                <w:rFonts w:cs="Arial"/>
                <w:szCs w:val="18"/>
                <w:lang w:val="en-GB"/>
              </w:rPr>
            </w:pPr>
            <w:r w:rsidRPr="00545CD7">
              <w:rPr>
                <w:rFonts w:cs="Arial"/>
                <w:color w:val="000000"/>
                <w:szCs w:val="18"/>
              </w:rPr>
              <w:t>57%</w:t>
            </w:r>
          </w:p>
        </w:tc>
      </w:tr>
      <w:tr w:rsidR="002C2A42" w:rsidRPr="00B57B36" w:rsidTr="00853275">
        <w:tc>
          <w:tcPr>
            <w:tcW w:w="708" w:type="dxa"/>
            <w:tcBorders>
              <w:top w:val="nil"/>
              <w:bottom w:val="nil"/>
            </w:tcBorders>
            <w:shd w:val="clear" w:color="auto" w:fill="FFFFFF"/>
          </w:tcPr>
          <w:p w:rsidR="000776B6" w:rsidRPr="00545CD7" w:rsidRDefault="000776B6" w:rsidP="009522C9">
            <w:pPr>
              <w:pStyle w:val="CETBodytext"/>
              <w:jc w:val="center"/>
              <w:rPr>
                <w:rFonts w:cs="Arial"/>
                <w:szCs w:val="18"/>
              </w:rPr>
            </w:pPr>
          </w:p>
        </w:tc>
        <w:tc>
          <w:tcPr>
            <w:tcW w:w="426" w:type="dxa"/>
            <w:tcBorders>
              <w:top w:val="nil"/>
              <w:bottom w:val="nil"/>
            </w:tcBorders>
            <w:shd w:val="clear" w:color="auto" w:fill="FFFFFF"/>
          </w:tcPr>
          <w:p w:rsidR="000776B6" w:rsidRPr="00545CD7" w:rsidRDefault="002C2A42" w:rsidP="009522C9">
            <w:pPr>
              <w:pStyle w:val="CETBodytext"/>
              <w:jc w:val="center"/>
              <w:rPr>
                <w:rFonts w:cs="Arial"/>
                <w:b/>
                <w:szCs w:val="18"/>
              </w:rPr>
            </w:pPr>
            <w:r>
              <w:rPr>
                <w:rFonts w:cs="Arial"/>
                <w:b/>
                <w:szCs w:val="18"/>
              </w:rPr>
              <w:t>2.</w:t>
            </w:r>
            <w:r w:rsidR="000776B6" w:rsidRPr="00545CD7">
              <w:rPr>
                <w:rFonts w:cs="Arial"/>
                <w:b/>
                <w:szCs w:val="18"/>
              </w:rPr>
              <w:t>5</w:t>
            </w:r>
          </w:p>
        </w:tc>
        <w:tc>
          <w:tcPr>
            <w:tcW w:w="1276" w:type="dxa"/>
            <w:tcBorders>
              <w:top w:val="nil"/>
              <w:left w:val="nil"/>
              <w:bottom w:val="nil"/>
              <w:right w:val="nil"/>
            </w:tcBorders>
            <w:shd w:val="clear" w:color="auto" w:fill="auto"/>
            <w:vAlign w:val="bottom"/>
          </w:tcPr>
          <w:p w:rsidR="000776B6" w:rsidRPr="00545CD7" w:rsidRDefault="000776B6" w:rsidP="009522C9">
            <w:pPr>
              <w:pStyle w:val="CETBodytext"/>
              <w:jc w:val="center"/>
              <w:rPr>
                <w:rFonts w:cs="Arial"/>
                <w:b/>
                <w:szCs w:val="18"/>
                <w:lang w:val="en-GB"/>
              </w:rPr>
            </w:pPr>
            <w:r w:rsidRPr="00545CD7">
              <w:rPr>
                <w:rFonts w:cs="Arial"/>
                <w:b/>
                <w:color w:val="000000"/>
                <w:szCs w:val="18"/>
              </w:rPr>
              <w:t>500</w:t>
            </w:r>
          </w:p>
        </w:tc>
        <w:tc>
          <w:tcPr>
            <w:tcW w:w="1134" w:type="dxa"/>
            <w:tcBorders>
              <w:top w:val="nil"/>
              <w:left w:val="nil"/>
              <w:bottom w:val="nil"/>
              <w:right w:val="nil"/>
            </w:tcBorders>
            <w:shd w:val="clear" w:color="auto" w:fill="auto"/>
            <w:vAlign w:val="bottom"/>
          </w:tcPr>
          <w:p w:rsidR="000776B6" w:rsidRPr="00545CD7" w:rsidRDefault="002C2A42" w:rsidP="009522C9">
            <w:pPr>
              <w:pStyle w:val="CETBodytext"/>
              <w:jc w:val="center"/>
              <w:rPr>
                <w:rFonts w:cs="Arial"/>
                <w:b/>
                <w:szCs w:val="18"/>
                <w:lang w:val="en-GB"/>
              </w:rPr>
            </w:pPr>
            <w:r>
              <w:rPr>
                <w:rFonts w:cs="Arial"/>
                <w:b/>
                <w:color w:val="000000"/>
                <w:szCs w:val="18"/>
              </w:rPr>
              <w:t>64.</w:t>
            </w:r>
            <w:r w:rsidR="000776B6" w:rsidRPr="00545CD7">
              <w:rPr>
                <w:rFonts w:cs="Arial"/>
                <w:b/>
                <w:color w:val="000000"/>
                <w:szCs w:val="18"/>
              </w:rPr>
              <w:t>8</w:t>
            </w:r>
          </w:p>
        </w:tc>
        <w:tc>
          <w:tcPr>
            <w:tcW w:w="1134" w:type="dxa"/>
            <w:tcBorders>
              <w:top w:val="nil"/>
              <w:left w:val="nil"/>
              <w:bottom w:val="nil"/>
              <w:right w:val="nil"/>
            </w:tcBorders>
            <w:shd w:val="clear" w:color="auto" w:fill="auto"/>
            <w:vAlign w:val="bottom"/>
          </w:tcPr>
          <w:p w:rsidR="000776B6" w:rsidRPr="00545CD7" w:rsidRDefault="002C2A42" w:rsidP="009522C9">
            <w:pPr>
              <w:pStyle w:val="CETBodytext"/>
              <w:jc w:val="center"/>
              <w:rPr>
                <w:rFonts w:cs="Arial"/>
                <w:b/>
                <w:szCs w:val="18"/>
                <w:lang w:val="en-GB"/>
              </w:rPr>
            </w:pPr>
            <w:r>
              <w:rPr>
                <w:rFonts w:cs="Arial"/>
                <w:b/>
                <w:color w:val="000000"/>
                <w:szCs w:val="18"/>
              </w:rPr>
              <w:t>35</w:t>
            </w:r>
            <w:r w:rsidR="00853275">
              <w:rPr>
                <w:rFonts w:cs="Arial"/>
                <w:b/>
                <w:color w:val="000000"/>
                <w:szCs w:val="18"/>
              </w:rPr>
              <w:t>.9</w:t>
            </w:r>
          </w:p>
        </w:tc>
        <w:tc>
          <w:tcPr>
            <w:tcW w:w="992" w:type="dxa"/>
            <w:tcBorders>
              <w:top w:val="nil"/>
              <w:left w:val="nil"/>
              <w:bottom w:val="nil"/>
              <w:right w:val="nil"/>
            </w:tcBorders>
            <w:shd w:val="clear" w:color="auto" w:fill="auto"/>
            <w:vAlign w:val="bottom"/>
          </w:tcPr>
          <w:p w:rsidR="000776B6" w:rsidRPr="00545CD7" w:rsidRDefault="002C2A42" w:rsidP="009522C9">
            <w:pPr>
              <w:pStyle w:val="CETBodytext"/>
              <w:jc w:val="center"/>
              <w:rPr>
                <w:rFonts w:cs="Arial"/>
                <w:b/>
                <w:szCs w:val="18"/>
                <w:lang w:val="en-GB"/>
              </w:rPr>
            </w:pPr>
            <w:r>
              <w:rPr>
                <w:rFonts w:cs="Arial"/>
                <w:b/>
                <w:color w:val="000000"/>
                <w:szCs w:val="18"/>
              </w:rPr>
              <w:t>12.</w:t>
            </w:r>
            <w:r w:rsidR="000776B6" w:rsidRPr="00545CD7">
              <w:rPr>
                <w:rFonts w:cs="Arial"/>
                <w:b/>
                <w:color w:val="000000"/>
                <w:szCs w:val="18"/>
              </w:rPr>
              <w:t>9</w:t>
            </w:r>
          </w:p>
        </w:tc>
        <w:tc>
          <w:tcPr>
            <w:tcW w:w="993" w:type="dxa"/>
            <w:tcBorders>
              <w:top w:val="nil"/>
              <w:left w:val="nil"/>
              <w:bottom w:val="nil"/>
              <w:right w:val="nil"/>
            </w:tcBorders>
            <w:shd w:val="clear" w:color="auto" w:fill="auto"/>
            <w:vAlign w:val="bottom"/>
          </w:tcPr>
          <w:p w:rsidR="000776B6" w:rsidRPr="00545CD7" w:rsidRDefault="000776B6" w:rsidP="009522C9">
            <w:pPr>
              <w:pStyle w:val="CETBodytext"/>
              <w:jc w:val="center"/>
              <w:rPr>
                <w:rFonts w:cs="Arial"/>
                <w:b/>
                <w:szCs w:val="18"/>
                <w:lang w:val="en-GB"/>
              </w:rPr>
            </w:pPr>
            <w:r w:rsidRPr="00545CD7">
              <w:rPr>
                <w:rFonts w:cs="Arial"/>
                <w:b/>
                <w:color w:val="000000"/>
                <w:szCs w:val="18"/>
              </w:rPr>
              <w:t>65%</w:t>
            </w:r>
          </w:p>
        </w:tc>
      </w:tr>
      <w:tr w:rsidR="002C2A42" w:rsidRPr="00B57B36" w:rsidTr="00853275">
        <w:tc>
          <w:tcPr>
            <w:tcW w:w="708" w:type="dxa"/>
            <w:tcBorders>
              <w:top w:val="nil"/>
              <w:bottom w:val="nil"/>
            </w:tcBorders>
            <w:shd w:val="clear" w:color="auto" w:fill="FFFFFF"/>
          </w:tcPr>
          <w:p w:rsidR="000776B6" w:rsidRPr="00545CD7" w:rsidRDefault="000776B6" w:rsidP="009522C9">
            <w:pPr>
              <w:pStyle w:val="CETBodytext"/>
              <w:ind w:right="-1"/>
              <w:jc w:val="center"/>
              <w:rPr>
                <w:rFonts w:cs="Arial"/>
                <w:szCs w:val="18"/>
              </w:rPr>
            </w:pPr>
          </w:p>
        </w:tc>
        <w:tc>
          <w:tcPr>
            <w:tcW w:w="426" w:type="dxa"/>
            <w:tcBorders>
              <w:top w:val="nil"/>
              <w:bottom w:val="nil"/>
            </w:tcBorders>
            <w:shd w:val="clear" w:color="auto" w:fill="FFFFFF"/>
          </w:tcPr>
          <w:p w:rsidR="000776B6" w:rsidRPr="00545CD7" w:rsidRDefault="002C2A42" w:rsidP="009522C9">
            <w:pPr>
              <w:pStyle w:val="CETBodytext"/>
              <w:ind w:right="-1"/>
              <w:jc w:val="center"/>
              <w:rPr>
                <w:rFonts w:cs="Arial"/>
                <w:szCs w:val="18"/>
              </w:rPr>
            </w:pPr>
            <w:r>
              <w:rPr>
                <w:rFonts w:cs="Arial"/>
                <w:szCs w:val="18"/>
              </w:rPr>
              <w:t>2.</w:t>
            </w:r>
            <w:r w:rsidR="000776B6" w:rsidRPr="00545CD7">
              <w:rPr>
                <w:rFonts w:cs="Arial"/>
                <w:szCs w:val="18"/>
              </w:rPr>
              <w:t>8</w:t>
            </w:r>
          </w:p>
        </w:tc>
        <w:tc>
          <w:tcPr>
            <w:tcW w:w="1276" w:type="dxa"/>
            <w:tcBorders>
              <w:top w:val="nil"/>
              <w:left w:val="nil"/>
              <w:bottom w:val="nil"/>
              <w:right w:val="nil"/>
            </w:tcBorders>
            <w:shd w:val="clear" w:color="auto" w:fill="auto"/>
            <w:vAlign w:val="bottom"/>
          </w:tcPr>
          <w:p w:rsidR="000776B6" w:rsidRPr="00545CD7" w:rsidRDefault="000776B6" w:rsidP="009522C9">
            <w:pPr>
              <w:pStyle w:val="CETBodytext"/>
              <w:jc w:val="center"/>
              <w:rPr>
                <w:rFonts w:cs="Arial"/>
                <w:szCs w:val="18"/>
                <w:lang w:val="en-GB"/>
              </w:rPr>
            </w:pPr>
            <w:r w:rsidRPr="00545CD7">
              <w:rPr>
                <w:rFonts w:cs="Arial"/>
                <w:color w:val="000000"/>
                <w:szCs w:val="18"/>
              </w:rPr>
              <w:t>550</w:t>
            </w:r>
          </w:p>
        </w:tc>
        <w:tc>
          <w:tcPr>
            <w:tcW w:w="1134" w:type="dxa"/>
            <w:tcBorders>
              <w:top w:val="nil"/>
              <w:left w:val="nil"/>
              <w:bottom w:val="nil"/>
              <w:right w:val="nil"/>
            </w:tcBorders>
            <w:shd w:val="clear" w:color="auto" w:fill="auto"/>
            <w:vAlign w:val="bottom"/>
          </w:tcPr>
          <w:p w:rsidR="000776B6" w:rsidRPr="00545CD7" w:rsidRDefault="002C2A42" w:rsidP="009522C9">
            <w:pPr>
              <w:pStyle w:val="CETBodytext"/>
              <w:jc w:val="center"/>
              <w:rPr>
                <w:rFonts w:cs="Arial"/>
                <w:szCs w:val="18"/>
                <w:lang w:val="en-GB"/>
              </w:rPr>
            </w:pPr>
            <w:r>
              <w:rPr>
                <w:rFonts w:cs="Arial"/>
                <w:color w:val="000000"/>
                <w:szCs w:val="18"/>
              </w:rPr>
              <w:t>67.</w:t>
            </w:r>
            <w:r w:rsidR="000776B6" w:rsidRPr="00545CD7">
              <w:rPr>
                <w:rFonts w:cs="Arial"/>
                <w:color w:val="000000"/>
                <w:szCs w:val="18"/>
              </w:rPr>
              <w:t>7</w:t>
            </w:r>
          </w:p>
        </w:tc>
        <w:tc>
          <w:tcPr>
            <w:tcW w:w="1134" w:type="dxa"/>
            <w:tcBorders>
              <w:top w:val="nil"/>
              <w:left w:val="nil"/>
              <w:bottom w:val="nil"/>
              <w:right w:val="nil"/>
            </w:tcBorders>
            <w:shd w:val="clear" w:color="auto" w:fill="auto"/>
            <w:vAlign w:val="bottom"/>
          </w:tcPr>
          <w:p w:rsidR="000776B6" w:rsidRPr="00545CD7" w:rsidRDefault="002C2A42" w:rsidP="009522C9">
            <w:pPr>
              <w:pStyle w:val="CETBodytext"/>
              <w:jc w:val="center"/>
              <w:rPr>
                <w:rFonts w:cs="Arial"/>
                <w:szCs w:val="18"/>
                <w:lang w:val="en-GB"/>
              </w:rPr>
            </w:pPr>
            <w:r>
              <w:rPr>
                <w:rFonts w:cs="Arial"/>
                <w:color w:val="000000"/>
                <w:szCs w:val="18"/>
              </w:rPr>
              <w:t>37</w:t>
            </w:r>
            <w:r w:rsidR="00853275">
              <w:rPr>
                <w:rFonts w:cs="Arial"/>
                <w:color w:val="000000"/>
                <w:szCs w:val="18"/>
              </w:rPr>
              <w:t>.6</w:t>
            </w:r>
          </w:p>
        </w:tc>
        <w:tc>
          <w:tcPr>
            <w:tcW w:w="992" w:type="dxa"/>
            <w:tcBorders>
              <w:top w:val="nil"/>
              <w:left w:val="nil"/>
              <w:bottom w:val="nil"/>
              <w:right w:val="nil"/>
            </w:tcBorders>
            <w:shd w:val="clear" w:color="auto" w:fill="auto"/>
            <w:vAlign w:val="bottom"/>
          </w:tcPr>
          <w:p w:rsidR="000776B6" w:rsidRPr="00545CD7" w:rsidRDefault="002C2A42" w:rsidP="009522C9">
            <w:pPr>
              <w:pStyle w:val="CETBodytext"/>
              <w:jc w:val="center"/>
              <w:rPr>
                <w:rFonts w:cs="Arial"/>
                <w:szCs w:val="18"/>
                <w:lang w:val="en-GB"/>
              </w:rPr>
            </w:pPr>
            <w:r>
              <w:rPr>
                <w:rFonts w:cs="Arial"/>
                <w:color w:val="000000"/>
                <w:szCs w:val="18"/>
              </w:rPr>
              <w:t>13.</w:t>
            </w:r>
            <w:r w:rsidR="000776B6" w:rsidRPr="00545CD7">
              <w:rPr>
                <w:rFonts w:cs="Arial"/>
                <w:color w:val="000000"/>
                <w:szCs w:val="18"/>
              </w:rPr>
              <w:t>5</w:t>
            </w:r>
          </w:p>
        </w:tc>
        <w:tc>
          <w:tcPr>
            <w:tcW w:w="993" w:type="dxa"/>
            <w:tcBorders>
              <w:top w:val="nil"/>
              <w:left w:val="nil"/>
              <w:bottom w:val="nil"/>
              <w:right w:val="nil"/>
            </w:tcBorders>
            <w:shd w:val="clear" w:color="auto" w:fill="auto"/>
            <w:vAlign w:val="bottom"/>
          </w:tcPr>
          <w:p w:rsidR="000776B6" w:rsidRPr="00545CD7" w:rsidRDefault="000776B6" w:rsidP="009522C9">
            <w:pPr>
              <w:pStyle w:val="CETBodytext"/>
              <w:jc w:val="center"/>
              <w:rPr>
                <w:rFonts w:cs="Arial"/>
                <w:szCs w:val="18"/>
                <w:lang w:val="en-GB"/>
              </w:rPr>
            </w:pPr>
            <w:r w:rsidRPr="00545CD7">
              <w:rPr>
                <w:rFonts w:cs="Arial"/>
                <w:color w:val="000000"/>
                <w:szCs w:val="18"/>
              </w:rPr>
              <w:t>64%</w:t>
            </w:r>
          </w:p>
        </w:tc>
      </w:tr>
      <w:tr w:rsidR="002C2A42" w:rsidRPr="00B57B36" w:rsidTr="00853275">
        <w:tc>
          <w:tcPr>
            <w:tcW w:w="708" w:type="dxa"/>
            <w:tcBorders>
              <w:top w:val="nil"/>
              <w:bottom w:val="nil"/>
            </w:tcBorders>
            <w:shd w:val="clear" w:color="auto" w:fill="FFFFFF"/>
          </w:tcPr>
          <w:p w:rsidR="000776B6" w:rsidRPr="00545CD7" w:rsidRDefault="000776B6" w:rsidP="009522C9">
            <w:pPr>
              <w:pStyle w:val="CETBodytext"/>
              <w:ind w:right="-1"/>
              <w:jc w:val="center"/>
              <w:rPr>
                <w:rFonts w:cs="Arial"/>
                <w:szCs w:val="18"/>
              </w:rPr>
            </w:pPr>
          </w:p>
        </w:tc>
        <w:tc>
          <w:tcPr>
            <w:tcW w:w="426" w:type="dxa"/>
            <w:tcBorders>
              <w:top w:val="nil"/>
              <w:bottom w:val="nil"/>
            </w:tcBorders>
            <w:shd w:val="clear" w:color="auto" w:fill="FFFFFF"/>
          </w:tcPr>
          <w:p w:rsidR="000776B6" w:rsidRPr="00545CD7" w:rsidRDefault="002C2A42" w:rsidP="009522C9">
            <w:pPr>
              <w:pStyle w:val="CETBodytext"/>
              <w:ind w:right="-1"/>
              <w:jc w:val="center"/>
              <w:rPr>
                <w:rFonts w:cs="Arial"/>
                <w:szCs w:val="18"/>
              </w:rPr>
            </w:pPr>
            <w:r>
              <w:rPr>
                <w:rFonts w:cs="Arial"/>
                <w:szCs w:val="18"/>
              </w:rPr>
              <w:t>3.</w:t>
            </w:r>
            <w:r w:rsidR="000776B6" w:rsidRPr="00545CD7">
              <w:rPr>
                <w:rFonts w:cs="Arial"/>
                <w:szCs w:val="18"/>
              </w:rPr>
              <w:t>0</w:t>
            </w:r>
          </w:p>
        </w:tc>
        <w:tc>
          <w:tcPr>
            <w:tcW w:w="1276" w:type="dxa"/>
            <w:tcBorders>
              <w:top w:val="nil"/>
              <w:left w:val="nil"/>
              <w:bottom w:val="nil"/>
              <w:right w:val="nil"/>
            </w:tcBorders>
            <w:shd w:val="clear" w:color="auto" w:fill="auto"/>
            <w:vAlign w:val="bottom"/>
          </w:tcPr>
          <w:p w:rsidR="000776B6" w:rsidRPr="00545CD7" w:rsidRDefault="000776B6" w:rsidP="009522C9">
            <w:pPr>
              <w:pStyle w:val="CETBodytext"/>
              <w:ind w:right="-1"/>
              <w:jc w:val="center"/>
              <w:rPr>
                <w:rFonts w:cs="Arial"/>
                <w:szCs w:val="18"/>
                <w:lang w:val="en-GB"/>
              </w:rPr>
            </w:pPr>
            <w:r w:rsidRPr="00545CD7">
              <w:rPr>
                <w:rFonts w:cs="Arial"/>
                <w:color w:val="000000"/>
                <w:szCs w:val="18"/>
              </w:rPr>
              <w:t>600</w:t>
            </w:r>
          </w:p>
        </w:tc>
        <w:tc>
          <w:tcPr>
            <w:tcW w:w="1134" w:type="dxa"/>
            <w:tcBorders>
              <w:top w:val="nil"/>
              <w:left w:val="nil"/>
              <w:bottom w:val="nil"/>
              <w:right w:val="nil"/>
            </w:tcBorders>
            <w:shd w:val="clear" w:color="auto" w:fill="auto"/>
            <w:vAlign w:val="bottom"/>
          </w:tcPr>
          <w:p w:rsidR="000776B6" w:rsidRPr="00545CD7" w:rsidRDefault="002C2A42" w:rsidP="009522C9">
            <w:pPr>
              <w:pStyle w:val="CETBodytext"/>
              <w:ind w:right="-1"/>
              <w:jc w:val="center"/>
              <w:rPr>
                <w:rFonts w:cs="Arial"/>
                <w:szCs w:val="18"/>
                <w:lang w:val="en-GB"/>
              </w:rPr>
            </w:pPr>
            <w:r>
              <w:rPr>
                <w:rFonts w:cs="Arial"/>
                <w:color w:val="000000"/>
                <w:szCs w:val="18"/>
              </w:rPr>
              <w:t>67.</w:t>
            </w:r>
            <w:r w:rsidR="000776B6" w:rsidRPr="00545CD7">
              <w:rPr>
                <w:rFonts w:cs="Arial"/>
                <w:color w:val="000000"/>
                <w:szCs w:val="18"/>
              </w:rPr>
              <w:t>6</w:t>
            </w:r>
          </w:p>
        </w:tc>
        <w:tc>
          <w:tcPr>
            <w:tcW w:w="1134" w:type="dxa"/>
            <w:tcBorders>
              <w:top w:val="nil"/>
              <w:left w:val="nil"/>
              <w:bottom w:val="nil"/>
              <w:right w:val="nil"/>
            </w:tcBorders>
            <w:shd w:val="clear" w:color="auto" w:fill="auto"/>
            <w:vAlign w:val="bottom"/>
          </w:tcPr>
          <w:p w:rsidR="000776B6" w:rsidRPr="00545CD7" w:rsidRDefault="002C2A42" w:rsidP="009522C9">
            <w:pPr>
              <w:pStyle w:val="CETBodytext"/>
              <w:ind w:right="-1"/>
              <w:jc w:val="center"/>
              <w:rPr>
                <w:rFonts w:cs="Arial"/>
                <w:szCs w:val="18"/>
                <w:lang w:val="en-GB"/>
              </w:rPr>
            </w:pPr>
            <w:r>
              <w:rPr>
                <w:rFonts w:cs="Arial"/>
                <w:color w:val="000000"/>
                <w:szCs w:val="18"/>
              </w:rPr>
              <w:t>37</w:t>
            </w:r>
            <w:r w:rsidR="00853275">
              <w:rPr>
                <w:rFonts w:cs="Arial"/>
                <w:color w:val="000000"/>
                <w:szCs w:val="18"/>
              </w:rPr>
              <w:t>.5</w:t>
            </w:r>
          </w:p>
        </w:tc>
        <w:tc>
          <w:tcPr>
            <w:tcW w:w="992" w:type="dxa"/>
            <w:tcBorders>
              <w:top w:val="nil"/>
              <w:left w:val="nil"/>
              <w:bottom w:val="nil"/>
              <w:right w:val="nil"/>
            </w:tcBorders>
            <w:shd w:val="clear" w:color="auto" w:fill="auto"/>
            <w:vAlign w:val="bottom"/>
          </w:tcPr>
          <w:p w:rsidR="000776B6" w:rsidRPr="00545CD7" w:rsidRDefault="002C2A42" w:rsidP="009522C9">
            <w:pPr>
              <w:pStyle w:val="CETBodytext"/>
              <w:ind w:right="-1"/>
              <w:jc w:val="center"/>
              <w:rPr>
                <w:rFonts w:cs="Arial"/>
                <w:szCs w:val="18"/>
                <w:lang w:val="en-GB"/>
              </w:rPr>
            </w:pPr>
            <w:r>
              <w:rPr>
                <w:rFonts w:cs="Arial"/>
                <w:color w:val="000000"/>
                <w:szCs w:val="18"/>
              </w:rPr>
              <w:t>13.</w:t>
            </w:r>
            <w:r w:rsidR="000776B6" w:rsidRPr="00545CD7">
              <w:rPr>
                <w:rFonts w:cs="Arial"/>
                <w:color w:val="000000"/>
                <w:szCs w:val="18"/>
              </w:rPr>
              <w:t>5</w:t>
            </w:r>
          </w:p>
        </w:tc>
        <w:tc>
          <w:tcPr>
            <w:tcW w:w="993" w:type="dxa"/>
            <w:tcBorders>
              <w:top w:val="nil"/>
              <w:left w:val="nil"/>
              <w:bottom w:val="nil"/>
              <w:right w:val="nil"/>
            </w:tcBorders>
            <w:shd w:val="clear" w:color="auto" w:fill="auto"/>
            <w:vAlign w:val="bottom"/>
          </w:tcPr>
          <w:p w:rsidR="000776B6" w:rsidRPr="00545CD7" w:rsidRDefault="000776B6" w:rsidP="009522C9">
            <w:pPr>
              <w:pStyle w:val="CETBodytext"/>
              <w:ind w:right="-1"/>
              <w:jc w:val="center"/>
              <w:rPr>
                <w:rFonts w:cs="Arial"/>
                <w:szCs w:val="18"/>
                <w:lang w:val="en-GB"/>
              </w:rPr>
            </w:pPr>
            <w:r w:rsidRPr="00545CD7">
              <w:rPr>
                <w:rFonts w:cs="Arial"/>
                <w:color w:val="000000"/>
                <w:szCs w:val="18"/>
              </w:rPr>
              <w:t>64%</w:t>
            </w:r>
          </w:p>
        </w:tc>
      </w:tr>
      <w:tr w:rsidR="002C2A42" w:rsidRPr="00B57B36" w:rsidTr="001A10E1">
        <w:tc>
          <w:tcPr>
            <w:tcW w:w="708" w:type="dxa"/>
            <w:tcBorders>
              <w:top w:val="nil"/>
              <w:bottom w:val="single" w:sz="4" w:space="0" w:color="00B050"/>
            </w:tcBorders>
            <w:shd w:val="clear" w:color="auto" w:fill="FFFFFF"/>
          </w:tcPr>
          <w:p w:rsidR="000776B6" w:rsidRPr="00545CD7" w:rsidRDefault="000776B6" w:rsidP="009522C9">
            <w:pPr>
              <w:pStyle w:val="CETBodytext"/>
              <w:ind w:right="-1"/>
              <w:jc w:val="center"/>
              <w:rPr>
                <w:rFonts w:cs="Arial"/>
                <w:szCs w:val="18"/>
              </w:rPr>
            </w:pPr>
          </w:p>
        </w:tc>
        <w:tc>
          <w:tcPr>
            <w:tcW w:w="426" w:type="dxa"/>
            <w:tcBorders>
              <w:top w:val="nil"/>
              <w:bottom w:val="single" w:sz="4" w:space="0" w:color="00B050"/>
            </w:tcBorders>
            <w:shd w:val="clear" w:color="auto" w:fill="FFFFFF"/>
          </w:tcPr>
          <w:p w:rsidR="000776B6" w:rsidRPr="00545CD7" w:rsidRDefault="002C2A42" w:rsidP="009522C9">
            <w:pPr>
              <w:pStyle w:val="CETBodytext"/>
              <w:ind w:right="-1"/>
              <w:jc w:val="center"/>
              <w:rPr>
                <w:rFonts w:cs="Arial"/>
                <w:szCs w:val="18"/>
              </w:rPr>
            </w:pPr>
            <w:r>
              <w:rPr>
                <w:rFonts w:cs="Arial"/>
                <w:szCs w:val="18"/>
              </w:rPr>
              <w:t>3.</w:t>
            </w:r>
            <w:r w:rsidR="000776B6" w:rsidRPr="00545CD7">
              <w:rPr>
                <w:rFonts w:cs="Arial"/>
                <w:szCs w:val="18"/>
              </w:rPr>
              <w:t>5</w:t>
            </w:r>
          </w:p>
        </w:tc>
        <w:tc>
          <w:tcPr>
            <w:tcW w:w="1276" w:type="dxa"/>
            <w:tcBorders>
              <w:top w:val="nil"/>
              <w:left w:val="nil"/>
              <w:bottom w:val="single" w:sz="4" w:space="0" w:color="00B050"/>
              <w:right w:val="nil"/>
            </w:tcBorders>
            <w:shd w:val="clear" w:color="auto" w:fill="auto"/>
            <w:vAlign w:val="bottom"/>
          </w:tcPr>
          <w:p w:rsidR="000776B6" w:rsidRPr="00545CD7" w:rsidRDefault="000776B6" w:rsidP="009522C9">
            <w:pPr>
              <w:pStyle w:val="CETBodytext"/>
              <w:ind w:right="-1"/>
              <w:jc w:val="center"/>
              <w:rPr>
                <w:rFonts w:cs="Arial"/>
                <w:szCs w:val="18"/>
                <w:lang w:val="en-GB"/>
              </w:rPr>
            </w:pPr>
            <w:r w:rsidRPr="00545CD7">
              <w:rPr>
                <w:rFonts w:cs="Arial"/>
                <w:color w:val="000000"/>
                <w:szCs w:val="18"/>
              </w:rPr>
              <w:t>700</w:t>
            </w:r>
          </w:p>
        </w:tc>
        <w:tc>
          <w:tcPr>
            <w:tcW w:w="1134" w:type="dxa"/>
            <w:tcBorders>
              <w:top w:val="nil"/>
              <w:left w:val="nil"/>
              <w:bottom w:val="single" w:sz="4" w:space="0" w:color="00B050"/>
              <w:right w:val="nil"/>
            </w:tcBorders>
            <w:shd w:val="clear" w:color="auto" w:fill="auto"/>
            <w:vAlign w:val="bottom"/>
          </w:tcPr>
          <w:p w:rsidR="000776B6" w:rsidRPr="00545CD7" w:rsidRDefault="002C2A42" w:rsidP="009522C9">
            <w:pPr>
              <w:pStyle w:val="CETBodytext"/>
              <w:ind w:right="-1"/>
              <w:jc w:val="center"/>
              <w:rPr>
                <w:rFonts w:cs="Arial"/>
                <w:szCs w:val="18"/>
                <w:lang w:val="en-GB"/>
              </w:rPr>
            </w:pPr>
            <w:r>
              <w:rPr>
                <w:rFonts w:cs="Arial"/>
                <w:color w:val="000000"/>
                <w:szCs w:val="18"/>
              </w:rPr>
              <w:t>69.</w:t>
            </w:r>
            <w:r w:rsidR="000776B6" w:rsidRPr="00545CD7">
              <w:rPr>
                <w:rFonts w:cs="Arial"/>
                <w:color w:val="000000"/>
                <w:szCs w:val="18"/>
              </w:rPr>
              <w:t>9</w:t>
            </w:r>
          </w:p>
        </w:tc>
        <w:tc>
          <w:tcPr>
            <w:tcW w:w="1134" w:type="dxa"/>
            <w:tcBorders>
              <w:top w:val="nil"/>
              <w:left w:val="nil"/>
              <w:bottom w:val="single" w:sz="4" w:space="0" w:color="00B050"/>
              <w:right w:val="nil"/>
            </w:tcBorders>
            <w:shd w:val="clear" w:color="auto" w:fill="auto"/>
            <w:vAlign w:val="bottom"/>
          </w:tcPr>
          <w:p w:rsidR="000776B6" w:rsidRPr="00545CD7" w:rsidRDefault="002C2A42" w:rsidP="009522C9">
            <w:pPr>
              <w:pStyle w:val="CETBodytext"/>
              <w:ind w:right="-1"/>
              <w:jc w:val="center"/>
              <w:rPr>
                <w:rFonts w:cs="Arial"/>
                <w:szCs w:val="18"/>
                <w:lang w:val="en-GB"/>
              </w:rPr>
            </w:pPr>
            <w:r>
              <w:rPr>
                <w:rFonts w:cs="Arial"/>
                <w:color w:val="000000"/>
                <w:szCs w:val="18"/>
              </w:rPr>
              <w:t>38</w:t>
            </w:r>
            <w:r w:rsidR="00853275">
              <w:rPr>
                <w:rFonts w:cs="Arial"/>
                <w:color w:val="000000"/>
                <w:szCs w:val="18"/>
              </w:rPr>
              <w:t>.9</w:t>
            </w:r>
          </w:p>
        </w:tc>
        <w:tc>
          <w:tcPr>
            <w:tcW w:w="992" w:type="dxa"/>
            <w:tcBorders>
              <w:top w:val="nil"/>
              <w:left w:val="nil"/>
              <w:bottom w:val="single" w:sz="4" w:space="0" w:color="00B050"/>
              <w:right w:val="nil"/>
            </w:tcBorders>
            <w:shd w:val="clear" w:color="auto" w:fill="auto"/>
            <w:vAlign w:val="bottom"/>
          </w:tcPr>
          <w:p w:rsidR="000776B6" w:rsidRPr="00545CD7" w:rsidRDefault="002C2A42" w:rsidP="009522C9">
            <w:pPr>
              <w:pStyle w:val="CETBodytext"/>
              <w:ind w:right="-1"/>
              <w:jc w:val="center"/>
              <w:rPr>
                <w:rFonts w:cs="Arial"/>
                <w:szCs w:val="18"/>
                <w:lang w:val="en-GB"/>
              </w:rPr>
            </w:pPr>
            <w:r>
              <w:rPr>
                <w:rFonts w:cs="Arial"/>
                <w:color w:val="000000"/>
                <w:szCs w:val="18"/>
              </w:rPr>
              <w:t>13.</w:t>
            </w:r>
            <w:r w:rsidR="000776B6" w:rsidRPr="00545CD7">
              <w:rPr>
                <w:rFonts w:cs="Arial"/>
                <w:color w:val="000000"/>
                <w:szCs w:val="18"/>
              </w:rPr>
              <w:t>9</w:t>
            </w:r>
          </w:p>
        </w:tc>
        <w:tc>
          <w:tcPr>
            <w:tcW w:w="993" w:type="dxa"/>
            <w:tcBorders>
              <w:top w:val="nil"/>
              <w:left w:val="nil"/>
              <w:bottom w:val="single" w:sz="4" w:space="0" w:color="00B050"/>
              <w:right w:val="nil"/>
            </w:tcBorders>
            <w:shd w:val="clear" w:color="auto" w:fill="auto"/>
            <w:vAlign w:val="bottom"/>
          </w:tcPr>
          <w:p w:rsidR="000776B6" w:rsidRPr="00545CD7" w:rsidRDefault="000776B6" w:rsidP="009522C9">
            <w:pPr>
              <w:pStyle w:val="CETBodytext"/>
              <w:ind w:right="-1"/>
              <w:jc w:val="center"/>
              <w:rPr>
                <w:rFonts w:cs="Arial"/>
                <w:szCs w:val="18"/>
                <w:lang w:val="en-GB"/>
              </w:rPr>
            </w:pPr>
            <w:r w:rsidRPr="00545CD7">
              <w:rPr>
                <w:rFonts w:cs="Arial"/>
                <w:color w:val="000000"/>
                <w:szCs w:val="18"/>
              </w:rPr>
              <w:t>63%</w:t>
            </w:r>
          </w:p>
        </w:tc>
      </w:tr>
      <w:tr w:rsidR="002C2A42" w:rsidRPr="00B57B36" w:rsidTr="001A10E1">
        <w:tc>
          <w:tcPr>
            <w:tcW w:w="708" w:type="dxa"/>
            <w:tcBorders>
              <w:top w:val="single" w:sz="4" w:space="0" w:color="00B050"/>
            </w:tcBorders>
            <w:shd w:val="clear" w:color="auto" w:fill="FFFFFF"/>
          </w:tcPr>
          <w:p w:rsidR="000776B6" w:rsidRPr="00545CD7" w:rsidRDefault="000776B6" w:rsidP="000776B6">
            <w:pPr>
              <w:pStyle w:val="CETBodytext"/>
              <w:ind w:right="-1"/>
              <w:jc w:val="center"/>
              <w:rPr>
                <w:rFonts w:cs="Arial"/>
                <w:szCs w:val="18"/>
              </w:rPr>
            </w:pPr>
            <w:r w:rsidRPr="00545CD7">
              <w:rPr>
                <w:rFonts w:cs="Arial"/>
                <w:szCs w:val="18"/>
                <w:lang w:val="en-GB"/>
              </w:rPr>
              <w:t>DEA</w:t>
            </w:r>
          </w:p>
        </w:tc>
        <w:tc>
          <w:tcPr>
            <w:tcW w:w="426" w:type="dxa"/>
            <w:tcBorders>
              <w:top w:val="single" w:sz="4" w:space="0" w:color="00B050"/>
            </w:tcBorders>
            <w:shd w:val="clear" w:color="auto" w:fill="FFFFFF"/>
          </w:tcPr>
          <w:p w:rsidR="000776B6" w:rsidRPr="00545CD7" w:rsidRDefault="002C2A42" w:rsidP="000776B6">
            <w:pPr>
              <w:pStyle w:val="CETBodytext"/>
              <w:ind w:right="-1"/>
              <w:jc w:val="center"/>
              <w:rPr>
                <w:rFonts w:cs="Arial"/>
                <w:szCs w:val="18"/>
              </w:rPr>
            </w:pPr>
            <w:r>
              <w:rPr>
                <w:rFonts w:cs="Arial"/>
                <w:szCs w:val="18"/>
              </w:rPr>
              <w:t>3.</w:t>
            </w:r>
            <w:r w:rsidR="000776B6" w:rsidRPr="00545CD7">
              <w:rPr>
                <w:rFonts w:cs="Arial"/>
                <w:szCs w:val="18"/>
              </w:rPr>
              <w:t>15</w:t>
            </w:r>
          </w:p>
        </w:tc>
        <w:tc>
          <w:tcPr>
            <w:tcW w:w="1276" w:type="dxa"/>
            <w:tcBorders>
              <w:top w:val="single" w:sz="4" w:space="0" w:color="00B050"/>
              <w:left w:val="nil"/>
              <w:bottom w:val="nil"/>
              <w:right w:val="nil"/>
            </w:tcBorders>
            <w:shd w:val="clear" w:color="auto" w:fill="auto"/>
            <w:vAlign w:val="bottom"/>
          </w:tcPr>
          <w:p w:rsidR="000776B6" w:rsidRPr="00545CD7" w:rsidRDefault="000776B6" w:rsidP="000776B6">
            <w:pPr>
              <w:pStyle w:val="CETBodytext"/>
              <w:ind w:right="-1"/>
              <w:jc w:val="center"/>
              <w:rPr>
                <w:rFonts w:cs="Arial"/>
                <w:szCs w:val="18"/>
                <w:lang w:val="en-GB"/>
              </w:rPr>
            </w:pPr>
            <w:r w:rsidRPr="00545CD7">
              <w:rPr>
                <w:rFonts w:cs="Arial"/>
                <w:color w:val="000000"/>
                <w:szCs w:val="18"/>
              </w:rPr>
              <w:t>630</w:t>
            </w:r>
          </w:p>
        </w:tc>
        <w:tc>
          <w:tcPr>
            <w:tcW w:w="1134" w:type="dxa"/>
            <w:tcBorders>
              <w:top w:val="single" w:sz="4" w:space="0" w:color="00B050"/>
              <w:left w:val="nil"/>
              <w:bottom w:val="nil"/>
              <w:right w:val="nil"/>
            </w:tcBorders>
            <w:shd w:val="clear" w:color="auto" w:fill="auto"/>
            <w:vAlign w:val="bottom"/>
          </w:tcPr>
          <w:p w:rsidR="000776B6" w:rsidRPr="00545CD7" w:rsidRDefault="002C2A42" w:rsidP="000776B6">
            <w:pPr>
              <w:pStyle w:val="CETBodytext"/>
              <w:ind w:right="-1"/>
              <w:jc w:val="center"/>
              <w:rPr>
                <w:rFonts w:cs="Arial"/>
                <w:szCs w:val="18"/>
                <w:lang w:val="en-GB"/>
              </w:rPr>
            </w:pPr>
            <w:r>
              <w:rPr>
                <w:rFonts w:cs="Arial"/>
                <w:color w:val="000000"/>
                <w:szCs w:val="18"/>
              </w:rPr>
              <w:t>426.</w:t>
            </w:r>
            <w:r w:rsidR="000776B6" w:rsidRPr="00545CD7">
              <w:rPr>
                <w:rFonts w:cs="Arial"/>
                <w:color w:val="000000"/>
                <w:szCs w:val="18"/>
              </w:rPr>
              <w:t>3</w:t>
            </w:r>
          </w:p>
        </w:tc>
        <w:tc>
          <w:tcPr>
            <w:tcW w:w="1134" w:type="dxa"/>
            <w:tcBorders>
              <w:top w:val="single" w:sz="4" w:space="0" w:color="00B050"/>
              <w:left w:val="nil"/>
              <w:bottom w:val="nil"/>
              <w:right w:val="nil"/>
            </w:tcBorders>
            <w:shd w:val="clear" w:color="auto" w:fill="auto"/>
            <w:vAlign w:val="bottom"/>
          </w:tcPr>
          <w:p w:rsidR="000776B6" w:rsidRPr="00545CD7" w:rsidRDefault="002C2A42" w:rsidP="000776B6">
            <w:pPr>
              <w:pStyle w:val="CETBodytext"/>
              <w:ind w:right="-1"/>
              <w:jc w:val="center"/>
              <w:rPr>
                <w:rFonts w:cs="Arial"/>
                <w:szCs w:val="18"/>
                <w:lang w:val="en-GB"/>
              </w:rPr>
            </w:pPr>
            <w:r>
              <w:rPr>
                <w:rFonts w:cs="Arial"/>
                <w:color w:val="000000"/>
                <w:szCs w:val="18"/>
              </w:rPr>
              <w:t>236</w:t>
            </w:r>
            <w:r w:rsidR="00853275">
              <w:rPr>
                <w:rFonts w:cs="Arial"/>
                <w:color w:val="000000"/>
                <w:szCs w:val="18"/>
              </w:rPr>
              <w:t>.7</w:t>
            </w:r>
          </w:p>
        </w:tc>
        <w:tc>
          <w:tcPr>
            <w:tcW w:w="992" w:type="dxa"/>
            <w:tcBorders>
              <w:top w:val="single" w:sz="4" w:space="0" w:color="00B050"/>
              <w:left w:val="nil"/>
              <w:bottom w:val="nil"/>
              <w:right w:val="nil"/>
            </w:tcBorders>
            <w:shd w:val="clear" w:color="auto" w:fill="auto"/>
            <w:vAlign w:val="bottom"/>
          </w:tcPr>
          <w:p w:rsidR="000776B6" w:rsidRPr="00545CD7" w:rsidRDefault="002C2A42" w:rsidP="000776B6">
            <w:pPr>
              <w:pStyle w:val="CETBodytext"/>
              <w:ind w:right="-1"/>
              <w:jc w:val="center"/>
              <w:rPr>
                <w:rFonts w:cs="Arial"/>
                <w:szCs w:val="18"/>
                <w:lang w:val="en-GB"/>
              </w:rPr>
            </w:pPr>
            <w:r>
              <w:rPr>
                <w:rFonts w:cs="Arial"/>
                <w:color w:val="000000"/>
                <w:szCs w:val="18"/>
              </w:rPr>
              <w:t>85.</w:t>
            </w:r>
            <w:r w:rsidR="000776B6" w:rsidRPr="00545CD7">
              <w:rPr>
                <w:rFonts w:cs="Arial"/>
                <w:color w:val="000000"/>
                <w:szCs w:val="18"/>
              </w:rPr>
              <w:t>2</w:t>
            </w:r>
          </w:p>
        </w:tc>
        <w:tc>
          <w:tcPr>
            <w:tcW w:w="993" w:type="dxa"/>
            <w:tcBorders>
              <w:top w:val="single" w:sz="4" w:space="0" w:color="00B050"/>
              <w:left w:val="nil"/>
              <w:bottom w:val="nil"/>
              <w:right w:val="nil"/>
            </w:tcBorders>
            <w:shd w:val="clear" w:color="auto" w:fill="auto"/>
            <w:vAlign w:val="bottom"/>
          </w:tcPr>
          <w:p w:rsidR="000776B6" w:rsidRPr="00545CD7" w:rsidRDefault="000776B6" w:rsidP="000776B6">
            <w:pPr>
              <w:pStyle w:val="CETBodytext"/>
              <w:ind w:right="-1"/>
              <w:jc w:val="center"/>
              <w:rPr>
                <w:rFonts w:cs="Arial"/>
                <w:szCs w:val="18"/>
                <w:lang w:val="en-GB"/>
              </w:rPr>
            </w:pPr>
            <w:r w:rsidRPr="00545CD7">
              <w:rPr>
                <w:rFonts w:cs="Arial"/>
                <w:color w:val="000000"/>
                <w:szCs w:val="18"/>
              </w:rPr>
              <w:t>25%</w:t>
            </w:r>
          </w:p>
        </w:tc>
      </w:tr>
      <w:tr w:rsidR="002C2A42" w:rsidRPr="00B57B36" w:rsidTr="00853275">
        <w:tc>
          <w:tcPr>
            <w:tcW w:w="708" w:type="dxa"/>
            <w:shd w:val="clear" w:color="auto" w:fill="FFFFFF"/>
          </w:tcPr>
          <w:p w:rsidR="000776B6" w:rsidRPr="00545CD7" w:rsidRDefault="000776B6" w:rsidP="000776B6">
            <w:pPr>
              <w:pStyle w:val="CETBodytext"/>
              <w:ind w:right="-1"/>
              <w:jc w:val="center"/>
              <w:rPr>
                <w:rFonts w:cs="Arial"/>
                <w:szCs w:val="18"/>
              </w:rPr>
            </w:pPr>
          </w:p>
        </w:tc>
        <w:tc>
          <w:tcPr>
            <w:tcW w:w="426" w:type="dxa"/>
            <w:shd w:val="clear" w:color="auto" w:fill="FFFFFF"/>
          </w:tcPr>
          <w:p w:rsidR="000776B6" w:rsidRPr="00545CD7" w:rsidRDefault="002C2A42" w:rsidP="000776B6">
            <w:pPr>
              <w:pStyle w:val="CETBodytext"/>
              <w:ind w:right="-1"/>
              <w:jc w:val="center"/>
              <w:rPr>
                <w:rFonts w:cs="Arial"/>
                <w:szCs w:val="18"/>
              </w:rPr>
            </w:pPr>
            <w:r>
              <w:rPr>
                <w:rFonts w:cs="Arial"/>
                <w:szCs w:val="18"/>
              </w:rPr>
              <w:t>3.</w:t>
            </w:r>
            <w:r w:rsidR="000776B6" w:rsidRPr="00545CD7">
              <w:rPr>
                <w:rFonts w:cs="Arial"/>
                <w:szCs w:val="18"/>
              </w:rPr>
              <w:t>2</w:t>
            </w:r>
          </w:p>
        </w:tc>
        <w:tc>
          <w:tcPr>
            <w:tcW w:w="1276" w:type="dxa"/>
            <w:shd w:val="clear" w:color="auto" w:fill="FFFFFF"/>
          </w:tcPr>
          <w:p w:rsidR="000776B6" w:rsidRPr="00545CD7" w:rsidRDefault="000776B6" w:rsidP="000776B6">
            <w:pPr>
              <w:pStyle w:val="CETBodytext"/>
              <w:ind w:right="-1"/>
              <w:jc w:val="center"/>
              <w:rPr>
                <w:rFonts w:cs="Arial"/>
                <w:szCs w:val="18"/>
                <w:lang w:val="en-GB"/>
              </w:rPr>
            </w:pPr>
            <w:r w:rsidRPr="00545CD7">
              <w:rPr>
                <w:rFonts w:cs="Arial"/>
                <w:szCs w:val="18"/>
                <w:lang w:val="en-GB"/>
              </w:rPr>
              <w:t>640</w:t>
            </w:r>
          </w:p>
        </w:tc>
        <w:tc>
          <w:tcPr>
            <w:tcW w:w="1134" w:type="dxa"/>
            <w:shd w:val="clear" w:color="auto" w:fill="FFFFFF"/>
          </w:tcPr>
          <w:p w:rsidR="000776B6" w:rsidRPr="00545CD7" w:rsidRDefault="002C2A42" w:rsidP="000776B6">
            <w:pPr>
              <w:pStyle w:val="CETBodytext"/>
              <w:ind w:right="-1"/>
              <w:jc w:val="center"/>
              <w:rPr>
                <w:rFonts w:cs="Arial"/>
                <w:szCs w:val="18"/>
                <w:lang w:val="en-GB"/>
              </w:rPr>
            </w:pPr>
            <w:r>
              <w:rPr>
                <w:rFonts w:cs="Arial"/>
                <w:szCs w:val="18"/>
                <w:lang w:val="en-GB"/>
              </w:rPr>
              <w:t>72.</w:t>
            </w:r>
            <w:r w:rsidR="000776B6" w:rsidRPr="00545CD7">
              <w:rPr>
                <w:rFonts w:cs="Arial"/>
                <w:szCs w:val="18"/>
                <w:lang w:val="en-GB"/>
              </w:rPr>
              <w:t>6</w:t>
            </w:r>
          </w:p>
        </w:tc>
        <w:tc>
          <w:tcPr>
            <w:tcW w:w="1134" w:type="dxa"/>
            <w:shd w:val="clear" w:color="auto" w:fill="FFFFFF"/>
          </w:tcPr>
          <w:p w:rsidR="000776B6" w:rsidRPr="00545CD7" w:rsidRDefault="002C2A42" w:rsidP="000776B6">
            <w:pPr>
              <w:pStyle w:val="CETBodytext"/>
              <w:ind w:right="-1"/>
              <w:jc w:val="center"/>
              <w:rPr>
                <w:rFonts w:cs="Arial"/>
                <w:szCs w:val="18"/>
                <w:lang w:val="en-GB"/>
              </w:rPr>
            </w:pPr>
            <w:r>
              <w:rPr>
                <w:rFonts w:cs="Arial"/>
                <w:szCs w:val="18"/>
                <w:lang w:val="en-GB"/>
              </w:rPr>
              <w:t>40</w:t>
            </w:r>
            <w:r w:rsidR="00853275">
              <w:rPr>
                <w:rFonts w:cs="Arial"/>
                <w:szCs w:val="18"/>
                <w:lang w:val="en-GB"/>
              </w:rPr>
              <w:t>.3</w:t>
            </w:r>
          </w:p>
        </w:tc>
        <w:tc>
          <w:tcPr>
            <w:tcW w:w="992" w:type="dxa"/>
            <w:shd w:val="clear" w:color="auto" w:fill="FFFFFF"/>
          </w:tcPr>
          <w:p w:rsidR="000776B6" w:rsidRPr="00545CD7" w:rsidRDefault="002C2A42" w:rsidP="000776B6">
            <w:pPr>
              <w:pStyle w:val="CETBodytext"/>
              <w:ind w:right="-1"/>
              <w:jc w:val="center"/>
              <w:rPr>
                <w:rFonts w:cs="Arial"/>
                <w:szCs w:val="18"/>
                <w:lang w:val="en-GB"/>
              </w:rPr>
            </w:pPr>
            <w:r>
              <w:rPr>
                <w:rFonts w:cs="Arial"/>
                <w:szCs w:val="18"/>
                <w:lang w:val="en-GB"/>
              </w:rPr>
              <w:t>85.</w:t>
            </w:r>
            <w:r w:rsidR="000776B6" w:rsidRPr="00545CD7">
              <w:rPr>
                <w:rFonts w:cs="Arial"/>
                <w:szCs w:val="18"/>
                <w:lang w:val="en-GB"/>
              </w:rPr>
              <w:t>2</w:t>
            </w:r>
          </w:p>
        </w:tc>
        <w:tc>
          <w:tcPr>
            <w:tcW w:w="993" w:type="dxa"/>
            <w:shd w:val="clear" w:color="auto" w:fill="FFFFFF"/>
          </w:tcPr>
          <w:p w:rsidR="000776B6" w:rsidRPr="00545CD7" w:rsidRDefault="000776B6" w:rsidP="000776B6">
            <w:pPr>
              <w:pStyle w:val="CETBodytext"/>
              <w:ind w:right="-1"/>
              <w:jc w:val="center"/>
              <w:rPr>
                <w:rFonts w:cs="Arial"/>
                <w:szCs w:val="18"/>
                <w:lang w:val="en-GB"/>
              </w:rPr>
            </w:pPr>
            <w:r w:rsidRPr="00545CD7">
              <w:rPr>
                <w:rFonts w:cs="Arial"/>
                <w:szCs w:val="18"/>
                <w:lang w:val="en-GB"/>
              </w:rPr>
              <w:t>25%</w:t>
            </w:r>
          </w:p>
        </w:tc>
      </w:tr>
      <w:tr w:rsidR="002C2A42" w:rsidRPr="00B57B36" w:rsidTr="00853275">
        <w:tc>
          <w:tcPr>
            <w:tcW w:w="708" w:type="dxa"/>
            <w:shd w:val="clear" w:color="auto" w:fill="FFFFFF"/>
          </w:tcPr>
          <w:p w:rsidR="000776B6" w:rsidRPr="00545CD7" w:rsidRDefault="000776B6" w:rsidP="000776B6">
            <w:pPr>
              <w:pStyle w:val="CETBodytext"/>
              <w:ind w:right="-1"/>
              <w:jc w:val="center"/>
              <w:rPr>
                <w:rFonts w:cs="Arial"/>
                <w:szCs w:val="18"/>
              </w:rPr>
            </w:pPr>
          </w:p>
        </w:tc>
        <w:tc>
          <w:tcPr>
            <w:tcW w:w="426" w:type="dxa"/>
            <w:shd w:val="clear" w:color="auto" w:fill="FFFFFF"/>
          </w:tcPr>
          <w:p w:rsidR="000776B6" w:rsidRPr="00545CD7" w:rsidRDefault="002C2A42" w:rsidP="000776B6">
            <w:pPr>
              <w:pStyle w:val="CETBodytext"/>
              <w:ind w:right="-1"/>
              <w:jc w:val="center"/>
              <w:rPr>
                <w:rFonts w:cs="Arial"/>
                <w:b/>
                <w:szCs w:val="18"/>
              </w:rPr>
            </w:pPr>
            <w:r>
              <w:rPr>
                <w:rFonts w:cs="Arial"/>
                <w:b/>
                <w:szCs w:val="18"/>
              </w:rPr>
              <w:t>3.</w:t>
            </w:r>
            <w:r w:rsidR="000776B6" w:rsidRPr="00545CD7">
              <w:rPr>
                <w:rFonts w:cs="Arial"/>
                <w:b/>
                <w:szCs w:val="18"/>
              </w:rPr>
              <w:t>25</w:t>
            </w:r>
          </w:p>
        </w:tc>
        <w:tc>
          <w:tcPr>
            <w:tcW w:w="1276" w:type="dxa"/>
            <w:shd w:val="clear" w:color="auto" w:fill="FFFFFF"/>
          </w:tcPr>
          <w:p w:rsidR="000776B6" w:rsidRPr="00545CD7" w:rsidRDefault="000776B6" w:rsidP="000776B6">
            <w:pPr>
              <w:pStyle w:val="CETBodytext"/>
              <w:ind w:right="-1"/>
              <w:jc w:val="center"/>
              <w:rPr>
                <w:rFonts w:cs="Arial"/>
                <w:b/>
                <w:szCs w:val="18"/>
                <w:lang w:val="en-GB"/>
              </w:rPr>
            </w:pPr>
            <w:r w:rsidRPr="00545CD7">
              <w:rPr>
                <w:rFonts w:cs="Arial"/>
                <w:b/>
                <w:szCs w:val="18"/>
                <w:lang w:val="en-GB"/>
              </w:rPr>
              <w:t>650</w:t>
            </w:r>
          </w:p>
        </w:tc>
        <w:tc>
          <w:tcPr>
            <w:tcW w:w="1134" w:type="dxa"/>
            <w:shd w:val="clear" w:color="auto" w:fill="FFFFFF"/>
          </w:tcPr>
          <w:p w:rsidR="000776B6" w:rsidRPr="00545CD7" w:rsidRDefault="002C2A42" w:rsidP="000776B6">
            <w:pPr>
              <w:pStyle w:val="CETBodytext"/>
              <w:ind w:right="-1"/>
              <w:jc w:val="center"/>
              <w:rPr>
                <w:rFonts w:cs="Arial"/>
                <w:b/>
                <w:szCs w:val="18"/>
                <w:lang w:val="en-GB"/>
              </w:rPr>
            </w:pPr>
            <w:r>
              <w:rPr>
                <w:rFonts w:cs="Arial"/>
                <w:b/>
                <w:szCs w:val="18"/>
                <w:lang w:val="en-GB"/>
              </w:rPr>
              <w:t>70.</w:t>
            </w:r>
            <w:r w:rsidR="000776B6" w:rsidRPr="00545CD7">
              <w:rPr>
                <w:rFonts w:cs="Arial"/>
                <w:b/>
                <w:szCs w:val="18"/>
                <w:lang w:val="en-GB"/>
              </w:rPr>
              <w:t>1</w:t>
            </w:r>
          </w:p>
        </w:tc>
        <w:tc>
          <w:tcPr>
            <w:tcW w:w="1134" w:type="dxa"/>
            <w:shd w:val="clear" w:color="auto" w:fill="FFFFFF"/>
          </w:tcPr>
          <w:p w:rsidR="000776B6" w:rsidRPr="00545CD7" w:rsidRDefault="002C2A42" w:rsidP="000776B6">
            <w:pPr>
              <w:pStyle w:val="CETBodytext"/>
              <w:ind w:right="-1"/>
              <w:jc w:val="center"/>
              <w:rPr>
                <w:rFonts w:cs="Arial"/>
                <w:b/>
                <w:szCs w:val="18"/>
                <w:lang w:val="en-GB"/>
              </w:rPr>
            </w:pPr>
            <w:r>
              <w:rPr>
                <w:rFonts w:cs="Arial"/>
                <w:b/>
                <w:szCs w:val="18"/>
                <w:lang w:val="en-GB"/>
              </w:rPr>
              <w:t>38</w:t>
            </w:r>
            <w:r w:rsidR="00853275">
              <w:rPr>
                <w:rFonts w:cs="Arial"/>
                <w:b/>
                <w:szCs w:val="18"/>
                <w:lang w:val="en-GB"/>
              </w:rPr>
              <w:t>.9</w:t>
            </w:r>
          </w:p>
        </w:tc>
        <w:tc>
          <w:tcPr>
            <w:tcW w:w="992" w:type="dxa"/>
            <w:shd w:val="clear" w:color="auto" w:fill="FFFFFF"/>
          </w:tcPr>
          <w:p w:rsidR="000776B6" w:rsidRPr="00545CD7" w:rsidRDefault="002C2A42" w:rsidP="000776B6">
            <w:pPr>
              <w:pStyle w:val="CETBodytext"/>
              <w:ind w:right="-1"/>
              <w:jc w:val="center"/>
              <w:rPr>
                <w:rFonts w:cs="Arial"/>
                <w:b/>
                <w:szCs w:val="18"/>
                <w:lang w:val="en-GB"/>
              </w:rPr>
            </w:pPr>
            <w:r>
              <w:rPr>
                <w:rFonts w:cs="Arial"/>
                <w:b/>
                <w:szCs w:val="18"/>
                <w:lang w:val="en-GB"/>
              </w:rPr>
              <w:t>14.</w:t>
            </w:r>
            <w:r w:rsidR="000776B6" w:rsidRPr="00545CD7">
              <w:rPr>
                <w:rFonts w:cs="Arial"/>
                <w:b/>
                <w:szCs w:val="18"/>
                <w:lang w:val="en-GB"/>
              </w:rPr>
              <w:t>0</w:t>
            </w:r>
          </w:p>
        </w:tc>
        <w:tc>
          <w:tcPr>
            <w:tcW w:w="993" w:type="dxa"/>
            <w:shd w:val="clear" w:color="auto" w:fill="FFFFFF"/>
          </w:tcPr>
          <w:p w:rsidR="000776B6" w:rsidRPr="00545CD7" w:rsidRDefault="000776B6" w:rsidP="000776B6">
            <w:pPr>
              <w:pStyle w:val="CETBodytext"/>
              <w:ind w:right="-1"/>
              <w:jc w:val="center"/>
              <w:rPr>
                <w:rFonts w:cs="Arial"/>
                <w:b/>
                <w:szCs w:val="18"/>
                <w:lang w:val="en-GB"/>
              </w:rPr>
            </w:pPr>
            <w:r w:rsidRPr="00545CD7">
              <w:rPr>
                <w:rFonts w:cs="Arial"/>
                <w:b/>
                <w:szCs w:val="18"/>
                <w:lang w:val="en-GB"/>
              </w:rPr>
              <w:t>63</w:t>
            </w:r>
            <w:r w:rsidR="008F7FE9">
              <w:rPr>
                <w:rFonts w:cs="Arial"/>
                <w:b/>
                <w:szCs w:val="18"/>
                <w:lang w:val="en-GB"/>
              </w:rPr>
              <w:t>%</w:t>
            </w:r>
          </w:p>
        </w:tc>
      </w:tr>
      <w:tr w:rsidR="002C2A42" w:rsidRPr="00B57B36" w:rsidTr="00853275">
        <w:tc>
          <w:tcPr>
            <w:tcW w:w="708" w:type="dxa"/>
            <w:shd w:val="clear" w:color="auto" w:fill="FFFFFF"/>
          </w:tcPr>
          <w:p w:rsidR="000776B6" w:rsidRPr="00545CD7" w:rsidRDefault="000776B6" w:rsidP="000776B6">
            <w:pPr>
              <w:pStyle w:val="CETBodytext"/>
              <w:ind w:right="-1"/>
              <w:jc w:val="center"/>
              <w:rPr>
                <w:rFonts w:cs="Arial"/>
                <w:szCs w:val="18"/>
              </w:rPr>
            </w:pPr>
          </w:p>
        </w:tc>
        <w:tc>
          <w:tcPr>
            <w:tcW w:w="426" w:type="dxa"/>
            <w:shd w:val="clear" w:color="auto" w:fill="FFFFFF"/>
          </w:tcPr>
          <w:p w:rsidR="000776B6" w:rsidRPr="00545CD7" w:rsidRDefault="002C2A42" w:rsidP="000776B6">
            <w:pPr>
              <w:pStyle w:val="CETBodytext"/>
              <w:ind w:right="-1"/>
              <w:jc w:val="center"/>
              <w:rPr>
                <w:rFonts w:cs="Arial"/>
                <w:szCs w:val="18"/>
              </w:rPr>
            </w:pPr>
            <w:r>
              <w:rPr>
                <w:rFonts w:cs="Arial"/>
                <w:szCs w:val="18"/>
              </w:rPr>
              <w:t>3.</w:t>
            </w:r>
            <w:r w:rsidR="000776B6" w:rsidRPr="00545CD7">
              <w:rPr>
                <w:rFonts w:cs="Arial"/>
                <w:szCs w:val="18"/>
              </w:rPr>
              <w:t>3</w:t>
            </w:r>
          </w:p>
        </w:tc>
        <w:tc>
          <w:tcPr>
            <w:tcW w:w="1276" w:type="dxa"/>
            <w:tcBorders>
              <w:top w:val="nil"/>
              <w:left w:val="nil"/>
              <w:bottom w:val="nil"/>
              <w:right w:val="nil"/>
            </w:tcBorders>
            <w:shd w:val="clear" w:color="auto" w:fill="auto"/>
            <w:vAlign w:val="bottom"/>
          </w:tcPr>
          <w:p w:rsidR="000776B6" w:rsidRPr="00545CD7" w:rsidRDefault="000776B6" w:rsidP="000776B6">
            <w:pPr>
              <w:pStyle w:val="CETBodytext"/>
              <w:ind w:right="-1"/>
              <w:jc w:val="center"/>
              <w:rPr>
                <w:rFonts w:cs="Arial"/>
                <w:szCs w:val="18"/>
                <w:lang w:val="en-GB"/>
              </w:rPr>
            </w:pPr>
            <w:r w:rsidRPr="00545CD7">
              <w:rPr>
                <w:rFonts w:cs="Arial"/>
                <w:color w:val="000000"/>
                <w:szCs w:val="18"/>
              </w:rPr>
              <w:t>660</w:t>
            </w:r>
          </w:p>
        </w:tc>
        <w:tc>
          <w:tcPr>
            <w:tcW w:w="1134" w:type="dxa"/>
            <w:tcBorders>
              <w:top w:val="nil"/>
              <w:left w:val="nil"/>
              <w:bottom w:val="nil"/>
              <w:right w:val="nil"/>
            </w:tcBorders>
            <w:shd w:val="clear" w:color="auto" w:fill="auto"/>
            <w:vAlign w:val="bottom"/>
          </w:tcPr>
          <w:p w:rsidR="000776B6" w:rsidRPr="00545CD7" w:rsidRDefault="002C2A42" w:rsidP="000776B6">
            <w:pPr>
              <w:pStyle w:val="CETBodytext"/>
              <w:ind w:right="-1"/>
              <w:jc w:val="center"/>
              <w:rPr>
                <w:rFonts w:cs="Arial"/>
                <w:szCs w:val="18"/>
                <w:lang w:val="en-GB"/>
              </w:rPr>
            </w:pPr>
            <w:r>
              <w:rPr>
                <w:rFonts w:cs="Arial"/>
                <w:color w:val="000000"/>
                <w:szCs w:val="18"/>
              </w:rPr>
              <w:t>71.8</w:t>
            </w:r>
          </w:p>
        </w:tc>
        <w:tc>
          <w:tcPr>
            <w:tcW w:w="1134" w:type="dxa"/>
            <w:tcBorders>
              <w:top w:val="nil"/>
              <w:left w:val="nil"/>
              <w:bottom w:val="nil"/>
              <w:right w:val="nil"/>
            </w:tcBorders>
            <w:shd w:val="clear" w:color="auto" w:fill="auto"/>
            <w:vAlign w:val="bottom"/>
          </w:tcPr>
          <w:p w:rsidR="000776B6" w:rsidRPr="00545CD7" w:rsidRDefault="002C2A42" w:rsidP="000776B6">
            <w:pPr>
              <w:pStyle w:val="CETBodytext"/>
              <w:ind w:right="-1"/>
              <w:jc w:val="center"/>
              <w:rPr>
                <w:rFonts w:cs="Arial"/>
                <w:szCs w:val="18"/>
                <w:lang w:val="en-GB"/>
              </w:rPr>
            </w:pPr>
            <w:r>
              <w:rPr>
                <w:rFonts w:cs="Arial"/>
                <w:color w:val="000000"/>
                <w:szCs w:val="18"/>
              </w:rPr>
              <w:t>39</w:t>
            </w:r>
            <w:r w:rsidR="00853275">
              <w:rPr>
                <w:rFonts w:cs="Arial"/>
                <w:color w:val="000000"/>
                <w:szCs w:val="18"/>
              </w:rPr>
              <w:t>.9</w:t>
            </w:r>
          </w:p>
        </w:tc>
        <w:tc>
          <w:tcPr>
            <w:tcW w:w="992" w:type="dxa"/>
            <w:tcBorders>
              <w:top w:val="nil"/>
              <w:left w:val="nil"/>
              <w:bottom w:val="nil"/>
              <w:right w:val="nil"/>
            </w:tcBorders>
            <w:shd w:val="clear" w:color="auto" w:fill="auto"/>
            <w:vAlign w:val="bottom"/>
          </w:tcPr>
          <w:p w:rsidR="000776B6" w:rsidRPr="00545CD7" w:rsidRDefault="002C2A42" w:rsidP="000776B6">
            <w:pPr>
              <w:pStyle w:val="CETBodytext"/>
              <w:ind w:right="-1"/>
              <w:jc w:val="center"/>
              <w:rPr>
                <w:rFonts w:cs="Arial"/>
                <w:szCs w:val="18"/>
                <w:lang w:val="en-GB"/>
              </w:rPr>
            </w:pPr>
            <w:r>
              <w:rPr>
                <w:rFonts w:cs="Arial"/>
                <w:color w:val="000000"/>
                <w:szCs w:val="18"/>
              </w:rPr>
              <w:t>14.4</w:t>
            </w:r>
          </w:p>
        </w:tc>
        <w:tc>
          <w:tcPr>
            <w:tcW w:w="993" w:type="dxa"/>
            <w:tcBorders>
              <w:top w:val="nil"/>
              <w:left w:val="nil"/>
              <w:bottom w:val="nil"/>
              <w:right w:val="nil"/>
            </w:tcBorders>
            <w:shd w:val="clear" w:color="auto" w:fill="auto"/>
            <w:vAlign w:val="bottom"/>
          </w:tcPr>
          <w:p w:rsidR="000776B6" w:rsidRPr="00545CD7" w:rsidRDefault="000776B6" w:rsidP="000776B6">
            <w:pPr>
              <w:pStyle w:val="CETBodytext"/>
              <w:ind w:right="-1"/>
              <w:jc w:val="center"/>
              <w:rPr>
                <w:rFonts w:cs="Arial"/>
                <w:szCs w:val="18"/>
                <w:lang w:val="en-GB"/>
              </w:rPr>
            </w:pPr>
            <w:r w:rsidRPr="00545CD7">
              <w:rPr>
                <w:rFonts w:cs="Arial"/>
                <w:color w:val="000000"/>
                <w:szCs w:val="18"/>
              </w:rPr>
              <w:t>63%</w:t>
            </w:r>
          </w:p>
        </w:tc>
      </w:tr>
      <w:tr w:rsidR="002C2A42" w:rsidRPr="00B57B36" w:rsidTr="00853275">
        <w:tc>
          <w:tcPr>
            <w:tcW w:w="708" w:type="dxa"/>
            <w:shd w:val="clear" w:color="auto" w:fill="FFFFFF"/>
          </w:tcPr>
          <w:p w:rsidR="000776B6" w:rsidRPr="00545CD7" w:rsidRDefault="000776B6" w:rsidP="000776B6">
            <w:pPr>
              <w:pStyle w:val="CETBodytext"/>
              <w:ind w:right="-1"/>
              <w:jc w:val="center"/>
              <w:rPr>
                <w:rFonts w:cs="Arial"/>
                <w:szCs w:val="18"/>
              </w:rPr>
            </w:pPr>
          </w:p>
        </w:tc>
        <w:tc>
          <w:tcPr>
            <w:tcW w:w="426" w:type="dxa"/>
            <w:shd w:val="clear" w:color="auto" w:fill="FFFFFF"/>
          </w:tcPr>
          <w:p w:rsidR="000776B6" w:rsidRPr="00545CD7" w:rsidRDefault="002C2A42" w:rsidP="000776B6">
            <w:pPr>
              <w:pStyle w:val="CETBodytext"/>
              <w:ind w:right="-1"/>
              <w:jc w:val="center"/>
              <w:rPr>
                <w:rFonts w:cs="Arial"/>
                <w:szCs w:val="18"/>
              </w:rPr>
            </w:pPr>
            <w:r>
              <w:rPr>
                <w:rFonts w:cs="Arial"/>
                <w:szCs w:val="18"/>
              </w:rPr>
              <w:t>3.</w:t>
            </w:r>
            <w:r w:rsidR="000776B6" w:rsidRPr="00545CD7">
              <w:rPr>
                <w:rFonts w:cs="Arial"/>
                <w:szCs w:val="18"/>
              </w:rPr>
              <w:t>5</w:t>
            </w:r>
          </w:p>
        </w:tc>
        <w:tc>
          <w:tcPr>
            <w:tcW w:w="1276" w:type="dxa"/>
            <w:tcBorders>
              <w:top w:val="nil"/>
              <w:left w:val="nil"/>
              <w:bottom w:val="nil"/>
              <w:right w:val="nil"/>
            </w:tcBorders>
            <w:shd w:val="clear" w:color="auto" w:fill="auto"/>
            <w:vAlign w:val="bottom"/>
          </w:tcPr>
          <w:p w:rsidR="000776B6" w:rsidRPr="00545CD7" w:rsidRDefault="000776B6" w:rsidP="000776B6">
            <w:pPr>
              <w:pStyle w:val="CETBodytext"/>
              <w:ind w:right="-1"/>
              <w:jc w:val="center"/>
              <w:rPr>
                <w:rFonts w:cs="Arial"/>
                <w:szCs w:val="18"/>
                <w:lang w:val="en-GB"/>
              </w:rPr>
            </w:pPr>
            <w:r w:rsidRPr="00545CD7">
              <w:rPr>
                <w:rFonts w:cs="Arial"/>
                <w:color w:val="000000"/>
                <w:szCs w:val="18"/>
              </w:rPr>
              <w:t>700</w:t>
            </w:r>
          </w:p>
        </w:tc>
        <w:tc>
          <w:tcPr>
            <w:tcW w:w="1134" w:type="dxa"/>
            <w:tcBorders>
              <w:top w:val="nil"/>
              <w:left w:val="nil"/>
              <w:bottom w:val="nil"/>
              <w:right w:val="nil"/>
            </w:tcBorders>
            <w:shd w:val="clear" w:color="auto" w:fill="auto"/>
            <w:vAlign w:val="bottom"/>
          </w:tcPr>
          <w:p w:rsidR="000776B6" w:rsidRPr="00545CD7" w:rsidRDefault="002C2A42" w:rsidP="000776B6">
            <w:pPr>
              <w:pStyle w:val="CETBodytext"/>
              <w:ind w:right="-1"/>
              <w:jc w:val="center"/>
              <w:rPr>
                <w:rFonts w:cs="Arial"/>
                <w:szCs w:val="18"/>
                <w:lang w:val="en-GB"/>
              </w:rPr>
            </w:pPr>
            <w:r>
              <w:rPr>
                <w:rFonts w:cs="Arial"/>
                <w:color w:val="000000"/>
                <w:szCs w:val="18"/>
              </w:rPr>
              <w:t>73.9</w:t>
            </w:r>
          </w:p>
        </w:tc>
        <w:tc>
          <w:tcPr>
            <w:tcW w:w="1134" w:type="dxa"/>
            <w:tcBorders>
              <w:top w:val="nil"/>
              <w:left w:val="nil"/>
              <w:bottom w:val="nil"/>
              <w:right w:val="nil"/>
            </w:tcBorders>
            <w:shd w:val="clear" w:color="auto" w:fill="auto"/>
            <w:vAlign w:val="bottom"/>
          </w:tcPr>
          <w:p w:rsidR="000776B6" w:rsidRPr="00545CD7" w:rsidRDefault="002C2A42" w:rsidP="000776B6">
            <w:pPr>
              <w:pStyle w:val="CETBodytext"/>
              <w:ind w:right="-1"/>
              <w:jc w:val="center"/>
              <w:rPr>
                <w:rFonts w:cs="Arial"/>
                <w:szCs w:val="18"/>
                <w:lang w:val="en-GB"/>
              </w:rPr>
            </w:pPr>
            <w:r>
              <w:rPr>
                <w:rFonts w:cs="Arial"/>
                <w:color w:val="000000"/>
                <w:szCs w:val="18"/>
              </w:rPr>
              <w:t>41</w:t>
            </w:r>
            <w:r w:rsidR="00853275">
              <w:rPr>
                <w:rFonts w:cs="Arial"/>
                <w:color w:val="000000"/>
                <w:szCs w:val="18"/>
              </w:rPr>
              <w:t>.1</w:t>
            </w:r>
          </w:p>
        </w:tc>
        <w:tc>
          <w:tcPr>
            <w:tcW w:w="992" w:type="dxa"/>
            <w:tcBorders>
              <w:top w:val="nil"/>
              <w:left w:val="nil"/>
              <w:bottom w:val="nil"/>
              <w:right w:val="nil"/>
            </w:tcBorders>
            <w:shd w:val="clear" w:color="auto" w:fill="auto"/>
            <w:vAlign w:val="bottom"/>
          </w:tcPr>
          <w:p w:rsidR="000776B6" w:rsidRPr="00545CD7" w:rsidRDefault="002C2A42" w:rsidP="000776B6">
            <w:pPr>
              <w:pStyle w:val="CETBodytext"/>
              <w:ind w:right="-1"/>
              <w:jc w:val="center"/>
              <w:rPr>
                <w:rFonts w:cs="Arial"/>
                <w:szCs w:val="18"/>
                <w:lang w:val="en-GB"/>
              </w:rPr>
            </w:pPr>
            <w:r>
              <w:rPr>
                <w:rFonts w:cs="Arial"/>
                <w:color w:val="000000"/>
                <w:szCs w:val="18"/>
              </w:rPr>
              <w:t>14.8</w:t>
            </w:r>
          </w:p>
        </w:tc>
        <w:tc>
          <w:tcPr>
            <w:tcW w:w="993" w:type="dxa"/>
            <w:tcBorders>
              <w:top w:val="nil"/>
              <w:left w:val="nil"/>
              <w:bottom w:val="nil"/>
              <w:right w:val="nil"/>
            </w:tcBorders>
            <w:shd w:val="clear" w:color="auto" w:fill="auto"/>
            <w:vAlign w:val="bottom"/>
          </w:tcPr>
          <w:p w:rsidR="000776B6" w:rsidRPr="00545CD7" w:rsidRDefault="000776B6" w:rsidP="000776B6">
            <w:pPr>
              <w:pStyle w:val="CETBodytext"/>
              <w:ind w:right="-1"/>
              <w:jc w:val="center"/>
              <w:rPr>
                <w:rFonts w:cs="Arial"/>
                <w:szCs w:val="18"/>
                <w:lang w:val="en-GB"/>
              </w:rPr>
            </w:pPr>
            <w:r w:rsidRPr="00545CD7">
              <w:rPr>
                <w:rFonts w:cs="Arial"/>
                <w:color w:val="000000"/>
                <w:szCs w:val="18"/>
              </w:rPr>
              <w:t>62%</w:t>
            </w:r>
          </w:p>
        </w:tc>
      </w:tr>
      <w:tr w:rsidR="002C2A42" w:rsidRPr="00B57B36" w:rsidTr="00853275">
        <w:tc>
          <w:tcPr>
            <w:tcW w:w="708" w:type="dxa"/>
            <w:shd w:val="clear" w:color="auto" w:fill="FFFFFF"/>
          </w:tcPr>
          <w:p w:rsidR="000776B6" w:rsidRPr="00545CD7" w:rsidRDefault="000776B6" w:rsidP="000776B6">
            <w:pPr>
              <w:pStyle w:val="CETBodytext"/>
              <w:ind w:right="-1"/>
              <w:jc w:val="center"/>
              <w:rPr>
                <w:rFonts w:cs="Arial"/>
                <w:szCs w:val="18"/>
              </w:rPr>
            </w:pPr>
          </w:p>
        </w:tc>
        <w:tc>
          <w:tcPr>
            <w:tcW w:w="426" w:type="dxa"/>
            <w:shd w:val="clear" w:color="auto" w:fill="FFFFFF"/>
          </w:tcPr>
          <w:p w:rsidR="000776B6" w:rsidRPr="00545CD7" w:rsidRDefault="002C2A42" w:rsidP="000776B6">
            <w:pPr>
              <w:pStyle w:val="CETBodytext"/>
              <w:ind w:right="-1"/>
              <w:jc w:val="center"/>
              <w:rPr>
                <w:rFonts w:cs="Arial"/>
                <w:szCs w:val="18"/>
              </w:rPr>
            </w:pPr>
            <w:r>
              <w:rPr>
                <w:rFonts w:cs="Arial"/>
                <w:szCs w:val="18"/>
              </w:rPr>
              <w:t>3.</w:t>
            </w:r>
            <w:r w:rsidR="000776B6" w:rsidRPr="00545CD7">
              <w:rPr>
                <w:rFonts w:cs="Arial"/>
                <w:szCs w:val="18"/>
              </w:rPr>
              <w:t>75</w:t>
            </w:r>
          </w:p>
        </w:tc>
        <w:tc>
          <w:tcPr>
            <w:tcW w:w="1276" w:type="dxa"/>
            <w:tcBorders>
              <w:top w:val="nil"/>
              <w:left w:val="nil"/>
              <w:bottom w:val="nil"/>
              <w:right w:val="nil"/>
            </w:tcBorders>
            <w:shd w:val="clear" w:color="auto" w:fill="auto"/>
            <w:vAlign w:val="bottom"/>
          </w:tcPr>
          <w:p w:rsidR="000776B6" w:rsidRPr="00545CD7" w:rsidRDefault="000776B6" w:rsidP="000776B6">
            <w:pPr>
              <w:pStyle w:val="CETBodytext"/>
              <w:ind w:right="-1"/>
              <w:jc w:val="center"/>
              <w:rPr>
                <w:rFonts w:cs="Arial"/>
                <w:szCs w:val="18"/>
                <w:lang w:val="en-GB"/>
              </w:rPr>
            </w:pPr>
            <w:r w:rsidRPr="00545CD7">
              <w:rPr>
                <w:rFonts w:cs="Arial"/>
                <w:color w:val="000000"/>
                <w:szCs w:val="18"/>
              </w:rPr>
              <w:t>750</w:t>
            </w:r>
          </w:p>
        </w:tc>
        <w:tc>
          <w:tcPr>
            <w:tcW w:w="1134" w:type="dxa"/>
            <w:tcBorders>
              <w:top w:val="nil"/>
              <w:left w:val="nil"/>
              <w:bottom w:val="nil"/>
              <w:right w:val="nil"/>
            </w:tcBorders>
            <w:shd w:val="clear" w:color="auto" w:fill="auto"/>
            <w:vAlign w:val="bottom"/>
          </w:tcPr>
          <w:p w:rsidR="000776B6" w:rsidRPr="00545CD7" w:rsidRDefault="002C2A42" w:rsidP="000776B6">
            <w:pPr>
              <w:pStyle w:val="CETBodytext"/>
              <w:ind w:right="-1"/>
              <w:jc w:val="center"/>
              <w:rPr>
                <w:rFonts w:cs="Arial"/>
                <w:szCs w:val="18"/>
                <w:lang w:val="en-GB"/>
              </w:rPr>
            </w:pPr>
            <w:r>
              <w:rPr>
                <w:rFonts w:cs="Arial"/>
                <w:color w:val="000000"/>
                <w:szCs w:val="18"/>
              </w:rPr>
              <w:t>76.4</w:t>
            </w:r>
          </w:p>
        </w:tc>
        <w:tc>
          <w:tcPr>
            <w:tcW w:w="1134" w:type="dxa"/>
            <w:tcBorders>
              <w:top w:val="nil"/>
              <w:left w:val="nil"/>
              <w:bottom w:val="nil"/>
              <w:right w:val="nil"/>
            </w:tcBorders>
            <w:shd w:val="clear" w:color="auto" w:fill="auto"/>
            <w:vAlign w:val="bottom"/>
          </w:tcPr>
          <w:p w:rsidR="000776B6" w:rsidRPr="00545CD7" w:rsidRDefault="002C2A42" w:rsidP="000776B6">
            <w:pPr>
              <w:pStyle w:val="CETBodytext"/>
              <w:ind w:right="-1"/>
              <w:jc w:val="center"/>
              <w:rPr>
                <w:rFonts w:cs="Arial"/>
                <w:szCs w:val="18"/>
                <w:lang w:val="en-GB"/>
              </w:rPr>
            </w:pPr>
            <w:r>
              <w:rPr>
                <w:rFonts w:cs="Arial"/>
                <w:color w:val="000000"/>
                <w:szCs w:val="18"/>
              </w:rPr>
              <w:t>42</w:t>
            </w:r>
            <w:r w:rsidR="00853275">
              <w:rPr>
                <w:rFonts w:cs="Arial"/>
                <w:color w:val="000000"/>
                <w:szCs w:val="18"/>
              </w:rPr>
              <w:t>.4</w:t>
            </w:r>
          </w:p>
        </w:tc>
        <w:tc>
          <w:tcPr>
            <w:tcW w:w="992" w:type="dxa"/>
            <w:tcBorders>
              <w:top w:val="nil"/>
              <w:left w:val="nil"/>
              <w:bottom w:val="nil"/>
              <w:right w:val="nil"/>
            </w:tcBorders>
            <w:shd w:val="clear" w:color="auto" w:fill="auto"/>
            <w:vAlign w:val="bottom"/>
          </w:tcPr>
          <w:p w:rsidR="000776B6" w:rsidRPr="00545CD7" w:rsidRDefault="002C2A42" w:rsidP="000776B6">
            <w:pPr>
              <w:pStyle w:val="CETBodytext"/>
              <w:ind w:right="-1"/>
              <w:jc w:val="center"/>
              <w:rPr>
                <w:rFonts w:cs="Arial"/>
                <w:szCs w:val="18"/>
                <w:lang w:val="en-GB"/>
              </w:rPr>
            </w:pPr>
            <w:r>
              <w:rPr>
                <w:rFonts w:cs="Arial"/>
                <w:color w:val="000000"/>
                <w:szCs w:val="18"/>
              </w:rPr>
              <w:t>15.3</w:t>
            </w:r>
          </w:p>
        </w:tc>
        <w:tc>
          <w:tcPr>
            <w:tcW w:w="993" w:type="dxa"/>
            <w:tcBorders>
              <w:top w:val="nil"/>
              <w:left w:val="nil"/>
              <w:bottom w:val="nil"/>
              <w:right w:val="nil"/>
            </w:tcBorders>
            <w:shd w:val="clear" w:color="auto" w:fill="auto"/>
            <w:vAlign w:val="bottom"/>
          </w:tcPr>
          <w:p w:rsidR="000776B6" w:rsidRPr="00545CD7" w:rsidRDefault="000776B6" w:rsidP="000776B6">
            <w:pPr>
              <w:pStyle w:val="CETBodytext"/>
              <w:ind w:right="-1"/>
              <w:jc w:val="center"/>
              <w:rPr>
                <w:rFonts w:cs="Arial"/>
                <w:szCs w:val="18"/>
                <w:lang w:val="en-GB"/>
              </w:rPr>
            </w:pPr>
            <w:r w:rsidRPr="00545CD7">
              <w:rPr>
                <w:rFonts w:cs="Arial"/>
                <w:color w:val="000000"/>
                <w:szCs w:val="18"/>
              </w:rPr>
              <w:t>61%</w:t>
            </w:r>
          </w:p>
        </w:tc>
      </w:tr>
      <w:tr w:rsidR="002C2A42" w:rsidRPr="00B57B36" w:rsidTr="00853275">
        <w:tc>
          <w:tcPr>
            <w:tcW w:w="708" w:type="dxa"/>
            <w:shd w:val="clear" w:color="auto" w:fill="FFFFFF"/>
          </w:tcPr>
          <w:p w:rsidR="000776B6" w:rsidRPr="00545CD7" w:rsidRDefault="000776B6" w:rsidP="000776B6">
            <w:pPr>
              <w:pStyle w:val="CETBodytext"/>
              <w:ind w:right="-1"/>
              <w:jc w:val="center"/>
              <w:rPr>
                <w:rFonts w:cs="Arial"/>
                <w:szCs w:val="18"/>
              </w:rPr>
            </w:pPr>
          </w:p>
        </w:tc>
        <w:tc>
          <w:tcPr>
            <w:tcW w:w="426" w:type="dxa"/>
            <w:shd w:val="clear" w:color="auto" w:fill="FFFFFF"/>
          </w:tcPr>
          <w:p w:rsidR="000776B6" w:rsidRPr="00545CD7" w:rsidRDefault="002C2A42" w:rsidP="000776B6">
            <w:pPr>
              <w:pStyle w:val="CETBodytext"/>
              <w:ind w:right="-1"/>
              <w:jc w:val="center"/>
              <w:rPr>
                <w:rFonts w:cs="Arial"/>
                <w:szCs w:val="18"/>
              </w:rPr>
            </w:pPr>
            <w:r>
              <w:rPr>
                <w:rFonts w:cs="Arial"/>
                <w:szCs w:val="18"/>
              </w:rPr>
              <w:t>4.</w:t>
            </w:r>
            <w:r w:rsidR="000776B6" w:rsidRPr="00545CD7">
              <w:rPr>
                <w:rFonts w:cs="Arial"/>
                <w:szCs w:val="18"/>
              </w:rPr>
              <w:t>0</w:t>
            </w:r>
          </w:p>
        </w:tc>
        <w:tc>
          <w:tcPr>
            <w:tcW w:w="1276" w:type="dxa"/>
            <w:shd w:val="clear" w:color="auto" w:fill="FFFFFF"/>
          </w:tcPr>
          <w:p w:rsidR="000776B6" w:rsidRPr="00545CD7" w:rsidRDefault="000776B6" w:rsidP="000776B6">
            <w:pPr>
              <w:pStyle w:val="CETBodytext"/>
              <w:ind w:right="-1"/>
              <w:jc w:val="center"/>
              <w:rPr>
                <w:rFonts w:cs="Arial"/>
                <w:szCs w:val="18"/>
                <w:lang w:val="en-GB"/>
              </w:rPr>
            </w:pPr>
            <w:r w:rsidRPr="00545CD7">
              <w:rPr>
                <w:rFonts w:cs="Arial"/>
                <w:szCs w:val="18"/>
                <w:lang w:val="en-GB"/>
              </w:rPr>
              <w:t>800</w:t>
            </w:r>
          </w:p>
        </w:tc>
        <w:tc>
          <w:tcPr>
            <w:tcW w:w="1134" w:type="dxa"/>
            <w:shd w:val="clear" w:color="auto" w:fill="FFFFFF"/>
          </w:tcPr>
          <w:p w:rsidR="000776B6" w:rsidRPr="00545CD7" w:rsidRDefault="002C2A42" w:rsidP="000776B6">
            <w:pPr>
              <w:pStyle w:val="CETBodytext"/>
              <w:ind w:right="-1"/>
              <w:jc w:val="center"/>
              <w:rPr>
                <w:rFonts w:cs="Arial"/>
                <w:szCs w:val="18"/>
                <w:lang w:val="en-GB"/>
              </w:rPr>
            </w:pPr>
            <w:r>
              <w:rPr>
                <w:rFonts w:cs="Arial"/>
                <w:szCs w:val="18"/>
                <w:lang w:val="en-GB"/>
              </w:rPr>
              <w:t>79.</w:t>
            </w:r>
            <w:r w:rsidR="000776B6" w:rsidRPr="00545CD7">
              <w:rPr>
                <w:rFonts w:cs="Arial"/>
                <w:szCs w:val="18"/>
                <w:lang w:val="en-GB"/>
              </w:rPr>
              <w:t>1</w:t>
            </w:r>
          </w:p>
        </w:tc>
        <w:tc>
          <w:tcPr>
            <w:tcW w:w="1134" w:type="dxa"/>
            <w:shd w:val="clear" w:color="auto" w:fill="FFFFFF"/>
          </w:tcPr>
          <w:p w:rsidR="000776B6" w:rsidRPr="00545CD7" w:rsidRDefault="002C2A42" w:rsidP="000776B6">
            <w:pPr>
              <w:pStyle w:val="CETBodytext"/>
              <w:ind w:right="-1"/>
              <w:jc w:val="center"/>
              <w:rPr>
                <w:rFonts w:cs="Arial"/>
                <w:szCs w:val="18"/>
                <w:lang w:val="en-GB"/>
              </w:rPr>
            </w:pPr>
            <w:r>
              <w:rPr>
                <w:rFonts w:cs="Arial"/>
                <w:szCs w:val="18"/>
                <w:lang w:val="en-GB"/>
              </w:rPr>
              <w:t>43</w:t>
            </w:r>
            <w:r w:rsidR="00853275">
              <w:rPr>
                <w:rFonts w:cs="Arial"/>
                <w:szCs w:val="18"/>
                <w:lang w:val="en-GB"/>
              </w:rPr>
              <w:t>.9</w:t>
            </w:r>
          </w:p>
        </w:tc>
        <w:tc>
          <w:tcPr>
            <w:tcW w:w="992" w:type="dxa"/>
            <w:shd w:val="clear" w:color="auto" w:fill="FFFFFF"/>
          </w:tcPr>
          <w:p w:rsidR="000776B6" w:rsidRPr="00545CD7" w:rsidRDefault="002C2A42" w:rsidP="000776B6">
            <w:pPr>
              <w:pStyle w:val="CETBodytext"/>
              <w:ind w:right="-1"/>
              <w:jc w:val="center"/>
              <w:rPr>
                <w:rFonts w:cs="Arial"/>
                <w:szCs w:val="18"/>
                <w:lang w:val="en-GB"/>
              </w:rPr>
            </w:pPr>
            <w:r>
              <w:rPr>
                <w:rFonts w:cs="Arial"/>
                <w:szCs w:val="18"/>
                <w:lang w:val="en-GB"/>
              </w:rPr>
              <w:t>15.</w:t>
            </w:r>
            <w:r w:rsidR="000776B6" w:rsidRPr="00545CD7">
              <w:rPr>
                <w:rFonts w:cs="Arial"/>
                <w:szCs w:val="18"/>
                <w:lang w:val="en-GB"/>
              </w:rPr>
              <w:t>8</w:t>
            </w:r>
          </w:p>
        </w:tc>
        <w:tc>
          <w:tcPr>
            <w:tcW w:w="993" w:type="dxa"/>
            <w:shd w:val="clear" w:color="auto" w:fill="FFFFFF"/>
          </w:tcPr>
          <w:p w:rsidR="000776B6" w:rsidRPr="00545CD7" w:rsidRDefault="000776B6" w:rsidP="000776B6">
            <w:pPr>
              <w:pStyle w:val="CETBodytext"/>
              <w:ind w:right="-1"/>
              <w:jc w:val="center"/>
              <w:rPr>
                <w:rFonts w:cs="Arial"/>
                <w:szCs w:val="18"/>
                <w:lang w:val="en-GB"/>
              </w:rPr>
            </w:pPr>
            <w:r w:rsidRPr="00545CD7">
              <w:rPr>
                <w:rFonts w:cs="Arial"/>
                <w:szCs w:val="18"/>
                <w:lang w:val="en-GB"/>
              </w:rPr>
              <w:t>61%</w:t>
            </w:r>
          </w:p>
        </w:tc>
      </w:tr>
    </w:tbl>
    <w:p w:rsidR="00C03B0C" w:rsidRDefault="00C03B0C" w:rsidP="009C08C2">
      <w:pPr>
        <w:pStyle w:val="CETBodytext"/>
      </w:pPr>
    </w:p>
    <w:p w:rsidR="009C08C2" w:rsidRPr="009C08C2" w:rsidRDefault="009C08C2" w:rsidP="009C08C2">
      <w:pPr>
        <w:pStyle w:val="CETBodytext"/>
      </w:pPr>
      <w:r w:rsidRPr="009C08C2">
        <w:t>Overall, both solvents show a clear L/G–</w:t>
      </w:r>
      <w:proofErr w:type="spellStart"/>
      <w:r w:rsidRPr="009C08C2">
        <w:t>reboiler</w:t>
      </w:r>
      <w:proofErr w:type="spellEnd"/>
      <w:r w:rsidRPr="009C08C2">
        <w:t xml:space="preserve">-duty trade-off. At low L/G, solvent capacity becomes limiting, increasing the </w:t>
      </w:r>
      <w:proofErr w:type="spellStart"/>
      <w:r w:rsidRPr="009C08C2">
        <w:t>reboiler</w:t>
      </w:r>
      <w:proofErr w:type="spellEnd"/>
      <w:r w:rsidRPr="009C08C2">
        <w:t xml:space="preserve"> duty required to meet the target capture. At high L/G, the larger liquid circulation raises the heating demand and again increases </w:t>
      </w:r>
      <w:proofErr w:type="spellStart"/>
      <w:r w:rsidRPr="009C08C2">
        <w:t>reboiler</w:t>
      </w:r>
      <w:proofErr w:type="spellEnd"/>
      <w:r w:rsidRPr="009C08C2">
        <w:t xml:space="preserve"> duty. Therefore, an optimum exists that balances solvent driving force and regeneration energy, which occurred at L/G = 2.5 for MEA and L/G = 3.25 for DEA.</w:t>
      </w:r>
    </w:p>
    <w:p w:rsidR="009C08C2" w:rsidRPr="009C08C2" w:rsidRDefault="009C08C2" w:rsidP="00642A09">
      <w:pPr>
        <w:pStyle w:val="CETBodytext"/>
      </w:pPr>
      <w:r w:rsidRPr="009C08C2">
        <w:lastRenderedPageBreak/>
        <w:t>Global CO</w:t>
      </w:r>
      <w:r w:rsidRPr="009C08C2">
        <w:rPr>
          <w:rFonts w:ascii="Cambria Math" w:hAnsi="Cambria Math" w:cs="Cambria Math"/>
        </w:rPr>
        <w:t>₂</w:t>
      </w:r>
      <w:r w:rsidRPr="009C08C2">
        <w:t xml:space="preserve"> capture was also evaluated by accounting for indirect emissions associated with steam consumption. Although the absorber achieves about 90% capture, </w:t>
      </w:r>
      <w:proofErr w:type="spellStart"/>
      <w:r w:rsidRPr="009C08C2">
        <w:t>reboiler</w:t>
      </w:r>
      <w:proofErr w:type="spellEnd"/>
      <w:r w:rsidRPr="009C08C2">
        <w:t xml:space="preserve"> steam generation introduces additional CO</w:t>
      </w:r>
      <w:r w:rsidRPr="009C08C2">
        <w:rPr>
          <w:rFonts w:ascii="Cambria Math" w:hAnsi="Cambria Math" w:cs="Cambria Math"/>
        </w:rPr>
        <w:t>₂</w:t>
      </w:r>
      <w:r w:rsidRPr="009C08C2">
        <w:t xml:space="preserve"> emissions. In the analyzed case, with 32.9 t/h of CO</w:t>
      </w:r>
      <w:r w:rsidRPr="009C08C2">
        <w:rPr>
          <w:rFonts w:ascii="Cambria Math" w:hAnsi="Cambria Math" w:cs="Cambria Math"/>
        </w:rPr>
        <w:t>₂</w:t>
      </w:r>
      <w:r w:rsidRPr="009C08C2">
        <w:t xml:space="preserve"> in the flue gas, </w:t>
      </w:r>
      <w:proofErr w:type="gramStart"/>
      <w:r w:rsidRPr="009C08C2">
        <w:t>about 29.6 t/h</w:t>
      </w:r>
      <w:proofErr w:type="gramEnd"/>
      <w:r w:rsidRPr="009C08C2">
        <w:t xml:space="preserve"> are captured; however, indirect emissions of approximately 14 t/h reduce the overall capture efficiency to around 60%.</w:t>
      </w:r>
      <w:r w:rsidR="00E419EA">
        <w:t xml:space="preserve"> </w:t>
      </w:r>
      <w:r w:rsidRPr="009C08C2">
        <w:t>From the solvent performance assessment, the CO</w:t>
      </w:r>
      <w:r w:rsidRPr="009C08C2">
        <w:rPr>
          <w:rFonts w:ascii="Cambria Math" w:hAnsi="Cambria Math" w:cs="Cambria Math"/>
        </w:rPr>
        <w:t>₂</w:t>
      </w:r>
      <w:r w:rsidRPr="009C08C2">
        <w:t xml:space="preserve"> loading per mole of solvent and the associated energy demand were estimated. The results were 0.30 </w:t>
      </w:r>
      <w:proofErr w:type="spellStart"/>
      <w:r w:rsidRPr="009C08C2">
        <w:t>mol</w:t>
      </w:r>
      <w:proofErr w:type="spellEnd"/>
      <w:r w:rsidRPr="009C08C2">
        <w:t xml:space="preserve"> CO</w:t>
      </w:r>
      <w:r w:rsidRPr="009C08C2">
        <w:rPr>
          <w:rFonts w:ascii="Cambria Math" w:hAnsi="Cambria Math" w:cs="Cambria Math"/>
        </w:rPr>
        <w:t>₂</w:t>
      </w:r>
      <w:r w:rsidRPr="009C08C2">
        <w:t>/</w:t>
      </w:r>
      <w:proofErr w:type="spellStart"/>
      <w:r w:rsidRPr="009C08C2">
        <w:t>mol</w:t>
      </w:r>
      <w:proofErr w:type="spellEnd"/>
      <w:r w:rsidRPr="009C08C2">
        <w:t xml:space="preserve"> MEA with an energy consumption of 4.38 GJ/</w:t>
      </w:r>
      <w:proofErr w:type="spellStart"/>
      <w:r w:rsidRPr="009C08C2">
        <w:t>tCO</w:t>
      </w:r>
      <w:proofErr w:type="spellEnd"/>
      <w:r w:rsidRPr="009C08C2">
        <w:rPr>
          <w:rFonts w:ascii="Cambria Math" w:hAnsi="Cambria Math" w:cs="Cambria Math"/>
        </w:rPr>
        <w:t>₂</w:t>
      </w:r>
      <w:r w:rsidRPr="009C08C2">
        <w:t xml:space="preserve">, and 0.40 </w:t>
      </w:r>
      <w:proofErr w:type="spellStart"/>
      <w:r w:rsidRPr="009C08C2">
        <w:t>mol</w:t>
      </w:r>
      <w:proofErr w:type="spellEnd"/>
      <w:r w:rsidRPr="009C08C2">
        <w:t xml:space="preserve"> CO</w:t>
      </w:r>
      <w:r w:rsidRPr="009C08C2">
        <w:rPr>
          <w:rFonts w:ascii="Cambria Math" w:hAnsi="Cambria Math" w:cs="Cambria Math"/>
        </w:rPr>
        <w:t>₂</w:t>
      </w:r>
      <w:r w:rsidRPr="009C08C2">
        <w:t>/</w:t>
      </w:r>
      <w:proofErr w:type="spellStart"/>
      <w:r w:rsidRPr="009C08C2">
        <w:t>mol</w:t>
      </w:r>
      <w:proofErr w:type="spellEnd"/>
      <w:r w:rsidRPr="009C08C2">
        <w:t xml:space="preserve"> DEA with a demand of 4.72 GJ/</w:t>
      </w:r>
      <w:proofErr w:type="spellStart"/>
      <w:r w:rsidRPr="009C08C2">
        <w:t>tCO</w:t>
      </w:r>
      <w:proofErr w:type="spellEnd"/>
      <w:r w:rsidRPr="009C08C2">
        <w:rPr>
          <w:rFonts w:ascii="Cambria Math" w:hAnsi="Cambria Math" w:cs="Cambria Math"/>
        </w:rPr>
        <w:t>₂</w:t>
      </w:r>
      <w:r w:rsidRPr="009C08C2">
        <w:t xml:space="preserve">. These values align with literature ranges of 0.20 to 0.50 </w:t>
      </w:r>
      <w:proofErr w:type="spellStart"/>
      <w:r w:rsidRPr="009C08C2">
        <w:t>mol</w:t>
      </w:r>
      <w:proofErr w:type="spellEnd"/>
      <w:r w:rsidRPr="009C08C2">
        <w:t xml:space="preserve"> CO</w:t>
      </w:r>
      <w:r w:rsidRPr="009C08C2">
        <w:rPr>
          <w:rFonts w:ascii="Cambria Math" w:hAnsi="Cambria Math" w:cs="Cambria Math"/>
        </w:rPr>
        <w:t>₂</w:t>
      </w:r>
      <w:r w:rsidRPr="009C08C2">
        <w:t>/</w:t>
      </w:r>
      <w:proofErr w:type="spellStart"/>
      <w:r w:rsidRPr="009C08C2">
        <w:t>mol</w:t>
      </w:r>
      <w:proofErr w:type="spellEnd"/>
      <w:r w:rsidRPr="009C08C2">
        <w:t xml:space="preserve"> solvent and typical energy requirements </w:t>
      </w:r>
      <w:proofErr w:type="gramStart"/>
      <w:r w:rsidRPr="009C08C2">
        <w:t>of 3.6 to 4.2 GJ/</w:t>
      </w:r>
      <w:proofErr w:type="spellStart"/>
      <w:r w:rsidRPr="009C08C2">
        <w:t>tCO</w:t>
      </w:r>
      <w:proofErr w:type="spellEnd"/>
      <w:r w:rsidRPr="009C08C2">
        <w:rPr>
          <w:rFonts w:ascii="Cambria Math" w:hAnsi="Cambria Math" w:cs="Cambria Math"/>
        </w:rPr>
        <w:t>₂</w:t>
      </w:r>
      <w:r w:rsidRPr="009C08C2">
        <w:t xml:space="preserve"> for amine-based capture systems (</w:t>
      </w:r>
      <w:proofErr w:type="spellStart"/>
      <w:r w:rsidRPr="009C08C2">
        <w:t>Wiesberg</w:t>
      </w:r>
      <w:proofErr w:type="spellEnd"/>
      <w:r w:rsidRPr="009C08C2">
        <w:t xml:space="preserve"> et al., 2021; </w:t>
      </w:r>
      <w:proofErr w:type="spellStart"/>
      <w:r w:rsidRPr="009C08C2">
        <w:t>Xue</w:t>
      </w:r>
      <w:proofErr w:type="spellEnd"/>
      <w:r w:rsidRPr="009C08C2">
        <w:t xml:space="preserve"> et al., 2017; Wu et al., 2024)</w:t>
      </w:r>
      <w:proofErr w:type="gramEnd"/>
      <w:r w:rsidRPr="009C08C2">
        <w:t>.</w:t>
      </w:r>
    </w:p>
    <w:p w:rsidR="00600535" w:rsidRPr="00A65317" w:rsidRDefault="00F061C6" w:rsidP="00340D50">
      <w:pPr>
        <w:pStyle w:val="CETheadingx"/>
        <w:rPr>
          <w:lang w:val="pt-BR"/>
        </w:rPr>
      </w:pPr>
      <w:proofErr w:type="spellStart"/>
      <w:r w:rsidRPr="00A65317">
        <w:rPr>
          <w:lang w:val="pt-BR"/>
        </w:rPr>
        <w:t>Economic</w:t>
      </w:r>
      <w:proofErr w:type="spellEnd"/>
      <w:r w:rsidR="00957FF8">
        <w:rPr>
          <w:lang w:val="pt-BR"/>
        </w:rPr>
        <w:t xml:space="preserve"> </w:t>
      </w:r>
      <w:proofErr w:type="spellStart"/>
      <w:r w:rsidR="00340D50" w:rsidRPr="00A65317">
        <w:rPr>
          <w:lang w:val="pt-BR"/>
        </w:rPr>
        <w:t>Assessment</w:t>
      </w:r>
      <w:proofErr w:type="spellEnd"/>
    </w:p>
    <w:p w:rsidR="00642A09" w:rsidRDefault="004364D1" w:rsidP="00B00BCA">
      <w:pPr>
        <w:pStyle w:val="CETBodytext"/>
        <w:rPr>
          <w:lang w:val="en-GB"/>
        </w:rPr>
      </w:pPr>
      <w:r w:rsidRPr="004364D1">
        <w:rPr>
          <w:lang w:val="en-GB"/>
        </w:rPr>
        <w:t>Based on the optimal conditions identified in the simulations, capital (CAPEX) and operating (OPEX</w:t>
      </w:r>
      <w:r w:rsidR="006974C9">
        <w:rPr>
          <w:lang w:val="en-GB"/>
        </w:rPr>
        <w:t>) costs were estimated. Figure 2</w:t>
      </w:r>
      <w:r w:rsidRPr="004364D1">
        <w:rPr>
          <w:lang w:val="en-GB"/>
        </w:rPr>
        <w:t xml:space="preserve"> summarizes the CAPEX breakdown by equipment and the total CAPEX and OPEX for each solvent</w:t>
      </w:r>
      <w:r w:rsidR="006974C9">
        <w:rPr>
          <w:lang w:val="en-GB"/>
        </w:rPr>
        <w:t>.</w:t>
      </w:r>
    </w:p>
    <w:p w:rsidR="00AF10FC" w:rsidRPr="00B01C21" w:rsidRDefault="00AF10FC" w:rsidP="00B00BCA">
      <w:pPr>
        <w:pStyle w:val="CETBodytext"/>
        <w:rPr>
          <w:rStyle w:val="CETCaptionCarattere"/>
          <w:i w:val="0"/>
        </w:rPr>
      </w:pPr>
    </w:p>
    <w:p w:rsidR="006933E8" w:rsidRPr="006974C9" w:rsidRDefault="00414977" w:rsidP="00B00BCA">
      <w:pPr>
        <w:pStyle w:val="CETBodytext"/>
        <w:rPr>
          <w:rStyle w:val="CETCaptionCarattere"/>
          <w:noProof/>
          <w:lang w:val="en-US" w:eastAsia="pt-BR"/>
        </w:rPr>
      </w:pPr>
      <w:r w:rsidRPr="00414977">
        <w:rPr>
          <w:rStyle w:val="CETCaptionCarattere"/>
          <w:noProof/>
          <w:lang w:val="en-US"/>
        </w:rPr>
        <w:drawing>
          <wp:inline distT="0" distB="0" distL="0" distR="0" wp14:anchorId="34F126FF" wp14:editId="0A296537">
            <wp:extent cx="5303520" cy="205453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68898" cy="2079861"/>
                    </a:xfrm>
                    <a:prstGeom prst="rect">
                      <a:avLst/>
                    </a:prstGeom>
                  </pic:spPr>
                </pic:pic>
              </a:graphicData>
            </a:graphic>
          </wp:inline>
        </w:drawing>
      </w:r>
    </w:p>
    <w:p w:rsidR="00B00BCA" w:rsidRDefault="006974C9" w:rsidP="00B00BCA">
      <w:pPr>
        <w:pStyle w:val="CETBodytext"/>
        <w:rPr>
          <w:i/>
        </w:rPr>
      </w:pPr>
      <w:r>
        <w:rPr>
          <w:rStyle w:val="CETCaptionCarattere"/>
        </w:rPr>
        <w:t>Figure 2</w:t>
      </w:r>
      <w:r w:rsidR="00B00BCA" w:rsidRPr="00BD077D">
        <w:rPr>
          <w:rStyle w:val="CETCaptionCarattere"/>
        </w:rPr>
        <w:t>:</w:t>
      </w:r>
      <w:r w:rsidR="009530E1">
        <w:rPr>
          <w:rStyle w:val="CETCaptionCarattere"/>
        </w:rPr>
        <w:t xml:space="preserve"> </w:t>
      </w:r>
      <w:proofErr w:type="gramStart"/>
      <w:r w:rsidR="00642A09">
        <w:rPr>
          <w:i/>
        </w:rPr>
        <w:t>CAPEX</w:t>
      </w:r>
      <w:r w:rsidR="004B0AE6" w:rsidRPr="004B0AE6">
        <w:rPr>
          <w:rFonts w:cs="Arial"/>
          <w:szCs w:val="18"/>
          <w:lang w:eastAsia="pt-BR"/>
        </w:rPr>
        <w:t>(</w:t>
      </w:r>
      <w:proofErr w:type="gramEnd"/>
      <w:r w:rsidR="004B0AE6" w:rsidRPr="004B0AE6">
        <w:rPr>
          <w:rFonts w:cs="Arial"/>
          <w:szCs w:val="18"/>
          <w:lang w:eastAsia="pt-BR"/>
        </w:rPr>
        <w:t>a)</w:t>
      </w:r>
      <w:r w:rsidR="00642A09">
        <w:rPr>
          <w:i/>
        </w:rPr>
        <w:t xml:space="preserve"> e O</w:t>
      </w:r>
      <w:r w:rsidR="00B00BCA">
        <w:rPr>
          <w:i/>
        </w:rPr>
        <w:t>PEX</w:t>
      </w:r>
      <w:r w:rsidR="004B0AE6">
        <w:rPr>
          <w:rFonts w:cs="Arial"/>
          <w:szCs w:val="18"/>
          <w:lang w:eastAsia="pt-BR"/>
        </w:rPr>
        <w:t>(b</w:t>
      </w:r>
      <w:r w:rsidR="004B0AE6" w:rsidRPr="004B0AE6">
        <w:rPr>
          <w:rFonts w:cs="Arial"/>
          <w:szCs w:val="18"/>
          <w:lang w:eastAsia="pt-BR"/>
        </w:rPr>
        <w:t>)</w:t>
      </w:r>
      <w:r w:rsidR="00B00BCA">
        <w:rPr>
          <w:i/>
        </w:rPr>
        <w:t xml:space="preserve"> values for MEA and DEA.</w:t>
      </w:r>
    </w:p>
    <w:p w:rsidR="00642A09" w:rsidRDefault="00642A09" w:rsidP="00B00BCA">
      <w:pPr>
        <w:pStyle w:val="CETBodytext"/>
        <w:rPr>
          <w:i/>
        </w:rPr>
      </w:pPr>
    </w:p>
    <w:p w:rsidR="003E0E3D" w:rsidRPr="003E0E3D" w:rsidRDefault="003E0E3D" w:rsidP="003E0E3D">
      <w:pPr>
        <w:pStyle w:val="CETBodytext"/>
      </w:pPr>
      <w:r w:rsidRPr="003E0E3D">
        <w:t>A comparative assessment shows that the MEA-based process yields lower capital and operating costs than the DEA case. For CAPEX, the main contributors are the columns, the compressor, and the flue-gas cooler, consistent with the larger size and complexity of these units. Solvent purchase is higher for DEA, as a larger solvent flow rate is required to reach the same capture efficiency. For OPEX, utilities dominate, with steam consumption as the main cost driver. Utility water has a secondary contribution, while solvent make-up has a minor effect on annual cost and is even lower for DEA due to its lower solvent loss rate over the process.</w:t>
      </w:r>
    </w:p>
    <w:p w:rsidR="003E0E3D" w:rsidRPr="003E0E3D" w:rsidRDefault="003E0E3D" w:rsidP="003E0E3D">
      <w:pPr>
        <w:pStyle w:val="CETBodytext"/>
      </w:pPr>
      <w:r w:rsidRPr="003E0E3D">
        <w:t>Under the evaluated conditions, the MEA system resulted in a total CAPEX of US$ 6.77 milli</w:t>
      </w:r>
      <w:r w:rsidR="004400AB">
        <w:t>on (annualized CAPEX of US$ 0.79</w:t>
      </w:r>
      <w:r w:rsidRPr="003E0E3D">
        <w:t xml:space="preserve"> million per year) and an OPEX of US$ 19.59 million per year. For DEA, the total CAPEX was US$ 7.63 milli</w:t>
      </w:r>
      <w:r w:rsidR="004400AB">
        <w:t>on (annualized CAPEX of US$ 0.89</w:t>
      </w:r>
      <w:r w:rsidRPr="003E0E3D">
        <w:t xml:space="preserve"> million per year) and the OPEX was US$ 20.89 million per year, confirming MEA as the most cost-effective option.</w:t>
      </w:r>
    </w:p>
    <w:p w:rsidR="003E0E3D" w:rsidRPr="003E0E3D" w:rsidRDefault="003E0E3D" w:rsidP="003E0E3D">
      <w:pPr>
        <w:pStyle w:val="CETBodytext"/>
      </w:pPr>
      <w:r w:rsidRPr="003E0E3D">
        <w:t>The total CO</w:t>
      </w:r>
      <w:r w:rsidRPr="003E0E3D">
        <w:rPr>
          <w:rFonts w:ascii="Cambria Math" w:hAnsi="Cambria Math" w:cs="Cambria Math"/>
        </w:rPr>
        <w:t>₂</w:t>
      </w:r>
      <w:r w:rsidRPr="003E0E3D">
        <w:t xml:space="preserve"> capture cost was estimated at US$ 81.9 per </w:t>
      </w:r>
      <w:proofErr w:type="spellStart"/>
      <w:r w:rsidRPr="003E0E3D">
        <w:t>tCO</w:t>
      </w:r>
      <w:proofErr w:type="spellEnd"/>
      <w:r w:rsidRPr="003E0E3D">
        <w:rPr>
          <w:rFonts w:ascii="Cambria Math" w:hAnsi="Cambria Math" w:cs="Cambria Math"/>
        </w:rPr>
        <w:t>₂</w:t>
      </w:r>
      <w:r w:rsidRPr="003E0E3D">
        <w:t xml:space="preserve"> for MEA and US$ 87.5 per </w:t>
      </w:r>
      <w:proofErr w:type="spellStart"/>
      <w:r w:rsidRPr="003E0E3D">
        <w:t>tCO</w:t>
      </w:r>
      <w:proofErr w:type="spellEnd"/>
      <w:r w:rsidRPr="003E0E3D">
        <w:rPr>
          <w:rFonts w:ascii="Cambria Math" w:hAnsi="Cambria Math" w:cs="Cambria Math"/>
        </w:rPr>
        <w:t>₂</w:t>
      </w:r>
      <w:r w:rsidRPr="003E0E3D">
        <w:t xml:space="preserve"> for DEA, indicating higher techno-economic viability for MEA. </w:t>
      </w:r>
      <w:proofErr w:type="spellStart"/>
      <w:r w:rsidRPr="003E0E3D">
        <w:t>Wiesberg</w:t>
      </w:r>
      <w:proofErr w:type="spellEnd"/>
      <w:r w:rsidRPr="003E0E3D">
        <w:t xml:space="preserve"> et al. (2021) reported BECCS capture costs in the range of US$ 88 to 288 per </w:t>
      </w:r>
      <w:proofErr w:type="spellStart"/>
      <w:r w:rsidRPr="003E0E3D">
        <w:t>tCO</w:t>
      </w:r>
      <w:proofErr w:type="spellEnd"/>
      <w:r w:rsidRPr="003E0E3D">
        <w:rPr>
          <w:rFonts w:ascii="Cambria Math" w:hAnsi="Cambria Math" w:cs="Cambria Math"/>
        </w:rPr>
        <w:t>₂</w:t>
      </w:r>
      <w:r w:rsidRPr="003E0E3D">
        <w:t>. This assessment excludes CO</w:t>
      </w:r>
      <w:r w:rsidRPr="003E0E3D">
        <w:rPr>
          <w:rFonts w:ascii="Cambria Math" w:hAnsi="Cambria Math" w:cs="Cambria Math"/>
        </w:rPr>
        <w:t>₂</w:t>
      </w:r>
      <w:r w:rsidRPr="003E0E3D">
        <w:t xml:space="preserve"> transport, storage or utilization, as well as solvent degradation, equipment corrosion, and environmental impacts, and should therefore be interpreted as a strictly technical and economic evaluation.</w:t>
      </w:r>
      <w:r w:rsidR="002C0556">
        <w:t xml:space="preserve"> Due to</w:t>
      </w:r>
      <w:r w:rsidRPr="003E0E3D">
        <w:rPr>
          <w:lang w:val="en-GB"/>
        </w:rPr>
        <w:t xml:space="preserve"> the strong influence of steam demand, a sensitivity analysis was performed to quantify the effect of steam price on the final capture cost. </w:t>
      </w:r>
      <w:r w:rsidR="00163D1B" w:rsidRPr="00163D1B">
        <w:t xml:space="preserve">For the proposed steam cost range, the sensitivity analysis showed a variation of </w:t>
      </w:r>
      <w:r w:rsidR="00EE2534">
        <w:t>US</w:t>
      </w:r>
      <w:r w:rsidR="00163D1B" w:rsidRPr="00163D1B">
        <w:t xml:space="preserve">$50 to </w:t>
      </w:r>
      <w:r w:rsidR="00EE2534">
        <w:t>US</w:t>
      </w:r>
      <w:r w:rsidR="00163D1B" w:rsidRPr="00163D1B">
        <w:t>$100/tCO</w:t>
      </w:r>
      <w:r w:rsidR="00163D1B" w:rsidRPr="00163D1B">
        <w:rPr>
          <w:vertAlign w:val="subscript"/>
        </w:rPr>
        <w:t>2</w:t>
      </w:r>
      <w:r w:rsidR="00163D1B" w:rsidRPr="00163D1B">
        <w:t xml:space="preserve"> and</w:t>
      </w:r>
      <w:r w:rsidR="003A3317">
        <w:t xml:space="preserve"> </w:t>
      </w:r>
      <w:r w:rsidR="00163D1B">
        <w:rPr>
          <w:lang w:val="en-GB"/>
        </w:rPr>
        <w:t>t</w:t>
      </w:r>
      <w:r w:rsidRPr="003E0E3D">
        <w:rPr>
          <w:lang w:val="en-GB"/>
        </w:rPr>
        <w:t>he results show a linear relationship, highlighting the dominant role of steam in the overall cost and reinforcing it as a key constraint on the economic viability of amine-based CO</w:t>
      </w:r>
      <w:r w:rsidRPr="003E0E3D">
        <w:rPr>
          <w:rFonts w:ascii="Cambria Math" w:hAnsi="Cambria Math" w:cs="Cambria Math"/>
          <w:lang w:val="en-GB"/>
        </w:rPr>
        <w:t>₂</w:t>
      </w:r>
      <w:r w:rsidRPr="003E0E3D">
        <w:rPr>
          <w:lang w:val="en-GB"/>
        </w:rPr>
        <w:t xml:space="preserve"> capture</w:t>
      </w:r>
      <w:r>
        <w:rPr>
          <w:lang w:val="en-GB"/>
        </w:rPr>
        <w:t>.</w:t>
      </w:r>
    </w:p>
    <w:p w:rsidR="001F02ED" w:rsidRPr="00AB0850" w:rsidRDefault="00600535" w:rsidP="001F02ED">
      <w:pPr>
        <w:pStyle w:val="CETHeading1"/>
        <w:rPr>
          <w:lang w:val="en-GB"/>
        </w:rPr>
      </w:pPr>
      <w:r w:rsidRPr="00B57B36">
        <w:rPr>
          <w:lang w:val="en-GB"/>
        </w:rPr>
        <w:t>Conclusions</w:t>
      </w:r>
    </w:p>
    <w:p w:rsidR="000207D8" w:rsidRPr="00D57119" w:rsidRDefault="000207D8" w:rsidP="000207D8">
      <w:pPr>
        <w:pStyle w:val="CETBodytext"/>
      </w:pPr>
      <w:r>
        <w:t>CO</w:t>
      </w:r>
      <w:r>
        <w:rPr>
          <w:rFonts w:ascii="Cambria Math" w:hAnsi="Cambria Math" w:cs="Cambria Math"/>
        </w:rPr>
        <w:t>₂</w:t>
      </w:r>
      <w:r>
        <w:t xml:space="preserve"> capture from sugarcane bagasse boiler flue gases via amine absorption proved to be technically feasible, but it is associated with high energy consumption, mainly due to the steam demand in the solvent regeneration step. Among the solvents evaluated, MEA showed better technical and economic performance than DEA, resulting in lower capital and ope</w:t>
      </w:r>
      <w:r w:rsidR="004B637C">
        <w:t xml:space="preserve">rating costs. </w:t>
      </w:r>
      <w:r w:rsidR="00761380">
        <w:t>Despite the economic challenges</w:t>
      </w:r>
      <w:r w:rsidR="00761380">
        <w:t xml:space="preserve">, </w:t>
      </w:r>
      <w:r>
        <w:t>implementing CO</w:t>
      </w:r>
      <w:r>
        <w:rPr>
          <w:rFonts w:ascii="Cambria Math" w:hAnsi="Cambria Math" w:cs="Cambria Math"/>
        </w:rPr>
        <w:t>₂</w:t>
      </w:r>
      <w:r w:rsidR="00B57D0C">
        <w:rPr>
          <w:rFonts w:ascii="Cambria Math" w:hAnsi="Cambria Math" w:cs="Cambria Math"/>
        </w:rPr>
        <w:t xml:space="preserve"> </w:t>
      </w:r>
      <w:r>
        <w:t>capture in biomass-based systems constitutes a BECCS route, enabling net-negative emissions. Therefore, this process has significant potential for mitigating greenhouse gas emissions.</w:t>
      </w:r>
    </w:p>
    <w:p w:rsidR="00600535" w:rsidRPr="00B57B36" w:rsidRDefault="00600535" w:rsidP="00600535">
      <w:pPr>
        <w:pStyle w:val="CETAcknowledgementstitle"/>
      </w:pPr>
      <w:r w:rsidRPr="00B57B36">
        <w:lastRenderedPageBreak/>
        <w:t>Acknowledgments</w:t>
      </w:r>
    </w:p>
    <w:p w:rsidR="00FA32CC" w:rsidRPr="00B55A89" w:rsidRDefault="00FA32CC" w:rsidP="00D230BA">
      <w:pPr>
        <w:pStyle w:val="CETBodytext"/>
        <w:rPr>
          <w:rFonts w:cs="Arial"/>
          <w:szCs w:val="18"/>
          <w:lang w:val="en-GB"/>
        </w:rPr>
      </w:pPr>
      <w:r w:rsidRPr="00FA32CC">
        <w:rPr>
          <w:lang w:val="en-GB"/>
        </w:rPr>
        <w:t>This study was financially supported by the Human Resources Training Program of the Brazilian National Agency for Petroleum, Natural Gas and Biofuels (PRH-ANP), under the management of the São Paulo Research Foundation (FAPESP), Brazil, Process No. 2025/20378-5</w:t>
      </w:r>
      <w:r w:rsidR="00B62537">
        <w:rPr>
          <w:lang w:val="en-GB"/>
        </w:rPr>
        <w:t>; by</w:t>
      </w:r>
      <w:r w:rsidRPr="00FA32CC">
        <w:rPr>
          <w:lang w:val="en-GB"/>
        </w:rPr>
        <w:t xml:space="preserve"> CENPES/PETROBRAS</w:t>
      </w:r>
      <w:r w:rsidR="00B62537">
        <w:rPr>
          <w:lang w:val="en-GB"/>
        </w:rPr>
        <w:t xml:space="preserve">; by </w:t>
      </w:r>
      <w:r w:rsidR="001C57EE" w:rsidRPr="0065242E">
        <w:t>National Council for Scientific and Technological Development (</w:t>
      </w:r>
      <w:proofErr w:type="spellStart"/>
      <w:r w:rsidR="001C57EE" w:rsidRPr="0065242E">
        <w:t>CNPq</w:t>
      </w:r>
      <w:proofErr w:type="spellEnd"/>
      <w:r w:rsidR="001C57EE" w:rsidRPr="0065242E">
        <w:t>), grant</w:t>
      </w:r>
      <w:r w:rsidR="00957FF8">
        <w:t>s</w:t>
      </w:r>
      <w:r w:rsidR="001C57EE" w:rsidRPr="0065242E">
        <w:t xml:space="preserve"> numbe</w:t>
      </w:r>
      <w:r w:rsidR="00957FF8">
        <w:t xml:space="preserve">rs </w:t>
      </w:r>
      <w:r w:rsidR="001C57EE" w:rsidRPr="0065242E">
        <w:t>302888/2023-3</w:t>
      </w:r>
      <w:r w:rsidR="00957FF8">
        <w:t xml:space="preserve">; </w:t>
      </w:r>
      <w:r w:rsidR="00957FF8" w:rsidRPr="00957FF8">
        <w:t>308672/2025-9</w:t>
      </w:r>
      <w:r w:rsidR="00B62537">
        <w:t xml:space="preserve">; </w:t>
      </w:r>
      <w:r w:rsidR="00B55A89">
        <w:rPr>
          <w:rFonts w:cs="Arial"/>
          <w:color w:val="222222"/>
          <w:shd w:val="clear" w:color="auto" w:fill="FFFFFF"/>
        </w:rPr>
        <w:t xml:space="preserve">311193/2020-0; </w:t>
      </w:r>
      <w:r w:rsidR="00D61D32">
        <w:rPr>
          <w:rFonts w:cs="Arial"/>
          <w:color w:val="222222"/>
          <w:shd w:val="clear" w:color="auto" w:fill="FFFFFF"/>
        </w:rPr>
        <w:t xml:space="preserve">by </w:t>
      </w:r>
      <w:r w:rsidR="001C57EE" w:rsidRPr="0065242E">
        <w:t>the Program of Academic Excellence (PROEX), grant number 33003017034p8</w:t>
      </w:r>
      <w:r w:rsidR="00B55A89">
        <w:t xml:space="preserve"> and, also, t</w:t>
      </w:r>
      <w:r w:rsidR="00B55A89">
        <w:rPr>
          <w:rFonts w:cs="Arial"/>
          <w:color w:val="222222"/>
          <w:shd w:val="clear" w:color="auto" w:fill="FFFFFF"/>
        </w:rPr>
        <w:t>his study was financed by the São Paulo Re</w:t>
      </w:r>
      <w:r w:rsidR="00B57D0C">
        <w:rPr>
          <w:rFonts w:cs="Arial"/>
          <w:color w:val="222222"/>
          <w:shd w:val="clear" w:color="auto" w:fill="FFFFFF"/>
        </w:rPr>
        <w:t>search Foundation (FAPESP), Braz</w:t>
      </w:r>
      <w:r w:rsidR="00B55A89">
        <w:rPr>
          <w:rFonts w:cs="Arial"/>
          <w:color w:val="222222"/>
          <w:shd w:val="clear" w:color="auto" w:fill="FFFFFF"/>
        </w:rPr>
        <w:t xml:space="preserve">il. Process Number </w:t>
      </w:r>
      <w:r w:rsidR="00B55A89" w:rsidRPr="00B55A89">
        <w:rPr>
          <w:rFonts w:cs="Arial"/>
          <w:color w:val="222222"/>
          <w:szCs w:val="18"/>
          <w:shd w:val="clear" w:color="auto" w:fill="FFFFFF"/>
        </w:rPr>
        <w:t>#</w:t>
      </w:r>
      <w:r w:rsidR="00B55A89" w:rsidRPr="00B55A89">
        <w:rPr>
          <w:rFonts w:cs="Arial"/>
          <w:color w:val="000000"/>
          <w:szCs w:val="18"/>
          <w:shd w:val="clear" w:color="auto" w:fill="FFFFFF"/>
        </w:rPr>
        <w:t>2022/16379-8</w:t>
      </w:r>
      <w:r w:rsidR="00B62537">
        <w:rPr>
          <w:rFonts w:cs="Arial"/>
          <w:color w:val="000000"/>
          <w:szCs w:val="18"/>
          <w:shd w:val="clear" w:color="auto" w:fill="FFFFFF"/>
        </w:rPr>
        <w:t>.</w:t>
      </w:r>
      <w:r w:rsidR="00B55A89" w:rsidRPr="00B55A89">
        <w:rPr>
          <w:rFonts w:cs="Arial"/>
          <w:szCs w:val="18"/>
        </w:rPr>
        <w:t xml:space="preserve"> </w:t>
      </w:r>
    </w:p>
    <w:p w:rsidR="0096474F" w:rsidRDefault="0096474F" w:rsidP="0096474F">
      <w:pPr>
        <w:pStyle w:val="CETReference"/>
      </w:pPr>
      <w:r>
        <w:t>References</w:t>
      </w:r>
    </w:p>
    <w:p w:rsidR="00FB50B7" w:rsidRPr="006D736E" w:rsidRDefault="003F20FB" w:rsidP="00A11876">
      <w:pPr>
        <w:pStyle w:val="CETReferencetext"/>
        <w:rPr>
          <w:lang w:val="pt-BR"/>
        </w:rPr>
      </w:pPr>
      <w:r>
        <w:t xml:space="preserve">Accio, </w:t>
      </w:r>
      <w:r w:rsidR="00E335E3">
        <w:t>2026</w:t>
      </w:r>
      <w:r w:rsidR="00FB50B7" w:rsidRPr="00FB50B7">
        <w:t xml:space="preserve">. </w:t>
      </w:r>
      <w:r w:rsidR="00FB50B7" w:rsidRPr="00A11876">
        <w:t xml:space="preserve">Chemical price database: </w:t>
      </w:r>
      <w:proofErr w:type="spellStart"/>
      <w:r w:rsidR="001B71C4">
        <w:t>Monoethanolamine</w:t>
      </w:r>
      <w:proofErr w:type="spellEnd"/>
      <w:r w:rsidR="001B71C4">
        <w:t xml:space="preserve"> and </w:t>
      </w:r>
      <w:proofErr w:type="spellStart"/>
      <w:r w:rsidR="001B71C4">
        <w:t>D</w:t>
      </w:r>
      <w:r w:rsidR="00FB50B7" w:rsidRPr="00A11876">
        <w:t>iethanolamine</w:t>
      </w:r>
      <w:proofErr w:type="spellEnd"/>
      <w:r w:rsidR="00FB50B7" w:rsidRPr="00FB50B7">
        <w:t xml:space="preserve">. </w:t>
      </w:r>
      <w:r w:rsidR="001B71C4" w:rsidRPr="006D736E">
        <w:rPr>
          <w:lang w:val="pt-BR"/>
        </w:rPr>
        <w:t>&lt;</w:t>
      </w:r>
      <w:r w:rsidR="004F5612" w:rsidRPr="006D736E">
        <w:rPr>
          <w:lang w:val="pt-BR"/>
        </w:rPr>
        <w:t>www.accio.ai</w:t>
      </w:r>
      <w:r w:rsidR="001B71C4" w:rsidRPr="006D736E">
        <w:rPr>
          <w:lang w:val="pt-BR"/>
        </w:rPr>
        <w:t>&gt;</w:t>
      </w:r>
      <w:r w:rsidR="00E335E3" w:rsidRPr="006D736E">
        <w:rPr>
          <w:lang w:val="pt-BR"/>
        </w:rPr>
        <w:t xml:space="preserve"> </w:t>
      </w:r>
      <w:proofErr w:type="spellStart"/>
      <w:r w:rsidR="00AB2CC3">
        <w:rPr>
          <w:lang w:val="pt-BR"/>
        </w:rPr>
        <w:t>accessed</w:t>
      </w:r>
      <w:proofErr w:type="spellEnd"/>
      <w:r w:rsidR="00AB2CC3">
        <w:rPr>
          <w:lang w:val="pt-BR"/>
        </w:rPr>
        <w:t xml:space="preserve"> 20</w:t>
      </w:r>
      <w:r w:rsidR="00E335E3" w:rsidRPr="006D736E">
        <w:rPr>
          <w:lang w:val="pt-BR"/>
        </w:rPr>
        <w:t>.0</w:t>
      </w:r>
      <w:r w:rsidR="00E335E3" w:rsidRPr="006D736E">
        <w:rPr>
          <w:lang w:val="pt-BR"/>
        </w:rPr>
        <w:t>1.2026</w:t>
      </w:r>
      <w:r w:rsidR="00FB50B7" w:rsidRPr="006D736E">
        <w:rPr>
          <w:lang w:val="pt-BR"/>
        </w:rPr>
        <w:t>.</w:t>
      </w:r>
    </w:p>
    <w:p w:rsidR="00A11876" w:rsidRPr="008820F3" w:rsidRDefault="00A11876" w:rsidP="00A11876">
      <w:pPr>
        <w:pStyle w:val="CETReferencetext"/>
        <w:rPr>
          <w:lang w:val="pt-BR"/>
        </w:rPr>
      </w:pPr>
      <w:r w:rsidRPr="0096474F">
        <w:rPr>
          <w:lang w:val="pt-BR"/>
        </w:rPr>
        <w:t xml:space="preserve">Agência Nacional de </w:t>
      </w:r>
      <w:r w:rsidR="006D736E">
        <w:rPr>
          <w:lang w:val="pt-BR"/>
        </w:rPr>
        <w:t xml:space="preserve">Águas e Saneamento Básico (ANA), </w:t>
      </w:r>
      <w:r w:rsidR="008820F3">
        <w:rPr>
          <w:lang w:val="pt-BR"/>
        </w:rPr>
        <w:t>2026</w:t>
      </w:r>
      <w:r w:rsidRPr="006D736E">
        <w:rPr>
          <w:lang w:val="pt-BR"/>
        </w:rPr>
        <w:t xml:space="preserve">. </w:t>
      </w:r>
      <w:r w:rsidRPr="00A11876">
        <w:rPr>
          <w:iCs/>
        </w:rPr>
        <w:t>Water resources management in Brazil: Annual report</w:t>
      </w:r>
      <w:r w:rsidR="008159E5">
        <w:rPr>
          <w:lang w:val="en-US"/>
        </w:rPr>
        <w:t xml:space="preserve"> </w:t>
      </w:r>
      <w:r w:rsidR="008159E5" w:rsidRPr="008159E5">
        <w:rPr>
          <w:lang w:val="en-US"/>
        </w:rPr>
        <w:t xml:space="preserve">(in Portuguese). </w:t>
      </w:r>
      <w:r w:rsidR="008159E5" w:rsidRPr="008820F3">
        <w:rPr>
          <w:lang w:val="pt-BR"/>
        </w:rPr>
        <w:t>&lt;www.gov.br/</w:t>
      </w:r>
      <w:proofErr w:type="spellStart"/>
      <w:r w:rsidR="008159E5" w:rsidRPr="008820F3">
        <w:rPr>
          <w:lang w:val="pt-BR"/>
        </w:rPr>
        <w:t>ana</w:t>
      </w:r>
      <w:proofErr w:type="spellEnd"/>
      <w:r w:rsidR="008159E5" w:rsidRPr="008820F3">
        <w:rPr>
          <w:lang w:val="pt-BR"/>
        </w:rPr>
        <w:t xml:space="preserve">&gt; </w:t>
      </w:r>
      <w:proofErr w:type="spellStart"/>
      <w:r w:rsidR="00AB2CC3" w:rsidRPr="008820F3">
        <w:rPr>
          <w:lang w:val="pt-BR"/>
        </w:rPr>
        <w:t>accessed</w:t>
      </w:r>
      <w:proofErr w:type="spellEnd"/>
      <w:r w:rsidR="00AB2CC3" w:rsidRPr="008820F3">
        <w:rPr>
          <w:lang w:val="pt-BR"/>
        </w:rPr>
        <w:t xml:space="preserve"> 22</w:t>
      </w:r>
      <w:r w:rsidR="008159E5" w:rsidRPr="008820F3">
        <w:rPr>
          <w:lang w:val="pt-BR"/>
        </w:rPr>
        <w:t>.01.2026.</w:t>
      </w:r>
    </w:p>
    <w:p w:rsidR="00A11876" w:rsidRPr="003F20FB" w:rsidRDefault="00A11876" w:rsidP="00A11876">
      <w:pPr>
        <w:pStyle w:val="CETReferencetext"/>
        <w:rPr>
          <w:lang w:val="pt-BR"/>
        </w:rPr>
      </w:pPr>
      <w:r w:rsidRPr="00AB2CC3">
        <w:rPr>
          <w:lang w:val="pt-BR"/>
        </w:rPr>
        <w:t>Agência Nacion</w:t>
      </w:r>
      <w:r w:rsidR="00AB2CC3">
        <w:rPr>
          <w:lang w:val="pt-BR"/>
        </w:rPr>
        <w:t>al d</w:t>
      </w:r>
      <w:r w:rsidR="008820F3">
        <w:rPr>
          <w:lang w:val="pt-BR"/>
        </w:rPr>
        <w:t>e Energia Elétrica (ANEEL), 2026</w:t>
      </w:r>
      <w:r w:rsidRPr="00AB2CC3">
        <w:rPr>
          <w:lang w:val="pt-BR"/>
        </w:rPr>
        <w:t xml:space="preserve">. </w:t>
      </w:r>
      <w:r w:rsidRPr="008159E5">
        <w:rPr>
          <w:iCs/>
          <w:lang w:val="en-US"/>
        </w:rPr>
        <w:t>Brazilian electricity tariff report</w:t>
      </w:r>
      <w:r w:rsidR="00AB2CC3">
        <w:rPr>
          <w:iCs/>
          <w:lang w:val="en-US"/>
        </w:rPr>
        <w:t xml:space="preserve"> </w:t>
      </w:r>
      <w:r w:rsidR="00AB2CC3" w:rsidRPr="008159E5">
        <w:rPr>
          <w:lang w:val="en-US"/>
        </w:rPr>
        <w:t>(in Portuguese)</w:t>
      </w:r>
      <w:r w:rsidRPr="008159E5">
        <w:rPr>
          <w:lang w:val="en-US"/>
        </w:rPr>
        <w:t>.</w:t>
      </w:r>
      <w:r w:rsidR="00077CDD" w:rsidRPr="008159E5">
        <w:rPr>
          <w:lang w:val="en-US"/>
        </w:rPr>
        <w:t xml:space="preserve"> </w:t>
      </w:r>
      <w:r w:rsidR="00AB2CC3" w:rsidRPr="003F20FB">
        <w:rPr>
          <w:lang w:val="pt-BR"/>
        </w:rPr>
        <w:t xml:space="preserve">&lt;www.aneel.gov.br&gt; </w:t>
      </w:r>
      <w:proofErr w:type="spellStart"/>
      <w:r w:rsidR="00AB2CC3">
        <w:rPr>
          <w:lang w:val="pt-BR"/>
        </w:rPr>
        <w:t>accessed</w:t>
      </w:r>
      <w:proofErr w:type="spellEnd"/>
      <w:r w:rsidR="00AB2CC3">
        <w:rPr>
          <w:lang w:val="pt-BR"/>
        </w:rPr>
        <w:t xml:space="preserve"> 22</w:t>
      </w:r>
      <w:r w:rsidR="00AB2CC3" w:rsidRPr="006D736E">
        <w:rPr>
          <w:lang w:val="pt-BR"/>
        </w:rPr>
        <w:t>.01.2026</w:t>
      </w:r>
      <w:r w:rsidRPr="003F20FB">
        <w:rPr>
          <w:lang w:val="pt-BR"/>
        </w:rPr>
        <w:t>.</w:t>
      </w:r>
    </w:p>
    <w:p w:rsidR="0071132B" w:rsidRPr="0071132B" w:rsidRDefault="0071132B" w:rsidP="0096474F">
      <w:pPr>
        <w:pStyle w:val="CETReferencetext"/>
        <w:rPr>
          <w:lang w:val="en-US"/>
        </w:rPr>
      </w:pPr>
      <w:proofErr w:type="spellStart"/>
      <w:r w:rsidRPr="0071132B">
        <w:rPr>
          <w:lang w:val="en-US"/>
        </w:rPr>
        <w:t>Batlle</w:t>
      </w:r>
      <w:proofErr w:type="spellEnd"/>
      <w:r w:rsidRPr="0071132B">
        <w:rPr>
          <w:lang w:val="en-US"/>
        </w:rPr>
        <w:t xml:space="preserve">, E. A. O., 2019. Thermodynamic and environmental assessment of integrated </w:t>
      </w:r>
      <w:proofErr w:type="spellStart"/>
      <w:r w:rsidRPr="0071132B">
        <w:rPr>
          <w:lang w:val="en-US"/>
        </w:rPr>
        <w:t>biorefinery</w:t>
      </w:r>
      <w:proofErr w:type="spellEnd"/>
      <w:r w:rsidRPr="0071132B">
        <w:rPr>
          <w:lang w:val="en-US"/>
        </w:rPr>
        <w:t xml:space="preserve"> com</w:t>
      </w:r>
      <w:r>
        <w:rPr>
          <w:lang w:val="en-US"/>
        </w:rPr>
        <w:t>plexes using sugarcane and palm,</w:t>
      </w:r>
      <w:r w:rsidRPr="0071132B">
        <w:rPr>
          <w:lang w:val="en-US"/>
        </w:rPr>
        <w:t xml:space="preserve"> PhD thesis, </w:t>
      </w:r>
      <w:proofErr w:type="spellStart"/>
      <w:r w:rsidRPr="0071132B">
        <w:rPr>
          <w:lang w:val="en-US"/>
        </w:rPr>
        <w:t>Universidade</w:t>
      </w:r>
      <w:proofErr w:type="spellEnd"/>
      <w:r w:rsidRPr="0071132B">
        <w:rPr>
          <w:lang w:val="en-US"/>
        </w:rPr>
        <w:t xml:space="preserve"> Federal de </w:t>
      </w:r>
      <w:proofErr w:type="spellStart"/>
      <w:r w:rsidRPr="0071132B">
        <w:rPr>
          <w:lang w:val="en-US"/>
        </w:rPr>
        <w:t>Itajubá</w:t>
      </w:r>
      <w:proofErr w:type="spellEnd"/>
      <w:r w:rsidRPr="0071132B">
        <w:rPr>
          <w:lang w:val="en-US"/>
        </w:rPr>
        <w:t xml:space="preserve">, Minas </w:t>
      </w:r>
      <w:proofErr w:type="spellStart"/>
      <w:r w:rsidRPr="0071132B">
        <w:rPr>
          <w:lang w:val="en-US"/>
        </w:rPr>
        <w:t>Gerais</w:t>
      </w:r>
      <w:proofErr w:type="spellEnd"/>
      <w:r w:rsidRPr="0071132B">
        <w:rPr>
          <w:lang w:val="en-US"/>
        </w:rPr>
        <w:t>, Brazil (in Portuguese).</w:t>
      </w:r>
    </w:p>
    <w:p w:rsidR="0096474F" w:rsidRDefault="00A5090F" w:rsidP="0096474F">
      <w:pPr>
        <w:pStyle w:val="CETReferencetext"/>
      </w:pPr>
      <w:proofErr w:type="spellStart"/>
      <w:r>
        <w:rPr>
          <w:lang w:val="pt-BR"/>
        </w:rPr>
        <w:t>Chemical</w:t>
      </w:r>
      <w:proofErr w:type="spellEnd"/>
      <w:r>
        <w:rPr>
          <w:lang w:val="pt-BR"/>
        </w:rPr>
        <w:t xml:space="preserve"> </w:t>
      </w:r>
      <w:proofErr w:type="spellStart"/>
      <w:r>
        <w:rPr>
          <w:lang w:val="pt-BR"/>
        </w:rPr>
        <w:t>Engineering</w:t>
      </w:r>
      <w:proofErr w:type="spellEnd"/>
      <w:r>
        <w:rPr>
          <w:lang w:val="pt-BR"/>
        </w:rPr>
        <w:t xml:space="preserve">, </w:t>
      </w:r>
      <w:r w:rsidR="0096474F">
        <w:t>2025</w:t>
      </w:r>
      <w:r w:rsidR="0096474F" w:rsidRPr="00367208">
        <w:t xml:space="preserve">. </w:t>
      </w:r>
      <w:r w:rsidR="0096474F" w:rsidRPr="00A11876">
        <w:t>Chemical Engineering Plant Cost Index (CEPCI)</w:t>
      </w:r>
      <w:r w:rsidR="0096474F" w:rsidRPr="00367208">
        <w:t>. Chemical Engineering Magazine.</w:t>
      </w:r>
    </w:p>
    <w:p w:rsidR="0096474F" w:rsidRDefault="002463FC" w:rsidP="0096474F">
      <w:pPr>
        <w:pStyle w:val="CETReferencetext"/>
      </w:pPr>
      <w:r w:rsidRPr="002463FC">
        <w:t xml:space="preserve">Cooper P., </w:t>
      </w:r>
      <w:proofErr w:type="spellStart"/>
      <w:r w:rsidRPr="002463FC">
        <w:t>Tchobanoglous</w:t>
      </w:r>
      <w:proofErr w:type="spellEnd"/>
      <w:r w:rsidRPr="002463FC">
        <w:t xml:space="preserve"> G., </w:t>
      </w:r>
      <w:proofErr w:type="spellStart"/>
      <w:r w:rsidRPr="002463FC">
        <w:t>Garbus</w:t>
      </w:r>
      <w:proofErr w:type="spellEnd"/>
      <w:r w:rsidRPr="002463FC">
        <w:t xml:space="preserve"> R.O., Hart R.J., </w:t>
      </w:r>
      <w:proofErr w:type="spellStart"/>
      <w:r w:rsidRPr="002463FC">
        <w:t>Reh</w:t>
      </w:r>
      <w:proofErr w:type="spellEnd"/>
      <w:r w:rsidRPr="002463FC">
        <w:t xml:space="preserve"> C.W., Sloan L.G., Smith E.C., 2008, Performance of centrifugal pumps, Chapter In: Pumping Station Desi</w:t>
      </w:r>
      <w:r>
        <w:t>gn, Butterworth-Heinemann, 10–1</w:t>
      </w:r>
      <w:r w:rsidR="0096474F" w:rsidRPr="006E2733">
        <w:t>.</w:t>
      </w:r>
    </w:p>
    <w:p w:rsidR="009E4BA3" w:rsidRPr="009E4BA3" w:rsidRDefault="009E4BA3" w:rsidP="009E4BA3">
      <w:pPr>
        <w:pStyle w:val="CETReferencetext"/>
        <w:rPr>
          <w:lang w:val="en-US"/>
        </w:rPr>
      </w:pPr>
      <w:r w:rsidRPr="009E4BA3">
        <w:rPr>
          <w:lang w:val="en-US"/>
        </w:rPr>
        <w:t xml:space="preserve">Forster P.M., Smith C., Walsh T., Lamb W.F., </w:t>
      </w:r>
      <w:proofErr w:type="spellStart"/>
      <w:r w:rsidRPr="009E4BA3">
        <w:rPr>
          <w:lang w:val="en-US"/>
        </w:rPr>
        <w:t>Lamboll</w:t>
      </w:r>
      <w:proofErr w:type="spellEnd"/>
      <w:r w:rsidRPr="009E4BA3">
        <w:rPr>
          <w:lang w:val="en-US"/>
        </w:rPr>
        <w:t xml:space="preserve"> R., Hall B., </w:t>
      </w:r>
      <w:proofErr w:type="spellStart"/>
      <w:r w:rsidRPr="009E4BA3">
        <w:rPr>
          <w:lang w:val="en-US"/>
        </w:rPr>
        <w:t>Zhai</w:t>
      </w:r>
      <w:proofErr w:type="spellEnd"/>
      <w:r w:rsidRPr="009E4BA3">
        <w:rPr>
          <w:lang w:val="en-US"/>
        </w:rPr>
        <w:t xml:space="preserve"> P., 2024, Indicators of Global Climate Change 2023: annual update of key indicators of the state of the climate system and human influence, Earth System Science Data, 16, 2625–2658.</w:t>
      </w:r>
    </w:p>
    <w:p w:rsidR="009E4BA3" w:rsidRPr="009E4BA3" w:rsidRDefault="009E4BA3" w:rsidP="009E4BA3">
      <w:pPr>
        <w:pStyle w:val="CETReferencetext"/>
        <w:rPr>
          <w:lang w:val="en-US"/>
        </w:rPr>
      </w:pPr>
      <w:r w:rsidRPr="009E4BA3">
        <w:rPr>
          <w:lang w:val="en-US"/>
        </w:rPr>
        <w:t>Green D.W., Perry R.H. (Eds.), 2008, Perry’s chemical engineers’ handbook, McGraw-Hill, New York, USA.</w:t>
      </w:r>
    </w:p>
    <w:p w:rsidR="009E4BA3" w:rsidRPr="009E4BA3" w:rsidRDefault="009E4BA3" w:rsidP="009E4BA3">
      <w:pPr>
        <w:pStyle w:val="CETReferencetext"/>
        <w:rPr>
          <w:lang w:val="en-US"/>
        </w:rPr>
      </w:pPr>
      <w:proofErr w:type="spellStart"/>
      <w:r w:rsidRPr="009E4BA3">
        <w:rPr>
          <w:lang w:val="en-US"/>
        </w:rPr>
        <w:t>Hugot</w:t>
      </w:r>
      <w:proofErr w:type="spellEnd"/>
      <w:r w:rsidRPr="009E4BA3">
        <w:rPr>
          <w:lang w:val="en-US"/>
        </w:rPr>
        <w:t xml:space="preserve"> E., 2014, Handbook of cane sugar engineering, Elsevier.</w:t>
      </w:r>
    </w:p>
    <w:p w:rsidR="009E4BA3" w:rsidRPr="009E4BA3" w:rsidRDefault="009E4BA3" w:rsidP="009E4BA3">
      <w:pPr>
        <w:pStyle w:val="CETReferencetext"/>
        <w:rPr>
          <w:lang w:val="en-US"/>
        </w:rPr>
      </w:pPr>
      <w:proofErr w:type="spellStart"/>
      <w:r w:rsidRPr="009E4BA3">
        <w:rPr>
          <w:lang w:val="en-US"/>
        </w:rPr>
        <w:t>Laubscher</w:t>
      </w:r>
      <w:proofErr w:type="spellEnd"/>
      <w:r w:rsidRPr="009E4BA3">
        <w:rPr>
          <w:lang w:val="en-US"/>
        </w:rPr>
        <w:t xml:space="preserve"> R., De Villiers E., 2021, Integrated mathematical </w:t>
      </w:r>
      <w:proofErr w:type="spellStart"/>
      <w:r w:rsidRPr="009E4BA3">
        <w:rPr>
          <w:lang w:val="en-US"/>
        </w:rPr>
        <w:t>modelling</w:t>
      </w:r>
      <w:proofErr w:type="spellEnd"/>
      <w:r w:rsidRPr="009E4BA3">
        <w:rPr>
          <w:lang w:val="en-US"/>
        </w:rPr>
        <w:t xml:space="preserve"> of a 105 t/h biomass fired industrial </w:t>
      </w:r>
      <w:proofErr w:type="spellStart"/>
      <w:r w:rsidRPr="009E4BA3">
        <w:rPr>
          <w:lang w:val="en-US"/>
        </w:rPr>
        <w:t>watertube</w:t>
      </w:r>
      <w:proofErr w:type="spellEnd"/>
      <w:r w:rsidRPr="009E4BA3">
        <w:rPr>
          <w:lang w:val="en-US"/>
        </w:rPr>
        <w:t xml:space="preserve"> boiler system with varying fuel moisture content, Energy, 228, 120537.</w:t>
      </w:r>
    </w:p>
    <w:p w:rsidR="009E4BA3" w:rsidRPr="009E4BA3" w:rsidRDefault="009E4BA3" w:rsidP="009E4BA3">
      <w:pPr>
        <w:pStyle w:val="CETReferencetext"/>
        <w:rPr>
          <w:lang w:val="en-US"/>
        </w:rPr>
      </w:pPr>
      <w:proofErr w:type="spellStart"/>
      <w:r w:rsidRPr="009E4BA3">
        <w:rPr>
          <w:lang w:val="en-US"/>
        </w:rPr>
        <w:t>Madeddu</w:t>
      </w:r>
      <w:proofErr w:type="spellEnd"/>
      <w:r w:rsidRPr="009E4BA3">
        <w:rPr>
          <w:lang w:val="en-US"/>
        </w:rPr>
        <w:t xml:space="preserve"> C., </w:t>
      </w:r>
      <w:proofErr w:type="spellStart"/>
      <w:r w:rsidRPr="009E4BA3">
        <w:rPr>
          <w:lang w:val="en-US"/>
        </w:rPr>
        <w:t>Errico</w:t>
      </w:r>
      <w:proofErr w:type="spellEnd"/>
      <w:r w:rsidRPr="009E4BA3">
        <w:rPr>
          <w:lang w:val="en-US"/>
        </w:rPr>
        <w:t xml:space="preserve"> M., </w:t>
      </w:r>
      <w:proofErr w:type="spellStart"/>
      <w:r w:rsidRPr="009E4BA3">
        <w:rPr>
          <w:lang w:val="en-US"/>
        </w:rPr>
        <w:t>Baratti</w:t>
      </w:r>
      <w:proofErr w:type="spellEnd"/>
      <w:r w:rsidRPr="009E4BA3">
        <w:rPr>
          <w:lang w:val="en-US"/>
        </w:rPr>
        <w:t xml:space="preserve"> R., 2018, CO</w:t>
      </w:r>
      <w:r w:rsidRPr="009E4BA3">
        <w:rPr>
          <w:rFonts w:ascii="Cambria Math" w:hAnsi="Cambria Math" w:cs="Cambria Math"/>
          <w:lang w:val="en-US"/>
        </w:rPr>
        <w:t>₂</w:t>
      </w:r>
      <w:r w:rsidRPr="009E4BA3">
        <w:rPr>
          <w:lang w:val="en-US"/>
        </w:rPr>
        <w:t xml:space="preserve"> capture by reactive absorption-stripping: modeling, analysis and design, Springer.</w:t>
      </w:r>
    </w:p>
    <w:p w:rsidR="009E4BA3" w:rsidRPr="009E4BA3" w:rsidRDefault="009E4BA3" w:rsidP="009E4BA3">
      <w:pPr>
        <w:pStyle w:val="CETReferencetext"/>
        <w:rPr>
          <w:lang w:val="en-US"/>
        </w:rPr>
      </w:pPr>
      <w:proofErr w:type="spellStart"/>
      <w:r w:rsidRPr="009E4BA3">
        <w:rPr>
          <w:lang w:val="en-US"/>
        </w:rPr>
        <w:t>Madugula</w:t>
      </w:r>
      <w:proofErr w:type="spellEnd"/>
      <w:r w:rsidRPr="009E4BA3">
        <w:rPr>
          <w:lang w:val="en-US"/>
        </w:rPr>
        <w:t xml:space="preserve"> A.C.S., </w:t>
      </w:r>
      <w:proofErr w:type="spellStart"/>
      <w:r w:rsidRPr="009E4BA3">
        <w:rPr>
          <w:lang w:val="en-US"/>
        </w:rPr>
        <w:t>Jeffryes</w:t>
      </w:r>
      <w:proofErr w:type="spellEnd"/>
      <w:r w:rsidRPr="009E4BA3">
        <w:rPr>
          <w:lang w:val="en-US"/>
        </w:rPr>
        <w:t xml:space="preserve"> C., Henry J., </w:t>
      </w:r>
      <w:proofErr w:type="spellStart"/>
      <w:r w:rsidRPr="009E4BA3">
        <w:rPr>
          <w:lang w:val="en-US"/>
        </w:rPr>
        <w:t>Gossage</w:t>
      </w:r>
      <w:proofErr w:type="spellEnd"/>
      <w:r w:rsidRPr="009E4BA3">
        <w:rPr>
          <w:lang w:val="en-US"/>
        </w:rPr>
        <w:t xml:space="preserve"> J., Benson T.J., 2024, A simulation-based model studying </w:t>
      </w:r>
      <w:proofErr w:type="spellStart"/>
      <w:r w:rsidRPr="009E4BA3">
        <w:rPr>
          <w:lang w:val="en-US"/>
        </w:rPr>
        <w:t>monoethanolamine</w:t>
      </w:r>
      <w:proofErr w:type="spellEnd"/>
      <w:r w:rsidRPr="009E4BA3">
        <w:rPr>
          <w:lang w:val="en-US"/>
        </w:rPr>
        <w:t xml:space="preserve"> and aprotic heterocyclic anion ionic liquid (AHA-IL) mixtures for carbon capture, Computers &amp; Chemical Engineering, 183, 108599.</w:t>
      </w:r>
    </w:p>
    <w:p w:rsidR="009E4BA3" w:rsidRPr="009E4BA3" w:rsidRDefault="009E4BA3" w:rsidP="009E4BA3">
      <w:pPr>
        <w:pStyle w:val="CETReferencetext"/>
        <w:rPr>
          <w:lang w:val="en-US"/>
        </w:rPr>
      </w:pPr>
      <w:proofErr w:type="spellStart"/>
      <w:r w:rsidRPr="009E4BA3">
        <w:rPr>
          <w:lang w:val="en-US"/>
        </w:rPr>
        <w:t>Moioli</w:t>
      </w:r>
      <w:proofErr w:type="spellEnd"/>
      <w:r w:rsidRPr="009E4BA3">
        <w:rPr>
          <w:lang w:val="en-US"/>
        </w:rPr>
        <w:t xml:space="preserve"> S., </w:t>
      </w:r>
      <w:proofErr w:type="spellStart"/>
      <w:r w:rsidRPr="009E4BA3">
        <w:rPr>
          <w:lang w:val="en-US"/>
        </w:rPr>
        <w:t>Pellegrini</w:t>
      </w:r>
      <w:proofErr w:type="spellEnd"/>
      <w:r w:rsidRPr="009E4BA3">
        <w:rPr>
          <w:lang w:val="en-US"/>
        </w:rPr>
        <w:t xml:space="preserve"> L.A., 2019, </w:t>
      </w:r>
      <w:proofErr w:type="gramStart"/>
      <w:r w:rsidRPr="009E4BA3">
        <w:rPr>
          <w:lang w:val="en-US"/>
        </w:rPr>
        <w:t>Operating</w:t>
      </w:r>
      <w:proofErr w:type="gramEnd"/>
      <w:r w:rsidRPr="009E4BA3">
        <w:rPr>
          <w:lang w:val="en-US"/>
        </w:rPr>
        <w:t xml:space="preserve"> the CO</w:t>
      </w:r>
      <w:r w:rsidRPr="009E4BA3">
        <w:rPr>
          <w:rFonts w:ascii="Cambria Math" w:hAnsi="Cambria Math" w:cs="Cambria Math"/>
          <w:lang w:val="en-US"/>
        </w:rPr>
        <w:t>₂</w:t>
      </w:r>
      <w:r w:rsidRPr="009E4BA3">
        <w:rPr>
          <w:lang w:val="en-US"/>
        </w:rPr>
        <w:t xml:space="preserve"> absorption plant in a post-combustion unit in flexible mode for cost reduction, Chemical Engineering Research and Design, 147, 604–614.</w:t>
      </w:r>
    </w:p>
    <w:p w:rsidR="009E4BA3" w:rsidRPr="009E4BA3" w:rsidRDefault="009E4BA3" w:rsidP="009E4BA3">
      <w:pPr>
        <w:pStyle w:val="CETReferencetext"/>
        <w:rPr>
          <w:lang w:val="en-US"/>
        </w:rPr>
      </w:pPr>
      <w:r w:rsidRPr="009E4BA3">
        <w:rPr>
          <w:lang w:val="en-US"/>
        </w:rPr>
        <w:t>Pérez-</w:t>
      </w:r>
      <w:proofErr w:type="spellStart"/>
      <w:r w:rsidRPr="009E4BA3">
        <w:rPr>
          <w:lang w:val="en-US"/>
        </w:rPr>
        <w:t>Uresti</w:t>
      </w:r>
      <w:proofErr w:type="spellEnd"/>
      <w:r w:rsidRPr="009E4BA3">
        <w:rPr>
          <w:lang w:val="en-US"/>
        </w:rPr>
        <w:t xml:space="preserve"> S.I., Martín M., Jiménez-Gutiérrez A., 2019, Estimation of renewable-based steam costs, Applied Energy, 250, 1120–1131.</w:t>
      </w:r>
    </w:p>
    <w:p w:rsidR="009E4BA3" w:rsidRPr="009E4BA3" w:rsidRDefault="009E4BA3" w:rsidP="009E4BA3">
      <w:pPr>
        <w:pStyle w:val="CETReferencetext"/>
        <w:rPr>
          <w:lang w:val="en-US"/>
        </w:rPr>
      </w:pPr>
      <w:r w:rsidRPr="009E4BA3">
        <w:rPr>
          <w:lang w:val="en-US"/>
        </w:rPr>
        <w:t xml:space="preserve">Singh J., </w:t>
      </w:r>
      <w:proofErr w:type="spellStart"/>
      <w:r w:rsidRPr="009E4BA3">
        <w:rPr>
          <w:lang w:val="en-US"/>
        </w:rPr>
        <w:t>Dhar</w:t>
      </w:r>
      <w:proofErr w:type="spellEnd"/>
      <w:r w:rsidRPr="009E4BA3">
        <w:rPr>
          <w:lang w:val="en-US"/>
        </w:rPr>
        <w:t xml:space="preserve"> D.W., 2019, Overview of carbon capture technology: </w:t>
      </w:r>
      <w:proofErr w:type="spellStart"/>
      <w:r w:rsidRPr="009E4BA3">
        <w:rPr>
          <w:lang w:val="en-US"/>
        </w:rPr>
        <w:t>microalgal</w:t>
      </w:r>
      <w:proofErr w:type="spellEnd"/>
      <w:r w:rsidRPr="009E4BA3">
        <w:rPr>
          <w:lang w:val="en-US"/>
        </w:rPr>
        <w:t xml:space="preserve"> </w:t>
      </w:r>
      <w:proofErr w:type="spellStart"/>
      <w:r w:rsidRPr="009E4BA3">
        <w:rPr>
          <w:lang w:val="en-US"/>
        </w:rPr>
        <w:t>biorefinery</w:t>
      </w:r>
      <w:proofErr w:type="spellEnd"/>
      <w:r w:rsidRPr="009E4BA3">
        <w:rPr>
          <w:lang w:val="en-US"/>
        </w:rPr>
        <w:t xml:space="preserve"> concept and state-of-the-art, Frontiers in Marine Science, 6, 29.</w:t>
      </w:r>
    </w:p>
    <w:p w:rsidR="009E4BA3" w:rsidRPr="009E4BA3" w:rsidRDefault="009E4BA3" w:rsidP="009E4BA3">
      <w:pPr>
        <w:pStyle w:val="CETReferencetext"/>
        <w:rPr>
          <w:lang w:val="en-US"/>
        </w:rPr>
      </w:pPr>
      <w:r w:rsidRPr="009E4BA3">
        <w:rPr>
          <w:lang w:val="en-US"/>
        </w:rPr>
        <w:t xml:space="preserve">Song C., Pan W., </w:t>
      </w:r>
      <w:proofErr w:type="spellStart"/>
      <w:r w:rsidRPr="009E4BA3">
        <w:rPr>
          <w:lang w:val="en-US"/>
        </w:rPr>
        <w:t>Srimat</w:t>
      </w:r>
      <w:proofErr w:type="spellEnd"/>
      <w:r w:rsidRPr="009E4BA3">
        <w:rPr>
          <w:lang w:val="en-US"/>
        </w:rPr>
        <w:t xml:space="preserve"> S.T., </w:t>
      </w:r>
      <w:proofErr w:type="spellStart"/>
      <w:r w:rsidRPr="009E4BA3">
        <w:rPr>
          <w:lang w:val="en-US"/>
        </w:rPr>
        <w:t>Zheng</w:t>
      </w:r>
      <w:proofErr w:type="spellEnd"/>
      <w:r w:rsidRPr="009E4BA3">
        <w:rPr>
          <w:lang w:val="en-US"/>
        </w:rPr>
        <w:t xml:space="preserve"> J., Li Y., Wang Y.H., Zhu Q.M., 2004, Tri-reforming of methane over Ni catalysts for CO</w:t>
      </w:r>
      <w:r w:rsidRPr="009E4BA3">
        <w:rPr>
          <w:rFonts w:ascii="Cambria Math" w:hAnsi="Cambria Math" w:cs="Cambria Math"/>
          <w:lang w:val="en-US"/>
        </w:rPr>
        <w:t>₂</w:t>
      </w:r>
      <w:r w:rsidRPr="009E4BA3">
        <w:rPr>
          <w:lang w:val="en-US"/>
        </w:rPr>
        <w:t xml:space="preserve"> conversion to syngas with desired H</w:t>
      </w:r>
      <w:r w:rsidRPr="009E4BA3">
        <w:rPr>
          <w:rFonts w:ascii="Cambria Math" w:hAnsi="Cambria Math" w:cs="Cambria Math"/>
          <w:lang w:val="en-US"/>
        </w:rPr>
        <w:t>₂</w:t>
      </w:r>
      <w:r w:rsidRPr="009E4BA3">
        <w:rPr>
          <w:lang w:val="en-US"/>
        </w:rPr>
        <w:t>/CO ratios using flue gas of power plants without CO</w:t>
      </w:r>
      <w:r w:rsidRPr="009E4BA3">
        <w:rPr>
          <w:rFonts w:ascii="Cambria Math" w:hAnsi="Cambria Math" w:cs="Cambria Math"/>
          <w:lang w:val="en-US"/>
        </w:rPr>
        <w:t>₂</w:t>
      </w:r>
      <w:r w:rsidRPr="009E4BA3">
        <w:rPr>
          <w:lang w:val="en-US"/>
        </w:rPr>
        <w:t xml:space="preserve"> separation, Chapter In: Studies in Surface Science and Catalysis, Vol. 153, Elsevier, 315</w:t>
      </w:r>
      <w:r w:rsidRPr="009E4BA3">
        <w:rPr>
          <w:rFonts w:cs="Arial"/>
          <w:lang w:val="en-US"/>
        </w:rPr>
        <w:t>–</w:t>
      </w:r>
      <w:r w:rsidRPr="009E4BA3">
        <w:rPr>
          <w:lang w:val="en-US"/>
        </w:rPr>
        <w:t>322.</w:t>
      </w:r>
    </w:p>
    <w:p w:rsidR="009E4BA3" w:rsidRPr="009E4BA3" w:rsidRDefault="009E4BA3" w:rsidP="009E4BA3">
      <w:pPr>
        <w:pStyle w:val="CETReferencetext"/>
        <w:rPr>
          <w:lang w:val="en-US"/>
        </w:rPr>
      </w:pPr>
      <w:proofErr w:type="spellStart"/>
      <w:r w:rsidRPr="009E4BA3">
        <w:rPr>
          <w:lang w:val="en-US"/>
        </w:rPr>
        <w:t>Towler</w:t>
      </w:r>
      <w:proofErr w:type="spellEnd"/>
      <w:r w:rsidRPr="009E4BA3">
        <w:rPr>
          <w:lang w:val="en-US"/>
        </w:rPr>
        <w:t xml:space="preserve"> G., </w:t>
      </w:r>
      <w:proofErr w:type="spellStart"/>
      <w:r w:rsidRPr="009E4BA3">
        <w:rPr>
          <w:lang w:val="en-US"/>
        </w:rPr>
        <w:t>Sinnott</w:t>
      </w:r>
      <w:proofErr w:type="spellEnd"/>
      <w:r w:rsidRPr="009E4BA3">
        <w:rPr>
          <w:lang w:val="en-US"/>
        </w:rPr>
        <w:t xml:space="preserve"> R., 2021, Chemical engineering design: principles, practice and economics of plant and process design, Butterworth-Heinemann.</w:t>
      </w:r>
    </w:p>
    <w:p w:rsidR="009E4BA3" w:rsidRPr="009E4BA3" w:rsidRDefault="009E4BA3" w:rsidP="009E4BA3">
      <w:pPr>
        <w:pStyle w:val="CETReferencetext"/>
        <w:rPr>
          <w:lang w:val="en-US"/>
        </w:rPr>
      </w:pPr>
      <w:proofErr w:type="spellStart"/>
      <w:r w:rsidRPr="009E4BA3">
        <w:rPr>
          <w:lang w:val="en-US"/>
        </w:rPr>
        <w:t>Turton</w:t>
      </w:r>
      <w:proofErr w:type="spellEnd"/>
      <w:r w:rsidRPr="009E4BA3">
        <w:rPr>
          <w:lang w:val="en-US"/>
        </w:rPr>
        <w:t xml:space="preserve"> R., </w:t>
      </w:r>
      <w:proofErr w:type="spellStart"/>
      <w:r w:rsidRPr="009E4BA3">
        <w:rPr>
          <w:lang w:val="en-US"/>
        </w:rPr>
        <w:t>Bailie</w:t>
      </w:r>
      <w:proofErr w:type="spellEnd"/>
      <w:r w:rsidRPr="009E4BA3">
        <w:rPr>
          <w:lang w:val="en-US"/>
        </w:rPr>
        <w:t xml:space="preserve"> R.C., Whiting W.B., </w:t>
      </w:r>
      <w:proofErr w:type="spellStart"/>
      <w:r w:rsidRPr="009E4BA3">
        <w:rPr>
          <w:lang w:val="en-US"/>
        </w:rPr>
        <w:t>Shaeiwitz</w:t>
      </w:r>
      <w:proofErr w:type="spellEnd"/>
      <w:r w:rsidRPr="009E4BA3">
        <w:rPr>
          <w:lang w:val="en-US"/>
        </w:rPr>
        <w:t xml:space="preserve"> J.A., 2008, Analysis, synthesis and design of chemical processes, Pearson Education.</w:t>
      </w:r>
    </w:p>
    <w:p w:rsidR="009E4BA3" w:rsidRPr="009E4BA3" w:rsidRDefault="009E4BA3" w:rsidP="009E4BA3">
      <w:pPr>
        <w:pStyle w:val="CETReferencetext"/>
        <w:rPr>
          <w:lang w:val="en-US"/>
        </w:rPr>
      </w:pPr>
      <w:proofErr w:type="spellStart"/>
      <w:r w:rsidRPr="009E4BA3">
        <w:rPr>
          <w:lang w:val="en-US"/>
        </w:rPr>
        <w:t>Wiesberg</w:t>
      </w:r>
      <w:proofErr w:type="spellEnd"/>
      <w:r w:rsidRPr="009E4BA3">
        <w:rPr>
          <w:lang w:val="en-US"/>
        </w:rPr>
        <w:t xml:space="preserve"> I.L., de Medeiros J.L., de Mello R.V.P., Maia J.G.S., </w:t>
      </w:r>
      <w:proofErr w:type="spellStart"/>
      <w:r w:rsidRPr="009E4BA3">
        <w:rPr>
          <w:lang w:val="en-US"/>
        </w:rPr>
        <w:t>Bastos</w:t>
      </w:r>
      <w:proofErr w:type="spellEnd"/>
      <w:r w:rsidRPr="009E4BA3">
        <w:rPr>
          <w:lang w:val="en-US"/>
        </w:rPr>
        <w:t xml:space="preserve"> J.B.V., </w:t>
      </w:r>
      <w:proofErr w:type="spellStart"/>
      <w:r w:rsidRPr="009E4BA3">
        <w:rPr>
          <w:lang w:val="en-US"/>
        </w:rPr>
        <w:t>Araújo</w:t>
      </w:r>
      <w:proofErr w:type="spellEnd"/>
      <w:r w:rsidRPr="009E4BA3">
        <w:rPr>
          <w:lang w:val="en-US"/>
        </w:rPr>
        <w:t xml:space="preserve"> O.D.Q.F., 2021, Bioenergy production from sugarcane bagasse with carbon capture and storage: surrogate models for techno-economic decisions, Renewable and Sustainable Energy Reviews, 150, 111486.</w:t>
      </w:r>
    </w:p>
    <w:p w:rsidR="009E4BA3" w:rsidRPr="009E4BA3" w:rsidRDefault="009E4BA3" w:rsidP="009E4BA3">
      <w:pPr>
        <w:pStyle w:val="CETReferencetext"/>
        <w:rPr>
          <w:lang w:val="en-US"/>
        </w:rPr>
      </w:pPr>
      <w:proofErr w:type="spellStart"/>
      <w:r w:rsidRPr="009E4BA3">
        <w:rPr>
          <w:lang w:val="en-US"/>
        </w:rPr>
        <w:t>Xue</w:t>
      </w:r>
      <w:proofErr w:type="spellEnd"/>
      <w:r w:rsidRPr="009E4BA3">
        <w:rPr>
          <w:lang w:val="en-US"/>
        </w:rPr>
        <w:t xml:space="preserve"> B., Yu Y., Chen J., </w:t>
      </w:r>
      <w:proofErr w:type="spellStart"/>
      <w:r w:rsidRPr="009E4BA3">
        <w:rPr>
          <w:lang w:val="en-US"/>
        </w:rPr>
        <w:t>Luo</w:t>
      </w:r>
      <w:proofErr w:type="spellEnd"/>
      <w:r w:rsidRPr="009E4BA3">
        <w:rPr>
          <w:lang w:val="en-US"/>
        </w:rPr>
        <w:t xml:space="preserve"> X., Wang M., 2017, A comparative study of MEA and DEA for post-combustion CO</w:t>
      </w:r>
      <w:r w:rsidRPr="009E4BA3">
        <w:rPr>
          <w:rFonts w:ascii="Cambria Math" w:hAnsi="Cambria Math" w:cs="Cambria Math"/>
          <w:lang w:val="en-US"/>
        </w:rPr>
        <w:t>₂</w:t>
      </w:r>
      <w:r w:rsidRPr="009E4BA3">
        <w:rPr>
          <w:lang w:val="en-US"/>
        </w:rPr>
        <w:t xml:space="preserve"> capture with different process configurations, International Journal of Coal Science &amp; Technology, 4, 15</w:t>
      </w:r>
      <w:r w:rsidRPr="009E4BA3">
        <w:rPr>
          <w:rFonts w:cs="Arial"/>
          <w:lang w:val="en-US"/>
        </w:rPr>
        <w:t>–</w:t>
      </w:r>
      <w:r w:rsidRPr="009E4BA3">
        <w:rPr>
          <w:lang w:val="en-US"/>
        </w:rPr>
        <w:t>24.</w:t>
      </w:r>
    </w:p>
    <w:p w:rsidR="009E4BA3" w:rsidRPr="009E4BA3" w:rsidRDefault="009E4BA3" w:rsidP="009E4BA3">
      <w:pPr>
        <w:pStyle w:val="CETReferencetext"/>
        <w:rPr>
          <w:lang w:val="en-US"/>
        </w:rPr>
      </w:pPr>
      <w:r w:rsidRPr="009E4BA3">
        <w:rPr>
          <w:lang w:val="en-US"/>
        </w:rPr>
        <w:t xml:space="preserve">Wu C., Huang Q., </w:t>
      </w:r>
      <w:proofErr w:type="spellStart"/>
      <w:r w:rsidRPr="009E4BA3">
        <w:rPr>
          <w:lang w:val="en-US"/>
        </w:rPr>
        <w:t>Xu</w:t>
      </w:r>
      <w:proofErr w:type="spellEnd"/>
      <w:r w:rsidRPr="009E4BA3">
        <w:rPr>
          <w:lang w:val="en-US"/>
        </w:rPr>
        <w:t xml:space="preserve"> Z., </w:t>
      </w:r>
      <w:proofErr w:type="spellStart"/>
      <w:r w:rsidRPr="009E4BA3">
        <w:rPr>
          <w:lang w:val="en-US"/>
        </w:rPr>
        <w:t>Sipra</w:t>
      </w:r>
      <w:proofErr w:type="spellEnd"/>
      <w:r w:rsidRPr="009E4BA3">
        <w:rPr>
          <w:lang w:val="en-US"/>
        </w:rPr>
        <w:t xml:space="preserve"> A.T., </w:t>
      </w:r>
      <w:proofErr w:type="spellStart"/>
      <w:r w:rsidRPr="009E4BA3">
        <w:rPr>
          <w:lang w:val="en-US"/>
        </w:rPr>
        <w:t>Gao</w:t>
      </w:r>
      <w:proofErr w:type="spellEnd"/>
      <w:r w:rsidRPr="009E4BA3">
        <w:rPr>
          <w:lang w:val="en-US"/>
        </w:rPr>
        <w:t xml:space="preserve"> N., de Souza </w:t>
      </w:r>
      <w:proofErr w:type="spellStart"/>
      <w:r w:rsidRPr="009E4BA3">
        <w:rPr>
          <w:lang w:val="en-US"/>
        </w:rPr>
        <w:t>Vandenberghe</w:t>
      </w:r>
      <w:proofErr w:type="spellEnd"/>
      <w:r w:rsidRPr="009E4BA3">
        <w:rPr>
          <w:lang w:val="en-US"/>
        </w:rPr>
        <w:t xml:space="preserve"> L.P., Zhou H., 2024, A comprehensive review of carbon capture science and technologies, Carbon Capture Science &amp; Technology, 11, 100178.</w:t>
      </w:r>
    </w:p>
    <w:p w:rsidR="00FA4213" w:rsidRPr="009E4BA3" w:rsidRDefault="00FA4213" w:rsidP="0096474F">
      <w:pPr>
        <w:pStyle w:val="CETReferencetext"/>
        <w:rPr>
          <w:lang w:val="en-US"/>
        </w:rPr>
      </w:pPr>
    </w:p>
    <w:sectPr w:rsidR="00FA4213" w:rsidRPr="009E4BA3"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8DA" w:rsidRDefault="009248DA" w:rsidP="004F5E36">
      <w:r>
        <w:separator/>
      </w:r>
    </w:p>
  </w:endnote>
  <w:endnote w:type="continuationSeparator" w:id="0">
    <w:p w:rsidR="009248DA" w:rsidRDefault="009248DA"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8DA" w:rsidRDefault="009248DA" w:rsidP="004F5E36">
      <w:r>
        <w:separator/>
      </w:r>
    </w:p>
  </w:footnote>
  <w:footnote w:type="continuationSeparator" w:id="0">
    <w:p w:rsidR="009248DA" w:rsidRDefault="009248DA" w:rsidP="004F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8AF15E"/>
    <w:lvl w:ilvl="0">
      <w:start w:val="1"/>
      <w:numFmt w:val="decimal"/>
      <w:pStyle w:val="Numerada5"/>
      <w:lvlText w:val="%1."/>
      <w:lvlJc w:val="left"/>
      <w:pPr>
        <w:tabs>
          <w:tab w:val="num" w:pos="1492"/>
        </w:tabs>
        <w:ind w:left="1492" w:hanging="360"/>
      </w:pPr>
    </w:lvl>
  </w:abstractNum>
  <w:abstractNum w:abstractNumId="1">
    <w:nsid w:val="FFFFFF7D"/>
    <w:multiLevelType w:val="singleLevel"/>
    <w:tmpl w:val="65EC884E"/>
    <w:lvl w:ilvl="0">
      <w:start w:val="1"/>
      <w:numFmt w:val="decimal"/>
      <w:pStyle w:val="Numerada4"/>
      <w:lvlText w:val="%1."/>
      <w:lvlJc w:val="left"/>
      <w:pPr>
        <w:tabs>
          <w:tab w:val="num" w:pos="1209"/>
        </w:tabs>
        <w:ind w:left="1209" w:hanging="360"/>
      </w:pPr>
    </w:lvl>
  </w:abstractNum>
  <w:abstractNum w:abstractNumId="2">
    <w:nsid w:val="FFFFFF7E"/>
    <w:multiLevelType w:val="singleLevel"/>
    <w:tmpl w:val="408CBE96"/>
    <w:lvl w:ilvl="0">
      <w:start w:val="1"/>
      <w:numFmt w:val="decimal"/>
      <w:pStyle w:val="Numerada3"/>
      <w:lvlText w:val="%1."/>
      <w:lvlJc w:val="left"/>
      <w:pPr>
        <w:tabs>
          <w:tab w:val="num" w:pos="926"/>
        </w:tabs>
        <w:ind w:left="926" w:hanging="360"/>
      </w:pPr>
    </w:lvl>
  </w:abstractNum>
  <w:abstractNum w:abstractNumId="3">
    <w:nsid w:val="FFFFFF7F"/>
    <w:multiLevelType w:val="singleLevel"/>
    <w:tmpl w:val="CFC0B388"/>
    <w:lvl w:ilvl="0">
      <w:start w:val="1"/>
      <w:numFmt w:val="decimal"/>
      <w:pStyle w:val="Numerada2"/>
      <w:lvlText w:val="%1."/>
      <w:lvlJc w:val="left"/>
      <w:pPr>
        <w:tabs>
          <w:tab w:val="num" w:pos="643"/>
        </w:tabs>
        <w:ind w:left="643" w:hanging="360"/>
      </w:pPr>
    </w:lvl>
  </w:abstractNum>
  <w:abstractNum w:abstractNumId="4">
    <w:nsid w:val="FFFFFF80"/>
    <w:multiLevelType w:val="singleLevel"/>
    <w:tmpl w:val="CA34EB48"/>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485C6BD6"/>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587A9968"/>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9ED27934"/>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95F4206A"/>
    <w:lvl w:ilvl="0">
      <w:start w:val="1"/>
      <w:numFmt w:val="decimal"/>
      <w:pStyle w:val="Numerada"/>
      <w:lvlText w:val="%1."/>
      <w:lvlJc w:val="left"/>
      <w:pPr>
        <w:tabs>
          <w:tab w:val="num" w:pos="360"/>
        </w:tabs>
        <w:ind w:left="360" w:hanging="360"/>
      </w:pPr>
    </w:lvl>
  </w:abstractNum>
  <w:abstractNum w:abstractNumId="9">
    <w:nsid w:val="FFFFFF89"/>
    <w:multiLevelType w:val="singleLevel"/>
    <w:tmpl w:val="206ACE1A"/>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18DF52DC"/>
    <w:multiLevelType w:val="hybridMultilevel"/>
    <w:tmpl w:val="CFE63F02"/>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asimples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D4969E7"/>
    <w:multiLevelType w:val="hybridMultilevel"/>
    <w:tmpl w:val="857419BA"/>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8"/>
  </w:num>
  <w:num w:numId="13">
    <w:abstractNumId w:val="13"/>
  </w:num>
  <w:num w:numId="14">
    <w:abstractNumId w:val="19"/>
  </w:num>
  <w:num w:numId="15">
    <w:abstractNumId w:val="21"/>
  </w:num>
  <w:num w:numId="16">
    <w:abstractNumId w:val="20"/>
  </w:num>
  <w:num w:numId="17">
    <w:abstractNumId w:val="12"/>
  </w:num>
  <w:num w:numId="18">
    <w:abstractNumId w:val="13"/>
    <w:lvlOverride w:ilvl="0">
      <w:startOverride w:val="1"/>
    </w:lvlOverride>
  </w:num>
  <w:num w:numId="19">
    <w:abstractNumId w:val="17"/>
  </w:num>
  <w:num w:numId="20">
    <w:abstractNumId w:val="16"/>
  </w:num>
  <w:num w:numId="21">
    <w:abstractNumId w:val="15"/>
  </w:num>
  <w:num w:numId="22">
    <w:abstractNumId w:val="14"/>
  </w:num>
  <w:num w:numId="23">
    <w:abstractNumId w:val="10"/>
  </w:num>
  <w:num w:numId="24">
    <w:abstractNumId w:val="22"/>
  </w:num>
  <w:num w:numId="25">
    <w:abstractNumId w:val="11"/>
    <w:lvlOverride w:ilvl="0">
      <w:startOverride w:val="1"/>
    </w:lvlOverride>
    <w:lvlOverride w:ilvl="1">
      <w:startOverride w:val="2"/>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1330E"/>
    <w:rsid w:val="00015A77"/>
    <w:rsid w:val="0002032D"/>
    <w:rsid w:val="000207D8"/>
    <w:rsid w:val="0003148D"/>
    <w:rsid w:val="00031EEC"/>
    <w:rsid w:val="000343FC"/>
    <w:rsid w:val="00036EEA"/>
    <w:rsid w:val="0004324B"/>
    <w:rsid w:val="00044C28"/>
    <w:rsid w:val="00050B15"/>
    <w:rsid w:val="00051566"/>
    <w:rsid w:val="00054089"/>
    <w:rsid w:val="000562A9"/>
    <w:rsid w:val="000624EF"/>
    <w:rsid w:val="00062A9A"/>
    <w:rsid w:val="00065058"/>
    <w:rsid w:val="00072E25"/>
    <w:rsid w:val="000743D4"/>
    <w:rsid w:val="000776B6"/>
    <w:rsid w:val="00077CDD"/>
    <w:rsid w:val="00080DCF"/>
    <w:rsid w:val="00082DCF"/>
    <w:rsid w:val="00086C39"/>
    <w:rsid w:val="00094B21"/>
    <w:rsid w:val="000971CE"/>
    <w:rsid w:val="000A03B2"/>
    <w:rsid w:val="000A2786"/>
    <w:rsid w:val="000A477E"/>
    <w:rsid w:val="000B0095"/>
    <w:rsid w:val="000B2E02"/>
    <w:rsid w:val="000B4D1C"/>
    <w:rsid w:val="000B6FD7"/>
    <w:rsid w:val="000C11F8"/>
    <w:rsid w:val="000C1382"/>
    <w:rsid w:val="000C36C7"/>
    <w:rsid w:val="000C37B9"/>
    <w:rsid w:val="000D0268"/>
    <w:rsid w:val="000D23B9"/>
    <w:rsid w:val="000D34BE"/>
    <w:rsid w:val="000D6795"/>
    <w:rsid w:val="000E102F"/>
    <w:rsid w:val="000E36C8"/>
    <w:rsid w:val="000E36F1"/>
    <w:rsid w:val="000E3A73"/>
    <w:rsid w:val="000E414A"/>
    <w:rsid w:val="000E75FD"/>
    <w:rsid w:val="000F093C"/>
    <w:rsid w:val="000F5FEC"/>
    <w:rsid w:val="000F787B"/>
    <w:rsid w:val="00101291"/>
    <w:rsid w:val="00101F02"/>
    <w:rsid w:val="00115C89"/>
    <w:rsid w:val="00115DAC"/>
    <w:rsid w:val="00116D39"/>
    <w:rsid w:val="0012021A"/>
    <w:rsid w:val="0012091F"/>
    <w:rsid w:val="0012296B"/>
    <w:rsid w:val="00124AAD"/>
    <w:rsid w:val="00126BC2"/>
    <w:rsid w:val="001308B6"/>
    <w:rsid w:val="0013121F"/>
    <w:rsid w:val="00131FE6"/>
    <w:rsid w:val="0013263F"/>
    <w:rsid w:val="001331DF"/>
    <w:rsid w:val="00133FEE"/>
    <w:rsid w:val="00134DE4"/>
    <w:rsid w:val="001352AA"/>
    <w:rsid w:val="00135FBB"/>
    <w:rsid w:val="0013697D"/>
    <w:rsid w:val="0014034D"/>
    <w:rsid w:val="00140FE3"/>
    <w:rsid w:val="00144D16"/>
    <w:rsid w:val="00150E59"/>
    <w:rsid w:val="00152DE3"/>
    <w:rsid w:val="00154645"/>
    <w:rsid w:val="00156B07"/>
    <w:rsid w:val="00163D1B"/>
    <w:rsid w:val="00163DC6"/>
    <w:rsid w:val="00164CF9"/>
    <w:rsid w:val="00165D5A"/>
    <w:rsid w:val="001667A6"/>
    <w:rsid w:val="00175644"/>
    <w:rsid w:val="00184AD6"/>
    <w:rsid w:val="00187CDA"/>
    <w:rsid w:val="0019606A"/>
    <w:rsid w:val="00196E12"/>
    <w:rsid w:val="001A10E1"/>
    <w:rsid w:val="001A261F"/>
    <w:rsid w:val="001A4AF7"/>
    <w:rsid w:val="001A4FEB"/>
    <w:rsid w:val="001A5170"/>
    <w:rsid w:val="001B0349"/>
    <w:rsid w:val="001B1E93"/>
    <w:rsid w:val="001B4DAF"/>
    <w:rsid w:val="001B5DF9"/>
    <w:rsid w:val="001B65C1"/>
    <w:rsid w:val="001B71C4"/>
    <w:rsid w:val="001B72C3"/>
    <w:rsid w:val="001C0AFA"/>
    <w:rsid w:val="001C260F"/>
    <w:rsid w:val="001C33F1"/>
    <w:rsid w:val="001C45AD"/>
    <w:rsid w:val="001C57EE"/>
    <w:rsid w:val="001C684B"/>
    <w:rsid w:val="001D0CFB"/>
    <w:rsid w:val="001D1712"/>
    <w:rsid w:val="001D1B78"/>
    <w:rsid w:val="001D21AF"/>
    <w:rsid w:val="001D53FC"/>
    <w:rsid w:val="001E5083"/>
    <w:rsid w:val="001F02ED"/>
    <w:rsid w:val="001F42A5"/>
    <w:rsid w:val="001F7B9D"/>
    <w:rsid w:val="00201C93"/>
    <w:rsid w:val="002021C1"/>
    <w:rsid w:val="00204B43"/>
    <w:rsid w:val="00215454"/>
    <w:rsid w:val="002224B4"/>
    <w:rsid w:val="00223D1A"/>
    <w:rsid w:val="00227649"/>
    <w:rsid w:val="002276B8"/>
    <w:rsid w:val="00240B19"/>
    <w:rsid w:val="00240D02"/>
    <w:rsid w:val="00241943"/>
    <w:rsid w:val="002447EF"/>
    <w:rsid w:val="00244B8A"/>
    <w:rsid w:val="002463FC"/>
    <w:rsid w:val="0024782C"/>
    <w:rsid w:val="0025093F"/>
    <w:rsid w:val="00250B03"/>
    <w:rsid w:val="00251550"/>
    <w:rsid w:val="002523B4"/>
    <w:rsid w:val="0025751B"/>
    <w:rsid w:val="00257FA4"/>
    <w:rsid w:val="00263B05"/>
    <w:rsid w:val="00266CC1"/>
    <w:rsid w:val="0027221A"/>
    <w:rsid w:val="00272D03"/>
    <w:rsid w:val="00275B61"/>
    <w:rsid w:val="002765C8"/>
    <w:rsid w:val="00280FAF"/>
    <w:rsid w:val="00282656"/>
    <w:rsid w:val="002864A4"/>
    <w:rsid w:val="00296B83"/>
    <w:rsid w:val="002A2A2C"/>
    <w:rsid w:val="002A6D5E"/>
    <w:rsid w:val="002A792A"/>
    <w:rsid w:val="002B4015"/>
    <w:rsid w:val="002B5C01"/>
    <w:rsid w:val="002B69B1"/>
    <w:rsid w:val="002B78CE"/>
    <w:rsid w:val="002C0556"/>
    <w:rsid w:val="002C0698"/>
    <w:rsid w:val="002C2A42"/>
    <w:rsid w:val="002C2FB6"/>
    <w:rsid w:val="002E10BE"/>
    <w:rsid w:val="002E14AB"/>
    <w:rsid w:val="002E2EF2"/>
    <w:rsid w:val="002E5FA7"/>
    <w:rsid w:val="002F3309"/>
    <w:rsid w:val="002F71D4"/>
    <w:rsid w:val="003008CE"/>
    <w:rsid w:val="003009B7"/>
    <w:rsid w:val="00300E56"/>
    <w:rsid w:val="0030152C"/>
    <w:rsid w:val="0030469C"/>
    <w:rsid w:val="003070C1"/>
    <w:rsid w:val="00314C7C"/>
    <w:rsid w:val="00321CA6"/>
    <w:rsid w:val="00323084"/>
    <w:rsid w:val="00323763"/>
    <w:rsid w:val="00323C5F"/>
    <w:rsid w:val="00326DB9"/>
    <w:rsid w:val="00334C09"/>
    <w:rsid w:val="00335438"/>
    <w:rsid w:val="00335F7B"/>
    <w:rsid w:val="003371FB"/>
    <w:rsid w:val="00340D50"/>
    <w:rsid w:val="00346655"/>
    <w:rsid w:val="00356A9D"/>
    <w:rsid w:val="00357BFE"/>
    <w:rsid w:val="00360198"/>
    <w:rsid w:val="00364F59"/>
    <w:rsid w:val="003656F2"/>
    <w:rsid w:val="00367208"/>
    <w:rsid w:val="003723D4"/>
    <w:rsid w:val="00372829"/>
    <w:rsid w:val="00374BB9"/>
    <w:rsid w:val="00381905"/>
    <w:rsid w:val="00383754"/>
    <w:rsid w:val="00383AA9"/>
    <w:rsid w:val="00384CC8"/>
    <w:rsid w:val="003871FD"/>
    <w:rsid w:val="00395549"/>
    <w:rsid w:val="003975D4"/>
    <w:rsid w:val="003A1E30"/>
    <w:rsid w:val="003A2829"/>
    <w:rsid w:val="003A3317"/>
    <w:rsid w:val="003A7D1C"/>
    <w:rsid w:val="003B24AC"/>
    <w:rsid w:val="003B304B"/>
    <w:rsid w:val="003B3146"/>
    <w:rsid w:val="003B4EA5"/>
    <w:rsid w:val="003C7D69"/>
    <w:rsid w:val="003D1E02"/>
    <w:rsid w:val="003D2400"/>
    <w:rsid w:val="003D3362"/>
    <w:rsid w:val="003D65B8"/>
    <w:rsid w:val="003E0E3D"/>
    <w:rsid w:val="003E4B5E"/>
    <w:rsid w:val="003F015E"/>
    <w:rsid w:val="003F20FB"/>
    <w:rsid w:val="003F40D8"/>
    <w:rsid w:val="003F4143"/>
    <w:rsid w:val="003F7F9B"/>
    <w:rsid w:val="00400414"/>
    <w:rsid w:val="0041446B"/>
    <w:rsid w:val="00414977"/>
    <w:rsid w:val="00416CE1"/>
    <w:rsid w:val="004173B1"/>
    <w:rsid w:val="004224AC"/>
    <w:rsid w:val="0042359F"/>
    <w:rsid w:val="004249D1"/>
    <w:rsid w:val="00434591"/>
    <w:rsid w:val="00435E7A"/>
    <w:rsid w:val="004364D1"/>
    <w:rsid w:val="004400AB"/>
    <w:rsid w:val="0044071E"/>
    <w:rsid w:val="00441FFE"/>
    <w:rsid w:val="0044329C"/>
    <w:rsid w:val="00450D00"/>
    <w:rsid w:val="00453E24"/>
    <w:rsid w:val="00457456"/>
    <w:rsid w:val="004577FE"/>
    <w:rsid w:val="00457B9C"/>
    <w:rsid w:val="00460C6D"/>
    <w:rsid w:val="0046164A"/>
    <w:rsid w:val="004621D6"/>
    <w:rsid w:val="004628D2"/>
    <w:rsid w:val="00462DCD"/>
    <w:rsid w:val="004648AD"/>
    <w:rsid w:val="004669D9"/>
    <w:rsid w:val="00466ADE"/>
    <w:rsid w:val="004670A6"/>
    <w:rsid w:val="004703A9"/>
    <w:rsid w:val="004736A1"/>
    <w:rsid w:val="00474A20"/>
    <w:rsid w:val="004760DE"/>
    <w:rsid w:val="004763D7"/>
    <w:rsid w:val="00487E57"/>
    <w:rsid w:val="00492926"/>
    <w:rsid w:val="00493EF4"/>
    <w:rsid w:val="004945E4"/>
    <w:rsid w:val="004A004E"/>
    <w:rsid w:val="004A23C0"/>
    <w:rsid w:val="004A24CF"/>
    <w:rsid w:val="004A5E57"/>
    <w:rsid w:val="004B0AE6"/>
    <w:rsid w:val="004B4FD8"/>
    <w:rsid w:val="004B637C"/>
    <w:rsid w:val="004C194F"/>
    <w:rsid w:val="004C19DC"/>
    <w:rsid w:val="004C3D1D"/>
    <w:rsid w:val="004C3D84"/>
    <w:rsid w:val="004C4DA7"/>
    <w:rsid w:val="004C556B"/>
    <w:rsid w:val="004C6914"/>
    <w:rsid w:val="004C7913"/>
    <w:rsid w:val="004D03BC"/>
    <w:rsid w:val="004D44EF"/>
    <w:rsid w:val="004D7F9E"/>
    <w:rsid w:val="004E4DD6"/>
    <w:rsid w:val="004F013E"/>
    <w:rsid w:val="004F0BB6"/>
    <w:rsid w:val="004F15F2"/>
    <w:rsid w:val="004F5320"/>
    <w:rsid w:val="004F55D8"/>
    <w:rsid w:val="004F5612"/>
    <w:rsid w:val="004F5E36"/>
    <w:rsid w:val="004F698D"/>
    <w:rsid w:val="00502BF4"/>
    <w:rsid w:val="00507B47"/>
    <w:rsid w:val="00507BEF"/>
    <w:rsid w:val="00507CC9"/>
    <w:rsid w:val="005119A5"/>
    <w:rsid w:val="00522887"/>
    <w:rsid w:val="00522B5A"/>
    <w:rsid w:val="00524678"/>
    <w:rsid w:val="005278B7"/>
    <w:rsid w:val="005305C8"/>
    <w:rsid w:val="00532016"/>
    <w:rsid w:val="005346C8"/>
    <w:rsid w:val="00534C1B"/>
    <w:rsid w:val="00543C14"/>
    <w:rsid w:val="00543E7D"/>
    <w:rsid w:val="00545CD7"/>
    <w:rsid w:val="005465BE"/>
    <w:rsid w:val="00547A68"/>
    <w:rsid w:val="0055003D"/>
    <w:rsid w:val="005531C9"/>
    <w:rsid w:val="00555CEA"/>
    <w:rsid w:val="005628D7"/>
    <w:rsid w:val="00563CA0"/>
    <w:rsid w:val="00570C43"/>
    <w:rsid w:val="00573736"/>
    <w:rsid w:val="00592274"/>
    <w:rsid w:val="005942C9"/>
    <w:rsid w:val="00597774"/>
    <w:rsid w:val="005A7BCA"/>
    <w:rsid w:val="005A7F73"/>
    <w:rsid w:val="005B2110"/>
    <w:rsid w:val="005B28BC"/>
    <w:rsid w:val="005B4C17"/>
    <w:rsid w:val="005B5832"/>
    <w:rsid w:val="005B61E6"/>
    <w:rsid w:val="005B6AA8"/>
    <w:rsid w:val="005C0AB6"/>
    <w:rsid w:val="005C77E1"/>
    <w:rsid w:val="005D605B"/>
    <w:rsid w:val="005D668A"/>
    <w:rsid w:val="005D6A2F"/>
    <w:rsid w:val="005E0592"/>
    <w:rsid w:val="005E1A82"/>
    <w:rsid w:val="005E6D3E"/>
    <w:rsid w:val="005E794C"/>
    <w:rsid w:val="005E7B2F"/>
    <w:rsid w:val="005F0A28"/>
    <w:rsid w:val="005F0E5E"/>
    <w:rsid w:val="005F673B"/>
    <w:rsid w:val="00600535"/>
    <w:rsid w:val="0060207D"/>
    <w:rsid w:val="0060500E"/>
    <w:rsid w:val="00610CD6"/>
    <w:rsid w:val="0061202C"/>
    <w:rsid w:val="006130D3"/>
    <w:rsid w:val="0061367C"/>
    <w:rsid w:val="00620DEE"/>
    <w:rsid w:val="0062126F"/>
    <w:rsid w:val="00621691"/>
    <w:rsid w:val="00621F53"/>
    <w:rsid w:val="00621F92"/>
    <w:rsid w:val="0062280A"/>
    <w:rsid w:val="006231E1"/>
    <w:rsid w:val="00625639"/>
    <w:rsid w:val="00627290"/>
    <w:rsid w:val="00627D76"/>
    <w:rsid w:val="00631B33"/>
    <w:rsid w:val="0064184D"/>
    <w:rsid w:val="00641E91"/>
    <w:rsid w:val="006422CC"/>
    <w:rsid w:val="00642A09"/>
    <w:rsid w:val="00651D18"/>
    <w:rsid w:val="006537AF"/>
    <w:rsid w:val="00654D7C"/>
    <w:rsid w:val="006568B9"/>
    <w:rsid w:val="006577C6"/>
    <w:rsid w:val="00660E3E"/>
    <w:rsid w:val="00662E74"/>
    <w:rsid w:val="00664F9F"/>
    <w:rsid w:val="006663DF"/>
    <w:rsid w:val="00672463"/>
    <w:rsid w:val="00674918"/>
    <w:rsid w:val="00680C23"/>
    <w:rsid w:val="00681E35"/>
    <w:rsid w:val="00683E23"/>
    <w:rsid w:val="00684631"/>
    <w:rsid w:val="00690240"/>
    <w:rsid w:val="006908A4"/>
    <w:rsid w:val="00691D6B"/>
    <w:rsid w:val="006933E8"/>
    <w:rsid w:val="00693766"/>
    <w:rsid w:val="00693EE4"/>
    <w:rsid w:val="006974C9"/>
    <w:rsid w:val="006A0623"/>
    <w:rsid w:val="006A0797"/>
    <w:rsid w:val="006A3281"/>
    <w:rsid w:val="006A72C3"/>
    <w:rsid w:val="006B0AC2"/>
    <w:rsid w:val="006B4888"/>
    <w:rsid w:val="006C2E45"/>
    <w:rsid w:val="006C359C"/>
    <w:rsid w:val="006C5579"/>
    <w:rsid w:val="006D498B"/>
    <w:rsid w:val="006D5726"/>
    <w:rsid w:val="006D6E8B"/>
    <w:rsid w:val="006D7209"/>
    <w:rsid w:val="006D736E"/>
    <w:rsid w:val="006E0250"/>
    <w:rsid w:val="006E2619"/>
    <w:rsid w:val="006E2733"/>
    <w:rsid w:val="006E737D"/>
    <w:rsid w:val="006F548D"/>
    <w:rsid w:val="0070576F"/>
    <w:rsid w:val="00707DD1"/>
    <w:rsid w:val="0071132B"/>
    <w:rsid w:val="007125DF"/>
    <w:rsid w:val="00713973"/>
    <w:rsid w:val="0071571F"/>
    <w:rsid w:val="00717989"/>
    <w:rsid w:val="00720A24"/>
    <w:rsid w:val="00724F16"/>
    <w:rsid w:val="00732386"/>
    <w:rsid w:val="007331E8"/>
    <w:rsid w:val="0073514D"/>
    <w:rsid w:val="00736431"/>
    <w:rsid w:val="00737EDB"/>
    <w:rsid w:val="007447F3"/>
    <w:rsid w:val="0074757A"/>
    <w:rsid w:val="0075499F"/>
    <w:rsid w:val="00756AD6"/>
    <w:rsid w:val="007612F0"/>
    <w:rsid w:val="00761380"/>
    <w:rsid w:val="007617CC"/>
    <w:rsid w:val="00763443"/>
    <w:rsid w:val="00763B4E"/>
    <w:rsid w:val="007661C8"/>
    <w:rsid w:val="00767E7D"/>
    <w:rsid w:val="0077049E"/>
    <w:rsid w:val="007707BF"/>
    <w:rsid w:val="0077098D"/>
    <w:rsid w:val="0078196E"/>
    <w:rsid w:val="007846D3"/>
    <w:rsid w:val="00785BF9"/>
    <w:rsid w:val="007914DC"/>
    <w:rsid w:val="007931FA"/>
    <w:rsid w:val="00795DC2"/>
    <w:rsid w:val="007967F6"/>
    <w:rsid w:val="007A3084"/>
    <w:rsid w:val="007A4861"/>
    <w:rsid w:val="007A7BBA"/>
    <w:rsid w:val="007B0C50"/>
    <w:rsid w:val="007B48F9"/>
    <w:rsid w:val="007C1A43"/>
    <w:rsid w:val="007C6E74"/>
    <w:rsid w:val="007D0951"/>
    <w:rsid w:val="007D11AD"/>
    <w:rsid w:val="007D4FC4"/>
    <w:rsid w:val="007E1272"/>
    <w:rsid w:val="007E35C3"/>
    <w:rsid w:val="007F06D4"/>
    <w:rsid w:val="007F27C8"/>
    <w:rsid w:val="007F3ED4"/>
    <w:rsid w:val="0080013E"/>
    <w:rsid w:val="00800C12"/>
    <w:rsid w:val="00803FB4"/>
    <w:rsid w:val="00805F08"/>
    <w:rsid w:val="008100E1"/>
    <w:rsid w:val="00811C77"/>
    <w:rsid w:val="00813288"/>
    <w:rsid w:val="008151AB"/>
    <w:rsid w:val="0081572A"/>
    <w:rsid w:val="008159E5"/>
    <w:rsid w:val="008168FC"/>
    <w:rsid w:val="00830996"/>
    <w:rsid w:val="008314D7"/>
    <w:rsid w:val="00834117"/>
    <w:rsid w:val="008345F1"/>
    <w:rsid w:val="0084403C"/>
    <w:rsid w:val="008460DA"/>
    <w:rsid w:val="00853275"/>
    <w:rsid w:val="0085582E"/>
    <w:rsid w:val="00865B07"/>
    <w:rsid w:val="008667EA"/>
    <w:rsid w:val="0087637F"/>
    <w:rsid w:val="008820F3"/>
    <w:rsid w:val="00892AD5"/>
    <w:rsid w:val="00895751"/>
    <w:rsid w:val="008A1512"/>
    <w:rsid w:val="008B1C2E"/>
    <w:rsid w:val="008B610D"/>
    <w:rsid w:val="008C1A82"/>
    <w:rsid w:val="008C1EE8"/>
    <w:rsid w:val="008C4DD6"/>
    <w:rsid w:val="008C725E"/>
    <w:rsid w:val="008D32B9"/>
    <w:rsid w:val="008D433B"/>
    <w:rsid w:val="008D4A16"/>
    <w:rsid w:val="008E209A"/>
    <w:rsid w:val="008E45BC"/>
    <w:rsid w:val="008E48C8"/>
    <w:rsid w:val="008E4BE7"/>
    <w:rsid w:val="008E566E"/>
    <w:rsid w:val="008F0686"/>
    <w:rsid w:val="008F7EE2"/>
    <w:rsid w:val="008F7FE9"/>
    <w:rsid w:val="0090161A"/>
    <w:rsid w:val="00901EB6"/>
    <w:rsid w:val="009041F8"/>
    <w:rsid w:val="009046BE"/>
    <w:rsid w:val="00904C62"/>
    <w:rsid w:val="0090688C"/>
    <w:rsid w:val="00906D01"/>
    <w:rsid w:val="00907B3E"/>
    <w:rsid w:val="009136F6"/>
    <w:rsid w:val="00922BA8"/>
    <w:rsid w:val="009247BD"/>
    <w:rsid w:val="009248DA"/>
    <w:rsid w:val="00924DAC"/>
    <w:rsid w:val="00927058"/>
    <w:rsid w:val="009337B5"/>
    <w:rsid w:val="009409BC"/>
    <w:rsid w:val="00942750"/>
    <w:rsid w:val="009450CE"/>
    <w:rsid w:val="009459BB"/>
    <w:rsid w:val="00947179"/>
    <w:rsid w:val="00947D6B"/>
    <w:rsid w:val="009515BD"/>
    <w:rsid w:val="0095164B"/>
    <w:rsid w:val="009522C9"/>
    <w:rsid w:val="009530E1"/>
    <w:rsid w:val="00954090"/>
    <w:rsid w:val="009573E7"/>
    <w:rsid w:val="00957BE0"/>
    <w:rsid w:val="00957FF8"/>
    <w:rsid w:val="00963E05"/>
    <w:rsid w:val="0096474F"/>
    <w:rsid w:val="00964A45"/>
    <w:rsid w:val="00964E3F"/>
    <w:rsid w:val="00965896"/>
    <w:rsid w:val="00967843"/>
    <w:rsid w:val="00967D54"/>
    <w:rsid w:val="00971028"/>
    <w:rsid w:val="0097234F"/>
    <w:rsid w:val="009769C5"/>
    <w:rsid w:val="00982955"/>
    <w:rsid w:val="009832DA"/>
    <w:rsid w:val="00987704"/>
    <w:rsid w:val="00993B84"/>
    <w:rsid w:val="00993BDD"/>
    <w:rsid w:val="00996483"/>
    <w:rsid w:val="00996ED1"/>
    <w:rsid w:val="00996F5A"/>
    <w:rsid w:val="00997200"/>
    <w:rsid w:val="009974A2"/>
    <w:rsid w:val="009A6A60"/>
    <w:rsid w:val="009B041A"/>
    <w:rsid w:val="009C08C2"/>
    <w:rsid w:val="009C37C3"/>
    <w:rsid w:val="009C7C86"/>
    <w:rsid w:val="009D187A"/>
    <w:rsid w:val="009D2386"/>
    <w:rsid w:val="009D2FF7"/>
    <w:rsid w:val="009D5165"/>
    <w:rsid w:val="009E4BA3"/>
    <w:rsid w:val="009E7884"/>
    <w:rsid w:val="009E788A"/>
    <w:rsid w:val="009F0E08"/>
    <w:rsid w:val="009F3265"/>
    <w:rsid w:val="00A00476"/>
    <w:rsid w:val="00A00C3D"/>
    <w:rsid w:val="00A00FBD"/>
    <w:rsid w:val="00A07021"/>
    <w:rsid w:val="00A079AE"/>
    <w:rsid w:val="00A107A2"/>
    <w:rsid w:val="00A10FF2"/>
    <w:rsid w:val="00A11876"/>
    <w:rsid w:val="00A1763D"/>
    <w:rsid w:val="00A17CEC"/>
    <w:rsid w:val="00A26810"/>
    <w:rsid w:val="00A26CBB"/>
    <w:rsid w:val="00A27EF0"/>
    <w:rsid w:val="00A300BA"/>
    <w:rsid w:val="00A371F4"/>
    <w:rsid w:val="00A37B5F"/>
    <w:rsid w:val="00A42361"/>
    <w:rsid w:val="00A45BC6"/>
    <w:rsid w:val="00A5090F"/>
    <w:rsid w:val="00A50B20"/>
    <w:rsid w:val="00A51390"/>
    <w:rsid w:val="00A60D13"/>
    <w:rsid w:val="00A65317"/>
    <w:rsid w:val="00A7223D"/>
    <w:rsid w:val="00A72745"/>
    <w:rsid w:val="00A7387A"/>
    <w:rsid w:val="00A74F28"/>
    <w:rsid w:val="00A76859"/>
    <w:rsid w:val="00A76EFC"/>
    <w:rsid w:val="00A814AC"/>
    <w:rsid w:val="00A87D33"/>
    <w:rsid w:val="00A87D50"/>
    <w:rsid w:val="00A91010"/>
    <w:rsid w:val="00A959BF"/>
    <w:rsid w:val="00A97F29"/>
    <w:rsid w:val="00AA487E"/>
    <w:rsid w:val="00AA5F96"/>
    <w:rsid w:val="00AA702E"/>
    <w:rsid w:val="00AA7D26"/>
    <w:rsid w:val="00AB0850"/>
    <w:rsid w:val="00AB0964"/>
    <w:rsid w:val="00AB27E6"/>
    <w:rsid w:val="00AB2CC3"/>
    <w:rsid w:val="00AB4443"/>
    <w:rsid w:val="00AB4A61"/>
    <w:rsid w:val="00AB5011"/>
    <w:rsid w:val="00AB5514"/>
    <w:rsid w:val="00AB7AE7"/>
    <w:rsid w:val="00AC1B2E"/>
    <w:rsid w:val="00AC363F"/>
    <w:rsid w:val="00AC5380"/>
    <w:rsid w:val="00AC7368"/>
    <w:rsid w:val="00AD0278"/>
    <w:rsid w:val="00AD12CF"/>
    <w:rsid w:val="00AD16B9"/>
    <w:rsid w:val="00AD41D5"/>
    <w:rsid w:val="00AD735A"/>
    <w:rsid w:val="00AE0206"/>
    <w:rsid w:val="00AE377D"/>
    <w:rsid w:val="00AE570A"/>
    <w:rsid w:val="00AE5DFA"/>
    <w:rsid w:val="00AE6A78"/>
    <w:rsid w:val="00AF083D"/>
    <w:rsid w:val="00AF0EBA"/>
    <w:rsid w:val="00AF10FC"/>
    <w:rsid w:val="00AF1F21"/>
    <w:rsid w:val="00AF328D"/>
    <w:rsid w:val="00B00BCA"/>
    <w:rsid w:val="00B00FBE"/>
    <w:rsid w:val="00B01C21"/>
    <w:rsid w:val="00B02AE5"/>
    <w:rsid w:val="00B02C8A"/>
    <w:rsid w:val="00B03C29"/>
    <w:rsid w:val="00B04627"/>
    <w:rsid w:val="00B0581A"/>
    <w:rsid w:val="00B124A9"/>
    <w:rsid w:val="00B13185"/>
    <w:rsid w:val="00B17FBD"/>
    <w:rsid w:val="00B315A6"/>
    <w:rsid w:val="00B31813"/>
    <w:rsid w:val="00B32BF7"/>
    <w:rsid w:val="00B33365"/>
    <w:rsid w:val="00B400BD"/>
    <w:rsid w:val="00B50B1D"/>
    <w:rsid w:val="00B5279D"/>
    <w:rsid w:val="00B55275"/>
    <w:rsid w:val="00B55A89"/>
    <w:rsid w:val="00B57B36"/>
    <w:rsid w:val="00B57D0C"/>
    <w:rsid w:val="00B57E6F"/>
    <w:rsid w:val="00B62537"/>
    <w:rsid w:val="00B81A44"/>
    <w:rsid w:val="00B82AEC"/>
    <w:rsid w:val="00B8686D"/>
    <w:rsid w:val="00B869DB"/>
    <w:rsid w:val="00B91719"/>
    <w:rsid w:val="00B9315F"/>
    <w:rsid w:val="00B93F69"/>
    <w:rsid w:val="00BB1DDC"/>
    <w:rsid w:val="00BB494C"/>
    <w:rsid w:val="00BC05DC"/>
    <w:rsid w:val="00BC112F"/>
    <w:rsid w:val="00BC140F"/>
    <w:rsid w:val="00BC18EE"/>
    <w:rsid w:val="00BC30C9"/>
    <w:rsid w:val="00BD014B"/>
    <w:rsid w:val="00BD077D"/>
    <w:rsid w:val="00BD1A7C"/>
    <w:rsid w:val="00BD37B6"/>
    <w:rsid w:val="00BD6F5B"/>
    <w:rsid w:val="00BD704B"/>
    <w:rsid w:val="00BD7DBC"/>
    <w:rsid w:val="00BE3E58"/>
    <w:rsid w:val="00BE544B"/>
    <w:rsid w:val="00BF2B9C"/>
    <w:rsid w:val="00BF4808"/>
    <w:rsid w:val="00C01616"/>
    <w:rsid w:val="00C0162B"/>
    <w:rsid w:val="00C02492"/>
    <w:rsid w:val="00C039E8"/>
    <w:rsid w:val="00C03B0C"/>
    <w:rsid w:val="00C068ED"/>
    <w:rsid w:val="00C208E9"/>
    <w:rsid w:val="00C22D8C"/>
    <w:rsid w:val="00C22E0C"/>
    <w:rsid w:val="00C24C06"/>
    <w:rsid w:val="00C273E8"/>
    <w:rsid w:val="00C32622"/>
    <w:rsid w:val="00C345B1"/>
    <w:rsid w:val="00C34FB6"/>
    <w:rsid w:val="00C40142"/>
    <w:rsid w:val="00C4142D"/>
    <w:rsid w:val="00C43332"/>
    <w:rsid w:val="00C4535A"/>
    <w:rsid w:val="00C50FB6"/>
    <w:rsid w:val="00C5146B"/>
    <w:rsid w:val="00C52C3C"/>
    <w:rsid w:val="00C57182"/>
    <w:rsid w:val="00C57863"/>
    <w:rsid w:val="00C57F0A"/>
    <w:rsid w:val="00C602DD"/>
    <w:rsid w:val="00C614CE"/>
    <w:rsid w:val="00C61A6E"/>
    <w:rsid w:val="00C640AF"/>
    <w:rsid w:val="00C655FD"/>
    <w:rsid w:val="00C75407"/>
    <w:rsid w:val="00C841C6"/>
    <w:rsid w:val="00C8629C"/>
    <w:rsid w:val="00C870A8"/>
    <w:rsid w:val="00C9179F"/>
    <w:rsid w:val="00C91FBA"/>
    <w:rsid w:val="00C94434"/>
    <w:rsid w:val="00C95D0A"/>
    <w:rsid w:val="00CA0D75"/>
    <w:rsid w:val="00CA15E0"/>
    <w:rsid w:val="00CA1C95"/>
    <w:rsid w:val="00CA1DB3"/>
    <w:rsid w:val="00CA5A9C"/>
    <w:rsid w:val="00CB09C6"/>
    <w:rsid w:val="00CB33E4"/>
    <w:rsid w:val="00CB386C"/>
    <w:rsid w:val="00CC02B3"/>
    <w:rsid w:val="00CC4C20"/>
    <w:rsid w:val="00CD3517"/>
    <w:rsid w:val="00CD5FE2"/>
    <w:rsid w:val="00CE062E"/>
    <w:rsid w:val="00CE7C68"/>
    <w:rsid w:val="00CF0A96"/>
    <w:rsid w:val="00CF558A"/>
    <w:rsid w:val="00CF72B5"/>
    <w:rsid w:val="00D02B4C"/>
    <w:rsid w:val="00D040C4"/>
    <w:rsid w:val="00D1052D"/>
    <w:rsid w:val="00D10BE0"/>
    <w:rsid w:val="00D10DA3"/>
    <w:rsid w:val="00D17C7E"/>
    <w:rsid w:val="00D20AD1"/>
    <w:rsid w:val="00D230BA"/>
    <w:rsid w:val="00D2582C"/>
    <w:rsid w:val="00D320F5"/>
    <w:rsid w:val="00D32714"/>
    <w:rsid w:val="00D46B7E"/>
    <w:rsid w:val="00D53EBC"/>
    <w:rsid w:val="00D567BB"/>
    <w:rsid w:val="00D57C84"/>
    <w:rsid w:val="00D6057D"/>
    <w:rsid w:val="00D61D32"/>
    <w:rsid w:val="00D64904"/>
    <w:rsid w:val="00D67E55"/>
    <w:rsid w:val="00D71640"/>
    <w:rsid w:val="00D71F70"/>
    <w:rsid w:val="00D72B83"/>
    <w:rsid w:val="00D75547"/>
    <w:rsid w:val="00D836C5"/>
    <w:rsid w:val="00D84576"/>
    <w:rsid w:val="00D9118E"/>
    <w:rsid w:val="00DA0926"/>
    <w:rsid w:val="00DA1399"/>
    <w:rsid w:val="00DA1694"/>
    <w:rsid w:val="00DA1C75"/>
    <w:rsid w:val="00DA24C6"/>
    <w:rsid w:val="00DA4D7B"/>
    <w:rsid w:val="00DA542C"/>
    <w:rsid w:val="00DC0276"/>
    <w:rsid w:val="00DC59CF"/>
    <w:rsid w:val="00DC6AB1"/>
    <w:rsid w:val="00DD271C"/>
    <w:rsid w:val="00DD4150"/>
    <w:rsid w:val="00DE134D"/>
    <w:rsid w:val="00DE264A"/>
    <w:rsid w:val="00DE3384"/>
    <w:rsid w:val="00DE51A6"/>
    <w:rsid w:val="00DE691C"/>
    <w:rsid w:val="00DE6BF6"/>
    <w:rsid w:val="00DE7612"/>
    <w:rsid w:val="00DF5072"/>
    <w:rsid w:val="00DF6676"/>
    <w:rsid w:val="00E02D18"/>
    <w:rsid w:val="00E041E7"/>
    <w:rsid w:val="00E16F13"/>
    <w:rsid w:val="00E233A1"/>
    <w:rsid w:val="00E23CA1"/>
    <w:rsid w:val="00E31813"/>
    <w:rsid w:val="00E323B9"/>
    <w:rsid w:val="00E335E3"/>
    <w:rsid w:val="00E339B3"/>
    <w:rsid w:val="00E37023"/>
    <w:rsid w:val="00E409A8"/>
    <w:rsid w:val="00E419EA"/>
    <w:rsid w:val="00E4321F"/>
    <w:rsid w:val="00E451F8"/>
    <w:rsid w:val="00E47D61"/>
    <w:rsid w:val="00E50C12"/>
    <w:rsid w:val="00E52EAB"/>
    <w:rsid w:val="00E6174F"/>
    <w:rsid w:val="00E61D68"/>
    <w:rsid w:val="00E622E9"/>
    <w:rsid w:val="00E644AE"/>
    <w:rsid w:val="00E65B91"/>
    <w:rsid w:val="00E7209D"/>
    <w:rsid w:val="00E72EAD"/>
    <w:rsid w:val="00E759A0"/>
    <w:rsid w:val="00E77223"/>
    <w:rsid w:val="00E8528B"/>
    <w:rsid w:val="00E85B94"/>
    <w:rsid w:val="00E93FF2"/>
    <w:rsid w:val="00E978D0"/>
    <w:rsid w:val="00EA07E0"/>
    <w:rsid w:val="00EA16D8"/>
    <w:rsid w:val="00EA3EF9"/>
    <w:rsid w:val="00EA4613"/>
    <w:rsid w:val="00EA6F18"/>
    <w:rsid w:val="00EA7F91"/>
    <w:rsid w:val="00EB1523"/>
    <w:rsid w:val="00EC0E49"/>
    <w:rsid w:val="00EC101F"/>
    <w:rsid w:val="00EC1774"/>
    <w:rsid w:val="00EC1D9F"/>
    <w:rsid w:val="00EC3BA6"/>
    <w:rsid w:val="00ED5714"/>
    <w:rsid w:val="00EE0131"/>
    <w:rsid w:val="00EE17B0"/>
    <w:rsid w:val="00EE2534"/>
    <w:rsid w:val="00EE5437"/>
    <w:rsid w:val="00EE6840"/>
    <w:rsid w:val="00EE7A0E"/>
    <w:rsid w:val="00EF06D9"/>
    <w:rsid w:val="00EF0982"/>
    <w:rsid w:val="00EF1DA6"/>
    <w:rsid w:val="00EF576A"/>
    <w:rsid w:val="00F047E6"/>
    <w:rsid w:val="00F061C6"/>
    <w:rsid w:val="00F1073B"/>
    <w:rsid w:val="00F126A5"/>
    <w:rsid w:val="00F14B9A"/>
    <w:rsid w:val="00F14EFC"/>
    <w:rsid w:val="00F25CA1"/>
    <w:rsid w:val="00F3049E"/>
    <w:rsid w:val="00F30C64"/>
    <w:rsid w:val="00F32BA2"/>
    <w:rsid w:val="00F32CDB"/>
    <w:rsid w:val="00F3348F"/>
    <w:rsid w:val="00F36961"/>
    <w:rsid w:val="00F37280"/>
    <w:rsid w:val="00F41EE4"/>
    <w:rsid w:val="00F42F03"/>
    <w:rsid w:val="00F565FE"/>
    <w:rsid w:val="00F63A70"/>
    <w:rsid w:val="00F63D8C"/>
    <w:rsid w:val="00F65315"/>
    <w:rsid w:val="00F6732D"/>
    <w:rsid w:val="00F73C99"/>
    <w:rsid w:val="00F74469"/>
    <w:rsid w:val="00F7534E"/>
    <w:rsid w:val="00F75D6B"/>
    <w:rsid w:val="00F84982"/>
    <w:rsid w:val="00F93EDF"/>
    <w:rsid w:val="00FA0D7D"/>
    <w:rsid w:val="00FA1802"/>
    <w:rsid w:val="00FA21D0"/>
    <w:rsid w:val="00FA32CC"/>
    <w:rsid w:val="00FA4213"/>
    <w:rsid w:val="00FA5F5F"/>
    <w:rsid w:val="00FB3BA3"/>
    <w:rsid w:val="00FB43A0"/>
    <w:rsid w:val="00FB50B7"/>
    <w:rsid w:val="00FB54CB"/>
    <w:rsid w:val="00FB730C"/>
    <w:rsid w:val="00FC2695"/>
    <w:rsid w:val="00FC3E03"/>
    <w:rsid w:val="00FC3FC1"/>
    <w:rsid w:val="00FC75FF"/>
    <w:rsid w:val="00FD10E4"/>
    <w:rsid w:val="00FE14DE"/>
    <w:rsid w:val="00FE1D85"/>
    <w:rsid w:val="00FE2B7B"/>
    <w:rsid w:val="00FE3849"/>
    <w:rsid w:val="00FE4171"/>
    <w:rsid w:val="00FE6F19"/>
    <w:rsid w:val="00FF0BD9"/>
    <w:rsid w:val="00FF2060"/>
    <w:rsid w:val="00FF537A"/>
    <w:rsid w:val="00FF79A4"/>
    <w:rsid w:val="00FF7FE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lsdException w:name="Emphasis" w:semiHidden="0" w:uiPriority="20" w:unhideWhenUsed="0" w:qFormat="1"/>
    <w:lsdException w:name="Table Simple 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h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asimples1">
    <w:name w:val="Table Simple 1"/>
    <w:basedOn w:val="Tabe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rio">
    <w:name w:val="annotation reference"/>
    <w:basedOn w:val="Fontepargpadro"/>
    <w:uiPriority w:val="99"/>
    <w:semiHidden/>
    <w:unhideWhenUsed/>
    <w:rsid w:val="004577FE"/>
    <w:rPr>
      <w:sz w:val="16"/>
      <w:szCs w:val="16"/>
    </w:rPr>
  </w:style>
  <w:style w:type="paragraph" w:styleId="Textodebalo">
    <w:name w:val="Balloon Text"/>
    <w:basedOn w:val="Normal"/>
    <w:link w:val="TextodebaloChar"/>
    <w:uiPriority w:val="99"/>
    <w:semiHidden/>
    <w:unhideWhenUsed/>
    <w:rsid w:val="000D34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texto2">
    <w:name w:val="Body Text 2"/>
    <w:basedOn w:val="Normal"/>
    <w:link w:val="Corpodetexto2Char"/>
    <w:uiPriority w:val="99"/>
    <w:semiHidden/>
    <w:unhideWhenUsed/>
    <w:rsid w:val="0003148D"/>
    <w:pPr>
      <w:spacing w:after="120" w:line="480" w:lineRule="auto"/>
    </w:pPr>
  </w:style>
  <w:style w:type="character" w:customStyle="1" w:styleId="Corpodetexto2Char">
    <w:name w:val="Corpo de texto 2 Char"/>
    <w:basedOn w:val="Fontepargpadro"/>
    <w:link w:val="Corpodetexto2"/>
    <w:uiPriority w:val="99"/>
    <w:semiHidden/>
    <w:rsid w:val="0003148D"/>
  </w:style>
  <w:style w:type="paragraph" w:styleId="Corpodetexto3">
    <w:name w:val="Body Text 3"/>
    <w:basedOn w:val="Normal"/>
    <w:link w:val="Corpodetexto3Char"/>
    <w:uiPriority w:val="99"/>
    <w:semiHidden/>
    <w:unhideWhenUsed/>
    <w:rsid w:val="0003148D"/>
    <w:pPr>
      <w:spacing w:after="120"/>
    </w:pPr>
    <w:rPr>
      <w:sz w:val="16"/>
      <w:szCs w:val="16"/>
    </w:rPr>
  </w:style>
  <w:style w:type="character" w:customStyle="1" w:styleId="Corpodetexto3Char">
    <w:name w:val="Corpo de texto 3 Char"/>
    <w:basedOn w:val="Fontepargpadro"/>
    <w:link w:val="Corpodetexto3"/>
    <w:uiPriority w:val="99"/>
    <w:semiHidden/>
    <w:rsid w:val="0003148D"/>
    <w:rPr>
      <w:sz w:val="16"/>
      <w:szCs w:val="16"/>
    </w:rPr>
  </w:style>
  <w:style w:type="paragraph" w:styleId="Corpodetexto">
    <w:name w:val="Body Text"/>
    <w:basedOn w:val="Normal"/>
    <w:link w:val="CorpodetextoChar"/>
    <w:uiPriority w:val="99"/>
    <w:semiHidden/>
    <w:unhideWhenUsed/>
    <w:rsid w:val="0003148D"/>
    <w:pPr>
      <w:spacing w:after="120"/>
    </w:pPr>
  </w:style>
  <w:style w:type="character" w:customStyle="1" w:styleId="CorpodetextoChar">
    <w:name w:val="Corpo de texto Char"/>
    <w:basedOn w:val="Fontepargpadro"/>
    <w:link w:val="Corpodetexto"/>
    <w:uiPriority w:val="99"/>
    <w:semiHidden/>
    <w:rsid w:val="0003148D"/>
  </w:style>
  <w:style w:type="paragraph" w:styleId="Data">
    <w:name w:val="Date"/>
    <w:basedOn w:val="Normal"/>
    <w:next w:val="Normal"/>
    <w:link w:val="DataChar"/>
    <w:uiPriority w:val="99"/>
    <w:semiHidden/>
    <w:unhideWhenUsed/>
    <w:rsid w:val="0003148D"/>
  </w:style>
  <w:style w:type="character" w:customStyle="1" w:styleId="DataChar">
    <w:name w:val="Data Char"/>
    <w:basedOn w:val="Fontepargpadro"/>
    <w:link w:val="Data"/>
    <w:uiPriority w:val="99"/>
    <w:semiHidden/>
    <w:rsid w:val="0003148D"/>
  </w:style>
  <w:style w:type="paragraph" w:styleId="Legenda">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Listadecontinuao">
    <w:name w:val="List Continue"/>
    <w:basedOn w:val="Normal"/>
    <w:uiPriority w:val="99"/>
    <w:semiHidden/>
    <w:unhideWhenUsed/>
    <w:rsid w:val="0003148D"/>
    <w:pPr>
      <w:spacing w:after="120"/>
      <w:ind w:left="283"/>
      <w:contextualSpacing/>
    </w:pPr>
  </w:style>
  <w:style w:type="paragraph" w:styleId="Listadecontinuao2">
    <w:name w:val="List Continue 2"/>
    <w:basedOn w:val="Normal"/>
    <w:uiPriority w:val="99"/>
    <w:semiHidden/>
    <w:unhideWhenUsed/>
    <w:rsid w:val="0003148D"/>
    <w:pPr>
      <w:spacing w:after="120"/>
      <w:ind w:left="566"/>
      <w:contextualSpacing/>
    </w:pPr>
  </w:style>
  <w:style w:type="paragraph" w:styleId="Listadecontinuao3">
    <w:name w:val="List Continue 3"/>
    <w:basedOn w:val="Normal"/>
    <w:uiPriority w:val="99"/>
    <w:semiHidden/>
    <w:unhideWhenUsed/>
    <w:rsid w:val="0003148D"/>
    <w:pPr>
      <w:spacing w:after="120"/>
      <w:ind w:left="849"/>
      <w:contextualSpacing/>
    </w:pPr>
  </w:style>
  <w:style w:type="paragraph" w:styleId="Listadecontinuao4">
    <w:name w:val="List Continue 4"/>
    <w:basedOn w:val="Normal"/>
    <w:uiPriority w:val="99"/>
    <w:semiHidden/>
    <w:unhideWhenUsed/>
    <w:rsid w:val="0003148D"/>
    <w:pPr>
      <w:spacing w:after="120"/>
      <w:ind w:left="1132"/>
      <w:contextualSpacing/>
    </w:pPr>
  </w:style>
  <w:style w:type="paragraph" w:styleId="Listadecontinuao5">
    <w:name w:val="List Continue 5"/>
    <w:basedOn w:val="Normal"/>
    <w:uiPriority w:val="99"/>
    <w:semiHidden/>
    <w:unhideWhenUsed/>
    <w:rsid w:val="0003148D"/>
    <w:pPr>
      <w:spacing w:after="120"/>
      <w:ind w:left="1415"/>
      <w:contextualSpacing/>
    </w:pPr>
  </w:style>
  <w:style w:type="paragraph" w:styleId="Assinatura">
    <w:name w:val="Signature"/>
    <w:basedOn w:val="Normal"/>
    <w:link w:val="AssinaturaChar"/>
    <w:uiPriority w:val="99"/>
    <w:semiHidden/>
    <w:unhideWhenUsed/>
    <w:rsid w:val="0003148D"/>
    <w:pPr>
      <w:spacing w:line="240" w:lineRule="auto"/>
      <w:ind w:left="4252"/>
    </w:pPr>
  </w:style>
  <w:style w:type="character" w:customStyle="1" w:styleId="AssinaturaChar">
    <w:name w:val="Assinatura Char"/>
    <w:basedOn w:val="Fontepargpadro"/>
    <w:link w:val="Assinatura"/>
    <w:uiPriority w:val="99"/>
    <w:semiHidden/>
    <w:rsid w:val="0003148D"/>
  </w:style>
  <w:style w:type="paragraph" w:styleId="AssinaturadeEmail">
    <w:name w:val="E-mail Signature"/>
    <w:basedOn w:val="Normal"/>
    <w:link w:val="AssinaturadeEmailChar"/>
    <w:uiPriority w:val="99"/>
    <w:semiHidden/>
    <w:unhideWhenUsed/>
    <w:rsid w:val="0003148D"/>
    <w:pPr>
      <w:spacing w:line="240" w:lineRule="auto"/>
    </w:pPr>
  </w:style>
  <w:style w:type="character" w:customStyle="1" w:styleId="AssinaturadeEmailChar">
    <w:name w:val="Assinatura de Email Char"/>
    <w:basedOn w:val="Fontepargpadro"/>
    <w:link w:val="AssinaturadeEmail"/>
    <w:uiPriority w:val="99"/>
    <w:semiHidden/>
    <w:rsid w:val="0003148D"/>
  </w:style>
  <w:style w:type="paragraph" w:styleId="Saudao">
    <w:name w:val="Salutation"/>
    <w:basedOn w:val="Normal"/>
    <w:next w:val="Normal"/>
    <w:link w:val="SaudaoChar"/>
    <w:uiPriority w:val="99"/>
    <w:semiHidden/>
    <w:unhideWhenUsed/>
    <w:rsid w:val="0003148D"/>
  </w:style>
  <w:style w:type="character" w:customStyle="1" w:styleId="SaudaoChar">
    <w:name w:val="Saudação Char"/>
    <w:basedOn w:val="Fontepargpadro"/>
    <w:link w:val="Saudao"/>
    <w:uiPriority w:val="99"/>
    <w:semiHidden/>
    <w:rsid w:val="0003148D"/>
  </w:style>
  <w:style w:type="paragraph" w:styleId="Encerramento">
    <w:name w:val="Closing"/>
    <w:basedOn w:val="Normal"/>
    <w:link w:val="EncerramentoChar"/>
    <w:uiPriority w:val="99"/>
    <w:semiHidden/>
    <w:unhideWhenUsed/>
    <w:rsid w:val="0003148D"/>
    <w:pPr>
      <w:spacing w:line="240" w:lineRule="auto"/>
      <w:ind w:left="4252"/>
    </w:pPr>
  </w:style>
  <w:style w:type="character" w:customStyle="1" w:styleId="EncerramentoChar">
    <w:name w:val="Encerramento Char"/>
    <w:basedOn w:val="Fontepargpadro"/>
    <w:link w:val="Encerramento"/>
    <w:uiPriority w:val="99"/>
    <w:semiHidden/>
    <w:rsid w:val="0003148D"/>
  </w:style>
  <w:style w:type="paragraph" w:styleId="Remissivo1">
    <w:name w:val="index 1"/>
    <w:basedOn w:val="Normal"/>
    <w:next w:val="Normal"/>
    <w:autoRedefine/>
    <w:uiPriority w:val="99"/>
    <w:semiHidden/>
    <w:unhideWhenUsed/>
    <w:rsid w:val="0003148D"/>
    <w:pPr>
      <w:spacing w:line="240" w:lineRule="auto"/>
      <w:ind w:left="220" w:hanging="220"/>
    </w:pPr>
  </w:style>
  <w:style w:type="paragraph" w:styleId="Remissivo2">
    <w:name w:val="index 2"/>
    <w:basedOn w:val="Normal"/>
    <w:next w:val="Normal"/>
    <w:autoRedefine/>
    <w:uiPriority w:val="99"/>
    <w:semiHidden/>
    <w:unhideWhenUsed/>
    <w:rsid w:val="0003148D"/>
    <w:pPr>
      <w:spacing w:line="240" w:lineRule="auto"/>
      <w:ind w:left="440" w:hanging="220"/>
    </w:pPr>
  </w:style>
  <w:style w:type="paragraph" w:styleId="Remissivo3">
    <w:name w:val="index 3"/>
    <w:basedOn w:val="Normal"/>
    <w:next w:val="Normal"/>
    <w:autoRedefine/>
    <w:uiPriority w:val="99"/>
    <w:semiHidden/>
    <w:unhideWhenUsed/>
    <w:rsid w:val="0003148D"/>
    <w:pPr>
      <w:spacing w:line="240" w:lineRule="auto"/>
      <w:ind w:left="660" w:hanging="220"/>
    </w:pPr>
  </w:style>
  <w:style w:type="paragraph" w:styleId="Remissivo4">
    <w:name w:val="index 4"/>
    <w:basedOn w:val="Normal"/>
    <w:next w:val="Normal"/>
    <w:autoRedefine/>
    <w:uiPriority w:val="99"/>
    <w:semiHidden/>
    <w:unhideWhenUsed/>
    <w:rsid w:val="0003148D"/>
    <w:pPr>
      <w:spacing w:line="240" w:lineRule="auto"/>
      <w:ind w:left="880" w:hanging="220"/>
    </w:pPr>
  </w:style>
  <w:style w:type="paragraph" w:styleId="Remissivo5">
    <w:name w:val="index 5"/>
    <w:basedOn w:val="Normal"/>
    <w:next w:val="Normal"/>
    <w:autoRedefine/>
    <w:uiPriority w:val="99"/>
    <w:semiHidden/>
    <w:unhideWhenUsed/>
    <w:rsid w:val="0003148D"/>
    <w:pPr>
      <w:spacing w:line="240" w:lineRule="auto"/>
      <w:ind w:left="1100" w:hanging="220"/>
    </w:pPr>
  </w:style>
  <w:style w:type="paragraph" w:styleId="Remissivo6">
    <w:name w:val="index 6"/>
    <w:basedOn w:val="Normal"/>
    <w:next w:val="Normal"/>
    <w:autoRedefine/>
    <w:uiPriority w:val="99"/>
    <w:semiHidden/>
    <w:unhideWhenUsed/>
    <w:rsid w:val="0003148D"/>
    <w:pPr>
      <w:spacing w:line="240" w:lineRule="auto"/>
      <w:ind w:left="1320" w:hanging="220"/>
    </w:pPr>
  </w:style>
  <w:style w:type="paragraph" w:styleId="Remissivo7">
    <w:name w:val="index 7"/>
    <w:basedOn w:val="Normal"/>
    <w:next w:val="Normal"/>
    <w:autoRedefine/>
    <w:uiPriority w:val="99"/>
    <w:semiHidden/>
    <w:unhideWhenUsed/>
    <w:rsid w:val="0003148D"/>
    <w:pPr>
      <w:spacing w:line="240" w:lineRule="auto"/>
      <w:ind w:left="1540" w:hanging="220"/>
    </w:pPr>
  </w:style>
  <w:style w:type="paragraph" w:styleId="Remissivo8">
    <w:name w:val="index 8"/>
    <w:basedOn w:val="Normal"/>
    <w:next w:val="Normal"/>
    <w:autoRedefine/>
    <w:uiPriority w:val="99"/>
    <w:semiHidden/>
    <w:unhideWhenUsed/>
    <w:rsid w:val="0003148D"/>
    <w:pPr>
      <w:spacing w:line="240" w:lineRule="auto"/>
      <w:ind w:left="1760" w:hanging="220"/>
    </w:pPr>
  </w:style>
  <w:style w:type="paragraph" w:styleId="Remissivo9">
    <w:name w:val="index 9"/>
    <w:basedOn w:val="Normal"/>
    <w:next w:val="Normal"/>
    <w:autoRedefine/>
    <w:uiPriority w:val="99"/>
    <w:semiHidden/>
    <w:unhideWhenUsed/>
    <w:rsid w:val="0003148D"/>
    <w:pPr>
      <w:spacing w:line="240" w:lineRule="auto"/>
      <w:ind w:left="1980" w:hanging="220"/>
    </w:pPr>
  </w:style>
  <w:style w:type="paragraph" w:styleId="ndicedeilustraes">
    <w:name w:val="table of figures"/>
    <w:basedOn w:val="Normal"/>
    <w:next w:val="Normal"/>
    <w:uiPriority w:val="99"/>
    <w:semiHidden/>
    <w:unhideWhenUsed/>
    <w:rsid w:val="0003148D"/>
  </w:style>
  <w:style w:type="paragraph" w:styleId="ndicedeautoridades">
    <w:name w:val="table of authorities"/>
    <w:basedOn w:val="Normal"/>
    <w:next w:val="Normal"/>
    <w:uiPriority w:val="99"/>
    <w:semiHidden/>
    <w:unhideWhenUsed/>
    <w:rsid w:val="0003148D"/>
    <w:pPr>
      <w:ind w:left="220" w:hanging="220"/>
    </w:pPr>
  </w:style>
  <w:style w:type="paragraph" w:styleId="Destinatrio">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dereoHTML">
    <w:name w:val="HTML Address"/>
    <w:basedOn w:val="Normal"/>
    <w:link w:val="EndereoHTMLChar"/>
    <w:uiPriority w:val="99"/>
    <w:semiHidden/>
    <w:unhideWhenUsed/>
    <w:rsid w:val="0003148D"/>
    <w:pPr>
      <w:spacing w:line="240" w:lineRule="auto"/>
    </w:pPr>
    <w:rPr>
      <w:i/>
      <w:iCs/>
    </w:rPr>
  </w:style>
  <w:style w:type="character" w:customStyle="1" w:styleId="EndereoHTMLChar">
    <w:name w:val="Endereço HTML Char"/>
    <w:basedOn w:val="Fontepargpadro"/>
    <w:link w:val="EndereoHTML"/>
    <w:uiPriority w:val="99"/>
    <w:semiHidden/>
    <w:rsid w:val="0003148D"/>
    <w:rPr>
      <w:i/>
      <w:iCs/>
    </w:rPr>
  </w:style>
  <w:style w:type="paragraph" w:styleId="Remetent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Cabealhodamensagem">
    <w:name w:val="Message Header"/>
    <w:basedOn w:val="Normal"/>
    <w:link w:val="Cabealhodamensagem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03148D"/>
    <w:rPr>
      <w:rFonts w:asciiTheme="majorHAnsi" w:eastAsiaTheme="majorEastAsia" w:hAnsiTheme="majorHAnsi" w:cstheme="majorBidi"/>
      <w:sz w:val="24"/>
      <w:szCs w:val="24"/>
      <w:shd w:val="pct20" w:color="auto" w:fill="auto"/>
    </w:rPr>
  </w:style>
  <w:style w:type="paragraph" w:styleId="Ttulodanota">
    <w:name w:val="Note Heading"/>
    <w:basedOn w:val="Normal"/>
    <w:next w:val="Normal"/>
    <w:link w:val="TtulodanotaChar"/>
    <w:uiPriority w:val="99"/>
    <w:semiHidden/>
    <w:unhideWhenUsed/>
    <w:rsid w:val="0003148D"/>
    <w:pPr>
      <w:spacing w:line="240" w:lineRule="auto"/>
    </w:pPr>
  </w:style>
  <w:style w:type="character" w:customStyle="1" w:styleId="TtulodanotaChar">
    <w:name w:val="Título da nota Char"/>
    <w:basedOn w:val="Fontepargpadro"/>
    <w:link w:val="Ttulodanota"/>
    <w:uiPriority w:val="99"/>
    <w:semiHidden/>
    <w:rsid w:val="0003148D"/>
  </w:style>
  <w:style w:type="paragraph" w:styleId="MapadoDocumento">
    <w:name w:val="Document Map"/>
    <w:basedOn w:val="Normal"/>
    <w:link w:val="MapadoDocumentoChar"/>
    <w:uiPriority w:val="99"/>
    <w:semiHidden/>
    <w:unhideWhenUsed/>
    <w:rsid w:val="0003148D"/>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Numerada">
    <w:name w:val="List Number"/>
    <w:basedOn w:val="Normal"/>
    <w:uiPriority w:val="99"/>
    <w:semiHidden/>
    <w:unhideWhenUsed/>
    <w:rsid w:val="0003148D"/>
    <w:pPr>
      <w:numPr>
        <w:numId w:val="2"/>
      </w:numPr>
      <w:contextualSpacing/>
    </w:pPr>
  </w:style>
  <w:style w:type="paragraph" w:styleId="Numerada2">
    <w:name w:val="List Number 2"/>
    <w:basedOn w:val="Normal"/>
    <w:uiPriority w:val="99"/>
    <w:semiHidden/>
    <w:unhideWhenUsed/>
    <w:rsid w:val="0003148D"/>
    <w:pPr>
      <w:numPr>
        <w:numId w:val="3"/>
      </w:numPr>
      <w:contextualSpacing/>
    </w:pPr>
  </w:style>
  <w:style w:type="paragraph" w:styleId="Numerada3">
    <w:name w:val="List Number 3"/>
    <w:basedOn w:val="Normal"/>
    <w:uiPriority w:val="99"/>
    <w:semiHidden/>
    <w:unhideWhenUsed/>
    <w:rsid w:val="0003148D"/>
    <w:pPr>
      <w:numPr>
        <w:numId w:val="4"/>
      </w:numPr>
      <w:contextualSpacing/>
    </w:pPr>
  </w:style>
  <w:style w:type="paragraph" w:styleId="Numerada4">
    <w:name w:val="List Number 4"/>
    <w:basedOn w:val="Normal"/>
    <w:uiPriority w:val="99"/>
    <w:semiHidden/>
    <w:unhideWhenUsed/>
    <w:rsid w:val="0003148D"/>
    <w:pPr>
      <w:numPr>
        <w:numId w:val="5"/>
      </w:numPr>
      <w:contextualSpacing/>
    </w:pPr>
  </w:style>
  <w:style w:type="paragraph" w:styleId="Numerada5">
    <w:name w:val="List Number 5"/>
    <w:basedOn w:val="Normal"/>
    <w:uiPriority w:val="99"/>
    <w:semiHidden/>
    <w:unhideWhenUsed/>
    <w:rsid w:val="0003148D"/>
    <w:pPr>
      <w:numPr>
        <w:numId w:val="6"/>
      </w:numPr>
      <w:contextualSpacing/>
    </w:pPr>
  </w:style>
  <w:style w:type="paragraph" w:styleId="Pr-formataoHTML">
    <w:name w:val="HTML Preformatted"/>
    <w:basedOn w:val="Normal"/>
    <w:link w:val="Pr-formataoHTMLChar"/>
    <w:uiPriority w:val="99"/>
    <w:semiHidden/>
    <w:unhideWhenUsed/>
    <w:rsid w:val="0003148D"/>
    <w:pPr>
      <w:spacing w:line="240" w:lineRule="auto"/>
    </w:pPr>
    <w:rPr>
      <w:rFonts w:ascii="Consolas" w:hAnsi="Consolas" w:cs="Consolas"/>
    </w:rPr>
  </w:style>
  <w:style w:type="character" w:customStyle="1" w:styleId="Pr-formataoHTMLChar">
    <w:name w:val="Pré-formatação HTML Char"/>
    <w:basedOn w:val="Fontepargpadro"/>
    <w:link w:val="Pr-formataoHTML"/>
    <w:uiPriority w:val="99"/>
    <w:semiHidden/>
    <w:rsid w:val="0003148D"/>
    <w:rPr>
      <w:rFonts w:ascii="Consolas" w:hAnsi="Consolas" w:cs="Consolas"/>
      <w:sz w:val="20"/>
      <w:szCs w:val="20"/>
    </w:rPr>
  </w:style>
  <w:style w:type="paragraph" w:styleId="Primeirorecuodecorpodetexto">
    <w:name w:val="Body Text First Indent"/>
    <w:basedOn w:val="Corpodetexto"/>
    <w:link w:val="PrimeirorecuodecorpodetextoChar"/>
    <w:uiPriority w:val="99"/>
    <w:semiHidden/>
    <w:unhideWhenUsed/>
    <w:rsid w:val="0003148D"/>
    <w:pPr>
      <w:spacing w:after="200"/>
      <w:ind w:firstLine="360"/>
    </w:pPr>
  </w:style>
  <w:style w:type="character" w:customStyle="1" w:styleId="PrimeirorecuodecorpodetextoChar">
    <w:name w:val="Primeiro recuo de corpo de texto Char"/>
    <w:basedOn w:val="CorpodetextoChar"/>
    <w:link w:val="Primeirorecuodecorpodetexto"/>
    <w:uiPriority w:val="99"/>
    <w:semiHidden/>
    <w:rsid w:val="0003148D"/>
  </w:style>
  <w:style w:type="paragraph" w:styleId="Recuodecorpodetexto">
    <w:name w:val="Body Text Indent"/>
    <w:basedOn w:val="Normal"/>
    <w:link w:val="RecuodecorpodetextoChar"/>
    <w:uiPriority w:val="99"/>
    <w:semiHidden/>
    <w:unhideWhenUsed/>
    <w:rsid w:val="0003148D"/>
    <w:pPr>
      <w:spacing w:after="120"/>
      <w:ind w:left="283"/>
    </w:pPr>
  </w:style>
  <w:style w:type="character" w:customStyle="1" w:styleId="RecuodecorpodetextoChar">
    <w:name w:val="Recuo de corpo de texto Char"/>
    <w:basedOn w:val="Fontepargpadro"/>
    <w:link w:val="Recuodecorpodetexto"/>
    <w:uiPriority w:val="99"/>
    <w:semiHidden/>
    <w:rsid w:val="0003148D"/>
  </w:style>
  <w:style w:type="paragraph" w:styleId="Primeirorecuodecorpodetexto2">
    <w:name w:val="Body Text First Indent 2"/>
    <w:basedOn w:val="Recuodecorpodetexto"/>
    <w:link w:val="Primeirorecuodecorpodetexto2Char"/>
    <w:uiPriority w:val="99"/>
    <w:semiHidden/>
    <w:unhideWhenUsed/>
    <w:rsid w:val="0003148D"/>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03148D"/>
  </w:style>
  <w:style w:type="paragraph" w:styleId="Commarcadores">
    <w:name w:val="List Bullet"/>
    <w:basedOn w:val="Normal"/>
    <w:uiPriority w:val="99"/>
    <w:semiHidden/>
    <w:unhideWhenUsed/>
    <w:rsid w:val="0003148D"/>
    <w:pPr>
      <w:numPr>
        <w:numId w:val="7"/>
      </w:numPr>
      <w:contextualSpacing/>
    </w:pPr>
  </w:style>
  <w:style w:type="paragraph" w:styleId="Commarcadores2">
    <w:name w:val="List Bullet 2"/>
    <w:basedOn w:val="Normal"/>
    <w:uiPriority w:val="99"/>
    <w:semiHidden/>
    <w:unhideWhenUsed/>
    <w:rsid w:val="0003148D"/>
    <w:pPr>
      <w:numPr>
        <w:numId w:val="8"/>
      </w:numPr>
      <w:contextualSpacing/>
    </w:pPr>
  </w:style>
  <w:style w:type="paragraph" w:styleId="Commarcadores3">
    <w:name w:val="List Bullet 3"/>
    <w:basedOn w:val="Normal"/>
    <w:uiPriority w:val="99"/>
    <w:semiHidden/>
    <w:unhideWhenUsed/>
    <w:rsid w:val="0003148D"/>
    <w:pPr>
      <w:numPr>
        <w:numId w:val="9"/>
      </w:numPr>
      <w:contextualSpacing/>
    </w:pPr>
  </w:style>
  <w:style w:type="paragraph" w:styleId="Commarcadores4">
    <w:name w:val="List Bullet 4"/>
    <w:basedOn w:val="Normal"/>
    <w:uiPriority w:val="99"/>
    <w:semiHidden/>
    <w:unhideWhenUsed/>
    <w:rsid w:val="0003148D"/>
    <w:pPr>
      <w:numPr>
        <w:numId w:val="10"/>
      </w:numPr>
      <w:contextualSpacing/>
    </w:pPr>
  </w:style>
  <w:style w:type="paragraph" w:styleId="Commarcadores5">
    <w:name w:val="List Bullet 5"/>
    <w:basedOn w:val="Normal"/>
    <w:uiPriority w:val="99"/>
    <w:semiHidden/>
    <w:unhideWhenUsed/>
    <w:rsid w:val="0003148D"/>
    <w:pPr>
      <w:numPr>
        <w:numId w:val="11"/>
      </w:numPr>
      <w:contextualSpacing/>
    </w:pPr>
  </w:style>
  <w:style w:type="paragraph" w:styleId="Recuodecorpodetexto2">
    <w:name w:val="Body Text Indent 2"/>
    <w:basedOn w:val="Normal"/>
    <w:link w:val="Recuodecorpodetexto2Char"/>
    <w:uiPriority w:val="99"/>
    <w:semiHidden/>
    <w:unhideWhenUsed/>
    <w:rsid w:val="0003148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3148D"/>
  </w:style>
  <w:style w:type="paragraph" w:styleId="Recuodecorpodetexto3">
    <w:name w:val="Body Text Indent 3"/>
    <w:basedOn w:val="Normal"/>
    <w:link w:val="Recuodecorpodetexto3Char"/>
    <w:uiPriority w:val="99"/>
    <w:semiHidden/>
    <w:unhideWhenUsed/>
    <w:rsid w:val="0003148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3148D"/>
    <w:rPr>
      <w:sz w:val="16"/>
      <w:szCs w:val="16"/>
    </w:rPr>
  </w:style>
  <w:style w:type="paragraph" w:styleId="Recuonormal">
    <w:name w:val="Normal Indent"/>
    <w:basedOn w:val="Normal"/>
    <w:uiPriority w:val="99"/>
    <w:semiHidden/>
    <w:unhideWhenUsed/>
    <w:rsid w:val="0003148D"/>
    <w:pPr>
      <w:ind w:left="720"/>
    </w:pPr>
  </w:style>
  <w:style w:type="paragraph" w:styleId="Textodecomentrio">
    <w:name w:val="annotation text"/>
    <w:basedOn w:val="Normal"/>
    <w:link w:val="TextodecomentrioChar"/>
    <w:uiPriority w:val="99"/>
    <w:unhideWhenUsed/>
    <w:rsid w:val="0003148D"/>
    <w:pPr>
      <w:spacing w:line="240" w:lineRule="auto"/>
    </w:pPr>
  </w:style>
  <w:style w:type="character" w:customStyle="1" w:styleId="TextodecomentrioChar">
    <w:name w:val="Texto de comentário Char"/>
    <w:basedOn w:val="Fontepargpadro"/>
    <w:link w:val="Textodecomentrio"/>
    <w:uiPriority w:val="99"/>
    <w:rsid w:val="0003148D"/>
    <w:rPr>
      <w:sz w:val="20"/>
      <w:szCs w:val="20"/>
    </w:rPr>
  </w:style>
  <w:style w:type="paragraph" w:styleId="Assuntodocomentrio">
    <w:name w:val="annotation subject"/>
    <w:basedOn w:val="Textodecomentrio"/>
    <w:next w:val="Textodecomentrio"/>
    <w:link w:val="AssuntodocomentrioChar"/>
    <w:uiPriority w:val="99"/>
    <w:semiHidden/>
    <w:unhideWhenUsed/>
    <w:rsid w:val="0003148D"/>
    <w:rPr>
      <w:b/>
      <w:bCs/>
    </w:rPr>
  </w:style>
  <w:style w:type="character" w:customStyle="1" w:styleId="AssuntodocomentrioChar">
    <w:name w:val="Assunto do comentário Char"/>
    <w:basedOn w:val="TextodecomentrioChar"/>
    <w:link w:val="Assuntodocomentrio"/>
    <w:uiPriority w:val="99"/>
    <w:semiHidden/>
    <w:rsid w:val="0003148D"/>
    <w:rPr>
      <w:b/>
      <w:bCs/>
      <w:sz w:val="20"/>
      <w:szCs w:val="20"/>
    </w:rPr>
  </w:style>
  <w:style w:type="paragraph" w:styleId="Sumrio1">
    <w:name w:val="toc 1"/>
    <w:basedOn w:val="Normal"/>
    <w:next w:val="Normal"/>
    <w:autoRedefine/>
    <w:uiPriority w:val="39"/>
    <w:semiHidden/>
    <w:unhideWhenUsed/>
    <w:rsid w:val="0003148D"/>
    <w:pPr>
      <w:spacing w:after="100"/>
    </w:pPr>
  </w:style>
  <w:style w:type="paragraph" w:styleId="Sumrio2">
    <w:name w:val="toc 2"/>
    <w:basedOn w:val="Normal"/>
    <w:next w:val="Normal"/>
    <w:autoRedefine/>
    <w:uiPriority w:val="39"/>
    <w:semiHidden/>
    <w:unhideWhenUsed/>
    <w:rsid w:val="0003148D"/>
    <w:pPr>
      <w:spacing w:after="100"/>
      <w:ind w:left="220"/>
    </w:pPr>
  </w:style>
  <w:style w:type="paragraph" w:styleId="Sumrio3">
    <w:name w:val="toc 3"/>
    <w:basedOn w:val="Normal"/>
    <w:next w:val="Normal"/>
    <w:autoRedefine/>
    <w:uiPriority w:val="39"/>
    <w:semiHidden/>
    <w:unhideWhenUsed/>
    <w:rsid w:val="0003148D"/>
    <w:pPr>
      <w:spacing w:after="100"/>
      <w:ind w:left="440"/>
    </w:pPr>
  </w:style>
  <w:style w:type="paragraph" w:styleId="Sumrio4">
    <w:name w:val="toc 4"/>
    <w:basedOn w:val="Normal"/>
    <w:next w:val="Normal"/>
    <w:autoRedefine/>
    <w:uiPriority w:val="39"/>
    <w:semiHidden/>
    <w:unhideWhenUsed/>
    <w:rsid w:val="0003148D"/>
    <w:pPr>
      <w:spacing w:after="100"/>
      <w:ind w:left="660"/>
    </w:pPr>
  </w:style>
  <w:style w:type="paragraph" w:styleId="Sumrio5">
    <w:name w:val="toc 5"/>
    <w:basedOn w:val="Normal"/>
    <w:next w:val="Normal"/>
    <w:autoRedefine/>
    <w:uiPriority w:val="39"/>
    <w:semiHidden/>
    <w:unhideWhenUsed/>
    <w:rsid w:val="0003148D"/>
    <w:pPr>
      <w:spacing w:after="100"/>
      <w:ind w:left="880"/>
    </w:pPr>
  </w:style>
  <w:style w:type="paragraph" w:styleId="Sumrio6">
    <w:name w:val="toc 6"/>
    <w:basedOn w:val="Normal"/>
    <w:next w:val="Normal"/>
    <w:autoRedefine/>
    <w:uiPriority w:val="39"/>
    <w:semiHidden/>
    <w:unhideWhenUsed/>
    <w:rsid w:val="0003148D"/>
    <w:pPr>
      <w:spacing w:after="100"/>
      <w:ind w:left="1100"/>
    </w:pPr>
  </w:style>
  <w:style w:type="paragraph" w:styleId="Sumrio7">
    <w:name w:val="toc 7"/>
    <w:basedOn w:val="Normal"/>
    <w:next w:val="Normal"/>
    <w:autoRedefine/>
    <w:uiPriority w:val="39"/>
    <w:semiHidden/>
    <w:unhideWhenUsed/>
    <w:rsid w:val="0003148D"/>
    <w:pPr>
      <w:spacing w:after="100"/>
      <w:ind w:left="1320"/>
    </w:pPr>
  </w:style>
  <w:style w:type="paragraph" w:styleId="Sumrio8">
    <w:name w:val="toc 8"/>
    <w:basedOn w:val="Normal"/>
    <w:next w:val="Normal"/>
    <w:autoRedefine/>
    <w:uiPriority w:val="39"/>
    <w:semiHidden/>
    <w:unhideWhenUsed/>
    <w:rsid w:val="0003148D"/>
    <w:pPr>
      <w:spacing w:after="100"/>
      <w:ind w:left="1540"/>
    </w:pPr>
  </w:style>
  <w:style w:type="paragraph" w:styleId="Sumrio9">
    <w:name w:val="toc 9"/>
    <w:basedOn w:val="Normal"/>
    <w:next w:val="Normal"/>
    <w:autoRedefine/>
    <w:uiPriority w:val="39"/>
    <w:semiHidden/>
    <w:unhideWhenUsed/>
    <w:rsid w:val="0003148D"/>
    <w:pPr>
      <w:spacing w:after="100"/>
      <w:ind w:left="1760"/>
    </w:pPr>
  </w:style>
  <w:style w:type="paragraph" w:styleId="Textoembloco">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demacro">
    <w:name w:val="macro"/>
    <w:link w:val="Textodemacro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demacroChar">
    <w:name w:val="Texto de macro Char"/>
    <w:basedOn w:val="Fontepargpadro"/>
    <w:link w:val="Textodemacro"/>
    <w:uiPriority w:val="99"/>
    <w:semiHidden/>
    <w:rsid w:val="0003148D"/>
    <w:rPr>
      <w:rFonts w:ascii="Consolas" w:hAnsi="Consolas" w:cs="Consolas"/>
      <w:sz w:val="20"/>
      <w:szCs w:val="20"/>
    </w:rPr>
  </w:style>
  <w:style w:type="paragraph" w:styleId="TextosemFormatao">
    <w:name w:val="Plain Text"/>
    <w:basedOn w:val="Normal"/>
    <w:link w:val="TextosemFormataoChar"/>
    <w:uiPriority w:val="99"/>
    <w:semiHidden/>
    <w:unhideWhenUsed/>
    <w:rsid w:val="0003148D"/>
    <w:pPr>
      <w:spacing w:line="240" w:lineRule="auto"/>
    </w:pPr>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03148D"/>
    <w:rPr>
      <w:rFonts w:ascii="Consolas" w:hAnsi="Consolas" w:cs="Consolas"/>
      <w:sz w:val="21"/>
      <w:szCs w:val="21"/>
    </w:rPr>
  </w:style>
  <w:style w:type="paragraph" w:styleId="Textodenotaderodap">
    <w:name w:val="footnote text"/>
    <w:basedOn w:val="Normal"/>
    <w:link w:val="TextodenotaderodapChar"/>
    <w:uiPriority w:val="99"/>
    <w:semiHidden/>
    <w:unhideWhenUsed/>
    <w:rsid w:val="0003148D"/>
    <w:pPr>
      <w:spacing w:line="240" w:lineRule="auto"/>
    </w:pPr>
  </w:style>
  <w:style w:type="character" w:customStyle="1" w:styleId="TextodenotaderodapChar">
    <w:name w:val="Texto de nota de rodapé Char"/>
    <w:basedOn w:val="Fontepargpadro"/>
    <w:link w:val="Textodenotaderodap"/>
    <w:uiPriority w:val="99"/>
    <w:semiHidden/>
    <w:rsid w:val="0003148D"/>
    <w:rPr>
      <w:sz w:val="20"/>
      <w:szCs w:val="20"/>
    </w:rPr>
  </w:style>
  <w:style w:type="paragraph" w:styleId="Textodenotadefim">
    <w:name w:val="endnote text"/>
    <w:basedOn w:val="Normal"/>
    <w:link w:val="TextodenotadefimChar"/>
    <w:uiPriority w:val="99"/>
    <w:semiHidden/>
    <w:unhideWhenUsed/>
    <w:rsid w:val="0003148D"/>
    <w:pPr>
      <w:spacing w:line="240" w:lineRule="auto"/>
    </w:pPr>
  </w:style>
  <w:style w:type="character" w:customStyle="1" w:styleId="TextodenotadefimChar">
    <w:name w:val="Texto de nota de fim Char"/>
    <w:basedOn w:val="Fontepargpadro"/>
    <w:link w:val="Textodenotadefim"/>
    <w:uiPriority w:val="99"/>
    <w:semiHidden/>
    <w:rsid w:val="0003148D"/>
    <w:rPr>
      <w:sz w:val="20"/>
      <w:szCs w:val="20"/>
    </w:rPr>
  </w:style>
  <w:style w:type="character" w:customStyle="1" w:styleId="Ttulo1Char">
    <w:name w:val="Título 1 Char"/>
    <w:basedOn w:val="Fontepargpadro"/>
    <w:link w:val="Ttulo1"/>
    <w:uiPriority w:val="9"/>
    <w:rsid w:val="004F5E36"/>
    <w:rPr>
      <w:rFonts w:ascii="Arial" w:eastAsia="Times New Roman" w:hAnsi="Arial" w:cs="Times New Roman"/>
      <w:b/>
      <w:sz w:val="20"/>
      <w:szCs w:val="20"/>
      <w:lang w:val="en-GB"/>
    </w:rPr>
  </w:style>
  <w:style w:type="character" w:customStyle="1" w:styleId="Ttulo2Char">
    <w:name w:val="Título 2 Char"/>
    <w:basedOn w:val="Fontepargpadro"/>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3148D"/>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remissivo">
    <w:name w:val="index heading"/>
    <w:basedOn w:val="Normal"/>
    <w:next w:val="Remissivo1"/>
    <w:uiPriority w:val="99"/>
    <w:semiHidden/>
    <w:unhideWhenUsed/>
    <w:rsid w:val="0003148D"/>
    <w:rPr>
      <w:rFonts w:asciiTheme="majorHAnsi" w:eastAsiaTheme="majorEastAsia" w:hAnsiTheme="majorHAnsi" w:cstheme="majorBidi"/>
      <w:b/>
      <w:bCs/>
    </w:rPr>
  </w:style>
  <w:style w:type="paragraph" w:styleId="Ttulodendicedeautoridades">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CabealhodoSumrio">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ontepargpadr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Cabealho">
    <w:name w:val="header"/>
    <w:basedOn w:val="Normal"/>
    <w:link w:val="CabealhoChar"/>
    <w:uiPriority w:val="99"/>
    <w:unhideWhenUsed/>
    <w:rsid w:val="005278B7"/>
    <w:pPr>
      <w:tabs>
        <w:tab w:val="clear" w:pos="7100"/>
        <w:tab w:val="center" w:pos="4819"/>
        <w:tab w:val="right" w:pos="9638"/>
      </w:tabs>
      <w:spacing w:line="240" w:lineRule="auto"/>
    </w:pPr>
  </w:style>
  <w:style w:type="character" w:customStyle="1" w:styleId="CabealhoChar">
    <w:name w:val="Cabeçalho Char"/>
    <w:basedOn w:val="Fontepargpadro"/>
    <w:link w:val="Cabealho"/>
    <w:uiPriority w:val="99"/>
    <w:rsid w:val="005278B7"/>
    <w:rPr>
      <w:rFonts w:ascii="Arial" w:eastAsia="Times New Roman" w:hAnsi="Arial" w:cs="Times New Roman"/>
      <w:sz w:val="18"/>
      <w:szCs w:val="20"/>
      <w:lang w:val="en-GB"/>
    </w:rPr>
  </w:style>
  <w:style w:type="paragraph" w:styleId="Rodap">
    <w:name w:val="footer"/>
    <w:basedOn w:val="Normal"/>
    <w:link w:val="RodapChar"/>
    <w:uiPriority w:val="99"/>
    <w:unhideWhenUsed/>
    <w:rsid w:val="005278B7"/>
    <w:pPr>
      <w:tabs>
        <w:tab w:val="clear" w:pos="7100"/>
        <w:tab w:val="center" w:pos="4819"/>
        <w:tab w:val="right" w:pos="9638"/>
      </w:tabs>
      <w:spacing w:line="240" w:lineRule="auto"/>
    </w:pPr>
  </w:style>
  <w:style w:type="character" w:customStyle="1" w:styleId="RodapChar">
    <w:name w:val="Rodapé Char"/>
    <w:basedOn w:val="Fontepargpadro"/>
    <w:link w:val="Rodap"/>
    <w:uiPriority w:val="99"/>
    <w:rsid w:val="005278B7"/>
    <w:rPr>
      <w:rFonts w:ascii="Arial" w:eastAsia="Times New Roman" w:hAnsi="Arial" w:cs="Times New Roman"/>
      <w:sz w:val="18"/>
      <w:szCs w:val="20"/>
      <w:lang w:val="en-GB"/>
    </w:rPr>
  </w:style>
  <w:style w:type="table" w:styleId="Tabelacomgrade">
    <w:name w:val="Table Grid"/>
    <w:basedOn w:val="Tabelanormal"/>
    <w:uiPriority w:val="59"/>
    <w:rsid w:val="00660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904C62"/>
    <w:rPr>
      <w:color w:val="0000FF" w:themeColor="hyperlink"/>
      <w:u w:val="single"/>
    </w:rPr>
  </w:style>
  <w:style w:type="character" w:customStyle="1" w:styleId="eudoraheader">
    <w:name w:val="eudoraheader"/>
    <w:basedOn w:val="Fontepargpadr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grafodaLista">
    <w:name w:val="List Paragraph"/>
    <w:basedOn w:val="Normal"/>
    <w:uiPriority w:val="34"/>
    <w:rsid w:val="00280FAF"/>
    <w:pPr>
      <w:ind w:left="720"/>
      <w:contextualSpacing/>
    </w:pPr>
  </w:style>
  <w:style w:type="character" w:customStyle="1" w:styleId="gmail-apple-converted-space">
    <w:name w:val="gmail-apple-converted-space"/>
    <w:basedOn w:val="Fontepargpadro"/>
    <w:rsid w:val="00005A19"/>
  </w:style>
  <w:style w:type="character" w:styleId="TextodoEspaoReservado">
    <w:name w:val="Placeholder Text"/>
    <w:basedOn w:val="Fontepargpadro"/>
    <w:uiPriority w:val="99"/>
    <w:semiHidden/>
    <w:rsid w:val="003D3362"/>
    <w:rPr>
      <w:color w:val="808080"/>
    </w:rPr>
  </w:style>
  <w:style w:type="character" w:styleId="nfase">
    <w:name w:val="Emphasis"/>
    <w:basedOn w:val="Fontepargpadro"/>
    <w:uiPriority w:val="20"/>
    <w:qFormat/>
    <w:rsid w:val="00F75D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2517">
      <w:bodyDiv w:val="1"/>
      <w:marLeft w:val="0"/>
      <w:marRight w:val="0"/>
      <w:marTop w:val="0"/>
      <w:marBottom w:val="0"/>
      <w:divBdr>
        <w:top w:val="none" w:sz="0" w:space="0" w:color="auto"/>
        <w:left w:val="none" w:sz="0" w:space="0" w:color="auto"/>
        <w:bottom w:val="none" w:sz="0" w:space="0" w:color="auto"/>
        <w:right w:val="none" w:sz="0" w:space="0" w:color="auto"/>
      </w:divBdr>
    </w:div>
    <w:div w:id="82846167">
      <w:bodyDiv w:val="1"/>
      <w:marLeft w:val="0"/>
      <w:marRight w:val="0"/>
      <w:marTop w:val="0"/>
      <w:marBottom w:val="0"/>
      <w:divBdr>
        <w:top w:val="none" w:sz="0" w:space="0" w:color="auto"/>
        <w:left w:val="none" w:sz="0" w:space="0" w:color="auto"/>
        <w:bottom w:val="none" w:sz="0" w:space="0" w:color="auto"/>
        <w:right w:val="none" w:sz="0" w:space="0" w:color="auto"/>
      </w:divBdr>
    </w:div>
    <w:div w:id="115292731">
      <w:bodyDiv w:val="1"/>
      <w:marLeft w:val="0"/>
      <w:marRight w:val="0"/>
      <w:marTop w:val="0"/>
      <w:marBottom w:val="0"/>
      <w:divBdr>
        <w:top w:val="none" w:sz="0" w:space="0" w:color="auto"/>
        <w:left w:val="none" w:sz="0" w:space="0" w:color="auto"/>
        <w:bottom w:val="none" w:sz="0" w:space="0" w:color="auto"/>
        <w:right w:val="none" w:sz="0" w:space="0" w:color="auto"/>
      </w:divBdr>
    </w:div>
    <w:div w:id="138764000">
      <w:bodyDiv w:val="1"/>
      <w:marLeft w:val="0"/>
      <w:marRight w:val="0"/>
      <w:marTop w:val="0"/>
      <w:marBottom w:val="0"/>
      <w:divBdr>
        <w:top w:val="none" w:sz="0" w:space="0" w:color="auto"/>
        <w:left w:val="none" w:sz="0" w:space="0" w:color="auto"/>
        <w:bottom w:val="none" w:sz="0" w:space="0" w:color="auto"/>
        <w:right w:val="none" w:sz="0" w:space="0" w:color="auto"/>
      </w:divBdr>
    </w:div>
    <w:div w:id="274479979">
      <w:bodyDiv w:val="1"/>
      <w:marLeft w:val="0"/>
      <w:marRight w:val="0"/>
      <w:marTop w:val="0"/>
      <w:marBottom w:val="0"/>
      <w:divBdr>
        <w:top w:val="none" w:sz="0" w:space="0" w:color="auto"/>
        <w:left w:val="none" w:sz="0" w:space="0" w:color="auto"/>
        <w:bottom w:val="none" w:sz="0" w:space="0" w:color="auto"/>
        <w:right w:val="none" w:sz="0" w:space="0" w:color="auto"/>
      </w:divBdr>
    </w:div>
    <w:div w:id="278030757">
      <w:bodyDiv w:val="1"/>
      <w:marLeft w:val="0"/>
      <w:marRight w:val="0"/>
      <w:marTop w:val="0"/>
      <w:marBottom w:val="0"/>
      <w:divBdr>
        <w:top w:val="none" w:sz="0" w:space="0" w:color="auto"/>
        <w:left w:val="none" w:sz="0" w:space="0" w:color="auto"/>
        <w:bottom w:val="none" w:sz="0" w:space="0" w:color="auto"/>
        <w:right w:val="none" w:sz="0" w:space="0" w:color="auto"/>
      </w:divBdr>
    </w:div>
    <w:div w:id="379869483">
      <w:bodyDiv w:val="1"/>
      <w:marLeft w:val="0"/>
      <w:marRight w:val="0"/>
      <w:marTop w:val="0"/>
      <w:marBottom w:val="0"/>
      <w:divBdr>
        <w:top w:val="none" w:sz="0" w:space="0" w:color="auto"/>
        <w:left w:val="none" w:sz="0" w:space="0" w:color="auto"/>
        <w:bottom w:val="none" w:sz="0" w:space="0" w:color="auto"/>
        <w:right w:val="none" w:sz="0" w:space="0" w:color="auto"/>
      </w:divBdr>
    </w:div>
    <w:div w:id="415399104">
      <w:bodyDiv w:val="1"/>
      <w:marLeft w:val="0"/>
      <w:marRight w:val="0"/>
      <w:marTop w:val="0"/>
      <w:marBottom w:val="0"/>
      <w:divBdr>
        <w:top w:val="none" w:sz="0" w:space="0" w:color="auto"/>
        <w:left w:val="none" w:sz="0" w:space="0" w:color="auto"/>
        <w:bottom w:val="none" w:sz="0" w:space="0" w:color="auto"/>
        <w:right w:val="none" w:sz="0" w:space="0" w:color="auto"/>
      </w:divBdr>
    </w:div>
    <w:div w:id="427965435">
      <w:bodyDiv w:val="1"/>
      <w:marLeft w:val="0"/>
      <w:marRight w:val="0"/>
      <w:marTop w:val="0"/>
      <w:marBottom w:val="0"/>
      <w:divBdr>
        <w:top w:val="none" w:sz="0" w:space="0" w:color="auto"/>
        <w:left w:val="none" w:sz="0" w:space="0" w:color="auto"/>
        <w:bottom w:val="none" w:sz="0" w:space="0" w:color="auto"/>
        <w:right w:val="none" w:sz="0" w:space="0" w:color="auto"/>
      </w:divBdr>
    </w:div>
    <w:div w:id="479033457">
      <w:bodyDiv w:val="1"/>
      <w:marLeft w:val="0"/>
      <w:marRight w:val="0"/>
      <w:marTop w:val="0"/>
      <w:marBottom w:val="0"/>
      <w:divBdr>
        <w:top w:val="none" w:sz="0" w:space="0" w:color="auto"/>
        <w:left w:val="none" w:sz="0" w:space="0" w:color="auto"/>
        <w:bottom w:val="none" w:sz="0" w:space="0" w:color="auto"/>
        <w:right w:val="none" w:sz="0" w:space="0" w:color="auto"/>
      </w:divBdr>
    </w:div>
    <w:div w:id="491869380">
      <w:bodyDiv w:val="1"/>
      <w:marLeft w:val="0"/>
      <w:marRight w:val="0"/>
      <w:marTop w:val="0"/>
      <w:marBottom w:val="0"/>
      <w:divBdr>
        <w:top w:val="none" w:sz="0" w:space="0" w:color="auto"/>
        <w:left w:val="none" w:sz="0" w:space="0" w:color="auto"/>
        <w:bottom w:val="none" w:sz="0" w:space="0" w:color="auto"/>
        <w:right w:val="none" w:sz="0" w:space="0" w:color="auto"/>
      </w:divBdr>
    </w:div>
    <w:div w:id="495651481">
      <w:bodyDiv w:val="1"/>
      <w:marLeft w:val="0"/>
      <w:marRight w:val="0"/>
      <w:marTop w:val="0"/>
      <w:marBottom w:val="0"/>
      <w:divBdr>
        <w:top w:val="none" w:sz="0" w:space="0" w:color="auto"/>
        <w:left w:val="none" w:sz="0" w:space="0" w:color="auto"/>
        <w:bottom w:val="none" w:sz="0" w:space="0" w:color="auto"/>
        <w:right w:val="none" w:sz="0" w:space="0" w:color="auto"/>
      </w:divBdr>
    </w:div>
    <w:div w:id="509636021">
      <w:bodyDiv w:val="1"/>
      <w:marLeft w:val="0"/>
      <w:marRight w:val="0"/>
      <w:marTop w:val="0"/>
      <w:marBottom w:val="0"/>
      <w:divBdr>
        <w:top w:val="none" w:sz="0" w:space="0" w:color="auto"/>
        <w:left w:val="none" w:sz="0" w:space="0" w:color="auto"/>
        <w:bottom w:val="none" w:sz="0" w:space="0" w:color="auto"/>
        <w:right w:val="none" w:sz="0" w:space="0" w:color="auto"/>
      </w:divBdr>
    </w:div>
    <w:div w:id="518734882">
      <w:bodyDiv w:val="1"/>
      <w:marLeft w:val="0"/>
      <w:marRight w:val="0"/>
      <w:marTop w:val="0"/>
      <w:marBottom w:val="0"/>
      <w:divBdr>
        <w:top w:val="none" w:sz="0" w:space="0" w:color="auto"/>
        <w:left w:val="none" w:sz="0" w:space="0" w:color="auto"/>
        <w:bottom w:val="none" w:sz="0" w:space="0" w:color="auto"/>
        <w:right w:val="none" w:sz="0" w:space="0" w:color="auto"/>
      </w:divBdr>
    </w:div>
    <w:div w:id="574898521">
      <w:bodyDiv w:val="1"/>
      <w:marLeft w:val="0"/>
      <w:marRight w:val="0"/>
      <w:marTop w:val="0"/>
      <w:marBottom w:val="0"/>
      <w:divBdr>
        <w:top w:val="none" w:sz="0" w:space="0" w:color="auto"/>
        <w:left w:val="none" w:sz="0" w:space="0" w:color="auto"/>
        <w:bottom w:val="none" w:sz="0" w:space="0" w:color="auto"/>
        <w:right w:val="none" w:sz="0" w:space="0" w:color="auto"/>
      </w:divBdr>
    </w:div>
    <w:div w:id="581573431">
      <w:bodyDiv w:val="1"/>
      <w:marLeft w:val="0"/>
      <w:marRight w:val="0"/>
      <w:marTop w:val="0"/>
      <w:marBottom w:val="0"/>
      <w:divBdr>
        <w:top w:val="none" w:sz="0" w:space="0" w:color="auto"/>
        <w:left w:val="none" w:sz="0" w:space="0" w:color="auto"/>
        <w:bottom w:val="none" w:sz="0" w:space="0" w:color="auto"/>
        <w:right w:val="none" w:sz="0" w:space="0" w:color="auto"/>
      </w:divBdr>
    </w:div>
    <w:div w:id="628436054">
      <w:bodyDiv w:val="1"/>
      <w:marLeft w:val="0"/>
      <w:marRight w:val="0"/>
      <w:marTop w:val="0"/>
      <w:marBottom w:val="0"/>
      <w:divBdr>
        <w:top w:val="none" w:sz="0" w:space="0" w:color="auto"/>
        <w:left w:val="none" w:sz="0" w:space="0" w:color="auto"/>
        <w:bottom w:val="none" w:sz="0" w:space="0" w:color="auto"/>
        <w:right w:val="none" w:sz="0" w:space="0" w:color="auto"/>
      </w:divBdr>
    </w:div>
    <w:div w:id="662852806">
      <w:bodyDiv w:val="1"/>
      <w:marLeft w:val="0"/>
      <w:marRight w:val="0"/>
      <w:marTop w:val="0"/>
      <w:marBottom w:val="0"/>
      <w:divBdr>
        <w:top w:val="none" w:sz="0" w:space="0" w:color="auto"/>
        <w:left w:val="none" w:sz="0" w:space="0" w:color="auto"/>
        <w:bottom w:val="none" w:sz="0" w:space="0" w:color="auto"/>
        <w:right w:val="none" w:sz="0" w:space="0" w:color="auto"/>
      </w:divBdr>
    </w:div>
    <w:div w:id="680082419">
      <w:bodyDiv w:val="1"/>
      <w:marLeft w:val="0"/>
      <w:marRight w:val="0"/>
      <w:marTop w:val="0"/>
      <w:marBottom w:val="0"/>
      <w:divBdr>
        <w:top w:val="none" w:sz="0" w:space="0" w:color="auto"/>
        <w:left w:val="none" w:sz="0" w:space="0" w:color="auto"/>
        <w:bottom w:val="none" w:sz="0" w:space="0" w:color="auto"/>
        <w:right w:val="none" w:sz="0" w:space="0" w:color="auto"/>
      </w:divBdr>
    </w:div>
    <w:div w:id="711225563">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24659">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6861">
      <w:bodyDiv w:val="1"/>
      <w:marLeft w:val="0"/>
      <w:marRight w:val="0"/>
      <w:marTop w:val="0"/>
      <w:marBottom w:val="0"/>
      <w:divBdr>
        <w:top w:val="none" w:sz="0" w:space="0" w:color="auto"/>
        <w:left w:val="none" w:sz="0" w:space="0" w:color="auto"/>
        <w:bottom w:val="none" w:sz="0" w:space="0" w:color="auto"/>
        <w:right w:val="none" w:sz="0" w:space="0" w:color="auto"/>
      </w:divBdr>
    </w:div>
    <w:div w:id="970671034">
      <w:bodyDiv w:val="1"/>
      <w:marLeft w:val="0"/>
      <w:marRight w:val="0"/>
      <w:marTop w:val="0"/>
      <w:marBottom w:val="0"/>
      <w:divBdr>
        <w:top w:val="none" w:sz="0" w:space="0" w:color="auto"/>
        <w:left w:val="none" w:sz="0" w:space="0" w:color="auto"/>
        <w:bottom w:val="none" w:sz="0" w:space="0" w:color="auto"/>
        <w:right w:val="none" w:sz="0" w:space="0" w:color="auto"/>
      </w:divBdr>
    </w:div>
    <w:div w:id="989408027">
      <w:bodyDiv w:val="1"/>
      <w:marLeft w:val="0"/>
      <w:marRight w:val="0"/>
      <w:marTop w:val="0"/>
      <w:marBottom w:val="0"/>
      <w:divBdr>
        <w:top w:val="none" w:sz="0" w:space="0" w:color="auto"/>
        <w:left w:val="none" w:sz="0" w:space="0" w:color="auto"/>
        <w:bottom w:val="none" w:sz="0" w:space="0" w:color="auto"/>
        <w:right w:val="none" w:sz="0" w:space="0" w:color="auto"/>
      </w:divBdr>
    </w:div>
    <w:div w:id="1022635915">
      <w:bodyDiv w:val="1"/>
      <w:marLeft w:val="0"/>
      <w:marRight w:val="0"/>
      <w:marTop w:val="0"/>
      <w:marBottom w:val="0"/>
      <w:divBdr>
        <w:top w:val="none" w:sz="0" w:space="0" w:color="auto"/>
        <w:left w:val="none" w:sz="0" w:space="0" w:color="auto"/>
        <w:bottom w:val="none" w:sz="0" w:space="0" w:color="auto"/>
        <w:right w:val="none" w:sz="0" w:space="0" w:color="auto"/>
      </w:divBdr>
    </w:div>
    <w:div w:id="1031538126">
      <w:bodyDiv w:val="1"/>
      <w:marLeft w:val="0"/>
      <w:marRight w:val="0"/>
      <w:marTop w:val="0"/>
      <w:marBottom w:val="0"/>
      <w:divBdr>
        <w:top w:val="none" w:sz="0" w:space="0" w:color="auto"/>
        <w:left w:val="none" w:sz="0" w:space="0" w:color="auto"/>
        <w:bottom w:val="none" w:sz="0" w:space="0" w:color="auto"/>
        <w:right w:val="none" w:sz="0" w:space="0" w:color="auto"/>
      </w:divBdr>
    </w:div>
    <w:div w:id="1039625626">
      <w:bodyDiv w:val="1"/>
      <w:marLeft w:val="0"/>
      <w:marRight w:val="0"/>
      <w:marTop w:val="0"/>
      <w:marBottom w:val="0"/>
      <w:divBdr>
        <w:top w:val="none" w:sz="0" w:space="0" w:color="auto"/>
        <w:left w:val="none" w:sz="0" w:space="0" w:color="auto"/>
        <w:bottom w:val="none" w:sz="0" w:space="0" w:color="auto"/>
        <w:right w:val="none" w:sz="0" w:space="0" w:color="auto"/>
      </w:divBdr>
    </w:div>
    <w:div w:id="1075397982">
      <w:bodyDiv w:val="1"/>
      <w:marLeft w:val="0"/>
      <w:marRight w:val="0"/>
      <w:marTop w:val="0"/>
      <w:marBottom w:val="0"/>
      <w:divBdr>
        <w:top w:val="none" w:sz="0" w:space="0" w:color="auto"/>
        <w:left w:val="none" w:sz="0" w:space="0" w:color="auto"/>
        <w:bottom w:val="none" w:sz="0" w:space="0" w:color="auto"/>
        <w:right w:val="none" w:sz="0" w:space="0" w:color="auto"/>
      </w:divBdr>
    </w:div>
    <w:div w:id="1092698813">
      <w:bodyDiv w:val="1"/>
      <w:marLeft w:val="0"/>
      <w:marRight w:val="0"/>
      <w:marTop w:val="0"/>
      <w:marBottom w:val="0"/>
      <w:divBdr>
        <w:top w:val="none" w:sz="0" w:space="0" w:color="auto"/>
        <w:left w:val="none" w:sz="0" w:space="0" w:color="auto"/>
        <w:bottom w:val="none" w:sz="0" w:space="0" w:color="auto"/>
        <w:right w:val="none" w:sz="0" w:space="0" w:color="auto"/>
      </w:divBdr>
    </w:div>
    <w:div w:id="1130899776">
      <w:bodyDiv w:val="1"/>
      <w:marLeft w:val="0"/>
      <w:marRight w:val="0"/>
      <w:marTop w:val="0"/>
      <w:marBottom w:val="0"/>
      <w:divBdr>
        <w:top w:val="none" w:sz="0" w:space="0" w:color="auto"/>
        <w:left w:val="none" w:sz="0" w:space="0" w:color="auto"/>
        <w:bottom w:val="none" w:sz="0" w:space="0" w:color="auto"/>
        <w:right w:val="none" w:sz="0" w:space="0" w:color="auto"/>
      </w:divBdr>
    </w:div>
    <w:div w:id="1148282904">
      <w:bodyDiv w:val="1"/>
      <w:marLeft w:val="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382484598">
      <w:bodyDiv w:val="1"/>
      <w:marLeft w:val="0"/>
      <w:marRight w:val="0"/>
      <w:marTop w:val="0"/>
      <w:marBottom w:val="0"/>
      <w:divBdr>
        <w:top w:val="none" w:sz="0" w:space="0" w:color="auto"/>
        <w:left w:val="none" w:sz="0" w:space="0" w:color="auto"/>
        <w:bottom w:val="none" w:sz="0" w:space="0" w:color="auto"/>
        <w:right w:val="none" w:sz="0" w:space="0" w:color="auto"/>
      </w:divBdr>
    </w:div>
    <w:div w:id="1422985976">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60413321">
      <w:bodyDiv w:val="1"/>
      <w:marLeft w:val="0"/>
      <w:marRight w:val="0"/>
      <w:marTop w:val="0"/>
      <w:marBottom w:val="0"/>
      <w:divBdr>
        <w:top w:val="none" w:sz="0" w:space="0" w:color="auto"/>
        <w:left w:val="none" w:sz="0" w:space="0" w:color="auto"/>
        <w:bottom w:val="none" w:sz="0" w:space="0" w:color="auto"/>
        <w:right w:val="none" w:sz="0" w:space="0" w:color="auto"/>
      </w:divBdr>
    </w:div>
    <w:div w:id="1483161744">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491677920">
      <w:bodyDiv w:val="1"/>
      <w:marLeft w:val="0"/>
      <w:marRight w:val="0"/>
      <w:marTop w:val="0"/>
      <w:marBottom w:val="0"/>
      <w:divBdr>
        <w:top w:val="none" w:sz="0" w:space="0" w:color="auto"/>
        <w:left w:val="none" w:sz="0" w:space="0" w:color="auto"/>
        <w:bottom w:val="none" w:sz="0" w:space="0" w:color="auto"/>
        <w:right w:val="none" w:sz="0" w:space="0" w:color="auto"/>
      </w:divBdr>
    </w:div>
    <w:div w:id="1554193137">
      <w:bodyDiv w:val="1"/>
      <w:marLeft w:val="0"/>
      <w:marRight w:val="0"/>
      <w:marTop w:val="0"/>
      <w:marBottom w:val="0"/>
      <w:divBdr>
        <w:top w:val="none" w:sz="0" w:space="0" w:color="auto"/>
        <w:left w:val="none" w:sz="0" w:space="0" w:color="auto"/>
        <w:bottom w:val="none" w:sz="0" w:space="0" w:color="auto"/>
        <w:right w:val="none" w:sz="0" w:space="0" w:color="auto"/>
      </w:divBdr>
    </w:div>
    <w:div w:id="1556312338">
      <w:bodyDiv w:val="1"/>
      <w:marLeft w:val="0"/>
      <w:marRight w:val="0"/>
      <w:marTop w:val="0"/>
      <w:marBottom w:val="0"/>
      <w:divBdr>
        <w:top w:val="none" w:sz="0" w:space="0" w:color="auto"/>
        <w:left w:val="none" w:sz="0" w:space="0" w:color="auto"/>
        <w:bottom w:val="none" w:sz="0" w:space="0" w:color="auto"/>
        <w:right w:val="none" w:sz="0" w:space="0" w:color="auto"/>
      </w:divBdr>
    </w:div>
    <w:div w:id="1577588590">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08512">
      <w:bodyDiv w:val="1"/>
      <w:marLeft w:val="0"/>
      <w:marRight w:val="0"/>
      <w:marTop w:val="0"/>
      <w:marBottom w:val="0"/>
      <w:divBdr>
        <w:top w:val="none" w:sz="0" w:space="0" w:color="auto"/>
        <w:left w:val="none" w:sz="0" w:space="0" w:color="auto"/>
        <w:bottom w:val="none" w:sz="0" w:space="0" w:color="auto"/>
        <w:right w:val="none" w:sz="0" w:space="0" w:color="auto"/>
      </w:divBdr>
    </w:div>
    <w:div w:id="1804812358">
      <w:bodyDiv w:val="1"/>
      <w:marLeft w:val="0"/>
      <w:marRight w:val="0"/>
      <w:marTop w:val="0"/>
      <w:marBottom w:val="0"/>
      <w:divBdr>
        <w:top w:val="none" w:sz="0" w:space="0" w:color="auto"/>
        <w:left w:val="none" w:sz="0" w:space="0" w:color="auto"/>
        <w:bottom w:val="none" w:sz="0" w:space="0" w:color="auto"/>
        <w:right w:val="none" w:sz="0" w:space="0" w:color="auto"/>
      </w:divBdr>
    </w:div>
    <w:div w:id="1858999539">
      <w:bodyDiv w:val="1"/>
      <w:marLeft w:val="0"/>
      <w:marRight w:val="0"/>
      <w:marTop w:val="0"/>
      <w:marBottom w:val="0"/>
      <w:divBdr>
        <w:top w:val="none" w:sz="0" w:space="0" w:color="auto"/>
        <w:left w:val="none" w:sz="0" w:space="0" w:color="auto"/>
        <w:bottom w:val="none" w:sz="0" w:space="0" w:color="auto"/>
        <w:right w:val="none" w:sz="0" w:space="0" w:color="auto"/>
      </w:divBdr>
    </w:div>
    <w:div w:id="1918444282">
      <w:bodyDiv w:val="1"/>
      <w:marLeft w:val="0"/>
      <w:marRight w:val="0"/>
      <w:marTop w:val="0"/>
      <w:marBottom w:val="0"/>
      <w:divBdr>
        <w:top w:val="none" w:sz="0" w:space="0" w:color="auto"/>
        <w:left w:val="none" w:sz="0" w:space="0" w:color="auto"/>
        <w:bottom w:val="none" w:sz="0" w:space="0" w:color="auto"/>
        <w:right w:val="none" w:sz="0" w:space="0" w:color="auto"/>
      </w:divBdr>
    </w:div>
    <w:div w:id="1944649879">
      <w:bodyDiv w:val="1"/>
      <w:marLeft w:val="0"/>
      <w:marRight w:val="0"/>
      <w:marTop w:val="0"/>
      <w:marBottom w:val="0"/>
      <w:divBdr>
        <w:top w:val="none" w:sz="0" w:space="0" w:color="auto"/>
        <w:left w:val="none" w:sz="0" w:space="0" w:color="auto"/>
        <w:bottom w:val="none" w:sz="0" w:space="0" w:color="auto"/>
        <w:right w:val="none" w:sz="0" w:space="0" w:color="auto"/>
      </w:divBdr>
    </w:div>
    <w:div w:id="1984965644">
      <w:bodyDiv w:val="1"/>
      <w:marLeft w:val="0"/>
      <w:marRight w:val="0"/>
      <w:marTop w:val="0"/>
      <w:marBottom w:val="0"/>
      <w:divBdr>
        <w:top w:val="none" w:sz="0" w:space="0" w:color="auto"/>
        <w:left w:val="none" w:sz="0" w:space="0" w:color="auto"/>
        <w:bottom w:val="none" w:sz="0" w:space="0" w:color="auto"/>
        <w:right w:val="none" w:sz="0" w:space="0" w:color="auto"/>
      </w:divBdr>
    </w:div>
    <w:div w:id="2058311473">
      <w:bodyDiv w:val="1"/>
      <w:marLeft w:val="0"/>
      <w:marRight w:val="0"/>
      <w:marTop w:val="0"/>
      <w:marBottom w:val="0"/>
      <w:divBdr>
        <w:top w:val="none" w:sz="0" w:space="0" w:color="auto"/>
        <w:left w:val="none" w:sz="0" w:space="0" w:color="auto"/>
        <w:bottom w:val="none" w:sz="0" w:space="0" w:color="auto"/>
        <w:right w:val="none" w:sz="0" w:space="0" w:color="auto"/>
      </w:divBdr>
      <w:divsChild>
        <w:div w:id="522941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4095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53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2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34317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81304214">
          <w:blockQuote w:val="1"/>
          <w:marLeft w:val="720"/>
          <w:marRight w:val="720"/>
          <w:marTop w:val="100"/>
          <w:marBottom w:val="100"/>
          <w:divBdr>
            <w:top w:val="none" w:sz="0" w:space="0" w:color="auto"/>
            <w:left w:val="none" w:sz="0" w:space="0" w:color="auto"/>
            <w:bottom w:val="none" w:sz="0" w:space="0" w:color="auto"/>
            <w:right w:val="none" w:sz="0" w:space="0" w:color="auto"/>
          </w:divBdr>
        </w:div>
        <w:div w:id="4891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64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041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10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436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137614">
          <w:blockQuote w:val="1"/>
          <w:marLeft w:val="720"/>
          <w:marRight w:val="720"/>
          <w:marTop w:val="100"/>
          <w:marBottom w:val="100"/>
          <w:divBdr>
            <w:top w:val="none" w:sz="0" w:space="0" w:color="auto"/>
            <w:left w:val="none" w:sz="0" w:space="0" w:color="auto"/>
            <w:bottom w:val="none" w:sz="0" w:space="0" w:color="auto"/>
            <w:right w:val="none" w:sz="0" w:space="0" w:color="auto"/>
          </w:divBdr>
        </w:div>
        <w:div w:id="549805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16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815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645575">
      <w:bodyDiv w:val="1"/>
      <w:marLeft w:val="0"/>
      <w:marRight w:val="0"/>
      <w:marTop w:val="0"/>
      <w:marBottom w:val="0"/>
      <w:divBdr>
        <w:top w:val="none" w:sz="0" w:space="0" w:color="auto"/>
        <w:left w:val="none" w:sz="0" w:space="0" w:color="auto"/>
        <w:bottom w:val="none" w:sz="0" w:space="0" w:color="auto"/>
        <w:right w:val="none" w:sz="0" w:space="0" w:color="auto"/>
      </w:divBdr>
    </w:div>
    <w:div w:id="2103336115">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4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463BC-53C2-4BAA-A435-E452BF7F4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6</Pages>
  <Words>3483</Words>
  <Characters>19854</Characters>
  <Application>Microsoft Office Word</Application>
  <DocSecurity>0</DocSecurity>
  <Lines>165</Lines>
  <Paragraphs>46</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Caio Costa</cp:lastModifiedBy>
  <cp:revision>63</cp:revision>
  <cp:lastPrinted>2026-01-28T20:48:00Z</cp:lastPrinted>
  <dcterms:created xsi:type="dcterms:W3CDTF">2026-01-28T21:36:00Z</dcterms:created>
  <dcterms:modified xsi:type="dcterms:W3CDTF">2026-03-18T20:49:00Z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