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219544024"/>
            <w:bookmarkStart w:id="1" w:name="_Hlk145068772"/>
            <w:bookmarkEnd w:id="0"/>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B74EDC" w:rsidRDefault="004A5E57" w:rsidP="004A5E57">
            <w:pPr>
              <w:ind w:left="-107"/>
              <w:outlineLvl w:val="2"/>
              <w:rPr>
                <w:rFonts w:ascii="Tahoma" w:hAnsi="Tahoma" w:cs="Tahoma"/>
                <w:bCs/>
                <w:color w:val="000000"/>
                <w:sz w:val="14"/>
                <w:szCs w:val="14"/>
                <w:lang w:eastAsia="it-IT"/>
              </w:rPr>
            </w:pPr>
            <w:r w:rsidRPr="00B74EDC">
              <w:rPr>
                <w:rFonts w:ascii="Tahoma" w:hAnsi="Tahoma" w:cs="Tahoma"/>
                <w:iCs/>
                <w:color w:val="333333"/>
                <w:sz w:val="14"/>
                <w:szCs w:val="14"/>
                <w:lang w:eastAsia="it-IT"/>
              </w:rPr>
              <w:t>Guest Editors:</w:t>
            </w:r>
            <w:r w:rsidRPr="00B74EDC">
              <w:rPr>
                <w:rFonts w:ascii="Tahoma" w:hAnsi="Tahoma" w:cs="Tahoma"/>
                <w:color w:val="000000"/>
                <w:sz w:val="14"/>
                <w:szCs w:val="14"/>
                <w:shd w:val="clear" w:color="auto" w:fill="FFFFFF"/>
              </w:rPr>
              <w:t xml:space="preserve"> </w:t>
            </w:r>
            <w:r w:rsidR="00EA3EF9" w:rsidRPr="00B74EDC">
              <w:rPr>
                <w:rFonts w:ascii="Tahoma" w:hAnsi="Tahoma" w:cs="Tahoma"/>
                <w:color w:val="000000"/>
                <w:sz w:val="14"/>
                <w:szCs w:val="14"/>
                <w:shd w:val="clear" w:color="auto" w:fill="FFFFFF"/>
              </w:rPr>
              <w:t xml:space="preserve">Leonardo Tognotti, </w:t>
            </w:r>
            <w:r w:rsidR="00EA3EF9" w:rsidRPr="00B74EDC">
              <w:rPr>
                <w:rFonts w:ascii="Tahoma" w:hAnsi="Tahoma" w:cs="Tahoma"/>
                <w:color w:val="000000"/>
                <w:sz w:val="14"/>
                <w:szCs w:val="14"/>
              </w:rPr>
              <w:t>Rubens Maciel Filho</w:t>
            </w:r>
            <w:r w:rsidR="00EA3EF9" w:rsidRPr="00B74EDC">
              <w:rPr>
                <w:rFonts w:ascii="Tahoma" w:hAnsi="Tahoma" w:cs="Tahoma"/>
                <w:color w:val="000000"/>
                <w:sz w:val="14"/>
                <w:szCs w:val="14"/>
                <w:shd w:val="clear" w:color="auto" w:fill="FFFFFF"/>
              </w:rPr>
              <w:t xml:space="preserve">, </w:t>
            </w:r>
            <w:r w:rsidR="00EA3EF9" w:rsidRPr="00B74EDC">
              <w:rPr>
                <w:rFonts w:ascii="Tahoma" w:hAnsi="Tahoma" w:cs="Tahoma"/>
                <w:color w:val="000000"/>
                <w:sz w:val="14"/>
                <w:szCs w:val="14"/>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36506E2D" w:rsidR="00E978D0" w:rsidRPr="00B57B36" w:rsidRDefault="007E01F8" w:rsidP="00E978D0">
      <w:pPr>
        <w:pStyle w:val="CETTitle"/>
      </w:pPr>
      <w:r>
        <w:t>Mapping optimal ethanol steam reforming plant operating conditions</w:t>
      </w:r>
    </w:p>
    <w:p w14:paraId="0488FED2" w14:textId="5C500DBF" w:rsidR="00B57E6F" w:rsidRPr="007E01F8" w:rsidRDefault="007E01F8" w:rsidP="00B57E6F">
      <w:pPr>
        <w:pStyle w:val="CETAuthors"/>
        <w:rPr>
          <w:lang w:val="pt-BR"/>
        </w:rPr>
      </w:pPr>
      <w:r w:rsidRPr="007E01F8">
        <w:rPr>
          <w:lang w:val="pt-BR"/>
        </w:rPr>
        <w:t>Vitória C. Poletti</w:t>
      </w:r>
      <w:r w:rsidR="0068115C">
        <w:rPr>
          <w:lang w:val="pt-BR"/>
        </w:rPr>
        <w:t>*</w:t>
      </w:r>
      <w:r w:rsidR="00B57E6F" w:rsidRPr="007E01F8">
        <w:rPr>
          <w:lang w:val="pt-BR"/>
        </w:rPr>
        <w:t xml:space="preserve">, </w:t>
      </w:r>
      <w:r w:rsidRPr="007E01F8">
        <w:rPr>
          <w:lang w:val="pt-BR"/>
        </w:rPr>
        <w:t>Bruna G. Floriam</w:t>
      </w:r>
      <w:r w:rsidR="00B57E6F" w:rsidRPr="007E01F8">
        <w:rPr>
          <w:lang w:val="pt-BR"/>
        </w:rPr>
        <w:t xml:space="preserve">, </w:t>
      </w:r>
      <w:r w:rsidRPr="007E01F8">
        <w:rPr>
          <w:lang w:val="pt-BR"/>
        </w:rPr>
        <w:t>A</w:t>
      </w:r>
      <w:r>
        <w:rPr>
          <w:lang w:val="pt-BR"/>
        </w:rPr>
        <w:t>ulus R. R. Bineli</w:t>
      </w:r>
      <w:r w:rsidRPr="007E01F8">
        <w:rPr>
          <w:lang w:val="pt-BR"/>
        </w:rPr>
        <w:t xml:space="preserve">, </w:t>
      </w:r>
      <w:r>
        <w:rPr>
          <w:lang w:val="pt-BR"/>
        </w:rPr>
        <w:t>Rubens</w:t>
      </w:r>
      <w:r w:rsidR="00140595">
        <w:rPr>
          <w:lang w:val="pt-BR"/>
        </w:rPr>
        <w:t xml:space="preserve"> M.</w:t>
      </w:r>
      <w:r>
        <w:rPr>
          <w:lang w:val="pt-BR"/>
        </w:rPr>
        <w:t xml:space="preserve"> Filho.</w:t>
      </w:r>
    </w:p>
    <w:p w14:paraId="4380C8A7" w14:textId="340B3E60" w:rsidR="007E01F8" w:rsidRDefault="007E01F8" w:rsidP="00B57E6F">
      <w:pPr>
        <w:pStyle w:val="CETAddress"/>
        <w:rPr>
          <w:lang w:val="pt-BR"/>
        </w:rPr>
      </w:pPr>
      <w:r w:rsidRPr="00B74EDC">
        <w:rPr>
          <w:lang w:val="en-US"/>
        </w:rPr>
        <w:t xml:space="preserve">VALPET, School of Chemical Engineering, Universidade Estadual de Campinas. </w:t>
      </w:r>
      <w:r w:rsidRPr="007E01F8">
        <w:rPr>
          <w:lang w:val="pt-BR"/>
        </w:rPr>
        <w:t>R. Josiah Willard Gibbs, s/n, Cidade Universitária, Campinas, SP, Zip code 13417-780, Brazil</w:t>
      </w:r>
      <w:r>
        <w:rPr>
          <w:lang w:val="pt-BR"/>
        </w:rPr>
        <w:t>.</w:t>
      </w:r>
    </w:p>
    <w:p w14:paraId="13E442F8" w14:textId="36E9DE8A" w:rsidR="00954C4C" w:rsidRPr="00BB1A2C" w:rsidRDefault="00954C4C" w:rsidP="00B57E6F">
      <w:pPr>
        <w:pStyle w:val="CETAddress"/>
        <w:rPr>
          <w:lang w:val="en-US"/>
        </w:rPr>
      </w:pPr>
      <w:r w:rsidRPr="00BB1A2C">
        <w:rPr>
          <w:lang w:val="en-US"/>
        </w:rPr>
        <w:t>v238320@dac.unicamp.br</w:t>
      </w:r>
    </w:p>
    <w:p w14:paraId="157D272F" w14:textId="77777777" w:rsidR="00692D12" w:rsidRPr="00BB1A2C" w:rsidRDefault="00692D12" w:rsidP="0068115C">
      <w:pPr>
        <w:pStyle w:val="CETAddress"/>
        <w:jc w:val="both"/>
        <w:rPr>
          <w:lang w:val="en-US"/>
        </w:rPr>
      </w:pPr>
    </w:p>
    <w:p w14:paraId="11DE2B67" w14:textId="61A54A0B" w:rsidR="007E01F8" w:rsidRPr="00F2057E" w:rsidRDefault="00692D12" w:rsidP="0068115C">
      <w:pPr>
        <w:pStyle w:val="CETAddress"/>
        <w:jc w:val="both"/>
        <w:rPr>
          <w:sz w:val="18"/>
          <w:szCs w:val="22"/>
          <w:lang w:val="en-US"/>
        </w:rPr>
      </w:pPr>
      <w:r w:rsidRPr="00F2057E">
        <w:rPr>
          <w:sz w:val="18"/>
          <w:szCs w:val="22"/>
        </w:rPr>
        <w:t>Steam reforming of ethanol (SRE) represents a prominent method for obtaining hydrogen</w:t>
      </w:r>
      <w:r w:rsidR="00A52167">
        <w:rPr>
          <w:sz w:val="18"/>
          <w:szCs w:val="22"/>
        </w:rPr>
        <w:t xml:space="preserve">, as it uses </w:t>
      </w:r>
      <w:r w:rsidRPr="00F2057E">
        <w:rPr>
          <w:sz w:val="18"/>
          <w:szCs w:val="22"/>
        </w:rPr>
        <w:t xml:space="preserve"> a renewable and non-toxic biofuel as a primary feedstock. </w:t>
      </w:r>
      <w:r w:rsidR="00C176B0" w:rsidRPr="00F2057E">
        <w:rPr>
          <w:sz w:val="18"/>
          <w:szCs w:val="22"/>
        </w:rPr>
        <w:t>I</w:t>
      </w:r>
      <w:r w:rsidRPr="00F2057E">
        <w:rPr>
          <w:sz w:val="18"/>
          <w:szCs w:val="22"/>
        </w:rPr>
        <w:t>n order to improve the industrial attractiveness of this catalytic pathway</w:t>
      </w:r>
      <w:r w:rsidR="0068115C" w:rsidRPr="00F2057E">
        <w:rPr>
          <w:sz w:val="18"/>
          <w:szCs w:val="22"/>
          <w:lang w:val="en-US"/>
        </w:rPr>
        <w:t>, this work aims to optimize reactor temperatures (°C), pressure (bar), steam-to-ethanol ratio, and feed flow rate (kg/h) to maximize yield and conversion</w:t>
      </w:r>
      <w:r w:rsidR="00C176B0" w:rsidRPr="00F2057E">
        <w:rPr>
          <w:sz w:val="18"/>
          <w:szCs w:val="22"/>
          <w:lang w:val="en-US"/>
        </w:rPr>
        <w:t xml:space="preserve"> </w:t>
      </w:r>
      <w:r w:rsidR="00A52167">
        <w:rPr>
          <w:sz w:val="18"/>
          <w:szCs w:val="22"/>
          <w:lang w:val="en-US"/>
        </w:rPr>
        <w:t>while</w:t>
      </w:r>
      <w:r w:rsidR="00A52167" w:rsidRPr="00F2057E">
        <w:rPr>
          <w:sz w:val="18"/>
          <w:szCs w:val="22"/>
          <w:lang w:val="en-US"/>
        </w:rPr>
        <w:t xml:space="preserve"> reduc</w:t>
      </w:r>
      <w:r w:rsidR="00A52167">
        <w:rPr>
          <w:sz w:val="18"/>
          <w:szCs w:val="22"/>
          <w:lang w:val="en-US"/>
        </w:rPr>
        <w:t>ing</w:t>
      </w:r>
      <w:r w:rsidR="00A52167" w:rsidRPr="00F2057E">
        <w:rPr>
          <w:sz w:val="18"/>
          <w:szCs w:val="22"/>
          <w:lang w:val="en-US"/>
        </w:rPr>
        <w:t xml:space="preserve"> </w:t>
      </w:r>
      <w:r w:rsidR="0068115C" w:rsidRPr="00F2057E">
        <w:rPr>
          <w:sz w:val="18"/>
          <w:szCs w:val="22"/>
          <w:lang w:val="en-US"/>
        </w:rPr>
        <w:t xml:space="preserve">the </w:t>
      </w:r>
      <w:r w:rsidR="00A52167">
        <w:rPr>
          <w:sz w:val="18"/>
          <w:szCs w:val="22"/>
          <w:lang w:val="en-US"/>
        </w:rPr>
        <w:t>energy</w:t>
      </w:r>
      <w:r w:rsidR="00A52167" w:rsidRPr="00F2057E">
        <w:rPr>
          <w:sz w:val="18"/>
          <w:szCs w:val="22"/>
          <w:lang w:val="en-US"/>
        </w:rPr>
        <w:t xml:space="preserve"> </w:t>
      </w:r>
      <w:r w:rsidR="0068115C" w:rsidRPr="00F2057E">
        <w:rPr>
          <w:sz w:val="18"/>
          <w:szCs w:val="22"/>
          <w:lang w:val="en-US"/>
        </w:rPr>
        <w:t xml:space="preserve">consumption and </w:t>
      </w:r>
      <w:r w:rsidR="00A52167">
        <w:rPr>
          <w:sz w:val="18"/>
          <w:szCs w:val="22"/>
          <w:lang w:val="en-US"/>
        </w:rPr>
        <w:t xml:space="preserve">the use of </w:t>
      </w:r>
      <w:r w:rsidR="0068115C" w:rsidRPr="00F2057E">
        <w:rPr>
          <w:sz w:val="18"/>
          <w:szCs w:val="22"/>
          <w:lang w:val="en-US"/>
        </w:rPr>
        <w:t>raw materials.</w:t>
      </w:r>
      <w:r w:rsidR="00C176B0" w:rsidRPr="00F2057E">
        <w:rPr>
          <w:sz w:val="18"/>
          <w:szCs w:val="22"/>
          <w:lang w:val="en-US"/>
        </w:rPr>
        <w:t xml:space="preserve"> T</w:t>
      </w:r>
      <w:r w:rsidR="0068115C" w:rsidRPr="00F2057E">
        <w:rPr>
          <w:sz w:val="18"/>
          <w:szCs w:val="22"/>
          <w:lang w:val="en-US"/>
        </w:rPr>
        <w:t>he plant was simulated using Aspen Plus</w:t>
      </w:r>
      <w:r w:rsidR="0068115C" w:rsidRPr="00F2057E">
        <w:rPr>
          <w:rFonts w:ascii="Segoe UI Symbol" w:hAnsi="Segoe UI Symbol" w:cs="Segoe UI Symbol"/>
          <w:sz w:val="18"/>
          <w:szCs w:val="22"/>
          <w:lang w:val="en-US"/>
        </w:rPr>
        <w:t>Ⓡ</w:t>
      </w:r>
      <w:r w:rsidR="0068115C" w:rsidRPr="00F2057E">
        <w:rPr>
          <w:sz w:val="18"/>
          <w:szCs w:val="22"/>
          <w:lang w:val="en-US"/>
        </w:rPr>
        <w:t xml:space="preserve"> software, considering a base case with three fixed-bed reactors in series, a simplified purification </w:t>
      </w:r>
      <w:r w:rsidR="00C176B0" w:rsidRPr="00F2057E">
        <w:rPr>
          <w:sz w:val="18"/>
          <w:szCs w:val="22"/>
          <w:lang w:val="en-US"/>
        </w:rPr>
        <w:t>process</w:t>
      </w:r>
      <w:r w:rsidR="00A52167">
        <w:rPr>
          <w:sz w:val="18"/>
          <w:szCs w:val="22"/>
          <w:lang w:val="en-US"/>
        </w:rPr>
        <w:t>,</w:t>
      </w:r>
      <w:r w:rsidR="00C176B0" w:rsidRPr="00F2057E">
        <w:rPr>
          <w:sz w:val="18"/>
          <w:szCs w:val="22"/>
          <w:lang w:val="en-US"/>
        </w:rPr>
        <w:t xml:space="preserve"> </w:t>
      </w:r>
      <w:r w:rsidR="0068115C" w:rsidRPr="00F2057E">
        <w:rPr>
          <w:sz w:val="18"/>
          <w:szCs w:val="22"/>
          <w:lang w:val="en-US"/>
        </w:rPr>
        <w:t xml:space="preserve">and compression up to 300 bar. </w:t>
      </w:r>
      <w:r w:rsidRPr="00F2057E">
        <w:rPr>
          <w:sz w:val="18"/>
          <w:szCs w:val="22"/>
          <w:lang w:val="en-US"/>
        </w:rPr>
        <w:t>Thermal integration minimize</w:t>
      </w:r>
      <w:r w:rsidR="00C176B0" w:rsidRPr="00F2057E">
        <w:rPr>
          <w:sz w:val="18"/>
          <w:szCs w:val="22"/>
          <w:lang w:val="en-US"/>
        </w:rPr>
        <w:t>d</w:t>
      </w:r>
      <w:r w:rsidRPr="00F2057E">
        <w:rPr>
          <w:sz w:val="18"/>
          <w:szCs w:val="22"/>
          <w:lang w:val="en-US"/>
        </w:rPr>
        <w:t xml:space="preserve"> process energy requirements by implementing heat recovery from inter-reactor streams for feed preheating. Upon consolidation of the base case, a screening of key process parameters was conducted via a full </w:t>
      </w:r>
      <w:r w:rsidR="00C176B0" w:rsidRPr="00F2057E">
        <w:rPr>
          <w:sz w:val="18"/>
          <w:szCs w:val="22"/>
          <w:lang w:val="en-US"/>
        </w:rPr>
        <w:t>2</w:t>
      </w:r>
      <w:r w:rsidR="00C176B0" w:rsidRPr="00F2057E">
        <w:rPr>
          <w:sz w:val="18"/>
          <w:szCs w:val="22"/>
          <w:vertAlign w:val="superscript"/>
          <w:lang w:val="en-US"/>
        </w:rPr>
        <w:t>k</w:t>
      </w:r>
      <w:r w:rsidRPr="00F2057E">
        <w:rPr>
          <w:sz w:val="18"/>
          <w:szCs w:val="22"/>
          <w:lang w:val="en-US"/>
        </w:rPr>
        <w:t xml:space="preserve"> factorial experimental design. </w:t>
      </w:r>
      <w:r w:rsidR="0068115C" w:rsidRPr="00F2057E">
        <w:rPr>
          <w:sz w:val="18"/>
          <w:szCs w:val="22"/>
          <w:lang w:val="en-US"/>
        </w:rPr>
        <w:t>As a result of this initial statistical analysis (p-value &lt; 0.05), it was observed that the temperatures of the WGS reactors were not statistically significant</w:t>
      </w:r>
      <w:r w:rsidR="00F2057E">
        <w:rPr>
          <w:sz w:val="18"/>
          <w:szCs w:val="22"/>
          <w:lang w:val="en-US"/>
        </w:rPr>
        <w:t xml:space="preserve">. </w:t>
      </w:r>
      <w:r w:rsidR="0068115C" w:rsidRPr="00F2057E">
        <w:rPr>
          <w:sz w:val="18"/>
          <w:szCs w:val="22"/>
          <w:lang w:val="en-US"/>
        </w:rPr>
        <w:t>As this range was limited by the chosen reaction kinetics, these parameters were kept fixed at the minimum value</w:t>
      </w:r>
      <w:r w:rsidR="00A52167">
        <w:rPr>
          <w:sz w:val="18"/>
          <w:szCs w:val="22"/>
          <w:lang w:val="en-US"/>
        </w:rPr>
        <w:t xml:space="preserve"> of </w:t>
      </w:r>
      <w:r w:rsidR="008A535F" w:rsidRPr="005B6C0F">
        <w:t>250 °C</w:t>
      </w:r>
      <w:r w:rsidR="008A535F">
        <w:t xml:space="preserve"> </w:t>
      </w:r>
      <w:r w:rsidR="0068115C" w:rsidRPr="00F2057E">
        <w:rPr>
          <w:sz w:val="18"/>
          <w:szCs w:val="22"/>
          <w:lang w:val="en-US"/>
        </w:rPr>
        <w:t xml:space="preserve">for the second stage of the optimization study. </w:t>
      </w:r>
      <w:r w:rsidR="00C176B0" w:rsidRPr="00F2057E">
        <w:rPr>
          <w:sz w:val="18"/>
          <w:szCs w:val="22"/>
        </w:rPr>
        <w:t xml:space="preserve">A Central </w:t>
      </w:r>
      <w:r w:rsidR="00F2057E">
        <w:rPr>
          <w:sz w:val="18"/>
          <w:szCs w:val="22"/>
        </w:rPr>
        <w:t>C</w:t>
      </w:r>
      <w:r w:rsidR="00C176B0" w:rsidRPr="00F2057E">
        <w:rPr>
          <w:sz w:val="18"/>
          <w:szCs w:val="22"/>
        </w:rPr>
        <w:t>omposite Design (CCD) was implemented to derive surrogate models for ethanol conversion and hydrogen yield</w:t>
      </w:r>
      <w:r w:rsidR="00A52167">
        <w:rPr>
          <w:sz w:val="18"/>
          <w:szCs w:val="22"/>
        </w:rPr>
        <w:t>,</w:t>
      </w:r>
      <w:r w:rsidR="00F2057E">
        <w:rPr>
          <w:sz w:val="18"/>
          <w:szCs w:val="22"/>
        </w:rPr>
        <w:t xml:space="preserve"> </w:t>
      </w:r>
      <w:r w:rsidR="00A52167">
        <w:rPr>
          <w:sz w:val="18"/>
          <w:szCs w:val="22"/>
        </w:rPr>
        <w:t>while</w:t>
      </w:r>
      <w:r w:rsidR="00A52167" w:rsidRPr="00F2057E">
        <w:rPr>
          <w:sz w:val="18"/>
          <w:szCs w:val="22"/>
        </w:rPr>
        <w:t xml:space="preserve"> </w:t>
      </w:r>
      <w:r w:rsidR="00C176B0" w:rsidRPr="00F2057E">
        <w:rPr>
          <w:sz w:val="18"/>
          <w:szCs w:val="22"/>
        </w:rPr>
        <w:t xml:space="preserve">Response Surface Methodology (RSM) was employed to delineate optimal operating regions. </w:t>
      </w:r>
      <w:r w:rsidR="00F2057E">
        <w:rPr>
          <w:sz w:val="18"/>
          <w:szCs w:val="22"/>
        </w:rPr>
        <w:t>T</w:t>
      </w:r>
      <w:r w:rsidR="00C176B0" w:rsidRPr="00F2057E">
        <w:rPr>
          <w:sz w:val="18"/>
          <w:szCs w:val="22"/>
        </w:rPr>
        <w:t>he analysis revealed that maximizing both the temperature</w:t>
      </w:r>
      <w:r w:rsidR="00D804EF">
        <w:rPr>
          <w:sz w:val="18"/>
          <w:szCs w:val="22"/>
        </w:rPr>
        <w:t xml:space="preserve"> (5</w:t>
      </w:r>
      <w:r w:rsidR="00DD1EE6">
        <w:rPr>
          <w:sz w:val="18"/>
          <w:szCs w:val="22"/>
        </w:rPr>
        <w:t>0</w:t>
      </w:r>
      <w:r w:rsidR="00D804EF">
        <w:rPr>
          <w:sz w:val="18"/>
          <w:szCs w:val="22"/>
        </w:rPr>
        <w:t>0-600 °C)</w:t>
      </w:r>
      <w:r w:rsidR="00C176B0" w:rsidRPr="00F2057E">
        <w:rPr>
          <w:sz w:val="18"/>
          <w:szCs w:val="22"/>
        </w:rPr>
        <w:t xml:space="preserve"> and the feed molar ratio</w:t>
      </w:r>
      <w:r w:rsidR="00D804EF">
        <w:rPr>
          <w:sz w:val="18"/>
          <w:szCs w:val="22"/>
        </w:rPr>
        <w:t xml:space="preserve"> (1:8-1:9)</w:t>
      </w:r>
      <w:r w:rsidR="00C176B0" w:rsidRPr="00F2057E">
        <w:rPr>
          <w:sz w:val="18"/>
          <w:szCs w:val="22"/>
        </w:rPr>
        <w:t xml:space="preserve"> to their upper bounds yielded the highest performance metrics.</w:t>
      </w:r>
    </w:p>
    <w:p w14:paraId="476B2F2E" w14:textId="77777777" w:rsidR="00600535" w:rsidRDefault="00600535" w:rsidP="00600535">
      <w:pPr>
        <w:pStyle w:val="CETHeading1"/>
        <w:rPr>
          <w:lang w:val="en-GB"/>
        </w:rPr>
      </w:pPr>
      <w:r w:rsidRPr="00B57B36">
        <w:rPr>
          <w:lang w:val="en-GB"/>
        </w:rPr>
        <w:t>Introduction</w:t>
      </w:r>
    </w:p>
    <w:p w14:paraId="0C15FBF9" w14:textId="517A195C" w:rsidR="009F4890" w:rsidRPr="00F2057E" w:rsidRDefault="00F2057E" w:rsidP="00C176B0">
      <w:pPr>
        <w:pStyle w:val="CETBodytext"/>
        <w:rPr>
          <w:lang w:val="en-GB"/>
        </w:rPr>
      </w:pPr>
      <w:r w:rsidRPr="00F2057E">
        <w:rPr>
          <w:lang w:val="en-GB"/>
        </w:rPr>
        <w:t>According to</w:t>
      </w:r>
      <w:r w:rsidR="00336D3D">
        <w:rPr>
          <w:lang w:val="en-GB"/>
        </w:rPr>
        <w:t xml:space="preserve"> the</w:t>
      </w:r>
      <w:r w:rsidRPr="00F2057E">
        <w:rPr>
          <w:lang w:val="en-GB"/>
        </w:rPr>
        <w:t xml:space="preserve"> </w:t>
      </w:r>
      <w:r w:rsidR="009F4890" w:rsidRPr="00F2057E">
        <w:rPr>
          <w:lang w:val="en-GB"/>
        </w:rPr>
        <w:t>United Nations Framework Convention on Climate Change (UNFCCC), global efforts are increasingly focused on the mitigation of greenhouse gas emissions and the systematic addressing of climate change. As underscored by the International Energy Agency (IEA, 2023), achieving global net-zero carbon dioxide emissions by 2050 is imperative to constrain global warming to below 1.5°C. In this context, the search for sustainable alternatives that enhance energy capacity through renewable sources has intensified (</w:t>
      </w:r>
      <w:proofErr w:type="spellStart"/>
      <w:r w:rsidR="009F4890" w:rsidRPr="00F2057E">
        <w:rPr>
          <w:lang w:val="en-GB"/>
        </w:rPr>
        <w:t>Bokde</w:t>
      </w:r>
      <w:proofErr w:type="spellEnd"/>
      <w:r w:rsidR="009F4890" w:rsidRPr="00F2057E">
        <w:rPr>
          <w:lang w:val="en-GB"/>
        </w:rPr>
        <w:t xml:space="preserve">; Lazić; Fanara, 2025). </w:t>
      </w:r>
    </w:p>
    <w:p w14:paraId="5EF3C2C3" w14:textId="01788D35" w:rsidR="007F2B4C" w:rsidRDefault="009F4890" w:rsidP="00C176B0">
      <w:pPr>
        <w:pStyle w:val="CETBodytext"/>
        <w:rPr>
          <w:lang w:val="en-GB"/>
        </w:rPr>
      </w:pPr>
      <w:r w:rsidRPr="00F2057E">
        <w:rPr>
          <w:lang w:val="en-GB"/>
        </w:rPr>
        <w:t>Hydrogen (H</w:t>
      </w:r>
      <w:r w:rsidRPr="00F2057E">
        <w:rPr>
          <w:vertAlign w:val="subscript"/>
          <w:lang w:val="en-GB"/>
        </w:rPr>
        <w:t>2</w:t>
      </w:r>
      <w:r w:rsidRPr="00F2057E">
        <w:rPr>
          <w:lang w:val="en-GB"/>
        </w:rPr>
        <w:t>) plays a pivotal role in the transition toward low-emission systems as a highly efficient and versatile energy vector (</w:t>
      </w:r>
      <w:proofErr w:type="spellStart"/>
      <w:r w:rsidRPr="00F2057E">
        <w:rPr>
          <w:lang w:val="en-GB"/>
        </w:rPr>
        <w:t>Taghizad</w:t>
      </w:r>
      <w:proofErr w:type="spellEnd"/>
      <w:r w:rsidRPr="00F2057E">
        <w:rPr>
          <w:lang w:val="en-GB"/>
        </w:rPr>
        <w:t xml:space="preserve">-Tavana et al., 2025). The steam reforming of ethanol (SRE), </w:t>
      </w:r>
      <w:proofErr w:type="spellStart"/>
      <w:r w:rsidRPr="00F2057E">
        <w:rPr>
          <w:lang w:val="en-GB"/>
        </w:rPr>
        <w:t>Eq</w:t>
      </w:r>
      <w:proofErr w:type="spellEnd"/>
      <w:r w:rsidR="00B01434">
        <w:rPr>
          <w:lang w:val="en-GB"/>
        </w:rPr>
        <w:t xml:space="preserve"> (</w:t>
      </w:r>
      <w:r w:rsidRPr="00F2057E">
        <w:rPr>
          <w:lang w:val="en-GB"/>
        </w:rPr>
        <w:t>1</w:t>
      </w:r>
      <w:r w:rsidR="00B01434">
        <w:rPr>
          <w:lang w:val="en-GB"/>
        </w:rPr>
        <w:t>)</w:t>
      </w:r>
      <w:r w:rsidRPr="00F2057E">
        <w:rPr>
          <w:lang w:val="en-GB"/>
        </w:rPr>
        <w:t>, is distinguished by its use of a renewable fuel with a well-established production scale in Brazil. Furthermore, ethanol offers advantages such as ease of transport and storage, low toxicity, and a high hydrogen-to-carbon ratio (</w:t>
      </w:r>
      <w:proofErr w:type="spellStart"/>
      <w:r w:rsidRPr="00F2057E">
        <w:rPr>
          <w:lang w:val="en-GB"/>
        </w:rPr>
        <w:t>Bineli</w:t>
      </w:r>
      <w:proofErr w:type="spellEnd"/>
      <w:r w:rsidRPr="00F2057E">
        <w:rPr>
          <w:lang w:val="en-GB"/>
        </w:rPr>
        <w:t>; Tasic; Maciel Filho, 2016). This process constitutes a carbon-neutral alternative, as the CO</w:t>
      </w:r>
      <w:r w:rsidRPr="00F2057E">
        <w:rPr>
          <w:vertAlign w:val="subscript"/>
          <w:lang w:val="en-GB"/>
        </w:rPr>
        <w:t>2</w:t>
      </w:r>
      <w:r w:rsidRPr="00F2057E">
        <w:rPr>
          <w:lang w:val="en-GB"/>
        </w:rPr>
        <w:t xml:space="preserve"> generated during H</w:t>
      </w:r>
      <w:r w:rsidRPr="00F2057E">
        <w:rPr>
          <w:vertAlign w:val="subscript"/>
          <w:lang w:val="en-GB"/>
        </w:rPr>
        <w:t>2</w:t>
      </w:r>
      <w:r w:rsidRPr="00F2057E">
        <w:rPr>
          <w:lang w:val="en-GB"/>
        </w:rPr>
        <w:t xml:space="preserve"> production is offset by the carbon sequestered during the growth of the precursor biomass (Coors, 2025).</w:t>
      </w:r>
    </w:p>
    <w:p w14:paraId="3F4F7191" w14:textId="77777777" w:rsidR="00FB60D3" w:rsidRDefault="00FB60D3" w:rsidP="00C176B0">
      <w:pPr>
        <w:pStyle w:val="CETBodytext"/>
        <w:rPr>
          <w:lang w:val="en-GB"/>
        </w:rPr>
      </w:pPr>
    </w:p>
    <w:p w14:paraId="5C598B08" w14:textId="08CDE3A7" w:rsidR="00954C4C" w:rsidRDefault="007F2B4C" w:rsidP="00C176B0">
      <w:pPr>
        <w:pStyle w:val="CETBodytext"/>
        <w:rPr>
          <w:sz w:val="16"/>
          <w:szCs w:val="18"/>
        </w:rPr>
      </w:pPr>
      <w:r w:rsidRPr="007F2B4C">
        <w:rPr>
          <w:lang w:val="en-GB"/>
        </w:rPr>
        <w:t>C</w:t>
      </w:r>
      <w:r w:rsidRPr="007F2B4C">
        <w:rPr>
          <w:vertAlign w:val="subscript"/>
          <w:lang w:val="en-GB"/>
        </w:rPr>
        <w:t>2</w:t>
      </w:r>
      <w:r w:rsidRPr="007F2B4C">
        <w:rPr>
          <w:lang w:val="en-GB"/>
        </w:rPr>
        <w:t>H</w:t>
      </w:r>
      <w:r w:rsidRPr="007F2B4C">
        <w:rPr>
          <w:vertAlign w:val="subscript"/>
          <w:lang w:val="en-GB"/>
        </w:rPr>
        <w:t>5</w:t>
      </w:r>
      <w:r w:rsidRPr="007F2B4C">
        <w:rPr>
          <w:lang w:val="en-GB"/>
        </w:rPr>
        <w:t>OH</w:t>
      </w:r>
      <w:r w:rsidRPr="007F2B4C">
        <w:rPr>
          <w:vertAlign w:val="subscript"/>
          <w:lang w:val="en-GB"/>
        </w:rPr>
        <w:t xml:space="preserve">(g) </w:t>
      </w:r>
      <w:r w:rsidRPr="007F2B4C">
        <w:rPr>
          <w:lang w:val="en-GB"/>
        </w:rPr>
        <w:t>+3H</w:t>
      </w:r>
      <w:r w:rsidRPr="0008182B">
        <w:rPr>
          <w:vertAlign w:val="subscript"/>
          <w:lang w:val="en-GB"/>
        </w:rPr>
        <w:t>2</w:t>
      </w:r>
      <w:r w:rsidRPr="007F2B4C">
        <w:rPr>
          <w:lang w:val="en-GB"/>
        </w:rPr>
        <w:t xml:space="preserve">0 </w:t>
      </w:r>
      <w:r w:rsidRPr="007F2B4C">
        <w:rPr>
          <w:vertAlign w:val="subscript"/>
          <w:lang w:val="en-GB"/>
        </w:rPr>
        <w:t xml:space="preserve">(g) </w:t>
      </w:r>
      <w:r w:rsidRPr="007F2B4C">
        <w:rPr>
          <w:rFonts w:hint="eastAsia"/>
          <w:lang w:val="en-GB"/>
        </w:rPr>
        <w:t>→</w:t>
      </w:r>
      <w:r w:rsidRPr="007F2B4C">
        <w:rPr>
          <w:lang w:val="en-GB"/>
        </w:rPr>
        <w:t xml:space="preserve"> 6H</w:t>
      </w:r>
      <w:r w:rsidRPr="007F2B4C">
        <w:rPr>
          <w:vertAlign w:val="subscript"/>
          <w:lang w:val="en-GB"/>
        </w:rPr>
        <w:t xml:space="preserve">2 (g) </w:t>
      </w:r>
      <w:r w:rsidRPr="007F2B4C">
        <w:rPr>
          <w:lang w:val="en-GB"/>
        </w:rPr>
        <w:t>+ 2CO</w:t>
      </w:r>
      <w:r w:rsidRPr="007F2B4C">
        <w:rPr>
          <w:vertAlign w:val="subscript"/>
          <w:lang w:val="en-GB"/>
        </w:rPr>
        <w:t>2 (</w:t>
      </w:r>
      <w:proofErr w:type="gramStart"/>
      <w:r w:rsidRPr="007F2B4C">
        <w:rPr>
          <w:vertAlign w:val="subscript"/>
          <w:lang w:val="en-GB"/>
        </w:rPr>
        <w:t>g)</w:t>
      </w:r>
      <w:r w:rsidRPr="007F2B4C">
        <w:rPr>
          <w:lang w:val="en-GB"/>
        </w:rPr>
        <w:t xml:space="preserve"> </w:t>
      </w:r>
      <w:r>
        <w:rPr>
          <w:lang w:val="en-GB"/>
        </w:rPr>
        <w:t xml:space="preserve">  </w:t>
      </w:r>
      <w:proofErr w:type="gramEnd"/>
      <w:r>
        <w:rPr>
          <w:lang w:val="en-GB"/>
        </w:rPr>
        <w:t xml:space="preserve">                                                 </w:t>
      </w:r>
      <w:r w:rsidRPr="007F2B4C">
        <w:rPr>
          <w:rFonts w:ascii="Cambria Math" w:hAnsi="Cambria Math" w:cs="Cambria Math"/>
          <w:lang w:val="pt-BR"/>
        </w:rPr>
        <w:t>𝛥𝐻</w:t>
      </w:r>
      <w:r w:rsidRPr="007F2B4C">
        <w:rPr>
          <w:lang w:val="en-GB"/>
        </w:rPr>
        <w:t xml:space="preserve"> = +173.300 </w:t>
      </w:r>
      <w:r w:rsidRPr="007F2B4C">
        <w:rPr>
          <w:rFonts w:ascii="Cambria Math" w:hAnsi="Cambria Math" w:cs="Cambria Math"/>
          <w:lang w:val="pt-BR"/>
        </w:rPr>
        <w:t>𝐽</w:t>
      </w:r>
      <w:r w:rsidRPr="007F2B4C">
        <w:rPr>
          <w:lang w:val="en-GB"/>
        </w:rPr>
        <w:t>/</w:t>
      </w:r>
      <w:r w:rsidRPr="007F2B4C">
        <w:rPr>
          <w:rFonts w:ascii="Cambria Math" w:hAnsi="Cambria Math" w:cs="Cambria Math"/>
          <w:lang w:val="pt-BR"/>
        </w:rPr>
        <w:t>𝑚𝑜</w:t>
      </w:r>
      <w:r w:rsidRPr="007F2B4C">
        <w:rPr>
          <w:lang w:val="en-GB"/>
        </w:rPr>
        <w:t>l</w:t>
      </w:r>
      <w:r>
        <w:rPr>
          <w:lang w:val="en-GB"/>
        </w:rPr>
        <w:t xml:space="preserve">                      </w:t>
      </w:r>
      <w:proofErr w:type="gramStart"/>
      <w:r>
        <w:rPr>
          <w:lang w:val="en-GB"/>
        </w:rPr>
        <w:t xml:space="preserve">   </w:t>
      </w:r>
      <w:r w:rsidRPr="00F2057E">
        <w:rPr>
          <w:sz w:val="16"/>
          <w:szCs w:val="18"/>
        </w:rPr>
        <w:t>(</w:t>
      </w:r>
      <w:proofErr w:type="gramEnd"/>
      <w:r w:rsidRPr="00F2057E">
        <w:rPr>
          <w:sz w:val="16"/>
          <w:szCs w:val="18"/>
        </w:rPr>
        <w:t>1)</w:t>
      </w:r>
    </w:p>
    <w:p w14:paraId="3CD4D454" w14:textId="77777777" w:rsidR="00FB60D3" w:rsidRPr="00FB60D3" w:rsidRDefault="00FB60D3" w:rsidP="00C176B0">
      <w:pPr>
        <w:pStyle w:val="CETBodytext"/>
        <w:rPr>
          <w:sz w:val="16"/>
          <w:szCs w:val="18"/>
        </w:rPr>
      </w:pPr>
    </w:p>
    <w:p w14:paraId="2D0076D3" w14:textId="75C03636" w:rsidR="00E2397E" w:rsidRDefault="00E2397E" w:rsidP="00C176B0">
      <w:pPr>
        <w:pStyle w:val="CETBodytext"/>
        <w:rPr>
          <w:lang w:val="en-GB"/>
        </w:rPr>
      </w:pPr>
      <w:r w:rsidRPr="00E2397E">
        <w:rPr>
          <w:lang w:val="en-GB"/>
        </w:rPr>
        <w:t xml:space="preserve">The Water Gas Shift </w:t>
      </w:r>
      <w:r>
        <w:rPr>
          <w:lang w:val="en-GB"/>
        </w:rPr>
        <w:t xml:space="preserve">(WGS) </w:t>
      </w:r>
      <w:r w:rsidRPr="00E2397E">
        <w:rPr>
          <w:lang w:val="en-GB"/>
        </w:rPr>
        <w:t>reaction</w:t>
      </w:r>
      <w:r>
        <w:rPr>
          <w:lang w:val="en-GB"/>
        </w:rPr>
        <w:t xml:space="preserve">, </w:t>
      </w:r>
      <w:proofErr w:type="spellStart"/>
      <w:r>
        <w:rPr>
          <w:lang w:val="en-GB"/>
        </w:rPr>
        <w:t>Eq</w:t>
      </w:r>
      <w:proofErr w:type="spellEnd"/>
      <w:r>
        <w:rPr>
          <w:lang w:val="en-GB"/>
        </w:rPr>
        <w:t xml:space="preserve"> (2), </w:t>
      </w:r>
      <w:r w:rsidRPr="00E2397E">
        <w:rPr>
          <w:lang w:val="en-GB"/>
        </w:rPr>
        <w:t>is noteworthy as a parallel reaction, especially in an industrial context, as it converts the generated carbon monoxide, thereby enhancing hydrogen selectivity (Palma et al., 2014).</w:t>
      </w:r>
    </w:p>
    <w:p w14:paraId="7A228BE8" w14:textId="5DA33663" w:rsidR="00E2397E" w:rsidRPr="00FB60D3" w:rsidRDefault="00E2397E" w:rsidP="00C176B0">
      <w:pPr>
        <w:pStyle w:val="CETBodytext"/>
        <w:rPr>
          <w:sz w:val="16"/>
          <w:szCs w:val="18"/>
        </w:rPr>
      </w:pPr>
      <w:r>
        <w:rPr>
          <w:lang w:val="en-GB"/>
        </w:rPr>
        <w:t>CO</w:t>
      </w:r>
      <w:r w:rsidRPr="007F2B4C">
        <w:rPr>
          <w:vertAlign w:val="subscript"/>
          <w:lang w:val="en-GB"/>
        </w:rPr>
        <w:t xml:space="preserve">(g) </w:t>
      </w:r>
      <w:r w:rsidRPr="007F2B4C">
        <w:rPr>
          <w:lang w:val="en-GB"/>
        </w:rPr>
        <w:t>+</w:t>
      </w:r>
      <w:r>
        <w:rPr>
          <w:lang w:val="en-GB"/>
        </w:rPr>
        <w:t xml:space="preserve"> </w:t>
      </w:r>
      <w:r w:rsidRPr="007F2B4C">
        <w:rPr>
          <w:lang w:val="en-GB"/>
        </w:rPr>
        <w:t>H</w:t>
      </w:r>
      <w:r w:rsidRPr="0008182B">
        <w:rPr>
          <w:vertAlign w:val="subscript"/>
          <w:lang w:val="en-GB"/>
        </w:rPr>
        <w:t>2</w:t>
      </w:r>
      <w:r w:rsidRPr="007F2B4C">
        <w:rPr>
          <w:lang w:val="en-GB"/>
        </w:rPr>
        <w:t xml:space="preserve">0 </w:t>
      </w:r>
      <w:r w:rsidRPr="007F2B4C">
        <w:rPr>
          <w:vertAlign w:val="subscript"/>
          <w:lang w:val="en-GB"/>
        </w:rPr>
        <w:t xml:space="preserve">(g) </w:t>
      </w:r>
      <m:oMath>
        <m:r>
          <w:rPr>
            <w:rFonts w:ascii="Cambria Math" w:hAnsi="Cambria Math"/>
            <w:lang w:val="en-GB"/>
          </w:rPr>
          <m:t>↔</m:t>
        </m:r>
      </m:oMath>
      <w:r w:rsidRPr="007F2B4C">
        <w:rPr>
          <w:lang w:val="en-GB"/>
        </w:rPr>
        <w:t xml:space="preserve"> H</w:t>
      </w:r>
      <w:r w:rsidRPr="007F2B4C">
        <w:rPr>
          <w:vertAlign w:val="subscript"/>
          <w:lang w:val="en-GB"/>
        </w:rPr>
        <w:t xml:space="preserve">2 (g) </w:t>
      </w:r>
      <w:r w:rsidRPr="007F2B4C">
        <w:rPr>
          <w:lang w:val="en-GB"/>
        </w:rPr>
        <w:t>+ 2CO</w:t>
      </w:r>
      <w:r w:rsidRPr="007F2B4C">
        <w:rPr>
          <w:vertAlign w:val="subscript"/>
          <w:lang w:val="en-GB"/>
        </w:rPr>
        <w:t>2 (</w:t>
      </w:r>
      <w:proofErr w:type="gramStart"/>
      <w:r w:rsidRPr="007F2B4C">
        <w:rPr>
          <w:vertAlign w:val="subscript"/>
          <w:lang w:val="en-GB"/>
        </w:rPr>
        <w:t>g)</w:t>
      </w:r>
      <w:r w:rsidRPr="007F2B4C">
        <w:rPr>
          <w:lang w:val="en-GB"/>
        </w:rPr>
        <w:t xml:space="preserve"> </w:t>
      </w:r>
      <w:r>
        <w:rPr>
          <w:lang w:val="en-GB"/>
        </w:rPr>
        <w:t xml:space="preserve">  </w:t>
      </w:r>
      <w:proofErr w:type="gramEnd"/>
      <w:r>
        <w:rPr>
          <w:lang w:val="en-GB"/>
        </w:rPr>
        <w:t xml:space="preserve">                                                            </w:t>
      </w:r>
      <w:r w:rsidRPr="007F2B4C">
        <w:rPr>
          <w:rFonts w:ascii="Cambria Math" w:hAnsi="Cambria Math" w:cs="Cambria Math"/>
          <w:lang w:val="pt-BR"/>
        </w:rPr>
        <w:t>𝛥𝐻</w:t>
      </w:r>
      <w:r w:rsidRPr="007F2B4C">
        <w:rPr>
          <w:lang w:val="en-GB"/>
        </w:rPr>
        <w:t xml:space="preserve"> = </w:t>
      </w:r>
      <w:r>
        <w:rPr>
          <w:lang w:val="en-GB"/>
        </w:rPr>
        <w:t>-42</w:t>
      </w:r>
      <w:r w:rsidRPr="007F2B4C">
        <w:rPr>
          <w:lang w:val="en-GB"/>
        </w:rPr>
        <w:t>.</w:t>
      </w:r>
      <w:r>
        <w:rPr>
          <w:lang w:val="en-GB"/>
        </w:rPr>
        <w:t>1</w:t>
      </w:r>
      <w:r w:rsidRPr="007F2B4C">
        <w:rPr>
          <w:lang w:val="en-GB"/>
        </w:rPr>
        <w:t xml:space="preserve">00 </w:t>
      </w:r>
      <w:r w:rsidRPr="007F2B4C">
        <w:rPr>
          <w:rFonts w:ascii="Cambria Math" w:hAnsi="Cambria Math" w:cs="Cambria Math"/>
          <w:lang w:val="pt-BR"/>
        </w:rPr>
        <w:t>𝐽</w:t>
      </w:r>
      <w:r w:rsidRPr="007F2B4C">
        <w:rPr>
          <w:lang w:val="en-GB"/>
        </w:rPr>
        <w:t>/</w:t>
      </w:r>
      <w:r w:rsidRPr="007F2B4C">
        <w:rPr>
          <w:rFonts w:ascii="Cambria Math" w:hAnsi="Cambria Math" w:cs="Cambria Math"/>
          <w:lang w:val="pt-BR"/>
        </w:rPr>
        <w:t>𝑚𝑜</w:t>
      </w:r>
      <w:r w:rsidRPr="007F2B4C">
        <w:rPr>
          <w:lang w:val="en-GB"/>
        </w:rPr>
        <w:t>l</w:t>
      </w:r>
      <w:r>
        <w:rPr>
          <w:lang w:val="en-GB"/>
        </w:rPr>
        <w:t xml:space="preserve">                         </w:t>
      </w:r>
      <w:proofErr w:type="gramStart"/>
      <w:r>
        <w:rPr>
          <w:lang w:val="en-GB"/>
        </w:rPr>
        <w:t xml:space="preserve">   </w:t>
      </w:r>
      <w:r w:rsidRPr="00F2057E">
        <w:rPr>
          <w:sz w:val="16"/>
          <w:szCs w:val="18"/>
        </w:rPr>
        <w:t>(</w:t>
      </w:r>
      <w:proofErr w:type="gramEnd"/>
      <w:r>
        <w:rPr>
          <w:sz w:val="16"/>
          <w:szCs w:val="18"/>
        </w:rPr>
        <w:t>2</w:t>
      </w:r>
      <w:r w:rsidRPr="00F2057E">
        <w:rPr>
          <w:sz w:val="16"/>
          <w:szCs w:val="18"/>
        </w:rPr>
        <w:t>)</w:t>
      </w:r>
    </w:p>
    <w:p w14:paraId="63387CC0" w14:textId="517913FB" w:rsidR="00F2057E" w:rsidRPr="00F2057E" w:rsidRDefault="00336D3D" w:rsidP="00C176B0">
      <w:pPr>
        <w:pStyle w:val="CETBodytext"/>
        <w:rPr>
          <w:lang w:val="en-GB"/>
        </w:rPr>
      </w:pPr>
      <w:r>
        <w:rPr>
          <w:lang w:val="en-GB"/>
        </w:rPr>
        <w:lastRenderedPageBreak/>
        <w:t>A study</w:t>
      </w:r>
      <w:r w:rsidR="00F2057E" w:rsidRPr="00F2057E">
        <w:rPr>
          <w:lang w:val="en-GB"/>
        </w:rPr>
        <w:t xml:space="preserve"> by </w:t>
      </w:r>
      <w:proofErr w:type="spellStart"/>
      <w:r w:rsidR="00F2057E" w:rsidRPr="00F2057E">
        <w:rPr>
          <w:lang w:val="en-GB"/>
        </w:rPr>
        <w:t>Bineli</w:t>
      </w:r>
      <w:proofErr w:type="spellEnd"/>
      <w:r w:rsidR="00F2057E" w:rsidRPr="00F2057E">
        <w:rPr>
          <w:lang w:val="en-GB"/>
        </w:rPr>
        <w:t xml:space="preserve"> and Filho (201</w:t>
      </w:r>
      <w:r w:rsidR="00B46EC1">
        <w:rPr>
          <w:lang w:val="en-GB"/>
        </w:rPr>
        <w:t>6</w:t>
      </w:r>
      <w:r w:rsidRPr="00F2057E">
        <w:rPr>
          <w:lang w:val="en-GB"/>
        </w:rPr>
        <w:t>)</w:t>
      </w:r>
      <w:r>
        <w:rPr>
          <w:lang w:val="en-GB"/>
        </w:rPr>
        <w:t xml:space="preserve"> found that </w:t>
      </w:r>
      <w:r w:rsidR="00F2057E" w:rsidRPr="00F2057E">
        <w:rPr>
          <w:lang w:val="en-GB"/>
        </w:rPr>
        <w:t xml:space="preserve">ethanol steam reforming can achieve high yields, nearing 100%, provided that process variables—such as pressure, temperature, and the molar ratio of reactants—are appropriately selected. Consequently, process parameter optimization studies are essential to evaluate the influence of each variable on sustainable hydrogen production via SRE, thereby enhancing its competitiveness against environmentally detrimental alternatives (Phan et al., 2022). </w:t>
      </w:r>
    </w:p>
    <w:p w14:paraId="1F1D6E3E" w14:textId="47FCCF2D" w:rsidR="009F4890" w:rsidRPr="00F2057E" w:rsidRDefault="00F2057E" w:rsidP="00C176B0">
      <w:pPr>
        <w:pStyle w:val="CETBodytext"/>
        <w:rPr>
          <w:lang w:val="en-GB"/>
        </w:rPr>
      </w:pPr>
      <w:r w:rsidRPr="00F2057E">
        <w:rPr>
          <w:lang w:val="en-GB"/>
        </w:rPr>
        <w:t>The present work aims to simulate hydrogen production in an ethanol steam reforming plant utilizing fixed-bed reactors, assessing the impact of key process variables including temperature, pressure, reactant proportions, and flow rates. To achieve this, responses for</w:t>
      </w:r>
      <w:r w:rsidR="00336D3D">
        <w:rPr>
          <w:lang w:val="en-GB"/>
        </w:rPr>
        <w:t xml:space="preserve"> ethanol</w:t>
      </w:r>
      <w:r w:rsidRPr="00F2057E">
        <w:rPr>
          <w:lang w:val="en-GB"/>
        </w:rPr>
        <w:t xml:space="preserve"> conversion</w:t>
      </w:r>
      <w:r w:rsidR="00017C3F">
        <w:rPr>
          <w:lang w:val="en-GB"/>
        </w:rPr>
        <w:t xml:space="preserve"> and</w:t>
      </w:r>
      <w:r w:rsidRPr="00F2057E">
        <w:rPr>
          <w:lang w:val="en-GB"/>
        </w:rPr>
        <w:t xml:space="preserve"> </w:t>
      </w:r>
      <w:r w:rsidR="00336D3D">
        <w:rPr>
          <w:lang w:val="en-GB"/>
        </w:rPr>
        <w:t xml:space="preserve">hydrogen </w:t>
      </w:r>
      <w:r w:rsidRPr="00F2057E">
        <w:rPr>
          <w:lang w:val="en-GB"/>
        </w:rPr>
        <w:t xml:space="preserve">yield were </w:t>
      </w:r>
      <w:r w:rsidR="00FE20CD" w:rsidRPr="00F2057E">
        <w:rPr>
          <w:lang w:val="en-GB"/>
        </w:rPr>
        <w:t>analysed</w:t>
      </w:r>
      <w:r w:rsidRPr="00F2057E">
        <w:rPr>
          <w:lang w:val="en-GB"/>
        </w:rPr>
        <w:t xml:space="preserve"> through the development of a surrogate model</w:t>
      </w:r>
      <w:r w:rsidR="006E48F2">
        <w:rPr>
          <w:lang w:val="en-GB"/>
        </w:rPr>
        <w:t xml:space="preserve"> by </w:t>
      </w:r>
      <w:r w:rsidR="006E48F2" w:rsidRPr="00F2057E">
        <w:rPr>
          <w:szCs w:val="22"/>
        </w:rPr>
        <w:t>Response Surface Methodology</w:t>
      </w:r>
      <w:r w:rsidR="00336D3D">
        <w:rPr>
          <w:lang w:val="en-GB"/>
        </w:rPr>
        <w:t>.</w:t>
      </w:r>
      <w:r w:rsidR="00336D3D" w:rsidRPr="00F2057E">
        <w:rPr>
          <w:lang w:val="en-GB"/>
        </w:rPr>
        <w:t xml:space="preserve"> </w:t>
      </w:r>
      <w:r w:rsidR="00336D3D">
        <w:rPr>
          <w:lang w:val="en-GB"/>
        </w:rPr>
        <w:t>This model</w:t>
      </w:r>
      <w:r w:rsidR="00336D3D" w:rsidRPr="00F2057E">
        <w:rPr>
          <w:lang w:val="en-GB"/>
        </w:rPr>
        <w:t xml:space="preserve"> </w:t>
      </w:r>
      <w:r w:rsidRPr="00F2057E">
        <w:rPr>
          <w:lang w:val="en-GB"/>
        </w:rPr>
        <w:t xml:space="preserve">was employed to identify optimal operating </w:t>
      </w:r>
      <w:r w:rsidR="00336D3D">
        <w:rPr>
          <w:lang w:val="en-GB"/>
        </w:rPr>
        <w:t>conditions for the process</w:t>
      </w:r>
      <w:r>
        <w:rPr>
          <w:lang w:val="en-GB"/>
        </w:rPr>
        <w:t>.</w:t>
      </w:r>
    </w:p>
    <w:p w14:paraId="28A2A9F4" w14:textId="2C307FD2" w:rsidR="0069136C" w:rsidRPr="0069136C" w:rsidRDefault="00C176B0" w:rsidP="0069136C">
      <w:pPr>
        <w:pStyle w:val="CETHeading1"/>
      </w:pPr>
      <w:r>
        <w:t>Met</w:t>
      </w:r>
      <w:r w:rsidR="00954C4C">
        <w:t>h</w:t>
      </w:r>
      <w:r>
        <w:t>o</w:t>
      </w:r>
      <w:r w:rsidR="00954C4C">
        <w:t>dology</w:t>
      </w:r>
    </w:p>
    <w:p w14:paraId="0D1C5BE4" w14:textId="3C8DFBD2" w:rsidR="00017C3F" w:rsidRDefault="001D1DCD" w:rsidP="00597725">
      <w:pPr>
        <w:pStyle w:val="CETBodytext"/>
      </w:pPr>
      <w:r w:rsidRPr="001D1DCD">
        <w:t>A schematic overview of the methodology is available in Figure 1.</w:t>
      </w:r>
    </w:p>
    <w:p w14:paraId="7A8D9C07" w14:textId="1F403855" w:rsidR="00172C33" w:rsidRDefault="00172C33" w:rsidP="00597725">
      <w:pPr>
        <w:pStyle w:val="CETBodytext"/>
      </w:pPr>
      <w:r>
        <w:rPr>
          <w:noProof/>
        </w:rPr>
        <w:drawing>
          <wp:inline distT="0" distB="0" distL="0" distR="0" wp14:anchorId="21DBAFC2" wp14:editId="686AB598">
            <wp:extent cx="5629524" cy="1367944"/>
            <wp:effectExtent l="0" t="0" r="0" b="3810"/>
            <wp:docPr id="2719363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8" r="1707"/>
                    <a:stretch>
                      <a:fillRect/>
                    </a:stretch>
                  </pic:blipFill>
                  <pic:spPr bwMode="auto">
                    <a:xfrm>
                      <a:off x="0" y="0"/>
                      <a:ext cx="5654519" cy="1374018"/>
                    </a:xfrm>
                    <a:prstGeom prst="rect">
                      <a:avLst/>
                    </a:prstGeom>
                    <a:noFill/>
                    <a:ln>
                      <a:noFill/>
                    </a:ln>
                    <a:extLst>
                      <a:ext uri="{53640926-AAD7-44D8-BBD7-CCE9431645EC}">
                        <a14:shadowObscured xmlns:a14="http://schemas.microsoft.com/office/drawing/2010/main"/>
                      </a:ext>
                    </a:extLst>
                  </pic:spPr>
                </pic:pic>
              </a:graphicData>
            </a:graphic>
          </wp:inline>
        </w:drawing>
      </w:r>
    </w:p>
    <w:p w14:paraId="72CD7FE4" w14:textId="20E84554" w:rsidR="00597725" w:rsidRPr="00FB60D3" w:rsidRDefault="001D1DCD" w:rsidP="00FB60D3">
      <w:pPr>
        <w:pStyle w:val="CETBodytext"/>
        <w:jc w:val="center"/>
        <w:rPr>
          <w:lang w:val="en-GB"/>
        </w:rPr>
      </w:pPr>
      <w:r w:rsidRPr="00BD077D">
        <w:rPr>
          <w:rStyle w:val="CETCaptionCarattere"/>
        </w:rPr>
        <w:t>Figure 1:</w:t>
      </w:r>
      <w:r>
        <w:rPr>
          <w:rStyle w:val="CETCaptionCarattere"/>
        </w:rPr>
        <w:t xml:space="preserve"> </w:t>
      </w:r>
      <w:r w:rsidRPr="001D1DCD">
        <w:rPr>
          <w:rStyle w:val="CETCaptionCarattere"/>
          <w:i w:val="0"/>
        </w:rPr>
        <w:t>General outline of the methodology</w:t>
      </w:r>
      <w:r w:rsidR="00FB60D3">
        <w:rPr>
          <w:rStyle w:val="CETCaptionCarattere"/>
          <w:i w:val="0"/>
        </w:rPr>
        <w:t>.</w:t>
      </w:r>
    </w:p>
    <w:p w14:paraId="2AC42E64" w14:textId="2D90131D" w:rsidR="0069136C" w:rsidRPr="0069136C" w:rsidRDefault="00597725" w:rsidP="0069136C">
      <w:pPr>
        <w:pStyle w:val="CETheadingx"/>
      </w:pPr>
      <w:r>
        <w:t>Simulation</w:t>
      </w:r>
    </w:p>
    <w:p w14:paraId="6B2A31E4" w14:textId="77777777" w:rsidR="00FB60D3" w:rsidRDefault="00FB60D3" w:rsidP="00FB60D3">
      <w:pPr>
        <w:pStyle w:val="CETBodytext"/>
      </w:pPr>
      <w:r>
        <w:t>The simulation of the ethanol steam reforming plant was performed using Aspen Plus® software. To ensure the simulation accurately represents the real process, an appropriate selection of the thermodynamic property package is essential (Carlson, 1996). Accordingly, the modified Predictive Soave-Redlich-Kwong (PSRK) equation of state was selected.</w:t>
      </w:r>
    </w:p>
    <w:p w14:paraId="4CC8F196" w14:textId="65C4B033" w:rsidR="00FB60D3" w:rsidRPr="004F3DE1" w:rsidRDefault="00FB60D3" w:rsidP="00FB60D3">
      <w:pPr>
        <w:pStyle w:val="CETBodytext"/>
      </w:pPr>
      <w:r>
        <w:t xml:space="preserve">Reaction kinetics were adopted from Palma et al. (2014), who analyzed the performance of a bimetallic Pt (3 </w:t>
      </w:r>
      <w:proofErr w:type="spellStart"/>
      <w:r>
        <w:t>wt</w:t>
      </w:r>
      <w:proofErr w:type="spellEnd"/>
      <w:r>
        <w:t xml:space="preserve">%) and Ni (10 </w:t>
      </w:r>
      <w:proofErr w:type="spellStart"/>
      <w:r>
        <w:t>wt</w:t>
      </w:r>
      <w:proofErr w:type="spellEnd"/>
      <w:r>
        <w:t>%) sample supported on CeO</w:t>
      </w:r>
      <w:r>
        <w:rPr>
          <w:vertAlign w:val="subscript"/>
        </w:rPr>
        <w:t>2</w:t>
      </w:r>
      <w:r>
        <w:t xml:space="preserve">, evaluating its catalytic activity, selectivity, and stability. Since promising results were reported between 250 and 600 °C, this temperature range was selected for the analysis of optimization parameters. </w:t>
      </w:r>
    </w:p>
    <w:p w14:paraId="0B785378" w14:textId="0AA9EFB9" w:rsidR="00597725" w:rsidRPr="00A600E9" w:rsidRDefault="00597725" w:rsidP="00A600E9">
      <w:pPr>
        <w:pStyle w:val="CETBodytext"/>
      </w:pPr>
      <w:r>
        <w:t>T</w:t>
      </w:r>
      <w:r w:rsidRPr="004F3DE1">
        <w:t xml:space="preserve">he plant was initially simulated considering a base case with three fixed-bed reactors in series: the first </w:t>
      </w:r>
      <w:r w:rsidR="00670017">
        <w:t xml:space="preserve">one </w:t>
      </w:r>
      <w:r w:rsidR="00FB60D3">
        <w:t xml:space="preserve">for </w:t>
      </w:r>
      <w:r w:rsidR="0069136C">
        <w:t>ESR</w:t>
      </w:r>
      <w:r w:rsidR="00623F71">
        <w:t>, Eq (1),</w:t>
      </w:r>
      <w:r w:rsidR="0069136C">
        <w:t xml:space="preserve"> </w:t>
      </w:r>
      <w:r w:rsidRPr="004F3DE1">
        <w:t>and the next two with lower temperatures in order to favor the</w:t>
      </w:r>
      <w:r w:rsidR="00E2397E">
        <w:t xml:space="preserve"> </w:t>
      </w:r>
      <w:r w:rsidRPr="004F3DE1">
        <w:t>WGS reaction</w:t>
      </w:r>
      <w:r w:rsidR="00623F71">
        <w:t>, Eq (2)</w:t>
      </w:r>
      <w:r w:rsidRPr="004F3DE1">
        <w:t xml:space="preserve">. Next, simplified purification was performed using a flash process with water recovery, which was recycled, and a separation column. Finally, compression up to 300 </w:t>
      </w:r>
      <w:proofErr w:type="gramStart"/>
      <w:r w:rsidRPr="004F3DE1">
        <w:t>bar</w:t>
      </w:r>
      <w:proofErr w:type="gramEnd"/>
      <w:r w:rsidRPr="004F3DE1">
        <w:t xml:space="preserve"> of hydrogen with 99.99% purity was considered</w:t>
      </w:r>
      <w:r w:rsidR="00623F71">
        <w:t xml:space="preserve"> (</w:t>
      </w:r>
      <w:r w:rsidR="00623F71" w:rsidRPr="00623F71">
        <w:t>Bouwkamp; Burgunder; Casey</w:t>
      </w:r>
      <w:r w:rsidR="00623F71">
        <w:t>, 2017)</w:t>
      </w:r>
      <w:r w:rsidRPr="004F3DE1">
        <w:t xml:space="preserve">. Energy integration was also assessed in </w:t>
      </w:r>
      <w:proofErr w:type="gramStart"/>
      <w:r w:rsidRPr="004F3DE1">
        <w:t>the simulation</w:t>
      </w:r>
      <w:proofErr w:type="gramEnd"/>
      <w:r w:rsidRPr="004F3DE1">
        <w:t xml:space="preserve"> with the aim of reducing the energy consumption required in the process by taking advantage of the heat that would be lost between the reactors to preheat the feed</w:t>
      </w:r>
      <w:r>
        <w:t>.</w:t>
      </w:r>
      <w:r w:rsidR="0069136C">
        <w:t xml:space="preserve"> </w:t>
      </w:r>
    </w:p>
    <w:p w14:paraId="7DF43E1B" w14:textId="7FEA5D96" w:rsidR="00597725" w:rsidRPr="00597725" w:rsidRDefault="00597725" w:rsidP="00597725">
      <w:pPr>
        <w:pStyle w:val="CETBodytext"/>
      </w:pPr>
      <w:r w:rsidRPr="00597725">
        <w:t>A base case was initially established for the simulation, assuming an ethanol feed capacity of 40,000 t/</w:t>
      </w:r>
      <w:r w:rsidR="0069136C">
        <w:t>y</w:t>
      </w:r>
      <w:r w:rsidRPr="00597725">
        <w:t xml:space="preserve">. This capacity was selected based on a commercial example of a second-generation bioethanol plant currently commercialized by the </w:t>
      </w:r>
      <w:proofErr w:type="spellStart"/>
      <w:r w:rsidRPr="00597725">
        <w:t>Biochemtex</w:t>
      </w:r>
      <w:proofErr w:type="spellEnd"/>
      <w:r w:rsidRPr="00597725">
        <w:t xml:space="preserve"> group (Martinov et al., 2015).</w:t>
      </w:r>
      <w:r>
        <w:t xml:space="preserve"> </w:t>
      </w:r>
      <w:r w:rsidRPr="00597725">
        <w:t>Additionally, a feed mixture with an ethanol-to-water molar ratio of 1:6 was employed</w:t>
      </w:r>
      <w:r w:rsidR="00CA25E8">
        <w:t>.</w:t>
      </w:r>
      <w:r w:rsidRPr="00597725">
        <w:t xml:space="preserve"> Although this is lower than the ratio described as optimal (Patel; Jindal; Pant, 2013), this composition was defined because it is readily achievable in industrial settings through ethanol purification via distillation</w:t>
      </w:r>
      <w:r>
        <w:t>.</w:t>
      </w:r>
    </w:p>
    <w:p w14:paraId="458B01B8" w14:textId="1E2BEDA5" w:rsidR="00597725" w:rsidRDefault="0069136C" w:rsidP="00597725">
      <w:pPr>
        <w:pStyle w:val="CETheadingx"/>
      </w:pPr>
      <w:r>
        <w:t>Factorial Design</w:t>
      </w:r>
    </w:p>
    <w:p w14:paraId="34248163" w14:textId="04776C87" w:rsidR="005B6C0F" w:rsidRDefault="0069136C" w:rsidP="005B6C0F">
      <w:pPr>
        <w:pStyle w:val="CETBodytext"/>
        <w:rPr>
          <w:lang w:val="en-GB"/>
        </w:rPr>
      </w:pPr>
      <w:r>
        <w:t>The statistical study in this work, ranging from experimental design to response analysis and optimization, was performed using Statistica software (version 7.0).</w:t>
      </w:r>
      <w:r w:rsidR="0019539D">
        <w:t xml:space="preserve"> Based on the obtained results, Pareto charts were generated with a 95% confidence interval.</w:t>
      </w:r>
      <w:r w:rsidR="001F0062">
        <w:t xml:space="preserve"> </w:t>
      </w:r>
      <w:r>
        <w:t xml:space="preserve">Initially, a two-level full factorial design was conducted to screen the influence of each evaluated parameter: feedstock flow rate, temperatures in the ESR, HT-WGS, and LT-WGS reactors, pressure, and the Ethanol-to-Water reagent ratio. </w:t>
      </w:r>
      <w:r w:rsidR="008A535F" w:rsidRPr="005B6C0F">
        <w:t xml:space="preserve">For this purpose, a two-level full factorial design </w:t>
      </w:r>
      <w:r w:rsidR="008A535F">
        <w:t>(2</w:t>
      </w:r>
      <w:r w:rsidR="008A535F">
        <w:rPr>
          <w:vertAlign w:val="superscript"/>
        </w:rPr>
        <w:t>k</w:t>
      </w:r>
      <w:r w:rsidR="008A535F">
        <w:t xml:space="preserve">) </w:t>
      </w:r>
      <w:r w:rsidR="008A535F" w:rsidRPr="005B6C0F">
        <w:t>was employed</w:t>
      </w:r>
      <w:r w:rsidR="00017C3F">
        <w:t xml:space="preserve"> (</w:t>
      </w:r>
      <w:r w:rsidR="008A535F" w:rsidRPr="005B6C0F">
        <w:t>k</w:t>
      </w:r>
      <w:r w:rsidR="008A535F">
        <w:t xml:space="preserve"> </w:t>
      </w:r>
      <w:r w:rsidR="008A535F" w:rsidRPr="005B6C0F">
        <w:t>=</w:t>
      </w:r>
      <w:r w:rsidR="008A535F">
        <w:t xml:space="preserve"> </w:t>
      </w:r>
      <w:r w:rsidR="008A535F" w:rsidRPr="005B6C0F">
        <w:t>6</w:t>
      </w:r>
      <w:r w:rsidR="00017C3F">
        <w:t>)</w:t>
      </w:r>
      <w:r w:rsidR="008A535F" w:rsidRPr="005B6C0F">
        <w:t>, totaling 64 experimental runs.</w:t>
      </w:r>
      <w:r w:rsidR="001F0062">
        <w:t xml:space="preserve"> </w:t>
      </w:r>
      <w:r w:rsidR="005B6C0F" w:rsidRPr="005B6C0F">
        <w:rPr>
          <w:lang w:val="en-GB"/>
        </w:rPr>
        <w:t>The high and low levels for each factor are listed in Table 1.</w:t>
      </w:r>
    </w:p>
    <w:p w14:paraId="4375741B" w14:textId="18496730" w:rsidR="005B6C0F" w:rsidRPr="00B57B36" w:rsidRDefault="005B6C0F" w:rsidP="00AE351C">
      <w:pPr>
        <w:pStyle w:val="CETTabletitle"/>
        <w:jc w:val="center"/>
      </w:pPr>
      <w:r w:rsidRPr="00B57B36">
        <w:t xml:space="preserve">Table 1: </w:t>
      </w:r>
      <w:r w:rsidR="00AE351C">
        <w:t>High and low levels for each operation factor.</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418"/>
        <w:gridCol w:w="1559"/>
        <w:gridCol w:w="992"/>
        <w:gridCol w:w="1560"/>
      </w:tblGrid>
      <w:tr w:rsidR="005B6C0F" w:rsidRPr="00B57B36" w14:paraId="3CE5AB30" w14:textId="77777777" w:rsidTr="00AE351C">
        <w:tc>
          <w:tcPr>
            <w:tcW w:w="1134" w:type="dxa"/>
            <w:tcBorders>
              <w:top w:val="single" w:sz="12" w:space="0" w:color="008000"/>
              <w:bottom w:val="single" w:sz="6" w:space="0" w:color="008000"/>
            </w:tcBorders>
            <w:shd w:val="clear" w:color="auto" w:fill="FFFFFF"/>
          </w:tcPr>
          <w:p w14:paraId="0BF417AA" w14:textId="36E3339F" w:rsidR="005B6C0F" w:rsidRPr="00B57B36" w:rsidRDefault="005B6C0F" w:rsidP="00AE351C">
            <w:pPr>
              <w:pStyle w:val="CETBodytext"/>
              <w:jc w:val="center"/>
              <w:rPr>
                <w:lang w:val="en-GB"/>
              </w:rPr>
            </w:pPr>
            <w:r>
              <w:rPr>
                <w:lang w:val="en-GB"/>
              </w:rPr>
              <w:t>Level</w:t>
            </w:r>
          </w:p>
        </w:tc>
        <w:tc>
          <w:tcPr>
            <w:tcW w:w="1134" w:type="dxa"/>
            <w:tcBorders>
              <w:top w:val="single" w:sz="12" w:space="0" w:color="008000"/>
              <w:bottom w:val="single" w:sz="6" w:space="0" w:color="008000"/>
            </w:tcBorders>
            <w:shd w:val="clear" w:color="auto" w:fill="FFFFFF"/>
          </w:tcPr>
          <w:p w14:paraId="2E3C7ECB" w14:textId="516061A7" w:rsidR="005B6C0F" w:rsidRPr="00B57B36" w:rsidRDefault="005B6C0F" w:rsidP="00AE351C">
            <w:pPr>
              <w:pStyle w:val="CETBodytext"/>
              <w:jc w:val="center"/>
              <w:rPr>
                <w:lang w:val="en-GB"/>
              </w:rPr>
            </w:pPr>
            <w:r>
              <w:rPr>
                <w:lang w:val="en-GB"/>
              </w:rPr>
              <w:t>Flow rate</w:t>
            </w:r>
          </w:p>
        </w:tc>
        <w:tc>
          <w:tcPr>
            <w:tcW w:w="1134" w:type="dxa"/>
            <w:tcBorders>
              <w:top w:val="single" w:sz="12" w:space="0" w:color="008000"/>
              <w:bottom w:val="single" w:sz="6" w:space="0" w:color="008000"/>
            </w:tcBorders>
            <w:shd w:val="clear" w:color="auto" w:fill="FFFFFF"/>
          </w:tcPr>
          <w:p w14:paraId="61D907C3" w14:textId="2055AEF8" w:rsidR="005B6C0F" w:rsidRPr="00B57B36" w:rsidRDefault="00AE351C" w:rsidP="00AE351C">
            <w:pPr>
              <w:pStyle w:val="CETBodytext"/>
              <w:jc w:val="center"/>
              <w:rPr>
                <w:lang w:val="en-GB"/>
              </w:rPr>
            </w:pPr>
            <w:r>
              <w:rPr>
                <w:lang w:val="en-GB"/>
              </w:rPr>
              <w:t>ESR Temp.</w:t>
            </w:r>
          </w:p>
        </w:tc>
        <w:tc>
          <w:tcPr>
            <w:tcW w:w="1418" w:type="dxa"/>
            <w:tcBorders>
              <w:top w:val="single" w:sz="12" w:space="0" w:color="008000"/>
              <w:bottom w:val="single" w:sz="6" w:space="0" w:color="008000"/>
            </w:tcBorders>
            <w:shd w:val="clear" w:color="auto" w:fill="FFFFFF"/>
          </w:tcPr>
          <w:p w14:paraId="1F547FDC" w14:textId="4F725563" w:rsidR="005B6C0F" w:rsidRPr="00B57B36" w:rsidRDefault="00AE351C" w:rsidP="00AE351C">
            <w:pPr>
              <w:pStyle w:val="CETBodytext"/>
              <w:ind w:right="-1"/>
              <w:jc w:val="center"/>
              <w:rPr>
                <w:rFonts w:cs="Arial"/>
                <w:szCs w:val="18"/>
                <w:lang w:val="en-GB"/>
              </w:rPr>
            </w:pPr>
            <w:r>
              <w:rPr>
                <w:rFonts w:cs="Arial"/>
                <w:szCs w:val="18"/>
                <w:lang w:val="en-GB"/>
              </w:rPr>
              <w:t>HT-WGS Temp.</w:t>
            </w:r>
          </w:p>
        </w:tc>
        <w:tc>
          <w:tcPr>
            <w:tcW w:w="1559" w:type="dxa"/>
            <w:tcBorders>
              <w:top w:val="single" w:sz="12" w:space="0" w:color="008000"/>
              <w:bottom w:val="single" w:sz="6" w:space="0" w:color="008000"/>
            </w:tcBorders>
            <w:shd w:val="clear" w:color="auto" w:fill="FFFFFF"/>
          </w:tcPr>
          <w:p w14:paraId="5E0BB1C2" w14:textId="1FE7F9B2" w:rsidR="005B6C0F" w:rsidRPr="00B57B36" w:rsidRDefault="00AE351C" w:rsidP="00AE351C">
            <w:pPr>
              <w:pStyle w:val="CETBodytext"/>
              <w:ind w:right="-1"/>
              <w:jc w:val="center"/>
              <w:rPr>
                <w:rFonts w:cs="Arial"/>
                <w:szCs w:val="18"/>
                <w:lang w:val="en-GB"/>
              </w:rPr>
            </w:pPr>
            <w:r>
              <w:rPr>
                <w:rFonts w:cs="Arial"/>
                <w:szCs w:val="18"/>
                <w:lang w:val="en-GB"/>
              </w:rPr>
              <w:t>LT-WGS Temp.</w:t>
            </w:r>
          </w:p>
        </w:tc>
        <w:tc>
          <w:tcPr>
            <w:tcW w:w="992" w:type="dxa"/>
            <w:tcBorders>
              <w:top w:val="single" w:sz="12" w:space="0" w:color="008000"/>
              <w:bottom w:val="single" w:sz="6" w:space="0" w:color="008000"/>
            </w:tcBorders>
            <w:shd w:val="clear" w:color="auto" w:fill="FFFFFF"/>
          </w:tcPr>
          <w:p w14:paraId="4E8AF66A" w14:textId="448895F9" w:rsidR="005B6C0F" w:rsidRPr="00B57B36" w:rsidRDefault="00AE351C" w:rsidP="00AE351C">
            <w:pPr>
              <w:pStyle w:val="CETBodytext"/>
              <w:ind w:right="-1"/>
              <w:jc w:val="center"/>
              <w:rPr>
                <w:rFonts w:cs="Arial"/>
                <w:szCs w:val="18"/>
                <w:lang w:val="en-GB"/>
              </w:rPr>
            </w:pPr>
            <w:r>
              <w:rPr>
                <w:rFonts w:cs="Arial"/>
                <w:szCs w:val="18"/>
                <w:lang w:val="en-GB"/>
              </w:rPr>
              <w:t>Pressure</w:t>
            </w:r>
          </w:p>
        </w:tc>
        <w:tc>
          <w:tcPr>
            <w:tcW w:w="1560" w:type="dxa"/>
            <w:tcBorders>
              <w:top w:val="single" w:sz="12" w:space="0" w:color="008000"/>
              <w:bottom w:val="single" w:sz="6" w:space="0" w:color="008000"/>
            </w:tcBorders>
            <w:shd w:val="clear" w:color="auto" w:fill="FFFFFF"/>
          </w:tcPr>
          <w:p w14:paraId="01AF4B3A" w14:textId="13530228" w:rsidR="005B6C0F" w:rsidRPr="00B57B36" w:rsidRDefault="00AE351C" w:rsidP="00AE351C">
            <w:pPr>
              <w:pStyle w:val="CETBodytext"/>
              <w:ind w:right="-1"/>
              <w:jc w:val="center"/>
              <w:rPr>
                <w:rFonts w:cs="Arial"/>
                <w:szCs w:val="18"/>
                <w:lang w:val="en-GB"/>
              </w:rPr>
            </w:pPr>
            <w:r>
              <w:rPr>
                <w:rFonts w:cs="Arial"/>
                <w:szCs w:val="18"/>
                <w:lang w:val="en-GB"/>
              </w:rPr>
              <w:t>Reagent Ratio</w:t>
            </w:r>
          </w:p>
        </w:tc>
      </w:tr>
      <w:tr w:rsidR="005B6C0F" w:rsidRPr="00B57B36" w14:paraId="60323CBD" w14:textId="77777777" w:rsidTr="00AE351C">
        <w:tc>
          <w:tcPr>
            <w:tcW w:w="1134" w:type="dxa"/>
            <w:shd w:val="clear" w:color="auto" w:fill="FFFFFF"/>
          </w:tcPr>
          <w:p w14:paraId="43C53F02" w14:textId="77777777" w:rsidR="005B6C0F" w:rsidRPr="00B57B36" w:rsidRDefault="005B6C0F" w:rsidP="00AE351C">
            <w:pPr>
              <w:pStyle w:val="CETBodytext"/>
              <w:jc w:val="center"/>
              <w:rPr>
                <w:lang w:val="en-GB"/>
              </w:rPr>
            </w:pPr>
          </w:p>
        </w:tc>
        <w:tc>
          <w:tcPr>
            <w:tcW w:w="1134" w:type="dxa"/>
            <w:shd w:val="clear" w:color="auto" w:fill="FFFFFF"/>
          </w:tcPr>
          <w:p w14:paraId="010F175B" w14:textId="7AE71AAD" w:rsidR="005B6C0F" w:rsidRPr="00B57B36" w:rsidRDefault="00AE351C" w:rsidP="00AE351C">
            <w:pPr>
              <w:pStyle w:val="CETBodytext"/>
              <w:jc w:val="center"/>
              <w:rPr>
                <w:lang w:val="en-GB"/>
              </w:rPr>
            </w:pPr>
            <w:r>
              <w:rPr>
                <w:lang w:val="en-GB"/>
              </w:rPr>
              <w:t>(kg/h)</w:t>
            </w:r>
          </w:p>
        </w:tc>
        <w:tc>
          <w:tcPr>
            <w:tcW w:w="1134" w:type="dxa"/>
            <w:shd w:val="clear" w:color="auto" w:fill="FFFFFF"/>
          </w:tcPr>
          <w:p w14:paraId="3AFFB98D" w14:textId="42959073" w:rsidR="005B6C0F" w:rsidRPr="00B57B36" w:rsidRDefault="00AE351C" w:rsidP="00AE351C">
            <w:pPr>
              <w:pStyle w:val="CETBodytext"/>
              <w:jc w:val="center"/>
              <w:rPr>
                <w:lang w:val="en-GB"/>
              </w:rPr>
            </w:pPr>
            <w:r>
              <w:rPr>
                <w:lang w:val="en-GB"/>
              </w:rPr>
              <w:t>(°C)</w:t>
            </w:r>
          </w:p>
        </w:tc>
        <w:tc>
          <w:tcPr>
            <w:tcW w:w="1418" w:type="dxa"/>
            <w:shd w:val="clear" w:color="auto" w:fill="FFFFFF"/>
          </w:tcPr>
          <w:p w14:paraId="7F7E389A" w14:textId="257B4794" w:rsidR="005B6C0F" w:rsidRPr="00B57B36" w:rsidRDefault="00AE351C" w:rsidP="00AE351C">
            <w:pPr>
              <w:pStyle w:val="CETBodytext"/>
              <w:ind w:right="-1"/>
              <w:jc w:val="center"/>
              <w:rPr>
                <w:rFonts w:cs="Arial"/>
                <w:szCs w:val="18"/>
                <w:lang w:val="en-GB"/>
              </w:rPr>
            </w:pPr>
            <w:r>
              <w:rPr>
                <w:rFonts w:cs="Arial"/>
                <w:szCs w:val="18"/>
                <w:lang w:val="en-GB"/>
              </w:rPr>
              <w:t>(°C)</w:t>
            </w:r>
          </w:p>
        </w:tc>
        <w:tc>
          <w:tcPr>
            <w:tcW w:w="1559" w:type="dxa"/>
            <w:shd w:val="clear" w:color="auto" w:fill="FFFFFF"/>
          </w:tcPr>
          <w:p w14:paraId="284E6435" w14:textId="0CDFE534" w:rsidR="005B6C0F" w:rsidRPr="00B57B36" w:rsidRDefault="00AE351C" w:rsidP="00AE351C">
            <w:pPr>
              <w:pStyle w:val="CETBodytext"/>
              <w:ind w:right="-1"/>
              <w:jc w:val="center"/>
              <w:rPr>
                <w:rFonts w:cs="Arial"/>
                <w:szCs w:val="18"/>
                <w:lang w:val="en-GB"/>
              </w:rPr>
            </w:pPr>
            <w:r>
              <w:rPr>
                <w:rFonts w:cs="Arial"/>
                <w:szCs w:val="18"/>
                <w:lang w:val="en-GB"/>
              </w:rPr>
              <w:t>(°C)</w:t>
            </w:r>
          </w:p>
        </w:tc>
        <w:tc>
          <w:tcPr>
            <w:tcW w:w="992" w:type="dxa"/>
            <w:shd w:val="clear" w:color="auto" w:fill="FFFFFF"/>
          </w:tcPr>
          <w:p w14:paraId="62670D42" w14:textId="5CBC131C" w:rsidR="005B6C0F" w:rsidRPr="00B57B36" w:rsidRDefault="00AE351C" w:rsidP="00AE351C">
            <w:pPr>
              <w:pStyle w:val="CETBodytext"/>
              <w:ind w:right="-1"/>
              <w:jc w:val="center"/>
              <w:rPr>
                <w:rFonts w:cs="Arial"/>
                <w:szCs w:val="18"/>
                <w:lang w:val="en-GB"/>
              </w:rPr>
            </w:pPr>
            <w:r>
              <w:rPr>
                <w:rFonts w:cs="Arial"/>
                <w:szCs w:val="18"/>
                <w:lang w:val="en-GB"/>
              </w:rPr>
              <w:t>(bar)</w:t>
            </w:r>
          </w:p>
        </w:tc>
        <w:tc>
          <w:tcPr>
            <w:tcW w:w="1560" w:type="dxa"/>
            <w:shd w:val="clear" w:color="auto" w:fill="FFFFFF"/>
          </w:tcPr>
          <w:p w14:paraId="26748C2C" w14:textId="74708618" w:rsidR="005B6C0F" w:rsidRPr="00B57B36" w:rsidRDefault="00AE351C" w:rsidP="00AE351C">
            <w:pPr>
              <w:pStyle w:val="CETBodytext"/>
              <w:ind w:right="-1"/>
              <w:jc w:val="center"/>
              <w:rPr>
                <w:rFonts w:cs="Arial"/>
                <w:szCs w:val="18"/>
                <w:lang w:val="en-GB"/>
              </w:rPr>
            </w:pPr>
            <w:r>
              <w:rPr>
                <w:rFonts w:cs="Arial"/>
                <w:szCs w:val="18"/>
                <w:lang w:val="en-GB"/>
              </w:rPr>
              <w:t>(</w:t>
            </w:r>
            <w:proofErr w:type="gramStart"/>
            <w:r>
              <w:rPr>
                <w:rFonts w:cs="Arial"/>
                <w:szCs w:val="18"/>
                <w:lang w:val="en-GB"/>
              </w:rPr>
              <w:t>Ethanol :</w:t>
            </w:r>
            <w:proofErr w:type="gramEnd"/>
            <w:r>
              <w:rPr>
                <w:rFonts w:cs="Arial"/>
                <w:szCs w:val="18"/>
                <w:lang w:val="en-GB"/>
              </w:rPr>
              <w:t xml:space="preserve"> Water)</w:t>
            </w:r>
          </w:p>
        </w:tc>
      </w:tr>
      <w:tr w:rsidR="005B6C0F" w:rsidRPr="00B57B36" w14:paraId="38049708" w14:textId="77777777" w:rsidTr="00AE351C">
        <w:tc>
          <w:tcPr>
            <w:tcW w:w="1134" w:type="dxa"/>
            <w:shd w:val="clear" w:color="auto" w:fill="FFFFFF"/>
          </w:tcPr>
          <w:p w14:paraId="51E53657" w14:textId="3B588B8A" w:rsidR="005B6C0F" w:rsidRPr="00B57B36" w:rsidRDefault="005B6C0F" w:rsidP="00AE351C">
            <w:pPr>
              <w:pStyle w:val="CETBodytext"/>
              <w:jc w:val="center"/>
              <w:rPr>
                <w:lang w:val="en-GB"/>
              </w:rPr>
            </w:pPr>
            <w:r>
              <w:rPr>
                <w:lang w:val="en-GB"/>
              </w:rPr>
              <w:t>(</w:t>
            </w:r>
            <w:r w:rsidR="00AE351C">
              <w:rPr>
                <w:lang w:val="en-GB"/>
              </w:rPr>
              <w:t>-1</w:t>
            </w:r>
            <w:r>
              <w:rPr>
                <w:lang w:val="en-GB"/>
              </w:rPr>
              <w:t>)</w:t>
            </w:r>
          </w:p>
        </w:tc>
        <w:tc>
          <w:tcPr>
            <w:tcW w:w="1134" w:type="dxa"/>
            <w:shd w:val="clear" w:color="auto" w:fill="FFFFFF"/>
          </w:tcPr>
          <w:p w14:paraId="616299A5" w14:textId="26FF7DAE" w:rsidR="005B6C0F" w:rsidRPr="00B57B36" w:rsidRDefault="00AE351C" w:rsidP="00AE351C">
            <w:pPr>
              <w:pStyle w:val="CETBodytext"/>
              <w:jc w:val="center"/>
              <w:rPr>
                <w:lang w:val="en-GB"/>
              </w:rPr>
            </w:pPr>
            <w:r>
              <w:rPr>
                <w:lang w:val="en-GB"/>
              </w:rPr>
              <w:t>10,000</w:t>
            </w:r>
          </w:p>
        </w:tc>
        <w:tc>
          <w:tcPr>
            <w:tcW w:w="1134" w:type="dxa"/>
            <w:shd w:val="clear" w:color="auto" w:fill="FFFFFF"/>
          </w:tcPr>
          <w:p w14:paraId="1EAD3A51" w14:textId="4B353B00" w:rsidR="005B6C0F" w:rsidRPr="00B57B36" w:rsidRDefault="00AE351C" w:rsidP="00AE351C">
            <w:pPr>
              <w:pStyle w:val="CETBodytext"/>
              <w:jc w:val="center"/>
              <w:rPr>
                <w:lang w:val="en-GB"/>
              </w:rPr>
            </w:pPr>
            <w:r>
              <w:rPr>
                <w:lang w:val="en-GB"/>
              </w:rPr>
              <w:t>250</w:t>
            </w:r>
          </w:p>
        </w:tc>
        <w:tc>
          <w:tcPr>
            <w:tcW w:w="1418" w:type="dxa"/>
            <w:shd w:val="clear" w:color="auto" w:fill="FFFFFF"/>
          </w:tcPr>
          <w:p w14:paraId="007D3638" w14:textId="39E09365" w:rsidR="005B6C0F" w:rsidRPr="00B57B36" w:rsidRDefault="00AE351C" w:rsidP="00AE351C">
            <w:pPr>
              <w:pStyle w:val="CETBodytext"/>
              <w:ind w:right="-1"/>
              <w:jc w:val="center"/>
              <w:rPr>
                <w:rFonts w:cs="Arial"/>
                <w:szCs w:val="18"/>
                <w:lang w:val="en-GB"/>
              </w:rPr>
            </w:pPr>
            <w:r>
              <w:rPr>
                <w:rFonts w:cs="Arial"/>
                <w:szCs w:val="18"/>
                <w:lang w:val="en-GB"/>
              </w:rPr>
              <w:t>250</w:t>
            </w:r>
          </w:p>
        </w:tc>
        <w:tc>
          <w:tcPr>
            <w:tcW w:w="1559" w:type="dxa"/>
            <w:shd w:val="clear" w:color="auto" w:fill="FFFFFF"/>
          </w:tcPr>
          <w:p w14:paraId="76A2F410" w14:textId="7B95F31E" w:rsidR="005B6C0F" w:rsidRPr="00B57B36" w:rsidRDefault="00AE351C" w:rsidP="00AE351C">
            <w:pPr>
              <w:pStyle w:val="CETBodytext"/>
              <w:ind w:right="-1"/>
              <w:jc w:val="center"/>
              <w:rPr>
                <w:rFonts w:cs="Arial"/>
                <w:szCs w:val="18"/>
                <w:lang w:val="en-GB"/>
              </w:rPr>
            </w:pPr>
            <w:r>
              <w:rPr>
                <w:rFonts w:cs="Arial"/>
                <w:szCs w:val="18"/>
                <w:lang w:val="en-GB"/>
              </w:rPr>
              <w:t>250</w:t>
            </w:r>
          </w:p>
        </w:tc>
        <w:tc>
          <w:tcPr>
            <w:tcW w:w="992" w:type="dxa"/>
            <w:shd w:val="clear" w:color="auto" w:fill="FFFFFF"/>
          </w:tcPr>
          <w:p w14:paraId="073F6215" w14:textId="429CB624" w:rsidR="005B6C0F" w:rsidRPr="00B57B36" w:rsidRDefault="00AE351C" w:rsidP="00AE351C">
            <w:pPr>
              <w:pStyle w:val="CETBodytext"/>
              <w:ind w:right="-1"/>
              <w:jc w:val="center"/>
              <w:rPr>
                <w:rFonts w:cs="Arial"/>
                <w:szCs w:val="18"/>
                <w:lang w:val="en-GB"/>
              </w:rPr>
            </w:pPr>
            <w:r>
              <w:rPr>
                <w:rFonts w:cs="Arial"/>
                <w:szCs w:val="18"/>
                <w:lang w:val="en-GB"/>
              </w:rPr>
              <w:t>1</w:t>
            </w:r>
          </w:p>
        </w:tc>
        <w:tc>
          <w:tcPr>
            <w:tcW w:w="1560" w:type="dxa"/>
            <w:shd w:val="clear" w:color="auto" w:fill="FFFFFF"/>
          </w:tcPr>
          <w:p w14:paraId="647A0452" w14:textId="3B7D82B3" w:rsidR="005B6C0F" w:rsidRPr="00B57B36" w:rsidRDefault="00AE351C" w:rsidP="00AE351C">
            <w:pPr>
              <w:pStyle w:val="CETBodytext"/>
              <w:ind w:right="-1"/>
              <w:jc w:val="center"/>
              <w:rPr>
                <w:rFonts w:cs="Arial"/>
                <w:szCs w:val="18"/>
                <w:lang w:val="en-GB"/>
              </w:rPr>
            </w:pPr>
            <w:r>
              <w:rPr>
                <w:rFonts w:cs="Arial"/>
                <w:szCs w:val="18"/>
                <w:lang w:val="en-GB"/>
              </w:rPr>
              <w:t>1:1</w:t>
            </w:r>
          </w:p>
        </w:tc>
      </w:tr>
      <w:tr w:rsidR="005B6C0F" w:rsidRPr="00B57B36" w14:paraId="197A859B" w14:textId="77777777" w:rsidTr="00AE351C">
        <w:tc>
          <w:tcPr>
            <w:tcW w:w="1134" w:type="dxa"/>
            <w:shd w:val="clear" w:color="auto" w:fill="FFFFFF"/>
          </w:tcPr>
          <w:p w14:paraId="2322CE32" w14:textId="500FD7EB" w:rsidR="005B6C0F" w:rsidRPr="00B57B36" w:rsidRDefault="005B6C0F" w:rsidP="00AE351C">
            <w:pPr>
              <w:pStyle w:val="CETBodytext"/>
              <w:ind w:right="-1"/>
              <w:jc w:val="center"/>
              <w:rPr>
                <w:rFonts w:cs="Arial"/>
                <w:szCs w:val="18"/>
                <w:lang w:val="en-GB"/>
              </w:rPr>
            </w:pPr>
            <w:r>
              <w:rPr>
                <w:rFonts w:cs="Arial"/>
                <w:szCs w:val="18"/>
                <w:lang w:val="en-GB"/>
              </w:rPr>
              <w:t>(</w:t>
            </w:r>
            <w:r w:rsidR="00AE351C">
              <w:rPr>
                <w:rFonts w:cs="Arial"/>
                <w:szCs w:val="18"/>
                <w:lang w:val="en-GB"/>
              </w:rPr>
              <w:t>+1</w:t>
            </w:r>
            <w:r>
              <w:rPr>
                <w:rFonts w:cs="Arial"/>
                <w:szCs w:val="18"/>
                <w:lang w:val="en-GB"/>
              </w:rPr>
              <w:t>)</w:t>
            </w:r>
          </w:p>
        </w:tc>
        <w:tc>
          <w:tcPr>
            <w:tcW w:w="1134" w:type="dxa"/>
            <w:shd w:val="clear" w:color="auto" w:fill="FFFFFF"/>
          </w:tcPr>
          <w:p w14:paraId="094D282A" w14:textId="19D91F51" w:rsidR="005B6C0F" w:rsidRPr="00B57B36" w:rsidRDefault="00AE351C" w:rsidP="00AE351C">
            <w:pPr>
              <w:pStyle w:val="CETBodytext"/>
              <w:ind w:right="-1"/>
              <w:jc w:val="center"/>
              <w:rPr>
                <w:rFonts w:cs="Arial"/>
                <w:szCs w:val="18"/>
                <w:lang w:val="en-GB"/>
              </w:rPr>
            </w:pPr>
            <w:r>
              <w:rPr>
                <w:rFonts w:cs="Arial"/>
                <w:szCs w:val="18"/>
                <w:lang w:val="en-GB"/>
              </w:rPr>
              <w:t>35,000</w:t>
            </w:r>
          </w:p>
        </w:tc>
        <w:tc>
          <w:tcPr>
            <w:tcW w:w="1134" w:type="dxa"/>
            <w:shd w:val="clear" w:color="auto" w:fill="FFFFFF"/>
          </w:tcPr>
          <w:p w14:paraId="700A781F" w14:textId="48688F97" w:rsidR="005B6C0F" w:rsidRPr="00B57B36" w:rsidRDefault="00AE351C" w:rsidP="00AE351C">
            <w:pPr>
              <w:pStyle w:val="CETBodytext"/>
              <w:ind w:right="-1"/>
              <w:jc w:val="center"/>
              <w:rPr>
                <w:rFonts w:cs="Arial"/>
                <w:szCs w:val="18"/>
                <w:lang w:val="en-GB"/>
              </w:rPr>
            </w:pPr>
            <w:r>
              <w:rPr>
                <w:rFonts w:cs="Arial"/>
                <w:szCs w:val="18"/>
                <w:lang w:val="en-GB"/>
              </w:rPr>
              <w:t>600</w:t>
            </w:r>
          </w:p>
        </w:tc>
        <w:tc>
          <w:tcPr>
            <w:tcW w:w="1418" w:type="dxa"/>
            <w:shd w:val="clear" w:color="auto" w:fill="FFFFFF"/>
          </w:tcPr>
          <w:p w14:paraId="303C2D29" w14:textId="4E276CAF" w:rsidR="005B6C0F" w:rsidRPr="00B57B36" w:rsidRDefault="00AE351C" w:rsidP="00AE351C">
            <w:pPr>
              <w:pStyle w:val="CETBodytext"/>
              <w:ind w:right="-1"/>
              <w:jc w:val="center"/>
              <w:rPr>
                <w:rFonts w:cs="Arial"/>
                <w:szCs w:val="18"/>
                <w:lang w:val="en-GB"/>
              </w:rPr>
            </w:pPr>
            <w:r>
              <w:rPr>
                <w:rFonts w:cs="Arial"/>
                <w:szCs w:val="18"/>
                <w:lang w:val="en-GB"/>
              </w:rPr>
              <w:t>350</w:t>
            </w:r>
          </w:p>
        </w:tc>
        <w:tc>
          <w:tcPr>
            <w:tcW w:w="1559" w:type="dxa"/>
            <w:shd w:val="clear" w:color="auto" w:fill="FFFFFF"/>
          </w:tcPr>
          <w:p w14:paraId="5CAF2530" w14:textId="268A26B5" w:rsidR="005B6C0F" w:rsidRPr="00B57B36" w:rsidRDefault="00AE351C" w:rsidP="00AE351C">
            <w:pPr>
              <w:pStyle w:val="CETBodytext"/>
              <w:ind w:right="-1"/>
              <w:jc w:val="center"/>
              <w:rPr>
                <w:rFonts w:cs="Arial"/>
                <w:szCs w:val="18"/>
                <w:lang w:val="en-GB"/>
              </w:rPr>
            </w:pPr>
            <w:r>
              <w:rPr>
                <w:rFonts w:cs="Arial"/>
                <w:szCs w:val="18"/>
                <w:lang w:val="en-GB"/>
              </w:rPr>
              <w:t>280</w:t>
            </w:r>
          </w:p>
        </w:tc>
        <w:tc>
          <w:tcPr>
            <w:tcW w:w="992" w:type="dxa"/>
            <w:shd w:val="clear" w:color="auto" w:fill="FFFFFF"/>
          </w:tcPr>
          <w:p w14:paraId="64D03CD9" w14:textId="1CFBB10B" w:rsidR="005B6C0F" w:rsidRPr="00B57B36" w:rsidRDefault="00AE351C" w:rsidP="00AE351C">
            <w:pPr>
              <w:pStyle w:val="CETBodytext"/>
              <w:ind w:right="-1"/>
              <w:jc w:val="center"/>
              <w:rPr>
                <w:rFonts w:cs="Arial"/>
                <w:szCs w:val="18"/>
                <w:lang w:val="en-GB"/>
              </w:rPr>
            </w:pPr>
            <w:r>
              <w:rPr>
                <w:rFonts w:cs="Arial"/>
                <w:szCs w:val="18"/>
                <w:lang w:val="en-GB"/>
              </w:rPr>
              <w:t>6</w:t>
            </w:r>
          </w:p>
        </w:tc>
        <w:tc>
          <w:tcPr>
            <w:tcW w:w="1560" w:type="dxa"/>
            <w:shd w:val="clear" w:color="auto" w:fill="FFFFFF"/>
          </w:tcPr>
          <w:p w14:paraId="463279E1" w14:textId="5C949489" w:rsidR="005B6C0F" w:rsidRPr="00B57B36" w:rsidRDefault="00AE351C" w:rsidP="00AE351C">
            <w:pPr>
              <w:pStyle w:val="CETBodytext"/>
              <w:ind w:right="-1"/>
              <w:jc w:val="center"/>
              <w:rPr>
                <w:rFonts w:cs="Arial"/>
                <w:szCs w:val="18"/>
                <w:lang w:val="en-GB"/>
              </w:rPr>
            </w:pPr>
            <w:r>
              <w:rPr>
                <w:rFonts w:cs="Arial"/>
                <w:szCs w:val="18"/>
                <w:lang w:val="en-GB"/>
              </w:rPr>
              <w:t>1:9</w:t>
            </w:r>
          </w:p>
        </w:tc>
      </w:tr>
    </w:tbl>
    <w:p w14:paraId="10A728E5" w14:textId="4B132FB9" w:rsidR="005B6C0F" w:rsidRDefault="005B6C0F" w:rsidP="0069136C">
      <w:pPr>
        <w:pStyle w:val="CETBodytext"/>
      </w:pPr>
    </w:p>
    <w:p w14:paraId="76DE99F1" w14:textId="543F2E7D" w:rsidR="0069136C" w:rsidRPr="00AE351C" w:rsidRDefault="0069136C" w:rsidP="0069136C">
      <w:pPr>
        <w:pStyle w:val="CETBodytext"/>
      </w:pPr>
      <w:r>
        <w:t>This preliminary analysis aimed to track parameter variation trends, validate pre-established ranges, and eliminate variables with no significant influence on the responses: ethanol conversion and H</w:t>
      </w:r>
      <w:r w:rsidRPr="0069136C">
        <w:rPr>
          <w:vertAlign w:val="subscript"/>
        </w:rPr>
        <w:t>2</w:t>
      </w:r>
      <w:r>
        <w:t xml:space="preserve"> yield.</w:t>
      </w:r>
      <w:r w:rsidR="00AE351C">
        <w:t xml:space="preserve"> </w:t>
      </w:r>
      <w:r w:rsidR="00DD1801" w:rsidRPr="00DD1801">
        <w:rPr>
          <w:lang w:val="en-GB"/>
        </w:rPr>
        <w:t xml:space="preserve">The equations used to calculate ethanol conversion and hydrogen yield are presented in </w:t>
      </w:r>
      <w:proofErr w:type="spellStart"/>
      <w:r w:rsidR="00DD1801" w:rsidRPr="00DD1801">
        <w:rPr>
          <w:lang w:val="en-GB"/>
        </w:rPr>
        <w:t>Eq</w:t>
      </w:r>
      <w:proofErr w:type="spellEnd"/>
      <w:r w:rsidR="00E2397E">
        <w:rPr>
          <w:lang w:val="en-GB"/>
        </w:rPr>
        <w:t xml:space="preserve"> (3)</w:t>
      </w:r>
      <w:r w:rsidR="00DD1801" w:rsidRPr="00DD1801">
        <w:rPr>
          <w:lang w:val="en-GB"/>
        </w:rPr>
        <w:t xml:space="preserve"> and </w:t>
      </w:r>
      <w:proofErr w:type="spellStart"/>
      <w:r w:rsidR="00DD1801" w:rsidRPr="00DD1801">
        <w:rPr>
          <w:lang w:val="en-GB"/>
        </w:rPr>
        <w:t>Eq</w:t>
      </w:r>
      <w:proofErr w:type="spellEnd"/>
      <w:r w:rsidR="00E2397E">
        <w:rPr>
          <w:lang w:val="en-GB"/>
        </w:rPr>
        <w:t xml:space="preserve"> (4)</w:t>
      </w:r>
      <w:r w:rsidR="00DD1801" w:rsidRPr="00DD1801">
        <w:rPr>
          <w:lang w:val="en-GB"/>
        </w:rPr>
        <w:t>, respectively.</w:t>
      </w:r>
    </w:p>
    <w:p w14:paraId="16A0F312" w14:textId="77777777" w:rsidR="005B6C0F" w:rsidRDefault="005B6C0F" w:rsidP="0069136C">
      <w:pPr>
        <w:pStyle w:val="CETBodytext"/>
        <w:rPr>
          <w:lang w:val="en-GB"/>
        </w:rPr>
      </w:pPr>
    </w:p>
    <w:p w14:paraId="11E9E02E" w14:textId="6C166633" w:rsidR="00DD1801" w:rsidRDefault="00DD1801" w:rsidP="0069136C">
      <w:pPr>
        <w:pStyle w:val="CETBodytext"/>
        <w:rPr>
          <w:sz w:val="16"/>
          <w:szCs w:val="18"/>
        </w:rPr>
      </w:pPr>
      <m:oMath>
        <m:r>
          <w:rPr>
            <w:rFonts w:ascii="Cambria Math" w:hAnsi="Cambria Math"/>
          </w:rPr>
          <m:t>X</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 xml:space="preserve">Moles of Ethanol comsulmed </m:t>
            </m:r>
          </m:num>
          <m:den>
            <m:r>
              <w:rPr>
                <w:rFonts w:ascii="Cambria Math" w:hAnsi="Cambria Math"/>
              </w:rPr>
              <m:t>Moles of Ethanol fed</m:t>
            </m:r>
          </m:den>
        </m:f>
      </m:oMath>
      <w:r>
        <w:rPr>
          <w:lang w:val="en-GB"/>
        </w:rPr>
        <w:t xml:space="preserve">   </w:t>
      </w:r>
      <w:r w:rsidR="005B6C0F">
        <w:rPr>
          <w:lang w:val="en-GB"/>
        </w:rPr>
        <w:t xml:space="preserve">                                                                                                                     </w:t>
      </w:r>
      <w:r w:rsidRPr="00F2057E">
        <w:rPr>
          <w:sz w:val="16"/>
          <w:szCs w:val="18"/>
        </w:rPr>
        <w:t>(</w:t>
      </w:r>
      <w:r w:rsidR="00E2397E">
        <w:rPr>
          <w:sz w:val="16"/>
          <w:szCs w:val="18"/>
        </w:rPr>
        <w:t>3</w:t>
      </w:r>
      <w:r>
        <w:rPr>
          <w:sz w:val="16"/>
          <w:szCs w:val="18"/>
        </w:rPr>
        <w:t>)</w:t>
      </w:r>
    </w:p>
    <w:p w14:paraId="170704FA" w14:textId="77777777" w:rsidR="005B6C0F" w:rsidRPr="005B6C0F" w:rsidRDefault="005B6C0F" w:rsidP="0069136C">
      <w:pPr>
        <w:pStyle w:val="CETBodytext"/>
        <w:rPr>
          <w:sz w:val="20"/>
          <w:szCs w:val="22"/>
          <w:lang w:val="en-GB"/>
        </w:rPr>
      </w:pPr>
    </w:p>
    <w:p w14:paraId="083187E0" w14:textId="529C9D31" w:rsidR="00DD1801" w:rsidRPr="00DD1801" w:rsidRDefault="005B6C0F" w:rsidP="00DD1801">
      <w:pPr>
        <w:pStyle w:val="CETBodytext"/>
        <w:rPr>
          <w:sz w:val="20"/>
          <w:szCs w:val="22"/>
        </w:rPr>
      </w:pPr>
      <m:oMath>
        <m:r>
          <w:rPr>
            <w:rFonts w:ascii="Cambria Math" w:hAnsi="Cambria Math"/>
          </w:rPr>
          <m:t>Y</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 xml:space="preserve">Moles of Hydrogen </m:t>
            </m:r>
          </m:num>
          <m:den>
            <m:r>
              <w:rPr>
                <w:rFonts w:ascii="Cambria Math" w:hAnsi="Cambria Math"/>
              </w:rPr>
              <m:t>Moles of Ethanol fed</m:t>
            </m:r>
          </m:den>
        </m:f>
      </m:oMath>
      <w:r>
        <w:rPr>
          <w:sz w:val="16"/>
          <w:szCs w:val="18"/>
        </w:rPr>
        <w:t xml:space="preserve">                                                                                                                                                   </w:t>
      </w:r>
      <w:r w:rsidRPr="00F2057E">
        <w:rPr>
          <w:sz w:val="16"/>
          <w:szCs w:val="18"/>
        </w:rPr>
        <w:t>(</w:t>
      </w:r>
      <w:r w:rsidR="00E2397E">
        <w:rPr>
          <w:sz w:val="16"/>
          <w:szCs w:val="18"/>
        </w:rPr>
        <w:t>4</w:t>
      </w:r>
      <w:r>
        <w:rPr>
          <w:sz w:val="16"/>
          <w:szCs w:val="18"/>
        </w:rPr>
        <w:t>)</w:t>
      </w:r>
    </w:p>
    <w:p w14:paraId="381E9471" w14:textId="77777777" w:rsidR="00DD1801" w:rsidRDefault="00DD1801" w:rsidP="0069136C">
      <w:pPr>
        <w:pStyle w:val="CETBodytext"/>
      </w:pPr>
    </w:p>
    <w:p w14:paraId="2C295C27" w14:textId="11423629" w:rsidR="0069136C" w:rsidRDefault="0069136C" w:rsidP="0069136C">
      <w:pPr>
        <w:pStyle w:val="CETBodytext"/>
      </w:pPr>
      <w:r>
        <w:t xml:space="preserve">Subsequently, a Face-Centered Central Composite Design (FCCCD) was employed to identify the system's optimum region (Barros Neto; </w:t>
      </w:r>
      <w:proofErr w:type="spellStart"/>
      <w:r>
        <w:t>Scarminio</w:t>
      </w:r>
      <w:proofErr w:type="spellEnd"/>
      <w:r>
        <w:t xml:space="preserve">; Bruns, 2001). For this purpose, parameters deemed statistically non-significant in the previous analysis were excluded. </w:t>
      </w:r>
    </w:p>
    <w:p w14:paraId="1677A1AF" w14:textId="1D980DBF" w:rsidR="0069136C" w:rsidRPr="00597725" w:rsidRDefault="0069136C" w:rsidP="0069136C">
      <w:pPr>
        <w:pStyle w:val="CETBodytext"/>
      </w:pPr>
      <w:r>
        <w:t>From the FCCCD data, Pareto charts were</w:t>
      </w:r>
      <w:r w:rsidR="00401A9F">
        <w:t xml:space="preserve"> </w:t>
      </w:r>
      <w:r>
        <w:t>generated for each response to determine the significant parameters for the analysis and the effects and coefficients used in the models. Response surfaces were constructed by varying the parameters pairwise while maintaining the remaining variables at their center points. Through this analysis, the optimum regions for conversion</w:t>
      </w:r>
      <w:r w:rsidR="0019539D">
        <w:t xml:space="preserve"> and</w:t>
      </w:r>
      <w:r>
        <w:t xml:space="preserve"> yield were determined.</w:t>
      </w:r>
      <w:r w:rsidR="002308A9">
        <w:t xml:space="preserve"> </w:t>
      </w:r>
      <w:r>
        <w:t>Simplified mathematical models, known as Surrogate Models, were also defined for each response variable</w:t>
      </w:r>
      <w:r w:rsidR="002308A9">
        <w:t xml:space="preserve"> (Wu et al., 2025)</w:t>
      </w:r>
      <w:r>
        <w:t xml:space="preserve">. </w:t>
      </w:r>
    </w:p>
    <w:p w14:paraId="677EBFF0" w14:textId="07D44888" w:rsidR="00600535" w:rsidRDefault="00C176B0" w:rsidP="00600535">
      <w:pPr>
        <w:pStyle w:val="CETHeading1"/>
        <w:tabs>
          <w:tab w:val="right" w:pos="7100"/>
        </w:tabs>
        <w:jc w:val="both"/>
        <w:rPr>
          <w:lang w:val="en-GB"/>
        </w:rPr>
      </w:pPr>
      <w:r>
        <w:rPr>
          <w:lang w:val="en-GB"/>
        </w:rPr>
        <w:t>Results</w:t>
      </w:r>
    </w:p>
    <w:p w14:paraId="401AD94D" w14:textId="67C958BD" w:rsidR="0019539D" w:rsidRPr="0019539D" w:rsidRDefault="0019539D" w:rsidP="0019539D">
      <w:pPr>
        <w:pStyle w:val="CETBodytext"/>
        <w:rPr>
          <w:lang w:val="en-GB"/>
        </w:rPr>
      </w:pPr>
      <w:r w:rsidRPr="0019539D">
        <w:rPr>
          <w:lang w:val="en-GB"/>
        </w:rPr>
        <w:t>This section is organized into two parts: the simulation base case and the mapping of optimal operating conditions.</w:t>
      </w:r>
    </w:p>
    <w:p w14:paraId="6122A800" w14:textId="77777777" w:rsidR="007F2B4C" w:rsidRDefault="007F2B4C" w:rsidP="007F2B4C">
      <w:pPr>
        <w:pStyle w:val="CETheadingx"/>
      </w:pPr>
      <w:r>
        <w:t>Base Case</w:t>
      </w:r>
    </w:p>
    <w:p w14:paraId="0993EB82" w14:textId="77777777" w:rsidR="007F2B4C" w:rsidRPr="0022499F" w:rsidRDefault="007F2B4C" w:rsidP="007F2B4C">
      <w:pPr>
        <w:pStyle w:val="CETBodytext"/>
        <w:rPr>
          <w:lang w:val="en-GB"/>
        </w:rPr>
      </w:pPr>
      <w:r w:rsidRPr="0019539D">
        <w:rPr>
          <w:lang w:val="en-GB"/>
        </w:rPr>
        <w:t xml:space="preserve">Upon comparing the configurations with and without energy integration, it was observed that the implementation of integration resulted in a reduction of 8,899.6 </w:t>
      </w:r>
      <w:proofErr w:type="spellStart"/>
      <w:r w:rsidRPr="0019539D">
        <w:rPr>
          <w:lang w:val="en-GB"/>
        </w:rPr>
        <w:t>Mcal</w:t>
      </w:r>
      <w:proofErr w:type="spellEnd"/>
      <w:r w:rsidRPr="0019539D">
        <w:rPr>
          <w:lang w:val="en-GB"/>
        </w:rPr>
        <w:t>/h in hot utility and the complete elimination of cold utility, representing a significant result.</w:t>
      </w:r>
      <w:r>
        <w:rPr>
          <w:lang w:val="en-GB"/>
        </w:rPr>
        <w:t xml:space="preserve"> </w:t>
      </w:r>
      <w:r w:rsidRPr="0022499F">
        <w:rPr>
          <w:lang w:val="en-GB"/>
        </w:rPr>
        <w:t>It is noteworthy that, even with energy integration, the heat duty required to maintain reactor temperatures remains high. This is attributed to the high operating temperatures selected for the base case: 600 °C, 350 °C, and 280 °C for the ESR, HT-WGS, and LT-WGS reactors, respectively.</w:t>
      </w:r>
    </w:p>
    <w:p w14:paraId="0ABE9619" w14:textId="30B49E48" w:rsidR="007F2B4C" w:rsidRPr="0022499F" w:rsidRDefault="007F2B4C" w:rsidP="007F2B4C">
      <w:pPr>
        <w:pStyle w:val="CETBodytext"/>
        <w:rPr>
          <w:lang w:val="en-GB"/>
        </w:rPr>
      </w:pPr>
      <w:r w:rsidRPr="0022499F">
        <w:rPr>
          <w:lang w:val="en-GB"/>
        </w:rPr>
        <w:t>The reactor effluent flows into a Flash separator, where excess</w:t>
      </w:r>
      <w:r w:rsidR="00FB60D3">
        <w:rPr>
          <w:lang w:val="en-GB"/>
        </w:rPr>
        <w:t xml:space="preserve"> of</w:t>
      </w:r>
      <w:r w:rsidRPr="0022499F">
        <w:rPr>
          <w:lang w:val="en-GB"/>
        </w:rPr>
        <w:t xml:space="preserve"> water is removed and recycled back into the process, recovering 93% of the water that would otherwise be lost as wastewater. The product recovered from the top of the Flash unit is directed to the PSA column. It was observed that the simulation results aligned closely with literature expectations, showing a 70 mol% hydrogen feed to the PSA unit (Ruth; Laffen; </w:t>
      </w:r>
      <w:proofErr w:type="spellStart"/>
      <w:r w:rsidRPr="0022499F">
        <w:rPr>
          <w:lang w:val="en-GB"/>
        </w:rPr>
        <w:t>Timbario</w:t>
      </w:r>
      <w:proofErr w:type="spellEnd"/>
      <w:r w:rsidRPr="0022499F">
        <w:rPr>
          <w:lang w:val="en-GB"/>
        </w:rPr>
        <w:t>, 2009), which supports the model's validation.</w:t>
      </w:r>
    </w:p>
    <w:p w14:paraId="4C90F594" w14:textId="77777777" w:rsidR="007F2B4C" w:rsidRPr="0022499F" w:rsidRDefault="007F2B4C" w:rsidP="007F2B4C">
      <w:pPr>
        <w:pStyle w:val="CETBodytext"/>
        <w:rPr>
          <w:lang w:val="en-GB"/>
        </w:rPr>
      </w:pPr>
      <w:r w:rsidRPr="0022499F">
        <w:rPr>
          <w:lang w:val="en-GB"/>
        </w:rPr>
        <w:t xml:space="preserve">The simulated PSA purification step assumed a hydrogen recovery with 99.99% purity, as described by ISO/TC 197 (2019). The heat duty for this process was -184.72 </w:t>
      </w:r>
      <w:proofErr w:type="spellStart"/>
      <w:r w:rsidRPr="0022499F">
        <w:rPr>
          <w:lang w:val="en-GB"/>
        </w:rPr>
        <w:t>Mcal</w:t>
      </w:r>
      <w:proofErr w:type="spellEnd"/>
      <w:r w:rsidRPr="0022499F">
        <w:rPr>
          <w:lang w:val="en-GB"/>
        </w:rPr>
        <w:t>/h. Finally, a compression stage was added to bring the purified hydrogen to 300 bar and 25 °C, requiring a power input of 7,308.62 kW.</w:t>
      </w:r>
    </w:p>
    <w:p w14:paraId="0CADD37D" w14:textId="77777777" w:rsidR="00A600E9" w:rsidRDefault="007F2B4C" w:rsidP="00A600E9">
      <w:pPr>
        <w:pStyle w:val="CETBodytext"/>
        <w:rPr>
          <w:lang w:val="en-GB"/>
        </w:rPr>
      </w:pPr>
      <w:r w:rsidRPr="0022499F">
        <w:rPr>
          <w:lang w:val="en-GB"/>
        </w:rPr>
        <w:t>The simulation base case resulted in 100% ethanol conversion, a yield of 88.71%, and a hydrogen production rate of 1,063.54 kg/h. These parameters will be compared with the results obtained from the optimization process. CO, CO</w:t>
      </w:r>
      <w:r w:rsidRPr="0022499F">
        <w:rPr>
          <w:vertAlign w:val="subscript"/>
          <w:lang w:val="en-GB"/>
        </w:rPr>
        <w:t>2</w:t>
      </w:r>
      <w:r>
        <w:rPr>
          <w:lang w:val="en-GB"/>
        </w:rPr>
        <w:t>,</w:t>
      </w:r>
      <w:r w:rsidRPr="0022499F">
        <w:rPr>
          <w:lang w:val="en-GB"/>
        </w:rPr>
        <w:t xml:space="preserve"> CH</w:t>
      </w:r>
      <w:r w:rsidRPr="0022499F">
        <w:rPr>
          <w:vertAlign w:val="subscript"/>
          <w:lang w:val="en-GB"/>
        </w:rPr>
        <w:t>4</w:t>
      </w:r>
      <w:r w:rsidRPr="0022499F">
        <w:rPr>
          <w:lang w:val="en-GB"/>
        </w:rPr>
        <w:t xml:space="preserve"> and CH</w:t>
      </w:r>
      <w:r w:rsidRPr="0022499F">
        <w:rPr>
          <w:vertAlign w:val="subscript"/>
          <w:lang w:val="en-GB"/>
        </w:rPr>
        <w:t>3</w:t>
      </w:r>
      <w:r w:rsidRPr="0022499F">
        <w:rPr>
          <w:lang w:val="en-GB"/>
        </w:rPr>
        <w:t>CHO were formed as byproducts</w:t>
      </w:r>
      <w:r>
        <w:rPr>
          <w:lang w:val="en-GB"/>
        </w:rPr>
        <w:t>.</w:t>
      </w:r>
    </w:p>
    <w:p w14:paraId="5047E909" w14:textId="1B28F0E2" w:rsidR="00A600E9" w:rsidRPr="00A600E9" w:rsidRDefault="00A600E9" w:rsidP="00A600E9">
      <w:pPr>
        <w:pStyle w:val="CETBodytext"/>
        <w:rPr>
          <w:lang w:val="en-GB"/>
        </w:rPr>
      </w:pPr>
      <w:r w:rsidRPr="0069136C">
        <w:rPr>
          <w:lang w:val="en-GB"/>
        </w:rPr>
        <w:t xml:space="preserve">The main simulation flowsheet is presented in Figure </w:t>
      </w:r>
      <w:r>
        <w:rPr>
          <w:lang w:val="en-GB"/>
        </w:rPr>
        <w:t>2</w:t>
      </w:r>
      <w:r w:rsidRPr="0069136C">
        <w:rPr>
          <w:lang w:val="en-GB"/>
        </w:rPr>
        <w:t>.</w:t>
      </w:r>
    </w:p>
    <w:p w14:paraId="71C3E6A4" w14:textId="77777777" w:rsidR="00A600E9" w:rsidRDefault="00A600E9" w:rsidP="00A600E9">
      <w:pPr>
        <w:pStyle w:val="CETBodytext"/>
        <w:jc w:val="center"/>
        <w:rPr>
          <w:rStyle w:val="CETCaptionCarattere"/>
        </w:rPr>
      </w:pPr>
      <w:r>
        <w:rPr>
          <w:noProof/>
        </w:rPr>
        <w:lastRenderedPageBreak/>
        <w:drawing>
          <wp:inline distT="0" distB="0" distL="0" distR="0" wp14:anchorId="196625A6" wp14:editId="2593336F">
            <wp:extent cx="5557487" cy="2190750"/>
            <wp:effectExtent l="0" t="0" r="5715" b="0"/>
            <wp:docPr id="8581322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487" cy="2190750"/>
                    </a:xfrm>
                    <a:prstGeom prst="rect">
                      <a:avLst/>
                    </a:prstGeom>
                    <a:noFill/>
                    <a:ln>
                      <a:noFill/>
                    </a:ln>
                  </pic:spPr>
                </pic:pic>
              </a:graphicData>
            </a:graphic>
          </wp:inline>
        </w:drawing>
      </w:r>
    </w:p>
    <w:p w14:paraId="1D39DFB5" w14:textId="2B478D03" w:rsidR="00A600E9" w:rsidRPr="00A600E9" w:rsidRDefault="00A600E9" w:rsidP="00A600E9">
      <w:pPr>
        <w:pStyle w:val="CETBodytext"/>
        <w:jc w:val="center"/>
        <w:rPr>
          <w:i/>
          <w:lang w:val="en-GB"/>
        </w:rPr>
      </w:pPr>
      <w:r w:rsidRPr="00BD077D">
        <w:rPr>
          <w:rStyle w:val="CETCaptionCarattere"/>
        </w:rPr>
        <w:t xml:space="preserve">Figure </w:t>
      </w:r>
      <w:r>
        <w:rPr>
          <w:rStyle w:val="CETCaptionCarattere"/>
        </w:rPr>
        <w:t>2</w:t>
      </w:r>
      <w:r w:rsidRPr="00BD077D">
        <w:rPr>
          <w:rStyle w:val="CETCaptionCarattere"/>
        </w:rPr>
        <w:t xml:space="preserve">: </w:t>
      </w:r>
      <w:r w:rsidRPr="00A600E9">
        <w:rPr>
          <w:rStyle w:val="CETCaptionCarattere"/>
        </w:rPr>
        <w:t>Flow Diagram</w:t>
      </w:r>
      <w:r>
        <w:rPr>
          <w:rStyle w:val="CETCaptionCarattere"/>
        </w:rPr>
        <w:t xml:space="preserve"> </w:t>
      </w:r>
      <w:r>
        <w:rPr>
          <w:rStyle w:val="CETCaptionCarattere"/>
        </w:rPr>
        <w:t>at Aspen Plus</w:t>
      </w:r>
      <w:r>
        <w:t>®</w:t>
      </w:r>
      <w:r>
        <w:rPr>
          <w:rStyle w:val="CETCaptionCarattere"/>
        </w:rPr>
        <w:t xml:space="preserve"> Software.</w:t>
      </w:r>
    </w:p>
    <w:p w14:paraId="67141EA9" w14:textId="26A5AB72" w:rsidR="007F2B4C" w:rsidRDefault="007F2B4C" w:rsidP="0069136C">
      <w:pPr>
        <w:pStyle w:val="CETheadingx"/>
      </w:pPr>
      <w:r>
        <w:t>Mapping of optimal operating conditions</w:t>
      </w:r>
    </w:p>
    <w:p w14:paraId="22B445EF" w14:textId="64C99AB0" w:rsidR="007F2B4C" w:rsidRPr="007F2B4C" w:rsidRDefault="005B6C0F" w:rsidP="007F2B4C">
      <w:pPr>
        <w:pStyle w:val="CETBodytext"/>
      </w:pPr>
      <w:r w:rsidRPr="005B6C0F">
        <w:t>The initial analysis for the optimization using Surrogate Models consisted of screening the effects of each of the six evaluated parameters. Considering a 95% confidence interval, all main effects were found to be significant</w:t>
      </w:r>
      <w:r>
        <w:t xml:space="preserve">: </w:t>
      </w:r>
      <w:r w:rsidRPr="005B6C0F">
        <w:t>ESR temperature, pressure, reagent ratio, and feed flow rate</w:t>
      </w:r>
      <w:r>
        <w:t xml:space="preserve">, </w:t>
      </w:r>
      <w:r w:rsidRPr="005B6C0F">
        <w:t>with the exception of the HT-WGS and LT-WGS temperatures. Furthermore, several two-factor interaction effects were also deemed significant, excluding interactions involving WGS temperatures, as the main effects of these variables were not significant.</w:t>
      </w:r>
      <w:r>
        <w:t xml:space="preserve"> </w:t>
      </w:r>
      <w:r w:rsidRPr="005B6C0F">
        <w:t>The non-significance of the WGS temperatures is attributed to the narrow variation range defined for these reactors</w:t>
      </w:r>
      <w:r w:rsidR="008A535F">
        <w:t xml:space="preserve"> using the available literature</w:t>
      </w:r>
      <w:r w:rsidRPr="005B6C0F">
        <w:t>, which was insufficient to significantly influence the observed results. Since this range was constrained by the selected reaction kinetics and could not be altered, these parameters were excluded from the subsequent optimization study. Instead, they were fixed at the minimum value of 250 °C to reduce the energy consumption.</w:t>
      </w:r>
    </w:p>
    <w:p w14:paraId="79DE5CEA" w14:textId="110E9CA5" w:rsidR="0022499F" w:rsidRDefault="00AE351C" w:rsidP="00AE351C">
      <w:pPr>
        <w:pStyle w:val="CETBodytext"/>
        <w:rPr>
          <w:lang w:val="en-GB"/>
        </w:rPr>
      </w:pPr>
      <w:r w:rsidRPr="00AE351C">
        <w:rPr>
          <w:lang w:val="en-GB"/>
        </w:rPr>
        <w:t xml:space="preserve">Following the initial screening of parameter influence and the exclusion of the </w:t>
      </w:r>
      <w:r w:rsidR="008A535F">
        <w:rPr>
          <w:lang w:val="en-GB"/>
        </w:rPr>
        <w:t>WGS</w:t>
      </w:r>
      <w:r w:rsidRPr="00AE351C">
        <w:rPr>
          <w:lang w:val="en-GB"/>
        </w:rPr>
        <w:t xml:space="preserve"> reactor temperatures, FCCCD was conducted to generate response surfaces and identify optimal operating </w:t>
      </w:r>
      <w:r w:rsidR="00401A9F" w:rsidRPr="00AE351C">
        <w:rPr>
          <w:lang w:val="en-GB"/>
        </w:rPr>
        <w:t>regions. The</w:t>
      </w:r>
      <w:r w:rsidRPr="00AE351C">
        <w:rPr>
          <w:lang w:val="en-GB"/>
        </w:rPr>
        <w:t xml:space="preserve"> values used for the lower (-1), </w:t>
      </w:r>
      <w:proofErr w:type="spellStart"/>
      <w:r w:rsidRPr="00AE351C">
        <w:rPr>
          <w:lang w:val="en-GB"/>
        </w:rPr>
        <w:t>center</w:t>
      </w:r>
      <w:proofErr w:type="spellEnd"/>
      <w:r w:rsidRPr="00AE351C">
        <w:rPr>
          <w:lang w:val="en-GB"/>
        </w:rPr>
        <w:t xml:space="preserve"> (0), and upper (+1) levels of the design are listed in Table </w:t>
      </w:r>
      <w:r>
        <w:rPr>
          <w:lang w:val="en-GB"/>
        </w:rPr>
        <w:t>2</w:t>
      </w:r>
      <w:r w:rsidRPr="00AE351C">
        <w:rPr>
          <w:lang w:val="en-GB"/>
        </w:rPr>
        <w:t xml:space="preserve">. </w:t>
      </w:r>
    </w:p>
    <w:p w14:paraId="7504AB0F" w14:textId="4B1F1DEE" w:rsidR="00AE351C" w:rsidRPr="00B57B36" w:rsidRDefault="00AE351C" w:rsidP="00AE351C">
      <w:pPr>
        <w:pStyle w:val="CETTabletitle"/>
        <w:jc w:val="center"/>
      </w:pPr>
      <w:r w:rsidRPr="00B57B36">
        <w:t xml:space="preserve">Table </w:t>
      </w:r>
      <w:r>
        <w:t>2</w:t>
      </w:r>
      <w:r w:rsidRPr="00B57B36">
        <w:t xml:space="preserve">: </w:t>
      </w:r>
      <w:r>
        <w:t xml:space="preserve">High, low and </w:t>
      </w:r>
      <w:proofErr w:type="spellStart"/>
      <w:r>
        <w:t>center</w:t>
      </w:r>
      <w:proofErr w:type="spellEnd"/>
      <w:r>
        <w:t xml:space="preserve"> levels for each operation factor.</w:t>
      </w:r>
    </w:p>
    <w:tbl>
      <w:tblPr>
        <w:tblW w:w="6804" w:type="dxa"/>
        <w:tblInd w:w="113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560"/>
        <w:gridCol w:w="1275"/>
        <w:gridCol w:w="1261"/>
        <w:gridCol w:w="1574"/>
      </w:tblGrid>
      <w:tr w:rsidR="00AE351C" w:rsidRPr="00B57B36" w14:paraId="45A62490" w14:textId="77777777" w:rsidTr="00AE351C">
        <w:tc>
          <w:tcPr>
            <w:tcW w:w="1134" w:type="dxa"/>
            <w:tcBorders>
              <w:top w:val="single" w:sz="12" w:space="0" w:color="008000"/>
              <w:bottom w:val="single" w:sz="6" w:space="0" w:color="008000"/>
            </w:tcBorders>
            <w:shd w:val="clear" w:color="auto" w:fill="FFFFFF"/>
          </w:tcPr>
          <w:p w14:paraId="4F234DA4" w14:textId="77777777" w:rsidR="00AE351C" w:rsidRPr="00B57B36" w:rsidRDefault="00AE351C" w:rsidP="00AE351C">
            <w:pPr>
              <w:pStyle w:val="CETBodytext"/>
              <w:jc w:val="center"/>
              <w:rPr>
                <w:lang w:val="en-GB"/>
              </w:rPr>
            </w:pPr>
            <w:r>
              <w:rPr>
                <w:lang w:val="en-GB"/>
              </w:rPr>
              <w:t>Level</w:t>
            </w:r>
          </w:p>
        </w:tc>
        <w:tc>
          <w:tcPr>
            <w:tcW w:w="1560" w:type="dxa"/>
            <w:tcBorders>
              <w:top w:val="single" w:sz="12" w:space="0" w:color="008000"/>
              <w:bottom w:val="single" w:sz="6" w:space="0" w:color="008000"/>
            </w:tcBorders>
            <w:shd w:val="clear" w:color="auto" w:fill="FFFFFF"/>
          </w:tcPr>
          <w:p w14:paraId="18667BB3" w14:textId="77777777" w:rsidR="00AE351C" w:rsidRPr="00B57B36" w:rsidRDefault="00AE351C" w:rsidP="00AE351C">
            <w:pPr>
              <w:pStyle w:val="CETBodytext"/>
              <w:jc w:val="center"/>
              <w:rPr>
                <w:lang w:val="en-GB"/>
              </w:rPr>
            </w:pPr>
            <w:r>
              <w:rPr>
                <w:lang w:val="en-GB"/>
              </w:rPr>
              <w:t>Flow rate</w:t>
            </w:r>
          </w:p>
        </w:tc>
        <w:tc>
          <w:tcPr>
            <w:tcW w:w="1275" w:type="dxa"/>
            <w:tcBorders>
              <w:top w:val="single" w:sz="12" w:space="0" w:color="008000"/>
              <w:bottom w:val="single" w:sz="6" w:space="0" w:color="008000"/>
            </w:tcBorders>
            <w:shd w:val="clear" w:color="auto" w:fill="FFFFFF"/>
          </w:tcPr>
          <w:p w14:paraId="2EA443D1" w14:textId="77777777" w:rsidR="00AE351C" w:rsidRPr="00B57B36" w:rsidRDefault="00AE351C" w:rsidP="00AE351C">
            <w:pPr>
              <w:pStyle w:val="CETBodytext"/>
              <w:jc w:val="center"/>
              <w:rPr>
                <w:lang w:val="en-GB"/>
              </w:rPr>
            </w:pPr>
            <w:r>
              <w:rPr>
                <w:lang w:val="en-GB"/>
              </w:rPr>
              <w:t>ESR Temp.</w:t>
            </w:r>
          </w:p>
        </w:tc>
        <w:tc>
          <w:tcPr>
            <w:tcW w:w="1261" w:type="dxa"/>
            <w:tcBorders>
              <w:top w:val="single" w:sz="12" w:space="0" w:color="008000"/>
              <w:bottom w:val="single" w:sz="6" w:space="0" w:color="008000"/>
            </w:tcBorders>
            <w:shd w:val="clear" w:color="auto" w:fill="FFFFFF"/>
          </w:tcPr>
          <w:p w14:paraId="2471E5DA" w14:textId="77777777" w:rsidR="00AE351C" w:rsidRPr="00B57B36" w:rsidRDefault="00AE351C" w:rsidP="00AE351C">
            <w:pPr>
              <w:pStyle w:val="CETBodytext"/>
              <w:ind w:right="-1"/>
              <w:jc w:val="center"/>
              <w:rPr>
                <w:rFonts w:cs="Arial"/>
                <w:szCs w:val="18"/>
                <w:lang w:val="en-GB"/>
              </w:rPr>
            </w:pPr>
            <w:r>
              <w:rPr>
                <w:rFonts w:cs="Arial"/>
                <w:szCs w:val="18"/>
                <w:lang w:val="en-GB"/>
              </w:rPr>
              <w:t>Pressure</w:t>
            </w:r>
          </w:p>
        </w:tc>
        <w:tc>
          <w:tcPr>
            <w:tcW w:w="1574" w:type="dxa"/>
            <w:tcBorders>
              <w:top w:val="single" w:sz="12" w:space="0" w:color="008000"/>
              <w:bottom w:val="single" w:sz="6" w:space="0" w:color="008000"/>
            </w:tcBorders>
            <w:shd w:val="clear" w:color="auto" w:fill="FFFFFF"/>
          </w:tcPr>
          <w:p w14:paraId="408B937E" w14:textId="77777777" w:rsidR="00AE351C" w:rsidRPr="00B57B36" w:rsidRDefault="00AE351C" w:rsidP="00AE351C">
            <w:pPr>
              <w:pStyle w:val="CETBodytext"/>
              <w:ind w:right="-1"/>
              <w:jc w:val="center"/>
              <w:rPr>
                <w:rFonts w:cs="Arial"/>
                <w:szCs w:val="18"/>
                <w:lang w:val="en-GB"/>
              </w:rPr>
            </w:pPr>
            <w:r>
              <w:rPr>
                <w:rFonts w:cs="Arial"/>
                <w:szCs w:val="18"/>
                <w:lang w:val="en-GB"/>
              </w:rPr>
              <w:t>Reagent Ratio</w:t>
            </w:r>
          </w:p>
        </w:tc>
      </w:tr>
      <w:tr w:rsidR="00AE351C" w:rsidRPr="00B57B36" w14:paraId="6DBF57E7" w14:textId="77777777" w:rsidTr="00AE351C">
        <w:tc>
          <w:tcPr>
            <w:tcW w:w="1134" w:type="dxa"/>
            <w:shd w:val="clear" w:color="auto" w:fill="FFFFFF"/>
          </w:tcPr>
          <w:p w14:paraId="11D56F59" w14:textId="77777777" w:rsidR="00AE351C" w:rsidRPr="00B57B36" w:rsidRDefault="00AE351C" w:rsidP="00AE351C">
            <w:pPr>
              <w:pStyle w:val="CETBodytext"/>
              <w:jc w:val="center"/>
              <w:rPr>
                <w:lang w:val="en-GB"/>
              </w:rPr>
            </w:pPr>
          </w:p>
        </w:tc>
        <w:tc>
          <w:tcPr>
            <w:tcW w:w="1560" w:type="dxa"/>
            <w:shd w:val="clear" w:color="auto" w:fill="FFFFFF"/>
          </w:tcPr>
          <w:p w14:paraId="441D644D" w14:textId="77777777" w:rsidR="00AE351C" w:rsidRPr="00B57B36" w:rsidRDefault="00AE351C" w:rsidP="00AE351C">
            <w:pPr>
              <w:pStyle w:val="CETBodytext"/>
              <w:jc w:val="center"/>
              <w:rPr>
                <w:lang w:val="en-GB"/>
              </w:rPr>
            </w:pPr>
            <w:r>
              <w:rPr>
                <w:lang w:val="en-GB"/>
              </w:rPr>
              <w:t>(kg/h)</w:t>
            </w:r>
          </w:p>
        </w:tc>
        <w:tc>
          <w:tcPr>
            <w:tcW w:w="1275" w:type="dxa"/>
            <w:shd w:val="clear" w:color="auto" w:fill="FFFFFF"/>
          </w:tcPr>
          <w:p w14:paraId="369DB5F0" w14:textId="77777777" w:rsidR="00AE351C" w:rsidRPr="00B57B36" w:rsidRDefault="00AE351C" w:rsidP="00AE351C">
            <w:pPr>
              <w:pStyle w:val="CETBodytext"/>
              <w:jc w:val="center"/>
              <w:rPr>
                <w:lang w:val="en-GB"/>
              </w:rPr>
            </w:pPr>
            <w:r>
              <w:rPr>
                <w:lang w:val="en-GB"/>
              </w:rPr>
              <w:t>(°C)</w:t>
            </w:r>
          </w:p>
        </w:tc>
        <w:tc>
          <w:tcPr>
            <w:tcW w:w="1261" w:type="dxa"/>
            <w:shd w:val="clear" w:color="auto" w:fill="FFFFFF"/>
          </w:tcPr>
          <w:p w14:paraId="0CD87D99" w14:textId="77777777" w:rsidR="00AE351C" w:rsidRPr="00B57B36" w:rsidRDefault="00AE351C" w:rsidP="00AE351C">
            <w:pPr>
              <w:pStyle w:val="CETBodytext"/>
              <w:ind w:right="-1"/>
              <w:jc w:val="center"/>
              <w:rPr>
                <w:rFonts w:cs="Arial"/>
                <w:szCs w:val="18"/>
                <w:lang w:val="en-GB"/>
              </w:rPr>
            </w:pPr>
            <w:r>
              <w:rPr>
                <w:rFonts w:cs="Arial"/>
                <w:szCs w:val="18"/>
                <w:lang w:val="en-GB"/>
              </w:rPr>
              <w:t>(bar)</w:t>
            </w:r>
          </w:p>
        </w:tc>
        <w:tc>
          <w:tcPr>
            <w:tcW w:w="1574" w:type="dxa"/>
            <w:shd w:val="clear" w:color="auto" w:fill="FFFFFF"/>
          </w:tcPr>
          <w:p w14:paraId="68570749" w14:textId="37D4A626" w:rsidR="00AE351C" w:rsidRPr="00B57B36" w:rsidRDefault="00AE351C" w:rsidP="00AE351C">
            <w:pPr>
              <w:pStyle w:val="CETBodytext"/>
              <w:ind w:right="-1"/>
              <w:jc w:val="center"/>
              <w:rPr>
                <w:rFonts w:cs="Arial"/>
                <w:szCs w:val="18"/>
                <w:lang w:val="en-GB"/>
              </w:rPr>
            </w:pPr>
            <w:r>
              <w:rPr>
                <w:rFonts w:cs="Arial"/>
                <w:szCs w:val="18"/>
                <w:lang w:val="en-GB"/>
              </w:rPr>
              <w:t>(</w:t>
            </w:r>
            <w:proofErr w:type="gramStart"/>
            <w:r w:rsidR="00954C4C">
              <w:rPr>
                <w:rFonts w:cs="Arial"/>
                <w:szCs w:val="18"/>
                <w:lang w:val="en-GB"/>
              </w:rPr>
              <w:t>Ethanol :</w:t>
            </w:r>
            <w:proofErr w:type="gramEnd"/>
            <w:r>
              <w:rPr>
                <w:rFonts w:cs="Arial"/>
                <w:szCs w:val="18"/>
                <w:lang w:val="en-GB"/>
              </w:rPr>
              <w:t xml:space="preserve"> Water)</w:t>
            </w:r>
          </w:p>
        </w:tc>
      </w:tr>
      <w:tr w:rsidR="00AE351C" w:rsidRPr="00B57B36" w14:paraId="70BA7847" w14:textId="77777777" w:rsidTr="00AE351C">
        <w:tc>
          <w:tcPr>
            <w:tcW w:w="1134" w:type="dxa"/>
            <w:shd w:val="clear" w:color="auto" w:fill="FFFFFF"/>
          </w:tcPr>
          <w:p w14:paraId="609C37B2" w14:textId="77777777" w:rsidR="00AE351C" w:rsidRPr="00B57B36" w:rsidRDefault="00AE351C" w:rsidP="00AE351C">
            <w:pPr>
              <w:pStyle w:val="CETBodytext"/>
              <w:jc w:val="center"/>
              <w:rPr>
                <w:lang w:val="en-GB"/>
              </w:rPr>
            </w:pPr>
            <w:r>
              <w:rPr>
                <w:lang w:val="en-GB"/>
              </w:rPr>
              <w:t>(-1)</w:t>
            </w:r>
          </w:p>
        </w:tc>
        <w:tc>
          <w:tcPr>
            <w:tcW w:w="1560" w:type="dxa"/>
            <w:shd w:val="clear" w:color="auto" w:fill="FFFFFF"/>
          </w:tcPr>
          <w:p w14:paraId="64118E64" w14:textId="77777777" w:rsidR="00AE351C" w:rsidRPr="00B57B36" w:rsidRDefault="00AE351C" w:rsidP="00AE351C">
            <w:pPr>
              <w:pStyle w:val="CETBodytext"/>
              <w:jc w:val="center"/>
              <w:rPr>
                <w:lang w:val="en-GB"/>
              </w:rPr>
            </w:pPr>
            <w:r>
              <w:rPr>
                <w:lang w:val="en-GB"/>
              </w:rPr>
              <w:t>10,000</w:t>
            </w:r>
          </w:p>
        </w:tc>
        <w:tc>
          <w:tcPr>
            <w:tcW w:w="1275" w:type="dxa"/>
            <w:shd w:val="clear" w:color="auto" w:fill="FFFFFF"/>
          </w:tcPr>
          <w:p w14:paraId="10906D4B" w14:textId="77777777" w:rsidR="00AE351C" w:rsidRPr="00B57B36" w:rsidRDefault="00AE351C" w:rsidP="00AE351C">
            <w:pPr>
              <w:pStyle w:val="CETBodytext"/>
              <w:jc w:val="center"/>
              <w:rPr>
                <w:lang w:val="en-GB"/>
              </w:rPr>
            </w:pPr>
            <w:r>
              <w:rPr>
                <w:lang w:val="en-GB"/>
              </w:rPr>
              <w:t>250</w:t>
            </w:r>
          </w:p>
        </w:tc>
        <w:tc>
          <w:tcPr>
            <w:tcW w:w="1261" w:type="dxa"/>
            <w:shd w:val="clear" w:color="auto" w:fill="FFFFFF"/>
          </w:tcPr>
          <w:p w14:paraId="5A6AA37B" w14:textId="77777777" w:rsidR="00AE351C" w:rsidRPr="00B57B36" w:rsidRDefault="00AE351C" w:rsidP="00AE351C">
            <w:pPr>
              <w:pStyle w:val="CETBodytext"/>
              <w:ind w:right="-1"/>
              <w:jc w:val="center"/>
              <w:rPr>
                <w:rFonts w:cs="Arial"/>
                <w:szCs w:val="18"/>
                <w:lang w:val="en-GB"/>
              </w:rPr>
            </w:pPr>
            <w:r>
              <w:rPr>
                <w:rFonts w:cs="Arial"/>
                <w:szCs w:val="18"/>
                <w:lang w:val="en-GB"/>
              </w:rPr>
              <w:t>1</w:t>
            </w:r>
          </w:p>
        </w:tc>
        <w:tc>
          <w:tcPr>
            <w:tcW w:w="1574" w:type="dxa"/>
            <w:shd w:val="clear" w:color="auto" w:fill="FFFFFF"/>
          </w:tcPr>
          <w:p w14:paraId="480E896A" w14:textId="77777777" w:rsidR="00AE351C" w:rsidRPr="00B57B36" w:rsidRDefault="00AE351C" w:rsidP="00AE351C">
            <w:pPr>
              <w:pStyle w:val="CETBodytext"/>
              <w:ind w:right="-1"/>
              <w:jc w:val="center"/>
              <w:rPr>
                <w:rFonts w:cs="Arial"/>
                <w:szCs w:val="18"/>
                <w:lang w:val="en-GB"/>
              </w:rPr>
            </w:pPr>
            <w:r>
              <w:rPr>
                <w:rFonts w:cs="Arial"/>
                <w:szCs w:val="18"/>
                <w:lang w:val="en-GB"/>
              </w:rPr>
              <w:t>1:1</w:t>
            </w:r>
          </w:p>
        </w:tc>
      </w:tr>
      <w:tr w:rsidR="00AE351C" w:rsidRPr="00B57B36" w14:paraId="1D0FD513" w14:textId="77777777" w:rsidTr="00AE351C">
        <w:tc>
          <w:tcPr>
            <w:tcW w:w="1134" w:type="dxa"/>
            <w:shd w:val="clear" w:color="auto" w:fill="FFFFFF"/>
          </w:tcPr>
          <w:p w14:paraId="3F22FA9E" w14:textId="3B2CE36B" w:rsidR="00AE351C" w:rsidRDefault="00AE351C" w:rsidP="00AE351C">
            <w:pPr>
              <w:pStyle w:val="CETBodytext"/>
              <w:jc w:val="center"/>
              <w:rPr>
                <w:lang w:val="en-GB"/>
              </w:rPr>
            </w:pPr>
            <w:r>
              <w:rPr>
                <w:lang w:val="en-GB"/>
              </w:rPr>
              <w:t>(0)</w:t>
            </w:r>
          </w:p>
        </w:tc>
        <w:tc>
          <w:tcPr>
            <w:tcW w:w="1560" w:type="dxa"/>
            <w:shd w:val="clear" w:color="auto" w:fill="FFFFFF"/>
          </w:tcPr>
          <w:p w14:paraId="3BF55C16" w14:textId="23E3824A" w:rsidR="00AE351C" w:rsidRDefault="00AE351C" w:rsidP="00AE351C">
            <w:pPr>
              <w:pStyle w:val="CETBodytext"/>
              <w:jc w:val="center"/>
              <w:rPr>
                <w:lang w:val="en-GB"/>
              </w:rPr>
            </w:pPr>
            <w:r>
              <w:rPr>
                <w:lang w:val="en-GB"/>
              </w:rPr>
              <w:t>22,500</w:t>
            </w:r>
          </w:p>
        </w:tc>
        <w:tc>
          <w:tcPr>
            <w:tcW w:w="1275" w:type="dxa"/>
            <w:shd w:val="clear" w:color="auto" w:fill="FFFFFF"/>
          </w:tcPr>
          <w:p w14:paraId="4EDA85EB" w14:textId="3C958929" w:rsidR="00AE351C" w:rsidRDefault="00AE351C" w:rsidP="00AE351C">
            <w:pPr>
              <w:pStyle w:val="CETBodytext"/>
              <w:jc w:val="center"/>
              <w:rPr>
                <w:lang w:val="en-GB"/>
              </w:rPr>
            </w:pPr>
            <w:r>
              <w:rPr>
                <w:lang w:val="en-GB"/>
              </w:rPr>
              <w:t>425</w:t>
            </w:r>
          </w:p>
        </w:tc>
        <w:tc>
          <w:tcPr>
            <w:tcW w:w="1261" w:type="dxa"/>
            <w:shd w:val="clear" w:color="auto" w:fill="FFFFFF"/>
          </w:tcPr>
          <w:p w14:paraId="4489AC85" w14:textId="72B756A9" w:rsidR="00AE351C" w:rsidRDefault="00AE351C" w:rsidP="00AE351C">
            <w:pPr>
              <w:pStyle w:val="CETBodytext"/>
              <w:ind w:right="-1"/>
              <w:jc w:val="center"/>
              <w:rPr>
                <w:rFonts w:cs="Arial"/>
                <w:szCs w:val="18"/>
                <w:lang w:val="en-GB"/>
              </w:rPr>
            </w:pPr>
            <w:r>
              <w:rPr>
                <w:rFonts w:cs="Arial"/>
                <w:szCs w:val="18"/>
                <w:lang w:val="en-GB"/>
              </w:rPr>
              <w:t>3.5</w:t>
            </w:r>
          </w:p>
        </w:tc>
        <w:tc>
          <w:tcPr>
            <w:tcW w:w="1574" w:type="dxa"/>
            <w:shd w:val="clear" w:color="auto" w:fill="FFFFFF"/>
          </w:tcPr>
          <w:p w14:paraId="70AC4CEB" w14:textId="51501BB9" w:rsidR="00AE351C" w:rsidRDefault="00AE351C" w:rsidP="00AE351C">
            <w:pPr>
              <w:pStyle w:val="CETBodytext"/>
              <w:ind w:right="-1"/>
              <w:jc w:val="center"/>
              <w:rPr>
                <w:rFonts w:cs="Arial"/>
                <w:szCs w:val="18"/>
                <w:lang w:val="en-GB"/>
              </w:rPr>
            </w:pPr>
            <w:r>
              <w:rPr>
                <w:rFonts w:cs="Arial"/>
                <w:szCs w:val="18"/>
                <w:lang w:val="en-GB"/>
              </w:rPr>
              <w:t>1:5</w:t>
            </w:r>
          </w:p>
        </w:tc>
      </w:tr>
      <w:tr w:rsidR="00AE351C" w:rsidRPr="00B57B36" w14:paraId="69E867F5" w14:textId="77777777" w:rsidTr="00AE351C">
        <w:tc>
          <w:tcPr>
            <w:tcW w:w="1134" w:type="dxa"/>
            <w:shd w:val="clear" w:color="auto" w:fill="FFFFFF"/>
          </w:tcPr>
          <w:p w14:paraId="3CA534A7" w14:textId="77777777" w:rsidR="00AE351C" w:rsidRPr="00B57B36" w:rsidRDefault="00AE351C" w:rsidP="00AE351C">
            <w:pPr>
              <w:pStyle w:val="CETBodytext"/>
              <w:ind w:right="-1"/>
              <w:jc w:val="center"/>
              <w:rPr>
                <w:rFonts w:cs="Arial"/>
                <w:szCs w:val="18"/>
                <w:lang w:val="en-GB"/>
              </w:rPr>
            </w:pPr>
            <w:r>
              <w:rPr>
                <w:rFonts w:cs="Arial"/>
                <w:szCs w:val="18"/>
                <w:lang w:val="en-GB"/>
              </w:rPr>
              <w:t>(+1)</w:t>
            </w:r>
          </w:p>
        </w:tc>
        <w:tc>
          <w:tcPr>
            <w:tcW w:w="1560" w:type="dxa"/>
            <w:shd w:val="clear" w:color="auto" w:fill="FFFFFF"/>
          </w:tcPr>
          <w:p w14:paraId="28E1C40F" w14:textId="77777777" w:rsidR="00AE351C" w:rsidRPr="00B57B36" w:rsidRDefault="00AE351C" w:rsidP="00AE351C">
            <w:pPr>
              <w:pStyle w:val="CETBodytext"/>
              <w:ind w:right="-1"/>
              <w:jc w:val="center"/>
              <w:rPr>
                <w:rFonts w:cs="Arial"/>
                <w:szCs w:val="18"/>
                <w:lang w:val="en-GB"/>
              </w:rPr>
            </w:pPr>
            <w:r>
              <w:rPr>
                <w:rFonts w:cs="Arial"/>
                <w:szCs w:val="18"/>
                <w:lang w:val="en-GB"/>
              </w:rPr>
              <w:t>35,000</w:t>
            </w:r>
          </w:p>
        </w:tc>
        <w:tc>
          <w:tcPr>
            <w:tcW w:w="1275" w:type="dxa"/>
            <w:shd w:val="clear" w:color="auto" w:fill="FFFFFF"/>
          </w:tcPr>
          <w:p w14:paraId="782B41AC" w14:textId="77777777" w:rsidR="00AE351C" w:rsidRPr="00B57B36" w:rsidRDefault="00AE351C" w:rsidP="00AE351C">
            <w:pPr>
              <w:pStyle w:val="CETBodytext"/>
              <w:ind w:right="-1"/>
              <w:jc w:val="center"/>
              <w:rPr>
                <w:rFonts w:cs="Arial"/>
                <w:szCs w:val="18"/>
                <w:lang w:val="en-GB"/>
              </w:rPr>
            </w:pPr>
            <w:r>
              <w:rPr>
                <w:rFonts w:cs="Arial"/>
                <w:szCs w:val="18"/>
                <w:lang w:val="en-GB"/>
              </w:rPr>
              <w:t>600</w:t>
            </w:r>
          </w:p>
        </w:tc>
        <w:tc>
          <w:tcPr>
            <w:tcW w:w="1261" w:type="dxa"/>
            <w:shd w:val="clear" w:color="auto" w:fill="FFFFFF"/>
          </w:tcPr>
          <w:p w14:paraId="3033DE7D" w14:textId="77777777" w:rsidR="00AE351C" w:rsidRPr="00B57B36" w:rsidRDefault="00AE351C" w:rsidP="00AE351C">
            <w:pPr>
              <w:pStyle w:val="CETBodytext"/>
              <w:ind w:right="-1"/>
              <w:jc w:val="center"/>
              <w:rPr>
                <w:rFonts w:cs="Arial"/>
                <w:szCs w:val="18"/>
                <w:lang w:val="en-GB"/>
              </w:rPr>
            </w:pPr>
            <w:r>
              <w:rPr>
                <w:rFonts w:cs="Arial"/>
                <w:szCs w:val="18"/>
                <w:lang w:val="en-GB"/>
              </w:rPr>
              <w:t>6</w:t>
            </w:r>
          </w:p>
        </w:tc>
        <w:tc>
          <w:tcPr>
            <w:tcW w:w="1574" w:type="dxa"/>
            <w:shd w:val="clear" w:color="auto" w:fill="FFFFFF"/>
          </w:tcPr>
          <w:p w14:paraId="50EB31F5" w14:textId="77777777" w:rsidR="00AE351C" w:rsidRPr="00B57B36" w:rsidRDefault="00AE351C" w:rsidP="00AE351C">
            <w:pPr>
              <w:pStyle w:val="CETBodytext"/>
              <w:ind w:right="-1"/>
              <w:jc w:val="center"/>
              <w:rPr>
                <w:rFonts w:cs="Arial"/>
                <w:szCs w:val="18"/>
                <w:lang w:val="en-GB"/>
              </w:rPr>
            </w:pPr>
            <w:r>
              <w:rPr>
                <w:rFonts w:cs="Arial"/>
                <w:szCs w:val="18"/>
                <w:lang w:val="en-GB"/>
              </w:rPr>
              <w:t>1:9</w:t>
            </w:r>
          </w:p>
        </w:tc>
      </w:tr>
    </w:tbl>
    <w:p w14:paraId="13E907AF" w14:textId="77777777" w:rsidR="00AE351C" w:rsidRDefault="00AE351C" w:rsidP="00AE351C">
      <w:pPr>
        <w:pStyle w:val="CETBodytext"/>
      </w:pPr>
    </w:p>
    <w:p w14:paraId="050F45D8" w14:textId="6BDAE415" w:rsidR="00B64A37" w:rsidRDefault="00401A9F" w:rsidP="00200B80">
      <w:pPr>
        <w:pStyle w:val="CETBodytext"/>
        <w:rPr>
          <w:sz w:val="16"/>
          <w:szCs w:val="18"/>
        </w:rPr>
      </w:pPr>
      <w:r w:rsidRPr="00401A9F">
        <w:t>A total of 26 computational experiments were conducted and Pareto charts were obtained.</w:t>
      </w:r>
      <w:r>
        <w:t xml:space="preserve"> </w:t>
      </w:r>
      <w:r w:rsidR="007A348E" w:rsidRPr="00401A9F">
        <w:t>Concerning</w:t>
      </w:r>
      <w:r w:rsidRPr="00401A9F">
        <w:t xml:space="preserve"> ethanol conversion</w:t>
      </w:r>
      <w:r w:rsidR="00B46EC1">
        <w:t xml:space="preserve"> (Figure </w:t>
      </w:r>
      <w:r w:rsidR="00FB60D3">
        <w:t>3</w:t>
      </w:r>
      <w:r w:rsidR="00402AAC">
        <w:t>a</w:t>
      </w:r>
      <w:r w:rsidR="00B46EC1">
        <w:t>)</w:t>
      </w:r>
      <w:r w:rsidRPr="00401A9F">
        <w:t>, the most influential parameter was the ethanol-to-water ratio (p-value = 0.000114), followed by the interaction between the ethanol-to-water ratio and the ESR temperature (p-value = 0.029715).</w:t>
      </w:r>
      <w:r w:rsidR="007A348E" w:rsidRPr="007A348E">
        <w:rPr>
          <w:sz w:val="16"/>
          <w:szCs w:val="18"/>
        </w:rPr>
        <w:t xml:space="preserve">    </w:t>
      </w:r>
    </w:p>
    <w:p w14:paraId="1C6DC88A" w14:textId="475E3B21" w:rsidR="0022499F" w:rsidRPr="00401A9F" w:rsidRDefault="007A348E" w:rsidP="00200B80">
      <w:pPr>
        <w:pStyle w:val="CETBodytext"/>
      </w:pPr>
      <w:r w:rsidRPr="007A348E">
        <w:rPr>
          <w:sz w:val="16"/>
          <w:szCs w:val="18"/>
        </w:rPr>
        <w:t xml:space="preserve">                                                                               </w:t>
      </w:r>
    </w:p>
    <w:p w14:paraId="69F46CA7" w14:textId="35F58F15" w:rsidR="00200B80" w:rsidRDefault="00402AAC" w:rsidP="00401A9F">
      <w:pPr>
        <w:pStyle w:val="CETBodytext"/>
        <w:jc w:val="center"/>
      </w:pPr>
      <w:r>
        <w:rPr>
          <w:noProof/>
          <w:lang w:val="pt-BR" w:eastAsia="pt-BR"/>
        </w:rPr>
        <w:drawing>
          <wp:inline distT="0" distB="0" distL="0" distR="0" wp14:anchorId="4AD5FA16" wp14:editId="4D4BF124">
            <wp:extent cx="5677182" cy="2018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96"/>
                    <a:stretch>
                      <a:fillRect/>
                    </a:stretch>
                  </pic:blipFill>
                  <pic:spPr bwMode="auto">
                    <a:xfrm>
                      <a:off x="0" y="0"/>
                      <a:ext cx="5690735" cy="2023484"/>
                    </a:xfrm>
                    <a:prstGeom prst="rect">
                      <a:avLst/>
                    </a:prstGeom>
                    <a:noFill/>
                    <a:ln>
                      <a:noFill/>
                    </a:ln>
                    <a:extLst>
                      <a:ext uri="{53640926-AAD7-44D8-BBD7-CCE9431645EC}">
                        <a14:shadowObscured xmlns:a14="http://schemas.microsoft.com/office/drawing/2010/main"/>
                      </a:ext>
                    </a:extLst>
                  </pic:spPr>
                </pic:pic>
              </a:graphicData>
            </a:graphic>
          </wp:inline>
        </w:drawing>
      </w:r>
    </w:p>
    <w:p w14:paraId="103D409B" w14:textId="387D2BCA" w:rsidR="00200B80" w:rsidRDefault="00200B80" w:rsidP="00401A9F">
      <w:pPr>
        <w:pStyle w:val="CETBodytext"/>
        <w:jc w:val="center"/>
      </w:pPr>
      <w:r w:rsidRPr="00BD077D">
        <w:rPr>
          <w:rStyle w:val="CETCaptionCarattere"/>
        </w:rPr>
        <w:t xml:space="preserve">Figure </w:t>
      </w:r>
      <w:r w:rsidR="00FB60D3">
        <w:rPr>
          <w:rStyle w:val="CETCaptionCarattere"/>
        </w:rPr>
        <w:t>3</w:t>
      </w:r>
      <w:r w:rsidRPr="00BD077D">
        <w:rPr>
          <w:rStyle w:val="CETCaptionCarattere"/>
        </w:rPr>
        <w:t xml:space="preserve">: </w:t>
      </w:r>
      <w:r w:rsidR="00402AAC">
        <w:rPr>
          <w:rStyle w:val="CETCaptionCarattere"/>
        </w:rPr>
        <w:t xml:space="preserve">(a) </w:t>
      </w:r>
      <w:r>
        <w:rPr>
          <w:rStyle w:val="CETCaptionCarattere"/>
        </w:rPr>
        <w:t>Pareto Chart for conversion of ethanol</w:t>
      </w:r>
      <w:r w:rsidR="00402AAC">
        <w:rPr>
          <w:rStyle w:val="CETCaptionCarattere"/>
        </w:rPr>
        <w:t xml:space="preserve">; (b) </w:t>
      </w:r>
      <w:r w:rsidR="00402AAC" w:rsidRPr="00402AAC">
        <w:rPr>
          <w:rStyle w:val="CETCaptionCarattere"/>
        </w:rPr>
        <w:t>Pareto Chart for yield of hydrogen.</w:t>
      </w:r>
    </w:p>
    <w:p w14:paraId="4B583A1A" w14:textId="68C3D41C" w:rsidR="00200B80" w:rsidRDefault="00200B80" w:rsidP="00200B80">
      <w:pPr>
        <w:pStyle w:val="CETBodytext"/>
        <w:rPr>
          <w:sz w:val="16"/>
          <w:szCs w:val="18"/>
        </w:rPr>
      </w:pPr>
    </w:p>
    <w:p w14:paraId="0D980700" w14:textId="34B92C69" w:rsidR="00200B80" w:rsidRPr="00401A9F" w:rsidRDefault="00200B80" w:rsidP="00200B80">
      <w:pPr>
        <w:pStyle w:val="CETBodytext"/>
      </w:pPr>
      <w:r w:rsidRPr="00401A9F">
        <w:t>The yield analysis</w:t>
      </w:r>
      <w:r w:rsidR="00B46EC1">
        <w:t xml:space="preserve"> (Figure </w:t>
      </w:r>
      <w:r w:rsidR="00FB60D3">
        <w:t>3</w:t>
      </w:r>
      <w:r w:rsidR="00402AAC">
        <w:t>b</w:t>
      </w:r>
      <w:r w:rsidR="00B46EC1">
        <w:t>)</w:t>
      </w:r>
      <w:r w:rsidRPr="00401A9F">
        <w:t xml:space="preserve"> revealed three statistically significant effects: temperature (p-value = 0.000060), the interaction between temperature and the ethanol-to-water ratio (</w:t>
      </w:r>
      <w:r>
        <w:t>p</w:t>
      </w:r>
      <w:r w:rsidRPr="00401A9F">
        <w:t>-value = 0.000140), and the ethanol-to-water ratio (p-value = 0.000229).</w:t>
      </w:r>
    </w:p>
    <w:p w14:paraId="24A910B8" w14:textId="53EC7EA7" w:rsidR="00B46EC1" w:rsidRPr="00141A8F" w:rsidRDefault="00B46EC1" w:rsidP="00B46EC1">
      <w:pPr>
        <w:pStyle w:val="CETBodytext"/>
      </w:pPr>
      <w:r w:rsidRPr="00BB1A2C">
        <w:t>Thus, the surrogate model for conversion (</w:t>
      </w:r>
      <w:proofErr w:type="spellStart"/>
      <w:r w:rsidRPr="00BB1A2C">
        <w:t>X</w:t>
      </w:r>
      <w:r w:rsidRPr="00BB1A2C">
        <w:rPr>
          <w:vertAlign w:val="subscript"/>
        </w:rPr>
        <w:t>EtOH</w:t>
      </w:r>
      <w:proofErr w:type="spellEnd"/>
      <w:r>
        <w:t xml:space="preserve">) </w:t>
      </w:r>
      <w:r w:rsidRPr="00BB1A2C">
        <w:t>was defined as a function of the significant effects: reactant ratio (</w:t>
      </w:r>
      <w:r>
        <w:t>R</w:t>
      </w:r>
      <w:r w:rsidRPr="00BB1A2C">
        <w:t>R) and the interaction between reactant ratio and temperature (</w:t>
      </w:r>
      <w:proofErr w:type="gramStart"/>
      <w:r>
        <w:t>R</w:t>
      </w:r>
      <w:r w:rsidRPr="00BB1A2C">
        <w:t>R</w:t>
      </w:r>
      <w:r>
        <w:t xml:space="preserve"> .</w:t>
      </w:r>
      <w:proofErr w:type="gramEnd"/>
      <w:r>
        <w:t xml:space="preserve"> </w:t>
      </w:r>
      <w:r w:rsidRPr="00BB1A2C">
        <w:t xml:space="preserve">T), as shown in Equation </w:t>
      </w:r>
      <w:r>
        <w:t>4.</w:t>
      </w:r>
      <w:r w:rsidRPr="00BB1A2C">
        <w:t xml:space="preserve"> Regarding yield, the surrogate model (</w:t>
      </w:r>
      <w:r>
        <w:t>Y</w:t>
      </w:r>
      <w:r w:rsidRPr="00BB1A2C">
        <w:rPr>
          <w:vertAlign w:val="subscript"/>
        </w:rPr>
        <w:t>H2</w:t>
      </w:r>
      <w:r w:rsidRPr="00BB1A2C">
        <w:t>) was established as a function of the significant effects: temperature (T), reactant ratio (</w:t>
      </w:r>
      <w:r>
        <w:t>R</w:t>
      </w:r>
      <w:r w:rsidRPr="00BB1A2C">
        <w:t>R), and the combined effect of reactant ratio and temperature (</w:t>
      </w:r>
      <w:proofErr w:type="gramStart"/>
      <w:r>
        <w:t>R</w:t>
      </w:r>
      <w:r w:rsidRPr="00BB1A2C">
        <w:t xml:space="preserve">R </w:t>
      </w:r>
      <w:r>
        <w:t>.</w:t>
      </w:r>
      <w:proofErr w:type="gramEnd"/>
      <w:r w:rsidRPr="00BB1A2C">
        <w:t xml:space="preserve"> T), as presented in Equation </w:t>
      </w:r>
      <w:r>
        <w:t>5</w:t>
      </w:r>
      <w:r w:rsidRPr="00BB1A2C">
        <w:t>.</w:t>
      </w:r>
      <w:r>
        <w:t xml:space="preserve"> </w:t>
      </w:r>
      <w:r w:rsidRPr="00141A8F">
        <w:t>The models exhibited R</w:t>
      </w:r>
      <w:r w:rsidRPr="00141A8F">
        <w:rPr>
          <w:vertAlign w:val="superscript"/>
        </w:rPr>
        <w:t xml:space="preserve">2 </w:t>
      </w:r>
      <w:r w:rsidRPr="00141A8F">
        <w:t>values of 0</w:t>
      </w:r>
      <w:r>
        <w:t>.</w:t>
      </w:r>
      <w:r w:rsidRPr="00141A8F">
        <w:t>9502</w:t>
      </w:r>
      <w:r>
        <w:t xml:space="preserve"> </w:t>
      </w:r>
      <w:r w:rsidRPr="00141A8F">
        <w:t>for conversion and 0.9</w:t>
      </w:r>
      <w:r>
        <w:t>542</w:t>
      </w:r>
      <w:r w:rsidRPr="00141A8F">
        <w:t xml:space="preserve"> for yield.</w:t>
      </w:r>
    </w:p>
    <w:p w14:paraId="04F330EC" w14:textId="77777777" w:rsidR="00B46EC1" w:rsidRDefault="00B46EC1" w:rsidP="00B46EC1">
      <w:pPr>
        <w:pStyle w:val="CETBodytext"/>
      </w:pPr>
    </w:p>
    <w:p w14:paraId="00A88B8E" w14:textId="3DD695C3" w:rsidR="00B46EC1" w:rsidRDefault="00B46EC1" w:rsidP="00B46EC1">
      <w:pPr>
        <w:pStyle w:val="CETBodytext"/>
        <w:rPr>
          <w:sz w:val="16"/>
          <w:szCs w:val="18"/>
        </w:rPr>
      </w:pPr>
      <w:r w:rsidRPr="00BB1A2C">
        <w:rPr>
          <w:rFonts w:ascii="Cambria Math" w:hAnsi="Cambria Math" w:cs="Cambria Math"/>
        </w:rPr>
        <w:t>𝑋</w:t>
      </w:r>
      <w:r w:rsidRPr="00BB1A2C">
        <w:rPr>
          <w:rFonts w:ascii="Cambria Math" w:hAnsi="Cambria Math" w:cs="Cambria Math"/>
          <w:vertAlign w:val="subscript"/>
        </w:rPr>
        <w:t>𝐸𝑇𝑂𝐻</w:t>
      </w:r>
      <w:r w:rsidR="00B01434">
        <w:rPr>
          <w:rFonts w:ascii="Cambria Math" w:hAnsi="Cambria Math" w:cs="Cambria Math"/>
          <w:vertAlign w:val="subscript"/>
        </w:rPr>
        <w:t xml:space="preserve"> </w:t>
      </w:r>
      <w:r w:rsidRPr="00BB1A2C">
        <w:t>= 84</w:t>
      </w:r>
      <w:r w:rsidR="00B01434">
        <w:t>.</w:t>
      </w:r>
      <w:r w:rsidRPr="00BB1A2C">
        <w:t>5128+14</w:t>
      </w:r>
      <w:r w:rsidR="00B01434">
        <w:t>.</w:t>
      </w:r>
      <w:r w:rsidRPr="00BB1A2C">
        <w:t>1109</w:t>
      </w:r>
      <w:r w:rsidRPr="00BB1A2C">
        <w:rPr>
          <w:rFonts w:ascii="Cambria Math" w:hAnsi="Cambria Math" w:cs="Cambria Math"/>
        </w:rPr>
        <w:t>⋅</w:t>
      </w:r>
      <w:r>
        <w:rPr>
          <w:rFonts w:ascii="Cambria Math" w:hAnsi="Cambria Math" w:cs="Cambria Math"/>
        </w:rPr>
        <w:t>R</w:t>
      </w:r>
      <w:r w:rsidRPr="00BB1A2C">
        <w:rPr>
          <w:rFonts w:ascii="Cambria Math" w:hAnsi="Cambria Math" w:cs="Cambria Math"/>
        </w:rPr>
        <w:t>𝑅</w:t>
      </w:r>
      <w:r>
        <w:rPr>
          <w:rFonts w:ascii="Cambria Math" w:hAnsi="Cambria Math" w:cs="Cambria Math"/>
        </w:rPr>
        <w:t xml:space="preserve"> </w:t>
      </w:r>
      <w:r w:rsidR="00B01434">
        <w:t>–</w:t>
      </w:r>
      <w:r>
        <w:t xml:space="preserve"> </w:t>
      </w:r>
      <w:r w:rsidRPr="00BB1A2C">
        <w:t>12</w:t>
      </w:r>
      <w:r w:rsidR="00B01434">
        <w:t>.</w:t>
      </w:r>
      <w:r w:rsidRPr="00BB1A2C">
        <w:t>5647</w:t>
      </w:r>
      <w:r w:rsidRPr="00BB1A2C">
        <w:rPr>
          <w:rFonts w:ascii="Cambria Math" w:hAnsi="Cambria Math" w:cs="Cambria Math"/>
        </w:rPr>
        <w:t>⋅</w:t>
      </w:r>
      <w:r>
        <w:rPr>
          <w:rFonts w:ascii="Cambria Math" w:hAnsi="Cambria Math" w:cs="Cambria Math"/>
        </w:rPr>
        <w:t>R</w:t>
      </w:r>
      <w:r w:rsidRPr="00BB1A2C">
        <w:rPr>
          <w:rFonts w:ascii="Cambria Math" w:hAnsi="Cambria Math" w:cs="Cambria Math"/>
        </w:rPr>
        <w:t>𝑅⋅𝑇</w:t>
      </w:r>
      <w:r w:rsidRPr="00BB1A2C">
        <w:t xml:space="preserve"> </w:t>
      </w:r>
      <w:r>
        <w:t xml:space="preserve">                                                                                            </w:t>
      </w:r>
      <w:r w:rsidR="00B01434">
        <w:t xml:space="preserve"> </w:t>
      </w:r>
      <w:r>
        <w:t xml:space="preserve">                              </w:t>
      </w:r>
      <w:proofErr w:type="gramStart"/>
      <w:r>
        <w:t xml:space="preserve">   </w:t>
      </w:r>
      <w:r w:rsidRPr="00F2057E">
        <w:rPr>
          <w:sz w:val="16"/>
          <w:szCs w:val="18"/>
        </w:rPr>
        <w:t>(</w:t>
      </w:r>
      <w:proofErr w:type="gramEnd"/>
      <w:r>
        <w:rPr>
          <w:sz w:val="16"/>
          <w:szCs w:val="18"/>
        </w:rPr>
        <w:t>4)</w:t>
      </w:r>
    </w:p>
    <w:p w14:paraId="5CFE7471" w14:textId="77777777" w:rsidR="00B46EC1" w:rsidRDefault="00B46EC1" w:rsidP="00B46EC1">
      <w:pPr>
        <w:pStyle w:val="CETBodytext"/>
      </w:pPr>
      <w:r>
        <w:t xml:space="preserve">                                                         </w:t>
      </w:r>
    </w:p>
    <w:p w14:paraId="28C5F330" w14:textId="39E63677" w:rsidR="00B46EC1" w:rsidRPr="00BB1A2C" w:rsidRDefault="00B46EC1" w:rsidP="00B46EC1">
      <w:pPr>
        <w:pStyle w:val="CETBodytext"/>
        <w:rPr>
          <w:rStyle w:val="CETCaptionCarattere"/>
          <w:i w:val="0"/>
          <w:lang w:val="en-US"/>
        </w:rPr>
      </w:pPr>
      <w:r>
        <w:rPr>
          <w:rStyle w:val="CETCaptionCarattere"/>
          <w:rFonts w:ascii="Cambria Math" w:hAnsi="Cambria Math" w:cs="Cambria Math"/>
          <w:i w:val="0"/>
          <w:lang w:val="en-US"/>
        </w:rPr>
        <w:t>Y</w:t>
      </w:r>
      <w:r w:rsidRPr="00BB1A2C">
        <w:rPr>
          <w:rStyle w:val="CETCaptionCarattere"/>
          <w:rFonts w:ascii="Cambria Math" w:hAnsi="Cambria Math" w:cs="Cambria Math"/>
          <w:i w:val="0"/>
          <w:vertAlign w:val="subscript"/>
          <w:lang w:val="en-US"/>
        </w:rPr>
        <w:t>𝐻</w:t>
      </w:r>
      <w:r w:rsidRPr="00BB1A2C">
        <w:rPr>
          <w:rStyle w:val="CETCaptionCarattere"/>
          <w:i w:val="0"/>
          <w:vertAlign w:val="subscript"/>
          <w:lang w:val="en-US"/>
        </w:rPr>
        <w:t>2</w:t>
      </w:r>
      <w:r w:rsidRPr="00BB1A2C">
        <w:rPr>
          <w:rStyle w:val="CETCaptionCarattere"/>
          <w:i w:val="0"/>
          <w:lang w:val="en-US"/>
        </w:rPr>
        <w:t xml:space="preserve"> = 89.0117 + 15</w:t>
      </w:r>
      <w:r w:rsidR="00B01434">
        <w:rPr>
          <w:rStyle w:val="CETCaptionCarattere"/>
          <w:i w:val="0"/>
          <w:lang w:val="en-US"/>
        </w:rPr>
        <w:t>.</w:t>
      </w:r>
      <w:r w:rsidRPr="00BB1A2C">
        <w:rPr>
          <w:rStyle w:val="CETCaptionCarattere"/>
          <w:i w:val="0"/>
          <w:lang w:val="en-US"/>
        </w:rPr>
        <w:t xml:space="preserve">7123 </w:t>
      </w:r>
      <w:r w:rsidRPr="00BB1A2C">
        <w:rPr>
          <w:rStyle w:val="CETCaptionCarattere"/>
          <w:rFonts w:ascii="Cambria Math" w:hAnsi="Cambria Math" w:cs="Cambria Math"/>
          <w:i w:val="0"/>
          <w:lang w:val="en-US"/>
        </w:rPr>
        <w:t>⋅</w:t>
      </w:r>
      <w:r w:rsidRPr="00BB1A2C">
        <w:rPr>
          <w:rStyle w:val="CETCaptionCarattere"/>
          <w:i w:val="0"/>
          <w:lang w:val="en-US"/>
        </w:rPr>
        <w:t xml:space="preserve"> </w:t>
      </w:r>
      <w:r>
        <w:rPr>
          <w:rStyle w:val="CETCaptionCarattere"/>
          <w:rFonts w:ascii="Cambria Math" w:hAnsi="Cambria Math" w:cs="Cambria Math"/>
          <w:i w:val="0"/>
          <w:lang w:val="en-US"/>
        </w:rPr>
        <w:t>R</w:t>
      </w:r>
      <w:r w:rsidRPr="00BB1A2C">
        <w:rPr>
          <w:rStyle w:val="CETCaptionCarattere"/>
          <w:rFonts w:ascii="Cambria Math" w:hAnsi="Cambria Math" w:cs="Cambria Math"/>
          <w:i w:val="0"/>
          <w:lang w:val="en-US"/>
        </w:rPr>
        <w:t>𝑅</w:t>
      </w:r>
      <w:r w:rsidRPr="00BB1A2C">
        <w:rPr>
          <w:rStyle w:val="CETCaptionCarattere"/>
          <w:i w:val="0"/>
          <w:lang w:val="en-US"/>
        </w:rPr>
        <w:t xml:space="preserve"> + 13</w:t>
      </w:r>
      <w:r w:rsidR="00B01434">
        <w:rPr>
          <w:rStyle w:val="CETCaptionCarattere"/>
          <w:i w:val="0"/>
          <w:lang w:val="en-US"/>
        </w:rPr>
        <w:t>.</w:t>
      </w:r>
      <w:r w:rsidRPr="00BB1A2C">
        <w:rPr>
          <w:rStyle w:val="CETCaptionCarattere"/>
          <w:i w:val="0"/>
          <w:lang w:val="en-US"/>
        </w:rPr>
        <w:t xml:space="preserve">4090 </w:t>
      </w:r>
      <w:r w:rsidRPr="00BB1A2C">
        <w:rPr>
          <w:rStyle w:val="CETCaptionCarattere"/>
          <w:rFonts w:ascii="Cambria Math" w:hAnsi="Cambria Math" w:cs="Cambria Math"/>
          <w:i w:val="0"/>
          <w:lang w:val="en-US"/>
        </w:rPr>
        <w:t>⋅</w:t>
      </w:r>
      <w:r w:rsidRPr="00BB1A2C">
        <w:rPr>
          <w:rStyle w:val="CETCaptionCarattere"/>
          <w:i w:val="0"/>
          <w:lang w:val="en-US"/>
        </w:rPr>
        <w:t xml:space="preserve"> </w:t>
      </w:r>
      <w:r w:rsidRPr="00BB1A2C">
        <w:rPr>
          <w:rStyle w:val="CETCaptionCarattere"/>
          <w:rFonts w:ascii="Cambria Math" w:hAnsi="Cambria Math" w:cs="Cambria Math"/>
          <w:i w:val="0"/>
          <w:lang w:val="en-US"/>
        </w:rPr>
        <w:t>𝑇</w:t>
      </w:r>
      <w:r w:rsidRPr="00BB1A2C">
        <w:rPr>
          <w:rStyle w:val="CETCaptionCarattere"/>
          <w:i w:val="0"/>
          <w:lang w:val="en-US"/>
        </w:rPr>
        <w:t xml:space="preserve"> </w:t>
      </w:r>
      <w:r w:rsidR="00B01434">
        <w:rPr>
          <w:rStyle w:val="CETCaptionCarattere"/>
          <w:i w:val="0"/>
          <w:lang w:val="en-US"/>
        </w:rPr>
        <w:t>–</w:t>
      </w:r>
      <w:r w:rsidRPr="00BB1A2C">
        <w:rPr>
          <w:rStyle w:val="CETCaptionCarattere"/>
          <w:i w:val="0"/>
          <w:lang w:val="en-US"/>
        </w:rPr>
        <w:t xml:space="preserve"> 15</w:t>
      </w:r>
      <w:r w:rsidR="00B01434">
        <w:rPr>
          <w:rStyle w:val="CETCaptionCarattere"/>
          <w:i w:val="0"/>
          <w:lang w:val="en-US"/>
        </w:rPr>
        <w:t>.</w:t>
      </w:r>
      <w:r w:rsidRPr="00BB1A2C">
        <w:rPr>
          <w:rStyle w:val="CETCaptionCarattere"/>
          <w:i w:val="0"/>
          <w:lang w:val="en-US"/>
        </w:rPr>
        <w:t xml:space="preserve">0818 </w:t>
      </w:r>
      <w:r w:rsidRPr="00BB1A2C">
        <w:rPr>
          <w:rStyle w:val="CETCaptionCarattere"/>
          <w:rFonts w:ascii="Cambria Math" w:hAnsi="Cambria Math" w:cs="Cambria Math"/>
          <w:i w:val="0"/>
          <w:lang w:val="en-US"/>
        </w:rPr>
        <w:t>⋅</w:t>
      </w:r>
      <w:r w:rsidRPr="00BB1A2C">
        <w:rPr>
          <w:rStyle w:val="CETCaptionCarattere"/>
          <w:i w:val="0"/>
          <w:lang w:val="en-US"/>
        </w:rPr>
        <w:t xml:space="preserve"> </w:t>
      </w:r>
      <w:r>
        <w:rPr>
          <w:rStyle w:val="CETCaptionCarattere"/>
          <w:rFonts w:ascii="Cambria Math" w:hAnsi="Cambria Math" w:cs="Cambria Math"/>
          <w:i w:val="0"/>
          <w:lang w:val="en-US"/>
        </w:rPr>
        <w:t>R</w:t>
      </w:r>
      <w:r w:rsidRPr="00BB1A2C">
        <w:rPr>
          <w:rStyle w:val="CETCaptionCarattere"/>
          <w:rFonts w:ascii="Cambria Math" w:hAnsi="Cambria Math" w:cs="Cambria Math"/>
          <w:i w:val="0"/>
          <w:lang w:val="en-US"/>
        </w:rPr>
        <w:t>𝑅</w:t>
      </w:r>
      <w:r w:rsidRPr="00BB1A2C">
        <w:rPr>
          <w:rStyle w:val="CETCaptionCarattere"/>
          <w:i w:val="0"/>
          <w:lang w:val="en-US"/>
        </w:rPr>
        <w:t xml:space="preserve"> </w:t>
      </w:r>
      <w:r w:rsidRPr="00BB1A2C">
        <w:rPr>
          <w:rStyle w:val="CETCaptionCarattere"/>
          <w:rFonts w:ascii="Cambria Math" w:hAnsi="Cambria Math" w:cs="Cambria Math"/>
          <w:i w:val="0"/>
          <w:lang w:val="en-US"/>
        </w:rPr>
        <w:t>⋅</w:t>
      </w:r>
      <w:r w:rsidRPr="00BB1A2C">
        <w:rPr>
          <w:rStyle w:val="CETCaptionCarattere"/>
          <w:i w:val="0"/>
          <w:lang w:val="en-US"/>
        </w:rPr>
        <w:t xml:space="preserve"> </w:t>
      </w:r>
      <w:r w:rsidRPr="00BB1A2C">
        <w:rPr>
          <w:rStyle w:val="CETCaptionCarattere"/>
          <w:rFonts w:ascii="Cambria Math" w:hAnsi="Cambria Math" w:cs="Cambria Math"/>
          <w:i w:val="0"/>
          <w:lang w:val="en-US"/>
        </w:rPr>
        <w:t>𝑇</w:t>
      </w:r>
      <w:r>
        <w:rPr>
          <w:rStyle w:val="CETCaptionCarattere"/>
          <w:rFonts w:ascii="Cambria Math" w:hAnsi="Cambria Math" w:cs="Cambria Math"/>
          <w:i w:val="0"/>
          <w:lang w:val="en-US"/>
        </w:rPr>
        <w:t xml:space="preserve">                                                                                </w:t>
      </w:r>
      <w:r w:rsidR="00B01434">
        <w:rPr>
          <w:rStyle w:val="CETCaptionCarattere"/>
          <w:rFonts w:ascii="Cambria Math" w:hAnsi="Cambria Math" w:cs="Cambria Math"/>
          <w:i w:val="0"/>
          <w:lang w:val="en-US"/>
        </w:rPr>
        <w:t xml:space="preserve">   </w:t>
      </w:r>
      <w:r>
        <w:rPr>
          <w:rStyle w:val="CETCaptionCarattere"/>
          <w:rFonts w:ascii="Cambria Math" w:hAnsi="Cambria Math" w:cs="Cambria Math"/>
          <w:i w:val="0"/>
          <w:lang w:val="en-US"/>
        </w:rPr>
        <w:t xml:space="preserve">            </w:t>
      </w:r>
      <w:proofErr w:type="gramStart"/>
      <w:r>
        <w:rPr>
          <w:rStyle w:val="CETCaptionCarattere"/>
          <w:rFonts w:ascii="Cambria Math" w:hAnsi="Cambria Math" w:cs="Cambria Math"/>
          <w:i w:val="0"/>
          <w:lang w:val="en-US"/>
        </w:rPr>
        <w:t xml:space="preserve">   </w:t>
      </w:r>
      <w:r w:rsidRPr="00F2057E">
        <w:rPr>
          <w:sz w:val="16"/>
          <w:szCs w:val="18"/>
        </w:rPr>
        <w:t>(</w:t>
      </w:r>
      <w:proofErr w:type="gramEnd"/>
      <w:r>
        <w:rPr>
          <w:sz w:val="16"/>
          <w:szCs w:val="18"/>
        </w:rPr>
        <w:t>5)</w:t>
      </w:r>
    </w:p>
    <w:p w14:paraId="5FE29023" w14:textId="2E045857" w:rsidR="00401A9F" w:rsidRDefault="00401A9F" w:rsidP="00A600E9">
      <w:pPr>
        <w:pStyle w:val="CETBodytext"/>
        <w:rPr>
          <w:rStyle w:val="CETCaptionCarattere"/>
        </w:rPr>
      </w:pPr>
    </w:p>
    <w:p w14:paraId="35B155F3" w14:textId="748B30CF" w:rsidR="00402AAC" w:rsidRPr="00017C3F" w:rsidRDefault="00B64A37" w:rsidP="00B64A37">
      <w:pPr>
        <w:pStyle w:val="CETBodytext"/>
        <w:rPr>
          <w:rStyle w:val="CETCaptionCarattere"/>
          <w:i w:val="0"/>
        </w:rPr>
      </w:pPr>
      <w:r>
        <w:t>Response surfaces were constructed by varying the parameters pairwise while maintaining the remaining variables at their center points</w:t>
      </w:r>
      <w:r w:rsidRPr="00522FD9">
        <w:rPr>
          <w:lang w:val="en-GB"/>
        </w:rPr>
        <w:t xml:space="preserve">, allowing for the mapping of optimal operating regions. The response surfaces for conversion (Figure </w:t>
      </w:r>
      <w:r w:rsidR="00D804EF">
        <w:rPr>
          <w:lang w:val="en-GB"/>
        </w:rPr>
        <w:t>4</w:t>
      </w:r>
      <w:r w:rsidR="00402AAC" w:rsidRPr="00522FD9">
        <w:rPr>
          <w:lang w:val="en-GB"/>
        </w:rPr>
        <w:t>a</w:t>
      </w:r>
      <w:r w:rsidRPr="00522FD9">
        <w:rPr>
          <w:lang w:val="en-GB"/>
        </w:rPr>
        <w:t xml:space="preserve">) and yield (Figure </w:t>
      </w:r>
      <w:r>
        <w:rPr>
          <w:lang w:val="en-GB"/>
        </w:rPr>
        <w:t>4</w:t>
      </w:r>
      <w:r w:rsidRPr="00522FD9">
        <w:rPr>
          <w:lang w:val="en-GB"/>
        </w:rPr>
        <w:t>b) are presented as a function of the significant parameters: temperature and reactant ratio.</w:t>
      </w:r>
      <w:r>
        <w:rPr>
          <w:lang w:val="en-GB"/>
        </w:rPr>
        <w:t xml:space="preserve"> </w:t>
      </w:r>
      <w:r w:rsidRPr="00E30E1D">
        <w:rPr>
          <w:lang w:val="en-GB"/>
        </w:rPr>
        <w:t>Global optima could not be determined for all variables, as this would necessitate extrapolating beyond the validity range of the kinetic model employed, a procedure that cannot be performed.</w:t>
      </w:r>
    </w:p>
    <w:p w14:paraId="2464E3BA" w14:textId="77777777" w:rsidR="00BB1A2C" w:rsidRDefault="00BB1A2C" w:rsidP="00BB1A2C">
      <w:pPr>
        <w:pStyle w:val="CETBodytext"/>
        <w:rPr>
          <w:rStyle w:val="CETCaptionCarattere"/>
        </w:rPr>
      </w:pPr>
    </w:p>
    <w:p w14:paraId="451EA81A" w14:textId="77777777" w:rsidR="00522FD9" w:rsidRPr="00401A9F" w:rsidRDefault="00522FD9" w:rsidP="00522FD9">
      <w:pPr>
        <w:pStyle w:val="CETBodytext"/>
        <w:numPr>
          <w:ilvl w:val="0"/>
          <w:numId w:val="24"/>
        </w:numPr>
      </w:pPr>
      <w:r w:rsidRPr="007A348E">
        <w:rPr>
          <w:sz w:val="16"/>
          <w:szCs w:val="18"/>
        </w:rPr>
        <w:t xml:space="preserve">                                                                                   (b)</w:t>
      </w:r>
    </w:p>
    <w:p w14:paraId="4423BFA4" w14:textId="6F72C8D4" w:rsidR="00522FD9" w:rsidRDefault="0061074A" w:rsidP="00B64A37">
      <w:pPr>
        <w:pStyle w:val="CETBodytext"/>
        <w:jc w:val="right"/>
      </w:pPr>
      <w:r>
        <w:rPr>
          <w:noProof/>
          <w:lang w:val="pt-BR" w:eastAsia="pt-BR"/>
        </w:rPr>
        <w:drawing>
          <wp:inline distT="0" distB="0" distL="0" distR="0" wp14:anchorId="128D3C3E" wp14:editId="13C0D25F">
            <wp:extent cx="2520000" cy="1992074"/>
            <wp:effectExtent l="0" t="0" r="0" b="8255"/>
            <wp:docPr id="15635371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91" t="5966"/>
                    <a:stretch>
                      <a:fillRect/>
                    </a:stretch>
                  </pic:blipFill>
                  <pic:spPr bwMode="auto">
                    <a:xfrm>
                      <a:off x="0" y="0"/>
                      <a:ext cx="2520000" cy="1992074"/>
                    </a:xfrm>
                    <a:prstGeom prst="rect">
                      <a:avLst/>
                    </a:prstGeom>
                    <a:noFill/>
                    <a:ln>
                      <a:noFill/>
                    </a:ln>
                    <a:extLst>
                      <a:ext uri="{53640926-AAD7-44D8-BBD7-CCE9431645EC}">
                        <a14:shadowObscured xmlns:a14="http://schemas.microsoft.com/office/drawing/2010/main"/>
                      </a:ext>
                    </a:extLst>
                  </pic:spPr>
                </pic:pic>
              </a:graphicData>
            </a:graphic>
          </wp:inline>
        </w:drawing>
      </w:r>
      <w:r w:rsidR="00E948A2">
        <w:rPr>
          <w:noProof/>
          <w:lang w:val="pt-BR" w:eastAsia="pt-BR"/>
        </w:rPr>
        <w:drawing>
          <wp:inline distT="0" distB="0" distL="0" distR="0" wp14:anchorId="1E97D0F0" wp14:editId="47CE99FE">
            <wp:extent cx="2520000" cy="2033322"/>
            <wp:effectExtent l="0" t="0" r="0" b="5080"/>
            <wp:docPr id="2727908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4001" t="4934"/>
                    <a:stretch>
                      <a:fillRect/>
                    </a:stretch>
                  </pic:blipFill>
                  <pic:spPr bwMode="auto">
                    <a:xfrm>
                      <a:off x="0" y="0"/>
                      <a:ext cx="2520000" cy="2033322"/>
                    </a:xfrm>
                    <a:prstGeom prst="rect">
                      <a:avLst/>
                    </a:prstGeom>
                    <a:noFill/>
                    <a:ln>
                      <a:noFill/>
                    </a:ln>
                    <a:extLst>
                      <a:ext uri="{53640926-AAD7-44D8-BBD7-CCE9431645EC}">
                        <a14:shadowObscured xmlns:a14="http://schemas.microsoft.com/office/drawing/2010/main"/>
                      </a:ext>
                    </a:extLst>
                  </pic:spPr>
                </pic:pic>
              </a:graphicData>
            </a:graphic>
          </wp:inline>
        </w:drawing>
      </w:r>
    </w:p>
    <w:p w14:paraId="2A7BDA62" w14:textId="2130BDC6" w:rsidR="00522FD9" w:rsidRPr="00522FD9" w:rsidRDefault="00522FD9" w:rsidP="00522FD9">
      <w:pPr>
        <w:pStyle w:val="CETBodytext"/>
        <w:jc w:val="center"/>
        <w:rPr>
          <w:rStyle w:val="CETCaptionCarattere"/>
        </w:rPr>
      </w:pPr>
      <w:r w:rsidRPr="00522FD9">
        <w:rPr>
          <w:rStyle w:val="CETCaptionCarattere"/>
        </w:rPr>
        <w:t xml:space="preserve">Figure </w:t>
      </w:r>
      <w:r w:rsidR="00200B80">
        <w:rPr>
          <w:rStyle w:val="CETCaptionCarattere"/>
        </w:rPr>
        <w:t>4</w:t>
      </w:r>
      <w:r w:rsidRPr="00522FD9">
        <w:rPr>
          <w:rStyle w:val="CETCaptionCarattere"/>
        </w:rPr>
        <w:t xml:space="preserve">: </w:t>
      </w:r>
      <w:r w:rsidRPr="00E30E1D">
        <w:rPr>
          <w:i/>
          <w:iCs/>
          <w:lang w:val="en-GB"/>
        </w:rPr>
        <w:t>Response surfaces as a function of the significant parameters: temperature and reactant</w:t>
      </w:r>
      <w:r w:rsidRPr="00522FD9">
        <w:rPr>
          <w:lang w:val="en-GB"/>
        </w:rPr>
        <w:t xml:space="preserve"> ratio </w:t>
      </w:r>
      <w:r w:rsidRPr="00522FD9">
        <w:rPr>
          <w:rStyle w:val="CETCaptionCarattere"/>
        </w:rPr>
        <w:t>(a) for conversion; (b)</w:t>
      </w:r>
      <w:r w:rsidRPr="00522FD9">
        <w:t xml:space="preserve"> </w:t>
      </w:r>
      <w:r w:rsidRPr="00522FD9">
        <w:rPr>
          <w:rStyle w:val="CETCaptionCarattere"/>
        </w:rPr>
        <w:t>for yield.</w:t>
      </w:r>
    </w:p>
    <w:p w14:paraId="07A59437" w14:textId="6C75B957" w:rsidR="00522FD9" w:rsidRPr="00522FD9" w:rsidRDefault="00522FD9" w:rsidP="003324B4">
      <w:pPr>
        <w:pStyle w:val="CETBodytext"/>
        <w:rPr>
          <w:lang w:val="en-GB"/>
        </w:rPr>
      </w:pPr>
    </w:p>
    <w:p w14:paraId="01D2EC21" w14:textId="1EE74D2A" w:rsidR="003324B4" w:rsidRDefault="003324B4" w:rsidP="003324B4">
      <w:pPr>
        <w:pStyle w:val="CETBodytext"/>
        <w:rPr>
          <w:iCs/>
          <w:lang w:val="en-GB"/>
        </w:rPr>
      </w:pPr>
      <w:r w:rsidRPr="003324B4">
        <w:rPr>
          <w:iCs/>
          <w:lang w:val="en-GB"/>
        </w:rPr>
        <w:t xml:space="preserve">Table </w:t>
      </w:r>
      <w:r>
        <w:rPr>
          <w:iCs/>
          <w:lang w:val="en-GB"/>
        </w:rPr>
        <w:t>3</w:t>
      </w:r>
      <w:r w:rsidRPr="003324B4">
        <w:rPr>
          <w:iCs/>
          <w:lang w:val="en-GB"/>
        </w:rPr>
        <w:t xml:space="preserve"> presents the local </w:t>
      </w:r>
      <w:r>
        <w:rPr>
          <w:iCs/>
          <w:lang w:val="en-GB"/>
        </w:rPr>
        <w:t>maximum</w:t>
      </w:r>
      <w:r w:rsidRPr="003324B4">
        <w:rPr>
          <w:iCs/>
          <w:lang w:val="en-GB"/>
        </w:rPr>
        <w:t xml:space="preserve"> obtained within the range established by the kinetic study. For all response parameters, lower pressures and higher temperatures yielded optimal results for the case under study. This </w:t>
      </w:r>
      <w:r w:rsidR="00BE02A6" w:rsidRPr="003324B4">
        <w:rPr>
          <w:iCs/>
          <w:lang w:val="en-GB"/>
        </w:rPr>
        <w:t>behaviour</w:t>
      </w:r>
      <w:r w:rsidRPr="003324B4">
        <w:rPr>
          <w:iCs/>
          <w:lang w:val="en-GB"/>
        </w:rPr>
        <w:t xml:space="preserve"> was expected based on the literature (Rossi et al., 2009; </w:t>
      </w:r>
      <w:proofErr w:type="spellStart"/>
      <w:r w:rsidRPr="003324B4">
        <w:rPr>
          <w:iCs/>
          <w:lang w:val="en-GB"/>
        </w:rPr>
        <w:t>Gasparetto</w:t>
      </w:r>
      <w:proofErr w:type="spellEnd"/>
      <w:r w:rsidRPr="003324B4">
        <w:rPr>
          <w:iCs/>
          <w:lang w:val="en-GB"/>
        </w:rPr>
        <w:t xml:space="preserve">; Gonçalves Salau, 2026), as high pressures hinder hydrogen formation and promote coke formation, whereas elevated temperatures </w:t>
      </w:r>
      <w:proofErr w:type="spellStart"/>
      <w:r w:rsidRPr="003324B4">
        <w:rPr>
          <w:iCs/>
          <w:lang w:val="en-GB"/>
        </w:rPr>
        <w:t>favor</w:t>
      </w:r>
      <w:proofErr w:type="spellEnd"/>
      <w:r w:rsidRPr="003324B4">
        <w:rPr>
          <w:iCs/>
          <w:lang w:val="en-GB"/>
        </w:rPr>
        <w:t xml:space="preserve"> ESR. Furthermore, more diluted ethanol-to-water ratios </w:t>
      </w:r>
      <w:proofErr w:type="spellStart"/>
      <w:r w:rsidRPr="003324B4">
        <w:rPr>
          <w:iCs/>
          <w:lang w:val="en-GB"/>
        </w:rPr>
        <w:t>favored</w:t>
      </w:r>
      <w:proofErr w:type="spellEnd"/>
      <w:r w:rsidRPr="003324B4">
        <w:rPr>
          <w:iCs/>
          <w:lang w:val="en-GB"/>
        </w:rPr>
        <w:t xml:space="preserve"> the reforming reaction, a result that also aligns with the literature (Paes; Silva, 2020).</w:t>
      </w:r>
    </w:p>
    <w:p w14:paraId="16CF6D79" w14:textId="3C680596" w:rsidR="003324B4" w:rsidRPr="00B57B36" w:rsidRDefault="003324B4" w:rsidP="003324B4">
      <w:pPr>
        <w:pStyle w:val="CETTabletitle"/>
        <w:jc w:val="center"/>
      </w:pPr>
      <w:r w:rsidRPr="00B57B36">
        <w:t xml:space="preserve">Table </w:t>
      </w:r>
      <w:r>
        <w:t>3</w:t>
      </w:r>
      <w:r w:rsidRPr="00B57B36">
        <w:t xml:space="preserve">: </w:t>
      </w:r>
      <w:r w:rsidRPr="003324B4">
        <w:t>Local optima results obtained for the response parameters.</w:t>
      </w:r>
    </w:p>
    <w:tbl>
      <w:tblPr>
        <w:tblW w:w="8078" w:type="dxa"/>
        <w:tblInd w:w="70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2"/>
        <w:gridCol w:w="1560"/>
        <w:gridCol w:w="1514"/>
        <w:gridCol w:w="1190"/>
        <w:gridCol w:w="1456"/>
        <w:gridCol w:w="1366"/>
      </w:tblGrid>
      <w:tr w:rsidR="003324B4" w:rsidRPr="00B57B36" w14:paraId="4F253309" w14:textId="27AF3BE0" w:rsidTr="003324B4">
        <w:tc>
          <w:tcPr>
            <w:tcW w:w="992" w:type="dxa"/>
            <w:tcBorders>
              <w:top w:val="single" w:sz="12" w:space="0" w:color="008000"/>
              <w:bottom w:val="single" w:sz="6" w:space="0" w:color="008000"/>
            </w:tcBorders>
            <w:shd w:val="clear" w:color="auto" w:fill="FFFFFF"/>
          </w:tcPr>
          <w:p w14:paraId="2EA7696A" w14:textId="4B6B9A63" w:rsidR="003324B4" w:rsidRPr="00B57B36" w:rsidRDefault="003324B4" w:rsidP="00806BC9">
            <w:pPr>
              <w:pStyle w:val="CETBodytext"/>
              <w:jc w:val="center"/>
              <w:rPr>
                <w:lang w:val="en-GB"/>
              </w:rPr>
            </w:pPr>
            <w:r>
              <w:rPr>
                <w:lang w:val="en-GB"/>
              </w:rPr>
              <w:t>Parameters</w:t>
            </w:r>
          </w:p>
        </w:tc>
        <w:tc>
          <w:tcPr>
            <w:tcW w:w="1560" w:type="dxa"/>
            <w:tcBorders>
              <w:top w:val="single" w:sz="12" w:space="0" w:color="008000"/>
              <w:bottom w:val="single" w:sz="6" w:space="0" w:color="008000"/>
            </w:tcBorders>
            <w:shd w:val="clear" w:color="auto" w:fill="FFFFFF"/>
          </w:tcPr>
          <w:p w14:paraId="6783D2A9" w14:textId="705F90B0" w:rsidR="003324B4" w:rsidRPr="00B57B36" w:rsidRDefault="003324B4" w:rsidP="00806BC9">
            <w:pPr>
              <w:pStyle w:val="CETBodytext"/>
              <w:jc w:val="center"/>
              <w:rPr>
                <w:lang w:val="en-GB"/>
              </w:rPr>
            </w:pPr>
            <w:r>
              <w:rPr>
                <w:lang w:val="en-GB"/>
              </w:rPr>
              <w:t>Local maximum</w:t>
            </w:r>
          </w:p>
        </w:tc>
        <w:tc>
          <w:tcPr>
            <w:tcW w:w="1514" w:type="dxa"/>
            <w:tcBorders>
              <w:top w:val="single" w:sz="12" w:space="0" w:color="008000"/>
              <w:bottom w:val="single" w:sz="6" w:space="0" w:color="008000"/>
            </w:tcBorders>
            <w:shd w:val="clear" w:color="auto" w:fill="FFFFFF"/>
          </w:tcPr>
          <w:p w14:paraId="47357E5A" w14:textId="7DD43A4A" w:rsidR="003324B4" w:rsidRPr="00B57B36" w:rsidRDefault="003324B4" w:rsidP="00806BC9">
            <w:pPr>
              <w:pStyle w:val="CETBodytext"/>
              <w:jc w:val="center"/>
              <w:rPr>
                <w:lang w:val="en-GB"/>
              </w:rPr>
            </w:pPr>
            <w:r>
              <w:rPr>
                <w:lang w:val="en-GB"/>
              </w:rPr>
              <w:t>Ratio</w:t>
            </w:r>
          </w:p>
        </w:tc>
        <w:tc>
          <w:tcPr>
            <w:tcW w:w="1190" w:type="dxa"/>
            <w:tcBorders>
              <w:top w:val="single" w:sz="12" w:space="0" w:color="008000"/>
              <w:bottom w:val="single" w:sz="6" w:space="0" w:color="008000"/>
            </w:tcBorders>
            <w:shd w:val="clear" w:color="auto" w:fill="FFFFFF"/>
          </w:tcPr>
          <w:p w14:paraId="6A3D1E2E" w14:textId="77777777" w:rsidR="003324B4" w:rsidRPr="00B57B36" w:rsidRDefault="003324B4" w:rsidP="00806BC9">
            <w:pPr>
              <w:pStyle w:val="CETBodytext"/>
              <w:ind w:right="-1"/>
              <w:jc w:val="center"/>
              <w:rPr>
                <w:rFonts w:cs="Arial"/>
                <w:szCs w:val="18"/>
                <w:lang w:val="en-GB"/>
              </w:rPr>
            </w:pPr>
            <w:r>
              <w:rPr>
                <w:rFonts w:cs="Arial"/>
                <w:szCs w:val="18"/>
                <w:lang w:val="en-GB"/>
              </w:rPr>
              <w:t>Pressure</w:t>
            </w:r>
          </w:p>
        </w:tc>
        <w:tc>
          <w:tcPr>
            <w:tcW w:w="1456" w:type="dxa"/>
            <w:tcBorders>
              <w:top w:val="single" w:sz="12" w:space="0" w:color="008000"/>
              <w:bottom w:val="single" w:sz="6" w:space="0" w:color="008000"/>
            </w:tcBorders>
            <w:shd w:val="clear" w:color="auto" w:fill="FFFFFF"/>
          </w:tcPr>
          <w:p w14:paraId="45BBC299" w14:textId="5BDBE2DD" w:rsidR="003324B4" w:rsidRPr="00B57B36" w:rsidRDefault="003324B4" w:rsidP="00806BC9">
            <w:pPr>
              <w:pStyle w:val="CETBodytext"/>
              <w:ind w:right="-1"/>
              <w:jc w:val="center"/>
              <w:rPr>
                <w:rFonts w:cs="Arial"/>
                <w:szCs w:val="18"/>
                <w:lang w:val="en-GB"/>
              </w:rPr>
            </w:pPr>
            <w:r>
              <w:rPr>
                <w:rFonts w:cs="Arial"/>
                <w:szCs w:val="18"/>
                <w:lang w:val="en-GB"/>
              </w:rPr>
              <w:t>Flow rate</w:t>
            </w:r>
          </w:p>
        </w:tc>
        <w:tc>
          <w:tcPr>
            <w:tcW w:w="1366" w:type="dxa"/>
            <w:tcBorders>
              <w:top w:val="single" w:sz="12" w:space="0" w:color="008000"/>
              <w:bottom w:val="single" w:sz="6" w:space="0" w:color="008000"/>
            </w:tcBorders>
            <w:shd w:val="clear" w:color="auto" w:fill="FFFFFF"/>
          </w:tcPr>
          <w:p w14:paraId="0898C29E" w14:textId="5D9F1157" w:rsidR="003324B4" w:rsidRDefault="003324B4" w:rsidP="00806BC9">
            <w:pPr>
              <w:pStyle w:val="CETBodytext"/>
              <w:ind w:right="-1"/>
              <w:jc w:val="center"/>
              <w:rPr>
                <w:rFonts w:cs="Arial"/>
                <w:szCs w:val="18"/>
                <w:lang w:val="en-GB"/>
              </w:rPr>
            </w:pPr>
            <w:r>
              <w:rPr>
                <w:rFonts w:cs="Arial"/>
                <w:szCs w:val="18"/>
                <w:lang w:val="en-GB"/>
              </w:rPr>
              <w:t>Temperature</w:t>
            </w:r>
          </w:p>
        </w:tc>
      </w:tr>
      <w:tr w:rsidR="003324B4" w:rsidRPr="00B57B36" w14:paraId="692CEE01" w14:textId="676ECA63" w:rsidTr="003324B4">
        <w:tc>
          <w:tcPr>
            <w:tcW w:w="992" w:type="dxa"/>
            <w:shd w:val="clear" w:color="auto" w:fill="FFFFFF"/>
          </w:tcPr>
          <w:p w14:paraId="6123B6BC" w14:textId="77777777" w:rsidR="003324B4" w:rsidRPr="00B57B36" w:rsidRDefault="003324B4" w:rsidP="003324B4">
            <w:pPr>
              <w:pStyle w:val="CETBodytext"/>
              <w:jc w:val="center"/>
              <w:rPr>
                <w:lang w:val="en-GB"/>
              </w:rPr>
            </w:pPr>
          </w:p>
        </w:tc>
        <w:tc>
          <w:tcPr>
            <w:tcW w:w="1560" w:type="dxa"/>
            <w:shd w:val="clear" w:color="auto" w:fill="FFFFFF"/>
          </w:tcPr>
          <w:p w14:paraId="32263BAA" w14:textId="059D74AC" w:rsidR="003324B4" w:rsidRPr="00B57B36" w:rsidRDefault="003324B4" w:rsidP="003324B4">
            <w:pPr>
              <w:pStyle w:val="CETBodytext"/>
              <w:jc w:val="center"/>
              <w:rPr>
                <w:lang w:val="en-GB"/>
              </w:rPr>
            </w:pPr>
            <w:r>
              <w:rPr>
                <w:lang w:val="en-GB"/>
              </w:rPr>
              <w:t>(</w:t>
            </w:r>
            <w:r w:rsidR="00B46EC1">
              <w:rPr>
                <w:lang w:val="en-GB"/>
              </w:rPr>
              <w:t>%)</w:t>
            </w:r>
          </w:p>
        </w:tc>
        <w:tc>
          <w:tcPr>
            <w:tcW w:w="1514" w:type="dxa"/>
            <w:shd w:val="clear" w:color="auto" w:fill="FFFFFF"/>
          </w:tcPr>
          <w:p w14:paraId="7FCBBBC6" w14:textId="3BC9A63B" w:rsidR="003324B4" w:rsidRPr="00B57B36" w:rsidRDefault="003324B4" w:rsidP="003324B4">
            <w:pPr>
              <w:pStyle w:val="CETBodytext"/>
              <w:jc w:val="center"/>
              <w:rPr>
                <w:lang w:val="en-GB"/>
              </w:rPr>
            </w:pPr>
            <w:r>
              <w:rPr>
                <w:rFonts w:cs="Arial"/>
                <w:szCs w:val="18"/>
                <w:lang w:val="en-GB"/>
              </w:rPr>
              <w:t>(</w:t>
            </w:r>
            <w:proofErr w:type="gramStart"/>
            <w:r>
              <w:rPr>
                <w:rFonts w:cs="Arial"/>
                <w:szCs w:val="18"/>
                <w:lang w:val="en-GB"/>
              </w:rPr>
              <w:t>Ethanol :</w:t>
            </w:r>
            <w:proofErr w:type="gramEnd"/>
            <w:r>
              <w:rPr>
                <w:rFonts w:cs="Arial"/>
                <w:szCs w:val="18"/>
                <w:lang w:val="en-GB"/>
              </w:rPr>
              <w:t xml:space="preserve"> Water)</w:t>
            </w:r>
          </w:p>
        </w:tc>
        <w:tc>
          <w:tcPr>
            <w:tcW w:w="1190" w:type="dxa"/>
            <w:shd w:val="clear" w:color="auto" w:fill="FFFFFF"/>
          </w:tcPr>
          <w:p w14:paraId="45EFA506" w14:textId="77777777" w:rsidR="003324B4" w:rsidRPr="00B57B36" w:rsidRDefault="003324B4" w:rsidP="003324B4">
            <w:pPr>
              <w:pStyle w:val="CETBodytext"/>
              <w:ind w:right="-1"/>
              <w:jc w:val="center"/>
              <w:rPr>
                <w:rFonts w:cs="Arial"/>
                <w:szCs w:val="18"/>
                <w:lang w:val="en-GB"/>
              </w:rPr>
            </w:pPr>
            <w:r>
              <w:rPr>
                <w:rFonts w:cs="Arial"/>
                <w:szCs w:val="18"/>
                <w:lang w:val="en-GB"/>
              </w:rPr>
              <w:t>(bar)</w:t>
            </w:r>
          </w:p>
        </w:tc>
        <w:tc>
          <w:tcPr>
            <w:tcW w:w="1456" w:type="dxa"/>
            <w:shd w:val="clear" w:color="auto" w:fill="FFFFFF"/>
          </w:tcPr>
          <w:p w14:paraId="159AA808" w14:textId="1074C2B3" w:rsidR="003324B4" w:rsidRPr="00B57B36" w:rsidRDefault="003324B4" w:rsidP="003324B4">
            <w:pPr>
              <w:pStyle w:val="CETBodytext"/>
              <w:ind w:right="-1"/>
              <w:jc w:val="center"/>
              <w:rPr>
                <w:rFonts w:cs="Arial"/>
                <w:szCs w:val="18"/>
                <w:lang w:val="en-GB"/>
              </w:rPr>
            </w:pPr>
            <w:r>
              <w:rPr>
                <w:rFonts w:cs="Arial"/>
                <w:szCs w:val="18"/>
                <w:lang w:val="en-GB"/>
              </w:rPr>
              <w:t>(t/h)</w:t>
            </w:r>
          </w:p>
        </w:tc>
        <w:tc>
          <w:tcPr>
            <w:tcW w:w="1366" w:type="dxa"/>
            <w:shd w:val="clear" w:color="auto" w:fill="FFFFFF"/>
          </w:tcPr>
          <w:p w14:paraId="20573180" w14:textId="76BF0CE2" w:rsidR="003324B4" w:rsidRDefault="003324B4" w:rsidP="003324B4">
            <w:pPr>
              <w:pStyle w:val="CETBodytext"/>
              <w:ind w:right="-1"/>
              <w:jc w:val="center"/>
              <w:rPr>
                <w:rFonts w:cs="Arial"/>
                <w:szCs w:val="18"/>
                <w:lang w:val="en-GB"/>
              </w:rPr>
            </w:pPr>
            <w:r>
              <w:rPr>
                <w:rFonts w:cs="Arial"/>
                <w:szCs w:val="18"/>
                <w:lang w:val="en-GB"/>
              </w:rPr>
              <w:t>(°C)</w:t>
            </w:r>
          </w:p>
        </w:tc>
      </w:tr>
      <w:tr w:rsidR="003324B4" w:rsidRPr="00B57B36" w14:paraId="7C683A8B" w14:textId="4C12C6CD" w:rsidTr="003324B4">
        <w:tc>
          <w:tcPr>
            <w:tcW w:w="992" w:type="dxa"/>
            <w:shd w:val="clear" w:color="auto" w:fill="FFFFFF"/>
          </w:tcPr>
          <w:p w14:paraId="7BB397EB" w14:textId="6F536F59" w:rsidR="003324B4" w:rsidRPr="00B57B36" w:rsidRDefault="003324B4" w:rsidP="003324B4">
            <w:pPr>
              <w:pStyle w:val="CETBodytext"/>
              <w:jc w:val="center"/>
              <w:rPr>
                <w:lang w:val="en-GB"/>
              </w:rPr>
            </w:pPr>
            <w:r>
              <w:rPr>
                <w:lang w:val="en-GB"/>
              </w:rPr>
              <w:t>Conversion</w:t>
            </w:r>
          </w:p>
        </w:tc>
        <w:tc>
          <w:tcPr>
            <w:tcW w:w="1560" w:type="dxa"/>
            <w:shd w:val="clear" w:color="auto" w:fill="FFFFFF"/>
          </w:tcPr>
          <w:p w14:paraId="33D8005E" w14:textId="4EDA61DB" w:rsidR="003324B4" w:rsidRPr="00B57B36" w:rsidRDefault="003324B4" w:rsidP="003324B4">
            <w:pPr>
              <w:pStyle w:val="CETBodytext"/>
              <w:jc w:val="center"/>
              <w:rPr>
                <w:lang w:val="en-GB"/>
              </w:rPr>
            </w:pPr>
            <w:r>
              <w:rPr>
                <w:lang w:val="en-GB"/>
              </w:rPr>
              <w:t>100</w:t>
            </w:r>
          </w:p>
        </w:tc>
        <w:tc>
          <w:tcPr>
            <w:tcW w:w="1514" w:type="dxa"/>
            <w:shd w:val="clear" w:color="auto" w:fill="FFFFFF"/>
          </w:tcPr>
          <w:p w14:paraId="0092E281" w14:textId="4A735F0B" w:rsidR="003324B4" w:rsidRPr="00B57B36" w:rsidRDefault="003324B4" w:rsidP="003324B4">
            <w:pPr>
              <w:pStyle w:val="CETBodytext"/>
              <w:jc w:val="center"/>
              <w:rPr>
                <w:lang w:val="en-GB"/>
              </w:rPr>
            </w:pPr>
            <w:r>
              <w:rPr>
                <w:lang w:val="en-GB"/>
              </w:rPr>
              <w:t>1:8-1:9</w:t>
            </w:r>
          </w:p>
        </w:tc>
        <w:tc>
          <w:tcPr>
            <w:tcW w:w="1190" w:type="dxa"/>
            <w:shd w:val="clear" w:color="auto" w:fill="FFFFFF"/>
          </w:tcPr>
          <w:p w14:paraId="1E0825DD" w14:textId="6B842647" w:rsidR="003324B4" w:rsidRPr="00B57B36" w:rsidRDefault="003324B4" w:rsidP="003324B4">
            <w:pPr>
              <w:pStyle w:val="CETBodytext"/>
              <w:ind w:right="-1"/>
              <w:jc w:val="center"/>
              <w:rPr>
                <w:rFonts w:cs="Arial"/>
                <w:szCs w:val="18"/>
                <w:lang w:val="en-GB"/>
              </w:rPr>
            </w:pPr>
            <w:r>
              <w:rPr>
                <w:rFonts w:cs="Arial"/>
                <w:szCs w:val="18"/>
                <w:lang w:val="en-GB"/>
              </w:rPr>
              <w:t>1-3</w:t>
            </w:r>
          </w:p>
        </w:tc>
        <w:tc>
          <w:tcPr>
            <w:tcW w:w="1456" w:type="dxa"/>
            <w:shd w:val="clear" w:color="auto" w:fill="FFFFFF"/>
          </w:tcPr>
          <w:p w14:paraId="39A14F33" w14:textId="3227FFCB" w:rsidR="003324B4" w:rsidRPr="00B57B36" w:rsidRDefault="003324B4" w:rsidP="003324B4">
            <w:pPr>
              <w:pStyle w:val="CETBodytext"/>
              <w:ind w:right="-1"/>
              <w:jc w:val="center"/>
              <w:rPr>
                <w:rFonts w:cs="Arial"/>
                <w:szCs w:val="18"/>
                <w:lang w:val="en-GB"/>
              </w:rPr>
            </w:pPr>
            <w:r>
              <w:rPr>
                <w:rFonts w:cs="Arial"/>
                <w:szCs w:val="18"/>
                <w:lang w:val="en-GB"/>
              </w:rPr>
              <w:t>16-28</w:t>
            </w:r>
          </w:p>
        </w:tc>
        <w:tc>
          <w:tcPr>
            <w:tcW w:w="1366" w:type="dxa"/>
            <w:shd w:val="clear" w:color="auto" w:fill="FFFFFF"/>
          </w:tcPr>
          <w:p w14:paraId="0761955F" w14:textId="0AAE1A00" w:rsidR="003324B4" w:rsidRDefault="003324B4" w:rsidP="003324B4">
            <w:pPr>
              <w:pStyle w:val="CETBodytext"/>
              <w:ind w:right="-1"/>
              <w:jc w:val="center"/>
              <w:rPr>
                <w:rFonts w:cs="Arial"/>
                <w:szCs w:val="18"/>
                <w:lang w:val="en-GB"/>
              </w:rPr>
            </w:pPr>
            <w:r>
              <w:rPr>
                <w:rFonts w:cs="Arial"/>
                <w:szCs w:val="18"/>
                <w:lang w:val="en-GB"/>
              </w:rPr>
              <w:t>500-600</w:t>
            </w:r>
          </w:p>
        </w:tc>
      </w:tr>
      <w:tr w:rsidR="003324B4" w:rsidRPr="00B57B36" w14:paraId="729BBE51" w14:textId="48074624" w:rsidTr="003324B4">
        <w:tc>
          <w:tcPr>
            <w:tcW w:w="992" w:type="dxa"/>
            <w:shd w:val="clear" w:color="auto" w:fill="FFFFFF"/>
          </w:tcPr>
          <w:p w14:paraId="70FAA0EE" w14:textId="424285E9" w:rsidR="003324B4" w:rsidRPr="00B57B36" w:rsidRDefault="003324B4" w:rsidP="003324B4">
            <w:pPr>
              <w:pStyle w:val="CETBodytext"/>
              <w:ind w:right="-1"/>
              <w:jc w:val="center"/>
              <w:rPr>
                <w:rFonts w:cs="Arial"/>
                <w:szCs w:val="18"/>
                <w:lang w:val="en-GB"/>
              </w:rPr>
            </w:pPr>
            <w:r>
              <w:rPr>
                <w:rFonts w:cs="Arial"/>
                <w:szCs w:val="18"/>
                <w:lang w:val="en-GB"/>
              </w:rPr>
              <w:t>Yield</w:t>
            </w:r>
          </w:p>
        </w:tc>
        <w:tc>
          <w:tcPr>
            <w:tcW w:w="1560" w:type="dxa"/>
            <w:shd w:val="clear" w:color="auto" w:fill="FFFFFF"/>
          </w:tcPr>
          <w:p w14:paraId="59FCC09F" w14:textId="0A478AC4" w:rsidR="003324B4" w:rsidRPr="00B57B36" w:rsidRDefault="003324B4" w:rsidP="003324B4">
            <w:pPr>
              <w:pStyle w:val="CETBodytext"/>
              <w:ind w:right="-1"/>
              <w:jc w:val="center"/>
              <w:rPr>
                <w:rFonts w:cs="Arial"/>
                <w:szCs w:val="18"/>
                <w:lang w:val="en-GB"/>
              </w:rPr>
            </w:pPr>
            <w:r>
              <w:rPr>
                <w:rFonts w:cs="Arial"/>
                <w:szCs w:val="18"/>
                <w:lang w:val="en-GB"/>
              </w:rPr>
              <w:t>100</w:t>
            </w:r>
          </w:p>
        </w:tc>
        <w:tc>
          <w:tcPr>
            <w:tcW w:w="1514" w:type="dxa"/>
            <w:shd w:val="clear" w:color="auto" w:fill="FFFFFF"/>
          </w:tcPr>
          <w:p w14:paraId="50767ED5" w14:textId="7396323E" w:rsidR="003324B4" w:rsidRPr="00B57B36" w:rsidRDefault="003324B4" w:rsidP="003324B4">
            <w:pPr>
              <w:pStyle w:val="CETBodytext"/>
              <w:ind w:right="-1"/>
              <w:jc w:val="center"/>
              <w:rPr>
                <w:rFonts w:cs="Arial"/>
                <w:szCs w:val="18"/>
                <w:lang w:val="en-GB"/>
              </w:rPr>
            </w:pPr>
            <w:r>
              <w:rPr>
                <w:lang w:val="en-GB"/>
              </w:rPr>
              <w:t>1:8-1:9</w:t>
            </w:r>
          </w:p>
        </w:tc>
        <w:tc>
          <w:tcPr>
            <w:tcW w:w="1190" w:type="dxa"/>
            <w:shd w:val="clear" w:color="auto" w:fill="FFFFFF"/>
          </w:tcPr>
          <w:p w14:paraId="6CECA0DF" w14:textId="6379CFE7" w:rsidR="003324B4" w:rsidRPr="00B57B36" w:rsidRDefault="003324B4" w:rsidP="003324B4">
            <w:pPr>
              <w:pStyle w:val="CETBodytext"/>
              <w:ind w:right="-1"/>
              <w:jc w:val="center"/>
              <w:rPr>
                <w:rFonts w:cs="Arial"/>
                <w:szCs w:val="18"/>
                <w:lang w:val="en-GB"/>
              </w:rPr>
            </w:pPr>
            <w:r>
              <w:rPr>
                <w:rFonts w:cs="Arial"/>
                <w:szCs w:val="18"/>
                <w:lang w:val="en-GB"/>
              </w:rPr>
              <w:t>1-3</w:t>
            </w:r>
          </w:p>
        </w:tc>
        <w:tc>
          <w:tcPr>
            <w:tcW w:w="1456" w:type="dxa"/>
            <w:shd w:val="clear" w:color="auto" w:fill="FFFFFF"/>
          </w:tcPr>
          <w:p w14:paraId="4CE46FA4" w14:textId="566FFEDA" w:rsidR="003324B4" w:rsidRPr="00B57B36" w:rsidRDefault="003324B4" w:rsidP="003324B4">
            <w:pPr>
              <w:pStyle w:val="CETBodytext"/>
              <w:ind w:right="-1"/>
              <w:jc w:val="center"/>
              <w:rPr>
                <w:rFonts w:cs="Arial"/>
                <w:szCs w:val="18"/>
                <w:lang w:val="en-GB"/>
              </w:rPr>
            </w:pPr>
            <w:r>
              <w:rPr>
                <w:rFonts w:cs="Arial"/>
                <w:szCs w:val="18"/>
                <w:lang w:val="en-GB"/>
              </w:rPr>
              <w:t>16-28</w:t>
            </w:r>
          </w:p>
        </w:tc>
        <w:tc>
          <w:tcPr>
            <w:tcW w:w="1366" w:type="dxa"/>
            <w:shd w:val="clear" w:color="auto" w:fill="FFFFFF"/>
          </w:tcPr>
          <w:p w14:paraId="5A1AA6C6" w14:textId="5B1C7C19" w:rsidR="003324B4" w:rsidRDefault="003324B4" w:rsidP="003324B4">
            <w:pPr>
              <w:pStyle w:val="CETBodytext"/>
              <w:ind w:right="-1"/>
              <w:jc w:val="center"/>
              <w:rPr>
                <w:rFonts w:cs="Arial"/>
                <w:szCs w:val="18"/>
                <w:lang w:val="en-GB"/>
              </w:rPr>
            </w:pPr>
            <w:r>
              <w:rPr>
                <w:rFonts w:cs="Arial"/>
                <w:szCs w:val="18"/>
                <w:lang w:val="en-GB"/>
              </w:rPr>
              <w:t>500-600</w:t>
            </w:r>
          </w:p>
        </w:tc>
      </w:tr>
    </w:tbl>
    <w:p w14:paraId="68D26B83" w14:textId="11C071EC" w:rsidR="00600535" w:rsidRDefault="00600535" w:rsidP="00401A9F">
      <w:pPr>
        <w:pStyle w:val="CETHeadingxx"/>
      </w:pPr>
      <w:r w:rsidRPr="00401A9F">
        <w:t>Conclusions</w:t>
      </w:r>
    </w:p>
    <w:p w14:paraId="41AAEB21" w14:textId="3F7322B5" w:rsidR="004B1F0A" w:rsidRDefault="004B1F0A" w:rsidP="004B1F0A">
      <w:pPr>
        <w:pStyle w:val="CETHeadingxx"/>
        <w:jc w:val="both"/>
        <w:rPr>
          <w:b w:val="0"/>
          <w:bCs/>
        </w:rPr>
      </w:pPr>
      <w:r>
        <w:rPr>
          <w:b w:val="0"/>
          <w:bCs/>
        </w:rPr>
        <w:t>Herein</w:t>
      </w:r>
      <w:r w:rsidRPr="004B1F0A">
        <w:rPr>
          <w:b w:val="0"/>
          <w:bCs/>
        </w:rPr>
        <w:t xml:space="preserve">, an optimization study of an ethanol steam reforming plant using fixed-bed reactors was conducted to evaluate the influence of process variables. To this end, ethanol conversion and hydrogen yield responses were analyzed through the development of a model aimed at identifying optimal operating regions. </w:t>
      </w:r>
    </w:p>
    <w:p w14:paraId="7E8821FE" w14:textId="1C28F132" w:rsidR="004B1F0A" w:rsidRDefault="004B1F0A" w:rsidP="004B1F0A">
      <w:pPr>
        <w:pStyle w:val="CETHeadingxx"/>
        <w:jc w:val="both"/>
        <w:rPr>
          <w:b w:val="0"/>
          <w:bCs/>
        </w:rPr>
      </w:pPr>
      <w:r w:rsidRPr="004B1F0A">
        <w:rPr>
          <w:b w:val="0"/>
          <w:bCs/>
        </w:rPr>
        <w:t>Results from the Full Factorial Design statistical study indicated that the temperatures of the WGS reactors showed no statistical significance</w:t>
      </w:r>
      <w:r>
        <w:rPr>
          <w:b w:val="0"/>
          <w:bCs/>
        </w:rPr>
        <w:t>.</w:t>
      </w:r>
      <w:r w:rsidRPr="004B1F0A">
        <w:rPr>
          <w:b w:val="0"/>
          <w:bCs/>
        </w:rPr>
        <w:t xml:space="preserve"> </w:t>
      </w:r>
      <w:r>
        <w:rPr>
          <w:b w:val="0"/>
          <w:bCs/>
        </w:rPr>
        <w:t>T</w:t>
      </w:r>
      <w:r w:rsidRPr="004B1F0A">
        <w:rPr>
          <w:b w:val="0"/>
          <w:bCs/>
        </w:rPr>
        <w:t xml:space="preserve">herefore, they were fixed at their minimum values in subsequent steps. Subsequently, using a CCF, response surfaces were generated, allowing for the determination of optimal </w:t>
      </w:r>
      <w:r w:rsidRPr="004B1F0A">
        <w:rPr>
          <w:b w:val="0"/>
          <w:bCs/>
        </w:rPr>
        <w:lastRenderedPageBreak/>
        <w:t>operating regions</w:t>
      </w:r>
      <w:r w:rsidR="00D804EF">
        <w:rPr>
          <w:b w:val="0"/>
          <w:bCs/>
        </w:rPr>
        <w:t xml:space="preserve">, </w:t>
      </w:r>
      <w:r w:rsidR="00D804EF" w:rsidRPr="00D804EF">
        <w:rPr>
          <w:b w:val="0"/>
          <w:bCs/>
        </w:rPr>
        <w:t xml:space="preserve">with temperatures ranging from 500 to 600 </w:t>
      </w:r>
      <w:r w:rsidR="0053030F">
        <w:rPr>
          <w:b w:val="0"/>
          <w:bCs/>
        </w:rPr>
        <w:t>°C</w:t>
      </w:r>
      <w:r w:rsidR="00D804EF" w:rsidRPr="00D804EF">
        <w:rPr>
          <w:b w:val="0"/>
          <w:bCs/>
        </w:rPr>
        <w:t xml:space="preserve"> and an ethanol to water ratio between 1:8 and 1:9</w:t>
      </w:r>
      <w:r w:rsidR="00D804EF">
        <w:rPr>
          <w:b w:val="0"/>
          <w:bCs/>
        </w:rPr>
        <w:t xml:space="preserve">.  </w:t>
      </w:r>
      <w:r w:rsidRPr="004B1F0A">
        <w:rPr>
          <w:b w:val="0"/>
          <w:bCs/>
        </w:rPr>
        <w:t xml:space="preserve">It is noteworthy, however, that defining global optima for all variables was not possible, as this would imply extrapolating the validity limits of the adopted kinetic model, which is not permissible. </w:t>
      </w:r>
    </w:p>
    <w:p w14:paraId="16D2DF45" w14:textId="32CC08F9" w:rsidR="00017C3F" w:rsidRPr="004B1F0A" w:rsidRDefault="004B1F0A" w:rsidP="004B1F0A">
      <w:pPr>
        <w:pStyle w:val="CETHeadingxx"/>
        <w:jc w:val="both"/>
        <w:rPr>
          <w:b w:val="0"/>
          <w:bCs/>
        </w:rPr>
      </w:pPr>
      <w:r w:rsidRPr="004B1F0A">
        <w:rPr>
          <w:b w:val="0"/>
          <w:bCs/>
        </w:rPr>
        <w:t xml:space="preserve">Finally, surrogate models, which linearly model response variables as a function of significant parameters, were established. Coefficient of determination </w:t>
      </w:r>
      <w:r>
        <w:rPr>
          <w:b w:val="0"/>
          <w:bCs/>
        </w:rPr>
        <w:t>R</w:t>
      </w:r>
      <w:r w:rsidRPr="004B1F0A">
        <w:rPr>
          <w:b w:val="0"/>
          <w:bCs/>
          <w:vertAlign w:val="superscript"/>
        </w:rPr>
        <w:t>2</w:t>
      </w:r>
      <w:r w:rsidRPr="004B1F0A">
        <w:rPr>
          <w:b w:val="0"/>
          <w:bCs/>
        </w:rPr>
        <w:t xml:space="preserve"> values of 0.95022 and 0.95421 were obtained for conversion and yield, respectively, demonstrating that the developed models are valid for predicting the behavior of the responses.</w:t>
      </w:r>
    </w:p>
    <w:p w14:paraId="68F892AE" w14:textId="77777777" w:rsidR="00017C3F" w:rsidRDefault="00017C3F" w:rsidP="0069136C">
      <w:pPr>
        <w:pStyle w:val="CETHeadingxx"/>
      </w:pPr>
    </w:p>
    <w:p w14:paraId="07A6D20F" w14:textId="5881070E" w:rsidR="00280FAF" w:rsidRPr="00280FAF" w:rsidRDefault="00280FAF" w:rsidP="0069136C">
      <w:pPr>
        <w:pStyle w:val="CETHeadingxx"/>
        <w:rPr>
          <w:lang w:val="en-GB"/>
        </w:rPr>
        <w:sectPr w:rsidR="00280FAF" w:rsidRPr="00280FAF" w:rsidSect="008314D7">
          <w:type w:val="continuous"/>
          <w:pgSz w:w="11906" w:h="16838" w:code="9"/>
          <w:pgMar w:top="1701" w:right="1418" w:bottom="1701" w:left="1701" w:header="1701" w:footer="0" w:gutter="0"/>
          <w:cols w:space="708"/>
          <w:formProt w:val="0"/>
          <w:titlePg/>
          <w:docGrid w:linePitch="360"/>
        </w:sectPr>
      </w:pPr>
      <w:r>
        <w:t>Nomenclature</w:t>
      </w:r>
    </w:p>
    <w:p w14:paraId="32357A66" w14:textId="2C232A28" w:rsidR="004B1F0A" w:rsidRDefault="004B1F0A" w:rsidP="004B1F0A">
      <w:pPr>
        <w:pStyle w:val="CETBodytext"/>
        <w:jc w:val="left"/>
      </w:pPr>
      <w:r>
        <w:rPr>
          <w:rFonts w:eastAsia="SimSun"/>
        </w:rPr>
        <w:t>RR</w:t>
      </w:r>
      <w:r w:rsidR="00280FAF" w:rsidRPr="00280FAF">
        <w:rPr>
          <w:rFonts w:eastAsia="SimSun"/>
        </w:rPr>
        <w:t xml:space="preserve"> – </w:t>
      </w:r>
      <w:r w:rsidRPr="00BB1A2C">
        <w:t>reactant ratio</w:t>
      </w:r>
      <w:r w:rsidR="00280FAF" w:rsidRPr="00280FAF">
        <w:rPr>
          <w:rFonts w:eastAsia="SimSun"/>
        </w:rPr>
        <w:t xml:space="preserve">, </w:t>
      </w:r>
      <w:proofErr w:type="spellStart"/>
      <w:proofErr w:type="gramStart"/>
      <w:r>
        <w:rPr>
          <w:rFonts w:eastAsia="SimSun"/>
        </w:rPr>
        <w:t>Ethanol:Water</w:t>
      </w:r>
      <w:proofErr w:type="spellEnd"/>
      <w:proofErr w:type="gramEnd"/>
      <w:r>
        <w:rPr>
          <w:rFonts w:eastAsia="SimSun"/>
        </w:rPr>
        <w:t xml:space="preserve">                                 </w:t>
      </w:r>
      <w:proofErr w:type="spellStart"/>
      <w:r w:rsidRPr="00BB1A2C">
        <w:t>X</w:t>
      </w:r>
      <w:r w:rsidRPr="00BB1A2C">
        <w:rPr>
          <w:vertAlign w:val="subscript"/>
        </w:rPr>
        <w:t>EtOH</w:t>
      </w:r>
      <w:proofErr w:type="spellEnd"/>
      <w:r>
        <w:t xml:space="preserve"> – conversion, %</w:t>
      </w:r>
    </w:p>
    <w:p w14:paraId="7DFFBF41" w14:textId="48A5787D" w:rsidR="00280FAF" w:rsidRPr="00280FAF" w:rsidRDefault="00280FAF" w:rsidP="00280FAF">
      <w:pPr>
        <w:pStyle w:val="CETBodytext"/>
        <w:jc w:val="left"/>
        <w:rPr>
          <w:rFonts w:eastAsia="SimSun"/>
        </w:rPr>
        <w:sectPr w:rsidR="00280FAF" w:rsidRPr="00280FAF" w:rsidSect="008314D7">
          <w:type w:val="continuous"/>
          <w:pgSz w:w="11906" w:h="16838" w:code="9"/>
          <w:pgMar w:top="1701" w:right="1418" w:bottom="1701" w:left="1701" w:header="1701" w:footer="0" w:gutter="0"/>
          <w:cols w:space="708"/>
          <w:formProt w:val="0"/>
          <w:titlePg/>
          <w:docGrid w:linePitch="360"/>
        </w:sectPr>
      </w:pPr>
    </w:p>
    <w:p w14:paraId="76AC3006" w14:textId="091BBEE0" w:rsidR="004B1F0A" w:rsidRPr="00280FAF" w:rsidRDefault="004B1F0A" w:rsidP="004B1F0A">
      <w:pPr>
        <w:pStyle w:val="CETBodytext"/>
        <w:jc w:val="left"/>
        <w:rPr>
          <w:rFonts w:eastAsia="SimSun"/>
        </w:rPr>
      </w:pPr>
      <w:r>
        <w:rPr>
          <w:rFonts w:eastAsia="SimSun"/>
        </w:rPr>
        <w:t xml:space="preserve">T </w:t>
      </w:r>
      <w:r w:rsidR="00280FAF" w:rsidRPr="00280FAF">
        <w:rPr>
          <w:rFonts w:eastAsia="SimSun"/>
        </w:rPr>
        <w:t xml:space="preserve">– </w:t>
      </w:r>
      <w:r>
        <w:rPr>
          <w:rFonts w:eastAsia="SimSun"/>
        </w:rPr>
        <w:t>temperature</w:t>
      </w:r>
      <w:r w:rsidR="00280FAF" w:rsidRPr="00280FAF">
        <w:rPr>
          <w:rFonts w:eastAsia="SimSun"/>
        </w:rPr>
        <w:t xml:space="preserve">, </w:t>
      </w:r>
      <w:r w:rsidRPr="004B1F0A">
        <w:rPr>
          <w:rFonts w:eastAsia="SimSun"/>
        </w:rPr>
        <w:t>°</w:t>
      </w:r>
      <w:r>
        <w:rPr>
          <w:rFonts w:eastAsia="SimSun"/>
        </w:rPr>
        <w:t xml:space="preserve">C                                                        </w:t>
      </w:r>
      <w:r>
        <w:t>Y</w:t>
      </w:r>
      <w:r w:rsidRPr="00BB1A2C">
        <w:rPr>
          <w:vertAlign w:val="subscript"/>
        </w:rPr>
        <w:t>H2</w:t>
      </w:r>
      <w:r>
        <w:t xml:space="preserve"> – hydrogen yield, %</w:t>
      </w:r>
    </w:p>
    <w:p w14:paraId="7C08688F" w14:textId="3E5719EE" w:rsidR="004B1F0A" w:rsidRDefault="00600535" w:rsidP="004B1F0A">
      <w:pPr>
        <w:pStyle w:val="CETAcknowledgementstitle"/>
      </w:pPr>
      <w:r w:rsidRPr="00B57B36">
        <w:t>Acknowledgments</w:t>
      </w:r>
    </w:p>
    <w:p w14:paraId="02B5EFD5" w14:textId="175AC57D" w:rsidR="004B1F0A" w:rsidRPr="004B1F0A" w:rsidRDefault="004B1F0A" w:rsidP="004B1F0A">
      <w:pPr>
        <w:pStyle w:val="CETAcknowledgementstitle"/>
      </w:pPr>
      <w:r w:rsidRPr="004B1F0A">
        <w:rPr>
          <w:b w:val="0"/>
          <w:bCs/>
          <w:lang w:val="en-US"/>
        </w:rPr>
        <w:t xml:space="preserve">The authors gratefully acknowledge the support from </w:t>
      </w:r>
      <w:r>
        <w:rPr>
          <w:b w:val="0"/>
          <w:bCs/>
          <w:lang w:val="en-US"/>
        </w:rPr>
        <w:t>VALPET (UNICAMP</w:t>
      </w:r>
      <w:r w:rsidRPr="004B1F0A">
        <w:rPr>
          <w:b w:val="0"/>
          <w:bCs/>
          <w:lang w:val="en-US"/>
        </w:rPr>
        <w:t>) and to Vesta</w:t>
      </w:r>
      <w:r>
        <w:rPr>
          <w:b w:val="0"/>
          <w:bCs/>
          <w:lang w:val="en-US"/>
        </w:rPr>
        <w:t xml:space="preserve"> </w:t>
      </w:r>
      <w:r w:rsidRPr="004B1F0A">
        <w:rPr>
          <w:b w:val="0"/>
          <w:bCs/>
          <w:lang w:val="en-US"/>
        </w:rPr>
        <w:t>Greentech.</w:t>
      </w:r>
    </w:p>
    <w:p w14:paraId="4F1327F8" w14:textId="4BC5EA2F" w:rsidR="00600535" w:rsidRPr="00B01434" w:rsidRDefault="00600535" w:rsidP="004B1F0A">
      <w:pPr>
        <w:pStyle w:val="CETReference"/>
        <w:rPr>
          <w:lang w:val="pt-BR"/>
        </w:rPr>
      </w:pPr>
      <w:proofErr w:type="spellStart"/>
      <w:r w:rsidRPr="00B01434">
        <w:rPr>
          <w:lang w:val="pt-BR"/>
        </w:rPr>
        <w:t>References</w:t>
      </w:r>
      <w:proofErr w:type="spellEnd"/>
    </w:p>
    <w:p w14:paraId="116FF423" w14:textId="77777777" w:rsidR="00780003" w:rsidRPr="00B64A37" w:rsidRDefault="00780003" w:rsidP="00E65B91">
      <w:pPr>
        <w:pStyle w:val="CETReferencetext"/>
        <w:rPr>
          <w:sz w:val="16"/>
          <w:szCs w:val="18"/>
        </w:rPr>
      </w:pPr>
      <w:r w:rsidRPr="00B64A37">
        <w:rPr>
          <w:sz w:val="16"/>
          <w:szCs w:val="18"/>
          <w:lang w:val="pt-BR"/>
        </w:rPr>
        <w:t xml:space="preserve">BARROS NETO, B.; SCARMINIO, I. S.; BRUNS, R. E. Como Fazer Experimentos: Pesquisa e Desenvolvimento na Ciência e na Indústria. </w:t>
      </w:r>
      <w:r w:rsidRPr="00B64A37">
        <w:rPr>
          <w:sz w:val="16"/>
          <w:szCs w:val="18"/>
        </w:rPr>
        <w:t xml:space="preserve">1. ed. Saarbrücken: Editora da </w:t>
      </w:r>
      <w:proofErr w:type="spellStart"/>
      <w:r w:rsidRPr="00B64A37">
        <w:rPr>
          <w:sz w:val="16"/>
          <w:szCs w:val="18"/>
        </w:rPr>
        <w:t>Unicamp</w:t>
      </w:r>
      <w:proofErr w:type="spellEnd"/>
      <w:r w:rsidRPr="00B64A37">
        <w:rPr>
          <w:sz w:val="16"/>
          <w:szCs w:val="18"/>
        </w:rPr>
        <w:t xml:space="preserve">, 2001. </w:t>
      </w:r>
    </w:p>
    <w:p w14:paraId="00BA3D4F" w14:textId="2C0E3161" w:rsidR="00C52C3C" w:rsidRDefault="00780003" w:rsidP="00E65B91">
      <w:pPr>
        <w:pStyle w:val="CETReferencetext"/>
        <w:rPr>
          <w:sz w:val="16"/>
          <w:szCs w:val="18"/>
        </w:rPr>
      </w:pPr>
      <w:r w:rsidRPr="00B64A37">
        <w:rPr>
          <w:sz w:val="16"/>
          <w:szCs w:val="18"/>
        </w:rPr>
        <w:t xml:space="preserve">BINELI, A. R. R.; TASIC, M. B.; MACIEL FILHO, R. Catalytic steam reforming of ethanol for hydrogen production: brief status. Chemical Industry &amp; Chemical Engineering Quarterly, v. 22, p. 327–332, 2016. DOI: </w:t>
      </w:r>
      <w:hyperlink r:id="rId15" w:history="1">
        <w:r w:rsidRPr="00B64A37">
          <w:rPr>
            <w:rStyle w:val="Hyperlink"/>
            <w:sz w:val="16"/>
            <w:szCs w:val="18"/>
          </w:rPr>
          <w:t>https://doi.org/10.2298/CICEQ160216017B</w:t>
        </w:r>
      </w:hyperlink>
      <w:r w:rsidRPr="00B64A37">
        <w:rPr>
          <w:sz w:val="16"/>
          <w:szCs w:val="18"/>
        </w:rPr>
        <w:t>.</w:t>
      </w:r>
    </w:p>
    <w:p w14:paraId="145F6161" w14:textId="77777777" w:rsidR="00EC7CFE" w:rsidRPr="00B01434" w:rsidRDefault="00EC7CFE" w:rsidP="00B01434">
      <w:pPr>
        <w:pStyle w:val="CETReferencetext"/>
        <w:rPr>
          <w:sz w:val="16"/>
          <w:szCs w:val="18"/>
        </w:rPr>
      </w:pPr>
      <w:r w:rsidRPr="00B01434">
        <w:rPr>
          <w:sz w:val="16"/>
          <w:szCs w:val="18"/>
        </w:rPr>
        <w:t xml:space="preserve">BOUWKAMP, N.; BURGUNDER, A.; CASEY, D. Hydrogen Delivery Technical Team Roadmap. [S. l.], </w:t>
      </w:r>
      <w:proofErr w:type="spellStart"/>
      <w:r w:rsidRPr="00B01434">
        <w:rPr>
          <w:sz w:val="16"/>
          <w:szCs w:val="18"/>
        </w:rPr>
        <w:t>jul.</w:t>
      </w:r>
      <w:proofErr w:type="spellEnd"/>
      <w:r w:rsidRPr="00B01434">
        <w:rPr>
          <w:sz w:val="16"/>
          <w:szCs w:val="18"/>
        </w:rPr>
        <w:t xml:space="preserve"> 2017.</w:t>
      </w:r>
    </w:p>
    <w:p w14:paraId="102BBAF5" w14:textId="51DD1F69" w:rsidR="00780003" w:rsidRPr="00B64A37" w:rsidRDefault="00780003" w:rsidP="00780003">
      <w:pPr>
        <w:pStyle w:val="CETReferencetext"/>
        <w:rPr>
          <w:sz w:val="16"/>
          <w:szCs w:val="18"/>
        </w:rPr>
      </w:pPr>
      <w:r w:rsidRPr="00B64A37">
        <w:rPr>
          <w:sz w:val="16"/>
          <w:szCs w:val="18"/>
        </w:rPr>
        <w:t xml:space="preserve">CARLSON, E. C. Don’t Gamble </w:t>
      </w:r>
      <w:proofErr w:type="gramStart"/>
      <w:r w:rsidRPr="00B64A37">
        <w:rPr>
          <w:sz w:val="16"/>
          <w:szCs w:val="18"/>
        </w:rPr>
        <w:t>With</w:t>
      </w:r>
      <w:proofErr w:type="gramEnd"/>
      <w:r w:rsidRPr="00B64A37">
        <w:rPr>
          <w:sz w:val="16"/>
          <w:szCs w:val="18"/>
        </w:rPr>
        <w:t xml:space="preserve"> Physical Properties </w:t>
      </w:r>
      <w:proofErr w:type="gramStart"/>
      <w:r w:rsidRPr="00B64A37">
        <w:rPr>
          <w:sz w:val="16"/>
          <w:szCs w:val="18"/>
        </w:rPr>
        <w:t>For</w:t>
      </w:r>
      <w:proofErr w:type="gramEnd"/>
      <w:r w:rsidRPr="00B64A37">
        <w:rPr>
          <w:sz w:val="16"/>
          <w:szCs w:val="18"/>
        </w:rPr>
        <w:t xml:space="preserve"> Simulations. Chemical Engineering Progress, v. 92, p. 35–46, 1996. </w:t>
      </w:r>
      <w:proofErr w:type="spellStart"/>
      <w:r w:rsidRPr="00B64A37">
        <w:rPr>
          <w:sz w:val="16"/>
          <w:szCs w:val="18"/>
        </w:rPr>
        <w:t>Disponível</w:t>
      </w:r>
      <w:proofErr w:type="spellEnd"/>
      <w:r w:rsidRPr="00B64A37">
        <w:rPr>
          <w:sz w:val="16"/>
          <w:szCs w:val="18"/>
        </w:rPr>
        <w:t xml:space="preserve"> </w:t>
      </w:r>
      <w:proofErr w:type="spellStart"/>
      <w:r w:rsidRPr="00B64A37">
        <w:rPr>
          <w:sz w:val="16"/>
          <w:szCs w:val="18"/>
        </w:rPr>
        <w:t>em</w:t>
      </w:r>
      <w:proofErr w:type="spellEnd"/>
      <w:r w:rsidRPr="00B64A37">
        <w:rPr>
          <w:sz w:val="16"/>
          <w:szCs w:val="18"/>
        </w:rPr>
        <w:t>: https://api.semanticscholar. org/CorpusID:38564725.</w:t>
      </w:r>
    </w:p>
    <w:p w14:paraId="1F6E3FEB" w14:textId="6396CAA0" w:rsidR="00780003" w:rsidRPr="00140595" w:rsidRDefault="00780003" w:rsidP="00E65B91">
      <w:pPr>
        <w:pStyle w:val="CETReferencetext"/>
        <w:rPr>
          <w:sz w:val="16"/>
          <w:szCs w:val="18"/>
          <w:lang w:val="pt-BR"/>
        </w:rPr>
      </w:pPr>
      <w:r w:rsidRPr="00B64A37">
        <w:rPr>
          <w:sz w:val="16"/>
          <w:szCs w:val="18"/>
        </w:rPr>
        <w:t xml:space="preserve">COORS, W. G. Hydrogen Production by Ethanol Steam Reforming. </w:t>
      </w:r>
      <w:r w:rsidRPr="00140595">
        <w:rPr>
          <w:sz w:val="16"/>
          <w:szCs w:val="18"/>
          <w:lang w:val="it-IT"/>
        </w:rPr>
        <w:t xml:space="preserve">In: TAHIR, D. M. B.; RAFIQUE, D. M. S.; RAFIQUE, D. M.; SAGIR, D. M. (ed.). </w:t>
      </w:r>
      <w:r w:rsidRPr="00B64A37">
        <w:rPr>
          <w:sz w:val="16"/>
          <w:szCs w:val="18"/>
        </w:rPr>
        <w:t xml:space="preserve">Advances in Hydrogen Energy Production, Storage, and Utilization. London: </w:t>
      </w:r>
      <w:proofErr w:type="spellStart"/>
      <w:r w:rsidRPr="00B64A37">
        <w:rPr>
          <w:sz w:val="16"/>
          <w:szCs w:val="18"/>
        </w:rPr>
        <w:t>IntechOpen</w:t>
      </w:r>
      <w:proofErr w:type="spellEnd"/>
      <w:r w:rsidRPr="00B64A37">
        <w:rPr>
          <w:sz w:val="16"/>
          <w:szCs w:val="18"/>
        </w:rPr>
        <w:t xml:space="preserve">, 2025. cap. 0. </w:t>
      </w:r>
      <w:r w:rsidRPr="00140595">
        <w:rPr>
          <w:sz w:val="16"/>
          <w:szCs w:val="18"/>
          <w:lang w:val="pt-BR"/>
        </w:rPr>
        <w:t xml:space="preserve">DOI: 10.5772/ intechopen.1011963. Disponível em: https://doi.org/10.5772/intechopen. 1011963. </w:t>
      </w:r>
    </w:p>
    <w:p w14:paraId="294897F5" w14:textId="20B5DB63" w:rsidR="00780003" w:rsidRDefault="00780003" w:rsidP="00E65B91">
      <w:pPr>
        <w:pStyle w:val="CETReferencetext"/>
        <w:rPr>
          <w:sz w:val="16"/>
          <w:szCs w:val="18"/>
          <w:lang w:val="pt-BR"/>
        </w:rPr>
      </w:pPr>
      <w:r w:rsidRPr="00A600E9">
        <w:rPr>
          <w:sz w:val="16"/>
          <w:szCs w:val="18"/>
          <w:lang w:val="en-US"/>
        </w:rPr>
        <w:t xml:space="preserve">INTERNATIONAL ENERGY AGENCY. </w:t>
      </w:r>
      <w:r w:rsidRPr="00B64A37">
        <w:rPr>
          <w:sz w:val="16"/>
          <w:szCs w:val="18"/>
        </w:rPr>
        <w:t xml:space="preserve">Net Zero Emissions by 2050: A Roadmap for the </w:t>
      </w:r>
      <w:proofErr w:type="gramStart"/>
      <w:r w:rsidRPr="00B64A37">
        <w:rPr>
          <w:sz w:val="16"/>
          <w:szCs w:val="18"/>
        </w:rPr>
        <w:t>GlobalEnergySector.[</w:t>
      </w:r>
      <w:proofErr w:type="spellStart"/>
      <w:proofErr w:type="gramEnd"/>
      <w:r w:rsidRPr="00B64A37">
        <w:rPr>
          <w:sz w:val="16"/>
          <w:szCs w:val="18"/>
        </w:rPr>
        <w:t>S.l.</w:t>
      </w:r>
      <w:proofErr w:type="spellEnd"/>
      <w:r w:rsidRPr="00B64A37">
        <w:rPr>
          <w:sz w:val="16"/>
          <w:szCs w:val="18"/>
        </w:rPr>
        <w:t xml:space="preserve">], </w:t>
      </w:r>
      <w:proofErr w:type="spellStart"/>
      <w:r w:rsidRPr="00B64A37">
        <w:rPr>
          <w:sz w:val="16"/>
          <w:szCs w:val="18"/>
        </w:rPr>
        <w:t>maio</w:t>
      </w:r>
      <w:proofErr w:type="spellEnd"/>
      <w:r w:rsidRPr="00B64A37">
        <w:rPr>
          <w:sz w:val="16"/>
          <w:szCs w:val="18"/>
        </w:rPr>
        <w:t xml:space="preserve"> 2023. </w:t>
      </w:r>
      <w:r w:rsidRPr="00B64A37">
        <w:rPr>
          <w:sz w:val="16"/>
          <w:szCs w:val="18"/>
          <w:lang w:val="pt-BR"/>
        </w:rPr>
        <w:t xml:space="preserve">Disponível em: https://www.iea.org/reports/ net-zero-emissions-by-2050. </w:t>
      </w:r>
    </w:p>
    <w:p w14:paraId="1ABBF583" w14:textId="50687F47" w:rsidR="00B01434" w:rsidRPr="00FB60D3" w:rsidRDefault="00B01434" w:rsidP="00E65B91">
      <w:pPr>
        <w:pStyle w:val="CETReferencetext"/>
        <w:rPr>
          <w:sz w:val="16"/>
          <w:szCs w:val="18"/>
          <w:lang w:val="en-US"/>
        </w:rPr>
      </w:pPr>
      <w:r w:rsidRPr="00B01434">
        <w:rPr>
          <w:sz w:val="16"/>
          <w:szCs w:val="18"/>
          <w:lang w:val="en-US"/>
        </w:rPr>
        <w:t xml:space="preserve">ISO/TC 197, T. C. Hydrogen fuel quality — Product specification- ISO 14687. </w:t>
      </w:r>
      <w:r w:rsidRPr="00FB60D3">
        <w:rPr>
          <w:sz w:val="16"/>
          <w:szCs w:val="18"/>
          <w:lang w:val="en-US"/>
        </w:rPr>
        <w:t xml:space="preserve">[S. l.], </w:t>
      </w:r>
      <w:proofErr w:type="spellStart"/>
      <w:r w:rsidRPr="00FB60D3">
        <w:rPr>
          <w:sz w:val="16"/>
          <w:szCs w:val="18"/>
          <w:lang w:val="en-US"/>
        </w:rPr>
        <w:t>nov.</w:t>
      </w:r>
      <w:proofErr w:type="spellEnd"/>
      <w:r w:rsidRPr="00FB60D3">
        <w:rPr>
          <w:sz w:val="16"/>
          <w:szCs w:val="18"/>
          <w:lang w:val="en-US"/>
        </w:rPr>
        <w:t xml:space="preserve"> 2019.</w:t>
      </w:r>
    </w:p>
    <w:p w14:paraId="199AFA8B" w14:textId="77777777" w:rsidR="00780003" w:rsidRPr="00B64A37" w:rsidRDefault="00780003" w:rsidP="00B01434">
      <w:pPr>
        <w:pStyle w:val="CETReferencetext"/>
        <w:ind w:left="0" w:firstLine="0"/>
        <w:rPr>
          <w:sz w:val="16"/>
          <w:szCs w:val="18"/>
          <w:lang w:val="pt-BR"/>
        </w:rPr>
      </w:pPr>
      <w:r w:rsidRPr="00B64A37">
        <w:rPr>
          <w:sz w:val="16"/>
          <w:szCs w:val="18"/>
        </w:rPr>
        <w:t xml:space="preserve">MARTINOV, M. et al. Plant for lignocellulosic bioethanol production in Serbia: case study– final report. </w:t>
      </w:r>
      <w:r w:rsidRPr="00B64A37">
        <w:rPr>
          <w:sz w:val="16"/>
          <w:szCs w:val="18"/>
          <w:lang w:val="pt-BR"/>
        </w:rPr>
        <w:t xml:space="preserve">Novi Sad, </w:t>
      </w:r>
      <w:proofErr w:type="spellStart"/>
      <w:r w:rsidRPr="00B64A37">
        <w:rPr>
          <w:sz w:val="16"/>
          <w:szCs w:val="18"/>
          <w:lang w:val="pt-BR"/>
        </w:rPr>
        <w:t>Serbia</w:t>
      </w:r>
      <w:proofErr w:type="spellEnd"/>
      <w:r w:rsidRPr="00B64A37">
        <w:rPr>
          <w:sz w:val="16"/>
          <w:szCs w:val="18"/>
          <w:lang w:val="pt-BR"/>
        </w:rPr>
        <w:t xml:space="preserve">, 2015. </w:t>
      </w:r>
    </w:p>
    <w:p w14:paraId="7B263D13" w14:textId="77777777" w:rsidR="00780003" w:rsidRPr="00B64A37" w:rsidRDefault="00780003" w:rsidP="00E65B91">
      <w:pPr>
        <w:pStyle w:val="CETReferencetext"/>
        <w:rPr>
          <w:sz w:val="16"/>
          <w:szCs w:val="18"/>
          <w:lang w:val="pt-BR"/>
        </w:rPr>
      </w:pPr>
      <w:r w:rsidRPr="00B64A37">
        <w:rPr>
          <w:sz w:val="16"/>
          <w:szCs w:val="18"/>
          <w:lang w:val="pt-BR"/>
        </w:rPr>
        <w:t xml:space="preserve">PAES, A. V. D.; SILVA, F. A. Análise termodinâmica da reforma de etanol: efeito de temperatura e composição. In: SIMPÓSIO de Iniciação Científica e Tecnológica (SICITE). Toledo- PR: [s. n.], out. 2020. </w:t>
      </w:r>
    </w:p>
    <w:p w14:paraId="38B01C36" w14:textId="58029EBE" w:rsidR="00780003" w:rsidRPr="00B64A37" w:rsidRDefault="00780003" w:rsidP="00E65B91">
      <w:pPr>
        <w:pStyle w:val="CETReferencetext"/>
        <w:rPr>
          <w:sz w:val="16"/>
          <w:szCs w:val="18"/>
          <w:lang w:val="pt-BR"/>
        </w:rPr>
      </w:pPr>
      <w:r w:rsidRPr="00B64A37">
        <w:rPr>
          <w:sz w:val="16"/>
          <w:szCs w:val="18"/>
        </w:rPr>
        <w:t xml:space="preserve">PALMA, V.; CASTALDO, F.; CIAMBELLI, P.; IAQUANIELLO, G. CeO2-supported Pt/Ni catalyst for the renewable and clean H2 production via ethanol steam reforming. Applied Catalysis B: Environmental, v. 145, p. 73–84, 2014. Advances in Catalysis for Biomass </w:t>
      </w:r>
      <w:proofErr w:type="spellStart"/>
      <w:r w:rsidRPr="00B64A37">
        <w:rPr>
          <w:sz w:val="16"/>
          <w:szCs w:val="18"/>
        </w:rPr>
        <w:t>Valorization</w:t>
      </w:r>
      <w:proofErr w:type="spellEnd"/>
      <w:r w:rsidRPr="00B64A37">
        <w:rPr>
          <w:sz w:val="16"/>
          <w:szCs w:val="18"/>
        </w:rPr>
        <w:t xml:space="preserve">. </w:t>
      </w:r>
      <w:r w:rsidRPr="00B64A37">
        <w:rPr>
          <w:sz w:val="16"/>
          <w:szCs w:val="18"/>
          <w:lang w:val="pt-BR"/>
        </w:rPr>
        <w:t xml:space="preserve">ISSN 0926-3373. DOI: https://doi.org/10.1016/j.apcatb.2013.01.053. Disponível em: </w:t>
      </w:r>
      <w:hyperlink r:id="rId16" w:history="1">
        <w:r w:rsidRPr="00B64A37">
          <w:rPr>
            <w:rStyle w:val="Hyperlink"/>
            <w:sz w:val="16"/>
            <w:szCs w:val="18"/>
            <w:lang w:val="pt-BR"/>
          </w:rPr>
          <w:t>https://www.sciencedirect.com/science/article/pii/S0926337313000738</w:t>
        </w:r>
      </w:hyperlink>
      <w:r w:rsidRPr="00B64A37">
        <w:rPr>
          <w:sz w:val="16"/>
          <w:szCs w:val="18"/>
          <w:lang w:val="pt-BR"/>
        </w:rPr>
        <w:t xml:space="preserve">. </w:t>
      </w:r>
    </w:p>
    <w:p w14:paraId="54B8083A" w14:textId="1216D87E" w:rsidR="00780003" w:rsidRPr="00B64A37" w:rsidRDefault="00780003" w:rsidP="00E65B91">
      <w:pPr>
        <w:pStyle w:val="CETReferencetext"/>
        <w:rPr>
          <w:sz w:val="16"/>
          <w:szCs w:val="18"/>
          <w:lang w:val="pt-BR"/>
        </w:rPr>
      </w:pPr>
      <w:r w:rsidRPr="00B64A37">
        <w:rPr>
          <w:sz w:val="16"/>
          <w:szCs w:val="18"/>
        </w:rPr>
        <w:t xml:space="preserve">PATEL, M.; JINDAL, T. K.; PANT, K. K. Kinetic Study of Steam Reforming of Ethanol on </w:t>
      </w:r>
      <w:proofErr w:type="spellStart"/>
      <w:r w:rsidRPr="00B64A37">
        <w:rPr>
          <w:sz w:val="16"/>
          <w:szCs w:val="18"/>
        </w:rPr>
        <w:t>NiBased</w:t>
      </w:r>
      <w:proofErr w:type="spellEnd"/>
      <w:r w:rsidRPr="00B64A37">
        <w:rPr>
          <w:sz w:val="16"/>
          <w:szCs w:val="18"/>
        </w:rPr>
        <w:t xml:space="preserve"> Ceria–Zirconia Catalyst. Industrial &amp; Engineering Chemistry Research, v. 52, n. 45, p. 15763–15771, 2013. DOI: 10.1021/ie401570s. </w:t>
      </w:r>
      <w:proofErr w:type="spellStart"/>
      <w:r w:rsidRPr="00B64A37">
        <w:rPr>
          <w:sz w:val="16"/>
          <w:szCs w:val="18"/>
        </w:rPr>
        <w:t>eprint</w:t>
      </w:r>
      <w:proofErr w:type="spellEnd"/>
      <w:r w:rsidRPr="00B64A37">
        <w:rPr>
          <w:sz w:val="16"/>
          <w:szCs w:val="18"/>
        </w:rPr>
        <w:t xml:space="preserve">: https://doi.org/10.1021/ ie401570s. </w:t>
      </w:r>
      <w:r w:rsidRPr="00B64A37">
        <w:rPr>
          <w:sz w:val="16"/>
          <w:szCs w:val="18"/>
          <w:lang w:val="pt-BR"/>
        </w:rPr>
        <w:t xml:space="preserve">Disponível em: </w:t>
      </w:r>
      <w:hyperlink r:id="rId17" w:history="1">
        <w:r w:rsidRPr="00B64A37">
          <w:rPr>
            <w:rStyle w:val="Hyperlink"/>
            <w:sz w:val="16"/>
            <w:szCs w:val="18"/>
            <w:lang w:val="pt-BR"/>
          </w:rPr>
          <w:t>https://doi.org/10.1021/ie401570s</w:t>
        </w:r>
      </w:hyperlink>
      <w:r w:rsidRPr="00B64A37">
        <w:rPr>
          <w:sz w:val="16"/>
          <w:szCs w:val="18"/>
          <w:lang w:val="pt-BR"/>
        </w:rPr>
        <w:t xml:space="preserve">. </w:t>
      </w:r>
    </w:p>
    <w:p w14:paraId="47CA82D2" w14:textId="77777777" w:rsidR="00780003" w:rsidRPr="00B64A37" w:rsidRDefault="00780003" w:rsidP="00E65B91">
      <w:pPr>
        <w:pStyle w:val="CETReferencetext"/>
        <w:rPr>
          <w:sz w:val="16"/>
          <w:szCs w:val="18"/>
          <w:lang w:val="pt-BR"/>
        </w:rPr>
      </w:pPr>
      <w:r w:rsidRPr="00A600E9">
        <w:rPr>
          <w:sz w:val="16"/>
          <w:szCs w:val="18"/>
          <w:lang w:val="pt-BR"/>
        </w:rPr>
        <w:t xml:space="preserve">PHAN, T. S. et al. </w:t>
      </w:r>
      <w:r w:rsidRPr="00B64A37">
        <w:rPr>
          <w:sz w:val="16"/>
          <w:szCs w:val="18"/>
        </w:rPr>
        <w:t xml:space="preserve">Hydrogen production from biogas: Process optimization using ASPEN Plus®. International Journal of Hydrogen Energy, v. 47, n. 100, p. 42027–42039, 2022. Recent Advances in Hydrogen Economy Technologies: Hydrogen Generation, Storage and Utilization. </w:t>
      </w:r>
      <w:r w:rsidRPr="00B64A37">
        <w:rPr>
          <w:sz w:val="16"/>
          <w:szCs w:val="18"/>
          <w:lang w:val="pt-BR"/>
        </w:rPr>
        <w:t xml:space="preserve">ISSN 0360-3199. DOI: https://doi.org/10.1016/j.ijhydene.2022.01. 100. Disponível em: https://www.sciencedirect.com/science/article/pii/ S0360319922001872. </w:t>
      </w:r>
    </w:p>
    <w:p w14:paraId="6A159965" w14:textId="77777777" w:rsidR="00780003" w:rsidRPr="00B64A37" w:rsidRDefault="00780003" w:rsidP="00E65B91">
      <w:pPr>
        <w:pStyle w:val="CETReferencetext"/>
        <w:rPr>
          <w:sz w:val="16"/>
          <w:szCs w:val="18"/>
          <w:lang w:val="pt-BR"/>
        </w:rPr>
      </w:pPr>
      <w:r w:rsidRPr="00B64A37">
        <w:rPr>
          <w:sz w:val="16"/>
          <w:szCs w:val="18"/>
          <w:lang w:val="en-US"/>
        </w:rPr>
        <w:t xml:space="preserve">ROSSI, C. et al. Thermodynamic analysis of steam reforming of ethanol and </w:t>
      </w:r>
      <w:proofErr w:type="spellStart"/>
      <w:r w:rsidRPr="00B64A37">
        <w:rPr>
          <w:sz w:val="16"/>
          <w:szCs w:val="18"/>
          <w:lang w:val="en-US"/>
        </w:rPr>
        <w:t>glycerine</w:t>
      </w:r>
      <w:proofErr w:type="spellEnd"/>
      <w:r w:rsidRPr="00B64A37">
        <w:rPr>
          <w:sz w:val="16"/>
          <w:szCs w:val="18"/>
          <w:lang w:val="en-US"/>
        </w:rPr>
        <w:t xml:space="preserve"> for hydrogen production. International Journal of Hydrogen Energy, v. 34, n. 1, p. 323–332, 2009. ISSN 0360-3199. DOI: https://doi.org/10.1016/j.ijhydene.2008.09. </w:t>
      </w:r>
      <w:r w:rsidRPr="00B64A37">
        <w:rPr>
          <w:sz w:val="16"/>
          <w:szCs w:val="18"/>
          <w:lang w:val="pt-BR"/>
        </w:rPr>
        <w:t xml:space="preserve">071. Disponível em: https://www.sciencedirect.com/science/article/pii/ S0360319908012779. </w:t>
      </w:r>
    </w:p>
    <w:p w14:paraId="4F62C73C" w14:textId="77777777" w:rsidR="00780003" w:rsidRPr="00B64A37" w:rsidRDefault="00780003" w:rsidP="00E65B91">
      <w:pPr>
        <w:pStyle w:val="CETReferencetext"/>
        <w:rPr>
          <w:sz w:val="16"/>
          <w:szCs w:val="18"/>
          <w:lang w:val="en-US"/>
        </w:rPr>
      </w:pPr>
      <w:r w:rsidRPr="00B64A37">
        <w:rPr>
          <w:sz w:val="16"/>
          <w:szCs w:val="18"/>
          <w:lang w:val="en-US"/>
        </w:rPr>
        <w:t xml:space="preserve">RUTH, M.; LAFFEN, M.; TIMBARIO, T. Hydrogen Pathways: Cost, Well-to-Wheels Energy Use, and Emissions for the Current Technology Status of Seven Hydrogen Production, Delivery, and Distribution Scenarios, set. 2009. DOI: 10.2172/966286. </w:t>
      </w:r>
    </w:p>
    <w:p w14:paraId="6D4078D0" w14:textId="77777777" w:rsidR="00780003" w:rsidRPr="00B64A37" w:rsidRDefault="00780003" w:rsidP="00E65B91">
      <w:pPr>
        <w:pStyle w:val="CETReferencetext"/>
        <w:rPr>
          <w:sz w:val="16"/>
          <w:szCs w:val="18"/>
          <w:lang w:val="pt-BR"/>
        </w:rPr>
      </w:pPr>
      <w:r w:rsidRPr="00B64A37">
        <w:rPr>
          <w:sz w:val="16"/>
          <w:szCs w:val="18"/>
          <w:lang w:val="en-US"/>
        </w:rPr>
        <w:t>TAGHIZAD-</w:t>
      </w:r>
      <w:proofErr w:type="spellStart"/>
      <w:proofErr w:type="gramStart"/>
      <w:r w:rsidRPr="00B64A37">
        <w:rPr>
          <w:sz w:val="16"/>
          <w:szCs w:val="18"/>
          <w:lang w:val="en-US"/>
        </w:rPr>
        <w:t>TAVANA,K</w:t>
      </w:r>
      <w:proofErr w:type="gramEnd"/>
      <w:r w:rsidRPr="00B64A37">
        <w:rPr>
          <w:sz w:val="16"/>
          <w:szCs w:val="18"/>
          <w:lang w:val="en-US"/>
        </w:rPr>
        <w:t>.</w:t>
      </w:r>
      <w:proofErr w:type="gramStart"/>
      <w:r w:rsidRPr="00B64A37">
        <w:rPr>
          <w:sz w:val="16"/>
          <w:szCs w:val="18"/>
          <w:lang w:val="en-US"/>
        </w:rPr>
        <w:t>etal.Fromgreenhydrogenproductiontoartificial</w:t>
      </w:r>
      <w:proofErr w:type="spellEnd"/>
      <w:proofErr w:type="gramEnd"/>
      <w:r w:rsidRPr="00B64A37">
        <w:rPr>
          <w:sz w:val="16"/>
          <w:szCs w:val="18"/>
          <w:lang w:val="en-US"/>
        </w:rPr>
        <w:t xml:space="preserve"> intelligence–driven energy management in hydrogen fuel cell electric vehicles: a comprehensive review of technologies, optimization techniques, international standards, and investment programs. Applied Energy, v. 399, p. 126534, 2025. ISSN 0306-2619. DOI: https://doi.org/10.1016/ </w:t>
      </w:r>
      <w:proofErr w:type="gramStart"/>
      <w:r w:rsidRPr="00B64A37">
        <w:rPr>
          <w:sz w:val="16"/>
          <w:szCs w:val="18"/>
          <w:lang w:val="en-US"/>
        </w:rPr>
        <w:t>j.apenergy</w:t>
      </w:r>
      <w:proofErr w:type="gramEnd"/>
      <w:r w:rsidRPr="00B64A37">
        <w:rPr>
          <w:sz w:val="16"/>
          <w:szCs w:val="18"/>
          <w:lang w:val="en-US"/>
        </w:rPr>
        <w:t xml:space="preserve">.2025.126534. </w:t>
      </w:r>
      <w:r w:rsidRPr="00B64A37">
        <w:rPr>
          <w:sz w:val="16"/>
          <w:szCs w:val="18"/>
          <w:lang w:val="pt-BR"/>
        </w:rPr>
        <w:t xml:space="preserve">Disponível em: https://www.sciencedirect.com/ </w:t>
      </w:r>
      <w:proofErr w:type="spellStart"/>
      <w:r w:rsidRPr="00B64A37">
        <w:rPr>
          <w:sz w:val="16"/>
          <w:szCs w:val="18"/>
          <w:lang w:val="pt-BR"/>
        </w:rPr>
        <w:t>science</w:t>
      </w:r>
      <w:proofErr w:type="spellEnd"/>
      <w:r w:rsidRPr="00B64A37">
        <w:rPr>
          <w:sz w:val="16"/>
          <w:szCs w:val="18"/>
          <w:lang w:val="pt-BR"/>
        </w:rPr>
        <w:t>/</w:t>
      </w:r>
      <w:proofErr w:type="spellStart"/>
      <w:r w:rsidRPr="00B64A37">
        <w:rPr>
          <w:sz w:val="16"/>
          <w:szCs w:val="18"/>
          <w:lang w:val="pt-BR"/>
        </w:rPr>
        <w:t>article</w:t>
      </w:r>
      <w:proofErr w:type="spellEnd"/>
      <w:r w:rsidRPr="00B64A37">
        <w:rPr>
          <w:sz w:val="16"/>
          <w:szCs w:val="18"/>
          <w:lang w:val="pt-BR"/>
        </w:rPr>
        <w:t>/</w:t>
      </w:r>
      <w:proofErr w:type="spellStart"/>
      <w:r w:rsidRPr="00B64A37">
        <w:rPr>
          <w:sz w:val="16"/>
          <w:szCs w:val="18"/>
          <w:lang w:val="pt-BR"/>
        </w:rPr>
        <w:t>pii</w:t>
      </w:r>
      <w:proofErr w:type="spellEnd"/>
      <w:r w:rsidRPr="00B64A37">
        <w:rPr>
          <w:sz w:val="16"/>
          <w:szCs w:val="18"/>
          <w:lang w:val="pt-BR"/>
        </w:rPr>
        <w:t xml:space="preserve">/S0306261925012644. </w:t>
      </w:r>
    </w:p>
    <w:p w14:paraId="6FAA4342" w14:textId="388028E4" w:rsidR="00C52C3C" w:rsidRPr="00B64A37" w:rsidRDefault="00780003" w:rsidP="00B64A37">
      <w:pPr>
        <w:pStyle w:val="CETReferencetext"/>
        <w:rPr>
          <w:sz w:val="16"/>
          <w:szCs w:val="18"/>
          <w:lang w:val="en-US"/>
        </w:rPr>
      </w:pPr>
      <w:r w:rsidRPr="00B64A37">
        <w:rPr>
          <w:sz w:val="16"/>
          <w:szCs w:val="18"/>
          <w:lang w:val="en-US"/>
        </w:rPr>
        <w:t xml:space="preserve">WU, Z. et al. </w:t>
      </w:r>
      <w:proofErr w:type="spellStart"/>
      <w:r w:rsidRPr="00B64A37">
        <w:rPr>
          <w:sz w:val="16"/>
          <w:szCs w:val="18"/>
          <w:lang w:val="en-US"/>
        </w:rPr>
        <w:t>Dveloping</w:t>
      </w:r>
      <w:proofErr w:type="spellEnd"/>
      <w:r w:rsidRPr="00B64A37">
        <w:rPr>
          <w:sz w:val="16"/>
          <w:szCs w:val="18"/>
          <w:lang w:val="en-US"/>
        </w:rPr>
        <w:t xml:space="preserve"> surrogate models for the early-stage design of residential blocks using graph neural </w:t>
      </w:r>
      <w:proofErr w:type="spellStart"/>
      <w:r w:rsidRPr="00B64A37">
        <w:rPr>
          <w:sz w:val="16"/>
          <w:szCs w:val="18"/>
          <w:lang w:val="en-US"/>
        </w:rPr>
        <w:t>networkse</w:t>
      </w:r>
      <w:proofErr w:type="spellEnd"/>
      <w:r w:rsidRPr="00B64A37">
        <w:rPr>
          <w:sz w:val="16"/>
          <w:szCs w:val="18"/>
          <w:lang w:val="en-US"/>
        </w:rPr>
        <w:t>. Building Simulation, v. 13, p. 436–450, mar. 2025. DOI: https: //doi.org/10.1007/s12273-025-1237-7.</w:t>
      </w:r>
    </w:p>
    <w:sectPr w:rsidR="00C52C3C" w:rsidRPr="00B64A37"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8C27C" w14:textId="77777777" w:rsidR="00897204" w:rsidRDefault="00897204" w:rsidP="004F5E36">
      <w:r>
        <w:separator/>
      </w:r>
    </w:p>
  </w:endnote>
  <w:endnote w:type="continuationSeparator" w:id="0">
    <w:p w14:paraId="0EDD65D4" w14:textId="77777777" w:rsidR="00897204" w:rsidRDefault="0089720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24872" w14:textId="77777777" w:rsidR="00897204" w:rsidRDefault="00897204" w:rsidP="004F5E36">
      <w:r>
        <w:separator/>
      </w:r>
    </w:p>
  </w:footnote>
  <w:footnote w:type="continuationSeparator" w:id="0">
    <w:p w14:paraId="52B4BAB1" w14:textId="77777777" w:rsidR="00897204" w:rsidRDefault="0089720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DA301790"/>
    <w:lvl w:ilvl="0">
      <w:start w:val="1"/>
      <w:numFmt w:val="decimal"/>
      <w:lvlText w:val="%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7C27465"/>
    <w:multiLevelType w:val="hybridMultilevel"/>
    <w:tmpl w:val="ED9CFBCC"/>
    <w:lvl w:ilvl="0" w:tplc="FFFFFFFF">
      <w:start w:val="1"/>
      <w:numFmt w:val="lowerLetter"/>
      <w:lvlText w:val="(%1)"/>
      <w:lvlJc w:val="left"/>
      <w:pPr>
        <w:ind w:left="720" w:hanging="360"/>
      </w:pPr>
      <w:rPr>
        <w:rFonts w:hint="default"/>
        <w:sz w:val="16"/>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097E85"/>
    <w:multiLevelType w:val="hybridMultilevel"/>
    <w:tmpl w:val="ED9CFBCC"/>
    <w:lvl w:ilvl="0" w:tplc="526667F2">
      <w:start w:val="1"/>
      <w:numFmt w:val="lowerLetter"/>
      <w:lvlText w:val="(%1)"/>
      <w:lvlJc w:val="left"/>
      <w:pPr>
        <w:ind w:left="720" w:hanging="360"/>
      </w:pPr>
      <w:rPr>
        <w:rFonts w:hint="default"/>
        <w:sz w:val="16"/>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43853027">
    <w:abstractNumId w:val="10"/>
  </w:num>
  <w:num w:numId="2" w16cid:durableId="853376210">
    <w:abstractNumId w:val="8"/>
  </w:num>
  <w:num w:numId="3" w16cid:durableId="779765248">
    <w:abstractNumId w:val="3"/>
  </w:num>
  <w:num w:numId="4" w16cid:durableId="295449806">
    <w:abstractNumId w:val="2"/>
  </w:num>
  <w:num w:numId="5" w16cid:durableId="706023547">
    <w:abstractNumId w:val="1"/>
  </w:num>
  <w:num w:numId="6" w16cid:durableId="248274024">
    <w:abstractNumId w:val="0"/>
  </w:num>
  <w:num w:numId="7" w16cid:durableId="1791893638">
    <w:abstractNumId w:val="9"/>
  </w:num>
  <w:num w:numId="8" w16cid:durableId="1348677110">
    <w:abstractNumId w:val="7"/>
  </w:num>
  <w:num w:numId="9" w16cid:durableId="871261851">
    <w:abstractNumId w:val="6"/>
  </w:num>
  <w:num w:numId="10" w16cid:durableId="1831095834">
    <w:abstractNumId w:val="5"/>
  </w:num>
  <w:num w:numId="11" w16cid:durableId="1379434284">
    <w:abstractNumId w:val="4"/>
  </w:num>
  <w:num w:numId="12" w16cid:durableId="1028026828">
    <w:abstractNumId w:val="17"/>
  </w:num>
  <w:num w:numId="13" w16cid:durableId="902520260">
    <w:abstractNumId w:val="12"/>
  </w:num>
  <w:num w:numId="14" w16cid:durableId="676424432">
    <w:abstractNumId w:val="19"/>
  </w:num>
  <w:num w:numId="15" w16cid:durableId="1259557787">
    <w:abstractNumId w:val="21"/>
  </w:num>
  <w:num w:numId="16" w16cid:durableId="157693745">
    <w:abstractNumId w:val="20"/>
  </w:num>
  <w:num w:numId="17" w16cid:durableId="1072389351">
    <w:abstractNumId w:val="11"/>
  </w:num>
  <w:num w:numId="18" w16cid:durableId="607852332">
    <w:abstractNumId w:val="12"/>
    <w:lvlOverride w:ilvl="0">
      <w:startOverride w:val="1"/>
    </w:lvlOverride>
  </w:num>
  <w:num w:numId="19" w16cid:durableId="1337151026">
    <w:abstractNumId w:val="16"/>
  </w:num>
  <w:num w:numId="20" w16cid:durableId="1513447296">
    <w:abstractNumId w:val="15"/>
  </w:num>
  <w:num w:numId="21" w16cid:durableId="1866747337">
    <w:abstractNumId w:val="14"/>
  </w:num>
  <w:num w:numId="22" w16cid:durableId="51739762">
    <w:abstractNumId w:val="13"/>
  </w:num>
  <w:num w:numId="23" w16cid:durableId="1410423208">
    <w:abstractNumId w:val="22"/>
  </w:num>
  <w:num w:numId="24" w16cid:durableId="11533740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17C3F"/>
    <w:rsid w:val="0003148D"/>
    <w:rsid w:val="00031EEC"/>
    <w:rsid w:val="00051566"/>
    <w:rsid w:val="000562A9"/>
    <w:rsid w:val="00062A9A"/>
    <w:rsid w:val="00065058"/>
    <w:rsid w:val="0008182B"/>
    <w:rsid w:val="00086C39"/>
    <w:rsid w:val="000A03B2"/>
    <w:rsid w:val="000D0268"/>
    <w:rsid w:val="000D34BE"/>
    <w:rsid w:val="000E102F"/>
    <w:rsid w:val="000E36F1"/>
    <w:rsid w:val="000E3A73"/>
    <w:rsid w:val="000E414A"/>
    <w:rsid w:val="000E75FD"/>
    <w:rsid w:val="000F093C"/>
    <w:rsid w:val="000F787B"/>
    <w:rsid w:val="00101F02"/>
    <w:rsid w:val="0012091F"/>
    <w:rsid w:val="00124AAD"/>
    <w:rsid w:val="00126BC2"/>
    <w:rsid w:val="001308B6"/>
    <w:rsid w:val="0013121F"/>
    <w:rsid w:val="00131FE6"/>
    <w:rsid w:val="0013263F"/>
    <w:rsid w:val="001331DF"/>
    <w:rsid w:val="00134DE4"/>
    <w:rsid w:val="0014034D"/>
    <w:rsid w:val="00140595"/>
    <w:rsid w:val="00140FE3"/>
    <w:rsid w:val="00141A8F"/>
    <w:rsid w:val="00144D16"/>
    <w:rsid w:val="00150E59"/>
    <w:rsid w:val="00152DE3"/>
    <w:rsid w:val="00164CF9"/>
    <w:rsid w:val="001667A6"/>
    <w:rsid w:val="00172C33"/>
    <w:rsid w:val="0018459F"/>
    <w:rsid w:val="00184AD6"/>
    <w:rsid w:val="0019539D"/>
    <w:rsid w:val="00196513"/>
    <w:rsid w:val="001A4AF7"/>
    <w:rsid w:val="001B0349"/>
    <w:rsid w:val="001B1E93"/>
    <w:rsid w:val="001B65C1"/>
    <w:rsid w:val="001B6A3E"/>
    <w:rsid w:val="001C260F"/>
    <w:rsid w:val="001C33F1"/>
    <w:rsid w:val="001C684B"/>
    <w:rsid w:val="001D0CFB"/>
    <w:rsid w:val="001D1DCD"/>
    <w:rsid w:val="001D21AF"/>
    <w:rsid w:val="001D53FC"/>
    <w:rsid w:val="001F0062"/>
    <w:rsid w:val="001F42A5"/>
    <w:rsid w:val="001F7B9D"/>
    <w:rsid w:val="00200B80"/>
    <w:rsid w:val="00201C93"/>
    <w:rsid w:val="002224B4"/>
    <w:rsid w:val="0022499F"/>
    <w:rsid w:val="002308A9"/>
    <w:rsid w:val="00240998"/>
    <w:rsid w:val="00240B19"/>
    <w:rsid w:val="002447EF"/>
    <w:rsid w:val="00251550"/>
    <w:rsid w:val="00263B05"/>
    <w:rsid w:val="00271672"/>
    <w:rsid w:val="0027221A"/>
    <w:rsid w:val="00275B61"/>
    <w:rsid w:val="00280FAF"/>
    <w:rsid w:val="00282656"/>
    <w:rsid w:val="00296B83"/>
    <w:rsid w:val="002B4015"/>
    <w:rsid w:val="002B5C01"/>
    <w:rsid w:val="002B78CE"/>
    <w:rsid w:val="002C2FB6"/>
    <w:rsid w:val="002D4271"/>
    <w:rsid w:val="002E5FA7"/>
    <w:rsid w:val="002F3309"/>
    <w:rsid w:val="003008CE"/>
    <w:rsid w:val="003009B7"/>
    <w:rsid w:val="00300E56"/>
    <w:rsid w:val="0030152C"/>
    <w:rsid w:val="0030469C"/>
    <w:rsid w:val="00321CA6"/>
    <w:rsid w:val="00323763"/>
    <w:rsid w:val="00323C5F"/>
    <w:rsid w:val="003324B4"/>
    <w:rsid w:val="00334C09"/>
    <w:rsid w:val="00336D3D"/>
    <w:rsid w:val="003723D4"/>
    <w:rsid w:val="00381905"/>
    <w:rsid w:val="00384CC8"/>
    <w:rsid w:val="003871FD"/>
    <w:rsid w:val="003A1E30"/>
    <w:rsid w:val="003A2829"/>
    <w:rsid w:val="003A7D1C"/>
    <w:rsid w:val="003B304B"/>
    <w:rsid w:val="003B3146"/>
    <w:rsid w:val="003B4EA5"/>
    <w:rsid w:val="003C766B"/>
    <w:rsid w:val="003D1E02"/>
    <w:rsid w:val="003F015E"/>
    <w:rsid w:val="00400414"/>
    <w:rsid w:val="00401A9F"/>
    <w:rsid w:val="00402AAC"/>
    <w:rsid w:val="00412577"/>
    <w:rsid w:val="0041446B"/>
    <w:rsid w:val="00415C7E"/>
    <w:rsid w:val="004257FF"/>
    <w:rsid w:val="0044071E"/>
    <w:rsid w:val="0044329C"/>
    <w:rsid w:val="00453E24"/>
    <w:rsid w:val="00457456"/>
    <w:rsid w:val="004577FE"/>
    <w:rsid w:val="00457B9C"/>
    <w:rsid w:val="0046164A"/>
    <w:rsid w:val="004628D2"/>
    <w:rsid w:val="00462DCD"/>
    <w:rsid w:val="004648AD"/>
    <w:rsid w:val="004703A9"/>
    <w:rsid w:val="004760DE"/>
    <w:rsid w:val="004763D7"/>
    <w:rsid w:val="00493EF4"/>
    <w:rsid w:val="004A004E"/>
    <w:rsid w:val="004A24CF"/>
    <w:rsid w:val="004A5E57"/>
    <w:rsid w:val="004B1F0A"/>
    <w:rsid w:val="004C194F"/>
    <w:rsid w:val="004C3D1D"/>
    <w:rsid w:val="004C3D84"/>
    <w:rsid w:val="004C7913"/>
    <w:rsid w:val="004E4DD6"/>
    <w:rsid w:val="004F03B8"/>
    <w:rsid w:val="004F3DE1"/>
    <w:rsid w:val="004F5E36"/>
    <w:rsid w:val="00507B47"/>
    <w:rsid w:val="00507BEF"/>
    <w:rsid w:val="00507CC9"/>
    <w:rsid w:val="005119A5"/>
    <w:rsid w:val="00522FD9"/>
    <w:rsid w:val="005278B7"/>
    <w:rsid w:val="0053030F"/>
    <w:rsid w:val="00532016"/>
    <w:rsid w:val="005346C8"/>
    <w:rsid w:val="00541114"/>
    <w:rsid w:val="00543E7D"/>
    <w:rsid w:val="00547A68"/>
    <w:rsid w:val="005531C9"/>
    <w:rsid w:val="00570C43"/>
    <w:rsid w:val="00590870"/>
    <w:rsid w:val="00592274"/>
    <w:rsid w:val="00597725"/>
    <w:rsid w:val="005B2110"/>
    <w:rsid w:val="005B61E6"/>
    <w:rsid w:val="005B6C0F"/>
    <w:rsid w:val="005C77E1"/>
    <w:rsid w:val="005D668A"/>
    <w:rsid w:val="005D6A2F"/>
    <w:rsid w:val="005D7B17"/>
    <w:rsid w:val="005E0592"/>
    <w:rsid w:val="005E1A82"/>
    <w:rsid w:val="005E794C"/>
    <w:rsid w:val="005F0A28"/>
    <w:rsid w:val="005F0E5E"/>
    <w:rsid w:val="00600535"/>
    <w:rsid w:val="0061074A"/>
    <w:rsid w:val="00610CD6"/>
    <w:rsid w:val="00620DEE"/>
    <w:rsid w:val="00621F92"/>
    <w:rsid w:val="0062280A"/>
    <w:rsid w:val="006231E1"/>
    <w:rsid w:val="00623F71"/>
    <w:rsid w:val="00625639"/>
    <w:rsid w:val="00631B33"/>
    <w:rsid w:val="0064184D"/>
    <w:rsid w:val="006422CC"/>
    <w:rsid w:val="00651D18"/>
    <w:rsid w:val="00660E3E"/>
    <w:rsid w:val="00662E74"/>
    <w:rsid w:val="00664F9F"/>
    <w:rsid w:val="00670017"/>
    <w:rsid w:val="00680C23"/>
    <w:rsid w:val="0068115C"/>
    <w:rsid w:val="00683E23"/>
    <w:rsid w:val="0069136C"/>
    <w:rsid w:val="00692D12"/>
    <w:rsid w:val="00693766"/>
    <w:rsid w:val="006A3281"/>
    <w:rsid w:val="006B4888"/>
    <w:rsid w:val="006C2E45"/>
    <w:rsid w:val="006C359C"/>
    <w:rsid w:val="006C5579"/>
    <w:rsid w:val="006D6E8B"/>
    <w:rsid w:val="006D7209"/>
    <w:rsid w:val="006E48F2"/>
    <w:rsid w:val="006E737D"/>
    <w:rsid w:val="00707DD1"/>
    <w:rsid w:val="00713973"/>
    <w:rsid w:val="007177D3"/>
    <w:rsid w:val="00720A24"/>
    <w:rsid w:val="00732386"/>
    <w:rsid w:val="0073514D"/>
    <w:rsid w:val="007424C4"/>
    <w:rsid w:val="007447F3"/>
    <w:rsid w:val="0075499F"/>
    <w:rsid w:val="007617CC"/>
    <w:rsid w:val="007661C8"/>
    <w:rsid w:val="0077098D"/>
    <w:rsid w:val="00780003"/>
    <w:rsid w:val="00785BF9"/>
    <w:rsid w:val="007931FA"/>
    <w:rsid w:val="007A1BF6"/>
    <w:rsid w:val="007A348E"/>
    <w:rsid w:val="007A4861"/>
    <w:rsid w:val="007A7BBA"/>
    <w:rsid w:val="007B0C50"/>
    <w:rsid w:val="007B48F9"/>
    <w:rsid w:val="007C1A43"/>
    <w:rsid w:val="007D0951"/>
    <w:rsid w:val="007E01F8"/>
    <w:rsid w:val="007F27C8"/>
    <w:rsid w:val="007F2B4C"/>
    <w:rsid w:val="0080013E"/>
    <w:rsid w:val="00813288"/>
    <w:rsid w:val="008168FC"/>
    <w:rsid w:val="00830996"/>
    <w:rsid w:val="008314D7"/>
    <w:rsid w:val="008345F1"/>
    <w:rsid w:val="00865B07"/>
    <w:rsid w:val="008667EA"/>
    <w:rsid w:val="0087637F"/>
    <w:rsid w:val="00892AD5"/>
    <w:rsid w:val="00897204"/>
    <w:rsid w:val="008A1512"/>
    <w:rsid w:val="008A535F"/>
    <w:rsid w:val="008C3BE8"/>
    <w:rsid w:val="008D32B9"/>
    <w:rsid w:val="008D433B"/>
    <w:rsid w:val="008D4A16"/>
    <w:rsid w:val="008E209A"/>
    <w:rsid w:val="008E45BC"/>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4C4C"/>
    <w:rsid w:val="009570CF"/>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9F4890"/>
    <w:rsid w:val="00A0064C"/>
    <w:rsid w:val="00A079AE"/>
    <w:rsid w:val="00A1763D"/>
    <w:rsid w:val="00A17CEC"/>
    <w:rsid w:val="00A26CBB"/>
    <w:rsid w:val="00A27EF0"/>
    <w:rsid w:val="00A42361"/>
    <w:rsid w:val="00A50B20"/>
    <w:rsid w:val="00A51390"/>
    <w:rsid w:val="00A52167"/>
    <w:rsid w:val="00A600E9"/>
    <w:rsid w:val="00A60D13"/>
    <w:rsid w:val="00A7223D"/>
    <w:rsid w:val="00A72745"/>
    <w:rsid w:val="00A76EFC"/>
    <w:rsid w:val="00A87D50"/>
    <w:rsid w:val="00A91010"/>
    <w:rsid w:val="00A97F29"/>
    <w:rsid w:val="00AA702E"/>
    <w:rsid w:val="00AA7D26"/>
    <w:rsid w:val="00AB0964"/>
    <w:rsid w:val="00AB5011"/>
    <w:rsid w:val="00AC7368"/>
    <w:rsid w:val="00AD0278"/>
    <w:rsid w:val="00AD16B9"/>
    <w:rsid w:val="00AE351C"/>
    <w:rsid w:val="00AE377D"/>
    <w:rsid w:val="00AF0EBA"/>
    <w:rsid w:val="00B01434"/>
    <w:rsid w:val="00B02C8A"/>
    <w:rsid w:val="00B04627"/>
    <w:rsid w:val="00B07504"/>
    <w:rsid w:val="00B17FBD"/>
    <w:rsid w:val="00B315A6"/>
    <w:rsid w:val="00B31813"/>
    <w:rsid w:val="00B33365"/>
    <w:rsid w:val="00B46EC1"/>
    <w:rsid w:val="00B57B36"/>
    <w:rsid w:val="00B57E6F"/>
    <w:rsid w:val="00B64A37"/>
    <w:rsid w:val="00B74EDC"/>
    <w:rsid w:val="00B82A71"/>
    <w:rsid w:val="00B8686D"/>
    <w:rsid w:val="00B93F69"/>
    <w:rsid w:val="00BA735C"/>
    <w:rsid w:val="00BB1A2C"/>
    <w:rsid w:val="00BB1DDC"/>
    <w:rsid w:val="00BC30C9"/>
    <w:rsid w:val="00BD077D"/>
    <w:rsid w:val="00BE02A6"/>
    <w:rsid w:val="00BE3E58"/>
    <w:rsid w:val="00C01616"/>
    <w:rsid w:val="00C0162B"/>
    <w:rsid w:val="00C068ED"/>
    <w:rsid w:val="00C15C9E"/>
    <w:rsid w:val="00C176B0"/>
    <w:rsid w:val="00C208E9"/>
    <w:rsid w:val="00C22E0C"/>
    <w:rsid w:val="00C345B1"/>
    <w:rsid w:val="00C40142"/>
    <w:rsid w:val="00C52C3C"/>
    <w:rsid w:val="00C57182"/>
    <w:rsid w:val="00C57863"/>
    <w:rsid w:val="00C640AF"/>
    <w:rsid w:val="00C655FD"/>
    <w:rsid w:val="00C75407"/>
    <w:rsid w:val="00C841C6"/>
    <w:rsid w:val="00C870A8"/>
    <w:rsid w:val="00C94434"/>
    <w:rsid w:val="00CA0D75"/>
    <w:rsid w:val="00CA1C95"/>
    <w:rsid w:val="00CA25E8"/>
    <w:rsid w:val="00CA5A9C"/>
    <w:rsid w:val="00CC4C20"/>
    <w:rsid w:val="00CC75DD"/>
    <w:rsid w:val="00CD3517"/>
    <w:rsid w:val="00CD5FE2"/>
    <w:rsid w:val="00CE7C68"/>
    <w:rsid w:val="00D02B4C"/>
    <w:rsid w:val="00D040C4"/>
    <w:rsid w:val="00D04BA2"/>
    <w:rsid w:val="00D20AD1"/>
    <w:rsid w:val="00D2582C"/>
    <w:rsid w:val="00D46B7E"/>
    <w:rsid w:val="00D57C84"/>
    <w:rsid w:val="00D6057D"/>
    <w:rsid w:val="00D71640"/>
    <w:rsid w:val="00D804EF"/>
    <w:rsid w:val="00D836C5"/>
    <w:rsid w:val="00D84576"/>
    <w:rsid w:val="00DA1399"/>
    <w:rsid w:val="00DA24C6"/>
    <w:rsid w:val="00DA45BA"/>
    <w:rsid w:val="00DA4D7B"/>
    <w:rsid w:val="00DC52F4"/>
    <w:rsid w:val="00DD1801"/>
    <w:rsid w:val="00DD1EE6"/>
    <w:rsid w:val="00DD271C"/>
    <w:rsid w:val="00DE264A"/>
    <w:rsid w:val="00DF5072"/>
    <w:rsid w:val="00E02D18"/>
    <w:rsid w:val="00E041E7"/>
    <w:rsid w:val="00E2397E"/>
    <w:rsid w:val="00E23CA1"/>
    <w:rsid w:val="00E24F0D"/>
    <w:rsid w:val="00E30E1D"/>
    <w:rsid w:val="00E409A8"/>
    <w:rsid w:val="00E47D61"/>
    <w:rsid w:val="00E50C12"/>
    <w:rsid w:val="00E65B91"/>
    <w:rsid w:val="00E7209D"/>
    <w:rsid w:val="00E72EAD"/>
    <w:rsid w:val="00E77223"/>
    <w:rsid w:val="00E8528B"/>
    <w:rsid w:val="00E85300"/>
    <w:rsid w:val="00E85B94"/>
    <w:rsid w:val="00E948A2"/>
    <w:rsid w:val="00E978D0"/>
    <w:rsid w:val="00EA3EF9"/>
    <w:rsid w:val="00EA4613"/>
    <w:rsid w:val="00EA7F91"/>
    <w:rsid w:val="00EB1523"/>
    <w:rsid w:val="00EC0E49"/>
    <w:rsid w:val="00EC101F"/>
    <w:rsid w:val="00EC1D9F"/>
    <w:rsid w:val="00EC7CFE"/>
    <w:rsid w:val="00EE0131"/>
    <w:rsid w:val="00EE17B0"/>
    <w:rsid w:val="00EF06D9"/>
    <w:rsid w:val="00EF0982"/>
    <w:rsid w:val="00EF6CCE"/>
    <w:rsid w:val="00F126A5"/>
    <w:rsid w:val="00F2057E"/>
    <w:rsid w:val="00F3049E"/>
    <w:rsid w:val="00F30C64"/>
    <w:rsid w:val="00F32BA2"/>
    <w:rsid w:val="00F32CDB"/>
    <w:rsid w:val="00F3348F"/>
    <w:rsid w:val="00F37280"/>
    <w:rsid w:val="00F41EE4"/>
    <w:rsid w:val="00F565FE"/>
    <w:rsid w:val="00F63A70"/>
    <w:rsid w:val="00F63D8C"/>
    <w:rsid w:val="00F7534E"/>
    <w:rsid w:val="00F93EDF"/>
    <w:rsid w:val="00FA1802"/>
    <w:rsid w:val="00FA21D0"/>
    <w:rsid w:val="00FA5F5F"/>
    <w:rsid w:val="00FB60D3"/>
    <w:rsid w:val="00FB730C"/>
    <w:rsid w:val="00FC2695"/>
    <w:rsid w:val="00FC3E03"/>
    <w:rsid w:val="00FC3FC1"/>
    <w:rsid w:val="00FE20C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3324B4"/>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9136C"/>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9136C"/>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customStyle="1" w:styleId="MenoPendente1">
    <w:name w:val="Menção Pendente1"/>
    <w:basedOn w:val="Fontepargpadro"/>
    <w:uiPriority w:val="99"/>
    <w:semiHidden/>
    <w:unhideWhenUsed/>
    <w:rsid w:val="007E01F8"/>
    <w:rPr>
      <w:color w:val="605E5C"/>
      <w:shd w:val="clear" w:color="auto" w:fill="E1DFDD"/>
    </w:rPr>
  </w:style>
  <w:style w:type="paragraph" w:styleId="Reviso">
    <w:name w:val="Revision"/>
    <w:hidden/>
    <w:uiPriority w:val="99"/>
    <w:semiHidden/>
    <w:rsid w:val="00402AAC"/>
    <w:pPr>
      <w:spacing w:after="0" w:line="240" w:lineRule="auto"/>
    </w:pPr>
    <w:rPr>
      <w:rFonts w:ascii="Arial" w:eastAsia="Times New Roman" w:hAnsi="Arial" w:cs="Times New Roman"/>
      <w:sz w:val="18"/>
      <w:szCs w:val="20"/>
      <w:lang w:val="en-GB"/>
    </w:rPr>
  </w:style>
  <w:style w:type="character" w:styleId="TextodoEspaoReservado">
    <w:name w:val="Placeholder Text"/>
    <w:basedOn w:val="Fontepargpadro"/>
    <w:uiPriority w:val="99"/>
    <w:semiHidden/>
    <w:rsid w:val="00E2397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21/ie401570s" TargetMode="External"/><Relationship Id="rId2" Type="http://schemas.openxmlformats.org/officeDocument/2006/relationships/numbering" Target="numbering.xml"/><Relationship Id="rId16" Type="http://schemas.openxmlformats.org/officeDocument/2006/relationships/hyperlink" Target="https://www.sciencedirect.com/science/article/pii/S09263373130007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2298/CICEQ160216017B"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608C8-7B7A-4523-A9FC-94F4A4DA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3197</Words>
  <Characters>19027</Characters>
  <Application>Microsoft Office Word</Application>
  <DocSecurity>0</DocSecurity>
  <Lines>359</Lines>
  <Paragraphs>196</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VITÓRIA CATAPANI POLETTI</cp:lastModifiedBy>
  <cp:revision>2</cp:revision>
  <cp:lastPrinted>2015-05-12T18:31:00Z</cp:lastPrinted>
  <dcterms:created xsi:type="dcterms:W3CDTF">2026-03-20T11:34:00Z</dcterms:created>
  <dcterms:modified xsi:type="dcterms:W3CDTF">2026-03-20T11:34:00Z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