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61229B97" w:rsidR="00AA7D26" w:rsidRPr="00876D0D" w:rsidRDefault="004A5E57" w:rsidP="004A5E57">
            <w:pPr>
              <w:ind w:left="-107"/>
              <w:outlineLvl w:val="2"/>
              <w:rPr>
                <w:rFonts w:ascii="Tahoma" w:hAnsi="Tahoma" w:cs="Tahoma"/>
                <w:bCs/>
                <w:color w:val="000000"/>
                <w:sz w:val="14"/>
                <w:szCs w:val="14"/>
                <w:lang w:eastAsia="it-IT"/>
              </w:rPr>
            </w:pPr>
            <w:r w:rsidRPr="00876D0D">
              <w:rPr>
                <w:rFonts w:ascii="Tahoma" w:hAnsi="Tahoma" w:cs="Tahoma"/>
                <w:iCs/>
                <w:color w:val="333333"/>
                <w:sz w:val="14"/>
                <w:szCs w:val="14"/>
                <w:lang w:eastAsia="it-IT"/>
              </w:rPr>
              <w:t>Guest Editors:</w:t>
            </w:r>
            <w:r w:rsidRPr="00876D0D">
              <w:rPr>
                <w:rFonts w:ascii="Tahoma" w:hAnsi="Tahoma" w:cs="Tahoma"/>
                <w:color w:val="000000"/>
                <w:sz w:val="14"/>
                <w:szCs w:val="14"/>
                <w:shd w:val="clear" w:color="auto" w:fill="FFFFFF"/>
              </w:rPr>
              <w:t xml:space="preserve"> </w:t>
            </w:r>
            <w:r w:rsidR="00EA3EF9" w:rsidRPr="00876D0D">
              <w:rPr>
                <w:rFonts w:ascii="Tahoma" w:hAnsi="Tahoma" w:cs="Tahoma"/>
                <w:color w:val="000000"/>
                <w:sz w:val="14"/>
                <w:szCs w:val="14"/>
                <w:shd w:val="clear" w:color="auto" w:fill="FFFFFF"/>
              </w:rPr>
              <w:t xml:space="preserve">Leonardo Tognotti, </w:t>
            </w:r>
            <w:r w:rsidR="00EA3EF9" w:rsidRPr="00876D0D">
              <w:rPr>
                <w:rFonts w:ascii="Tahoma" w:hAnsi="Tahoma" w:cs="Tahoma"/>
                <w:color w:val="000000"/>
                <w:sz w:val="14"/>
                <w:szCs w:val="14"/>
              </w:rPr>
              <w:t>Rubens Maciel Filho</w:t>
            </w:r>
            <w:r w:rsidR="00EA3EF9" w:rsidRPr="00876D0D">
              <w:rPr>
                <w:rFonts w:ascii="Tahoma" w:hAnsi="Tahoma" w:cs="Tahoma"/>
                <w:color w:val="000000"/>
                <w:sz w:val="14"/>
                <w:szCs w:val="14"/>
                <w:shd w:val="clear" w:color="auto" w:fill="FFFFFF"/>
              </w:rPr>
              <w:t xml:space="preserve">, </w:t>
            </w:r>
            <w:r w:rsidR="00EA3EF9" w:rsidRPr="00876D0D">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2026DBA3" w:rsidR="00E978D0" w:rsidRPr="00B57B36" w:rsidRDefault="002B132A" w:rsidP="00E978D0">
      <w:pPr>
        <w:pStyle w:val="CETTitle"/>
      </w:pPr>
      <w:r w:rsidRPr="002B132A">
        <w:t>Comparative Study of Liquid Biofuel Production Pathways for a Sustainable Mobility Solution</w:t>
      </w:r>
    </w:p>
    <w:p w14:paraId="0488FED2" w14:textId="3038EEAD" w:rsidR="00B57E6F" w:rsidRPr="00A61CB0" w:rsidRDefault="00AF0C19" w:rsidP="00B57E6F">
      <w:pPr>
        <w:pStyle w:val="CETAuthors"/>
        <w:rPr>
          <w:lang w:val="it-IT"/>
        </w:rPr>
      </w:pPr>
      <w:r w:rsidRPr="00A61CB0">
        <w:rPr>
          <w:lang w:val="it-IT"/>
        </w:rPr>
        <w:t xml:space="preserve">Aristide Giuliano*, Antonio Ricca, Nicola Pierro, </w:t>
      </w:r>
      <w:r w:rsidR="00A61CB0" w:rsidRPr="00A61CB0">
        <w:rPr>
          <w:lang w:val="it-IT"/>
        </w:rPr>
        <w:t>Pietro Garzone, Maria Teresa Petrone, Isabella</w:t>
      </w:r>
      <w:r w:rsidR="00A61CB0">
        <w:rPr>
          <w:lang w:val="it-IT"/>
        </w:rPr>
        <w:t xml:space="preserve"> De Bari</w:t>
      </w:r>
    </w:p>
    <w:p w14:paraId="6B2D21B3" w14:textId="573267B5" w:rsidR="00B57E6F" w:rsidRPr="00B57B36" w:rsidRDefault="007B27F3" w:rsidP="00B57E6F">
      <w:pPr>
        <w:pStyle w:val="CETAddress"/>
      </w:pPr>
      <w:r w:rsidRPr="007B27F3">
        <w:t>ENEA—Italian National Agency for New Technologies, Energy and Sustainable Economic Development, Rome, 00196, Italy</w:t>
      </w:r>
    </w:p>
    <w:p w14:paraId="73F1267A" w14:textId="07F24BF5" w:rsidR="00B57E6F" w:rsidRPr="003B4EA5" w:rsidRDefault="00841063" w:rsidP="00B57E6F">
      <w:pPr>
        <w:pStyle w:val="CETemail"/>
        <w:rPr>
          <w:lang w:val="fr-FR"/>
        </w:rPr>
      </w:pPr>
      <w:r>
        <w:t>aristide.giuliano@enea.it</w:t>
      </w:r>
    </w:p>
    <w:p w14:paraId="37A61FCE" w14:textId="0E5E0C44" w:rsidR="00DA24C6" w:rsidRDefault="008C1ABA" w:rsidP="008C1ABA">
      <w:pPr>
        <w:pStyle w:val="CETBodytext"/>
      </w:pPr>
      <w:r w:rsidRPr="008C1ABA">
        <w:rPr>
          <w:lang w:val="en-GB"/>
        </w:rPr>
        <w:t xml:space="preserve">This study evaluates multiple biorefinery pathways </w:t>
      </w:r>
      <w:proofErr w:type="gramStart"/>
      <w:r w:rsidRPr="008C1ABA">
        <w:rPr>
          <w:lang w:val="en-GB"/>
        </w:rPr>
        <w:t>for the production of</w:t>
      </w:r>
      <w:proofErr w:type="gramEnd"/>
      <w:r w:rsidRPr="008C1ABA">
        <w:rPr>
          <w:lang w:val="en-GB"/>
        </w:rPr>
        <w:t xml:space="preserve"> liquid biofuels. Feedstocks considered include vegetable oils, lignocellulosic residues and wastes, and dedicated energy crops. Conversion schemes </w:t>
      </w:r>
      <w:proofErr w:type="spellStart"/>
      <w:r w:rsidRPr="008C1ABA">
        <w:rPr>
          <w:lang w:val="en-GB"/>
        </w:rPr>
        <w:t>analyzed</w:t>
      </w:r>
      <w:proofErr w:type="spellEnd"/>
      <w:r w:rsidRPr="008C1ABA">
        <w:rPr>
          <w:lang w:val="en-GB"/>
        </w:rPr>
        <w:t xml:space="preserve"> comprise technologies with high </w:t>
      </w:r>
      <w:r w:rsidR="00E205B8" w:rsidRPr="00E205B8">
        <w:rPr>
          <w:lang w:val="en-GB"/>
        </w:rPr>
        <w:t>Technology Readiness Level</w:t>
      </w:r>
      <w:r w:rsidRPr="008C1ABA">
        <w:rPr>
          <w:lang w:val="en-GB"/>
        </w:rPr>
        <w:t xml:space="preserve"> (≥7) and scalable to commercial production: thermochemical routes followed by syngas synthesis for methanol</w:t>
      </w:r>
      <w:r w:rsidR="002C0D36">
        <w:rPr>
          <w:lang w:val="en-GB"/>
        </w:rPr>
        <w:t xml:space="preserve">; </w:t>
      </w:r>
      <w:r w:rsidRPr="008C1ABA">
        <w:rPr>
          <w:lang w:val="en-GB"/>
        </w:rPr>
        <w:t xml:space="preserve">production of bioliquids via thermal liquefaction such as pyrolysis or hydrothermal liquefaction; </w:t>
      </w:r>
      <w:r w:rsidR="00E921DC">
        <w:rPr>
          <w:lang w:val="en-GB"/>
        </w:rPr>
        <w:t>bio</w:t>
      </w:r>
      <w:r w:rsidRPr="008C1ABA">
        <w:rPr>
          <w:lang w:val="en-GB"/>
        </w:rPr>
        <w:t>ethanol</w:t>
      </w:r>
      <w:r w:rsidR="00E921DC">
        <w:rPr>
          <w:lang w:val="en-GB"/>
        </w:rPr>
        <w:t xml:space="preserve"> </w:t>
      </w:r>
      <w:r w:rsidRPr="008C1ABA">
        <w:rPr>
          <w:lang w:val="en-GB"/>
        </w:rPr>
        <w:t>and transesterification or hydrogenation of vegetable oils</w:t>
      </w:r>
      <w:r w:rsidR="00E921DC">
        <w:rPr>
          <w:lang w:val="en-GB"/>
        </w:rPr>
        <w:t>/used cooking oils</w:t>
      </w:r>
      <w:r w:rsidRPr="008C1ABA">
        <w:rPr>
          <w:lang w:val="en-GB"/>
        </w:rPr>
        <w:t>. Performance indicators include mass and carbon yields, energy conversion efficiencies</w:t>
      </w:r>
      <w:r w:rsidR="007573CC">
        <w:rPr>
          <w:lang w:val="en-GB"/>
        </w:rPr>
        <w:t xml:space="preserve">, </w:t>
      </w:r>
      <w:r w:rsidRPr="008C1ABA">
        <w:rPr>
          <w:lang w:val="en-GB"/>
        </w:rPr>
        <w:t>production costs expressed and environmental impact metrics such as CO</w:t>
      </w:r>
      <w:r w:rsidRPr="003A7F47">
        <w:rPr>
          <w:vertAlign w:val="subscript"/>
          <w:lang w:val="en-GB"/>
        </w:rPr>
        <w:t>2</w:t>
      </w:r>
      <w:r w:rsidRPr="008C1ABA">
        <w:rPr>
          <w:rFonts w:ascii="Cambria Math" w:hAnsi="Cambria Math" w:cs="Cambria Math"/>
          <w:lang w:val="en-GB"/>
        </w:rPr>
        <w:t>‑</w:t>
      </w:r>
      <w:r w:rsidRPr="008C1ABA">
        <w:rPr>
          <w:lang w:val="en-GB"/>
        </w:rPr>
        <w:t xml:space="preserve">equivalent emissions. </w:t>
      </w:r>
      <w:r w:rsidR="002A27BA" w:rsidRPr="002A27BA">
        <w:rPr>
          <w:lang w:val="en-GB"/>
        </w:rPr>
        <w:t>The results quantitatively compare the techno-economic and environmental performance of the examined pathways, identifying feedstock type, plant scale, and integration conditions that boost competitiveness. Feedstock emerges as the key factor</w:t>
      </w:r>
      <w:r w:rsidR="002F24FD">
        <w:rPr>
          <w:lang w:val="en-GB"/>
        </w:rPr>
        <w:t xml:space="preserve">, </w:t>
      </w:r>
      <w:r w:rsidR="002A27BA" w:rsidRPr="002A27BA">
        <w:rPr>
          <w:lang w:val="en-GB"/>
        </w:rPr>
        <w:t>influenced by energy density and water content</w:t>
      </w:r>
      <w:r w:rsidR="002F24FD">
        <w:rPr>
          <w:lang w:val="en-GB"/>
        </w:rPr>
        <w:t xml:space="preserve">, </w:t>
      </w:r>
      <w:r w:rsidR="002A27BA" w:rsidRPr="002A27BA">
        <w:rPr>
          <w:lang w:val="en-GB"/>
        </w:rPr>
        <w:t xml:space="preserve">with vegetable-oil routes leading in drop-in biofuel production, energy efficiency, and carbon yield (&gt;80%). Methanol and biocrude/pyro-oil pathways show promise using residues without hydrogen, achieving &lt;30 </w:t>
      </w:r>
      <w:proofErr w:type="spellStart"/>
      <w:r w:rsidR="002A27BA" w:rsidRPr="002A27BA">
        <w:rPr>
          <w:lang w:val="en-GB"/>
        </w:rPr>
        <w:t>kgCO</w:t>
      </w:r>
      <w:proofErr w:type="spellEnd"/>
      <w:r w:rsidR="002A27BA" w:rsidRPr="002A27BA">
        <w:rPr>
          <w:rFonts w:ascii="Cambria Math" w:hAnsi="Cambria Math" w:cs="Cambria Math"/>
          <w:lang w:val="en-GB"/>
        </w:rPr>
        <w:t>₂</w:t>
      </w:r>
      <w:r w:rsidR="002A27BA" w:rsidRPr="002A27BA">
        <w:rPr>
          <w:lang w:val="en-GB"/>
        </w:rPr>
        <w:t>/GJ and &lt;50 €/GJ.</w:t>
      </w:r>
      <w:r w:rsidR="002F24FD">
        <w:rPr>
          <w:lang w:val="en-GB"/>
        </w:rPr>
        <w:t xml:space="preserve"> </w:t>
      </w:r>
      <w:r w:rsidR="007E63E5">
        <w:rPr>
          <w:lang w:val="en-GB"/>
        </w:rPr>
        <w:t>These e</w:t>
      </w:r>
      <w:r w:rsidRPr="008C1ABA">
        <w:rPr>
          <w:lang w:val="en-GB"/>
        </w:rPr>
        <w:t>valuations are intended to inform the feasibility assessment of an innovative sustainable mobility system, the Off</w:t>
      </w:r>
      <w:r w:rsidRPr="008C1ABA">
        <w:rPr>
          <w:rFonts w:ascii="Cambria Math" w:hAnsi="Cambria Math" w:cs="Cambria Math"/>
          <w:lang w:val="en-GB"/>
        </w:rPr>
        <w:t>‑</w:t>
      </w:r>
      <w:r w:rsidRPr="008C1ABA">
        <w:rPr>
          <w:lang w:val="en-GB"/>
        </w:rPr>
        <w:t>Board Hybrid, consisting of a liquid</w:t>
      </w:r>
      <w:r w:rsidRPr="008C1ABA">
        <w:rPr>
          <w:rFonts w:ascii="Cambria Math" w:hAnsi="Cambria Math" w:cs="Cambria Math"/>
          <w:lang w:val="en-GB"/>
        </w:rPr>
        <w:t>‑</w:t>
      </w:r>
      <w:r w:rsidRPr="008C1ABA">
        <w:rPr>
          <w:lang w:val="en-GB"/>
        </w:rPr>
        <w:t>biofuel</w:t>
      </w:r>
      <w:r w:rsidRPr="008C1ABA">
        <w:rPr>
          <w:rFonts w:ascii="Cambria Math" w:hAnsi="Cambria Math" w:cs="Cambria Math"/>
          <w:lang w:val="en-GB"/>
        </w:rPr>
        <w:t>‑</w:t>
      </w:r>
      <w:r w:rsidRPr="008C1ABA">
        <w:rPr>
          <w:lang w:val="en-GB"/>
        </w:rPr>
        <w:t>fired electric generator operating in island mode and coupled to electric vehicle charging stations.</w:t>
      </w:r>
    </w:p>
    <w:p w14:paraId="476B2F2E" w14:textId="77777777" w:rsidR="00600535" w:rsidRPr="00B57B36" w:rsidRDefault="00600535" w:rsidP="00600535">
      <w:pPr>
        <w:pStyle w:val="CETHeading1"/>
        <w:rPr>
          <w:lang w:val="en-GB"/>
        </w:rPr>
      </w:pPr>
      <w:r w:rsidRPr="00B57B36">
        <w:rPr>
          <w:lang w:val="en-GB"/>
        </w:rPr>
        <w:t>Introduction</w:t>
      </w:r>
    </w:p>
    <w:p w14:paraId="47855980" w14:textId="66866754" w:rsidR="00053003" w:rsidRDefault="005B2778" w:rsidP="005B2778">
      <w:pPr>
        <w:pStyle w:val="CETBodytext"/>
      </w:pPr>
      <w:r>
        <w:t xml:space="preserve">Liquid biofuels remain essential for sustainable mobility, with their future deployment hinging on sustainable feedstock availability, technology maturity, and the EU's stringent emissions regulations. In 2024, they represented Europe's primary renewable transport energy source, delivering over 17 million </w:t>
      </w:r>
      <w:proofErr w:type="spellStart"/>
      <w:r>
        <w:t>tonnes</w:t>
      </w:r>
      <w:proofErr w:type="spellEnd"/>
      <w:r>
        <w:t xml:space="preserve"> of oil equivalent (</w:t>
      </w:r>
      <w:proofErr w:type="gramStart"/>
      <w:r>
        <w:t>Mtoe)—</w:t>
      </w:r>
      <w:proofErr w:type="gramEnd"/>
      <w:r>
        <w:t>about 7% of final transport consumption (284 Mtoe total).</w:t>
      </w:r>
      <w:r>
        <w:t xml:space="preserve"> </w:t>
      </w:r>
      <w:r>
        <w:t>Under RED III multiplication factors, total biofuel consumption is projected to reach 38–42 Mtoe by 2030 and ~80 Mtoe by 2050, including aviation and maritime sectors. Due to environmental concerns like food chain competition and indirect land-use change (ILUC), first-generation biofuels are capped at 7% of transport energy, with high-ILUC-risk fuels phasing out entirely by 2030.</w:t>
      </w:r>
      <w:r>
        <w:t xml:space="preserve"> </w:t>
      </w:r>
      <w:r>
        <w:t xml:space="preserve">Georeferenced biomass data enables identification of local hotspots for targeted value chains, such as </w:t>
      </w:r>
      <w:proofErr w:type="spellStart"/>
      <w:r>
        <w:t>HEFA</w:t>
      </w:r>
      <w:proofErr w:type="spellEnd"/>
      <w:r>
        <w:t xml:space="preserve"> (</w:t>
      </w:r>
      <w:proofErr w:type="spellStart"/>
      <w:r>
        <w:t>Hydroprocessed</w:t>
      </w:r>
      <w:proofErr w:type="spellEnd"/>
      <w:r>
        <w:t xml:space="preserve"> Esters and Fatty Acids) from used cooking oil or hydrothermal liquefaction pathways using sewage sludge.</w:t>
      </w:r>
      <w:r w:rsidR="00797CD7">
        <w:t xml:space="preserve"> </w:t>
      </w:r>
      <w:r w:rsidR="00535F45" w:rsidRPr="006F0E72">
        <w:rPr>
          <w:rFonts w:eastAsia="Arial" w:cs="Arial"/>
          <w:szCs w:val="18"/>
        </w:rPr>
        <w:t>Within this framework, many innovative biorefinery process approaches are being developed, particularly for the production of sustainable triglyceride sources</w:t>
      </w:r>
      <w:r w:rsidR="00535F45">
        <w:rPr>
          <w:rFonts w:eastAsia="Arial" w:cs="Arial"/>
          <w:szCs w:val="18"/>
        </w:rPr>
        <w:t xml:space="preserve"> </w:t>
      </w:r>
      <w:r w:rsidR="00535F45">
        <w:rPr>
          <w:rFonts w:eastAsia="Arial" w:cs="Arial"/>
          <w:szCs w:val="18"/>
        </w:rPr>
        <w:fldChar w:fldCharType="begin"/>
      </w:r>
      <w:r w:rsidR="00535F45">
        <w:rPr>
          <w:rFonts w:eastAsia="Arial" w:cs="Arial"/>
          <w:szCs w:val="18"/>
        </w:rPr>
        <w:instrText xml:space="preserve"> ADDIN ZOTERO_ITEM CSL_CITATION {"citationID":"GajPFn9G","properties":{"formattedCitation":"(Caporusso et al., 2022)","plainCitation":"(Caporusso et al., 2022)","noteIndex":0},"citationItems":[{"id":83,"uris":["http://zotero.org/users/10649518/items/E78JSSWN"],"itemData":{"id":83,"type":"article-journal","container-title":"Chemical Engineering Transactions","DOI":"10.3303/CET2292107","language":"en","page":"637-642","source":"DOI.org (CSL JSON)","title":"Techno-economic Analysis of a Lignocellulosic Biorefinery Producing Microbial Oils by Oleaginous Yeasts","volume":"92","author":[{"family":"Caporusso","given":"Antonio"},{"family":"Giuliano","given":"Aristide"},{"family":"Liuzzi","given":"Federico"},{"family":"De Bari","given":"Isabella"}],"issued":{"date-parts":[["2022",6]]}}}],"schema":"https://github.com/citation-style-language/schema/raw/master/csl-citation.json"} </w:instrText>
      </w:r>
      <w:r w:rsidR="00535F45">
        <w:rPr>
          <w:rFonts w:eastAsia="Arial" w:cs="Arial"/>
          <w:szCs w:val="18"/>
        </w:rPr>
        <w:fldChar w:fldCharType="separate"/>
      </w:r>
      <w:r w:rsidR="00535F45" w:rsidRPr="006F0E72">
        <w:rPr>
          <w:rFonts w:eastAsia="Arial" w:cs="Arial"/>
        </w:rPr>
        <w:t>(Caporusso et al., 2022)</w:t>
      </w:r>
      <w:r w:rsidR="00535F45">
        <w:rPr>
          <w:rFonts w:eastAsia="Arial" w:cs="Arial"/>
          <w:szCs w:val="18"/>
        </w:rPr>
        <w:fldChar w:fldCharType="end"/>
      </w:r>
      <w:r w:rsidR="00535F45" w:rsidRPr="006F0E72">
        <w:rPr>
          <w:rFonts w:eastAsia="Arial" w:cs="Arial"/>
          <w:szCs w:val="18"/>
        </w:rPr>
        <w:t>.</w:t>
      </w:r>
    </w:p>
    <w:p w14:paraId="661E1036" w14:textId="77777777" w:rsidR="00802191" w:rsidRDefault="00802191" w:rsidP="00802191">
      <w:pPr>
        <w:pStyle w:val="CETheadingx"/>
      </w:pPr>
      <w:r w:rsidRPr="0017303C">
        <w:t>Overview of Liquid Biofuels</w:t>
      </w:r>
    </w:p>
    <w:p w14:paraId="2A60DE88" w14:textId="77777777" w:rsidR="00802191" w:rsidRDefault="00802191" w:rsidP="00802191">
      <w:pPr>
        <w:pStyle w:val="CETBodytext"/>
      </w:pPr>
      <w:r w:rsidRPr="00396DC3">
        <w:t xml:space="preserve">Liquid biofuels can be classified by feedstock type (sugars/starches, </w:t>
      </w:r>
      <w:proofErr w:type="spellStart"/>
      <w:r w:rsidRPr="00396DC3">
        <w:t>lignocellulosics</w:t>
      </w:r>
      <w:proofErr w:type="spellEnd"/>
      <w:r w:rsidRPr="00396DC3">
        <w:t>, lipids, wet wastes, solid residues) and conversion technology (biochemical, thermochemical, catalytic).</w:t>
      </w:r>
      <w:r>
        <w:t xml:space="preserve"> First generation</w:t>
      </w:r>
      <w:r w:rsidRPr="00396DC3">
        <w:t xml:space="preserve"> ethanol is produced via fermentation from sugary (sugarcane, molasses) or starchy (corn, wheat) feedstocks, through enzymatic hydrolysis of starches to glucose followed by alcoholic fermentation with yeasts. First-generation bioethanol uses food or feed crops, offering high yields and commercial technologies, but faces criticism over ILUC and food competition.</w:t>
      </w:r>
      <w:r>
        <w:t xml:space="preserve"> Second generation</w:t>
      </w:r>
      <w:r w:rsidRPr="00396DC3">
        <w:t xml:space="preserve"> bioethanol utilizes lignocellulosic biomass (agricultural residues, </w:t>
      </w:r>
      <w:r w:rsidRPr="00396DC3">
        <w:lastRenderedPageBreak/>
        <w:t xml:space="preserve">straws, wood, perennial grasses), requiring physicochemical pretreatments (steam explosion, </w:t>
      </w:r>
      <w:proofErr w:type="spellStart"/>
      <w:r w:rsidRPr="00396DC3">
        <w:t>organosolv</w:t>
      </w:r>
      <w:proofErr w:type="spellEnd"/>
      <w:r w:rsidRPr="00396DC3">
        <w:t>, dilute acids) to break down the matrix. This is followed by enzymatic hydrolysis of cellulose to fermentable sugars and fermentation, with ongoing challenges in enzyme costs, inhibitors, and plant energy integration.</w:t>
      </w:r>
      <w:r>
        <w:t xml:space="preserve"> </w:t>
      </w:r>
      <w:proofErr w:type="spellStart"/>
      <w:r w:rsidRPr="00396DC3">
        <w:t>Biomethanol</w:t>
      </w:r>
      <w:proofErr w:type="spellEnd"/>
      <w:r w:rsidRPr="00396DC3">
        <w:t xml:space="preserve"> is obtained thermochemically from syngas generated by gasification of solid biomass or wastes. FAME derives from transesterification of triglycerides with a light alcohol (typically methanol) using homogeneous or heterogeneous basic catalysts. Feedstocks are lipid mixtures: vegetable oils (soy, rapeseed, palm, sunflower), animal fats, UCO, yellow/brown grease, or non-edible oils (jatropha, </w:t>
      </w:r>
      <w:proofErr w:type="spellStart"/>
      <w:r w:rsidRPr="00396DC3">
        <w:t>carinata</w:t>
      </w:r>
      <w:proofErr w:type="spellEnd"/>
      <w:r w:rsidRPr="00396DC3">
        <w:t>) to avoid food competition.</w:t>
      </w:r>
      <w:r>
        <w:t xml:space="preserve"> </w:t>
      </w:r>
      <w:proofErr w:type="spellStart"/>
      <w:r w:rsidRPr="00396DC3">
        <w:t>HEFA</w:t>
      </w:r>
      <w:proofErr w:type="spellEnd"/>
      <w:r w:rsidRPr="00396DC3">
        <w:t xml:space="preserve"> are paraffinic hydrocarbons from lipid hydrotreatment</w:t>
      </w:r>
      <w:r>
        <w:t xml:space="preserve"> (f</w:t>
      </w:r>
      <w:r w:rsidRPr="00396DC3">
        <w:t>eedstocks match FAME</w:t>
      </w:r>
      <w:r>
        <w:t>)</w:t>
      </w:r>
      <w:r w:rsidRPr="00396DC3">
        <w:t xml:space="preserve">. Conversion involves hydrodeoxygenation, decarboxylation, and </w:t>
      </w:r>
      <w:proofErr w:type="spellStart"/>
      <w:r w:rsidRPr="00396DC3">
        <w:t>decarbonylation</w:t>
      </w:r>
      <w:proofErr w:type="spellEnd"/>
      <w:r w:rsidRPr="00396DC3">
        <w:t xml:space="preserve"> of lipid chains with hydrogen and sulfide or noble catalysts, saturating double bonds and controlled cracking to target desired distillation ranges.</w:t>
      </w:r>
      <w:r>
        <w:t xml:space="preserve"> </w:t>
      </w:r>
      <w:r w:rsidRPr="00396DC3">
        <w:t xml:space="preserve">Pyrolysis oil is a liquid intermediate from fast pyrolysis of dry </w:t>
      </w:r>
      <w:proofErr w:type="spellStart"/>
      <w:r w:rsidRPr="00396DC3">
        <w:t>lignocellulosic</w:t>
      </w:r>
      <w:r>
        <w:t>s</w:t>
      </w:r>
      <w:proofErr w:type="spellEnd"/>
      <w:r w:rsidRPr="00396DC3">
        <w:t>. In fluidized or circulating bed reactors, with seconds residence time and 450–550 °C, bio-oil yield is maximized alongside biochar and gas.</w:t>
      </w:r>
      <w:r>
        <w:t xml:space="preserve"> </w:t>
      </w:r>
      <w:r w:rsidRPr="00396DC3">
        <w:t>Raw bio-oil is highly oxygenated, acidic, and unstable, unfit for direct use in internal combustion engines. In both cases, the "real" feedstock for final fuel is lignocellulosic biomass, with pyrolysis liquid as a bridge to existing infrastructure.</w:t>
      </w:r>
      <w:r>
        <w:t xml:space="preserve"> </w:t>
      </w:r>
      <w:proofErr w:type="spellStart"/>
      <w:r w:rsidRPr="00396DC3">
        <w:t>HTL</w:t>
      </w:r>
      <w:proofErr w:type="spellEnd"/>
      <w:r w:rsidRPr="00396DC3">
        <w:t xml:space="preserve"> biocrude is produced by treating wet biomass (algae, sewage sludges, wet organic residues) in subcritical water. The key advantage is using high-water-content feedstocks without drying, unlike pyrolysis. The main product is dense, viscous biocrude with lower oxygen than pyrolysis oil but still requiring hydrotreatment upgrading for fuel standards.</w:t>
      </w:r>
    </w:p>
    <w:p w14:paraId="5440F308" w14:textId="4926517C" w:rsidR="003147E1" w:rsidRDefault="003147E1" w:rsidP="0031103D">
      <w:pPr>
        <w:pStyle w:val="CETheadingx"/>
      </w:pPr>
      <w:r w:rsidRPr="003147E1">
        <w:t xml:space="preserve">Off-Board Hybrid system </w:t>
      </w:r>
      <w:r>
        <w:t>and aim of the work</w:t>
      </w:r>
    </w:p>
    <w:p w14:paraId="0E54CBE0" w14:textId="61A29680" w:rsidR="00802191" w:rsidRPr="00797CD7" w:rsidRDefault="003147E1" w:rsidP="005B2778">
      <w:pPr>
        <w:pStyle w:val="CETBodytext"/>
      </w:pPr>
      <w:r w:rsidRPr="0044100A">
        <w:t>The Off-Board Hybrid system integrates biofuels into an "island-mode" electric generator coupled to E</w:t>
      </w:r>
      <w:r>
        <w:t xml:space="preserve">lectric </w:t>
      </w:r>
      <w:r w:rsidRPr="0044100A">
        <w:t>V</w:t>
      </w:r>
      <w:r>
        <w:t>ehicle (EV)</w:t>
      </w:r>
      <w:r w:rsidRPr="0044100A">
        <w:t xml:space="preserve"> charging stations, ideal for remote areas. It leverages bio carbon neutrality, existing fuel infrastructure, and EV efficiency, outperforming full electric (unstable grids) or pure I</w:t>
      </w:r>
      <w:r>
        <w:t xml:space="preserve">nternal </w:t>
      </w:r>
      <w:r w:rsidRPr="0044100A">
        <w:t>C</w:t>
      </w:r>
      <w:r>
        <w:t xml:space="preserve">ombustion </w:t>
      </w:r>
      <w:r w:rsidRPr="0044100A">
        <w:t>E</w:t>
      </w:r>
      <w:r>
        <w:t>ngine</w:t>
      </w:r>
      <w:r w:rsidRPr="0044100A">
        <w:t>s</w:t>
      </w:r>
      <w:r>
        <w:t xml:space="preserve"> (ICE) </w:t>
      </w:r>
      <w:r>
        <w:fldChar w:fldCharType="begin"/>
      </w:r>
      <w:r>
        <w:instrText xml:space="preserve"> ADDIN ZOTERO_ITEM CSL_CITATION {"citationID":"ZFiGKFRv","properties":{"formattedCitation":"(Giuliano et al., 2025a)","plainCitation":"(Giuliano et al., 2025a)","noteIndex":0},"citationItems":[{"id":4928,"uris":["http://zotero.org/users/10649518/items/UK7646JN"],"itemData":{"id":4928,"type":"article-journal","container-title":"Chemical Engineering Transactions","title":"Biofuels for an off-board hybrid solution avoiding the overloading of the electricity grid producing power for a more sustainable mobility","volume":"119","author":[{"family":"Giuliano","given":"Aristide"},{"family":"Brancaccio","given":"Domenico"},{"family":"Ricca","given":"Antonio"},{"family":"Polverino","given":"Pierpaolo"},{"family":"De Bari","given":"Isabella"}],"issued":{"date-parts":[["2025"]]}}}],"schema":"https://github.com/citation-style-language/schema/raw/master/csl-citation.json"} </w:instrText>
      </w:r>
      <w:r>
        <w:fldChar w:fldCharType="separate"/>
      </w:r>
      <w:r w:rsidRPr="00E47146">
        <w:rPr>
          <w:rFonts w:cs="Arial"/>
        </w:rPr>
        <w:t xml:space="preserve">(Giuliano et al., </w:t>
      </w:r>
      <w:proofErr w:type="spellStart"/>
      <w:r w:rsidRPr="00E47146">
        <w:rPr>
          <w:rFonts w:cs="Arial"/>
        </w:rPr>
        <w:t>2025a</w:t>
      </w:r>
      <w:proofErr w:type="spellEnd"/>
      <w:r w:rsidRPr="00E47146">
        <w:rPr>
          <w:rFonts w:cs="Arial"/>
        </w:rPr>
        <w:t>)</w:t>
      </w:r>
      <w:r>
        <w:fldChar w:fldCharType="end"/>
      </w:r>
      <w:r w:rsidRPr="0044100A">
        <w:t>.</w:t>
      </w:r>
      <w:r>
        <w:t xml:space="preserve"> </w:t>
      </w:r>
      <w:r w:rsidRPr="00797CD7">
        <w:t>The objective of this study is to quantitatively assess the techno-economic and environmental performance of multiple biorefinery pathways for liquid biofuel production, identifying feedstocks, scales, and integration conditions that maximize competitiveness. Key indicators include mass/carbon yields, energy efficiencies, costs</w:t>
      </w:r>
      <w:r>
        <w:t xml:space="preserve"> </w:t>
      </w:r>
      <w:r w:rsidRPr="00797CD7">
        <w:t>and CO</w:t>
      </w:r>
      <w:r w:rsidRPr="00797CD7">
        <w:rPr>
          <w:rFonts w:ascii="Cambria Math" w:hAnsi="Cambria Math" w:cs="Cambria Math"/>
        </w:rPr>
        <w:t>₂</w:t>
      </w:r>
      <w:r w:rsidRPr="00797CD7">
        <w:t>-eq emissions. The results support the feasibility evaluation of the innovative Off-Board Hybrid system for sustainable mobility: a liquid biofuel-powered electric generator in island mode, coupled to EV charging stations.</w:t>
      </w:r>
    </w:p>
    <w:p w14:paraId="3AE5C613" w14:textId="66E406BD" w:rsidR="00403B24" w:rsidRPr="000A3878" w:rsidRDefault="000A3878" w:rsidP="00E0764E">
      <w:pPr>
        <w:pStyle w:val="CETHeading1"/>
        <w:rPr>
          <w:lang w:val="it-IT"/>
        </w:rPr>
      </w:pPr>
      <w:r>
        <w:t>Methodology</w:t>
      </w:r>
    </w:p>
    <w:p w14:paraId="38351B9E" w14:textId="544DC0DB" w:rsidR="0042572D" w:rsidRPr="0042572D" w:rsidRDefault="0042572D" w:rsidP="0042572D">
      <w:pPr>
        <w:pStyle w:val="CETBodytext"/>
      </w:pPr>
      <w:r w:rsidRPr="0042572D">
        <w:t>To rigorously compare different liquid biofuels, it is essential to combine techno-economic analysis tools, biomass availability assessments, and environmental evaluations.</w:t>
      </w:r>
      <w:r w:rsidR="004E15F7">
        <w:t xml:space="preserve"> </w:t>
      </w:r>
      <w:r w:rsidRPr="0042572D">
        <w:t>The most established approach for cost comparison is Techno-Economic Analysis (TEA), based on a representative plant model with mass/energy balances and cost estimation.</w:t>
      </w:r>
      <w:r w:rsidR="004E15F7">
        <w:t xml:space="preserve"> </w:t>
      </w:r>
      <w:r w:rsidRPr="0042572D">
        <w:t xml:space="preserve">Process modeling yields, energy consumption, utility needs, and equipment sizing for each biofuel production pathway. To ensure comparability, costs are typically expressed in €/GJ of fuel, as different biofuel types have highly variable energy densities (e.g., 44 MJ/kg for renewable diesel vs. &lt;20 MJ/kg for </w:t>
      </w:r>
      <w:proofErr w:type="spellStart"/>
      <w:r w:rsidRPr="0042572D">
        <w:t>biomethanol</w:t>
      </w:r>
      <w:proofErr w:type="spellEnd"/>
      <w:r w:rsidRPr="0042572D">
        <w:t>).</w:t>
      </w:r>
      <w:r w:rsidR="00A75290">
        <w:t xml:space="preserve"> </w:t>
      </w:r>
      <w:r w:rsidRPr="0042572D">
        <w:t xml:space="preserve">Pathway comparisons are meaningful only if </w:t>
      </w:r>
      <w:proofErr w:type="gramStart"/>
      <w:r w:rsidRPr="0042572D">
        <w:t>feedstocks</w:t>
      </w:r>
      <w:proofErr w:type="gramEnd"/>
      <w:r w:rsidRPr="0042572D">
        <w:t xml:space="preserve"> are realistically available and sustainable in the </w:t>
      </w:r>
      <w:r w:rsidR="00A232FA" w:rsidRPr="0042572D">
        <w:t>context considered</w:t>
      </w:r>
      <w:r w:rsidRPr="0042572D">
        <w:t>.</w:t>
      </w:r>
      <w:r w:rsidR="00A75290">
        <w:t xml:space="preserve"> </w:t>
      </w:r>
      <w:r w:rsidRPr="0042572D">
        <w:t>These approaches reveal, for example, that biofuels from dedicated crops face high cultivation emissions unless marginal/contaminated lands are valorized. Medium- to long-term potential will largely come from residues and wastes, directly impacting comparisons between F</w:t>
      </w:r>
      <w:r w:rsidR="00D86169">
        <w:t xml:space="preserve">atty </w:t>
      </w:r>
      <w:r w:rsidRPr="0042572D">
        <w:t>A</w:t>
      </w:r>
      <w:r w:rsidR="00D86169">
        <w:t xml:space="preserve">cids </w:t>
      </w:r>
      <w:r w:rsidR="002C22B9" w:rsidRPr="0042572D">
        <w:t>M</w:t>
      </w:r>
      <w:r w:rsidR="002C22B9">
        <w:t>ethyl</w:t>
      </w:r>
      <w:r w:rsidR="00D86169">
        <w:t xml:space="preserve"> </w:t>
      </w:r>
      <w:r w:rsidRPr="0042572D">
        <w:t>E</w:t>
      </w:r>
      <w:r w:rsidR="00D86169">
        <w:t>sters (FAME)</w:t>
      </w:r>
      <w:r w:rsidRPr="0042572D">
        <w:t xml:space="preserve"> from virgin oils and </w:t>
      </w:r>
      <w:proofErr w:type="spellStart"/>
      <w:r w:rsidRPr="0042572D">
        <w:t>HEFA</w:t>
      </w:r>
      <w:proofErr w:type="spellEnd"/>
      <w:r w:rsidRPr="0042572D">
        <w:t>/</w:t>
      </w:r>
      <w:proofErr w:type="spellStart"/>
      <w:r w:rsidRPr="0042572D">
        <w:t>HTL</w:t>
      </w:r>
      <w:proofErr w:type="spellEnd"/>
      <w:r w:rsidRPr="0042572D">
        <w:t xml:space="preserve"> from waste feedstocks.</w:t>
      </w:r>
    </w:p>
    <w:p w14:paraId="1EA67A65" w14:textId="77777777" w:rsidR="00AB3956" w:rsidRPr="00B57B36" w:rsidRDefault="00AB3956" w:rsidP="00AB3956">
      <w:pPr>
        <w:pStyle w:val="CETTabletitle"/>
      </w:pPr>
      <w:r w:rsidRPr="00B57B36">
        <w:t xml:space="preserve">Table 1: </w:t>
      </w:r>
      <w:r>
        <w:t xml:space="preserve">Studied feedstock dataset </w:t>
      </w:r>
      <w:r>
        <w:fldChar w:fldCharType="begin"/>
      </w:r>
      <w:r>
        <w:instrText xml:space="preserve"> ADDIN ZOTERO_ITEM CSL_CITATION {"citationID":"wdOcrBWT","properties":{"formattedCitation":"(Pierro et al., 2021)","plainCitation":"(Pierro et al., 2021)","dontUpdate":true,"noteIndex":0},"citationItems":[{"id":4135,"uris":["http://zotero.org/users/10649518/items/YQA2PKTQ"],"itemData":{"id":4135,"type":"webpage","title":"Valutazione disponibilità biomasse agro-industriali a livello nazionale e loro pubblicazione sul portale Webgis atlante delle biomasse","URL":"https://iris.enea.it/handle/20.500.12079/56881","author":[{"family":"Pierro","given":"Nicola"},{"family":"Giocoli","given":"Alessandro"},{"family":"Motola","given":"Vincenzo"},{"family":"Dipinto","given":"Sebastiano"}],"accessed":{"date-parts":[["2023",10,17]]},"issued":{"date-parts":[["2021"]]}}}],"schema":"https://github.com/citation-style-language/schema/raw/master/csl-citation.json"} </w:instrText>
      </w:r>
      <w:r>
        <w:fldChar w:fldCharType="separate"/>
      </w:r>
      <w:r w:rsidRPr="008802C7">
        <w:rPr>
          <w:rFonts w:cs="Arial"/>
        </w:rPr>
        <w:t>(Pierro et al., 2021</w:t>
      </w:r>
      <w:r>
        <w:fldChar w:fldCharType="end"/>
      </w:r>
      <w:r>
        <w:t xml:space="preserve">; </w:t>
      </w:r>
      <w:r>
        <w:fldChar w:fldCharType="begin"/>
      </w:r>
      <w:r>
        <w:instrText xml:space="preserve"> ADDIN ZOTERO_ITEM CSL_CITATION {"citationID":"yWEWw9f1","properties":{"formattedCitation":"(Djomo et al., 2023)","plainCitation":"(Djomo et al., 2023)","dontUpdate":true,"noteIndex":0},"citationItems":[{"id":4996,"uris":["http://zotero.org/users/10649518/items/3Q8NQGSQ"],"itemData":{"id":4996,"type":"article-journal","abstract":"Growing energy crops on marginal lands is an option to increase current bioresources while avoiding the food vs fuel dilemma. Yet, little is known about the extent and characteristics of marginal lands, and about how growing energy crops on such lands will impacts productivity, supply chains, and the environment. This study combined a geographic information system, a crop growth model, life cycle assessment, and a logistics model to (i) quantify and map marginal lands (ii) estimate the yields of miscanthus grown thereon (iii) assess the impact on supply chain and the environment of miscanthus from marginal lands in Brittany. Three miscanthus harvest forms (chips, bundles, and bales) and three logistics scenarios (no storage, one storage point, and two storage points) were studied. It showed that 57544 ha of marginal lands are available in Brittany and that rooting (55%) and salinity (34%) were the dominant marginality factors of these lands. Miscanthus yields on these lands varied from 0 to 21 t DM ha 1 y 1, depending on marginality constraints. Despite the low energy use (311–604 MJ t 1 DM) and GHG emissions (6–19 kg CO2-eq t 1 DM), the delivery costs were too high (81–108 € t 1 DM). Bales were the cheapest and most environmental-friendly biomass form, as was the logistics configuration with no storage point. Sourcing biomass from marginal lands offers a solution for sustainable biofuel production in Brittany. However, economic incentives are needed to encourage production on marginal lands given the high delivery costs of biomass.","container-title":"Renewable and Sustainable Energy Reviews","DOI":"10.1016/j.rser.2023.113244","ISSN":"13640321","journalAbbreviation":"Renewable and Sustainable Energy Reviews","language":"en","page":"113244","source":"DOI.org (Crossref)","title":"Supply costs, energy use, and GHG emissions of biomass from marginal lands in Brittany, France","volume":"181","author":[{"family":"Djomo","given":"Sylvestre Njakou"},{"family":"Staritsky","given":"Igor"},{"family":"Elbersen","given":"Berien"},{"family":"Annevelink","given":"Bert (E.)"},{"family":"Gabrielle","given":"Benoit"}],"issued":{"date-parts":[["2023",7]]}}}],"schema":"https://github.com/citation-style-language/schema/raw/master/csl-citation.json"} </w:instrText>
      </w:r>
      <w:r>
        <w:fldChar w:fldCharType="separate"/>
      </w:r>
      <w:r w:rsidRPr="00C0051A">
        <w:rPr>
          <w:rFonts w:cs="Arial"/>
        </w:rPr>
        <w:t>Djomo et al., 2023)</w:t>
      </w:r>
      <w:r>
        <w:fldChar w:fldCharType="end"/>
      </w:r>
    </w:p>
    <w:tbl>
      <w:tblPr>
        <w:tblW w:w="5000" w:type="pct"/>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374"/>
        <w:gridCol w:w="1376"/>
        <w:gridCol w:w="1376"/>
        <w:gridCol w:w="1374"/>
        <w:gridCol w:w="1234"/>
        <w:gridCol w:w="1199"/>
        <w:gridCol w:w="854"/>
      </w:tblGrid>
      <w:tr w:rsidR="00AB3956" w:rsidRPr="00B57B36" w14:paraId="4A7D4594" w14:textId="77777777" w:rsidTr="00B71190">
        <w:trPr>
          <w:jc w:val="center"/>
        </w:trPr>
        <w:tc>
          <w:tcPr>
            <w:tcW w:w="782" w:type="pct"/>
            <w:tcBorders>
              <w:top w:val="single" w:sz="12" w:space="0" w:color="008000"/>
              <w:bottom w:val="single" w:sz="6" w:space="0" w:color="008000"/>
            </w:tcBorders>
            <w:shd w:val="clear" w:color="auto" w:fill="FFFFFF"/>
            <w:vAlign w:val="center"/>
          </w:tcPr>
          <w:p w14:paraId="73B22458" w14:textId="77777777" w:rsidR="00AB3956" w:rsidRPr="00B57B36" w:rsidRDefault="00AB3956" w:rsidP="00B71190">
            <w:pPr>
              <w:pStyle w:val="CETBodytext"/>
              <w:jc w:val="center"/>
              <w:rPr>
                <w:lang w:val="en-GB"/>
              </w:rPr>
            </w:pPr>
            <w:r w:rsidRPr="00B233C5">
              <w:t>Type</w:t>
            </w:r>
          </w:p>
        </w:tc>
        <w:tc>
          <w:tcPr>
            <w:tcW w:w="783" w:type="pct"/>
            <w:tcBorders>
              <w:top w:val="single" w:sz="12" w:space="0" w:color="008000"/>
              <w:bottom w:val="single" w:sz="6" w:space="0" w:color="008000"/>
            </w:tcBorders>
            <w:shd w:val="clear" w:color="auto" w:fill="FFFFFF"/>
            <w:vAlign w:val="center"/>
          </w:tcPr>
          <w:p w14:paraId="142931E4" w14:textId="77777777" w:rsidR="00AB3956" w:rsidRPr="00B57B36" w:rsidRDefault="00AB3956" w:rsidP="00B71190">
            <w:pPr>
              <w:pStyle w:val="CETBodytext"/>
              <w:jc w:val="center"/>
              <w:rPr>
                <w:lang w:val="en-GB"/>
              </w:rPr>
            </w:pPr>
            <w:r w:rsidRPr="00B233C5">
              <w:t>Source</w:t>
            </w:r>
          </w:p>
        </w:tc>
        <w:tc>
          <w:tcPr>
            <w:tcW w:w="783" w:type="pct"/>
            <w:tcBorders>
              <w:top w:val="single" w:sz="12" w:space="0" w:color="008000"/>
              <w:bottom w:val="single" w:sz="6" w:space="0" w:color="008000"/>
            </w:tcBorders>
            <w:shd w:val="clear" w:color="auto" w:fill="FFFFFF"/>
            <w:vAlign w:val="center"/>
          </w:tcPr>
          <w:p w14:paraId="0B6BBD4A" w14:textId="77777777" w:rsidR="00AB3956" w:rsidRDefault="00AB3956" w:rsidP="00B71190">
            <w:pPr>
              <w:pStyle w:val="CETBodytext"/>
              <w:jc w:val="center"/>
            </w:pPr>
            <w:r w:rsidRPr="00B233C5">
              <w:t>Biorefinery size</w:t>
            </w:r>
          </w:p>
          <w:p w14:paraId="3F4981F8" w14:textId="77777777" w:rsidR="00AB3956" w:rsidRPr="00B57B36" w:rsidRDefault="00AB3956" w:rsidP="00B71190">
            <w:pPr>
              <w:pStyle w:val="CETBodytext"/>
              <w:jc w:val="center"/>
              <w:rPr>
                <w:lang w:val="en-GB"/>
              </w:rPr>
            </w:pPr>
            <w:r w:rsidRPr="00B233C5">
              <w:t>(</w:t>
            </w:r>
            <w:proofErr w:type="spellStart"/>
            <w:r>
              <w:t>k</w:t>
            </w:r>
            <w:r w:rsidRPr="00B233C5">
              <w:t>t</w:t>
            </w:r>
            <w:r w:rsidRPr="00DA297C">
              <w:rPr>
                <w:vertAlign w:val="subscript"/>
              </w:rPr>
              <w:t>DRY</w:t>
            </w:r>
            <w:proofErr w:type="spellEnd"/>
            <w:r w:rsidRPr="00B233C5">
              <w:t>/y)</w:t>
            </w:r>
          </w:p>
        </w:tc>
        <w:tc>
          <w:tcPr>
            <w:tcW w:w="782" w:type="pct"/>
            <w:tcBorders>
              <w:top w:val="single" w:sz="12" w:space="0" w:color="008000"/>
              <w:bottom w:val="single" w:sz="6" w:space="0" w:color="008000"/>
            </w:tcBorders>
            <w:shd w:val="clear" w:color="auto" w:fill="FFFFFF"/>
            <w:vAlign w:val="center"/>
          </w:tcPr>
          <w:p w14:paraId="020BE8E1" w14:textId="77777777" w:rsidR="00AB3956" w:rsidRDefault="00AB3956" w:rsidP="00B71190">
            <w:pPr>
              <w:pStyle w:val="CETBodytext"/>
              <w:ind w:right="-1"/>
              <w:jc w:val="center"/>
            </w:pPr>
            <w:r>
              <w:t>C</w:t>
            </w:r>
            <w:r w:rsidRPr="00B233C5">
              <w:t>ost</w:t>
            </w:r>
          </w:p>
          <w:p w14:paraId="1DF1B4CA" w14:textId="77777777" w:rsidR="00AB3956" w:rsidRPr="00B57B36" w:rsidRDefault="00AB3956" w:rsidP="00B71190">
            <w:pPr>
              <w:pStyle w:val="CETBodytext"/>
              <w:ind w:right="-1"/>
              <w:jc w:val="center"/>
              <w:rPr>
                <w:rFonts w:cs="Arial"/>
                <w:szCs w:val="18"/>
                <w:lang w:val="en-GB"/>
              </w:rPr>
            </w:pPr>
            <w:r w:rsidRPr="00B233C5">
              <w:t>(€/</w:t>
            </w:r>
            <w:proofErr w:type="spellStart"/>
            <w:r w:rsidRPr="00B233C5">
              <w:t>t</w:t>
            </w:r>
            <w:r w:rsidRPr="00547A02">
              <w:rPr>
                <w:vertAlign w:val="subscript"/>
              </w:rPr>
              <w:t>DRY</w:t>
            </w:r>
            <w:proofErr w:type="spellEnd"/>
            <w:r w:rsidRPr="00B233C5">
              <w:t>)</w:t>
            </w:r>
          </w:p>
        </w:tc>
        <w:tc>
          <w:tcPr>
            <w:tcW w:w="702" w:type="pct"/>
            <w:tcBorders>
              <w:top w:val="single" w:sz="12" w:space="0" w:color="008000"/>
              <w:bottom w:val="single" w:sz="6" w:space="0" w:color="008000"/>
            </w:tcBorders>
            <w:shd w:val="clear" w:color="auto" w:fill="FFFFFF"/>
            <w:vAlign w:val="center"/>
          </w:tcPr>
          <w:p w14:paraId="5CB173F0" w14:textId="77777777" w:rsidR="00AB3956" w:rsidRDefault="00AB3956" w:rsidP="00B71190">
            <w:pPr>
              <w:pStyle w:val="CETBodytext"/>
              <w:ind w:right="-1"/>
              <w:jc w:val="center"/>
            </w:pPr>
            <w:r>
              <w:t xml:space="preserve">Supply </w:t>
            </w:r>
            <w:r w:rsidRPr="00B233C5">
              <w:t>Emissions</w:t>
            </w:r>
          </w:p>
          <w:p w14:paraId="1EB9A4C4" w14:textId="77777777" w:rsidR="00AB3956" w:rsidRPr="00B57B36" w:rsidRDefault="00AB3956" w:rsidP="00B71190">
            <w:pPr>
              <w:pStyle w:val="CETBodytext"/>
              <w:ind w:right="-1"/>
              <w:jc w:val="center"/>
              <w:rPr>
                <w:rFonts w:cs="Arial"/>
                <w:szCs w:val="18"/>
                <w:lang w:val="en-GB"/>
              </w:rPr>
            </w:pPr>
            <w:r w:rsidRPr="00B233C5">
              <w:t>(</w:t>
            </w:r>
            <w:proofErr w:type="spellStart"/>
            <w:r w:rsidRPr="00B233C5">
              <w:t>kg</w:t>
            </w:r>
            <w:r w:rsidRPr="00547A02">
              <w:rPr>
                <w:vertAlign w:val="subscript"/>
              </w:rPr>
              <w:t>CO2eq</w:t>
            </w:r>
            <w:proofErr w:type="spellEnd"/>
            <w:r w:rsidRPr="00B233C5">
              <w:t>/</w:t>
            </w:r>
            <w:proofErr w:type="spellStart"/>
            <w:r w:rsidRPr="00B233C5">
              <w:t>kg</w:t>
            </w:r>
            <w:r w:rsidRPr="00547A02">
              <w:rPr>
                <w:vertAlign w:val="subscript"/>
              </w:rPr>
              <w:t>DRY</w:t>
            </w:r>
            <w:proofErr w:type="spellEnd"/>
            <w:r w:rsidRPr="00B233C5">
              <w:t>)</w:t>
            </w:r>
          </w:p>
        </w:tc>
        <w:tc>
          <w:tcPr>
            <w:tcW w:w="682" w:type="pct"/>
            <w:tcBorders>
              <w:top w:val="single" w:sz="12" w:space="0" w:color="008000"/>
              <w:bottom w:val="single" w:sz="6" w:space="0" w:color="008000"/>
            </w:tcBorders>
            <w:shd w:val="clear" w:color="auto" w:fill="FFFFFF"/>
            <w:vAlign w:val="center"/>
          </w:tcPr>
          <w:p w14:paraId="52F2C03B" w14:textId="77777777" w:rsidR="00AB3956" w:rsidRDefault="00AB3956" w:rsidP="00B71190">
            <w:pPr>
              <w:pStyle w:val="CETBodytext"/>
              <w:ind w:right="-1"/>
              <w:jc w:val="center"/>
            </w:pPr>
            <w:r w:rsidRPr="00B233C5">
              <w:t>C</w:t>
            </w:r>
            <w:r>
              <w:t xml:space="preserve">arbon </w:t>
            </w:r>
            <w:r w:rsidRPr="00B233C5">
              <w:t>in</w:t>
            </w:r>
            <w:r>
              <w:t>to the</w:t>
            </w:r>
            <w:r w:rsidRPr="00B233C5">
              <w:t xml:space="preserve"> Feedstock</w:t>
            </w:r>
          </w:p>
          <w:p w14:paraId="45C566C8" w14:textId="77777777" w:rsidR="00AB3956" w:rsidRPr="00B57B36" w:rsidRDefault="00AB3956" w:rsidP="00B71190">
            <w:pPr>
              <w:pStyle w:val="CETBodytext"/>
              <w:ind w:right="-1"/>
              <w:jc w:val="center"/>
              <w:rPr>
                <w:rFonts w:cs="Arial"/>
                <w:szCs w:val="18"/>
                <w:lang w:val="en-GB"/>
              </w:rPr>
            </w:pPr>
            <w:r w:rsidRPr="00B233C5">
              <w:t>(</w:t>
            </w:r>
            <w:proofErr w:type="spellStart"/>
            <w:r w:rsidRPr="00B233C5">
              <w:t>kmolC</w:t>
            </w:r>
            <w:proofErr w:type="spellEnd"/>
            <w:r w:rsidRPr="00B233C5">
              <w:t>/</w:t>
            </w:r>
            <w:proofErr w:type="spellStart"/>
            <w:r w:rsidRPr="00B233C5">
              <w:t>t</w:t>
            </w:r>
            <w:r w:rsidRPr="00275757">
              <w:rPr>
                <w:vertAlign w:val="subscript"/>
              </w:rPr>
              <w:t>DRY</w:t>
            </w:r>
            <w:proofErr w:type="spellEnd"/>
            <w:r w:rsidRPr="00B233C5">
              <w:t>)</w:t>
            </w:r>
          </w:p>
        </w:tc>
        <w:tc>
          <w:tcPr>
            <w:tcW w:w="486" w:type="pct"/>
            <w:tcBorders>
              <w:top w:val="single" w:sz="12" w:space="0" w:color="008000"/>
              <w:bottom w:val="single" w:sz="6" w:space="0" w:color="008000"/>
            </w:tcBorders>
            <w:shd w:val="clear" w:color="auto" w:fill="FFFFFF"/>
            <w:vAlign w:val="center"/>
          </w:tcPr>
          <w:p w14:paraId="4104EE35" w14:textId="77777777" w:rsidR="00AB3956" w:rsidRDefault="00AB3956" w:rsidP="00B71190">
            <w:pPr>
              <w:pStyle w:val="CETBodytext"/>
              <w:ind w:right="-1"/>
              <w:jc w:val="center"/>
            </w:pPr>
            <w:r w:rsidRPr="00B233C5">
              <w:t>LHV</w:t>
            </w:r>
          </w:p>
          <w:p w14:paraId="75334224" w14:textId="77777777" w:rsidR="00AB3956" w:rsidRPr="00B57B36" w:rsidRDefault="00AB3956" w:rsidP="00B71190">
            <w:pPr>
              <w:pStyle w:val="CETBodytext"/>
              <w:ind w:right="-1"/>
              <w:jc w:val="center"/>
              <w:rPr>
                <w:rFonts w:cs="Arial"/>
                <w:szCs w:val="18"/>
                <w:lang w:val="en-GB"/>
              </w:rPr>
            </w:pPr>
            <w:r w:rsidRPr="00B233C5">
              <w:t>(MJ/</w:t>
            </w:r>
            <w:proofErr w:type="spellStart"/>
            <w:r w:rsidRPr="00B233C5">
              <w:t>kg</w:t>
            </w:r>
            <w:r w:rsidRPr="00B56330">
              <w:rPr>
                <w:vertAlign w:val="subscript"/>
              </w:rPr>
              <w:t>DRY</w:t>
            </w:r>
            <w:proofErr w:type="spellEnd"/>
            <w:r w:rsidRPr="00B233C5">
              <w:t>)</w:t>
            </w:r>
          </w:p>
        </w:tc>
      </w:tr>
      <w:tr w:rsidR="00AB3956" w:rsidRPr="00B57B36" w14:paraId="42DE4BCB" w14:textId="77777777" w:rsidTr="00B71190">
        <w:trPr>
          <w:jc w:val="center"/>
        </w:trPr>
        <w:tc>
          <w:tcPr>
            <w:tcW w:w="782" w:type="pct"/>
            <w:shd w:val="clear" w:color="auto" w:fill="FFFFFF"/>
            <w:vAlign w:val="center"/>
          </w:tcPr>
          <w:p w14:paraId="42E32B30" w14:textId="77777777" w:rsidR="00AB3956" w:rsidRPr="00B57B36" w:rsidRDefault="00AB3956" w:rsidP="00B71190">
            <w:pPr>
              <w:pStyle w:val="CETBodytext"/>
              <w:rPr>
                <w:lang w:val="en-GB"/>
              </w:rPr>
            </w:pPr>
            <w:r w:rsidRPr="00B233C5">
              <w:t>Vegetable Oil</w:t>
            </w:r>
          </w:p>
        </w:tc>
        <w:tc>
          <w:tcPr>
            <w:tcW w:w="783" w:type="pct"/>
            <w:shd w:val="clear" w:color="auto" w:fill="FFFFFF"/>
          </w:tcPr>
          <w:p w14:paraId="1FFCA3E9" w14:textId="77777777" w:rsidR="00AB3956" w:rsidRPr="00B57B36" w:rsidRDefault="00AB3956" w:rsidP="00B71190">
            <w:pPr>
              <w:pStyle w:val="CETBodytext"/>
              <w:rPr>
                <w:lang w:val="en-GB"/>
              </w:rPr>
            </w:pPr>
            <w:r w:rsidRPr="00B233C5">
              <w:t>Dedicated Crops</w:t>
            </w:r>
          </w:p>
        </w:tc>
        <w:tc>
          <w:tcPr>
            <w:tcW w:w="783" w:type="pct"/>
            <w:shd w:val="clear" w:color="auto" w:fill="FFFFFF"/>
            <w:vAlign w:val="center"/>
          </w:tcPr>
          <w:p w14:paraId="3A28E275" w14:textId="77777777" w:rsidR="00AB3956" w:rsidRPr="00A32174" w:rsidRDefault="00AB3956" w:rsidP="00B71190">
            <w:pPr>
              <w:pStyle w:val="CETBodytext"/>
              <w:jc w:val="center"/>
              <w:rPr>
                <w:lang w:val="en-GB"/>
              </w:rPr>
            </w:pPr>
            <w:r w:rsidRPr="00A32174">
              <w:t>100-700</w:t>
            </w:r>
          </w:p>
        </w:tc>
        <w:tc>
          <w:tcPr>
            <w:tcW w:w="782" w:type="pct"/>
            <w:shd w:val="clear" w:color="auto" w:fill="FFFFFF"/>
            <w:vAlign w:val="center"/>
          </w:tcPr>
          <w:p w14:paraId="4D8480EA" w14:textId="77777777" w:rsidR="00AB3956" w:rsidRPr="00B57B36" w:rsidRDefault="00AB3956" w:rsidP="00B71190">
            <w:pPr>
              <w:pStyle w:val="CETBodytext"/>
              <w:ind w:right="-1"/>
              <w:jc w:val="center"/>
              <w:rPr>
                <w:rFonts w:cs="Arial"/>
                <w:szCs w:val="18"/>
                <w:lang w:val="en-GB"/>
              </w:rPr>
            </w:pPr>
            <w:r>
              <w:t>600-</w:t>
            </w:r>
            <w:r w:rsidRPr="00B233C5">
              <w:t>1</w:t>
            </w:r>
            <w:r>
              <w:t>2</w:t>
            </w:r>
            <w:r w:rsidRPr="00B233C5">
              <w:t>00</w:t>
            </w:r>
          </w:p>
        </w:tc>
        <w:tc>
          <w:tcPr>
            <w:tcW w:w="702" w:type="pct"/>
            <w:shd w:val="clear" w:color="auto" w:fill="FFFFFF"/>
            <w:vAlign w:val="center"/>
          </w:tcPr>
          <w:p w14:paraId="6F5265C0" w14:textId="77777777" w:rsidR="00AB3956" w:rsidRPr="00B57B36" w:rsidRDefault="00AB3956" w:rsidP="00B71190">
            <w:pPr>
              <w:pStyle w:val="CETBodytext"/>
              <w:ind w:right="-1"/>
              <w:jc w:val="center"/>
              <w:rPr>
                <w:rFonts w:cs="Arial"/>
                <w:szCs w:val="18"/>
                <w:lang w:val="en-GB"/>
              </w:rPr>
            </w:pPr>
            <w:r>
              <w:t>1.00-</w:t>
            </w:r>
            <w:r w:rsidRPr="00B233C5">
              <w:t>2</w:t>
            </w:r>
            <w:r>
              <w:t>.00</w:t>
            </w:r>
          </w:p>
        </w:tc>
        <w:tc>
          <w:tcPr>
            <w:tcW w:w="682" w:type="pct"/>
            <w:shd w:val="clear" w:color="auto" w:fill="FFFFFF"/>
            <w:vAlign w:val="center"/>
          </w:tcPr>
          <w:p w14:paraId="4716614C" w14:textId="77777777" w:rsidR="00AB3956" w:rsidRPr="00B57B36" w:rsidRDefault="00AB3956" w:rsidP="00B71190">
            <w:pPr>
              <w:pStyle w:val="CETBodytext"/>
              <w:ind w:right="-1"/>
              <w:jc w:val="center"/>
              <w:rPr>
                <w:rFonts w:cs="Arial"/>
                <w:szCs w:val="18"/>
                <w:lang w:val="en-GB"/>
              </w:rPr>
            </w:pPr>
            <w:r>
              <w:t>60-70</w:t>
            </w:r>
          </w:p>
        </w:tc>
        <w:tc>
          <w:tcPr>
            <w:tcW w:w="486" w:type="pct"/>
            <w:shd w:val="clear" w:color="auto" w:fill="FFFFFF"/>
            <w:vAlign w:val="center"/>
          </w:tcPr>
          <w:p w14:paraId="409F85D6" w14:textId="77777777" w:rsidR="00AB3956" w:rsidRPr="00B57B36" w:rsidRDefault="00AB3956" w:rsidP="00B71190">
            <w:pPr>
              <w:pStyle w:val="CETBodytext"/>
              <w:ind w:right="-1"/>
              <w:jc w:val="center"/>
              <w:rPr>
                <w:rFonts w:cs="Arial"/>
                <w:szCs w:val="18"/>
                <w:lang w:val="en-GB"/>
              </w:rPr>
            </w:pPr>
            <w:r w:rsidRPr="00B233C5">
              <w:t>3</w:t>
            </w:r>
            <w:r>
              <w:t>0-40</w:t>
            </w:r>
          </w:p>
        </w:tc>
      </w:tr>
      <w:tr w:rsidR="00AB3956" w:rsidRPr="00B57B36" w14:paraId="7204A676" w14:textId="77777777" w:rsidTr="00B71190">
        <w:trPr>
          <w:jc w:val="center"/>
        </w:trPr>
        <w:tc>
          <w:tcPr>
            <w:tcW w:w="782" w:type="pct"/>
            <w:shd w:val="clear" w:color="auto" w:fill="FFFFFF"/>
            <w:vAlign w:val="center"/>
          </w:tcPr>
          <w:p w14:paraId="650E778C" w14:textId="77777777" w:rsidR="00AB3956" w:rsidRPr="00B57B36" w:rsidRDefault="00AB3956" w:rsidP="00B71190">
            <w:pPr>
              <w:pStyle w:val="CETBodytext"/>
              <w:rPr>
                <w:lang w:val="en-GB"/>
              </w:rPr>
            </w:pPr>
            <w:r w:rsidRPr="00B233C5">
              <w:t>Vegetable Oil</w:t>
            </w:r>
          </w:p>
        </w:tc>
        <w:tc>
          <w:tcPr>
            <w:tcW w:w="783" w:type="pct"/>
            <w:shd w:val="clear" w:color="auto" w:fill="FFFFFF"/>
          </w:tcPr>
          <w:p w14:paraId="770D16AA" w14:textId="77777777" w:rsidR="00AB3956" w:rsidRPr="00B57B36" w:rsidRDefault="00AB3956" w:rsidP="00B71190">
            <w:pPr>
              <w:pStyle w:val="CETBodytext"/>
              <w:rPr>
                <w:lang w:val="en-GB"/>
              </w:rPr>
            </w:pPr>
            <w:r w:rsidRPr="00B233C5">
              <w:t>Used Cooking Oil</w:t>
            </w:r>
          </w:p>
        </w:tc>
        <w:tc>
          <w:tcPr>
            <w:tcW w:w="783" w:type="pct"/>
            <w:shd w:val="clear" w:color="auto" w:fill="FFFFFF"/>
            <w:vAlign w:val="center"/>
          </w:tcPr>
          <w:p w14:paraId="4C2B6BAC" w14:textId="77777777" w:rsidR="00AB3956" w:rsidRPr="00A32174" w:rsidRDefault="00AB3956" w:rsidP="00B71190">
            <w:pPr>
              <w:pStyle w:val="CETBodytext"/>
              <w:jc w:val="center"/>
            </w:pPr>
            <w:r w:rsidRPr="00A32174">
              <w:t>300-900</w:t>
            </w:r>
          </w:p>
        </w:tc>
        <w:tc>
          <w:tcPr>
            <w:tcW w:w="782" w:type="pct"/>
            <w:shd w:val="clear" w:color="auto" w:fill="FFFFFF"/>
            <w:vAlign w:val="center"/>
          </w:tcPr>
          <w:p w14:paraId="38CE7F53" w14:textId="77777777" w:rsidR="00AB3956" w:rsidRPr="00B57B36" w:rsidRDefault="00AB3956" w:rsidP="00B71190">
            <w:pPr>
              <w:pStyle w:val="CETBodytext"/>
              <w:ind w:right="-1"/>
              <w:jc w:val="center"/>
              <w:rPr>
                <w:rFonts w:cs="Arial"/>
                <w:szCs w:val="18"/>
                <w:lang w:val="en-GB"/>
              </w:rPr>
            </w:pPr>
            <w:r>
              <w:t>400-800</w:t>
            </w:r>
          </w:p>
        </w:tc>
        <w:tc>
          <w:tcPr>
            <w:tcW w:w="702" w:type="pct"/>
            <w:shd w:val="clear" w:color="auto" w:fill="FFFFFF"/>
            <w:vAlign w:val="center"/>
          </w:tcPr>
          <w:p w14:paraId="64F764D2" w14:textId="77777777" w:rsidR="00AB3956" w:rsidRPr="00B57B36" w:rsidRDefault="00AB3956" w:rsidP="00B71190">
            <w:pPr>
              <w:pStyle w:val="CETBodytext"/>
              <w:ind w:right="-1"/>
              <w:jc w:val="center"/>
              <w:rPr>
                <w:rFonts w:cs="Arial"/>
                <w:szCs w:val="18"/>
                <w:lang w:val="en-GB"/>
              </w:rPr>
            </w:pPr>
            <w:r>
              <w:t>0.10-0.15</w:t>
            </w:r>
          </w:p>
        </w:tc>
        <w:tc>
          <w:tcPr>
            <w:tcW w:w="682" w:type="pct"/>
            <w:shd w:val="clear" w:color="auto" w:fill="FFFFFF"/>
            <w:vAlign w:val="center"/>
          </w:tcPr>
          <w:p w14:paraId="01E3CC0C" w14:textId="77777777" w:rsidR="00AB3956" w:rsidRPr="00B57B36" w:rsidRDefault="00AB3956" w:rsidP="00B71190">
            <w:pPr>
              <w:pStyle w:val="CETBodytext"/>
              <w:ind w:right="-1"/>
              <w:jc w:val="center"/>
              <w:rPr>
                <w:rFonts w:cs="Arial"/>
                <w:szCs w:val="18"/>
                <w:lang w:val="en-GB"/>
              </w:rPr>
            </w:pPr>
            <w:r w:rsidRPr="00B233C5">
              <w:t>6</w:t>
            </w:r>
            <w:r>
              <w:t>0-70</w:t>
            </w:r>
          </w:p>
        </w:tc>
        <w:tc>
          <w:tcPr>
            <w:tcW w:w="486" w:type="pct"/>
            <w:shd w:val="clear" w:color="auto" w:fill="FFFFFF"/>
            <w:vAlign w:val="center"/>
          </w:tcPr>
          <w:p w14:paraId="1B179039" w14:textId="77777777" w:rsidR="00AB3956" w:rsidRPr="00B57B36" w:rsidRDefault="00AB3956" w:rsidP="00B71190">
            <w:pPr>
              <w:pStyle w:val="CETBodytext"/>
              <w:ind w:right="-1"/>
              <w:jc w:val="center"/>
              <w:rPr>
                <w:rFonts w:cs="Arial"/>
                <w:szCs w:val="18"/>
                <w:lang w:val="en-GB"/>
              </w:rPr>
            </w:pPr>
            <w:r w:rsidRPr="00B233C5">
              <w:t>3</w:t>
            </w:r>
            <w:r>
              <w:t>0-40</w:t>
            </w:r>
          </w:p>
        </w:tc>
      </w:tr>
      <w:tr w:rsidR="00AB3956" w:rsidRPr="00B57B36" w14:paraId="71FCDE0B" w14:textId="77777777" w:rsidTr="00B71190">
        <w:trPr>
          <w:jc w:val="center"/>
        </w:trPr>
        <w:tc>
          <w:tcPr>
            <w:tcW w:w="782" w:type="pct"/>
            <w:shd w:val="clear" w:color="auto" w:fill="FFFFFF"/>
            <w:vAlign w:val="center"/>
          </w:tcPr>
          <w:p w14:paraId="3772DFD9" w14:textId="77777777" w:rsidR="00AB3956" w:rsidRPr="00B233C5" w:rsidRDefault="00AB3956" w:rsidP="00B71190">
            <w:pPr>
              <w:pStyle w:val="CETBodytext"/>
            </w:pPr>
            <w:r>
              <w:t>1</w:t>
            </w:r>
            <w:r w:rsidRPr="00982268">
              <w:rPr>
                <w:vertAlign w:val="superscript"/>
              </w:rPr>
              <w:t>st</w:t>
            </w:r>
            <w:r>
              <w:t xml:space="preserve"> Gen.</w:t>
            </w:r>
            <w:r w:rsidRPr="00B233C5">
              <w:t xml:space="preserve"> </w:t>
            </w:r>
            <w:r>
              <w:t>S</w:t>
            </w:r>
            <w:r w:rsidRPr="00B233C5">
              <w:t>ugars</w:t>
            </w:r>
          </w:p>
        </w:tc>
        <w:tc>
          <w:tcPr>
            <w:tcW w:w="783" w:type="pct"/>
            <w:shd w:val="clear" w:color="auto" w:fill="FFFFFF"/>
          </w:tcPr>
          <w:p w14:paraId="4D025FB9" w14:textId="77777777" w:rsidR="00AB3956" w:rsidRPr="00B233C5" w:rsidRDefault="00AB3956" w:rsidP="00B71190">
            <w:pPr>
              <w:pStyle w:val="CETBodytext"/>
            </w:pPr>
            <w:r w:rsidRPr="00B233C5">
              <w:t>Dedicated Crops</w:t>
            </w:r>
          </w:p>
        </w:tc>
        <w:tc>
          <w:tcPr>
            <w:tcW w:w="783" w:type="pct"/>
            <w:shd w:val="clear" w:color="auto" w:fill="FFFFFF"/>
            <w:vAlign w:val="center"/>
          </w:tcPr>
          <w:p w14:paraId="6F1F1884" w14:textId="77777777" w:rsidR="00AB3956" w:rsidRPr="00A32174" w:rsidRDefault="00AB3956" w:rsidP="00B71190">
            <w:pPr>
              <w:pStyle w:val="CETBodytext"/>
              <w:jc w:val="center"/>
            </w:pPr>
            <w:r w:rsidRPr="00A32174">
              <w:t>200-600</w:t>
            </w:r>
          </w:p>
        </w:tc>
        <w:tc>
          <w:tcPr>
            <w:tcW w:w="782" w:type="pct"/>
            <w:shd w:val="clear" w:color="auto" w:fill="FFFFFF"/>
            <w:vAlign w:val="center"/>
          </w:tcPr>
          <w:p w14:paraId="16FC77C4" w14:textId="77777777" w:rsidR="00AB3956" w:rsidRPr="00B233C5" w:rsidRDefault="00AB3956" w:rsidP="00B71190">
            <w:pPr>
              <w:pStyle w:val="CETBodytext"/>
              <w:ind w:right="-1"/>
              <w:jc w:val="center"/>
            </w:pPr>
            <w:r>
              <w:t>200-400</w:t>
            </w:r>
          </w:p>
        </w:tc>
        <w:tc>
          <w:tcPr>
            <w:tcW w:w="702" w:type="pct"/>
            <w:shd w:val="clear" w:color="auto" w:fill="FFFFFF"/>
            <w:vAlign w:val="center"/>
          </w:tcPr>
          <w:p w14:paraId="6E8B5EC3" w14:textId="77777777" w:rsidR="00AB3956" w:rsidRPr="00B233C5" w:rsidRDefault="00AB3956" w:rsidP="00B71190">
            <w:pPr>
              <w:pStyle w:val="CETBodytext"/>
              <w:ind w:right="-1"/>
              <w:jc w:val="center"/>
            </w:pPr>
            <w:r>
              <w:t>0.40-0.80</w:t>
            </w:r>
          </w:p>
        </w:tc>
        <w:tc>
          <w:tcPr>
            <w:tcW w:w="682" w:type="pct"/>
            <w:shd w:val="clear" w:color="auto" w:fill="FFFFFF"/>
            <w:vAlign w:val="center"/>
          </w:tcPr>
          <w:p w14:paraId="73BF4065" w14:textId="77777777" w:rsidR="00AB3956" w:rsidRPr="00B233C5" w:rsidRDefault="00AB3956" w:rsidP="00B71190">
            <w:pPr>
              <w:pStyle w:val="CETBodytext"/>
              <w:ind w:right="-1"/>
              <w:jc w:val="center"/>
            </w:pPr>
            <w:r w:rsidRPr="00B233C5">
              <w:t>3</w:t>
            </w:r>
            <w:r>
              <w:t>0-40</w:t>
            </w:r>
          </w:p>
        </w:tc>
        <w:tc>
          <w:tcPr>
            <w:tcW w:w="486" w:type="pct"/>
            <w:shd w:val="clear" w:color="auto" w:fill="FFFFFF"/>
            <w:vAlign w:val="center"/>
          </w:tcPr>
          <w:p w14:paraId="0B164FB7" w14:textId="77777777" w:rsidR="00AB3956" w:rsidRPr="00B233C5" w:rsidRDefault="00AB3956" w:rsidP="00B71190">
            <w:pPr>
              <w:pStyle w:val="CETBodytext"/>
              <w:ind w:right="-1"/>
              <w:jc w:val="center"/>
            </w:pPr>
            <w:r w:rsidRPr="00B233C5">
              <w:t>1</w:t>
            </w:r>
            <w:r>
              <w:t>5-20</w:t>
            </w:r>
          </w:p>
        </w:tc>
      </w:tr>
      <w:tr w:rsidR="00AB3956" w:rsidRPr="00B57B36" w14:paraId="67E40569" w14:textId="77777777" w:rsidTr="00B71190">
        <w:trPr>
          <w:jc w:val="center"/>
        </w:trPr>
        <w:tc>
          <w:tcPr>
            <w:tcW w:w="782" w:type="pct"/>
            <w:shd w:val="clear" w:color="auto" w:fill="FFFFFF"/>
            <w:vAlign w:val="center"/>
          </w:tcPr>
          <w:p w14:paraId="0CDF3F8A" w14:textId="77777777" w:rsidR="00AB3956" w:rsidRPr="00B57B36" w:rsidRDefault="00AB3956" w:rsidP="00B71190">
            <w:pPr>
              <w:pStyle w:val="CETBodytext"/>
              <w:rPr>
                <w:lang w:val="en-GB"/>
              </w:rPr>
            </w:pPr>
            <w:r w:rsidRPr="00B233C5">
              <w:t>Lignocellulosic</w:t>
            </w:r>
          </w:p>
        </w:tc>
        <w:tc>
          <w:tcPr>
            <w:tcW w:w="783" w:type="pct"/>
            <w:shd w:val="clear" w:color="auto" w:fill="FFFFFF"/>
          </w:tcPr>
          <w:p w14:paraId="6B954834" w14:textId="77777777" w:rsidR="00AB3956" w:rsidRPr="00B57B36" w:rsidRDefault="00AB3956" w:rsidP="00B71190">
            <w:pPr>
              <w:pStyle w:val="CETBodytext"/>
              <w:rPr>
                <w:lang w:val="en-GB"/>
              </w:rPr>
            </w:pPr>
            <w:r w:rsidRPr="00B233C5">
              <w:t>Dedicated Crops</w:t>
            </w:r>
          </w:p>
        </w:tc>
        <w:tc>
          <w:tcPr>
            <w:tcW w:w="783" w:type="pct"/>
            <w:shd w:val="clear" w:color="auto" w:fill="FFFFFF"/>
            <w:vAlign w:val="center"/>
          </w:tcPr>
          <w:p w14:paraId="58FFE023" w14:textId="77777777" w:rsidR="00AB3956" w:rsidRPr="00A32174" w:rsidRDefault="00AB3956" w:rsidP="00B71190">
            <w:pPr>
              <w:pStyle w:val="CETBodytext"/>
              <w:jc w:val="center"/>
              <w:rPr>
                <w:lang w:val="en-GB"/>
              </w:rPr>
            </w:pPr>
            <w:r w:rsidRPr="00A32174">
              <w:t>100-500</w:t>
            </w:r>
          </w:p>
        </w:tc>
        <w:tc>
          <w:tcPr>
            <w:tcW w:w="782" w:type="pct"/>
            <w:shd w:val="clear" w:color="auto" w:fill="FFFFFF"/>
            <w:vAlign w:val="center"/>
          </w:tcPr>
          <w:p w14:paraId="6B467242" w14:textId="77777777" w:rsidR="00AB3956" w:rsidRPr="00B57B36" w:rsidRDefault="00AB3956" w:rsidP="00B71190">
            <w:pPr>
              <w:pStyle w:val="CETBodytext"/>
              <w:ind w:right="-1"/>
              <w:jc w:val="center"/>
              <w:rPr>
                <w:rFonts w:cs="Arial"/>
                <w:szCs w:val="18"/>
                <w:lang w:val="en-GB"/>
              </w:rPr>
            </w:pPr>
            <w:r>
              <w:t>70-110</w:t>
            </w:r>
          </w:p>
        </w:tc>
        <w:tc>
          <w:tcPr>
            <w:tcW w:w="702" w:type="pct"/>
            <w:shd w:val="clear" w:color="auto" w:fill="FFFFFF"/>
            <w:vAlign w:val="center"/>
          </w:tcPr>
          <w:p w14:paraId="089A3C20" w14:textId="77777777" w:rsidR="00AB3956" w:rsidRPr="00B57B36" w:rsidRDefault="00AB3956" w:rsidP="00B71190">
            <w:pPr>
              <w:pStyle w:val="CETBodytext"/>
              <w:ind w:right="-1"/>
              <w:jc w:val="center"/>
              <w:rPr>
                <w:rFonts w:cs="Arial"/>
                <w:szCs w:val="18"/>
                <w:lang w:val="en-GB"/>
              </w:rPr>
            </w:pPr>
            <w:r>
              <w:t>0.15-0.40</w:t>
            </w:r>
          </w:p>
        </w:tc>
        <w:tc>
          <w:tcPr>
            <w:tcW w:w="682" w:type="pct"/>
            <w:shd w:val="clear" w:color="auto" w:fill="FFFFFF"/>
            <w:vAlign w:val="center"/>
          </w:tcPr>
          <w:p w14:paraId="20014BB4" w14:textId="77777777" w:rsidR="00AB3956" w:rsidRPr="00B57B36" w:rsidRDefault="00AB3956" w:rsidP="00B71190">
            <w:pPr>
              <w:pStyle w:val="CETBodytext"/>
              <w:ind w:right="-1"/>
              <w:jc w:val="center"/>
              <w:rPr>
                <w:rFonts w:cs="Arial"/>
                <w:szCs w:val="18"/>
                <w:lang w:val="en-GB"/>
              </w:rPr>
            </w:pPr>
            <w:r>
              <w:t>35-45</w:t>
            </w:r>
          </w:p>
        </w:tc>
        <w:tc>
          <w:tcPr>
            <w:tcW w:w="486" w:type="pct"/>
            <w:shd w:val="clear" w:color="auto" w:fill="FFFFFF"/>
            <w:vAlign w:val="center"/>
          </w:tcPr>
          <w:p w14:paraId="6CC1F515" w14:textId="77777777" w:rsidR="00AB3956" w:rsidRPr="00B57B36" w:rsidRDefault="00AB3956" w:rsidP="00B71190">
            <w:pPr>
              <w:pStyle w:val="CETBodytext"/>
              <w:ind w:right="-1"/>
              <w:jc w:val="center"/>
              <w:rPr>
                <w:rFonts w:cs="Arial"/>
                <w:szCs w:val="18"/>
                <w:lang w:val="en-GB"/>
              </w:rPr>
            </w:pPr>
            <w:r w:rsidRPr="00B233C5">
              <w:t>1</w:t>
            </w:r>
            <w:r>
              <w:t>5-20</w:t>
            </w:r>
          </w:p>
        </w:tc>
      </w:tr>
      <w:tr w:rsidR="00AB3956" w:rsidRPr="00B57B36" w14:paraId="57D8854F" w14:textId="77777777" w:rsidTr="00B71190">
        <w:trPr>
          <w:jc w:val="center"/>
        </w:trPr>
        <w:tc>
          <w:tcPr>
            <w:tcW w:w="782" w:type="pct"/>
            <w:shd w:val="clear" w:color="auto" w:fill="FFFFFF"/>
            <w:vAlign w:val="center"/>
          </w:tcPr>
          <w:p w14:paraId="31B084CE" w14:textId="77777777" w:rsidR="00AB3956" w:rsidRPr="00B233C5" w:rsidRDefault="00AB3956" w:rsidP="00B71190">
            <w:pPr>
              <w:pStyle w:val="CETBodytext"/>
            </w:pPr>
            <w:r w:rsidRPr="00B233C5">
              <w:t>Lignocellulosic</w:t>
            </w:r>
          </w:p>
        </w:tc>
        <w:tc>
          <w:tcPr>
            <w:tcW w:w="783" w:type="pct"/>
            <w:shd w:val="clear" w:color="auto" w:fill="FFFFFF"/>
          </w:tcPr>
          <w:p w14:paraId="5BE3AFBF" w14:textId="77777777" w:rsidR="00AB3956" w:rsidRPr="00B233C5" w:rsidRDefault="00AB3956" w:rsidP="00B71190">
            <w:pPr>
              <w:pStyle w:val="CETBodytext"/>
            </w:pPr>
            <w:r w:rsidRPr="00B233C5">
              <w:t>Wastes and residues</w:t>
            </w:r>
          </w:p>
        </w:tc>
        <w:tc>
          <w:tcPr>
            <w:tcW w:w="783" w:type="pct"/>
            <w:shd w:val="clear" w:color="auto" w:fill="FFFFFF"/>
            <w:vAlign w:val="center"/>
          </w:tcPr>
          <w:p w14:paraId="48DA1538" w14:textId="77777777" w:rsidR="00AB3956" w:rsidRPr="00A32174" w:rsidRDefault="00AB3956" w:rsidP="00B71190">
            <w:pPr>
              <w:pStyle w:val="CETBodytext"/>
              <w:jc w:val="center"/>
            </w:pPr>
            <w:r w:rsidRPr="00A32174">
              <w:t>100-500</w:t>
            </w:r>
          </w:p>
        </w:tc>
        <w:tc>
          <w:tcPr>
            <w:tcW w:w="782" w:type="pct"/>
            <w:shd w:val="clear" w:color="auto" w:fill="FFFFFF"/>
            <w:vAlign w:val="center"/>
          </w:tcPr>
          <w:p w14:paraId="716CCF38" w14:textId="77777777" w:rsidR="00AB3956" w:rsidRDefault="00AB3956" w:rsidP="00B71190">
            <w:pPr>
              <w:pStyle w:val="CETBodytext"/>
              <w:ind w:right="-1"/>
              <w:jc w:val="center"/>
            </w:pPr>
            <w:r>
              <w:t>50-90</w:t>
            </w:r>
          </w:p>
        </w:tc>
        <w:tc>
          <w:tcPr>
            <w:tcW w:w="702" w:type="pct"/>
            <w:shd w:val="clear" w:color="auto" w:fill="FFFFFF"/>
            <w:vAlign w:val="center"/>
          </w:tcPr>
          <w:p w14:paraId="76569B4A" w14:textId="77777777" w:rsidR="00AB3956" w:rsidRPr="00B233C5" w:rsidRDefault="00AB3956" w:rsidP="00B71190">
            <w:pPr>
              <w:pStyle w:val="CETBodytext"/>
              <w:ind w:right="-1"/>
              <w:jc w:val="center"/>
            </w:pPr>
            <w:r>
              <w:t>0.05-0.20</w:t>
            </w:r>
          </w:p>
        </w:tc>
        <w:tc>
          <w:tcPr>
            <w:tcW w:w="682" w:type="pct"/>
            <w:shd w:val="clear" w:color="auto" w:fill="FFFFFF"/>
            <w:vAlign w:val="center"/>
          </w:tcPr>
          <w:p w14:paraId="73906123" w14:textId="77777777" w:rsidR="00AB3956" w:rsidRPr="00B233C5" w:rsidRDefault="00AB3956" w:rsidP="00B71190">
            <w:pPr>
              <w:pStyle w:val="CETBodytext"/>
              <w:ind w:right="-1"/>
              <w:jc w:val="center"/>
            </w:pPr>
            <w:r>
              <w:t>35-45</w:t>
            </w:r>
          </w:p>
        </w:tc>
        <w:tc>
          <w:tcPr>
            <w:tcW w:w="486" w:type="pct"/>
            <w:shd w:val="clear" w:color="auto" w:fill="FFFFFF"/>
            <w:vAlign w:val="center"/>
          </w:tcPr>
          <w:p w14:paraId="04EB7447" w14:textId="77777777" w:rsidR="00AB3956" w:rsidRPr="00B233C5" w:rsidRDefault="00AB3956" w:rsidP="00B71190">
            <w:pPr>
              <w:pStyle w:val="CETBodytext"/>
              <w:ind w:right="-1"/>
              <w:jc w:val="center"/>
            </w:pPr>
            <w:r w:rsidRPr="00B233C5">
              <w:t>1</w:t>
            </w:r>
            <w:r>
              <w:t>5-20</w:t>
            </w:r>
          </w:p>
        </w:tc>
      </w:tr>
      <w:tr w:rsidR="00AB3956" w:rsidRPr="00B57B36" w14:paraId="4BCFCBBA" w14:textId="77777777" w:rsidTr="00B71190">
        <w:trPr>
          <w:jc w:val="center"/>
        </w:trPr>
        <w:tc>
          <w:tcPr>
            <w:tcW w:w="782" w:type="pct"/>
            <w:shd w:val="clear" w:color="auto" w:fill="FFFFFF"/>
            <w:vAlign w:val="center"/>
          </w:tcPr>
          <w:p w14:paraId="287F0669" w14:textId="77777777" w:rsidR="00AB3956" w:rsidRPr="00B57B36" w:rsidRDefault="00AB3956" w:rsidP="00B71190">
            <w:pPr>
              <w:pStyle w:val="CETBodytext"/>
              <w:ind w:right="-1"/>
              <w:rPr>
                <w:rFonts w:cs="Arial"/>
                <w:szCs w:val="18"/>
                <w:lang w:val="en-GB"/>
              </w:rPr>
            </w:pPr>
            <w:r w:rsidRPr="00B233C5">
              <w:t>Lignocellulosic</w:t>
            </w:r>
          </w:p>
        </w:tc>
        <w:tc>
          <w:tcPr>
            <w:tcW w:w="783" w:type="pct"/>
            <w:shd w:val="clear" w:color="auto" w:fill="FFFFFF"/>
          </w:tcPr>
          <w:p w14:paraId="2C25B466" w14:textId="77777777" w:rsidR="00AB3956" w:rsidRPr="00B57B36" w:rsidRDefault="00AB3956" w:rsidP="00B71190">
            <w:pPr>
              <w:pStyle w:val="CETBodytext"/>
              <w:ind w:right="-1"/>
              <w:rPr>
                <w:rFonts w:cs="Arial"/>
                <w:szCs w:val="18"/>
                <w:lang w:val="en-GB"/>
              </w:rPr>
            </w:pPr>
            <w:r w:rsidRPr="0055676F">
              <w:t>High-moisture wastes</w:t>
            </w:r>
          </w:p>
        </w:tc>
        <w:tc>
          <w:tcPr>
            <w:tcW w:w="783" w:type="pct"/>
            <w:shd w:val="clear" w:color="auto" w:fill="FFFFFF"/>
            <w:vAlign w:val="center"/>
          </w:tcPr>
          <w:p w14:paraId="3D86871E" w14:textId="77777777" w:rsidR="00AB3956" w:rsidRPr="00A32174" w:rsidRDefault="00AB3956" w:rsidP="00B71190">
            <w:pPr>
              <w:pStyle w:val="CETBodytext"/>
              <w:ind w:right="-1"/>
              <w:jc w:val="center"/>
              <w:rPr>
                <w:rFonts w:cs="Arial"/>
                <w:szCs w:val="18"/>
                <w:lang w:val="en-GB"/>
              </w:rPr>
            </w:pPr>
            <w:r w:rsidRPr="00A32174">
              <w:t>10-50</w:t>
            </w:r>
          </w:p>
        </w:tc>
        <w:tc>
          <w:tcPr>
            <w:tcW w:w="782" w:type="pct"/>
            <w:shd w:val="clear" w:color="auto" w:fill="FFFFFF"/>
            <w:vAlign w:val="center"/>
          </w:tcPr>
          <w:p w14:paraId="6CFA7079" w14:textId="77777777" w:rsidR="00AB3956" w:rsidRPr="00B57B36" w:rsidRDefault="00AB3956" w:rsidP="00B71190">
            <w:pPr>
              <w:pStyle w:val="CETBodytext"/>
              <w:ind w:right="-1"/>
              <w:jc w:val="center"/>
              <w:rPr>
                <w:rFonts w:cs="Arial"/>
                <w:szCs w:val="18"/>
                <w:lang w:val="en-GB"/>
              </w:rPr>
            </w:pPr>
            <w:r>
              <w:t>30-60</w:t>
            </w:r>
          </w:p>
        </w:tc>
        <w:tc>
          <w:tcPr>
            <w:tcW w:w="702" w:type="pct"/>
            <w:shd w:val="clear" w:color="auto" w:fill="FFFFFF"/>
            <w:vAlign w:val="center"/>
          </w:tcPr>
          <w:p w14:paraId="5EB9C558" w14:textId="77777777" w:rsidR="00AB3956" w:rsidRPr="00B57B36" w:rsidRDefault="00AB3956" w:rsidP="00B71190">
            <w:pPr>
              <w:pStyle w:val="CETBodytext"/>
              <w:ind w:right="-1"/>
              <w:jc w:val="center"/>
              <w:rPr>
                <w:rFonts w:cs="Arial"/>
                <w:szCs w:val="18"/>
                <w:lang w:val="en-GB"/>
              </w:rPr>
            </w:pPr>
            <w:r>
              <w:t>0.01-0.10</w:t>
            </w:r>
          </w:p>
        </w:tc>
        <w:tc>
          <w:tcPr>
            <w:tcW w:w="682" w:type="pct"/>
            <w:shd w:val="clear" w:color="auto" w:fill="FFFFFF"/>
            <w:vAlign w:val="center"/>
          </w:tcPr>
          <w:p w14:paraId="17D4B6AF" w14:textId="77777777" w:rsidR="00AB3956" w:rsidRPr="00B57B36" w:rsidRDefault="00AB3956" w:rsidP="00B71190">
            <w:pPr>
              <w:pStyle w:val="CETBodytext"/>
              <w:ind w:right="-1"/>
              <w:jc w:val="center"/>
              <w:rPr>
                <w:rFonts w:cs="Arial"/>
                <w:szCs w:val="18"/>
                <w:lang w:val="en-GB"/>
              </w:rPr>
            </w:pPr>
            <w:r>
              <w:t>35-45</w:t>
            </w:r>
          </w:p>
        </w:tc>
        <w:tc>
          <w:tcPr>
            <w:tcW w:w="486" w:type="pct"/>
            <w:shd w:val="clear" w:color="auto" w:fill="FFFFFF"/>
            <w:vAlign w:val="center"/>
          </w:tcPr>
          <w:p w14:paraId="567118C3" w14:textId="77777777" w:rsidR="00AB3956" w:rsidRPr="00B57B36" w:rsidRDefault="00AB3956" w:rsidP="00B71190">
            <w:pPr>
              <w:pStyle w:val="CETBodytext"/>
              <w:ind w:right="-1"/>
              <w:jc w:val="center"/>
              <w:rPr>
                <w:rFonts w:cs="Arial"/>
                <w:szCs w:val="18"/>
                <w:lang w:val="en-GB"/>
              </w:rPr>
            </w:pPr>
            <w:r w:rsidRPr="00B233C5">
              <w:t>1</w:t>
            </w:r>
            <w:r>
              <w:t>5-20</w:t>
            </w:r>
          </w:p>
        </w:tc>
      </w:tr>
    </w:tbl>
    <w:p w14:paraId="5C0DF615" w14:textId="77777777" w:rsidR="00AB3956" w:rsidRDefault="00AB3956" w:rsidP="00396DC3">
      <w:pPr>
        <w:pStyle w:val="CETBodytext"/>
        <w:rPr>
          <w:lang w:val="en-GB"/>
        </w:rPr>
      </w:pPr>
    </w:p>
    <w:p w14:paraId="702FFFE7" w14:textId="77777777" w:rsidR="00B353E7" w:rsidRPr="00B57B36" w:rsidRDefault="00B353E7" w:rsidP="00B353E7">
      <w:pPr>
        <w:pStyle w:val="CETTabletitle"/>
      </w:pPr>
      <w:r w:rsidRPr="00E736EA">
        <w:lastRenderedPageBreak/>
        <w:t xml:space="preserve">Table 2: Target liquid biofuels dataset </w:t>
      </w:r>
      <w:r w:rsidRPr="00E736EA">
        <w:fldChar w:fldCharType="begin"/>
      </w:r>
      <w:r>
        <w:instrText xml:space="preserve"> ADDIN ZOTERO_ITEM CSL_CITATION {"citationID":"zZGeG4dO","properties":{"formattedCitation":"(International Energy Agency, 2025)","plainCitation":"(International Energy Agency, 2025)","dontUpdate":true,"noteIndex":0},"citationItems":[{"id":4998,"uris":["http://zotero.org/users/10649518/items/SGKUJA3Z"],"itemData":{"id":4998,"type":"article-journal","abstract":"Sustainable fuels – including liquid biofuels, biogases, low-emissions hydrogen and hydrogen-based fuels – offer multiple benefits for the energy sector. They complement electrification and energy efficiency in energy transitions, and are particularly important for sectors that continue to be reliant on fuel-based solutions such as aviation, shipping, and parts of road transport and industry. Sustainable fuels can also enhance energy security, strengthen environmental sustainability and stimulate economic development, particularly in rural areas.","language":"en","source":"Zotero","title":"Delivering Sustainable Fuels; Pathways to 2035","author":[{"family":"International Energy Agency","given":""}],"issued":{"date-parts":[["2025"]]}}}],"schema":"https://github.com/citation-style-language/schema/raw/master/csl-citation.json"} </w:instrText>
      </w:r>
      <w:r w:rsidRPr="00E736EA">
        <w:fldChar w:fldCharType="separate"/>
      </w:r>
      <w:r w:rsidRPr="00E736EA">
        <w:rPr>
          <w:rFonts w:cs="Arial"/>
        </w:rPr>
        <w:t>(International Energy Agency, 2025;</w:t>
      </w:r>
      <w:r w:rsidRPr="00E736EA">
        <w:fldChar w:fldCharType="end"/>
      </w:r>
      <w:r w:rsidRPr="00E736EA">
        <w:t xml:space="preserve"> </w:t>
      </w:r>
      <w:r w:rsidRPr="00E736EA">
        <w:fldChar w:fldCharType="begin"/>
      </w:r>
      <w:r>
        <w:instrText xml:space="preserve"> ADDIN ZOTERO_ITEM CSL_CITATION {"citationID":"kYESxNr9","properties":{"formattedCitation":"(Tito et al., 2023)","plainCitation":"(Tito et al., 2023)","dontUpdate":true,"noteIndex":0},"citationItems":[{"id":4107,"uris":["http://zotero.org/users/10649518/items/7H7EJ23D"],"itemData":{"id":4107,"type":"article-journal","abstract":"Hydrothermal liquefaction is a promising technology for producing renewable advanced biofuels. However, some weaknesses could undermine its large-scale application, such as the significant carbon loss in the aqueous phase (AP) and the necessity of biocrude upgrading. In order to deal with these challenges, in this work the techno-economic feasibility of coupling hydrothermal liquefaction (HTL) with aqueous phase reforming (APR) was evaluated. APR is a catalytic process able to convert water-dissolved oxygenates into a hydrogen-rich gas that can be used for biocrude upgrading. Two cases were proposed, based on different lignocellulosic feedstocks: corn stover (CS) and lignin-rich stream (LRS) from cellulosic ethanol production. HTL-APR plants operating with the same mass flow (3.6 t/h) at 10 wt% solid loading were herein evaluated, resulting in an input size of 20 MW (LRS) and 16.5 MW (CS). Based on experimental and literature data, the mass and energy balances were per­ formed; subsequently, the main equipment was designed; finally, the capital and operating costs were evaluated. The analysis showed that the minimum selling prices for the biofuel (0% internal rate of return) were 1.23 (LRS) and 1.27 €/kg (CS). The heat exchangers accounted for most of the fixed capital investment, while electricity and feedstock had the highest impact on the operating costs. The implementation of APR was particularly profitable with CS, as it produced 107% of the hydrogen required for biocrude upgrading. In this case, APR was able to significantly reduce the H2 production cost (1.5 €/kg) making it a competitive technology compared to con­ ventional electrolysis.","container-title":"Journal of Environmental Chemical Engineering","DOI":"10.1016/j.jece.2022.109076","ISSN":"22133437","issue":"1","journalAbbreviation":"Journal of Environmental Chemical Engineering","language":"en","page":"109076","source":"DOI.org (Crossref)","title":"Conceptual design and techno-economic assessment of coupled hydrothermal liquefaction and aqueous phase reforming of lignocellulosic residues","volume":"11","author":[{"family":"Tito","given":"Edoardo"},{"family":"Zoppi","given":"Giulia"},{"family":"Pipitone","given":"Giuseppe"},{"family":"Miliotti","given":"Edoardo"},{"family":"Fraia","given":"Arturo Di"},{"family":"Rizzo","given":"Andrea Maria"},{"family":"Pirone","given":"Raffaele"},{"family":"Chiaramonti","given":"David"},{"family":"Bensaid","given":"Samir"}],"issued":{"date-parts":[["2023",2]]}}}],"schema":"https://github.com/citation-style-language/schema/raw/master/csl-citation.json"} </w:instrText>
      </w:r>
      <w:r w:rsidRPr="00E736EA">
        <w:fldChar w:fldCharType="separate"/>
      </w:r>
      <w:r w:rsidRPr="00E736EA">
        <w:rPr>
          <w:rFonts w:cs="Arial"/>
        </w:rPr>
        <w:t>Tito et al., 2023;</w:t>
      </w:r>
      <w:r w:rsidRPr="00E736EA">
        <w:fldChar w:fldCharType="end"/>
      </w:r>
      <w:r w:rsidRPr="00E736EA">
        <w:t xml:space="preserve"> </w:t>
      </w:r>
      <w:r w:rsidRPr="00E736EA">
        <w:fldChar w:fldCharType="begin"/>
      </w:r>
      <w:r>
        <w:instrText xml:space="preserve"> ADDIN ZOTERO_ITEM CSL_CITATION {"citationID":"OpmSnmbT","properties":{"formattedCitation":"(Giuliano et al., 2025b)","plainCitation":"(Giuliano et al., 2025b)","dontUpdate":true,"noteIndex":0},"citationItems":[{"id":4850,"uris":["http://zotero.org/users/10649518/items/2C8EQAVV"],"itemData":{"id":4850,"type":"article-journal","abstract":"An insightful methodology employing the Pareto front approach and a mixed indicator (equivalent carbon dioxide saving cost) to assess the trade-offs between economic and environmental objectives is described to design, optimize, and interpret the complex superstructure of 54 multiproduct lignocellulosic biorefineries. Through a Mixed-Integer Nonlinear Programming (MINLP) strategy, full valorization of all three biomass components is demonstrated, comparing eucalyptus residues, wheat straw, and olive pruning residues across different plant sizes (50 and 150 t/h) and product market price scenarios, considering equivalent carbon dioxide saving cost, particularly emphasizing high-value lignin products. Key results indicate that larger plant capacities and favorable prices for products such as vanillin and levulinic acid maximize economic returns, achieving a net present value of 120−130 €/t. Wheat straw demonstrates superior environmental performance, achieving 1,200−1,500 kg CO2eq savings/t. The evaluation of CO2 saving costs reveals that smaller biorefinery sizes (approximately 300−400 €/t CO2eq savings), the production of levulinic acid (around 100−200 €/t CO2eq), and phenol formaldehyde resins from lignin (approximately 300−400 €/t CO2eq) yield the most favorable results. However, our analysis suggests that it may be necessary for a significant 10-fold increment of the current carbon taxation levels to make environmentally optimal biorefinery options economically competitive. The criteria analyzed here serve as a practical tool for stakeholders, balancing profitability with sustainability in biorefinery investments.","container-title":"ACS Sustainable Chemistry &amp; Engineering","DOI":"10.1021/acssuschemeng.4c06590","ISSN":"2168-0485, 2168-0485","issue":"5","journalAbbreviation":"ACS Sustainable Chem. Eng.","language":"en","license":"https://creativecommons.org/licenses/by/4.0/","page":"1961-1973","source":"DOI.org (Crossref)","title":"Integrating Techno-Economic and Environmental Criteria in the Design and Optimization of a Full Utilization Multiproduct Lignocellulosic Biorefinery","volume":"13","author":[{"family":"Giuliano","given":"Aristide"},{"family":"Robinson Medici","given":"Ada"},{"family":"Barletta","given":"Diego"}],"issued":{"date-parts":[["2025",2,10]]}}}],"schema":"https://github.com/citation-style-language/schema/raw/master/csl-citation.json"} </w:instrText>
      </w:r>
      <w:r w:rsidRPr="00E736EA">
        <w:fldChar w:fldCharType="separate"/>
      </w:r>
      <w:r w:rsidRPr="00E736EA">
        <w:rPr>
          <w:rFonts w:cs="Arial"/>
        </w:rPr>
        <w:t xml:space="preserve">Giuliano et al., </w:t>
      </w:r>
      <w:proofErr w:type="spellStart"/>
      <w:r w:rsidRPr="00E736EA">
        <w:rPr>
          <w:rFonts w:cs="Arial"/>
        </w:rPr>
        <w:t>2025b</w:t>
      </w:r>
      <w:proofErr w:type="spellEnd"/>
      <w:r w:rsidRPr="00E736EA">
        <w:rPr>
          <w:rFonts w:cs="Arial"/>
        </w:rPr>
        <w:t>)</w:t>
      </w:r>
      <w:r w:rsidRPr="00E736EA">
        <w:fldChar w:fldCharType="end"/>
      </w:r>
    </w:p>
    <w:tbl>
      <w:tblPr>
        <w:tblW w:w="5000" w:type="pct"/>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663"/>
        <w:gridCol w:w="1663"/>
        <w:gridCol w:w="1663"/>
        <w:gridCol w:w="1659"/>
        <w:gridCol w:w="2139"/>
      </w:tblGrid>
      <w:tr w:rsidR="00B353E7" w:rsidRPr="00B57B36" w14:paraId="594CB4D6" w14:textId="77777777" w:rsidTr="007F7F7D">
        <w:trPr>
          <w:jc w:val="center"/>
        </w:trPr>
        <w:tc>
          <w:tcPr>
            <w:tcW w:w="946" w:type="pct"/>
            <w:tcBorders>
              <w:top w:val="single" w:sz="12" w:space="0" w:color="008000"/>
              <w:bottom w:val="single" w:sz="6" w:space="0" w:color="008000"/>
            </w:tcBorders>
            <w:shd w:val="clear" w:color="auto" w:fill="FFFFFF"/>
          </w:tcPr>
          <w:p w14:paraId="7C7929AA" w14:textId="77777777" w:rsidR="00B353E7" w:rsidRPr="00B57B36" w:rsidRDefault="00B353E7" w:rsidP="007F7F7D">
            <w:pPr>
              <w:pStyle w:val="CETBodytext"/>
              <w:jc w:val="center"/>
              <w:rPr>
                <w:lang w:val="en-GB"/>
              </w:rPr>
            </w:pPr>
            <w:r w:rsidRPr="002F4090">
              <w:t>Type</w:t>
            </w:r>
          </w:p>
        </w:tc>
        <w:tc>
          <w:tcPr>
            <w:tcW w:w="946" w:type="pct"/>
            <w:tcBorders>
              <w:top w:val="single" w:sz="12" w:space="0" w:color="008000"/>
              <w:bottom w:val="single" w:sz="6" w:space="0" w:color="008000"/>
            </w:tcBorders>
            <w:shd w:val="clear" w:color="auto" w:fill="FFFFFF"/>
          </w:tcPr>
          <w:p w14:paraId="4F405C90" w14:textId="77777777" w:rsidR="00B353E7" w:rsidRPr="00B57B36" w:rsidRDefault="00B353E7" w:rsidP="007F7F7D">
            <w:pPr>
              <w:pStyle w:val="CETBodytext"/>
              <w:jc w:val="center"/>
              <w:rPr>
                <w:lang w:val="en-GB"/>
              </w:rPr>
            </w:pPr>
            <w:r w:rsidRPr="002F4090">
              <w:t>MW Biofuel (kg/</w:t>
            </w:r>
            <w:proofErr w:type="spellStart"/>
            <w:r w:rsidRPr="002F4090">
              <w:t>kmol</w:t>
            </w:r>
            <w:proofErr w:type="spellEnd"/>
            <w:r w:rsidRPr="002F4090">
              <w:t>)</w:t>
            </w:r>
          </w:p>
        </w:tc>
        <w:tc>
          <w:tcPr>
            <w:tcW w:w="946" w:type="pct"/>
            <w:tcBorders>
              <w:top w:val="single" w:sz="12" w:space="0" w:color="008000"/>
              <w:bottom w:val="single" w:sz="6" w:space="0" w:color="008000"/>
            </w:tcBorders>
            <w:shd w:val="clear" w:color="auto" w:fill="FFFFFF"/>
          </w:tcPr>
          <w:p w14:paraId="732BD940" w14:textId="77777777" w:rsidR="00B353E7" w:rsidRDefault="00B353E7" w:rsidP="007F7F7D">
            <w:pPr>
              <w:pStyle w:val="CETBodytext"/>
              <w:ind w:right="-1"/>
              <w:jc w:val="center"/>
            </w:pPr>
            <w:r w:rsidRPr="00B233C5">
              <w:t>C</w:t>
            </w:r>
            <w:r>
              <w:t xml:space="preserve">arbon </w:t>
            </w:r>
            <w:r w:rsidRPr="00B233C5">
              <w:t>in</w:t>
            </w:r>
            <w:r>
              <w:t>to the</w:t>
            </w:r>
            <w:r w:rsidRPr="00B233C5">
              <w:t xml:space="preserve"> </w:t>
            </w:r>
            <w:r>
              <w:t>Fuel</w:t>
            </w:r>
          </w:p>
          <w:p w14:paraId="743A5D64" w14:textId="77777777" w:rsidR="00B353E7" w:rsidRPr="00B57B36" w:rsidRDefault="00B353E7" w:rsidP="007F7F7D">
            <w:pPr>
              <w:pStyle w:val="CETBodytext"/>
              <w:jc w:val="center"/>
              <w:rPr>
                <w:lang w:val="en-GB"/>
              </w:rPr>
            </w:pPr>
            <w:r w:rsidRPr="00B233C5">
              <w:t>(</w:t>
            </w:r>
            <w:proofErr w:type="spellStart"/>
            <w:r w:rsidRPr="00B233C5">
              <w:t>kmolC</w:t>
            </w:r>
            <w:proofErr w:type="spellEnd"/>
            <w:r w:rsidRPr="00B233C5">
              <w:t>/</w:t>
            </w:r>
            <w:proofErr w:type="spellStart"/>
            <w:r w:rsidRPr="00B233C5">
              <w:t>t</w:t>
            </w:r>
            <w:r w:rsidRPr="00275757">
              <w:rPr>
                <w:vertAlign w:val="subscript"/>
              </w:rPr>
              <w:t>DRY</w:t>
            </w:r>
            <w:proofErr w:type="spellEnd"/>
            <w:r w:rsidRPr="00B233C5">
              <w:t>)</w:t>
            </w:r>
          </w:p>
        </w:tc>
        <w:tc>
          <w:tcPr>
            <w:tcW w:w="944" w:type="pct"/>
            <w:tcBorders>
              <w:top w:val="single" w:sz="12" w:space="0" w:color="008000"/>
              <w:bottom w:val="single" w:sz="6" w:space="0" w:color="008000"/>
            </w:tcBorders>
            <w:shd w:val="clear" w:color="auto" w:fill="FFFFFF"/>
          </w:tcPr>
          <w:p w14:paraId="7E1DA9F4" w14:textId="77777777" w:rsidR="00B353E7" w:rsidRPr="00B57B36" w:rsidRDefault="00B353E7" w:rsidP="007F7F7D">
            <w:pPr>
              <w:pStyle w:val="CETBodytext"/>
              <w:ind w:right="-1"/>
              <w:jc w:val="center"/>
              <w:rPr>
                <w:rFonts w:cs="Arial"/>
                <w:szCs w:val="18"/>
                <w:lang w:val="en-GB"/>
              </w:rPr>
            </w:pPr>
            <w:r w:rsidRPr="002F4090">
              <w:t>LHV (MJ/kg)</w:t>
            </w:r>
          </w:p>
        </w:tc>
        <w:tc>
          <w:tcPr>
            <w:tcW w:w="1217" w:type="pct"/>
            <w:tcBorders>
              <w:top w:val="single" w:sz="12" w:space="0" w:color="008000"/>
              <w:bottom w:val="single" w:sz="6" w:space="0" w:color="008000"/>
            </w:tcBorders>
            <w:shd w:val="clear" w:color="auto" w:fill="FFFFFF"/>
          </w:tcPr>
          <w:p w14:paraId="530DF3BE" w14:textId="77777777" w:rsidR="00B353E7" w:rsidRPr="00B57B36" w:rsidRDefault="00B353E7" w:rsidP="007F7F7D">
            <w:pPr>
              <w:pStyle w:val="CETBodytext"/>
              <w:ind w:right="-1"/>
              <w:jc w:val="center"/>
              <w:rPr>
                <w:rFonts w:cs="Arial"/>
                <w:szCs w:val="18"/>
                <w:lang w:val="en-GB"/>
              </w:rPr>
            </w:pPr>
            <w:r w:rsidRPr="002F4090">
              <w:t>End life emissions (</w:t>
            </w:r>
            <w:proofErr w:type="spellStart"/>
            <w:r w:rsidRPr="002F4090">
              <w:t>kg</w:t>
            </w:r>
            <w:r w:rsidRPr="00E2549F">
              <w:rPr>
                <w:vertAlign w:val="subscript"/>
              </w:rPr>
              <w:t>CO2</w:t>
            </w:r>
            <w:proofErr w:type="spellEnd"/>
            <w:r w:rsidRPr="002F4090">
              <w:t>/kg)</w:t>
            </w:r>
          </w:p>
        </w:tc>
      </w:tr>
      <w:tr w:rsidR="00B353E7" w:rsidRPr="00B57B36" w14:paraId="459D26A3" w14:textId="77777777" w:rsidTr="007F7F7D">
        <w:trPr>
          <w:jc w:val="center"/>
        </w:trPr>
        <w:tc>
          <w:tcPr>
            <w:tcW w:w="946" w:type="pct"/>
            <w:shd w:val="clear" w:color="auto" w:fill="FFFFFF"/>
          </w:tcPr>
          <w:p w14:paraId="6EC25666" w14:textId="77777777" w:rsidR="00B353E7" w:rsidRPr="00B57B36" w:rsidRDefault="00B353E7" w:rsidP="007F7F7D">
            <w:pPr>
              <w:pStyle w:val="CETBodytext"/>
              <w:jc w:val="left"/>
              <w:rPr>
                <w:lang w:val="en-GB"/>
              </w:rPr>
            </w:pPr>
            <w:proofErr w:type="spellStart"/>
            <w:r w:rsidRPr="002F4090">
              <w:t>HEFA</w:t>
            </w:r>
            <w:proofErr w:type="spellEnd"/>
          </w:p>
        </w:tc>
        <w:tc>
          <w:tcPr>
            <w:tcW w:w="946" w:type="pct"/>
            <w:shd w:val="clear" w:color="auto" w:fill="FFFFFF"/>
          </w:tcPr>
          <w:p w14:paraId="30796D09" w14:textId="77777777" w:rsidR="00B353E7" w:rsidRPr="00B57B36" w:rsidRDefault="00B353E7" w:rsidP="007F7F7D">
            <w:pPr>
              <w:pStyle w:val="CETBodytext"/>
              <w:jc w:val="center"/>
              <w:rPr>
                <w:lang w:val="en-GB"/>
              </w:rPr>
            </w:pPr>
            <w:r w:rsidRPr="002F4090">
              <w:t>212</w:t>
            </w:r>
          </w:p>
        </w:tc>
        <w:tc>
          <w:tcPr>
            <w:tcW w:w="946" w:type="pct"/>
            <w:shd w:val="clear" w:color="auto" w:fill="FFFFFF"/>
          </w:tcPr>
          <w:p w14:paraId="3D58ADFD" w14:textId="77777777" w:rsidR="00B353E7" w:rsidRPr="00B57B36" w:rsidRDefault="00B353E7" w:rsidP="007F7F7D">
            <w:pPr>
              <w:pStyle w:val="CETBodytext"/>
              <w:jc w:val="center"/>
              <w:rPr>
                <w:lang w:val="en-GB"/>
              </w:rPr>
            </w:pPr>
            <w:r w:rsidRPr="002F4090">
              <w:t>71.0</w:t>
            </w:r>
          </w:p>
        </w:tc>
        <w:tc>
          <w:tcPr>
            <w:tcW w:w="944" w:type="pct"/>
            <w:shd w:val="clear" w:color="auto" w:fill="FFFFFF"/>
          </w:tcPr>
          <w:p w14:paraId="0E1793D6" w14:textId="77777777" w:rsidR="00B353E7" w:rsidRPr="00B57B36" w:rsidRDefault="00B353E7" w:rsidP="007F7F7D">
            <w:pPr>
              <w:pStyle w:val="CETBodytext"/>
              <w:ind w:right="-1"/>
              <w:jc w:val="center"/>
              <w:rPr>
                <w:rFonts w:cs="Arial"/>
                <w:szCs w:val="18"/>
                <w:lang w:val="en-GB"/>
              </w:rPr>
            </w:pPr>
            <w:r w:rsidRPr="002F4090">
              <w:t>44.0</w:t>
            </w:r>
          </w:p>
        </w:tc>
        <w:tc>
          <w:tcPr>
            <w:tcW w:w="1217" w:type="pct"/>
            <w:shd w:val="clear" w:color="auto" w:fill="FFFFFF"/>
          </w:tcPr>
          <w:p w14:paraId="398F32D0" w14:textId="77777777" w:rsidR="00B353E7" w:rsidRPr="00B57B36" w:rsidRDefault="00B353E7" w:rsidP="007F7F7D">
            <w:pPr>
              <w:pStyle w:val="CETBodytext"/>
              <w:ind w:right="-1"/>
              <w:jc w:val="center"/>
              <w:rPr>
                <w:rFonts w:cs="Arial"/>
                <w:szCs w:val="18"/>
                <w:lang w:val="en-GB"/>
              </w:rPr>
            </w:pPr>
            <w:r w:rsidRPr="002F4090">
              <w:t>3.1</w:t>
            </w:r>
          </w:p>
        </w:tc>
      </w:tr>
      <w:tr w:rsidR="00B353E7" w:rsidRPr="00B57B36" w14:paraId="22B7874F" w14:textId="77777777" w:rsidTr="007F7F7D">
        <w:trPr>
          <w:jc w:val="center"/>
        </w:trPr>
        <w:tc>
          <w:tcPr>
            <w:tcW w:w="946" w:type="pct"/>
            <w:shd w:val="clear" w:color="auto" w:fill="FFFFFF"/>
          </w:tcPr>
          <w:p w14:paraId="38E00339" w14:textId="77777777" w:rsidR="00B353E7" w:rsidRPr="00B57B36" w:rsidRDefault="00B353E7" w:rsidP="007F7F7D">
            <w:pPr>
              <w:pStyle w:val="CETBodytext"/>
              <w:jc w:val="left"/>
              <w:rPr>
                <w:lang w:val="en-GB"/>
              </w:rPr>
            </w:pPr>
            <w:r w:rsidRPr="002F4090">
              <w:t>FAME</w:t>
            </w:r>
          </w:p>
        </w:tc>
        <w:tc>
          <w:tcPr>
            <w:tcW w:w="946" w:type="pct"/>
            <w:shd w:val="clear" w:color="auto" w:fill="FFFFFF"/>
          </w:tcPr>
          <w:p w14:paraId="04E86A8B" w14:textId="77777777" w:rsidR="00B353E7" w:rsidRPr="00B57B36" w:rsidRDefault="00B353E7" w:rsidP="007F7F7D">
            <w:pPr>
              <w:pStyle w:val="CETBodytext"/>
              <w:jc w:val="center"/>
              <w:rPr>
                <w:lang w:val="en-GB"/>
              </w:rPr>
            </w:pPr>
            <w:r w:rsidRPr="002F4090">
              <w:t>288</w:t>
            </w:r>
          </w:p>
        </w:tc>
        <w:tc>
          <w:tcPr>
            <w:tcW w:w="946" w:type="pct"/>
            <w:shd w:val="clear" w:color="auto" w:fill="FFFFFF"/>
          </w:tcPr>
          <w:p w14:paraId="634BF8E3" w14:textId="77777777" w:rsidR="00B353E7" w:rsidRPr="00B57B36" w:rsidRDefault="00B353E7" w:rsidP="007F7F7D">
            <w:pPr>
              <w:pStyle w:val="CETBodytext"/>
              <w:jc w:val="center"/>
              <w:rPr>
                <w:lang w:val="en-GB"/>
              </w:rPr>
            </w:pPr>
            <w:r w:rsidRPr="002F4090">
              <w:t>62.0</w:t>
            </w:r>
          </w:p>
        </w:tc>
        <w:tc>
          <w:tcPr>
            <w:tcW w:w="944" w:type="pct"/>
            <w:shd w:val="clear" w:color="auto" w:fill="FFFFFF"/>
          </w:tcPr>
          <w:p w14:paraId="7498049D" w14:textId="77777777" w:rsidR="00B353E7" w:rsidRPr="00B57B36" w:rsidRDefault="00B353E7" w:rsidP="007F7F7D">
            <w:pPr>
              <w:pStyle w:val="CETBodytext"/>
              <w:ind w:right="-1"/>
              <w:jc w:val="center"/>
              <w:rPr>
                <w:rFonts w:cs="Arial"/>
                <w:szCs w:val="18"/>
                <w:lang w:val="en-GB"/>
              </w:rPr>
            </w:pPr>
            <w:r w:rsidRPr="002F4090">
              <w:t>37.0</w:t>
            </w:r>
          </w:p>
        </w:tc>
        <w:tc>
          <w:tcPr>
            <w:tcW w:w="1217" w:type="pct"/>
            <w:shd w:val="clear" w:color="auto" w:fill="FFFFFF"/>
          </w:tcPr>
          <w:p w14:paraId="06F5E74F" w14:textId="77777777" w:rsidR="00B353E7" w:rsidRPr="00B57B36" w:rsidRDefault="00B353E7" w:rsidP="007F7F7D">
            <w:pPr>
              <w:pStyle w:val="CETBodytext"/>
              <w:ind w:right="-1"/>
              <w:jc w:val="center"/>
              <w:rPr>
                <w:rFonts w:cs="Arial"/>
                <w:szCs w:val="18"/>
                <w:lang w:val="en-GB"/>
              </w:rPr>
            </w:pPr>
            <w:r w:rsidRPr="002F4090">
              <w:t>2.7</w:t>
            </w:r>
          </w:p>
        </w:tc>
      </w:tr>
      <w:tr w:rsidR="00B353E7" w:rsidRPr="00B57B36" w14:paraId="383CFF39" w14:textId="77777777" w:rsidTr="007F7F7D">
        <w:trPr>
          <w:jc w:val="center"/>
        </w:trPr>
        <w:tc>
          <w:tcPr>
            <w:tcW w:w="946" w:type="pct"/>
            <w:shd w:val="clear" w:color="auto" w:fill="FFFFFF"/>
          </w:tcPr>
          <w:p w14:paraId="75CEB1B8" w14:textId="77777777" w:rsidR="00B353E7" w:rsidRPr="00B233C5" w:rsidRDefault="00B353E7" w:rsidP="007F7F7D">
            <w:pPr>
              <w:pStyle w:val="CETBodytext"/>
              <w:jc w:val="left"/>
            </w:pPr>
            <w:r w:rsidRPr="002F4090">
              <w:t>Methanol</w:t>
            </w:r>
          </w:p>
        </w:tc>
        <w:tc>
          <w:tcPr>
            <w:tcW w:w="946" w:type="pct"/>
            <w:shd w:val="clear" w:color="auto" w:fill="FFFFFF"/>
          </w:tcPr>
          <w:p w14:paraId="1584DFC0" w14:textId="77777777" w:rsidR="00B353E7" w:rsidRPr="00B233C5" w:rsidRDefault="00B353E7" w:rsidP="007F7F7D">
            <w:pPr>
              <w:pStyle w:val="CETBodytext"/>
              <w:jc w:val="center"/>
            </w:pPr>
            <w:r w:rsidRPr="002F4090">
              <w:t>32</w:t>
            </w:r>
          </w:p>
        </w:tc>
        <w:tc>
          <w:tcPr>
            <w:tcW w:w="946" w:type="pct"/>
            <w:shd w:val="clear" w:color="auto" w:fill="FFFFFF"/>
          </w:tcPr>
          <w:p w14:paraId="25887EA0" w14:textId="77777777" w:rsidR="00B353E7" w:rsidRPr="00B233C5" w:rsidRDefault="00B353E7" w:rsidP="007F7F7D">
            <w:pPr>
              <w:pStyle w:val="CETBodytext"/>
              <w:jc w:val="center"/>
            </w:pPr>
            <w:r w:rsidRPr="002F4090">
              <w:t>31.3</w:t>
            </w:r>
          </w:p>
        </w:tc>
        <w:tc>
          <w:tcPr>
            <w:tcW w:w="944" w:type="pct"/>
            <w:shd w:val="clear" w:color="auto" w:fill="FFFFFF"/>
          </w:tcPr>
          <w:p w14:paraId="006E8A9C" w14:textId="77777777" w:rsidR="00B353E7" w:rsidRPr="00B233C5" w:rsidRDefault="00B353E7" w:rsidP="007F7F7D">
            <w:pPr>
              <w:pStyle w:val="CETBodytext"/>
              <w:ind w:right="-1"/>
              <w:jc w:val="center"/>
            </w:pPr>
            <w:r w:rsidRPr="002F4090">
              <w:t>19.9</w:t>
            </w:r>
          </w:p>
        </w:tc>
        <w:tc>
          <w:tcPr>
            <w:tcW w:w="1217" w:type="pct"/>
            <w:shd w:val="clear" w:color="auto" w:fill="FFFFFF"/>
          </w:tcPr>
          <w:p w14:paraId="2BC824EA" w14:textId="77777777" w:rsidR="00B353E7" w:rsidRPr="00B233C5" w:rsidRDefault="00B353E7" w:rsidP="007F7F7D">
            <w:pPr>
              <w:pStyle w:val="CETBodytext"/>
              <w:ind w:right="-1"/>
              <w:jc w:val="center"/>
            </w:pPr>
            <w:r w:rsidRPr="002F4090">
              <w:t>1.4</w:t>
            </w:r>
          </w:p>
        </w:tc>
      </w:tr>
      <w:tr w:rsidR="00B353E7" w:rsidRPr="00B57B36" w14:paraId="5F9E8608" w14:textId="77777777" w:rsidTr="007F7F7D">
        <w:trPr>
          <w:jc w:val="center"/>
        </w:trPr>
        <w:tc>
          <w:tcPr>
            <w:tcW w:w="946" w:type="pct"/>
            <w:shd w:val="clear" w:color="auto" w:fill="FFFFFF"/>
          </w:tcPr>
          <w:p w14:paraId="1718075D" w14:textId="77777777" w:rsidR="00B353E7" w:rsidRPr="00B57B36" w:rsidRDefault="00B353E7" w:rsidP="007F7F7D">
            <w:pPr>
              <w:pStyle w:val="CETBodytext"/>
              <w:jc w:val="left"/>
              <w:rPr>
                <w:lang w:val="en-GB"/>
              </w:rPr>
            </w:pPr>
            <w:r w:rsidRPr="002F4090">
              <w:t>Ethanol</w:t>
            </w:r>
          </w:p>
        </w:tc>
        <w:tc>
          <w:tcPr>
            <w:tcW w:w="946" w:type="pct"/>
            <w:shd w:val="clear" w:color="auto" w:fill="FFFFFF"/>
          </w:tcPr>
          <w:p w14:paraId="0FDF27E5" w14:textId="77777777" w:rsidR="00B353E7" w:rsidRPr="00B57B36" w:rsidRDefault="00B353E7" w:rsidP="007F7F7D">
            <w:pPr>
              <w:pStyle w:val="CETBodytext"/>
              <w:jc w:val="center"/>
              <w:rPr>
                <w:lang w:val="en-GB"/>
              </w:rPr>
            </w:pPr>
            <w:r w:rsidRPr="002F4090">
              <w:t>46</w:t>
            </w:r>
          </w:p>
        </w:tc>
        <w:tc>
          <w:tcPr>
            <w:tcW w:w="946" w:type="pct"/>
            <w:shd w:val="clear" w:color="auto" w:fill="FFFFFF"/>
          </w:tcPr>
          <w:p w14:paraId="7F0A3D00" w14:textId="77777777" w:rsidR="00B353E7" w:rsidRPr="00B57B36" w:rsidRDefault="00B353E7" w:rsidP="007F7F7D">
            <w:pPr>
              <w:pStyle w:val="CETBodytext"/>
              <w:jc w:val="center"/>
              <w:rPr>
                <w:lang w:val="en-GB"/>
              </w:rPr>
            </w:pPr>
            <w:r w:rsidRPr="002F4090">
              <w:t>43.5</w:t>
            </w:r>
          </w:p>
        </w:tc>
        <w:tc>
          <w:tcPr>
            <w:tcW w:w="944" w:type="pct"/>
            <w:shd w:val="clear" w:color="auto" w:fill="FFFFFF"/>
          </w:tcPr>
          <w:p w14:paraId="46D32DC6" w14:textId="77777777" w:rsidR="00B353E7" w:rsidRPr="00B57B36" w:rsidRDefault="00B353E7" w:rsidP="007F7F7D">
            <w:pPr>
              <w:pStyle w:val="CETBodytext"/>
              <w:ind w:right="-1"/>
              <w:jc w:val="center"/>
              <w:rPr>
                <w:rFonts w:cs="Arial"/>
                <w:szCs w:val="18"/>
                <w:lang w:val="en-GB"/>
              </w:rPr>
            </w:pPr>
            <w:r w:rsidRPr="002F4090">
              <w:t>26.0</w:t>
            </w:r>
          </w:p>
        </w:tc>
        <w:tc>
          <w:tcPr>
            <w:tcW w:w="1217" w:type="pct"/>
            <w:shd w:val="clear" w:color="auto" w:fill="FFFFFF"/>
          </w:tcPr>
          <w:p w14:paraId="2E8FD9AD" w14:textId="77777777" w:rsidR="00B353E7" w:rsidRPr="00B57B36" w:rsidRDefault="00B353E7" w:rsidP="007F7F7D">
            <w:pPr>
              <w:pStyle w:val="CETBodytext"/>
              <w:ind w:right="-1"/>
              <w:jc w:val="center"/>
              <w:rPr>
                <w:rFonts w:cs="Arial"/>
                <w:szCs w:val="18"/>
                <w:lang w:val="en-GB"/>
              </w:rPr>
            </w:pPr>
            <w:r w:rsidRPr="002F4090">
              <w:t>1.9</w:t>
            </w:r>
          </w:p>
        </w:tc>
      </w:tr>
      <w:tr w:rsidR="00B353E7" w:rsidRPr="00B57B36" w14:paraId="10D80F8A" w14:textId="77777777" w:rsidTr="007F7F7D">
        <w:trPr>
          <w:jc w:val="center"/>
        </w:trPr>
        <w:tc>
          <w:tcPr>
            <w:tcW w:w="946" w:type="pct"/>
            <w:shd w:val="clear" w:color="auto" w:fill="FFFFFF"/>
          </w:tcPr>
          <w:p w14:paraId="5F88C5FC" w14:textId="77777777" w:rsidR="00B353E7" w:rsidRPr="00B233C5" w:rsidRDefault="00B353E7" w:rsidP="007F7F7D">
            <w:pPr>
              <w:pStyle w:val="CETBodytext"/>
              <w:jc w:val="left"/>
            </w:pPr>
            <w:r w:rsidRPr="002F4090">
              <w:t>Biocrude</w:t>
            </w:r>
          </w:p>
        </w:tc>
        <w:tc>
          <w:tcPr>
            <w:tcW w:w="946" w:type="pct"/>
            <w:shd w:val="clear" w:color="auto" w:fill="FFFFFF"/>
          </w:tcPr>
          <w:p w14:paraId="1D202FAA" w14:textId="77777777" w:rsidR="00B353E7" w:rsidRPr="00B233C5" w:rsidRDefault="00B353E7" w:rsidP="007F7F7D">
            <w:pPr>
              <w:pStyle w:val="CETBodytext"/>
              <w:jc w:val="center"/>
            </w:pPr>
            <w:r w:rsidRPr="002F4090">
              <w:t>-</w:t>
            </w:r>
          </w:p>
        </w:tc>
        <w:tc>
          <w:tcPr>
            <w:tcW w:w="946" w:type="pct"/>
            <w:shd w:val="clear" w:color="auto" w:fill="FFFFFF"/>
          </w:tcPr>
          <w:p w14:paraId="76D13B6F" w14:textId="77777777" w:rsidR="00B353E7" w:rsidRPr="00B233C5" w:rsidRDefault="00B353E7" w:rsidP="007F7F7D">
            <w:pPr>
              <w:pStyle w:val="CETBodytext"/>
              <w:jc w:val="center"/>
            </w:pPr>
            <w:r w:rsidRPr="002F4090">
              <w:t>61.1</w:t>
            </w:r>
          </w:p>
        </w:tc>
        <w:tc>
          <w:tcPr>
            <w:tcW w:w="944" w:type="pct"/>
            <w:shd w:val="clear" w:color="auto" w:fill="FFFFFF"/>
          </w:tcPr>
          <w:p w14:paraId="53E217BF" w14:textId="77777777" w:rsidR="00B353E7" w:rsidRPr="00B233C5" w:rsidRDefault="00B353E7" w:rsidP="007F7F7D">
            <w:pPr>
              <w:pStyle w:val="CETBodytext"/>
              <w:ind w:right="-1"/>
              <w:jc w:val="center"/>
            </w:pPr>
            <w:r w:rsidRPr="002F4090">
              <w:t>33.2</w:t>
            </w:r>
          </w:p>
        </w:tc>
        <w:tc>
          <w:tcPr>
            <w:tcW w:w="1217" w:type="pct"/>
            <w:shd w:val="clear" w:color="auto" w:fill="FFFFFF"/>
          </w:tcPr>
          <w:p w14:paraId="23B5CF22" w14:textId="77777777" w:rsidR="00B353E7" w:rsidRPr="00B233C5" w:rsidRDefault="00B353E7" w:rsidP="007F7F7D">
            <w:pPr>
              <w:pStyle w:val="CETBodytext"/>
              <w:ind w:right="-1"/>
              <w:jc w:val="center"/>
            </w:pPr>
            <w:r w:rsidRPr="002F4090">
              <w:t>2.7</w:t>
            </w:r>
          </w:p>
        </w:tc>
      </w:tr>
      <w:tr w:rsidR="00B353E7" w:rsidRPr="00B57B36" w14:paraId="5B2E8D64" w14:textId="77777777" w:rsidTr="007F7F7D">
        <w:trPr>
          <w:jc w:val="center"/>
        </w:trPr>
        <w:tc>
          <w:tcPr>
            <w:tcW w:w="946" w:type="pct"/>
            <w:shd w:val="clear" w:color="auto" w:fill="FFFFFF"/>
          </w:tcPr>
          <w:p w14:paraId="4BD8DFD9" w14:textId="77777777" w:rsidR="00B353E7" w:rsidRPr="00B57B36" w:rsidRDefault="00B353E7" w:rsidP="007F7F7D">
            <w:pPr>
              <w:pStyle w:val="CETBodytext"/>
              <w:ind w:right="-1"/>
              <w:jc w:val="left"/>
              <w:rPr>
                <w:rFonts w:cs="Arial"/>
                <w:szCs w:val="18"/>
                <w:lang w:val="en-GB"/>
              </w:rPr>
            </w:pPr>
            <w:r w:rsidRPr="002F4090">
              <w:t>Pyro-oil</w:t>
            </w:r>
          </w:p>
        </w:tc>
        <w:tc>
          <w:tcPr>
            <w:tcW w:w="946" w:type="pct"/>
            <w:shd w:val="clear" w:color="auto" w:fill="FFFFFF"/>
          </w:tcPr>
          <w:p w14:paraId="5A1062F2" w14:textId="77777777" w:rsidR="00B353E7" w:rsidRPr="00B57B36" w:rsidRDefault="00B353E7" w:rsidP="007F7F7D">
            <w:pPr>
              <w:pStyle w:val="CETBodytext"/>
              <w:ind w:right="-1"/>
              <w:jc w:val="center"/>
              <w:rPr>
                <w:rFonts w:cs="Arial"/>
                <w:szCs w:val="18"/>
                <w:lang w:val="en-GB"/>
              </w:rPr>
            </w:pPr>
            <w:r w:rsidRPr="002F4090">
              <w:t>-</w:t>
            </w:r>
          </w:p>
        </w:tc>
        <w:tc>
          <w:tcPr>
            <w:tcW w:w="946" w:type="pct"/>
            <w:shd w:val="clear" w:color="auto" w:fill="FFFFFF"/>
          </w:tcPr>
          <w:p w14:paraId="41B0B2F5" w14:textId="77777777" w:rsidR="00B353E7" w:rsidRPr="00B57B36" w:rsidRDefault="00B353E7" w:rsidP="007F7F7D">
            <w:pPr>
              <w:pStyle w:val="CETBodytext"/>
              <w:ind w:right="-1"/>
              <w:jc w:val="center"/>
              <w:rPr>
                <w:rFonts w:cs="Arial"/>
                <w:szCs w:val="18"/>
                <w:lang w:val="en-GB"/>
              </w:rPr>
            </w:pPr>
            <w:r w:rsidRPr="002F4090">
              <w:t>54.2</w:t>
            </w:r>
          </w:p>
        </w:tc>
        <w:tc>
          <w:tcPr>
            <w:tcW w:w="944" w:type="pct"/>
            <w:shd w:val="clear" w:color="auto" w:fill="FFFFFF"/>
          </w:tcPr>
          <w:p w14:paraId="32CE4110" w14:textId="77777777" w:rsidR="00B353E7" w:rsidRPr="00B57B36" w:rsidRDefault="00B353E7" w:rsidP="007F7F7D">
            <w:pPr>
              <w:pStyle w:val="CETBodytext"/>
              <w:ind w:right="-1"/>
              <w:jc w:val="center"/>
              <w:rPr>
                <w:rFonts w:cs="Arial"/>
                <w:szCs w:val="18"/>
                <w:lang w:val="en-GB"/>
              </w:rPr>
            </w:pPr>
            <w:r w:rsidRPr="002F4090">
              <w:t>30.0</w:t>
            </w:r>
          </w:p>
        </w:tc>
        <w:tc>
          <w:tcPr>
            <w:tcW w:w="1217" w:type="pct"/>
            <w:shd w:val="clear" w:color="auto" w:fill="FFFFFF"/>
          </w:tcPr>
          <w:p w14:paraId="2DA2D768" w14:textId="77777777" w:rsidR="00B353E7" w:rsidRPr="00B57B36" w:rsidRDefault="00B353E7" w:rsidP="007F7F7D">
            <w:pPr>
              <w:pStyle w:val="CETBodytext"/>
              <w:ind w:right="-1"/>
              <w:jc w:val="center"/>
              <w:rPr>
                <w:rFonts w:cs="Arial"/>
                <w:szCs w:val="18"/>
                <w:lang w:val="en-GB"/>
              </w:rPr>
            </w:pPr>
            <w:r w:rsidRPr="002F4090">
              <w:t>2.4</w:t>
            </w:r>
          </w:p>
        </w:tc>
      </w:tr>
    </w:tbl>
    <w:p w14:paraId="18BAFA6F" w14:textId="6D7279B5" w:rsidR="00453E24" w:rsidRPr="00B57B36" w:rsidRDefault="00C46F05" w:rsidP="00453E24">
      <w:pPr>
        <w:pStyle w:val="CETheadingx"/>
      </w:pPr>
      <w:r>
        <w:t xml:space="preserve">Data </w:t>
      </w:r>
      <w:r w:rsidR="003A69CE" w:rsidRPr="003A69CE">
        <w:t>Sources and Processing</w:t>
      </w:r>
    </w:p>
    <w:p w14:paraId="4D162ADD" w14:textId="77777777" w:rsidR="00B5334B" w:rsidRDefault="00A476E4" w:rsidP="000467CC">
      <w:pPr>
        <w:pStyle w:val="CETBodytext"/>
      </w:pPr>
      <w:r w:rsidRPr="007818C6">
        <w:t xml:space="preserve">Table 1 provides a comprehensive dataset of feedstocks studied for biorefineries, structured to facilitate comparative analyses on versatility, scalability, and economic-environmental sustainability. It catalogs representative feedstocks for liquid biofuel biorefineries, differentiated by chemical category: vegetable oils (from dedicated crops or waste cooking oil), first-generation sugars, and </w:t>
      </w:r>
      <w:proofErr w:type="spellStart"/>
      <w:r w:rsidRPr="007818C6">
        <w:t>lignocellulosics</w:t>
      </w:r>
      <w:proofErr w:type="spellEnd"/>
      <w:r w:rsidRPr="007818C6">
        <w:t xml:space="preserve"> subdivided into crops, wastes/residues, and high-water-content materials. For each feedstock, capacity ranges (kt/year on dry basis) of existing or scaled biorefineries are indicated, reflecting logistical and supply constraints: from small scale for wet/local wastes to medium/large for dedicated crops with structured supply chains. Supply costs (including production, collection, transport, and any shredding pretreatments) distinguish high-value feedstocks (oils from crops) from low-cost ones (lignocellulosic residues). Supply emissions (cradle-to-gate), molar carbon content, and dry-basis LHV are also reported. Oils stand out for high C content and calorific value (ideal for energy-dense biofuels), while </w:t>
      </w:r>
      <w:proofErr w:type="spellStart"/>
      <w:r w:rsidRPr="007818C6">
        <w:t>lignocellulosics</w:t>
      </w:r>
      <w:proofErr w:type="spellEnd"/>
      <w:r w:rsidRPr="007818C6">
        <w:t xml:space="preserve"> and sugars offer moderate values but potentially high volumes, with emissions decreasing from crops to residues or high-moisture materials. This structure enables rapid screening for techno-economic assessments and preliminary environmental evaluations in biorefinery design</w:t>
      </w:r>
      <w:r w:rsidR="00E42ECE">
        <w:t xml:space="preserve"> also by using data and approach of </w:t>
      </w:r>
      <w:r w:rsidR="00E42ECE">
        <w:fldChar w:fldCharType="begin"/>
      </w:r>
      <w:r w:rsidR="00E42ECE">
        <w:instrText xml:space="preserve"> ADDIN ZOTERO_ITEM CSL_CITATION {"citationID":"YCPjxt8Y","properties":{"formattedCitation":"(Giuliano et al., 2024)","plainCitation":"(Giuliano et al., 2024)","noteIndex":0},"citationItems":[{"id":3871,"uris":["http://zotero.org/users/10649518/items/4L2AKSPY"],"itemData":{"id":3871,"type":"article-journal","abstract":"To achieve sustainable development, the transition from a fossil-based economy to a circular economy is essential. The use of renewable energy sources to make the overall carbon foot print more favorable is an important pre-requisite. In this context, it is crucial to valorize all renewable resources through an optimized local integration. One opportunity arises through the synergy between bioresources and green hydrogen. Through techno-economic assessments, this work analyzes four local case studies that integrate bio-based processes with green hydrogen produced via electrolysis using renewable energy sources. An analysis of the use of webGIS tools (i.e., Atlas of Biorefineries of IEA Bioenergy) to identify existing biorefineries that require hydrogen in relation to territories with a potential availability of green hydrogen, has never been conducted before. This paper provides an evaluation of the production costs of the target products as a function of the local green hydrogen supply costs. The results revealed that the impact of green hydrogen costs could vary widely, ranging from 1% to 95% of the total production costs, depending on the bio-based target product evaluated. Additionally, hydrogen demand in the target area could require an installed variable renewable energy capacity of 20 MW and 500 MW. On the whole, the local integration of biorefineries and green hydrogen could represent an optimal opportunity to make hydrogenated bio-based products 100% renewable.","container-title":"Energies","DOI":"10.3390/en17235966","ISSN":"1996-1073","issue":"23","journalAbbreviation":"Energies","language":"en","license":"https://creativecommons.org/licenses/by/4.0/","page":"5966","source":"DOI.org (Crossref)","title":"Techno-Economic Analysis of Territorial Case Studies for the Integration of Biorefineries and Green Hydrogen","volume":"17","author":[{"family":"Giuliano","given":"Aristide"},{"family":"Stichnothe","given":"Heinz"},{"family":"Pierro","given":"Nicola"},{"family":"De Bari","given":"Isabella"}],"issued":{"date-parts":[["2024",11,27]]}}}],"schema":"https://github.com/citation-style-language/schema/raw/master/csl-citation.json"} </w:instrText>
      </w:r>
      <w:r w:rsidR="00E42ECE">
        <w:fldChar w:fldCharType="separate"/>
      </w:r>
      <w:r w:rsidR="00E42ECE" w:rsidRPr="00E42ECE">
        <w:rPr>
          <w:rFonts w:cs="Arial"/>
        </w:rPr>
        <w:t xml:space="preserve">Giuliano et al. </w:t>
      </w:r>
      <w:r w:rsidR="0062798F">
        <w:rPr>
          <w:rFonts w:cs="Arial"/>
        </w:rPr>
        <w:t>(</w:t>
      </w:r>
      <w:r w:rsidR="00E42ECE" w:rsidRPr="00E42ECE">
        <w:rPr>
          <w:rFonts w:cs="Arial"/>
        </w:rPr>
        <w:t>2024)</w:t>
      </w:r>
      <w:r w:rsidR="00E42ECE">
        <w:fldChar w:fldCharType="end"/>
      </w:r>
      <w:r w:rsidRPr="007818C6">
        <w:t>.</w:t>
      </w:r>
      <w:r w:rsidR="007818C6">
        <w:t xml:space="preserve"> </w:t>
      </w:r>
      <w:r w:rsidR="00300DAD" w:rsidRPr="00300DAD">
        <w:t>T</w:t>
      </w:r>
      <w:r w:rsidR="00300DAD">
        <w:t>he</w:t>
      </w:r>
      <w:r w:rsidR="00300DAD" w:rsidRPr="00300DAD">
        <w:t xml:space="preserve"> IEA 2025 transport dataset</w:t>
      </w:r>
      <w:r w:rsidR="000C7981">
        <w:t xml:space="preserve"> </w:t>
      </w:r>
      <w:r w:rsidR="00483744">
        <w:fldChar w:fldCharType="begin"/>
      </w:r>
      <w:r w:rsidR="006331BB">
        <w:instrText xml:space="preserve"> ADDIN ZOTERO_ITEM CSL_CITATION {"citationID":"Ks7ib8K0","properties":{"formattedCitation":"(International Energy Agency, 2025)","plainCitation":"(International Energy Agency, 2025)","noteIndex":0},"citationItems":[{"id":4998,"uris":["http://zotero.org/users/10649518/items/SGKUJA3Z"],"itemData":{"id":4998,"type":"article-journal","abstract":"Sustainable fuels – including liquid biofuels, biogases, low-emissions hydrogen and hydrogen-based fuels – offer multiple benefits for the energy sector. They complement electrification and energy efficiency in energy transitions, and are particularly important for sectors that continue to be reliant on fuel-based solutions such as aviation, shipping, and parts of road transport and industry. Sustainable fuels can also enhance energy security, strengthen environmental sustainability and stimulate economic development, particularly in rural areas.","language":"en","source":"Zotero","title":"Delivering Sustainable Fuels; Pathways to 2035","author":[{"family":"International Energy Agency","given":""}],"issued":{"date-parts":[["2025"]]}}}],"schema":"https://github.com/citation-style-language/schema/raw/master/csl-citation.json"} </w:instrText>
      </w:r>
      <w:r w:rsidR="00483744">
        <w:fldChar w:fldCharType="separate"/>
      </w:r>
      <w:r w:rsidR="006331BB" w:rsidRPr="006331BB">
        <w:rPr>
          <w:rFonts w:cs="Arial"/>
        </w:rPr>
        <w:t>(International Energy Agency, 2025)</w:t>
      </w:r>
      <w:r w:rsidR="00483744">
        <w:fldChar w:fldCharType="end"/>
      </w:r>
      <w:r w:rsidR="00300DAD" w:rsidRPr="00300DAD">
        <w:t xml:space="preserve"> benchmarks key properties of advanced liquid biofuels</w:t>
      </w:r>
      <w:r w:rsidR="00300DAD">
        <w:t xml:space="preserve"> (Table 2)</w:t>
      </w:r>
      <w:r w:rsidR="00300DAD" w:rsidRPr="00300DAD">
        <w:t>, spanning first-generation alcohols and esters to second-generation thermal and biological conversion products.</w:t>
      </w:r>
      <w:r w:rsidR="009733CB">
        <w:t xml:space="preserve"> </w:t>
      </w:r>
      <w:proofErr w:type="spellStart"/>
      <w:r w:rsidR="00300DAD" w:rsidRPr="00300DAD">
        <w:t>HEFA</w:t>
      </w:r>
      <w:proofErr w:type="spellEnd"/>
      <w:r w:rsidR="00300DAD" w:rsidRPr="00300DAD">
        <w:t xml:space="preserve"> and FAME stand out with higher molecular uniformity and carbon yields, reflecting lipid-derived pathways suited for drop-in diesel and jet fuels. Alcohols like methanol and ethanol show lighter profiles, enabling easier blending but with </w:t>
      </w:r>
      <w:r w:rsidR="009E4AD1" w:rsidRPr="00300DAD">
        <w:t>moderate</w:t>
      </w:r>
      <w:r w:rsidR="00300DAD" w:rsidRPr="00300DAD">
        <w:t xml:space="preserve"> energy content. Biocrude and pyro-oil exhibit broader compositional variability from biomass thermochemical routes, balancing yield potential against processing needs.</w:t>
      </w:r>
      <w:r w:rsidR="009733CB">
        <w:t xml:space="preserve"> </w:t>
      </w:r>
      <w:r w:rsidR="00300DAD" w:rsidRPr="00300DAD">
        <w:t>Lower heating value correlates with oxygenated structures, positioning hydrotreated options favorably for aviation and heavy transport where density matters. End-life emissions vary by oxidation state and combustion completeness, with alcohols benefiting from cleaner profiles despite lower energy density.</w:t>
      </w:r>
      <w:r w:rsidR="00D73D09">
        <w:t xml:space="preserve"> </w:t>
      </w:r>
      <w:r w:rsidR="00D73D09" w:rsidRPr="00D73D09">
        <w:t xml:space="preserve">Table 3 provides a comprehensive overview of the main technological pathways for producing liquid biofuels from biomass, grouping combinations by final product type, feedstock, and biorefinery process category. </w:t>
      </w:r>
    </w:p>
    <w:p w14:paraId="1AAA61D8" w14:textId="77777777" w:rsidR="00B5334B" w:rsidRPr="00B57B36" w:rsidRDefault="00B5334B" w:rsidP="00B5334B">
      <w:pPr>
        <w:pStyle w:val="CETTabletitle"/>
      </w:pPr>
      <w:r w:rsidRPr="006A025D">
        <w:t>Table 3:</w:t>
      </w:r>
      <w:r w:rsidRPr="00B57B36">
        <w:t xml:space="preserve"> </w:t>
      </w:r>
      <w:r>
        <w:t xml:space="preserve">Conversion technologies to liquid biofuels </w:t>
      </w:r>
      <w:r>
        <w:fldChar w:fldCharType="begin"/>
      </w:r>
      <w:r>
        <w:instrText xml:space="preserve"> ADDIN ZOTERO_ITEM CSL_CITATION {"citationID":"YusivYOY","properties":{"formattedCitation":"(Ge et al., 2025)","plainCitation":"(Ge et al., 2025)","dontUpdate":true,"noteIndex":0},"citationItems":[{"id":5010,"uris":["http://zotero.org/users/10649518/items/QAVP4Z4E"],"itemData":{"id":5010,"type":"article-journal","abstract":"The growing demand for sustainable energy solutions has intensified interest in lignocellulosic biomass (LCB) as a renewable feedstock for liquid biofuels. This review critically evaluates advancements in LCB-to-biofuel conversion technologies, comparing their efficiency, environmental impact, and economic feasibility. Thermochemical processes such as pyrolysis and gasification offer conversion efficiencies of 28–40 % at relatively low costs (0.55–0.60 USD/L gasoline equivalent) but require bio-oil upgrading. Biochemical pathways produce higher-quality fuels; however, high enzyme costs and microbial toxicity hinder large-scale implementation. Hydrothermal liquefaction (HTL) shows promise with 35 MJ/kg biocrude energy density and 92 % carbon retention, though high energy input and catalyst costs remain challenges. Biobutanol outperforms bioethanol in energy content (29.2 MJ/dm3) and engine compatibility but suffers from microbial toxicity. Biodiesel cuts GHG emissions by 53–61 % but struggles in cold climates. Life cycle assessments indicate significantly reduce GHG emissions, with waste-derived feedstocks mitigating land-use conflicts. Advancing LCB biofuels requires optimizing HTL, enhancing microbial tolerance in biobutanol production, and integrating AI for process improvements. Policy support through subsidies and carbon incentives, along with scalable technology deployment, is key to sustainable biofuel adoption.","container-title":"Renewable and Sustainable Energy Reviews","DOI":"10.1016/j.rser.2025.115726","ISSN":"13640321","journalAbbreviation":"Renewable and Sustainable Energy Reviews","language":"en","page":"115726","source":"DOI.org (Crossref)","title":"A critical review on conversion technology for liquid biofuel production from lignocellulosic biomass","volume":"217","author":[{"family":"Ge","given":"Lihan"},{"family":"Ali","given":"Mahmoud M."},{"family":"Osman","given":"Ahmed I."},{"family":"Elgarahy","given":"Ahmed M."},{"family":"Samer","given":"M."},{"family":"Xu","given":"Yongdong"},{"family":"Liu","given":"Zhidan"}],"issued":{"date-parts":[["2025",7]]}}}],"schema":"https://github.com/citation-style-language/schema/raw/master/csl-citation.json"} </w:instrText>
      </w:r>
      <w:r>
        <w:fldChar w:fldCharType="separate"/>
      </w:r>
      <w:r w:rsidRPr="00DF3E1E">
        <w:rPr>
          <w:rFonts w:cs="Arial"/>
        </w:rPr>
        <w:t>(Ge et al., 2025</w:t>
      </w:r>
      <w:r>
        <w:rPr>
          <w:rFonts w:cs="Arial"/>
        </w:rPr>
        <w:t>;</w:t>
      </w:r>
      <w:r>
        <w:fldChar w:fldCharType="end"/>
      </w:r>
      <w:r>
        <w:t xml:space="preserve"> </w:t>
      </w:r>
      <w:r>
        <w:fldChar w:fldCharType="begin"/>
      </w:r>
      <w:r>
        <w:instrText xml:space="preserve"> ADDIN ZOTERO_ITEM CSL_CITATION {"citationID":"JYfup5xk","properties":{"formattedCitation":"(Zhu et al., 2025)","plainCitation":"(Zhu et al., 2025)","dontUpdate":true,"noteIndex":0},"citationItems":[{"id":5012,"uris":["http://zotero.org/users/10649518/items/29FB7PG6"],"itemData":{"id":5012,"type":"article-journal","abstract":"This study presents a comprehensive evaluation of green hydrogen integration in renewable methanol production, focusing on an innovative biomass-to-methanol process coupled with electrolytic hydrogen (BTM-GH) using biomass feedstock. Four production pathways were systematically compared: conventional Coal-to-Methanol (CTM), Coal-to-Methanol with Green Hydrogen (CTM-GH), Biomass-to-Methanol (BTM), and BTM-GH. Process simulation and optimization revealed that BTM-GH achieves the lowest carbon intensity (0.38 t CO2/t CH3OH), representing an 88.1 % reduction compared to CTM (3.19 t CO2/t CH3OH). Green hydrogen integration enhances energy utilization, with CTM-GH reaching peak energy and exergy efficiencies of 57.18 % and 52.48 %, improvements of 7.2 % and 8.3 % over CTM respectively. BTM-GH demonstrates superior Carbon Return on Investment (CROI) at 3.3435, though showing lower economic performance (NPV $29.75 million, IRR 15.78 %) compared to traditional routes. Notably, BTM-GH effectively addresses renewable energy intermittency by converting fluctuating power into stable methanol as an energy carrier. The findings suggest that while green hydrogen integration currently faces economic challenges, its comprehensive advantages in environmental performance and energy efficiency position it as a promising pathway for sustainable methanol production.","container-title":"International Journal of Hydrogen Energy","DOI":"10.1016/j.ijhydene.2025.151693","ISSN":"03603199","journalAbbreviation":"International Journal of Hydrogen Energy","language":"en","page":"151693","source":"DOI.org (Crossref)","title":"Renewable methanol production from biomass gasification coupled with green hydrogen: Process design and economic assessment","title-short":"Renewable methanol production from biomass gasification coupled with green hydrogen","volume":"191","author":[{"family":"Zhu","given":"Jinhong"},{"family":"Feng","given":"Lianyong"},{"family":"Yu","given":"Changchun"},{"family":"Wu","given":"Lili"}],"issued":{"date-parts":[["2025",11]]}}}],"schema":"https://github.com/citation-style-language/schema/raw/master/csl-citation.json"} </w:instrText>
      </w:r>
      <w:r>
        <w:fldChar w:fldCharType="separate"/>
      </w:r>
      <w:r w:rsidRPr="00DE61B7">
        <w:rPr>
          <w:rFonts w:cs="Arial"/>
        </w:rPr>
        <w:t>Zhu et al., 2025</w:t>
      </w:r>
      <w:r>
        <w:rPr>
          <w:rFonts w:cs="Arial"/>
        </w:rPr>
        <w:t>;</w:t>
      </w:r>
      <w:r>
        <w:fldChar w:fldCharType="end"/>
      </w:r>
      <w:r>
        <w:t xml:space="preserve"> </w:t>
      </w:r>
      <w:r>
        <w:fldChar w:fldCharType="begin"/>
      </w:r>
      <w:r>
        <w:instrText xml:space="preserve"> ADDIN ZOTERO_ITEM CSL_CITATION {"citationID":"BdaWHzdr","properties":{"formattedCitation":"(Vasilakou et al., 2023)","plainCitation":"(Vasilakou et al., 2023)","dontUpdate":true,"noteIndex":0},"citationItems":[{"id":5014,"uris":["http://zotero.org/users/10649518/items/HACQZAN6"],"itemData":{"id":5014,"type":"article-journal","container-title":"Applied Energy","DOI":"10.1016/j.apenergy.2023.121263","ISSN":"03062619","journalAbbreviation":"Applied Energy","language":"en","page":"121263","source":"DOI.org (Crossref)","title":"Assessing the future of second-generation bioethanol by 2030 – A techno-economic assessment integrating technology learning curves","volume":"344","author":[{"family":"Vasilakou","given":"Konstantina"},{"family":"Nimmegeers","given":"Philippe"},{"family":"Thomassen","given":"Gwenny"},{"family":"Billen","given":"Pieter"},{"family":"Van Passel","given":"Steven"}],"issued":{"date-parts":[["2023",8]]}}}],"schema":"https://github.com/citation-style-language/schema/raw/master/csl-citation.json"} </w:instrText>
      </w:r>
      <w:r>
        <w:fldChar w:fldCharType="separate"/>
      </w:r>
      <w:proofErr w:type="spellStart"/>
      <w:r w:rsidRPr="00580C85">
        <w:rPr>
          <w:rFonts w:cs="Arial"/>
        </w:rPr>
        <w:t>Vasilakou</w:t>
      </w:r>
      <w:proofErr w:type="spellEnd"/>
      <w:r w:rsidRPr="00580C85">
        <w:rPr>
          <w:rFonts w:cs="Arial"/>
        </w:rPr>
        <w:t xml:space="preserve"> et al., 2023)</w:t>
      </w:r>
      <w:r>
        <w:fldChar w:fldCharType="end"/>
      </w:r>
    </w:p>
    <w:tbl>
      <w:tblPr>
        <w:tblW w:w="5000" w:type="pct"/>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50"/>
        <w:gridCol w:w="1341"/>
        <w:gridCol w:w="1395"/>
        <w:gridCol w:w="1721"/>
        <w:gridCol w:w="974"/>
        <w:gridCol w:w="991"/>
        <w:gridCol w:w="1415"/>
      </w:tblGrid>
      <w:tr w:rsidR="00B5334B" w:rsidRPr="00B57B36" w14:paraId="403E09C4" w14:textId="77777777" w:rsidTr="007F7F7D">
        <w:trPr>
          <w:jc w:val="center"/>
        </w:trPr>
        <w:tc>
          <w:tcPr>
            <w:tcW w:w="541" w:type="pct"/>
            <w:tcBorders>
              <w:top w:val="single" w:sz="12" w:space="0" w:color="008000"/>
              <w:bottom w:val="single" w:sz="6" w:space="0" w:color="008000"/>
            </w:tcBorders>
            <w:shd w:val="clear" w:color="auto" w:fill="FFFFFF"/>
          </w:tcPr>
          <w:p w14:paraId="157849C7" w14:textId="77777777" w:rsidR="00B5334B" w:rsidRPr="000438FB" w:rsidRDefault="00B5334B" w:rsidP="007F7F7D">
            <w:pPr>
              <w:pStyle w:val="CETBodytext"/>
              <w:jc w:val="center"/>
            </w:pPr>
            <w:r>
              <w:t>Liquid Biofuel</w:t>
            </w:r>
          </w:p>
        </w:tc>
        <w:tc>
          <w:tcPr>
            <w:tcW w:w="763" w:type="pct"/>
            <w:tcBorders>
              <w:top w:val="single" w:sz="12" w:space="0" w:color="008000"/>
              <w:bottom w:val="single" w:sz="6" w:space="0" w:color="008000"/>
            </w:tcBorders>
            <w:shd w:val="clear" w:color="auto" w:fill="FFFFFF"/>
          </w:tcPr>
          <w:p w14:paraId="42B31482" w14:textId="77777777" w:rsidR="00B5334B" w:rsidRPr="00B57B36" w:rsidRDefault="00B5334B" w:rsidP="007F7F7D">
            <w:pPr>
              <w:pStyle w:val="CETBodytext"/>
              <w:jc w:val="center"/>
              <w:rPr>
                <w:lang w:val="en-GB"/>
              </w:rPr>
            </w:pPr>
            <w:r w:rsidRPr="000438FB">
              <w:t>Type</w:t>
            </w:r>
          </w:p>
        </w:tc>
        <w:tc>
          <w:tcPr>
            <w:tcW w:w="794" w:type="pct"/>
            <w:tcBorders>
              <w:top w:val="single" w:sz="12" w:space="0" w:color="008000"/>
              <w:bottom w:val="single" w:sz="6" w:space="0" w:color="008000"/>
            </w:tcBorders>
            <w:shd w:val="clear" w:color="auto" w:fill="FFFFFF"/>
          </w:tcPr>
          <w:p w14:paraId="6B26A86C" w14:textId="77777777" w:rsidR="00B5334B" w:rsidRPr="000438FB" w:rsidRDefault="00B5334B" w:rsidP="007F7F7D">
            <w:pPr>
              <w:pStyle w:val="CETBodytext"/>
              <w:jc w:val="center"/>
            </w:pPr>
            <w:r>
              <w:t>Raw material</w:t>
            </w:r>
          </w:p>
        </w:tc>
        <w:tc>
          <w:tcPr>
            <w:tcW w:w="979" w:type="pct"/>
            <w:tcBorders>
              <w:top w:val="single" w:sz="12" w:space="0" w:color="008000"/>
              <w:bottom w:val="single" w:sz="6" w:space="0" w:color="008000"/>
            </w:tcBorders>
            <w:shd w:val="clear" w:color="auto" w:fill="FFFFFF"/>
          </w:tcPr>
          <w:p w14:paraId="45183856" w14:textId="77777777" w:rsidR="00B5334B" w:rsidRPr="00B57B36" w:rsidRDefault="00B5334B" w:rsidP="007F7F7D">
            <w:pPr>
              <w:pStyle w:val="CETBodytext"/>
              <w:jc w:val="center"/>
              <w:rPr>
                <w:lang w:val="en-GB"/>
              </w:rPr>
            </w:pPr>
            <w:r w:rsidRPr="000438FB">
              <w:t>Main Processes</w:t>
            </w:r>
          </w:p>
        </w:tc>
        <w:tc>
          <w:tcPr>
            <w:tcW w:w="554" w:type="pct"/>
            <w:tcBorders>
              <w:top w:val="single" w:sz="12" w:space="0" w:color="008000"/>
              <w:bottom w:val="single" w:sz="6" w:space="0" w:color="008000"/>
            </w:tcBorders>
            <w:shd w:val="clear" w:color="auto" w:fill="FFFFFF"/>
          </w:tcPr>
          <w:p w14:paraId="4D3613E2" w14:textId="77777777" w:rsidR="00B5334B" w:rsidRPr="00B57B36" w:rsidRDefault="00B5334B" w:rsidP="007F7F7D">
            <w:pPr>
              <w:pStyle w:val="CETBodytext"/>
              <w:jc w:val="center"/>
              <w:rPr>
                <w:lang w:val="en-GB"/>
              </w:rPr>
            </w:pPr>
            <w:r w:rsidRPr="000438FB">
              <w:t>Biofuel yield (t/</w:t>
            </w:r>
            <w:proofErr w:type="spellStart"/>
            <w:proofErr w:type="gramStart"/>
            <w:r w:rsidRPr="000438FB">
              <w:t>t</w:t>
            </w:r>
            <w:r w:rsidRPr="00B920C9">
              <w:rPr>
                <w:vertAlign w:val="subscript"/>
              </w:rPr>
              <w:t>F,DRY</w:t>
            </w:r>
            <w:proofErr w:type="spellEnd"/>
            <w:proofErr w:type="gramEnd"/>
            <w:r w:rsidRPr="000438FB">
              <w:t>)</w:t>
            </w:r>
          </w:p>
        </w:tc>
        <w:tc>
          <w:tcPr>
            <w:tcW w:w="564" w:type="pct"/>
            <w:tcBorders>
              <w:top w:val="single" w:sz="12" w:space="0" w:color="008000"/>
              <w:bottom w:val="single" w:sz="6" w:space="0" w:color="008000"/>
            </w:tcBorders>
            <w:shd w:val="clear" w:color="auto" w:fill="FFFFFF"/>
          </w:tcPr>
          <w:p w14:paraId="2EA59A5F" w14:textId="77777777" w:rsidR="00B5334B" w:rsidRPr="00B57B36" w:rsidRDefault="00B5334B" w:rsidP="007F7F7D">
            <w:pPr>
              <w:pStyle w:val="CETBodytext"/>
              <w:ind w:right="-1"/>
              <w:jc w:val="center"/>
              <w:rPr>
                <w:rFonts w:cs="Arial"/>
                <w:szCs w:val="18"/>
                <w:lang w:val="en-GB"/>
              </w:rPr>
            </w:pPr>
            <w:r w:rsidRPr="000438FB">
              <w:t>H</w:t>
            </w:r>
            <w:r w:rsidRPr="00B920C9">
              <w:rPr>
                <w:vertAlign w:val="subscript"/>
              </w:rPr>
              <w:t>2</w:t>
            </w:r>
            <w:r w:rsidRPr="000438FB">
              <w:t xml:space="preserve"> demand (t/</w:t>
            </w:r>
            <w:proofErr w:type="spellStart"/>
            <w:proofErr w:type="gramStart"/>
            <w:r w:rsidRPr="000438FB">
              <w:t>t</w:t>
            </w:r>
            <w:r w:rsidRPr="00B920C9">
              <w:rPr>
                <w:vertAlign w:val="subscript"/>
              </w:rPr>
              <w:t>F,DRY</w:t>
            </w:r>
            <w:proofErr w:type="spellEnd"/>
            <w:proofErr w:type="gramEnd"/>
            <w:r w:rsidRPr="000438FB">
              <w:t>)</w:t>
            </w:r>
          </w:p>
        </w:tc>
        <w:tc>
          <w:tcPr>
            <w:tcW w:w="806" w:type="pct"/>
            <w:tcBorders>
              <w:top w:val="single" w:sz="12" w:space="0" w:color="008000"/>
              <w:bottom w:val="single" w:sz="6" w:space="0" w:color="008000"/>
            </w:tcBorders>
            <w:shd w:val="clear" w:color="auto" w:fill="FFFFFF"/>
          </w:tcPr>
          <w:p w14:paraId="221FFD1D" w14:textId="77777777" w:rsidR="00B5334B" w:rsidRPr="002F4090" w:rsidRDefault="00B5334B" w:rsidP="007F7F7D">
            <w:pPr>
              <w:pStyle w:val="CETBodytext"/>
              <w:ind w:right="-1"/>
              <w:jc w:val="center"/>
            </w:pPr>
            <w:r w:rsidRPr="000438FB">
              <w:t>MeOH demand (t/</w:t>
            </w:r>
            <w:proofErr w:type="spellStart"/>
            <w:proofErr w:type="gramStart"/>
            <w:r w:rsidRPr="000438FB">
              <w:t>t</w:t>
            </w:r>
            <w:r w:rsidRPr="00B920C9">
              <w:rPr>
                <w:vertAlign w:val="subscript"/>
              </w:rPr>
              <w:t>F,DRY</w:t>
            </w:r>
            <w:proofErr w:type="spellEnd"/>
            <w:proofErr w:type="gramEnd"/>
            <w:r w:rsidRPr="000438FB">
              <w:t>)</w:t>
            </w:r>
          </w:p>
        </w:tc>
      </w:tr>
      <w:tr w:rsidR="00B5334B" w:rsidRPr="00B57B36" w14:paraId="0351C90E" w14:textId="77777777" w:rsidTr="007F7F7D">
        <w:trPr>
          <w:jc w:val="center"/>
        </w:trPr>
        <w:tc>
          <w:tcPr>
            <w:tcW w:w="541" w:type="pct"/>
            <w:shd w:val="clear" w:color="auto" w:fill="FFFFFF"/>
            <w:vAlign w:val="center"/>
          </w:tcPr>
          <w:p w14:paraId="270981F1" w14:textId="77777777" w:rsidR="00B5334B" w:rsidRPr="000438FB" w:rsidRDefault="00B5334B" w:rsidP="007F7F7D">
            <w:pPr>
              <w:pStyle w:val="CETBodytext"/>
              <w:jc w:val="center"/>
            </w:pPr>
            <w:proofErr w:type="spellStart"/>
            <w:r>
              <w:t>HEFA</w:t>
            </w:r>
            <w:proofErr w:type="spellEnd"/>
          </w:p>
        </w:tc>
        <w:tc>
          <w:tcPr>
            <w:tcW w:w="763" w:type="pct"/>
            <w:shd w:val="clear" w:color="auto" w:fill="FFFFFF"/>
            <w:vAlign w:val="center"/>
          </w:tcPr>
          <w:p w14:paraId="32CAB6F2" w14:textId="77777777" w:rsidR="00B5334B" w:rsidRPr="00B57B36" w:rsidRDefault="00B5334B" w:rsidP="007F7F7D">
            <w:pPr>
              <w:pStyle w:val="CETBodytext"/>
              <w:jc w:val="center"/>
              <w:rPr>
                <w:lang w:val="en-GB"/>
              </w:rPr>
            </w:pPr>
            <w:r w:rsidRPr="000438FB">
              <w:t>Catalytic</w:t>
            </w:r>
          </w:p>
        </w:tc>
        <w:tc>
          <w:tcPr>
            <w:tcW w:w="794" w:type="pct"/>
            <w:shd w:val="clear" w:color="auto" w:fill="FFFFFF"/>
            <w:vAlign w:val="center"/>
          </w:tcPr>
          <w:p w14:paraId="25D924D4" w14:textId="77777777" w:rsidR="00B5334B" w:rsidRPr="000438FB" w:rsidRDefault="00B5334B" w:rsidP="007F7F7D">
            <w:pPr>
              <w:pStyle w:val="CETBodytext"/>
              <w:jc w:val="center"/>
            </w:pPr>
            <w:r>
              <w:t>Vegetable Oil</w:t>
            </w:r>
          </w:p>
        </w:tc>
        <w:tc>
          <w:tcPr>
            <w:tcW w:w="979" w:type="pct"/>
            <w:shd w:val="clear" w:color="auto" w:fill="FFFFFF"/>
            <w:vAlign w:val="center"/>
          </w:tcPr>
          <w:p w14:paraId="1666945D" w14:textId="77777777" w:rsidR="00B5334B" w:rsidRPr="00B57B36" w:rsidRDefault="00B5334B" w:rsidP="007F7F7D">
            <w:pPr>
              <w:pStyle w:val="CETBodytext"/>
              <w:jc w:val="center"/>
              <w:rPr>
                <w:lang w:val="en-GB"/>
              </w:rPr>
            </w:pPr>
            <w:proofErr w:type="spellStart"/>
            <w:r w:rsidRPr="000438FB">
              <w:t>HydroDeOxygenation</w:t>
            </w:r>
            <w:proofErr w:type="spellEnd"/>
          </w:p>
        </w:tc>
        <w:tc>
          <w:tcPr>
            <w:tcW w:w="554" w:type="pct"/>
            <w:shd w:val="clear" w:color="auto" w:fill="FFFFFF"/>
            <w:vAlign w:val="center"/>
          </w:tcPr>
          <w:p w14:paraId="785661DD" w14:textId="77777777" w:rsidR="00B5334B" w:rsidRPr="00B57B36" w:rsidRDefault="00B5334B" w:rsidP="007F7F7D">
            <w:pPr>
              <w:pStyle w:val="CETBodytext"/>
              <w:jc w:val="center"/>
              <w:rPr>
                <w:lang w:val="en-GB"/>
              </w:rPr>
            </w:pPr>
            <w:r w:rsidRPr="000438FB">
              <w:t>80%</w:t>
            </w:r>
          </w:p>
        </w:tc>
        <w:tc>
          <w:tcPr>
            <w:tcW w:w="564" w:type="pct"/>
            <w:shd w:val="clear" w:color="auto" w:fill="FFFFFF"/>
            <w:vAlign w:val="center"/>
          </w:tcPr>
          <w:p w14:paraId="24F55053" w14:textId="77777777" w:rsidR="00B5334B" w:rsidRPr="00B57B36" w:rsidRDefault="00B5334B" w:rsidP="007F7F7D">
            <w:pPr>
              <w:pStyle w:val="CETBodytext"/>
              <w:ind w:right="-1"/>
              <w:jc w:val="center"/>
              <w:rPr>
                <w:rFonts w:cs="Arial"/>
                <w:szCs w:val="18"/>
                <w:lang w:val="en-GB"/>
              </w:rPr>
            </w:pPr>
            <w:r w:rsidRPr="000438FB">
              <w:t>4%</w:t>
            </w:r>
          </w:p>
        </w:tc>
        <w:tc>
          <w:tcPr>
            <w:tcW w:w="806" w:type="pct"/>
            <w:shd w:val="clear" w:color="auto" w:fill="FFFFFF"/>
            <w:vAlign w:val="center"/>
          </w:tcPr>
          <w:p w14:paraId="72174F80" w14:textId="77777777" w:rsidR="00B5334B" w:rsidRPr="002F4090" w:rsidRDefault="00B5334B" w:rsidP="007F7F7D">
            <w:pPr>
              <w:pStyle w:val="CETBodytext"/>
              <w:ind w:right="-1"/>
              <w:jc w:val="center"/>
            </w:pPr>
            <w:r w:rsidRPr="000438FB">
              <w:t>0%</w:t>
            </w:r>
          </w:p>
        </w:tc>
      </w:tr>
      <w:tr w:rsidR="00B5334B" w:rsidRPr="00B57B36" w14:paraId="40521C2C" w14:textId="77777777" w:rsidTr="007F7F7D">
        <w:trPr>
          <w:jc w:val="center"/>
        </w:trPr>
        <w:tc>
          <w:tcPr>
            <w:tcW w:w="541" w:type="pct"/>
            <w:shd w:val="clear" w:color="auto" w:fill="FFFFFF"/>
            <w:vAlign w:val="center"/>
          </w:tcPr>
          <w:p w14:paraId="739AD2C2" w14:textId="77777777" w:rsidR="00B5334B" w:rsidRPr="000438FB" w:rsidRDefault="00B5334B" w:rsidP="007F7F7D">
            <w:pPr>
              <w:pStyle w:val="CETBodytext"/>
              <w:jc w:val="center"/>
            </w:pPr>
            <w:r>
              <w:t>FAME</w:t>
            </w:r>
          </w:p>
        </w:tc>
        <w:tc>
          <w:tcPr>
            <w:tcW w:w="763" w:type="pct"/>
            <w:shd w:val="clear" w:color="auto" w:fill="FFFFFF"/>
            <w:vAlign w:val="center"/>
          </w:tcPr>
          <w:p w14:paraId="159450EC" w14:textId="77777777" w:rsidR="00B5334B" w:rsidRPr="00B57B36" w:rsidRDefault="00B5334B" w:rsidP="007F7F7D">
            <w:pPr>
              <w:pStyle w:val="CETBodytext"/>
              <w:jc w:val="center"/>
              <w:rPr>
                <w:lang w:val="en-GB"/>
              </w:rPr>
            </w:pPr>
            <w:r w:rsidRPr="000438FB">
              <w:t>Catalytic</w:t>
            </w:r>
          </w:p>
        </w:tc>
        <w:tc>
          <w:tcPr>
            <w:tcW w:w="794" w:type="pct"/>
            <w:shd w:val="clear" w:color="auto" w:fill="FFFFFF"/>
            <w:vAlign w:val="center"/>
          </w:tcPr>
          <w:p w14:paraId="75F11C43" w14:textId="77777777" w:rsidR="00B5334B" w:rsidRPr="000438FB" w:rsidRDefault="00B5334B" w:rsidP="007F7F7D">
            <w:pPr>
              <w:pStyle w:val="CETBodytext"/>
              <w:jc w:val="center"/>
            </w:pPr>
            <w:r>
              <w:t>Vegetable Oil</w:t>
            </w:r>
          </w:p>
        </w:tc>
        <w:tc>
          <w:tcPr>
            <w:tcW w:w="979" w:type="pct"/>
            <w:shd w:val="clear" w:color="auto" w:fill="FFFFFF"/>
            <w:vAlign w:val="center"/>
          </w:tcPr>
          <w:p w14:paraId="3DD62ED3" w14:textId="77777777" w:rsidR="00B5334B" w:rsidRPr="00B57B36" w:rsidRDefault="00B5334B" w:rsidP="007F7F7D">
            <w:pPr>
              <w:pStyle w:val="CETBodytext"/>
              <w:jc w:val="center"/>
              <w:rPr>
                <w:lang w:val="en-GB"/>
              </w:rPr>
            </w:pPr>
            <w:r w:rsidRPr="000438FB">
              <w:t>Transesterification</w:t>
            </w:r>
          </w:p>
        </w:tc>
        <w:tc>
          <w:tcPr>
            <w:tcW w:w="554" w:type="pct"/>
            <w:shd w:val="clear" w:color="auto" w:fill="FFFFFF"/>
            <w:vAlign w:val="center"/>
          </w:tcPr>
          <w:p w14:paraId="5CCF317D" w14:textId="77777777" w:rsidR="00B5334B" w:rsidRPr="00B57B36" w:rsidRDefault="00B5334B" w:rsidP="007F7F7D">
            <w:pPr>
              <w:pStyle w:val="CETBodytext"/>
              <w:jc w:val="center"/>
              <w:rPr>
                <w:lang w:val="en-GB"/>
              </w:rPr>
            </w:pPr>
            <w:r w:rsidRPr="000438FB">
              <w:t>96%</w:t>
            </w:r>
          </w:p>
        </w:tc>
        <w:tc>
          <w:tcPr>
            <w:tcW w:w="564" w:type="pct"/>
            <w:shd w:val="clear" w:color="auto" w:fill="FFFFFF"/>
            <w:vAlign w:val="center"/>
          </w:tcPr>
          <w:p w14:paraId="13AA6446" w14:textId="77777777" w:rsidR="00B5334B" w:rsidRPr="00B57B36" w:rsidRDefault="00B5334B" w:rsidP="007F7F7D">
            <w:pPr>
              <w:pStyle w:val="CETBodytext"/>
              <w:ind w:right="-1"/>
              <w:jc w:val="center"/>
              <w:rPr>
                <w:rFonts w:cs="Arial"/>
                <w:szCs w:val="18"/>
                <w:lang w:val="en-GB"/>
              </w:rPr>
            </w:pPr>
            <w:r w:rsidRPr="000438FB">
              <w:t>0%</w:t>
            </w:r>
          </w:p>
        </w:tc>
        <w:tc>
          <w:tcPr>
            <w:tcW w:w="806" w:type="pct"/>
            <w:shd w:val="clear" w:color="auto" w:fill="FFFFFF"/>
            <w:vAlign w:val="center"/>
          </w:tcPr>
          <w:p w14:paraId="0AD59F6F" w14:textId="77777777" w:rsidR="00B5334B" w:rsidRPr="002F4090" w:rsidRDefault="00B5334B" w:rsidP="007F7F7D">
            <w:pPr>
              <w:pStyle w:val="CETBodytext"/>
              <w:ind w:right="-1"/>
              <w:jc w:val="center"/>
            </w:pPr>
            <w:r w:rsidRPr="000438FB">
              <w:t>11%</w:t>
            </w:r>
          </w:p>
        </w:tc>
      </w:tr>
      <w:tr w:rsidR="00B5334B" w:rsidRPr="00B57B36" w14:paraId="6132BA40" w14:textId="77777777" w:rsidTr="007F7F7D">
        <w:trPr>
          <w:jc w:val="center"/>
        </w:trPr>
        <w:tc>
          <w:tcPr>
            <w:tcW w:w="541" w:type="pct"/>
            <w:shd w:val="clear" w:color="auto" w:fill="FFFFFF"/>
            <w:vAlign w:val="center"/>
          </w:tcPr>
          <w:p w14:paraId="290F9C54" w14:textId="77777777" w:rsidR="00B5334B" w:rsidRPr="000438FB" w:rsidRDefault="00B5334B" w:rsidP="007F7F7D">
            <w:pPr>
              <w:pStyle w:val="CETBodytext"/>
              <w:jc w:val="center"/>
            </w:pPr>
            <w:r>
              <w:t>MeOH</w:t>
            </w:r>
          </w:p>
        </w:tc>
        <w:tc>
          <w:tcPr>
            <w:tcW w:w="763" w:type="pct"/>
            <w:shd w:val="clear" w:color="auto" w:fill="FFFFFF"/>
            <w:vAlign w:val="center"/>
          </w:tcPr>
          <w:p w14:paraId="56ECFBE9" w14:textId="77777777" w:rsidR="00B5334B" w:rsidRPr="00B233C5" w:rsidRDefault="00B5334B" w:rsidP="007F7F7D">
            <w:pPr>
              <w:pStyle w:val="CETBodytext"/>
              <w:jc w:val="center"/>
            </w:pPr>
            <w:r w:rsidRPr="005C2088">
              <w:t>Thermochemical + Catalytic</w:t>
            </w:r>
          </w:p>
        </w:tc>
        <w:tc>
          <w:tcPr>
            <w:tcW w:w="794" w:type="pct"/>
            <w:shd w:val="clear" w:color="auto" w:fill="FFFFFF"/>
            <w:vAlign w:val="center"/>
          </w:tcPr>
          <w:p w14:paraId="5C88F8BA" w14:textId="77777777" w:rsidR="00B5334B" w:rsidRPr="005C2088" w:rsidRDefault="00B5334B" w:rsidP="007F7F7D">
            <w:pPr>
              <w:pStyle w:val="CETBodytext"/>
              <w:jc w:val="center"/>
            </w:pPr>
            <w:r w:rsidRPr="00B233C5">
              <w:t>Lignocellulosic</w:t>
            </w:r>
          </w:p>
        </w:tc>
        <w:tc>
          <w:tcPr>
            <w:tcW w:w="979" w:type="pct"/>
            <w:shd w:val="clear" w:color="auto" w:fill="FFFFFF"/>
          </w:tcPr>
          <w:p w14:paraId="0DBAE4AB" w14:textId="77777777" w:rsidR="00B5334B" w:rsidRPr="00B233C5" w:rsidRDefault="00B5334B" w:rsidP="007F7F7D">
            <w:pPr>
              <w:pStyle w:val="CETBodytext"/>
              <w:jc w:val="center"/>
            </w:pPr>
            <w:r w:rsidRPr="005C2088">
              <w:t xml:space="preserve">Gasification </w:t>
            </w:r>
            <w:r>
              <w:t xml:space="preserve">+ </w:t>
            </w:r>
            <w:r w:rsidRPr="005C2088">
              <w:t>Synthesis</w:t>
            </w:r>
          </w:p>
        </w:tc>
        <w:tc>
          <w:tcPr>
            <w:tcW w:w="554" w:type="pct"/>
            <w:shd w:val="clear" w:color="auto" w:fill="FFFFFF"/>
          </w:tcPr>
          <w:p w14:paraId="55E33994" w14:textId="77777777" w:rsidR="00B5334B" w:rsidRPr="00B233C5" w:rsidRDefault="00B5334B" w:rsidP="007F7F7D">
            <w:pPr>
              <w:pStyle w:val="CETBodytext"/>
              <w:jc w:val="center"/>
            </w:pPr>
            <w:r w:rsidRPr="005C2088">
              <w:t>20%</w:t>
            </w:r>
          </w:p>
        </w:tc>
        <w:tc>
          <w:tcPr>
            <w:tcW w:w="564" w:type="pct"/>
            <w:shd w:val="clear" w:color="auto" w:fill="FFFFFF"/>
          </w:tcPr>
          <w:p w14:paraId="0924CB38" w14:textId="77777777" w:rsidR="00B5334B" w:rsidRPr="00B233C5" w:rsidRDefault="00B5334B" w:rsidP="007F7F7D">
            <w:pPr>
              <w:pStyle w:val="CETBodytext"/>
              <w:ind w:right="-1"/>
              <w:jc w:val="center"/>
            </w:pPr>
            <w:r w:rsidRPr="005C2088">
              <w:t>0%</w:t>
            </w:r>
          </w:p>
        </w:tc>
        <w:tc>
          <w:tcPr>
            <w:tcW w:w="806" w:type="pct"/>
            <w:shd w:val="clear" w:color="auto" w:fill="FFFFFF"/>
          </w:tcPr>
          <w:p w14:paraId="6394DEC3" w14:textId="77777777" w:rsidR="00B5334B" w:rsidRPr="002F4090" w:rsidRDefault="00B5334B" w:rsidP="007F7F7D">
            <w:pPr>
              <w:pStyle w:val="CETBodytext"/>
              <w:ind w:right="-1"/>
              <w:jc w:val="center"/>
            </w:pPr>
            <w:r w:rsidRPr="005C2088">
              <w:t>0%</w:t>
            </w:r>
          </w:p>
        </w:tc>
      </w:tr>
      <w:tr w:rsidR="00B5334B" w:rsidRPr="00B57B36" w14:paraId="50E597A3" w14:textId="77777777" w:rsidTr="007F7F7D">
        <w:trPr>
          <w:jc w:val="center"/>
        </w:trPr>
        <w:tc>
          <w:tcPr>
            <w:tcW w:w="541" w:type="pct"/>
            <w:shd w:val="clear" w:color="auto" w:fill="FFFFFF"/>
            <w:vAlign w:val="center"/>
          </w:tcPr>
          <w:p w14:paraId="72201A2A" w14:textId="77777777" w:rsidR="00B5334B" w:rsidRDefault="00B5334B" w:rsidP="007F7F7D">
            <w:pPr>
              <w:pStyle w:val="CETBodytext"/>
              <w:jc w:val="center"/>
            </w:pPr>
            <w:r>
              <w:t>MeOH</w:t>
            </w:r>
          </w:p>
        </w:tc>
        <w:tc>
          <w:tcPr>
            <w:tcW w:w="763" w:type="pct"/>
            <w:shd w:val="clear" w:color="auto" w:fill="FFFFFF"/>
            <w:vAlign w:val="center"/>
          </w:tcPr>
          <w:p w14:paraId="5498B332" w14:textId="77777777" w:rsidR="00B5334B" w:rsidRPr="000438FB" w:rsidRDefault="00B5334B" w:rsidP="007F7F7D">
            <w:pPr>
              <w:pStyle w:val="CETBodytext"/>
              <w:jc w:val="center"/>
            </w:pPr>
            <w:r w:rsidRPr="005C2088">
              <w:t>Thermochemical + Catalytic</w:t>
            </w:r>
          </w:p>
        </w:tc>
        <w:tc>
          <w:tcPr>
            <w:tcW w:w="794" w:type="pct"/>
            <w:shd w:val="clear" w:color="auto" w:fill="FFFFFF"/>
            <w:vAlign w:val="center"/>
          </w:tcPr>
          <w:p w14:paraId="011F5B69" w14:textId="77777777" w:rsidR="00B5334B" w:rsidRPr="005C2088" w:rsidRDefault="00B5334B" w:rsidP="007F7F7D">
            <w:pPr>
              <w:pStyle w:val="CETBodytext"/>
              <w:jc w:val="center"/>
            </w:pPr>
            <w:r w:rsidRPr="00B233C5">
              <w:t>Lignocellulosic</w:t>
            </w:r>
          </w:p>
        </w:tc>
        <w:tc>
          <w:tcPr>
            <w:tcW w:w="979" w:type="pct"/>
            <w:shd w:val="clear" w:color="auto" w:fill="FFFFFF"/>
          </w:tcPr>
          <w:p w14:paraId="2B02813F" w14:textId="77777777" w:rsidR="00B5334B" w:rsidRPr="000438FB" w:rsidRDefault="00B5334B" w:rsidP="007F7F7D">
            <w:pPr>
              <w:pStyle w:val="CETBodytext"/>
              <w:jc w:val="center"/>
            </w:pPr>
            <w:r w:rsidRPr="005C2088">
              <w:t xml:space="preserve">Gasification + </w:t>
            </w:r>
            <w:r>
              <w:t>H</w:t>
            </w:r>
            <w:r w:rsidRPr="007A5B41">
              <w:rPr>
                <w:vertAlign w:val="subscript"/>
              </w:rPr>
              <w:t>2</w:t>
            </w:r>
            <w:r>
              <w:t xml:space="preserve"> enrichment + </w:t>
            </w:r>
            <w:r w:rsidRPr="005C2088">
              <w:t>Synthesis</w:t>
            </w:r>
          </w:p>
        </w:tc>
        <w:tc>
          <w:tcPr>
            <w:tcW w:w="554" w:type="pct"/>
            <w:shd w:val="clear" w:color="auto" w:fill="FFFFFF"/>
          </w:tcPr>
          <w:p w14:paraId="1A2506E9" w14:textId="77777777" w:rsidR="00B5334B" w:rsidRPr="000438FB" w:rsidRDefault="00B5334B" w:rsidP="007F7F7D">
            <w:pPr>
              <w:pStyle w:val="CETBodytext"/>
              <w:jc w:val="center"/>
            </w:pPr>
            <w:r w:rsidRPr="005C2088">
              <w:t>60%</w:t>
            </w:r>
          </w:p>
        </w:tc>
        <w:tc>
          <w:tcPr>
            <w:tcW w:w="564" w:type="pct"/>
            <w:shd w:val="clear" w:color="auto" w:fill="FFFFFF"/>
          </w:tcPr>
          <w:p w14:paraId="1986E064" w14:textId="77777777" w:rsidR="00B5334B" w:rsidRPr="000438FB" w:rsidRDefault="00B5334B" w:rsidP="007F7F7D">
            <w:pPr>
              <w:pStyle w:val="CETBodytext"/>
              <w:ind w:right="-1"/>
              <w:jc w:val="center"/>
            </w:pPr>
            <w:r w:rsidRPr="005C2088">
              <w:t>10%</w:t>
            </w:r>
          </w:p>
        </w:tc>
        <w:tc>
          <w:tcPr>
            <w:tcW w:w="806" w:type="pct"/>
            <w:shd w:val="clear" w:color="auto" w:fill="FFFFFF"/>
          </w:tcPr>
          <w:p w14:paraId="665B1FF3" w14:textId="77777777" w:rsidR="00B5334B" w:rsidRPr="000438FB" w:rsidRDefault="00B5334B" w:rsidP="007F7F7D">
            <w:pPr>
              <w:pStyle w:val="CETBodytext"/>
              <w:ind w:right="-1"/>
              <w:jc w:val="center"/>
            </w:pPr>
            <w:r w:rsidRPr="005C2088">
              <w:t>0%</w:t>
            </w:r>
          </w:p>
        </w:tc>
      </w:tr>
      <w:tr w:rsidR="00B5334B" w:rsidRPr="00B57B36" w14:paraId="2A502641" w14:textId="77777777" w:rsidTr="007F7F7D">
        <w:trPr>
          <w:jc w:val="center"/>
        </w:trPr>
        <w:tc>
          <w:tcPr>
            <w:tcW w:w="541" w:type="pct"/>
            <w:shd w:val="clear" w:color="auto" w:fill="FFFFFF"/>
            <w:vAlign w:val="center"/>
          </w:tcPr>
          <w:p w14:paraId="12F72F05" w14:textId="77777777" w:rsidR="00B5334B" w:rsidRPr="000438FB" w:rsidRDefault="00B5334B" w:rsidP="007F7F7D">
            <w:pPr>
              <w:pStyle w:val="CETBodytext"/>
              <w:jc w:val="center"/>
            </w:pPr>
            <w:r>
              <w:t>EtOH</w:t>
            </w:r>
          </w:p>
        </w:tc>
        <w:tc>
          <w:tcPr>
            <w:tcW w:w="763" w:type="pct"/>
            <w:shd w:val="clear" w:color="auto" w:fill="FFFFFF"/>
            <w:vAlign w:val="center"/>
          </w:tcPr>
          <w:p w14:paraId="2FD38E63" w14:textId="77777777" w:rsidR="00B5334B" w:rsidRPr="00B57B36" w:rsidRDefault="00B5334B" w:rsidP="007F7F7D">
            <w:pPr>
              <w:pStyle w:val="CETBodytext"/>
              <w:jc w:val="center"/>
              <w:rPr>
                <w:lang w:val="en-GB"/>
              </w:rPr>
            </w:pPr>
            <w:r w:rsidRPr="005C2088">
              <w:t>Biochemical</w:t>
            </w:r>
          </w:p>
        </w:tc>
        <w:tc>
          <w:tcPr>
            <w:tcW w:w="794" w:type="pct"/>
            <w:shd w:val="clear" w:color="auto" w:fill="FFFFFF"/>
            <w:vAlign w:val="center"/>
          </w:tcPr>
          <w:p w14:paraId="620A2EF3" w14:textId="77777777" w:rsidR="00B5334B" w:rsidRPr="005C2088" w:rsidRDefault="00B5334B" w:rsidP="007F7F7D">
            <w:pPr>
              <w:pStyle w:val="CETBodytext"/>
              <w:jc w:val="center"/>
            </w:pPr>
            <w:r w:rsidRPr="00B233C5">
              <w:t>Lignocellulosic</w:t>
            </w:r>
          </w:p>
        </w:tc>
        <w:tc>
          <w:tcPr>
            <w:tcW w:w="979" w:type="pct"/>
            <w:shd w:val="clear" w:color="auto" w:fill="FFFFFF"/>
          </w:tcPr>
          <w:p w14:paraId="3BB808F4" w14:textId="77777777" w:rsidR="00B5334B" w:rsidRPr="00B57B36" w:rsidRDefault="00B5334B" w:rsidP="007F7F7D">
            <w:pPr>
              <w:pStyle w:val="CETBodytext"/>
              <w:jc w:val="center"/>
              <w:rPr>
                <w:lang w:val="en-GB"/>
              </w:rPr>
            </w:pPr>
            <w:proofErr w:type="spellStart"/>
            <w:r w:rsidRPr="005C2088">
              <w:t>Pretratment</w:t>
            </w:r>
            <w:proofErr w:type="spellEnd"/>
            <w:r w:rsidRPr="005C2088">
              <w:t xml:space="preserve"> + </w:t>
            </w:r>
            <w:proofErr w:type="gramStart"/>
            <w:r w:rsidRPr="005C2088">
              <w:t>Hydrolysis  +</w:t>
            </w:r>
            <w:proofErr w:type="gramEnd"/>
            <w:r w:rsidRPr="005C2088">
              <w:t xml:space="preserve"> Fermentation</w:t>
            </w:r>
          </w:p>
        </w:tc>
        <w:tc>
          <w:tcPr>
            <w:tcW w:w="554" w:type="pct"/>
            <w:shd w:val="clear" w:color="auto" w:fill="FFFFFF"/>
          </w:tcPr>
          <w:p w14:paraId="1E3C48F7" w14:textId="77777777" w:rsidR="00B5334B" w:rsidRPr="00B57B36" w:rsidRDefault="00B5334B" w:rsidP="007F7F7D">
            <w:pPr>
              <w:pStyle w:val="CETBodytext"/>
              <w:jc w:val="center"/>
              <w:rPr>
                <w:lang w:val="en-GB"/>
              </w:rPr>
            </w:pPr>
            <w:r w:rsidRPr="005C2088">
              <w:t>20%</w:t>
            </w:r>
          </w:p>
        </w:tc>
        <w:tc>
          <w:tcPr>
            <w:tcW w:w="564" w:type="pct"/>
            <w:shd w:val="clear" w:color="auto" w:fill="FFFFFF"/>
          </w:tcPr>
          <w:p w14:paraId="09C7FAC9" w14:textId="77777777" w:rsidR="00B5334B" w:rsidRPr="00B57B36" w:rsidRDefault="00B5334B" w:rsidP="007F7F7D">
            <w:pPr>
              <w:pStyle w:val="CETBodytext"/>
              <w:ind w:right="-1"/>
              <w:jc w:val="center"/>
              <w:rPr>
                <w:rFonts w:cs="Arial"/>
                <w:szCs w:val="18"/>
                <w:lang w:val="en-GB"/>
              </w:rPr>
            </w:pPr>
            <w:r w:rsidRPr="005C2088">
              <w:t>0%</w:t>
            </w:r>
          </w:p>
        </w:tc>
        <w:tc>
          <w:tcPr>
            <w:tcW w:w="806" w:type="pct"/>
            <w:shd w:val="clear" w:color="auto" w:fill="FFFFFF"/>
          </w:tcPr>
          <w:p w14:paraId="57EC9655" w14:textId="77777777" w:rsidR="00B5334B" w:rsidRPr="002F4090" w:rsidRDefault="00B5334B" w:rsidP="007F7F7D">
            <w:pPr>
              <w:pStyle w:val="CETBodytext"/>
              <w:ind w:right="-1"/>
              <w:jc w:val="center"/>
            </w:pPr>
            <w:r w:rsidRPr="005C2088">
              <w:t>0%</w:t>
            </w:r>
          </w:p>
        </w:tc>
      </w:tr>
      <w:tr w:rsidR="00B5334B" w:rsidRPr="00B57B36" w14:paraId="60116909" w14:textId="77777777" w:rsidTr="007F7F7D">
        <w:trPr>
          <w:jc w:val="center"/>
        </w:trPr>
        <w:tc>
          <w:tcPr>
            <w:tcW w:w="541" w:type="pct"/>
            <w:shd w:val="clear" w:color="auto" w:fill="FFFFFF"/>
            <w:vAlign w:val="center"/>
          </w:tcPr>
          <w:p w14:paraId="5FD84A40" w14:textId="77777777" w:rsidR="00B5334B" w:rsidRPr="000438FB" w:rsidRDefault="00B5334B" w:rsidP="007F7F7D">
            <w:pPr>
              <w:pStyle w:val="CETBodytext"/>
              <w:jc w:val="center"/>
            </w:pPr>
            <w:r>
              <w:t>EtOH</w:t>
            </w:r>
          </w:p>
        </w:tc>
        <w:tc>
          <w:tcPr>
            <w:tcW w:w="763" w:type="pct"/>
            <w:shd w:val="clear" w:color="auto" w:fill="FFFFFF"/>
            <w:vAlign w:val="center"/>
          </w:tcPr>
          <w:p w14:paraId="07A573C3" w14:textId="77777777" w:rsidR="00B5334B" w:rsidRPr="00B233C5" w:rsidRDefault="00B5334B" w:rsidP="007F7F7D">
            <w:pPr>
              <w:pStyle w:val="CETBodytext"/>
              <w:jc w:val="center"/>
            </w:pPr>
            <w:r w:rsidRPr="000438FB">
              <w:t>Biochemical</w:t>
            </w:r>
          </w:p>
        </w:tc>
        <w:tc>
          <w:tcPr>
            <w:tcW w:w="794" w:type="pct"/>
            <w:shd w:val="clear" w:color="auto" w:fill="FFFFFF"/>
            <w:vAlign w:val="center"/>
          </w:tcPr>
          <w:p w14:paraId="7156B2A3" w14:textId="77777777" w:rsidR="00B5334B" w:rsidRPr="000438FB" w:rsidRDefault="00B5334B" w:rsidP="007F7F7D">
            <w:pPr>
              <w:pStyle w:val="CETBodytext"/>
              <w:jc w:val="center"/>
            </w:pPr>
            <w:r>
              <w:t>1</w:t>
            </w:r>
            <w:r w:rsidRPr="00982268">
              <w:rPr>
                <w:vertAlign w:val="superscript"/>
              </w:rPr>
              <w:t>st</w:t>
            </w:r>
            <w:r>
              <w:t xml:space="preserve"> Gen.</w:t>
            </w:r>
            <w:r w:rsidRPr="00B233C5">
              <w:t xml:space="preserve"> </w:t>
            </w:r>
            <w:r>
              <w:t>S</w:t>
            </w:r>
            <w:r w:rsidRPr="00B233C5">
              <w:t>ugars</w:t>
            </w:r>
          </w:p>
        </w:tc>
        <w:tc>
          <w:tcPr>
            <w:tcW w:w="979" w:type="pct"/>
            <w:shd w:val="clear" w:color="auto" w:fill="FFFFFF"/>
            <w:vAlign w:val="center"/>
          </w:tcPr>
          <w:p w14:paraId="26101D43" w14:textId="77777777" w:rsidR="00B5334B" w:rsidRPr="00B233C5" w:rsidRDefault="00B5334B" w:rsidP="007F7F7D">
            <w:pPr>
              <w:pStyle w:val="CETBodytext"/>
              <w:jc w:val="center"/>
            </w:pPr>
            <w:r w:rsidRPr="000438FB">
              <w:t>Fermentation</w:t>
            </w:r>
          </w:p>
        </w:tc>
        <w:tc>
          <w:tcPr>
            <w:tcW w:w="554" w:type="pct"/>
            <w:shd w:val="clear" w:color="auto" w:fill="FFFFFF"/>
            <w:vAlign w:val="center"/>
          </w:tcPr>
          <w:p w14:paraId="533F6B88" w14:textId="77777777" w:rsidR="00B5334B" w:rsidRPr="00B233C5" w:rsidRDefault="00B5334B" w:rsidP="007F7F7D">
            <w:pPr>
              <w:pStyle w:val="CETBodytext"/>
              <w:jc w:val="center"/>
            </w:pPr>
            <w:r w:rsidRPr="000438FB">
              <w:t>40%</w:t>
            </w:r>
          </w:p>
        </w:tc>
        <w:tc>
          <w:tcPr>
            <w:tcW w:w="564" w:type="pct"/>
            <w:shd w:val="clear" w:color="auto" w:fill="FFFFFF"/>
            <w:vAlign w:val="center"/>
          </w:tcPr>
          <w:p w14:paraId="430D123A" w14:textId="77777777" w:rsidR="00B5334B" w:rsidRPr="00B233C5" w:rsidRDefault="00B5334B" w:rsidP="007F7F7D">
            <w:pPr>
              <w:pStyle w:val="CETBodytext"/>
              <w:ind w:right="-1"/>
              <w:jc w:val="center"/>
            </w:pPr>
            <w:r w:rsidRPr="000438FB">
              <w:t>0%</w:t>
            </w:r>
          </w:p>
        </w:tc>
        <w:tc>
          <w:tcPr>
            <w:tcW w:w="806" w:type="pct"/>
            <w:shd w:val="clear" w:color="auto" w:fill="FFFFFF"/>
            <w:vAlign w:val="center"/>
          </w:tcPr>
          <w:p w14:paraId="67812265" w14:textId="77777777" w:rsidR="00B5334B" w:rsidRPr="002F4090" w:rsidRDefault="00B5334B" w:rsidP="007F7F7D">
            <w:pPr>
              <w:pStyle w:val="CETBodytext"/>
              <w:ind w:right="-1"/>
              <w:jc w:val="center"/>
            </w:pPr>
            <w:r w:rsidRPr="000438FB">
              <w:t>0%</w:t>
            </w:r>
          </w:p>
        </w:tc>
      </w:tr>
      <w:tr w:rsidR="00B5334B" w:rsidRPr="00B57B36" w14:paraId="08DEA806" w14:textId="77777777" w:rsidTr="007F7F7D">
        <w:trPr>
          <w:jc w:val="center"/>
        </w:trPr>
        <w:tc>
          <w:tcPr>
            <w:tcW w:w="541" w:type="pct"/>
            <w:shd w:val="clear" w:color="auto" w:fill="FFFFFF"/>
            <w:vAlign w:val="center"/>
          </w:tcPr>
          <w:p w14:paraId="16F77123" w14:textId="77777777" w:rsidR="00B5334B" w:rsidRPr="000438FB" w:rsidRDefault="00B5334B" w:rsidP="007F7F7D">
            <w:pPr>
              <w:pStyle w:val="CETBodytext"/>
              <w:jc w:val="center"/>
            </w:pPr>
            <w:r>
              <w:t>Biocrude</w:t>
            </w:r>
          </w:p>
        </w:tc>
        <w:tc>
          <w:tcPr>
            <w:tcW w:w="763" w:type="pct"/>
            <w:shd w:val="clear" w:color="auto" w:fill="FFFFFF"/>
            <w:vAlign w:val="center"/>
          </w:tcPr>
          <w:p w14:paraId="2DBC10A6" w14:textId="77777777" w:rsidR="00B5334B" w:rsidRPr="002F4090" w:rsidRDefault="00B5334B" w:rsidP="007F7F7D">
            <w:pPr>
              <w:pStyle w:val="CETBodytext"/>
              <w:jc w:val="center"/>
            </w:pPr>
            <w:r w:rsidRPr="000438FB">
              <w:t>Thermochemical</w:t>
            </w:r>
          </w:p>
        </w:tc>
        <w:tc>
          <w:tcPr>
            <w:tcW w:w="794" w:type="pct"/>
            <w:shd w:val="clear" w:color="auto" w:fill="FFFFFF"/>
            <w:vAlign w:val="center"/>
          </w:tcPr>
          <w:p w14:paraId="22D78E58" w14:textId="77777777" w:rsidR="00B5334B" w:rsidRPr="000438FB" w:rsidRDefault="00B5334B" w:rsidP="007F7F7D">
            <w:pPr>
              <w:pStyle w:val="CETBodytext"/>
              <w:jc w:val="center"/>
            </w:pPr>
            <w:r w:rsidRPr="00B233C5">
              <w:t>Lignocellulosic</w:t>
            </w:r>
          </w:p>
        </w:tc>
        <w:tc>
          <w:tcPr>
            <w:tcW w:w="979" w:type="pct"/>
            <w:shd w:val="clear" w:color="auto" w:fill="FFFFFF"/>
            <w:vAlign w:val="center"/>
          </w:tcPr>
          <w:p w14:paraId="427C77DF" w14:textId="77777777" w:rsidR="00B5334B" w:rsidRPr="002F4090" w:rsidRDefault="00B5334B" w:rsidP="007F7F7D">
            <w:pPr>
              <w:pStyle w:val="CETBodytext"/>
              <w:jc w:val="center"/>
            </w:pPr>
            <w:proofErr w:type="spellStart"/>
            <w:r w:rsidRPr="000438FB">
              <w:t>HydroThermal</w:t>
            </w:r>
            <w:proofErr w:type="spellEnd"/>
            <w:r w:rsidRPr="000438FB">
              <w:t xml:space="preserve"> Liquefaction</w:t>
            </w:r>
          </w:p>
        </w:tc>
        <w:tc>
          <w:tcPr>
            <w:tcW w:w="554" w:type="pct"/>
            <w:shd w:val="clear" w:color="auto" w:fill="FFFFFF"/>
            <w:vAlign w:val="center"/>
          </w:tcPr>
          <w:p w14:paraId="3C0F7ECD" w14:textId="77777777" w:rsidR="00B5334B" w:rsidRPr="002F4090" w:rsidRDefault="00B5334B" w:rsidP="007F7F7D">
            <w:pPr>
              <w:pStyle w:val="CETBodytext"/>
              <w:jc w:val="center"/>
            </w:pPr>
            <w:r w:rsidRPr="000438FB">
              <w:t>29%</w:t>
            </w:r>
          </w:p>
        </w:tc>
        <w:tc>
          <w:tcPr>
            <w:tcW w:w="564" w:type="pct"/>
            <w:shd w:val="clear" w:color="auto" w:fill="FFFFFF"/>
            <w:vAlign w:val="center"/>
          </w:tcPr>
          <w:p w14:paraId="398061AE" w14:textId="77777777" w:rsidR="00B5334B" w:rsidRPr="002F4090" w:rsidRDefault="00B5334B" w:rsidP="007F7F7D">
            <w:pPr>
              <w:pStyle w:val="CETBodytext"/>
              <w:ind w:right="-1"/>
              <w:jc w:val="center"/>
            </w:pPr>
            <w:r w:rsidRPr="000438FB">
              <w:t>0%</w:t>
            </w:r>
          </w:p>
        </w:tc>
        <w:tc>
          <w:tcPr>
            <w:tcW w:w="806" w:type="pct"/>
            <w:shd w:val="clear" w:color="auto" w:fill="FFFFFF"/>
            <w:vAlign w:val="center"/>
          </w:tcPr>
          <w:p w14:paraId="0D301692" w14:textId="77777777" w:rsidR="00B5334B" w:rsidRPr="002F4090" w:rsidRDefault="00B5334B" w:rsidP="007F7F7D">
            <w:pPr>
              <w:pStyle w:val="CETBodytext"/>
              <w:ind w:right="-1"/>
              <w:jc w:val="center"/>
            </w:pPr>
            <w:r w:rsidRPr="000438FB">
              <w:t>0%</w:t>
            </w:r>
          </w:p>
        </w:tc>
      </w:tr>
      <w:tr w:rsidR="00B5334B" w:rsidRPr="00B57B36" w14:paraId="09ADE96C" w14:textId="77777777" w:rsidTr="007F7F7D">
        <w:trPr>
          <w:jc w:val="center"/>
        </w:trPr>
        <w:tc>
          <w:tcPr>
            <w:tcW w:w="541" w:type="pct"/>
            <w:shd w:val="clear" w:color="auto" w:fill="FFFFFF"/>
            <w:vAlign w:val="center"/>
          </w:tcPr>
          <w:p w14:paraId="60E09E82" w14:textId="77777777" w:rsidR="00B5334B" w:rsidRPr="000438FB" w:rsidRDefault="00B5334B" w:rsidP="007F7F7D">
            <w:pPr>
              <w:pStyle w:val="CETBodytext"/>
              <w:ind w:right="-1"/>
              <w:jc w:val="center"/>
            </w:pPr>
            <w:r>
              <w:t>Pyro-Oil</w:t>
            </w:r>
          </w:p>
        </w:tc>
        <w:tc>
          <w:tcPr>
            <w:tcW w:w="763" w:type="pct"/>
            <w:shd w:val="clear" w:color="auto" w:fill="FFFFFF"/>
            <w:vAlign w:val="center"/>
          </w:tcPr>
          <w:p w14:paraId="242DC123" w14:textId="77777777" w:rsidR="00B5334B" w:rsidRPr="00B57B36" w:rsidRDefault="00B5334B" w:rsidP="007F7F7D">
            <w:pPr>
              <w:pStyle w:val="CETBodytext"/>
              <w:ind w:right="-1"/>
              <w:jc w:val="center"/>
              <w:rPr>
                <w:rFonts w:cs="Arial"/>
                <w:szCs w:val="18"/>
                <w:lang w:val="en-GB"/>
              </w:rPr>
            </w:pPr>
            <w:r w:rsidRPr="000438FB">
              <w:t>Thermochemical</w:t>
            </w:r>
          </w:p>
        </w:tc>
        <w:tc>
          <w:tcPr>
            <w:tcW w:w="794" w:type="pct"/>
            <w:shd w:val="clear" w:color="auto" w:fill="FFFFFF"/>
            <w:vAlign w:val="center"/>
          </w:tcPr>
          <w:p w14:paraId="0A572260" w14:textId="77777777" w:rsidR="00B5334B" w:rsidRPr="000438FB" w:rsidRDefault="00B5334B" w:rsidP="007F7F7D">
            <w:pPr>
              <w:pStyle w:val="CETBodytext"/>
              <w:ind w:right="-1"/>
              <w:jc w:val="center"/>
            </w:pPr>
            <w:r w:rsidRPr="00B233C5">
              <w:t>Lignocellulosic</w:t>
            </w:r>
          </w:p>
        </w:tc>
        <w:tc>
          <w:tcPr>
            <w:tcW w:w="979" w:type="pct"/>
            <w:shd w:val="clear" w:color="auto" w:fill="FFFFFF"/>
            <w:vAlign w:val="center"/>
          </w:tcPr>
          <w:p w14:paraId="4BCE7B5D" w14:textId="77777777" w:rsidR="00B5334B" w:rsidRPr="00B57B36" w:rsidRDefault="00B5334B" w:rsidP="007F7F7D">
            <w:pPr>
              <w:pStyle w:val="CETBodytext"/>
              <w:ind w:right="-1"/>
              <w:jc w:val="center"/>
              <w:rPr>
                <w:rFonts w:cs="Arial"/>
                <w:szCs w:val="18"/>
                <w:lang w:val="en-GB"/>
              </w:rPr>
            </w:pPr>
            <w:r w:rsidRPr="000438FB">
              <w:t>Pyrolysis</w:t>
            </w:r>
          </w:p>
        </w:tc>
        <w:tc>
          <w:tcPr>
            <w:tcW w:w="554" w:type="pct"/>
            <w:shd w:val="clear" w:color="auto" w:fill="FFFFFF"/>
            <w:vAlign w:val="center"/>
          </w:tcPr>
          <w:p w14:paraId="4B5F8B5B" w14:textId="77777777" w:rsidR="00B5334B" w:rsidRPr="00B57B36" w:rsidRDefault="00B5334B" w:rsidP="007F7F7D">
            <w:pPr>
              <w:pStyle w:val="CETBodytext"/>
              <w:ind w:right="-1"/>
              <w:jc w:val="center"/>
              <w:rPr>
                <w:rFonts w:cs="Arial"/>
                <w:szCs w:val="18"/>
                <w:lang w:val="en-GB"/>
              </w:rPr>
            </w:pPr>
            <w:r w:rsidRPr="000438FB">
              <w:t>30%</w:t>
            </w:r>
          </w:p>
        </w:tc>
        <w:tc>
          <w:tcPr>
            <w:tcW w:w="564" w:type="pct"/>
            <w:shd w:val="clear" w:color="auto" w:fill="FFFFFF"/>
            <w:vAlign w:val="center"/>
          </w:tcPr>
          <w:p w14:paraId="2B720378" w14:textId="77777777" w:rsidR="00B5334B" w:rsidRPr="00B57B36" w:rsidRDefault="00B5334B" w:rsidP="007F7F7D">
            <w:pPr>
              <w:pStyle w:val="CETBodytext"/>
              <w:ind w:right="-1"/>
              <w:jc w:val="center"/>
              <w:rPr>
                <w:rFonts w:cs="Arial"/>
                <w:szCs w:val="18"/>
                <w:lang w:val="en-GB"/>
              </w:rPr>
            </w:pPr>
            <w:r w:rsidRPr="000438FB">
              <w:t>0%</w:t>
            </w:r>
          </w:p>
        </w:tc>
        <w:tc>
          <w:tcPr>
            <w:tcW w:w="806" w:type="pct"/>
            <w:shd w:val="clear" w:color="auto" w:fill="FFFFFF"/>
            <w:vAlign w:val="center"/>
          </w:tcPr>
          <w:p w14:paraId="4FFBCB2A" w14:textId="77777777" w:rsidR="00B5334B" w:rsidRPr="002F4090" w:rsidRDefault="00B5334B" w:rsidP="007F7F7D">
            <w:pPr>
              <w:pStyle w:val="CETBodytext"/>
              <w:ind w:right="-1"/>
              <w:jc w:val="center"/>
            </w:pPr>
            <w:r w:rsidRPr="000438FB">
              <w:t>0%</w:t>
            </w:r>
          </w:p>
        </w:tc>
      </w:tr>
    </w:tbl>
    <w:p w14:paraId="08BE1B20" w14:textId="77777777" w:rsidR="00B5334B" w:rsidRDefault="00B5334B" w:rsidP="000467CC">
      <w:pPr>
        <w:pStyle w:val="CETBodytext"/>
      </w:pPr>
    </w:p>
    <w:p w14:paraId="132B4A6F" w14:textId="7C8D201E" w:rsidR="00453E24" w:rsidRDefault="00D73D09" w:rsidP="000467CC">
      <w:pPr>
        <w:pStyle w:val="CETBodytext"/>
      </w:pPr>
      <w:r w:rsidRPr="00D73D09">
        <w:lastRenderedPageBreak/>
        <w:t xml:space="preserve">Two pathways converge on vegetable oil conversion via catalytic processes: one employs hydrodeoxygenation to produce </w:t>
      </w:r>
      <w:proofErr w:type="spellStart"/>
      <w:r w:rsidRPr="00D73D09">
        <w:t>HEFA</w:t>
      </w:r>
      <w:proofErr w:type="spellEnd"/>
      <w:r w:rsidRPr="00D73D09">
        <w:t xml:space="preserve"> using hydrogen, the other transesterification to yield FAME using methanol. Both are mature, selective processes targeted at drop-in biofuels (</w:t>
      </w:r>
      <w:proofErr w:type="spellStart"/>
      <w:r w:rsidRPr="00D73D09">
        <w:t>HEFA</w:t>
      </w:r>
      <w:proofErr w:type="spellEnd"/>
      <w:r w:rsidRPr="00D73D09">
        <w:t xml:space="preserve">) or conventional biodiesel (FAME). </w:t>
      </w:r>
      <w:proofErr w:type="spellStart"/>
      <w:r w:rsidRPr="00D73D09">
        <w:t>Lignocellulosics</w:t>
      </w:r>
      <w:proofErr w:type="spellEnd"/>
      <w:r w:rsidRPr="00D73D09">
        <w:t xml:space="preserve"> can be converted through one-step thermochemical processes (pyrolysis for pyro-oil, hydrothermal liquefaction for highly wet matrices to produce biocrude) or combined routes (gasification followed by methanol synthesis, with or without H</w:t>
      </w:r>
      <w:r w:rsidRPr="00D73D09">
        <w:rPr>
          <w:rFonts w:ascii="Cambria Math" w:hAnsi="Cambria Math" w:cs="Cambria Math"/>
        </w:rPr>
        <w:t>₂</w:t>
      </w:r>
      <w:r w:rsidRPr="00D73D09">
        <w:t xml:space="preserve"> enrichment). These chains prioritize syngas as a gaseous intermediate toward liquids, with variants modulating external hydrogen demand. Fermentation and biotechnological processes are central for ethanol production, from first-generation sugars (directly) or </w:t>
      </w:r>
      <w:proofErr w:type="spellStart"/>
      <w:r w:rsidRPr="00D73D09">
        <w:t>lignocellulosics</w:t>
      </w:r>
      <w:proofErr w:type="spellEnd"/>
      <w:r w:rsidRPr="00D73D09">
        <w:t xml:space="preserve"> (preceded by pretreatment and hydrolysis). These combinations leverage biological routes for oxygenated biofuels, distinct from thermochemical ones due to lower energy intensity but greater upstream complexity.</w:t>
      </w:r>
      <w:r w:rsidR="009E4AD1">
        <w:t xml:space="preserve"> </w:t>
      </w:r>
      <w:r w:rsidR="00063C81">
        <w:t>Further, relevant quantit</w:t>
      </w:r>
      <w:r w:rsidR="007E2127">
        <w:t xml:space="preserve">ies of reactants/energy </w:t>
      </w:r>
      <w:proofErr w:type="gramStart"/>
      <w:r w:rsidR="007E2127">
        <w:t>carrier</w:t>
      </w:r>
      <w:proofErr w:type="gramEnd"/>
      <w:r w:rsidR="007E2127">
        <w:t xml:space="preserve"> (methanol or hydrogen) have da be </w:t>
      </w:r>
      <w:r w:rsidR="00446533">
        <w:t xml:space="preserve">considered, in particular </w:t>
      </w:r>
      <w:proofErr w:type="gramStart"/>
      <w:r w:rsidR="00446533">
        <w:t>for the production of</w:t>
      </w:r>
      <w:proofErr w:type="gramEnd"/>
      <w:r w:rsidR="00446533">
        <w:t xml:space="preserve"> FAME (using methanol), </w:t>
      </w:r>
      <w:proofErr w:type="spellStart"/>
      <w:r w:rsidR="00446533">
        <w:t>HEFA</w:t>
      </w:r>
      <w:proofErr w:type="spellEnd"/>
      <w:r w:rsidR="00446533">
        <w:t xml:space="preserve"> or </w:t>
      </w:r>
      <w:proofErr w:type="spellStart"/>
      <w:r w:rsidR="00446533">
        <w:t>biomethanol</w:t>
      </w:r>
      <w:proofErr w:type="spellEnd"/>
      <w:r w:rsidR="00446533">
        <w:t xml:space="preserve"> (using hydrogen). </w:t>
      </w:r>
      <w:r w:rsidR="00865053" w:rsidRPr="00865053">
        <w:t xml:space="preserve">Hydrogen can be obtained through electrolysis using renewable energy, typically with emissions ranging from 0 (if from renewable energy surpluses) to 2 </w:t>
      </w:r>
      <w:proofErr w:type="spellStart"/>
      <w:r w:rsidR="00865053" w:rsidRPr="00865053">
        <w:t>kg</w:t>
      </w:r>
      <w:r w:rsidR="00865053" w:rsidRPr="00A32174">
        <w:rPr>
          <w:vertAlign w:val="subscript"/>
        </w:rPr>
        <w:t>CO</w:t>
      </w:r>
      <w:r w:rsidR="00865053" w:rsidRPr="00A32174">
        <w:rPr>
          <w:rFonts w:ascii="Cambria Math" w:hAnsi="Cambria Math" w:cs="Cambria Math"/>
          <w:vertAlign w:val="subscript"/>
        </w:rPr>
        <w:t>₂</w:t>
      </w:r>
      <w:r w:rsidR="00865053" w:rsidRPr="00A32174">
        <w:rPr>
          <w:vertAlign w:val="subscript"/>
        </w:rPr>
        <w:t>eq</w:t>
      </w:r>
      <w:proofErr w:type="spellEnd"/>
      <w:r w:rsidR="00865053" w:rsidRPr="00865053">
        <w:t>/</w:t>
      </w:r>
      <w:proofErr w:type="spellStart"/>
      <w:r w:rsidR="00865053" w:rsidRPr="00865053">
        <w:t>kg</w:t>
      </w:r>
      <w:r w:rsidR="00865053" w:rsidRPr="00111601">
        <w:rPr>
          <w:vertAlign w:val="subscript"/>
        </w:rPr>
        <w:t>H</w:t>
      </w:r>
      <w:proofErr w:type="spellEnd"/>
      <w:r w:rsidR="00865053" w:rsidRPr="00111601">
        <w:rPr>
          <w:rFonts w:ascii="Cambria Math" w:hAnsi="Cambria Math" w:cs="Cambria Math"/>
          <w:vertAlign w:val="subscript"/>
        </w:rPr>
        <w:t>₂</w:t>
      </w:r>
      <w:r w:rsidR="00865053" w:rsidRPr="00865053">
        <w:t xml:space="preserve">, but at very high costs of 5-10 </w:t>
      </w:r>
      <w:r w:rsidR="00865053" w:rsidRPr="00865053">
        <w:rPr>
          <w:rFonts w:cs="Arial"/>
        </w:rPr>
        <w:t>€</w:t>
      </w:r>
      <w:r w:rsidR="00865053" w:rsidRPr="00865053">
        <w:t>/</w:t>
      </w:r>
      <w:proofErr w:type="spellStart"/>
      <w:r w:rsidR="00865053" w:rsidRPr="00865053">
        <w:t>kg</w:t>
      </w:r>
      <w:r w:rsidR="00865053" w:rsidRPr="00A32174">
        <w:rPr>
          <w:vertAlign w:val="subscript"/>
        </w:rPr>
        <w:t>H</w:t>
      </w:r>
      <w:proofErr w:type="spellEnd"/>
      <w:r w:rsidR="00865053" w:rsidRPr="00A32174">
        <w:rPr>
          <w:rFonts w:ascii="Cambria Math" w:hAnsi="Cambria Math" w:cs="Cambria Math"/>
          <w:vertAlign w:val="subscript"/>
        </w:rPr>
        <w:t>₂</w:t>
      </w:r>
      <w:r w:rsidR="00865053" w:rsidRPr="00865053">
        <w:t>. In contrast, medium-to-high emission hydrogen</w:t>
      </w:r>
      <w:r w:rsidR="00865053" w:rsidRPr="00865053">
        <w:rPr>
          <w:rFonts w:cs="Arial"/>
        </w:rPr>
        <w:t>—</w:t>
      </w:r>
      <w:r w:rsidR="00865053" w:rsidRPr="00865053">
        <w:t>depending on whether CO</w:t>
      </w:r>
      <w:r w:rsidR="00865053" w:rsidRPr="00865053">
        <w:rPr>
          <w:rFonts w:ascii="Cambria Math" w:hAnsi="Cambria Math" w:cs="Cambria Math"/>
        </w:rPr>
        <w:t>₂</w:t>
      </w:r>
      <w:r w:rsidR="00865053" w:rsidRPr="00865053">
        <w:t xml:space="preserve"> storage from Steam Methane Reforming (</w:t>
      </w:r>
      <w:proofErr w:type="spellStart"/>
      <w:r w:rsidR="00865053" w:rsidRPr="00865053">
        <w:t>SMR</w:t>
      </w:r>
      <w:proofErr w:type="spellEnd"/>
      <w:r w:rsidR="00865053" w:rsidRPr="00865053">
        <w:t>) is used</w:t>
      </w:r>
      <w:r w:rsidR="00865053" w:rsidRPr="00865053">
        <w:rPr>
          <w:rFonts w:cs="Arial"/>
        </w:rPr>
        <w:t>—</w:t>
      </w:r>
      <w:r w:rsidR="00865053" w:rsidRPr="00865053">
        <w:t xml:space="preserve">can be produced at much lower costs of 2-3 </w:t>
      </w:r>
      <w:r w:rsidR="00865053" w:rsidRPr="00865053">
        <w:rPr>
          <w:rFonts w:cs="Arial"/>
        </w:rPr>
        <w:t>€</w:t>
      </w:r>
      <w:r w:rsidR="00865053" w:rsidRPr="00865053">
        <w:t>/</w:t>
      </w:r>
      <w:proofErr w:type="spellStart"/>
      <w:r w:rsidR="00865053" w:rsidRPr="00865053">
        <w:t>kg</w:t>
      </w:r>
      <w:r w:rsidR="00865053" w:rsidRPr="00111601">
        <w:rPr>
          <w:vertAlign w:val="subscript"/>
        </w:rPr>
        <w:t>H</w:t>
      </w:r>
      <w:proofErr w:type="spellEnd"/>
      <w:r w:rsidR="00865053" w:rsidRPr="00111601">
        <w:rPr>
          <w:rFonts w:ascii="Cambria Math" w:hAnsi="Cambria Math" w:cs="Cambria Math"/>
          <w:vertAlign w:val="subscript"/>
        </w:rPr>
        <w:t>₂</w:t>
      </w:r>
      <w:r w:rsidR="00865053" w:rsidRPr="00865053">
        <w:t xml:space="preserve">. Methanol, as expected, can be derived from fossils with high emissions (2.2 </w:t>
      </w:r>
      <w:proofErr w:type="spellStart"/>
      <w:r w:rsidR="00865053" w:rsidRPr="00865053">
        <w:t>kg</w:t>
      </w:r>
      <w:r w:rsidR="00865053" w:rsidRPr="00A32174">
        <w:rPr>
          <w:vertAlign w:val="subscript"/>
        </w:rPr>
        <w:t>CO</w:t>
      </w:r>
      <w:r w:rsidR="00865053" w:rsidRPr="00A32174">
        <w:rPr>
          <w:rFonts w:ascii="Cambria Math" w:hAnsi="Cambria Math" w:cs="Cambria Math"/>
          <w:vertAlign w:val="subscript"/>
        </w:rPr>
        <w:t>₂</w:t>
      </w:r>
      <w:r w:rsidR="00865053" w:rsidRPr="00A32174">
        <w:rPr>
          <w:vertAlign w:val="subscript"/>
        </w:rPr>
        <w:t>eq</w:t>
      </w:r>
      <w:proofErr w:type="spellEnd"/>
      <w:r w:rsidR="00865053" w:rsidRPr="00865053">
        <w:t>/</w:t>
      </w:r>
      <w:proofErr w:type="spellStart"/>
      <w:r w:rsidR="00865053" w:rsidRPr="00865053">
        <w:t>kg</w:t>
      </w:r>
      <w:r w:rsidR="00865053" w:rsidRPr="00111601">
        <w:rPr>
          <w:vertAlign w:val="subscript"/>
        </w:rPr>
        <w:t>MeOH</w:t>
      </w:r>
      <w:proofErr w:type="spellEnd"/>
      <w:r w:rsidR="00865053" w:rsidRPr="00865053">
        <w:t>) or from biomass as assessed in this study, with wide ranges of costs and emissions.</w:t>
      </w:r>
    </w:p>
    <w:p w14:paraId="2C3C932A" w14:textId="73553C14" w:rsidR="009878ED" w:rsidRPr="00B57B36" w:rsidRDefault="00FD2206" w:rsidP="009878ED">
      <w:pPr>
        <w:pStyle w:val="CETheadingx"/>
      </w:pPr>
      <w:r>
        <w:t xml:space="preserve">Bioresource conversion performance </w:t>
      </w:r>
      <w:proofErr w:type="spellStart"/>
      <w:r>
        <w:t>indeces</w:t>
      </w:r>
      <w:proofErr w:type="spellEnd"/>
    </w:p>
    <w:p w14:paraId="4C4650E2" w14:textId="489FC153" w:rsidR="00386344" w:rsidRPr="00BA2187" w:rsidRDefault="0090612E" w:rsidP="00F41EFB">
      <w:pPr>
        <w:pStyle w:val="CETBodytext"/>
        <w:keepNext/>
      </w:pPr>
      <w:r w:rsidRPr="00BA2187">
        <w:t>Several performance indicators were evaluated and compared, such as the energy efficiency of different biorefinery pathways, considering two perspectives: biomass only, and biomass plus external vectors like hydrogen and methanol</w:t>
      </w:r>
      <w:r w:rsidR="00BA2187" w:rsidRPr="00BA2187">
        <w:t>:</w:t>
      </w:r>
    </w:p>
    <w:tbl>
      <w:tblPr>
        <w:tblW w:w="5000" w:type="pct"/>
        <w:tblLook w:val="04A0" w:firstRow="1" w:lastRow="0" w:firstColumn="1" w:lastColumn="0" w:noHBand="0" w:noVBand="1"/>
      </w:tblPr>
      <w:tblGrid>
        <w:gridCol w:w="7989"/>
        <w:gridCol w:w="798"/>
      </w:tblGrid>
      <w:tr w:rsidR="00CC1AA2" w:rsidRPr="00B57B36" w14:paraId="1501BB7A" w14:textId="77777777" w:rsidTr="007F3875">
        <w:tc>
          <w:tcPr>
            <w:tcW w:w="7989" w:type="dxa"/>
            <w:vAlign w:val="center"/>
          </w:tcPr>
          <w:p w14:paraId="103D4DA9" w14:textId="7C3D6684" w:rsidR="00CC1AA2" w:rsidRPr="00CC1AA2" w:rsidRDefault="00D90CBF" w:rsidP="00F41EFB">
            <w:pPr>
              <w:pStyle w:val="CETEquation"/>
              <w:keepNext/>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Biofuel</m:t>
                        </m:r>
                      </m:sub>
                    </m:sSub>
                    <m:sSub>
                      <m:sSubPr>
                        <m:ctrlPr>
                          <w:rPr>
                            <w:rFonts w:ascii="Cambria Math" w:hAnsi="Cambria Math"/>
                            <w:i/>
                          </w:rPr>
                        </m:ctrlPr>
                      </m:sSubPr>
                      <m:e>
                        <m:r>
                          <w:rPr>
                            <w:rFonts w:ascii="Cambria Math" w:hAnsi="Cambria Math"/>
                          </w:rPr>
                          <m:t>LHV</m:t>
                        </m:r>
                      </m:e>
                      <m:sub>
                        <m:r>
                          <w:rPr>
                            <w:rFonts w:ascii="Cambria Math" w:hAnsi="Cambria Math"/>
                          </w:rPr>
                          <m:t>Biofuel</m:t>
                        </m:r>
                      </m:sub>
                    </m:sSub>
                  </m:num>
                  <m:den>
                    <m:sSub>
                      <m:sSubPr>
                        <m:ctrlPr>
                          <w:rPr>
                            <w:rFonts w:ascii="Cambria Math" w:hAnsi="Cambria Math"/>
                            <w:i/>
                          </w:rPr>
                        </m:ctrlPr>
                      </m:sSubPr>
                      <m:e>
                        <m:r>
                          <w:rPr>
                            <w:rFonts w:ascii="Cambria Math" w:hAnsi="Cambria Math"/>
                          </w:rPr>
                          <m:t>LHV</m:t>
                        </m:r>
                      </m:e>
                      <m:sub>
                        <m:r>
                          <w:rPr>
                            <w:rFonts w:ascii="Cambria Math" w:hAnsi="Cambria Math"/>
                          </w:rPr>
                          <m:t>Feedstock,dry</m:t>
                        </m:r>
                      </m:sub>
                    </m:sSub>
                  </m:den>
                </m:f>
              </m:oMath>
            </m:oMathPara>
          </w:p>
        </w:tc>
        <w:tc>
          <w:tcPr>
            <w:tcW w:w="798" w:type="dxa"/>
            <w:vAlign w:val="center"/>
          </w:tcPr>
          <w:p w14:paraId="1AD914DA" w14:textId="6DD4F215" w:rsidR="00CC1AA2" w:rsidRPr="00B57B36" w:rsidRDefault="00CC1AA2" w:rsidP="00F41EFB">
            <w:pPr>
              <w:pStyle w:val="CETEquation"/>
              <w:keepNext/>
              <w:jc w:val="right"/>
            </w:pPr>
            <w:r w:rsidRPr="00B57B36">
              <w:t>(</w:t>
            </w:r>
            <w:r>
              <w:t>1</w:t>
            </w:r>
            <w:r w:rsidRPr="00B57B36">
              <w:t>)</w:t>
            </w:r>
          </w:p>
        </w:tc>
      </w:tr>
      <w:tr w:rsidR="00386344" w:rsidRPr="00B57B36" w14:paraId="02BF24A2" w14:textId="77777777" w:rsidTr="00CC1AA2">
        <w:tc>
          <w:tcPr>
            <w:tcW w:w="7989" w:type="dxa"/>
            <w:vAlign w:val="center"/>
          </w:tcPr>
          <w:p w14:paraId="4099CBB0" w14:textId="19EE7DE9" w:rsidR="00386344" w:rsidRPr="00CC1AA2" w:rsidRDefault="00D90CBF" w:rsidP="007F3875">
            <w:pPr>
              <w:pStyle w:val="CETEquation"/>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E,NET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Biofuel</m:t>
                        </m:r>
                      </m:sub>
                    </m:sSub>
                    <m:sSub>
                      <m:sSubPr>
                        <m:ctrlPr>
                          <w:rPr>
                            <w:rFonts w:ascii="Cambria Math" w:hAnsi="Cambria Math"/>
                            <w:i/>
                          </w:rPr>
                        </m:ctrlPr>
                      </m:sSubPr>
                      <m:e>
                        <m:r>
                          <w:rPr>
                            <w:rFonts w:ascii="Cambria Math" w:hAnsi="Cambria Math"/>
                          </w:rPr>
                          <m:t>LHV</m:t>
                        </m:r>
                      </m:e>
                      <m:sub>
                        <m:r>
                          <w:rPr>
                            <w:rFonts w:ascii="Cambria Math" w:hAnsi="Cambria Math"/>
                          </w:rPr>
                          <m:t>Biofuel</m:t>
                        </m:r>
                      </m:sub>
                    </m:sSub>
                  </m:num>
                  <m:den>
                    <m:sSub>
                      <m:sSubPr>
                        <m:ctrlPr>
                          <w:rPr>
                            <w:rFonts w:ascii="Cambria Math" w:hAnsi="Cambria Math"/>
                            <w:i/>
                          </w:rPr>
                        </m:ctrlPr>
                      </m:sSubPr>
                      <m:e>
                        <m:r>
                          <w:rPr>
                            <w:rFonts w:ascii="Cambria Math" w:hAnsi="Cambria Math"/>
                          </w:rPr>
                          <m:t>LHV</m:t>
                        </m:r>
                      </m:e>
                      <m:sub>
                        <m:r>
                          <w:rPr>
                            <w:rFonts w:ascii="Cambria Math" w:hAnsi="Cambria Math"/>
                          </w:rPr>
                          <m:t>Feedstock,dry</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H2</m:t>
                        </m:r>
                      </m:sub>
                    </m:sSub>
                    <m:sSub>
                      <m:sSubPr>
                        <m:ctrlPr>
                          <w:rPr>
                            <w:rFonts w:ascii="Cambria Math" w:hAnsi="Cambria Math"/>
                            <w:i/>
                          </w:rPr>
                        </m:ctrlPr>
                      </m:sSubPr>
                      <m:e>
                        <m:r>
                          <w:rPr>
                            <w:rFonts w:ascii="Cambria Math" w:hAnsi="Cambria Math"/>
                          </w:rPr>
                          <m:t>LHV</m:t>
                        </m:r>
                      </m:e>
                      <m:sub>
                        <m:r>
                          <w:rPr>
                            <w:rFonts w:ascii="Cambria Math" w:hAnsi="Cambria Math"/>
                          </w:rPr>
                          <m:t>H2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MeOH</m:t>
                        </m:r>
                      </m:sub>
                    </m:sSub>
                    <m:sSub>
                      <m:sSubPr>
                        <m:ctrlPr>
                          <w:rPr>
                            <w:rFonts w:ascii="Cambria Math" w:hAnsi="Cambria Math"/>
                            <w:i/>
                          </w:rPr>
                        </m:ctrlPr>
                      </m:sSubPr>
                      <m:e>
                        <m:r>
                          <w:rPr>
                            <w:rFonts w:ascii="Cambria Math" w:hAnsi="Cambria Math"/>
                          </w:rPr>
                          <m:t>LHV</m:t>
                        </m:r>
                      </m:e>
                      <m:sub>
                        <m:r>
                          <w:rPr>
                            <w:rFonts w:ascii="Cambria Math" w:hAnsi="Cambria Math"/>
                          </w:rPr>
                          <m:t>MeOH</m:t>
                        </m:r>
                      </m:sub>
                    </m:sSub>
                  </m:den>
                </m:f>
              </m:oMath>
            </m:oMathPara>
          </w:p>
        </w:tc>
        <w:tc>
          <w:tcPr>
            <w:tcW w:w="798" w:type="dxa"/>
            <w:vAlign w:val="center"/>
          </w:tcPr>
          <w:p w14:paraId="6727F3C1" w14:textId="14814FA0" w:rsidR="00386344" w:rsidRPr="00B57B36" w:rsidRDefault="00386344" w:rsidP="007F3875">
            <w:pPr>
              <w:pStyle w:val="CETEquation"/>
              <w:jc w:val="right"/>
            </w:pPr>
            <w:r w:rsidRPr="00B57B36">
              <w:t>(</w:t>
            </w:r>
            <w:r w:rsidR="00CC1AA2">
              <w:t>2</w:t>
            </w:r>
            <w:r w:rsidRPr="00B57B36">
              <w:t>)</w:t>
            </w:r>
          </w:p>
        </w:tc>
      </w:tr>
    </w:tbl>
    <w:p w14:paraId="2AE4B8A4" w14:textId="48A12F08" w:rsidR="005821EB" w:rsidRDefault="00003306" w:rsidP="00003306">
      <w:pPr>
        <w:rPr>
          <w:lang w:val="en-US"/>
        </w:rPr>
      </w:pPr>
      <w:r w:rsidRPr="00804C6E">
        <w:rPr>
          <w:lang w:val="en-US"/>
        </w:rPr>
        <w:t>In the first indicator (Eq. 1), the fraction of the original biomass energy transferred to the final biofuel is measured, excluding external energy contributions. Here, pathways with shorter conversion chains and lower thermal losses perform better. In the second indicator (Eq. 2), efficiency is "penalized" by energy from additional green hydrogen and methanol inputs, thus favoring configurations requiring fewer external inputs or using them highly efficiently. The final evaluated efficiency indicator is molar, calculating the amount of carbon from the feedstock successfully converted into biofuel, net of carbon lost to char, CO</w:t>
      </w:r>
      <w:r w:rsidRPr="00804C6E">
        <w:rPr>
          <w:rFonts w:ascii="Cambria Math" w:hAnsi="Cambria Math" w:cs="Cambria Math"/>
          <w:lang w:val="en-US"/>
        </w:rPr>
        <w:t>₂</w:t>
      </w:r>
      <w:r w:rsidRPr="00804C6E">
        <w:rPr>
          <w:lang w:val="en-US"/>
        </w:rPr>
        <w:t>, and other by-products.</w:t>
      </w:r>
    </w:p>
    <w:p w14:paraId="677EBFF0" w14:textId="45AD53D9" w:rsidR="00600535" w:rsidRPr="00B57B36" w:rsidRDefault="00060C0A" w:rsidP="00600535">
      <w:pPr>
        <w:pStyle w:val="CETHeading1"/>
        <w:tabs>
          <w:tab w:val="clear" w:pos="360"/>
          <w:tab w:val="right" w:pos="7100"/>
        </w:tabs>
        <w:jc w:val="both"/>
        <w:rPr>
          <w:lang w:val="en-GB"/>
        </w:rPr>
      </w:pPr>
      <w:r>
        <w:rPr>
          <w:lang w:val="en-GB"/>
        </w:rPr>
        <w:t>Results</w:t>
      </w:r>
    </w:p>
    <w:p w14:paraId="04963A06" w14:textId="3CE6EBF7" w:rsidR="00600535" w:rsidRPr="00B57B36" w:rsidRDefault="00947F07" w:rsidP="00FA5F5F">
      <w:pPr>
        <w:pStyle w:val="CETheadingx"/>
      </w:pPr>
      <w:r>
        <w:t>Liquid biofuel analysis</w:t>
      </w:r>
    </w:p>
    <w:p w14:paraId="41E00E51" w14:textId="1C4C5210" w:rsidR="00F41EFB" w:rsidRDefault="00804C6E" w:rsidP="009C563B">
      <w:pPr>
        <w:pStyle w:val="CETCaption"/>
        <w:rPr>
          <w:i w:val="0"/>
          <w:lang w:val="en-US"/>
        </w:rPr>
      </w:pPr>
      <w:r w:rsidRPr="00804C6E">
        <w:rPr>
          <w:i w:val="0"/>
          <w:lang w:val="en-US"/>
        </w:rPr>
        <w:t xml:space="preserve">Figure 1 compares the efficiencies (Eq. 1 and Eq. 2) of eight possible feedstock-process-biofuel combinations across three key metrics. </w:t>
      </w:r>
      <w:r w:rsidRPr="005821EB">
        <w:rPr>
          <w:i w:val="0"/>
          <w:lang w:val="en-US"/>
        </w:rPr>
        <w:t xml:space="preserve">Energy yield measures energy recovery from feedstock to biofuel, highlighting the clear superiority of catalytic processes from vegetable oils over thermochemical or biochemical routes from </w:t>
      </w:r>
      <w:proofErr w:type="spellStart"/>
      <w:r w:rsidRPr="005821EB">
        <w:rPr>
          <w:i w:val="0"/>
          <w:lang w:val="en-US"/>
        </w:rPr>
        <w:t>lignocellulosics</w:t>
      </w:r>
      <w:proofErr w:type="spellEnd"/>
      <w:r w:rsidRPr="005821EB">
        <w:rPr>
          <w:i w:val="0"/>
          <w:lang w:val="en-US"/>
        </w:rPr>
        <w:t xml:space="preserve">. </w:t>
      </w:r>
      <w:r w:rsidR="00C26C2F" w:rsidRPr="005821EB">
        <w:rPr>
          <w:i w:val="0"/>
          <w:lang w:val="en-US"/>
        </w:rPr>
        <w:t>This is largely due to the higher energy content (LHV of the feedstock) and purity (triglycerides) of oils.</w:t>
      </w:r>
    </w:p>
    <w:p w14:paraId="2ABA7D79" w14:textId="77777777" w:rsidR="00976CC0" w:rsidRDefault="00976CC0" w:rsidP="005C4A95">
      <w:pPr>
        <w:pStyle w:val="CETCaption"/>
        <w:keepNext/>
        <w:rPr>
          <w:rStyle w:val="CETCaptionCarattere"/>
          <w:i/>
        </w:rPr>
      </w:pPr>
      <w:r>
        <w:rPr>
          <w:rStyle w:val="CETCaptionCarattere"/>
          <w:i/>
          <w:noProof/>
        </w:rPr>
        <w:drawing>
          <wp:inline distT="0" distB="0" distL="0" distR="0" wp14:anchorId="09057596" wp14:editId="317CAE25">
            <wp:extent cx="5403215" cy="1499224"/>
            <wp:effectExtent l="0" t="0" r="6985" b="6350"/>
            <wp:docPr id="174553058" name="Immagine 2" descr="Immagine che contiene testo, schermata, linea, scherm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3058" name="Immagine 2" descr="Immagine che contiene testo, schermata, linea, schermo&#10;&#10;Il contenuto generato dall'IA potrebbe non essere corretto."/>
                    <pic:cNvPicPr>
                      <a:picLocks noChangeAspect="1" noChangeArrowheads="1"/>
                    </pic:cNvPicPr>
                  </pic:nvPicPr>
                  <pic:blipFill rotWithShape="1">
                    <a:blip r:embed="rId10">
                      <a:extLst>
                        <a:ext uri="{28A0092B-C50C-407E-A947-70E740481C1C}">
                          <a14:useLocalDpi xmlns:a14="http://schemas.microsoft.com/office/drawing/2010/main" val="0"/>
                        </a:ext>
                      </a:extLst>
                    </a:blip>
                    <a:srcRect l="397" t="1673" r="693" b="1787"/>
                    <a:stretch>
                      <a:fillRect/>
                    </a:stretch>
                  </pic:blipFill>
                  <pic:spPr bwMode="auto">
                    <a:xfrm>
                      <a:off x="0" y="0"/>
                      <a:ext cx="5445399" cy="1510929"/>
                    </a:xfrm>
                    <a:prstGeom prst="rect">
                      <a:avLst/>
                    </a:prstGeom>
                    <a:noFill/>
                    <a:ln>
                      <a:noFill/>
                    </a:ln>
                    <a:extLst>
                      <a:ext uri="{53640926-AAD7-44D8-BBD7-CCE9431645EC}">
                        <a14:shadowObscured xmlns:a14="http://schemas.microsoft.com/office/drawing/2010/main"/>
                      </a:ext>
                    </a:extLst>
                  </pic:spPr>
                </pic:pic>
              </a:graphicData>
            </a:graphic>
          </wp:inline>
        </w:drawing>
      </w:r>
    </w:p>
    <w:p w14:paraId="4F6C4E52" w14:textId="77777777" w:rsidR="00976CC0" w:rsidRDefault="00976CC0" w:rsidP="00976CC0">
      <w:pPr>
        <w:pStyle w:val="CETCaption"/>
        <w:rPr>
          <w:rStyle w:val="CETCaptionCarattere"/>
          <w:i/>
          <w:lang w:val="en-US"/>
        </w:rPr>
      </w:pPr>
      <w:r w:rsidRPr="005C4A95">
        <w:rPr>
          <w:rStyle w:val="CETCaptionCarattere"/>
          <w:i/>
          <w:lang w:val="en-US"/>
        </w:rPr>
        <w:t>Figure 1: Biofuel production performances</w:t>
      </w:r>
    </w:p>
    <w:p w14:paraId="514C9B9B" w14:textId="36F4F6C5" w:rsidR="00B353E7" w:rsidRPr="009C563B" w:rsidRDefault="00521C9A" w:rsidP="00B353E7">
      <w:pPr>
        <w:pStyle w:val="CETCaption"/>
        <w:rPr>
          <w:i w:val="0"/>
          <w:lang w:val="en-US"/>
        </w:rPr>
      </w:pPr>
      <w:r w:rsidRPr="00E736EA">
        <w:rPr>
          <w:i w:val="0"/>
          <w:lang w:val="en-US"/>
        </w:rPr>
        <w:lastRenderedPageBreak/>
        <w:t>As per Eq. 2, net yield incorporates external H</w:t>
      </w:r>
      <w:r w:rsidRPr="00E736EA">
        <w:rPr>
          <w:rFonts w:ascii="Cambria Math" w:hAnsi="Cambria Math" w:cs="Cambria Math"/>
          <w:i w:val="0"/>
          <w:lang w:val="en-US"/>
        </w:rPr>
        <w:t>₂</w:t>
      </w:r>
      <w:r w:rsidRPr="00E736EA">
        <w:rPr>
          <w:i w:val="0"/>
          <w:lang w:val="en-US"/>
        </w:rPr>
        <w:t xml:space="preserve"> and MeOH energy contributions into the calculation, assuming the rest of the conversion process can be thermally self-sustained using waste</w:t>
      </w:r>
      <w:r w:rsidRPr="009C563B">
        <w:rPr>
          <w:i w:val="0"/>
          <w:lang w:val="en-US"/>
        </w:rPr>
        <w:t xml:space="preserve"> </w:t>
      </w:r>
      <w:r>
        <w:rPr>
          <w:i w:val="0"/>
          <w:lang w:val="en-US"/>
        </w:rPr>
        <w:fldChar w:fldCharType="begin"/>
      </w:r>
      <w:r>
        <w:rPr>
          <w:i w:val="0"/>
          <w:lang w:val="en-US"/>
        </w:rPr>
        <w:instrText xml:space="preserve"> ADDIN ZOTERO_ITEM CSL_CITATION {"citationID":"zeyFnh0D","properties":{"formattedCitation":"(Gilardi et al., 2024)","plainCitation":"(Gilardi et al., 2024)","noteIndex":0},"citationItems":[{"id":5015,"uris":["http://zotero.org/users/10649518/items/USZRGBJX"],"itemData":{"id":5015,"type":"article-journal","abstract":"The progressive request for replacing fossil fuels and net-zero emissions by 2050 is forcing a change in the current paradigm and economy. Bioprocesses offer a significant alternative to conventional refineries, as they convert biomass into valuable platform chemicals, fuels, and/or heat and energy. The concept is disruptive, but the modelling is not straightforward due to the intrinsic complexity of the feedstock, the unconventional transformation (i.e., pre-treatment and chemical/thermal conversion, and product purification), and the number of species involved in the system. These aspects are of paramount importance and represent significant hurdles for modelling. In the present work, we review the main strategies used for bioprocesses modelling by highlighting advantages and drawbacks. Finally, the work presents a few applications applied in process design and preliminary assessment for biomass-to-X projects. Copyright © 2024, AIDIC Servizi S.r.l.","container-title":"Chemical Engineering Transactions","DOI":"10.3303/CET24109046","ISSN":"2283-9216","journalAbbreviation":"Chem. Eng. Trans.","language":"English","page":"271-276","publisher":"Italian Association of Chemical Engineering - AIDIC","source":"Scopus","title":"Modelling of Biomass-to-X: Challenges and Strategies","title-short":"Modelling of Biomass-to-X","volume":"109","author":[{"family":"Gilardi","given":"Matteo"},{"family":"Bisotti","given":"Filippo"},{"family":"Berglihn","given":"Olaf T."},{"family":"Rücker","given":"Theresa"},{"family":"Brück","given":"Thomas"},{"family":"Wittgens","given":"Bernd"}],"issued":{"date-parts":[["2024"]]}}}],"schema":"https://github.com/citation-style-language/schema/raw/master/csl-citation.json"} </w:instrText>
      </w:r>
      <w:r>
        <w:rPr>
          <w:i w:val="0"/>
          <w:lang w:val="en-US"/>
        </w:rPr>
        <w:fldChar w:fldCharType="separate"/>
      </w:r>
      <w:r w:rsidRPr="00E736EA">
        <w:rPr>
          <w:i w:val="0"/>
          <w:lang w:val="en-US"/>
        </w:rPr>
        <w:t>(Gilardi et al., 2024)</w:t>
      </w:r>
      <w:r>
        <w:rPr>
          <w:i w:val="0"/>
          <w:lang w:val="en-US"/>
        </w:rPr>
        <w:fldChar w:fldCharType="end"/>
      </w:r>
      <w:r w:rsidRPr="009C563B">
        <w:rPr>
          <w:i w:val="0"/>
          <w:lang w:val="en-US"/>
        </w:rPr>
        <w:t xml:space="preserve"> streams.</w:t>
      </w:r>
      <w:r>
        <w:rPr>
          <w:i w:val="0"/>
          <w:lang w:val="en-US"/>
        </w:rPr>
        <w:t xml:space="preserve"> </w:t>
      </w:r>
      <w:r w:rsidR="00B353E7" w:rsidRPr="009C563B">
        <w:rPr>
          <w:i w:val="0"/>
          <w:lang w:val="en-US"/>
        </w:rPr>
        <w:t>Catalytic oil-based processes remain the best performers, but the gap with others narrows. Some thermochemical routes with targeted inputs (biocrude, pyro-oil, EtOH) gain competitiveness, showing sensitivity to reliance on supplementary energy vectors—even for non-oil biofuels (MeOH via enrichment).</w:t>
      </w:r>
      <w:r w:rsidR="00B353E7">
        <w:rPr>
          <w:i w:val="0"/>
          <w:lang w:val="en-US"/>
        </w:rPr>
        <w:t xml:space="preserve"> </w:t>
      </w:r>
      <w:r w:rsidR="00B353E7" w:rsidRPr="009C563B">
        <w:rPr>
          <w:i w:val="0"/>
          <w:lang w:val="en-US"/>
        </w:rPr>
        <w:t xml:space="preserve">Carbon yield tracks C conservation from biomass to product, with patterns </w:t>
      </w:r>
      <w:proofErr w:type="gramStart"/>
      <w:r w:rsidR="00B353E7" w:rsidRPr="009C563B">
        <w:rPr>
          <w:i w:val="0"/>
          <w:lang w:val="en-US"/>
        </w:rPr>
        <w:t>similar to</w:t>
      </w:r>
      <w:proofErr w:type="gramEnd"/>
      <w:r w:rsidR="00B353E7" w:rsidRPr="009C563B">
        <w:rPr>
          <w:i w:val="0"/>
          <w:lang w:val="en-US"/>
        </w:rPr>
        <w:t xml:space="preserve"> gross yield but emphasizing atomic efficiency: drop-in oil processes excel, while gasification/synthesis requires optimization to minimize losses. Overall, the chart discriminates "autonomous" pathways (high gross/net yields with minimal extra inputs) from H</w:t>
      </w:r>
      <w:r w:rsidR="00B353E7" w:rsidRPr="009C563B">
        <w:rPr>
          <w:rFonts w:ascii="Cambria Math" w:hAnsi="Cambria Math" w:cs="Cambria Math"/>
          <w:i w:val="0"/>
          <w:lang w:val="en-US"/>
        </w:rPr>
        <w:t>₂</w:t>
      </w:r>
      <w:r w:rsidR="00B353E7" w:rsidRPr="009C563B">
        <w:rPr>
          <w:i w:val="0"/>
          <w:lang w:val="en-US"/>
        </w:rPr>
        <w:t>-dependent ones, guiding choices for biorefineries integrated with green hydrogen.</w:t>
      </w:r>
    </w:p>
    <w:p w14:paraId="1F96CA21" w14:textId="59242471" w:rsidR="00600535" w:rsidRPr="00B57B36" w:rsidRDefault="00A426BC" w:rsidP="00FA5F5F">
      <w:pPr>
        <w:pStyle w:val="CETheadingx"/>
      </w:pPr>
      <w:r>
        <w:t>Economic and environmental aspects</w:t>
      </w:r>
    </w:p>
    <w:p w14:paraId="63869FE0" w14:textId="49EE9F01" w:rsidR="00FC4265" w:rsidRDefault="00976CC0" w:rsidP="009872BE">
      <w:pPr>
        <w:pStyle w:val="CETBodytext"/>
        <w:rPr>
          <w:lang w:val="en-GB"/>
        </w:rPr>
      </w:pPr>
      <w:proofErr w:type="gramStart"/>
      <w:r w:rsidRPr="002E5589">
        <w:rPr>
          <w:lang w:val="en-GB"/>
        </w:rPr>
        <w:t xml:space="preserve">The scatter plot </w:t>
      </w:r>
      <w:r>
        <w:rPr>
          <w:lang w:val="en-GB"/>
        </w:rPr>
        <w:t>of Figure 2,</w:t>
      </w:r>
      <w:proofErr w:type="gramEnd"/>
      <w:r>
        <w:rPr>
          <w:lang w:val="en-GB"/>
        </w:rPr>
        <w:t xml:space="preserve"> </w:t>
      </w:r>
      <w:r w:rsidRPr="002E5589">
        <w:rPr>
          <w:lang w:val="en-GB"/>
        </w:rPr>
        <w:t>vividly maps liquid biofuel pathways on cost-emissions axes, with ellipses denoting variability ranges for each type.</w:t>
      </w:r>
      <w:r>
        <w:rPr>
          <w:lang w:val="en-GB"/>
        </w:rPr>
        <w:t xml:space="preserve"> </w:t>
      </w:r>
      <w:r w:rsidR="002522C7" w:rsidRPr="002522C7">
        <w:t xml:space="preserve">Generally, the lower the quality (and thus supply emissions) of the raw material, the higher the costs associated with its use/conversion; conversely, higher-impact feedstocks correspond to lower costs. </w:t>
      </w:r>
      <w:r w:rsidR="008C5B2F" w:rsidRPr="002522C7">
        <w:t>For example, ethanol's broad ellipse spans low-cost/high-emission (first-generation sugar crops) to high-cost/low-emission (second-generation lignocellulosic residues), illustrating feedstock-driven shifts in land-use and processing impacts. FAME's wide emissions but narrow cost ellipse highlights progression from high-impact oilseeds to low-impact UCO, with costs converging alongside emissions.</w:t>
      </w:r>
      <w:r w:rsidR="008C5B2F" w:rsidRPr="002E5589">
        <w:rPr>
          <w:lang w:val="en-GB"/>
        </w:rPr>
        <w:t xml:space="preserve"> </w:t>
      </w:r>
      <w:proofErr w:type="spellStart"/>
      <w:r w:rsidR="008C5B2F" w:rsidRPr="002E5589">
        <w:rPr>
          <w:lang w:val="en-GB"/>
        </w:rPr>
        <w:t>HEFA</w:t>
      </w:r>
      <w:proofErr w:type="spellEnd"/>
      <w:r w:rsidR="008C5B2F" w:rsidRPr="002E5589">
        <w:rPr>
          <w:lang w:val="en-GB"/>
        </w:rPr>
        <w:t xml:space="preserve"> overlaps similarly, with hydrogen (renewable vs. fossil) expanding its emissions footprint while minimally affecting costs due to low dosage.</w:t>
      </w:r>
      <w:r w:rsidR="008C5B2F">
        <w:rPr>
          <w:lang w:val="en-GB"/>
        </w:rPr>
        <w:t xml:space="preserve"> </w:t>
      </w:r>
      <w:r w:rsidR="008C5B2F" w:rsidRPr="002E5589">
        <w:rPr>
          <w:lang w:val="en-GB"/>
        </w:rPr>
        <w:t>Methanol's compact, mid-range position signals cost resilience amid moderate emissions, challenged by conversion CO</w:t>
      </w:r>
      <w:r w:rsidR="008C5B2F" w:rsidRPr="002E5589">
        <w:rPr>
          <w:rFonts w:ascii="Cambria Math" w:hAnsi="Cambria Math" w:cs="Cambria Math"/>
          <w:lang w:val="en-GB"/>
        </w:rPr>
        <w:t>₂</w:t>
      </w:r>
      <w:r w:rsidR="008C5B2F" w:rsidRPr="002E5589">
        <w:rPr>
          <w:lang w:val="en-GB"/>
        </w:rPr>
        <w:t xml:space="preserve"> and H</w:t>
      </w:r>
      <w:r w:rsidR="008C5B2F" w:rsidRPr="002E5589">
        <w:rPr>
          <w:rFonts w:ascii="Cambria Math" w:hAnsi="Cambria Math" w:cs="Cambria Math"/>
          <w:lang w:val="en-GB"/>
        </w:rPr>
        <w:t>₂</w:t>
      </w:r>
      <w:r w:rsidR="008C5B2F" w:rsidRPr="002E5589">
        <w:rPr>
          <w:lang w:val="en-GB"/>
        </w:rPr>
        <w:t xml:space="preserve"> sourcing despite calorific drawbacks.</w:t>
      </w:r>
      <w:r w:rsidR="008C5B2F">
        <w:rPr>
          <w:lang w:val="en-GB"/>
        </w:rPr>
        <w:t xml:space="preserve"> </w:t>
      </w:r>
      <w:r w:rsidR="008C5B2F" w:rsidRPr="002D17BA">
        <w:rPr>
          <w:lang w:val="en-GB"/>
        </w:rPr>
        <w:t xml:space="preserve">Biocrude and pyro-oil are atypical liquid fuels, as they consist not of precise molecules but of mixtures of a wide range of organic compounds—mostly oxygenated—often unstable and unusable in internal combustion generation systems, neither alone nor blended with conventional fuels. </w:t>
      </w:r>
      <w:r w:rsidR="009872BE" w:rsidRPr="002D17BA">
        <w:rPr>
          <w:lang w:val="en-GB"/>
        </w:rPr>
        <w:t xml:space="preserve">Consequently, it is consistent that their costs and emissions are low. In contrast, their transformation into drop-in fuels (e.g., via hydrogenation) or energy (e.g., electricity) is far more complex than for the others described and </w:t>
      </w:r>
      <w:proofErr w:type="spellStart"/>
      <w:r w:rsidR="009872BE" w:rsidRPr="002D17BA">
        <w:rPr>
          <w:lang w:val="en-GB"/>
        </w:rPr>
        <w:t>analyzed</w:t>
      </w:r>
      <w:proofErr w:type="spellEnd"/>
      <w:r w:rsidR="009872BE" w:rsidRPr="002D17BA">
        <w:rPr>
          <w:lang w:val="en-GB"/>
        </w:rPr>
        <w:t xml:space="preserve"> so far. </w:t>
      </w:r>
      <w:r w:rsidR="00443990" w:rsidRPr="002D17BA">
        <w:rPr>
          <w:lang w:val="en-GB"/>
        </w:rPr>
        <w:t xml:space="preserve">Regarding the conversion of the </w:t>
      </w:r>
      <w:proofErr w:type="spellStart"/>
      <w:r w:rsidR="00443990" w:rsidRPr="002D17BA">
        <w:rPr>
          <w:lang w:val="en-GB"/>
        </w:rPr>
        <w:t>analyzed</w:t>
      </w:r>
      <w:proofErr w:type="spellEnd"/>
      <w:r w:rsidR="00443990" w:rsidRPr="002D17BA">
        <w:rPr>
          <w:lang w:val="en-GB"/>
        </w:rPr>
        <w:t xml:space="preserve"> liquid biofuels into useful electricity to power EV charging stations, three main standalone electricity generation system types must be distinguished: ICE generators (ICE engine + alternator), fuel cells (direct electricity), and generators coupling an alternator with an external combustion engine (ECE).</w:t>
      </w:r>
    </w:p>
    <w:p w14:paraId="64A968CE" w14:textId="77777777" w:rsidR="00FC4265" w:rsidRDefault="00FC4265" w:rsidP="00FC4265">
      <w:pPr>
        <w:pStyle w:val="CETCaption"/>
        <w:keepNext/>
        <w:spacing w:after="0"/>
      </w:pPr>
      <w:r>
        <w:rPr>
          <w:noProof/>
        </w:rPr>
        <w:drawing>
          <wp:inline distT="0" distB="0" distL="0" distR="0" wp14:anchorId="49C1AF59" wp14:editId="0A616AA2">
            <wp:extent cx="5546785" cy="3358818"/>
            <wp:effectExtent l="0" t="0" r="0" b="0"/>
            <wp:docPr id="371673671" name="Immagine 5" descr="Immagine che contiene testo, schermata, diagramma,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73671" name="Immagine 5" descr="Immagine che contiene testo, schermata, diagramma, Diagramma&#10;&#10;Il contenuto generato dall'IA potrebbe non essere corretto."/>
                    <pic:cNvPicPr>
                      <a:picLocks noChangeAspect="1" noChangeArrowheads="1"/>
                    </pic:cNvPicPr>
                  </pic:nvPicPr>
                  <pic:blipFill rotWithShape="1">
                    <a:blip r:embed="rId11">
                      <a:extLst>
                        <a:ext uri="{28A0092B-C50C-407E-A947-70E740481C1C}">
                          <a14:useLocalDpi xmlns:a14="http://schemas.microsoft.com/office/drawing/2010/main" val="0"/>
                        </a:ext>
                      </a:extLst>
                    </a:blip>
                    <a:srcRect l="664" t="780" r="613" b="5460"/>
                    <a:stretch>
                      <a:fillRect/>
                    </a:stretch>
                  </pic:blipFill>
                  <pic:spPr bwMode="auto">
                    <a:xfrm>
                      <a:off x="0" y="0"/>
                      <a:ext cx="5576686" cy="3376925"/>
                    </a:xfrm>
                    <a:prstGeom prst="rect">
                      <a:avLst/>
                    </a:prstGeom>
                    <a:noFill/>
                    <a:ln>
                      <a:noFill/>
                    </a:ln>
                    <a:extLst>
                      <a:ext uri="{53640926-AAD7-44D8-BBD7-CCE9431645EC}">
                        <a14:shadowObscured xmlns:a14="http://schemas.microsoft.com/office/drawing/2010/main"/>
                      </a:ext>
                    </a:extLst>
                  </pic:spPr>
                </pic:pic>
              </a:graphicData>
            </a:graphic>
          </wp:inline>
        </w:drawing>
      </w:r>
    </w:p>
    <w:p w14:paraId="5226A072" w14:textId="77777777" w:rsidR="00FC4265" w:rsidRPr="00B57B36" w:rsidRDefault="00FC4265" w:rsidP="00FC4265">
      <w:pPr>
        <w:pStyle w:val="CETCaption"/>
        <w:keepNext/>
        <w:spacing w:before="0"/>
      </w:pPr>
      <w:r>
        <w:rPr>
          <w:noProof/>
        </w:rPr>
        <w:drawing>
          <wp:inline distT="0" distB="0" distL="0" distR="0" wp14:anchorId="4E0DAB64" wp14:editId="56448611">
            <wp:extent cx="5768064" cy="163002"/>
            <wp:effectExtent l="0" t="0" r="0" b="8890"/>
            <wp:docPr id="1083908764" name="Immagine 3" descr="Immagine che contiene testo, schermata, diagramma,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08764" name="Immagine 3" descr="Immagine che contiene testo, schermata, diagramma, Diagramma&#10;&#10;Il contenuto generato dall'IA potrebbe non essere corretto."/>
                    <pic:cNvPicPr>
                      <a:picLocks noChangeAspect="1" noChangeArrowheads="1"/>
                    </pic:cNvPicPr>
                  </pic:nvPicPr>
                  <pic:blipFill rotWithShape="1">
                    <a:blip r:embed="rId12">
                      <a:extLst>
                        <a:ext uri="{28A0092B-C50C-407E-A947-70E740481C1C}">
                          <a14:useLocalDpi xmlns:a14="http://schemas.microsoft.com/office/drawing/2010/main" val="0"/>
                        </a:ext>
                      </a:extLst>
                    </a:blip>
                    <a:srcRect l="1146" t="94075" r="1064" b="1591"/>
                    <a:stretch>
                      <a:fillRect/>
                    </a:stretch>
                  </pic:blipFill>
                  <pic:spPr bwMode="auto">
                    <a:xfrm>
                      <a:off x="0" y="0"/>
                      <a:ext cx="5796615" cy="163809"/>
                    </a:xfrm>
                    <a:prstGeom prst="rect">
                      <a:avLst/>
                    </a:prstGeom>
                    <a:noFill/>
                    <a:ln>
                      <a:noFill/>
                    </a:ln>
                    <a:extLst>
                      <a:ext uri="{53640926-AAD7-44D8-BBD7-CCE9431645EC}">
                        <a14:shadowObscured xmlns:a14="http://schemas.microsoft.com/office/drawing/2010/main"/>
                      </a:ext>
                    </a:extLst>
                  </pic:spPr>
                </pic:pic>
              </a:graphicData>
            </a:graphic>
          </wp:inline>
        </w:drawing>
      </w:r>
    </w:p>
    <w:p w14:paraId="2EE607B0" w14:textId="77777777" w:rsidR="00FC4265" w:rsidRDefault="00FC4265" w:rsidP="00FC4265">
      <w:pPr>
        <w:pStyle w:val="CETCaption"/>
        <w:rPr>
          <w:rStyle w:val="CETCaptionCarattere"/>
          <w:i/>
        </w:rPr>
      </w:pPr>
      <w:r w:rsidRPr="00BD077D">
        <w:rPr>
          <w:rStyle w:val="CETCaptionCarattere"/>
          <w:i/>
        </w:rPr>
        <w:t xml:space="preserve">Figure </w:t>
      </w:r>
      <w:r>
        <w:rPr>
          <w:rStyle w:val="CETCaptionCarattere"/>
          <w:i/>
        </w:rPr>
        <w:t>2</w:t>
      </w:r>
      <w:r w:rsidRPr="00BD077D">
        <w:rPr>
          <w:rStyle w:val="CETCaptionCarattere"/>
          <w:i/>
        </w:rPr>
        <w:t xml:space="preserve">: </w:t>
      </w:r>
      <w:r>
        <w:rPr>
          <w:rStyle w:val="CETCaptionCarattere"/>
          <w:i/>
        </w:rPr>
        <w:t>Liquid biofuel</w:t>
      </w:r>
      <w:r w:rsidRPr="00533F00">
        <w:t xml:space="preserve"> </w:t>
      </w:r>
      <w:r w:rsidRPr="00533F00">
        <w:rPr>
          <w:rStyle w:val="CETCaptionCarattere"/>
          <w:i/>
        </w:rPr>
        <w:t xml:space="preserve">Cost-Emissions </w:t>
      </w:r>
      <w:r>
        <w:rPr>
          <w:rStyle w:val="CETCaptionCarattere"/>
          <w:i/>
        </w:rPr>
        <w:t>t</w:t>
      </w:r>
      <w:r w:rsidRPr="00533F00">
        <w:rPr>
          <w:rStyle w:val="CETCaptionCarattere"/>
          <w:i/>
        </w:rPr>
        <w:t xml:space="preserve">rade-off </w:t>
      </w:r>
      <w:r>
        <w:rPr>
          <w:rStyle w:val="CETCaptionCarattere"/>
          <w:i/>
        </w:rPr>
        <w:t>p</w:t>
      </w:r>
      <w:r w:rsidRPr="00533F00">
        <w:rPr>
          <w:rStyle w:val="CETCaptionCarattere"/>
          <w:i/>
        </w:rPr>
        <w:t>lot</w:t>
      </w:r>
    </w:p>
    <w:p w14:paraId="68D26B83" w14:textId="06A041D8" w:rsidR="00600535" w:rsidRPr="00B57B36" w:rsidRDefault="00600535" w:rsidP="00600535">
      <w:pPr>
        <w:pStyle w:val="CETHeading1"/>
        <w:rPr>
          <w:lang w:val="en-GB"/>
        </w:rPr>
      </w:pPr>
      <w:r w:rsidRPr="00B57B36">
        <w:rPr>
          <w:lang w:val="en-GB"/>
        </w:rPr>
        <w:lastRenderedPageBreak/>
        <w:t>Conclusions</w:t>
      </w:r>
    </w:p>
    <w:p w14:paraId="2363B7E5" w14:textId="03507DB9" w:rsidR="00C055FE" w:rsidRPr="00C055FE" w:rsidRDefault="00C055FE" w:rsidP="00C055FE">
      <w:pPr>
        <w:pStyle w:val="CETBodytext"/>
        <w:rPr>
          <w:lang w:val="en-GB"/>
        </w:rPr>
      </w:pPr>
      <w:r w:rsidRPr="00C055FE">
        <w:rPr>
          <w:lang w:val="en-GB"/>
        </w:rPr>
        <w:t>This study evaluates eight feedstock-process-biofuel pathways, revealing clear efficiency hierarchies. Vegetable oil catalytic routes (</w:t>
      </w:r>
      <w:proofErr w:type="spellStart"/>
      <w:r w:rsidRPr="00C055FE">
        <w:rPr>
          <w:lang w:val="en-GB"/>
        </w:rPr>
        <w:t>HEFA</w:t>
      </w:r>
      <w:proofErr w:type="spellEnd"/>
      <w:r w:rsidRPr="00C055FE">
        <w:rPr>
          <w:lang w:val="en-GB"/>
        </w:rPr>
        <w:t xml:space="preserve">, FAME) lead in gross energy yield due to high feedstock lower heating value and triglyceride purity, outperforming lignocellulosic thermochemical/biochemical conversions. Net yields narrow gaps with external hydrogen/methanol inputs, highlighting green hydrogen's role for non-oil pathways. Carbon conservation </w:t>
      </w:r>
      <w:proofErr w:type="spellStart"/>
      <w:r w:rsidRPr="00C055FE">
        <w:rPr>
          <w:lang w:val="en-GB"/>
        </w:rPr>
        <w:t>favors</w:t>
      </w:r>
      <w:proofErr w:type="spellEnd"/>
      <w:r w:rsidRPr="00C055FE">
        <w:rPr>
          <w:lang w:val="en-GB"/>
        </w:rPr>
        <w:t xml:space="preserve"> drop-in oils over gasification-synthesis losses.</w:t>
      </w:r>
      <w:r>
        <w:rPr>
          <w:lang w:val="en-GB"/>
        </w:rPr>
        <w:t xml:space="preserve"> </w:t>
      </w:r>
      <w:r w:rsidRPr="00C055FE">
        <w:rPr>
          <w:lang w:val="en-GB"/>
        </w:rPr>
        <w:t>The cost-emissions trade-off shows inverse correlation: residues incur high processing costs but low emissions (e.g., ethanol's broad ellipse), while FAME/</w:t>
      </w:r>
      <w:proofErr w:type="spellStart"/>
      <w:r w:rsidRPr="00C055FE">
        <w:rPr>
          <w:lang w:val="en-GB"/>
        </w:rPr>
        <w:t>HEFA</w:t>
      </w:r>
      <w:proofErr w:type="spellEnd"/>
      <w:r w:rsidRPr="00C055FE">
        <w:rPr>
          <w:lang w:val="en-GB"/>
        </w:rPr>
        <w:t xml:space="preserve"> converge on used cooking oil. Biocrude/pyro-oil occupy low-cost/low-emission niches as non-drop-in intermediates.</w:t>
      </w:r>
      <w:r>
        <w:rPr>
          <w:lang w:val="en-GB"/>
        </w:rPr>
        <w:t xml:space="preserve"> </w:t>
      </w:r>
      <w:r w:rsidRPr="00C055FE">
        <w:rPr>
          <w:lang w:val="en-GB"/>
        </w:rPr>
        <w:t>For off-board hybrid EV charging, internal combustion engines, fuel cells, and external combustion engines provide flexibility based on biofuel quality. Oil-based catalytic pathways offer near-term scalability; hydrogen-enabled thermochemical routes promise future advances, guiding biorefinery design with EU decarbonization goals.</w:t>
      </w:r>
    </w:p>
    <w:p w14:paraId="04F0E11D" w14:textId="77777777" w:rsidR="00480094" w:rsidRPr="00E736EA" w:rsidRDefault="00480094" w:rsidP="00480094">
      <w:pPr>
        <w:pStyle w:val="CETHeadingxx"/>
        <w:rPr>
          <w:lang w:val="en-GB"/>
        </w:rPr>
        <w:sectPr w:rsidR="00480094" w:rsidRPr="00E736EA" w:rsidSect="00480094">
          <w:type w:val="continuous"/>
          <w:pgSz w:w="11906" w:h="16838" w:code="9"/>
          <w:pgMar w:top="1701" w:right="1418" w:bottom="1701" w:left="1701" w:header="1701" w:footer="0" w:gutter="0"/>
          <w:cols w:space="708"/>
          <w:formProt w:val="0"/>
          <w:titlePg/>
          <w:docGrid w:linePitch="360"/>
        </w:sectPr>
      </w:pPr>
      <w:r w:rsidRPr="00E736EA">
        <w:t>Nomenclature</w:t>
      </w:r>
    </w:p>
    <w:p w14:paraId="27F8CAE3" w14:textId="7AE6568F" w:rsidR="00480094" w:rsidRPr="00E736EA" w:rsidRDefault="00480094" w:rsidP="00480094">
      <w:pPr>
        <w:pStyle w:val="CETBodytext"/>
        <w:jc w:val="left"/>
        <w:rPr>
          <w:rFonts w:eastAsia="SimSun"/>
        </w:rPr>
      </w:pPr>
    </w:p>
    <w:p w14:paraId="0E8C2688" w14:textId="77777777" w:rsidR="00480094" w:rsidRPr="00E736EA" w:rsidRDefault="00480094" w:rsidP="00480094">
      <w:pPr>
        <w:pStyle w:val="CETBodytext"/>
        <w:jc w:val="left"/>
        <w:rPr>
          <w:rFonts w:eastAsia="SimSun"/>
        </w:rPr>
        <w:sectPr w:rsidR="00480094" w:rsidRPr="00E736EA" w:rsidSect="00480094">
          <w:type w:val="continuous"/>
          <w:pgSz w:w="11906" w:h="16838" w:code="9"/>
          <w:pgMar w:top="1701" w:right="1418" w:bottom="1701" w:left="1701" w:header="1701" w:footer="0" w:gutter="0"/>
          <w:cols w:space="708"/>
          <w:formProt w:val="0"/>
          <w:titlePg/>
          <w:docGrid w:linePitch="360"/>
        </w:sectPr>
      </w:pPr>
    </w:p>
    <w:p w14:paraId="68F6C0A4" w14:textId="7B188E79" w:rsidR="00DE4801" w:rsidRPr="00E736EA" w:rsidRDefault="00DE4801" w:rsidP="00DE4801">
      <w:pPr>
        <w:pStyle w:val="CETBodytext"/>
        <w:jc w:val="left"/>
        <w:rPr>
          <w:rFonts w:eastAsia="SimSun"/>
        </w:rPr>
      </w:pPr>
      <w:r w:rsidRPr="00E736EA">
        <w:rPr>
          <w:rFonts w:eastAsia="SimSun"/>
        </w:rPr>
        <w:t>d</w:t>
      </w:r>
      <w:r w:rsidRPr="00E736EA">
        <w:rPr>
          <w:rFonts w:eastAsia="SimSun"/>
          <w:vertAlign w:val="subscript"/>
        </w:rPr>
        <w:t>i</w:t>
      </w:r>
      <w:r w:rsidRPr="00E736EA">
        <w:rPr>
          <w:rFonts w:eastAsia="SimSun"/>
        </w:rPr>
        <w:t xml:space="preserve"> – demand of hydrogen or methanol, </w:t>
      </w:r>
      <w:proofErr w:type="spellStart"/>
      <w:r w:rsidRPr="00E736EA">
        <w:rPr>
          <w:rFonts w:eastAsia="SimSun"/>
        </w:rPr>
        <w:t>kg</w:t>
      </w:r>
      <w:r w:rsidRPr="00E736EA">
        <w:rPr>
          <w:rFonts w:eastAsia="SimSun"/>
          <w:vertAlign w:val="subscript"/>
        </w:rPr>
        <w:t>i</w:t>
      </w:r>
      <w:proofErr w:type="spellEnd"/>
      <w:r w:rsidRPr="00E736EA">
        <w:rPr>
          <w:rFonts w:eastAsia="SimSun"/>
        </w:rPr>
        <w:t>/</w:t>
      </w:r>
      <w:proofErr w:type="spellStart"/>
      <w:proofErr w:type="gramStart"/>
      <w:r w:rsidRPr="00E736EA">
        <w:rPr>
          <w:rFonts w:eastAsia="SimSun"/>
        </w:rPr>
        <w:t>kg</w:t>
      </w:r>
      <w:r w:rsidRPr="00E736EA">
        <w:rPr>
          <w:rFonts w:eastAsia="SimSun"/>
          <w:vertAlign w:val="subscript"/>
        </w:rPr>
        <w:t>Feedstock,dry</w:t>
      </w:r>
      <w:proofErr w:type="spellEnd"/>
      <w:proofErr w:type="gramEnd"/>
    </w:p>
    <w:p w14:paraId="097F9227" w14:textId="28109792" w:rsidR="00480094" w:rsidRPr="00E736EA" w:rsidRDefault="00C24B27" w:rsidP="00480094">
      <w:pPr>
        <w:pStyle w:val="CETBodytext"/>
        <w:jc w:val="left"/>
        <w:rPr>
          <w:rFonts w:eastAsia="SimSun"/>
        </w:rPr>
      </w:pPr>
      <w:proofErr w:type="spellStart"/>
      <w:r w:rsidRPr="00E736EA">
        <w:rPr>
          <w:rFonts w:eastAsia="SimSun" w:cs="Arial"/>
        </w:rPr>
        <w:t>η</w:t>
      </w:r>
      <w:r w:rsidRPr="00E736EA">
        <w:rPr>
          <w:rFonts w:eastAsia="SimSun"/>
          <w:vertAlign w:val="subscript"/>
        </w:rPr>
        <w:t>E</w:t>
      </w:r>
      <w:proofErr w:type="spellEnd"/>
      <w:r w:rsidR="00480094" w:rsidRPr="00E736EA">
        <w:rPr>
          <w:rFonts w:eastAsia="SimSun"/>
        </w:rPr>
        <w:t xml:space="preserve"> – </w:t>
      </w:r>
      <w:r w:rsidR="003A122C" w:rsidRPr="00E736EA">
        <w:rPr>
          <w:rFonts w:eastAsia="SimSun"/>
        </w:rPr>
        <w:t>Energy efficiency, %</w:t>
      </w:r>
    </w:p>
    <w:p w14:paraId="78D32DF9" w14:textId="6C3DAE8F" w:rsidR="003A122C" w:rsidRPr="00E736EA" w:rsidRDefault="003A122C" w:rsidP="003A122C">
      <w:pPr>
        <w:pStyle w:val="CETBodytext"/>
        <w:jc w:val="left"/>
        <w:rPr>
          <w:rFonts w:eastAsia="SimSun"/>
        </w:rPr>
      </w:pPr>
      <w:proofErr w:type="spellStart"/>
      <w:r w:rsidRPr="00E736EA">
        <w:rPr>
          <w:rFonts w:eastAsia="SimSun" w:cs="Arial"/>
        </w:rPr>
        <w:t>η</w:t>
      </w:r>
      <w:proofErr w:type="gramStart"/>
      <w:r w:rsidRPr="00E736EA">
        <w:rPr>
          <w:rFonts w:eastAsia="SimSun"/>
          <w:vertAlign w:val="subscript"/>
        </w:rPr>
        <w:t>E,NET</w:t>
      </w:r>
      <w:proofErr w:type="spellEnd"/>
      <w:proofErr w:type="gramEnd"/>
      <w:r w:rsidRPr="00E736EA">
        <w:rPr>
          <w:rFonts w:eastAsia="SimSun"/>
        </w:rPr>
        <w:t xml:space="preserve"> – Net energy efficiency, %</w:t>
      </w:r>
    </w:p>
    <w:p w14:paraId="71684C3B" w14:textId="74212681" w:rsidR="00480094" w:rsidRPr="00E736EA" w:rsidRDefault="003A122C" w:rsidP="00480094">
      <w:pPr>
        <w:pStyle w:val="CETBodytext"/>
        <w:jc w:val="left"/>
        <w:rPr>
          <w:rFonts w:eastAsia="SimSun"/>
        </w:rPr>
        <w:sectPr w:rsidR="00480094" w:rsidRPr="00E736EA" w:rsidSect="00480094">
          <w:type w:val="continuous"/>
          <w:pgSz w:w="11906" w:h="16838" w:code="9"/>
          <w:pgMar w:top="1701" w:right="1418" w:bottom="1701" w:left="1701" w:header="1701" w:footer="0" w:gutter="0"/>
          <w:cols w:num="2" w:space="708"/>
          <w:formProt w:val="0"/>
          <w:titlePg/>
          <w:docGrid w:linePitch="360"/>
        </w:sectPr>
      </w:pPr>
      <w:proofErr w:type="spellStart"/>
      <w:r w:rsidRPr="00E736EA">
        <w:rPr>
          <w:rFonts w:eastAsia="SimSun"/>
        </w:rPr>
        <w:t>y</w:t>
      </w:r>
      <w:r w:rsidRPr="00E736EA">
        <w:rPr>
          <w:rFonts w:eastAsia="SimSun"/>
          <w:vertAlign w:val="subscript"/>
        </w:rPr>
        <w:t>Biofuel</w:t>
      </w:r>
      <w:proofErr w:type="spellEnd"/>
      <w:r w:rsidR="00480094" w:rsidRPr="00E736EA">
        <w:rPr>
          <w:rFonts w:eastAsia="SimSun"/>
        </w:rPr>
        <w:t xml:space="preserve"> – </w:t>
      </w:r>
      <w:r w:rsidRPr="00E736EA">
        <w:rPr>
          <w:rFonts w:eastAsia="SimSun"/>
        </w:rPr>
        <w:t>mass yield to biofuel</w:t>
      </w:r>
      <w:r w:rsidR="00480094" w:rsidRPr="00E736EA">
        <w:rPr>
          <w:rFonts w:eastAsia="SimSun"/>
        </w:rPr>
        <w:t xml:space="preserve">, </w:t>
      </w:r>
      <w:proofErr w:type="spellStart"/>
      <w:r w:rsidR="00B33285" w:rsidRPr="00E736EA">
        <w:rPr>
          <w:rFonts w:eastAsia="SimSun"/>
        </w:rPr>
        <w:t>kg</w:t>
      </w:r>
      <w:r w:rsidR="00B33285" w:rsidRPr="00E736EA">
        <w:rPr>
          <w:rFonts w:eastAsia="SimSun"/>
          <w:vertAlign w:val="subscript"/>
        </w:rPr>
        <w:t>Biofuel</w:t>
      </w:r>
      <w:proofErr w:type="spellEnd"/>
      <w:r w:rsidR="00B33285" w:rsidRPr="00E736EA">
        <w:rPr>
          <w:rFonts w:eastAsia="SimSun"/>
        </w:rPr>
        <w:t>/</w:t>
      </w:r>
      <w:proofErr w:type="spellStart"/>
      <w:proofErr w:type="gramStart"/>
      <w:r w:rsidR="00B33285" w:rsidRPr="00E736EA">
        <w:rPr>
          <w:rFonts w:eastAsia="SimSun"/>
        </w:rPr>
        <w:t>kg</w:t>
      </w:r>
      <w:r w:rsidR="00B33285" w:rsidRPr="00E736EA">
        <w:rPr>
          <w:rFonts w:eastAsia="SimSun"/>
          <w:vertAlign w:val="subscript"/>
        </w:rPr>
        <w:t>Feedstock,dry</w:t>
      </w:r>
      <w:proofErr w:type="spellEnd"/>
      <w:proofErr w:type="gramEnd"/>
    </w:p>
    <w:p w14:paraId="459D05E6" w14:textId="77777777" w:rsidR="00600535" w:rsidRPr="00B57B36" w:rsidRDefault="00600535" w:rsidP="00600535">
      <w:pPr>
        <w:pStyle w:val="CETAcknowledgementstitle"/>
      </w:pPr>
      <w:r w:rsidRPr="00B57B36">
        <w:t>Acknowledgments</w:t>
      </w:r>
    </w:p>
    <w:p w14:paraId="33F8138F" w14:textId="3D79282D" w:rsidR="00600535" w:rsidRPr="00B57B36" w:rsidRDefault="009D42B0" w:rsidP="00600535">
      <w:pPr>
        <w:pStyle w:val="CETBodytext"/>
        <w:rPr>
          <w:lang w:val="en-GB"/>
        </w:rPr>
      </w:pPr>
      <w:r w:rsidRPr="009D42B0">
        <w:rPr>
          <w:lang w:val="en-GB"/>
        </w:rPr>
        <w:t>The present work was funded by the Italian Ministry of Environment and Energy Security through the “National Electric System Research” Program–Project 1.10 “</w:t>
      </w:r>
      <w:proofErr w:type="spellStart"/>
      <w:r w:rsidRPr="009D42B0">
        <w:rPr>
          <w:lang w:val="en-GB"/>
        </w:rPr>
        <w:t>Bioenergie</w:t>
      </w:r>
      <w:proofErr w:type="spellEnd"/>
      <w:r w:rsidRPr="009D42B0">
        <w:rPr>
          <w:lang w:val="en-GB"/>
        </w:rPr>
        <w:t>” 2025–2027 implementation plan.</w:t>
      </w:r>
    </w:p>
    <w:p w14:paraId="4F1327F8" w14:textId="77777777" w:rsidR="00600535" w:rsidRPr="00B57B36" w:rsidRDefault="00600535" w:rsidP="00600535">
      <w:pPr>
        <w:pStyle w:val="CETReference"/>
      </w:pPr>
      <w:r w:rsidRPr="00B57B36">
        <w:t>References</w:t>
      </w:r>
    </w:p>
    <w:p w14:paraId="03507984" w14:textId="66E96C87" w:rsidR="00600535" w:rsidRPr="00B57B36" w:rsidRDefault="00600535" w:rsidP="00C52C3C">
      <w:pPr>
        <w:pStyle w:val="CETBodytext"/>
        <w:ind w:left="360"/>
        <w:rPr>
          <w:lang w:val="en-GB"/>
        </w:rPr>
      </w:pPr>
    </w:p>
    <w:p w14:paraId="619D9AB1" w14:textId="0B5939E2" w:rsidR="00E42ECE" w:rsidRPr="00E42ECE" w:rsidRDefault="00F41EFB" w:rsidP="00E42ECE">
      <w:pPr>
        <w:pStyle w:val="Bibliografia"/>
        <w:rPr>
          <w:rFonts w:cs="Arial"/>
        </w:rPr>
      </w:pPr>
      <w:r>
        <w:fldChar w:fldCharType="begin"/>
      </w:r>
      <w:r w:rsidRPr="00E42ECE">
        <w:rPr>
          <w:lang w:val="it-IT"/>
        </w:rPr>
        <w:instrText xml:space="preserve"> ADDIN ZOTERO_BIBL {"uncited":[],"omitted":[],"custom":[]} CSL_BIBLIOGRAPHY </w:instrText>
      </w:r>
      <w:r>
        <w:fldChar w:fldCharType="separate"/>
      </w:r>
      <w:r w:rsidR="00E42ECE" w:rsidRPr="00E42ECE">
        <w:rPr>
          <w:rFonts w:cs="Arial"/>
          <w:lang w:val="it-IT"/>
        </w:rPr>
        <w:t xml:space="preserve">Caporusso A., Giuliano A., Liuzzi F., De Bari I., 2022. </w:t>
      </w:r>
      <w:r w:rsidR="00E42ECE" w:rsidRPr="00E42ECE">
        <w:rPr>
          <w:rFonts w:cs="Arial"/>
        </w:rPr>
        <w:t>Techno-economic Analysis of a Lignocellulosic Biorefinery Producing Microbial Oils by Oleaginous Yeasts. Chemical Engineering Transactions 92, 637–642. https://doi.org/10.3303/CET2292107</w:t>
      </w:r>
    </w:p>
    <w:p w14:paraId="7644676B" w14:textId="67112479" w:rsidR="00E42ECE" w:rsidRPr="00E42ECE" w:rsidRDefault="00E42ECE" w:rsidP="00E42ECE">
      <w:pPr>
        <w:pStyle w:val="Bibliografia"/>
        <w:rPr>
          <w:rFonts w:cs="Arial"/>
        </w:rPr>
      </w:pPr>
      <w:r w:rsidRPr="00E42ECE">
        <w:rPr>
          <w:rFonts w:cs="Arial"/>
        </w:rPr>
        <w:t xml:space="preserve">Djomo </w:t>
      </w:r>
      <w:proofErr w:type="spellStart"/>
      <w:r w:rsidRPr="00E42ECE">
        <w:rPr>
          <w:rFonts w:cs="Arial"/>
        </w:rPr>
        <w:t>S.N</w:t>
      </w:r>
      <w:proofErr w:type="spellEnd"/>
      <w:r w:rsidRPr="00E42ECE">
        <w:rPr>
          <w:rFonts w:cs="Arial"/>
        </w:rPr>
        <w:t xml:space="preserve">., </w:t>
      </w:r>
      <w:proofErr w:type="spellStart"/>
      <w:r w:rsidRPr="00E42ECE">
        <w:rPr>
          <w:rFonts w:cs="Arial"/>
        </w:rPr>
        <w:t>Staritsky</w:t>
      </w:r>
      <w:proofErr w:type="spellEnd"/>
      <w:r w:rsidRPr="00E42ECE">
        <w:rPr>
          <w:rFonts w:cs="Arial"/>
        </w:rPr>
        <w:t xml:space="preserve"> I., </w:t>
      </w:r>
      <w:proofErr w:type="spellStart"/>
      <w:r w:rsidRPr="00E42ECE">
        <w:rPr>
          <w:rFonts w:cs="Arial"/>
        </w:rPr>
        <w:t>Elbersen</w:t>
      </w:r>
      <w:proofErr w:type="spellEnd"/>
      <w:r w:rsidRPr="00E42ECE">
        <w:rPr>
          <w:rFonts w:cs="Arial"/>
        </w:rPr>
        <w:t xml:space="preserve"> B., Annevelink B. (</w:t>
      </w:r>
      <w:proofErr w:type="gramStart"/>
      <w:r w:rsidRPr="00E42ECE">
        <w:rPr>
          <w:rFonts w:cs="Arial"/>
        </w:rPr>
        <w:t>E. )</w:t>
      </w:r>
      <w:proofErr w:type="gramEnd"/>
      <w:r w:rsidRPr="00E42ECE">
        <w:rPr>
          <w:rFonts w:cs="Arial"/>
        </w:rPr>
        <w:t>, Gabrielle B., 2023. Supply costs, energy use, and GHG emissions of biomass from marginal lands in Brittany, France. Renewable and Sustainable Energy Reviews 181, 113244. https://doi.org/10.1016/j.rser.2023.113244</w:t>
      </w:r>
    </w:p>
    <w:p w14:paraId="39405C06" w14:textId="1418CA25" w:rsidR="00E42ECE" w:rsidRPr="00E42ECE" w:rsidRDefault="00E42ECE" w:rsidP="00E42ECE">
      <w:pPr>
        <w:pStyle w:val="Bibliografia"/>
        <w:rPr>
          <w:rFonts w:cs="Arial"/>
        </w:rPr>
      </w:pPr>
      <w:r w:rsidRPr="00E42ECE">
        <w:rPr>
          <w:rFonts w:cs="Arial"/>
        </w:rPr>
        <w:t xml:space="preserve">Ge L., Ali M.M., Osman A.I., </w:t>
      </w:r>
      <w:proofErr w:type="spellStart"/>
      <w:r w:rsidRPr="00E42ECE">
        <w:rPr>
          <w:rFonts w:cs="Arial"/>
        </w:rPr>
        <w:t>Elgarahy</w:t>
      </w:r>
      <w:proofErr w:type="spellEnd"/>
      <w:r w:rsidRPr="00E42ECE">
        <w:rPr>
          <w:rFonts w:cs="Arial"/>
        </w:rPr>
        <w:t xml:space="preserve"> A.M., Samer M., Xu Y., Liu Z., 2025. A critical review on conversion technology for liquid biofuel production from lignocellulosic biomass. Renewable and Sustainable Energy Reviews 217, 115726. https://doi.org/10.1016/j.rser.2025.115726</w:t>
      </w:r>
    </w:p>
    <w:p w14:paraId="7517183C" w14:textId="7327B44B" w:rsidR="00E42ECE" w:rsidRPr="00E42ECE" w:rsidRDefault="00E42ECE" w:rsidP="00E42ECE">
      <w:pPr>
        <w:pStyle w:val="Bibliografia"/>
        <w:rPr>
          <w:rFonts w:cs="Arial"/>
          <w:lang w:val="it-IT"/>
        </w:rPr>
      </w:pPr>
      <w:r w:rsidRPr="00E42ECE">
        <w:rPr>
          <w:rFonts w:cs="Arial"/>
        </w:rPr>
        <w:t xml:space="preserve">Gilardi M., </w:t>
      </w:r>
      <w:proofErr w:type="spellStart"/>
      <w:r w:rsidRPr="00E42ECE">
        <w:rPr>
          <w:rFonts w:cs="Arial"/>
        </w:rPr>
        <w:t>Bisotti</w:t>
      </w:r>
      <w:proofErr w:type="spellEnd"/>
      <w:r w:rsidRPr="00E42ECE">
        <w:rPr>
          <w:rFonts w:cs="Arial"/>
        </w:rPr>
        <w:t xml:space="preserve"> F., </w:t>
      </w:r>
      <w:proofErr w:type="spellStart"/>
      <w:r w:rsidRPr="00E42ECE">
        <w:rPr>
          <w:rFonts w:cs="Arial"/>
        </w:rPr>
        <w:t>Berglihn</w:t>
      </w:r>
      <w:proofErr w:type="spellEnd"/>
      <w:r w:rsidRPr="00E42ECE">
        <w:rPr>
          <w:rFonts w:cs="Arial"/>
        </w:rPr>
        <w:t xml:space="preserve"> O.T., Rücker T., Brück T., </w:t>
      </w:r>
      <w:proofErr w:type="spellStart"/>
      <w:r w:rsidRPr="00E42ECE">
        <w:rPr>
          <w:rFonts w:cs="Arial"/>
        </w:rPr>
        <w:t>Wittgens</w:t>
      </w:r>
      <w:proofErr w:type="spellEnd"/>
      <w:r w:rsidRPr="00E42ECE">
        <w:rPr>
          <w:rFonts w:cs="Arial"/>
        </w:rPr>
        <w:t xml:space="preserve"> B., 2024. Modelling of Biomass-to-X: Challenges and Strategies. Chem. Eng. </w:t>
      </w:r>
      <w:r w:rsidRPr="00E42ECE">
        <w:rPr>
          <w:rFonts w:cs="Arial"/>
          <w:lang w:val="it-IT"/>
        </w:rPr>
        <w:t>Trans. 109, 271–276. https://doi.org/10.3303/CET24109046</w:t>
      </w:r>
    </w:p>
    <w:p w14:paraId="1209AFA2" w14:textId="412EA445" w:rsidR="00E42ECE" w:rsidRPr="00E42ECE" w:rsidRDefault="00E42ECE" w:rsidP="00E42ECE">
      <w:pPr>
        <w:pStyle w:val="Bibliografia"/>
        <w:rPr>
          <w:rFonts w:cs="Arial"/>
        </w:rPr>
      </w:pPr>
      <w:r w:rsidRPr="00E42ECE">
        <w:rPr>
          <w:rFonts w:cs="Arial"/>
          <w:lang w:val="it-IT"/>
        </w:rPr>
        <w:t>Giuliano</w:t>
      </w:r>
      <w:r w:rsidR="0021106B">
        <w:rPr>
          <w:rFonts w:cs="Arial"/>
          <w:lang w:val="it-IT"/>
        </w:rPr>
        <w:t xml:space="preserve"> </w:t>
      </w:r>
      <w:r w:rsidRPr="00E42ECE">
        <w:rPr>
          <w:rFonts w:cs="Arial"/>
          <w:lang w:val="it-IT"/>
        </w:rPr>
        <w:t xml:space="preserve">A., Brancaccio, D., Ricca, A., Polverino, P., De Bari, I., </w:t>
      </w:r>
      <w:proofErr w:type="spellStart"/>
      <w:r w:rsidRPr="00E42ECE">
        <w:rPr>
          <w:rFonts w:cs="Arial"/>
          <w:lang w:val="it-IT"/>
        </w:rPr>
        <w:t>2025a</w:t>
      </w:r>
      <w:proofErr w:type="spellEnd"/>
      <w:r w:rsidRPr="00E42ECE">
        <w:rPr>
          <w:rFonts w:cs="Arial"/>
          <w:lang w:val="it-IT"/>
        </w:rPr>
        <w:t xml:space="preserve">. </w:t>
      </w:r>
      <w:r w:rsidRPr="00E42ECE">
        <w:rPr>
          <w:rFonts w:cs="Arial"/>
        </w:rPr>
        <w:t>Biofuels for an off-board hybrid solution avoiding the overloading of the electricity grid producing power for a more sustainable mobility. Chemical Engineering Transactions 119.</w:t>
      </w:r>
    </w:p>
    <w:p w14:paraId="18A39AD1" w14:textId="5DE47924" w:rsidR="00E42ECE" w:rsidRPr="00E42ECE" w:rsidRDefault="00E42ECE" w:rsidP="00E42ECE">
      <w:pPr>
        <w:pStyle w:val="Bibliografia"/>
        <w:rPr>
          <w:rFonts w:cs="Arial"/>
        </w:rPr>
      </w:pPr>
      <w:r w:rsidRPr="0021106B">
        <w:rPr>
          <w:rFonts w:cs="Arial"/>
          <w:lang w:val="it-IT"/>
        </w:rPr>
        <w:t xml:space="preserve">Giuliano, A., Robinson Medici A., Barletta D., </w:t>
      </w:r>
      <w:proofErr w:type="spellStart"/>
      <w:r w:rsidRPr="0021106B">
        <w:rPr>
          <w:rFonts w:cs="Arial"/>
          <w:lang w:val="it-IT"/>
        </w:rPr>
        <w:t>2025b</w:t>
      </w:r>
      <w:proofErr w:type="spellEnd"/>
      <w:r w:rsidRPr="0021106B">
        <w:rPr>
          <w:rFonts w:cs="Arial"/>
          <w:lang w:val="it-IT"/>
        </w:rPr>
        <w:t xml:space="preserve">. </w:t>
      </w:r>
      <w:r w:rsidRPr="00E42ECE">
        <w:rPr>
          <w:rFonts w:cs="Arial"/>
        </w:rPr>
        <w:t>Integrating Techno-Economic and Environmental Criteria in the Design and Optimization of a Full Utilization Multiproduct Lignocellulosic Biorefinery. ACS Sustainable Chem. Eng. 13, 1961–1973. https://doi.org/10.1021/acssuschemeng.4c06590</w:t>
      </w:r>
    </w:p>
    <w:p w14:paraId="577709E8" w14:textId="5A2A999F" w:rsidR="00E42ECE" w:rsidRPr="00E42ECE" w:rsidRDefault="00E42ECE" w:rsidP="00E42ECE">
      <w:pPr>
        <w:pStyle w:val="Bibliografia"/>
        <w:rPr>
          <w:rFonts w:cs="Arial"/>
        </w:rPr>
      </w:pPr>
      <w:r w:rsidRPr="0021106B">
        <w:rPr>
          <w:rFonts w:cs="Arial"/>
          <w:lang w:val="it-IT"/>
        </w:rPr>
        <w:t xml:space="preserve">Giuliano A., Stichnothe H., Pierro N., De Bari I., 2024. </w:t>
      </w:r>
      <w:r w:rsidRPr="00E42ECE">
        <w:rPr>
          <w:rFonts w:cs="Arial"/>
        </w:rPr>
        <w:t>Techno-Economic Analysis of Territorial Case Studies for the Integration of Biorefineries and Green Hydrogen. Energies 17, 5966. https://doi.org/10.3390/en17235966</w:t>
      </w:r>
    </w:p>
    <w:p w14:paraId="0CC3FC26" w14:textId="77777777" w:rsidR="00E42ECE" w:rsidRPr="00E42ECE" w:rsidRDefault="00E42ECE" w:rsidP="00E42ECE">
      <w:pPr>
        <w:pStyle w:val="Bibliografia"/>
        <w:rPr>
          <w:rFonts w:cs="Arial"/>
        </w:rPr>
      </w:pPr>
      <w:r w:rsidRPr="00E42ECE">
        <w:rPr>
          <w:rFonts w:cs="Arial"/>
        </w:rPr>
        <w:t>International Energy Agency, 2025. Delivering Sustainable Fuels; Pathways to 2035.</w:t>
      </w:r>
    </w:p>
    <w:p w14:paraId="55AD02BD" w14:textId="34DE0FC3" w:rsidR="00E42ECE" w:rsidRPr="00E42ECE" w:rsidRDefault="00E42ECE" w:rsidP="00E42ECE">
      <w:pPr>
        <w:pStyle w:val="Bibliografia"/>
        <w:rPr>
          <w:rFonts w:cs="Arial"/>
          <w:lang w:val="it-IT"/>
        </w:rPr>
      </w:pPr>
      <w:r w:rsidRPr="00E42ECE">
        <w:rPr>
          <w:rFonts w:cs="Arial"/>
          <w:lang w:val="it-IT"/>
        </w:rPr>
        <w:t xml:space="preserve">Pierro N., Giocoli A., Motola V., Dipinto S., 2021. Valutazione disponibilità biomasse agro-industriali a livello nazionale e loro pubblicazione sul portale </w:t>
      </w:r>
      <w:proofErr w:type="spellStart"/>
      <w:r w:rsidRPr="00E42ECE">
        <w:rPr>
          <w:rFonts w:cs="Arial"/>
          <w:lang w:val="it-IT"/>
        </w:rPr>
        <w:t>Webgis</w:t>
      </w:r>
      <w:proofErr w:type="spellEnd"/>
      <w:r w:rsidRPr="00E42ECE">
        <w:rPr>
          <w:rFonts w:cs="Arial"/>
          <w:lang w:val="it-IT"/>
        </w:rPr>
        <w:t xml:space="preserve"> atlante delle biomasse [WWW </w:t>
      </w:r>
      <w:proofErr w:type="spellStart"/>
      <w:r w:rsidRPr="00E42ECE">
        <w:rPr>
          <w:rFonts w:cs="Arial"/>
          <w:lang w:val="it-IT"/>
        </w:rPr>
        <w:t>Document</w:t>
      </w:r>
      <w:proofErr w:type="spellEnd"/>
      <w:r w:rsidRPr="00E42ECE">
        <w:rPr>
          <w:rFonts w:cs="Arial"/>
          <w:lang w:val="it-IT"/>
        </w:rPr>
        <w:t>]. URL https://iris.enea.it/handle/20.500.12079/56881 (</w:t>
      </w:r>
      <w:proofErr w:type="spellStart"/>
      <w:r w:rsidRPr="00E42ECE">
        <w:rPr>
          <w:rFonts w:cs="Arial"/>
          <w:lang w:val="it-IT"/>
        </w:rPr>
        <w:t>accessed</w:t>
      </w:r>
      <w:proofErr w:type="spellEnd"/>
      <w:r w:rsidRPr="00E42ECE">
        <w:rPr>
          <w:rFonts w:cs="Arial"/>
          <w:lang w:val="it-IT"/>
        </w:rPr>
        <w:t xml:space="preserve"> 10.17.23).</w:t>
      </w:r>
    </w:p>
    <w:p w14:paraId="694EEAB1" w14:textId="353EFBB9" w:rsidR="00E42ECE" w:rsidRPr="00E42ECE" w:rsidRDefault="00E42ECE" w:rsidP="00E42ECE">
      <w:pPr>
        <w:pStyle w:val="Bibliografia"/>
        <w:rPr>
          <w:rFonts w:cs="Arial"/>
        </w:rPr>
      </w:pPr>
      <w:r w:rsidRPr="00E42ECE">
        <w:rPr>
          <w:rFonts w:cs="Arial"/>
          <w:lang w:val="it-IT"/>
        </w:rPr>
        <w:t xml:space="preserve">Tito E., Zoppi G., Pipitone G., </w:t>
      </w:r>
      <w:proofErr w:type="spellStart"/>
      <w:r w:rsidRPr="00E42ECE">
        <w:rPr>
          <w:rFonts w:cs="Arial"/>
          <w:lang w:val="it-IT"/>
        </w:rPr>
        <w:t>Miliotti</w:t>
      </w:r>
      <w:proofErr w:type="spellEnd"/>
      <w:r w:rsidRPr="00E42ECE">
        <w:rPr>
          <w:rFonts w:cs="Arial"/>
          <w:lang w:val="it-IT"/>
        </w:rPr>
        <w:t xml:space="preserve"> E., Fraia A.D., Rizzo A.M., Pirone R., Chiaramonti D., Bensaid S., 2023. </w:t>
      </w:r>
      <w:r w:rsidRPr="00E42ECE">
        <w:rPr>
          <w:rFonts w:cs="Arial"/>
        </w:rPr>
        <w:t>Conceptual design and techno-economic assessment of coupled hydrothermal liquefaction and aqueous phase reforming of lignocellulosic residues. Journal of Environmental Chemical Engineering 11, 109076. https://doi.org/10.1016/j.jece.2022.109076</w:t>
      </w:r>
    </w:p>
    <w:p w14:paraId="138E86EF" w14:textId="371ADADB" w:rsidR="00E42ECE" w:rsidRPr="00E42ECE" w:rsidRDefault="00E42ECE" w:rsidP="00E42ECE">
      <w:pPr>
        <w:pStyle w:val="Bibliografia"/>
        <w:rPr>
          <w:rFonts w:cs="Arial"/>
        </w:rPr>
      </w:pPr>
      <w:proofErr w:type="spellStart"/>
      <w:r w:rsidRPr="00E42ECE">
        <w:rPr>
          <w:rFonts w:cs="Arial"/>
        </w:rPr>
        <w:t>Vasilakou</w:t>
      </w:r>
      <w:proofErr w:type="spellEnd"/>
      <w:r w:rsidRPr="00E42ECE">
        <w:rPr>
          <w:rFonts w:cs="Arial"/>
        </w:rPr>
        <w:t xml:space="preserve"> K., </w:t>
      </w:r>
      <w:proofErr w:type="spellStart"/>
      <w:r w:rsidRPr="00E42ECE">
        <w:rPr>
          <w:rFonts w:cs="Arial"/>
        </w:rPr>
        <w:t>Nimmegeers</w:t>
      </w:r>
      <w:proofErr w:type="spellEnd"/>
      <w:r w:rsidRPr="00E42ECE">
        <w:rPr>
          <w:rFonts w:cs="Arial"/>
        </w:rPr>
        <w:t xml:space="preserve"> P., Thomassen G., Billen P., Van </w:t>
      </w:r>
      <w:proofErr w:type="spellStart"/>
      <w:r w:rsidRPr="00E42ECE">
        <w:rPr>
          <w:rFonts w:cs="Arial"/>
        </w:rPr>
        <w:t>Passel</w:t>
      </w:r>
      <w:proofErr w:type="spellEnd"/>
      <w:r w:rsidRPr="00E42ECE">
        <w:rPr>
          <w:rFonts w:cs="Arial"/>
        </w:rPr>
        <w:t xml:space="preserve"> S., 2023. Assessing the future of second-generation bioethanol by 2030 – A techno-economic assessment integrating technology learning curves. Applied Energy 344, 121263. https://doi.org/10.1016/j.apenergy.2023.121263</w:t>
      </w:r>
    </w:p>
    <w:p w14:paraId="5DDB3140" w14:textId="6C3C2320" w:rsidR="00E42ECE" w:rsidRPr="00E42ECE" w:rsidRDefault="00E42ECE" w:rsidP="00E42ECE">
      <w:pPr>
        <w:pStyle w:val="Bibliografia"/>
        <w:rPr>
          <w:rFonts w:cs="Arial"/>
        </w:rPr>
      </w:pPr>
      <w:r w:rsidRPr="00E42ECE">
        <w:rPr>
          <w:rFonts w:cs="Arial"/>
        </w:rPr>
        <w:t>Zhu J., Feng L., Yu C., Wu L., 2025. Renewable methanol production from biomass gasification coupled with green hydrogen: Process design and economic assessment. International Journal of Hydrogen Energy 191, 151693. https://doi.org/10.1016/j.ijhydene.2025.151693</w:t>
      </w:r>
    </w:p>
    <w:p w14:paraId="428B022A" w14:textId="4E0BFC44" w:rsidR="00E65B91" w:rsidRDefault="00F41EFB" w:rsidP="00600535">
      <w:pPr>
        <w:pStyle w:val="CETReferencetext"/>
      </w:pPr>
      <w:r>
        <w:fldChar w:fldCharType="end"/>
      </w:r>
    </w:p>
    <w:sectPr w:rsidR="00E65B91"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E371" w14:textId="77777777" w:rsidR="00D90CBF" w:rsidRDefault="00D90CBF" w:rsidP="004F5E36">
      <w:r>
        <w:separator/>
      </w:r>
    </w:p>
  </w:endnote>
  <w:endnote w:type="continuationSeparator" w:id="0">
    <w:p w14:paraId="62490A1B" w14:textId="77777777" w:rsidR="00D90CBF" w:rsidRDefault="00D90CBF"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5C87" w14:textId="77777777" w:rsidR="00D90CBF" w:rsidRDefault="00D90CBF" w:rsidP="004F5E36">
      <w:r>
        <w:separator/>
      </w:r>
    </w:p>
  </w:footnote>
  <w:footnote w:type="continuationSeparator" w:id="0">
    <w:p w14:paraId="6722F7CA" w14:textId="77777777" w:rsidR="00D90CBF" w:rsidRDefault="00D90CBF"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FFC"/>
    <w:rsid w:val="000027C0"/>
    <w:rsid w:val="00003306"/>
    <w:rsid w:val="000052FB"/>
    <w:rsid w:val="00005884"/>
    <w:rsid w:val="00005A19"/>
    <w:rsid w:val="00005FCB"/>
    <w:rsid w:val="000117CB"/>
    <w:rsid w:val="00020683"/>
    <w:rsid w:val="00021DF4"/>
    <w:rsid w:val="00023799"/>
    <w:rsid w:val="00027529"/>
    <w:rsid w:val="0003148D"/>
    <w:rsid w:val="00031EEC"/>
    <w:rsid w:val="00034F65"/>
    <w:rsid w:val="000467CC"/>
    <w:rsid w:val="0005105B"/>
    <w:rsid w:val="00051566"/>
    <w:rsid w:val="00053003"/>
    <w:rsid w:val="000562A9"/>
    <w:rsid w:val="00060C0A"/>
    <w:rsid w:val="00062A9A"/>
    <w:rsid w:val="00062C95"/>
    <w:rsid w:val="00063C81"/>
    <w:rsid w:val="00065058"/>
    <w:rsid w:val="00071C24"/>
    <w:rsid w:val="00077054"/>
    <w:rsid w:val="000834EC"/>
    <w:rsid w:val="000840FD"/>
    <w:rsid w:val="00086C39"/>
    <w:rsid w:val="00087804"/>
    <w:rsid w:val="000A03B2"/>
    <w:rsid w:val="000A0DCB"/>
    <w:rsid w:val="000A3878"/>
    <w:rsid w:val="000A3BC7"/>
    <w:rsid w:val="000B048A"/>
    <w:rsid w:val="000B60D9"/>
    <w:rsid w:val="000C332E"/>
    <w:rsid w:val="000C7981"/>
    <w:rsid w:val="000D0268"/>
    <w:rsid w:val="000D34BE"/>
    <w:rsid w:val="000E102F"/>
    <w:rsid w:val="000E36F1"/>
    <w:rsid w:val="000E3A73"/>
    <w:rsid w:val="000E414A"/>
    <w:rsid w:val="000E75FD"/>
    <w:rsid w:val="000F093C"/>
    <w:rsid w:val="000F787B"/>
    <w:rsid w:val="00101F02"/>
    <w:rsid w:val="00111601"/>
    <w:rsid w:val="001158BF"/>
    <w:rsid w:val="0012091F"/>
    <w:rsid w:val="001235AC"/>
    <w:rsid w:val="00124AAD"/>
    <w:rsid w:val="00126BC2"/>
    <w:rsid w:val="001308B6"/>
    <w:rsid w:val="001311F8"/>
    <w:rsid w:val="0013121F"/>
    <w:rsid w:val="00131FE6"/>
    <w:rsid w:val="0013263F"/>
    <w:rsid w:val="001331DF"/>
    <w:rsid w:val="00134DE4"/>
    <w:rsid w:val="001363DB"/>
    <w:rsid w:val="0014034D"/>
    <w:rsid w:val="00140FE3"/>
    <w:rsid w:val="00144D16"/>
    <w:rsid w:val="00150E59"/>
    <w:rsid w:val="00152DE3"/>
    <w:rsid w:val="00164CF9"/>
    <w:rsid w:val="001667A6"/>
    <w:rsid w:val="00170192"/>
    <w:rsid w:val="0017303C"/>
    <w:rsid w:val="0018487F"/>
    <w:rsid w:val="00184AD6"/>
    <w:rsid w:val="00184C45"/>
    <w:rsid w:val="00187CEA"/>
    <w:rsid w:val="00191103"/>
    <w:rsid w:val="00195074"/>
    <w:rsid w:val="00195440"/>
    <w:rsid w:val="001A4AF7"/>
    <w:rsid w:val="001B0349"/>
    <w:rsid w:val="001B1E93"/>
    <w:rsid w:val="001B65C1"/>
    <w:rsid w:val="001B72EC"/>
    <w:rsid w:val="001B7BC0"/>
    <w:rsid w:val="001C1A5F"/>
    <w:rsid w:val="001C260F"/>
    <w:rsid w:val="001C33F1"/>
    <w:rsid w:val="001C4696"/>
    <w:rsid w:val="001C5136"/>
    <w:rsid w:val="001C684B"/>
    <w:rsid w:val="001D0CFB"/>
    <w:rsid w:val="001D21AF"/>
    <w:rsid w:val="001D3937"/>
    <w:rsid w:val="001D53FC"/>
    <w:rsid w:val="001E25DF"/>
    <w:rsid w:val="001F276A"/>
    <w:rsid w:val="001F42A5"/>
    <w:rsid w:val="001F7B9D"/>
    <w:rsid w:val="00201C93"/>
    <w:rsid w:val="002034A8"/>
    <w:rsid w:val="0020796C"/>
    <w:rsid w:val="0021106B"/>
    <w:rsid w:val="002224B4"/>
    <w:rsid w:val="0022337F"/>
    <w:rsid w:val="00231125"/>
    <w:rsid w:val="00240B19"/>
    <w:rsid w:val="002447EF"/>
    <w:rsid w:val="00251550"/>
    <w:rsid w:val="002516DA"/>
    <w:rsid w:val="002522C7"/>
    <w:rsid w:val="00252974"/>
    <w:rsid w:val="00263B05"/>
    <w:rsid w:val="0027221A"/>
    <w:rsid w:val="00275757"/>
    <w:rsid w:val="00275B61"/>
    <w:rsid w:val="00276558"/>
    <w:rsid w:val="002765CD"/>
    <w:rsid w:val="00277275"/>
    <w:rsid w:val="00280FAF"/>
    <w:rsid w:val="00282656"/>
    <w:rsid w:val="00283A2E"/>
    <w:rsid w:val="00296B83"/>
    <w:rsid w:val="002A27BA"/>
    <w:rsid w:val="002B132A"/>
    <w:rsid w:val="002B2313"/>
    <w:rsid w:val="002B2F0F"/>
    <w:rsid w:val="002B4015"/>
    <w:rsid w:val="002B490D"/>
    <w:rsid w:val="002B5C01"/>
    <w:rsid w:val="002B78CE"/>
    <w:rsid w:val="002C0D36"/>
    <w:rsid w:val="002C22B9"/>
    <w:rsid w:val="002C2FB6"/>
    <w:rsid w:val="002D17BA"/>
    <w:rsid w:val="002E5589"/>
    <w:rsid w:val="002E5FA7"/>
    <w:rsid w:val="002E7C3A"/>
    <w:rsid w:val="002F24FD"/>
    <w:rsid w:val="002F3309"/>
    <w:rsid w:val="002F3C32"/>
    <w:rsid w:val="003008CE"/>
    <w:rsid w:val="003009B7"/>
    <w:rsid w:val="00300DAD"/>
    <w:rsid w:val="00300E56"/>
    <w:rsid w:val="0030152C"/>
    <w:rsid w:val="0030469C"/>
    <w:rsid w:val="00306497"/>
    <w:rsid w:val="003145DA"/>
    <w:rsid w:val="003147E1"/>
    <w:rsid w:val="00321CA6"/>
    <w:rsid w:val="00323268"/>
    <w:rsid w:val="00323763"/>
    <w:rsid w:val="00323C5F"/>
    <w:rsid w:val="00326DDC"/>
    <w:rsid w:val="003315A7"/>
    <w:rsid w:val="00334C09"/>
    <w:rsid w:val="00345C81"/>
    <w:rsid w:val="00352499"/>
    <w:rsid w:val="00352A11"/>
    <w:rsid w:val="003665AD"/>
    <w:rsid w:val="003723D4"/>
    <w:rsid w:val="003742A9"/>
    <w:rsid w:val="00381905"/>
    <w:rsid w:val="00384CC8"/>
    <w:rsid w:val="00386344"/>
    <w:rsid w:val="003871FD"/>
    <w:rsid w:val="00390CF2"/>
    <w:rsid w:val="00396DC3"/>
    <w:rsid w:val="003A122C"/>
    <w:rsid w:val="003A1E30"/>
    <w:rsid w:val="003A2829"/>
    <w:rsid w:val="003A69CE"/>
    <w:rsid w:val="003A7D1C"/>
    <w:rsid w:val="003A7F47"/>
    <w:rsid w:val="003B28F4"/>
    <w:rsid w:val="003B304B"/>
    <w:rsid w:val="003B3146"/>
    <w:rsid w:val="003B4EA5"/>
    <w:rsid w:val="003B61C7"/>
    <w:rsid w:val="003B770F"/>
    <w:rsid w:val="003C5D09"/>
    <w:rsid w:val="003C70DB"/>
    <w:rsid w:val="003D1E02"/>
    <w:rsid w:val="003E63ED"/>
    <w:rsid w:val="003F015E"/>
    <w:rsid w:val="00400414"/>
    <w:rsid w:val="00403B24"/>
    <w:rsid w:val="0041446B"/>
    <w:rsid w:val="004171B8"/>
    <w:rsid w:val="00422C19"/>
    <w:rsid w:val="00423D23"/>
    <w:rsid w:val="0042572D"/>
    <w:rsid w:val="00431981"/>
    <w:rsid w:val="0044071E"/>
    <w:rsid w:val="0044100A"/>
    <w:rsid w:val="0044329C"/>
    <w:rsid w:val="00443990"/>
    <w:rsid w:val="00445B74"/>
    <w:rsid w:val="00446533"/>
    <w:rsid w:val="0045253D"/>
    <w:rsid w:val="00453E24"/>
    <w:rsid w:val="00457456"/>
    <w:rsid w:val="004577FE"/>
    <w:rsid w:val="00457B9C"/>
    <w:rsid w:val="0046164A"/>
    <w:rsid w:val="004628D2"/>
    <w:rsid w:val="004629CC"/>
    <w:rsid w:val="00462DCD"/>
    <w:rsid w:val="004648AD"/>
    <w:rsid w:val="00467463"/>
    <w:rsid w:val="004700AF"/>
    <w:rsid w:val="004703A9"/>
    <w:rsid w:val="004760DE"/>
    <w:rsid w:val="004763D7"/>
    <w:rsid w:val="00480094"/>
    <w:rsid w:val="00483744"/>
    <w:rsid w:val="00485AED"/>
    <w:rsid w:val="00493EF4"/>
    <w:rsid w:val="004A004E"/>
    <w:rsid w:val="004A24CF"/>
    <w:rsid w:val="004A5024"/>
    <w:rsid w:val="004A5E57"/>
    <w:rsid w:val="004C194F"/>
    <w:rsid w:val="004C3D1D"/>
    <w:rsid w:val="004C3D84"/>
    <w:rsid w:val="004C6847"/>
    <w:rsid w:val="004C7913"/>
    <w:rsid w:val="004D1223"/>
    <w:rsid w:val="004E15F7"/>
    <w:rsid w:val="004E4DD6"/>
    <w:rsid w:val="004F3555"/>
    <w:rsid w:val="004F4115"/>
    <w:rsid w:val="004F5E36"/>
    <w:rsid w:val="00507B47"/>
    <w:rsid w:val="00507BEF"/>
    <w:rsid w:val="00507CC9"/>
    <w:rsid w:val="005119A5"/>
    <w:rsid w:val="00521C9A"/>
    <w:rsid w:val="00526C8B"/>
    <w:rsid w:val="00527777"/>
    <w:rsid w:val="005278B7"/>
    <w:rsid w:val="00530A73"/>
    <w:rsid w:val="00532016"/>
    <w:rsid w:val="00533F00"/>
    <w:rsid w:val="005346C8"/>
    <w:rsid w:val="00535F45"/>
    <w:rsid w:val="00543E7D"/>
    <w:rsid w:val="00546A83"/>
    <w:rsid w:val="00547A02"/>
    <w:rsid w:val="00547A68"/>
    <w:rsid w:val="005531C9"/>
    <w:rsid w:val="00553B3D"/>
    <w:rsid w:val="0055676F"/>
    <w:rsid w:val="00561B42"/>
    <w:rsid w:val="00564B40"/>
    <w:rsid w:val="00570C43"/>
    <w:rsid w:val="00580C85"/>
    <w:rsid w:val="00581B85"/>
    <w:rsid w:val="005821EB"/>
    <w:rsid w:val="00592274"/>
    <w:rsid w:val="005B2110"/>
    <w:rsid w:val="005B2778"/>
    <w:rsid w:val="005B5769"/>
    <w:rsid w:val="005B61E6"/>
    <w:rsid w:val="005B77DB"/>
    <w:rsid w:val="005C1CEB"/>
    <w:rsid w:val="005C4A95"/>
    <w:rsid w:val="005C77E1"/>
    <w:rsid w:val="005C7C21"/>
    <w:rsid w:val="005D142B"/>
    <w:rsid w:val="005D1A8C"/>
    <w:rsid w:val="005D668A"/>
    <w:rsid w:val="005D6A2F"/>
    <w:rsid w:val="005E0592"/>
    <w:rsid w:val="005E1A82"/>
    <w:rsid w:val="005E2878"/>
    <w:rsid w:val="005E43E3"/>
    <w:rsid w:val="005E464E"/>
    <w:rsid w:val="005E794C"/>
    <w:rsid w:val="005F0A28"/>
    <w:rsid w:val="005F0E5E"/>
    <w:rsid w:val="005F335A"/>
    <w:rsid w:val="005F6600"/>
    <w:rsid w:val="005F7D7D"/>
    <w:rsid w:val="00600535"/>
    <w:rsid w:val="00603EEF"/>
    <w:rsid w:val="00603F3D"/>
    <w:rsid w:val="00604520"/>
    <w:rsid w:val="00610CD6"/>
    <w:rsid w:val="006137E7"/>
    <w:rsid w:val="00617F22"/>
    <w:rsid w:val="00620DEE"/>
    <w:rsid w:val="00621F92"/>
    <w:rsid w:val="0062280A"/>
    <w:rsid w:val="006231E1"/>
    <w:rsid w:val="00625639"/>
    <w:rsid w:val="0062786C"/>
    <w:rsid w:val="0062798F"/>
    <w:rsid w:val="0063058E"/>
    <w:rsid w:val="00631B33"/>
    <w:rsid w:val="006331BB"/>
    <w:rsid w:val="0064184D"/>
    <w:rsid w:val="006422CC"/>
    <w:rsid w:val="00651D18"/>
    <w:rsid w:val="00656480"/>
    <w:rsid w:val="00660E3E"/>
    <w:rsid w:val="00662E74"/>
    <w:rsid w:val="00664F9F"/>
    <w:rsid w:val="00680C23"/>
    <w:rsid w:val="00683E23"/>
    <w:rsid w:val="00693766"/>
    <w:rsid w:val="00695124"/>
    <w:rsid w:val="00696AE5"/>
    <w:rsid w:val="006A025D"/>
    <w:rsid w:val="006A3281"/>
    <w:rsid w:val="006A4268"/>
    <w:rsid w:val="006B4888"/>
    <w:rsid w:val="006C2E45"/>
    <w:rsid w:val="006C359C"/>
    <w:rsid w:val="006C5579"/>
    <w:rsid w:val="006D6E8B"/>
    <w:rsid w:val="006D7209"/>
    <w:rsid w:val="006E2ACA"/>
    <w:rsid w:val="006E737D"/>
    <w:rsid w:val="006F4182"/>
    <w:rsid w:val="007046A6"/>
    <w:rsid w:val="00705D78"/>
    <w:rsid w:val="00707DD1"/>
    <w:rsid w:val="00713973"/>
    <w:rsid w:val="00720A24"/>
    <w:rsid w:val="00721D27"/>
    <w:rsid w:val="00732386"/>
    <w:rsid w:val="0073514D"/>
    <w:rsid w:val="007377DF"/>
    <w:rsid w:val="007447F3"/>
    <w:rsid w:val="0075499F"/>
    <w:rsid w:val="007573CC"/>
    <w:rsid w:val="007617CC"/>
    <w:rsid w:val="00762393"/>
    <w:rsid w:val="00765143"/>
    <w:rsid w:val="00765D21"/>
    <w:rsid w:val="007661C8"/>
    <w:rsid w:val="0076770A"/>
    <w:rsid w:val="0077098D"/>
    <w:rsid w:val="0077120A"/>
    <w:rsid w:val="00774D51"/>
    <w:rsid w:val="007818C6"/>
    <w:rsid w:val="00785BF9"/>
    <w:rsid w:val="007931FA"/>
    <w:rsid w:val="007932FF"/>
    <w:rsid w:val="00797CD7"/>
    <w:rsid w:val="007A1403"/>
    <w:rsid w:val="007A4861"/>
    <w:rsid w:val="007A5B41"/>
    <w:rsid w:val="007A7BBA"/>
    <w:rsid w:val="007B0C50"/>
    <w:rsid w:val="007B27F3"/>
    <w:rsid w:val="007B48F9"/>
    <w:rsid w:val="007C1A43"/>
    <w:rsid w:val="007C40E0"/>
    <w:rsid w:val="007C43D1"/>
    <w:rsid w:val="007D0951"/>
    <w:rsid w:val="007D6B5C"/>
    <w:rsid w:val="007E2127"/>
    <w:rsid w:val="007E63E5"/>
    <w:rsid w:val="007F27C8"/>
    <w:rsid w:val="008000A7"/>
    <w:rsid w:val="0080013E"/>
    <w:rsid w:val="00802191"/>
    <w:rsid w:val="00804C6E"/>
    <w:rsid w:val="008115A2"/>
    <w:rsid w:val="00813288"/>
    <w:rsid w:val="00813749"/>
    <w:rsid w:val="008168FC"/>
    <w:rsid w:val="00816A9E"/>
    <w:rsid w:val="00822AB3"/>
    <w:rsid w:val="00830996"/>
    <w:rsid w:val="008314D7"/>
    <w:rsid w:val="00833801"/>
    <w:rsid w:val="00833C35"/>
    <w:rsid w:val="008345F1"/>
    <w:rsid w:val="00840D5F"/>
    <w:rsid w:val="00841063"/>
    <w:rsid w:val="008514A7"/>
    <w:rsid w:val="0086078C"/>
    <w:rsid w:val="00865053"/>
    <w:rsid w:val="00865B07"/>
    <w:rsid w:val="008667EA"/>
    <w:rsid w:val="008705AE"/>
    <w:rsid w:val="00873559"/>
    <w:rsid w:val="0087637F"/>
    <w:rsid w:val="00876D0D"/>
    <w:rsid w:val="008802C7"/>
    <w:rsid w:val="008848D2"/>
    <w:rsid w:val="00892AD5"/>
    <w:rsid w:val="008966E1"/>
    <w:rsid w:val="008A1512"/>
    <w:rsid w:val="008A1AF6"/>
    <w:rsid w:val="008A5624"/>
    <w:rsid w:val="008A6D8F"/>
    <w:rsid w:val="008B3F4A"/>
    <w:rsid w:val="008B5401"/>
    <w:rsid w:val="008C1ABA"/>
    <w:rsid w:val="008C5B2F"/>
    <w:rsid w:val="008C6D91"/>
    <w:rsid w:val="008C7C48"/>
    <w:rsid w:val="008D32B9"/>
    <w:rsid w:val="008D433B"/>
    <w:rsid w:val="008D4A16"/>
    <w:rsid w:val="008D6A07"/>
    <w:rsid w:val="008E209A"/>
    <w:rsid w:val="008E45BC"/>
    <w:rsid w:val="008E566E"/>
    <w:rsid w:val="008E79E3"/>
    <w:rsid w:val="008F5073"/>
    <w:rsid w:val="0090161A"/>
    <w:rsid w:val="00901EB6"/>
    <w:rsid w:val="009041F8"/>
    <w:rsid w:val="00904C62"/>
    <w:rsid w:val="00904F53"/>
    <w:rsid w:val="0090612E"/>
    <w:rsid w:val="00906E2E"/>
    <w:rsid w:val="00922BA8"/>
    <w:rsid w:val="0092350F"/>
    <w:rsid w:val="00924DAC"/>
    <w:rsid w:val="00924FFD"/>
    <w:rsid w:val="00927058"/>
    <w:rsid w:val="00936AD5"/>
    <w:rsid w:val="00942750"/>
    <w:rsid w:val="009450CE"/>
    <w:rsid w:val="009459BB"/>
    <w:rsid w:val="00947179"/>
    <w:rsid w:val="00947F07"/>
    <w:rsid w:val="0095164B"/>
    <w:rsid w:val="00954090"/>
    <w:rsid w:val="009573E7"/>
    <w:rsid w:val="00963E05"/>
    <w:rsid w:val="00964A45"/>
    <w:rsid w:val="00966397"/>
    <w:rsid w:val="0096762B"/>
    <w:rsid w:val="00967843"/>
    <w:rsid w:val="00967D54"/>
    <w:rsid w:val="00971028"/>
    <w:rsid w:val="009733CB"/>
    <w:rsid w:val="00976CC0"/>
    <w:rsid w:val="009770CE"/>
    <w:rsid w:val="00982268"/>
    <w:rsid w:val="00984B38"/>
    <w:rsid w:val="009872BE"/>
    <w:rsid w:val="009878ED"/>
    <w:rsid w:val="00993B84"/>
    <w:rsid w:val="00996483"/>
    <w:rsid w:val="00996F5A"/>
    <w:rsid w:val="009A123E"/>
    <w:rsid w:val="009A7E99"/>
    <w:rsid w:val="009B041A"/>
    <w:rsid w:val="009C37C3"/>
    <w:rsid w:val="009C46FE"/>
    <w:rsid w:val="009C54B4"/>
    <w:rsid w:val="009C563B"/>
    <w:rsid w:val="009C7BAC"/>
    <w:rsid w:val="009C7C86"/>
    <w:rsid w:val="009D2FF7"/>
    <w:rsid w:val="009D42B0"/>
    <w:rsid w:val="009D49A8"/>
    <w:rsid w:val="009D595F"/>
    <w:rsid w:val="009D7B5A"/>
    <w:rsid w:val="009E1864"/>
    <w:rsid w:val="009E4AD1"/>
    <w:rsid w:val="009E5070"/>
    <w:rsid w:val="009E7884"/>
    <w:rsid w:val="009E788A"/>
    <w:rsid w:val="009F0E08"/>
    <w:rsid w:val="009F2404"/>
    <w:rsid w:val="009F50B9"/>
    <w:rsid w:val="009F79DF"/>
    <w:rsid w:val="009F7DED"/>
    <w:rsid w:val="00A01662"/>
    <w:rsid w:val="00A04D46"/>
    <w:rsid w:val="00A079AE"/>
    <w:rsid w:val="00A10210"/>
    <w:rsid w:val="00A1763D"/>
    <w:rsid w:val="00A17AAB"/>
    <w:rsid w:val="00A17CEC"/>
    <w:rsid w:val="00A232FA"/>
    <w:rsid w:val="00A26CBB"/>
    <w:rsid w:val="00A27EF0"/>
    <w:rsid w:val="00A32174"/>
    <w:rsid w:val="00A3423A"/>
    <w:rsid w:val="00A42361"/>
    <w:rsid w:val="00A426BC"/>
    <w:rsid w:val="00A476E4"/>
    <w:rsid w:val="00A50B20"/>
    <w:rsid w:val="00A51390"/>
    <w:rsid w:val="00A532CC"/>
    <w:rsid w:val="00A60D13"/>
    <w:rsid w:val="00A61CB0"/>
    <w:rsid w:val="00A62847"/>
    <w:rsid w:val="00A64983"/>
    <w:rsid w:val="00A6635C"/>
    <w:rsid w:val="00A7223D"/>
    <w:rsid w:val="00A72745"/>
    <w:rsid w:val="00A75290"/>
    <w:rsid w:val="00A76EFC"/>
    <w:rsid w:val="00A83D76"/>
    <w:rsid w:val="00A87D50"/>
    <w:rsid w:val="00A91010"/>
    <w:rsid w:val="00A91BBA"/>
    <w:rsid w:val="00A97F29"/>
    <w:rsid w:val="00AA0A62"/>
    <w:rsid w:val="00AA315F"/>
    <w:rsid w:val="00AA5E26"/>
    <w:rsid w:val="00AA702E"/>
    <w:rsid w:val="00AA7D26"/>
    <w:rsid w:val="00AA7F78"/>
    <w:rsid w:val="00AB0964"/>
    <w:rsid w:val="00AB3956"/>
    <w:rsid w:val="00AB5011"/>
    <w:rsid w:val="00AC3028"/>
    <w:rsid w:val="00AC7368"/>
    <w:rsid w:val="00AD0278"/>
    <w:rsid w:val="00AD16B9"/>
    <w:rsid w:val="00AD4924"/>
    <w:rsid w:val="00AE377D"/>
    <w:rsid w:val="00AE3A56"/>
    <w:rsid w:val="00AE4C83"/>
    <w:rsid w:val="00AE5286"/>
    <w:rsid w:val="00AF0C19"/>
    <w:rsid w:val="00AF0EBA"/>
    <w:rsid w:val="00B02C8A"/>
    <w:rsid w:val="00B04627"/>
    <w:rsid w:val="00B05224"/>
    <w:rsid w:val="00B14177"/>
    <w:rsid w:val="00B17FBD"/>
    <w:rsid w:val="00B24388"/>
    <w:rsid w:val="00B25F96"/>
    <w:rsid w:val="00B315A6"/>
    <w:rsid w:val="00B31813"/>
    <w:rsid w:val="00B33285"/>
    <w:rsid w:val="00B33365"/>
    <w:rsid w:val="00B353E7"/>
    <w:rsid w:val="00B43316"/>
    <w:rsid w:val="00B50877"/>
    <w:rsid w:val="00B52289"/>
    <w:rsid w:val="00B5334B"/>
    <w:rsid w:val="00B5590A"/>
    <w:rsid w:val="00B56231"/>
    <w:rsid w:val="00B56330"/>
    <w:rsid w:val="00B57B36"/>
    <w:rsid w:val="00B57E6F"/>
    <w:rsid w:val="00B72DD7"/>
    <w:rsid w:val="00B8686D"/>
    <w:rsid w:val="00B920C9"/>
    <w:rsid w:val="00B93F69"/>
    <w:rsid w:val="00B94111"/>
    <w:rsid w:val="00BA2187"/>
    <w:rsid w:val="00BB1DDC"/>
    <w:rsid w:val="00BC0307"/>
    <w:rsid w:val="00BC30C9"/>
    <w:rsid w:val="00BC4974"/>
    <w:rsid w:val="00BC663E"/>
    <w:rsid w:val="00BD077D"/>
    <w:rsid w:val="00BD54C7"/>
    <w:rsid w:val="00BE2DFF"/>
    <w:rsid w:val="00BE3E58"/>
    <w:rsid w:val="00BF2948"/>
    <w:rsid w:val="00C0051A"/>
    <w:rsid w:val="00C01616"/>
    <w:rsid w:val="00C0162B"/>
    <w:rsid w:val="00C0167D"/>
    <w:rsid w:val="00C055FE"/>
    <w:rsid w:val="00C068ED"/>
    <w:rsid w:val="00C17DA4"/>
    <w:rsid w:val="00C208E9"/>
    <w:rsid w:val="00C22E0C"/>
    <w:rsid w:val="00C231B7"/>
    <w:rsid w:val="00C24B27"/>
    <w:rsid w:val="00C26C2F"/>
    <w:rsid w:val="00C345B1"/>
    <w:rsid w:val="00C40142"/>
    <w:rsid w:val="00C41CED"/>
    <w:rsid w:val="00C46F05"/>
    <w:rsid w:val="00C52C3C"/>
    <w:rsid w:val="00C54826"/>
    <w:rsid w:val="00C57182"/>
    <w:rsid w:val="00C57863"/>
    <w:rsid w:val="00C640AF"/>
    <w:rsid w:val="00C655FD"/>
    <w:rsid w:val="00C7084E"/>
    <w:rsid w:val="00C71828"/>
    <w:rsid w:val="00C75407"/>
    <w:rsid w:val="00C75AB1"/>
    <w:rsid w:val="00C76BED"/>
    <w:rsid w:val="00C83AA3"/>
    <w:rsid w:val="00C841C6"/>
    <w:rsid w:val="00C849CF"/>
    <w:rsid w:val="00C870A8"/>
    <w:rsid w:val="00C94434"/>
    <w:rsid w:val="00C9509F"/>
    <w:rsid w:val="00C97E47"/>
    <w:rsid w:val="00CA0A0B"/>
    <w:rsid w:val="00CA0D75"/>
    <w:rsid w:val="00CA0F09"/>
    <w:rsid w:val="00CA1C95"/>
    <w:rsid w:val="00CA29A9"/>
    <w:rsid w:val="00CA5A9C"/>
    <w:rsid w:val="00CB26DB"/>
    <w:rsid w:val="00CB3512"/>
    <w:rsid w:val="00CB5EA1"/>
    <w:rsid w:val="00CB75EA"/>
    <w:rsid w:val="00CC10D8"/>
    <w:rsid w:val="00CC1AA2"/>
    <w:rsid w:val="00CC34B6"/>
    <w:rsid w:val="00CC3F12"/>
    <w:rsid w:val="00CC4C20"/>
    <w:rsid w:val="00CD074C"/>
    <w:rsid w:val="00CD3517"/>
    <w:rsid w:val="00CD5FE2"/>
    <w:rsid w:val="00CE7C68"/>
    <w:rsid w:val="00CF269C"/>
    <w:rsid w:val="00D02B4C"/>
    <w:rsid w:val="00D03785"/>
    <w:rsid w:val="00D040C4"/>
    <w:rsid w:val="00D15058"/>
    <w:rsid w:val="00D17E11"/>
    <w:rsid w:val="00D20AD1"/>
    <w:rsid w:val="00D2582C"/>
    <w:rsid w:val="00D2771A"/>
    <w:rsid w:val="00D32869"/>
    <w:rsid w:val="00D46B7E"/>
    <w:rsid w:val="00D57C84"/>
    <w:rsid w:val="00D6057D"/>
    <w:rsid w:val="00D609DD"/>
    <w:rsid w:val="00D61A9F"/>
    <w:rsid w:val="00D61BCF"/>
    <w:rsid w:val="00D71640"/>
    <w:rsid w:val="00D73D09"/>
    <w:rsid w:val="00D836C5"/>
    <w:rsid w:val="00D83898"/>
    <w:rsid w:val="00D84124"/>
    <w:rsid w:val="00D84576"/>
    <w:rsid w:val="00D8573F"/>
    <w:rsid w:val="00D86169"/>
    <w:rsid w:val="00D90CBF"/>
    <w:rsid w:val="00DA1399"/>
    <w:rsid w:val="00DA1CFB"/>
    <w:rsid w:val="00DA24C6"/>
    <w:rsid w:val="00DA297C"/>
    <w:rsid w:val="00DA4D7B"/>
    <w:rsid w:val="00DA6D07"/>
    <w:rsid w:val="00DD271C"/>
    <w:rsid w:val="00DD4394"/>
    <w:rsid w:val="00DD6909"/>
    <w:rsid w:val="00DE264A"/>
    <w:rsid w:val="00DE4801"/>
    <w:rsid w:val="00DE61B7"/>
    <w:rsid w:val="00DF10C2"/>
    <w:rsid w:val="00DF3E1E"/>
    <w:rsid w:val="00DF5072"/>
    <w:rsid w:val="00E0291C"/>
    <w:rsid w:val="00E02D18"/>
    <w:rsid w:val="00E03671"/>
    <w:rsid w:val="00E041E7"/>
    <w:rsid w:val="00E06592"/>
    <w:rsid w:val="00E077C6"/>
    <w:rsid w:val="00E07E20"/>
    <w:rsid w:val="00E15A20"/>
    <w:rsid w:val="00E205B8"/>
    <w:rsid w:val="00E23CA1"/>
    <w:rsid w:val="00E2549F"/>
    <w:rsid w:val="00E31E3B"/>
    <w:rsid w:val="00E3268A"/>
    <w:rsid w:val="00E33727"/>
    <w:rsid w:val="00E337DD"/>
    <w:rsid w:val="00E34C55"/>
    <w:rsid w:val="00E375E8"/>
    <w:rsid w:val="00E409A8"/>
    <w:rsid w:val="00E409DD"/>
    <w:rsid w:val="00E42ECE"/>
    <w:rsid w:val="00E47146"/>
    <w:rsid w:val="00E47D18"/>
    <w:rsid w:val="00E47D61"/>
    <w:rsid w:val="00E50C12"/>
    <w:rsid w:val="00E65B91"/>
    <w:rsid w:val="00E7209D"/>
    <w:rsid w:val="00E72EAD"/>
    <w:rsid w:val="00E736EA"/>
    <w:rsid w:val="00E77223"/>
    <w:rsid w:val="00E8340D"/>
    <w:rsid w:val="00E8528B"/>
    <w:rsid w:val="00E85AA9"/>
    <w:rsid w:val="00E85B94"/>
    <w:rsid w:val="00E914D6"/>
    <w:rsid w:val="00E921DC"/>
    <w:rsid w:val="00E97323"/>
    <w:rsid w:val="00E978D0"/>
    <w:rsid w:val="00EA3420"/>
    <w:rsid w:val="00EA3EF9"/>
    <w:rsid w:val="00EA4613"/>
    <w:rsid w:val="00EA7F91"/>
    <w:rsid w:val="00EB1523"/>
    <w:rsid w:val="00EC0E49"/>
    <w:rsid w:val="00EC101F"/>
    <w:rsid w:val="00EC1D9F"/>
    <w:rsid w:val="00EE0131"/>
    <w:rsid w:val="00EE17B0"/>
    <w:rsid w:val="00EE4580"/>
    <w:rsid w:val="00EE5CAD"/>
    <w:rsid w:val="00EF06D9"/>
    <w:rsid w:val="00EF0982"/>
    <w:rsid w:val="00F01B2A"/>
    <w:rsid w:val="00F04546"/>
    <w:rsid w:val="00F126A5"/>
    <w:rsid w:val="00F1586F"/>
    <w:rsid w:val="00F15F37"/>
    <w:rsid w:val="00F3049E"/>
    <w:rsid w:val="00F30C64"/>
    <w:rsid w:val="00F32BA2"/>
    <w:rsid w:val="00F32CDB"/>
    <w:rsid w:val="00F3348F"/>
    <w:rsid w:val="00F352FD"/>
    <w:rsid w:val="00F37280"/>
    <w:rsid w:val="00F37C75"/>
    <w:rsid w:val="00F4067A"/>
    <w:rsid w:val="00F41EE4"/>
    <w:rsid w:val="00F41EFB"/>
    <w:rsid w:val="00F565FE"/>
    <w:rsid w:val="00F6130B"/>
    <w:rsid w:val="00F61AB8"/>
    <w:rsid w:val="00F63A70"/>
    <w:rsid w:val="00F63D8C"/>
    <w:rsid w:val="00F710B6"/>
    <w:rsid w:val="00F72553"/>
    <w:rsid w:val="00F728C8"/>
    <w:rsid w:val="00F74EEB"/>
    <w:rsid w:val="00F7534E"/>
    <w:rsid w:val="00F9198B"/>
    <w:rsid w:val="00F93EDF"/>
    <w:rsid w:val="00F96E66"/>
    <w:rsid w:val="00F971A0"/>
    <w:rsid w:val="00FA1802"/>
    <w:rsid w:val="00FA21D0"/>
    <w:rsid w:val="00FA5958"/>
    <w:rsid w:val="00FA5F5F"/>
    <w:rsid w:val="00FA72C4"/>
    <w:rsid w:val="00FA7465"/>
    <w:rsid w:val="00FB043B"/>
    <w:rsid w:val="00FB0595"/>
    <w:rsid w:val="00FB730C"/>
    <w:rsid w:val="00FC2695"/>
    <w:rsid w:val="00FC3E03"/>
    <w:rsid w:val="00FC3FC1"/>
    <w:rsid w:val="00FC4265"/>
    <w:rsid w:val="00FD2206"/>
    <w:rsid w:val="00FD652B"/>
    <w:rsid w:val="00FE176E"/>
    <w:rsid w:val="00FE1C16"/>
    <w:rsid w:val="00FF1CC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2767"/>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Testosegnaposto">
    <w:name w:val="Placeholder Text"/>
    <w:basedOn w:val="Carpredefinitoparagrafo"/>
    <w:uiPriority w:val="99"/>
    <w:semiHidden/>
    <w:rsid w:val="00FD652B"/>
    <w:rPr>
      <w:color w:val="666666"/>
    </w:rPr>
  </w:style>
  <w:style w:type="paragraph" w:styleId="Revisione">
    <w:name w:val="Revision"/>
    <w:hidden/>
    <w:uiPriority w:val="99"/>
    <w:semiHidden/>
    <w:rsid w:val="00195440"/>
    <w:pPr>
      <w:spacing w:after="0" w:line="240" w:lineRule="auto"/>
    </w:pPr>
    <w:rPr>
      <w:rFonts w:ascii="Arial" w:eastAsia="Times New Roman" w:hAnsi="Arial" w:cs="Times New Roman"/>
      <w:sz w:val="18"/>
      <w:szCs w:val="20"/>
      <w:lang w:val="en-GB"/>
    </w:rPr>
  </w:style>
  <w:style w:type="character" w:styleId="Menzionenonrisolta">
    <w:name w:val="Unresolved Mention"/>
    <w:basedOn w:val="Carpredefinitoparagrafo"/>
    <w:uiPriority w:val="99"/>
    <w:semiHidden/>
    <w:unhideWhenUsed/>
    <w:rsid w:val="00231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E91A16-D7F6-4302-B088-2DCA45B07974}">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70722933842"/>
    <we:property name="MENDELEY_CITATIONS" valu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7110</Words>
  <Characters>40529</Characters>
  <Application>Microsoft Office Word</Application>
  <DocSecurity>0</DocSecurity>
  <Lines>337</Lines>
  <Paragraphs>95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47544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Aristide Giuliano</cp:lastModifiedBy>
  <cp:revision>2</cp:revision>
  <cp:lastPrinted>2015-05-12T18:31:00Z</cp:lastPrinted>
  <dcterms:created xsi:type="dcterms:W3CDTF">2026-03-22T10:20:00Z</dcterms:created>
  <dcterms:modified xsi:type="dcterms:W3CDTF">2026-03-22T10:20:00Z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id="kiepw6aa"/&gt;&lt;style id="http://www.zotero.org/styles/bioresource-technology" hasBibliography="1" bibliographyStyleHasBeenSet="1"/&gt;&lt;prefs&gt;&lt;pref name="fieldType" value="Field"/&gt;&lt;pref name="storeRefer</vt:lpwstr>
  </property>
  <property fmtid="{D5CDD505-2E9C-101B-9397-08002B2CF9AE}" pid="3" name="ZOTERO_PREF_2">
    <vt:lpwstr>ences" value="true"/&gt;&lt;/prefs&gt;&lt;/data&gt;</vt:lpwstr>
  </property>
</Properties>
</file>