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13765E">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eastAsia="en-GB"/>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54611758" w:rsidR="00A150A7" w:rsidRPr="00A150A7" w:rsidRDefault="00A76EFC" w:rsidP="00A150A7">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eastAsia="en-GB"/>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13765E">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13765E">
        <w:trPr>
          <w:trHeight w:val="68"/>
          <w:jc w:val="center"/>
        </w:trPr>
        <w:tc>
          <w:tcPr>
            <w:tcW w:w="8782" w:type="dxa"/>
            <w:gridSpan w:val="2"/>
          </w:tcPr>
          <w:p w14:paraId="1D8DD3C9" w14:textId="61229B97" w:rsidR="00AA7D26" w:rsidRPr="005C7CBE" w:rsidRDefault="004A5E57" w:rsidP="004A5E57">
            <w:pPr>
              <w:ind w:left="-107"/>
              <w:outlineLvl w:val="2"/>
              <w:rPr>
                <w:rFonts w:ascii="Tahoma" w:hAnsi="Tahoma" w:cs="Tahoma"/>
                <w:bCs/>
                <w:color w:val="000000"/>
                <w:sz w:val="14"/>
                <w:szCs w:val="14"/>
                <w:lang w:eastAsia="it-IT"/>
              </w:rPr>
            </w:pPr>
            <w:r w:rsidRPr="005C7CBE">
              <w:rPr>
                <w:rFonts w:ascii="Tahoma" w:hAnsi="Tahoma" w:cs="Tahoma"/>
                <w:iCs/>
                <w:color w:val="333333"/>
                <w:sz w:val="14"/>
                <w:szCs w:val="14"/>
                <w:lang w:eastAsia="it-IT"/>
              </w:rPr>
              <w:t>Guest Editors:</w:t>
            </w:r>
            <w:r w:rsidRPr="005C7CBE">
              <w:rPr>
                <w:rFonts w:ascii="Tahoma" w:hAnsi="Tahoma" w:cs="Tahoma"/>
                <w:color w:val="000000"/>
                <w:sz w:val="14"/>
                <w:szCs w:val="14"/>
                <w:shd w:val="clear" w:color="auto" w:fill="FFFFFF"/>
              </w:rPr>
              <w:t xml:space="preserve"> </w:t>
            </w:r>
            <w:r w:rsidR="00EA3EF9" w:rsidRPr="005C7CBE">
              <w:rPr>
                <w:rFonts w:ascii="Tahoma" w:hAnsi="Tahoma" w:cs="Tahoma"/>
                <w:color w:val="000000"/>
                <w:sz w:val="14"/>
                <w:szCs w:val="14"/>
                <w:shd w:val="clear" w:color="auto" w:fill="FFFFFF"/>
              </w:rPr>
              <w:t xml:space="preserve">Leonardo Tognotti, </w:t>
            </w:r>
            <w:r w:rsidR="00EA3EF9" w:rsidRPr="005C7CBE">
              <w:rPr>
                <w:rFonts w:ascii="Tahoma" w:hAnsi="Tahoma" w:cs="Tahoma"/>
                <w:color w:val="000000"/>
                <w:sz w:val="14"/>
                <w:szCs w:val="14"/>
              </w:rPr>
              <w:t>Rubens Maciel Filho</w:t>
            </w:r>
            <w:r w:rsidR="00EA3EF9" w:rsidRPr="005C7CBE">
              <w:rPr>
                <w:rFonts w:ascii="Tahoma" w:hAnsi="Tahoma" w:cs="Tahoma"/>
                <w:color w:val="000000"/>
                <w:sz w:val="14"/>
                <w:szCs w:val="14"/>
                <w:shd w:val="clear" w:color="auto" w:fill="FFFFFF"/>
              </w:rPr>
              <w:t xml:space="preserve">, </w:t>
            </w:r>
            <w:r w:rsidR="00EA3EF9" w:rsidRPr="005C7CBE">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F62A86">
              <w:rPr>
                <w:rFonts w:ascii="Tahoma" w:hAnsi="Tahoma" w:cs="Tahoma"/>
                <w:b/>
                <w:iCs/>
                <w:color w:val="000000"/>
                <w:sz w:val="14"/>
                <w:szCs w:val="14"/>
                <w:lang w:eastAsia="it-IT"/>
              </w:rPr>
              <w:t>ISBN</w:t>
            </w:r>
            <w:r w:rsidRPr="00F62A86">
              <w:rPr>
                <w:rFonts w:ascii="Tahoma" w:hAnsi="Tahoma" w:cs="Tahoma"/>
                <w:iCs/>
                <w:color w:val="000000"/>
                <w:sz w:val="14"/>
                <w:szCs w:val="14"/>
                <w:lang w:eastAsia="it-IT"/>
              </w:rPr>
              <w:t xml:space="preserve"> </w:t>
            </w:r>
            <w:r w:rsidR="00D2582C" w:rsidRPr="00F62A86">
              <w:rPr>
                <w:rFonts w:ascii="Tahoma" w:hAnsi="Tahoma" w:cs="Tahoma"/>
                <w:sz w:val="14"/>
                <w:szCs w:val="14"/>
              </w:rPr>
              <w:t>979-12-81206-</w:t>
            </w:r>
            <w:r w:rsidR="00005884" w:rsidRPr="00F62A86">
              <w:rPr>
                <w:rFonts w:ascii="Tahoma" w:hAnsi="Tahoma" w:cs="Tahoma"/>
                <w:sz w:val="14"/>
                <w:szCs w:val="14"/>
              </w:rPr>
              <w:t>xx</w:t>
            </w:r>
            <w:r w:rsidR="009041F8" w:rsidRPr="00F62A86">
              <w:rPr>
                <w:rFonts w:ascii="Tahoma" w:hAnsi="Tahoma" w:cs="Tahoma"/>
                <w:sz w:val="14"/>
                <w:szCs w:val="14"/>
              </w:rPr>
              <w:t>-</w:t>
            </w:r>
            <w:r w:rsidR="00005884" w:rsidRPr="00F62A86">
              <w:rPr>
                <w:rFonts w:ascii="Tahoma" w:hAnsi="Tahoma" w:cs="Tahoma"/>
                <w:sz w:val="14"/>
                <w:szCs w:val="14"/>
              </w:rPr>
              <w:t>x</w:t>
            </w:r>
            <w:r w:rsidRPr="00F62A86">
              <w:rPr>
                <w:rFonts w:ascii="Tahoma" w:hAnsi="Tahoma" w:cs="Tahoma"/>
                <w:iCs/>
                <w:color w:val="333333"/>
                <w:sz w:val="14"/>
                <w:szCs w:val="14"/>
                <w:lang w:eastAsia="it-IT"/>
              </w:rPr>
              <w:t xml:space="preserve">; </w:t>
            </w:r>
            <w:r w:rsidRPr="00F62A86">
              <w:rPr>
                <w:rFonts w:ascii="Tahoma" w:hAnsi="Tahoma" w:cs="Tahoma"/>
                <w:b/>
                <w:iCs/>
                <w:color w:val="333333"/>
                <w:sz w:val="14"/>
                <w:szCs w:val="14"/>
                <w:lang w:eastAsia="it-IT"/>
              </w:rPr>
              <w:t>ISSN</w:t>
            </w:r>
            <w:r w:rsidRPr="00F62A86">
              <w:rPr>
                <w:rFonts w:ascii="Tahoma" w:hAnsi="Tahoma" w:cs="Tahoma"/>
                <w:iCs/>
                <w:color w:val="333333"/>
                <w:sz w:val="14"/>
                <w:szCs w:val="14"/>
                <w:lang w:eastAsia="it-IT"/>
              </w:rPr>
              <w:t xml:space="preserve"> 2283-9216</w:t>
            </w:r>
          </w:p>
        </w:tc>
      </w:tr>
    </w:tbl>
    <w:bookmarkEnd w:id="0"/>
    <w:p w14:paraId="2E667253" w14:textId="118FE3F6" w:rsidR="00E978D0" w:rsidRPr="0013765E" w:rsidRDefault="005C7CBE" w:rsidP="001841A0">
      <w:pPr>
        <w:pStyle w:val="CETTitle"/>
        <w:rPr>
          <w:lang w:val="en-US"/>
        </w:rPr>
      </w:pPr>
      <w:r w:rsidRPr="0013765E">
        <w:t xml:space="preserve">Hydrothermal </w:t>
      </w:r>
      <w:r w:rsidR="00CF4650" w:rsidRPr="0013765E">
        <w:t>L</w:t>
      </w:r>
      <w:r w:rsidRPr="0013765E">
        <w:t xml:space="preserve">iquefaction of </w:t>
      </w:r>
      <w:r w:rsidR="00CF4650" w:rsidRPr="0013765E">
        <w:t>T</w:t>
      </w:r>
      <w:r w:rsidRPr="0013765E">
        <w:t xml:space="preserve">annery </w:t>
      </w:r>
      <w:r w:rsidR="00CF4650" w:rsidRPr="0013765E">
        <w:t>S</w:t>
      </w:r>
      <w:r w:rsidRPr="0013765E">
        <w:t xml:space="preserve">ludge: </w:t>
      </w:r>
      <w:r w:rsidR="00CF4650" w:rsidRPr="0013765E">
        <w:t>P</w:t>
      </w:r>
      <w:r w:rsidRPr="0013765E">
        <w:t xml:space="preserve">reliminary </w:t>
      </w:r>
      <w:r w:rsidR="00CF4650" w:rsidRPr="0013765E">
        <w:t>R</w:t>
      </w:r>
      <w:r w:rsidRPr="0013765E">
        <w:t xml:space="preserve">esults of </w:t>
      </w:r>
      <w:r w:rsidR="00CF4650" w:rsidRPr="0013765E">
        <w:t>B</w:t>
      </w:r>
      <w:r w:rsidRPr="0013765E">
        <w:t xml:space="preserve">io-crude in-situ </w:t>
      </w:r>
      <w:r w:rsidR="00CF4650" w:rsidRPr="0013765E">
        <w:t>U</w:t>
      </w:r>
      <w:r w:rsidRPr="0013765E">
        <w:t>pgrading with Fe, Zn, MgCl</w:t>
      </w:r>
      <w:r w:rsidRPr="0013765E">
        <w:rPr>
          <w:vertAlign w:val="subscript"/>
        </w:rPr>
        <w:t>2</w:t>
      </w:r>
    </w:p>
    <w:p w14:paraId="503DAB07" w14:textId="5287F13E" w:rsidR="00C97A33" w:rsidRPr="0013765E" w:rsidRDefault="00C97A33" w:rsidP="00C97A33">
      <w:pPr>
        <w:pStyle w:val="CETAuthors"/>
        <w:rPr>
          <w:lang w:val="it-IT"/>
        </w:rPr>
      </w:pPr>
      <w:r w:rsidRPr="0013765E">
        <w:rPr>
          <w:lang w:val="it-IT"/>
        </w:rPr>
        <w:t>Giusy Marotta</w:t>
      </w:r>
      <w:r w:rsidRPr="0013765E">
        <w:rPr>
          <w:vertAlign w:val="superscript"/>
          <w:lang w:val="it-IT"/>
        </w:rPr>
        <w:t>a,b,*</w:t>
      </w:r>
      <w:r w:rsidRPr="0013765E">
        <w:rPr>
          <w:lang w:val="it-IT"/>
        </w:rPr>
        <w:t>, Francesca</w:t>
      </w:r>
      <w:r w:rsidRPr="0013765E">
        <w:rPr>
          <w:spacing w:val="40"/>
          <w:lang w:val="it-IT"/>
        </w:rPr>
        <w:t xml:space="preserve"> </w:t>
      </w:r>
      <w:r w:rsidRPr="0013765E">
        <w:rPr>
          <w:lang w:val="it-IT"/>
        </w:rPr>
        <w:t>Di</w:t>
      </w:r>
      <w:r w:rsidRPr="0013765E">
        <w:rPr>
          <w:spacing w:val="40"/>
          <w:lang w:val="it-IT"/>
        </w:rPr>
        <w:t xml:space="preserve"> </w:t>
      </w:r>
      <w:r w:rsidRPr="0013765E">
        <w:rPr>
          <w:lang w:val="it-IT"/>
        </w:rPr>
        <w:t>Lauro</w:t>
      </w:r>
      <w:r w:rsidRPr="0013765E">
        <w:rPr>
          <w:position w:val="8"/>
          <w:sz w:val="16"/>
          <w:lang w:val="it-IT"/>
        </w:rPr>
        <w:t>c,b</w:t>
      </w:r>
      <w:r w:rsidRPr="0013765E">
        <w:rPr>
          <w:spacing w:val="40"/>
          <w:lang w:val="it-IT"/>
        </w:rPr>
        <w:t>,</w:t>
      </w:r>
      <w:r w:rsidRPr="0013765E">
        <w:rPr>
          <w:lang w:val="it-IT"/>
        </w:rPr>
        <w:t>Marco</w:t>
      </w:r>
      <w:r w:rsidRPr="0013765E">
        <w:rPr>
          <w:spacing w:val="40"/>
          <w:lang w:val="it-IT"/>
        </w:rPr>
        <w:t xml:space="preserve"> </w:t>
      </w:r>
      <w:r w:rsidRPr="0013765E">
        <w:rPr>
          <w:lang w:val="it-IT"/>
        </w:rPr>
        <w:t>Balsamo</w:t>
      </w:r>
      <w:r w:rsidRPr="0013765E">
        <w:rPr>
          <w:position w:val="8"/>
          <w:sz w:val="16"/>
          <w:lang w:val="it-IT"/>
        </w:rPr>
        <w:t>a</w:t>
      </w:r>
      <w:r w:rsidRPr="0013765E">
        <w:rPr>
          <w:lang w:val="it-IT"/>
        </w:rPr>
        <w:t>,</w:t>
      </w:r>
      <w:r w:rsidRPr="0013765E">
        <w:rPr>
          <w:spacing w:val="40"/>
          <w:lang w:val="it-IT"/>
        </w:rPr>
        <w:t xml:space="preserve"> </w:t>
      </w:r>
      <w:r w:rsidRPr="0013765E">
        <w:rPr>
          <w:lang w:val="it-IT"/>
        </w:rPr>
        <w:t>Roberto</w:t>
      </w:r>
      <w:r w:rsidRPr="0013765E">
        <w:rPr>
          <w:spacing w:val="40"/>
          <w:lang w:val="it-IT"/>
        </w:rPr>
        <w:t xml:space="preserve"> </w:t>
      </w:r>
      <w:r w:rsidRPr="0013765E">
        <w:rPr>
          <w:lang w:val="it-IT"/>
        </w:rPr>
        <w:t>Solimene</w:t>
      </w:r>
      <w:r w:rsidRPr="0013765E">
        <w:rPr>
          <w:position w:val="8"/>
          <w:sz w:val="16"/>
          <w:lang w:val="it-IT"/>
        </w:rPr>
        <w:t>b</w:t>
      </w:r>
      <w:r w:rsidRPr="0013765E">
        <w:rPr>
          <w:lang w:val="it-IT"/>
        </w:rPr>
        <w:t>,</w:t>
      </w:r>
      <w:r w:rsidRPr="0013765E">
        <w:rPr>
          <w:spacing w:val="40"/>
          <w:lang w:val="it-IT"/>
        </w:rPr>
        <w:t xml:space="preserve"> </w:t>
      </w:r>
      <w:r w:rsidRPr="0013765E">
        <w:rPr>
          <w:lang w:val="it-IT"/>
        </w:rPr>
        <w:t>Piero</w:t>
      </w:r>
      <w:r w:rsidRPr="0013765E">
        <w:rPr>
          <w:spacing w:val="40"/>
          <w:lang w:val="it-IT"/>
        </w:rPr>
        <w:t xml:space="preserve"> </w:t>
      </w:r>
      <w:r w:rsidRPr="0013765E">
        <w:rPr>
          <w:lang w:val="it-IT"/>
        </w:rPr>
        <w:t>Salatino</w:t>
      </w:r>
      <w:r w:rsidRPr="0013765E">
        <w:rPr>
          <w:position w:val="8"/>
          <w:sz w:val="16"/>
          <w:lang w:val="it-IT"/>
        </w:rPr>
        <w:t>c</w:t>
      </w:r>
      <w:r w:rsidRPr="0013765E">
        <w:rPr>
          <w:lang w:val="it-IT"/>
        </w:rPr>
        <w:t>,</w:t>
      </w:r>
      <w:r w:rsidRPr="0013765E">
        <w:rPr>
          <w:spacing w:val="80"/>
          <w:lang w:val="it-IT"/>
        </w:rPr>
        <w:t xml:space="preserve"> </w:t>
      </w:r>
      <w:r w:rsidRPr="0013765E">
        <w:rPr>
          <w:lang w:val="it-IT"/>
        </w:rPr>
        <w:t>Fabio Montagnaro</w:t>
      </w:r>
      <w:r w:rsidRPr="0013765E">
        <w:rPr>
          <w:position w:val="8"/>
          <w:sz w:val="16"/>
          <w:lang w:val="it-IT"/>
        </w:rPr>
        <w:t>a,b</w:t>
      </w:r>
      <w:r w:rsidRPr="0013765E">
        <w:rPr>
          <w:lang w:val="it-IT"/>
        </w:rPr>
        <w:t>.</w:t>
      </w:r>
    </w:p>
    <w:p w14:paraId="68D70B26" w14:textId="77777777" w:rsidR="00C97A33" w:rsidRPr="0013765E" w:rsidRDefault="00C97A33" w:rsidP="00C97A33">
      <w:pPr>
        <w:pStyle w:val="CETAddress"/>
        <w:rPr>
          <w:lang w:val="it-IT"/>
        </w:rPr>
      </w:pPr>
      <w:r w:rsidRPr="0013765E">
        <w:rPr>
          <w:vertAlign w:val="superscript"/>
          <w:lang w:val="it-IT"/>
        </w:rPr>
        <w:t xml:space="preserve">a </w:t>
      </w:r>
      <w:r w:rsidRPr="0013765E">
        <w:rPr>
          <w:lang w:val="it-IT"/>
        </w:rPr>
        <w:t>Dipartimento</w:t>
      </w:r>
      <w:r w:rsidRPr="0013765E">
        <w:rPr>
          <w:spacing w:val="-12"/>
          <w:lang w:val="it-IT"/>
        </w:rPr>
        <w:t xml:space="preserve"> </w:t>
      </w:r>
      <w:r w:rsidRPr="0013765E">
        <w:rPr>
          <w:lang w:val="it-IT"/>
        </w:rPr>
        <w:t>di</w:t>
      </w:r>
      <w:r w:rsidRPr="0013765E">
        <w:rPr>
          <w:spacing w:val="-12"/>
          <w:lang w:val="it-IT"/>
        </w:rPr>
        <w:t xml:space="preserve"> </w:t>
      </w:r>
      <w:r w:rsidRPr="0013765E">
        <w:rPr>
          <w:lang w:val="it-IT"/>
        </w:rPr>
        <w:t>Scienze</w:t>
      </w:r>
      <w:r w:rsidRPr="0013765E">
        <w:rPr>
          <w:spacing w:val="-12"/>
          <w:lang w:val="it-IT"/>
        </w:rPr>
        <w:t xml:space="preserve"> </w:t>
      </w:r>
      <w:r w:rsidRPr="0013765E">
        <w:rPr>
          <w:lang w:val="it-IT"/>
        </w:rPr>
        <w:t>Chimiche,</w:t>
      </w:r>
      <w:r w:rsidRPr="0013765E">
        <w:rPr>
          <w:spacing w:val="-11"/>
          <w:lang w:val="it-IT"/>
        </w:rPr>
        <w:t xml:space="preserve"> </w:t>
      </w:r>
      <w:r w:rsidRPr="0013765E">
        <w:rPr>
          <w:lang w:val="it-IT"/>
        </w:rPr>
        <w:t>Università</w:t>
      </w:r>
      <w:r w:rsidRPr="0013765E">
        <w:rPr>
          <w:spacing w:val="-12"/>
          <w:lang w:val="it-IT"/>
        </w:rPr>
        <w:t xml:space="preserve"> </w:t>
      </w:r>
      <w:r w:rsidRPr="0013765E">
        <w:rPr>
          <w:lang w:val="it-IT"/>
        </w:rPr>
        <w:t>degli</w:t>
      </w:r>
      <w:r w:rsidRPr="0013765E">
        <w:rPr>
          <w:spacing w:val="-13"/>
          <w:lang w:val="it-IT"/>
        </w:rPr>
        <w:t xml:space="preserve"> </w:t>
      </w:r>
      <w:r w:rsidRPr="0013765E">
        <w:rPr>
          <w:lang w:val="it-IT"/>
        </w:rPr>
        <w:t>Studi</w:t>
      </w:r>
      <w:r w:rsidRPr="0013765E">
        <w:rPr>
          <w:spacing w:val="-11"/>
          <w:lang w:val="it-IT"/>
        </w:rPr>
        <w:t xml:space="preserve"> </w:t>
      </w:r>
      <w:r w:rsidRPr="0013765E">
        <w:rPr>
          <w:lang w:val="it-IT"/>
        </w:rPr>
        <w:t>di</w:t>
      </w:r>
      <w:r w:rsidRPr="0013765E">
        <w:rPr>
          <w:spacing w:val="-11"/>
          <w:lang w:val="it-IT"/>
        </w:rPr>
        <w:t xml:space="preserve"> </w:t>
      </w:r>
      <w:r w:rsidRPr="0013765E">
        <w:rPr>
          <w:lang w:val="it-IT"/>
        </w:rPr>
        <w:t>Napoli</w:t>
      </w:r>
      <w:r w:rsidRPr="0013765E">
        <w:rPr>
          <w:spacing w:val="-11"/>
          <w:lang w:val="it-IT"/>
        </w:rPr>
        <w:t xml:space="preserve"> </w:t>
      </w:r>
      <w:r w:rsidRPr="0013765E">
        <w:rPr>
          <w:lang w:val="it-IT"/>
        </w:rPr>
        <w:t>Federico</w:t>
      </w:r>
      <w:r w:rsidRPr="0013765E">
        <w:rPr>
          <w:spacing w:val="-12"/>
          <w:lang w:val="it-IT"/>
        </w:rPr>
        <w:t xml:space="preserve"> </w:t>
      </w:r>
      <w:r w:rsidRPr="0013765E">
        <w:rPr>
          <w:lang w:val="it-IT"/>
        </w:rPr>
        <w:t>II,</w:t>
      </w:r>
      <w:r w:rsidRPr="0013765E">
        <w:rPr>
          <w:spacing w:val="-11"/>
          <w:lang w:val="it-IT"/>
        </w:rPr>
        <w:t xml:space="preserve"> </w:t>
      </w:r>
      <w:r w:rsidRPr="0013765E">
        <w:rPr>
          <w:lang w:val="it-IT"/>
        </w:rPr>
        <w:t>Complesso</w:t>
      </w:r>
      <w:r w:rsidRPr="0013765E">
        <w:rPr>
          <w:spacing w:val="-12"/>
          <w:lang w:val="it-IT"/>
        </w:rPr>
        <w:t xml:space="preserve"> </w:t>
      </w:r>
      <w:r w:rsidRPr="0013765E">
        <w:rPr>
          <w:lang w:val="it-IT"/>
        </w:rPr>
        <w:t>Universitario</w:t>
      </w:r>
      <w:r w:rsidRPr="0013765E">
        <w:rPr>
          <w:spacing w:val="-14"/>
          <w:lang w:val="it-IT"/>
        </w:rPr>
        <w:t xml:space="preserve"> </w:t>
      </w:r>
      <w:r w:rsidRPr="0013765E">
        <w:rPr>
          <w:lang w:val="it-IT"/>
        </w:rPr>
        <w:t>di</w:t>
      </w:r>
      <w:r w:rsidRPr="0013765E">
        <w:rPr>
          <w:spacing w:val="-11"/>
          <w:lang w:val="it-IT"/>
        </w:rPr>
        <w:t xml:space="preserve"> </w:t>
      </w:r>
      <w:r w:rsidRPr="0013765E">
        <w:rPr>
          <w:lang w:val="it-IT"/>
        </w:rPr>
        <w:t>Monte</w:t>
      </w:r>
      <w:r w:rsidRPr="0013765E">
        <w:rPr>
          <w:spacing w:val="-12"/>
          <w:lang w:val="it-IT"/>
        </w:rPr>
        <w:t xml:space="preserve"> </w:t>
      </w:r>
      <w:r w:rsidRPr="0013765E">
        <w:rPr>
          <w:lang w:val="it-IT"/>
        </w:rPr>
        <w:t>Sant’Angelo, 80126 Napoli, Italy</w:t>
      </w:r>
    </w:p>
    <w:p w14:paraId="1CD3A851" w14:textId="77777777" w:rsidR="00C97A33" w:rsidRPr="0013765E" w:rsidRDefault="00C97A33" w:rsidP="00C97A33">
      <w:pPr>
        <w:pStyle w:val="CETAddress"/>
        <w:rPr>
          <w:lang w:val="it-IT"/>
        </w:rPr>
      </w:pPr>
      <w:r w:rsidRPr="0013765E">
        <w:rPr>
          <w:vertAlign w:val="superscript"/>
          <w:lang w:val="it-IT"/>
        </w:rPr>
        <w:t xml:space="preserve">b </w:t>
      </w:r>
      <w:r w:rsidRPr="0013765E">
        <w:rPr>
          <w:lang w:val="it-IT"/>
        </w:rPr>
        <w:t>Istituto</w:t>
      </w:r>
      <w:r w:rsidRPr="0013765E">
        <w:rPr>
          <w:spacing w:val="-12"/>
          <w:lang w:val="it-IT"/>
        </w:rPr>
        <w:t xml:space="preserve"> </w:t>
      </w:r>
      <w:r w:rsidRPr="0013765E">
        <w:rPr>
          <w:lang w:val="it-IT"/>
        </w:rPr>
        <w:t>di</w:t>
      </w:r>
      <w:r w:rsidRPr="0013765E">
        <w:rPr>
          <w:spacing w:val="-11"/>
          <w:lang w:val="it-IT"/>
        </w:rPr>
        <w:t xml:space="preserve"> </w:t>
      </w:r>
      <w:r w:rsidRPr="0013765E">
        <w:rPr>
          <w:lang w:val="it-IT"/>
        </w:rPr>
        <w:t>Scienze</w:t>
      </w:r>
      <w:r w:rsidRPr="0013765E">
        <w:rPr>
          <w:spacing w:val="-11"/>
          <w:lang w:val="it-IT"/>
        </w:rPr>
        <w:t xml:space="preserve"> </w:t>
      </w:r>
      <w:r w:rsidRPr="0013765E">
        <w:rPr>
          <w:lang w:val="it-IT"/>
        </w:rPr>
        <w:t>e</w:t>
      </w:r>
      <w:r w:rsidRPr="0013765E">
        <w:rPr>
          <w:spacing w:val="-11"/>
          <w:lang w:val="it-IT"/>
        </w:rPr>
        <w:t xml:space="preserve"> </w:t>
      </w:r>
      <w:r w:rsidRPr="0013765E">
        <w:rPr>
          <w:lang w:val="it-IT"/>
        </w:rPr>
        <w:t>Tecnologie</w:t>
      </w:r>
      <w:r w:rsidRPr="0013765E">
        <w:rPr>
          <w:spacing w:val="-11"/>
          <w:lang w:val="it-IT"/>
        </w:rPr>
        <w:t xml:space="preserve"> </w:t>
      </w:r>
      <w:r w:rsidRPr="0013765E">
        <w:rPr>
          <w:lang w:val="it-IT"/>
        </w:rPr>
        <w:t>per</w:t>
      </w:r>
      <w:r w:rsidRPr="0013765E">
        <w:rPr>
          <w:spacing w:val="-11"/>
          <w:lang w:val="it-IT"/>
        </w:rPr>
        <w:t xml:space="preserve"> </w:t>
      </w:r>
      <w:r w:rsidRPr="0013765E">
        <w:rPr>
          <w:lang w:val="it-IT"/>
        </w:rPr>
        <w:t>l’Energia</w:t>
      </w:r>
      <w:r w:rsidRPr="0013765E">
        <w:rPr>
          <w:spacing w:val="-11"/>
          <w:lang w:val="it-IT"/>
        </w:rPr>
        <w:t xml:space="preserve"> </w:t>
      </w:r>
      <w:r w:rsidRPr="0013765E">
        <w:rPr>
          <w:lang w:val="it-IT"/>
        </w:rPr>
        <w:t>e</w:t>
      </w:r>
      <w:r w:rsidRPr="0013765E">
        <w:rPr>
          <w:spacing w:val="-11"/>
          <w:lang w:val="it-IT"/>
        </w:rPr>
        <w:t xml:space="preserve"> </w:t>
      </w:r>
      <w:r w:rsidRPr="0013765E">
        <w:rPr>
          <w:lang w:val="it-IT"/>
        </w:rPr>
        <w:t>la</w:t>
      </w:r>
      <w:r w:rsidRPr="0013765E">
        <w:rPr>
          <w:spacing w:val="-12"/>
          <w:lang w:val="it-IT"/>
        </w:rPr>
        <w:t xml:space="preserve"> </w:t>
      </w:r>
      <w:r w:rsidRPr="0013765E">
        <w:rPr>
          <w:lang w:val="it-IT"/>
        </w:rPr>
        <w:t>Mobilità</w:t>
      </w:r>
      <w:r w:rsidRPr="0013765E">
        <w:rPr>
          <w:spacing w:val="-11"/>
          <w:lang w:val="it-IT"/>
        </w:rPr>
        <w:t xml:space="preserve"> </w:t>
      </w:r>
      <w:r w:rsidRPr="0013765E">
        <w:rPr>
          <w:lang w:val="it-IT"/>
        </w:rPr>
        <w:t>Sostenibili,</w:t>
      </w:r>
      <w:r w:rsidRPr="0013765E">
        <w:rPr>
          <w:spacing w:val="-13"/>
          <w:lang w:val="it-IT"/>
        </w:rPr>
        <w:t xml:space="preserve"> </w:t>
      </w:r>
      <w:r w:rsidRPr="0013765E">
        <w:rPr>
          <w:lang w:val="it-IT"/>
        </w:rPr>
        <w:t>Consiglio</w:t>
      </w:r>
      <w:r w:rsidRPr="0013765E">
        <w:rPr>
          <w:spacing w:val="-11"/>
          <w:lang w:val="it-IT"/>
        </w:rPr>
        <w:t xml:space="preserve"> </w:t>
      </w:r>
      <w:r w:rsidRPr="0013765E">
        <w:rPr>
          <w:lang w:val="it-IT"/>
        </w:rPr>
        <w:t>Nazionale</w:t>
      </w:r>
      <w:r w:rsidRPr="0013765E">
        <w:rPr>
          <w:spacing w:val="-11"/>
          <w:lang w:val="it-IT"/>
        </w:rPr>
        <w:t xml:space="preserve"> </w:t>
      </w:r>
      <w:r w:rsidRPr="0013765E">
        <w:rPr>
          <w:lang w:val="it-IT"/>
        </w:rPr>
        <w:t>delle</w:t>
      </w:r>
      <w:r w:rsidRPr="0013765E">
        <w:rPr>
          <w:spacing w:val="-11"/>
          <w:lang w:val="it-IT"/>
        </w:rPr>
        <w:t xml:space="preserve"> </w:t>
      </w:r>
      <w:r w:rsidRPr="0013765E">
        <w:rPr>
          <w:lang w:val="it-IT"/>
        </w:rPr>
        <w:t>Ricerche,</w:t>
      </w:r>
      <w:r w:rsidRPr="0013765E">
        <w:rPr>
          <w:spacing w:val="-9"/>
          <w:lang w:val="it-IT"/>
        </w:rPr>
        <w:t xml:space="preserve"> </w:t>
      </w:r>
      <w:r w:rsidRPr="0013765E">
        <w:rPr>
          <w:lang w:val="it-IT"/>
        </w:rPr>
        <w:t>Piazzale</w:t>
      </w:r>
      <w:r w:rsidRPr="0013765E">
        <w:rPr>
          <w:spacing w:val="-11"/>
          <w:lang w:val="it-IT"/>
        </w:rPr>
        <w:t xml:space="preserve"> </w:t>
      </w:r>
      <w:r w:rsidRPr="0013765E">
        <w:rPr>
          <w:lang w:val="it-IT"/>
        </w:rPr>
        <w:t>V.</w:t>
      </w:r>
      <w:r w:rsidRPr="0013765E">
        <w:rPr>
          <w:spacing w:val="-9"/>
          <w:lang w:val="it-IT"/>
        </w:rPr>
        <w:t xml:space="preserve"> </w:t>
      </w:r>
      <w:r w:rsidRPr="0013765E">
        <w:rPr>
          <w:lang w:val="it-IT"/>
        </w:rPr>
        <w:t>Tecchio 80, 80125 Napoli, Italy</w:t>
      </w:r>
    </w:p>
    <w:p w14:paraId="7EECFA66" w14:textId="77777777" w:rsidR="00C97A33" w:rsidRPr="0013765E" w:rsidRDefault="00C97A33" w:rsidP="00C97A33">
      <w:pPr>
        <w:pStyle w:val="CETAddress"/>
        <w:rPr>
          <w:lang w:val="it-IT"/>
        </w:rPr>
      </w:pPr>
      <w:r w:rsidRPr="0013765E">
        <w:rPr>
          <w:vertAlign w:val="superscript"/>
          <w:lang w:val="it-IT"/>
        </w:rPr>
        <w:t xml:space="preserve">c </w:t>
      </w:r>
      <w:r w:rsidRPr="0013765E">
        <w:rPr>
          <w:lang w:val="it-IT"/>
        </w:rPr>
        <w:t>Dipartimento</w:t>
      </w:r>
      <w:r w:rsidRPr="0013765E">
        <w:rPr>
          <w:spacing w:val="-6"/>
          <w:lang w:val="it-IT"/>
        </w:rPr>
        <w:t xml:space="preserve"> </w:t>
      </w:r>
      <w:r w:rsidRPr="0013765E">
        <w:rPr>
          <w:lang w:val="it-IT"/>
        </w:rPr>
        <w:t>di</w:t>
      </w:r>
      <w:r w:rsidRPr="0013765E">
        <w:rPr>
          <w:spacing w:val="-5"/>
          <w:lang w:val="it-IT"/>
        </w:rPr>
        <w:t xml:space="preserve"> </w:t>
      </w:r>
      <w:r w:rsidRPr="0013765E">
        <w:rPr>
          <w:lang w:val="it-IT"/>
        </w:rPr>
        <w:t>Ingegneria</w:t>
      </w:r>
      <w:r w:rsidRPr="0013765E">
        <w:rPr>
          <w:spacing w:val="-4"/>
          <w:lang w:val="it-IT"/>
        </w:rPr>
        <w:t xml:space="preserve"> </w:t>
      </w:r>
      <w:r w:rsidRPr="0013765E">
        <w:rPr>
          <w:lang w:val="it-IT"/>
        </w:rPr>
        <w:t>Chimica,</w:t>
      </w:r>
      <w:r w:rsidRPr="0013765E">
        <w:rPr>
          <w:spacing w:val="-5"/>
          <w:lang w:val="it-IT"/>
        </w:rPr>
        <w:t xml:space="preserve"> </w:t>
      </w:r>
      <w:r w:rsidRPr="0013765E">
        <w:rPr>
          <w:lang w:val="it-IT"/>
        </w:rPr>
        <w:t>dei</w:t>
      </w:r>
      <w:r w:rsidRPr="0013765E">
        <w:rPr>
          <w:spacing w:val="-5"/>
          <w:lang w:val="it-IT"/>
        </w:rPr>
        <w:t xml:space="preserve"> </w:t>
      </w:r>
      <w:r w:rsidRPr="0013765E">
        <w:rPr>
          <w:lang w:val="it-IT"/>
        </w:rPr>
        <w:t>Materiali</w:t>
      </w:r>
      <w:r w:rsidRPr="0013765E">
        <w:rPr>
          <w:spacing w:val="-5"/>
          <w:lang w:val="it-IT"/>
        </w:rPr>
        <w:t xml:space="preserve"> </w:t>
      </w:r>
      <w:r w:rsidRPr="0013765E">
        <w:rPr>
          <w:lang w:val="it-IT"/>
        </w:rPr>
        <w:t>e</w:t>
      </w:r>
      <w:r w:rsidRPr="0013765E">
        <w:rPr>
          <w:spacing w:val="-4"/>
          <w:lang w:val="it-IT"/>
        </w:rPr>
        <w:t xml:space="preserve"> </w:t>
      </w:r>
      <w:r w:rsidRPr="0013765E">
        <w:rPr>
          <w:lang w:val="it-IT"/>
        </w:rPr>
        <w:t>della</w:t>
      </w:r>
      <w:r w:rsidRPr="0013765E">
        <w:rPr>
          <w:spacing w:val="-6"/>
          <w:lang w:val="it-IT"/>
        </w:rPr>
        <w:t xml:space="preserve"> </w:t>
      </w:r>
      <w:r w:rsidRPr="0013765E">
        <w:rPr>
          <w:lang w:val="it-IT"/>
        </w:rPr>
        <w:t>Produzione</w:t>
      </w:r>
      <w:r w:rsidRPr="0013765E">
        <w:rPr>
          <w:spacing w:val="-4"/>
          <w:lang w:val="it-IT"/>
        </w:rPr>
        <w:t xml:space="preserve"> </w:t>
      </w:r>
      <w:r w:rsidRPr="0013765E">
        <w:rPr>
          <w:lang w:val="it-IT"/>
        </w:rPr>
        <w:t>Industriale,</w:t>
      </w:r>
      <w:r w:rsidRPr="0013765E">
        <w:rPr>
          <w:spacing w:val="-5"/>
          <w:lang w:val="it-IT"/>
        </w:rPr>
        <w:t xml:space="preserve"> </w:t>
      </w:r>
      <w:r w:rsidRPr="0013765E">
        <w:rPr>
          <w:lang w:val="it-IT"/>
        </w:rPr>
        <w:t>Università</w:t>
      </w:r>
      <w:r w:rsidRPr="0013765E">
        <w:rPr>
          <w:spacing w:val="-6"/>
          <w:lang w:val="it-IT"/>
        </w:rPr>
        <w:t xml:space="preserve"> </w:t>
      </w:r>
      <w:r w:rsidRPr="0013765E">
        <w:rPr>
          <w:lang w:val="it-IT"/>
        </w:rPr>
        <w:t>degli</w:t>
      </w:r>
      <w:r w:rsidRPr="0013765E">
        <w:rPr>
          <w:spacing w:val="-5"/>
          <w:lang w:val="it-IT"/>
        </w:rPr>
        <w:t xml:space="preserve"> </w:t>
      </w:r>
      <w:r w:rsidRPr="0013765E">
        <w:rPr>
          <w:lang w:val="it-IT"/>
        </w:rPr>
        <w:t>Studi</w:t>
      </w:r>
      <w:r w:rsidRPr="0013765E">
        <w:rPr>
          <w:spacing w:val="-3"/>
          <w:lang w:val="it-IT"/>
        </w:rPr>
        <w:t xml:space="preserve"> </w:t>
      </w:r>
      <w:r w:rsidRPr="0013765E">
        <w:rPr>
          <w:lang w:val="it-IT"/>
        </w:rPr>
        <w:t>di</w:t>
      </w:r>
      <w:r w:rsidRPr="0013765E">
        <w:rPr>
          <w:spacing w:val="-3"/>
          <w:lang w:val="it-IT"/>
        </w:rPr>
        <w:t xml:space="preserve"> </w:t>
      </w:r>
      <w:r w:rsidRPr="0013765E">
        <w:rPr>
          <w:lang w:val="it-IT"/>
        </w:rPr>
        <w:t>Napoli</w:t>
      </w:r>
      <w:r w:rsidRPr="0013765E">
        <w:rPr>
          <w:spacing w:val="-5"/>
          <w:lang w:val="it-IT"/>
        </w:rPr>
        <w:t xml:space="preserve"> </w:t>
      </w:r>
      <w:r w:rsidRPr="0013765E">
        <w:rPr>
          <w:lang w:val="it-IT"/>
        </w:rPr>
        <w:t>Federico</w:t>
      </w:r>
      <w:r w:rsidRPr="0013765E">
        <w:rPr>
          <w:spacing w:val="-6"/>
          <w:lang w:val="it-IT"/>
        </w:rPr>
        <w:t xml:space="preserve"> </w:t>
      </w:r>
      <w:r w:rsidRPr="0013765E">
        <w:rPr>
          <w:spacing w:val="-5"/>
          <w:lang w:val="it-IT"/>
        </w:rPr>
        <w:t>II,</w:t>
      </w:r>
    </w:p>
    <w:p w14:paraId="644F0620" w14:textId="77777777" w:rsidR="00C97A33" w:rsidRPr="0013765E" w:rsidRDefault="00C97A33" w:rsidP="00C97A33">
      <w:pPr>
        <w:pStyle w:val="CETAddress"/>
        <w:rPr>
          <w:lang w:val="it-IT"/>
        </w:rPr>
      </w:pPr>
      <w:r w:rsidRPr="0013765E">
        <w:rPr>
          <w:lang w:val="it-IT"/>
        </w:rPr>
        <w:t>Piazzale</w:t>
      </w:r>
      <w:r w:rsidRPr="0013765E">
        <w:rPr>
          <w:spacing w:val="-8"/>
          <w:lang w:val="it-IT"/>
        </w:rPr>
        <w:t xml:space="preserve"> </w:t>
      </w:r>
      <w:r w:rsidRPr="0013765E">
        <w:rPr>
          <w:lang w:val="it-IT"/>
        </w:rPr>
        <w:t>V.</w:t>
      </w:r>
      <w:r w:rsidRPr="0013765E">
        <w:rPr>
          <w:spacing w:val="-7"/>
          <w:lang w:val="it-IT"/>
        </w:rPr>
        <w:t xml:space="preserve"> </w:t>
      </w:r>
      <w:r w:rsidRPr="0013765E">
        <w:rPr>
          <w:lang w:val="it-IT"/>
        </w:rPr>
        <w:t>Tecchio</w:t>
      </w:r>
      <w:r w:rsidRPr="0013765E">
        <w:rPr>
          <w:spacing w:val="-6"/>
          <w:lang w:val="it-IT"/>
        </w:rPr>
        <w:t xml:space="preserve"> </w:t>
      </w:r>
      <w:r w:rsidRPr="0013765E">
        <w:rPr>
          <w:lang w:val="it-IT"/>
        </w:rPr>
        <w:t>80,</w:t>
      </w:r>
      <w:r w:rsidRPr="0013765E">
        <w:rPr>
          <w:spacing w:val="-7"/>
          <w:lang w:val="it-IT"/>
        </w:rPr>
        <w:t xml:space="preserve"> </w:t>
      </w:r>
      <w:r w:rsidRPr="0013765E">
        <w:rPr>
          <w:lang w:val="it-IT"/>
        </w:rPr>
        <w:t>80125</w:t>
      </w:r>
      <w:r w:rsidRPr="0013765E">
        <w:rPr>
          <w:spacing w:val="-6"/>
          <w:lang w:val="it-IT"/>
        </w:rPr>
        <w:t xml:space="preserve"> </w:t>
      </w:r>
      <w:r w:rsidRPr="0013765E">
        <w:rPr>
          <w:lang w:val="it-IT"/>
        </w:rPr>
        <w:t>Napoli,</w:t>
      </w:r>
      <w:r w:rsidRPr="0013765E">
        <w:rPr>
          <w:spacing w:val="-7"/>
          <w:lang w:val="it-IT"/>
        </w:rPr>
        <w:t xml:space="preserve"> </w:t>
      </w:r>
      <w:r w:rsidRPr="0013765E">
        <w:rPr>
          <w:lang w:val="it-IT"/>
        </w:rPr>
        <w:t xml:space="preserve">Italy </w:t>
      </w:r>
    </w:p>
    <w:p w14:paraId="73F1267A" w14:textId="04A162B8" w:rsidR="00B57E6F" w:rsidRPr="0013765E" w:rsidRDefault="00C97A33" w:rsidP="00B57E6F">
      <w:pPr>
        <w:pStyle w:val="CETemail"/>
        <w:rPr>
          <w:lang w:val="fr-FR"/>
        </w:rPr>
      </w:pPr>
      <w:r w:rsidRPr="0013765E">
        <w:rPr>
          <w:lang w:val="fr-FR"/>
        </w:rPr>
        <w:t>giusy.marotta@unina.it</w:t>
      </w:r>
    </w:p>
    <w:p w14:paraId="6893AF25" w14:textId="14C737EF" w:rsidR="00600535" w:rsidRPr="0013765E" w:rsidRDefault="00C97A33" w:rsidP="00600535">
      <w:pPr>
        <w:pStyle w:val="CETBodytext"/>
        <w:rPr>
          <w:lang w:val="en-GB"/>
        </w:rPr>
      </w:pPr>
      <w:r w:rsidRPr="0013765E">
        <w:rPr>
          <w:lang w:val="en-GB"/>
        </w:rPr>
        <w:t xml:space="preserve">This work investigates the influence of different active phases on the </w:t>
      </w:r>
      <w:r w:rsidR="00C36E4F" w:rsidRPr="0013765E">
        <w:rPr>
          <w:lang w:val="en-GB"/>
        </w:rPr>
        <w:t>hydrothermal liquefaction (</w:t>
      </w:r>
      <w:r w:rsidRPr="0013765E">
        <w:rPr>
          <w:lang w:val="en-GB"/>
        </w:rPr>
        <w:t>HTL</w:t>
      </w:r>
      <w:r w:rsidR="00C36E4F" w:rsidRPr="0013765E">
        <w:rPr>
          <w:lang w:val="en-GB"/>
        </w:rPr>
        <w:t>)</w:t>
      </w:r>
      <w:r w:rsidRPr="0013765E">
        <w:rPr>
          <w:lang w:val="en-GB"/>
        </w:rPr>
        <w:t xml:space="preserve"> of</w:t>
      </w:r>
      <w:r w:rsidR="00C36E4F" w:rsidRPr="0013765E">
        <w:rPr>
          <w:lang w:val="en-GB"/>
        </w:rPr>
        <w:t xml:space="preserve"> a tannery sludge</w:t>
      </w:r>
      <w:r w:rsidRPr="0013765E">
        <w:rPr>
          <w:lang w:val="en-GB"/>
        </w:rPr>
        <w:t xml:space="preserve"> </w:t>
      </w:r>
      <w:r w:rsidR="00C36E4F" w:rsidRPr="0013765E">
        <w:rPr>
          <w:lang w:val="en-GB"/>
        </w:rPr>
        <w:t>(</w:t>
      </w:r>
      <w:r w:rsidRPr="0013765E">
        <w:rPr>
          <w:lang w:val="en-GB"/>
        </w:rPr>
        <w:t>TS</w:t>
      </w:r>
      <w:r w:rsidR="00C36E4F" w:rsidRPr="0013765E">
        <w:rPr>
          <w:lang w:val="en-GB"/>
        </w:rPr>
        <w:t>)</w:t>
      </w:r>
      <w:r w:rsidRPr="0013765E">
        <w:rPr>
          <w:lang w:val="en-GB"/>
        </w:rPr>
        <w:t xml:space="preserve"> performed in a 500 mL batch autoclave reactor at 350 °C for 10 min. The quality and energy-related properties of the bio-crude were evaluated through elemental analysis and higher heating value</w:t>
      </w:r>
      <w:r w:rsidR="00136BD9" w:rsidRPr="0013765E">
        <w:rPr>
          <w:lang w:val="en-GB"/>
        </w:rPr>
        <w:t xml:space="preserve"> (HHV)</w:t>
      </w:r>
      <w:r w:rsidRPr="0013765E">
        <w:rPr>
          <w:lang w:val="en-GB"/>
        </w:rPr>
        <w:t xml:space="preserve"> determination.</w:t>
      </w:r>
      <w:r w:rsidR="00516389" w:rsidRPr="0013765E">
        <w:rPr>
          <w:lang w:val="en-GB"/>
        </w:rPr>
        <w:t xml:space="preserve"> Results show that even if the bio-crude mass yield of the products does not vary significantly with the use of Fe, Zn and MgCl</w:t>
      </w:r>
      <w:r w:rsidR="00516389" w:rsidRPr="0013765E">
        <w:rPr>
          <w:vertAlign w:val="subscript"/>
          <w:lang w:val="en-GB"/>
        </w:rPr>
        <w:t>2</w:t>
      </w:r>
      <w:r w:rsidR="00516389" w:rsidRPr="0013765E">
        <w:rPr>
          <w:lang w:val="en-GB"/>
        </w:rPr>
        <w:t xml:space="preserve">, a variation </w:t>
      </w:r>
      <w:r w:rsidR="00C36E4F" w:rsidRPr="0013765E">
        <w:rPr>
          <w:lang w:val="en-GB"/>
        </w:rPr>
        <w:t xml:space="preserve">of both </w:t>
      </w:r>
      <w:r w:rsidR="00516389" w:rsidRPr="0013765E">
        <w:rPr>
          <w:lang w:val="en-GB"/>
        </w:rPr>
        <w:t>the HTL products distribution and bio-crude composition are observed.</w:t>
      </w:r>
      <w:r w:rsidR="00B30F70" w:rsidRPr="0013765E">
        <w:rPr>
          <w:lang w:val="en-GB"/>
        </w:rPr>
        <w:t xml:space="preserve"> </w:t>
      </w:r>
      <w:proofErr w:type="gramStart"/>
      <w:r w:rsidR="00516389" w:rsidRPr="0013765E">
        <w:rPr>
          <w:lang w:val="en-GB"/>
        </w:rPr>
        <w:t xml:space="preserve">In particular, </w:t>
      </w:r>
      <w:r w:rsidR="00B965B0" w:rsidRPr="0013765E">
        <w:rPr>
          <w:lang w:val="en-GB"/>
        </w:rPr>
        <w:t>Fe</w:t>
      </w:r>
      <w:proofErr w:type="gramEnd"/>
      <w:r w:rsidR="00B965B0" w:rsidRPr="0013765E">
        <w:rPr>
          <w:lang w:val="en-GB"/>
        </w:rPr>
        <w:t xml:space="preserve"> promotes the aqueous phase </w:t>
      </w:r>
      <w:r w:rsidR="001F4F20" w:rsidRPr="0013765E">
        <w:rPr>
          <w:lang w:val="en-GB"/>
        </w:rPr>
        <w:t>formation, while</w:t>
      </w:r>
      <w:r w:rsidR="00B965B0" w:rsidRPr="0013765E">
        <w:rPr>
          <w:lang w:val="en-GB"/>
        </w:rPr>
        <w:t xml:space="preserve"> Zn limits organic transfer and </w:t>
      </w:r>
      <w:proofErr w:type="spellStart"/>
      <w:r w:rsidR="00B965B0" w:rsidRPr="0013765E">
        <w:rPr>
          <w:lang w:val="en-GB"/>
        </w:rPr>
        <w:t>MgCl</w:t>
      </w:r>
      <w:proofErr w:type="spellEnd"/>
      <w:r w:rsidR="00B965B0" w:rsidRPr="0013765E">
        <w:rPr>
          <w:rFonts w:ascii="Cambria Math" w:hAnsi="Cambria Math" w:cs="Cambria Math"/>
          <w:lang w:val="en-GB"/>
        </w:rPr>
        <w:t>₂</w:t>
      </w:r>
      <w:r w:rsidR="00B965B0" w:rsidRPr="0013765E">
        <w:rPr>
          <w:lang w:val="en-GB"/>
        </w:rPr>
        <w:t xml:space="preserve"> promotes ash dissolution. Only Zn and </w:t>
      </w:r>
      <w:proofErr w:type="spellStart"/>
      <w:r w:rsidR="00B965B0" w:rsidRPr="0013765E">
        <w:rPr>
          <w:lang w:val="en-GB"/>
        </w:rPr>
        <w:t>MgCl</w:t>
      </w:r>
      <w:proofErr w:type="spellEnd"/>
      <w:r w:rsidR="00B965B0" w:rsidRPr="0013765E">
        <w:rPr>
          <w:rFonts w:ascii="Cambria Math" w:hAnsi="Cambria Math" w:cs="Cambria Math"/>
          <w:lang w:val="en-GB"/>
        </w:rPr>
        <w:t>₂</w:t>
      </w:r>
      <w:r w:rsidR="00B965B0" w:rsidRPr="0013765E">
        <w:rPr>
          <w:lang w:val="en-GB"/>
        </w:rPr>
        <w:t xml:space="preserve"> improve the bio-crude quality</w:t>
      </w:r>
      <w:r w:rsidR="00516389" w:rsidRPr="0013765E">
        <w:rPr>
          <w:lang w:val="en-GB"/>
        </w:rPr>
        <w:t xml:space="preserve"> in terms of C, N and S content</w:t>
      </w:r>
      <w:r w:rsidR="00B965B0" w:rsidRPr="0013765E">
        <w:rPr>
          <w:lang w:val="en-GB"/>
        </w:rPr>
        <w:t>.</w:t>
      </w:r>
    </w:p>
    <w:p w14:paraId="476B2F2E" w14:textId="77777777" w:rsidR="00600535" w:rsidRPr="0013765E" w:rsidRDefault="00600535" w:rsidP="00600535">
      <w:pPr>
        <w:pStyle w:val="CETHeading1"/>
        <w:rPr>
          <w:lang w:val="en-GB"/>
        </w:rPr>
      </w:pPr>
      <w:r w:rsidRPr="0013765E">
        <w:rPr>
          <w:lang w:val="en-GB"/>
        </w:rPr>
        <w:t>Introduction</w:t>
      </w:r>
    </w:p>
    <w:p w14:paraId="096F3B7F" w14:textId="581566A0" w:rsidR="000E1011" w:rsidRPr="0013765E" w:rsidRDefault="000E1011" w:rsidP="000E1011">
      <w:pPr>
        <w:pStyle w:val="CETBodytext"/>
        <w:rPr>
          <w:lang w:val="en-GB"/>
        </w:rPr>
      </w:pPr>
      <w:r w:rsidRPr="0013765E">
        <w:t xml:space="preserve">The growing and unsustainable reliance on fossil fuel resources, combined with the continuous increase in global energy demand driven by industrial development, population growth, and technological expansion, has significantly increased worldwide awareness of environmental, economic, and energetic issues. This situation has consequently generated a strong driving force toward the development of green, renewable, and sustainable energy technologies </w:t>
      </w:r>
      <w:r w:rsidR="00A65063" w:rsidRPr="0013765E">
        <w:t>(Balsamo et al., 2023)</w:t>
      </w:r>
      <w:r w:rsidRPr="0013765E">
        <w:t>. Within this framework, growing attention is being directed toward renewable energy sources, such as waste biomass</w:t>
      </w:r>
      <w:r w:rsidR="00DA4527" w:rsidRPr="0013765E">
        <w:t xml:space="preserve">, </w:t>
      </w:r>
      <w:r w:rsidRPr="0013765E">
        <w:t xml:space="preserve">e.g., solid waste, agricultural residue, municipal and industrial sewage sludge. A waste of particular interest is tannery sludge (TS), deriving from wastewater treatment plants of leather industries. The Italian tanning sector produces approximately 95 million square meters of finished leather annually, generating approximately 1.88 kg of waste per square meter of leather </w:t>
      </w:r>
      <w:r w:rsidR="00793854" w:rsidRPr="0013765E">
        <w:t>(UNIC, 2024)</w:t>
      </w:r>
      <w:r w:rsidRPr="0013765E">
        <w:t>. The leather industry commonly employs basic chromium (III) sulfate as a tanning agent to impart mechanical strength and durability to the final product. However, only 60%</w:t>
      </w:r>
      <w:r w:rsidR="00DA4527" w:rsidRPr="0013765E">
        <w:t xml:space="preserve"> </w:t>
      </w:r>
      <w:r w:rsidRPr="0013765E">
        <w:t>by mass</w:t>
      </w:r>
      <w:r w:rsidR="00DA4527" w:rsidRPr="0013765E">
        <w:t xml:space="preserve"> </w:t>
      </w:r>
      <w:r w:rsidRPr="0013765E">
        <w:t xml:space="preserve">of the total amount of chromium is effectively used during the tanning process, binding with animal skin collagen </w:t>
      </w:r>
      <w:r w:rsidR="00A65063" w:rsidRPr="0013765E">
        <w:t>(</w:t>
      </w:r>
      <w:r w:rsidR="00A65063" w:rsidRPr="0013765E">
        <w:rPr>
          <w:lang w:val="en-GB"/>
        </w:rPr>
        <w:t>Kavouras</w:t>
      </w:r>
      <w:r w:rsidR="00E102D0" w:rsidRPr="0013765E">
        <w:rPr>
          <w:lang w:val="en-GB"/>
        </w:rPr>
        <w:t xml:space="preserve"> et al., 2015)</w:t>
      </w:r>
      <w:r w:rsidRPr="0013765E">
        <w:t xml:space="preserve">. After partial recovery, the residual fraction is released into the wastewater stream as Cr (III) hydroxide. This waste stream poses significant management challenges due to the risk of oxidation to potentially carcinogenic Cr (VI). The thermochemical </w:t>
      </w:r>
      <w:proofErr w:type="spellStart"/>
      <w:r w:rsidRPr="0013765E">
        <w:t>valorisation</w:t>
      </w:r>
      <w:proofErr w:type="spellEnd"/>
      <w:r w:rsidRPr="0013765E">
        <w:t xml:space="preserve"> of TS enables the conversion of the sludge organic matter into an energy carrier, thereby reducing reliance on costly and environmentally unfriendly disposal practices such as landfilling or incineration </w:t>
      </w:r>
      <w:r w:rsidR="00E102D0" w:rsidRPr="0013765E">
        <w:t>(</w:t>
      </w:r>
      <w:proofErr w:type="spellStart"/>
      <w:r w:rsidR="00EE48C6" w:rsidRPr="0013765E">
        <w:t>Mokadir</w:t>
      </w:r>
      <w:proofErr w:type="spellEnd"/>
      <w:r w:rsidR="00EE48C6" w:rsidRPr="0013765E">
        <w:t xml:space="preserve"> et al., 2023; </w:t>
      </w:r>
      <w:proofErr w:type="spellStart"/>
      <w:r w:rsidR="00EE48C6" w:rsidRPr="0013765E">
        <w:t>Jaffari</w:t>
      </w:r>
      <w:proofErr w:type="spellEnd"/>
      <w:r w:rsidR="00EE48C6" w:rsidRPr="0013765E">
        <w:t xml:space="preserve"> et al., 2024; </w:t>
      </w:r>
      <w:r w:rsidR="00E102D0" w:rsidRPr="0013765E">
        <w:t>Gobbo et al., 2025)</w:t>
      </w:r>
      <w:r w:rsidRPr="0013765E">
        <w:t>. In this context, the hydrothermal liquefaction (HTL) process represents a promising sludge-to-energy method to convert wet feedstocks, avoiding the energy-intensive drying step required by conventional thermochemical technologies</w:t>
      </w:r>
      <w:r w:rsidR="00DA4527" w:rsidRPr="0013765E">
        <w:t xml:space="preserve">, </w:t>
      </w:r>
      <w:r w:rsidRPr="0013765E">
        <w:t>e.g. combustion, pyrolysis, and gasification</w:t>
      </w:r>
      <w:r w:rsidR="00E102D0" w:rsidRPr="0013765E">
        <w:t xml:space="preserve"> (</w:t>
      </w:r>
      <w:r w:rsidR="00EE48C6" w:rsidRPr="0013765E">
        <w:t xml:space="preserve">Shah et al., 2020; </w:t>
      </w:r>
      <w:proofErr w:type="spellStart"/>
      <w:r w:rsidR="00E102D0" w:rsidRPr="0013765E">
        <w:t>Mozas</w:t>
      </w:r>
      <w:proofErr w:type="spellEnd"/>
      <w:r w:rsidR="00E102D0" w:rsidRPr="0013765E">
        <w:t xml:space="preserve"> Santhose Kumar et al., 2025)</w:t>
      </w:r>
      <w:r w:rsidRPr="0013765E">
        <w:t xml:space="preserve">. </w:t>
      </w:r>
      <w:r w:rsidRPr="0013765E">
        <w:rPr>
          <w:lang w:val="en-GB"/>
        </w:rPr>
        <w:t xml:space="preserve">HTL, carried out in hot pressurized water (200–375 °C and 40–200 bar), can decompose TS bio-constituents into intermediate compounds, that, via complex reaction pathways, re-arrange themselves to give bio-crude as target product, together with gas, solid residue and aqueous phases as co-products </w:t>
      </w:r>
      <w:r w:rsidR="00585A59" w:rsidRPr="0013765E">
        <w:rPr>
          <w:lang w:val="en-GB"/>
        </w:rPr>
        <w:t>(</w:t>
      </w:r>
      <w:r w:rsidR="00EE48C6" w:rsidRPr="0013765E">
        <w:rPr>
          <w:lang w:val="en-GB"/>
        </w:rPr>
        <w:t xml:space="preserve">Zhang et al., 2023; </w:t>
      </w:r>
      <w:r w:rsidR="00585A59" w:rsidRPr="0013765E">
        <w:rPr>
          <w:lang w:val="en-GB"/>
        </w:rPr>
        <w:t xml:space="preserve">Di </w:t>
      </w:r>
      <w:r w:rsidR="00585A59" w:rsidRPr="0013765E">
        <w:rPr>
          <w:lang w:val="en-GB"/>
        </w:rPr>
        <w:lastRenderedPageBreak/>
        <w:t>Lauro et al</w:t>
      </w:r>
      <w:r w:rsidR="00E102D0" w:rsidRPr="0013765E">
        <w:rPr>
          <w:lang w:val="en-GB"/>
        </w:rPr>
        <w:t>., 2024</w:t>
      </w:r>
      <w:r w:rsidR="00983912" w:rsidRPr="0013765E">
        <w:rPr>
          <w:lang w:val="en-GB"/>
        </w:rPr>
        <w:t xml:space="preserve">; </w:t>
      </w:r>
      <w:r w:rsidR="00E102D0" w:rsidRPr="0013765E">
        <w:rPr>
          <w:lang w:val="en-GB"/>
        </w:rPr>
        <w:t>Rojas et al., 2025)</w:t>
      </w:r>
      <w:r w:rsidRPr="0013765E">
        <w:rPr>
          <w:lang w:val="en-GB"/>
        </w:rPr>
        <w:t xml:space="preserve">. Furthermore, previous studies have shown that HTL can concentrate more than 99% of </w:t>
      </w:r>
      <w:r w:rsidRPr="0013765E">
        <w:t xml:space="preserve">Cr </w:t>
      </w:r>
      <w:r w:rsidRPr="0013765E">
        <w:rPr>
          <w:lang w:val="en-GB"/>
        </w:rPr>
        <w:t xml:space="preserve">into the solid residue, in its trivalent form </w:t>
      </w:r>
      <w:r w:rsidR="00E102D0" w:rsidRPr="0013765E">
        <w:rPr>
          <w:lang w:val="en-GB"/>
        </w:rPr>
        <w:t>(Di Lauro et al., 2025)</w:t>
      </w:r>
      <w:r w:rsidRPr="0013765E">
        <w:rPr>
          <w:lang w:val="en-GB"/>
        </w:rPr>
        <w:t>.</w:t>
      </w:r>
      <w:r w:rsidR="00DF63E6" w:rsidRPr="0013765E">
        <w:rPr>
          <w:lang w:val="en-GB"/>
        </w:rPr>
        <w:t xml:space="preserve"> </w:t>
      </w:r>
      <w:r w:rsidRPr="0013765E">
        <w:rPr>
          <w:lang w:val="en-GB"/>
        </w:rPr>
        <w:t xml:space="preserve">On the other hand, bio-crude obtained through HTL has high O, N and S contents, which can make the oil viscous, corrosive, thermally and chemically unstable and with a moderate calorific value </w:t>
      </w:r>
      <w:r w:rsidR="00E102D0" w:rsidRPr="0013765E">
        <w:rPr>
          <w:lang w:val="en-GB"/>
        </w:rPr>
        <w:t>(Liu et al., 2022)</w:t>
      </w:r>
      <w:r w:rsidRPr="0013765E">
        <w:rPr>
          <w:lang w:val="en-GB"/>
        </w:rPr>
        <w:t>. To overcome this limitation, the in-situ use of active phases such as Fe, Zn, and MgCl</w:t>
      </w:r>
      <w:r w:rsidRPr="0013765E">
        <w:rPr>
          <w:vertAlign w:val="subscript"/>
          <w:lang w:val="en-GB"/>
        </w:rPr>
        <w:t>2</w:t>
      </w:r>
      <w:r w:rsidRPr="0013765E">
        <w:rPr>
          <w:lang w:val="en-GB"/>
        </w:rPr>
        <w:t xml:space="preserve"> was investigated, to improve the properties of the bio-crude.</w:t>
      </w:r>
      <w:r w:rsidR="00DC2925" w:rsidRPr="0013765E">
        <w:rPr>
          <w:lang w:val="en-GB"/>
        </w:rPr>
        <w:t xml:space="preserve"> </w:t>
      </w:r>
      <w:r w:rsidRPr="0013765E">
        <w:rPr>
          <w:lang w:val="en-GB"/>
        </w:rPr>
        <w:t xml:space="preserve">Fe and Zn can act as promoters of hydrogen formation through redox reactions with the HTL water environment, thus favouring hydrodeoxygenation pathways which inhibit bio-oil repolymerization </w:t>
      </w:r>
      <w:r w:rsidR="00E102D0" w:rsidRPr="0013765E">
        <w:rPr>
          <w:lang w:val="en-GB"/>
        </w:rPr>
        <w:t>(de Capraris et al., 2021)</w:t>
      </w:r>
      <w:r w:rsidRPr="0013765E">
        <w:rPr>
          <w:lang w:val="en-GB"/>
        </w:rPr>
        <w:t>. Instead, the water soluble MgCl</w:t>
      </w:r>
      <w:r w:rsidRPr="0013765E">
        <w:rPr>
          <w:vertAlign w:val="subscript"/>
          <w:lang w:val="en-GB"/>
        </w:rPr>
        <w:t>2</w:t>
      </w:r>
      <w:r w:rsidRPr="0013765E">
        <w:rPr>
          <w:lang w:val="en-GB"/>
        </w:rPr>
        <w:t xml:space="preserve"> salt provides </w:t>
      </w:r>
      <w:proofErr w:type="gramStart"/>
      <w:r w:rsidRPr="0013765E">
        <w:rPr>
          <w:lang w:val="en-GB"/>
        </w:rPr>
        <w:t>Lewis</w:t>
      </w:r>
      <w:proofErr w:type="gramEnd"/>
      <w:r w:rsidRPr="0013765E">
        <w:rPr>
          <w:lang w:val="en-GB"/>
        </w:rPr>
        <w:t xml:space="preserve"> acid sites that promote decarboxylation reactions, leading to a reduction in the atomic O/C ratio and an increase in the higher heating value (HHV) of the bio-crude</w:t>
      </w:r>
      <w:r w:rsidR="00E102D0" w:rsidRPr="0013765E">
        <w:rPr>
          <w:lang w:val="en-GB"/>
        </w:rPr>
        <w:t xml:space="preserve"> (Wang et al., 2022</w:t>
      </w:r>
      <w:r w:rsidR="002C36BB" w:rsidRPr="0013765E">
        <w:rPr>
          <w:lang w:val="en-GB"/>
        </w:rPr>
        <w:t>)</w:t>
      </w:r>
      <w:r w:rsidRPr="0013765E">
        <w:rPr>
          <w:lang w:val="en-GB"/>
        </w:rPr>
        <w:t>.</w:t>
      </w:r>
      <w:r w:rsidR="00DF3A6C" w:rsidRPr="0013765E">
        <w:rPr>
          <w:lang w:val="en-GB"/>
        </w:rPr>
        <w:t xml:space="preserve"> </w:t>
      </w:r>
      <w:r w:rsidR="002D19F6" w:rsidRPr="0013765E">
        <w:rPr>
          <w:lang w:val="en-GB"/>
        </w:rPr>
        <w:t xml:space="preserve">Recent studies have applied these active phases to the HTL of lignocellulosic biomass and sewage sludge (Tai et al., 2021; Wang et al., 2025), achieving improvements in bio-crude yield and quality. </w:t>
      </w:r>
      <w:r w:rsidR="00703C72" w:rsidRPr="0013765E">
        <w:rPr>
          <w:lang w:val="en-GB"/>
        </w:rPr>
        <w:t xml:space="preserve">However, the literature is still lacking on the study of </w:t>
      </w:r>
      <w:r w:rsidR="001566A0" w:rsidRPr="0013765E">
        <w:rPr>
          <w:lang w:val="en-GB"/>
        </w:rPr>
        <w:t xml:space="preserve">these </w:t>
      </w:r>
      <w:r w:rsidR="00703C72" w:rsidRPr="0013765E">
        <w:rPr>
          <w:lang w:val="en-GB"/>
        </w:rPr>
        <w:t xml:space="preserve">phases </w:t>
      </w:r>
      <w:r w:rsidR="001566A0" w:rsidRPr="0013765E">
        <w:rPr>
          <w:lang w:val="en-GB"/>
        </w:rPr>
        <w:t xml:space="preserve">when </w:t>
      </w:r>
      <w:r w:rsidR="00703C72" w:rsidRPr="0013765E">
        <w:rPr>
          <w:lang w:val="en-GB"/>
        </w:rPr>
        <w:t xml:space="preserve">applied </w:t>
      </w:r>
      <w:r w:rsidR="001566A0" w:rsidRPr="0013765E">
        <w:rPr>
          <w:lang w:val="en-GB"/>
        </w:rPr>
        <w:t>to an</w:t>
      </w:r>
      <w:r w:rsidR="00703C72" w:rsidRPr="0013765E">
        <w:rPr>
          <w:lang w:val="en-GB"/>
        </w:rPr>
        <w:t xml:space="preserve"> industrial sludge</w:t>
      </w:r>
      <w:r w:rsidR="001566A0" w:rsidRPr="0013765E">
        <w:rPr>
          <w:lang w:val="en-GB"/>
        </w:rPr>
        <w:t>,</w:t>
      </w:r>
      <w:r w:rsidR="00703C72" w:rsidRPr="0013765E">
        <w:rPr>
          <w:lang w:val="en-GB"/>
        </w:rPr>
        <w:t xml:space="preserve"> and the actual effectiveness of these </w:t>
      </w:r>
      <w:r w:rsidR="001566A0" w:rsidRPr="0013765E">
        <w:rPr>
          <w:lang w:val="en-GB"/>
        </w:rPr>
        <w:t xml:space="preserve">activated </w:t>
      </w:r>
      <w:r w:rsidR="00703C72" w:rsidRPr="0013765E">
        <w:rPr>
          <w:lang w:val="en-GB"/>
        </w:rPr>
        <w:t xml:space="preserve">phases is still uncertain. </w:t>
      </w:r>
      <w:r w:rsidR="001566A0" w:rsidRPr="0013765E">
        <w:rPr>
          <w:lang w:val="en-GB"/>
        </w:rPr>
        <w:t>T</w:t>
      </w:r>
      <w:r w:rsidR="00DF3A6C" w:rsidRPr="0013765E">
        <w:rPr>
          <w:lang w:val="en-GB"/>
        </w:rPr>
        <w:t>he aim of t</w:t>
      </w:r>
      <w:r w:rsidR="002D19F6" w:rsidRPr="0013765E">
        <w:rPr>
          <w:lang w:val="en-GB"/>
        </w:rPr>
        <w:t xml:space="preserve">his work </w:t>
      </w:r>
      <w:r w:rsidR="00DF3A6C" w:rsidRPr="0013765E">
        <w:rPr>
          <w:lang w:val="en-GB"/>
        </w:rPr>
        <w:t xml:space="preserve">was </w:t>
      </w:r>
      <w:r w:rsidR="00C36E4F" w:rsidRPr="0013765E">
        <w:rPr>
          <w:lang w:val="en-GB"/>
        </w:rPr>
        <w:t xml:space="preserve">to investigate </w:t>
      </w:r>
      <w:r w:rsidR="00703C72" w:rsidRPr="0013765E">
        <w:rPr>
          <w:lang w:val="en-GB"/>
        </w:rPr>
        <w:t>the effect of three different active phases on the distribution and products and on the composition of the bio-</w:t>
      </w:r>
      <w:r w:rsidR="007A639F" w:rsidRPr="0013765E">
        <w:rPr>
          <w:lang w:val="en-GB"/>
        </w:rPr>
        <w:t>crude</w:t>
      </w:r>
      <w:r w:rsidR="00703C72" w:rsidRPr="0013765E">
        <w:rPr>
          <w:lang w:val="en-GB"/>
        </w:rPr>
        <w:t xml:space="preserve"> when the HTL process is applied to industrial sludge</w:t>
      </w:r>
      <w:r w:rsidR="00DF3A6C" w:rsidRPr="0013765E">
        <w:rPr>
          <w:lang w:val="en-GB"/>
        </w:rPr>
        <w:t>.</w:t>
      </w:r>
      <w:r w:rsidR="00DF63E6" w:rsidRPr="0013765E">
        <w:rPr>
          <w:lang w:val="en-GB"/>
        </w:rPr>
        <w:t xml:space="preserve"> </w:t>
      </w:r>
      <w:r w:rsidRPr="0013765E">
        <w:rPr>
          <w:lang w:val="en-GB"/>
        </w:rPr>
        <w:t>HTL tests were carried out in a 500 mL batch autoclave reactor for an isothermal residence time of 10 min at 350 °C. Preliminary tests were performed in absence of active phases, aimed at evaluating the effect of sludge concentration and slurry volume on the yield and quality of the bio-crude. Subsequently, tests were performed with the addition of active phases (Fe, Zn or MgCl</w:t>
      </w:r>
      <w:r w:rsidRPr="0013765E">
        <w:rPr>
          <w:vertAlign w:val="subscript"/>
          <w:lang w:val="en-GB"/>
        </w:rPr>
        <w:t>2</w:t>
      </w:r>
      <w:r w:rsidRPr="0013765E">
        <w:rPr>
          <w:lang w:val="en-GB"/>
        </w:rPr>
        <w:t xml:space="preserve">) at 20% with respect to the sludge </w:t>
      </w:r>
      <w:r w:rsidRPr="0013765E">
        <w:t>(4% with respect to the loaded slurry),</w:t>
      </w:r>
      <w:r w:rsidRPr="0013765E">
        <w:rPr>
          <w:lang w:val="en-GB"/>
        </w:rPr>
        <w:t xml:space="preserve"> to analyse the influence of the additives on the</w:t>
      </w:r>
      <w:r w:rsidR="00B8190A" w:rsidRPr="0013765E">
        <w:rPr>
          <w:lang w:val="en-GB"/>
        </w:rPr>
        <w:t xml:space="preserve"> bio-crude</w:t>
      </w:r>
      <w:r w:rsidRPr="0013765E">
        <w:rPr>
          <w:lang w:val="en-GB"/>
        </w:rPr>
        <w:t xml:space="preserve"> yield</w:t>
      </w:r>
      <w:r w:rsidR="00B8190A" w:rsidRPr="0013765E">
        <w:rPr>
          <w:lang w:val="en-GB"/>
        </w:rPr>
        <w:t xml:space="preserve"> and </w:t>
      </w:r>
      <w:proofErr w:type="gramStart"/>
      <w:r w:rsidR="00B8190A" w:rsidRPr="0013765E">
        <w:rPr>
          <w:lang w:val="en-GB"/>
        </w:rPr>
        <w:t>properties</w:t>
      </w:r>
      <w:r w:rsidRPr="0013765E">
        <w:rPr>
          <w:lang w:val="en-GB"/>
        </w:rPr>
        <w:t>, and</w:t>
      </w:r>
      <w:proofErr w:type="gramEnd"/>
      <w:r w:rsidRPr="0013765E">
        <w:rPr>
          <w:lang w:val="en-GB"/>
        </w:rPr>
        <w:t xml:space="preserve"> identify the most suitable active phase for the HTL process.</w:t>
      </w:r>
    </w:p>
    <w:p w14:paraId="23DD4C75" w14:textId="6F3EBA82" w:rsidR="00183993" w:rsidRPr="0013765E" w:rsidRDefault="00183993" w:rsidP="00865675">
      <w:pPr>
        <w:pStyle w:val="CETHeading1"/>
      </w:pPr>
      <w:r w:rsidRPr="0013765E">
        <w:t>Materials and Methods</w:t>
      </w:r>
    </w:p>
    <w:p w14:paraId="0636B784" w14:textId="6CDB9C24" w:rsidR="00453E24" w:rsidRPr="0013765E" w:rsidRDefault="00183993" w:rsidP="00453E24">
      <w:pPr>
        <w:pStyle w:val="CETheadingx"/>
      </w:pPr>
      <w:r w:rsidRPr="0013765E">
        <w:t>Feedstock</w:t>
      </w:r>
    </w:p>
    <w:p w14:paraId="7C2B0064" w14:textId="466371F3" w:rsidR="00453E24" w:rsidRPr="0013765E" w:rsidRDefault="00183993" w:rsidP="00183993">
      <w:pPr>
        <w:pStyle w:val="CETBodytext"/>
      </w:pPr>
      <w:r w:rsidRPr="0013765E">
        <w:t xml:space="preserve">The highly Cr-rich biomass taken as reference substrate for HTL tests is an industrial tannery sludge deriving from a wastewater treatment plant located in Italy. TS was characterized by moisture content, via thermobalance Kern DAB 100-3 at 105 °C; ash content, by combustion in a muffle </w:t>
      </w:r>
      <w:proofErr w:type="spellStart"/>
      <w:r w:rsidRPr="0013765E">
        <w:t>Nabertherm</w:t>
      </w:r>
      <w:proofErr w:type="spellEnd"/>
      <w:r w:rsidRPr="0013765E">
        <w:t xml:space="preserve"> HTC 03/14 furnace at 550 °C for 5 h (ASTM E1755-01); elemental analysis (CHNSO), by LECO CHN628 and LECO SC-144DR</w:t>
      </w:r>
      <w:r w:rsidR="001862FF" w:rsidRPr="0013765E">
        <w:t xml:space="preserve"> (</w:t>
      </w:r>
      <w:r w:rsidRPr="0013765E">
        <w:t>ASTM D5373 and UNI 7584</w:t>
      </w:r>
      <w:r w:rsidR="001862FF" w:rsidRPr="0013765E">
        <w:t>)</w:t>
      </w:r>
      <w:r w:rsidRPr="0013765E">
        <w:t xml:space="preserve">; metal content, via Agilent Technologies 7500ce ICP-MS instrument, and calculation of the HHV through a Dulong’s equation (Eq. 1, with the oxygen content evaluated by difference as in Eq. 2), where </w:t>
      </w:r>
      <w:r w:rsidRPr="0013765E">
        <w:rPr>
          <w:i/>
          <w:iCs/>
        </w:rPr>
        <w:t>f</w:t>
      </w:r>
      <w:r w:rsidRPr="0013765E">
        <w:rPr>
          <w:i/>
          <w:iCs/>
          <w:vertAlign w:val="subscript"/>
        </w:rPr>
        <w:t>i</w:t>
      </w:r>
      <w:r w:rsidRPr="0013765E">
        <w:t xml:space="preserve"> is the mass percentage of the </w:t>
      </w:r>
      <w:proofErr w:type="spellStart"/>
      <w:r w:rsidRPr="0013765E">
        <w:t>i</w:t>
      </w:r>
      <w:proofErr w:type="spellEnd"/>
      <w:r w:rsidRPr="0013765E">
        <w:t xml:space="preserve">-element. Table 1 reports the main chemical and energetic properties of </w:t>
      </w:r>
      <w:r w:rsidR="001862FF" w:rsidRPr="0013765E">
        <w:t>TS</w:t>
      </w:r>
      <w:r w:rsidRPr="0013765E">
        <w:t xml:space="preserve"> as received. Three repetitions were carried out, and the mean value was listed.</w:t>
      </w:r>
    </w:p>
    <w:tbl>
      <w:tblPr>
        <w:tblStyle w:val="Grigliatabella"/>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572"/>
      </w:tblGrid>
      <w:tr w:rsidR="00183993" w:rsidRPr="0013765E" w14:paraId="2CF5A8C6" w14:textId="77777777" w:rsidTr="00183993">
        <w:trPr>
          <w:trHeight w:val="397"/>
          <w:jc w:val="center"/>
        </w:trPr>
        <w:tc>
          <w:tcPr>
            <w:tcW w:w="8359" w:type="dxa"/>
            <w:vAlign w:val="center"/>
          </w:tcPr>
          <w:p w14:paraId="21C8E1E5" w14:textId="77777777" w:rsidR="00183993" w:rsidRPr="0013765E" w:rsidRDefault="00183993" w:rsidP="00F5391D">
            <w:pPr>
              <w:pStyle w:val="CETEquation"/>
            </w:pPr>
            <m:oMathPara>
              <m:oMathParaPr>
                <m:jc m:val="left"/>
              </m:oMathParaPr>
              <m:oMath>
                <m:r>
                  <m:rPr>
                    <m:sty m:val="p"/>
                  </m:rPr>
                  <w:rPr>
                    <w:rFonts w:ascii="Cambria Math" w:hAnsi="Cambria Math"/>
                  </w:rPr>
                  <m:t>HHV [MJ/kg]=0.338</m:t>
                </m:r>
                <m:sSub>
                  <m:sSubPr>
                    <m:ctrlPr>
                      <w:rPr>
                        <w:rFonts w:ascii="Cambria Math" w:hAnsi="Cambria Math"/>
                        <w:i/>
                      </w:rPr>
                    </m:ctrlPr>
                  </m:sSubPr>
                  <m:e>
                    <m:r>
                      <w:rPr>
                        <w:rFonts w:ascii="Cambria Math" w:hAnsi="Cambria Math"/>
                      </w:rPr>
                      <m:t>f</m:t>
                    </m:r>
                  </m:e>
                  <m:sub>
                    <m:r>
                      <w:rPr>
                        <w:rFonts w:ascii="Cambria Math" w:hAnsi="Cambria Math"/>
                      </w:rPr>
                      <m:t>C</m:t>
                    </m:r>
                  </m:sub>
                </m:sSub>
                <m:r>
                  <m:rPr>
                    <m:sty m:val="p"/>
                  </m:rPr>
                  <w:rPr>
                    <w:rFonts w:ascii="Cambria Math" w:hAnsi="Cambria Math"/>
                  </w:rPr>
                  <m:t>+1.44</m:t>
                </m:r>
                <m:sSub>
                  <m:sSubPr>
                    <m:ctrlPr>
                      <w:rPr>
                        <w:rFonts w:ascii="Cambria Math" w:hAnsi="Cambria Math"/>
                        <w:i/>
                      </w:rPr>
                    </m:ctrlPr>
                  </m:sSubPr>
                  <m:e>
                    <m:r>
                      <w:rPr>
                        <w:rFonts w:ascii="Cambria Math" w:hAnsi="Cambria Math"/>
                      </w:rPr>
                      <m:t>f</m:t>
                    </m:r>
                  </m:e>
                  <m:sub>
                    <m:r>
                      <w:rPr>
                        <w:rFonts w:ascii="Cambria Math" w:hAnsi="Cambria Math"/>
                      </w:rPr>
                      <m:t>H</m:t>
                    </m:r>
                  </m:sub>
                </m:sSub>
                <m:r>
                  <m:rPr>
                    <m:sty m:val="p"/>
                  </m:rPr>
                  <w:rPr>
                    <w:rFonts w:ascii="Cambria Math" w:hAnsi="Cambria Math"/>
                  </w:rPr>
                  <m:t>+0.094</m:t>
                </m:r>
                <m:sSub>
                  <m:sSubPr>
                    <m:ctrlPr>
                      <w:rPr>
                        <w:rFonts w:ascii="Cambria Math" w:hAnsi="Cambria Math"/>
                        <w:i/>
                      </w:rPr>
                    </m:ctrlPr>
                  </m:sSubPr>
                  <m:e>
                    <m:r>
                      <w:rPr>
                        <w:rFonts w:ascii="Cambria Math" w:hAnsi="Cambria Math"/>
                      </w:rPr>
                      <m:t>f</m:t>
                    </m:r>
                  </m:e>
                  <m:sub>
                    <m:r>
                      <w:rPr>
                        <w:rFonts w:ascii="Cambria Math" w:hAnsi="Cambria Math"/>
                      </w:rPr>
                      <m:t>S</m:t>
                    </m:r>
                  </m:sub>
                </m:sSub>
                <m:r>
                  <m:rPr>
                    <m:sty m:val="p"/>
                  </m:rPr>
                  <w:rPr>
                    <w:rFonts w:ascii="Cambria Math" w:hAnsi="Cambria Math"/>
                  </w:rPr>
                  <m:t>-0.154</m:t>
                </m:r>
                <m:sSub>
                  <m:sSubPr>
                    <m:ctrlPr>
                      <w:rPr>
                        <w:rFonts w:ascii="Cambria Math" w:hAnsi="Cambria Math"/>
                        <w:i/>
                      </w:rPr>
                    </m:ctrlPr>
                  </m:sSubPr>
                  <m:e>
                    <m:r>
                      <w:rPr>
                        <w:rFonts w:ascii="Cambria Math" w:hAnsi="Cambria Math"/>
                      </w:rPr>
                      <m:t>f</m:t>
                    </m:r>
                  </m:e>
                  <m:sub>
                    <m:r>
                      <w:rPr>
                        <w:rFonts w:ascii="Cambria Math" w:hAnsi="Cambria Math"/>
                      </w:rPr>
                      <m:t>O</m:t>
                    </m:r>
                  </m:sub>
                </m:sSub>
              </m:oMath>
            </m:oMathPara>
          </w:p>
        </w:tc>
        <w:tc>
          <w:tcPr>
            <w:tcW w:w="572" w:type="dxa"/>
            <w:vAlign w:val="center"/>
          </w:tcPr>
          <w:p w14:paraId="328ED7B2" w14:textId="77777777" w:rsidR="00183993" w:rsidRPr="0013765E" w:rsidRDefault="00183993" w:rsidP="00F5391D">
            <w:pPr>
              <w:pStyle w:val="CETEquation"/>
              <w:rPr>
                <w:szCs w:val="18"/>
              </w:rPr>
            </w:pPr>
            <w:r w:rsidRPr="0013765E">
              <w:rPr>
                <w:szCs w:val="18"/>
              </w:rPr>
              <w:t>(1)</w:t>
            </w:r>
          </w:p>
        </w:tc>
      </w:tr>
      <w:tr w:rsidR="00183993" w:rsidRPr="0013765E" w14:paraId="37D6B0CF" w14:textId="77777777" w:rsidTr="00183993">
        <w:tblPrEx>
          <w:jc w:val="left"/>
        </w:tblPrEx>
        <w:trPr>
          <w:trHeight w:val="397"/>
        </w:trPr>
        <w:tc>
          <w:tcPr>
            <w:tcW w:w="8359" w:type="dxa"/>
          </w:tcPr>
          <w:p w14:paraId="04E92DC0" w14:textId="754CD541" w:rsidR="00183993" w:rsidRPr="0013765E" w:rsidRDefault="00000000" w:rsidP="00F5391D">
            <w:pPr>
              <w:pStyle w:val="CETEquation"/>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O</m:t>
                    </m:r>
                  </m:sub>
                </m:sSub>
                <m:r>
                  <m:rPr>
                    <m:sty m:val="p"/>
                  </m:rPr>
                  <w:rPr>
                    <w:rFonts w:ascii="Cambria Math" w:hAnsi="Cambria Math"/>
                  </w:rPr>
                  <m:t>=100-</m:t>
                </m:r>
                <m:sSub>
                  <m:sSubPr>
                    <m:ctrlPr>
                      <w:rPr>
                        <w:rFonts w:ascii="Cambria Math" w:hAnsi="Cambria Math"/>
                      </w:rPr>
                    </m:ctrlPr>
                  </m:sSubPr>
                  <m:e>
                    <m:r>
                      <w:rPr>
                        <w:rFonts w:ascii="Cambria Math" w:hAnsi="Cambria Math"/>
                      </w:rPr>
                      <m:t>f</m:t>
                    </m:r>
                  </m:e>
                  <m:sub>
                    <m:r>
                      <w:rPr>
                        <w:rFonts w:ascii="Cambria Math" w:hAnsi="Cambria Math"/>
                      </w:rPr>
                      <m:t>ash,db</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S</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N</m:t>
                    </m:r>
                  </m:sub>
                </m:sSub>
              </m:oMath>
            </m:oMathPara>
          </w:p>
        </w:tc>
        <w:tc>
          <w:tcPr>
            <w:tcW w:w="572" w:type="dxa"/>
          </w:tcPr>
          <w:p w14:paraId="008CE26A" w14:textId="77777777" w:rsidR="00183993" w:rsidRPr="0013765E" w:rsidRDefault="00183993" w:rsidP="00F5391D">
            <w:pPr>
              <w:pStyle w:val="CETEquation"/>
              <w:rPr>
                <w:szCs w:val="18"/>
              </w:rPr>
            </w:pPr>
            <w:r w:rsidRPr="0013765E">
              <w:rPr>
                <w:szCs w:val="18"/>
              </w:rPr>
              <w:t>(2)</w:t>
            </w:r>
          </w:p>
        </w:tc>
      </w:tr>
    </w:tbl>
    <w:p w14:paraId="3B045DB8" w14:textId="6260C1E9" w:rsidR="00183993" w:rsidRPr="0013765E" w:rsidRDefault="00183993" w:rsidP="00B8190A">
      <w:pPr>
        <w:pStyle w:val="CETTabletitle"/>
        <w:spacing w:before="120"/>
        <w:jc w:val="center"/>
      </w:pPr>
      <w:r w:rsidRPr="0013765E">
        <w:t>Table 1. Main properties of as-received tannery sludge (“</w:t>
      </w:r>
      <w:proofErr w:type="spellStart"/>
      <w:proofErr w:type="gramStart"/>
      <w:r w:rsidRPr="0013765E">
        <w:t>db</w:t>
      </w:r>
      <w:proofErr w:type="spellEnd"/>
      <w:r w:rsidRPr="0013765E">
        <w:t>”=</w:t>
      </w:r>
      <w:proofErr w:type="gramEnd"/>
      <w:r w:rsidRPr="0013765E">
        <w:t>dry basis).</w:t>
      </w:r>
    </w:p>
    <w:tbl>
      <w:tblPr>
        <w:tblStyle w:val="Grigliatabel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134"/>
        <w:gridCol w:w="1134"/>
        <w:gridCol w:w="1134"/>
        <w:gridCol w:w="1134"/>
        <w:gridCol w:w="1134"/>
        <w:gridCol w:w="993"/>
        <w:gridCol w:w="992"/>
      </w:tblGrid>
      <w:tr w:rsidR="00DF63E6" w:rsidRPr="0013765E" w14:paraId="690BA23B" w14:textId="1D0CA259" w:rsidTr="00A66C24">
        <w:trPr>
          <w:trHeight w:val="211"/>
        </w:trPr>
        <w:tc>
          <w:tcPr>
            <w:tcW w:w="8789" w:type="dxa"/>
            <w:gridSpan w:val="8"/>
            <w:tcBorders>
              <w:top w:val="single" w:sz="12" w:space="0" w:color="00B050"/>
              <w:bottom w:val="single" w:sz="4" w:space="0" w:color="00B050"/>
            </w:tcBorders>
            <w:vAlign w:val="center"/>
          </w:tcPr>
          <w:p w14:paraId="08BCDEF1" w14:textId="6BE825E0" w:rsidR="00DF63E6" w:rsidRPr="0013765E" w:rsidRDefault="00DF63E6" w:rsidP="00DF63E6">
            <w:pPr>
              <w:pStyle w:val="CETBodytext"/>
              <w:jc w:val="center"/>
              <w:rPr>
                <w:szCs w:val="18"/>
              </w:rPr>
            </w:pPr>
            <w:r w:rsidRPr="0013765E">
              <w:rPr>
                <w:szCs w:val="18"/>
              </w:rPr>
              <w:t>Composition and energetic properties</w:t>
            </w:r>
          </w:p>
        </w:tc>
      </w:tr>
      <w:tr w:rsidR="00DF63E6" w:rsidRPr="0013765E" w14:paraId="66D2AFDB" w14:textId="50C17647" w:rsidTr="00A66C24">
        <w:tc>
          <w:tcPr>
            <w:tcW w:w="2268" w:type="dxa"/>
            <w:gridSpan w:val="2"/>
            <w:tcBorders>
              <w:top w:val="single" w:sz="4" w:space="0" w:color="00B050"/>
            </w:tcBorders>
            <w:vAlign w:val="center"/>
          </w:tcPr>
          <w:p w14:paraId="7E5B94DC" w14:textId="77777777" w:rsidR="00DF63E6" w:rsidRPr="0013765E" w:rsidRDefault="00DF63E6" w:rsidP="00DF63E6">
            <w:pPr>
              <w:pStyle w:val="CETBodytext"/>
              <w:jc w:val="center"/>
              <w:rPr>
                <w:szCs w:val="18"/>
              </w:rPr>
            </w:pPr>
          </w:p>
        </w:tc>
        <w:tc>
          <w:tcPr>
            <w:tcW w:w="2268" w:type="dxa"/>
            <w:gridSpan w:val="2"/>
            <w:tcBorders>
              <w:top w:val="single" w:sz="4" w:space="0" w:color="00B050"/>
            </w:tcBorders>
            <w:vAlign w:val="center"/>
          </w:tcPr>
          <w:p w14:paraId="1A6ABD8D" w14:textId="77777777" w:rsidR="00DF63E6" w:rsidRPr="0013765E" w:rsidRDefault="00DF63E6" w:rsidP="00DF63E6">
            <w:pPr>
              <w:pStyle w:val="CETBodytext"/>
              <w:jc w:val="center"/>
              <w:rPr>
                <w:szCs w:val="18"/>
              </w:rPr>
            </w:pPr>
          </w:p>
        </w:tc>
        <w:tc>
          <w:tcPr>
            <w:tcW w:w="2268" w:type="dxa"/>
            <w:gridSpan w:val="2"/>
            <w:tcBorders>
              <w:top w:val="single" w:sz="4" w:space="0" w:color="00B050"/>
            </w:tcBorders>
            <w:vAlign w:val="center"/>
          </w:tcPr>
          <w:p w14:paraId="0BF686FE" w14:textId="77777777" w:rsidR="00DF63E6" w:rsidRPr="0013765E" w:rsidRDefault="00DF63E6" w:rsidP="00DF63E6">
            <w:pPr>
              <w:pStyle w:val="CETBodytext"/>
              <w:jc w:val="center"/>
              <w:rPr>
                <w:szCs w:val="18"/>
              </w:rPr>
            </w:pPr>
            <w:r w:rsidRPr="0013765E">
              <w:rPr>
                <w:szCs w:val="18"/>
              </w:rPr>
              <w:t xml:space="preserve">C [% </w:t>
            </w:r>
            <w:proofErr w:type="spellStart"/>
            <w:r w:rsidRPr="0013765E">
              <w:rPr>
                <w:szCs w:val="18"/>
              </w:rPr>
              <w:t>db</w:t>
            </w:r>
            <w:proofErr w:type="spellEnd"/>
            <w:r w:rsidRPr="0013765E">
              <w:rPr>
                <w:szCs w:val="18"/>
              </w:rPr>
              <w:t>]</w:t>
            </w:r>
          </w:p>
        </w:tc>
        <w:tc>
          <w:tcPr>
            <w:tcW w:w="1985" w:type="dxa"/>
            <w:gridSpan w:val="2"/>
            <w:tcBorders>
              <w:top w:val="single" w:sz="4" w:space="0" w:color="00B050"/>
            </w:tcBorders>
            <w:vAlign w:val="center"/>
          </w:tcPr>
          <w:p w14:paraId="28E35A83" w14:textId="3BE87DEA" w:rsidR="00DF63E6" w:rsidRPr="0013765E" w:rsidRDefault="00DF63E6" w:rsidP="00DF63E6">
            <w:pPr>
              <w:pStyle w:val="CETBodytext"/>
              <w:jc w:val="center"/>
              <w:rPr>
                <w:szCs w:val="18"/>
              </w:rPr>
            </w:pPr>
            <w:r w:rsidRPr="0013765E">
              <w:rPr>
                <w:szCs w:val="18"/>
              </w:rPr>
              <w:t>34.4 ± 0.5</w:t>
            </w:r>
          </w:p>
        </w:tc>
      </w:tr>
      <w:tr w:rsidR="00DF63E6" w:rsidRPr="0013765E" w14:paraId="460A7C8E" w14:textId="35140977" w:rsidTr="00A66C24">
        <w:tc>
          <w:tcPr>
            <w:tcW w:w="2268" w:type="dxa"/>
            <w:gridSpan w:val="2"/>
            <w:vAlign w:val="center"/>
          </w:tcPr>
          <w:p w14:paraId="3BB1613D" w14:textId="77777777" w:rsidR="00DF63E6" w:rsidRPr="0013765E" w:rsidRDefault="00DF63E6" w:rsidP="00DF63E6">
            <w:pPr>
              <w:pStyle w:val="CETBodytext"/>
              <w:jc w:val="center"/>
              <w:rPr>
                <w:szCs w:val="18"/>
              </w:rPr>
            </w:pPr>
            <w:r w:rsidRPr="0013765E">
              <w:rPr>
                <w:szCs w:val="18"/>
              </w:rPr>
              <w:t>Moisture [%]</w:t>
            </w:r>
          </w:p>
        </w:tc>
        <w:tc>
          <w:tcPr>
            <w:tcW w:w="2268" w:type="dxa"/>
            <w:gridSpan w:val="2"/>
            <w:vAlign w:val="center"/>
          </w:tcPr>
          <w:p w14:paraId="1EEC4498" w14:textId="77777777" w:rsidR="00DF63E6" w:rsidRPr="0013765E" w:rsidRDefault="00DF63E6" w:rsidP="00DF63E6">
            <w:pPr>
              <w:pStyle w:val="CETBodytext"/>
              <w:jc w:val="center"/>
              <w:rPr>
                <w:szCs w:val="18"/>
              </w:rPr>
            </w:pPr>
            <w:r w:rsidRPr="0013765E">
              <w:rPr>
                <w:szCs w:val="18"/>
              </w:rPr>
              <w:t>8.6 ± 0.6</w:t>
            </w:r>
          </w:p>
        </w:tc>
        <w:tc>
          <w:tcPr>
            <w:tcW w:w="2268" w:type="dxa"/>
            <w:gridSpan w:val="2"/>
            <w:vAlign w:val="center"/>
          </w:tcPr>
          <w:p w14:paraId="6910301E" w14:textId="77777777" w:rsidR="00DF63E6" w:rsidRPr="0013765E" w:rsidRDefault="00DF63E6" w:rsidP="00DF63E6">
            <w:pPr>
              <w:pStyle w:val="CETBodytext"/>
              <w:jc w:val="center"/>
              <w:rPr>
                <w:szCs w:val="18"/>
              </w:rPr>
            </w:pPr>
            <w:r w:rsidRPr="0013765E">
              <w:rPr>
                <w:szCs w:val="18"/>
              </w:rPr>
              <w:t xml:space="preserve">H [% </w:t>
            </w:r>
            <w:proofErr w:type="spellStart"/>
            <w:r w:rsidRPr="0013765E">
              <w:rPr>
                <w:szCs w:val="18"/>
              </w:rPr>
              <w:t>db</w:t>
            </w:r>
            <w:proofErr w:type="spellEnd"/>
            <w:r w:rsidRPr="0013765E">
              <w:rPr>
                <w:szCs w:val="18"/>
              </w:rPr>
              <w:t>]</w:t>
            </w:r>
          </w:p>
        </w:tc>
        <w:tc>
          <w:tcPr>
            <w:tcW w:w="1985" w:type="dxa"/>
            <w:gridSpan w:val="2"/>
            <w:vAlign w:val="center"/>
          </w:tcPr>
          <w:p w14:paraId="5CBBE4B5" w14:textId="4D6500A6" w:rsidR="00DF63E6" w:rsidRPr="0013765E" w:rsidRDefault="00DF63E6" w:rsidP="00DF63E6">
            <w:pPr>
              <w:pStyle w:val="CETBodytext"/>
              <w:jc w:val="center"/>
              <w:rPr>
                <w:szCs w:val="18"/>
              </w:rPr>
            </w:pPr>
            <w:r w:rsidRPr="0013765E">
              <w:rPr>
                <w:szCs w:val="18"/>
              </w:rPr>
              <w:t>4.8 ± 0.1</w:t>
            </w:r>
          </w:p>
        </w:tc>
      </w:tr>
      <w:tr w:rsidR="00DF63E6" w:rsidRPr="0013765E" w14:paraId="63D6C58B" w14:textId="2F41E2B9" w:rsidTr="00A66C24">
        <w:tc>
          <w:tcPr>
            <w:tcW w:w="2268" w:type="dxa"/>
            <w:gridSpan w:val="2"/>
            <w:vAlign w:val="center"/>
          </w:tcPr>
          <w:p w14:paraId="1B5928EF" w14:textId="77777777" w:rsidR="00DF63E6" w:rsidRPr="0013765E" w:rsidRDefault="00DF63E6" w:rsidP="00DF63E6">
            <w:pPr>
              <w:pStyle w:val="CETBodytext"/>
              <w:jc w:val="center"/>
              <w:rPr>
                <w:szCs w:val="18"/>
              </w:rPr>
            </w:pPr>
            <w:r w:rsidRPr="0013765E">
              <w:rPr>
                <w:szCs w:val="18"/>
              </w:rPr>
              <w:t>Ash [%]</w:t>
            </w:r>
          </w:p>
        </w:tc>
        <w:tc>
          <w:tcPr>
            <w:tcW w:w="2268" w:type="dxa"/>
            <w:gridSpan w:val="2"/>
            <w:vAlign w:val="center"/>
          </w:tcPr>
          <w:p w14:paraId="46840807" w14:textId="77777777" w:rsidR="00DF63E6" w:rsidRPr="0013765E" w:rsidRDefault="00DF63E6" w:rsidP="00DF63E6">
            <w:pPr>
              <w:pStyle w:val="CETBodytext"/>
              <w:jc w:val="center"/>
              <w:rPr>
                <w:szCs w:val="18"/>
              </w:rPr>
            </w:pPr>
            <w:r w:rsidRPr="0013765E">
              <w:rPr>
                <w:szCs w:val="18"/>
              </w:rPr>
              <w:t>37.5 ± 0.3</w:t>
            </w:r>
          </w:p>
        </w:tc>
        <w:tc>
          <w:tcPr>
            <w:tcW w:w="2268" w:type="dxa"/>
            <w:gridSpan w:val="2"/>
            <w:vAlign w:val="center"/>
          </w:tcPr>
          <w:p w14:paraId="5234DF04" w14:textId="77777777" w:rsidR="00DF63E6" w:rsidRPr="0013765E" w:rsidRDefault="00DF63E6" w:rsidP="00DF63E6">
            <w:pPr>
              <w:pStyle w:val="CETBodytext"/>
              <w:jc w:val="center"/>
              <w:rPr>
                <w:szCs w:val="18"/>
              </w:rPr>
            </w:pPr>
            <w:r w:rsidRPr="0013765E">
              <w:rPr>
                <w:szCs w:val="18"/>
              </w:rPr>
              <w:t xml:space="preserve">N [% </w:t>
            </w:r>
            <w:proofErr w:type="spellStart"/>
            <w:r w:rsidRPr="0013765E">
              <w:rPr>
                <w:szCs w:val="18"/>
              </w:rPr>
              <w:t>db</w:t>
            </w:r>
            <w:proofErr w:type="spellEnd"/>
            <w:r w:rsidRPr="0013765E">
              <w:rPr>
                <w:szCs w:val="18"/>
              </w:rPr>
              <w:t>]</w:t>
            </w:r>
          </w:p>
        </w:tc>
        <w:tc>
          <w:tcPr>
            <w:tcW w:w="1985" w:type="dxa"/>
            <w:gridSpan w:val="2"/>
            <w:vAlign w:val="center"/>
          </w:tcPr>
          <w:p w14:paraId="0DA3AD6D" w14:textId="458C3E19" w:rsidR="00DF63E6" w:rsidRPr="0013765E" w:rsidRDefault="00DF63E6" w:rsidP="00DF63E6">
            <w:pPr>
              <w:pStyle w:val="CETBodytext"/>
              <w:jc w:val="center"/>
              <w:rPr>
                <w:szCs w:val="18"/>
              </w:rPr>
            </w:pPr>
            <w:r w:rsidRPr="0013765E">
              <w:rPr>
                <w:szCs w:val="18"/>
              </w:rPr>
              <w:t>2.7 ± 0.1</w:t>
            </w:r>
          </w:p>
        </w:tc>
      </w:tr>
      <w:tr w:rsidR="00DF63E6" w:rsidRPr="0013765E" w14:paraId="5E8D4E5F" w14:textId="5B40D662" w:rsidTr="00A66C24">
        <w:tc>
          <w:tcPr>
            <w:tcW w:w="2268" w:type="dxa"/>
            <w:gridSpan w:val="2"/>
            <w:vAlign w:val="center"/>
          </w:tcPr>
          <w:p w14:paraId="41656087" w14:textId="77777777" w:rsidR="00DF63E6" w:rsidRPr="0013765E" w:rsidRDefault="00DF63E6" w:rsidP="00DF63E6">
            <w:pPr>
              <w:pStyle w:val="CETBodytext"/>
              <w:jc w:val="center"/>
              <w:rPr>
                <w:szCs w:val="18"/>
              </w:rPr>
            </w:pPr>
            <w:r w:rsidRPr="0013765E">
              <w:rPr>
                <w:szCs w:val="18"/>
              </w:rPr>
              <w:t>Organic fraction [%]</w:t>
            </w:r>
          </w:p>
        </w:tc>
        <w:tc>
          <w:tcPr>
            <w:tcW w:w="2268" w:type="dxa"/>
            <w:gridSpan w:val="2"/>
            <w:vAlign w:val="center"/>
          </w:tcPr>
          <w:p w14:paraId="6934FE9F" w14:textId="77777777" w:rsidR="00DF63E6" w:rsidRPr="0013765E" w:rsidRDefault="00DF63E6" w:rsidP="00DF63E6">
            <w:pPr>
              <w:pStyle w:val="CETBodytext"/>
              <w:jc w:val="center"/>
              <w:rPr>
                <w:szCs w:val="18"/>
              </w:rPr>
            </w:pPr>
            <w:r w:rsidRPr="0013765E">
              <w:rPr>
                <w:szCs w:val="18"/>
              </w:rPr>
              <w:t>53.9 ± 0.5</w:t>
            </w:r>
          </w:p>
        </w:tc>
        <w:tc>
          <w:tcPr>
            <w:tcW w:w="2268" w:type="dxa"/>
            <w:gridSpan w:val="2"/>
            <w:vAlign w:val="center"/>
          </w:tcPr>
          <w:p w14:paraId="311902F6" w14:textId="77777777" w:rsidR="00DF63E6" w:rsidRPr="0013765E" w:rsidRDefault="00DF63E6" w:rsidP="00DF63E6">
            <w:pPr>
              <w:pStyle w:val="CETBodytext"/>
              <w:jc w:val="center"/>
              <w:rPr>
                <w:szCs w:val="18"/>
              </w:rPr>
            </w:pPr>
            <w:r w:rsidRPr="0013765E">
              <w:rPr>
                <w:szCs w:val="18"/>
              </w:rPr>
              <w:t xml:space="preserve">S [% </w:t>
            </w:r>
            <w:proofErr w:type="spellStart"/>
            <w:r w:rsidRPr="0013765E">
              <w:rPr>
                <w:szCs w:val="18"/>
              </w:rPr>
              <w:t>db</w:t>
            </w:r>
            <w:proofErr w:type="spellEnd"/>
            <w:r w:rsidRPr="0013765E">
              <w:rPr>
                <w:szCs w:val="18"/>
              </w:rPr>
              <w:t>]</w:t>
            </w:r>
          </w:p>
        </w:tc>
        <w:tc>
          <w:tcPr>
            <w:tcW w:w="1985" w:type="dxa"/>
            <w:gridSpan w:val="2"/>
            <w:vAlign w:val="center"/>
          </w:tcPr>
          <w:p w14:paraId="616D58BF" w14:textId="505AA187" w:rsidR="00DF63E6" w:rsidRPr="0013765E" w:rsidRDefault="00DF63E6" w:rsidP="00DF63E6">
            <w:pPr>
              <w:pStyle w:val="CETBodytext"/>
              <w:jc w:val="center"/>
              <w:rPr>
                <w:szCs w:val="18"/>
              </w:rPr>
            </w:pPr>
            <w:r w:rsidRPr="0013765E">
              <w:rPr>
                <w:szCs w:val="18"/>
              </w:rPr>
              <w:t>3.2 ± 0.1</w:t>
            </w:r>
          </w:p>
        </w:tc>
      </w:tr>
      <w:tr w:rsidR="00DF63E6" w:rsidRPr="0013765E" w14:paraId="26B62847" w14:textId="3AF28DD9" w:rsidTr="00A66C24">
        <w:tc>
          <w:tcPr>
            <w:tcW w:w="2268" w:type="dxa"/>
            <w:gridSpan w:val="2"/>
            <w:tcBorders>
              <w:bottom w:val="single" w:sz="4" w:space="0" w:color="00B050"/>
            </w:tcBorders>
            <w:vAlign w:val="center"/>
          </w:tcPr>
          <w:p w14:paraId="6E04872C" w14:textId="77777777" w:rsidR="00DF63E6" w:rsidRPr="0013765E" w:rsidRDefault="00DF63E6" w:rsidP="00DF63E6">
            <w:pPr>
              <w:pStyle w:val="CETBodytext"/>
              <w:jc w:val="center"/>
              <w:rPr>
                <w:szCs w:val="18"/>
              </w:rPr>
            </w:pPr>
            <w:r w:rsidRPr="0013765E">
              <w:rPr>
                <w:szCs w:val="18"/>
              </w:rPr>
              <w:t xml:space="preserve">HHV [MJ/kg </w:t>
            </w:r>
            <w:proofErr w:type="spellStart"/>
            <w:r w:rsidRPr="0013765E">
              <w:rPr>
                <w:szCs w:val="18"/>
              </w:rPr>
              <w:t>db</w:t>
            </w:r>
            <w:proofErr w:type="spellEnd"/>
            <w:r w:rsidRPr="0013765E">
              <w:rPr>
                <w:szCs w:val="18"/>
              </w:rPr>
              <w:t>]</w:t>
            </w:r>
          </w:p>
        </w:tc>
        <w:tc>
          <w:tcPr>
            <w:tcW w:w="2268" w:type="dxa"/>
            <w:gridSpan w:val="2"/>
            <w:tcBorders>
              <w:bottom w:val="single" w:sz="4" w:space="0" w:color="00B050"/>
            </w:tcBorders>
            <w:vAlign w:val="center"/>
          </w:tcPr>
          <w:p w14:paraId="3EC29C12" w14:textId="77777777" w:rsidR="00DF63E6" w:rsidRPr="0013765E" w:rsidRDefault="00DF63E6" w:rsidP="00DF63E6">
            <w:pPr>
              <w:pStyle w:val="CETBodytext"/>
              <w:jc w:val="center"/>
              <w:rPr>
                <w:szCs w:val="18"/>
              </w:rPr>
            </w:pPr>
            <w:r w:rsidRPr="0013765E">
              <w:rPr>
                <w:szCs w:val="18"/>
              </w:rPr>
              <w:t>16.7</w:t>
            </w:r>
          </w:p>
        </w:tc>
        <w:tc>
          <w:tcPr>
            <w:tcW w:w="2268" w:type="dxa"/>
            <w:gridSpan w:val="2"/>
            <w:tcBorders>
              <w:bottom w:val="single" w:sz="4" w:space="0" w:color="00B050"/>
            </w:tcBorders>
            <w:vAlign w:val="center"/>
          </w:tcPr>
          <w:p w14:paraId="4AEA2665" w14:textId="77777777" w:rsidR="00DF63E6" w:rsidRPr="0013765E" w:rsidRDefault="00DF63E6" w:rsidP="00DF63E6">
            <w:pPr>
              <w:pStyle w:val="CETBodytext"/>
              <w:jc w:val="center"/>
              <w:rPr>
                <w:szCs w:val="18"/>
              </w:rPr>
            </w:pPr>
            <w:r w:rsidRPr="0013765E">
              <w:rPr>
                <w:szCs w:val="18"/>
              </w:rPr>
              <w:t xml:space="preserve">O [% </w:t>
            </w:r>
            <w:proofErr w:type="spellStart"/>
            <w:r w:rsidRPr="0013765E">
              <w:rPr>
                <w:szCs w:val="18"/>
              </w:rPr>
              <w:t>db</w:t>
            </w:r>
            <w:proofErr w:type="spellEnd"/>
            <w:r w:rsidRPr="0013765E">
              <w:rPr>
                <w:szCs w:val="18"/>
              </w:rPr>
              <w:t>]</w:t>
            </w:r>
          </w:p>
        </w:tc>
        <w:tc>
          <w:tcPr>
            <w:tcW w:w="1985" w:type="dxa"/>
            <w:gridSpan w:val="2"/>
            <w:tcBorders>
              <w:bottom w:val="single" w:sz="4" w:space="0" w:color="00B050"/>
            </w:tcBorders>
            <w:vAlign w:val="center"/>
          </w:tcPr>
          <w:p w14:paraId="06389E58" w14:textId="0D1E8324" w:rsidR="00DF63E6" w:rsidRPr="0013765E" w:rsidRDefault="00DF63E6" w:rsidP="00DF63E6">
            <w:pPr>
              <w:pStyle w:val="CETBodytext"/>
              <w:jc w:val="center"/>
              <w:rPr>
                <w:szCs w:val="18"/>
              </w:rPr>
            </w:pPr>
            <w:r w:rsidRPr="0013765E">
              <w:rPr>
                <w:szCs w:val="18"/>
              </w:rPr>
              <w:t>13.9 ± 0.7</w:t>
            </w:r>
          </w:p>
        </w:tc>
      </w:tr>
      <w:tr w:rsidR="00DF63E6" w:rsidRPr="0013765E" w14:paraId="24117455" w14:textId="451F47A5" w:rsidTr="00A66C24">
        <w:tc>
          <w:tcPr>
            <w:tcW w:w="8789" w:type="dxa"/>
            <w:gridSpan w:val="8"/>
            <w:tcBorders>
              <w:top w:val="single" w:sz="4" w:space="0" w:color="00B050"/>
              <w:bottom w:val="single" w:sz="4" w:space="0" w:color="00B050"/>
            </w:tcBorders>
            <w:vAlign w:val="center"/>
          </w:tcPr>
          <w:p w14:paraId="5C0C6F30" w14:textId="65DF7F60" w:rsidR="00DF63E6" w:rsidRPr="0013765E" w:rsidRDefault="00DF63E6" w:rsidP="00DF63E6">
            <w:pPr>
              <w:pStyle w:val="CETBodytext"/>
              <w:jc w:val="center"/>
              <w:rPr>
                <w:szCs w:val="18"/>
              </w:rPr>
            </w:pPr>
            <w:r w:rsidRPr="0013765E">
              <w:rPr>
                <w:szCs w:val="18"/>
              </w:rPr>
              <w:t xml:space="preserve">Inorganic elements content [g/kg </w:t>
            </w:r>
            <w:proofErr w:type="spellStart"/>
            <w:r w:rsidRPr="0013765E">
              <w:rPr>
                <w:szCs w:val="18"/>
              </w:rPr>
              <w:t>db</w:t>
            </w:r>
            <w:proofErr w:type="spellEnd"/>
            <w:r w:rsidRPr="0013765E">
              <w:rPr>
                <w:szCs w:val="18"/>
              </w:rPr>
              <w:t>]</w:t>
            </w:r>
          </w:p>
        </w:tc>
      </w:tr>
      <w:tr w:rsidR="00DF63E6" w:rsidRPr="0013765E" w14:paraId="5BB7E039" w14:textId="64127401" w:rsidTr="00A66C24">
        <w:tc>
          <w:tcPr>
            <w:tcW w:w="1134" w:type="dxa"/>
            <w:tcBorders>
              <w:top w:val="single" w:sz="4" w:space="0" w:color="9BBB59" w:themeColor="accent3"/>
            </w:tcBorders>
            <w:vAlign w:val="center"/>
          </w:tcPr>
          <w:p w14:paraId="4CA8A942" w14:textId="77777777" w:rsidR="00DF63E6" w:rsidRPr="0013765E" w:rsidRDefault="00DF63E6" w:rsidP="00DF63E6">
            <w:pPr>
              <w:pStyle w:val="CETBodytext"/>
              <w:jc w:val="center"/>
              <w:rPr>
                <w:szCs w:val="18"/>
              </w:rPr>
            </w:pPr>
            <w:r w:rsidRPr="0013765E">
              <w:rPr>
                <w:szCs w:val="18"/>
              </w:rPr>
              <w:t>Ca</w:t>
            </w:r>
          </w:p>
        </w:tc>
        <w:tc>
          <w:tcPr>
            <w:tcW w:w="1134" w:type="dxa"/>
            <w:tcBorders>
              <w:top w:val="single" w:sz="4" w:space="0" w:color="9BBB59" w:themeColor="accent3"/>
            </w:tcBorders>
            <w:vAlign w:val="center"/>
          </w:tcPr>
          <w:p w14:paraId="7D7234A5" w14:textId="77777777" w:rsidR="00DF63E6" w:rsidRPr="0013765E" w:rsidRDefault="00DF63E6" w:rsidP="00DF63E6">
            <w:pPr>
              <w:pStyle w:val="CETBodytext"/>
              <w:jc w:val="center"/>
              <w:rPr>
                <w:szCs w:val="18"/>
              </w:rPr>
            </w:pPr>
            <w:r w:rsidRPr="0013765E">
              <w:rPr>
                <w:szCs w:val="18"/>
              </w:rPr>
              <w:t>58.5</w:t>
            </w:r>
          </w:p>
        </w:tc>
        <w:tc>
          <w:tcPr>
            <w:tcW w:w="1134" w:type="dxa"/>
            <w:vAlign w:val="center"/>
          </w:tcPr>
          <w:p w14:paraId="215A9ED2" w14:textId="1E0A78B4" w:rsidR="00DF63E6" w:rsidRPr="0013765E" w:rsidRDefault="00DF63E6" w:rsidP="00DF63E6">
            <w:pPr>
              <w:pStyle w:val="CETBodytext"/>
              <w:jc w:val="center"/>
              <w:rPr>
                <w:szCs w:val="18"/>
              </w:rPr>
            </w:pPr>
            <w:r w:rsidRPr="0013765E">
              <w:rPr>
                <w:szCs w:val="18"/>
              </w:rPr>
              <w:t>Mg</w:t>
            </w:r>
          </w:p>
        </w:tc>
        <w:tc>
          <w:tcPr>
            <w:tcW w:w="1134" w:type="dxa"/>
            <w:vAlign w:val="center"/>
          </w:tcPr>
          <w:p w14:paraId="2C8BA1F3" w14:textId="12C55BCC" w:rsidR="00DF63E6" w:rsidRPr="0013765E" w:rsidRDefault="00DF63E6" w:rsidP="00DF63E6">
            <w:pPr>
              <w:pStyle w:val="CETBodytext"/>
              <w:jc w:val="center"/>
              <w:rPr>
                <w:szCs w:val="18"/>
              </w:rPr>
            </w:pPr>
            <w:r w:rsidRPr="0013765E">
              <w:rPr>
                <w:szCs w:val="18"/>
              </w:rPr>
              <w:t>0.7</w:t>
            </w:r>
          </w:p>
        </w:tc>
        <w:tc>
          <w:tcPr>
            <w:tcW w:w="1134" w:type="dxa"/>
            <w:vAlign w:val="center"/>
          </w:tcPr>
          <w:p w14:paraId="03D0C1F2" w14:textId="708141D8" w:rsidR="00DF63E6" w:rsidRPr="0013765E" w:rsidRDefault="00DF63E6" w:rsidP="00DF63E6">
            <w:pPr>
              <w:pStyle w:val="CETBodytext"/>
              <w:jc w:val="center"/>
              <w:rPr>
                <w:szCs w:val="18"/>
              </w:rPr>
            </w:pPr>
            <w:r w:rsidRPr="0013765E">
              <w:rPr>
                <w:szCs w:val="18"/>
              </w:rPr>
              <w:t>Cu</w:t>
            </w:r>
          </w:p>
        </w:tc>
        <w:tc>
          <w:tcPr>
            <w:tcW w:w="1134" w:type="dxa"/>
            <w:vAlign w:val="center"/>
          </w:tcPr>
          <w:p w14:paraId="7AAD0C25" w14:textId="29C7DFCD" w:rsidR="00DF63E6" w:rsidRPr="0013765E" w:rsidRDefault="00DF63E6" w:rsidP="00DF63E6">
            <w:pPr>
              <w:pStyle w:val="CETBodytext"/>
              <w:jc w:val="center"/>
              <w:rPr>
                <w:szCs w:val="18"/>
              </w:rPr>
            </w:pPr>
            <w:r w:rsidRPr="0013765E">
              <w:rPr>
                <w:szCs w:val="18"/>
              </w:rPr>
              <w:t>0.04</w:t>
            </w:r>
          </w:p>
        </w:tc>
        <w:tc>
          <w:tcPr>
            <w:tcW w:w="993" w:type="dxa"/>
            <w:vAlign w:val="center"/>
          </w:tcPr>
          <w:p w14:paraId="2A02B394" w14:textId="4F94558D" w:rsidR="00DF63E6" w:rsidRPr="0013765E" w:rsidRDefault="00DF63E6" w:rsidP="00DF63E6">
            <w:pPr>
              <w:pStyle w:val="CETBodytext"/>
              <w:jc w:val="center"/>
              <w:rPr>
                <w:szCs w:val="18"/>
              </w:rPr>
            </w:pPr>
            <w:r w:rsidRPr="0013765E">
              <w:rPr>
                <w:szCs w:val="18"/>
              </w:rPr>
              <w:t>Ni</w:t>
            </w:r>
          </w:p>
        </w:tc>
        <w:tc>
          <w:tcPr>
            <w:tcW w:w="992" w:type="dxa"/>
            <w:vAlign w:val="center"/>
          </w:tcPr>
          <w:p w14:paraId="32F935F6" w14:textId="08A2D59F" w:rsidR="00DF63E6" w:rsidRPr="0013765E" w:rsidRDefault="00DF63E6" w:rsidP="00DF63E6">
            <w:pPr>
              <w:pStyle w:val="CETBodytext"/>
              <w:jc w:val="center"/>
              <w:rPr>
                <w:szCs w:val="18"/>
              </w:rPr>
            </w:pPr>
            <w:r w:rsidRPr="0013765E">
              <w:rPr>
                <w:szCs w:val="18"/>
              </w:rPr>
              <w:t>0.007</w:t>
            </w:r>
          </w:p>
        </w:tc>
      </w:tr>
      <w:tr w:rsidR="00DF63E6" w:rsidRPr="0013765E" w14:paraId="58F2398D" w14:textId="1D97F1EA" w:rsidTr="00A66C24">
        <w:tc>
          <w:tcPr>
            <w:tcW w:w="1134" w:type="dxa"/>
            <w:vAlign w:val="center"/>
          </w:tcPr>
          <w:p w14:paraId="3821E36B" w14:textId="77777777" w:rsidR="00DF63E6" w:rsidRPr="0013765E" w:rsidRDefault="00DF63E6" w:rsidP="00DF63E6">
            <w:pPr>
              <w:pStyle w:val="CETBodytext"/>
              <w:jc w:val="center"/>
              <w:rPr>
                <w:szCs w:val="18"/>
              </w:rPr>
            </w:pPr>
            <w:r w:rsidRPr="0013765E">
              <w:rPr>
                <w:szCs w:val="18"/>
              </w:rPr>
              <w:t>Fe</w:t>
            </w:r>
          </w:p>
        </w:tc>
        <w:tc>
          <w:tcPr>
            <w:tcW w:w="1134" w:type="dxa"/>
            <w:vAlign w:val="center"/>
          </w:tcPr>
          <w:p w14:paraId="071E4B41" w14:textId="77777777" w:rsidR="00DF63E6" w:rsidRPr="0013765E" w:rsidRDefault="00DF63E6" w:rsidP="00DF63E6">
            <w:pPr>
              <w:pStyle w:val="CETBodytext"/>
              <w:jc w:val="center"/>
              <w:rPr>
                <w:szCs w:val="18"/>
              </w:rPr>
            </w:pPr>
            <w:r w:rsidRPr="0013765E">
              <w:rPr>
                <w:szCs w:val="18"/>
              </w:rPr>
              <w:t>17.2</w:t>
            </w:r>
          </w:p>
        </w:tc>
        <w:tc>
          <w:tcPr>
            <w:tcW w:w="1134" w:type="dxa"/>
            <w:vAlign w:val="center"/>
          </w:tcPr>
          <w:p w14:paraId="3039A5C0" w14:textId="385F62BF" w:rsidR="00DF63E6" w:rsidRPr="0013765E" w:rsidRDefault="00DF63E6" w:rsidP="00DF63E6">
            <w:pPr>
              <w:pStyle w:val="CETBodytext"/>
              <w:jc w:val="center"/>
              <w:rPr>
                <w:szCs w:val="18"/>
              </w:rPr>
            </w:pPr>
            <w:r w:rsidRPr="0013765E">
              <w:rPr>
                <w:szCs w:val="18"/>
              </w:rPr>
              <w:t>Ti</w:t>
            </w:r>
          </w:p>
        </w:tc>
        <w:tc>
          <w:tcPr>
            <w:tcW w:w="1134" w:type="dxa"/>
            <w:vAlign w:val="center"/>
          </w:tcPr>
          <w:p w14:paraId="2E9885E0" w14:textId="3E5C17B9" w:rsidR="00DF63E6" w:rsidRPr="0013765E" w:rsidRDefault="00DF63E6" w:rsidP="00DF63E6">
            <w:pPr>
              <w:pStyle w:val="CETBodytext"/>
              <w:jc w:val="center"/>
              <w:rPr>
                <w:szCs w:val="18"/>
              </w:rPr>
            </w:pPr>
            <w:r w:rsidRPr="0013765E">
              <w:rPr>
                <w:szCs w:val="18"/>
              </w:rPr>
              <w:t>0.1</w:t>
            </w:r>
          </w:p>
        </w:tc>
        <w:tc>
          <w:tcPr>
            <w:tcW w:w="1134" w:type="dxa"/>
            <w:vAlign w:val="center"/>
          </w:tcPr>
          <w:p w14:paraId="2C54B506" w14:textId="73E17756" w:rsidR="00DF63E6" w:rsidRPr="0013765E" w:rsidRDefault="00DF63E6" w:rsidP="00DF63E6">
            <w:pPr>
              <w:pStyle w:val="CETBodytext"/>
              <w:jc w:val="center"/>
              <w:rPr>
                <w:szCs w:val="18"/>
              </w:rPr>
            </w:pPr>
            <w:r w:rsidRPr="0013765E">
              <w:rPr>
                <w:szCs w:val="18"/>
              </w:rPr>
              <w:t>B</w:t>
            </w:r>
          </w:p>
        </w:tc>
        <w:tc>
          <w:tcPr>
            <w:tcW w:w="1134" w:type="dxa"/>
            <w:vAlign w:val="center"/>
          </w:tcPr>
          <w:p w14:paraId="48B16811" w14:textId="2BAC2377" w:rsidR="00DF63E6" w:rsidRPr="0013765E" w:rsidRDefault="00DF63E6" w:rsidP="00DF63E6">
            <w:pPr>
              <w:pStyle w:val="CETBodytext"/>
              <w:jc w:val="center"/>
              <w:rPr>
                <w:szCs w:val="18"/>
              </w:rPr>
            </w:pPr>
            <w:r w:rsidRPr="0013765E">
              <w:rPr>
                <w:szCs w:val="18"/>
              </w:rPr>
              <w:t>0.02</w:t>
            </w:r>
          </w:p>
        </w:tc>
        <w:tc>
          <w:tcPr>
            <w:tcW w:w="993" w:type="dxa"/>
            <w:vAlign w:val="center"/>
          </w:tcPr>
          <w:p w14:paraId="3080A9BE" w14:textId="69E9EE9B" w:rsidR="00DF63E6" w:rsidRPr="0013765E" w:rsidRDefault="00DF63E6" w:rsidP="00DF63E6">
            <w:pPr>
              <w:pStyle w:val="CETBodytext"/>
              <w:jc w:val="center"/>
              <w:rPr>
                <w:szCs w:val="18"/>
              </w:rPr>
            </w:pPr>
            <w:r w:rsidRPr="0013765E">
              <w:rPr>
                <w:szCs w:val="18"/>
              </w:rPr>
              <w:t>Zr</w:t>
            </w:r>
          </w:p>
        </w:tc>
        <w:tc>
          <w:tcPr>
            <w:tcW w:w="992" w:type="dxa"/>
            <w:vAlign w:val="center"/>
          </w:tcPr>
          <w:p w14:paraId="692865C9" w14:textId="4E7392D7" w:rsidR="00DF63E6" w:rsidRPr="0013765E" w:rsidRDefault="00DF63E6" w:rsidP="00DF63E6">
            <w:pPr>
              <w:pStyle w:val="CETBodytext"/>
              <w:jc w:val="center"/>
              <w:rPr>
                <w:szCs w:val="18"/>
              </w:rPr>
            </w:pPr>
            <w:r w:rsidRPr="0013765E">
              <w:rPr>
                <w:szCs w:val="18"/>
              </w:rPr>
              <w:t>0.02</w:t>
            </w:r>
          </w:p>
        </w:tc>
      </w:tr>
      <w:tr w:rsidR="00DF63E6" w:rsidRPr="0013765E" w14:paraId="2F6F35E5" w14:textId="4DD5D0AC" w:rsidTr="00A66C24">
        <w:tc>
          <w:tcPr>
            <w:tcW w:w="1134" w:type="dxa"/>
            <w:vAlign w:val="center"/>
          </w:tcPr>
          <w:p w14:paraId="5F96CD35" w14:textId="77777777" w:rsidR="00DF63E6" w:rsidRPr="0013765E" w:rsidRDefault="00DF63E6" w:rsidP="00DF63E6">
            <w:pPr>
              <w:pStyle w:val="CETBodytext"/>
              <w:jc w:val="center"/>
              <w:rPr>
                <w:szCs w:val="18"/>
              </w:rPr>
            </w:pPr>
            <w:r w:rsidRPr="0013765E">
              <w:rPr>
                <w:szCs w:val="18"/>
              </w:rPr>
              <w:t>Cr</w:t>
            </w:r>
          </w:p>
        </w:tc>
        <w:tc>
          <w:tcPr>
            <w:tcW w:w="1134" w:type="dxa"/>
            <w:vAlign w:val="center"/>
          </w:tcPr>
          <w:p w14:paraId="374B552D" w14:textId="77777777" w:rsidR="00DF63E6" w:rsidRPr="0013765E" w:rsidRDefault="00DF63E6" w:rsidP="00DF63E6">
            <w:pPr>
              <w:pStyle w:val="CETBodytext"/>
              <w:jc w:val="center"/>
              <w:rPr>
                <w:szCs w:val="18"/>
              </w:rPr>
            </w:pPr>
            <w:r w:rsidRPr="0013765E">
              <w:rPr>
                <w:szCs w:val="18"/>
              </w:rPr>
              <w:t>13.5</w:t>
            </w:r>
          </w:p>
        </w:tc>
        <w:tc>
          <w:tcPr>
            <w:tcW w:w="1134" w:type="dxa"/>
            <w:vAlign w:val="center"/>
          </w:tcPr>
          <w:p w14:paraId="600F80E7" w14:textId="6D9E4F7D" w:rsidR="00DF63E6" w:rsidRPr="0013765E" w:rsidRDefault="00DF63E6" w:rsidP="00DF63E6">
            <w:pPr>
              <w:pStyle w:val="CETBodytext"/>
              <w:jc w:val="center"/>
              <w:rPr>
                <w:szCs w:val="18"/>
              </w:rPr>
            </w:pPr>
            <w:r w:rsidRPr="0013765E">
              <w:rPr>
                <w:szCs w:val="18"/>
              </w:rPr>
              <w:t>P</w:t>
            </w:r>
          </w:p>
        </w:tc>
        <w:tc>
          <w:tcPr>
            <w:tcW w:w="1134" w:type="dxa"/>
            <w:vAlign w:val="center"/>
          </w:tcPr>
          <w:p w14:paraId="4DD10ACA" w14:textId="0C1DE508" w:rsidR="00DF63E6" w:rsidRPr="0013765E" w:rsidRDefault="00DF63E6" w:rsidP="00DF63E6">
            <w:pPr>
              <w:pStyle w:val="CETBodytext"/>
              <w:jc w:val="center"/>
              <w:rPr>
                <w:szCs w:val="18"/>
              </w:rPr>
            </w:pPr>
            <w:r w:rsidRPr="0013765E">
              <w:rPr>
                <w:szCs w:val="18"/>
              </w:rPr>
              <w:t>2.9</w:t>
            </w:r>
          </w:p>
        </w:tc>
        <w:tc>
          <w:tcPr>
            <w:tcW w:w="1134" w:type="dxa"/>
            <w:vAlign w:val="center"/>
          </w:tcPr>
          <w:p w14:paraId="6797BE4C" w14:textId="05D96493" w:rsidR="00DF63E6" w:rsidRPr="0013765E" w:rsidRDefault="00DF63E6" w:rsidP="00DF63E6">
            <w:pPr>
              <w:pStyle w:val="CETBodytext"/>
              <w:jc w:val="center"/>
              <w:rPr>
                <w:szCs w:val="18"/>
              </w:rPr>
            </w:pPr>
            <w:r w:rsidRPr="0013765E">
              <w:rPr>
                <w:szCs w:val="18"/>
              </w:rPr>
              <w:t>As</w:t>
            </w:r>
          </w:p>
        </w:tc>
        <w:tc>
          <w:tcPr>
            <w:tcW w:w="1134" w:type="dxa"/>
            <w:vAlign w:val="center"/>
          </w:tcPr>
          <w:p w14:paraId="436C5E6C" w14:textId="7FF414CB" w:rsidR="00DF63E6" w:rsidRPr="0013765E" w:rsidRDefault="00DF63E6" w:rsidP="00DF63E6">
            <w:pPr>
              <w:pStyle w:val="CETBodytext"/>
              <w:jc w:val="center"/>
              <w:rPr>
                <w:szCs w:val="18"/>
              </w:rPr>
            </w:pPr>
            <w:r w:rsidRPr="0013765E">
              <w:rPr>
                <w:szCs w:val="18"/>
              </w:rPr>
              <w:t>0.001</w:t>
            </w:r>
          </w:p>
        </w:tc>
        <w:tc>
          <w:tcPr>
            <w:tcW w:w="993" w:type="dxa"/>
            <w:vAlign w:val="center"/>
          </w:tcPr>
          <w:p w14:paraId="40E4D076" w14:textId="42D5167A" w:rsidR="00DF63E6" w:rsidRPr="0013765E" w:rsidRDefault="00DF63E6" w:rsidP="00DF63E6">
            <w:pPr>
              <w:pStyle w:val="CETBodytext"/>
              <w:jc w:val="center"/>
              <w:rPr>
                <w:szCs w:val="18"/>
              </w:rPr>
            </w:pPr>
            <w:r w:rsidRPr="0013765E">
              <w:rPr>
                <w:szCs w:val="18"/>
              </w:rPr>
              <w:t>Se</w:t>
            </w:r>
          </w:p>
        </w:tc>
        <w:tc>
          <w:tcPr>
            <w:tcW w:w="992" w:type="dxa"/>
            <w:vAlign w:val="center"/>
          </w:tcPr>
          <w:p w14:paraId="1EB32B9B" w14:textId="03CC0E08" w:rsidR="00DF63E6" w:rsidRPr="0013765E" w:rsidRDefault="00DF63E6" w:rsidP="00DF63E6">
            <w:pPr>
              <w:pStyle w:val="CETBodytext"/>
              <w:jc w:val="center"/>
              <w:rPr>
                <w:szCs w:val="18"/>
              </w:rPr>
            </w:pPr>
            <w:r w:rsidRPr="0013765E">
              <w:rPr>
                <w:szCs w:val="18"/>
              </w:rPr>
              <w:t>4.9</w:t>
            </w:r>
          </w:p>
        </w:tc>
      </w:tr>
      <w:tr w:rsidR="00DF63E6" w:rsidRPr="0013765E" w14:paraId="2D3532E6" w14:textId="5A9C99F8" w:rsidTr="00A66C24">
        <w:tc>
          <w:tcPr>
            <w:tcW w:w="1134" w:type="dxa"/>
            <w:vAlign w:val="center"/>
          </w:tcPr>
          <w:p w14:paraId="587351CE" w14:textId="77777777" w:rsidR="00DF63E6" w:rsidRPr="0013765E" w:rsidRDefault="00DF63E6" w:rsidP="00DF63E6">
            <w:pPr>
              <w:pStyle w:val="CETBodytext"/>
              <w:jc w:val="center"/>
              <w:rPr>
                <w:szCs w:val="18"/>
              </w:rPr>
            </w:pPr>
            <w:r w:rsidRPr="0013765E">
              <w:rPr>
                <w:szCs w:val="18"/>
              </w:rPr>
              <w:t>Al</w:t>
            </w:r>
          </w:p>
        </w:tc>
        <w:tc>
          <w:tcPr>
            <w:tcW w:w="1134" w:type="dxa"/>
            <w:vAlign w:val="center"/>
          </w:tcPr>
          <w:p w14:paraId="5B162DD7" w14:textId="77777777" w:rsidR="00DF63E6" w:rsidRPr="0013765E" w:rsidRDefault="00DF63E6" w:rsidP="00DF63E6">
            <w:pPr>
              <w:pStyle w:val="CETBodytext"/>
              <w:jc w:val="center"/>
              <w:rPr>
                <w:szCs w:val="18"/>
              </w:rPr>
            </w:pPr>
            <w:r w:rsidRPr="0013765E">
              <w:rPr>
                <w:szCs w:val="18"/>
              </w:rPr>
              <w:t>8.9</w:t>
            </w:r>
          </w:p>
        </w:tc>
        <w:tc>
          <w:tcPr>
            <w:tcW w:w="1134" w:type="dxa"/>
            <w:vAlign w:val="center"/>
          </w:tcPr>
          <w:p w14:paraId="7CE9816B" w14:textId="6DD0738D" w:rsidR="00DF63E6" w:rsidRPr="0013765E" w:rsidRDefault="00DF63E6" w:rsidP="00DF63E6">
            <w:pPr>
              <w:pStyle w:val="CETBodytext"/>
              <w:jc w:val="center"/>
              <w:rPr>
                <w:szCs w:val="18"/>
              </w:rPr>
            </w:pPr>
            <w:r w:rsidRPr="0013765E">
              <w:rPr>
                <w:szCs w:val="18"/>
              </w:rPr>
              <w:t>K</w:t>
            </w:r>
          </w:p>
        </w:tc>
        <w:tc>
          <w:tcPr>
            <w:tcW w:w="1134" w:type="dxa"/>
            <w:vAlign w:val="center"/>
          </w:tcPr>
          <w:p w14:paraId="2516F0CA" w14:textId="6E1D9BD4" w:rsidR="00DF63E6" w:rsidRPr="0013765E" w:rsidRDefault="00DF63E6" w:rsidP="00DF63E6">
            <w:pPr>
              <w:pStyle w:val="CETBodytext"/>
              <w:jc w:val="center"/>
              <w:rPr>
                <w:szCs w:val="18"/>
              </w:rPr>
            </w:pPr>
            <w:r w:rsidRPr="0013765E">
              <w:rPr>
                <w:szCs w:val="18"/>
              </w:rPr>
              <w:t>0.25</w:t>
            </w:r>
          </w:p>
        </w:tc>
        <w:tc>
          <w:tcPr>
            <w:tcW w:w="1134" w:type="dxa"/>
            <w:vAlign w:val="center"/>
          </w:tcPr>
          <w:p w14:paraId="7C20463A" w14:textId="51CEB531" w:rsidR="00DF63E6" w:rsidRPr="0013765E" w:rsidRDefault="00DF63E6" w:rsidP="00DF63E6">
            <w:pPr>
              <w:pStyle w:val="CETBodytext"/>
              <w:jc w:val="center"/>
              <w:rPr>
                <w:szCs w:val="18"/>
              </w:rPr>
            </w:pPr>
            <w:r w:rsidRPr="0013765E">
              <w:rPr>
                <w:szCs w:val="18"/>
              </w:rPr>
              <w:t>Sr</w:t>
            </w:r>
          </w:p>
        </w:tc>
        <w:tc>
          <w:tcPr>
            <w:tcW w:w="1134" w:type="dxa"/>
            <w:vAlign w:val="center"/>
          </w:tcPr>
          <w:p w14:paraId="7D331EE5" w14:textId="020A05FA" w:rsidR="00DF63E6" w:rsidRPr="0013765E" w:rsidRDefault="00DF63E6" w:rsidP="00DF63E6">
            <w:pPr>
              <w:pStyle w:val="CETBodytext"/>
              <w:jc w:val="center"/>
              <w:rPr>
                <w:szCs w:val="18"/>
              </w:rPr>
            </w:pPr>
            <w:r w:rsidRPr="0013765E">
              <w:rPr>
                <w:szCs w:val="18"/>
              </w:rPr>
              <w:t>0.095</w:t>
            </w:r>
          </w:p>
        </w:tc>
        <w:tc>
          <w:tcPr>
            <w:tcW w:w="993" w:type="dxa"/>
            <w:vAlign w:val="center"/>
          </w:tcPr>
          <w:p w14:paraId="0F75A01E" w14:textId="4642F5DD" w:rsidR="00DF63E6" w:rsidRPr="0013765E" w:rsidRDefault="00DF63E6" w:rsidP="00DF63E6">
            <w:pPr>
              <w:pStyle w:val="CETBodytext"/>
              <w:jc w:val="center"/>
              <w:rPr>
                <w:szCs w:val="18"/>
              </w:rPr>
            </w:pPr>
            <w:r w:rsidRPr="0013765E">
              <w:rPr>
                <w:szCs w:val="18"/>
              </w:rPr>
              <w:t>Pb</w:t>
            </w:r>
          </w:p>
        </w:tc>
        <w:tc>
          <w:tcPr>
            <w:tcW w:w="992" w:type="dxa"/>
            <w:vAlign w:val="center"/>
          </w:tcPr>
          <w:p w14:paraId="44CBB5EE" w14:textId="11DEF887" w:rsidR="00DF63E6" w:rsidRPr="0013765E" w:rsidRDefault="00DF63E6" w:rsidP="00DF63E6">
            <w:pPr>
              <w:pStyle w:val="CETBodytext"/>
              <w:jc w:val="center"/>
              <w:rPr>
                <w:szCs w:val="18"/>
              </w:rPr>
            </w:pPr>
            <w:r w:rsidRPr="0013765E">
              <w:rPr>
                <w:szCs w:val="18"/>
              </w:rPr>
              <w:t>0.05</w:t>
            </w:r>
          </w:p>
        </w:tc>
      </w:tr>
      <w:tr w:rsidR="00DF63E6" w:rsidRPr="0013765E" w14:paraId="4B92AB12" w14:textId="560F4872" w:rsidTr="00A66C24">
        <w:tc>
          <w:tcPr>
            <w:tcW w:w="1134" w:type="dxa"/>
            <w:vAlign w:val="center"/>
          </w:tcPr>
          <w:p w14:paraId="6CEE7732" w14:textId="77777777" w:rsidR="00DF63E6" w:rsidRPr="0013765E" w:rsidRDefault="00DF63E6" w:rsidP="00DF63E6">
            <w:pPr>
              <w:pStyle w:val="CETBodytext"/>
              <w:jc w:val="center"/>
              <w:rPr>
                <w:szCs w:val="18"/>
              </w:rPr>
            </w:pPr>
            <w:r w:rsidRPr="0013765E">
              <w:rPr>
                <w:szCs w:val="18"/>
              </w:rPr>
              <w:t>Na</w:t>
            </w:r>
          </w:p>
        </w:tc>
        <w:tc>
          <w:tcPr>
            <w:tcW w:w="1134" w:type="dxa"/>
            <w:vAlign w:val="center"/>
          </w:tcPr>
          <w:p w14:paraId="135FAA9C" w14:textId="77777777" w:rsidR="00DF63E6" w:rsidRPr="0013765E" w:rsidRDefault="00DF63E6" w:rsidP="00DF63E6">
            <w:pPr>
              <w:pStyle w:val="CETBodytext"/>
              <w:jc w:val="center"/>
              <w:rPr>
                <w:szCs w:val="18"/>
              </w:rPr>
            </w:pPr>
            <w:r w:rsidRPr="0013765E">
              <w:rPr>
                <w:szCs w:val="18"/>
              </w:rPr>
              <w:t>2.4</w:t>
            </w:r>
          </w:p>
        </w:tc>
        <w:tc>
          <w:tcPr>
            <w:tcW w:w="1134" w:type="dxa"/>
            <w:vAlign w:val="center"/>
          </w:tcPr>
          <w:p w14:paraId="5820D672" w14:textId="00F01904" w:rsidR="00DF63E6" w:rsidRPr="0013765E" w:rsidRDefault="00DF63E6" w:rsidP="00DF63E6">
            <w:pPr>
              <w:pStyle w:val="CETBodytext"/>
              <w:jc w:val="center"/>
              <w:rPr>
                <w:szCs w:val="18"/>
              </w:rPr>
            </w:pPr>
            <w:r w:rsidRPr="0013765E">
              <w:rPr>
                <w:szCs w:val="18"/>
              </w:rPr>
              <w:t>Zr</w:t>
            </w:r>
          </w:p>
        </w:tc>
        <w:tc>
          <w:tcPr>
            <w:tcW w:w="1134" w:type="dxa"/>
            <w:vAlign w:val="center"/>
          </w:tcPr>
          <w:p w14:paraId="7ECFC0F5" w14:textId="15FC71D1" w:rsidR="00DF63E6" w:rsidRPr="0013765E" w:rsidRDefault="00DF63E6" w:rsidP="00DF63E6">
            <w:pPr>
              <w:pStyle w:val="CETBodytext"/>
              <w:jc w:val="center"/>
              <w:rPr>
                <w:szCs w:val="18"/>
              </w:rPr>
            </w:pPr>
            <w:r w:rsidRPr="0013765E">
              <w:rPr>
                <w:szCs w:val="18"/>
              </w:rPr>
              <w:t>0.3</w:t>
            </w:r>
          </w:p>
        </w:tc>
        <w:tc>
          <w:tcPr>
            <w:tcW w:w="1134" w:type="dxa"/>
            <w:vAlign w:val="center"/>
          </w:tcPr>
          <w:p w14:paraId="032A6647" w14:textId="2668722A" w:rsidR="00DF63E6" w:rsidRPr="0013765E" w:rsidRDefault="00DF63E6" w:rsidP="00DF63E6">
            <w:pPr>
              <w:pStyle w:val="CETBodytext"/>
              <w:jc w:val="center"/>
              <w:rPr>
                <w:szCs w:val="18"/>
              </w:rPr>
            </w:pPr>
            <w:r w:rsidRPr="0013765E">
              <w:rPr>
                <w:szCs w:val="18"/>
              </w:rPr>
              <w:t>V</w:t>
            </w:r>
          </w:p>
        </w:tc>
        <w:tc>
          <w:tcPr>
            <w:tcW w:w="1134" w:type="dxa"/>
            <w:vAlign w:val="center"/>
          </w:tcPr>
          <w:p w14:paraId="0CA25B3B" w14:textId="0FF085BC" w:rsidR="00DF63E6" w:rsidRPr="0013765E" w:rsidRDefault="00DF63E6" w:rsidP="00DF63E6">
            <w:pPr>
              <w:pStyle w:val="CETBodytext"/>
              <w:jc w:val="center"/>
              <w:rPr>
                <w:szCs w:val="18"/>
              </w:rPr>
            </w:pPr>
            <w:r w:rsidRPr="0013765E">
              <w:rPr>
                <w:szCs w:val="18"/>
              </w:rPr>
              <w:t>0.01</w:t>
            </w:r>
          </w:p>
        </w:tc>
        <w:tc>
          <w:tcPr>
            <w:tcW w:w="993" w:type="dxa"/>
            <w:vAlign w:val="center"/>
          </w:tcPr>
          <w:p w14:paraId="59B6ADBC" w14:textId="31F11355" w:rsidR="00DF63E6" w:rsidRPr="0013765E" w:rsidRDefault="00DF63E6" w:rsidP="00DF63E6">
            <w:pPr>
              <w:pStyle w:val="CETBodytext"/>
              <w:jc w:val="center"/>
              <w:rPr>
                <w:szCs w:val="18"/>
              </w:rPr>
            </w:pPr>
            <w:r w:rsidRPr="0013765E">
              <w:rPr>
                <w:szCs w:val="18"/>
              </w:rPr>
              <w:t>Mo</w:t>
            </w:r>
          </w:p>
        </w:tc>
        <w:tc>
          <w:tcPr>
            <w:tcW w:w="992" w:type="dxa"/>
            <w:vAlign w:val="center"/>
          </w:tcPr>
          <w:p w14:paraId="235B2737" w14:textId="087F77E1" w:rsidR="00DF63E6" w:rsidRPr="0013765E" w:rsidRDefault="00DF63E6" w:rsidP="00DF63E6">
            <w:pPr>
              <w:pStyle w:val="CETBodytext"/>
              <w:jc w:val="center"/>
              <w:rPr>
                <w:szCs w:val="18"/>
              </w:rPr>
            </w:pPr>
            <w:r w:rsidRPr="0013765E">
              <w:rPr>
                <w:szCs w:val="18"/>
              </w:rPr>
              <w:t>0.002</w:t>
            </w:r>
          </w:p>
        </w:tc>
      </w:tr>
      <w:tr w:rsidR="00DF63E6" w:rsidRPr="0013765E" w14:paraId="0454E239" w14:textId="7AFC2EBC" w:rsidTr="00A66C24">
        <w:tc>
          <w:tcPr>
            <w:tcW w:w="1134" w:type="dxa"/>
            <w:tcBorders>
              <w:bottom w:val="single" w:sz="12" w:space="0" w:color="00B050"/>
            </w:tcBorders>
            <w:vAlign w:val="center"/>
          </w:tcPr>
          <w:p w14:paraId="54B9AAB2" w14:textId="77777777" w:rsidR="00DF63E6" w:rsidRPr="0013765E" w:rsidRDefault="00DF63E6" w:rsidP="00DF63E6">
            <w:pPr>
              <w:pStyle w:val="CETBodytext"/>
              <w:jc w:val="center"/>
              <w:rPr>
                <w:szCs w:val="18"/>
              </w:rPr>
            </w:pPr>
            <w:r w:rsidRPr="0013765E">
              <w:rPr>
                <w:szCs w:val="18"/>
              </w:rPr>
              <w:t>Zn</w:t>
            </w:r>
          </w:p>
        </w:tc>
        <w:tc>
          <w:tcPr>
            <w:tcW w:w="1134" w:type="dxa"/>
            <w:tcBorders>
              <w:bottom w:val="single" w:sz="12" w:space="0" w:color="00B050"/>
            </w:tcBorders>
            <w:vAlign w:val="center"/>
          </w:tcPr>
          <w:p w14:paraId="71D63F0F" w14:textId="77777777" w:rsidR="00DF63E6" w:rsidRPr="0013765E" w:rsidRDefault="00DF63E6" w:rsidP="00DF63E6">
            <w:pPr>
              <w:pStyle w:val="CETBodytext"/>
              <w:jc w:val="center"/>
              <w:rPr>
                <w:szCs w:val="18"/>
              </w:rPr>
            </w:pPr>
            <w:r w:rsidRPr="0013765E">
              <w:rPr>
                <w:szCs w:val="18"/>
              </w:rPr>
              <w:t>0.3</w:t>
            </w:r>
          </w:p>
        </w:tc>
        <w:tc>
          <w:tcPr>
            <w:tcW w:w="1134" w:type="dxa"/>
            <w:tcBorders>
              <w:bottom w:val="single" w:sz="12" w:space="0" w:color="00B050"/>
            </w:tcBorders>
            <w:vAlign w:val="center"/>
          </w:tcPr>
          <w:p w14:paraId="433E1ED5" w14:textId="10A71DB8" w:rsidR="00DF63E6" w:rsidRPr="0013765E" w:rsidRDefault="00DF63E6" w:rsidP="00DF63E6">
            <w:pPr>
              <w:pStyle w:val="CETBodytext"/>
              <w:jc w:val="center"/>
              <w:rPr>
                <w:szCs w:val="18"/>
              </w:rPr>
            </w:pPr>
            <w:r w:rsidRPr="0013765E">
              <w:rPr>
                <w:szCs w:val="18"/>
              </w:rPr>
              <w:t>Mn</w:t>
            </w:r>
          </w:p>
        </w:tc>
        <w:tc>
          <w:tcPr>
            <w:tcW w:w="1134" w:type="dxa"/>
            <w:tcBorders>
              <w:bottom w:val="single" w:sz="12" w:space="0" w:color="00B050"/>
            </w:tcBorders>
            <w:vAlign w:val="center"/>
          </w:tcPr>
          <w:p w14:paraId="413198F0" w14:textId="762BE30F" w:rsidR="00DF63E6" w:rsidRPr="0013765E" w:rsidRDefault="00DF63E6" w:rsidP="00DF63E6">
            <w:pPr>
              <w:pStyle w:val="CETBodytext"/>
              <w:jc w:val="center"/>
              <w:rPr>
                <w:szCs w:val="18"/>
              </w:rPr>
            </w:pPr>
            <w:r w:rsidRPr="0013765E">
              <w:rPr>
                <w:szCs w:val="18"/>
              </w:rPr>
              <w:t>0.1</w:t>
            </w:r>
          </w:p>
        </w:tc>
        <w:tc>
          <w:tcPr>
            <w:tcW w:w="1134" w:type="dxa"/>
            <w:tcBorders>
              <w:bottom w:val="single" w:sz="12" w:space="0" w:color="00B050"/>
            </w:tcBorders>
            <w:vAlign w:val="center"/>
          </w:tcPr>
          <w:p w14:paraId="26C4F493" w14:textId="194733EC" w:rsidR="00DF63E6" w:rsidRPr="0013765E" w:rsidRDefault="00DF63E6" w:rsidP="00DF63E6">
            <w:pPr>
              <w:pStyle w:val="CETBodytext"/>
              <w:jc w:val="center"/>
              <w:rPr>
                <w:szCs w:val="18"/>
              </w:rPr>
            </w:pPr>
            <w:r w:rsidRPr="0013765E">
              <w:rPr>
                <w:szCs w:val="18"/>
              </w:rPr>
              <w:t>Co</w:t>
            </w:r>
          </w:p>
        </w:tc>
        <w:tc>
          <w:tcPr>
            <w:tcW w:w="1134" w:type="dxa"/>
            <w:tcBorders>
              <w:bottom w:val="single" w:sz="12" w:space="0" w:color="00B050"/>
            </w:tcBorders>
            <w:vAlign w:val="center"/>
          </w:tcPr>
          <w:p w14:paraId="6CE76685" w14:textId="5B9FA82B" w:rsidR="00DF63E6" w:rsidRPr="0013765E" w:rsidRDefault="00DF63E6" w:rsidP="00DF63E6">
            <w:pPr>
              <w:pStyle w:val="CETBodytext"/>
              <w:jc w:val="center"/>
              <w:rPr>
                <w:szCs w:val="18"/>
              </w:rPr>
            </w:pPr>
            <w:r w:rsidRPr="0013765E">
              <w:rPr>
                <w:szCs w:val="18"/>
              </w:rPr>
              <w:t>0.004</w:t>
            </w:r>
          </w:p>
        </w:tc>
        <w:tc>
          <w:tcPr>
            <w:tcW w:w="993" w:type="dxa"/>
            <w:tcBorders>
              <w:bottom w:val="single" w:sz="12" w:space="0" w:color="00B050"/>
            </w:tcBorders>
            <w:vAlign w:val="center"/>
          </w:tcPr>
          <w:p w14:paraId="712691D5" w14:textId="1D26979B" w:rsidR="00DF63E6" w:rsidRPr="0013765E" w:rsidRDefault="00DF63E6" w:rsidP="00DF63E6">
            <w:pPr>
              <w:pStyle w:val="CETBodytext"/>
              <w:jc w:val="center"/>
              <w:rPr>
                <w:szCs w:val="18"/>
              </w:rPr>
            </w:pPr>
            <w:r w:rsidRPr="0013765E">
              <w:rPr>
                <w:szCs w:val="18"/>
              </w:rPr>
              <w:t>Ba</w:t>
            </w:r>
          </w:p>
        </w:tc>
        <w:tc>
          <w:tcPr>
            <w:tcW w:w="992" w:type="dxa"/>
            <w:tcBorders>
              <w:bottom w:val="single" w:sz="12" w:space="0" w:color="00B050"/>
            </w:tcBorders>
            <w:vAlign w:val="center"/>
          </w:tcPr>
          <w:p w14:paraId="3799E69F" w14:textId="6C92D6DE" w:rsidR="00DF63E6" w:rsidRPr="0013765E" w:rsidRDefault="00DF63E6" w:rsidP="00DF63E6">
            <w:pPr>
              <w:pStyle w:val="CETBodytext"/>
              <w:jc w:val="center"/>
              <w:rPr>
                <w:szCs w:val="18"/>
              </w:rPr>
            </w:pPr>
            <w:r w:rsidRPr="0013765E">
              <w:rPr>
                <w:szCs w:val="18"/>
              </w:rPr>
              <w:t>0.11</w:t>
            </w:r>
          </w:p>
        </w:tc>
      </w:tr>
    </w:tbl>
    <w:p w14:paraId="50B0F385" w14:textId="7E418BD4" w:rsidR="00143A48" w:rsidRPr="0013765E" w:rsidRDefault="00143A48" w:rsidP="00865675">
      <w:pPr>
        <w:pStyle w:val="CETBodytext"/>
        <w:spacing w:before="240"/>
      </w:pPr>
      <w:r w:rsidRPr="0013765E">
        <w:t xml:space="preserve">Generally, </w:t>
      </w:r>
      <w:r w:rsidR="001862FF" w:rsidRPr="0013765E">
        <w:t>TS</w:t>
      </w:r>
      <w:r w:rsidRPr="0013765E">
        <w:t xml:space="preserve"> is rich in proteins, carbohydrates and lipids, which justifies the high organic content present in the starting biomass </w:t>
      </w:r>
      <w:r w:rsidR="00E102D0" w:rsidRPr="0013765E">
        <w:t>(Di Lauro et al., 2025)</w:t>
      </w:r>
      <w:r w:rsidRPr="0013765E">
        <w:t xml:space="preserve">. The high ash content can be attributed to the use of different salts during the tanning process, such as sodium </w:t>
      </w:r>
      <w:proofErr w:type="spellStart"/>
      <w:r w:rsidRPr="0013765E">
        <w:t>sulphide</w:t>
      </w:r>
      <w:proofErr w:type="spellEnd"/>
      <w:r w:rsidRPr="0013765E">
        <w:t xml:space="preserve"> and basic chromium sulphate, which also enhance the S content of the biomass. Indeed, S content of 3.2% was revealed by ultimate analysis, together with 34.4% C, 4.8% H, 2.7% N and 13.9% of O. On dry basis, the mean value of HHV is 16.7 MJ/kg, in line, as order of magnitude, with the commonly reported data for sludge </w:t>
      </w:r>
      <w:r w:rsidR="00E102D0" w:rsidRPr="0013765E">
        <w:t>(Prestigiacomo et al., 2022; Di Lauro et al., 2024)</w:t>
      </w:r>
      <w:r w:rsidRPr="0013765E">
        <w:t xml:space="preserve">. </w:t>
      </w:r>
      <w:r w:rsidRPr="0013765E">
        <w:lastRenderedPageBreak/>
        <w:t xml:space="preserve">Regarding the inorganic elements content, the most abundant metal was Ca, with a concentration of 58.5 g/kg. Then, in concentration descending order, Fe and Cr follow. The concentrations of these metals are at least one order of magnitude greater than for all the other inorganic elements. As expected, the Cr concentration, which is the main agent in tanning process, is extremely high (13.5 g/kg), especially when compared to common sludge from urban wastewater </w:t>
      </w:r>
      <w:r w:rsidR="00136BD9" w:rsidRPr="0013765E">
        <w:t>treatment</w:t>
      </w:r>
      <w:r w:rsidRPr="0013765E">
        <w:t xml:space="preserve"> processes </w:t>
      </w:r>
      <w:r w:rsidR="00E102D0" w:rsidRPr="0013765E">
        <w:t>(Liu et al., 2023; Di Lauro et al., 2024)</w:t>
      </w:r>
      <w:r w:rsidRPr="0013765E">
        <w:t>.</w:t>
      </w:r>
    </w:p>
    <w:p w14:paraId="18BAFA6F" w14:textId="12ABA99D" w:rsidR="00453E24" w:rsidRPr="0013765E" w:rsidRDefault="00143A48" w:rsidP="00453E24">
      <w:pPr>
        <w:pStyle w:val="CETheadingx"/>
      </w:pPr>
      <w:r w:rsidRPr="0013765E">
        <w:t>Active phases</w:t>
      </w:r>
    </w:p>
    <w:p w14:paraId="260265BE" w14:textId="2FECBEBC" w:rsidR="00143A48" w:rsidRPr="0013765E" w:rsidRDefault="00143A48" w:rsidP="00143A48">
      <w:pPr>
        <w:pStyle w:val="CETBodytext"/>
      </w:pPr>
      <w:r w:rsidRPr="0013765E">
        <w:t>The active phases</w:t>
      </w:r>
      <w:r w:rsidR="001C3776" w:rsidRPr="0013765E">
        <w:t xml:space="preserve"> (AC)</w:t>
      </w:r>
      <w:r w:rsidRPr="0013765E">
        <w:t xml:space="preserve"> were powdered iron (Fe), purchased from Sigma-Aldrich (maximum particle size of 44 </w:t>
      </w:r>
      <w:proofErr w:type="spellStart"/>
      <w:r w:rsidRPr="0013765E">
        <w:t>μm</w:t>
      </w:r>
      <w:proofErr w:type="spellEnd"/>
      <w:r w:rsidRPr="0013765E">
        <w:t xml:space="preserve"> and purity of 97%), powdered zinc (Zn), purchased from Goodfellow (maximum particle size of 150 </w:t>
      </w:r>
      <w:proofErr w:type="spellStart"/>
      <w:r w:rsidRPr="0013765E">
        <w:t>μm</w:t>
      </w:r>
      <w:proofErr w:type="spellEnd"/>
      <w:r w:rsidRPr="0013765E">
        <w:t xml:space="preserve"> and purity of 99.9%), and anhydrous magnesium chloride (</w:t>
      </w:r>
      <w:proofErr w:type="spellStart"/>
      <w:r w:rsidRPr="0013765E">
        <w:t>MgCl</w:t>
      </w:r>
      <w:proofErr w:type="spellEnd"/>
      <w:r w:rsidRPr="0013765E">
        <w:rPr>
          <w:vertAlign w:val="subscript"/>
          <w:lang w:val="en-GB"/>
        </w:rPr>
        <w:t>2</w:t>
      </w:r>
      <w:r w:rsidRPr="0013765E">
        <w:t>), purchased from Janssen Chimica (purity of 99</w:t>
      </w:r>
      <w:r w:rsidRPr="0013765E">
        <w:rPr>
          <w:b/>
          <w:bCs/>
        </w:rPr>
        <w:t>%</w:t>
      </w:r>
      <w:r w:rsidRPr="0013765E">
        <w:t>).</w:t>
      </w:r>
    </w:p>
    <w:p w14:paraId="582642C6" w14:textId="0166A6BB" w:rsidR="00453E24" w:rsidRPr="0013765E" w:rsidRDefault="0084468A" w:rsidP="0084468A">
      <w:pPr>
        <w:pStyle w:val="CETheadingx"/>
      </w:pPr>
      <w:r w:rsidRPr="0013765E">
        <w:t>Operating conditions and experimental procedure for HTL test</w:t>
      </w:r>
    </w:p>
    <w:p w14:paraId="41C615D5" w14:textId="370F2AE9" w:rsidR="0084468A" w:rsidRPr="0013765E" w:rsidRDefault="0084468A" w:rsidP="0084468A">
      <w:pPr>
        <w:pStyle w:val="CETBodytext"/>
      </w:pPr>
      <w:r w:rsidRPr="0013765E">
        <w:t>A detailed description of the experimental apparatus used in this work is reported in Di Lauro et al.</w:t>
      </w:r>
      <w:r w:rsidR="001862FF" w:rsidRPr="0013765E">
        <w:t>,</w:t>
      </w:r>
      <w:r w:rsidRPr="0013765E">
        <w:t xml:space="preserve"> </w:t>
      </w:r>
      <w:r w:rsidR="00E102D0" w:rsidRPr="0013765E">
        <w:t>(2024)</w:t>
      </w:r>
      <w:r w:rsidRPr="0013765E">
        <w:t xml:space="preserve">. It consists of a 500 mL Hastelloy C-276 batch reactor (Parr Instruments, series PA 4575A) with ancillary equipment. The dried biomass was ground, sieved to 400 µm, and dosed according to the experimental conditions. The first set of experiments involved the use of TS alone in the HTL process (reference tests, RT) to establish a reference baseline for bio-crude yield and quality under the same operating conditions later applied in experiments with active phases. RT were performed by varying the sludge concentration in the slurry and the reactor filled volume, both to assess their effect on bio-crude yield and to ensure compliance with volumetric and safety constraints of the reactor system in view of the subsequent addition of active phases. All experiments were conducted at a reaction temperature of 350 °C with an isothermal residence time of 10 min, considering three different conditions in terms of solid concentration and/or reactor filling. </w:t>
      </w:r>
      <w:proofErr w:type="gramStart"/>
      <w:r w:rsidRPr="0013765E">
        <w:t>In particular, RT</w:t>
      </w:r>
      <w:proofErr w:type="gramEnd"/>
      <w:r w:rsidRPr="0013765E">
        <w:t xml:space="preserve"> </w:t>
      </w:r>
      <w:proofErr w:type="gramStart"/>
      <w:r w:rsidRPr="0013765E">
        <w:t>were</w:t>
      </w:r>
      <w:proofErr w:type="gramEnd"/>
      <w:r w:rsidRPr="0013765E">
        <w:t xml:space="preserve"> carried out at sludge mass concentrations of 10% and 20%, using slurry volumes of 250 and 300 mL; the biomass was then loaded into the vessel and mixed with double-distilled water to reach the target volume.</w:t>
      </w:r>
      <w:r w:rsidR="001506CC" w:rsidRPr="0013765E">
        <w:t xml:space="preserve"> </w:t>
      </w:r>
      <w:r w:rsidRPr="0013765E">
        <w:t xml:space="preserve">Once the sludge mass concentration and slurry volume providing the highest bio-crude yield were selected, experiments were conducted with </w:t>
      </w:r>
      <w:r w:rsidR="001C3776" w:rsidRPr="0013765E">
        <w:t xml:space="preserve">the </w:t>
      </w:r>
      <w:r w:rsidRPr="0013765E">
        <w:t xml:space="preserve">three different </w:t>
      </w:r>
      <w:r w:rsidR="001C3776" w:rsidRPr="0013765E">
        <w:t>AC</w:t>
      </w:r>
      <w:r w:rsidRPr="0013765E">
        <w:t xml:space="preserve"> added at a mass concentration of 20% relative to the dry TS (4% of loaded slurry since TS is at 20% in there). Table 2 provides a synoptic overview of the performed experiments.</w:t>
      </w:r>
    </w:p>
    <w:p w14:paraId="53E9B565" w14:textId="75F4E04F" w:rsidR="0084468A" w:rsidRPr="0013765E" w:rsidRDefault="0084468A" w:rsidP="000A7275">
      <w:pPr>
        <w:pStyle w:val="CETTabletitle"/>
        <w:spacing w:before="120"/>
        <w:jc w:val="center"/>
        <w:rPr>
          <w:rFonts w:ascii="Times New Roman" w:hAnsi="Times New Roman"/>
          <w:sz w:val="20"/>
        </w:rPr>
      </w:pPr>
      <w:r w:rsidRPr="0013765E">
        <w:t>Table 2. Overview of the experimental tests.</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317"/>
        <w:gridCol w:w="2407"/>
        <w:gridCol w:w="1337"/>
        <w:gridCol w:w="1787"/>
      </w:tblGrid>
      <w:tr w:rsidR="0084468A" w:rsidRPr="0013765E" w14:paraId="76B05FFE" w14:textId="77777777" w:rsidTr="001506CC">
        <w:trPr>
          <w:trHeight w:val="283"/>
          <w:jc w:val="center"/>
        </w:trPr>
        <w:tc>
          <w:tcPr>
            <w:tcW w:w="0" w:type="auto"/>
            <w:tcBorders>
              <w:top w:val="single" w:sz="12" w:space="0" w:color="00B050"/>
              <w:bottom w:val="single" w:sz="4" w:space="0" w:color="00B050"/>
            </w:tcBorders>
            <w:vAlign w:val="center"/>
          </w:tcPr>
          <w:p w14:paraId="47E0C7F2" w14:textId="77777777" w:rsidR="0084468A" w:rsidRPr="0013765E" w:rsidRDefault="0084468A" w:rsidP="001506CC">
            <w:pPr>
              <w:pStyle w:val="CETBodytext"/>
              <w:jc w:val="center"/>
              <w:rPr>
                <w:szCs w:val="18"/>
              </w:rPr>
            </w:pPr>
            <w:r w:rsidRPr="0013765E">
              <w:rPr>
                <w:szCs w:val="18"/>
              </w:rPr>
              <w:t>HTL test</w:t>
            </w:r>
          </w:p>
        </w:tc>
        <w:tc>
          <w:tcPr>
            <w:tcW w:w="0" w:type="auto"/>
            <w:tcBorders>
              <w:top w:val="single" w:sz="12" w:space="0" w:color="00B050"/>
              <w:bottom w:val="single" w:sz="4" w:space="0" w:color="00B050"/>
            </w:tcBorders>
            <w:vAlign w:val="center"/>
          </w:tcPr>
          <w:p w14:paraId="6F78C835" w14:textId="77777777" w:rsidR="001506CC" w:rsidRPr="0013765E" w:rsidRDefault="001506CC" w:rsidP="001506CC">
            <w:pPr>
              <w:pStyle w:val="CETBodytext"/>
              <w:jc w:val="center"/>
              <w:rPr>
                <w:szCs w:val="18"/>
              </w:rPr>
            </w:pPr>
            <w:r w:rsidRPr="0013765E">
              <w:rPr>
                <w:szCs w:val="18"/>
              </w:rPr>
              <w:t xml:space="preserve">Slurry </w:t>
            </w:r>
            <w:r w:rsidR="0084468A" w:rsidRPr="0013765E">
              <w:rPr>
                <w:szCs w:val="18"/>
              </w:rPr>
              <w:t xml:space="preserve">volume </w:t>
            </w:r>
          </w:p>
          <w:p w14:paraId="15636A1B" w14:textId="53228C9A" w:rsidR="0084468A" w:rsidRPr="0013765E" w:rsidRDefault="0084468A" w:rsidP="001506CC">
            <w:pPr>
              <w:pStyle w:val="CETBodytext"/>
              <w:jc w:val="center"/>
              <w:rPr>
                <w:szCs w:val="18"/>
              </w:rPr>
            </w:pPr>
            <w:r w:rsidRPr="0013765E">
              <w:rPr>
                <w:szCs w:val="18"/>
              </w:rPr>
              <w:t>[mL]</w:t>
            </w:r>
          </w:p>
        </w:tc>
        <w:tc>
          <w:tcPr>
            <w:tcW w:w="0" w:type="auto"/>
            <w:tcBorders>
              <w:top w:val="single" w:sz="12" w:space="0" w:color="00B050"/>
              <w:bottom w:val="single" w:sz="4" w:space="0" w:color="00B050"/>
            </w:tcBorders>
            <w:vAlign w:val="center"/>
          </w:tcPr>
          <w:p w14:paraId="59512086" w14:textId="77777777" w:rsidR="00E077D6" w:rsidRPr="0013765E" w:rsidRDefault="0084468A" w:rsidP="001506CC">
            <w:pPr>
              <w:pStyle w:val="CETBodytext"/>
              <w:jc w:val="center"/>
              <w:rPr>
                <w:szCs w:val="18"/>
              </w:rPr>
            </w:pPr>
            <w:r w:rsidRPr="0013765E">
              <w:rPr>
                <w:szCs w:val="18"/>
              </w:rPr>
              <w:t>Dry tannery sludge in</w:t>
            </w:r>
            <w:r w:rsidR="008051A5" w:rsidRPr="0013765E">
              <w:rPr>
                <w:szCs w:val="18"/>
              </w:rPr>
              <w:t xml:space="preserve"> </w:t>
            </w:r>
            <w:r w:rsidRPr="0013765E">
              <w:rPr>
                <w:szCs w:val="18"/>
              </w:rPr>
              <w:t>slurry</w:t>
            </w:r>
          </w:p>
          <w:p w14:paraId="21EA4376" w14:textId="48F77BB1" w:rsidR="0084468A" w:rsidRPr="0013765E" w:rsidRDefault="0084468A" w:rsidP="001506CC">
            <w:pPr>
              <w:pStyle w:val="CETBodytext"/>
              <w:jc w:val="center"/>
              <w:rPr>
                <w:szCs w:val="18"/>
              </w:rPr>
            </w:pPr>
            <w:r w:rsidRPr="0013765E">
              <w:rPr>
                <w:szCs w:val="18"/>
              </w:rPr>
              <w:t>[%]</w:t>
            </w:r>
          </w:p>
        </w:tc>
        <w:tc>
          <w:tcPr>
            <w:tcW w:w="0" w:type="auto"/>
            <w:tcBorders>
              <w:top w:val="single" w:sz="12" w:space="0" w:color="00B050"/>
              <w:bottom w:val="single" w:sz="4" w:space="0" w:color="00B050"/>
            </w:tcBorders>
            <w:vAlign w:val="center"/>
          </w:tcPr>
          <w:p w14:paraId="332ABB71" w14:textId="1E180039" w:rsidR="0084468A" w:rsidRPr="0013765E" w:rsidRDefault="001506CC" w:rsidP="001506CC">
            <w:pPr>
              <w:pStyle w:val="CETBodytext"/>
              <w:jc w:val="center"/>
              <w:rPr>
                <w:szCs w:val="18"/>
              </w:rPr>
            </w:pPr>
            <w:r w:rsidRPr="0013765E">
              <w:rPr>
                <w:szCs w:val="18"/>
              </w:rPr>
              <w:t xml:space="preserve">Active </w:t>
            </w:r>
            <w:r w:rsidR="0084468A" w:rsidRPr="0013765E">
              <w:rPr>
                <w:szCs w:val="18"/>
              </w:rPr>
              <w:t>phase</w:t>
            </w:r>
          </w:p>
          <w:p w14:paraId="0965B306" w14:textId="77777777" w:rsidR="0084468A" w:rsidRPr="0013765E" w:rsidRDefault="0084468A" w:rsidP="001506CC">
            <w:pPr>
              <w:pStyle w:val="CETBodytext"/>
              <w:jc w:val="center"/>
              <w:rPr>
                <w:szCs w:val="18"/>
              </w:rPr>
            </w:pPr>
            <w:r w:rsidRPr="0013765E">
              <w:rPr>
                <w:szCs w:val="18"/>
              </w:rPr>
              <w:t>[% vs. dry TS]</w:t>
            </w:r>
          </w:p>
        </w:tc>
        <w:tc>
          <w:tcPr>
            <w:tcW w:w="0" w:type="auto"/>
            <w:tcBorders>
              <w:top w:val="single" w:sz="12" w:space="0" w:color="00B050"/>
              <w:bottom w:val="single" w:sz="4" w:space="0" w:color="00B050"/>
            </w:tcBorders>
            <w:vAlign w:val="center"/>
          </w:tcPr>
          <w:p w14:paraId="1D919FE9" w14:textId="77777777" w:rsidR="0084468A" w:rsidRPr="0013765E" w:rsidRDefault="0084468A" w:rsidP="001506CC">
            <w:pPr>
              <w:pStyle w:val="CETBodytext"/>
              <w:jc w:val="center"/>
              <w:rPr>
                <w:szCs w:val="18"/>
              </w:rPr>
            </w:pPr>
            <w:r w:rsidRPr="0013765E">
              <w:rPr>
                <w:szCs w:val="18"/>
              </w:rPr>
              <w:t>Test acronym</w:t>
            </w:r>
          </w:p>
        </w:tc>
      </w:tr>
      <w:tr w:rsidR="0084468A" w:rsidRPr="0013765E" w14:paraId="0B7A4954" w14:textId="77777777" w:rsidTr="001506CC">
        <w:trPr>
          <w:trHeight w:val="283"/>
          <w:jc w:val="center"/>
        </w:trPr>
        <w:tc>
          <w:tcPr>
            <w:tcW w:w="0" w:type="auto"/>
            <w:tcBorders>
              <w:top w:val="single" w:sz="4" w:space="0" w:color="00B050"/>
            </w:tcBorders>
            <w:vAlign w:val="center"/>
          </w:tcPr>
          <w:p w14:paraId="675F95DF" w14:textId="77777777" w:rsidR="0084468A" w:rsidRPr="0013765E" w:rsidRDefault="0084468A" w:rsidP="001506CC">
            <w:pPr>
              <w:pStyle w:val="CETBodytext"/>
              <w:jc w:val="center"/>
              <w:rPr>
                <w:szCs w:val="18"/>
              </w:rPr>
            </w:pPr>
            <w:r w:rsidRPr="0013765E">
              <w:rPr>
                <w:szCs w:val="18"/>
              </w:rPr>
              <w:t>RT</w:t>
            </w:r>
          </w:p>
        </w:tc>
        <w:tc>
          <w:tcPr>
            <w:tcW w:w="0" w:type="auto"/>
            <w:tcBorders>
              <w:top w:val="single" w:sz="4" w:space="0" w:color="00B050"/>
            </w:tcBorders>
            <w:vAlign w:val="center"/>
          </w:tcPr>
          <w:p w14:paraId="59057CED" w14:textId="77777777" w:rsidR="0084468A" w:rsidRPr="0013765E" w:rsidRDefault="0084468A" w:rsidP="001506CC">
            <w:pPr>
              <w:pStyle w:val="CETBodytext"/>
              <w:jc w:val="center"/>
              <w:rPr>
                <w:szCs w:val="18"/>
              </w:rPr>
            </w:pPr>
            <w:r w:rsidRPr="0013765E">
              <w:rPr>
                <w:szCs w:val="18"/>
              </w:rPr>
              <w:t>300</w:t>
            </w:r>
          </w:p>
        </w:tc>
        <w:tc>
          <w:tcPr>
            <w:tcW w:w="0" w:type="auto"/>
            <w:tcBorders>
              <w:top w:val="single" w:sz="4" w:space="0" w:color="00B050"/>
            </w:tcBorders>
            <w:vAlign w:val="center"/>
          </w:tcPr>
          <w:p w14:paraId="42968609" w14:textId="77777777" w:rsidR="0084468A" w:rsidRPr="0013765E" w:rsidRDefault="0084468A" w:rsidP="001506CC">
            <w:pPr>
              <w:pStyle w:val="CETBodytext"/>
              <w:jc w:val="center"/>
              <w:rPr>
                <w:szCs w:val="18"/>
              </w:rPr>
            </w:pPr>
            <w:r w:rsidRPr="0013765E">
              <w:rPr>
                <w:szCs w:val="18"/>
              </w:rPr>
              <w:t>10</w:t>
            </w:r>
          </w:p>
        </w:tc>
        <w:tc>
          <w:tcPr>
            <w:tcW w:w="0" w:type="auto"/>
            <w:tcBorders>
              <w:top w:val="single" w:sz="4" w:space="0" w:color="00B050"/>
            </w:tcBorders>
            <w:vAlign w:val="center"/>
          </w:tcPr>
          <w:p w14:paraId="23A0DD5D" w14:textId="77777777" w:rsidR="0084468A" w:rsidRPr="0013765E" w:rsidRDefault="0084468A" w:rsidP="001506CC">
            <w:pPr>
              <w:pStyle w:val="CETBodytext"/>
              <w:jc w:val="center"/>
              <w:rPr>
                <w:szCs w:val="18"/>
              </w:rPr>
            </w:pPr>
            <w:r w:rsidRPr="0013765E">
              <w:rPr>
                <w:szCs w:val="18"/>
              </w:rPr>
              <w:t>–</w:t>
            </w:r>
          </w:p>
        </w:tc>
        <w:tc>
          <w:tcPr>
            <w:tcW w:w="0" w:type="auto"/>
            <w:tcBorders>
              <w:top w:val="single" w:sz="4" w:space="0" w:color="00B050"/>
            </w:tcBorders>
            <w:vAlign w:val="center"/>
          </w:tcPr>
          <w:p w14:paraId="6D59074F" w14:textId="77777777" w:rsidR="0084468A" w:rsidRPr="0013765E" w:rsidRDefault="0084468A" w:rsidP="001506CC">
            <w:pPr>
              <w:pStyle w:val="CETBodytext"/>
              <w:jc w:val="center"/>
              <w:rPr>
                <w:szCs w:val="18"/>
              </w:rPr>
            </w:pPr>
            <w:r w:rsidRPr="0013765E">
              <w:rPr>
                <w:szCs w:val="18"/>
              </w:rPr>
              <w:t>RT (10% – 300 mL)</w:t>
            </w:r>
          </w:p>
        </w:tc>
      </w:tr>
      <w:tr w:rsidR="0084468A" w:rsidRPr="0013765E" w14:paraId="36046259" w14:textId="77777777" w:rsidTr="001506CC">
        <w:trPr>
          <w:trHeight w:val="283"/>
          <w:jc w:val="center"/>
        </w:trPr>
        <w:tc>
          <w:tcPr>
            <w:tcW w:w="0" w:type="auto"/>
            <w:vAlign w:val="center"/>
          </w:tcPr>
          <w:p w14:paraId="6D5BD715" w14:textId="77777777" w:rsidR="0084468A" w:rsidRPr="0013765E" w:rsidRDefault="0084468A" w:rsidP="001506CC">
            <w:pPr>
              <w:pStyle w:val="CETBodytext"/>
              <w:jc w:val="center"/>
              <w:rPr>
                <w:szCs w:val="18"/>
              </w:rPr>
            </w:pPr>
            <w:r w:rsidRPr="0013765E">
              <w:rPr>
                <w:szCs w:val="18"/>
              </w:rPr>
              <w:t>RT</w:t>
            </w:r>
          </w:p>
        </w:tc>
        <w:tc>
          <w:tcPr>
            <w:tcW w:w="0" w:type="auto"/>
            <w:vAlign w:val="center"/>
          </w:tcPr>
          <w:p w14:paraId="775729FA" w14:textId="77777777" w:rsidR="0084468A" w:rsidRPr="0013765E" w:rsidRDefault="0084468A" w:rsidP="001506CC">
            <w:pPr>
              <w:pStyle w:val="CETBodytext"/>
              <w:jc w:val="center"/>
              <w:rPr>
                <w:szCs w:val="18"/>
              </w:rPr>
            </w:pPr>
            <w:r w:rsidRPr="0013765E">
              <w:rPr>
                <w:szCs w:val="18"/>
              </w:rPr>
              <w:t>300</w:t>
            </w:r>
          </w:p>
        </w:tc>
        <w:tc>
          <w:tcPr>
            <w:tcW w:w="0" w:type="auto"/>
            <w:vAlign w:val="center"/>
          </w:tcPr>
          <w:p w14:paraId="65F244A5" w14:textId="77777777" w:rsidR="0084468A" w:rsidRPr="0013765E" w:rsidRDefault="0084468A" w:rsidP="001506CC">
            <w:pPr>
              <w:pStyle w:val="CETBodytext"/>
              <w:jc w:val="center"/>
              <w:rPr>
                <w:szCs w:val="18"/>
              </w:rPr>
            </w:pPr>
            <w:r w:rsidRPr="0013765E">
              <w:rPr>
                <w:szCs w:val="18"/>
              </w:rPr>
              <w:t>20</w:t>
            </w:r>
          </w:p>
        </w:tc>
        <w:tc>
          <w:tcPr>
            <w:tcW w:w="0" w:type="auto"/>
            <w:vAlign w:val="center"/>
          </w:tcPr>
          <w:p w14:paraId="1A404C47" w14:textId="77777777" w:rsidR="0084468A" w:rsidRPr="0013765E" w:rsidRDefault="0084468A" w:rsidP="001506CC">
            <w:pPr>
              <w:pStyle w:val="CETBodytext"/>
              <w:jc w:val="center"/>
              <w:rPr>
                <w:szCs w:val="18"/>
              </w:rPr>
            </w:pPr>
            <w:r w:rsidRPr="0013765E">
              <w:rPr>
                <w:szCs w:val="18"/>
              </w:rPr>
              <w:t>–</w:t>
            </w:r>
          </w:p>
        </w:tc>
        <w:tc>
          <w:tcPr>
            <w:tcW w:w="0" w:type="auto"/>
            <w:vAlign w:val="center"/>
          </w:tcPr>
          <w:p w14:paraId="2FBB0D92" w14:textId="77777777" w:rsidR="0084468A" w:rsidRPr="0013765E" w:rsidRDefault="0084468A" w:rsidP="001506CC">
            <w:pPr>
              <w:pStyle w:val="CETBodytext"/>
              <w:jc w:val="center"/>
              <w:rPr>
                <w:szCs w:val="18"/>
              </w:rPr>
            </w:pPr>
            <w:r w:rsidRPr="0013765E">
              <w:rPr>
                <w:szCs w:val="18"/>
              </w:rPr>
              <w:t>RT (20% – 300 mL)</w:t>
            </w:r>
          </w:p>
        </w:tc>
      </w:tr>
      <w:tr w:rsidR="0084468A" w:rsidRPr="0013765E" w14:paraId="0F568514" w14:textId="77777777" w:rsidTr="001506CC">
        <w:trPr>
          <w:trHeight w:val="283"/>
          <w:jc w:val="center"/>
        </w:trPr>
        <w:tc>
          <w:tcPr>
            <w:tcW w:w="0" w:type="auto"/>
            <w:vAlign w:val="center"/>
          </w:tcPr>
          <w:p w14:paraId="613DAEAC" w14:textId="77777777" w:rsidR="0084468A" w:rsidRPr="0013765E" w:rsidRDefault="0084468A" w:rsidP="001506CC">
            <w:pPr>
              <w:pStyle w:val="CETBodytext"/>
              <w:jc w:val="center"/>
              <w:rPr>
                <w:szCs w:val="18"/>
              </w:rPr>
            </w:pPr>
            <w:r w:rsidRPr="0013765E">
              <w:rPr>
                <w:szCs w:val="18"/>
              </w:rPr>
              <w:t>RT</w:t>
            </w:r>
          </w:p>
        </w:tc>
        <w:tc>
          <w:tcPr>
            <w:tcW w:w="0" w:type="auto"/>
            <w:vAlign w:val="center"/>
          </w:tcPr>
          <w:p w14:paraId="1662DB1F" w14:textId="77777777" w:rsidR="0084468A" w:rsidRPr="0013765E" w:rsidRDefault="0084468A" w:rsidP="001506CC">
            <w:pPr>
              <w:pStyle w:val="CETBodytext"/>
              <w:jc w:val="center"/>
              <w:rPr>
                <w:szCs w:val="18"/>
              </w:rPr>
            </w:pPr>
            <w:r w:rsidRPr="0013765E">
              <w:rPr>
                <w:szCs w:val="18"/>
              </w:rPr>
              <w:t>250</w:t>
            </w:r>
          </w:p>
        </w:tc>
        <w:tc>
          <w:tcPr>
            <w:tcW w:w="0" w:type="auto"/>
            <w:vAlign w:val="center"/>
          </w:tcPr>
          <w:p w14:paraId="697CF78C" w14:textId="77777777" w:rsidR="0084468A" w:rsidRPr="0013765E" w:rsidRDefault="0084468A" w:rsidP="001506CC">
            <w:pPr>
              <w:pStyle w:val="CETBodytext"/>
              <w:jc w:val="center"/>
              <w:rPr>
                <w:szCs w:val="18"/>
              </w:rPr>
            </w:pPr>
            <w:r w:rsidRPr="0013765E">
              <w:rPr>
                <w:szCs w:val="18"/>
              </w:rPr>
              <w:t>20</w:t>
            </w:r>
          </w:p>
        </w:tc>
        <w:tc>
          <w:tcPr>
            <w:tcW w:w="0" w:type="auto"/>
            <w:vAlign w:val="center"/>
          </w:tcPr>
          <w:p w14:paraId="7A31940A" w14:textId="77777777" w:rsidR="0084468A" w:rsidRPr="0013765E" w:rsidRDefault="0084468A" w:rsidP="001506CC">
            <w:pPr>
              <w:pStyle w:val="CETBodytext"/>
              <w:jc w:val="center"/>
              <w:rPr>
                <w:szCs w:val="18"/>
              </w:rPr>
            </w:pPr>
            <w:r w:rsidRPr="0013765E">
              <w:rPr>
                <w:szCs w:val="18"/>
              </w:rPr>
              <w:t>–</w:t>
            </w:r>
          </w:p>
        </w:tc>
        <w:tc>
          <w:tcPr>
            <w:tcW w:w="0" w:type="auto"/>
            <w:vAlign w:val="center"/>
          </w:tcPr>
          <w:p w14:paraId="5B095032" w14:textId="77777777" w:rsidR="0084468A" w:rsidRPr="0013765E" w:rsidRDefault="0084468A" w:rsidP="001506CC">
            <w:pPr>
              <w:pStyle w:val="CETBodytext"/>
              <w:jc w:val="center"/>
              <w:rPr>
                <w:szCs w:val="18"/>
              </w:rPr>
            </w:pPr>
            <w:r w:rsidRPr="0013765E">
              <w:rPr>
                <w:szCs w:val="18"/>
              </w:rPr>
              <w:t>RT (20% – 250 mL)</w:t>
            </w:r>
          </w:p>
        </w:tc>
      </w:tr>
      <w:tr w:rsidR="0084468A" w:rsidRPr="0013765E" w14:paraId="3FBC3C46" w14:textId="77777777" w:rsidTr="001506CC">
        <w:trPr>
          <w:trHeight w:val="283"/>
          <w:jc w:val="center"/>
        </w:trPr>
        <w:tc>
          <w:tcPr>
            <w:tcW w:w="0" w:type="auto"/>
            <w:vAlign w:val="center"/>
          </w:tcPr>
          <w:p w14:paraId="053C0DDC" w14:textId="77777777" w:rsidR="0084468A" w:rsidRPr="0013765E" w:rsidRDefault="0084468A" w:rsidP="001506CC">
            <w:pPr>
              <w:pStyle w:val="CETBodytext"/>
              <w:jc w:val="center"/>
              <w:rPr>
                <w:szCs w:val="18"/>
              </w:rPr>
            </w:pPr>
            <w:r w:rsidRPr="0013765E">
              <w:rPr>
                <w:szCs w:val="18"/>
              </w:rPr>
              <w:t>Fe</w:t>
            </w:r>
          </w:p>
        </w:tc>
        <w:tc>
          <w:tcPr>
            <w:tcW w:w="0" w:type="auto"/>
            <w:vAlign w:val="center"/>
          </w:tcPr>
          <w:p w14:paraId="6BEC703C" w14:textId="77777777" w:rsidR="0084468A" w:rsidRPr="0013765E" w:rsidRDefault="0084468A" w:rsidP="001506CC">
            <w:pPr>
              <w:pStyle w:val="CETBodytext"/>
              <w:jc w:val="center"/>
              <w:rPr>
                <w:szCs w:val="18"/>
              </w:rPr>
            </w:pPr>
            <w:r w:rsidRPr="0013765E">
              <w:rPr>
                <w:szCs w:val="18"/>
              </w:rPr>
              <w:t>250</w:t>
            </w:r>
          </w:p>
        </w:tc>
        <w:tc>
          <w:tcPr>
            <w:tcW w:w="0" w:type="auto"/>
            <w:vAlign w:val="center"/>
          </w:tcPr>
          <w:p w14:paraId="689A9A4A" w14:textId="77777777" w:rsidR="0084468A" w:rsidRPr="0013765E" w:rsidRDefault="0084468A" w:rsidP="001506CC">
            <w:pPr>
              <w:pStyle w:val="CETBodytext"/>
              <w:jc w:val="center"/>
              <w:rPr>
                <w:szCs w:val="18"/>
              </w:rPr>
            </w:pPr>
            <w:r w:rsidRPr="0013765E">
              <w:rPr>
                <w:szCs w:val="18"/>
              </w:rPr>
              <w:t>20</w:t>
            </w:r>
          </w:p>
        </w:tc>
        <w:tc>
          <w:tcPr>
            <w:tcW w:w="0" w:type="auto"/>
            <w:vAlign w:val="center"/>
          </w:tcPr>
          <w:p w14:paraId="0E1E09B0" w14:textId="77777777" w:rsidR="0084468A" w:rsidRPr="0013765E" w:rsidRDefault="0084468A" w:rsidP="001506CC">
            <w:pPr>
              <w:pStyle w:val="CETBodytext"/>
              <w:jc w:val="center"/>
              <w:rPr>
                <w:szCs w:val="18"/>
              </w:rPr>
            </w:pPr>
            <w:r w:rsidRPr="0013765E">
              <w:rPr>
                <w:szCs w:val="18"/>
              </w:rPr>
              <w:t>20</w:t>
            </w:r>
          </w:p>
        </w:tc>
        <w:tc>
          <w:tcPr>
            <w:tcW w:w="0" w:type="auto"/>
            <w:vAlign w:val="center"/>
          </w:tcPr>
          <w:p w14:paraId="316661A1" w14:textId="77777777" w:rsidR="0084468A" w:rsidRPr="0013765E" w:rsidRDefault="0084468A" w:rsidP="001506CC">
            <w:pPr>
              <w:pStyle w:val="CETBodytext"/>
              <w:jc w:val="center"/>
              <w:rPr>
                <w:szCs w:val="18"/>
              </w:rPr>
            </w:pPr>
            <w:r w:rsidRPr="0013765E">
              <w:rPr>
                <w:szCs w:val="18"/>
              </w:rPr>
              <w:t>20% Fe</w:t>
            </w:r>
          </w:p>
        </w:tc>
      </w:tr>
      <w:tr w:rsidR="0084468A" w:rsidRPr="0013765E" w14:paraId="3C2639A5" w14:textId="77777777" w:rsidTr="001506CC">
        <w:trPr>
          <w:trHeight w:val="283"/>
          <w:jc w:val="center"/>
        </w:trPr>
        <w:tc>
          <w:tcPr>
            <w:tcW w:w="0" w:type="auto"/>
            <w:vAlign w:val="center"/>
          </w:tcPr>
          <w:p w14:paraId="33611AA7" w14:textId="77777777" w:rsidR="0084468A" w:rsidRPr="0013765E" w:rsidRDefault="0084468A" w:rsidP="001506CC">
            <w:pPr>
              <w:pStyle w:val="CETBodytext"/>
              <w:jc w:val="center"/>
              <w:rPr>
                <w:szCs w:val="18"/>
              </w:rPr>
            </w:pPr>
            <w:r w:rsidRPr="0013765E">
              <w:rPr>
                <w:szCs w:val="18"/>
              </w:rPr>
              <w:t>Zn</w:t>
            </w:r>
          </w:p>
        </w:tc>
        <w:tc>
          <w:tcPr>
            <w:tcW w:w="0" w:type="auto"/>
            <w:vAlign w:val="center"/>
          </w:tcPr>
          <w:p w14:paraId="2F484E9D" w14:textId="77777777" w:rsidR="0084468A" w:rsidRPr="0013765E" w:rsidRDefault="0084468A" w:rsidP="001506CC">
            <w:pPr>
              <w:pStyle w:val="CETBodytext"/>
              <w:jc w:val="center"/>
              <w:rPr>
                <w:szCs w:val="18"/>
              </w:rPr>
            </w:pPr>
            <w:r w:rsidRPr="0013765E">
              <w:rPr>
                <w:szCs w:val="18"/>
              </w:rPr>
              <w:t>250</w:t>
            </w:r>
          </w:p>
        </w:tc>
        <w:tc>
          <w:tcPr>
            <w:tcW w:w="0" w:type="auto"/>
            <w:vAlign w:val="center"/>
          </w:tcPr>
          <w:p w14:paraId="03FC9DA1" w14:textId="77777777" w:rsidR="0084468A" w:rsidRPr="0013765E" w:rsidRDefault="0084468A" w:rsidP="001506CC">
            <w:pPr>
              <w:pStyle w:val="CETBodytext"/>
              <w:jc w:val="center"/>
              <w:rPr>
                <w:szCs w:val="18"/>
              </w:rPr>
            </w:pPr>
            <w:r w:rsidRPr="0013765E">
              <w:rPr>
                <w:szCs w:val="18"/>
              </w:rPr>
              <w:t>20</w:t>
            </w:r>
          </w:p>
        </w:tc>
        <w:tc>
          <w:tcPr>
            <w:tcW w:w="0" w:type="auto"/>
            <w:vAlign w:val="center"/>
          </w:tcPr>
          <w:p w14:paraId="0D37CCA2" w14:textId="77777777" w:rsidR="0084468A" w:rsidRPr="0013765E" w:rsidRDefault="0084468A" w:rsidP="001506CC">
            <w:pPr>
              <w:pStyle w:val="CETBodytext"/>
              <w:jc w:val="center"/>
              <w:rPr>
                <w:szCs w:val="18"/>
              </w:rPr>
            </w:pPr>
            <w:r w:rsidRPr="0013765E">
              <w:rPr>
                <w:szCs w:val="18"/>
              </w:rPr>
              <w:t>20</w:t>
            </w:r>
          </w:p>
        </w:tc>
        <w:tc>
          <w:tcPr>
            <w:tcW w:w="0" w:type="auto"/>
            <w:vAlign w:val="center"/>
          </w:tcPr>
          <w:p w14:paraId="30B21D99" w14:textId="77777777" w:rsidR="0084468A" w:rsidRPr="0013765E" w:rsidRDefault="0084468A" w:rsidP="001506CC">
            <w:pPr>
              <w:pStyle w:val="CETBodytext"/>
              <w:jc w:val="center"/>
              <w:rPr>
                <w:szCs w:val="18"/>
              </w:rPr>
            </w:pPr>
            <w:r w:rsidRPr="0013765E">
              <w:rPr>
                <w:szCs w:val="18"/>
              </w:rPr>
              <w:t>20% Zn</w:t>
            </w:r>
          </w:p>
        </w:tc>
      </w:tr>
      <w:tr w:rsidR="0084468A" w:rsidRPr="0013765E" w14:paraId="5FD2EC22" w14:textId="77777777" w:rsidTr="001506CC">
        <w:trPr>
          <w:trHeight w:val="283"/>
          <w:jc w:val="center"/>
        </w:trPr>
        <w:tc>
          <w:tcPr>
            <w:tcW w:w="0" w:type="auto"/>
            <w:tcBorders>
              <w:bottom w:val="single" w:sz="12" w:space="0" w:color="00B050"/>
            </w:tcBorders>
            <w:vAlign w:val="center"/>
          </w:tcPr>
          <w:p w14:paraId="217E3839" w14:textId="77777777" w:rsidR="0084468A" w:rsidRPr="0013765E" w:rsidRDefault="0084468A" w:rsidP="001506CC">
            <w:pPr>
              <w:pStyle w:val="CETBodytext"/>
              <w:jc w:val="center"/>
              <w:rPr>
                <w:szCs w:val="18"/>
              </w:rPr>
            </w:pPr>
            <w:r w:rsidRPr="0013765E">
              <w:rPr>
                <w:szCs w:val="18"/>
              </w:rPr>
              <w:t>MgCl</w:t>
            </w:r>
            <w:r w:rsidRPr="0013765E">
              <w:rPr>
                <w:szCs w:val="18"/>
                <w:vertAlign w:val="subscript"/>
              </w:rPr>
              <w:t>2</w:t>
            </w:r>
          </w:p>
        </w:tc>
        <w:tc>
          <w:tcPr>
            <w:tcW w:w="0" w:type="auto"/>
            <w:tcBorders>
              <w:bottom w:val="single" w:sz="12" w:space="0" w:color="00B050"/>
            </w:tcBorders>
            <w:vAlign w:val="center"/>
          </w:tcPr>
          <w:p w14:paraId="023FAEEA" w14:textId="77777777" w:rsidR="0084468A" w:rsidRPr="0013765E" w:rsidRDefault="0084468A" w:rsidP="001506CC">
            <w:pPr>
              <w:pStyle w:val="CETBodytext"/>
              <w:jc w:val="center"/>
              <w:rPr>
                <w:szCs w:val="18"/>
              </w:rPr>
            </w:pPr>
            <w:r w:rsidRPr="0013765E">
              <w:rPr>
                <w:szCs w:val="18"/>
              </w:rPr>
              <w:t>250</w:t>
            </w:r>
          </w:p>
        </w:tc>
        <w:tc>
          <w:tcPr>
            <w:tcW w:w="0" w:type="auto"/>
            <w:tcBorders>
              <w:bottom w:val="single" w:sz="12" w:space="0" w:color="00B050"/>
            </w:tcBorders>
            <w:vAlign w:val="center"/>
          </w:tcPr>
          <w:p w14:paraId="6025F011" w14:textId="77777777" w:rsidR="0084468A" w:rsidRPr="0013765E" w:rsidRDefault="0084468A" w:rsidP="001506CC">
            <w:pPr>
              <w:pStyle w:val="CETBodytext"/>
              <w:jc w:val="center"/>
              <w:rPr>
                <w:szCs w:val="18"/>
              </w:rPr>
            </w:pPr>
            <w:r w:rsidRPr="0013765E">
              <w:rPr>
                <w:szCs w:val="18"/>
              </w:rPr>
              <w:t>20</w:t>
            </w:r>
          </w:p>
        </w:tc>
        <w:tc>
          <w:tcPr>
            <w:tcW w:w="0" w:type="auto"/>
            <w:tcBorders>
              <w:bottom w:val="single" w:sz="12" w:space="0" w:color="00B050"/>
            </w:tcBorders>
            <w:vAlign w:val="center"/>
          </w:tcPr>
          <w:p w14:paraId="2A77AAB3" w14:textId="77777777" w:rsidR="0084468A" w:rsidRPr="0013765E" w:rsidRDefault="0084468A" w:rsidP="001506CC">
            <w:pPr>
              <w:pStyle w:val="CETBodytext"/>
              <w:jc w:val="center"/>
              <w:rPr>
                <w:szCs w:val="18"/>
              </w:rPr>
            </w:pPr>
            <w:r w:rsidRPr="0013765E">
              <w:rPr>
                <w:szCs w:val="18"/>
              </w:rPr>
              <w:t>20</w:t>
            </w:r>
          </w:p>
        </w:tc>
        <w:tc>
          <w:tcPr>
            <w:tcW w:w="0" w:type="auto"/>
            <w:tcBorders>
              <w:bottom w:val="single" w:sz="12" w:space="0" w:color="00B050"/>
            </w:tcBorders>
            <w:vAlign w:val="center"/>
          </w:tcPr>
          <w:p w14:paraId="4BDC5C6F" w14:textId="77777777" w:rsidR="0084468A" w:rsidRPr="0013765E" w:rsidRDefault="0084468A" w:rsidP="001506CC">
            <w:pPr>
              <w:pStyle w:val="CETBodytext"/>
              <w:jc w:val="center"/>
              <w:rPr>
                <w:szCs w:val="18"/>
              </w:rPr>
            </w:pPr>
            <w:r w:rsidRPr="0013765E">
              <w:rPr>
                <w:szCs w:val="18"/>
              </w:rPr>
              <w:t>20% MgCl</w:t>
            </w:r>
            <w:r w:rsidRPr="0013765E">
              <w:rPr>
                <w:szCs w:val="18"/>
                <w:vertAlign w:val="subscript"/>
              </w:rPr>
              <w:t>2</w:t>
            </w:r>
          </w:p>
        </w:tc>
      </w:tr>
    </w:tbl>
    <w:p w14:paraId="447CA036" w14:textId="12850B14" w:rsidR="007A2F87" w:rsidRPr="0013765E" w:rsidRDefault="007A2F87" w:rsidP="000A7275">
      <w:pPr>
        <w:pStyle w:val="CETBodytext"/>
        <w:spacing w:before="120"/>
      </w:pPr>
      <w:r w:rsidRPr="0013765E">
        <w:t>In a typical HTL experiment, after loading the slurry with or without active phases, the reactor is sealed and insulated. The head space of reactor is purged with N</w:t>
      </w:r>
      <w:r w:rsidRPr="0013765E">
        <w:rPr>
          <w:vertAlign w:val="subscript"/>
        </w:rPr>
        <w:t>2</w:t>
      </w:r>
      <w:r w:rsidRPr="0013765E">
        <w:t xml:space="preserve">. Then, the system is pressurized at 28 bar to obtain a pressure of approximately 200 </w:t>
      </w:r>
      <w:proofErr w:type="gramStart"/>
      <w:r w:rsidRPr="0013765E">
        <w:t>bar</w:t>
      </w:r>
      <w:proofErr w:type="gramEnd"/>
      <w:r w:rsidRPr="0013765E">
        <w:t xml:space="preserve"> at the set-point temperature chosen for the reaction (350 °C). A layer of rock wool and a band heater, respectively on the top and the bottom of the reactor, were used to optimize the thermal transient. Finally, the stirrer inside the reactor is activated at a speed of 600 rpm, and heating starts.</w:t>
      </w:r>
      <w:r w:rsidRPr="0013765E">
        <w:rPr>
          <w:rFonts w:ascii="Times New Roman" w:eastAsiaTheme="minorHAnsi" w:hAnsi="Times New Roman"/>
          <w:color w:val="000000"/>
          <w:sz w:val="22"/>
          <w:szCs w:val="22"/>
        </w:rPr>
        <w:t xml:space="preserve"> </w:t>
      </w:r>
      <w:r w:rsidRPr="0013765E">
        <w:t>Upon completion of the HTL test, fast cooling of the reactor is carried out, so to “freeze” chemical reactions, thus avoiding unwanted products re-distribution during thermal transients. At the end of the process, the system returns to ambient temperature, and the overpressure in the reactor (compared to the initial one) allows us to quantify the gas produced during the process.</w:t>
      </w:r>
    </w:p>
    <w:p w14:paraId="34FB0CDE" w14:textId="4B3ED5B7" w:rsidR="007A2F87" w:rsidRPr="0013765E" w:rsidRDefault="007A2F87" w:rsidP="00E52992">
      <w:pPr>
        <w:pStyle w:val="CETBodytext"/>
      </w:pPr>
      <w:r w:rsidRPr="0013765E">
        <w:rPr>
          <w:color w:val="000000" w:themeColor="text1"/>
        </w:rPr>
        <w:t xml:space="preserve">The experimental protocol for phases separation following </w:t>
      </w:r>
      <w:r w:rsidRPr="0013765E">
        <w:t>HTL runs was originally defined in Di Lauro et al.</w:t>
      </w:r>
      <w:r w:rsidR="001862FF" w:rsidRPr="0013765E">
        <w:t>,</w:t>
      </w:r>
      <w:r w:rsidRPr="0013765E">
        <w:t xml:space="preserve"> </w:t>
      </w:r>
      <w:r w:rsidR="00E102D0" w:rsidRPr="0013765E">
        <w:t>(2024)</w:t>
      </w:r>
      <w:r w:rsidRPr="0013765E">
        <w:t xml:space="preserve">. Briefly, after the HTL test, the liquid and solid phases were recovered from the vessel, and 30 g of dichloromethane (DCM) were added to maximize the products recovery. The resulting slurry was filtered under vacuum. After filtration, the solid phase was subjected to Soxhlet extraction to recover the bio-oil from the solid pores, using about 150 g of DCM as extracting solvent. At the end of this operation, the solid residue was oven-dried at 105 °C for 24 h, while in the collecting flask it is present the soluble fraction in DCM. At the same time, the water/bio-oil mixture was separated by centrifugation for 10 min at 4000 rpm, obtaining the stratification between the aqueous and the oily phase: the supernatant aqueous phase was taken by means of Pasteur pipettes, while the underlying bio-crude was recovered and joined to the bio-oil obtained from extraction. Finally, the solution of bio-oil and DCM was distilled at 450 mbar with rotary evaporator. The obtained bio-crude was </w:t>
      </w:r>
      <w:r w:rsidRPr="0013765E">
        <w:lastRenderedPageBreak/>
        <w:t xml:space="preserve">characterized by elemental analysis and determination of HHV. </w:t>
      </w:r>
      <w:r w:rsidR="0004297B" w:rsidRPr="0013765E">
        <w:t>To verify the HTL data reproducibility on selected tests</w:t>
      </w:r>
      <w:r w:rsidR="00C36E4F" w:rsidRPr="0013765E">
        <w:t>,</w:t>
      </w:r>
      <w:r w:rsidR="0004297B" w:rsidRPr="0013765E">
        <w:t xml:space="preserve"> </w:t>
      </w:r>
      <w:r w:rsidR="00486E60" w:rsidRPr="0013765E">
        <w:t>two repetitions were carried out, and the product yields mean value was reported.</w:t>
      </w:r>
      <w:r w:rsidR="001C3776" w:rsidRPr="0013765E">
        <w:t xml:space="preserve"> </w:t>
      </w:r>
      <w:r w:rsidRPr="0013765E">
        <w:t>After the separation processes, the bio-crude (BC), solid residue (SR), gas (G), and aqueous phases (AP) yields (</w:t>
      </w:r>
      <w:r w:rsidRPr="0013765E">
        <w:rPr>
          <w:i/>
          <w:iCs/>
        </w:rPr>
        <w:t>Y</w:t>
      </w:r>
      <w:r w:rsidRPr="0013765E">
        <w:t xml:space="preserve">) were calculated according to </w:t>
      </w:r>
      <w:proofErr w:type="spellStart"/>
      <w:r w:rsidRPr="0013765E">
        <w:t>Eqs</w:t>
      </w:r>
      <w:proofErr w:type="spellEnd"/>
      <w:r w:rsidRPr="0013765E">
        <w:t>. 3</w:t>
      </w:r>
      <w:r w:rsidRPr="0013765E">
        <w:rPr>
          <w:rFonts w:hint="eastAsia"/>
        </w:rPr>
        <w:t>−</w:t>
      </w:r>
      <w:r w:rsidRPr="0013765E">
        <w:t>6, respectively (“</w:t>
      </w:r>
      <w:proofErr w:type="spellStart"/>
      <w:proofErr w:type="gramStart"/>
      <w:r w:rsidRPr="0013765E">
        <w:t>dafb</w:t>
      </w:r>
      <w:proofErr w:type="spellEnd"/>
      <w:r w:rsidRPr="0013765E">
        <w:t>”=</w:t>
      </w:r>
      <w:proofErr w:type="gramEnd"/>
      <w:r w:rsidRPr="0013765E">
        <w:t>dry ash-free basis):</w:t>
      </w:r>
    </w:p>
    <w:tbl>
      <w:tblPr>
        <w:tblStyle w:val="Grigliatabel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567"/>
      </w:tblGrid>
      <w:tr w:rsidR="007A2F87" w:rsidRPr="0013765E" w14:paraId="2F3037DB" w14:textId="77777777" w:rsidTr="00DF63E6">
        <w:trPr>
          <w:trHeight w:val="567"/>
        </w:trPr>
        <w:tc>
          <w:tcPr>
            <w:tcW w:w="8222" w:type="dxa"/>
          </w:tcPr>
          <w:p w14:paraId="688DE4C3" w14:textId="77777777" w:rsidR="007A2F87" w:rsidRPr="0013765E" w:rsidRDefault="00000000" w:rsidP="00AD71F7">
            <w:pPr>
              <w:pStyle w:val="CETEquation"/>
            </w:pPr>
            <m:oMath>
              <m:sSubSup>
                <m:sSubSupPr>
                  <m:ctrlPr>
                    <w:rPr>
                      <w:rFonts w:ascii="Cambria Math" w:hAnsi="Cambria Math"/>
                    </w:rPr>
                  </m:ctrlPr>
                </m:sSubSupPr>
                <m:e>
                  <m:r>
                    <w:rPr>
                      <w:rFonts w:ascii="Cambria Math" w:hAnsi="Cambria Math"/>
                    </w:rPr>
                    <m:t>Y</m:t>
                  </m:r>
                </m:e>
                <m:sub>
                  <m:r>
                    <w:rPr>
                      <w:rFonts w:ascii="Cambria Math" w:hAnsi="Cambria Math"/>
                    </w:rPr>
                    <m:t>BC</m:t>
                  </m:r>
                </m:sub>
                <m:sup>
                  <m:r>
                    <w:rPr>
                      <w:rFonts w:ascii="Cambria Math" w:hAnsi="Cambria Math"/>
                    </w:rPr>
                    <m:t>dafb</m:t>
                  </m:r>
                </m:sup>
              </m:sSub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BC</m:t>
                      </m:r>
                    </m:sub>
                  </m:sSub>
                </m:num>
                <m:den>
                  <m:sSubSup>
                    <m:sSubSupPr>
                      <m:ctrlPr>
                        <w:rPr>
                          <w:rFonts w:ascii="Cambria Math" w:hAnsi="Cambria Math"/>
                        </w:rPr>
                      </m:ctrlPr>
                    </m:sSubSupPr>
                    <m:e>
                      <m:r>
                        <w:rPr>
                          <w:rFonts w:ascii="Cambria Math" w:hAnsi="Cambria Math"/>
                        </w:rPr>
                        <m:t>m</m:t>
                      </m:r>
                    </m:e>
                    <m:sub>
                      <m:r>
                        <w:rPr>
                          <w:rFonts w:ascii="Cambria Math" w:hAnsi="Cambria Math"/>
                        </w:rPr>
                        <m:t>TS</m:t>
                      </m:r>
                    </m:sub>
                    <m:sup>
                      <m:r>
                        <w:rPr>
                          <w:rFonts w:ascii="Cambria Math" w:hAnsi="Cambria Math"/>
                        </w:rPr>
                        <m:t>dafb</m:t>
                      </m:r>
                    </m:sup>
                  </m:sSubSup>
                </m:den>
              </m:f>
              <m:r>
                <m:rPr>
                  <m:sty m:val="p"/>
                </m:rPr>
                <w:rPr>
                  <w:rFonts w:ascii="Cambria Math" w:hAnsi="Cambria Math"/>
                </w:rPr>
                <m:t>*100</m:t>
              </m:r>
            </m:oMath>
            <w:r w:rsidR="007A2F87" w:rsidRPr="0013765E">
              <w:t xml:space="preserve">    or       </w:t>
            </w:r>
            <m:oMath>
              <m:sSubSup>
                <m:sSubSupPr>
                  <m:ctrlPr>
                    <w:rPr>
                      <w:rFonts w:ascii="Cambria Math" w:hAnsi="Cambria Math"/>
                    </w:rPr>
                  </m:ctrlPr>
                </m:sSubSupPr>
                <m:e>
                  <m:r>
                    <w:rPr>
                      <w:rFonts w:ascii="Cambria Math" w:hAnsi="Cambria Math"/>
                    </w:rPr>
                    <m:t>Y</m:t>
                  </m:r>
                </m:e>
                <m:sub>
                  <m:r>
                    <w:rPr>
                      <w:rFonts w:ascii="Cambria Math" w:hAnsi="Cambria Math"/>
                    </w:rPr>
                    <m:t>BC</m:t>
                  </m:r>
                </m:sub>
                <m:sup>
                  <m:r>
                    <w:rPr>
                      <w:rFonts w:ascii="Cambria Math" w:hAnsi="Cambria Math"/>
                    </w:rPr>
                    <m:t>db</m:t>
                  </m:r>
                </m:sup>
              </m:sSub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BC</m:t>
                      </m:r>
                    </m:sub>
                  </m:sSub>
                </m:num>
                <m:den>
                  <m:sSubSup>
                    <m:sSubSupPr>
                      <m:ctrlPr>
                        <w:rPr>
                          <w:rFonts w:ascii="Cambria Math" w:hAnsi="Cambria Math"/>
                        </w:rPr>
                      </m:ctrlPr>
                    </m:sSubSupPr>
                    <m:e>
                      <m:r>
                        <w:rPr>
                          <w:rFonts w:ascii="Cambria Math" w:hAnsi="Cambria Math"/>
                        </w:rPr>
                        <m:t>m</m:t>
                      </m:r>
                    </m:e>
                    <m:sub>
                      <m:r>
                        <w:rPr>
                          <w:rFonts w:ascii="Cambria Math" w:hAnsi="Cambria Math"/>
                        </w:rPr>
                        <m:t>TS</m:t>
                      </m:r>
                    </m:sub>
                    <m:sup>
                      <m:r>
                        <w:rPr>
                          <w:rFonts w:ascii="Cambria Math" w:hAnsi="Cambria Math"/>
                        </w:rPr>
                        <m:t>db</m:t>
                      </m:r>
                    </m:sup>
                  </m:sSubSup>
                </m:den>
              </m:f>
              <m:r>
                <m:rPr>
                  <m:sty m:val="p"/>
                </m:rPr>
                <w:rPr>
                  <w:rFonts w:ascii="Cambria Math" w:hAnsi="Cambria Math"/>
                </w:rPr>
                <m:t>*100</m:t>
              </m:r>
            </m:oMath>
            <w:r w:rsidR="007A2F87" w:rsidRPr="0013765E">
              <w:t xml:space="preserve">                                                                                       </w:t>
            </w:r>
          </w:p>
        </w:tc>
        <w:tc>
          <w:tcPr>
            <w:tcW w:w="567" w:type="dxa"/>
          </w:tcPr>
          <w:p w14:paraId="268DF657" w14:textId="77777777" w:rsidR="007A2F87" w:rsidRPr="0013765E" w:rsidRDefault="007A2F87" w:rsidP="007A2F87">
            <w:pPr>
              <w:pStyle w:val="CETEquation"/>
            </w:pPr>
            <w:r w:rsidRPr="0013765E">
              <w:t>(3)</w:t>
            </w:r>
          </w:p>
        </w:tc>
      </w:tr>
      <w:tr w:rsidR="007A2F87" w:rsidRPr="0013765E" w14:paraId="180D78E0" w14:textId="77777777" w:rsidTr="00DF63E6">
        <w:trPr>
          <w:trHeight w:val="567"/>
        </w:trPr>
        <w:tc>
          <w:tcPr>
            <w:tcW w:w="8222" w:type="dxa"/>
          </w:tcPr>
          <w:p w14:paraId="67DB94A3" w14:textId="77777777" w:rsidR="007A2F87" w:rsidRPr="0013765E" w:rsidRDefault="00000000" w:rsidP="007A2F87">
            <w:pPr>
              <w:pStyle w:val="CETEquation"/>
            </w:pPr>
            <m:oMath>
              <m:sSubSup>
                <m:sSubSupPr>
                  <m:ctrlPr>
                    <w:rPr>
                      <w:rFonts w:ascii="Cambria Math" w:hAnsi="Cambria Math"/>
                    </w:rPr>
                  </m:ctrlPr>
                </m:sSubSupPr>
                <m:e>
                  <m:r>
                    <w:rPr>
                      <w:rFonts w:ascii="Cambria Math" w:hAnsi="Cambria Math"/>
                    </w:rPr>
                    <m:t>Y</m:t>
                  </m:r>
                </m:e>
                <m:sub>
                  <m:r>
                    <w:rPr>
                      <w:rFonts w:ascii="Cambria Math" w:hAnsi="Cambria Math"/>
                    </w:rPr>
                    <m:t>SR</m:t>
                  </m:r>
                </m:sub>
                <m:sup>
                  <m:r>
                    <w:rPr>
                      <w:rFonts w:ascii="Cambria Math" w:hAnsi="Cambria Math"/>
                    </w:rPr>
                    <m:t>dafb</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m</m:t>
                      </m:r>
                    </m:e>
                    <m:sub>
                      <m:r>
                        <w:rPr>
                          <w:rFonts w:ascii="Cambria Math" w:hAnsi="Cambria Math"/>
                        </w:rPr>
                        <m:t>SR</m:t>
                      </m:r>
                    </m:sub>
                    <m:sup>
                      <m:r>
                        <w:rPr>
                          <w:rFonts w:ascii="Cambria Math" w:hAnsi="Cambria Math"/>
                        </w:rPr>
                        <m:t>Org</m:t>
                      </m:r>
                    </m:sup>
                  </m:sSubSup>
                </m:num>
                <m:den>
                  <m:sSubSup>
                    <m:sSubSupPr>
                      <m:ctrlPr>
                        <w:rPr>
                          <w:rFonts w:ascii="Cambria Math" w:hAnsi="Cambria Math"/>
                        </w:rPr>
                      </m:ctrlPr>
                    </m:sSubSupPr>
                    <m:e>
                      <m:r>
                        <w:rPr>
                          <w:rFonts w:ascii="Cambria Math" w:hAnsi="Cambria Math"/>
                        </w:rPr>
                        <m:t>m</m:t>
                      </m:r>
                    </m:e>
                    <m:sub>
                      <m:r>
                        <w:rPr>
                          <w:rFonts w:ascii="Cambria Math" w:hAnsi="Cambria Math"/>
                        </w:rPr>
                        <m:t>TS</m:t>
                      </m:r>
                    </m:sub>
                    <m:sup>
                      <m:r>
                        <w:rPr>
                          <w:rFonts w:ascii="Cambria Math" w:hAnsi="Cambria Math"/>
                        </w:rPr>
                        <m:t>dafb</m:t>
                      </m:r>
                    </m:sup>
                  </m:sSubSup>
                </m:den>
              </m:f>
              <m:r>
                <m:rPr>
                  <m:sty m:val="p"/>
                </m:rPr>
                <w:rPr>
                  <w:rFonts w:ascii="Cambria Math" w:hAnsi="Cambria Math"/>
                </w:rPr>
                <m:t>*100=</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SR</m:t>
                      </m:r>
                    </m:sub>
                  </m:sSub>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As</m:t>
                          </m:r>
                          <m:sSub>
                            <m:sSubPr>
                              <m:ctrlPr>
                                <w:rPr>
                                  <w:rFonts w:ascii="Cambria Math" w:hAnsi="Cambria Math"/>
                                </w:rPr>
                              </m:ctrlPr>
                            </m:sSubPr>
                            <m:e>
                              <m:r>
                                <w:rPr>
                                  <w:rFonts w:ascii="Cambria Math" w:hAnsi="Cambria Math"/>
                                </w:rPr>
                                <m:t>h</m:t>
                              </m:r>
                            </m:e>
                            <m:sub>
                              <m:r>
                                <w:rPr>
                                  <w:rFonts w:ascii="Cambria Math" w:hAnsi="Cambria Math"/>
                                </w:rPr>
                                <m:t>SR</m:t>
                              </m:r>
                            </m:sub>
                          </m:sSub>
                        </m:num>
                        <m:den>
                          <m:r>
                            <m:rPr>
                              <m:sty m:val="p"/>
                            </m:rPr>
                            <w:rPr>
                              <w:rFonts w:ascii="Cambria Math" w:hAnsi="Cambria Math"/>
                            </w:rPr>
                            <m:t>100</m:t>
                          </m:r>
                        </m:den>
                      </m:f>
                    </m:e>
                  </m:d>
                </m:num>
                <m:den>
                  <m:sSubSup>
                    <m:sSubSupPr>
                      <m:ctrlPr>
                        <w:rPr>
                          <w:rFonts w:ascii="Cambria Math" w:hAnsi="Cambria Math"/>
                        </w:rPr>
                      </m:ctrlPr>
                    </m:sSubSupPr>
                    <m:e>
                      <m:r>
                        <w:rPr>
                          <w:rFonts w:ascii="Cambria Math" w:hAnsi="Cambria Math"/>
                        </w:rPr>
                        <m:t>m</m:t>
                      </m:r>
                    </m:e>
                    <m:sub>
                      <m:r>
                        <w:rPr>
                          <w:rFonts w:ascii="Cambria Math" w:hAnsi="Cambria Math"/>
                        </w:rPr>
                        <m:t>TS</m:t>
                      </m:r>
                    </m:sub>
                    <m:sup>
                      <m:r>
                        <w:rPr>
                          <w:rFonts w:ascii="Cambria Math" w:hAnsi="Cambria Math"/>
                        </w:rPr>
                        <m:t>dafb</m:t>
                      </m:r>
                    </m:sup>
                  </m:sSubSup>
                </m:den>
              </m:f>
              <m:r>
                <m:rPr>
                  <m:sty m:val="p"/>
                </m:rPr>
                <w:rPr>
                  <w:rFonts w:ascii="Cambria Math" w:hAnsi="Cambria Math"/>
                </w:rPr>
                <m:t>*100</m:t>
              </m:r>
            </m:oMath>
            <w:r w:rsidR="007A2F87" w:rsidRPr="0013765E">
              <w:t xml:space="preserve">                                                      </w:t>
            </w:r>
          </w:p>
        </w:tc>
        <w:tc>
          <w:tcPr>
            <w:tcW w:w="567" w:type="dxa"/>
          </w:tcPr>
          <w:p w14:paraId="6DE22760" w14:textId="77777777" w:rsidR="007A2F87" w:rsidRPr="0013765E" w:rsidRDefault="007A2F87" w:rsidP="007A2F87">
            <w:pPr>
              <w:pStyle w:val="CETEquation"/>
            </w:pPr>
            <w:r w:rsidRPr="0013765E">
              <w:t>(4)</w:t>
            </w:r>
          </w:p>
        </w:tc>
      </w:tr>
      <w:tr w:rsidR="007A2F87" w:rsidRPr="0013765E" w14:paraId="4A8FF89C" w14:textId="77777777" w:rsidTr="00DF63E6">
        <w:trPr>
          <w:trHeight w:val="567"/>
        </w:trPr>
        <w:tc>
          <w:tcPr>
            <w:tcW w:w="8222" w:type="dxa"/>
          </w:tcPr>
          <w:p w14:paraId="57E2EB89" w14:textId="77777777" w:rsidR="007A2F87" w:rsidRPr="0013765E" w:rsidRDefault="00000000" w:rsidP="007A2F87">
            <w:pPr>
              <w:pStyle w:val="CETEquation"/>
            </w:pPr>
            <m:oMath>
              <m:sSubSup>
                <m:sSubSupPr>
                  <m:ctrlPr>
                    <w:rPr>
                      <w:rFonts w:ascii="Cambria Math" w:hAnsi="Cambria Math"/>
                    </w:rPr>
                  </m:ctrlPr>
                </m:sSubSupPr>
                <m:e>
                  <m:r>
                    <w:rPr>
                      <w:rFonts w:ascii="Cambria Math" w:hAnsi="Cambria Math"/>
                    </w:rPr>
                    <m:t>Y</m:t>
                  </m:r>
                </m:e>
                <m:sub>
                  <m:r>
                    <w:rPr>
                      <w:rFonts w:ascii="Cambria Math" w:hAnsi="Cambria Math"/>
                    </w:rPr>
                    <m:t>G</m:t>
                  </m:r>
                </m:sub>
                <m:sup>
                  <m:r>
                    <w:rPr>
                      <w:rFonts w:ascii="Cambria Math" w:hAnsi="Cambria Math"/>
                    </w:rPr>
                    <m:t>dafb</m:t>
                  </m:r>
                </m:sup>
              </m:sSub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G</m:t>
                      </m:r>
                    </m:sub>
                  </m:sSub>
                </m:num>
                <m:den>
                  <m:sSubSup>
                    <m:sSubSupPr>
                      <m:ctrlPr>
                        <w:rPr>
                          <w:rFonts w:ascii="Cambria Math" w:hAnsi="Cambria Math"/>
                        </w:rPr>
                      </m:ctrlPr>
                    </m:sSubSupPr>
                    <m:e>
                      <m:r>
                        <w:rPr>
                          <w:rFonts w:ascii="Cambria Math" w:hAnsi="Cambria Math"/>
                        </w:rPr>
                        <m:t>m</m:t>
                      </m:r>
                    </m:e>
                    <m:sub>
                      <m:r>
                        <w:rPr>
                          <w:rFonts w:ascii="Cambria Math" w:hAnsi="Cambria Math"/>
                        </w:rPr>
                        <m:t>TS</m:t>
                      </m:r>
                    </m:sub>
                    <m:sup>
                      <m:r>
                        <w:rPr>
                          <w:rFonts w:ascii="Cambria Math" w:hAnsi="Cambria Math"/>
                        </w:rPr>
                        <m:t>dafb</m:t>
                      </m:r>
                    </m:sup>
                  </m:sSubSup>
                </m:den>
              </m:f>
              <m:r>
                <m:rPr>
                  <m:sty m:val="p"/>
                </m:rPr>
                <w:rPr>
                  <w:rFonts w:ascii="Cambria Math" w:hAnsi="Cambria Math"/>
                </w:rPr>
                <m:t>*100=</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sub>
                  </m:sSub>
                  <m:r>
                    <m:rPr>
                      <m:sty m:val="p"/>
                    </m:rPr>
                    <w:rPr>
                      <w:rFonts w:ascii="Cambria Math" w:hAnsi="Cambria Math"/>
                    </w:rPr>
                    <m:t xml:space="preserve">+ </m:t>
                  </m:r>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H</m:t>
                          </m:r>
                        </m:e>
                        <m:sub>
                          <m:r>
                            <m:rPr>
                              <m:sty m:val="p"/>
                            </m:rPr>
                            <w:rPr>
                              <w:rFonts w:ascii="Cambria Math" w:hAnsi="Cambria Math"/>
                            </w:rPr>
                            <m:t>2</m:t>
                          </m:r>
                        </m:sub>
                      </m:sSub>
                    </m:sub>
                  </m:sSub>
                </m:num>
                <m:den>
                  <m:sSubSup>
                    <m:sSubSupPr>
                      <m:ctrlPr>
                        <w:rPr>
                          <w:rFonts w:ascii="Cambria Math" w:hAnsi="Cambria Math"/>
                        </w:rPr>
                      </m:ctrlPr>
                    </m:sSubSupPr>
                    <m:e>
                      <m:r>
                        <w:rPr>
                          <w:rFonts w:ascii="Cambria Math" w:hAnsi="Cambria Math"/>
                        </w:rPr>
                        <m:t>m</m:t>
                      </m:r>
                    </m:e>
                    <m:sub>
                      <m:r>
                        <w:rPr>
                          <w:rFonts w:ascii="Cambria Math" w:hAnsi="Cambria Math"/>
                        </w:rPr>
                        <m:t>TS</m:t>
                      </m:r>
                    </m:sub>
                    <m:sup>
                      <m:r>
                        <w:rPr>
                          <w:rFonts w:ascii="Cambria Math" w:hAnsi="Cambria Math"/>
                        </w:rPr>
                        <m:t>dafb</m:t>
                      </m:r>
                    </m:sup>
                  </m:sSubSup>
                </m:den>
              </m:f>
              <m:r>
                <m:rPr>
                  <m:sty m:val="p"/>
                </m:rPr>
                <w:rPr>
                  <w:rFonts w:ascii="Cambria Math" w:hAnsi="Cambria Math"/>
                </w:rPr>
                <m:t>*100</m:t>
              </m:r>
            </m:oMath>
            <w:r w:rsidR="007A2F87" w:rsidRPr="0013765E">
              <w:t xml:space="preserve">                                                           </w:t>
            </w:r>
          </w:p>
        </w:tc>
        <w:tc>
          <w:tcPr>
            <w:tcW w:w="567" w:type="dxa"/>
          </w:tcPr>
          <w:p w14:paraId="3772CF85" w14:textId="77777777" w:rsidR="007A2F87" w:rsidRPr="0013765E" w:rsidRDefault="007A2F87" w:rsidP="007A2F87">
            <w:pPr>
              <w:pStyle w:val="CETEquation"/>
            </w:pPr>
            <w:r w:rsidRPr="0013765E">
              <w:t>(5)</w:t>
            </w:r>
          </w:p>
        </w:tc>
      </w:tr>
      <w:tr w:rsidR="007A2F87" w:rsidRPr="0013765E" w14:paraId="3909BC7D" w14:textId="77777777" w:rsidTr="00DF63E6">
        <w:trPr>
          <w:trHeight w:val="567"/>
        </w:trPr>
        <w:tc>
          <w:tcPr>
            <w:tcW w:w="8222" w:type="dxa"/>
          </w:tcPr>
          <w:p w14:paraId="1041439A" w14:textId="77777777" w:rsidR="007A2F87" w:rsidRPr="0013765E" w:rsidRDefault="00000000" w:rsidP="007A2F87">
            <w:pPr>
              <w:pStyle w:val="CETEquation"/>
            </w:pPr>
            <m:oMath>
              <m:sSubSup>
                <m:sSubSupPr>
                  <m:ctrlPr>
                    <w:rPr>
                      <w:rFonts w:ascii="Cambria Math" w:hAnsi="Cambria Math"/>
                    </w:rPr>
                  </m:ctrlPr>
                </m:sSubSupPr>
                <m:e>
                  <m:r>
                    <w:rPr>
                      <w:rFonts w:ascii="Cambria Math" w:hAnsi="Cambria Math"/>
                    </w:rPr>
                    <m:t>Y</m:t>
                  </m:r>
                </m:e>
                <m:sub>
                  <m:r>
                    <w:rPr>
                      <w:rFonts w:ascii="Cambria Math" w:hAnsi="Cambria Math"/>
                    </w:rPr>
                    <m:t>AP</m:t>
                  </m:r>
                </m:sub>
                <m:sup>
                  <m:r>
                    <w:rPr>
                      <w:rFonts w:ascii="Cambria Math" w:hAnsi="Cambria Math"/>
                    </w:rPr>
                    <m:t>dafb</m:t>
                  </m:r>
                </m:sup>
              </m:sSubSup>
              <m:r>
                <m:rPr>
                  <m:sty m:val="p"/>
                </m:rPr>
                <w:rPr>
                  <w:rFonts w:ascii="Cambria Math" w:hAnsi="Cambria Math"/>
                </w:rPr>
                <m:t>=100-</m:t>
              </m:r>
              <m:d>
                <m:dPr>
                  <m:ctrlPr>
                    <w:rPr>
                      <w:rFonts w:ascii="Cambria Math" w:hAnsi="Cambria Math"/>
                    </w:rPr>
                  </m:ctrlPr>
                </m:dPr>
                <m:e>
                  <m:sSubSup>
                    <m:sSubSupPr>
                      <m:ctrlPr>
                        <w:rPr>
                          <w:rFonts w:ascii="Cambria Math" w:hAnsi="Cambria Math"/>
                        </w:rPr>
                      </m:ctrlPr>
                    </m:sSubSupPr>
                    <m:e>
                      <m:r>
                        <w:rPr>
                          <w:rFonts w:ascii="Cambria Math" w:hAnsi="Cambria Math"/>
                        </w:rPr>
                        <m:t>Y</m:t>
                      </m:r>
                    </m:e>
                    <m:sub>
                      <m:r>
                        <w:rPr>
                          <w:rFonts w:ascii="Cambria Math" w:hAnsi="Cambria Math"/>
                        </w:rPr>
                        <m:t>BC</m:t>
                      </m:r>
                    </m:sub>
                    <m:sup>
                      <m:r>
                        <w:rPr>
                          <w:rFonts w:ascii="Cambria Math" w:hAnsi="Cambria Math"/>
                        </w:rPr>
                        <m:t>dafb</m:t>
                      </m:r>
                    </m:sup>
                  </m:sSubSup>
                  <m:r>
                    <m:rPr>
                      <m:sty m:val="p"/>
                    </m:rP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SR</m:t>
                      </m:r>
                    </m:sub>
                    <m:sup>
                      <m:r>
                        <w:rPr>
                          <w:rFonts w:ascii="Cambria Math" w:hAnsi="Cambria Math"/>
                        </w:rPr>
                        <m:t>dafb</m:t>
                      </m:r>
                    </m:sup>
                  </m:sSubSup>
                  <m:r>
                    <m:rPr>
                      <m:sty m:val="p"/>
                    </m:rP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G</m:t>
                      </m:r>
                    </m:sub>
                    <m:sup>
                      <m:r>
                        <w:rPr>
                          <w:rFonts w:ascii="Cambria Math" w:hAnsi="Cambria Math"/>
                        </w:rPr>
                        <m:t>dafb</m:t>
                      </m:r>
                    </m:sup>
                  </m:sSubSup>
                </m:e>
              </m:d>
            </m:oMath>
            <w:r w:rsidR="007A2F87" w:rsidRPr="0013765E">
              <w:t xml:space="preserve">                                                        </w:t>
            </w:r>
          </w:p>
        </w:tc>
        <w:tc>
          <w:tcPr>
            <w:tcW w:w="567" w:type="dxa"/>
          </w:tcPr>
          <w:p w14:paraId="32CB3700" w14:textId="77777777" w:rsidR="007A2F87" w:rsidRPr="0013765E" w:rsidRDefault="007A2F87" w:rsidP="007A2F87">
            <w:pPr>
              <w:pStyle w:val="CETEquation"/>
            </w:pPr>
            <w:r w:rsidRPr="0013765E">
              <w:t>(6)</w:t>
            </w:r>
          </w:p>
        </w:tc>
      </w:tr>
    </w:tbl>
    <w:p w14:paraId="506E4D12" w14:textId="77777777" w:rsidR="007A2F87" w:rsidRPr="0013765E" w:rsidRDefault="007A2F87" w:rsidP="001506CC">
      <w:pPr>
        <w:pStyle w:val="CETBodytext"/>
        <w:spacing w:before="120"/>
      </w:pPr>
      <w:r w:rsidRPr="0013765E">
        <w:t xml:space="preserve">where </w:t>
      </w:r>
      <w:r w:rsidRPr="0013765E">
        <w:rPr>
          <w:i/>
          <w:iCs/>
        </w:rPr>
        <w:t>m</w:t>
      </w:r>
      <w:r w:rsidRPr="0013765E">
        <w:t xml:space="preserve"> represents the mass, </w:t>
      </w:r>
      <w:proofErr w:type="spellStart"/>
      <w:r w:rsidRPr="0013765E">
        <w:rPr>
          <w:i/>
          <w:iCs/>
          <w:szCs w:val="18"/>
        </w:rPr>
        <w:t>Ash</w:t>
      </w:r>
      <w:r w:rsidRPr="0013765E">
        <w:rPr>
          <w:i/>
          <w:iCs/>
          <w:vertAlign w:val="subscript"/>
        </w:rPr>
        <w:t>SR</w:t>
      </w:r>
      <w:proofErr w:type="spellEnd"/>
      <w:r w:rsidRPr="0013765E">
        <w:t xml:space="preserve"> the percentage of ash in the solid residue, while the apex </w:t>
      </w:r>
      <w:r w:rsidRPr="0013765E">
        <w:rPr>
          <w:i/>
          <w:iCs/>
          <w:szCs w:val="18"/>
        </w:rPr>
        <w:t>Org</w:t>
      </w:r>
      <w:r w:rsidRPr="0013765E">
        <w:t xml:space="preserve"> is relative to the organic fraction present in the products. For the evaluation of the solid residue yield (Eq. 4), the complete removal of the active phase from the slurry was assumed. Consequently, in this work the yield of solid residue reflects only its organic fraction, i.e., this yield is expressed net of ash content.</w:t>
      </w:r>
    </w:p>
    <w:p w14:paraId="4A274771" w14:textId="5671ED12" w:rsidR="007A2F87" w:rsidRPr="0013765E" w:rsidRDefault="007A2F87" w:rsidP="001506CC">
      <w:pPr>
        <w:pStyle w:val="CETBodytext"/>
        <w:spacing w:after="120"/>
      </w:pPr>
      <w:r w:rsidRPr="0013765E">
        <w:t>Different assumptions were adopted for the calculation of the gas-phase yield (Eq. 5), depending on the type of test. For RT and for experiments conducted in the presence of Fe or MgCl</w:t>
      </w:r>
      <w:r w:rsidRPr="0013765E">
        <w:rPr>
          <w:vertAlign w:val="subscript"/>
        </w:rPr>
        <w:t>2</w:t>
      </w:r>
      <w:r w:rsidRPr="0013765E">
        <w:t>, the final gas phase was assumed to consist of a binary mixture of nitrogen and carbon dioxide (N</w:t>
      </w:r>
      <w:r w:rsidRPr="0013765E">
        <w:rPr>
          <w:vertAlign w:val="subscript"/>
        </w:rPr>
        <w:t>2</w:t>
      </w:r>
      <w:r w:rsidRPr="0013765E">
        <w:rPr>
          <w:rFonts w:cs="Arial"/>
        </w:rPr>
        <w:t>–</w:t>
      </w:r>
      <w:r w:rsidRPr="0013765E">
        <w:t>CO</w:t>
      </w:r>
      <w:r w:rsidRPr="0013765E">
        <w:rPr>
          <w:vertAlign w:val="subscript"/>
        </w:rPr>
        <w:t>2</w:t>
      </w:r>
      <w:r w:rsidRPr="0013765E">
        <w:t>), based on literature data reporting CO</w:t>
      </w:r>
      <w:r w:rsidRPr="0013765E">
        <w:rPr>
          <w:vertAlign w:val="subscript"/>
        </w:rPr>
        <w:t>2</w:t>
      </w:r>
      <w:r w:rsidRPr="0013765E">
        <w:t xml:space="preserve"> fractions between 70% and 95% under comparable HTL operating conditions</w:t>
      </w:r>
      <w:r w:rsidR="00E102D0" w:rsidRPr="0013765E">
        <w:t xml:space="preserve"> (Basar et al., 2021</w:t>
      </w:r>
      <w:r w:rsidR="00EE48C6" w:rsidRPr="0013765E">
        <w:t>; Tai et al., 2021</w:t>
      </w:r>
      <w:r w:rsidR="00E102D0" w:rsidRPr="0013765E">
        <w:t>)</w:t>
      </w:r>
      <w:r w:rsidRPr="0013765E">
        <w:t>. Conversely, for tests performed with zinc, the gas phase was assumed to be a ternary mixture of N</w:t>
      </w:r>
      <w:r w:rsidRPr="0013765E">
        <w:rPr>
          <w:vertAlign w:val="subscript"/>
        </w:rPr>
        <w:t>2</w:t>
      </w:r>
      <w:r w:rsidRPr="0013765E">
        <w:t>, CO</w:t>
      </w:r>
      <w:r w:rsidRPr="0013765E">
        <w:rPr>
          <w:vertAlign w:val="subscript"/>
        </w:rPr>
        <w:t>2</w:t>
      </w:r>
      <w:r w:rsidRPr="0013765E">
        <w:t>, and H</w:t>
      </w:r>
      <w:r w:rsidRPr="0013765E">
        <w:rPr>
          <w:vertAlign w:val="subscript"/>
        </w:rPr>
        <w:t>2</w:t>
      </w:r>
      <w:r w:rsidRPr="0013765E">
        <w:t>, with an equimolar H</w:t>
      </w:r>
      <w:r w:rsidRPr="0013765E">
        <w:rPr>
          <w:vertAlign w:val="subscript"/>
        </w:rPr>
        <w:t>2</w:t>
      </w:r>
      <w:r w:rsidRPr="0013765E">
        <w:rPr>
          <w:rFonts w:cs="Arial"/>
        </w:rPr>
        <w:t>–</w:t>
      </w:r>
      <w:r w:rsidRPr="0013765E">
        <w:t>CO</w:t>
      </w:r>
      <w:r w:rsidRPr="0013765E">
        <w:rPr>
          <w:vertAlign w:val="subscript"/>
        </w:rPr>
        <w:t>2</w:t>
      </w:r>
      <w:r w:rsidRPr="0013765E">
        <w:t xml:space="preserve"> ratio after excluding the nitrogen contribution, as reported by Prestigiacomo et al.</w:t>
      </w:r>
      <w:r w:rsidR="00067058" w:rsidRPr="0013765E">
        <w:t>,</w:t>
      </w:r>
      <w:r w:rsidRPr="0013765E">
        <w:t xml:space="preserve"> </w:t>
      </w:r>
      <w:r w:rsidR="00DA64AD" w:rsidRPr="0013765E">
        <w:t>(2022)</w:t>
      </w:r>
      <w:r w:rsidRPr="0013765E">
        <w:t xml:space="preserve"> with similar biomass. </w:t>
      </w:r>
      <m:oMath>
        <m:sSubSup>
          <m:sSubSupPr>
            <m:ctrlPr>
              <w:rPr>
                <w:rFonts w:ascii="Cambria Math" w:hAnsi="Cambria Math"/>
              </w:rPr>
            </m:ctrlPr>
          </m:sSubSupPr>
          <m:e>
            <m:r>
              <w:rPr>
                <w:rFonts w:ascii="Cambria Math" w:hAnsi="Cambria Math"/>
              </w:rPr>
              <m:t>Y</m:t>
            </m:r>
          </m:e>
          <m:sub>
            <m:r>
              <w:rPr>
                <w:rFonts w:ascii="Cambria Math" w:hAnsi="Cambria Math"/>
              </w:rPr>
              <m:t>AP</m:t>
            </m:r>
          </m:sub>
          <m:sup>
            <m:r>
              <w:rPr>
                <w:rFonts w:ascii="Cambria Math" w:hAnsi="Cambria Math"/>
              </w:rPr>
              <m:t>dafb</m:t>
            </m:r>
          </m:sup>
        </m:sSubSup>
      </m:oMath>
      <w:r w:rsidR="00067058" w:rsidRPr="0013765E">
        <w:t xml:space="preserve"> </w:t>
      </w:r>
      <w:r w:rsidRPr="0013765E">
        <w:t>(Eq. 6) is calculated as a complement to 100 of the yields of the other products.</w:t>
      </w:r>
      <w:r w:rsidR="001F4F20" w:rsidRPr="0013765E">
        <w:t xml:space="preserve"> </w:t>
      </w:r>
      <w:r w:rsidRPr="0013765E">
        <w:t>The energy recovery (ER) in bio-crude is estimated as the ratio between the higher heating value of the bio-crude and that of the</w:t>
      </w:r>
      <w:r w:rsidR="00067058" w:rsidRPr="0013765E">
        <w:t xml:space="preserve"> TS</w:t>
      </w:r>
      <w:r w:rsidRPr="0013765E">
        <w:t xml:space="preserve">, multiplied by the mass yield of bio-crude: </w:t>
      </w:r>
    </w:p>
    <w:tbl>
      <w:tblPr>
        <w:tblStyle w:val="Grigliatabella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gridCol w:w="567"/>
      </w:tblGrid>
      <w:tr w:rsidR="007A2F87" w:rsidRPr="0013765E" w14:paraId="46B93965" w14:textId="77777777" w:rsidTr="007A2F87">
        <w:trPr>
          <w:trHeight w:val="567"/>
        </w:trPr>
        <w:tc>
          <w:tcPr>
            <w:tcW w:w="8364" w:type="dxa"/>
          </w:tcPr>
          <w:p w14:paraId="19DAFE41" w14:textId="77777777" w:rsidR="007A2F87" w:rsidRPr="0013765E" w:rsidRDefault="007A2F87" w:rsidP="007A2F87">
            <w:pPr>
              <w:pStyle w:val="CETEquation"/>
              <w:rPr>
                <w:rFonts w:ascii="Arial MT" w:eastAsia="Arial MT" w:hAnsi="Arial MT"/>
              </w:rPr>
            </w:pPr>
            <m:oMath>
              <m:r>
                <m:rPr>
                  <m:sty m:val="p"/>
                </m:rPr>
                <w:rPr>
                  <w:rFonts w:ascii="Cambria Math" w:eastAsia="Arial MT" w:hAnsi="Cambria Math"/>
                </w:rPr>
                <m:t>ER=</m:t>
              </m:r>
              <m:f>
                <m:fPr>
                  <m:ctrlPr>
                    <w:rPr>
                      <w:rFonts w:ascii="Cambria Math" w:eastAsia="Arial MT" w:hAnsi="Cambria Math"/>
                      <w:iCs/>
                      <w:lang w:val="it-IT"/>
                    </w:rPr>
                  </m:ctrlPr>
                </m:fPr>
                <m:num>
                  <m:sSubSup>
                    <m:sSubSupPr>
                      <m:ctrlPr>
                        <w:rPr>
                          <w:rFonts w:ascii="Cambria Math" w:eastAsia="Arial MT" w:hAnsi="Cambria Math"/>
                          <w:iCs/>
                          <w:lang w:val="it-IT"/>
                        </w:rPr>
                      </m:ctrlPr>
                    </m:sSubSupPr>
                    <m:e>
                      <m:r>
                        <m:rPr>
                          <m:sty m:val="p"/>
                        </m:rPr>
                        <w:rPr>
                          <w:rFonts w:ascii="Cambria Math" w:eastAsia="Arial MT" w:hAnsi="Cambria Math"/>
                        </w:rPr>
                        <m:t>HHV</m:t>
                      </m:r>
                    </m:e>
                    <m:sub>
                      <m:r>
                        <m:rPr>
                          <m:sty m:val="p"/>
                        </m:rPr>
                        <w:rPr>
                          <w:rFonts w:ascii="Cambria Math" w:eastAsia="Arial MT" w:hAnsi="Cambria Math"/>
                        </w:rPr>
                        <m:t>BC</m:t>
                      </m:r>
                    </m:sub>
                    <m:sup>
                      <m:r>
                        <m:rPr>
                          <m:sty m:val="p"/>
                        </m:rPr>
                        <w:rPr>
                          <w:rFonts w:ascii="Cambria Math" w:eastAsia="Arial MT" w:hAnsi="Cambria Math"/>
                        </w:rPr>
                        <m:t>db</m:t>
                      </m:r>
                    </m:sup>
                  </m:sSubSup>
                </m:num>
                <m:den>
                  <m:sSubSup>
                    <m:sSubSupPr>
                      <m:ctrlPr>
                        <w:rPr>
                          <w:rFonts w:ascii="Cambria Math" w:eastAsia="Arial MT" w:hAnsi="Cambria Math"/>
                          <w:iCs/>
                          <w:lang w:val="it-IT"/>
                        </w:rPr>
                      </m:ctrlPr>
                    </m:sSubSupPr>
                    <m:e>
                      <m:r>
                        <m:rPr>
                          <m:sty m:val="p"/>
                        </m:rPr>
                        <w:rPr>
                          <w:rFonts w:ascii="Cambria Math" w:eastAsia="Arial MT" w:hAnsi="Cambria Math"/>
                        </w:rPr>
                        <m:t>HHV</m:t>
                      </m:r>
                    </m:e>
                    <m:sub>
                      <m:r>
                        <m:rPr>
                          <m:sty m:val="p"/>
                        </m:rPr>
                        <w:rPr>
                          <w:rFonts w:ascii="Cambria Math" w:eastAsia="Arial MT" w:hAnsi="Cambria Math"/>
                        </w:rPr>
                        <m:t>TS</m:t>
                      </m:r>
                    </m:sub>
                    <m:sup>
                      <m:r>
                        <m:rPr>
                          <m:sty m:val="p"/>
                        </m:rPr>
                        <w:rPr>
                          <w:rFonts w:ascii="Cambria Math" w:eastAsia="Arial MT" w:hAnsi="Cambria Math"/>
                        </w:rPr>
                        <m:t>db</m:t>
                      </m:r>
                    </m:sup>
                  </m:sSubSup>
                </m:den>
              </m:f>
              <m:r>
                <m:rPr>
                  <m:sty m:val="p"/>
                </m:rPr>
                <w:rPr>
                  <w:rFonts w:ascii="Cambria Math" w:eastAsia="Arial MT" w:hAnsi="Cambria Math"/>
                </w:rPr>
                <m:t>*</m:t>
              </m:r>
              <m:sSubSup>
                <m:sSubSupPr>
                  <m:ctrlPr>
                    <w:rPr>
                      <w:rFonts w:ascii="Cambria Math" w:eastAsia="Arial MT" w:hAnsi="Cambria Math"/>
                      <w:lang w:val="it-IT"/>
                    </w:rPr>
                  </m:ctrlPr>
                </m:sSubSupPr>
                <m:e>
                  <m:r>
                    <w:rPr>
                      <w:rFonts w:ascii="Cambria Math" w:eastAsia="Arial MT" w:hAnsi="Cambria Math"/>
                      <w:lang w:val="it-IT"/>
                    </w:rPr>
                    <m:t>Y</m:t>
                  </m:r>
                </m:e>
                <m:sub>
                  <m:r>
                    <w:rPr>
                      <w:rFonts w:ascii="Cambria Math" w:eastAsia="Arial MT" w:hAnsi="Cambria Math"/>
                      <w:lang w:val="it-IT"/>
                    </w:rPr>
                    <m:t>BC</m:t>
                  </m:r>
                </m:sub>
                <m:sup>
                  <m:r>
                    <w:rPr>
                      <w:rFonts w:ascii="Cambria Math" w:eastAsia="Arial MT" w:hAnsi="Cambria Math"/>
                      <w:lang w:val="it-IT"/>
                    </w:rPr>
                    <m:t>db</m:t>
                  </m:r>
                </m:sup>
              </m:sSubSup>
            </m:oMath>
            <w:r w:rsidRPr="0013765E">
              <w:rPr>
                <w:rFonts w:ascii="Arial MT" w:eastAsia="Arial MT" w:hAnsi="Arial MT"/>
              </w:rPr>
              <w:t xml:space="preserve">                                          </w:t>
            </w:r>
          </w:p>
        </w:tc>
        <w:tc>
          <w:tcPr>
            <w:tcW w:w="567" w:type="dxa"/>
          </w:tcPr>
          <w:p w14:paraId="0158CCE6" w14:textId="77777777" w:rsidR="007A2F87" w:rsidRPr="0013765E" w:rsidRDefault="007A2F87" w:rsidP="007A2F87">
            <w:pPr>
              <w:pStyle w:val="CETEquation"/>
              <w:rPr>
                <w:rFonts w:ascii="Arial MT" w:eastAsia="Arial MT" w:hAnsi="Arial MT"/>
              </w:rPr>
            </w:pPr>
            <w:r w:rsidRPr="0013765E">
              <w:rPr>
                <w:rFonts w:ascii="Arial MT" w:eastAsia="Arial MT" w:hAnsi="Arial MT"/>
              </w:rPr>
              <w:t>(7)</w:t>
            </w:r>
          </w:p>
        </w:tc>
      </w:tr>
    </w:tbl>
    <w:p w14:paraId="677EBFF0" w14:textId="7C5F854C" w:rsidR="00600535" w:rsidRPr="0013765E" w:rsidRDefault="007A2F87" w:rsidP="00865675">
      <w:pPr>
        <w:pStyle w:val="CETHeading1"/>
        <w:rPr>
          <w:lang w:val="en-GB"/>
        </w:rPr>
      </w:pPr>
      <w:r w:rsidRPr="0013765E">
        <w:t>Results</w:t>
      </w:r>
    </w:p>
    <w:p w14:paraId="6353F27D" w14:textId="5E25D651" w:rsidR="007A2F87" w:rsidRPr="0013765E" w:rsidRDefault="007A2F87" w:rsidP="007A2F87">
      <w:pPr>
        <w:pStyle w:val="CETheadingx"/>
      </w:pPr>
      <w:r w:rsidRPr="0013765E">
        <w:t xml:space="preserve">Results of HTL tests at different sludge concentrations and </w:t>
      </w:r>
      <w:r w:rsidR="0034627D" w:rsidRPr="0013765E">
        <w:t>with different active phases</w:t>
      </w:r>
    </w:p>
    <w:p w14:paraId="710D999F" w14:textId="4FC2D341" w:rsidR="0034627D" w:rsidRPr="0013765E" w:rsidRDefault="007A2F87" w:rsidP="000707F9">
      <w:pPr>
        <w:pStyle w:val="CETBodytext"/>
      </w:pPr>
      <w:r w:rsidRPr="0013765E">
        <w:t xml:space="preserve">Figure </w:t>
      </w:r>
      <w:r w:rsidR="004D4C80" w:rsidRPr="0013765E">
        <w:t>1</w:t>
      </w:r>
      <w:r w:rsidR="0034627D" w:rsidRPr="0013765E">
        <w:t>a</w:t>
      </w:r>
      <w:r w:rsidRPr="0013765E">
        <w:t xml:space="preserve"> reports the values for the yields obtained upon the three RT (cf. Table 2).</w:t>
      </w:r>
      <w:r w:rsidR="00DF3A6C" w:rsidRPr="0013765E">
        <w:t xml:space="preserve"> For RT (10% – 300 mL), the yield in bio-crude was slightly lower than 40%. Under the other two operating conditions, a slight increase is observed, thus becoming more pronounced at higher sludge concentrations and lower slurry volumes, reaching 43% for RT (20% – 250 mL). This suggests a possible concentration-dependent biomass conversion mechanism, even if the effect is very limited. Specifically, increasing the concentration of macromolecular components in the slurry enhances conversion to bio-crude through a complex reaction network. In addition, comparing RT (20% – 250 mL) vs. RT (10% – 300 mL) in terms of solid residue and aqueous phase yields, we observe that both decrease in </w:t>
      </w:r>
      <w:proofErr w:type="spellStart"/>
      <w:r w:rsidR="00DF3A6C" w:rsidRPr="0013765E">
        <w:t>favour</w:t>
      </w:r>
      <w:proofErr w:type="spellEnd"/>
      <w:r w:rsidR="00DF3A6C" w:rsidRPr="0013765E">
        <w:t xml:space="preserve"> of bio-crude production. Then, the operating condition selected as the reference for subsequent tests with </w:t>
      </w:r>
      <w:r w:rsidR="001C3776" w:rsidRPr="0013765E">
        <w:t>AC</w:t>
      </w:r>
      <w:r w:rsidR="00DF3A6C" w:rsidRPr="0013765E">
        <w:t xml:space="preserve"> corresponds to a sludge concentration of 20% and a filling volume of 250 mL</w:t>
      </w:r>
      <w:r w:rsidR="0004297B" w:rsidRPr="0013765E">
        <w:t xml:space="preserve"> </w:t>
      </w:r>
      <w:r w:rsidR="0034627D" w:rsidRPr="0013765E">
        <w:t>To assess the influence of the active phases on HTL product distribution and bio-crude quality, tests were conducted using the same amount of active phase added to the slurry (20%). Figure 1b highlights the effect of the different active phases (Fe, Zn, and MgCl</w:t>
      </w:r>
      <w:r w:rsidR="0034627D" w:rsidRPr="0013765E">
        <w:rPr>
          <w:vertAlign w:val="subscript"/>
        </w:rPr>
        <w:t>2</w:t>
      </w:r>
      <w:r w:rsidR="0034627D" w:rsidRPr="0013765E">
        <w:t>), with respect to RT (20% – 250 mL), on the products distribution.</w:t>
      </w:r>
      <w:r w:rsidR="001862FF" w:rsidRPr="0013765E">
        <w:t xml:space="preserve"> </w:t>
      </w:r>
      <w:r w:rsidR="0034627D" w:rsidRPr="0013765E">
        <w:t>The bio-crude yield remains overall comparable for all experiments. It decreases slightly from 43.0% in the reference test to 41.3% with Fe (−1.7%), (standard deviation of ± 0.0</w:t>
      </w:r>
      <w:r w:rsidR="00D66E51" w:rsidRPr="0013765E">
        <w:t>2</w:t>
      </w:r>
      <w:r w:rsidR="0034627D" w:rsidRPr="0013765E">
        <w:t>), increases to 44.1% with Zn (+1.1%), (standard deviation of ± 0.</w:t>
      </w:r>
      <w:r w:rsidR="00D66E51" w:rsidRPr="0013765E">
        <w:t>8</w:t>
      </w:r>
      <w:r w:rsidR="0034627D" w:rsidRPr="0013765E">
        <w:t>) and decreases to 40.7% with MgCl</w:t>
      </w:r>
      <w:r w:rsidR="0034627D" w:rsidRPr="0013765E">
        <w:rPr>
          <w:vertAlign w:val="subscript"/>
        </w:rPr>
        <w:t>2</w:t>
      </w:r>
      <w:r w:rsidR="0034627D" w:rsidRPr="0013765E">
        <w:t xml:space="preserve"> (−2.3%). This indicates that the addition of the active phases does not significantly affect bio-crude production</w:t>
      </w:r>
      <w:r w:rsidR="000707F9" w:rsidRPr="0013765E">
        <w:t>.</w:t>
      </w:r>
      <w:r w:rsidR="007A639F" w:rsidRPr="0013765E">
        <w:t xml:space="preserve"> These results are only partially in agreement with data reported in the literature for similar biomasses. For example, </w:t>
      </w:r>
      <w:r w:rsidR="000707F9" w:rsidRPr="0013765E">
        <w:t>Prestigiacomo et al. (2022) reported a marginal increase in bio</w:t>
      </w:r>
      <w:r w:rsidR="007A639F" w:rsidRPr="0013765E">
        <w:t>-</w:t>
      </w:r>
      <w:r w:rsidR="000707F9" w:rsidRPr="0013765E">
        <w:t xml:space="preserve">crude yield with Fe in sewage sludge HTL, consistent with this study. In contrast, Zn led to a significant increase (29% vs 42% </w:t>
      </w:r>
      <w:proofErr w:type="spellStart"/>
      <w:r w:rsidR="000707F9" w:rsidRPr="0013765E">
        <w:t>dafb</w:t>
      </w:r>
      <w:proofErr w:type="spellEnd"/>
      <w:r w:rsidR="000707F9" w:rsidRPr="0013765E">
        <w:t xml:space="preserve">), not observed here. This discrepancy may be due </w:t>
      </w:r>
      <w:proofErr w:type="gramStart"/>
      <w:r w:rsidR="000707F9" w:rsidRPr="0013765E">
        <w:t>to:</w:t>
      </w:r>
      <w:proofErr w:type="gramEnd"/>
      <w:r w:rsidR="000707F9" w:rsidRPr="0013765E">
        <w:t xml:space="preserve"> </w:t>
      </w:r>
      <w:proofErr w:type="spellStart"/>
      <w:r w:rsidR="000707F9" w:rsidRPr="0013765E">
        <w:t>i</w:t>
      </w:r>
      <w:proofErr w:type="spellEnd"/>
      <w:r w:rsidR="000707F9" w:rsidRPr="0013765E">
        <w:t>) the different biomass type and higher inorganic content in TS, which may reduce the activity</w:t>
      </w:r>
      <w:r w:rsidR="007A639F" w:rsidRPr="0013765E">
        <w:t xml:space="preserve"> of Zn</w:t>
      </w:r>
      <w:r w:rsidR="000707F9" w:rsidRPr="0013765E">
        <w:t xml:space="preserve">; ii) </w:t>
      </w:r>
      <w:r w:rsidR="007A639F" w:rsidRPr="0013765E">
        <w:t xml:space="preserve">the shorter reaction time, limiting hydrogenation and stabilization of reactive fragments. Indeed, longer times (350 </w:t>
      </w:r>
      <w:r w:rsidR="007A639F" w:rsidRPr="0013765E">
        <w:lastRenderedPageBreak/>
        <w:t>°C, 30 min) have been shown to increase biocrude yields (Wang et al., 2022)</w:t>
      </w:r>
      <w:r w:rsidR="00C36E4F" w:rsidRPr="0013765E">
        <w:t xml:space="preserve"> when dealing with a biomass characterized by a different </w:t>
      </w:r>
      <w:proofErr w:type="spellStart"/>
      <w:r w:rsidR="00C36E4F" w:rsidRPr="0013765E">
        <w:t>macrocomposition</w:t>
      </w:r>
      <w:proofErr w:type="spellEnd"/>
      <w:r w:rsidR="007A639F" w:rsidRPr="0013765E">
        <w:t>. Further studies will assess this effect</w:t>
      </w:r>
      <w:r w:rsidR="000707F9" w:rsidRPr="0013765E">
        <w:t>.</w:t>
      </w:r>
      <w:r w:rsidR="0034627D" w:rsidRPr="0013765E">
        <w:t xml:space="preserve"> </w:t>
      </w:r>
    </w:p>
    <w:p w14:paraId="6EE2B5FA" w14:textId="31CB5CE7" w:rsidR="0034627D" w:rsidRPr="0013765E" w:rsidRDefault="0034627D" w:rsidP="0034627D">
      <w:pPr>
        <w:pStyle w:val="CETBodytext"/>
      </w:pPr>
      <w:r w:rsidRPr="0013765E">
        <w:t>In contrast, marked differences emerge in the distribution of the secondary phases. In the presence of Fe, the SR yield decreases sharply from 26.8% to 10.7% (−16.1%), while the AP yield increases substantially from 21.7% to 36.1% (+14.4%). The gas yield also increases from 8.5% to 11.8% (+3.3%).</w:t>
      </w:r>
    </w:p>
    <w:p w14:paraId="5212BEB1" w14:textId="03C29439" w:rsidR="00245B26" w:rsidRPr="0013765E" w:rsidRDefault="00245B26" w:rsidP="000A7275">
      <w:pPr>
        <w:pStyle w:val="CETCaption"/>
        <w:spacing w:before="120" w:after="0"/>
        <w:jc w:val="center"/>
      </w:pPr>
      <w:r w:rsidRPr="0013765E">
        <w:rPr>
          <w:noProof/>
          <w:lang w:eastAsia="en-GB"/>
        </w:rPr>
        <w:drawing>
          <wp:inline distT="0" distB="0" distL="0" distR="0" wp14:anchorId="13A72AA0" wp14:editId="65A5B5A5">
            <wp:extent cx="4148738" cy="1620000"/>
            <wp:effectExtent l="0" t="0" r="4445" b="0"/>
            <wp:docPr id="162326966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8738" cy="1620000"/>
                    </a:xfrm>
                    <a:prstGeom prst="rect">
                      <a:avLst/>
                    </a:prstGeom>
                    <a:noFill/>
                  </pic:spPr>
                </pic:pic>
              </a:graphicData>
            </a:graphic>
          </wp:inline>
        </w:drawing>
      </w:r>
    </w:p>
    <w:p w14:paraId="1BD90344" w14:textId="35AC3A39" w:rsidR="007A2F87" w:rsidRPr="0013765E" w:rsidRDefault="007A2F87" w:rsidP="000A7275">
      <w:pPr>
        <w:pStyle w:val="CETCaption"/>
        <w:spacing w:before="0" w:after="120"/>
        <w:jc w:val="center"/>
      </w:pPr>
      <w:r w:rsidRPr="0013765E">
        <w:t xml:space="preserve">Figure </w:t>
      </w:r>
      <w:r w:rsidR="004D4C80" w:rsidRPr="0013765E">
        <w:t>1</w:t>
      </w:r>
      <w:r w:rsidR="005364C5" w:rsidRPr="0013765E">
        <w:t>a</w:t>
      </w:r>
      <w:r w:rsidRPr="0013765E">
        <w:t>. Yields on dry and ash-free basis for HTL reference tests.</w:t>
      </w:r>
      <w:r w:rsidR="008703AF" w:rsidRPr="0013765E">
        <w:t xml:space="preserve"> </w:t>
      </w:r>
      <w:r w:rsidRPr="0013765E">
        <w:t xml:space="preserve">Figure </w:t>
      </w:r>
      <w:r w:rsidR="005364C5" w:rsidRPr="0013765E">
        <w:t>1b</w:t>
      </w:r>
      <w:r w:rsidRPr="0013765E">
        <w:t>. Yields on dry an ash-free basis for HTL tests with the different active phases.</w:t>
      </w:r>
    </w:p>
    <w:p w14:paraId="2DCB6E59" w14:textId="6EA8D220" w:rsidR="008703AF" w:rsidRPr="0013765E" w:rsidRDefault="008703AF" w:rsidP="008703AF">
      <w:pPr>
        <w:pStyle w:val="CETBodytext"/>
      </w:pPr>
      <w:r w:rsidRPr="0013765E">
        <w:t xml:space="preserve">This </w:t>
      </w:r>
      <w:proofErr w:type="spellStart"/>
      <w:r w:rsidRPr="0013765E">
        <w:t>behaviour</w:t>
      </w:r>
      <w:proofErr w:type="spellEnd"/>
      <w:r w:rsidRPr="0013765E">
        <w:t xml:space="preserve"> is consistent with the role of Fe under HTL conditions, where it tends to oxidize to Fe</w:t>
      </w:r>
      <w:r w:rsidRPr="0013765E">
        <w:rPr>
          <w:vertAlign w:val="subscript"/>
        </w:rPr>
        <w:t>3</w:t>
      </w:r>
      <w:r w:rsidRPr="0013765E">
        <w:t>O</w:t>
      </w:r>
      <w:r w:rsidRPr="0013765E">
        <w:rPr>
          <w:vertAlign w:val="subscript"/>
        </w:rPr>
        <w:t>4</w:t>
      </w:r>
      <w:r w:rsidRPr="0013765E">
        <w:t xml:space="preserve">, which can act as a basic catalyst promoting retro-aldol condensation reactions and accelerating the conversion of organic matter from the solid fraction into more water-soluble compounds </w:t>
      </w:r>
      <w:r w:rsidR="00DA64AD" w:rsidRPr="0013765E">
        <w:t>(Miyata et al., 2017)</w:t>
      </w:r>
      <w:r w:rsidRPr="0013765E">
        <w:t xml:space="preserve">. For Zn, the SR yield decreases more moderately than in the Fe case, from 26.8% to 20.0% (−6.8% compared to the RT), while the AP yield remains essentially unchanged at 22.3% (+0.6%). The less pronounced effect on the redistribution of organic matter in aqueous phase of Zn compared to Fe determines a decrease in the total organic carbon (TOC) dissolved in it, which </w:t>
      </w:r>
      <w:proofErr w:type="spellStart"/>
      <w:r w:rsidRPr="0013765E">
        <w:t>favours</w:t>
      </w:r>
      <w:proofErr w:type="spellEnd"/>
      <w:r w:rsidRPr="0013765E">
        <w:t xml:space="preserve"> its subsequent and mandatory purification process, a critical point of the HTL concept. </w:t>
      </w:r>
      <w:proofErr w:type="gramStart"/>
      <w:r w:rsidRPr="0013765E">
        <w:t>The gas yield,</w:t>
      </w:r>
      <w:proofErr w:type="gramEnd"/>
      <w:r w:rsidRPr="0013765E">
        <w:t xml:space="preserve"> calculated considering an equimolar mixture of H</w:t>
      </w:r>
      <w:r w:rsidRPr="0013765E">
        <w:rPr>
          <w:vertAlign w:val="subscript"/>
        </w:rPr>
        <w:t>2</w:t>
      </w:r>
      <w:r w:rsidRPr="0013765E">
        <w:t>–CO</w:t>
      </w:r>
      <w:r w:rsidRPr="0013765E">
        <w:rPr>
          <w:vertAlign w:val="subscript"/>
        </w:rPr>
        <w:t>2</w:t>
      </w:r>
      <w:r w:rsidRPr="0013765E">
        <w:t xml:space="preserve"> net of nitrogen </w:t>
      </w:r>
      <w:r w:rsidR="00DA64AD" w:rsidRPr="0013765E">
        <w:t>(Prestigiacomo et al., 2022)</w:t>
      </w:r>
      <w:r w:rsidRPr="0013765E">
        <w:t>, increases significantly to 13.</w:t>
      </w:r>
      <w:r w:rsidR="00F534CB" w:rsidRPr="0013765E">
        <w:t>5</w:t>
      </w:r>
      <w:r w:rsidRPr="0013765E">
        <w:t>% (+5.0 % compared to the reference test).</w:t>
      </w:r>
    </w:p>
    <w:p w14:paraId="4EF5E038" w14:textId="002F3205" w:rsidR="008703AF" w:rsidRPr="0013765E" w:rsidRDefault="008703AF" w:rsidP="008703AF">
      <w:pPr>
        <w:pStyle w:val="CETBodytext"/>
      </w:pPr>
      <w:r w:rsidRPr="0013765E">
        <w:t>In contrast, the presence of MgCl</w:t>
      </w:r>
      <w:r w:rsidRPr="0013765E">
        <w:rPr>
          <w:vertAlign w:val="subscript"/>
        </w:rPr>
        <w:t>2</w:t>
      </w:r>
      <w:r w:rsidRPr="0013765E">
        <w:t xml:space="preserve"> leads to a markedly different </w:t>
      </w:r>
      <w:proofErr w:type="spellStart"/>
      <w:r w:rsidRPr="0013765E">
        <w:t>behaviour</w:t>
      </w:r>
      <w:proofErr w:type="spellEnd"/>
      <w:r w:rsidRPr="0013765E">
        <w:t>. The SR yield increases significantly to 35.1% (+8.</w:t>
      </w:r>
      <w:r w:rsidR="00F534CB" w:rsidRPr="0013765E">
        <w:t>3</w:t>
      </w:r>
      <w:r w:rsidRPr="0013765E">
        <w:t xml:space="preserve"> %), while the AP yield decreases sharply from 21.7% to 7.1% (−14.6%). This trend is attributed, in part, to the enhanced solubilization of the inorganic fraction of the TS promoted by MgCl</w:t>
      </w:r>
      <w:r w:rsidRPr="0013765E">
        <w:rPr>
          <w:vertAlign w:val="subscript"/>
        </w:rPr>
        <w:t>2</w:t>
      </w:r>
      <w:r w:rsidRPr="0013765E">
        <w:t xml:space="preserve">, confirmed by estimating the ash content in the solid residue (it </w:t>
      </w:r>
      <w:proofErr w:type="gramStart"/>
      <w:r w:rsidRPr="0013765E">
        <w:t>is here</w:t>
      </w:r>
      <w:proofErr w:type="gramEnd"/>
      <w:r w:rsidRPr="0013765E">
        <w:t xml:space="preserve"> recalled that the SR yield is net of ash). The gas yield increases to 17.1% (+8.6%), representing the highest value among all tests. The higher gas production and the lowest AP yield observed in the presence of MgCl</w:t>
      </w:r>
      <w:r w:rsidRPr="0013765E">
        <w:rPr>
          <w:vertAlign w:val="subscript"/>
        </w:rPr>
        <w:t>2</w:t>
      </w:r>
      <w:r w:rsidRPr="0013765E">
        <w:t xml:space="preserve"> probably can be attributed to its </w:t>
      </w:r>
      <w:proofErr w:type="spellStart"/>
      <w:r w:rsidRPr="0013765E">
        <w:t>behaviour</w:t>
      </w:r>
      <w:proofErr w:type="spellEnd"/>
      <w:r w:rsidRPr="0013765E">
        <w:t xml:space="preserve"> as a Lewis acid, which selectively promotes decarboxylation and </w:t>
      </w:r>
      <w:proofErr w:type="spellStart"/>
      <w:r w:rsidRPr="0013765E">
        <w:t>decarbonylation</w:t>
      </w:r>
      <w:proofErr w:type="spellEnd"/>
      <w:r w:rsidRPr="0013765E">
        <w:t xml:space="preserve"> reactions of organic matter, removing the oxygen in the form of CO</w:t>
      </w:r>
      <w:r w:rsidRPr="0013765E">
        <w:rPr>
          <w:vertAlign w:val="subscript"/>
        </w:rPr>
        <w:t xml:space="preserve">2 </w:t>
      </w:r>
      <w:r w:rsidRPr="0013765E">
        <w:t>and/or CO</w:t>
      </w:r>
      <w:r w:rsidR="00DA64AD" w:rsidRPr="0013765E">
        <w:t xml:space="preserve"> (Wang et al., 2022)</w:t>
      </w:r>
      <w:r w:rsidRPr="0013765E">
        <w:t>.</w:t>
      </w:r>
    </w:p>
    <w:p w14:paraId="63154333" w14:textId="77777777" w:rsidR="008703AF" w:rsidRPr="0013765E" w:rsidRDefault="008703AF" w:rsidP="008703AF">
      <w:pPr>
        <w:pStyle w:val="CETheadingx"/>
      </w:pPr>
      <w:r w:rsidRPr="0013765E">
        <w:t xml:space="preserve">Results of bio-crude characterization </w:t>
      </w:r>
    </w:p>
    <w:p w14:paraId="3BC8BFBE" w14:textId="77777777" w:rsidR="008703AF" w:rsidRPr="0013765E" w:rsidRDefault="008703AF" w:rsidP="008703AF">
      <w:pPr>
        <w:pStyle w:val="CETBodytext"/>
        <w:rPr>
          <w:lang w:val="en-GB"/>
        </w:rPr>
      </w:pPr>
      <w:r w:rsidRPr="0013765E">
        <w:t xml:space="preserve">Table 3 summarizes the elemental composition and the energetic properties of the bio-crudes obtained under the operating conditions investigated. </w:t>
      </w:r>
    </w:p>
    <w:p w14:paraId="1F70ACE0" w14:textId="14615B36" w:rsidR="008703AF" w:rsidRPr="0013765E" w:rsidRDefault="008703AF" w:rsidP="000A7275">
      <w:pPr>
        <w:pStyle w:val="CETTabletitle"/>
        <w:spacing w:before="120"/>
        <w:jc w:val="center"/>
      </w:pPr>
      <w:r w:rsidRPr="0013765E">
        <w:t>Table 3. Chemical and energetic properties of bio-crude.</w:t>
      </w:r>
    </w:p>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048"/>
        <w:gridCol w:w="959"/>
        <w:gridCol w:w="1048"/>
        <w:gridCol w:w="1048"/>
        <w:gridCol w:w="1048"/>
        <w:gridCol w:w="944"/>
        <w:gridCol w:w="708"/>
      </w:tblGrid>
      <w:tr w:rsidR="008703AF" w:rsidRPr="0013765E" w14:paraId="18F5E89D" w14:textId="77777777" w:rsidTr="00E077D6">
        <w:trPr>
          <w:trHeight w:val="283"/>
        </w:trPr>
        <w:tc>
          <w:tcPr>
            <w:tcW w:w="1702" w:type="dxa"/>
            <w:tcBorders>
              <w:top w:val="single" w:sz="12" w:space="0" w:color="00B050"/>
              <w:bottom w:val="single" w:sz="4" w:space="0" w:color="00B050"/>
            </w:tcBorders>
            <w:vAlign w:val="center"/>
          </w:tcPr>
          <w:p w14:paraId="2DEA8105" w14:textId="77777777" w:rsidR="008703AF" w:rsidRPr="0013765E" w:rsidRDefault="008703AF" w:rsidP="00E077D6">
            <w:pPr>
              <w:pStyle w:val="CETBodytext"/>
              <w:rPr>
                <w:szCs w:val="18"/>
              </w:rPr>
            </w:pPr>
            <w:r w:rsidRPr="0013765E">
              <w:rPr>
                <w:szCs w:val="18"/>
              </w:rPr>
              <w:t>Sample</w:t>
            </w:r>
          </w:p>
        </w:tc>
        <w:tc>
          <w:tcPr>
            <w:tcW w:w="1048" w:type="dxa"/>
            <w:tcBorders>
              <w:top w:val="single" w:sz="12" w:space="0" w:color="00B050"/>
              <w:bottom w:val="single" w:sz="4" w:space="0" w:color="00B050"/>
            </w:tcBorders>
            <w:vAlign w:val="center"/>
          </w:tcPr>
          <w:p w14:paraId="18647589" w14:textId="77777777" w:rsidR="008703AF" w:rsidRPr="0013765E" w:rsidRDefault="008703AF" w:rsidP="00E077D6">
            <w:pPr>
              <w:pStyle w:val="CETBodytext"/>
              <w:rPr>
                <w:szCs w:val="18"/>
              </w:rPr>
            </w:pPr>
            <w:r w:rsidRPr="0013765E">
              <w:rPr>
                <w:szCs w:val="18"/>
              </w:rPr>
              <w:t>C</w:t>
            </w:r>
            <w:r w:rsidRPr="0013765E">
              <w:rPr>
                <w:szCs w:val="18"/>
              </w:rPr>
              <w:br/>
              <w:t>[%]</w:t>
            </w:r>
          </w:p>
        </w:tc>
        <w:tc>
          <w:tcPr>
            <w:tcW w:w="959" w:type="dxa"/>
            <w:tcBorders>
              <w:top w:val="single" w:sz="12" w:space="0" w:color="00B050"/>
              <w:bottom w:val="single" w:sz="4" w:space="0" w:color="00B050"/>
            </w:tcBorders>
            <w:vAlign w:val="center"/>
          </w:tcPr>
          <w:p w14:paraId="60FDBEA4" w14:textId="77777777" w:rsidR="008703AF" w:rsidRPr="0013765E" w:rsidRDefault="008703AF" w:rsidP="00E077D6">
            <w:pPr>
              <w:pStyle w:val="CETBodytext"/>
              <w:rPr>
                <w:szCs w:val="18"/>
              </w:rPr>
            </w:pPr>
            <w:r w:rsidRPr="0013765E">
              <w:rPr>
                <w:szCs w:val="18"/>
              </w:rPr>
              <w:t>H</w:t>
            </w:r>
            <w:r w:rsidRPr="0013765E">
              <w:rPr>
                <w:szCs w:val="18"/>
              </w:rPr>
              <w:br/>
              <w:t>[%]</w:t>
            </w:r>
          </w:p>
        </w:tc>
        <w:tc>
          <w:tcPr>
            <w:tcW w:w="1048" w:type="dxa"/>
            <w:tcBorders>
              <w:top w:val="single" w:sz="12" w:space="0" w:color="00B050"/>
              <w:bottom w:val="single" w:sz="4" w:space="0" w:color="00B050"/>
            </w:tcBorders>
            <w:vAlign w:val="center"/>
          </w:tcPr>
          <w:p w14:paraId="01878A6D" w14:textId="77777777" w:rsidR="008703AF" w:rsidRPr="0013765E" w:rsidRDefault="008703AF" w:rsidP="00E077D6">
            <w:pPr>
              <w:pStyle w:val="CETBodytext"/>
              <w:rPr>
                <w:szCs w:val="18"/>
              </w:rPr>
            </w:pPr>
            <w:r w:rsidRPr="0013765E">
              <w:rPr>
                <w:szCs w:val="18"/>
              </w:rPr>
              <w:t>N</w:t>
            </w:r>
            <w:r w:rsidRPr="0013765E">
              <w:rPr>
                <w:szCs w:val="18"/>
              </w:rPr>
              <w:br/>
              <w:t>[%]</w:t>
            </w:r>
          </w:p>
        </w:tc>
        <w:tc>
          <w:tcPr>
            <w:tcW w:w="1048" w:type="dxa"/>
            <w:tcBorders>
              <w:top w:val="single" w:sz="12" w:space="0" w:color="00B050"/>
              <w:bottom w:val="single" w:sz="4" w:space="0" w:color="00B050"/>
            </w:tcBorders>
            <w:vAlign w:val="center"/>
          </w:tcPr>
          <w:p w14:paraId="47D619D7" w14:textId="77777777" w:rsidR="008703AF" w:rsidRPr="0013765E" w:rsidRDefault="008703AF" w:rsidP="00E077D6">
            <w:pPr>
              <w:pStyle w:val="CETBodytext"/>
              <w:rPr>
                <w:szCs w:val="18"/>
              </w:rPr>
            </w:pPr>
            <w:r w:rsidRPr="0013765E">
              <w:rPr>
                <w:szCs w:val="18"/>
              </w:rPr>
              <w:t>S</w:t>
            </w:r>
            <w:r w:rsidRPr="0013765E">
              <w:rPr>
                <w:szCs w:val="18"/>
              </w:rPr>
              <w:br/>
              <w:t>[%]</w:t>
            </w:r>
          </w:p>
        </w:tc>
        <w:tc>
          <w:tcPr>
            <w:tcW w:w="1048" w:type="dxa"/>
            <w:tcBorders>
              <w:top w:val="single" w:sz="12" w:space="0" w:color="00B050"/>
              <w:bottom w:val="single" w:sz="4" w:space="0" w:color="00B050"/>
            </w:tcBorders>
            <w:vAlign w:val="center"/>
          </w:tcPr>
          <w:p w14:paraId="7BAA2751" w14:textId="77777777" w:rsidR="008703AF" w:rsidRPr="0013765E" w:rsidRDefault="008703AF" w:rsidP="00E077D6">
            <w:pPr>
              <w:pStyle w:val="CETBodytext"/>
              <w:rPr>
                <w:szCs w:val="18"/>
              </w:rPr>
            </w:pPr>
            <w:r w:rsidRPr="0013765E">
              <w:rPr>
                <w:szCs w:val="18"/>
              </w:rPr>
              <w:t>O</w:t>
            </w:r>
            <w:r w:rsidRPr="0013765E">
              <w:rPr>
                <w:szCs w:val="18"/>
              </w:rPr>
              <w:br/>
              <w:t>[%]</w:t>
            </w:r>
          </w:p>
        </w:tc>
        <w:tc>
          <w:tcPr>
            <w:tcW w:w="944" w:type="dxa"/>
            <w:tcBorders>
              <w:top w:val="single" w:sz="12" w:space="0" w:color="00B050"/>
              <w:bottom w:val="single" w:sz="4" w:space="0" w:color="00B050"/>
            </w:tcBorders>
            <w:vAlign w:val="center"/>
          </w:tcPr>
          <w:p w14:paraId="49B34E67" w14:textId="65FE7C09" w:rsidR="008703AF" w:rsidRPr="0013765E" w:rsidRDefault="00DF63E6" w:rsidP="00E077D6">
            <w:pPr>
              <w:pStyle w:val="CETBodytext"/>
              <w:rPr>
                <w:szCs w:val="18"/>
              </w:rPr>
            </w:pPr>
            <w:r w:rsidRPr="0013765E">
              <w:rPr>
                <w:szCs w:val="18"/>
              </w:rPr>
              <w:t>HHV</w:t>
            </w:r>
            <w:r w:rsidRPr="0013765E">
              <w:rPr>
                <w:szCs w:val="18"/>
              </w:rPr>
              <w:br/>
              <w:t>[MJ/kg]</w:t>
            </w:r>
          </w:p>
        </w:tc>
        <w:tc>
          <w:tcPr>
            <w:tcW w:w="708" w:type="dxa"/>
            <w:tcBorders>
              <w:top w:val="single" w:sz="12" w:space="0" w:color="00B050"/>
              <w:bottom w:val="single" w:sz="4" w:space="0" w:color="00B050"/>
            </w:tcBorders>
            <w:vAlign w:val="center"/>
          </w:tcPr>
          <w:p w14:paraId="7ED3A88B" w14:textId="1BFF9F08" w:rsidR="008703AF" w:rsidRPr="0013765E" w:rsidRDefault="00DF63E6" w:rsidP="00DF63E6">
            <w:pPr>
              <w:pStyle w:val="CETBodytext"/>
              <w:rPr>
                <w:szCs w:val="18"/>
              </w:rPr>
            </w:pPr>
            <w:r w:rsidRPr="0013765E">
              <w:rPr>
                <w:szCs w:val="18"/>
              </w:rPr>
              <w:t>ER</w:t>
            </w:r>
            <w:r w:rsidRPr="0013765E">
              <w:rPr>
                <w:szCs w:val="18"/>
              </w:rPr>
              <w:br/>
              <w:t>[%]</w:t>
            </w:r>
          </w:p>
        </w:tc>
      </w:tr>
      <w:tr w:rsidR="008703AF" w:rsidRPr="0013765E" w14:paraId="2E1D6760" w14:textId="77777777" w:rsidTr="00E077D6">
        <w:trPr>
          <w:trHeight w:val="283"/>
        </w:trPr>
        <w:tc>
          <w:tcPr>
            <w:tcW w:w="1702" w:type="dxa"/>
            <w:tcBorders>
              <w:top w:val="single" w:sz="4" w:space="0" w:color="00B050"/>
            </w:tcBorders>
            <w:vAlign w:val="center"/>
          </w:tcPr>
          <w:p w14:paraId="2CE99C4A" w14:textId="77777777" w:rsidR="008703AF" w:rsidRPr="0013765E" w:rsidRDefault="008703AF" w:rsidP="00E077D6">
            <w:pPr>
              <w:pStyle w:val="CETBodytext"/>
              <w:rPr>
                <w:szCs w:val="18"/>
              </w:rPr>
            </w:pPr>
            <w:r w:rsidRPr="0013765E">
              <w:rPr>
                <w:szCs w:val="18"/>
              </w:rPr>
              <w:t>TS (as received)</w:t>
            </w:r>
          </w:p>
        </w:tc>
        <w:tc>
          <w:tcPr>
            <w:tcW w:w="1048" w:type="dxa"/>
            <w:tcBorders>
              <w:top w:val="single" w:sz="4" w:space="0" w:color="00B050"/>
            </w:tcBorders>
            <w:vAlign w:val="center"/>
          </w:tcPr>
          <w:p w14:paraId="191D80C7" w14:textId="77777777" w:rsidR="008703AF" w:rsidRPr="0013765E" w:rsidRDefault="008703AF" w:rsidP="00E077D6">
            <w:pPr>
              <w:pStyle w:val="CETBodytext"/>
              <w:rPr>
                <w:szCs w:val="18"/>
              </w:rPr>
            </w:pPr>
            <w:r w:rsidRPr="0013765E">
              <w:rPr>
                <w:szCs w:val="18"/>
              </w:rPr>
              <w:t xml:space="preserve">34.4 </w:t>
            </w:r>
            <m:oMath>
              <m:r>
                <m:rPr>
                  <m:sty m:val="p"/>
                </m:rPr>
                <w:rPr>
                  <w:rFonts w:ascii="Cambria Math" w:hAnsi="Cambria Math"/>
                  <w:szCs w:val="18"/>
                </w:rPr>
                <m:t>±</m:t>
              </m:r>
            </m:oMath>
            <w:r w:rsidRPr="0013765E">
              <w:rPr>
                <w:szCs w:val="18"/>
              </w:rPr>
              <w:t xml:space="preserve"> 0.5</w:t>
            </w:r>
          </w:p>
        </w:tc>
        <w:tc>
          <w:tcPr>
            <w:tcW w:w="959" w:type="dxa"/>
            <w:tcBorders>
              <w:top w:val="single" w:sz="4" w:space="0" w:color="00B050"/>
            </w:tcBorders>
            <w:vAlign w:val="center"/>
          </w:tcPr>
          <w:p w14:paraId="1BE2071F" w14:textId="2BC50489" w:rsidR="008703AF" w:rsidRPr="0013765E" w:rsidRDefault="008703AF" w:rsidP="00E077D6">
            <w:pPr>
              <w:pStyle w:val="CETBodytext"/>
              <w:rPr>
                <w:szCs w:val="18"/>
              </w:rPr>
            </w:pPr>
            <w:r w:rsidRPr="0013765E">
              <w:rPr>
                <w:szCs w:val="18"/>
              </w:rPr>
              <w:t xml:space="preserve">4.8 </w:t>
            </w:r>
            <m:oMath>
              <m:r>
                <m:rPr>
                  <m:sty m:val="p"/>
                </m:rPr>
                <w:rPr>
                  <w:rFonts w:ascii="Cambria Math" w:hAnsi="Cambria Math"/>
                  <w:szCs w:val="18"/>
                </w:rPr>
                <m:t>±</m:t>
              </m:r>
            </m:oMath>
            <w:r w:rsidRPr="0013765E">
              <w:rPr>
                <w:szCs w:val="18"/>
              </w:rPr>
              <w:t xml:space="preserve"> 0.2</w:t>
            </w:r>
          </w:p>
        </w:tc>
        <w:tc>
          <w:tcPr>
            <w:tcW w:w="1048" w:type="dxa"/>
            <w:tcBorders>
              <w:top w:val="single" w:sz="4" w:space="0" w:color="00B050"/>
            </w:tcBorders>
            <w:vAlign w:val="center"/>
          </w:tcPr>
          <w:p w14:paraId="4937E5E9" w14:textId="77777777" w:rsidR="008703AF" w:rsidRPr="0013765E" w:rsidRDefault="008703AF" w:rsidP="00E077D6">
            <w:pPr>
              <w:pStyle w:val="CETBodytext"/>
              <w:rPr>
                <w:szCs w:val="18"/>
              </w:rPr>
            </w:pPr>
            <w:r w:rsidRPr="0013765E">
              <w:rPr>
                <w:szCs w:val="18"/>
              </w:rPr>
              <w:t xml:space="preserve">2.7 </w:t>
            </w:r>
            <m:oMath>
              <m:r>
                <m:rPr>
                  <m:sty m:val="p"/>
                </m:rPr>
                <w:rPr>
                  <w:rFonts w:ascii="Cambria Math" w:hAnsi="Cambria Math"/>
                  <w:szCs w:val="18"/>
                </w:rPr>
                <m:t>±</m:t>
              </m:r>
            </m:oMath>
            <w:r w:rsidRPr="0013765E">
              <w:rPr>
                <w:szCs w:val="18"/>
              </w:rPr>
              <w:t xml:space="preserve"> 0.05</w:t>
            </w:r>
          </w:p>
        </w:tc>
        <w:tc>
          <w:tcPr>
            <w:tcW w:w="1048" w:type="dxa"/>
            <w:tcBorders>
              <w:top w:val="single" w:sz="4" w:space="0" w:color="00B050"/>
            </w:tcBorders>
            <w:vAlign w:val="center"/>
          </w:tcPr>
          <w:p w14:paraId="007BF796" w14:textId="77777777" w:rsidR="008703AF" w:rsidRPr="0013765E" w:rsidRDefault="008703AF" w:rsidP="00E077D6">
            <w:pPr>
              <w:pStyle w:val="CETBodytext"/>
              <w:rPr>
                <w:szCs w:val="18"/>
              </w:rPr>
            </w:pPr>
            <w:r w:rsidRPr="0013765E">
              <w:rPr>
                <w:szCs w:val="18"/>
              </w:rPr>
              <w:t xml:space="preserve">3.2 </w:t>
            </w:r>
            <m:oMath>
              <m:r>
                <m:rPr>
                  <m:sty m:val="p"/>
                </m:rPr>
                <w:rPr>
                  <w:rFonts w:ascii="Cambria Math" w:hAnsi="Cambria Math"/>
                  <w:szCs w:val="18"/>
                </w:rPr>
                <m:t>±</m:t>
              </m:r>
            </m:oMath>
            <w:r w:rsidRPr="0013765E">
              <w:rPr>
                <w:szCs w:val="18"/>
              </w:rPr>
              <w:t xml:space="preserve"> 0.06</w:t>
            </w:r>
          </w:p>
        </w:tc>
        <w:tc>
          <w:tcPr>
            <w:tcW w:w="1048" w:type="dxa"/>
            <w:tcBorders>
              <w:top w:val="single" w:sz="4" w:space="0" w:color="00B050"/>
            </w:tcBorders>
            <w:vAlign w:val="center"/>
          </w:tcPr>
          <w:p w14:paraId="2ED5E419" w14:textId="77777777" w:rsidR="008703AF" w:rsidRPr="0013765E" w:rsidRDefault="008703AF" w:rsidP="00E077D6">
            <w:pPr>
              <w:pStyle w:val="CETBodytext"/>
              <w:rPr>
                <w:szCs w:val="18"/>
              </w:rPr>
            </w:pPr>
            <w:r w:rsidRPr="0013765E">
              <w:rPr>
                <w:szCs w:val="18"/>
              </w:rPr>
              <w:t xml:space="preserve">13.9 </w:t>
            </w:r>
            <m:oMath>
              <m:r>
                <m:rPr>
                  <m:sty m:val="p"/>
                </m:rPr>
                <w:rPr>
                  <w:rFonts w:ascii="Cambria Math" w:hAnsi="Cambria Math"/>
                  <w:szCs w:val="18"/>
                </w:rPr>
                <m:t>±</m:t>
              </m:r>
            </m:oMath>
            <w:r w:rsidRPr="0013765E">
              <w:rPr>
                <w:szCs w:val="18"/>
              </w:rPr>
              <w:t xml:space="preserve"> 0.7</w:t>
            </w:r>
          </w:p>
        </w:tc>
        <w:tc>
          <w:tcPr>
            <w:tcW w:w="944" w:type="dxa"/>
            <w:tcBorders>
              <w:top w:val="single" w:sz="4" w:space="0" w:color="00B050"/>
            </w:tcBorders>
            <w:vAlign w:val="center"/>
          </w:tcPr>
          <w:p w14:paraId="5E9C6C2C" w14:textId="77777777" w:rsidR="008703AF" w:rsidRPr="0013765E" w:rsidRDefault="008703AF" w:rsidP="00E077D6">
            <w:pPr>
              <w:pStyle w:val="CETBodytext"/>
              <w:rPr>
                <w:szCs w:val="18"/>
              </w:rPr>
            </w:pPr>
            <w:r w:rsidRPr="0013765E">
              <w:rPr>
                <w:szCs w:val="18"/>
              </w:rPr>
              <w:t>16.7</w:t>
            </w:r>
          </w:p>
        </w:tc>
        <w:tc>
          <w:tcPr>
            <w:tcW w:w="708" w:type="dxa"/>
            <w:tcBorders>
              <w:top w:val="single" w:sz="4" w:space="0" w:color="00B050"/>
            </w:tcBorders>
            <w:vAlign w:val="center"/>
          </w:tcPr>
          <w:p w14:paraId="31EEB834" w14:textId="77777777" w:rsidR="008703AF" w:rsidRPr="0013765E" w:rsidRDefault="008703AF" w:rsidP="00E077D6">
            <w:pPr>
              <w:pStyle w:val="CETBodytext"/>
              <w:rPr>
                <w:szCs w:val="18"/>
              </w:rPr>
            </w:pPr>
            <w:r w:rsidRPr="0013765E">
              <w:rPr>
                <w:szCs w:val="18"/>
              </w:rPr>
              <w:t>–</w:t>
            </w:r>
          </w:p>
        </w:tc>
      </w:tr>
      <w:tr w:rsidR="008703AF" w:rsidRPr="0013765E" w14:paraId="542C8070" w14:textId="77777777" w:rsidTr="00E077D6">
        <w:trPr>
          <w:trHeight w:val="283"/>
        </w:trPr>
        <w:tc>
          <w:tcPr>
            <w:tcW w:w="1702" w:type="dxa"/>
            <w:vAlign w:val="center"/>
          </w:tcPr>
          <w:p w14:paraId="3913A877" w14:textId="77777777" w:rsidR="008703AF" w:rsidRPr="0013765E" w:rsidRDefault="008703AF" w:rsidP="00E077D6">
            <w:pPr>
              <w:pStyle w:val="CETBodytext"/>
              <w:rPr>
                <w:szCs w:val="18"/>
              </w:rPr>
            </w:pPr>
            <w:r w:rsidRPr="0013765E">
              <w:rPr>
                <w:szCs w:val="18"/>
              </w:rPr>
              <w:t>RT (20% – 250 mL)</w:t>
            </w:r>
          </w:p>
        </w:tc>
        <w:tc>
          <w:tcPr>
            <w:tcW w:w="1048" w:type="dxa"/>
            <w:vAlign w:val="center"/>
          </w:tcPr>
          <w:p w14:paraId="4232A7DC" w14:textId="77777777" w:rsidR="008703AF" w:rsidRPr="0013765E" w:rsidRDefault="008703AF" w:rsidP="00E077D6">
            <w:pPr>
              <w:pStyle w:val="CETBodytext"/>
              <w:rPr>
                <w:szCs w:val="18"/>
              </w:rPr>
            </w:pPr>
            <w:r w:rsidRPr="0013765E">
              <w:rPr>
                <w:szCs w:val="18"/>
              </w:rPr>
              <w:t xml:space="preserve">62.1 </w:t>
            </w:r>
            <m:oMath>
              <m:r>
                <m:rPr>
                  <m:sty m:val="p"/>
                </m:rPr>
                <w:rPr>
                  <w:rFonts w:ascii="Cambria Math" w:hAnsi="Cambria Math"/>
                  <w:szCs w:val="18"/>
                </w:rPr>
                <m:t>±</m:t>
              </m:r>
            </m:oMath>
            <w:r w:rsidRPr="0013765E">
              <w:rPr>
                <w:szCs w:val="18"/>
              </w:rPr>
              <w:t xml:space="preserve"> 0.5</w:t>
            </w:r>
          </w:p>
        </w:tc>
        <w:tc>
          <w:tcPr>
            <w:tcW w:w="959" w:type="dxa"/>
            <w:vAlign w:val="center"/>
          </w:tcPr>
          <w:p w14:paraId="2C5E7977" w14:textId="77777777" w:rsidR="008703AF" w:rsidRPr="0013765E" w:rsidRDefault="008703AF" w:rsidP="00E077D6">
            <w:pPr>
              <w:pStyle w:val="CETBodytext"/>
              <w:rPr>
                <w:szCs w:val="18"/>
              </w:rPr>
            </w:pPr>
            <w:r w:rsidRPr="0013765E">
              <w:rPr>
                <w:szCs w:val="18"/>
              </w:rPr>
              <w:t xml:space="preserve">9.2 </w:t>
            </w:r>
            <m:oMath>
              <m:r>
                <m:rPr>
                  <m:sty m:val="p"/>
                </m:rPr>
                <w:rPr>
                  <w:rFonts w:ascii="Cambria Math" w:hAnsi="Cambria Math"/>
                  <w:szCs w:val="18"/>
                </w:rPr>
                <m:t>±</m:t>
              </m:r>
            </m:oMath>
            <w:r w:rsidRPr="0013765E">
              <w:rPr>
                <w:szCs w:val="18"/>
              </w:rPr>
              <w:t xml:space="preserve"> 0.1</w:t>
            </w:r>
          </w:p>
        </w:tc>
        <w:tc>
          <w:tcPr>
            <w:tcW w:w="1048" w:type="dxa"/>
            <w:vAlign w:val="center"/>
          </w:tcPr>
          <w:p w14:paraId="3F669C34" w14:textId="77777777" w:rsidR="008703AF" w:rsidRPr="0013765E" w:rsidRDefault="008703AF" w:rsidP="00E077D6">
            <w:pPr>
              <w:pStyle w:val="CETBodytext"/>
              <w:rPr>
                <w:szCs w:val="18"/>
              </w:rPr>
            </w:pPr>
            <w:r w:rsidRPr="0013765E">
              <w:rPr>
                <w:szCs w:val="18"/>
              </w:rPr>
              <w:t xml:space="preserve">2.0 </w:t>
            </w:r>
            <m:oMath>
              <m:r>
                <m:rPr>
                  <m:sty m:val="p"/>
                </m:rPr>
                <w:rPr>
                  <w:rFonts w:ascii="Cambria Math" w:hAnsi="Cambria Math"/>
                  <w:szCs w:val="18"/>
                </w:rPr>
                <m:t>±</m:t>
              </m:r>
            </m:oMath>
            <w:r w:rsidRPr="0013765E">
              <w:rPr>
                <w:szCs w:val="18"/>
              </w:rPr>
              <w:t xml:space="preserve"> 0.05</w:t>
            </w:r>
          </w:p>
        </w:tc>
        <w:tc>
          <w:tcPr>
            <w:tcW w:w="1048" w:type="dxa"/>
            <w:vAlign w:val="center"/>
          </w:tcPr>
          <w:p w14:paraId="5E8345CA" w14:textId="77777777" w:rsidR="008703AF" w:rsidRPr="0013765E" w:rsidRDefault="008703AF" w:rsidP="00E077D6">
            <w:pPr>
              <w:pStyle w:val="CETBodytext"/>
              <w:rPr>
                <w:szCs w:val="18"/>
              </w:rPr>
            </w:pPr>
            <w:r w:rsidRPr="0013765E">
              <w:rPr>
                <w:szCs w:val="18"/>
              </w:rPr>
              <w:t xml:space="preserve">1.5 </w:t>
            </w:r>
            <m:oMath>
              <m:r>
                <m:rPr>
                  <m:sty m:val="p"/>
                </m:rPr>
                <w:rPr>
                  <w:rFonts w:ascii="Cambria Math" w:hAnsi="Cambria Math"/>
                  <w:szCs w:val="18"/>
                </w:rPr>
                <m:t>±</m:t>
              </m:r>
            </m:oMath>
            <w:r w:rsidRPr="0013765E">
              <w:rPr>
                <w:szCs w:val="18"/>
              </w:rPr>
              <w:t xml:space="preserve"> 0.1</w:t>
            </w:r>
          </w:p>
        </w:tc>
        <w:tc>
          <w:tcPr>
            <w:tcW w:w="1048" w:type="dxa"/>
            <w:vAlign w:val="center"/>
          </w:tcPr>
          <w:p w14:paraId="6D193A7C" w14:textId="77777777" w:rsidR="008703AF" w:rsidRPr="0013765E" w:rsidRDefault="008703AF" w:rsidP="00E077D6">
            <w:pPr>
              <w:pStyle w:val="CETBodytext"/>
              <w:rPr>
                <w:szCs w:val="18"/>
              </w:rPr>
            </w:pPr>
            <w:r w:rsidRPr="0013765E">
              <w:rPr>
                <w:szCs w:val="18"/>
              </w:rPr>
              <w:t xml:space="preserve">25.2 </w:t>
            </w:r>
            <m:oMath>
              <m:r>
                <m:rPr>
                  <m:sty m:val="p"/>
                </m:rPr>
                <w:rPr>
                  <w:rFonts w:ascii="Cambria Math" w:hAnsi="Cambria Math"/>
                  <w:szCs w:val="18"/>
                </w:rPr>
                <m:t>±</m:t>
              </m:r>
            </m:oMath>
            <w:r w:rsidRPr="0013765E">
              <w:rPr>
                <w:szCs w:val="18"/>
              </w:rPr>
              <w:t xml:space="preserve"> 0.6</w:t>
            </w:r>
          </w:p>
        </w:tc>
        <w:tc>
          <w:tcPr>
            <w:tcW w:w="944" w:type="dxa"/>
            <w:vAlign w:val="center"/>
          </w:tcPr>
          <w:p w14:paraId="7BE59AA8" w14:textId="77777777" w:rsidR="008703AF" w:rsidRPr="0013765E" w:rsidRDefault="008703AF" w:rsidP="00E077D6">
            <w:pPr>
              <w:pStyle w:val="CETBodytext"/>
              <w:rPr>
                <w:szCs w:val="18"/>
              </w:rPr>
            </w:pPr>
            <w:r w:rsidRPr="0013765E">
              <w:rPr>
                <w:szCs w:val="18"/>
              </w:rPr>
              <w:t>30.5</w:t>
            </w:r>
          </w:p>
        </w:tc>
        <w:tc>
          <w:tcPr>
            <w:tcW w:w="708" w:type="dxa"/>
            <w:vAlign w:val="center"/>
          </w:tcPr>
          <w:p w14:paraId="326B29BA" w14:textId="77777777" w:rsidR="008703AF" w:rsidRPr="0013765E" w:rsidRDefault="008703AF" w:rsidP="00E077D6">
            <w:pPr>
              <w:pStyle w:val="CETBodytext"/>
              <w:rPr>
                <w:szCs w:val="18"/>
              </w:rPr>
            </w:pPr>
            <w:r w:rsidRPr="0013765E">
              <w:rPr>
                <w:szCs w:val="18"/>
              </w:rPr>
              <w:t>45.8</w:t>
            </w:r>
          </w:p>
        </w:tc>
      </w:tr>
      <w:tr w:rsidR="008703AF" w:rsidRPr="0013765E" w14:paraId="3CC987C8" w14:textId="77777777" w:rsidTr="00E077D6">
        <w:trPr>
          <w:trHeight w:val="283"/>
        </w:trPr>
        <w:tc>
          <w:tcPr>
            <w:tcW w:w="1702" w:type="dxa"/>
            <w:vAlign w:val="center"/>
          </w:tcPr>
          <w:p w14:paraId="4A48278C" w14:textId="77777777" w:rsidR="008703AF" w:rsidRPr="0013765E" w:rsidRDefault="008703AF" w:rsidP="00E077D6">
            <w:pPr>
              <w:pStyle w:val="CETBodytext"/>
              <w:rPr>
                <w:szCs w:val="18"/>
              </w:rPr>
            </w:pPr>
            <w:r w:rsidRPr="0013765E">
              <w:rPr>
                <w:szCs w:val="18"/>
              </w:rPr>
              <w:t>20% Fe</w:t>
            </w:r>
          </w:p>
        </w:tc>
        <w:tc>
          <w:tcPr>
            <w:tcW w:w="1048" w:type="dxa"/>
            <w:vAlign w:val="center"/>
          </w:tcPr>
          <w:p w14:paraId="4D21FE0D" w14:textId="77777777" w:rsidR="008703AF" w:rsidRPr="0013765E" w:rsidRDefault="008703AF" w:rsidP="00E077D6">
            <w:pPr>
              <w:pStyle w:val="CETBodytext"/>
              <w:rPr>
                <w:szCs w:val="18"/>
              </w:rPr>
            </w:pPr>
            <w:r w:rsidRPr="0013765E">
              <w:rPr>
                <w:szCs w:val="18"/>
              </w:rPr>
              <w:t xml:space="preserve">63.9 </w:t>
            </w:r>
            <m:oMath>
              <m:r>
                <m:rPr>
                  <m:sty m:val="p"/>
                </m:rPr>
                <w:rPr>
                  <w:rFonts w:ascii="Cambria Math" w:hAnsi="Cambria Math"/>
                  <w:szCs w:val="18"/>
                </w:rPr>
                <m:t>±</m:t>
              </m:r>
            </m:oMath>
            <w:r w:rsidRPr="0013765E">
              <w:rPr>
                <w:szCs w:val="18"/>
              </w:rPr>
              <w:t xml:space="preserve"> 0.2</w:t>
            </w:r>
          </w:p>
        </w:tc>
        <w:tc>
          <w:tcPr>
            <w:tcW w:w="959" w:type="dxa"/>
            <w:vAlign w:val="center"/>
          </w:tcPr>
          <w:p w14:paraId="2C1C0A8C" w14:textId="77777777" w:rsidR="008703AF" w:rsidRPr="0013765E" w:rsidRDefault="008703AF" w:rsidP="00E077D6">
            <w:pPr>
              <w:pStyle w:val="CETBodytext"/>
              <w:rPr>
                <w:szCs w:val="18"/>
              </w:rPr>
            </w:pPr>
            <w:r w:rsidRPr="0013765E">
              <w:rPr>
                <w:szCs w:val="18"/>
              </w:rPr>
              <w:t xml:space="preserve">9.0 </w:t>
            </w:r>
            <m:oMath>
              <m:r>
                <m:rPr>
                  <m:sty m:val="p"/>
                </m:rPr>
                <w:rPr>
                  <w:rFonts w:ascii="Cambria Math" w:hAnsi="Cambria Math"/>
                  <w:szCs w:val="18"/>
                </w:rPr>
                <m:t>±</m:t>
              </m:r>
            </m:oMath>
            <w:r w:rsidRPr="0013765E">
              <w:rPr>
                <w:szCs w:val="18"/>
              </w:rPr>
              <w:t xml:space="preserve"> 0.2</w:t>
            </w:r>
          </w:p>
        </w:tc>
        <w:tc>
          <w:tcPr>
            <w:tcW w:w="1048" w:type="dxa"/>
            <w:vAlign w:val="center"/>
          </w:tcPr>
          <w:p w14:paraId="4ACD5DD2" w14:textId="77777777" w:rsidR="008703AF" w:rsidRPr="0013765E" w:rsidRDefault="008703AF" w:rsidP="00E077D6">
            <w:pPr>
              <w:pStyle w:val="CETBodytext"/>
              <w:rPr>
                <w:szCs w:val="18"/>
              </w:rPr>
            </w:pPr>
            <w:r w:rsidRPr="0013765E">
              <w:rPr>
                <w:szCs w:val="18"/>
              </w:rPr>
              <w:t xml:space="preserve">2.2 </w:t>
            </w:r>
            <m:oMath>
              <m:r>
                <m:rPr>
                  <m:sty m:val="p"/>
                </m:rPr>
                <w:rPr>
                  <w:rFonts w:ascii="Cambria Math" w:hAnsi="Cambria Math"/>
                  <w:szCs w:val="18"/>
                </w:rPr>
                <m:t>±</m:t>
              </m:r>
            </m:oMath>
            <w:r w:rsidRPr="0013765E">
              <w:rPr>
                <w:szCs w:val="18"/>
              </w:rPr>
              <w:t xml:space="preserve"> 0.03</w:t>
            </w:r>
          </w:p>
        </w:tc>
        <w:tc>
          <w:tcPr>
            <w:tcW w:w="1048" w:type="dxa"/>
            <w:vAlign w:val="center"/>
          </w:tcPr>
          <w:p w14:paraId="43952DA3" w14:textId="77777777" w:rsidR="008703AF" w:rsidRPr="0013765E" w:rsidRDefault="008703AF" w:rsidP="00E077D6">
            <w:pPr>
              <w:pStyle w:val="CETBodytext"/>
              <w:rPr>
                <w:szCs w:val="18"/>
              </w:rPr>
            </w:pPr>
            <w:r w:rsidRPr="0013765E">
              <w:rPr>
                <w:szCs w:val="18"/>
              </w:rPr>
              <w:t xml:space="preserve">1.1 </w:t>
            </w:r>
            <m:oMath>
              <m:r>
                <m:rPr>
                  <m:sty m:val="p"/>
                </m:rPr>
                <w:rPr>
                  <w:rFonts w:ascii="Cambria Math" w:hAnsi="Cambria Math"/>
                  <w:szCs w:val="18"/>
                </w:rPr>
                <m:t xml:space="preserve">± </m:t>
              </m:r>
            </m:oMath>
            <w:r w:rsidRPr="0013765E">
              <w:rPr>
                <w:szCs w:val="18"/>
              </w:rPr>
              <w:t>0.1</w:t>
            </w:r>
          </w:p>
        </w:tc>
        <w:tc>
          <w:tcPr>
            <w:tcW w:w="1048" w:type="dxa"/>
            <w:vAlign w:val="center"/>
          </w:tcPr>
          <w:p w14:paraId="4D0492B7" w14:textId="77777777" w:rsidR="008703AF" w:rsidRPr="0013765E" w:rsidRDefault="008703AF" w:rsidP="00E077D6">
            <w:pPr>
              <w:pStyle w:val="CETBodytext"/>
              <w:rPr>
                <w:szCs w:val="18"/>
              </w:rPr>
            </w:pPr>
            <w:r w:rsidRPr="0013765E">
              <w:rPr>
                <w:szCs w:val="18"/>
              </w:rPr>
              <w:t xml:space="preserve">23.6 </w:t>
            </w:r>
            <m:oMath>
              <m:r>
                <m:rPr>
                  <m:sty m:val="p"/>
                </m:rPr>
                <w:rPr>
                  <w:rFonts w:ascii="Cambria Math" w:hAnsi="Cambria Math"/>
                  <w:szCs w:val="18"/>
                </w:rPr>
                <m:t>±</m:t>
              </m:r>
            </m:oMath>
            <w:r w:rsidRPr="0013765E">
              <w:rPr>
                <w:szCs w:val="18"/>
              </w:rPr>
              <w:t xml:space="preserve"> 0.3</w:t>
            </w:r>
          </w:p>
        </w:tc>
        <w:tc>
          <w:tcPr>
            <w:tcW w:w="944" w:type="dxa"/>
            <w:vAlign w:val="center"/>
          </w:tcPr>
          <w:p w14:paraId="437D61C7" w14:textId="77777777" w:rsidR="008703AF" w:rsidRPr="0013765E" w:rsidRDefault="008703AF" w:rsidP="00E077D6">
            <w:pPr>
              <w:pStyle w:val="CETBodytext"/>
              <w:rPr>
                <w:szCs w:val="18"/>
              </w:rPr>
            </w:pPr>
            <w:r w:rsidRPr="0013765E">
              <w:rPr>
                <w:szCs w:val="18"/>
              </w:rPr>
              <w:t>31.0</w:t>
            </w:r>
          </w:p>
        </w:tc>
        <w:tc>
          <w:tcPr>
            <w:tcW w:w="708" w:type="dxa"/>
            <w:vAlign w:val="center"/>
          </w:tcPr>
          <w:p w14:paraId="3C1CED54" w14:textId="77777777" w:rsidR="008703AF" w:rsidRPr="0013765E" w:rsidRDefault="008703AF" w:rsidP="00E077D6">
            <w:pPr>
              <w:pStyle w:val="CETBodytext"/>
              <w:rPr>
                <w:szCs w:val="18"/>
              </w:rPr>
            </w:pPr>
            <w:r w:rsidRPr="0013765E">
              <w:rPr>
                <w:szCs w:val="18"/>
              </w:rPr>
              <w:t>44.8</w:t>
            </w:r>
          </w:p>
        </w:tc>
      </w:tr>
      <w:tr w:rsidR="008703AF" w:rsidRPr="0013765E" w14:paraId="4335A820" w14:textId="77777777" w:rsidTr="00E077D6">
        <w:trPr>
          <w:trHeight w:val="283"/>
        </w:trPr>
        <w:tc>
          <w:tcPr>
            <w:tcW w:w="1702" w:type="dxa"/>
            <w:vAlign w:val="center"/>
          </w:tcPr>
          <w:p w14:paraId="1A6ADC73" w14:textId="77777777" w:rsidR="008703AF" w:rsidRPr="0013765E" w:rsidRDefault="008703AF" w:rsidP="00E077D6">
            <w:pPr>
              <w:pStyle w:val="CETBodytext"/>
              <w:rPr>
                <w:szCs w:val="18"/>
              </w:rPr>
            </w:pPr>
            <w:r w:rsidRPr="0013765E">
              <w:rPr>
                <w:szCs w:val="18"/>
              </w:rPr>
              <w:t>20% Zn</w:t>
            </w:r>
          </w:p>
        </w:tc>
        <w:tc>
          <w:tcPr>
            <w:tcW w:w="1048" w:type="dxa"/>
            <w:vAlign w:val="center"/>
          </w:tcPr>
          <w:p w14:paraId="1097E49F" w14:textId="77777777" w:rsidR="008703AF" w:rsidRPr="0013765E" w:rsidRDefault="008703AF" w:rsidP="00E077D6">
            <w:pPr>
              <w:pStyle w:val="CETBodytext"/>
              <w:rPr>
                <w:szCs w:val="18"/>
              </w:rPr>
            </w:pPr>
            <w:r w:rsidRPr="0013765E">
              <w:rPr>
                <w:szCs w:val="18"/>
              </w:rPr>
              <w:t xml:space="preserve">65.8 </w:t>
            </w:r>
            <m:oMath>
              <m:r>
                <m:rPr>
                  <m:sty m:val="p"/>
                </m:rPr>
                <w:rPr>
                  <w:rFonts w:ascii="Cambria Math" w:hAnsi="Cambria Math"/>
                  <w:szCs w:val="18"/>
                </w:rPr>
                <m:t>±</m:t>
              </m:r>
            </m:oMath>
            <w:r w:rsidRPr="0013765E">
              <w:rPr>
                <w:szCs w:val="18"/>
              </w:rPr>
              <w:t xml:space="preserve"> 0.2</w:t>
            </w:r>
          </w:p>
        </w:tc>
        <w:tc>
          <w:tcPr>
            <w:tcW w:w="959" w:type="dxa"/>
            <w:vAlign w:val="center"/>
          </w:tcPr>
          <w:p w14:paraId="2E2A6E1F" w14:textId="77777777" w:rsidR="008703AF" w:rsidRPr="0013765E" w:rsidRDefault="008703AF" w:rsidP="00E077D6">
            <w:pPr>
              <w:pStyle w:val="CETBodytext"/>
              <w:rPr>
                <w:szCs w:val="18"/>
              </w:rPr>
            </w:pPr>
            <w:r w:rsidRPr="0013765E">
              <w:rPr>
                <w:szCs w:val="18"/>
              </w:rPr>
              <w:t xml:space="preserve">9.5 </w:t>
            </w:r>
            <m:oMath>
              <m:r>
                <m:rPr>
                  <m:sty m:val="p"/>
                </m:rPr>
                <w:rPr>
                  <w:rFonts w:ascii="Cambria Math" w:hAnsi="Cambria Math"/>
                  <w:szCs w:val="18"/>
                </w:rPr>
                <m:t>±</m:t>
              </m:r>
            </m:oMath>
            <w:r w:rsidRPr="0013765E">
              <w:rPr>
                <w:szCs w:val="18"/>
              </w:rPr>
              <w:t xml:space="preserve"> 0.2</w:t>
            </w:r>
          </w:p>
        </w:tc>
        <w:tc>
          <w:tcPr>
            <w:tcW w:w="1048" w:type="dxa"/>
            <w:vAlign w:val="center"/>
          </w:tcPr>
          <w:p w14:paraId="2CCF643E" w14:textId="77777777" w:rsidR="008703AF" w:rsidRPr="0013765E" w:rsidRDefault="008703AF" w:rsidP="00E077D6">
            <w:pPr>
              <w:pStyle w:val="CETBodytext"/>
              <w:rPr>
                <w:szCs w:val="18"/>
              </w:rPr>
            </w:pPr>
            <w:r w:rsidRPr="0013765E">
              <w:rPr>
                <w:szCs w:val="18"/>
              </w:rPr>
              <w:t xml:space="preserve">2.4 </w:t>
            </w:r>
            <m:oMath>
              <m:r>
                <m:rPr>
                  <m:sty m:val="p"/>
                </m:rPr>
                <w:rPr>
                  <w:rFonts w:ascii="Cambria Math" w:hAnsi="Cambria Math"/>
                  <w:szCs w:val="18"/>
                </w:rPr>
                <m:t>±</m:t>
              </m:r>
            </m:oMath>
            <w:r w:rsidRPr="0013765E">
              <w:rPr>
                <w:szCs w:val="18"/>
              </w:rPr>
              <w:t xml:space="preserve"> 0.01</w:t>
            </w:r>
          </w:p>
        </w:tc>
        <w:tc>
          <w:tcPr>
            <w:tcW w:w="1048" w:type="dxa"/>
            <w:vAlign w:val="center"/>
          </w:tcPr>
          <w:p w14:paraId="2B457538" w14:textId="77777777" w:rsidR="008703AF" w:rsidRPr="0013765E" w:rsidRDefault="008703AF" w:rsidP="00E077D6">
            <w:pPr>
              <w:pStyle w:val="CETBodytext"/>
              <w:rPr>
                <w:szCs w:val="18"/>
              </w:rPr>
            </w:pPr>
            <w:r w:rsidRPr="0013765E">
              <w:rPr>
                <w:szCs w:val="18"/>
              </w:rPr>
              <w:t xml:space="preserve">1.0 </w:t>
            </w:r>
            <m:oMath>
              <m:r>
                <m:rPr>
                  <m:sty m:val="p"/>
                </m:rPr>
                <w:rPr>
                  <w:rFonts w:ascii="Cambria Math" w:hAnsi="Cambria Math"/>
                  <w:szCs w:val="18"/>
                </w:rPr>
                <m:t>±</m:t>
              </m:r>
            </m:oMath>
            <w:r w:rsidRPr="0013765E">
              <w:rPr>
                <w:szCs w:val="18"/>
              </w:rPr>
              <w:t xml:space="preserve"> 0.02</w:t>
            </w:r>
          </w:p>
        </w:tc>
        <w:tc>
          <w:tcPr>
            <w:tcW w:w="1048" w:type="dxa"/>
            <w:vAlign w:val="center"/>
          </w:tcPr>
          <w:p w14:paraId="22AE9EE4" w14:textId="77777777" w:rsidR="008703AF" w:rsidRPr="0013765E" w:rsidRDefault="008703AF" w:rsidP="00E077D6">
            <w:pPr>
              <w:pStyle w:val="CETBodytext"/>
              <w:rPr>
                <w:szCs w:val="18"/>
              </w:rPr>
            </w:pPr>
            <w:r w:rsidRPr="0013765E">
              <w:rPr>
                <w:szCs w:val="18"/>
              </w:rPr>
              <w:t xml:space="preserve">21.3 </w:t>
            </w:r>
            <m:oMath>
              <m:r>
                <m:rPr>
                  <m:sty m:val="p"/>
                </m:rPr>
                <w:rPr>
                  <w:rFonts w:ascii="Cambria Math" w:hAnsi="Cambria Math"/>
                  <w:szCs w:val="18"/>
                </w:rPr>
                <m:t>±</m:t>
              </m:r>
            </m:oMath>
            <w:r w:rsidRPr="0013765E">
              <w:rPr>
                <w:szCs w:val="18"/>
              </w:rPr>
              <w:t xml:space="preserve"> 0.5</w:t>
            </w:r>
          </w:p>
        </w:tc>
        <w:tc>
          <w:tcPr>
            <w:tcW w:w="944" w:type="dxa"/>
            <w:vAlign w:val="center"/>
          </w:tcPr>
          <w:p w14:paraId="2012577D" w14:textId="77777777" w:rsidR="008703AF" w:rsidRPr="0013765E" w:rsidRDefault="008703AF" w:rsidP="00E077D6">
            <w:pPr>
              <w:pStyle w:val="CETBodytext"/>
              <w:rPr>
                <w:szCs w:val="18"/>
              </w:rPr>
            </w:pPr>
            <w:r w:rsidRPr="0013765E">
              <w:rPr>
                <w:szCs w:val="18"/>
              </w:rPr>
              <w:t>32.7</w:t>
            </w:r>
          </w:p>
        </w:tc>
        <w:tc>
          <w:tcPr>
            <w:tcW w:w="708" w:type="dxa"/>
            <w:vAlign w:val="center"/>
          </w:tcPr>
          <w:p w14:paraId="7AB314E6" w14:textId="77777777" w:rsidR="008703AF" w:rsidRPr="0013765E" w:rsidRDefault="008703AF" w:rsidP="00E077D6">
            <w:pPr>
              <w:pStyle w:val="CETBodytext"/>
              <w:rPr>
                <w:szCs w:val="18"/>
              </w:rPr>
            </w:pPr>
            <w:r w:rsidRPr="0013765E">
              <w:rPr>
                <w:szCs w:val="18"/>
              </w:rPr>
              <w:t>51.3</w:t>
            </w:r>
          </w:p>
        </w:tc>
      </w:tr>
      <w:tr w:rsidR="008703AF" w:rsidRPr="0013765E" w14:paraId="6115D3A4" w14:textId="77777777" w:rsidTr="00E077D6">
        <w:trPr>
          <w:trHeight w:val="283"/>
        </w:trPr>
        <w:tc>
          <w:tcPr>
            <w:tcW w:w="1702" w:type="dxa"/>
            <w:tcBorders>
              <w:bottom w:val="single" w:sz="12" w:space="0" w:color="00B050"/>
            </w:tcBorders>
            <w:vAlign w:val="center"/>
          </w:tcPr>
          <w:p w14:paraId="7C7FB51A" w14:textId="77777777" w:rsidR="008703AF" w:rsidRPr="0013765E" w:rsidRDefault="008703AF" w:rsidP="00E077D6">
            <w:pPr>
              <w:pStyle w:val="CETBodytext"/>
              <w:rPr>
                <w:szCs w:val="18"/>
              </w:rPr>
            </w:pPr>
            <w:r w:rsidRPr="0013765E">
              <w:rPr>
                <w:szCs w:val="18"/>
              </w:rPr>
              <w:t>20% MgCl</w:t>
            </w:r>
            <w:r w:rsidRPr="0013765E">
              <w:rPr>
                <w:szCs w:val="18"/>
                <w:vertAlign w:val="subscript"/>
              </w:rPr>
              <w:t>2</w:t>
            </w:r>
          </w:p>
        </w:tc>
        <w:tc>
          <w:tcPr>
            <w:tcW w:w="1048" w:type="dxa"/>
            <w:tcBorders>
              <w:bottom w:val="single" w:sz="12" w:space="0" w:color="00B050"/>
            </w:tcBorders>
            <w:vAlign w:val="center"/>
          </w:tcPr>
          <w:p w14:paraId="4A53B2B6" w14:textId="77777777" w:rsidR="008703AF" w:rsidRPr="0013765E" w:rsidRDefault="008703AF" w:rsidP="00E077D6">
            <w:pPr>
              <w:pStyle w:val="CETBodytext"/>
              <w:rPr>
                <w:szCs w:val="18"/>
              </w:rPr>
            </w:pPr>
            <w:r w:rsidRPr="0013765E">
              <w:rPr>
                <w:szCs w:val="18"/>
              </w:rPr>
              <w:t xml:space="preserve">66.7 </w:t>
            </w:r>
            <m:oMath>
              <m:r>
                <m:rPr>
                  <m:sty m:val="p"/>
                </m:rPr>
                <w:rPr>
                  <w:rFonts w:ascii="Cambria Math" w:hAnsi="Cambria Math"/>
                  <w:szCs w:val="18"/>
                </w:rPr>
                <m:t>±</m:t>
              </m:r>
            </m:oMath>
            <w:r w:rsidRPr="0013765E">
              <w:rPr>
                <w:szCs w:val="18"/>
              </w:rPr>
              <w:t xml:space="preserve"> 0.8</w:t>
            </w:r>
          </w:p>
        </w:tc>
        <w:tc>
          <w:tcPr>
            <w:tcW w:w="959" w:type="dxa"/>
            <w:tcBorders>
              <w:bottom w:val="single" w:sz="12" w:space="0" w:color="00B050"/>
            </w:tcBorders>
            <w:vAlign w:val="center"/>
          </w:tcPr>
          <w:p w14:paraId="07FBCB29" w14:textId="77777777" w:rsidR="008703AF" w:rsidRPr="0013765E" w:rsidRDefault="008703AF" w:rsidP="00E077D6">
            <w:pPr>
              <w:pStyle w:val="CETBodytext"/>
              <w:rPr>
                <w:szCs w:val="18"/>
              </w:rPr>
            </w:pPr>
            <w:r w:rsidRPr="0013765E">
              <w:rPr>
                <w:szCs w:val="18"/>
              </w:rPr>
              <w:t xml:space="preserve">9.4 </w:t>
            </w:r>
            <m:oMath>
              <m:r>
                <m:rPr>
                  <m:sty m:val="p"/>
                </m:rPr>
                <w:rPr>
                  <w:rFonts w:ascii="Cambria Math" w:hAnsi="Cambria Math"/>
                  <w:szCs w:val="18"/>
                </w:rPr>
                <m:t>±</m:t>
              </m:r>
            </m:oMath>
            <w:r w:rsidRPr="0013765E">
              <w:rPr>
                <w:szCs w:val="18"/>
              </w:rPr>
              <w:t xml:space="preserve"> 0.2</w:t>
            </w:r>
          </w:p>
        </w:tc>
        <w:tc>
          <w:tcPr>
            <w:tcW w:w="1048" w:type="dxa"/>
            <w:tcBorders>
              <w:bottom w:val="single" w:sz="12" w:space="0" w:color="00B050"/>
            </w:tcBorders>
            <w:vAlign w:val="center"/>
          </w:tcPr>
          <w:p w14:paraId="61AD8B9B" w14:textId="77777777" w:rsidR="008703AF" w:rsidRPr="0013765E" w:rsidRDefault="008703AF" w:rsidP="00E077D6">
            <w:pPr>
              <w:pStyle w:val="CETBodytext"/>
              <w:rPr>
                <w:szCs w:val="18"/>
              </w:rPr>
            </w:pPr>
            <w:r w:rsidRPr="0013765E">
              <w:rPr>
                <w:szCs w:val="18"/>
              </w:rPr>
              <w:t xml:space="preserve">1.8 </w:t>
            </w:r>
            <m:oMath>
              <m:r>
                <m:rPr>
                  <m:sty m:val="p"/>
                </m:rPr>
                <w:rPr>
                  <w:rFonts w:ascii="Cambria Math" w:hAnsi="Cambria Math"/>
                  <w:szCs w:val="18"/>
                </w:rPr>
                <m:t>±</m:t>
              </m:r>
            </m:oMath>
            <w:r w:rsidRPr="0013765E">
              <w:rPr>
                <w:szCs w:val="18"/>
              </w:rPr>
              <w:t xml:space="preserve"> 0.05</w:t>
            </w:r>
          </w:p>
        </w:tc>
        <w:tc>
          <w:tcPr>
            <w:tcW w:w="1048" w:type="dxa"/>
            <w:tcBorders>
              <w:bottom w:val="single" w:sz="12" w:space="0" w:color="00B050"/>
            </w:tcBorders>
            <w:vAlign w:val="center"/>
          </w:tcPr>
          <w:p w14:paraId="59D19D7D" w14:textId="77777777" w:rsidR="008703AF" w:rsidRPr="0013765E" w:rsidRDefault="008703AF" w:rsidP="00E077D6">
            <w:pPr>
              <w:pStyle w:val="CETBodytext"/>
              <w:rPr>
                <w:szCs w:val="18"/>
              </w:rPr>
            </w:pPr>
            <w:r w:rsidRPr="0013765E">
              <w:rPr>
                <w:szCs w:val="18"/>
              </w:rPr>
              <w:t xml:space="preserve">1.5 </w:t>
            </w:r>
            <m:oMath>
              <m:r>
                <m:rPr>
                  <m:sty m:val="p"/>
                </m:rPr>
                <w:rPr>
                  <w:rFonts w:ascii="Cambria Math" w:hAnsi="Cambria Math"/>
                  <w:szCs w:val="18"/>
                </w:rPr>
                <m:t>±</m:t>
              </m:r>
            </m:oMath>
            <w:r w:rsidRPr="0013765E">
              <w:rPr>
                <w:szCs w:val="18"/>
              </w:rPr>
              <w:t xml:space="preserve"> 0.04</w:t>
            </w:r>
          </w:p>
        </w:tc>
        <w:tc>
          <w:tcPr>
            <w:tcW w:w="1048" w:type="dxa"/>
            <w:tcBorders>
              <w:bottom w:val="single" w:sz="12" w:space="0" w:color="00B050"/>
            </w:tcBorders>
            <w:vAlign w:val="center"/>
          </w:tcPr>
          <w:p w14:paraId="599398A1" w14:textId="77777777" w:rsidR="008703AF" w:rsidRPr="0013765E" w:rsidRDefault="008703AF" w:rsidP="00E077D6">
            <w:pPr>
              <w:pStyle w:val="CETBodytext"/>
              <w:rPr>
                <w:szCs w:val="18"/>
              </w:rPr>
            </w:pPr>
            <w:r w:rsidRPr="0013765E">
              <w:rPr>
                <w:szCs w:val="18"/>
              </w:rPr>
              <w:t xml:space="preserve">20.2 </w:t>
            </w:r>
            <m:oMath>
              <m:r>
                <m:rPr>
                  <m:sty m:val="p"/>
                </m:rPr>
                <w:rPr>
                  <w:rFonts w:ascii="Cambria Math" w:hAnsi="Cambria Math"/>
                  <w:szCs w:val="18"/>
                </w:rPr>
                <m:t>±</m:t>
              </m:r>
            </m:oMath>
            <w:r w:rsidRPr="0013765E">
              <w:rPr>
                <w:szCs w:val="18"/>
              </w:rPr>
              <w:t xml:space="preserve"> 0.9</w:t>
            </w:r>
          </w:p>
        </w:tc>
        <w:tc>
          <w:tcPr>
            <w:tcW w:w="944" w:type="dxa"/>
            <w:tcBorders>
              <w:bottom w:val="single" w:sz="12" w:space="0" w:color="00B050"/>
            </w:tcBorders>
            <w:vAlign w:val="center"/>
          </w:tcPr>
          <w:p w14:paraId="0E5338A0" w14:textId="77777777" w:rsidR="008703AF" w:rsidRPr="0013765E" w:rsidRDefault="008703AF" w:rsidP="00E077D6">
            <w:pPr>
              <w:pStyle w:val="CETBodytext"/>
              <w:rPr>
                <w:szCs w:val="18"/>
              </w:rPr>
            </w:pPr>
            <w:r w:rsidRPr="0013765E">
              <w:rPr>
                <w:szCs w:val="18"/>
              </w:rPr>
              <w:t>33.1</w:t>
            </w:r>
          </w:p>
        </w:tc>
        <w:tc>
          <w:tcPr>
            <w:tcW w:w="708" w:type="dxa"/>
            <w:tcBorders>
              <w:bottom w:val="single" w:sz="12" w:space="0" w:color="00B050"/>
            </w:tcBorders>
            <w:vAlign w:val="center"/>
          </w:tcPr>
          <w:p w14:paraId="29B00753" w14:textId="77777777" w:rsidR="008703AF" w:rsidRPr="0013765E" w:rsidRDefault="008703AF" w:rsidP="00E077D6">
            <w:pPr>
              <w:pStyle w:val="CETBodytext"/>
              <w:rPr>
                <w:szCs w:val="18"/>
              </w:rPr>
            </w:pPr>
            <w:r w:rsidRPr="0013765E">
              <w:rPr>
                <w:szCs w:val="18"/>
              </w:rPr>
              <w:t>47.2</w:t>
            </w:r>
          </w:p>
        </w:tc>
      </w:tr>
    </w:tbl>
    <w:p w14:paraId="7BD07E06" w14:textId="1F39EEDE" w:rsidR="008703AF" w:rsidRPr="0013765E" w:rsidRDefault="008703AF" w:rsidP="000A7275">
      <w:pPr>
        <w:pStyle w:val="CETBodytext"/>
        <w:spacing w:before="120"/>
        <w:rPr>
          <w:rFonts w:eastAsia="Arial MT"/>
          <w:b/>
          <w:bCs/>
        </w:rPr>
      </w:pPr>
      <w:r w:rsidRPr="0013765E">
        <w:rPr>
          <w:rFonts w:eastAsia="Arial MT"/>
        </w:rPr>
        <w:t xml:space="preserve">Compared to the TS, the C content in the </w:t>
      </w:r>
      <w:r w:rsidR="001C3776" w:rsidRPr="0013765E">
        <w:rPr>
          <w:rFonts w:eastAsia="Arial MT"/>
        </w:rPr>
        <w:t>RT</w:t>
      </w:r>
      <w:r w:rsidRPr="0013765E">
        <w:rPr>
          <w:rFonts w:eastAsia="Arial MT"/>
        </w:rPr>
        <w:t xml:space="preserve"> increases from 34.4 to 62.1% and the H content from 4.8 to 9.2%, while a marked decrease in heteroatoms (N, S) is observed. These changes are consistent with the fundamental reaction pathways of the HTL process, including hydrolysis, dehydration, decarboxylation, and biomass fragmentation. As a result, the HHV increases from 16.7 to 30.5 MJ/kg, corresponding to an energy recovery of 45.8%. Relative to the reference test, the addition of active phases leads to more moderate modifications in bio-crude composition. Among the investigated active phases, Fe exhibits the lowest impact, producing a bio-crude composition closely comparable to that of the test without the </w:t>
      </w:r>
      <w:r w:rsidR="001C3776" w:rsidRPr="0013765E">
        <w:rPr>
          <w:rFonts w:eastAsia="Arial MT"/>
        </w:rPr>
        <w:t>AC</w:t>
      </w:r>
      <w:r w:rsidRPr="0013765E">
        <w:rPr>
          <w:rFonts w:eastAsia="Arial MT"/>
        </w:rPr>
        <w:t xml:space="preserve">, with only a slight increase in C content; in this </w:t>
      </w:r>
      <w:r w:rsidRPr="0013765E">
        <w:rPr>
          <w:rFonts w:eastAsia="Arial MT"/>
        </w:rPr>
        <w:lastRenderedPageBreak/>
        <w:t xml:space="preserve">case, the HHV is 31.0 MJ/kg, and the </w:t>
      </w:r>
      <w:r w:rsidR="001C3776" w:rsidRPr="0013765E">
        <w:rPr>
          <w:rFonts w:eastAsia="Arial MT"/>
        </w:rPr>
        <w:t>ER</w:t>
      </w:r>
      <w:r w:rsidRPr="0013765E">
        <w:rPr>
          <w:rFonts w:eastAsia="Arial MT"/>
        </w:rPr>
        <w:t xml:space="preserve"> is 44.8%. In contrast, the use of Zn and MgCl</w:t>
      </w:r>
      <w:r w:rsidRPr="0013765E">
        <w:rPr>
          <w:rFonts w:eastAsia="Arial MT"/>
          <w:vertAlign w:val="subscript"/>
        </w:rPr>
        <w:t>2</w:t>
      </w:r>
      <w:r w:rsidRPr="0013765E">
        <w:rPr>
          <w:rFonts w:eastAsia="Arial MT"/>
        </w:rPr>
        <w:t xml:space="preserve"> results in more pronounced increases in C and H contents, accompanied by a concomitant reduction in oxygen, particularly in the presence of MgCl</w:t>
      </w:r>
      <w:r w:rsidRPr="0013765E">
        <w:rPr>
          <w:rFonts w:eastAsia="Arial MT"/>
          <w:vertAlign w:val="subscript"/>
        </w:rPr>
        <w:t>2</w:t>
      </w:r>
      <w:r w:rsidRPr="0013765E">
        <w:rPr>
          <w:rFonts w:eastAsia="Arial MT"/>
        </w:rPr>
        <w:t>. These compositional changes are reflected in higher HHV values, reaching 32.7 MJ/kg for Zn and 33.1 MJ/kg for MgCl</w:t>
      </w:r>
      <w:r w:rsidRPr="0013765E">
        <w:rPr>
          <w:rFonts w:eastAsia="Arial MT"/>
          <w:vertAlign w:val="subscript"/>
        </w:rPr>
        <w:t>2</w:t>
      </w:r>
      <w:r w:rsidRPr="0013765E">
        <w:rPr>
          <w:rFonts w:eastAsia="Arial MT"/>
        </w:rPr>
        <w:t xml:space="preserve"> case, with associated energy recoveries of 51.3% and 47.2%, respectively</w:t>
      </w:r>
      <w:r w:rsidR="00F8493A" w:rsidRPr="0013765E">
        <w:rPr>
          <w:rFonts w:eastAsia="Arial MT"/>
        </w:rPr>
        <w:t>.</w:t>
      </w:r>
    </w:p>
    <w:p w14:paraId="68D26B83" w14:textId="77777777" w:rsidR="00600535" w:rsidRPr="0013765E" w:rsidRDefault="00600535" w:rsidP="00600535">
      <w:pPr>
        <w:pStyle w:val="CETHeading1"/>
        <w:rPr>
          <w:lang w:val="en-GB"/>
        </w:rPr>
      </w:pPr>
      <w:r w:rsidRPr="0013765E">
        <w:rPr>
          <w:lang w:val="en-GB"/>
        </w:rPr>
        <w:t>Conclusions</w:t>
      </w:r>
    </w:p>
    <w:p w14:paraId="59FCB266" w14:textId="77777777" w:rsidR="000B7F9A" w:rsidRPr="0013765E" w:rsidRDefault="00AD71F7" w:rsidP="000B7F9A">
      <w:pPr>
        <w:pStyle w:val="CETBodytext"/>
      </w:pPr>
      <w:r w:rsidRPr="0013765E">
        <w:t>In</w:t>
      </w:r>
      <w:r w:rsidRPr="0013765E">
        <w:rPr>
          <w:spacing w:val="-2"/>
        </w:rPr>
        <w:t xml:space="preserve"> </w:t>
      </w:r>
      <w:r w:rsidRPr="0013765E">
        <w:t>this</w:t>
      </w:r>
      <w:r w:rsidRPr="0013765E">
        <w:rPr>
          <w:spacing w:val="-4"/>
        </w:rPr>
        <w:t xml:space="preserve"> </w:t>
      </w:r>
      <w:r w:rsidRPr="0013765E">
        <w:t>work Fe, Zn, and MgCl</w:t>
      </w:r>
      <w:r w:rsidRPr="0013765E">
        <w:rPr>
          <w:vertAlign w:val="subscript"/>
        </w:rPr>
        <w:t>2</w:t>
      </w:r>
      <w:r w:rsidRPr="0013765E">
        <w:t xml:space="preserve"> were introduced in situ during the hydrothermal liquefaction of tannery sludge, to improve bio-crude quality. The effects of sludge concentration, slurry volume, and active phase were investigated in a 500 mL batch autoclave reactor operated at 350 </w:t>
      </w:r>
      <w:r w:rsidRPr="0013765E">
        <w:rPr>
          <w:rFonts w:cs="Arial"/>
        </w:rPr>
        <w:t>°</w:t>
      </w:r>
      <w:r w:rsidRPr="0013765E">
        <w:t>C for 10 min. HTL experiments of TS without active phase identified 20% sludge concentration and 250 mL filling volume as the optimal conditions, yielding the highest bio-crude productivity. Under the selected reference conditions, product distribution during HTL resulted to be strongly dependent on the active phase nature. Fe promotes the conversion of solids into aqueous products, Zn limits the transfer of organic matter to the aqueous phase, and MgCl</w:t>
      </w:r>
      <w:r w:rsidRPr="0013765E">
        <w:rPr>
          <w:vertAlign w:val="subscript"/>
        </w:rPr>
        <w:t>2</w:t>
      </w:r>
      <w:r w:rsidRPr="0013765E">
        <w:t xml:space="preserve"> promotes the dissolution of the ash fraction and the gas phase formation, possibly through deoxygenation reactions.</w:t>
      </w:r>
      <w:r w:rsidRPr="0013765E">
        <w:rPr>
          <w:sz w:val="22"/>
          <w:szCs w:val="22"/>
        </w:rPr>
        <w:t xml:space="preserve"> </w:t>
      </w:r>
      <w:r w:rsidRPr="0013765E">
        <w:t>Moreover, Fe has a minimal effect on bio-crude quality, while Zn and MgCl</w:t>
      </w:r>
      <w:r w:rsidRPr="0013765E">
        <w:rPr>
          <w:vertAlign w:val="subscript"/>
        </w:rPr>
        <w:t>2</w:t>
      </w:r>
      <w:r w:rsidRPr="0013765E">
        <w:t xml:space="preserve"> enhance fuel quality by reducing oxygen and increasing carbon and hydrogen contents, thereby improving energy recovery. Future studies will focus on investigating different active-phase loadings and reaction times and their effects on HTL product quality and distribution.</w:t>
      </w:r>
    </w:p>
    <w:p w14:paraId="459D05E6" w14:textId="2613DC81" w:rsidR="00600535" w:rsidRPr="0013765E" w:rsidRDefault="00600535" w:rsidP="000B7F9A">
      <w:pPr>
        <w:pStyle w:val="CETAcknowledgementstitle"/>
      </w:pPr>
      <w:r w:rsidRPr="0013765E">
        <w:t>Acknowledgments</w:t>
      </w:r>
    </w:p>
    <w:p w14:paraId="29EC6F8A" w14:textId="77777777" w:rsidR="00AD71F7" w:rsidRPr="0013765E" w:rsidRDefault="00AD71F7" w:rsidP="00447C7A">
      <w:pPr>
        <w:pStyle w:val="CETBodytext"/>
        <w:ind w:right="142"/>
      </w:pPr>
      <w:r w:rsidRPr="0013765E">
        <w:t xml:space="preserve">This work has been carried out as part of the National Recovery and Resilience Plan (NRRP), Mission 4 Component 2 Investment 1.3 - Call for tender No. 1561 of 11.10.2022 of </w:t>
      </w:r>
      <w:proofErr w:type="spellStart"/>
      <w:r w:rsidRPr="0013765E">
        <w:t>Ministero</w:t>
      </w:r>
      <w:proofErr w:type="spellEnd"/>
      <w:r w:rsidRPr="0013765E">
        <w:t xml:space="preserve"> </w:t>
      </w:r>
      <w:proofErr w:type="spellStart"/>
      <w:r w:rsidRPr="0013765E">
        <w:t>dell’Università</w:t>
      </w:r>
      <w:proofErr w:type="spellEnd"/>
      <w:r w:rsidRPr="0013765E">
        <w:t xml:space="preserve"> e della </w:t>
      </w:r>
      <w:proofErr w:type="spellStart"/>
      <w:r w:rsidRPr="0013765E">
        <w:t>Ricerca</w:t>
      </w:r>
      <w:proofErr w:type="spellEnd"/>
      <w:r w:rsidRPr="0013765E">
        <w:t xml:space="preserve"> (MUR); funded by the European Union – </w:t>
      </w:r>
      <w:proofErr w:type="spellStart"/>
      <w:r w:rsidRPr="0013765E">
        <w:t>NextGenerationEU</w:t>
      </w:r>
      <w:proofErr w:type="spellEnd"/>
      <w:r w:rsidRPr="0013765E">
        <w:t>, Project code PE0000021, Project title “Network 4 Energy Sustainable Transition – NEST”.</w:t>
      </w:r>
    </w:p>
    <w:p w14:paraId="4F1327F8" w14:textId="77777777" w:rsidR="00600535" w:rsidRPr="0013765E" w:rsidRDefault="00600535" w:rsidP="00865675">
      <w:pPr>
        <w:pStyle w:val="CETReference"/>
      </w:pPr>
      <w:r w:rsidRPr="0013765E">
        <w:t>References</w:t>
      </w:r>
    </w:p>
    <w:p w14:paraId="71067FB7" w14:textId="71C023F2" w:rsidR="004821C6" w:rsidRPr="0013765E" w:rsidRDefault="004821C6" w:rsidP="00D55ABD">
      <w:pPr>
        <w:pStyle w:val="CETReferencetext"/>
      </w:pPr>
      <w:r w:rsidRPr="0013765E">
        <w:t xml:space="preserve">Balsamo M., </w:t>
      </w:r>
      <w:proofErr w:type="spellStart"/>
      <w:r w:rsidRPr="0013765E">
        <w:t>Montagnaro</w:t>
      </w:r>
      <w:proofErr w:type="spellEnd"/>
      <w:r w:rsidRPr="0013765E">
        <w:t xml:space="preserve"> F., Anthony E. J. </w:t>
      </w:r>
      <w:r w:rsidR="00C10F9A" w:rsidRPr="0013765E">
        <w:t xml:space="preserve">2013, Current Opinion in Green and Sustainable Chemistry, </w:t>
      </w:r>
      <w:r w:rsidRPr="0013765E">
        <w:t>40</w:t>
      </w:r>
      <w:r w:rsidR="00C10F9A" w:rsidRPr="0013765E">
        <w:t xml:space="preserve">, </w:t>
      </w:r>
      <w:r w:rsidRPr="0013765E">
        <w:t>100740.</w:t>
      </w:r>
    </w:p>
    <w:p w14:paraId="661EB5E1" w14:textId="65A55873" w:rsidR="004821C6" w:rsidRPr="0013765E" w:rsidRDefault="004821C6" w:rsidP="00D55ABD">
      <w:pPr>
        <w:pStyle w:val="CETReferencetext"/>
      </w:pPr>
      <w:r w:rsidRPr="0013765E">
        <w:t xml:space="preserve">Basar I. A., Liu H., Carrere H., </w:t>
      </w:r>
      <w:proofErr w:type="spellStart"/>
      <w:r w:rsidRPr="0013765E">
        <w:t>Trably</w:t>
      </w:r>
      <w:proofErr w:type="spellEnd"/>
      <w:r w:rsidRPr="0013765E">
        <w:t xml:space="preserve"> E., </w:t>
      </w:r>
      <w:proofErr w:type="spellStart"/>
      <w:r w:rsidRPr="0013765E">
        <w:t>Eskicioglu</w:t>
      </w:r>
      <w:proofErr w:type="spellEnd"/>
      <w:r w:rsidRPr="0013765E">
        <w:t xml:space="preserve"> C. </w:t>
      </w:r>
      <w:r w:rsidR="00C10F9A" w:rsidRPr="0013765E">
        <w:t>2021</w:t>
      </w:r>
      <w:r w:rsidR="00110FA8" w:rsidRPr="0013765E">
        <w:t xml:space="preserve">, </w:t>
      </w:r>
      <w:r w:rsidRPr="0013765E">
        <w:t>Green Chem</w:t>
      </w:r>
      <w:r w:rsidR="00110FA8" w:rsidRPr="0013765E">
        <w:t>istry,</w:t>
      </w:r>
      <w:r w:rsidRPr="0013765E">
        <w:t xml:space="preserve"> 23</w:t>
      </w:r>
      <w:r w:rsidR="00110FA8" w:rsidRPr="0013765E">
        <w:t>,</w:t>
      </w:r>
      <w:r w:rsidRPr="0013765E">
        <w:t xml:space="preserve"> 1404–1446.</w:t>
      </w:r>
    </w:p>
    <w:p w14:paraId="316737B0" w14:textId="411F463D" w:rsidR="004821C6" w:rsidRPr="0013765E" w:rsidRDefault="004821C6" w:rsidP="00D55ABD">
      <w:pPr>
        <w:pStyle w:val="CETReferencetext"/>
      </w:pPr>
      <w:r w:rsidRPr="0013765E">
        <w:t xml:space="preserve">de </w:t>
      </w:r>
      <w:proofErr w:type="spellStart"/>
      <w:r w:rsidRPr="0013765E">
        <w:t>Caprariis</w:t>
      </w:r>
      <w:proofErr w:type="spellEnd"/>
      <w:r w:rsidRPr="0013765E">
        <w:t xml:space="preserve"> B., Scarsella M., </w:t>
      </w:r>
      <w:proofErr w:type="spellStart"/>
      <w:r w:rsidRPr="0013765E">
        <w:t>Bavasso</w:t>
      </w:r>
      <w:proofErr w:type="spellEnd"/>
      <w:r w:rsidRPr="0013765E">
        <w:t xml:space="preserve"> I., Bracciale M. P., Tai L., De Filippis P. </w:t>
      </w:r>
      <w:r w:rsidR="00110FA8" w:rsidRPr="0013765E">
        <w:t xml:space="preserve">2021, Journal of Analytical and Applied </w:t>
      </w:r>
      <w:proofErr w:type="spellStart"/>
      <w:r w:rsidR="00110FA8" w:rsidRPr="0013765E">
        <w:t>Pyrolysis</w:t>
      </w:r>
      <w:r w:rsidRPr="0013765E">
        <w:t>J</w:t>
      </w:r>
      <w:proofErr w:type="spellEnd"/>
      <w:r w:rsidR="00110FA8" w:rsidRPr="0013765E">
        <w:t>,</w:t>
      </w:r>
      <w:r w:rsidRPr="0013765E">
        <w:t xml:space="preserve"> 157</w:t>
      </w:r>
      <w:r w:rsidR="00110FA8" w:rsidRPr="0013765E">
        <w:t xml:space="preserve">, </w:t>
      </w:r>
      <w:r w:rsidRPr="0013765E">
        <w:t>105225.</w:t>
      </w:r>
    </w:p>
    <w:p w14:paraId="261DAF93" w14:textId="6C2AA877" w:rsidR="004821C6" w:rsidRPr="0013765E" w:rsidRDefault="004821C6" w:rsidP="00D55ABD">
      <w:pPr>
        <w:pStyle w:val="CETReferencetext"/>
        <w:rPr>
          <w:lang w:val="it-IT"/>
        </w:rPr>
      </w:pPr>
      <w:r w:rsidRPr="0013765E">
        <w:rPr>
          <w:lang w:val="it-IT"/>
        </w:rPr>
        <w:t xml:space="preserve">Di Lauro F., Balsamo M., Solimene R., Alfieri M. L., Manini P., Migliaccio R., Salatino P., </w:t>
      </w:r>
      <w:proofErr w:type="spellStart"/>
      <w:r w:rsidRPr="0013765E">
        <w:rPr>
          <w:lang w:val="it-IT"/>
        </w:rPr>
        <w:t>Montagnaro</w:t>
      </w:r>
      <w:proofErr w:type="spellEnd"/>
      <w:r w:rsidRPr="0013765E">
        <w:rPr>
          <w:lang w:val="it-IT"/>
        </w:rPr>
        <w:t xml:space="preserve"> F.</w:t>
      </w:r>
      <w:r w:rsidR="00110FA8" w:rsidRPr="0013765E">
        <w:rPr>
          <w:lang w:val="it-IT"/>
        </w:rPr>
        <w:t xml:space="preserve"> 2024, Industrial &amp; Engineering </w:t>
      </w:r>
      <w:proofErr w:type="spellStart"/>
      <w:r w:rsidR="00110FA8" w:rsidRPr="0013765E">
        <w:rPr>
          <w:lang w:val="it-IT"/>
        </w:rPr>
        <w:t>Chemistry</w:t>
      </w:r>
      <w:proofErr w:type="spellEnd"/>
      <w:r w:rsidR="00110FA8" w:rsidRPr="0013765E">
        <w:rPr>
          <w:lang w:val="it-IT"/>
        </w:rPr>
        <w:t xml:space="preserve"> Research,</w:t>
      </w:r>
      <w:r w:rsidRPr="0013765E">
        <w:rPr>
          <w:lang w:val="it-IT"/>
        </w:rPr>
        <w:t>63</w:t>
      </w:r>
      <w:r w:rsidR="00110FA8" w:rsidRPr="0013765E">
        <w:rPr>
          <w:lang w:val="it-IT"/>
        </w:rPr>
        <w:t xml:space="preserve">, </w:t>
      </w:r>
      <w:r w:rsidRPr="0013765E">
        <w:rPr>
          <w:lang w:val="it-IT"/>
        </w:rPr>
        <w:t>955−967.</w:t>
      </w:r>
    </w:p>
    <w:p w14:paraId="337492CE" w14:textId="3BD867E5" w:rsidR="004821C6" w:rsidRPr="0013765E" w:rsidRDefault="004821C6" w:rsidP="00D55ABD">
      <w:pPr>
        <w:pStyle w:val="CETReferencetext"/>
        <w:rPr>
          <w:lang w:val="it-IT"/>
        </w:rPr>
      </w:pPr>
      <w:r w:rsidRPr="0013765E">
        <w:rPr>
          <w:lang w:val="it-IT"/>
        </w:rPr>
        <w:t xml:space="preserve">Di Lauro F., Balsamo M., Solimene R, Alfieri M. L., Manini P., Salatino P., </w:t>
      </w:r>
      <w:proofErr w:type="spellStart"/>
      <w:r w:rsidRPr="0013765E">
        <w:rPr>
          <w:lang w:val="it-IT"/>
        </w:rPr>
        <w:t>Montagnaro</w:t>
      </w:r>
      <w:proofErr w:type="spellEnd"/>
      <w:r w:rsidRPr="0013765E">
        <w:rPr>
          <w:lang w:val="it-IT"/>
        </w:rPr>
        <w:t xml:space="preserve"> F.</w:t>
      </w:r>
      <w:r w:rsidR="00110FA8" w:rsidRPr="0013765E">
        <w:rPr>
          <w:lang w:val="it-IT"/>
        </w:rPr>
        <w:t xml:space="preserve"> 2025,</w:t>
      </w:r>
      <w:r w:rsidRPr="0013765E">
        <w:rPr>
          <w:lang w:val="it-IT"/>
        </w:rPr>
        <w:t xml:space="preserve"> Fuel</w:t>
      </w:r>
      <w:r w:rsidR="00110FA8" w:rsidRPr="0013765E">
        <w:rPr>
          <w:lang w:val="it-IT"/>
        </w:rPr>
        <w:t>,</w:t>
      </w:r>
      <w:r w:rsidRPr="0013765E">
        <w:rPr>
          <w:lang w:val="it-IT"/>
        </w:rPr>
        <w:t xml:space="preserve"> 399</w:t>
      </w:r>
      <w:r w:rsidR="00110FA8" w:rsidRPr="0013765E">
        <w:rPr>
          <w:lang w:val="it-IT"/>
        </w:rPr>
        <w:t xml:space="preserve">, </w:t>
      </w:r>
      <w:r w:rsidRPr="0013765E">
        <w:rPr>
          <w:lang w:val="it-IT"/>
        </w:rPr>
        <w:t>135595.</w:t>
      </w:r>
    </w:p>
    <w:p w14:paraId="08375D5C" w14:textId="01476218" w:rsidR="004821C6" w:rsidRPr="0013765E" w:rsidRDefault="004821C6" w:rsidP="00D55ABD">
      <w:pPr>
        <w:pStyle w:val="CETReferencetext"/>
        <w:rPr>
          <w:lang w:val="it-IT"/>
        </w:rPr>
      </w:pPr>
      <w:r w:rsidRPr="0013765E">
        <w:rPr>
          <w:lang w:val="it-IT"/>
        </w:rPr>
        <w:t>Gobbo M., Gallorini R., Rosi L.</w:t>
      </w:r>
      <w:r w:rsidR="00110FA8" w:rsidRPr="0013765E">
        <w:rPr>
          <w:lang w:val="it-IT"/>
        </w:rPr>
        <w:t xml:space="preserve"> 2025,</w:t>
      </w:r>
      <w:r w:rsidRPr="0013765E">
        <w:rPr>
          <w:lang w:val="it-IT"/>
        </w:rPr>
        <w:t xml:space="preserve"> Energies</w:t>
      </w:r>
      <w:r w:rsidR="00110FA8" w:rsidRPr="0013765E">
        <w:rPr>
          <w:lang w:val="it-IT"/>
        </w:rPr>
        <w:t>,</w:t>
      </w:r>
      <w:r w:rsidRPr="0013765E">
        <w:rPr>
          <w:lang w:val="it-IT"/>
        </w:rPr>
        <w:t xml:space="preserve"> 18</w:t>
      </w:r>
      <w:r w:rsidR="00110FA8" w:rsidRPr="0013765E">
        <w:rPr>
          <w:lang w:val="it-IT"/>
        </w:rPr>
        <w:t>,</w:t>
      </w:r>
      <w:r w:rsidRPr="0013765E">
        <w:rPr>
          <w:lang w:val="it-IT"/>
        </w:rPr>
        <w:t xml:space="preserve"> 6493.</w:t>
      </w:r>
    </w:p>
    <w:p w14:paraId="2413913E" w14:textId="78769783" w:rsidR="00EE48C6" w:rsidRPr="0013765E" w:rsidRDefault="00EE48C6" w:rsidP="00EE48C6">
      <w:pPr>
        <w:pStyle w:val="CETReferencetext"/>
      </w:pPr>
      <w:proofErr w:type="spellStart"/>
      <w:r w:rsidRPr="0013765E">
        <w:t>Jaffari</w:t>
      </w:r>
      <w:proofErr w:type="spellEnd"/>
      <w:r w:rsidRPr="0013765E">
        <w:t xml:space="preserve"> Z. H., Hong J., Park K. Y. </w:t>
      </w:r>
      <w:r w:rsidR="00BB0497" w:rsidRPr="0013765E">
        <w:t xml:space="preserve">2024, Science of The Total Environment, </w:t>
      </w:r>
      <w:r w:rsidRPr="0013765E">
        <w:t>948</w:t>
      </w:r>
      <w:r w:rsidR="00BB0497" w:rsidRPr="0013765E">
        <w:t xml:space="preserve">, </w:t>
      </w:r>
      <w:r w:rsidRPr="0013765E">
        <w:t>174848.</w:t>
      </w:r>
    </w:p>
    <w:p w14:paraId="2BA120C1" w14:textId="397D7D59" w:rsidR="004821C6" w:rsidRPr="0013765E" w:rsidRDefault="004821C6" w:rsidP="00D55ABD">
      <w:pPr>
        <w:pStyle w:val="CETReferencetext"/>
      </w:pPr>
      <w:r w:rsidRPr="0013765E">
        <w:t xml:space="preserve">Kavouras P., Pantazopoulou E., </w:t>
      </w:r>
      <w:proofErr w:type="spellStart"/>
      <w:r w:rsidRPr="0013765E">
        <w:t>Varitis</w:t>
      </w:r>
      <w:proofErr w:type="spellEnd"/>
      <w:r w:rsidRPr="0013765E">
        <w:t xml:space="preserve"> S., </w:t>
      </w:r>
      <w:proofErr w:type="spellStart"/>
      <w:r w:rsidRPr="0013765E">
        <w:t>Vourlias</w:t>
      </w:r>
      <w:proofErr w:type="spellEnd"/>
      <w:r w:rsidRPr="0013765E">
        <w:t xml:space="preserve"> G., </w:t>
      </w:r>
      <w:proofErr w:type="spellStart"/>
      <w:r w:rsidRPr="0013765E">
        <w:t>Chrissafis</w:t>
      </w:r>
      <w:proofErr w:type="spellEnd"/>
      <w:r w:rsidRPr="0013765E">
        <w:t xml:space="preserve"> K., </w:t>
      </w:r>
      <w:proofErr w:type="spellStart"/>
      <w:r w:rsidRPr="0013765E">
        <w:t>Dimitrakopulos</w:t>
      </w:r>
      <w:proofErr w:type="spellEnd"/>
      <w:r w:rsidRPr="0013765E">
        <w:t xml:space="preserve"> G. P., </w:t>
      </w:r>
      <w:proofErr w:type="spellStart"/>
      <w:r w:rsidRPr="0013765E">
        <w:t>Mitrakas</w:t>
      </w:r>
      <w:proofErr w:type="spellEnd"/>
      <w:r w:rsidRPr="0013765E">
        <w:t xml:space="preserve"> M., </w:t>
      </w:r>
      <w:proofErr w:type="spellStart"/>
      <w:r w:rsidRPr="0013765E">
        <w:t>Zouboulis</w:t>
      </w:r>
      <w:proofErr w:type="spellEnd"/>
      <w:r w:rsidRPr="0013765E">
        <w:t xml:space="preserve"> A. I., Karakostas Th., </w:t>
      </w:r>
      <w:proofErr w:type="spellStart"/>
      <w:r w:rsidRPr="0013765E">
        <w:t>Xenidis</w:t>
      </w:r>
      <w:proofErr w:type="spellEnd"/>
      <w:r w:rsidRPr="0013765E">
        <w:t xml:space="preserve"> A. </w:t>
      </w:r>
      <w:r w:rsidR="00110FA8" w:rsidRPr="0013765E">
        <w:t xml:space="preserve">2015, Journal of Hazardous Materials, </w:t>
      </w:r>
      <w:r w:rsidRPr="0013765E">
        <w:t>283</w:t>
      </w:r>
      <w:r w:rsidR="00110FA8" w:rsidRPr="0013765E">
        <w:t xml:space="preserve">, </w:t>
      </w:r>
      <w:r w:rsidRPr="0013765E">
        <w:t>672–679.</w:t>
      </w:r>
    </w:p>
    <w:p w14:paraId="5373ADBC" w14:textId="4174123B" w:rsidR="004821C6" w:rsidRPr="0013765E" w:rsidRDefault="004821C6" w:rsidP="00D55ABD">
      <w:pPr>
        <w:pStyle w:val="CETReferencetext"/>
      </w:pPr>
      <w:r w:rsidRPr="0013765E">
        <w:t xml:space="preserve">Liu H., Basar I. A., Lyczko N., </w:t>
      </w:r>
      <w:proofErr w:type="spellStart"/>
      <w:r w:rsidRPr="0013765E">
        <w:t>Nzihou</w:t>
      </w:r>
      <w:proofErr w:type="spellEnd"/>
      <w:r w:rsidRPr="0013765E">
        <w:t xml:space="preserve"> A., </w:t>
      </w:r>
      <w:proofErr w:type="spellStart"/>
      <w:r w:rsidRPr="0013765E">
        <w:t>Eskicioglu</w:t>
      </w:r>
      <w:proofErr w:type="spellEnd"/>
      <w:r w:rsidRPr="0013765E">
        <w:t xml:space="preserve"> C. </w:t>
      </w:r>
      <w:r w:rsidR="00110FA8" w:rsidRPr="0013765E">
        <w:t xml:space="preserve">2022, Chemical Engineering Journal, </w:t>
      </w:r>
      <w:r w:rsidRPr="0013765E">
        <w:t>449</w:t>
      </w:r>
      <w:r w:rsidR="00110FA8" w:rsidRPr="0013765E">
        <w:t xml:space="preserve">, </w:t>
      </w:r>
      <w:r w:rsidRPr="0013765E">
        <w:t>137838.</w:t>
      </w:r>
    </w:p>
    <w:p w14:paraId="568045F9" w14:textId="5859F424" w:rsidR="004821C6" w:rsidRPr="0013765E" w:rsidRDefault="004821C6" w:rsidP="00D55ABD">
      <w:pPr>
        <w:pStyle w:val="CETReferencetext"/>
        <w:rPr>
          <w:lang w:val="pt-BR"/>
        </w:rPr>
      </w:pPr>
      <w:r w:rsidRPr="0013765E">
        <w:rPr>
          <w:lang w:val="pt-BR"/>
        </w:rPr>
        <w:t xml:space="preserve">Liu H., Basar I. A., Eskicioglu C. </w:t>
      </w:r>
      <w:r w:rsidR="00110FA8" w:rsidRPr="0013765E">
        <w:rPr>
          <w:lang w:val="pt-BR"/>
        </w:rPr>
        <w:t xml:space="preserve">2023, </w:t>
      </w:r>
      <w:r w:rsidRPr="0013765E">
        <w:rPr>
          <w:lang w:val="pt-BR"/>
        </w:rPr>
        <w:t>Energy</w:t>
      </w:r>
      <w:r w:rsidR="00110FA8" w:rsidRPr="0013765E">
        <w:rPr>
          <w:lang w:val="pt-BR"/>
        </w:rPr>
        <w:t xml:space="preserve">, </w:t>
      </w:r>
      <w:r w:rsidRPr="0013765E">
        <w:rPr>
          <w:lang w:val="pt-BR"/>
        </w:rPr>
        <w:t>281</w:t>
      </w:r>
      <w:r w:rsidR="00110FA8" w:rsidRPr="0013765E">
        <w:rPr>
          <w:lang w:val="pt-BR"/>
        </w:rPr>
        <w:t xml:space="preserve">, </w:t>
      </w:r>
      <w:r w:rsidRPr="0013765E">
        <w:rPr>
          <w:lang w:val="pt-BR"/>
        </w:rPr>
        <w:t>128268.</w:t>
      </w:r>
    </w:p>
    <w:p w14:paraId="349933B2" w14:textId="1859F7FD" w:rsidR="004821C6" w:rsidRPr="0013765E" w:rsidRDefault="004821C6" w:rsidP="00D55ABD">
      <w:pPr>
        <w:pStyle w:val="CETReferencetext"/>
      </w:pPr>
      <w:r w:rsidRPr="0013765E">
        <w:t>Miyata Y., Sagata K., Hirose M., Yamazaki Y., Nishimura A., Okuda N., Arita Y., Hirano Y., Kita Y.</w:t>
      </w:r>
      <w:r w:rsidR="00110FA8" w:rsidRPr="0013765E">
        <w:t xml:space="preserve"> 2017, ACS Sustainable Chemistry &amp; Engineering, </w:t>
      </w:r>
      <w:r w:rsidRPr="0013765E">
        <w:t>5</w:t>
      </w:r>
      <w:r w:rsidR="00110FA8" w:rsidRPr="0013765E">
        <w:t xml:space="preserve">, </w:t>
      </w:r>
      <w:r w:rsidRPr="0013765E">
        <w:t>3562−3569.</w:t>
      </w:r>
    </w:p>
    <w:p w14:paraId="31BFC3F5" w14:textId="4838F0AB" w:rsidR="00EE48C6" w:rsidRPr="0013765E" w:rsidRDefault="00EE48C6" w:rsidP="00EE48C6">
      <w:pPr>
        <w:pStyle w:val="CETReferencetext"/>
      </w:pPr>
      <w:r w:rsidRPr="0013765E">
        <w:rPr>
          <w:lang w:val="pt-BR"/>
        </w:rPr>
        <w:t xml:space="preserve">Moktadir M.A., Ren J., Zhou J. Sci. </w:t>
      </w:r>
      <w:r w:rsidRPr="0013765E">
        <w:t xml:space="preserve">Total Environ. </w:t>
      </w:r>
      <w:r w:rsidR="00BB0497" w:rsidRPr="0013765E">
        <w:t xml:space="preserve">2023, Science of The Total Environment, </w:t>
      </w:r>
      <w:r w:rsidRPr="0013765E">
        <w:t>901</w:t>
      </w:r>
      <w:r w:rsidR="00BB0497" w:rsidRPr="0013765E">
        <w:t xml:space="preserve">, </w:t>
      </w:r>
      <w:r w:rsidRPr="0013765E">
        <w:t>166244.</w:t>
      </w:r>
    </w:p>
    <w:p w14:paraId="548A6C74" w14:textId="153CCEFC" w:rsidR="004821C6" w:rsidRPr="0013765E" w:rsidRDefault="004821C6" w:rsidP="00D55ABD">
      <w:pPr>
        <w:pStyle w:val="CETReferencetext"/>
      </w:pPr>
      <w:proofErr w:type="spellStart"/>
      <w:r w:rsidRPr="0013765E">
        <w:t>Mozas</w:t>
      </w:r>
      <w:proofErr w:type="spellEnd"/>
      <w:r w:rsidRPr="0013765E">
        <w:t xml:space="preserve"> Santhose Kumar J., Prakash R., </w:t>
      </w:r>
      <w:proofErr w:type="spellStart"/>
      <w:r w:rsidRPr="0013765E">
        <w:t>Padmanathan</w:t>
      </w:r>
      <w:proofErr w:type="spellEnd"/>
      <w:r w:rsidRPr="0013765E">
        <w:t xml:space="preserve"> P. </w:t>
      </w:r>
      <w:r w:rsidR="00110FA8" w:rsidRPr="0013765E">
        <w:t xml:space="preserve">2025, </w:t>
      </w:r>
      <w:r w:rsidRPr="0013765E">
        <w:t>Fuel</w:t>
      </w:r>
      <w:r w:rsidR="00110FA8" w:rsidRPr="0013765E">
        <w:t>,</w:t>
      </w:r>
      <w:r w:rsidRPr="0013765E">
        <w:t xml:space="preserve"> 385</w:t>
      </w:r>
      <w:r w:rsidR="00110FA8" w:rsidRPr="0013765E">
        <w:t>,</w:t>
      </w:r>
      <w:r w:rsidRPr="0013765E">
        <w:t xml:space="preserve"> 134141.</w:t>
      </w:r>
    </w:p>
    <w:p w14:paraId="5C1E5E4E" w14:textId="16657AB7" w:rsidR="004821C6" w:rsidRPr="0013765E" w:rsidRDefault="004821C6" w:rsidP="00D55ABD">
      <w:pPr>
        <w:pStyle w:val="CETReferencetext"/>
      </w:pPr>
      <w:r w:rsidRPr="0013765E">
        <w:t xml:space="preserve">Prestigiacomo C., Zimmermann J., Hornung U., </w:t>
      </w:r>
      <w:proofErr w:type="spellStart"/>
      <w:r w:rsidRPr="0013765E">
        <w:t>Raffelt</w:t>
      </w:r>
      <w:proofErr w:type="spellEnd"/>
      <w:r w:rsidRPr="0013765E">
        <w:t xml:space="preserve"> K., Dahmen N., Scialdone O., Galia A.</w:t>
      </w:r>
      <w:r w:rsidR="00110FA8" w:rsidRPr="0013765E">
        <w:t xml:space="preserve"> 2022, Fuel Processing Technology, </w:t>
      </w:r>
      <w:r w:rsidRPr="0013765E">
        <w:t>237</w:t>
      </w:r>
      <w:r w:rsidR="00110FA8" w:rsidRPr="0013765E">
        <w:t xml:space="preserve">, </w:t>
      </w:r>
      <w:r w:rsidRPr="0013765E">
        <w:t>107452.</w:t>
      </w:r>
    </w:p>
    <w:p w14:paraId="29D302BB" w14:textId="105D11C3" w:rsidR="004821C6" w:rsidRPr="0013765E" w:rsidRDefault="004821C6" w:rsidP="00D55ABD">
      <w:pPr>
        <w:pStyle w:val="CETReferencetext"/>
      </w:pPr>
      <w:r w:rsidRPr="0013765E">
        <w:t xml:space="preserve">Rojas M., Manrique R., Hornung U., Funke A., Mullen C. A., </w:t>
      </w:r>
      <w:proofErr w:type="spellStart"/>
      <w:r w:rsidRPr="0013765E">
        <w:t>Chejne</w:t>
      </w:r>
      <w:proofErr w:type="spellEnd"/>
      <w:r w:rsidRPr="0013765E">
        <w:t xml:space="preserve"> F., Maya J. C. Biomass Bioenergy 194 (2025) 107621.</w:t>
      </w:r>
    </w:p>
    <w:p w14:paraId="072B25DD" w14:textId="08FB969A" w:rsidR="00EE48C6" w:rsidRPr="00BB0497" w:rsidRDefault="00EE48C6" w:rsidP="00EE48C6">
      <w:pPr>
        <w:pStyle w:val="CETReferencetext"/>
      </w:pPr>
      <w:r w:rsidRPr="0013765E">
        <w:t>Shah A. A., Toor</w:t>
      </w:r>
      <w:r w:rsidRPr="00BB0497">
        <w:t xml:space="preserve"> S. S., </w:t>
      </w:r>
      <w:proofErr w:type="spellStart"/>
      <w:r w:rsidRPr="00BB0497">
        <w:t>Seehar</w:t>
      </w:r>
      <w:proofErr w:type="spellEnd"/>
      <w:r w:rsidRPr="00BB0497">
        <w:t xml:space="preserve"> T. H., Nielsen R. S., Nielsen A. H., Pedersen T. H., Rosendahl L. A.</w:t>
      </w:r>
      <w:r w:rsidR="00BB0497" w:rsidRPr="00BB0497">
        <w:t xml:space="preserve"> 2020,</w:t>
      </w:r>
      <w:r w:rsidRPr="00BB0497">
        <w:t xml:space="preserve"> Energies</w:t>
      </w:r>
      <w:r w:rsidR="00BB0497" w:rsidRPr="00BB0497">
        <w:t>,</w:t>
      </w:r>
      <w:r w:rsidRPr="00BB0497">
        <w:t xml:space="preserve"> 13</w:t>
      </w:r>
      <w:r w:rsidR="00BB0497" w:rsidRPr="00BB0497">
        <w:t>,</w:t>
      </w:r>
      <w:r w:rsidRPr="00BB0497">
        <w:t xml:space="preserve"> 493.</w:t>
      </w:r>
    </w:p>
    <w:p w14:paraId="57E1AB4E" w14:textId="2560DD74" w:rsidR="00793854" w:rsidRPr="00C36E4F" w:rsidRDefault="004821C6" w:rsidP="00D55ABD">
      <w:pPr>
        <w:pStyle w:val="CETReferencetext"/>
        <w:rPr>
          <w:lang w:val="pt-BR"/>
        </w:rPr>
      </w:pPr>
      <w:r w:rsidRPr="00C36E4F">
        <w:rPr>
          <w:lang w:val="pt-BR"/>
        </w:rPr>
        <w:t>Tai L., de Caprariis B, Scarsella M., De Filippis P.,</w:t>
      </w:r>
      <w:r w:rsidR="00793854" w:rsidRPr="00C36E4F">
        <w:rPr>
          <w:lang w:val="pt-BR"/>
        </w:rPr>
        <w:t xml:space="preserve"> </w:t>
      </w:r>
      <w:r w:rsidRPr="00C36E4F">
        <w:rPr>
          <w:lang w:val="pt-BR"/>
        </w:rPr>
        <w:t xml:space="preserve">Marra F. </w:t>
      </w:r>
      <w:r w:rsidR="003765C2" w:rsidRPr="00C36E4F">
        <w:rPr>
          <w:lang w:val="pt-BR"/>
        </w:rPr>
        <w:t>2021, Energy &amp; Fuels,</w:t>
      </w:r>
      <w:r w:rsidRPr="00C36E4F">
        <w:rPr>
          <w:lang w:val="pt-BR"/>
        </w:rPr>
        <w:t xml:space="preserve"> 35</w:t>
      </w:r>
      <w:r w:rsidR="003765C2" w:rsidRPr="00C36E4F">
        <w:rPr>
          <w:lang w:val="pt-BR"/>
        </w:rPr>
        <w:t xml:space="preserve">, </w:t>
      </w:r>
      <w:r w:rsidRPr="00C36E4F">
        <w:rPr>
          <w:lang w:val="pt-BR"/>
        </w:rPr>
        <w:t>10023−10034.</w:t>
      </w:r>
    </w:p>
    <w:p w14:paraId="16D1D2B0" w14:textId="0641529B" w:rsidR="004821C6" w:rsidRPr="00E52992" w:rsidRDefault="00793854">
      <w:pPr>
        <w:pStyle w:val="CETReferencetext"/>
        <w:rPr>
          <w:lang w:val="it-IT"/>
        </w:rPr>
      </w:pPr>
      <w:r w:rsidRPr="00BB0497">
        <w:rPr>
          <w:lang w:val="it-IT"/>
        </w:rPr>
        <w:t xml:space="preserve">UNIC - Concerie Italiane. </w:t>
      </w:r>
      <w:r w:rsidRPr="00E52992">
        <w:rPr>
          <w:lang w:val="it-IT"/>
        </w:rPr>
        <w:t xml:space="preserve">Report di sostenibilità 2024. </w:t>
      </w:r>
    </w:p>
    <w:p w14:paraId="76C0DCF8" w14:textId="024BAD5B" w:rsidR="00067058" w:rsidRPr="00BB0497" w:rsidRDefault="004821C6">
      <w:pPr>
        <w:pStyle w:val="CETReferencetext"/>
      </w:pPr>
      <w:r w:rsidRPr="00BB0497">
        <w:t>Wang J., Liu Z., Li J., Yan B., Tao J., Cheng Z., Chen G.</w:t>
      </w:r>
      <w:r w:rsidR="003765C2" w:rsidRPr="00BB0497">
        <w:t xml:space="preserve"> 2022, International Journal of Hydrogen Energy, </w:t>
      </w:r>
      <w:r w:rsidRPr="00BB0497">
        <w:t>47</w:t>
      </w:r>
      <w:r w:rsidR="003765C2" w:rsidRPr="00BB0497">
        <w:t xml:space="preserve">, </w:t>
      </w:r>
      <w:r w:rsidRPr="00BB0497">
        <w:t>7252–7262.</w:t>
      </w:r>
    </w:p>
    <w:p w14:paraId="059F1363" w14:textId="569A4F92" w:rsidR="004821C6" w:rsidRPr="00BB0497" w:rsidRDefault="004821C6" w:rsidP="005E3982">
      <w:pPr>
        <w:pStyle w:val="CETReferencetext"/>
      </w:pPr>
      <w:r w:rsidRPr="00BB0497">
        <w:t xml:space="preserve">Wang W., Zhou W., Wang Y., Wang M., Wang Q., Hu Y., Wu J., Hu J., Luo T., Fan L. </w:t>
      </w:r>
      <w:r w:rsidR="003765C2" w:rsidRPr="00BB0497">
        <w:t xml:space="preserve">2025, Chemical Engineering Journal, </w:t>
      </w:r>
      <w:r w:rsidRPr="00BB0497">
        <w:t>505</w:t>
      </w:r>
      <w:r w:rsidR="003765C2" w:rsidRPr="00BB0497">
        <w:t xml:space="preserve">, </w:t>
      </w:r>
      <w:r w:rsidRPr="00BB0497">
        <w:t>159184.</w:t>
      </w:r>
    </w:p>
    <w:p w14:paraId="3463B2F4" w14:textId="554BE915" w:rsidR="00EE48C6" w:rsidRPr="00BB0497" w:rsidRDefault="00EE48C6" w:rsidP="005E3982">
      <w:pPr>
        <w:pStyle w:val="CETReferencetext"/>
      </w:pPr>
      <w:r w:rsidRPr="00BB0497">
        <w:t>Zhang B., Biswal B. K., Zhang J., Balasubramanian R.</w:t>
      </w:r>
      <w:r w:rsidR="00BB0497" w:rsidRPr="00BB0497">
        <w:t xml:space="preserve"> 2023, Chemical Reviews, </w:t>
      </w:r>
      <w:r w:rsidRPr="00BB0497">
        <w:t>123</w:t>
      </w:r>
      <w:r w:rsidR="00BB0497" w:rsidRPr="00BB0497">
        <w:t>,</w:t>
      </w:r>
      <w:r w:rsidRPr="00BB0497">
        <w:t xml:space="preserve"> 7193−7294.</w:t>
      </w:r>
    </w:p>
    <w:sectPr w:rsidR="00EE48C6" w:rsidRPr="00BB0497"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0F77" w14:textId="77777777" w:rsidR="007C7DC9" w:rsidRDefault="007C7DC9" w:rsidP="004F5E36">
      <w:r>
        <w:separator/>
      </w:r>
    </w:p>
  </w:endnote>
  <w:endnote w:type="continuationSeparator" w:id="0">
    <w:p w14:paraId="57178416" w14:textId="77777777" w:rsidR="007C7DC9" w:rsidRDefault="007C7DC9"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EB62" w14:textId="77777777" w:rsidR="007C7DC9" w:rsidRDefault="007C7DC9" w:rsidP="004F5E36">
      <w:r>
        <w:separator/>
      </w:r>
    </w:p>
  </w:footnote>
  <w:footnote w:type="continuationSeparator" w:id="0">
    <w:p w14:paraId="65933341" w14:textId="77777777" w:rsidR="007C7DC9" w:rsidRDefault="007C7DC9"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1D1897DA"/>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964A2B"/>
    <w:multiLevelType w:val="hybridMultilevel"/>
    <w:tmpl w:val="6D920CEC"/>
    <w:lvl w:ilvl="0" w:tplc="A4BC64A0">
      <w:start w:val="1"/>
      <w:numFmt w:val="decimal"/>
      <w:lvlText w:val="[%1]"/>
      <w:lvlJc w:val="left"/>
      <w:pPr>
        <w:ind w:left="720" w:hanging="360"/>
      </w:pPr>
      <w:rPr>
        <w:rFonts w:hint="default"/>
      </w:rPr>
    </w:lvl>
    <w:lvl w:ilvl="1" w:tplc="369E92C6">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B2AAD"/>
    <w:multiLevelType w:val="hybridMultilevel"/>
    <w:tmpl w:val="2A78B41A"/>
    <w:lvl w:ilvl="0" w:tplc="A4BC64A0">
      <w:start w:val="1"/>
      <w:numFmt w:val="decimal"/>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E2158B8"/>
    <w:multiLevelType w:val="hybridMultilevel"/>
    <w:tmpl w:val="87D80DBC"/>
    <w:lvl w:ilvl="0" w:tplc="A4BC64A0">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9C5932"/>
    <w:multiLevelType w:val="hybridMultilevel"/>
    <w:tmpl w:val="6922CC8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C567912"/>
    <w:multiLevelType w:val="hybridMultilevel"/>
    <w:tmpl w:val="75DCFAC8"/>
    <w:lvl w:ilvl="0" w:tplc="A45CEE6C">
      <w:start w:val="1"/>
      <w:numFmt w:val="decimal"/>
      <w:lvlText w:val="[%1]."/>
      <w:lvlJc w:val="left"/>
      <w:pPr>
        <w:ind w:left="720" w:hanging="360"/>
      </w:pPr>
      <w:rPr>
        <w:rFonts w:hint="default"/>
      </w:rPr>
    </w:lvl>
    <w:lvl w:ilvl="1" w:tplc="612EBEC6">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4B93E1D"/>
    <w:multiLevelType w:val="hybridMultilevel"/>
    <w:tmpl w:val="5E020898"/>
    <w:lvl w:ilvl="0" w:tplc="04100015">
      <w:start w:val="9"/>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91114988">
    <w:abstractNumId w:val="10"/>
  </w:num>
  <w:num w:numId="2" w16cid:durableId="1982034427">
    <w:abstractNumId w:val="8"/>
  </w:num>
  <w:num w:numId="3" w16cid:durableId="1238327071">
    <w:abstractNumId w:val="3"/>
  </w:num>
  <w:num w:numId="4" w16cid:durableId="268784283">
    <w:abstractNumId w:val="2"/>
  </w:num>
  <w:num w:numId="5" w16cid:durableId="481430629">
    <w:abstractNumId w:val="1"/>
  </w:num>
  <w:num w:numId="6" w16cid:durableId="608783105">
    <w:abstractNumId w:val="0"/>
  </w:num>
  <w:num w:numId="7" w16cid:durableId="992101597">
    <w:abstractNumId w:val="9"/>
  </w:num>
  <w:num w:numId="8" w16cid:durableId="2093310625">
    <w:abstractNumId w:val="7"/>
  </w:num>
  <w:num w:numId="9" w16cid:durableId="575090926">
    <w:abstractNumId w:val="6"/>
  </w:num>
  <w:num w:numId="10" w16cid:durableId="1098522345">
    <w:abstractNumId w:val="5"/>
  </w:num>
  <w:num w:numId="11" w16cid:durableId="1412892708">
    <w:abstractNumId w:val="4"/>
  </w:num>
  <w:num w:numId="12" w16cid:durableId="1549684423">
    <w:abstractNumId w:val="19"/>
  </w:num>
  <w:num w:numId="13" w16cid:durableId="1327175555">
    <w:abstractNumId w:val="12"/>
  </w:num>
  <w:num w:numId="14" w16cid:durableId="1461876868">
    <w:abstractNumId w:val="20"/>
  </w:num>
  <w:num w:numId="15" w16cid:durableId="1294867388">
    <w:abstractNumId w:val="24"/>
  </w:num>
  <w:num w:numId="16" w16cid:durableId="1495103884">
    <w:abstractNumId w:val="23"/>
  </w:num>
  <w:num w:numId="17" w16cid:durableId="1520974191">
    <w:abstractNumId w:val="11"/>
  </w:num>
  <w:num w:numId="18" w16cid:durableId="2093426835">
    <w:abstractNumId w:val="12"/>
    <w:lvlOverride w:ilvl="0">
      <w:startOverride w:val="1"/>
    </w:lvlOverride>
  </w:num>
  <w:num w:numId="19" w16cid:durableId="2144611717">
    <w:abstractNumId w:val="18"/>
  </w:num>
  <w:num w:numId="20" w16cid:durableId="1384216353">
    <w:abstractNumId w:val="17"/>
  </w:num>
  <w:num w:numId="21" w16cid:durableId="487402239">
    <w:abstractNumId w:val="16"/>
  </w:num>
  <w:num w:numId="22" w16cid:durableId="1718508007">
    <w:abstractNumId w:val="14"/>
  </w:num>
  <w:num w:numId="23" w16cid:durableId="1254632863">
    <w:abstractNumId w:val="15"/>
  </w:num>
  <w:num w:numId="24" w16cid:durableId="1227186252">
    <w:abstractNumId w:val="25"/>
  </w:num>
  <w:num w:numId="25" w16cid:durableId="1620142858">
    <w:abstractNumId w:val="26"/>
  </w:num>
  <w:num w:numId="26" w16cid:durableId="1372261870">
    <w:abstractNumId w:val="21"/>
  </w:num>
  <w:num w:numId="27" w16cid:durableId="2126924411">
    <w:abstractNumId w:val="13"/>
  </w:num>
  <w:num w:numId="28" w16cid:durableId="9337121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BB4"/>
    <w:rsid w:val="000027C0"/>
    <w:rsid w:val="000052FB"/>
    <w:rsid w:val="00005884"/>
    <w:rsid w:val="00005A19"/>
    <w:rsid w:val="000117CB"/>
    <w:rsid w:val="00012356"/>
    <w:rsid w:val="0003148D"/>
    <w:rsid w:val="00031EEC"/>
    <w:rsid w:val="000321E0"/>
    <w:rsid w:val="0004297B"/>
    <w:rsid w:val="00051566"/>
    <w:rsid w:val="000562A9"/>
    <w:rsid w:val="00061D7B"/>
    <w:rsid w:val="00062A9A"/>
    <w:rsid w:val="00065058"/>
    <w:rsid w:val="00067058"/>
    <w:rsid w:val="000707F9"/>
    <w:rsid w:val="00086C39"/>
    <w:rsid w:val="000A03B2"/>
    <w:rsid w:val="000A7275"/>
    <w:rsid w:val="000B7F9A"/>
    <w:rsid w:val="000D0268"/>
    <w:rsid w:val="000D34BE"/>
    <w:rsid w:val="000D5A15"/>
    <w:rsid w:val="000E1011"/>
    <w:rsid w:val="000E102F"/>
    <w:rsid w:val="000E36F1"/>
    <w:rsid w:val="000E3A73"/>
    <w:rsid w:val="000E414A"/>
    <w:rsid w:val="000E75FD"/>
    <w:rsid w:val="000F093C"/>
    <w:rsid w:val="000F787B"/>
    <w:rsid w:val="00101F02"/>
    <w:rsid w:val="00110FA8"/>
    <w:rsid w:val="0012091F"/>
    <w:rsid w:val="00124AAD"/>
    <w:rsid w:val="00126BC2"/>
    <w:rsid w:val="001308B6"/>
    <w:rsid w:val="0013121F"/>
    <w:rsid w:val="00131FE6"/>
    <w:rsid w:val="0013263F"/>
    <w:rsid w:val="001331DF"/>
    <w:rsid w:val="00134DE4"/>
    <w:rsid w:val="00136BD9"/>
    <w:rsid w:val="0013765E"/>
    <w:rsid w:val="0014034D"/>
    <w:rsid w:val="00140FE3"/>
    <w:rsid w:val="00141F20"/>
    <w:rsid w:val="00143A48"/>
    <w:rsid w:val="00144D16"/>
    <w:rsid w:val="001506CC"/>
    <w:rsid w:val="00150E59"/>
    <w:rsid w:val="00152DE3"/>
    <w:rsid w:val="001566A0"/>
    <w:rsid w:val="00164CF9"/>
    <w:rsid w:val="001667A6"/>
    <w:rsid w:val="00167A0B"/>
    <w:rsid w:val="001823DD"/>
    <w:rsid w:val="00183993"/>
    <w:rsid w:val="001841A0"/>
    <w:rsid w:val="00184AD6"/>
    <w:rsid w:val="001862FF"/>
    <w:rsid w:val="0019017F"/>
    <w:rsid w:val="001A4AF7"/>
    <w:rsid w:val="001B0349"/>
    <w:rsid w:val="001B1E93"/>
    <w:rsid w:val="001B65C1"/>
    <w:rsid w:val="001C260F"/>
    <w:rsid w:val="001C33F1"/>
    <w:rsid w:val="001C3776"/>
    <w:rsid w:val="001C684B"/>
    <w:rsid w:val="001D0BAD"/>
    <w:rsid w:val="001D0CFB"/>
    <w:rsid w:val="001D21AF"/>
    <w:rsid w:val="001D53FC"/>
    <w:rsid w:val="001F42A5"/>
    <w:rsid w:val="001F4F20"/>
    <w:rsid w:val="001F7B9D"/>
    <w:rsid w:val="00201C93"/>
    <w:rsid w:val="00202B0A"/>
    <w:rsid w:val="002224B4"/>
    <w:rsid w:val="00240B19"/>
    <w:rsid w:val="002447EF"/>
    <w:rsid w:val="00245B26"/>
    <w:rsid w:val="00251550"/>
    <w:rsid w:val="00263B05"/>
    <w:rsid w:val="0027221A"/>
    <w:rsid w:val="00275B61"/>
    <w:rsid w:val="00280FAF"/>
    <w:rsid w:val="00282656"/>
    <w:rsid w:val="00282FE6"/>
    <w:rsid w:val="00296B83"/>
    <w:rsid w:val="002B1C34"/>
    <w:rsid w:val="002B4015"/>
    <w:rsid w:val="002B5C01"/>
    <w:rsid w:val="002B78CE"/>
    <w:rsid w:val="002C2FB6"/>
    <w:rsid w:val="002C36BB"/>
    <w:rsid w:val="002D19F6"/>
    <w:rsid w:val="002E5FA7"/>
    <w:rsid w:val="002F3309"/>
    <w:rsid w:val="002F602E"/>
    <w:rsid w:val="003008CE"/>
    <w:rsid w:val="003009B7"/>
    <w:rsid w:val="00300E56"/>
    <w:rsid w:val="0030152C"/>
    <w:rsid w:val="00302F3F"/>
    <w:rsid w:val="00304389"/>
    <w:rsid w:val="0030469C"/>
    <w:rsid w:val="00321CA6"/>
    <w:rsid w:val="003234CF"/>
    <w:rsid w:val="00323763"/>
    <w:rsid w:val="00323C5F"/>
    <w:rsid w:val="00334C09"/>
    <w:rsid w:val="003441DB"/>
    <w:rsid w:val="00344CEB"/>
    <w:rsid w:val="00344FCE"/>
    <w:rsid w:val="0034627D"/>
    <w:rsid w:val="00353460"/>
    <w:rsid w:val="00357D4D"/>
    <w:rsid w:val="00366294"/>
    <w:rsid w:val="003711A7"/>
    <w:rsid w:val="003723D4"/>
    <w:rsid w:val="003765C2"/>
    <w:rsid w:val="00380FF6"/>
    <w:rsid w:val="00381905"/>
    <w:rsid w:val="00384CC8"/>
    <w:rsid w:val="003871FD"/>
    <w:rsid w:val="003A1E30"/>
    <w:rsid w:val="003A2829"/>
    <w:rsid w:val="003A7D1C"/>
    <w:rsid w:val="003B304B"/>
    <w:rsid w:val="003B3146"/>
    <w:rsid w:val="003B4EA5"/>
    <w:rsid w:val="003C5210"/>
    <w:rsid w:val="003D019A"/>
    <w:rsid w:val="003D1E02"/>
    <w:rsid w:val="003D79AA"/>
    <w:rsid w:val="003F015E"/>
    <w:rsid w:val="003F2622"/>
    <w:rsid w:val="00400414"/>
    <w:rsid w:val="0041446B"/>
    <w:rsid w:val="0044071E"/>
    <w:rsid w:val="0044329C"/>
    <w:rsid w:val="00447C7A"/>
    <w:rsid w:val="00453E24"/>
    <w:rsid w:val="00457456"/>
    <w:rsid w:val="004577FE"/>
    <w:rsid w:val="00457B9C"/>
    <w:rsid w:val="0046164A"/>
    <w:rsid w:val="00461C68"/>
    <w:rsid w:val="004628D2"/>
    <w:rsid w:val="00462DCD"/>
    <w:rsid w:val="004648AD"/>
    <w:rsid w:val="004703A9"/>
    <w:rsid w:val="004760DE"/>
    <w:rsid w:val="004763D7"/>
    <w:rsid w:val="004821C6"/>
    <w:rsid w:val="00486E60"/>
    <w:rsid w:val="00493EF4"/>
    <w:rsid w:val="004A004E"/>
    <w:rsid w:val="004A24CF"/>
    <w:rsid w:val="004A5E57"/>
    <w:rsid w:val="004A6F28"/>
    <w:rsid w:val="004B2C52"/>
    <w:rsid w:val="004C194F"/>
    <w:rsid w:val="004C3D1D"/>
    <w:rsid w:val="004C3D84"/>
    <w:rsid w:val="004C7913"/>
    <w:rsid w:val="004D4C80"/>
    <w:rsid w:val="004D56AD"/>
    <w:rsid w:val="004E4DD6"/>
    <w:rsid w:val="004F5E36"/>
    <w:rsid w:val="00507B47"/>
    <w:rsid w:val="00507BEF"/>
    <w:rsid w:val="00507CC9"/>
    <w:rsid w:val="005119A5"/>
    <w:rsid w:val="00516389"/>
    <w:rsid w:val="00516958"/>
    <w:rsid w:val="005278B7"/>
    <w:rsid w:val="00532016"/>
    <w:rsid w:val="005346C8"/>
    <w:rsid w:val="005364C5"/>
    <w:rsid w:val="00541705"/>
    <w:rsid w:val="00543E7D"/>
    <w:rsid w:val="005458BF"/>
    <w:rsid w:val="00547A68"/>
    <w:rsid w:val="005531C9"/>
    <w:rsid w:val="00570C43"/>
    <w:rsid w:val="00585A59"/>
    <w:rsid w:val="00592274"/>
    <w:rsid w:val="005A138F"/>
    <w:rsid w:val="005A51A6"/>
    <w:rsid w:val="005B2110"/>
    <w:rsid w:val="005B61E6"/>
    <w:rsid w:val="005B7321"/>
    <w:rsid w:val="005C77E1"/>
    <w:rsid w:val="005C7CBE"/>
    <w:rsid w:val="005D35FD"/>
    <w:rsid w:val="005D668A"/>
    <w:rsid w:val="005D6A2F"/>
    <w:rsid w:val="005E0592"/>
    <w:rsid w:val="005E1A82"/>
    <w:rsid w:val="005E3982"/>
    <w:rsid w:val="005E794C"/>
    <w:rsid w:val="005F0A28"/>
    <w:rsid w:val="005F0E5E"/>
    <w:rsid w:val="005F2605"/>
    <w:rsid w:val="00600535"/>
    <w:rsid w:val="00610CD6"/>
    <w:rsid w:val="00620DEE"/>
    <w:rsid w:val="00621F92"/>
    <w:rsid w:val="0062280A"/>
    <w:rsid w:val="006231E1"/>
    <w:rsid w:val="00625639"/>
    <w:rsid w:val="00631B33"/>
    <w:rsid w:val="0064184D"/>
    <w:rsid w:val="006422CC"/>
    <w:rsid w:val="00651D18"/>
    <w:rsid w:val="00660E3E"/>
    <w:rsid w:val="00662E74"/>
    <w:rsid w:val="00664F9F"/>
    <w:rsid w:val="00680C23"/>
    <w:rsid w:val="00683E23"/>
    <w:rsid w:val="00693766"/>
    <w:rsid w:val="006A3281"/>
    <w:rsid w:val="006B25E3"/>
    <w:rsid w:val="006B4888"/>
    <w:rsid w:val="006C2E45"/>
    <w:rsid w:val="006C359C"/>
    <w:rsid w:val="006C5579"/>
    <w:rsid w:val="006D6E8B"/>
    <w:rsid w:val="006D7209"/>
    <w:rsid w:val="006E737D"/>
    <w:rsid w:val="00700E29"/>
    <w:rsid w:val="00703C72"/>
    <w:rsid w:val="007065F9"/>
    <w:rsid w:val="00707DD1"/>
    <w:rsid w:val="00713973"/>
    <w:rsid w:val="00720A24"/>
    <w:rsid w:val="00732386"/>
    <w:rsid w:val="0073514D"/>
    <w:rsid w:val="007406B8"/>
    <w:rsid w:val="007447F3"/>
    <w:rsid w:val="0075499F"/>
    <w:rsid w:val="007617CC"/>
    <w:rsid w:val="007661C8"/>
    <w:rsid w:val="0077098D"/>
    <w:rsid w:val="00785BF9"/>
    <w:rsid w:val="007931FA"/>
    <w:rsid w:val="00793854"/>
    <w:rsid w:val="007A2F87"/>
    <w:rsid w:val="007A4861"/>
    <w:rsid w:val="007A639F"/>
    <w:rsid w:val="007A7BBA"/>
    <w:rsid w:val="007B0C50"/>
    <w:rsid w:val="007B10C7"/>
    <w:rsid w:val="007B48F9"/>
    <w:rsid w:val="007B6A2E"/>
    <w:rsid w:val="007C1A43"/>
    <w:rsid w:val="007C58D5"/>
    <w:rsid w:val="007C7DC9"/>
    <w:rsid w:val="007D0951"/>
    <w:rsid w:val="007D1BF6"/>
    <w:rsid w:val="007F27C8"/>
    <w:rsid w:val="0080013E"/>
    <w:rsid w:val="00803DAF"/>
    <w:rsid w:val="008051A5"/>
    <w:rsid w:val="00813288"/>
    <w:rsid w:val="008168FC"/>
    <w:rsid w:val="00826C93"/>
    <w:rsid w:val="00830996"/>
    <w:rsid w:val="008314D7"/>
    <w:rsid w:val="008345F1"/>
    <w:rsid w:val="00834970"/>
    <w:rsid w:val="0084468A"/>
    <w:rsid w:val="008463E8"/>
    <w:rsid w:val="008633A4"/>
    <w:rsid w:val="00865675"/>
    <w:rsid w:val="00865B07"/>
    <w:rsid w:val="008667EA"/>
    <w:rsid w:val="008703AF"/>
    <w:rsid w:val="0087637F"/>
    <w:rsid w:val="00891E7E"/>
    <w:rsid w:val="00892AD5"/>
    <w:rsid w:val="008A1512"/>
    <w:rsid w:val="008D32B9"/>
    <w:rsid w:val="008D433B"/>
    <w:rsid w:val="008D4A16"/>
    <w:rsid w:val="008E209A"/>
    <w:rsid w:val="008E45BC"/>
    <w:rsid w:val="008E566E"/>
    <w:rsid w:val="0090161A"/>
    <w:rsid w:val="00901EB6"/>
    <w:rsid w:val="009041F8"/>
    <w:rsid w:val="00904C62"/>
    <w:rsid w:val="0091275D"/>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83912"/>
    <w:rsid w:val="00993B84"/>
    <w:rsid w:val="00996483"/>
    <w:rsid w:val="00996F5A"/>
    <w:rsid w:val="009B041A"/>
    <w:rsid w:val="009B2C2C"/>
    <w:rsid w:val="009C37C3"/>
    <w:rsid w:val="009C7C86"/>
    <w:rsid w:val="009D2FF7"/>
    <w:rsid w:val="009E7884"/>
    <w:rsid w:val="009E788A"/>
    <w:rsid w:val="009F0E08"/>
    <w:rsid w:val="00A0310F"/>
    <w:rsid w:val="00A079AE"/>
    <w:rsid w:val="00A150A7"/>
    <w:rsid w:val="00A1763D"/>
    <w:rsid w:val="00A17CEC"/>
    <w:rsid w:val="00A26CBB"/>
    <w:rsid w:val="00A27EF0"/>
    <w:rsid w:val="00A42361"/>
    <w:rsid w:val="00A50B20"/>
    <w:rsid w:val="00A51390"/>
    <w:rsid w:val="00A60D13"/>
    <w:rsid w:val="00A65063"/>
    <w:rsid w:val="00A6685F"/>
    <w:rsid w:val="00A66C24"/>
    <w:rsid w:val="00A7223D"/>
    <w:rsid w:val="00A72745"/>
    <w:rsid w:val="00A76EFC"/>
    <w:rsid w:val="00A80BCD"/>
    <w:rsid w:val="00A87D50"/>
    <w:rsid w:val="00A91010"/>
    <w:rsid w:val="00A97F29"/>
    <w:rsid w:val="00AA702E"/>
    <w:rsid w:val="00AA7D26"/>
    <w:rsid w:val="00AB0964"/>
    <w:rsid w:val="00AB5011"/>
    <w:rsid w:val="00AC7368"/>
    <w:rsid w:val="00AD0278"/>
    <w:rsid w:val="00AD16B9"/>
    <w:rsid w:val="00AD71F7"/>
    <w:rsid w:val="00AE377D"/>
    <w:rsid w:val="00AF0EBA"/>
    <w:rsid w:val="00B02C8A"/>
    <w:rsid w:val="00B04627"/>
    <w:rsid w:val="00B17FBD"/>
    <w:rsid w:val="00B30F70"/>
    <w:rsid w:val="00B315A6"/>
    <w:rsid w:val="00B31813"/>
    <w:rsid w:val="00B33365"/>
    <w:rsid w:val="00B40AD9"/>
    <w:rsid w:val="00B57B36"/>
    <w:rsid w:val="00B57E6F"/>
    <w:rsid w:val="00B674C9"/>
    <w:rsid w:val="00B8190A"/>
    <w:rsid w:val="00B8686D"/>
    <w:rsid w:val="00B869D9"/>
    <w:rsid w:val="00B93F69"/>
    <w:rsid w:val="00B965B0"/>
    <w:rsid w:val="00BB0497"/>
    <w:rsid w:val="00BB1DDC"/>
    <w:rsid w:val="00BB23C2"/>
    <w:rsid w:val="00BC30C9"/>
    <w:rsid w:val="00BD077D"/>
    <w:rsid w:val="00BE3E58"/>
    <w:rsid w:val="00C01616"/>
    <w:rsid w:val="00C0162B"/>
    <w:rsid w:val="00C068ED"/>
    <w:rsid w:val="00C07BE6"/>
    <w:rsid w:val="00C10F9A"/>
    <w:rsid w:val="00C208E9"/>
    <w:rsid w:val="00C22E0C"/>
    <w:rsid w:val="00C345B1"/>
    <w:rsid w:val="00C36E4F"/>
    <w:rsid w:val="00C40142"/>
    <w:rsid w:val="00C512AB"/>
    <w:rsid w:val="00C52C3C"/>
    <w:rsid w:val="00C57182"/>
    <w:rsid w:val="00C57863"/>
    <w:rsid w:val="00C640AF"/>
    <w:rsid w:val="00C655FD"/>
    <w:rsid w:val="00C75407"/>
    <w:rsid w:val="00C80661"/>
    <w:rsid w:val="00C841C6"/>
    <w:rsid w:val="00C870A8"/>
    <w:rsid w:val="00C94434"/>
    <w:rsid w:val="00C97A33"/>
    <w:rsid w:val="00CA0D75"/>
    <w:rsid w:val="00CA1C95"/>
    <w:rsid w:val="00CA5A9C"/>
    <w:rsid w:val="00CC0560"/>
    <w:rsid w:val="00CC4C20"/>
    <w:rsid w:val="00CD3517"/>
    <w:rsid w:val="00CD5FE2"/>
    <w:rsid w:val="00CE7C68"/>
    <w:rsid w:val="00CF286F"/>
    <w:rsid w:val="00CF33DF"/>
    <w:rsid w:val="00CF4650"/>
    <w:rsid w:val="00D02B4C"/>
    <w:rsid w:val="00D040C4"/>
    <w:rsid w:val="00D20AD1"/>
    <w:rsid w:val="00D2582C"/>
    <w:rsid w:val="00D46B7E"/>
    <w:rsid w:val="00D55ABD"/>
    <w:rsid w:val="00D57C84"/>
    <w:rsid w:val="00D6057D"/>
    <w:rsid w:val="00D66E51"/>
    <w:rsid w:val="00D6781B"/>
    <w:rsid w:val="00D71640"/>
    <w:rsid w:val="00D773FF"/>
    <w:rsid w:val="00D836C5"/>
    <w:rsid w:val="00D84576"/>
    <w:rsid w:val="00DA1399"/>
    <w:rsid w:val="00DA24C6"/>
    <w:rsid w:val="00DA3045"/>
    <w:rsid w:val="00DA4527"/>
    <w:rsid w:val="00DA4D7B"/>
    <w:rsid w:val="00DA64AD"/>
    <w:rsid w:val="00DC2925"/>
    <w:rsid w:val="00DC2E5C"/>
    <w:rsid w:val="00DD271C"/>
    <w:rsid w:val="00DE264A"/>
    <w:rsid w:val="00DF3A6C"/>
    <w:rsid w:val="00DF5072"/>
    <w:rsid w:val="00DF63E6"/>
    <w:rsid w:val="00E02D18"/>
    <w:rsid w:val="00E041E7"/>
    <w:rsid w:val="00E077D6"/>
    <w:rsid w:val="00E102D0"/>
    <w:rsid w:val="00E23CA1"/>
    <w:rsid w:val="00E3110F"/>
    <w:rsid w:val="00E409A8"/>
    <w:rsid w:val="00E47D61"/>
    <w:rsid w:val="00E50C12"/>
    <w:rsid w:val="00E52992"/>
    <w:rsid w:val="00E568E4"/>
    <w:rsid w:val="00E65B91"/>
    <w:rsid w:val="00E7209D"/>
    <w:rsid w:val="00E72EAD"/>
    <w:rsid w:val="00E767A3"/>
    <w:rsid w:val="00E77223"/>
    <w:rsid w:val="00E77BCD"/>
    <w:rsid w:val="00E8528B"/>
    <w:rsid w:val="00E85B94"/>
    <w:rsid w:val="00E94432"/>
    <w:rsid w:val="00E978D0"/>
    <w:rsid w:val="00EA3EF9"/>
    <w:rsid w:val="00EA4613"/>
    <w:rsid w:val="00EA7F91"/>
    <w:rsid w:val="00EB1523"/>
    <w:rsid w:val="00EC0E49"/>
    <w:rsid w:val="00EC101F"/>
    <w:rsid w:val="00EC1D9F"/>
    <w:rsid w:val="00ED35D6"/>
    <w:rsid w:val="00EE0131"/>
    <w:rsid w:val="00EE17B0"/>
    <w:rsid w:val="00EE48C6"/>
    <w:rsid w:val="00EE5268"/>
    <w:rsid w:val="00EF06D9"/>
    <w:rsid w:val="00EF0982"/>
    <w:rsid w:val="00EF2A77"/>
    <w:rsid w:val="00F035EE"/>
    <w:rsid w:val="00F126A5"/>
    <w:rsid w:val="00F3049E"/>
    <w:rsid w:val="00F30C64"/>
    <w:rsid w:val="00F32BA2"/>
    <w:rsid w:val="00F32CDB"/>
    <w:rsid w:val="00F3348F"/>
    <w:rsid w:val="00F37280"/>
    <w:rsid w:val="00F41EE4"/>
    <w:rsid w:val="00F427D2"/>
    <w:rsid w:val="00F534CB"/>
    <w:rsid w:val="00F5391D"/>
    <w:rsid w:val="00F565FE"/>
    <w:rsid w:val="00F62A86"/>
    <w:rsid w:val="00F634B7"/>
    <w:rsid w:val="00F63A70"/>
    <w:rsid w:val="00F63D8C"/>
    <w:rsid w:val="00F7534E"/>
    <w:rsid w:val="00F8493A"/>
    <w:rsid w:val="00F93EDF"/>
    <w:rsid w:val="00FA1802"/>
    <w:rsid w:val="00FA21D0"/>
    <w:rsid w:val="00FA48D3"/>
    <w:rsid w:val="00FA5F5F"/>
    <w:rsid w:val="00FB730C"/>
    <w:rsid w:val="00FC2695"/>
    <w:rsid w:val="00FC3E03"/>
    <w:rsid w:val="00FC3FC1"/>
    <w:rsid w:val="00FC7DA4"/>
    <w:rsid w:val="00FE158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84468A"/>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84468A"/>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table" w:customStyle="1" w:styleId="Grigliatabella1">
    <w:name w:val="Griglia tabella1"/>
    <w:basedOn w:val="Tabellanormale"/>
    <w:next w:val="Grigliatabella"/>
    <w:uiPriority w:val="39"/>
    <w:rsid w:val="007A2F8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534CB"/>
    <w:pPr>
      <w:spacing w:after="0" w:line="240" w:lineRule="auto"/>
    </w:pPr>
    <w:rPr>
      <w:rFonts w:ascii="Arial" w:eastAsia="Times New Roman" w:hAnsi="Arial" w:cs="Times New Roman"/>
      <w:sz w:val="18"/>
      <w:szCs w:val="20"/>
      <w:lang w:val="en-GB"/>
    </w:rPr>
  </w:style>
  <w:style w:type="character" w:customStyle="1" w:styleId="Menzionenonrisolta1">
    <w:name w:val="Menzione non risolta1"/>
    <w:basedOn w:val="Carpredefinitoparagrafo"/>
    <w:uiPriority w:val="99"/>
    <w:semiHidden/>
    <w:unhideWhenUsed/>
    <w:rsid w:val="00C10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CC82-B121-4802-A827-700C1444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4011</Words>
  <Characters>22869</Characters>
  <Application>Microsoft Office Word</Application>
  <DocSecurity>0</DocSecurity>
  <Lines>190</Lines>
  <Paragraphs>53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GIUSY MAROTTA</cp:lastModifiedBy>
  <cp:revision>5</cp:revision>
  <cp:lastPrinted>2015-05-12T18:31:00Z</cp:lastPrinted>
  <dcterms:created xsi:type="dcterms:W3CDTF">2026-04-15T14:44:00Z</dcterms:created>
  <dcterms:modified xsi:type="dcterms:W3CDTF">2026-05-07T10:31:00Z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f92b423a-4899-455d-a817-d8c4df40ae8c</vt:lpwstr>
  </property>
  <property fmtid="{D5CDD505-2E9C-101B-9397-08002B2CF9AE}" pid="5" name="MSIP_Label_2ad0b24d-6422-44b0-b3de-abb3a9e8c81a_Enabled">
    <vt:lpwstr>true</vt:lpwstr>
  </property>
  <property fmtid="{D5CDD505-2E9C-101B-9397-08002B2CF9AE}" pid="6" name="MSIP_Label_2ad0b24d-6422-44b0-b3de-abb3a9e8c81a_SetDate">
    <vt:lpwstr>2026-04-14T11:09:30Z</vt:lpwstr>
  </property>
  <property fmtid="{D5CDD505-2E9C-101B-9397-08002B2CF9AE}" pid="7" name="MSIP_Label_2ad0b24d-6422-44b0-b3de-abb3a9e8c81a_Method">
    <vt:lpwstr>Standard</vt:lpwstr>
  </property>
  <property fmtid="{D5CDD505-2E9C-101B-9397-08002B2CF9AE}" pid="8" name="MSIP_Label_2ad0b24d-6422-44b0-b3de-abb3a9e8c81a_Name">
    <vt:lpwstr>defa4170-0d19-0005-0004-bc88714345d2</vt:lpwstr>
  </property>
  <property fmtid="{D5CDD505-2E9C-101B-9397-08002B2CF9AE}" pid="9" name="MSIP_Label_2ad0b24d-6422-44b0-b3de-abb3a9e8c81a_SiteId">
    <vt:lpwstr>2fcfe26a-bb62-46b0-b1e3-28f9da0c45fd</vt:lpwstr>
  </property>
  <property fmtid="{D5CDD505-2E9C-101B-9397-08002B2CF9AE}" pid="10" name="MSIP_Label_2ad0b24d-6422-44b0-b3de-abb3a9e8c81a_ActionId">
    <vt:lpwstr>a3f1feeb-8835-4cc1-86de-3407e3b2cdf9</vt:lpwstr>
  </property>
  <property fmtid="{D5CDD505-2E9C-101B-9397-08002B2CF9AE}" pid="11" name="MSIP_Label_2ad0b24d-6422-44b0-b3de-abb3a9e8c81a_ContentBits">
    <vt:lpwstr>0</vt:lpwstr>
  </property>
  <property fmtid="{D5CDD505-2E9C-101B-9397-08002B2CF9AE}" pid="12" name="MSIP_Label_2ad0b24d-6422-44b0-b3de-abb3a9e8c81a_Tag">
    <vt:lpwstr>10, 3, 0, 1</vt:lpwstr>
  </property>
</Properties>
</file>