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E845E" w14:textId="77777777" w:rsidR="005F29D3" w:rsidRDefault="005F29D3">
      <w:pPr>
        <w:widowControl w:val="0"/>
        <w:pBdr>
          <w:top w:val="nil"/>
          <w:left w:val="nil"/>
          <w:bottom w:val="nil"/>
          <w:right w:val="nil"/>
          <w:between w:val="nil"/>
        </w:pBdr>
        <w:spacing w:line="276" w:lineRule="auto"/>
        <w:jc w:val="left"/>
        <w:rPr>
          <w:rFonts w:eastAsia="Arial" w:cs="Arial"/>
          <w:color w:val="000000"/>
          <w:sz w:val="22"/>
          <w:szCs w:val="22"/>
        </w:rPr>
      </w:pPr>
    </w:p>
    <w:tbl>
      <w:tblPr>
        <w:tblStyle w:val="a"/>
        <w:tblW w:w="8782" w:type="dxa"/>
        <w:jc w:val="center"/>
        <w:tblInd w:w="0" w:type="dxa"/>
        <w:tblBorders>
          <w:bottom w:val="single" w:sz="4" w:space="0" w:color="000000"/>
        </w:tblBorders>
        <w:tblLayout w:type="fixed"/>
        <w:tblLook w:val="0000" w:firstRow="0" w:lastRow="0" w:firstColumn="0" w:lastColumn="0" w:noHBand="0" w:noVBand="0"/>
      </w:tblPr>
      <w:tblGrid>
        <w:gridCol w:w="6940"/>
        <w:gridCol w:w="1842"/>
      </w:tblGrid>
      <w:tr w:rsidR="005F29D3" w14:paraId="47AB74FA" w14:textId="77777777">
        <w:trPr>
          <w:trHeight w:val="852"/>
          <w:jc w:val="center"/>
        </w:trPr>
        <w:tc>
          <w:tcPr>
            <w:tcW w:w="6940" w:type="dxa"/>
            <w:vMerge w:val="restart"/>
            <w:tcBorders>
              <w:right w:val="single" w:sz="4" w:space="0" w:color="000000"/>
            </w:tcBorders>
          </w:tcPr>
          <w:p w14:paraId="71E8EAE1" w14:textId="77777777" w:rsidR="005F29D3" w:rsidRDefault="00000000">
            <w:pPr>
              <w:tabs>
                <w:tab w:val="left" w:pos="-108"/>
              </w:tabs>
              <w:ind w:left="-108"/>
              <w:jc w:val="left"/>
              <w:rPr>
                <w:b/>
                <w:i/>
                <w:color w:val="000066"/>
                <w:sz w:val="12"/>
                <w:szCs w:val="12"/>
              </w:rPr>
            </w:pPr>
            <w:r>
              <w:rPr>
                <w:rFonts w:ascii="AdvP6960" w:eastAsia="AdvP6960" w:hAnsi="AdvP6960" w:cs="AdvP6960"/>
                <w:noProof/>
                <w:color w:val="241F20"/>
              </w:rPr>
              <w:drawing>
                <wp:inline distT="0" distB="0" distL="0" distR="0" wp14:anchorId="73029311" wp14:editId="44D0FAF2">
                  <wp:extent cx="640080" cy="373380"/>
                  <wp:effectExtent l="0" t="0" r="0" b="0"/>
                  <wp:docPr id="7" name="image3.jpg" descr="cetlogo"/>
                  <wp:cNvGraphicFramePr/>
                  <a:graphic xmlns:a="http://schemas.openxmlformats.org/drawingml/2006/main">
                    <a:graphicData uri="http://schemas.openxmlformats.org/drawingml/2006/picture">
                      <pic:pic xmlns:pic="http://schemas.openxmlformats.org/drawingml/2006/picture">
                        <pic:nvPicPr>
                          <pic:cNvPr id="0" name="image3.jpg" descr="cetlogo"/>
                          <pic:cNvPicPr preferRelativeResize="0"/>
                        </pic:nvPicPr>
                        <pic:blipFill>
                          <a:blip r:embed="rId7"/>
                          <a:srcRect/>
                          <a:stretch>
                            <a:fillRect/>
                          </a:stretch>
                        </pic:blipFill>
                        <pic:spPr>
                          <a:xfrm>
                            <a:off x="0" y="0"/>
                            <a:ext cx="640080" cy="373380"/>
                          </a:xfrm>
                          <a:prstGeom prst="rect">
                            <a:avLst/>
                          </a:prstGeom>
                          <a:ln/>
                        </pic:spPr>
                      </pic:pic>
                    </a:graphicData>
                  </a:graphic>
                </wp:inline>
              </w:drawing>
            </w:r>
            <w:r>
              <w:rPr>
                <w:rFonts w:ascii="AdvP6960" w:eastAsia="AdvP6960" w:hAnsi="AdvP6960" w:cs="AdvP6960"/>
                <w:color w:val="241F20"/>
              </w:rPr>
              <w:t xml:space="preserve"> </w:t>
            </w:r>
            <w:r>
              <w:rPr>
                <w:b/>
                <w:i/>
                <w:color w:val="000066"/>
                <w:sz w:val="24"/>
                <w:szCs w:val="24"/>
              </w:rPr>
              <w:t>CHEMICAL ENGINEERING</w:t>
            </w:r>
            <w:r>
              <w:rPr>
                <w:b/>
                <w:i/>
                <w:color w:val="0033FF"/>
                <w:sz w:val="24"/>
                <w:szCs w:val="24"/>
              </w:rPr>
              <w:t xml:space="preserve"> </w:t>
            </w:r>
            <w:r>
              <w:rPr>
                <w:b/>
                <w:i/>
                <w:color w:val="666666"/>
                <w:sz w:val="24"/>
                <w:szCs w:val="24"/>
              </w:rPr>
              <w:t>TRANSACTIONS</w:t>
            </w:r>
            <w:r>
              <w:rPr>
                <w:color w:val="333333"/>
                <w:sz w:val="24"/>
                <w:szCs w:val="24"/>
              </w:rPr>
              <w:t xml:space="preserve"> </w:t>
            </w:r>
            <w:r>
              <w:rPr>
                <w:b/>
                <w:i/>
                <w:color w:val="000066"/>
                <w:sz w:val="27"/>
                <w:szCs w:val="27"/>
              </w:rPr>
              <w:br/>
            </w:r>
          </w:p>
          <w:p w14:paraId="0F87A6B0" w14:textId="5ED64D15" w:rsidR="005F29D3" w:rsidRDefault="00000000">
            <w:pPr>
              <w:tabs>
                <w:tab w:val="left" w:pos="-108"/>
              </w:tabs>
              <w:ind w:left="-108"/>
              <w:rPr>
                <w:b/>
                <w:i/>
                <w:color w:val="000066"/>
                <w:sz w:val="22"/>
                <w:szCs w:val="22"/>
              </w:rPr>
            </w:pPr>
            <w:r>
              <w:rPr>
                <w:b/>
                <w:i/>
                <w:color w:val="000066"/>
                <w:sz w:val="22"/>
                <w:szCs w:val="22"/>
              </w:rPr>
              <w:t>VOL.    , 202</w:t>
            </w:r>
            <w:r w:rsidR="00C63B18">
              <w:rPr>
                <w:b/>
                <w:i/>
                <w:color w:val="000066"/>
                <w:sz w:val="22"/>
                <w:szCs w:val="22"/>
              </w:rPr>
              <w:t>6</w:t>
            </w:r>
          </w:p>
        </w:tc>
        <w:tc>
          <w:tcPr>
            <w:tcW w:w="1842" w:type="dxa"/>
            <w:tcBorders>
              <w:left w:val="single" w:sz="4" w:space="0" w:color="000000"/>
              <w:bottom w:val="nil"/>
              <w:right w:val="single" w:sz="4" w:space="0" w:color="000000"/>
            </w:tcBorders>
          </w:tcPr>
          <w:p w14:paraId="6212659C" w14:textId="77777777" w:rsidR="005F29D3" w:rsidRDefault="00000000">
            <w:pPr>
              <w:jc w:val="right"/>
              <w:rPr>
                <w:sz w:val="14"/>
                <w:szCs w:val="14"/>
              </w:rPr>
            </w:pPr>
            <w:r>
              <w:rPr>
                <w:sz w:val="14"/>
                <w:szCs w:val="14"/>
              </w:rPr>
              <w:t>A publication of</w:t>
            </w:r>
          </w:p>
          <w:p w14:paraId="76D0E9EF" w14:textId="77777777" w:rsidR="005F29D3" w:rsidRDefault="00000000">
            <w:pPr>
              <w:jc w:val="right"/>
            </w:pPr>
            <w:r>
              <w:rPr>
                <w:noProof/>
              </w:rPr>
              <w:drawing>
                <wp:inline distT="0" distB="0" distL="0" distR="0" wp14:anchorId="2037F4DA" wp14:editId="1DB907FE">
                  <wp:extent cx="670560" cy="358140"/>
                  <wp:effectExtent l="0" t="0" r="0" b="0"/>
                  <wp:docPr id="9" name="image2.jpg" descr="aidiclogo_grande"/>
                  <wp:cNvGraphicFramePr/>
                  <a:graphic xmlns:a="http://schemas.openxmlformats.org/drawingml/2006/main">
                    <a:graphicData uri="http://schemas.openxmlformats.org/drawingml/2006/picture">
                      <pic:pic xmlns:pic="http://schemas.openxmlformats.org/drawingml/2006/picture">
                        <pic:nvPicPr>
                          <pic:cNvPr id="0" name="image2.jpg" descr="aidiclogo_grande"/>
                          <pic:cNvPicPr preferRelativeResize="0"/>
                        </pic:nvPicPr>
                        <pic:blipFill>
                          <a:blip r:embed="rId8"/>
                          <a:srcRect/>
                          <a:stretch>
                            <a:fillRect/>
                          </a:stretch>
                        </pic:blipFill>
                        <pic:spPr>
                          <a:xfrm>
                            <a:off x="0" y="0"/>
                            <a:ext cx="670560" cy="358140"/>
                          </a:xfrm>
                          <a:prstGeom prst="rect">
                            <a:avLst/>
                          </a:prstGeom>
                          <a:ln/>
                        </pic:spPr>
                      </pic:pic>
                    </a:graphicData>
                  </a:graphic>
                </wp:inline>
              </w:drawing>
            </w:r>
          </w:p>
        </w:tc>
      </w:tr>
      <w:tr w:rsidR="005F29D3" w14:paraId="32908C2A" w14:textId="77777777">
        <w:trPr>
          <w:trHeight w:val="567"/>
          <w:jc w:val="center"/>
        </w:trPr>
        <w:tc>
          <w:tcPr>
            <w:tcW w:w="6940" w:type="dxa"/>
            <w:vMerge/>
            <w:tcBorders>
              <w:right w:val="single" w:sz="4" w:space="0" w:color="000000"/>
            </w:tcBorders>
          </w:tcPr>
          <w:p w14:paraId="17B37E1A" w14:textId="77777777" w:rsidR="005F29D3" w:rsidRDefault="005F29D3">
            <w:pPr>
              <w:widowControl w:val="0"/>
              <w:pBdr>
                <w:top w:val="nil"/>
                <w:left w:val="nil"/>
                <w:bottom w:val="nil"/>
                <w:right w:val="nil"/>
                <w:between w:val="nil"/>
              </w:pBdr>
              <w:spacing w:line="276" w:lineRule="auto"/>
              <w:jc w:val="left"/>
            </w:pPr>
          </w:p>
        </w:tc>
        <w:tc>
          <w:tcPr>
            <w:tcW w:w="1842" w:type="dxa"/>
            <w:tcBorders>
              <w:left w:val="single" w:sz="4" w:space="0" w:color="000000"/>
              <w:bottom w:val="nil"/>
              <w:right w:val="single" w:sz="4" w:space="0" w:color="000000"/>
            </w:tcBorders>
          </w:tcPr>
          <w:p w14:paraId="5BF978C5" w14:textId="77777777" w:rsidR="005F29D3" w:rsidRDefault="00000000">
            <w:pPr>
              <w:jc w:val="right"/>
              <w:rPr>
                <w:sz w:val="14"/>
                <w:szCs w:val="14"/>
              </w:rPr>
            </w:pPr>
            <w:r>
              <w:rPr>
                <w:sz w:val="14"/>
                <w:szCs w:val="14"/>
              </w:rPr>
              <w:t>The Italian Association</w:t>
            </w:r>
          </w:p>
          <w:p w14:paraId="0C9B08CB" w14:textId="77777777" w:rsidR="005F29D3" w:rsidRDefault="00000000">
            <w:pPr>
              <w:jc w:val="right"/>
              <w:rPr>
                <w:sz w:val="14"/>
                <w:szCs w:val="14"/>
              </w:rPr>
            </w:pPr>
            <w:r>
              <w:rPr>
                <w:sz w:val="14"/>
                <w:szCs w:val="14"/>
              </w:rPr>
              <w:t>of Chemical Engineering</w:t>
            </w:r>
          </w:p>
          <w:p w14:paraId="32AD0473" w14:textId="77777777" w:rsidR="005F29D3" w:rsidRDefault="00000000">
            <w:pPr>
              <w:jc w:val="right"/>
              <w:rPr>
                <w:sz w:val="13"/>
                <w:szCs w:val="13"/>
              </w:rPr>
            </w:pPr>
            <w:r>
              <w:rPr>
                <w:sz w:val="13"/>
                <w:szCs w:val="13"/>
              </w:rPr>
              <w:t>Online at www.cetjournal.it</w:t>
            </w:r>
          </w:p>
        </w:tc>
      </w:tr>
      <w:tr w:rsidR="005F29D3" w14:paraId="03E002A9" w14:textId="77777777">
        <w:trPr>
          <w:trHeight w:val="68"/>
          <w:jc w:val="center"/>
        </w:trPr>
        <w:tc>
          <w:tcPr>
            <w:tcW w:w="8782" w:type="dxa"/>
            <w:gridSpan w:val="2"/>
          </w:tcPr>
          <w:p w14:paraId="6E5DFFAC" w14:textId="77777777" w:rsidR="005F29D3" w:rsidRDefault="00000000">
            <w:pPr>
              <w:ind w:left="-107"/>
              <w:rPr>
                <w:rFonts w:ascii="Tahoma" w:eastAsia="Tahoma" w:hAnsi="Tahoma" w:cs="Tahoma"/>
                <w:color w:val="000000"/>
                <w:sz w:val="14"/>
                <w:szCs w:val="14"/>
              </w:rPr>
            </w:pPr>
            <w:r>
              <w:rPr>
                <w:rFonts w:ascii="Tahoma" w:eastAsia="Tahoma" w:hAnsi="Tahoma" w:cs="Tahoma"/>
                <w:color w:val="333333"/>
                <w:sz w:val="14"/>
                <w:szCs w:val="14"/>
              </w:rPr>
              <w:t>Guest Editors:</w:t>
            </w:r>
            <w:r>
              <w:rPr>
                <w:rFonts w:ascii="Tahoma" w:eastAsia="Tahoma" w:hAnsi="Tahoma" w:cs="Tahoma"/>
                <w:color w:val="000000"/>
                <w:sz w:val="14"/>
                <w:szCs w:val="14"/>
                <w:highlight w:val="white"/>
              </w:rPr>
              <w:t xml:space="preserve"> </w:t>
            </w:r>
          </w:p>
          <w:p w14:paraId="27265037" w14:textId="646503DA" w:rsidR="005F29D3" w:rsidRDefault="00000000">
            <w:pPr>
              <w:tabs>
                <w:tab w:val="left" w:pos="-108"/>
              </w:tabs>
              <w:ind w:left="-107"/>
              <w:jc w:val="left"/>
            </w:pPr>
            <w:r>
              <w:rPr>
                <w:rFonts w:ascii="Tahoma" w:eastAsia="Tahoma" w:hAnsi="Tahoma" w:cs="Tahoma"/>
                <w:color w:val="333333"/>
                <w:sz w:val="14"/>
                <w:szCs w:val="14"/>
              </w:rPr>
              <w:t>Copyright © 202</w:t>
            </w:r>
            <w:r w:rsidR="00D73850">
              <w:rPr>
                <w:rFonts w:ascii="Tahoma" w:eastAsia="Tahoma" w:hAnsi="Tahoma" w:cs="Tahoma"/>
                <w:color w:val="333333"/>
                <w:sz w:val="14"/>
                <w:szCs w:val="14"/>
              </w:rPr>
              <w:t>6</w:t>
            </w:r>
            <w:r>
              <w:rPr>
                <w:rFonts w:ascii="Tahoma" w:eastAsia="Tahoma" w:hAnsi="Tahoma" w:cs="Tahoma"/>
                <w:color w:val="333333"/>
                <w:sz w:val="14"/>
                <w:szCs w:val="14"/>
              </w:rPr>
              <w:t>, AIDIC Servizi S.r.l.</w:t>
            </w:r>
            <w:r>
              <w:rPr>
                <w:rFonts w:ascii="Tahoma" w:eastAsia="Tahoma" w:hAnsi="Tahoma" w:cs="Tahoma"/>
                <w:color w:val="333333"/>
                <w:sz w:val="14"/>
                <w:szCs w:val="14"/>
              </w:rPr>
              <w:br/>
            </w:r>
            <w:r>
              <w:rPr>
                <w:rFonts w:ascii="Tahoma" w:eastAsia="Tahoma" w:hAnsi="Tahoma" w:cs="Tahoma"/>
                <w:b/>
                <w:color w:val="000000"/>
                <w:sz w:val="14"/>
                <w:szCs w:val="14"/>
              </w:rPr>
              <w:t>ISBN</w:t>
            </w:r>
            <w:r>
              <w:rPr>
                <w:rFonts w:ascii="Tahoma" w:eastAsia="Tahoma" w:hAnsi="Tahoma" w:cs="Tahoma"/>
                <w:color w:val="000000"/>
                <w:sz w:val="14"/>
                <w:szCs w:val="14"/>
              </w:rPr>
              <w:t xml:space="preserve"> </w:t>
            </w:r>
            <w:r>
              <w:rPr>
                <w:rFonts w:ascii="Tahoma" w:eastAsia="Tahoma" w:hAnsi="Tahoma" w:cs="Tahoma"/>
                <w:sz w:val="14"/>
                <w:szCs w:val="14"/>
              </w:rPr>
              <w:t>979-12-81206-XX-X</w:t>
            </w:r>
            <w:r>
              <w:rPr>
                <w:rFonts w:ascii="Tahoma" w:eastAsia="Tahoma" w:hAnsi="Tahoma" w:cs="Tahoma"/>
                <w:color w:val="333333"/>
                <w:sz w:val="14"/>
                <w:szCs w:val="14"/>
              </w:rPr>
              <w:t xml:space="preserve">; </w:t>
            </w:r>
            <w:r>
              <w:rPr>
                <w:rFonts w:ascii="Tahoma" w:eastAsia="Tahoma" w:hAnsi="Tahoma" w:cs="Tahoma"/>
                <w:b/>
                <w:color w:val="333333"/>
                <w:sz w:val="14"/>
                <w:szCs w:val="14"/>
              </w:rPr>
              <w:t>ISSN</w:t>
            </w:r>
            <w:r>
              <w:rPr>
                <w:rFonts w:ascii="Tahoma" w:eastAsia="Tahoma" w:hAnsi="Tahoma" w:cs="Tahoma"/>
                <w:color w:val="333333"/>
                <w:sz w:val="14"/>
                <w:szCs w:val="14"/>
              </w:rPr>
              <w:t xml:space="preserve"> 2283-9216</w:t>
            </w:r>
          </w:p>
        </w:tc>
      </w:tr>
    </w:tbl>
    <w:p w14:paraId="43D2B51B" w14:textId="506718D5" w:rsidR="005F29D3" w:rsidRDefault="00626648" w:rsidP="00A12FEB">
      <w:pPr>
        <w:pStyle w:val="CETTitle"/>
        <w:rPr>
          <w:rFonts w:eastAsia="Arial"/>
        </w:rPr>
      </w:pPr>
      <w:r w:rsidRPr="00626648">
        <w:rPr>
          <w:rFonts w:eastAsia="Arial"/>
        </w:rPr>
        <w:t>Energy resiliency of a seed-based cascade biorefinery from amazon Hass avocado through resilience exergy analysis</w:t>
      </w:r>
    </w:p>
    <w:p w14:paraId="057AB0FE" w14:textId="6F616BAF" w:rsidR="005F29D3" w:rsidRPr="00530031" w:rsidRDefault="00C63B18" w:rsidP="00626648">
      <w:pPr>
        <w:pStyle w:val="CETAuthors"/>
        <w:jc w:val="center"/>
        <w:rPr>
          <w:rFonts w:eastAsia="Arial"/>
          <w:lang w:val="es-CO"/>
        </w:rPr>
      </w:pPr>
      <w:r w:rsidRPr="00C63B18">
        <w:rPr>
          <w:rFonts w:eastAsia="Arial"/>
          <w:lang w:val="es-CO"/>
        </w:rPr>
        <w:t>Eduardo Andres Aguilar-Vásquez</w:t>
      </w:r>
      <w:r w:rsidRPr="00C63B18">
        <w:rPr>
          <w:rFonts w:eastAsia="Arial"/>
          <w:vertAlign w:val="superscript"/>
          <w:lang w:val="es-CO"/>
        </w:rPr>
        <w:t>§</w:t>
      </w:r>
      <w:r w:rsidRPr="00C63B18">
        <w:rPr>
          <w:rFonts w:eastAsia="Arial"/>
          <w:lang w:val="es-CO"/>
        </w:rPr>
        <w:t xml:space="preserve"> and Ángel Darío González</w:t>
      </w:r>
    </w:p>
    <w:p w14:paraId="47AF1914" w14:textId="076D1A6E" w:rsidR="00530031" w:rsidRPr="00530031" w:rsidRDefault="00530031" w:rsidP="00A12FEB">
      <w:pPr>
        <w:pStyle w:val="CETAddress"/>
        <w:rPr>
          <w:rFonts w:eastAsia="Arial"/>
        </w:rPr>
      </w:pPr>
      <w:r w:rsidRPr="00530031">
        <w:rPr>
          <w:rFonts w:eastAsia="Arial"/>
        </w:rPr>
        <w:t xml:space="preserve">Nanomaterials and Computer Aided Process Engineering Research Group (NIPAC), Chemical Engineering Department, faculty of engieniering, </w:t>
      </w:r>
      <w:r w:rsidRPr="00530031">
        <w:rPr>
          <w:rFonts w:eastAsiaTheme="minorHAnsi"/>
          <w:lang w:val="en-US"/>
        </w:rPr>
        <w:t xml:space="preserve">Av. del Consulado Calle 30 No. 48-152, </w:t>
      </w:r>
      <w:r w:rsidRPr="00530031">
        <w:rPr>
          <w:rFonts w:eastAsia="Arial"/>
        </w:rPr>
        <w:t>Universidad de Cartagena, Cartagena, Colombia.</w:t>
      </w:r>
    </w:p>
    <w:p w14:paraId="2DB968D3" w14:textId="7FD3C8AA" w:rsidR="005F29D3" w:rsidRDefault="00C63B18" w:rsidP="00A12FEB">
      <w:pPr>
        <w:pStyle w:val="CETemail"/>
        <w:rPr>
          <w:rFonts w:eastAsia="Arial"/>
        </w:rPr>
      </w:pPr>
      <w:r w:rsidRPr="00ED5F97">
        <w:rPr>
          <w:rFonts w:eastAsia="Arial"/>
          <w:vertAlign w:val="superscript"/>
          <w:lang w:val="en-US"/>
        </w:rPr>
        <w:t>§</w:t>
      </w:r>
      <w:r>
        <w:rPr>
          <w:rFonts w:eastAsia="Arial"/>
        </w:rPr>
        <w:t>eaguilarv</w:t>
      </w:r>
      <w:r w:rsidR="00530031" w:rsidRPr="00530031">
        <w:rPr>
          <w:rFonts w:eastAsia="Arial"/>
        </w:rPr>
        <w:t>@unicartagena.edu.co</w:t>
      </w:r>
      <w:r w:rsidR="00440A23" w:rsidRPr="00530031">
        <w:rPr>
          <w:rFonts w:eastAsia="Arial"/>
        </w:rPr>
        <w:t xml:space="preserve"> </w:t>
      </w:r>
    </w:p>
    <w:p w14:paraId="5800938F" w14:textId="6A1033A9" w:rsidR="00D07C76" w:rsidRPr="00AB6B59" w:rsidRDefault="00ED5F97" w:rsidP="00676320">
      <w:pPr>
        <w:pStyle w:val="CETBodytext"/>
        <w:rPr>
          <w:rFonts w:eastAsia="Arial"/>
        </w:rPr>
      </w:pPr>
      <w:r w:rsidRPr="00975F0D">
        <w:rPr>
          <w:rFonts w:eastAsia="Arial"/>
        </w:rPr>
        <w:t>Cascade biorefineries are promising technologies able to transform agricultural waste into valuable products.</w:t>
      </w:r>
      <w:r w:rsidR="00AF199A">
        <w:rPr>
          <w:rFonts w:eastAsia="Arial"/>
        </w:rPr>
        <w:t xml:space="preserve"> </w:t>
      </w:r>
      <w:r w:rsidR="00AF199A" w:rsidRPr="00AF199A">
        <w:rPr>
          <w:rFonts w:eastAsia="Arial"/>
        </w:rPr>
        <w:t>These systems are essential for enabling a circular bioeconomy and therefore must operate sustainably and efficiently, particularly in terms of mass and energy utilization</w:t>
      </w:r>
      <w:r w:rsidR="00AF199A">
        <w:rPr>
          <w:rFonts w:eastAsia="Arial"/>
        </w:rPr>
        <w:t xml:space="preserve">. Still, </w:t>
      </w:r>
      <w:r w:rsidR="00AF199A">
        <w:rPr>
          <w:rFonts w:eastAsia="Arial"/>
          <w:lang w:val="en-GB"/>
        </w:rPr>
        <w:t>e</w:t>
      </w:r>
      <w:r w:rsidR="00AF199A" w:rsidRPr="00AF199A">
        <w:rPr>
          <w:rFonts w:eastAsia="Arial"/>
          <w:lang w:val="en-GB"/>
        </w:rPr>
        <w:t>nergy management and its influencing factors have received limited attention</w:t>
      </w:r>
      <w:r w:rsidR="00AF199A">
        <w:rPr>
          <w:rFonts w:eastAsia="Arial"/>
        </w:rPr>
        <w:t xml:space="preserve">. For this reason, </w:t>
      </w:r>
      <w:r w:rsidR="00AF199A">
        <w:rPr>
          <w:rFonts w:eastAsia="Arial"/>
          <w:lang w:val="en-GB"/>
        </w:rPr>
        <w:t>i</w:t>
      </w:r>
      <w:r w:rsidR="00D07C76">
        <w:rPr>
          <w:rFonts w:eastAsia="Arial"/>
          <w:lang w:val="en-GB"/>
        </w:rPr>
        <w:t xml:space="preserve">n this study an exergy resilience sensibility analysis is carried out for a cascade biorefinery for avocado hard waste. </w:t>
      </w:r>
      <w:r w:rsidR="00D07C76">
        <w:rPr>
          <w:rFonts w:eastAsia="Arial"/>
          <w:lang w:val="en-GB"/>
        </w:rPr>
        <w:t xml:space="preserve">The analysis is complemented by simulation tools as source of process data. </w:t>
      </w:r>
      <w:r w:rsidR="00D07C76">
        <w:rPr>
          <w:rFonts w:eastAsia="Arial"/>
          <w:lang w:val="en-GB"/>
        </w:rPr>
        <w:t xml:space="preserve">Several scenarios </w:t>
      </w:r>
      <w:r w:rsidR="00D07C76">
        <w:rPr>
          <w:rFonts w:eastAsia="Arial"/>
          <w:lang w:val="en-GB"/>
        </w:rPr>
        <w:t xml:space="preserve">were analysed </w:t>
      </w:r>
      <w:r w:rsidR="00D07C76">
        <w:rPr>
          <w:rFonts w:eastAsia="Arial"/>
          <w:lang w:val="en-GB"/>
        </w:rPr>
        <w:t xml:space="preserve">based on the biorefinery </w:t>
      </w:r>
      <w:r w:rsidR="00D07C76">
        <w:rPr>
          <w:rFonts w:eastAsia="Arial"/>
          <w:lang w:val="en-GB"/>
        </w:rPr>
        <w:t xml:space="preserve">and its </w:t>
      </w:r>
      <w:r w:rsidR="00AF199A">
        <w:rPr>
          <w:rFonts w:eastAsia="Arial"/>
          <w:lang w:val="en-GB"/>
        </w:rPr>
        <w:t>unit’s</w:t>
      </w:r>
      <w:r w:rsidR="00D07C76">
        <w:rPr>
          <w:rFonts w:eastAsia="Arial"/>
          <w:lang w:val="en-GB"/>
        </w:rPr>
        <w:t xml:space="preserve"> </w:t>
      </w:r>
      <w:r w:rsidR="00D07C76">
        <w:rPr>
          <w:rFonts w:eastAsia="Arial"/>
          <w:lang w:val="en-GB"/>
        </w:rPr>
        <w:t>performance</w:t>
      </w:r>
      <w:r w:rsidR="00D07C76">
        <w:rPr>
          <w:rFonts w:eastAsia="Arial"/>
          <w:lang w:val="en-GB"/>
        </w:rPr>
        <w:t>.</w:t>
      </w:r>
      <w:r w:rsidR="00AB6B59">
        <w:rPr>
          <w:rFonts w:eastAsia="Arial"/>
          <w:lang w:val="en-GB"/>
        </w:rPr>
        <w:t xml:space="preserve"> </w:t>
      </w:r>
      <w:r w:rsidR="00355571">
        <w:rPr>
          <w:rFonts w:eastAsia="Arial"/>
          <w:lang w:val="en-GB"/>
        </w:rPr>
        <w:t>T</w:t>
      </w:r>
      <w:r w:rsidR="00355571" w:rsidRPr="003A3A28">
        <w:rPr>
          <w:rFonts w:eastAsia="Arial"/>
          <w:lang w:val="en-GB"/>
        </w:rPr>
        <w:t>he results show</w:t>
      </w:r>
      <w:r w:rsidR="00355571">
        <w:rPr>
          <w:rFonts w:eastAsia="Arial"/>
          <w:lang w:val="en-GB"/>
        </w:rPr>
        <w:t>ed</w:t>
      </w:r>
      <w:r w:rsidR="00355571" w:rsidRPr="003A3A28">
        <w:rPr>
          <w:rFonts w:eastAsia="Arial"/>
          <w:lang w:val="en-GB"/>
        </w:rPr>
        <w:t xml:space="preserve"> that the biorefinery is dominated by high irreversibilities and underutilized high-quality waste streams. </w:t>
      </w:r>
      <w:r w:rsidR="00355571">
        <w:rPr>
          <w:rFonts w:eastAsia="Arial"/>
          <w:lang w:val="en-GB"/>
        </w:rPr>
        <w:t xml:space="preserve">The process is very sensible to improvement, especially from a combine </w:t>
      </w:r>
      <w:r w:rsidR="00355571" w:rsidRPr="003A3A28">
        <w:rPr>
          <w:rFonts w:eastAsia="Arial"/>
          <w:lang w:val="en-GB"/>
        </w:rPr>
        <w:t xml:space="preserve">waste stream </w:t>
      </w:r>
      <w:r w:rsidR="00355571" w:rsidRPr="003A3A28">
        <w:rPr>
          <w:rFonts w:eastAsia="Arial"/>
          <w:lang w:val="en-GB"/>
        </w:rPr>
        <w:t>valorisation</w:t>
      </w:r>
      <w:r w:rsidR="00355571">
        <w:rPr>
          <w:rFonts w:eastAsia="Arial"/>
          <w:lang w:val="en-GB"/>
        </w:rPr>
        <w:t xml:space="preserve"> and </w:t>
      </w:r>
      <w:r w:rsidR="00355571" w:rsidRPr="003A3A28">
        <w:rPr>
          <w:rFonts w:eastAsia="Arial"/>
          <w:lang w:val="en-GB"/>
        </w:rPr>
        <w:t>targeted optimization</w:t>
      </w:r>
      <w:r w:rsidR="00355571">
        <w:rPr>
          <w:rFonts w:eastAsia="Arial"/>
          <w:lang w:val="en-GB"/>
        </w:rPr>
        <w:t xml:space="preserve"> using </w:t>
      </w:r>
      <w:r w:rsidR="00355571" w:rsidRPr="003A3A28">
        <w:rPr>
          <w:rFonts w:eastAsia="Arial"/>
          <w:lang w:val="en-GB"/>
        </w:rPr>
        <w:t>heat integration strategies</w:t>
      </w:r>
      <w:r w:rsidR="00355571">
        <w:rPr>
          <w:rFonts w:eastAsia="Arial"/>
          <w:lang w:val="en-GB"/>
        </w:rPr>
        <w:t xml:space="preserve">. The first strategy obtained an increase up to 52% when all streams are reused, and a reduction of half of the base losses (1000 MJ/h). The improvement of </w:t>
      </w:r>
      <w:r w:rsidR="00355571" w:rsidRPr="003A3A28">
        <w:rPr>
          <w:rFonts w:eastAsia="Arial"/>
          <w:lang w:val="en-GB"/>
        </w:rPr>
        <w:t xml:space="preserve">local exergy efficiency of key stages </w:t>
      </w:r>
      <w:r w:rsidR="00355571">
        <w:rPr>
          <w:rFonts w:eastAsia="Arial"/>
          <w:lang w:val="en-GB"/>
        </w:rPr>
        <w:t>(</w:t>
      </w:r>
      <w:r w:rsidR="00355571" w:rsidRPr="003A3A28">
        <w:rPr>
          <w:rFonts w:eastAsia="Arial"/>
          <w:lang w:val="en-GB"/>
        </w:rPr>
        <w:t>starch extraction and biocontrol stages</w:t>
      </w:r>
      <w:r w:rsidR="00355571">
        <w:rPr>
          <w:rFonts w:eastAsia="Arial"/>
          <w:lang w:val="en-GB"/>
        </w:rPr>
        <w:t>)</w:t>
      </w:r>
      <w:r w:rsidR="00355571" w:rsidRPr="003A3A28">
        <w:rPr>
          <w:rFonts w:eastAsia="Arial"/>
          <w:lang w:val="en-GB"/>
        </w:rPr>
        <w:t xml:space="preserve"> also has a strong impact on system performance</w:t>
      </w:r>
      <w:r w:rsidR="00355571">
        <w:rPr>
          <w:rFonts w:eastAsia="Arial"/>
          <w:lang w:val="en-GB"/>
        </w:rPr>
        <w:t xml:space="preserve">. However, the process has an </w:t>
      </w:r>
      <w:r w:rsidR="00355571" w:rsidRPr="003A3A28">
        <w:rPr>
          <w:rFonts w:eastAsia="Arial"/>
          <w:lang w:val="en-GB"/>
        </w:rPr>
        <w:t>efficiency limit of approximately 50–52%</w:t>
      </w:r>
      <w:r w:rsidR="00355571">
        <w:rPr>
          <w:rFonts w:eastAsia="Arial"/>
          <w:lang w:val="en-GB"/>
        </w:rPr>
        <w:t>, were the unavoidable losses dominated the process total losses, addressing these complex inefficiencies can</w:t>
      </w:r>
      <w:r w:rsidR="00355571" w:rsidRPr="00355571">
        <w:rPr>
          <w:rFonts w:eastAsia="Arial"/>
          <w:lang w:val="en-GB"/>
        </w:rPr>
        <w:t xml:space="preserve"> </w:t>
      </w:r>
      <w:r w:rsidR="00355571">
        <w:rPr>
          <w:rFonts w:eastAsia="Arial"/>
          <w:lang w:val="en-GB"/>
        </w:rPr>
        <w:t>increase the process efficiency near 55%.</w:t>
      </w:r>
      <w:r w:rsidR="00355571">
        <w:rPr>
          <w:rFonts w:eastAsia="Arial"/>
          <w:lang w:val="en-GB"/>
        </w:rPr>
        <w:t xml:space="preserve"> </w:t>
      </w:r>
      <w:r w:rsidR="00AB6B59">
        <w:rPr>
          <w:rFonts w:eastAsia="Arial"/>
          <w:lang w:val="en-GB"/>
        </w:rPr>
        <w:t>Nevertheless</w:t>
      </w:r>
      <w:r w:rsidR="00D07C76" w:rsidRPr="003A3A28">
        <w:rPr>
          <w:rFonts w:eastAsia="Arial"/>
          <w:lang w:val="en-GB"/>
        </w:rPr>
        <w:t xml:space="preserve">, achieving such improvements would require structural and operational modifications, as </w:t>
      </w:r>
      <w:r w:rsidR="00AB6B59" w:rsidRPr="003A3A28">
        <w:rPr>
          <w:rFonts w:eastAsia="Arial"/>
          <w:lang w:val="en-GB"/>
        </w:rPr>
        <w:t>t</w:t>
      </w:r>
      <w:r w:rsidR="00AB6B59">
        <w:rPr>
          <w:rFonts w:eastAsia="Arial"/>
          <w:lang w:val="en-GB"/>
        </w:rPr>
        <w:t xml:space="preserve">hese types of losses </w:t>
      </w:r>
      <w:r w:rsidR="00D07C76" w:rsidRPr="003A3A28">
        <w:rPr>
          <w:rFonts w:eastAsia="Arial"/>
          <w:lang w:val="en-GB"/>
        </w:rPr>
        <w:t>are strongly linked to intrinsic process</w:t>
      </w:r>
      <w:r w:rsidR="00AB6B59">
        <w:rPr>
          <w:rFonts w:eastAsia="Arial"/>
          <w:lang w:val="en-GB"/>
        </w:rPr>
        <w:t xml:space="preserve"> design.</w:t>
      </w:r>
    </w:p>
    <w:p w14:paraId="43EEA17B" w14:textId="7E71A60B" w:rsidR="003F4D23" w:rsidRPr="00B7194E" w:rsidRDefault="00000000" w:rsidP="0007676B">
      <w:pPr>
        <w:pStyle w:val="CETHeading1"/>
        <w:numPr>
          <w:ilvl w:val="0"/>
          <w:numId w:val="16"/>
        </w:numPr>
        <w:rPr>
          <w:rFonts w:eastAsia="Arial"/>
        </w:rPr>
      </w:pPr>
      <w:r>
        <w:rPr>
          <w:rFonts w:eastAsia="Arial"/>
        </w:rPr>
        <w:t>Introduction</w:t>
      </w:r>
    </w:p>
    <w:p w14:paraId="29852E4E" w14:textId="45A324CA" w:rsidR="00AE3DC4" w:rsidRPr="00B844BE" w:rsidRDefault="00EE15FB" w:rsidP="003F4D23">
      <w:pPr>
        <w:pStyle w:val="CETBodytext"/>
        <w:spacing w:after="240"/>
        <w:rPr>
          <w:rFonts w:eastAsia="Arial"/>
        </w:rPr>
      </w:pPr>
      <w:r>
        <w:rPr>
          <w:rFonts w:eastAsia="Arial"/>
        </w:rPr>
        <w:t xml:space="preserve">Recently, </w:t>
      </w:r>
      <w:r w:rsidR="003F4D23">
        <w:rPr>
          <w:rFonts w:eastAsia="Arial"/>
        </w:rPr>
        <w:t>Colombia</w:t>
      </w:r>
      <w:r>
        <w:rPr>
          <w:rFonts w:eastAsia="Arial"/>
        </w:rPr>
        <w:t xml:space="preserve"> have turn into a mayor producer of </w:t>
      </w:r>
      <w:r w:rsidR="003F4D23">
        <w:rPr>
          <w:rFonts w:eastAsia="Arial"/>
        </w:rPr>
        <w:t xml:space="preserve">avocado </w:t>
      </w:r>
      <w:r>
        <w:rPr>
          <w:rFonts w:eastAsia="Arial"/>
        </w:rPr>
        <w:t xml:space="preserve">in the world (being number two), with </w:t>
      </w:r>
      <w:r w:rsidRPr="00EE15FB">
        <w:rPr>
          <w:rFonts w:eastAsia="Arial"/>
        </w:rPr>
        <w:t xml:space="preserve">exports in 2021 </w:t>
      </w:r>
      <w:r>
        <w:rPr>
          <w:rFonts w:eastAsia="Arial"/>
        </w:rPr>
        <w:t xml:space="preserve">value at </w:t>
      </w:r>
      <w:r w:rsidRPr="00EE15FB">
        <w:rPr>
          <w:rFonts w:eastAsia="Arial"/>
        </w:rPr>
        <w:t>USD 204.6 million</w:t>
      </w:r>
      <w:r>
        <w:rPr>
          <w:rFonts w:eastAsia="Arial"/>
        </w:rPr>
        <w:t xml:space="preserve"> </w:t>
      </w:r>
      <w:r>
        <w:rPr>
          <w:rFonts w:eastAsia="Arial"/>
        </w:rPr>
        <w:fldChar w:fldCharType="begin" w:fldLock="1"/>
      </w:r>
      <w:r w:rsidR="00AB6B59">
        <w:rPr>
          <w:rFonts w:eastAsia="Arial"/>
        </w:rPr>
        <w:instrText>ADDIN CSL_CITATION {"citationItems":[{"id":"ITEM-1","itemData":{"DOI":"10.15446/agron.colomb.v42n2.113982","ISSN":"23573732","abstract":"The avocado market has experienced significant growth in recent decades, with Latin America emerging as a key player in production and export. This article provides an overview of the main challenges facing the avocado production chain in the region, examining crucial aspects such as production trends, supply dynamics, evolving demand patterns, and price fluctuations. By addressing these challenges and capitalizing on emerging opportunities, the Latin American avocado industry can enhance its competitiveness, sustainability, and resilience in the global market. This review provides valuable insights and actionable strategies for stakeholders across the avocado production chain, from producers and exporters to policymakers and researchers, offering key working areas for the sustainable development of the avocado industry.","author":[{"dropping-particle":"","family":"Taramuel-Taramuel","given":"Juan Pablo","non-dropping-particle":"","parse-names":false,"suffix":""},{"dropping-particle":"","family":"Montoya-Restrepo","given":"Iván Alonso","non-dropping-particle":"","parse-names":false,"suffix":""},{"dropping-particle":"","family":"Barrios","given":"Dursun","non-dropping-particle":"","parse-names":false,"suffix":""}],"container-title":"Agronomia Colombiana","id":"ITEM-1","issue":"2","issued":{"date-parts":[["2024"]]},"page":"1-11","title":"Challenges in the avocado production chain in Latin America: A descriptive analysis","type":"article-journal","volume":"42"},"uris":["http://www.mendeley.com/documents/?uuid=ae024dbd-0308-46e1-935e-d69693482433"]}],"mendeley":{"formattedCitation":"(1)","plainTextFormattedCitation":"(1)","previouslyFormattedCitation":"(Taramuel-Taramuel et al., 2024)"},"properties":{"noteIndex":0},"schema":"https://github.com/citation-style-language/schema/raw/master/csl-citation.json"}</w:instrText>
      </w:r>
      <w:r>
        <w:rPr>
          <w:rFonts w:eastAsia="Arial"/>
        </w:rPr>
        <w:fldChar w:fldCharType="separate"/>
      </w:r>
      <w:r w:rsidR="00AB6B59" w:rsidRPr="00AB6B59">
        <w:rPr>
          <w:rFonts w:eastAsia="Arial"/>
          <w:noProof/>
        </w:rPr>
        <w:t>(1)</w:t>
      </w:r>
      <w:r>
        <w:rPr>
          <w:rFonts w:eastAsia="Arial"/>
        </w:rPr>
        <w:fldChar w:fldCharType="end"/>
      </w:r>
      <w:r>
        <w:rPr>
          <w:rFonts w:eastAsia="Arial"/>
        </w:rPr>
        <w:t xml:space="preserve">. However, several challenges are poised to limit its economic potential in the future, especially the </w:t>
      </w:r>
      <w:r w:rsidR="00890A83">
        <w:rPr>
          <w:rFonts w:eastAsia="Arial"/>
        </w:rPr>
        <w:t xml:space="preserve">poor resources and waste management of the avocado value chain. Resources and </w:t>
      </w:r>
      <w:r w:rsidR="00F8643E">
        <w:rPr>
          <w:rFonts w:eastAsia="Arial"/>
        </w:rPr>
        <w:t xml:space="preserve">wastes </w:t>
      </w:r>
      <w:r w:rsidR="00890A83">
        <w:rPr>
          <w:rFonts w:eastAsia="Arial"/>
        </w:rPr>
        <w:t xml:space="preserve">from this productive chain </w:t>
      </w:r>
      <w:r w:rsidR="00F8643E">
        <w:rPr>
          <w:rFonts w:eastAsia="Arial"/>
        </w:rPr>
        <w:t xml:space="preserve">are characterized by being rich in </w:t>
      </w:r>
      <w:r w:rsidR="00F8643E" w:rsidRPr="007A252E">
        <w:rPr>
          <w:rFonts w:eastAsia="Arial"/>
        </w:rPr>
        <w:t xml:space="preserve">nutrients and compounds, </w:t>
      </w:r>
      <w:r w:rsidR="00890A83">
        <w:rPr>
          <w:rFonts w:eastAsia="Arial"/>
        </w:rPr>
        <w:t>t</w:t>
      </w:r>
      <w:r w:rsidR="00F8643E">
        <w:rPr>
          <w:rFonts w:eastAsia="Arial"/>
        </w:rPr>
        <w:t xml:space="preserve">hat can be used in several sectors, like food, pharma and cosmetic, among others </w:t>
      </w:r>
      <w:r w:rsidR="00F8643E" w:rsidRPr="007A252E">
        <w:rPr>
          <w:szCs w:val="18"/>
        </w:rPr>
        <w:fldChar w:fldCharType="begin" w:fldLock="1"/>
      </w:r>
      <w:r w:rsidR="00AB6B59">
        <w:rPr>
          <w:szCs w:val="18"/>
        </w:rPr>
        <w:instrText>ADDIN CSL_CITATION {"citationItems":[{"id":"ITEM-1","itemData":{"DOI":"10.3390/recycling8050081","ISSN":"23134321","abstract":"The increasing demand for avocado consumption has led to a vast generation of waste products. Despite the high nutritional value of avocados, the waste generated from their processing poses a significant environmental challenge. Therefore, the development of a sustainable approach to avocado waste management is a major concern. Biorefinery presents a promising approach to the valorization of avocado waste components, including the seed, peel, and pulp residues. This paper explores the potential of avocado waste biorefinery as a sustainable solution to produce bio-based products. Several approaches, including extraction, hydrolysis, fermentation, and biodegradation, to obtain valuable products such as starch, oil, fiber, and bioactive compounds for food or feed goods have been proposed. The review also highlights the approaches towards addressing challenges of energy security and climate change by utilizing avocado waste as a source to produce biofuels such as biogas, biodiesel, and bioethanol. In conclusion, the development of avocado waste biorefinery presents a promising avenue for sustainable development. This process can efficiently convert the avocado waste components into valuable bio-based products and clean energy sources, contributing to the attainment of a circular economy and a more sustainable future.","author":[{"dropping-particle":"","family":"Sandoval-Contreras","given":"Teresa","non-dropping-particle":"","parse-names":false,"suffix":""},{"dropping-particle":"","family":"González Chávez","given":"Fernando","non-dropping-particle":"","parse-names":false,"suffix":""},{"dropping-particle":"","family":"Poonia","given":"Amrita","non-dropping-particle":"","parse-names":false,"suffix":""},{"dropping-particle":"","family":"Iñiguez-Moreno","given":"Maricarmen","non-dropping-particle":"","parse-names":false,"suffix":""},{"dropping-particle":"","family":"Aguirre-Güitrón","given":"Lizet","non-dropping-particle":"","parse-names":false,"suffix":""}],"container-title":"Recycling","id":"ITEM-1","issue":"5","issued":{"date-parts":[["2023"]]},"note":"biodiesel\nbioetanol\nbiogas\nbioplastico\nacido polilactico","page":"1-23","title":"Avocado Waste Biorefinery: Towards Sustainable Development","type":"article-journal","volume":"8"},"uris":["http://www.mendeley.com/documents/?uuid=543937a6-9a22-4561-ac85-e0cc5347a8a7"]}],"mendeley":{"formattedCitation":"(2)","plainTextFormattedCitation":"(2)","previouslyFormattedCitation":"(Sandoval-Contreras et al., 2023)"},"properties":{"noteIndex":0},"schema":"https://github.com/citation-style-language/schema/raw/master/csl-citation.json"}</w:instrText>
      </w:r>
      <w:r w:rsidR="00F8643E" w:rsidRPr="007A252E">
        <w:rPr>
          <w:szCs w:val="18"/>
        </w:rPr>
        <w:fldChar w:fldCharType="separate"/>
      </w:r>
      <w:r w:rsidR="00AB6B59" w:rsidRPr="00AB6B59">
        <w:rPr>
          <w:noProof/>
          <w:szCs w:val="18"/>
        </w:rPr>
        <w:t>(2)</w:t>
      </w:r>
      <w:r w:rsidR="00F8643E" w:rsidRPr="007A252E">
        <w:rPr>
          <w:szCs w:val="18"/>
        </w:rPr>
        <w:fldChar w:fldCharType="end"/>
      </w:r>
      <w:r w:rsidR="00F8643E">
        <w:rPr>
          <w:rFonts w:eastAsia="Arial"/>
        </w:rPr>
        <w:t xml:space="preserve">. </w:t>
      </w:r>
      <w:r w:rsidR="00890A83">
        <w:rPr>
          <w:rFonts w:eastAsia="Arial"/>
        </w:rPr>
        <w:t>For that reason,</w:t>
      </w:r>
      <w:r w:rsidR="00F8643E">
        <w:rPr>
          <w:rFonts w:eastAsia="Arial"/>
        </w:rPr>
        <w:t xml:space="preserve"> cascade biorefineries </w:t>
      </w:r>
      <w:r w:rsidR="00890A83">
        <w:rPr>
          <w:rFonts w:eastAsia="Arial"/>
        </w:rPr>
        <w:t xml:space="preserve">are an opportunity to enhance the avocado value chain, </w:t>
      </w:r>
      <w:r w:rsidR="006E2689">
        <w:rPr>
          <w:rFonts w:eastAsia="Arial"/>
        </w:rPr>
        <w:t>by t</w:t>
      </w:r>
      <w:r w:rsidR="006E2689">
        <w:rPr>
          <w:rFonts w:eastAsia="Arial"/>
          <w:lang w:val="en-GB"/>
        </w:rPr>
        <w:t>ransforming biomass into several valuable products (materials and energy)</w:t>
      </w:r>
      <w:r w:rsidR="006E2689">
        <w:rPr>
          <w:rFonts w:eastAsia="Arial"/>
          <w:lang w:val="en-GB"/>
        </w:rPr>
        <w:t xml:space="preserve">, reducing waste and </w:t>
      </w:r>
      <w:r w:rsidR="006E2689" w:rsidRPr="0007676B">
        <w:rPr>
          <w:rFonts w:eastAsia="Arial"/>
          <w:lang w:val="en-GB"/>
        </w:rPr>
        <w:t>boost</w:t>
      </w:r>
      <w:r w:rsidR="006E2689">
        <w:rPr>
          <w:rFonts w:eastAsia="Arial"/>
          <w:lang w:val="en-GB"/>
        </w:rPr>
        <w:t>ing</w:t>
      </w:r>
      <w:r w:rsidR="006E2689" w:rsidRPr="0007676B">
        <w:rPr>
          <w:rFonts w:eastAsia="Arial"/>
          <w:lang w:val="en-GB"/>
        </w:rPr>
        <w:t xml:space="preserve"> economic growth</w:t>
      </w:r>
      <w:r w:rsidR="006E2689">
        <w:rPr>
          <w:rFonts w:eastAsia="Arial"/>
          <w:lang w:val="en-GB"/>
        </w:rPr>
        <w:t xml:space="preserve"> of rural regions </w:t>
      </w:r>
      <w:r w:rsidR="006E2689">
        <w:rPr>
          <w:rFonts w:eastAsia="Arial"/>
          <w:lang w:val="en-GB"/>
        </w:rPr>
        <w:fldChar w:fldCharType="begin" w:fldLock="1"/>
      </w:r>
      <w:r w:rsidR="00AB6B59">
        <w:rPr>
          <w:rFonts w:eastAsia="Arial"/>
          <w:lang w:val="en-GB"/>
        </w:rPr>
        <w:instrText>ADDIN CSL_CITATION {"citationItems":[{"id":"ITEM-1","itemData":{"DOI":"10.1016/j.jclepro.2023.137925","ISSN":"09596526","abstract":"The overexploitation of resources, the increase of the world population and the trend of consumption based on “use and throw away” is causing an increasing pressure on waste management. In this sense, it is necessary to promote sustainable practices in the valorization of waste streams as a strategy for the co-production of bioproducts and bioenergy. This approach can lead to more sustainable production chains, as lower environmental burdens are expected. However, even if a promising cascade production technology could be used, the technical and economic feasibility of biorefineries remains a challenge. This report aims to provide various insights on how to assess biorefineries from a sustainability perspective, including also available standards and guidelines that enable reliable, accurate and transparent sustainability assessments. It also shows where to focus for the inclusion of biorefineries in the value chain, for communicate/visualize their potential, and for the promotion of bio-based products from recovered resources. The outcomes and main conclusions of this report could be summarized as the importance and the need of assessing biorefinery scenarios under a sustainable perspective to have an increased market potential, considering the main aspects available on the international guidelines, certification schemes and voluntary standards.","author":[{"dropping-particle":"","family":"Arias","given":"Ana","non-dropping-particle":"","parse-names":false,"suffix":""},{"dropping-particle":"","family":"Feijoo","given":"Gumersindo","non-dropping-particle":"","parse-names":false,"suffix":""},{"dropping-particle":"","family":"Moreira","given":"María Teresa","non-dropping-particle":"","parse-names":false,"suffix":""}],"container-title":"Journal of Cleaner Production","id":"ITEM-1","issue":"April","issued":{"date-parts":[["2023"]]},"page":"137925","publisher":"Elsevier Ltd","title":"Biorefineries as a driver for sustainability: Key aspects, actual development and future prospects","type":"article-journal","volume":"418"},"uris":["http://www.mendeley.com/documents/?uuid=65bfe53b-4387-43fb-8ee2-1312b27fd7a1"]}],"mendeley":{"formattedCitation":"(3)","plainTextFormattedCitation":"(3)","previouslyFormattedCitation":"(Arias et al., 2023)"},"properties":{"noteIndex":0},"schema":"https://github.com/citation-style-language/schema/raw/master/csl-citation.json"}</w:instrText>
      </w:r>
      <w:r w:rsidR="006E2689">
        <w:rPr>
          <w:rFonts w:eastAsia="Arial"/>
          <w:lang w:val="en-GB"/>
        </w:rPr>
        <w:fldChar w:fldCharType="separate"/>
      </w:r>
      <w:r w:rsidR="00AB6B59" w:rsidRPr="00AB6B59">
        <w:rPr>
          <w:rFonts w:eastAsia="Arial"/>
          <w:noProof/>
          <w:lang w:val="en-GB"/>
        </w:rPr>
        <w:t>(3)</w:t>
      </w:r>
      <w:r w:rsidR="006E2689">
        <w:rPr>
          <w:rFonts w:eastAsia="Arial"/>
          <w:lang w:val="en-GB"/>
        </w:rPr>
        <w:fldChar w:fldCharType="end"/>
      </w:r>
      <w:r w:rsidR="00494829">
        <w:rPr>
          <w:rFonts w:eastAsia="Arial"/>
        </w:rPr>
        <w:t>. Nonetheless, cascade</w:t>
      </w:r>
      <w:r w:rsidR="00F8643E">
        <w:rPr>
          <w:rFonts w:eastAsia="Arial"/>
        </w:rPr>
        <w:t xml:space="preserve"> </w:t>
      </w:r>
      <w:r w:rsidR="00494829">
        <w:rPr>
          <w:rFonts w:eastAsia="Arial"/>
        </w:rPr>
        <w:t xml:space="preserve">biorefineries </w:t>
      </w:r>
      <w:r w:rsidR="003F4D23">
        <w:rPr>
          <w:rFonts w:eastAsia="Arial"/>
          <w:lang w:val="en-GB"/>
        </w:rPr>
        <w:t>are based on green chemistry principles,</w:t>
      </w:r>
      <w:r w:rsidR="00B844BE">
        <w:rPr>
          <w:rFonts w:eastAsia="Arial"/>
          <w:lang w:val="en-GB"/>
        </w:rPr>
        <w:t xml:space="preserve"> requiring to be efficient, safe and environmentally friendly </w:t>
      </w:r>
      <w:r w:rsidR="003F4D23">
        <w:rPr>
          <w:rFonts w:eastAsia="Arial"/>
          <w:lang w:val="en-GB"/>
        </w:rPr>
        <w:fldChar w:fldCharType="begin" w:fldLock="1"/>
      </w:r>
      <w:r w:rsidR="00AB6B59">
        <w:rPr>
          <w:rFonts w:eastAsia="Arial"/>
          <w:lang w:val="en-GB"/>
        </w:rPr>
        <w:instrText>ADDIN CSL_CITATION {"citationItems":[{"id":"ITEM-1","itemData":{"DOI":"10.1016/j.cscee.2023.100586","ISSN":"26660164","abstract":"Diverse biomass sources are used in advanced processes called biorefineries to create biofuels, high-value products and for industrial effluents treatment. Making a workable model for its legal execution, however, is a simple task. The issues relating to innovation and financial reasonability are the most pressing ones. The structures for gathering, storing, and harvesting feedstocks; the biorefinery conversion procedures ranging from pre-treatment, essential refining, secondary filtration, purification, item moulding, recovery and yet again utilisation of result streams. The general non-technical deployment drivers and obstacles in the fields of industrial effluent treatment such as environmental concerns, societal concerns, and legislation will be investigated. Although the complexity of treatment systems earned nearly equal high scores, high (production) costs are still seen as key deterrents to the deployment of biorefineries. Additionally deemed significant were the dearth of sustainability proof and the perception of food competitiveness. To meet the requirements of both present and future generations, it is also essential that we strike a balance between economic development and environmental protection.","author":[{"dropping-particle":"","family":"Mohammad","given":"Rania Edrees Adam","non-dropping-particle":"","parse-names":false,"suffix":""},{"dropping-particle":"","family":"Abdullahi","given":"Shehu Sa ad","non-dropping-particle":"","parse-names":false,"suffix":""},{"dropping-particle":"","family":"Muhammed","given":"Haruna Abdulbakee","non-dropping-particle":"","parse-names":false,"suffix":""},{"dropping-particle":"","family":"Musa","given":"Haruna","non-dropping-particle":"","parse-names":false,"suffix":""},{"dropping-particle":"","family":"Habibu","given":"Shehu","non-dropping-particle":"","parse-names":false,"suffix":""},{"dropping-particle":"","family":"Jagaba","given":"Ahmad Hussaini","non-dropping-particle":"","parse-names":false,"suffix":""},{"dropping-particle":"","family":"Birniwa","given":"Abdullahi Haruna","non-dropping-particle":"","parse-names":false,"suffix":""}],"container-title":"Case Studies in Chemical and Environmental Engineering","id":"ITEM-1","issue":"December 2023","issued":{"date-parts":[["2024"]]},"page":"100586","publisher":"Elsevier Ltd","title":"Recent technical and non-technical biorefinery development barriers and potential solutions for a sustainable environment: A mini review","type":"article-journal","volume":"9"},"uris":["http://www.mendeley.com/documents/?uuid=049919b9-79f6-4e51-b8d8-af346f22351e"]}],"mendeley":{"formattedCitation":"(4)","plainTextFormattedCitation":"(4)","previouslyFormattedCitation":"(Mohammad et al., 2024)"},"properties":{"noteIndex":0},"schema":"https://github.com/citation-style-language/schema/raw/master/csl-citation.json"}</w:instrText>
      </w:r>
      <w:r w:rsidR="003F4D23">
        <w:rPr>
          <w:rFonts w:eastAsia="Arial"/>
          <w:lang w:val="en-GB"/>
        </w:rPr>
        <w:fldChar w:fldCharType="separate"/>
      </w:r>
      <w:r w:rsidR="00AB6B59" w:rsidRPr="00AB6B59">
        <w:rPr>
          <w:rFonts w:eastAsia="Arial"/>
          <w:noProof/>
          <w:lang w:val="en-GB"/>
        </w:rPr>
        <w:t>(4)</w:t>
      </w:r>
      <w:r w:rsidR="003F4D23">
        <w:rPr>
          <w:rFonts w:eastAsia="Arial"/>
          <w:lang w:val="en-GB"/>
        </w:rPr>
        <w:fldChar w:fldCharType="end"/>
      </w:r>
      <w:r w:rsidR="003F4D23">
        <w:rPr>
          <w:rFonts w:eastAsia="Arial"/>
          <w:lang w:val="en-GB"/>
        </w:rPr>
        <w:t xml:space="preserve">. For that reason, the assessment on how these systems </w:t>
      </w:r>
      <w:r w:rsidR="00AE3DC4">
        <w:rPr>
          <w:rFonts w:eastAsia="Arial"/>
          <w:lang w:val="en-GB"/>
        </w:rPr>
        <w:t xml:space="preserve">can improve its energy </w:t>
      </w:r>
      <w:r w:rsidR="00B844BE">
        <w:rPr>
          <w:rFonts w:eastAsia="Arial"/>
          <w:lang w:val="en-GB"/>
        </w:rPr>
        <w:t>is a key factor for its implementation.</w:t>
      </w:r>
    </w:p>
    <w:p w14:paraId="020E5015" w14:textId="55C0BB43" w:rsidR="000A7D7B" w:rsidRPr="00756A8B" w:rsidRDefault="00B844BE" w:rsidP="00F8643E">
      <w:pPr>
        <w:pStyle w:val="CETBodytext"/>
        <w:spacing w:after="240"/>
        <w:rPr>
          <w:rFonts w:eastAsia="Arial"/>
          <w:lang w:val="en-GB"/>
        </w:rPr>
      </w:pPr>
      <w:r>
        <w:rPr>
          <w:rFonts w:eastAsia="Arial"/>
          <w:lang w:val="en-GB"/>
        </w:rPr>
        <w:t>E</w:t>
      </w:r>
      <w:r w:rsidR="003F4D23">
        <w:rPr>
          <w:rFonts w:eastAsia="Arial"/>
          <w:lang w:val="en-GB"/>
        </w:rPr>
        <w:t xml:space="preserve">xergy analysis </w:t>
      </w:r>
      <w:r>
        <w:rPr>
          <w:rFonts w:eastAsia="Arial"/>
          <w:lang w:val="en-GB"/>
        </w:rPr>
        <w:t xml:space="preserve">offer the evaluation of system’s performance </w:t>
      </w:r>
      <w:r w:rsidR="003F4D23">
        <w:rPr>
          <w:rFonts w:eastAsia="Arial"/>
          <w:lang w:val="en-GB"/>
        </w:rPr>
        <w:t xml:space="preserve">based on the </w:t>
      </w:r>
      <w:r w:rsidR="003F4D23" w:rsidRPr="00DC62E3">
        <w:rPr>
          <w:rFonts w:eastAsia="Arial"/>
          <w:lang w:val="en-GB"/>
        </w:rPr>
        <w:t>quantifi</w:t>
      </w:r>
      <w:r w:rsidR="003F4D23">
        <w:rPr>
          <w:rFonts w:eastAsia="Arial"/>
          <w:lang w:val="en-GB"/>
        </w:rPr>
        <w:t xml:space="preserve">cation of </w:t>
      </w:r>
      <w:r>
        <w:rPr>
          <w:rFonts w:eastAsia="Arial"/>
          <w:lang w:val="en-GB"/>
        </w:rPr>
        <w:t xml:space="preserve">thermodynamic </w:t>
      </w:r>
      <w:r w:rsidR="003F4D23" w:rsidRPr="006516E6">
        <w:rPr>
          <w:rFonts w:eastAsia="Arial"/>
          <w:lang w:val="en-GB"/>
        </w:rPr>
        <w:t>irreversibilities</w:t>
      </w:r>
      <w:r w:rsidR="003F4D23">
        <w:rPr>
          <w:rFonts w:eastAsia="Arial"/>
          <w:lang w:val="en-GB"/>
        </w:rPr>
        <w:t xml:space="preserve"> (losses) </w:t>
      </w:r>
      <w:r w:rsidR="003F4D23">
        <w:rPr>
          <w:rFonts w:eastAsia="Arial"/>
          <w:lang w:val="en-GB"/>
        </w:rPr>
        <w:fldChar w:fldCharType="begin" w:fldLock="1"/>
      </w:r>
      <w:r w:rsidR="00AB6B59">
        <w:rPr>
          <w:rFonts w:eastAsia="Arial"/>
          <w:lang w:val="en-GB"/>
        </w:rPr>
        <w:instrText>ADDIN CSL_CITATION {"citationItems":[{"id":"ITEM-1","itemData":{"DOI":"10.21601/ejosdr/9346","abstract":"Exergy is described as a tool for addressing climate change, in particular through identifying and explaining the benefits of sustainable energy, so the benefits can be appreciated by experts and non-experts alike and attained. Exergy can be used to understand climate change measures and to assess and improve energy systems. Exergy also can help better understand the benefits of utilizing sustainable energy by providing more useful and meaningful information than energy provides. Exergy clearly identifies efficiency improvements and reductions in wastes and environmental impacts attributable to sustainable energy. Exergy can also identify better than energy the environmental benefits and economics of energy technologies. Exergy should be applied by engineers and scientists, as well as decision and policy makers, involved in addressing climate change.","author":[{"dropping-particle":"","family":"Rosen","given":"Marc A.","non-dropping-particle":"","parse-names":false,"suffix":""}],"container-title":"European Journal of Sustainable Development Research","id":"ITEM-1","issue":"2","issued":{"date-parts":[["2021"]]},"page":"em0148","title":"Exergy Analysis as a Tool for Addressing Climate Change","type":"article-journal","volume":"5"},"uris":["http://www.mendeley.com/documents/?uuid=a244ae8b-57ba-4248-b3a4-a09082c4f544"]}],"mendeley":{"formattedCitation":"(5)","plainTextFormattedCitation":"(5)","previouslyFormattedCitation":"(Rosen, 2021)"},"properties":{"noteIndex":0},"schema":"https://github.com/citation-style-language/schema/raw/master/csl-citation.json"}</w:instrText>
      </w:r>
      <w:r w:rsidR="003F4D23">
        <w:rPr>
          <w:rFonts w:eastAsia="Arial"/>
          <w:lang w:val="en-GB"/>
        </w:rPr>
        <w:fldChar w:fldCharType="separate"/>
      </w:r>
      <w:r w:rsidR="00AB6B59" w:rsidRPr="00AB6B59">
        <w:rPr>
          <w:rFonts w:eastAsia="Arial"/>
          <w:noProof/>
          <w:lang w:val="en-GB"/>
        </w:rPr>
        <w:t>(5)</w:t>
      </w:r>
      <w:r w:rsidR="003F4D23">
        <w:rPr>
          <w:rFonts w:eastAsia="Arial"/>
          <w:lang w:val="en-GB"/>
        </w:rPr>
        <w:fldChar w:fldCharType="end"/>
      </w:r>
      <w:r w:rsidR="003F4D23">
        <w:rPr>
          <w:rFonts w:eastAsia="Arial"/>
          <w:lang w:val="en-GB"/>
        </w:rPr>
        <w:t>.</w:t>
      </w:r>
      <w:r w:rsidR="00F27D5C">
        <w:rPr>
          <w:rFonts w:eastAsia="Arial"/>
          <w:lang w:val="en-GB"/>
        </w:rPr>
        <w:t xml:space="preserve"> </w:t>
      </w:r>
      <w:r w:rsidR="003F4D23" w:rsidRPr="007C0281">
        <w:rPr>
          <w:rFonts w:eastAsia="Arial"/>
          <w:lang w:val="en-GB"/>
        </w:rPr>
        <w:t xml:space="preserve">Furthermore, it </w:t>
      </w:r>
      <w:r w:rsidR="00F27D5C">
        <w:rPr>
          <w:rFonts w:eastAsia="Arial"/>
          <w:lang w:val="en-GB"/>
        </w:rPr>
        <w:t>can evaluate</w:t>
      </w:r>
      <w:r w:rsidR="003F4D23" w:rsidRPr="007C0281">
        <w:rPr>
          <w:rFonts w:eastAsia="Arial"/>
          <w:lang w:val="en-GB"/>
        </w:rPr>
        <w:t xml:space="preserve"> resource </w:t>
      </w:r>
      <w:r>
        <w:rPr>
          <w:rFonts w:eastAsia="Arial"/>
          <w:lang w:val="en-GB"/>
        </w:rPr>
        <w:t>utilization</w:t>
      </w:r>
      <w:r w:rsidR="00F27D5C">
        <w:rPr>
          <w:rFonts w:eastAsia="Arial"/>
          <w:lang w:val="en-GB"/>
        </w:rPr>
        <w:t xml:space="preserve"> as it </w:t>
      </w:r>
      <w:r>
        <w:rPr>
          <w:rFonts w:eastAsia="Arial"/>
          <w:lang w:val="en-GB"/>
        </w:rPr>
        <w:t>can convert mass and energy flow</w:t>
      </w:r>
      <w:r w:rsidR="00F27D5C">
        <w:rPr>
          <w:rFonts w:eastAsia="Arial"/>
          <w:lang w:val="en-GB"/>
        </w:rPr>
        <w:t>s</w:t>
      </w:r>
      <w:r>
        <w:rPr>
          <w:rFonts w:eastAsia="Arial"/>
          <w:lang w:val="en-GB"/>
        </w:rPr>
        <w:t xml:space="preserve"> into a single </w:t>
      </w:r>
      <w:r w:rsidRPr="007C0281">
        <w:rPr>
          <w:rFonts w:eastAsia="Arial"/>
          <w:lang w:val="en-GB"/>
        </w:rPr>
        <w:t>metric</w:t>
      </w:r>
      <w:r>
        <w:rPr>
          <w:rFonts w:eastAsia="Arial"/>
          <w:lang w:val="en-GB"/>
        </w:rPr>
        <w:t xml:space="preserve"> </w:t>
      </w:r>
      <w:r w:rsidR="003F4D23">
        <w:rPr>
          <w:rFonts w:eastAsia="Arial"/>
          <w:lang w:val="en-GB"/>
        </w:rPr>
        <w:fldChar w:fldCharType="begin" w:fldLock="1"/>
      </w:r>
      <w:r w:rsidR="00AB6B59">
        <w:rPr>
          <w:rFonts w:eastAsia="Arial"/>
          <w:lang w:val="en-GB"/>
        </w:rPr>
        <w:instrText>ADDIN CSL_CITATION {"citationItems":[{"id":"ITEM-1","itemData":{"DOI":"10.1111/jiec.13120","ISSN":"15309290","abstract":"Modern society requires large amounts of materials which lead to emissions of greenhouse gases. Effective climate policy should focus on not just energy efficiency but material efficiency as well. Exergy analysis is a powerful metric used to identify opportunities for efficiency improvement in industrial resource flow systems. Exergy offers a single unified measure of energy and material resources and indicates the real thermodynamic value of these resources, but the method suffers from a lack of comprehensive specific material chemical exergy datasets. The variety of different materials used in the global resource supply chain necessitates a combination of exergy calculation approaches. These approaches are combined into a single exergy calculator tool with over 1400 substances in the dataset. The chemical exergy values computed for key materials typically differ by less than 10% from values estimated in literature. The calculator is used in a case study of the upstream global material supply chain in 2013. The exergy resource map is visualized in a Sankey diagram and is found to be 72% resource efficient with 170 EJ of combined exergy losses and destruction. Further analysis is conducted on the refining, utilities, and industry sectors which are found to be 72%, 44%, and 50% resource efficient, respectively. Their combined losses and destruction are 15, 101, and 54 EJ, respectively. This study and the calculator developed provide a comprehensive dataset of chemical exergy values for a wide range of materials and can be applied in a variety of studies using exergy analysis.","author":[{"dropping-particle":"","family":"Michalakakis","given":"Charalampos","non-dropping-particle":"","parse-names":false,"suffix":""},{"dropping-particle":"","family":"Fouillou","given":"Jeremy","non-dropping-particle":"","parse-names":false,"suffix":""},{"dropping-particle":"","family":"Lupton","given":"Richard C.","non-dropping-particle":"","parse-names":false,"suffix":""},{"dropping-particle":"","family":"Gonzalez Hernandez","given":"Ana","non-dropping-particle":"","parse-names":false,"suffix":""},{"dropping-particle":"","family":"Cullen","given":"Jonathan M.","non-dropping-particle":"","parse-names":false,"suffix":""}],"container-title":"Journal of Industrial Ecology","id":"ITEM-1","issue":"2","issued":{"date-parts":[["2021"]]},"page":"274-287","title":"Calculating the chemical exergy of materials","type":"article-journal","volume":"25"},"uris":["http://www.mendeley.com/documents/?uuid=416e7619-c3e1-49af-b4b1-bcfa90899948"]}],"mendeley":{"formattedCitation":"(6)","plainTextFormattedCitation":"(6)","previouslyFormattedCitation":"(Michalakakis et al., 2021)"},"properties":{"noteIndex":0},"schema":"https://github.com/citation-style-language/schema/raw/master/csl-citation.json"}</w:instrText>
      </w:r>
      <w:r w:rsidR="003F4D23">
        <w:rPr>
          <w:rFonts w:eastAsia="Arial"/>
          <w:lang w:val="en-GB"/>
        </w:rPr>
        <w:fldChar w:fldCharType="separate"/>
      </w:r>
      <w:r w:rsidR="00AB6B59" w:rsidRPr="00AB6B59">
        <w:rPr>
          <w:rFonts w:eastAsia="Arial"/>
          <w:noProof/>
          <w:lang w:val="en-GB"/>
        </w:rPr>
        <w:t>(6)</w:t>
      </w:r>
      <w:r w:rsidR="003F4D23">
        <w:rPr>
          <w:rFonts w:eastAsia="Arial"/>
          <w:lang w:val="en-GB"/>
        </w:rPr>
        <w:fldChar w:fldCharType="end"/>
      </w:r>
      <w:r>
        <w:rPr>
          <w:rFonts w:eastAsia="Arial"/>
          <w:lang w:val="en-GB"/>
        </w:rPr>
        <w:t>.</w:t>
      </w:r>
      <w:r w:rsidR="003F4D23">
        <w:rPr>
          <w:rFonts w:eastAsia="Arial"/>
          <w:lang w:val="en-GB"/>
        </w:rPr>
        <w:t xml:space="preserve"> </w:t>
      </w:r>
      <w:r w:rsidR="00F27D5C">
        <w:rPr>
          <w:rFonts w:eastAsia="Arial"/>
          <w:lang w:val="en-GB"/>
        </w:rPr>
        <w:t>Moreover, t</w:t>
      </w:r>
      <w:r w:rsidR="003F4D23">
        <w:rPr>
          <w:rFonts w:eastAsia="Arial"/>
          <w:lang w:val="en-GB"/>
        </w:rPr>
        <w:t xml:space="preserve">he </w:t>
      </w:r>
      <w:r w:rsidR="003F4D23" w:rsidRPr="00010048">
        <w:rPr>
          <w:rFonts w:eastAsia="Arial"/>
          <w:lang w:val="en-GB"/>
        </w:rPr>
        <w:t xml:space="preserve">exergy analysis </w:t>
      </w:r>
      <w:r w:rsidR="00AE3DC4">
        <w:rPr>
          <w:rFonts w:eastAsia="Arial"/>
          <w:lang w:val="en-GB"/>
        </w:rPr>
        <w:t>has</w:t>
      </w:r>
      <w:r w:rsidR="003F4D23">
        <w:rPr>
          <w:rFonts w:eastAsia="Arial"/>
          <w:lang w:val="en-GB"/>
        </w:rPr>
        <w:t xml:space="preserve"> been applied to several industries</w:t>
      </w:r>
      <w:r w:rsidR="003F4D23" w:rsidRPr="00010048">
        <w:rPr>
          <w:rFonts w:eastAsia="Arial"/>
          <w:lang w:val="en-GB"/>
        </w:rPr>
        <w:t xml:space="preserve">, </w:t>
      </w:r>
      <w:r w:rsidR="003F4D23">
        <w:rPr>
          <w:rFonts w:eastAsia="Arial"/>
          <w:lang w:val="en-GB"/>
        </w:rPr>
        <w:t>recently</w:t>
      </w:r>
      <w:r w:rsidR="003F4D23" w:rsidRPr="00010048">
        <w:rPr>
          <w:rFonts w:eastAsia="Arial"/>
          <w:lang w:val="en-GB"/>
        </w:rPr>
        <w:t xml:space="preserve"> </w:t>
      </w:r>
      <w:r w:rsidR="003F4D23">
        <w:rPr>
          <w:rFonts w:eastAsia="Arial"/>
          <w:lang w:val="en-GB"/>
        </w:rPr>
        <w:t xml:space="preserve">to </w:t>
      </w:r>
      <w:r w:rsidR="003F4D23" w:rsidRPr="00010048">
        <w:rPr>
          <w:rFonts w:eastAsia="Arial"/>
          <w:lang w:val="en-GB"/>
        </w:rPr>
        <w:t xml:space="preserve">biorefineries, </w:t>
      </w:r>
      <w:r w:rsidR="00AE3DC4">
        <w:rPr>
          <w:rFonts w:eastAsia="Arial"/>
          <w:lang w:val="en-GB"/>
        </w:rPr>
        <w:t>as it can be applied to in early development stages.</w:t>
      </w:r>
      <w:r w:rsidR="00F27D5C">
        <w:rPr>
          <w:rFonts w:eastAsia="Arial"/>
          <w:lang w:val="en-GB"/>
        </w:rPr>
        <w:t xml:space="preserve"> </w:t>
      </w:r>
      <w:r w:rsidR="003F4D23">
        <w:rPr>
          <w:rFonts w:eastAsia="Arial"/>
          <w:lang w:val="en-GB"/>
        </w:rPr>
        <w:t xml:space="preserve">Works like Fontalvo-morales et la., </w:t>
      </w:r>
      <w:r w:rsidR="00F27D5C">
        <w:rPr>
          <w:rFonts w:eastAsia="Arial"/>
          <w:lang w:val="en-GB"/>
        </w:rPr>
        <w:t xml:space="preserve">analysed </w:t>
      </w:r>
      <w:r w:rsidR="003F4D23">
        <w:rPr>
          <w:rFonts w:eastAsia="Arial"/>
          <w:lang w:val="en-GB"/>
        </w:rPr>
        <w:t xml:space="preserve">extractive avocado biorefineries, finding a efficiency of 50%, with losses up to 7763 MJ/h, with wastes having the most contribution to </w:t>
      </w:r>
      <w:r w:rsidR="00F27D5C">
        <w:rPr>
          <w:rFonts w:eastAsia="Arial"/>
          <w:lang w:val="en-GB"/>
        </w:rPr>
        <w:t>them</w:t>
      </w:r>
      <w:r w:rsidR="003F4D23">
        <w:rPr>
          <w:rFonts w:eastAsia="Arial"/>
          <w:lang w:val="en-GB"/>
        </w:rPr>
        <w:t xml:space="preserve"> </w:t>
      </w:r>
      <w:r w:rsidR="003F4D23">
        <w:rPr>
          <w:rFonts w:eastAsia="Arial"/>
          <w:lang w:val="en-GB"/>
        </w:rPr>
        <w:fldChar w:fldCharType="begin" w:fldLock="1"/>
      </w:r>
      <w:r w:rsidR="00AB6B59">
        <w:rPr>
          <w:rFonts w:eastAsia="Arial"/>
          <w:lang w:val="en-GB"/>
        </w:rPr>
        <w:instrText>ADDIN CSL_CITATION {"citationItems":[{"id":"ITEM-1","itemData":{"DOI":"10.3390/su17125451","ISSN":"20711050","abstract":"Creole avocado is the second most widely produced and consumed variety of avocado globally. Due to its commercialization, limited studies have explored its potential for sustainable applications in biorefinery, particularly focusing on reusing the significant amount of waste generated during its consumption. This research evaluates thermodynamic energy losses of a Creole avocado extractive-based biorefinery, which are of critical importance during the fruit valorization process to determine the efficiency and possibilities of optimization, as well as sustainability impacts, through an exergy balance using computer-aided process engineering. The proposed method utilizes the whole fruit to produce three primary bioproducts, with a focus on implementation in the Montes de María region of Colombia. Following the extended mass and energy balance, an in-depth exergetic analysis was conducted, revealing that all process stages exhibited an exergetic efficiency exceeding 50%. The irreversibilities of the process were calculated as 7763.74 MJ/h, the total waste exergy was 2924.42 MJ/h, and the exergy from industrial waste amounted to 7800.42 MJ/h. These findings highlight the potential for optimizing the sustainability of avocado-based production systems through computer-aided analysis as an effective method. This approach accurately identifies exergy losses at each stage, providing precise numerical data and graphical representations. Additionally, it underscores not only the environmental benefits but also the contribution of these systems to enhancing energy efficiency in agro-industrial applications.","author":[{"dropping-particle":"","family":"Fontalvo-Morales","given":"Alejandra","non-dropping-particle":"","parse-names":false,"suffix":""},{"dropping-particle":"","family":"Rojas-Flores","given":"Segundo","non-dropping-particle":"","parse-names":false,"suffix":""},{"dropping-particle":"","family":"González-Delgado","given":"Ángel Darío","non-dropping-particle":"","parse-names":false,"suffix":""}],"container-title":"Sustainability (Switzerland)","id":"ITEM-1","issue":"12","issued":{"date-parts":[["2025"]]},"page":"1-15","title":"Computer-Aided Exergy Analysis of a Creole Avocado Extractive-Based Biorefinery and Sustainable Utilization in Montes de Maria, Colombia","type":"article-journal","volume":"17"},"uris":["http://www.mendeley.com/documents/?uuid=8603d64c-e6ea-49d5-ae06-e970ff49cc74"]}],"mendeley":{"formattedCitation":"(7)","plainTextFormattedCitation":"(7)","previouslyFormattedCitation":"(Fontalvo-Morales et al., 2025)"},"properties":{"noteIndex":0},"schema":"https://github.com/citation-style-language/schema/raw/master/csl-citation.json"}</w:instrText>
      </w:r>
      <w:r w:rsidR="003F4D23">
        <w:rPr>
          <w:rFonts w:eastAsia="Arial"/>
          <w:lang w:val="en-GB"/>
        </w:rPr>
        <w:fldChar w:fldCharType="separate"/>
      </w:r>
      <w:r w:rsidR="00AB6B59" w:rsidRPr="00AB6B59">
        <w:rPr>
          <w:rFonts w:eastAsia="Arial"/>
          <w:noProof/>
          <w:lang w:val="en-GB"/>
        </w:rPr>
        <w:t>(7)</w:t>
      </w:r>
      <w:r w:rsidR="003F4D23">
        <w:rPr>
          <w:rFonts w:eastAsia="Arial"/>
          <w:lang w:val="en-GB"/>
        </w:rPr>
        <w:fldChar w:fldCharType="end"/>
      </w:r>
      <w:r w:rsidR="003F4D23">
        <w:rPr>
          <w:rFonts w:eastAsia="Arial"/>
          <w:lang w:val="en-GB"/>
        </w:rPr>
        <w:t xml:space="preserve">. Similarly, Herrera et al., found for avocado oil extraction, wastes impacting strongly the process performance with almost 90% of the total losses, achieving a efficiency around 30% </w:t>
      </w:r>
      <w:r w:rsidR="003F4D23">
        <w:rPr>
          <w:rFonts w:eastAsia="Arial"/>
          <w:lang w:val="en-GB"/>
        </w:rPr>
        <w:fldChar w:fldCharType="begin" w:fldLock="1"/>
      </w:r>
      <w:r w:rsidR="00AB6B59">
        <w:rPr>
          <w:rFonts w:eastAsia="Arial"/>
          <w:lang w:val="en-GB"/>
        </w:rPr>
        <w:instrText>ADDIN CSL_CITATION {"citationItems":[{"id":"ITEM-1","itemData":{"DOI":"10.3303/CET2291041","ISBN":"9788895608891","ISSN":"22839216","abstract":"Supply chains in Creole-Antillean avocado production are not highly efficient in Colombia and large quantities of this product are wasted due to fruit deterioration. There, it is important to identify alternatives of waste valorization such as avocado oil production. To assess the viability of large-scale avocado oil production from a sustainability point of view, related to the quality of energy conservation, decision-making tools such as exergy analysis must be applied. In this work, an exergy analysis was carried out to identify sources of irreversibilities within the large-scale production of such oil. The conversion of avocado pulp into oil was simulated through the software Aspen plus ® to obtain the extended mass and energy balances. The chemical and physical exergies were quantified and used to calculate the global exergetic efficiency as well as the efficiency by stages of the process. From this analysis, it was found that the stage with the highest waste exergy corresponds to the centrifugation stage. Likewise, it is possible to observe that the greatest irreversibilities in the process occur in the solvent distillation, condensation, and cooling stage 2,754.49 MJ/h. The peel and seed separation showed an exergetic efficiency of 99.0 %, while the overall exergy of the process obtained was 26.80 %. This work provided insights into the energetic performance of avocado oil production.","author":[{"dropping-particle":"","family":"Herrera","given":"Tamy","non-dropping-particle":"","parse-names":false,"suffix":""},{"dropping-particle":"","family":"Parejo","given":"Vianny","non-dropping-particle":"","parse-names":false,"suffix":""},{"dropping-particle":"","family":"González-Delgado","given":"Ángel","non-dropping-particle":"","parse-names":false,"suffix":""}],"container-title":"Chemical Engineering Transactions","id":"ITEM-1","issue":"December 2021","issued":{"date-parts":[["2022"]]},"page":"241-246","title":"Quality of Energy Conservation in an Avocado Oil Extraction Process Via Exergy Analysis","type":"article-journal","volume":"91"},"uris":["http://www.mendeley.com/documents/?uuid=cfcf678f-6dbb-47e4-9bd3-2a86f6ad7d68"]}],"mendeley":{"formattedCitation":"(8)","plainTextFormattedCitation":"(8)","previouslyFormattedCitation":"(Herrera et al., 2022)"},"properties":{"noteIndex":0},"schema":"https://github.com/citation-style-language/schema/raw/master/csl-citation.json"}</w:instrText>
      </w:r>
      <w:r w:rsidR="003F4D23">
        <w:rPr>
          <w:rFonts w:eastAsia="Arial"/>
          <w:lang w:val="en-GB"/>
        </w:rPr>
        <w:fldChar w:fldCharType="separate"/>
      </w:r>
      <w:r w:rsidR="00AB6B59" w:rsidRPr="00AB6B59">
        <w:rPr>
          <w:rFonts w:eastAsia="Arial"/>
          <w:noProof/>
          <w:lang w:val="en-GB"/>
        </w:rPr>
        <w:t>(8)</w:t>
      </w:r>
      <w:r w:rsidR="003F4D23">
        <w:rPr>
          <w:rFonts w:eastAsia="Arial"/>
          <w:lang w:val="en-GB"/>
        </w:rPr>
        <w:fldChar w:fldCharType="end"/>
      </w:r>
      <w:r w:rsidR="003F4D23">
        <w:rPr>
          <w:rFonts w:eastAsia="Arial"/>
          <w:lang w:val="en-GB"/>
        </w:rPr>
        <w:t>.</w:t>
      </w:r>
      <w:r w:rsidR="00756A8B">
        <w:rPr>
          <w:rFonts w:eastAsia="Arial"/>
          <w:lang w:val="en-GB"/>
        </w:rPr>
        <w:t xml:space="preserve"> </w:t>
      </w:r>
      <w:r w:rsidR="003F4D23">
        <w:rPr>
          <w:rFonts w:eastAsia="Arial"/>
          <w:lang w:val="en-GB"/>
        </w:rPr>
        <w:t xml:space="preserve">Both works, showcase </w:t>
      </w:r>
      <w:r w:rsidR="00F27D5C">
        <w:rPr>
          <w:rFonts w:eastAsia="Arial"/>
          <w:lang w:val="en-GB"/>
        </w:rPr>
        <w:t>the performance of avocado biorefineries,</w:t>
      </w:r>
      <w:r w:rsidR="003F4D23">
        <w:rPr>
          <w:rFonts w:eastAsia="Arial"/>
          <w:lang w:val="en-GB"/>
        </w:rPr>
        <w:t xml:space="preserve"> nonetheless, </w:t>
      </w:r>
      <w:r w:rsidR="00F27D5C">
        <w:rPr>
          <w:rFonts w:eastAsia="Arial"/>
          <w:lang w:val="en-GB"/>
        </w:rPr>
        <w:t xml:space="preserve">the effect of exergy resilience </w:t>
      </w:r>
      <w:r w:rsidR="003F4D23">
        <w:rPr>
          <w:rFonts w:eastAsia="Arial"/>
          <w:lang w:val="en-GB"/>
        </w:rPr>
        <w:lastRenderedPageBreak/>
        <w:t xml:space="preserve">has been </w:t>
      </w:r>
      <w:r w:rsidR="00F27D5C">
        <w:rPr>
          <w:rFonts w:eastAsia="Arial"/>
          <w:lang w:val="en-GB"/>
        </w:rPr>
        <w:t>barely</w:t>
      </w:r>
      <w:r w:rsidR="003F4D23">
        <w:rPr>
          <w:rFonts w:eastAsia="Arial"/>
          <w:lang w:val="en-GB"/>
        </w:rPr>
        <w:t xml:space="preserve"> explored, </w:t>
      </w:r>
      <w:r w:rsidR="00F27D5C">
        <w:rPr>
          <w:rFonts w:eastAsia="Arial"/>
          <w:lang w:val="en-GB"/>
        </w:rPr>
        <w:t xml:space="preserve">showcasing an to </w:t>
      </w:r>
      <w:r w:rsidR="00F27D5C" w:rsidRPr="00F27D5C">
        <w:rPr>
          <w:rFonts w:eastAsia="Arial"/>
          <w:lang w:val="en-GB"/>
        </w:rPr>
        <w:t xml:space="preserve">understand the potential implications of uncertainties or variations in the input </w:t>
      </w:r>
      <w:r w:rsidR="00F27D5C">
        <w:rPr>
          <w:rFonts w:eastAsia="Arial"/>
          <w:lang w:val="en-GB"/>
        </w:rPr>
        <w:t>conditions of the process.</w:t>
      </w:r>
      <w:r w:rsidR="000A7D7B">
        <w:rPr>
          <w:rFonts w:eastAsia="Arial"/>
          <w:lang w:val="en-GB"/>
        </w:rPr>
        <w:t xml:space="preserve"> Then, </w:t>
      </w:r>
      <w:r w:rsidR="00756A8B">
        <w:rPr>
          <w:rFonts w:eastAsia="Arial"/>
          <w:lang w:val="en-GB"/>
        </w:rPr>
        <w:t>t</w:t>
      </w:r>
      <w:r w:rsidR="003F4D23" w:rsidRPr="00246E13">
        <w:rPr>
          <w:rFonts w:eastAsia="Arial"/>
        </w:rPr>
        <w:t xml:space="preserve">his </w:t>
      </w:r>
      <w:r w:rsidR="003F4D23">
        <w:rPr>
          <w:rFonts w:eastAsia="Arial"/>
        </w:rPr>
        <w:t>wor</w:t>
      </w:r>
      <w:r w:rsidR="000A7D7B">
        <w:rPr>
          <w:rFonts w:eastAsia="Arial"/>
        </w:rPr>
        <w:t xml:space="preserve">k </w:t>
      </w:r>
      <w:r w:rsidR="003F4D23">
        <w:rPr>
          <w:rFonts w:eastAsia="Arial"/>
        </w:rPr>
        <w:t>conduct</w:t>
      </w:r>
      <w:r w:rsidR="000A7D7B">
        <w:rPr>
          <w:rFonts w:eastAsia="Arial"/>
        </w:rPr>
        <w:t>s</w:t>
      </w:r>
      <w:r w:rsidR="003F4D23">
        <w:rPr>
          <w:rFonts w:eastAsia="Arial"/>
        </w:rPr>
        <w:t xml:space="preserve"> </w:t>
      </w:r>
      <w:r w:rsidR="000A7D7B">
        <w:rPr>
          <w:rFonts w:eastAsia="Arial"/>
        </w:rPr>
        <w:t>the first</w:t>
      </w:r>
      <w:r w:rsidR="003F4D23" w:rsidRPr="00246E13">
        <w:rPr>
          <w:rFonts w:eastAsia="Arial"/>
        </w:rPr>
        <w:t xml:space="preserve"> </w:t>
      </w:r>
      <w:r w:rsidR="000A7D7B" w:rsidRPr="000A7D7B">
        <w:rPr>
          <w:rFonts w:eastAsia="Arial"/>
        </w:rPr>
        <w:t>exerg</w:t>
      </w:r>
      <w:r w:rsidR="000A7D7B">
        <w:rPr>
          <w:rFonts w:eastAsia="Arial"/>
        </w:rPr>
        <w:t>y</w:t>
      </w:r>
      <w:r w:rsidR="000A7D7B" w:rsidRPr="000A7D7B">
        <w:rPr>
          <w:rFonts w:eastAsia="Arial"/>
        </w:rPr>
        <w:t xml:space="preserve"> resilience assessment</w:t>
      </w:r>
      <w:r w:rsidR="000A7D7B">
        <w:rPr>
          <w:rFonts w:eastAsia="Arial"/>
        </w:rPr>
        <w:t xml:space="preserve"> to a cascade biorefinery</w:t>
      </w:r>
      <w:r w:rsidR="003F4D23">
        <w:rPr>
          <w:rFonts w:eastAsia="Arial"/>
        </w:rPr>
        <w:t xml:space="preserve">, combined with </w:t>
      </w:r>
      <w:r w:rsidR="003F4D23" w:rsidRPr="00246E13">
        <w:rPr>
          <w:rFonts w:eastAsia="Arial"/>
        </w:rPr>
        <w:t>simulat</w:t>
      </w:r>
      <w:r w:rsidR="003F4D23">
        <w:rPr>
          <w:rFonts w:eastAsia="Arial"/>
        </w:rPr>
        <w:t>ion</w:t>
      </w:r>
      <w:r w:rsidR="003F4D23" w:rsidRPr="00246E13">
        <w:rPr>
          <w:rFonts w:eastAsia="Arial"/>
        </w:rPr>
        <w:t xml:space="preserve"> in the Aspen plus software. </w:t>
      </w:r>
      <w:r w:rsidR="000A7D7B">
        <w:rPr>
          <w:rFonts w:eastAsia="Arial"/>
        </w:rPr>
        <w:t xml:space="preserve">The resilience assessment is based on a sensibility analysis in which several scenarios are explored to assess the effect of changing exergy conditions of the biorefinery have </w:t>
      </w:r>
      <w:r w:rsidR="00756A8B">
        <w:rPr>
          <w:rFonts w:eastAsia="Arial"/>
        </w:rPr>
        <w:t>on</w:t>
      </w:r>
      <w:r w:rsidR="000A7D7B">
        <w:rPr>
          <w:rFonts w:eastAsia="Arial"/>
        </w:rPr>
        <w:t xml:space="preserve"> </w:t>
      </w:r>
      <w:r w:rsidR="00756A8B">
        <w:rPr>
          <w:rFonts w:eastAsia="Arial"/>
        </w:rPr>
        <w:t>the overall</w:t>
      </w:r>
      <w:r w:rsidR="000A7D7B">
        <w:rPr>
          <w:rFonts w:eastAsia="Arial"/>
        </w:rPr>
        <w:t xml:space="preserve"> exergy efficiency. S</w:t>
      </w:r>
      <w:r w:rsidR="003F4D23">
        <w:rPr>
          <w:rFonts w:eastAsia="Arial"/>
        </w:rPr>
        <w:t>everal exerg</w:t>
      </w:r>
      <w:r w:rsidR="000A7D7B">
        <w:rPr>
          <w:rFonts w:eastAsia="Arial"/>
        </w:rPr>
        <w:t>y</w:t>
      </w:r>
      <w:r w:rsidR="003F4D23">
        <w:rPr>
          <w:rFonts w:eastAsia="Arial"/>
        </w:rPr>
        <w:t xml:space="preserve"> </w:t>
      </w:r>
      <w:r w:rsidR="00756A8B">
        <w:rPr>
          <w:rFonts w:eastAsia="Arial"/>
        </w:rPr>
        <w:t>parameters</w:t>
      </w:r>
      <w:r w:rsidR="00756A8B">
        <w:rPr>
          <w:rFonts w:eastAsia="Arial"/>
        </w:rPr>
        <w:t xml:space="preserve"> are used</w:t>
      </w:r>
      <w:r w:rsidR="003F4D23">
        <w:rPr>
          <w:rFonts w:eastAsia="Arial"/>
        </w:rPr>
        <w:t xml:space="preserve">, such as </w:t>
      </w:r>
      <w:r w:rsidR="003F4D23" w:rsidRPr="00246E13">
        <w:rPr>
          <w:rFonts w:eastAsia="Arial"/>
        </w:rPr>
        <w:t>global exergetic efficiency, efficiency by stages of the process</w:t>
      </w:r>
      <w:r w:rsidR="003F4D23">
        <w:rPr>
          <w:rFonts w:eastAsia="Arial"/>
        </w:rPr>
        <w:t xml:space="preserve">, exergy losses, among others. From this work, several insights </w:t>
      </w:r>
      <w:r w:rsidR="00756A8B">
        <w:rPr>
          <w:rFonts w:eastAsia="Arial"/>
        </w:rPr>
        <w:t xml:space="preserve">into the usefulness </w:t>
      </w:r>
      <w:r w:rsidR="000A7D7B" w:rsidRPr="000A7D7B">
        <w:rPr>
          <w:rFonts w:eastAsia="Arial"/>
          <w:lang w:val="en-GB"/>
        </w:rPr>
        <w:t>of resilience sensibility analysis in optimizing and assessing system performance</w:t>
      </w:r>
      <w:r w:rsidR="00756A8B">
        <w:rPr>
          <w:rFonts w:eastAsia="Arial"/>
          <w:lang w:val="en-GB"/>
        </w:rPr>
        <w:t xml:space="preserve"> of biorefineries</w:t>
      </w:r>
      <w:r w:rsidR="000A7D7B" w:rsidRPr="000A7D7B">
        <w:rPr>
          <w:rFonts w:eastAsia="Arial"/>
          <w:lang w:val="en-GB"/>
        </w:rPr>
        <w:t>.</w:t>
      </w:r>
    </w:p>
    <w:p w14:paraId="2778529C" w14:textId="1FEDE15A" w:rsidR="005F29D3" w:rsidRDefault="0051363B" w:rsidP="00A12FEB">
      <w:pPr>
        <w:pStyle w:val="CETHeading1"/>
        <w:numPr>
          <w:ilvl w:val="0"/>
          <w:numId w:val="16"/>
        </w:numPr>
      </w:pPr>
      <w:r w:rsidRPr="00A12FEB">
        <w:rPr>
          <w:rFonts w:eastAsia="Arial"/>
        </w:rPr>
        <w:t>Materials and methods</w:t>
      </w:r>
    </w:p>
    <w:p w14:paraId="27EB050F" w14:textId="05D92591" w:rsidR="005C5E5B" w:rsidRPr="005C5E5B" w:rsidRDefault="005C5E5B" w:rsidP="00ED5F97">
      <w:pPr>
        <w:pStyle w:val="CETheadingx"/>
        <w:rPr>
          <w:rFonts w:eastAsia="Arial"/>
        </w:rPr>
      </w:pPr>
      <w:r w:rsidRPr="005C5E5B">
        <w:rPr>
          <w:rFonts w:eastAsia="Arial"/>
        </w:rPr>
        <w:t>Process description</w:t>
      </w:r>
    </w:p>
    <w:p w14:paraId="6131D25B" w14:textId="3D06D3FA" w:rsidR="000B4561" w:rsidRPr="000B4561" w:rsidRDefault="000B4561" w:rsidP="000B4561">
      <w:pPr>
        <w:pBdr>
          <w:top w:val="nil"/>
          <w:left w:val="nil"/>
          <w:bottom w:val="nil"/>
          <w:right w:val="nil"/>
          <w:between w:val="nil"/>
        </w:pBdr>
        <w:spacing w:after="240"/>
        <w:rPr>
          <w:rFonts w:eastAsia="Arial" w:cs="Arial"/>
          <w:color w:val="000000"/>
          <w:szCs w:val="18"/>
          <w:lang w:val="en-US"/>
        </w:rPr>
      </w:pPr>
      <w:r w:rsidRPr="000B4561">
        <w:rPr>
          <w:rFonts w:eastAsia="Arial" w:cs="Arial"/>
          <w:color w:val="000000"/>
          <w:szCs w:val="18"/>
          <w:lang w:val="en-US"/>
        </w:rPr>
        <w:t>Figure 1 presents the cascade biorefinery for avocado waste, illustrating the units and material flows. The system consists of four main subprocesses: (i) seed conditioning, (ii) starch production, (iii) biopolymeric film synthesis, and (iv) biocontrol agent production.</w:t>
      </w:r>
      <w:r>
        <w:rPr>
          <w:rFonts w:eastAsia="Arial" w:cs="Arial"/>
          <w:color w:val="000000"/>
          <w:szCs w:val="18"/>
          <w:lang w:val="en-US"/>
        </w:rPr>
        <w:t xml:space="preserve"> </w:t>
      </w:r>
      <w:r w:rsidRPr="000B4561">
        <w:rPr>
          <w:rFonts w:eastAsia="Arial" w:cs="Arial"/>
          <w:color w:val="000000"/>
          <w:szCs w:val="18"/>
          <w:lang w:val="en-US"/>
        </w:rPr>
        <w:t>Avocado residues enter Section 1 under ambient conditions (25 °C, 1 bar). Seeds are washed and cut into pieces (~1.5 cm) and split 1:1 between Sections 2 and 5. In Section 2, seeds contact 0.05% sodium metabisulfite at ambient temperature, are milled to 80 µm, filtered to remove coarse solids, decanted, washed, and centrifuged. The wet starch paste is hot-air dried to &lt;7% moisture and split 50:50, one part as final starch product.</w:t>
      </w:r>
    </w:p>
    <w:p w14:paraId="3C748A62" w14:textId="7E916C15" w:rsidR="000B4561" w:rsidRPr="000B4561" w:rsidRDefault="000B4561" w:rsidP="00756A8B">
      <w:pPr>
        <w:pBdr>
          <w:top w:val="nil"/>
          <w:left w:val="nil"/>
          <w:bottom w:val="nil"/>
          <w:right w:val="nil"/>
          <w:between w:val="nil"/>
        </w:pBdr>
        <w:spacing w:after="240"/>
        <w:rPr>
          <w:rFonts w:eastAsia="Arial" w:cs="Arial"/>
          <w:color w:val="000000"/>
          <w:szCs w:val="18"/>
          <w:lang w:val="en-US"/>
        </w:rPr>
      </w:pPr>
      <w:r w:rsidRPr="000B4561">
        <w:rPr>
          <w:rFonts w:eastAsia="Arial" w:cs="Arial"/>
          <w:color w:val="000000"/>
          <w:szCs w:val="18"/>
          <w:lang w:val="en-US"/>
        </w:rPr>
        <w:t>The other starch portion moves to Section 3, gelatinized at 80 °C with water, and mixed with PVA and glycerol. Filtration residues undergo acetone extraction, filtered and concentrated, then added to the biopolymer for antioxidant and antimicrobial properties. The mixture is dried at 70 °C to form the starch-based biopolymer film.In Section 4, pretreated seeds are freeze-dried to remove ~90% water, ground, and extracted with ethanol to isolate bioactive compounds. The liquid phase is filtered and concentrated via vacuum evaporation, removing up to 90% ethanol. The dry bioactive paste is emulsified with maltodextrin and gum arabic, ethanol is added for agglomeration, and the mixture is spray-dried to obtain the final biocontrol agent.</w:t>
      </w:r>
    </w:p>
    <w:p w14:paraId="15A5E8FF" w14:textId="69855E03" w:rsidR="005C5E5B" w:rsidRDefault="000B4561" w:rsidP="00E45CCA">
      <w:pPr>
        <w:pBdr>
          <w:top w:val="nil"/>
          <w:left w:val="nil"/>
          <w:bottom w:val="nil"/>
          <w:right w:val="nil"/>
          <w:between w:val="nil"/>
        </w:pBdr>
        <w:jc w:val="center"/>
        <w:rPr>
          <w:rFonts w:eastAsia="Arial" w:cs="Arial"/>
          <w:color w:val="000000"/>
          <w:szCs w:val="18"/>
          <w:lang w:val="es-CO"/>
        </w:rPr>
      </w:pPr>
      <w:r w:rsidRPr="0020508E">
        <w:rPr>
          <w:noProof/>
        </w:rPr>
        <w:drawing>
          <wp:inline distT="0" distB="0" distL="0" distR="0" wp14:anchorId="6B392FF9" wp14:editId="51757287">
            <wp:extent cx="3915986" cy="2000250"/>
            <wp:effectExtent l="19050" t="19050" r="27940" b="19050"/>
            <wp:docPr id="1720387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5986" cy="2000250"/>
                    </a:xfrm>
                    <a:prstGeom prst="rect">
                      <a:avLst/>
                    </a:prstGeom>
                    <a:noFill/>
                    <a:ln>
                      <a:solidFill>
                        <a:schemeClr val="tx1"/>
                      </a:solidFill>
                    </a:ln>
                  </pic:spPr>
                </pic:pic>
              </a:graphicData>
            </a:graphic>
          </wp:inline>
        </w:drawing>
      </w:r>
    </w:p>
    <w:p w14:paraId="2CE38151" w14:textId="2EE4D373" w:rsidR="00F8643E" w:rsidRDefault="00385BE2" w:rsidP="00F8643E">
      <w:pPr>
        <w:spacing w:after="240"/>
        <w:rPr>
          <w:i/>
          <w:iCs/>
          <w:lang w:val="en-US"/>
        </w:rPr>
      </w:pPr>
      <w:r w:rsidRPr="004B6136">
        <w:rPr>
          <w:rFonts w:eastAsia="Arial"/>
          <w:b/>
          <w:bCs/>
          <w:i/>
          <w:iCs/>
          <w:lang w:val="en-US"/>
        </w:rPr>
        <w:t xml:space="preserve">Figure </w:t>
      </w:r>
      <w:r w:rsidR="00651C37" w:rsidRPr="004B6136">
        <w:rPr>
          <w:rFonts w:eastAsia="Arial"/>
          <w:b/>
          <w:bCs/>
          <w:i/>
          <w:iCs/>
          <w:lang w:val="en-US"/>
        </w:rPr>
        <w:t>1</w:t>
      </w:r>
      <w:r w:rsidRPr="004B6136">
        <w:rPr>
          <w:rFonts w:eastAsia="Arial"/>
          <w:b/>
          <w:bCs/>
          <w:i/>
          <w:iCs/>
          <w:lang w:val="en-US"/>
        </w:rPr>
        <w:t>.</w:t>
      </w:r>
      <w:r w:rsidRPr="004B6136">
        <w:rPr>
          <w:rFonts w:eastAsia="Arial"/>
          <w:i/>
          <w:iCs/>
          <w:lang w:val="en-US"/>
        </w:rPr>
        <w:t xml:space="preserve"> </w:t>
      </w:r>
      <w:r w:rsidR="000B4561" w:rsidRPr="00427450">
        <w:rPr>
          <w:i/>
          <w:iCs/>
          <w:lang w:val="en-US"/>
        </w:rPr>
        <w:t>Process Flow Diagram of the Hass Avocado Waste Cascade Biorefinery.</w:t>
      </w:r>
    </w:p>
    <w:p w14:paraId="2399203D" w14:textId="0A860BA7" w:rsidR="00F8643E" w:rsidRPr="00F8643E" w:rsidRDefault="00F8643E" w:rsidP="00F8643E">
      <w:pPr>
        <w:spacing w:before="240"/>
        <w:rPr>
          <w:lang w:val="en-US"/>
        </w:rPr>
      </w:pPr>
      <w:r>
        <w:t xml:space="preserve">For the mass and energy extended balances, a </w:t>
      </w:r>
      <w:r w:rsidRPr="00407DC9">
        <w:t xml:space="preserve">simulation was carried in Aspen Plus® V15, </w:t>
      </w:r>
      <w:r>
        <w:t>following</w:t>
      </w:r>
      <w:r w:rsidRPr="00407DC9">
        <w:t xml:space="preserve"> </w:t>
      </w:r>
      <w:r>
        <w:t xml:space="preserve">the work of </w:t>
      </w:r>
      <w:r w:rsidRPr="00407DC9">
        <w:t>Alviz-Meza et al., with Non-Random Two-Liquid (NRTL) model and Redlich-Kwong (RK) equation of state selected as thermodynamic package for liquid and vapor phase behaviour. Furthermore, unit models and operating conditions, were determined based on experimental data and literature values</w:t>
      </w:r>
      <w:r>
        <w:t xml:space="preserve"> </w:t>
      </w:r>
      <w:r w:rsidRPr="00407DC9">
        <w:fldChar w:fldCharType="begin" w:fldLock="1"/>
      </w:r>
      <w:r w:rsidR="00AB6B59">
        <w:instrText>ADDIN CSL_CITATION {"citationItems":[{"id":"ITEM-1","itemData":{"DOI":"10.3303/CET25117012","ISBN":"9791281206175","ISSN":"22839216","abstract":"Colombia has established itself as a significant contributor to Hass avocado production; however, the supply chain predominantly focuses on marketing the pulp, thereby underutilizing by-products, such as the seed. This situation presents environmental challenges and overlooks potential economic opportunities within bioeconomy development. This study introduces a cascade biorefinery model designed to valorize avocado seed waste from Colombia's Amazon region, transforming it into high-value products, including starch and biodegradable biofilms. The methodology employed involves process simulation using Aspen Plus, with NRTL models for the liquid phase and the Redlich-Kwong model for the vapor phase, to model separation and reaction stages accurately. The biorefinery comprises three principal modules: (i) pretreatment and wet extraction, which produces 1.92 kg/h of starch comparable in composition to commercial avocado seed flours; (ii) a starch gelatinization process with glycerol, yielding 3.76 kg/h of type 1 biofilm; and (iii) a thermochemical and biotechnological process encompassing acid hydrolysis, lactic acid fermentation, and polymerization, resulting in polylactic acid. This PLA is subsequently combined with starch to generate 3.44 kg/h of type 2 biofilm. The entire process attains a 78.34% yield based on a waste input of 27.4 kg/h, thereby demonstrating efficient biomass recovery. The principal contribution of this research lies in showing, through detailed simulation, the technical feasibility of a multistep system that integrates physical, chemical, and biotechnological processes to produce functional bioproducts from agricultural waste. Unlike fragmented approaches, this cascade biorefinery optimizes resource utilization, broadens product diversity, and minimizes waste, thereby supporting sustainability and circular economy principles.","author":[{"dropping-particle":"","family":"Alviz-Meza","given":"Anibal","non-dropping-particle":"","parse-names":false,"suffix":""},{"dropping-particle":"","family":"Valdez-Valdes","given":"Stefany A.","non-dropping-particle":"","parse-names":false,"suffix":""},{"dropping-particle":"","family":"González-Delgado","given":"Ángel Darío","non-dropping-particle":"","parse-names":false,"suffix":""}],"container-title":"Chemical Engineering Transactions","id":"ITEM-1","issue":"December 2024","issued":{"date-parts":[["2025"]]},"page":"67-72","title":"Computer-Aided Simulation of a Cascade Biorefinery: Case Study of the Colombian Amazon’s Hass Avocado Waste","type":"article-journal","volume":"117"},"uris":["http://www.mendeley.com/documents/?uuid=51be4cf3-142d-4779-b514-092fbc01d64c"]}],"mendeley":{"formattedCitation":"(9)","plainTextFormattedCitation":"(9)","previouslyFormattedCitation":"(Alviz-Meza et al., 2025)"},"properties":{"noteIndex":0},"schema":"https://github.com/citation-style-language/schema/raw/master/csl-citation.json"}</w:instrText>
      </w:r>
      <w:r w:rsidRPr="00407DC9">
        <w:fldChar w:fldCharType="separate"/>
      </w:r>
      <w:r w:rsidR="00AB6B59" w:rsidRPr="00AB6B59">
        <w:rPr>
          <w:noProof/>
        </w:rPr>
        <w:t>(9)</w:t>
      </w:r>
      <w:r w:rsidRPr="00407DC9">
        <w:fldChar w:fldCharType="end"/>
      </w:r>
      <w:r w:rsidRPr="00407DC9">
        <w:t>.</w:t>
      </w:r>
    </w:p>
    <w:p w14:paraId="407BABCB" w14:textId="77777777" w:rsidR="005C5E5B" w:rsidRPr="005C5E5B" w:rsidRDefault="005C5E5B" w:rsidP="005C5E5B">
      <w:pPr>
        <w:pStyle w:val="ListParagraph"/>
        <w:numPr>
          <w:ilvl w:val="0"/>
          <w:numId w:val="15"/>
        </w:numPr>
        <w:pBdr>
          <w:top w:val="nil"/>
          <w:left w:val="nil"/>
          <w:bottom w:val="nil"/>
          <w:right w:val="nil"/>
          <w:between w:val="nil"/>
        </w:pBdr>
        <w:contextualSpacing w:val="0"/>
        <w:rPr>
          <w:rFonts w:eastAsia="Arial" w:cs="Arial"/>
          <w:b/>
          <w:bCs/>
          <w:vanish/>
          <w:color w:val="000000"/>
          <w:szCs w:val="18"/>
          <w:lang w:val="en-US"/>
        </w:rPr>
      </w:pPr>
    </w:p>
    <w:p w14:paraId="68101012" w14:textId="77777777" w:rsidR="005C5E5B" w:rsidRPr="005C5E5B" w:rsidRDefault="005C5E5B" w:rsidP="005C5E5B">
      <w:pPr>
        <w:pStyle w:val="ListParagraph"/>
        <w:numPr>
          <w:ilvl w:val="0"/>
          <w:numId w:val="15"/>
        </w:numPr>
        <w:pBdr>
          <w:top w:val="nil"/>
          <w:left w:val="nil"/>
          <w:bottom w:val="nil"/>
          <w:right w:val="nil"/>
          <w:between w:val="nil"/>
        </w:pBdr>
        <w:contextualSpacing w:val="0"/>
        <w:rPr>
          <w:rFonts w:eastAsia="Arial" w:cs="Arial"/>
          <w:b/>
          <w:bCs/>
          <w:vanish/>
          <w:color w:val="000000"/>
          <w:szCs w:val="18"/>
          <w:lang w:val="en-US"/>
        </w:rPr>
      </w:pPr>
    </w:p>
    <w:p w14:paraId="401DD997" w14:textId="77777777" w:rsidR="005C5E5B" w:rsidRPr="005C5E5B" w:rsidRDefault="005C5E5B" w:rsidP="005C5E5B">
      <w:pPr>
        <w:pStyle w:val="ListParagraph"/>
        <w:numPr>
          <w:ilvl w:val="1"/>
          <w:numId w:val="15"/>
        </w:numPr>
        <w:pBdr>
          <w:top w:val="nil"/>
          <w:left w:val="nil"/>
          <w:bottom w:val="nil"/>
          <w:right w:val="nil"/>
          <w:between w:val="nil"/>
        </w:pBdr>
        <w:contextualSpacing w:val="0"/>
        <w:rPr>
          <w:rFonts w:eastAsia="Arial" w:cs="Arial"/>
          <w:b/>
          <w:bCs/>
          <w:vanish/>
          <w:color w:val="000000"/>
          <w:szCs w:val="18"/>
          <w:lang w:val="en-US"/>
        </w:rPr>
      </w:pPr>
    </w:p>
    <w:p w14:paraId="18E8484B" w14:textId="58ADE39C" w:rsidR="005C5E5B" w:rsidRDefault="00585533" w:rsidP="00ED5F97">
      <w:pPr>
        <w:pStyle w:val="CETheadingx"/>
        <w:rPr>
          <w:rFonts w:eastAsia="Arial"/>
        </w:rPr>
      </w:pPr>
      <w:r>
        <w:rPr>
          <w:rFonts w:eastAsia="Arial"/>
        </w:rPr>
        <w:t>E</w:t>
      </w:r>
      <w:r w:rsidR="00312B71">
        <w:rPr>
          <w:rFonts w:eastAsia="Arial"/>
        </w:rPr>
        <w:t>xerg</w:t>
      </w:r>
      <w:r w:rsidR="009E6C41">
        <w:rPr>
          <w:rFonts w:eastAsia="Arial"/>
        </w:rPr>
        <w:t>y</w:t>
      </w:r>
      <w:r w:rsidR="00312B71">
        <w:rPr>
          <w:rFonts w:eastAsia="Arial"/>
        </w:rPr>
        <w:t xml:space="preserve"> resilience of cascade biorefinery</w:t>
      </w:r>
    </w:p>
    <w:p w14:paraId="0359A783" w14:textId="72EBD8DF" w:rsidR="009E6C41" w:rsidRDefault="006B36CC" w:rsidP="006B36CC">
      <w:pPr>
        <w:spacing w:after="240"/>
        <w:rPr>
          <w:bCs/>
          <w:lang w:bidi="en-US"/>
        </w:rPr>
      </w:pPr>
      <w:r w:rsidRPr="009E6C41">
        <w:rPr>
          <w:bCs/>
          <w:lang w:val="en-US" w:bidi="en-US"/>
        </w:rPr>
        <w:t>Th</w:t>
      </w:r>
      <w:r w:rsidR="009E6C41" w:rsidRPr="009E6C41">
        <w:rPr>
          <w:bCs/>
          <w:lang w:val="en-US" w:bidi="en-US"/>
        </w:rPr>
        <w:t>e</w:t>
      </w:r>
      <w:r w:rsidRPr="009E6C41">
        <w:rPr>
          <w:bCs/>
          <w:lang w:val="en-US" w:bidi="en-US"/>
        </w:rPr>
        <w:t xml:space="preserve"> assessment </w:t>
      </w:r>
      <w:r w:rsidR="009E6C41" w:rsidRPr="009E6C41">
        <w:rPr>
          <w:bCs/>
          <w:lang w:val="en-US" w:bidi="en-US"/>
        </w:rPr>
        <w:t xml:space="preserve">carried out is based on previous work by the authors, for a deep exergy analysis of a PVC production process </w:t>
      </w:r>
      <w:r w:rsidR="009E6C41" w:rsidRPr="009E6C41">
        <w:rPr>
          <w:bCs/>
          <w:lang w:val="en-US" w:bidi="en-US"/>
        </w:rPr>
        <w:fldChar w:fldCharType="begin" w:fldLock="1"/>
      </w:r>
      <w:r w:rsidR="00AB6B59">
        <w:rPr>
          <w:bCs/>
          <w:lang w:val="en-US" w:bidi="en-US"/>
        </w:rPr>
        <w:instrText>ADDIN CSL_CITATION {"citationItems":[{"id":"ITEM-1","itemData":{"DOI":"10.1016/j.sajce.2025.06.007","ISSN":"10269185","abstract":"Suspension process is the main method of production of PVC, it is characterized by an intensive consumption of energy. Due to the ongoing climate crisis, the study of energy utilization of chemical processes has become relevant as a step to achieving sustainable operations. Therefore, an exergetic analysis is proposed to study the energy management of the PVC production process by suspension. The process was modelled using simulation software which allows the quantification of the extended mass and energy balances of the process and the thermodynamic properties of pure substances and mixtures. From this information chemical and physical exergies were obtained; exergy parameters were calculated per stage and for the whole process. The analysis showed that the process has efficient energy management with an efficiency of 79.6 %, showing that most of the exergy inputs remain in the product stream, with irreversibilities of 236.798 MJ/h of mostly unavoidable losses (80 %). It was found that the drying and VCM recovery stages presented poor performance, the drying stage had the highest irreversibilities (75,618 MJ/h) associated with avoidable losses (wastes) with 46,488 MJ/h. The VCM recovery section presented the lowest exergy efficiency (84 %) due to mainly unavoidable losses (45,268 MJ/h). Furthermore, a sensitivity analysis was performed, valorizing the process waste, resulting in an increase in efficiency up to 84 % and a reduction in irreversibilities to 56 %. Also, improving the recovery section would increase global efficiency by up to 95 %. However, the unavoidable losses are the main source of exergy destruction of the process; reducing them has the potential to increase efficiency significantly, so it is recommended to expand the analysis to study the service streams (heating, fuel, and refrigerants) together with energy integration.","author":[{"dropping-particle":"","family":"Aguilar-Vásquez","given":"Eduardo","non-dropping-particle":"","parse-names":false,"suffix":""},{"dropping-particle":"","family":"Ramos-Olmos","given":"Miguel","non-dropping-particle":"","parse-names":false,"suffix":""},{"dropping-particle":"","family":"González-Delgado","given":"Ángel Darío","non-dropping-particle":"","parse-names":false,"suffix":""}],"container-title":"South African Journal of Chemical Engineering","id":"ITEM-1","issue":"April","issued":{"date-parts":[["2025"]]},"page":"351-361","title":"A joint exergy analysis/exergetic resilience approach for evaluation of suspension PVC production with VCM recovery","type":"article-journal","volume":"53"},"uris":["http://www.mendeley.com/documents/?uuid=26b0ec6a-f817-4d07-80fb-8c54a71559c2"]}],"mendeley":{"formattedCitation":"(10)","plainTextFormattedCitation":"(10)","previouslyFormattedCitation":"(Aguilar-Vásquez et al., 2025)"},"properties":{"noteIndex":0},"schema":"https://github.com/citation-style-language/schema/raw/master/csl-citation.json"}</w:instrText>
      </w:r>
      <w:r w:rsidR="009E6C41" w:rsidRPr="009E6C41">
        <w:rPr>
          <w:bCs/>
          <w:lang w:val="en-US" w:bidi="en-US"/>
        </w:rPr>
        <w:fldChar w:fldCharType="separate"/>
      </w:r>
      <w:r w:rsidR="00AB6B59" w:rsidRPr="00AB6B59">
        <w:rPr>
          <w:bCs/>
          <w:noProof/>
          <w:lang w:val="en-US" w:bidi="en-US"/>
        </w:rPr>
        <w:t>(10)</w:t>
      </w:r>
      <w:r w:rsidR="009E6C41" w:rsidRPr="009E6C41">
        <w:rPr>
          <w:bCs/>
          <w:lang w:val="en-US" w:bidi="en-US"/>
        </w:rPr>
        <w:fldChar w:fldCharType="end"/>
      </w:r>
      <w:r w:rsidR="009E6C41" w:rsidRPr="009E6C41">
        <w:rPr>
          <w:bCs/>
          <w:lang w:val="en-US" w:bidi="en-US"/>
        </w:rPr>
        <w:t xml:space="preserve">. The analysis </w:t>
      </w:r>
      <w:r w:rsidRPr="009E6C41">
        <w:rPr>
          <w:bCs/>
          <w:lang w:val="en-US" w:bidi="en-US"/>
        </w:rPr>
        <w:t xml:space="preserve">focuses on </w:t>
      </w:r>
      <w:r w:rsidR="009E6C41">
        <w:rPr>
          <w:bCs/>
          <w:lang w:val="en-US" w:bidi="en-US"/>
        </w:rPr>
        <w:t xml:space="preserve">assessing </w:t>
      </w:r>
      <w:r w:rsidRPr="009E6C41">
        <w:rPr>
          <w:bCs/>
          <w:lang w:val="en-US" w:bidi="en-US"/>
        </w:rPr>
        <w:t xml:space="preserve">the effects of </w:t>
      </w:r>
      <w:r w:rsidR="009E6C41">
        <w:rPr>
          <w:bCs/>
          <w:lang w:val="en-US" w:bidi="en-US"/>
        </w:rPr>
        <w:t xml:space="preserve">several key </w:t>
      </w:r>
      <w:r w:rsidRPr="009E6C41">
        <w:rPr>
          <w:bCs/>
          <w:lang w:val="en-US" w:bidi="en-US"/>
        </w:rPr>
        <w:t>variables or parameters on the global exergy efficiency of the process.</w:t>
      </w:r>
      <w:r w:rsidR="009E6C41">
        <w:rPr>
          <w:bCs/>
          <w:lang w:val="en-US" w:bidi="en-US"/>
        </w:rPr>
        <w:t xml:space="preserve"> For this, </w:t>
      </w:r>
      <w:r w:rsidRPr="009E6C41">
        <w:rPr>
          <w:bCs/>
          <w:lang w:val="en-US" w:bidi="en-US"/>
        </w:rPr>
        <w:t xml:space="preserve">the methodology follows one assumption: </w:t>
      </w:r>
      <w:r w:rsidR="009E6C41">
        <w:rPr>
          <w:bCs/>
          <w:lang w:val="en-US" w:bidi="en-US"/>
        </w:rPr>
        <w:t xml:space="preserve">for </w:t>
      </w:r>
      <w:r w:rsidRPr="009E6C41">
        <w:rPr>
          <w:bCs/>
          <w:lang w:val="en-US" w:bidi="en-US"/>
        </w:rPr>
        <w:t>each case</w:t>
      </w:r>
      <w:r w:rsidR="009E6C41">
        <w:rPr>
          <w:bCs/>
          <w:lang w:val="en-US" w:bidi="en-US"/>
        </w:rPr>
        <w:t xml:space="preserve"> or scenario</w:t>
      </w:r>
      <w:r w:rsidRPr="009E6C41">
        <w:rPr>
          <w:bCs/>
          <w:lang w:val="en-US" w:bidi="en-US"/>
        </w:rPr>
        <w:t xml:space="preserve">, one variable </w:t>
      </w:r>
      <w:r w:rsidR="009E6C41">
        <w:rPr>
          <w:bCs/>
          <w:lang w:val="en-US" w:bidi="en-US"/>
        </w:rPr>
        <w:t xml:space="preserve">is explored </w:t>
      </w:r>
      <w:r w:rsidRPr="009E6C41">
        <w:rPr>
          <w:bCs/>
          <w:lang w:val="en-US" w:bidi="en-US"/>
        </w:rPr>
        <w:t xml:space="preserve">change while others are </w:t>
      </w:r>
      <w:r w:rsidR="009E6C41">
        <w:rPr>
          <w:bCs/>
          <w:lang w:val="en-US" w:bidi="en-US"/>
        </w:rPr>
        <w:t>constant</w:t>
      </w:r>
      <w:r w:rsidRPr="009E6C41">
        <w:rPr>
          <w:bCs/>
          <w:lang w:val="en-US" w:bidi="en-US"/>
        </w:rPr>
        <w:t xml:space="preserve">. </w:t>
      </w:r>
      <w:r w:rsidR="009E6C41" w:rsidRPr="009E6C41">
        <w:rPr>
          <w:bCs/>
          <w:lang w:bidi="en-US"/>
        </w:rPr>
        <w:t>The selection of these variables is based on the results of the exergy analysis of both the overall process and its individual stages, with priority given to those exhibiting low efficiency or high losses (both avoidable and unavoidable).</w:t>
      </w:r>
      <w:r w:rsidR="009E6C41">
        <w:rPr>
          <w:bCs/>
          <w:lang w:bidi="en-US"/>
        </w:rPr>
        <w:t xml:space="preserve"> </w:t>
      </w:r>
    </w:p>
    <w:p w14:paraId="6524DAFE" w14:textId="333FF652" w:rsidR="004210A5" w:rsidRPr="009E6C41" w:rsidRDefault="004210A5" w:rsidP="004210A5">
      <w:pPr>
        <w:spacing w:after="240"/>
        <w:rPr>
          <w:bCs/>
          <w:lang w:bidi="en-US"/>
        </w:rPr>
      </w:pPr>
      <w:r>
        <w:rPr>
          <w:bCs/>
          <w:lang w:bidi="en-US"/>
        </w:rPr>
        <w:lastRenderedPageBreak/>
        <w:t xml:space="preserve">From this, key studies are conducted: the </w:t>
      </w:r>
      <w:r w:rsidR="006B36CC" w:rsidRPr="009E6C41">
        <w:rPr>
          <w:bCs/>
          <w:lang w:val="en-US" w:bidi="en-US"/>
        </w:rPr>
        <w:t xml:space="preserve">effect of reusing residues, how reusing </w:t>
      </w:r>
      <w:r>
        <w:rPr>
          <w:bCs/>
          <w:lang w:val="en-US" w:bidi="en-US"/>
        </w:rPr>
        <w:t xml:space="preserve">waste flows </w:t>
      </w:r>
      <w:r w:rsidR="006B36CC" w:rsidRPr="009E6C41">
        <w:rPr>
          <w:bCs/>
          <w:lang w:val="en-US" w:bidi="en-US"/>
        </w:rPr>
        <w:t>contributes to increasing efficiency</w:t>
      </w:r>
      <w:r>
        <w:rPr>
          <w:bCs/>
          <w:lang w:val="en-US" w:bidi="en-US"/>
        </w:rPr>
        <w:t xml:space="preserve">; </w:t>
      </w:r>
      <w:r w:rsidR="006B36CC" w:rsidRPr="009E6C41">
        <w:rPr>
          <w:bCs/>
          <w:lang w:val="en-US" w:bidi="en-US"/>
        </w:rPr>
        <w:t>the effect of local exergy efficiency on global efficiency</w:t>
      </w:r>
      <w:r>
        <w:rPr>
          <w:bCs/>
          <w:lang w:val="en-US" w:bidi="en-US"/>
        </w:rPr>
        <w:t xml:space="preserve">, observing the improvement of a specific stage can improve process performance; the effect of reducing exergy destruction, </w:t>
      </w:r>
      <w:r w:rsidR="006B36CC" w:rsidRPr="009E6C41">
        <w:rPr>
          <w:bCs/>
          <w:lang w:val="en-US" w:bidi="en-US"/>
        </w:rPr>
        <w:t xml:space="preserve">study of how the reduction of the unavoidable losses improve the global </w:t>
      </w:r>
      <w:r w:rsidRPr="009E6C41">
        <w:rPr>
          <w:bCs/>
          <w:lang w:val="en-US" w:bidi="en-US"/>
        </w:rPr>
        <w:t>efficiency</w:t>
      </w:r>
      <w:r>
        <w:rPr>
          <w:bCs/>
          <w:lang w:val="en-US" w:bidi="en-US"/>
        </w:rPr>
        <w:t>;</w:t>
      </w:r>
      <w:r w:rsidRPr="004210A5">
        <w:rPr>
          <w:bCs/>
          <w:lang w:val="en-US" w:bidi="en-US"/>
        </w:rPr>
        <w:t xml:space="preserve"> </w:t>
      </w:r>
      <w:r>
        <w:rPr>
          <w:bCs/>
          <w:lang w:val="en-US" w:bidi="en-US"/>
        </w:rPr>
        <w:t>lastly, the effect of</w:t>
      </w:r>
      <w:r w:rsidRPr="009E6C41">
        <w:rPr>
          <w:bCs/>
          <w:lang w:val="en-US" w:bidi="en-US"/>
        </w:rPr>
        <w:t xml:space="preserve"> the output exergy of the process, highlighting where the most critical losses are located and should be </w:t>
      </w:r>
      <w:r w:rsidRPr="009E6C41">
        <w:rPr>
          <w:bCs/>
          <w:i/>
          <w:iCs/>
          <w:lang w:val="en-US" w:bidi="en-US"/>
        </w:rPr>
        <w:t>prioritized</w:t>
      </w:r>
      <w:r w:rsidRPr="009E6C41">
        <w:rPr>
          <w:bCs/>
          <w:lang w:val="en-US" w:bidi="en-US"/>
        </w:rPr>
        <w:t xml:space="preserve"> in further studies such as energy integration.</w:t>
      </w:r>
      <w:r>
        <w:rPr>
          <w:bCs/>
          <w:lang w:val="en-US" w:bidi="en-US"/>
        </w:rPr>
        <w:t xml:space="preserve"> For the analysis, Eq. (1) to Eq. (6) are employed, as for the process and stages, the exergy of flows is quantified and how it is used.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80"/>
        <w:gridCol w:w="507"/>
      </w:tblGrid>
      <w:tr w:rsidR="00A60E81" w:rsidRPr="003701DE" w14:paraId="0730C753" w14:textId="77777777" w:rsidTr="004210A5">
        <w:tc>
          <w:tcPr>
            <w:tcW w:w="8280" w:type="dxa"/>
          </w:tcPr>
          <w:p w14:paraId="391A42A6" w14:textId="7B199179" w:rsidR="00A60E81" w:rsidRDefault="00000000" w:rsidP="004210A5">
            <w:pPr>
              <w:spacing w:after="240"/>
              <w:jc w:val="center"/>
              <w:rPr>
                <w:bCs/>
                <w:i/>
                <w:iCs/>
                <w:lang w:bidi="en-US"/>
              </w:rPr>
            </w:pPr>
            <m:oMathPara>
              <m:oMath>
                <m:sSub>
                  <m:sSubPr>
                    <m:ctrlPr>
                      <w:rPr>
                        <w:rFonts w:ascii="Cambria Math" w:hAnsi="Cambria Math"/>
                        <w:bCs/>
                        <w:lang w:bidi="en-US"/>
                      </w:rPr>
                    </m:ctrlPr>
                  </m:sSubPr>
                  <m:e>
                    <m:acc>
                      <m:accPr>
                        <m:chr m:val="̇"/>
                        <m:ctrlPr>
                          <w:rPr>
                            <w:rFonts w:ascii="Cambria Math" w:hAnsi="Cambria Math"/>
                            <w:bCs/>
                            <w:lang w:bidi="en-US"/>
                          </w:rPr>
                        </m:ctrlPr>
                      </m:accPr>
                      <m:e>
                        <m:r>
                          <w:rPr>
                            <w:rFonts w:ascii="Cambria Math" w:hAnsi="Cambria Math"/>
                            <w:lang w:bidi="en-US"/>
                          </w:rPr>
                          <m:t>E</m:t>
                        </m:r>
                      </m:e>
                    </m:acc>
                    <m:r>
                      <w:rPr>
                        <w:rFonts w:ascii="Cambria Math" w:hAnsi="Cambria Math"/>
                        <w:lang w:bidi="en-US"/>
                      </w:rPr>
                      <m:t>x</m:t>
                    </m:r>
                  </m:e>
                  <m:sub>
                    <m:r>
                      <w:rPr>
                        <w:rFonts w:ascii="Cambria Math" w:hAnsi="Cambria Math"/>
                        <w:lang w:bidi="en-US"/>
                      </w:rPr>
                      <m:t>losses</m:t>
                    </m:r>
                  </m:sub>
                </m:sSub>
                <m:r>
                  <m:rPr>
                    <m:sty m:val="p"/>
                  </m:rPr>
                  <w:rPr>
                    <w:rFonts w:ascii="Cambria Math" w:hAnsi="Cambria Math"/>
                    <w:lang w:bidi="en-US"/>
                  </w:rPr>
                  <m:t>=</m:t>
                </m:r>
                <m:nary>
                  <m:naryPr>
                    <m:chr m:val="∑"/>
                    <m:limLoc m:val="undOvr"/>
                    <m:subHide m:val="1"/>
                    <m:supHide m:val="1"/>
                    <m:ctrlPr>
                      <w:rPr>
                        <w:rFonts w:ascii="Cambria Math" w:hAnsi="Cambria Math"/>
                        <w:bCs/>
                        <w:lang w:bidi="en-US"/>
                      </w:rPr>
                    </m:ctrlPr>
                  </m:naryPr>
                  <m:sub/>
                  <m:sup/>
                  <m:e>
                    <m:sSub>
                      <m:sSubPr>
                        <m:ctrlPr>
                          <w:rPr>
                            <w:rFonts w:ascii="Cambria Math" w:hAnsi="Cambria Math"/>
                            <w:bCs/>
                            <w:lang w:bidi="en-US"/>
                          </w:rPr>
                        </m:ctrlPr>
                      </m:sSubPr>
                      <m:e>
                        <m:acc>
                          <m:accPr>
                            <m:chr m:val="̇"/>
                            <m:ctrlPr>
                              <w:rPr>
                                <w:rFonts w:ascii="Cambria Math" w:hAnsi="Cambria Math"/>
                                <w:bCs/>
                                <w:lang w:bidi="en-US"/>
                              </w:rPr>
                            </m:ctrlPr>
                          </m:accPr>
                          <m:e>
                            <m:r>
                              <w:rPr>
                                <w:rFonts w:ascii="Cambria Math" w:hAnsi="Cambria Math"/>
                                <w:lang w:bidi="en-US"/>
                              </w:rPr>
                              <m:t>E</m:t>
                            </m:r>
                          </m:e>
                        </m:acc>
                        <m:r>
                          <w:rPr>
                            <w:rFonts w:ascii="Cambria Math" w:hAnsi="Cambria Math"/>
                            <w:lang w:bidi="en-US"/>
                          </w:rPr>
                          <m:t>x</m:t>
                        </m:r>
                      </m:e>
                      <m:sub>
                        <m:r>
                          <w:rPr>
                            <w:rFonts w:ascii="Cambria Math" w:hAnsi="Cambria Math"/>
                            <w:lang w:bidi="en-US"/>
                          </w:rPr>
                          <m:t>in</m:t>
                        </m:r>
                      </m:sub>
                    </m:sSub>
                  </m:e>
                </m:nary>
                <m:r>
                  <m:rPr>
                    <m:sty m:val="p"/>
                  </m:rPr>
                  <w:rPr>
                    <w:rFonts w:ascii="Cambria Math" w:hAnsi="Cambria Math"/>
                    <w:lang w:bidi="en-US"/>
                  </w:rPr>
                  <m:t>-</m:t>
                </m:r>
                <m:nary>
                  <m:naryPr>
                    <m:chr m:val="∑"/>
                    <m:limLoc m:val="undOvr"/>
                    <m:subHide m:val="1"/>
                    <m:supHide m:val="1"/>
                    <m:ctrlPr>
                      <w:rPr>
                        <w:rFonts w:ascii="Cambria Math" w:hAnsi="Cambria Math"/>
                        <w:bCs/>
                        <w:lang w:bidi="en-US"/>
                      </w:rPr>
                    </m:ctrlPr>
                  </m:naryPr>
                  <m:sub/>
                  <m:sup/>
                  <m:e>
                    <m:sSub>
                      <m:sSubPr>
                        <m:ctrlPr>
                          <w:rPr>
                            <w:rFonts w:ascii="Cambria Math" w:hAnsi="Cambria Math"/>
                            <w:bCs/>
                            <w:lang w:bidi="en-US"/>
                          </w:rPr>
                        </m:ctrlPr>
                      </m:sSubPr>
                      <m:e>
                        <m:acc>
                          <m:accPr>
                            <m:chr m:val="̇"/>
                            <m:ctrlPr>
                              <w:rPr>
                                <w:rFonts w:ascii="Cambria Math" w:hAnsi="Cambria Math"/>
                                <w:bCs/>
                                <w:lang w:bidi="en-US"/>
                              </w:rPr>
                            </m:ctrlPr>
                          </m:accPr>
                          <m:e>
                            <m:r>
                              <w:rPr>
                                <w:rFonts w:ascii="Cambria Math" w:hAnsi="Cambria Math"/>
                                <w:lang w:bidi="en-US"/>
                              </w:rPr>
                              <m:t>E</m:t>
                            </m:r>
                          </m:e>
                        </m:acc>
                        <m:r>
                          <w:rPr>
                            <w:rFonts w:ascii="Cambria Math" w:hAnsi="Cambria Math"/>
                            <w:lang w:bidi="en-US"/>
                          </w:rPr>
                          <m:t>x</m:t>
                        </m:r>
                      </m:e>
                      <m:sub>
                        <m:r>
                          <w:rPr>
                            <w:rFonts w:ascii="Cambria Math" w:hAnsi="Cambria Math"/>
                            <w:lang w:bidi="en-US"/>
                          </w:rPr>
                          <m:t>out</m:t>
                        </m:r>
                      </m:sub>
                    </m:sSub>
                  </m:e>
                </m:nary>
              </m:oMath>
            </m:oMathPara>
          </w:p>
        </w:tc>
        <w:tc>
          <w:tcPr>
            <w:tcW w:w="507" w:type="dxa"/>
            <w:vAlign w:val="center"/>
          </w:tcPr>
          <w:p w14:paraId="3F7BB08C" w14:textId="2140CFAE" w:rsidR="00A60E81" w:rsidRPr="00DA6539" w:rsidRDefault="00A60E81" w:rsidP="004210A5">
            <w:pPr>
              <w:spacing w:after="240"/>
              <w:jc w:val="center"/>
              <w:rPr>
                <w:rFonts w:ascii="Times New Roman" w:hAnsi="Times New Roman"/>
                <w:bCs/>
                <w:i/>
                <w:iCs/>
                <w:lang w:bidi="en-US"/>
              </w:rPr>
            </w:pPr>
            <w:r w:rsidRPr="005C3604">
              <w:rPr>
                <w:rFonts w:ascii="Times New Roman" w:hAnsi="Times New Roman"/>
                <w:bCs/>
                <w:lang w:bidi="en-US"/>
              </w:rPr>
              <w:t>(1)</w:t>
            </w:r>
          </w:p>
        </w:tc>
      </w:tr>
      <w:tr w:rsidR="007739A4" w14:paraId="0CA35C4C" w14:textId="77777777" w:rsidTr="004210A5">
        <w:tc>
          <w:tcPr>
            <w:tcW w:w="8280" w:type="dxa"/>
          </w:tcPr>
          <w:p w14:paraId="762ABB52" w14:textId="77777777" w:rsidR="007739A4" w:rsidRDefault="00000000" w:rsidP="00DF3D61">
            <w:pPr>
              <w:spacing w:after="240"/>
              <w:rPr>
                <w:bCs/>
                <w:i/>
                <w:iCs/>
                <w:lang w:bidi="en-US"/>
              </w:rPr>
            </w:pPr>
            <m:oMathPara>
              <m:oMath>
                <m:sSub>
                  <m:sSubPr>
                    <m:ctrlPr>
                      <w:rPr>
                        <w:rFonts w:ascii="Cambria Math" w:hAnsi="Cambria Math"/>
                        <w:bCs/>
                        <w:lang w:bidi="en-US"/>
                      </w:rPr>
                    </m:ctrlPr>
                  </m:sSubPr>
                  <m:e>
                    <m:acc>
                      <m:accPr>
                        <m:chr m:val="̇"/>
                        <m:ctrlPr>
                          <w:rPr>
                            <w:rFonts w:ascii="Cambria Math" w:hAnsi="Cambria Math"/>
                            <w:bCs/>
                            <w:lang w:bidi="en-US"/>
                          </w:rPr>
                        </m:ctrlPr>
                      </m:accPr>
                      <m:e>
                        <m:r>
                          <w:rPr>
                            <w:rFonts w:ascii="Cambria Math" w:hAnsi="Cambria Math"/>
                            <w:lang w:bidi="en-US"/>
                          </w:rPr>
                          <m:t>E</m:t>
                        </m:r>
                      </m:e>
                    </m:acc>
                    <m:r>
                      <w:rPr>
                        <w:rFonts w:ascii="Cambria Math" w:hAnsi="Cambria Math"/>
                        <w:lang w:bidi="en-US"/>
                      </w:rPr>
                      <m:t>x</m:t>
                    </m:r>
                  </m:e>
                  <m:sub>
                    <m:r>
                      <w:rPr>
                        <w:rFonts w:ascii="Cambria Math" w:hAnsi="Cambria Math"/>
                        <w:lang w:bidi="en-US"/>
                      </w:rPr>
                      <m:t>in</m:t>
                    </m:r>
                  </m:sub>
                </m:sSub>
                <m:r>
                  <m:rPr>
                    <m:sty m:val="p"/>
                  </m:rPr>
                  <w:rPr>
                    <w:rFonts w:ascii="Cambria Math" w:hAnsi="Cambria Math"/>
                    <w:lang w:bidi="en-US"/>
                  </w:rPr>
                  <m:t>=</m:t>
                </m:r>
                <m:nary>
                  <m:naryPr>
                    <m:chr m:val="∑"/>
                    <m:limLoc m:val="undOvr"/>
                    <m:subHide m:val="1"/>
                    <m:supHide m:val="1"/>
                    <m:ctrlPr>
                      <w:rPr>
                        <w:rFonts w:ascii="Cambria Math" w:hAnsi="Cambria Math"/>
                        <w:bCs/>
                        <w:lang w:bidi="en-US"/>
                      </w:rPr>
                    </m:ctrlPr>
                  </m:naryPr>
                  <m:sub/>
                  <m:sup/>
                  <m:e>
                    <m:sSub>
                      <m:sSubPr>
                        <m:ctrlPr>
                          <w:rPr>
                            <w:rFonts w:ascii="Cambria Math" w:hAnsi="Cambria Math"/>
                            <w:bCs/>
                            <w:lang w:bidi="en-US"/>
                          </w:rPr>
                        </m:ctrlPr>
                      </m:sSubPr>
                      <m:e>
                        <m:acc>
                          <m:accPr>
                            <m:chr m:val="̇"/>
                            <m:ctrlPr>
                              <w:rPr>
                                <w:rFonts w:ascii="Cambria Math" w:hAnsi="Cambria Math"/>
                                <w:bCs/>
                                <w:lang w:bidi="en-US"/>
                              </w:rPr>
                            </m:ctrlPr>
                          </m:accPr>
                          <m:e>
                            <m:r>
                              <w:rPr>
                                <w:rFonts w:ascii="Cambria Math" w:hAnsi="Cambria Math"/>
                                <w:lang w:bidi="en-US"/>
                              </w:rPr>
                              <m:t>E</m:t>
                            </m:r>
                          </m:e>
                        </m:acc>
                        <m:r>
                          <w:rPr>
                            <w:rFonts w:ascii="Cambria Math" w:hAnsi="Cambria Math"/>
                            <w:lang w:bidi="en-US"/>
                          </w:rPr>
                          <m:t>x</m:t>
                        </m:r>
                      </m:e>
                      <m:sub>
                        <m:r>
                          <w:rPr>
                            <w:rFonts w:ascii="Cambria Math" w:hAnsi="Cambria Math"/>
                            <w:lang w:bidi="en-US"/>
                          </w:rPr>
                          <m:t>mass</m:t>
                        </m:r>
                        <m:r>
                          <m:rPr>
                            <m:sty m:val="p"/>
                          </m:rPr>
                          <w:rPr>
                            <w:rFonts w:ascii="Cambria Math" w:hAnsi="Cambria Math"/>
                            <w:lang w:bidi="en-US"/>
                          </w:rPr>
                          <m:t>-</m:t>
                        </m:r>
                        <m:r>
                          <w:rPr>
                            <w:rFonts w:ascii="Cambria Math" w:hAnsi="Cambria Math"/>
                            <w:lang w:bidi="en-US"/>
                          </w:rPr>
                          <m:t>in</m:t>
                        </m:r>
                      </m:sub>
                    </m:sSub>
                  </m:e>
                </m:nary>
                <m:r>
                  <m:rPr>
                    <m:sty m:val="p"/>
                  </m:rPr>
                  <w:rPr>
                    <w:rFonts w:ascii="Cambria Math" w:hAnsi="Cambria Math"/>
                    <w:lang w:bidi="en-US"/>
                  </w:rPr>
                  <m:t>+</m:t>
                </m:r>
                <m:nary>
                  <m:naryPr>
                    <m:chr m:val="∑"/>
                    <m:limLoc m:val="undOvr"/>
                    <m:subHide m:val="1"/>
                    <m:supHide m:val="1"/>
                    <m:ctrlPr>
                      <w:rPr>
                        <w:rFonts w:ascii="Cambria Math" w:hAnsi="Cambria Math"/>
                        <w:bCs/>
                        <w:lang w:bidi="en-US"/>
                      </w:rPr>
                    </m:ctrlPr>
                  </m:naryPr>
                  <m:sub/>
                  <m:sup/>
                  <m:e>
                    <m:sSub>
                      <m:sSubPr>
                        <m:ctrlPr>
                          <w:rPr>
                            <w:rFonts w:ascii="Cambria Math" w:hAnsi="Cambria Math"/>
                            <w:bCs/>
                            <w:lang w:bidi="en-US"/>
                          </w:rPr>
                        </m:ctrlPr>
                      </m:sSubPr>
                      <m:e>
                        <m:acc>
                          <m:accPr>
                            <m:chr m:val="̇"/>
                            <m:ctrlPr>
                              <w:rPr>
                                <w:rFonts w:ascii="Cambria Math" w:hAnsi="Cambria Math"/>
                                <w:bCs/>
                                <w:lang w:bidi="en-US"/>
                              </w:rPr>
                            </m:ctrlPr>
                          </m:accPr>
                          <m:e>
                            <m:r>
                              <w:rPr>
                                <w:rFonts w:ascii="Cambria Math" w:hAnsi="Cambria Math"/>
                                <w:lang w:bidi="en-US"/>
                              </w:rPr>
                              <m:t>E</m:t>
                            </m:r>
                          </m:e>
                        </m:acc>
                        <m:r>
                          <w:rPr>
                            <w:rFonts w:ascii="Cambria Math" w:hAnsi="Cambria Math"/>
                            <w:lang w:bidi="en-US"/>
                          </w:rPr>
                          <m:t>x</m:t>
                        </m:r>
                      </m:e>
                      <m:sub>
                        <m:r>
                          <w:rPr>
                            <w:rFonts w:ascii="Cambria Math" w:hAnsi="Cambria Math"/>
                            <w:lang w:bidi="en-US"/>
                          </w:rPr>
                          <m:t>utilities</m:t>
                        </m:r>
                        <m:r>
                          <m:rPr>
                            <m:sty m:val="p"/>
                          </m:rPr>
                          <w:rPr>
                            <w:rFonts w:ascii="Cambria Math" w:hAnsi="Cambria Math"/>
                            <w:lang w:bidi="en-US"/>
                          </w:rPr>
                          <m:t>-</m:t>
                        </m:r>
                        <m:r>
                          <w:rPr>
                            <w:rFonts w:ascii="Cambria Math" w:hAnsi="Cambria Math"/>
                            <w:lang w:bidi="en-US"/>
                          </w:rPr>
                          <m:t>in</m:t>
                        </m:r>
                      </m:sub>
                    </m:sSub>
                  </m:e>
                </m:nary>
              </m:oMath>
            </m:oMathPara>
          </w:p>
        </w:tc>
        <w:tc>
          <w:tcPr>
            <w:tcW w:w="507" w:type="dxa"/>
            <w:vAlign w:val="center"/>
          </w:tcPr>
          <w:p w14:paraId="606137B7" w14:textId="5DDA782A" w:rsidR="007739A4" w:rsidRPr="00DA6539" w:rsidRDefault="007739A4" w:rsidP="004210A5">
            <w:pPr>
              <w:spacing w:after="240"/>
              <w:jc w:val="center"/>
              <w:rPr>
                <w:rFonts w:ascii="Times New Roman" w:hAnsi="Times New Roman"/>
                <w:bCs/>
                <w:i/>
                <w:iCs/>
                <w:lang w:bidi="en-US"/>
              </w:rPr>
            </w:pPr>
            <w:r w:rsidRPr="005C3604">
              <w:rPr>
                <w:rFonts w:ascii="Times New Roman" w:hAnsi="Times New Roman"/>
                <w:bCs/>
                <w:lang w:bidi="en-US"/>
              </w:rPr>
              <w:t>(</w:t>
            </w:r>
            <w:r w:rsidR="004210A5">
              <w:rPr>
                <w:rFonts w:ascii="Times New Roman" w:hAnsi="Times New Roman"/>
                <w:bCs/>
                <w:lang w:bidi="en-US"/>
              </w:rPr>
              <w:t>2</w:t>
            </w:r>
            <w:r w:rsidRPr="005C3604">
              <w:rPr>
                <w:rFonts w:ascii="Times New Roman" w:hAnsi="Times New Roman"/>
                <w:bCs/>
                <w:lang w:bidi="en-US"/>
              </w:rPr>
              <w:t>)</w:t>
            </w:r>
          </w:p>
        </w:tc>
      </w:tr>
      <w:tr w:rsidR="007739A4" w14:paraId="22C7413D" w14:textId="77777777" w:rsidTr="004210A5">
        <w:tc>
          <w:tcPr>
            <w:tcW w:w="8280" w:type="dxa"/>
          </w:tcPr>
          <w:p w14:paraId="206103B3" w14:textId="77777777" w:rsidR="007739A4" w:rsidRDefault="00000000" w:rsidP="00DF3D61">
            <w:pPr>
              <w:spacing w:after="240"/>
              <w:rPr>
                <w:bCs/>
                <w:i/>
                <w:iCs/>
                <w:lang w:bidi="en-US"/>
              </w:rPr>
            </w:pPr>
            <m:oMathPara>
              <m:oMath>
                <m:sSub>
                  <m:sSubPr>
                    <m:ctrlPr>
                      <w:rPr>
                        <w:rFonts w:ascii="Cambria Math" w:hAnsi="Cambria Math"/>
                        <w:bCs/>
                        <w:lang w:bidi="en-US"/>
                      </w:rPr>
                    </m:ctrlPr>
                  </m:sSubPr>
                  <m:e>
                    <m:acc>
                      <m:accPr>
                        <m:chr m:val="̇"/>
                        <m:ctrlPr>
                          <w:rPr>
                            <w:rFonts w:ascii="Cambria Math" w:hAnsi="Cambria Math"/>
                            <w:bCs/>
                            <w:lang w:bidi="en-US"/>
                          </w:rPr>
                        </m:ctrlPr>
                      </m:accPr>
                      <m:e>
                        <m:r>
                          <w:rPr>
                            <w:rFonts w:ascii="Cambria Math" w:hAnsi="Cambria Math"/>
                            <w:lang w:bidi="en-US"/>
                          </w:rPr>
                          <m:t>E</m:t>
                        </m:r>
                      </m:e>
                    </m:acc>
                    <m:r>
                      <w:rPr>
                        <w:rFonts w:ascii="Cambria Math" w:hAnsi="Cambria Math"/>
                        <w:lang w:bidi="en-US"/>
                      </w:rPr>
                      <m:t>x</m:t>
                    </m:r>
                  </m:e>
                  <m:sub>
                    <m:r>
                      <w:rPr>
                        <w:rFonts w:ascii="Cambria Math" w:hAnsi="Cambria Math"/>
                        <w:lang w:bidi="en-US"/>
                      </w:rPr>
                      <m:t>mass</m:t>
                    </m:r>
                  </m:sub>
                </m:sSub>
                <m:r>
                  <m:rPr>
                    <m:sty m:val="p"/>
                  </m:rPr>
                  <w:rPr>
                    <w:rFonts w:ascii="Cambria Math" w:hAnsi="Cambria Math"/>
                    <w:lang w:bidi="en-US"/>
                  </w:rPr>
                  <m:t>=</m:t>
                </m:r>
                <m:sSub>
                  <m:sSubPr>
                    <m:ctrlPr>
                      <w:rPr>
                        <w:rFonts w:ascii="Cambria Math" w:hAnsi="Cambria Math"/>
                        <w:bCs/>
                        <w:lang w:bidi="en-US"/>
                      </w:rPr>
                    </m:ctrlPr>
                  </m:sSubPr>
                  <m:e>
                    <m:acc>
                      <m:accPr>
                        <m:chr m:val="̇"/>
                        <m:ctrlPr>
                          <w:rPr>
                            <w:rFonts w:ascii="Cambria Math" w:hAnsi="Cambria Math"/>
                            <w:bCs/>
                            <w:lang w:bidi="en-US"/>
                          </w:rPr>
                        </m:ctrlPr>
                      </m:accPr>
                      <m:e>
                        <m:r>
                          <w:rPr>
                            <w:rFonts w:ascii="Cambria Math" w:hAnsi="Cambria Math"/>
                            <w:lang w:bidi="en-US"/>
                          </w:rPr>
                          <m:t>E</m:t>
                        </m:r>
                      </m:e>
                    </m:acc>
                    <m:r>
                      <w:rPr>
                        <w:rFonts w:ascii="Cambria Math" w:hAnsi="Cambria Math"/>
                        <w:lang w:bidi="en-US"/>
                      </w:rPr>
                      <m:t>x</m:t>
                    </m:r>
                  </m:e>
                  <m:sub>
                    <m:r>
                      <w:rPr>
                        <w:rFonts w:ascii="Cambria Math" w:hAnsi="Cambria Math"/>
                        <w:lang w:bidi="en-US"/>
                      </w:rPr>
                      <m:t>phy</m:t>
                    </m:r>
                  </m:sub>
                </m:sSub>
                <m:r>
                  <m:rPr>
                    <m:sty m:val="p"/>
                  </m:rPr>
                  <w:rPr>
                    <w:rFonts w:ascii="Cambria Math" w:hAnsi="Cambria Math"/>
                    <w:lang w:bidi="en-US"/>
                  </w:rPr>
                  <m:t>+</m:t>
                </m:r>
                <m:sSub>
                  <m:sSubPr>
                    <m:ctrlPr>
                      <w:rPr>
                        <w:rFonts w:ascii="Cambria Math" w:hAnsi="Cambria Math"/>
                        <w:bCs/>
                        <w:lang w:bidi="en-US"/>
                      </w:rPr>
                    </m:ctrlPr>
                  </m:sSubPr>
                  <m:e>
                    <m:acc>
                      <m:accPr>
                        <m:chr m:val="̇"/>
                        <m:ctrlPr>
                          <w:rPr>
                            <w:rFonts w:ascii="Cambria Math" w:hAnsi="Cambria Math"/>
                            <w:bCs/>
                            <w:lang w:bidi="en-US"/>
                          </w:rPr>
                        </m:ctrlPr>
                      </m:accPr>
                      <m:e>
                        <m:r>
                          <w:rPr>
                            <w:rFonts w:ascii="Cambria Math" w:hAnsi="Cambria Math"/>
                            <w:lang w:bidi="en-US"/>
                          </w:rPr>
                          <m:t>E</m:t>
                        </m:r>
                      </m:e>
                    </m:acc>
                    <m:r>
                      <w:rPr>
                        <w:rFonts w:ascii="Cambria Math" w:hAnsi="Cambria Math"/>
                        <w:lang w:bidi="en-US"/>
                      </w:rPr>
                      <m:t>x</m:t>
                    </m:r>
                  </m:e>
                  <m:sub>
                    <m:r>
                      <w:rPr>
                        <w:rFonts w:ascii="Cambria Math" w:hAnsi="Cambria Math"/>
                        <w:lang w:bidi="en-US"/>
                      </w:rPr>
                      <m:t>chem</m:t>
                    </m:r>
                  </m:sub>
                </m:sSub>
              </m:oMath>
            </m:oMathPara>
          </w:p>
        </w:tc>
        <w:tc>
          <w:tcPr>
            <w:tcW w:w="507" w:type="dxa"/>
            <w:vAlign w:val="center"/>
          </w:tcPr>
          <w:p w14:paraId="44D7B854" w14:textId="77777777" w:rsidR="007739A4" w:rsidRPr="00B476C2" w:rsidRDefault="007739A4" w:rsidP="004210A5">
            <w:pPr>
              <w:spacing w:after="240"/>
              <w:jc w:val="center"/>
              <w:rPr>
                <w:rFonts w:ascii="Times New Roman" w:hAnsi="Times New Roman"/>
                <w:bCs/>
                <w:i/>
                <w:iCs/>
                <w:lang w:bidi="en-US"/>
              </w:rPr>
            </w:pPr>
            <w:r w:rsidRPr="005C3604">
              <w:rPr>
                <w:rFonts w:ascii="Times New Roman" w:hAnsi="Times New Roman"/>
                <w:bCs/>
                <w:lang w:bidi="en-US"/>
              </w:rPr>
              <w:t>(3)</w:t>
            </w:r>
          </w:p>
        </w:tc>
      </w:tr>
      <w:tr w:rsidR="004210A5" w14:paraId="2E5F40AD" w14:textId="77777777" w:rsidTr="004210A5">
        <w:tc>
          <w:tcPr>
            <w:tcW w:w="8280" w:type="dxa"/>
          </w:tcPr>
          <w:p w14:paraId="0C21EA36" w14:textId="380D3228" w:rsidR="004210A5" w:rsidRPr="004210A5" w:rsidRDefault="004210A5" w:rsidP="00DF3D61">
            <w:pPr>
              <w:spacing w:after="240"/>
              <w:rPr>
                <w:bCs/>
                <w:i/>
                <w:iCs/>
                <w:u w:val="single"/>
                <w:lang w:val="en-US" w:bidi="en-US"/>
              </w:rPr>
            </w:pPr>
            <m:oMathPara>
              <m:oMath>
                <m:sSub>
                  <m:sSubPr>
                    <m:ctrlPr>
                      <w:rPr>
                        <w:rFonts w:ascii="Cambria Math" w:hAnsi="Cambria Math"/>
                        <w:bCs/>
                        <w:lang w:bidi="en-US"/>
                      </w:rPr>
                    </m:ctrlPr>
                  </m:sSubPr>
                  <m:e>
                    <m:acc>
                      <m:accPr>
                        <m:chr m:val="̇"/>
                        <m:ctrlPr>
                          <w:rPr>
                            <w:rFonts w:ascii="Cambria Math" w:hAnsi="Cambria Math"/>
                            <w:bCs/>
                            <w:lang w:bidi="en-US"/>
                          </w:rPr>
                        </m:ctrlPr>
                      </m:accPr>
                      <m:e>
                        <m:r>
                          <w:rPr>
                            <w:rFonts w:ascii="Cambria Math" w:hAnsi="Cambria Math"/>
                            <w:lang w:bidi="en-US"/>
                          </w:rPr>
                          <m:t>E</m:t>
                        </m:r>
                      </m:e>
                    </m:acc>
                    <m:r>
                      <w:rPr>
                        <w:rFonts w:ascii="Cambria Math" w:hAnsi="Cambria Math"/>
                        <w:lang w:bidi="en-US"/>
                      </w:rPr>
                      <m:t>x</m:t>
                    </m:r>
                  </m:e>
                  <m:sub>
                    <m:r>
                      <w:rPr>
                        <w:rFonts w:ascii="Cambria Math" w:hAnsi="Cambria Math"/>
                        <w:lang w:bidi="en-US"/>
                      </w:rPr>
                      <m:t>utilities</m:t>
                    </m:r>
                    <m:r>
                      <m:rPr>
                        <m:sty m:val="p"/>
                      </m:rPr>
                      <w:rPr>
                        <w:rFonts w:ascii="Cambria Math" w:hAnsi="Cambria Math"/>
                        <w:lang w:bidi="en-US"/>
                      </w:rPr>
                      <m:t>-</m:t>
                    </m:r>
                    <m:r>
                      <w:rPr>
                        <w:rFonts w:ascii="Cambria Math" w:hAnsi="Cambria Math"/>
                        <w:lang w:bidi="en-US"/>
                      </w:rPr>
                      <m:t>in</m:t>
                    </m:r>
                  </m:sub>
                </m:sSub>
                <m:r>
                  <w:rPr>
                    <w:rFonts w:ascii="Cambria Math" w:hAnsi="Cambria Math"/>
                    <w:lang w:bidi="en-US"/>
                  </w:rPr>
                  <m:t>=</m:t>
                </m:r>
                <m:sSub>
                  <m:sSubPr>
                    <m:ctrlPr>
                      <w:rPr>
                        <w:rFonts w:ascii="Cambria Math" w:hAnsi="Cambria Math"/>
                        <w:bCs/>
                        <w:lang w:bidi="en-US"/>
                      </w:rPr>
                    </m:ctrlPr>
                  </m:sSubPr>
                  <m:e>
                    <m:acc>
                      <m:accPr>
                        <m:chr m:val="̇"/>
                        <m:ctrlPr>
                          <w:rPr>
                            <w:rFonts w:ascii="Cambria Math" w:hAnsi="Cambria Math"/>
                            <w:bCs/>
                            <w:lang w:bidi="en-US"/>
                          </w:rPr>
                        </m:ctrlPr>
                      </m:accPr>
                      <m:e>
                        <m:r>
                          <w:rPr>
                            <w:rFonts w:ascii="Cambria Math" w:hAnsi="Cambria Math"/>
                            <w:lang w:bidi="en-US"/>
                          </w:rPr>
                          <m:t>E</m:t>
                        </m:r>
                      </m:e>
                    </m:acc>
                    <m:r>
                      <w:rPr>
                        <w:rFonts w:ascii="Cambria Math" w:hAnsi="Cambria Math"/>
                        <w:lang w:bidi="en-US"/>
                      </w:rPr>
                      <m:t>x</m:t>
                    </m:r>
                  </m:e>
                  <m:sub>
                    <m:r>
                      <w:rPr>
                        <w:rFonts w:ascii="Cambria Math" w:hAnsi="Cambria Math"/>
                        <w:lang w:bidi="en-US"/>
                      </w:rPr>
                      <m:t>work</m:t>
                    </m:r>
                  </m:sub>
                </m:sSub>
                <m:r>
                  <m:rPr>
                    <m:sty m:val="p"/>
                  </m:rPr>
                  <w:rPr>
                    <w:rFonts w:ascii="Cambria Math" w:hAnsi="Cambria Math"/>
                    <w:lang w:bidi="en-US"/>
                  </w:rPr>
                  <m:t>+</m:t>
                </m:r>
                <m:sSub>
                  <m:sSubPr>
                    <m:ctrlPr>
                      <w:rPr>
                        <w:rFonts w:ascii="Cambria Math" w:hAnsi="Cambria Math"/>
                        <w:bCs/>
                        <w:lang w:bidi="en-US"/>
                      </w:rPr>
                    </m:ctrlPr>
                  </m:sSubPr>
                  <m:e>
                    <m:acc>
                      <m:accPr>
                        <m:chr m:val="̇"/>
                        <m:ctrlPr>
                          <w:rPr>
                            <w:rFonts w:ascii="Cambria Math" w:hAnsi="Cambria Math"/>
                            <w:bCs/>
                            <w:lang w:bidi="en-US"/>
                          </w:rPr>
                        </m:ctrlPr>
                      </m:accPr>
                      <m:e>
                        <m:r>
                          <w:rPr>
                            <w:rFonts w:ascii="Cambria Math" w:hAnsi="Cambria Math"/>
                            <w:lang w:bidi="en-US"/>
                          </w:rPr>
                          <m:t>E</m:t>
                        </m:r>
                      </m:e>
                    </m:acc>
                    <m:r>
                      <w:rPr>
                        <w:rFonts w:ascii="Cambria Math" w:hAnsi="Cambria Math"/>
                        <w:lang w:bidi="en-US"/>
                      </w:rPr>
                      <m:t>x</m:t>
                    </m:r>
                  </m:e>
                  <m:sub>
                    <m:r>
                      <w:rPr>
                        <w:rFonts w:ascii="Cambria Math" w:hAnsi="Cambria Math"/>
                        <w:lang w:bidi="en-US"/>
                      </w:rPr>
                      <m:t>heat</m:t>
                    </m:r>
                  </m:sub>
                </m:sSub>
                <m:r>
                  <w:rPr>
                    <w:rFonts w:ascii="Cambria Math" w:hAnsi="Cambria Math"/>
                    <w:lang w:bidi="en-US"/>
                  </w:rPr>
                  <m:t>=</m:t>
                </m:r>
                <m:acc>
                  <m:accPr>
                    <m:chr m:val="̇"/>
                    <m:ctrlPr>
                      <w:rPr>
                        <w:rFonts w:ascii="Cambria Math" w:hAnsi="Cambria Math"/>
                        <w:bCs/>
                        <w:lang w:bidi="en-US"/>
                      </w:rPr>
                    </m:ctrlPr>
                  </m:accPr>
                  <m:e>
                    <m:r>
                      <w:rPr>
                        <w:rFonts w:ascii="Cambria Math" w:hAnsi="Cambria Math"/>
                        <w:lang w:bidi="en-US"/>
                      </w:rPr>
                      <m:t>W</m:t>
                    </m:r>
                  </m:e>
                </m:acc>
                <m:r>
                  <w:rPr>
                    <w:rFonts w:ascii="Cambria Math" w:hAnsi="Cambria Math"/>
                    <w:lang w:bidi="en-US"/>
                  </w:rPr>
                  <m:t>+</m:t>
                </m:r>
                <m:nary>
                  <m:naryPr>
                    <m:chr m:val="∑"/>
                    <m:limLoc m:val="undOvr"/>
                    <m:subHide m:val="1"/>
                    <m:supHide m:val="1"/>
                    <m:ctrlPr>
                      <w:rPr>
                        <w:rFonts w:ascii="Cambria Math" w:hAnsi="Cambria Math"/>
                        <w:bCs/>
                        <w:lang w:bidi="en-US"/>
                      </w:rPr>
                    </m:ctrlPr>
                  </m:naryPr>
                  <m:sub/>
                  <m:sup/>
                  <m:e>
                    <m:d>
                      <m:dPr>
                        <m:ctrlPr>
                          <w:rPr>
                            <w:rFonts w:ascii="Cambria Math" w:hAnsi="Cambria Math"/>
                            <w:bCs/>
                            <w:lang w:bidi="en-US"/>
                          </w:rPr>
                        </m:ctrlPr>
                      </m:dPr>
                      <m:e>
                        <m:r>
                          <m:rPr>
                            <m:sty m:val="p"/>
                          </m:rPr>
                          <w:rPr>
                            <w:rFonts w:ascii="Cambria Math" w:hAnsi="Cambria Math"/>
                            <w:lang w:bidi="en-US"/>
                          </w:rPr>
                          <m:t>1-</m:t>
                        </m:r>
                        <m:f>
                          <m:fPr>
                            <m:ctrlPr>
                              <w:rPr>
                                <w:rFonts w:ascii="Cambria Math" w:hAnsi="Cambria Math"/>
                                <w:bCs/>
                                <w:lang w:bidi="en-US"/>
                              </w:rPr>
                            </m:ctrlPr>
                          </m:fPr>
                          <m:num>
                            <m:sSub>
                              <m:sSubPr>
                                <m:ctrlPr>
                                  <w:rPr>
                                    <w:rFonts w:ascii="Cambria Math" w:hAnsi="Cambria Math"/>
                                    <w:bCs/>
                                    <w:lang w:bidi="en-US"/>
                                  </w:rPr>
                                </m:ctrlPr>
                              </m:sSubPr>
                              <m:e>
                                <m:r>
                                  <w:rPr>
                                    <w:rFonts w:ascii="Cambria Math" w:hAnsi="Cambria Math"/>
                                    <w:lang w:bidi="en-US"/>
                                  </w:rPr>
                                  <m:t>T</m:t>
                                </m:r>
                              </m:e>
                              <m:sub>
                                <m:r>
                                  <m:rPr>
                                    <m:sty m:val="p"/>
                                  </m:rPr>
                                  <w:rPr>
                                    <w:rFonts w:ascii="Cambria Math" w:hAnsi="Cambria Math"/>
                                    <w:lang w:bidi="en-US"/>
                                  </w:rPr>
                                  <m:t>0</m:t>
                                </m:r>
                              </m:sub>
                            </m:sSub>
                          </m:num>
                          <m:den>
                            <m:r>
                              <w:rPr>
                                <w:rFonts w:ascii="Cambria Math" w:hAnsi="Cambria Math"/>
                                <w:lang w:bidi="en-US"/>
                              </w:rPr>
                              <m:t>T</m:t>
                            </m:r>
                          </m:den>
                        </m:f>
                      </m:e>
                    </m:d>
                    <m:sSub>
                      <m:sSubPr>
                        <m:ctrlPr>
                          <w:rPr>
                            <w:rFonts w:ascii="Cambria Math" w:hAnsi="Cambria Math"/>
                            <w:bCs/>
                            <w:lang w:bidi="en-US"/>
                          </w:rPr>
                        </m:ctrlPr>
                      </m:sSubPr>
                      <m:e>
                        <m:acc>
                          <m:accPr>
                            <m:chr m:val="̇"/>
                            <m:ctrlPr>
                              <w:rPr>
                                <w:rFonts w:ascii="Cambria Math" w:hAnsi="Cambria Math"/>
                                <w:bCs/>
                                <w:lang w:bidi="en-US"/>
                              </w:rPr>
                            </m:ctrlPr>
                          </m:accPr>
                          <m:e>
                            <m:r>
                              <w:rPr>
                                <w:rFonts w:ascii="Cambria Math" w:hAnsi="Cambria Math"/>
                                <w:lang w:bidi="en-US"/>
                              </w:rPr>
                              <m:t>Q</m:t>
                            </m:r>
                          </m:e>
                        </m:acc>
                      </m:e>
                      <m:sub>
                        <m:r>
                          <w:rPr>
                            <w:rFonts w:ascii="Cambria Math" w:hAnsi="Cambria Math"/>
                            <w:lang w:bidi="en-US"/>
                          </w:rPr>
                          <m:t>i</m:t>
                        </m:r>
                      </m:sub>
                    </m:sSub>
                  </m:e>
                </m:nary>
              </m:oMath>
            </m:oMathPara>
          </w:p>
        </w:tc>
        <w:tc>
          <w:tcPr>
            <w:tcW w:w="507" w:type="dxa"/>
            <w:vAlign w:val="center"/>
          </w:tcPr>
          <w:p w14:paraId="0C22CEAB" w14:textId="4ABCEE85" w:rsidR="004210A5" w:rsidRPr="005C3604" w:rsidRDefault="004210A5" w:rsidP="004210A5">
            <w:pPr>
              <w:spacing w:after="240"/>
              <w:jc w:val="center"/>
              <w:rPr>
                <w:rFonts w:ascii="Times New Roman" w:hAnsi="Times New Roman"/>
                <w:bCs/>
                <w:lang w:bidi="en-US"/>
              </w:rPr>
            </w:pPr>
            <w:r w:rsidRPr="005C3604">
              <w:rPr>
                <w:rFonts w:ascii="Times New Roman" w:hAnsi="Times New Roman"/>
                <w:bCs/>
                <w:lang w:bidi="en-US"/>
              </w:rPr>
              <w:t>(</w:t>
            </w:r>
            <w:r>
              <w:rPr>
                <w:rFonts w:ascii="Times New Roman" w:hAnsi="Times New Roman"/>
                <w:bCs/>
                <w:lang w:bidi="en-US"/>
              </w:rPr>
              <w:t>4</w:t>
            </w:r>
            <w:r w:rsidRPr="005C3604">
              <w:rPr>
                <w:rFonts w:ascii="Times New Roman" w:hAnsi="Times New Roman"/>
                <w:bCs/>
                <w:lang w:bidi="en-US"/>
              </w:rPr>
              <w:t>)</w:t>
            </w:r>
          </w:p>
        </w:tc>
      </w:tr>
      <w:tr w:rsidR="00A60E81" w14:paraId="5F1060E3" w14:textId="77777777" w:rsidTr="004210A5">
        <w:tc>
          <w:tcPr>
            <w:tcW w:w="8280" w:type="dxa"/>
          </w:tcPr>
          <w:p w14:paraId="1D863C9C" w14:textId="77777777" w:rsidR="00A60E81" w:rsidRDefault="00000000" w:rsidP="00DF3D61">
            <w:pPr>
              <w:spacing w:after="240"/>
              <w:rPr>
                <w:bCs/>
                <w:i/>
                <w:iCs/>
                <w:lang w:bidi="en-US"/>
              </w:rPr>
            </w:pPr>
            <m:oMathPara>
              <m:oMath>
                <m:sSub>
                  <m:sSubPr>
                    <m:ctrlPr>
                      <w:rPr>
                        <w:rFonts w:ascii="Cambria Math" w:hAnsi="Cambria Math"/>
                        <w:bCs/>
                        <w:lang w:bidi="en-US"/>
                      </w:rPr>
                    </m:ctrlPr>
                  </m:sSubPr>
                  <m:e>
                    <m:acc>
                      <m:accPr>
                        <m:chr m:val="̇"/>
                        <m:ctrlPr>
                          <w:rPr>
                            <w:rFonts w:ascii="Cambria Math" w:hAnsi="Cambria Math"/>
                            <w:bCs/>
                            <w:lang w:bidi="en-US"/>
                          </w:rPr>
                        </m:ctrlPr>
                      </m:accPr>
                      <m:e>
                        <m:r>
                          <w:rPr>
                            <w:rFonts w:ascii="Cambria Math" w:hAnsi="Cambria Math"/>
                            <w:lang w:bidi="en-US"/>
                          </w:rPr>
                          <m:t>Ex</m:t>
                        </m:r>
                      </m:e>
                    </m:acc>
                  </m:e>
                  <m:sub>
                    <m:r>
                      <w:rPr>
                        <w:rFonts w:ascii="Cambria Math" w:hAnsi="Cambria Math"/>
                        <w:lang w:bidi="en-US"/>
                      </w:rPr>
                      <m:t>out</m:t>
                    </m:r>
                  </m:sub>
                </m:sSub>
                <m:r>
                  <m:rPr>
                    <m:sty m:val="p"/>
                  </m:rPr>
                  <w:rPr>
                    <w:rFonts w:ascii="Cambria Math" w:hAnsi="Cambria Math"/>
                    <w:lang w:bidi="en-US"/>
                  </w:rPr>
                  <m:t>=</m:t>
                </m:r>
                <m:nary>
                  <m:naryPr>
                    <m:chr m:val="∑"/>
                    <m:limLoc m:val="undOvr"/>
                    <m:subHide m:val="1"/>
                    <m:supHide m:val="1"/>
                    <m:ctrlPr>
                      <w:rPr>
                        <w:rFonts w:ascii="Cambria Math" w:hAnsi="Cambria Math"/>
                        <w:bCs/>
                        <w:lang w:bidi="en-US"/>
                      </w:rPr>
                    </m:ctrlPr>
                  </m:naryPr>
                  <m:sub/>
                  <m:sup/>
                  <m:e>
                    <m:sSub>
                      <m:sSubPr>
                        <m:ctrlPr>
                          <w:rPr>
                            <w:rFonts w:ascii="Cambria Math" w:hAnsi="Cambria Math"/>
                            <w:bCs/>
                            <w:lang w:bidi="en-US"/>
                          </w:rPr>
                        </m:ctrlPr>
                      </m:sSubPr>
                      <m:e>
                        <m:acc>
                          <m:accPr>
                            <m:chr m:val="̇"/>
                            <m:ctrlPr>
                              <w:rPr>
                                <w:rFonts w:ascii="Cambria Math" w:hAnsi="Cambria Math"/>
                                <w:bCs/>
                                <w:lang w:bidi="en-US"/>
                              </w:rPr>
                            </m:ctrlPr>
                          </m:accPr>
                          <m:e>
                            <m:r>
                              <w:rPr>
                                <w:rFonts w:ascii="Cambria Math" w:hAnsi="Cambria Math"/>
                                <w:lang w:bidi="en-US"/>
                              </w:rPr>
                              <m:t>E</m:t>
                            </m:r>
                          </m:e>
                        </m:acc>
                        <m:r>
                          <w:rPr>
                            <w:rFonts w:ascii="Cambria Math" w:hAnsi="Cambria Math"/>
                            <w:lang w:bidi="en-US"/>
                          </w:rPr>
                          <m:t>x</m:t>
                        </m:r>
                      </m:e>
                      <m:sub>
                        <m:r>
                          <w:rPr>
                            <w:rFonts w:ascii="Cambria Math" w:hAnsi="Cambria Math"/>
                            <w:lang w:bidi="en-US"/>
                          </w:rPr>
                          <m:t>products</m:t>
                        </m:r>
                      </m:sub>
                    </m:sSub>
                  </m:e>
                </m:nary>
                <m:r>
                  <m:rPr>
                    <m:sty m:val="p"/>
                  </m:rPr>
                  <w:rPr>
                    <w:rFonts w:ascii="Cambria Math" w:hAnsi="Cambria Math"/>
                    <w:lang w:bidi="en-US"/>
                  </w:rPr>
                  <m:t>+</m:t>
                </m:r>
                <m:nary>
                  <m:naryPr>
                    <m:chr m:val="∑"/>
                    <m:limLoc m:val="undOvr"/>
                    <m:subHide m:val="1"/>
                    <m:supHide m:val="1"/>
                    <m:ctrlPr>
                      <w:rPr>
                        <w:rFonts w:ascii="Cambria Math" w:hAnsi="Cambria Math"/>
                        <w:bCs/>
                        <w:lang w:bidi="en-US"/>
                      </w:rPr>
                    </m:ctrlPr>
                  </m:naryPr>
                  <m:sub/>
                  <m:sup/>
                  <m:e>
                    <m:sSub>
                      <m:sSubPr>
                        <m:ctrlPr>
                          <w:rPr>
                            <w:rFonts w:ascii="Cambria Math" w:hAnsi="Cambria Math"/>
                            <w:bCs/>
                            <w:lang w:bidi="en-US"/>
                          </w:rPr>
                        </m:ctrlPr>
                      </m:sSubPr>
                      <m:e>
                        <m:acc>
                          <m:accPr>
                            <m:chr m:val="̇"/>
                            <m:ctrlPr>
                              <w:rPr>
                                <w:rFonts w:ascii="Cambria Math" w:hAnsi="Cambria Math"/>
                                <w:bCs/>
                                <w:lang w:bidi="en-US"/>
                              </w:rPr>
                            </m:ctrlPr>
                          </m:accPr>
                          <m:e>
                            <m:r>
                              <w:rPr>
                                <w:rFonts w:ascii="Cambria Math" w:hAnsi="Cambria Math"/>
                                <w:lang w:bidi="en-US"/>
                              </w:rPr>
                              <m:t>E</m:t>
                            </m:r>
                          </m:e>
                        </m:acc>
                        <m:r>
                          <w:rPr>
                            <w:rFonts w:ascii="Cambria Math" w:hAnsi="Cambria Math"/>
                            <w:lang w:bidi="en-US"/>
                          </w:rPr>
                          <m:t>x</m:t>
                        </m:r>
                      </m:e>
                      <m:sub>
                        <m:r>
                          <w:rPr>
                            <w:rFonts w:ascii="Cambria Math" w:hAnsi="Cambria Math"/>
                            <w:lang w:bidi="en-US"/>
                          </w:rPr>
                          <m:t>residues</m:t>
                        </m:r>
                      </m:sub>
                    </m:sSub>
                  </m:e>
                </m:nary>
              </m:oMath>
            </m:oMathPara>
          </w:p>
        </w:tc>
        <w:tc>
          <w:tcPr>
            <w:tcW w:w="507" w:type="dxa"/>
            <w:vAlign w:val="center"/>
          </w:tcPr>
          <w:p w14:paraId="41CFE1A5" w14:textId="19A8C2A7" w:rsidR="00A60E81" w:rsidRPr="00DA6539" w:rsidRDefault="00A60E81" w:rsidP="004210A5">
            <w:pPr>
              <w:spacing w:after="240"/>
              <w:jc w:val="center"/>
              <w:rPr>
                <w:rFonts w:ascii="Times New Roman" w:hAnsi="Times New Roman"/>
                <w:bCs/>
                <w:i/>
                <w:iCs/>
                <w:lang w:bidi="en-US"/>
              </w:rPr>
            </w:pPr>
            <w:r w:rsidRPr="005C3604">
              <w:rPr>
                <w:rFonts w:ascii="Times New Roman" w:hAnsi="Times New Roman"/>
                <w:bCs/>
                <w:lang w:bidi="en-US"/>
              </w:rPr>
              <w:t>(</w:t>
            </w:r>
            <w:r w:rsidR="004210A5">
              <w:rPr>
                <w:rFonts w:ascii="Times New Roman" w:hAnsi="Times New Roman"/>
                <w:bCs/>
                <w:lang w:bidi="en-US"/>
              </w:rPr>
              <w:t>5</w:t>
            </w:r>
            <w:r w:rsidRPr="005C3604">
              <w:rPr>
                <w:rFonts w:ascii="Times New Roman" w:hAnsi="Times New Roman"/>
                <w:bCs/>
                <w:lang w:bidi="en-US"/>
              </w:rPr>
              <w:t>)</w:t>
            </w:r>
          </w:p>
        </w:tc>
      </w:tr>
      <w:tr w:rsidR="00A60E81" w14:paraId="0D456659" w14:textId="77777777" w:rsidTr="004210A5">
        <w:tc>
          <w:tcPr>
            <w:tcW w:w="8280" w:type="dxa"/>
          </w:tcPr>
          <w:p w14:paraId="149DF7A2" w14:textId="04BAFAA2" w:rsidR="00A60E81" w:rsidRDefault="00000000" w:rsidP="00DF3D61">
            <w:pPr>
              <w:spacing w:after="240"/>
              <w:rPr>
                <w:bCs/>
                <w:i/>
                <w:iCs/>
                <w:lang w:bidi="en-US"/>
              </w:rPr>
            </w:pPr>
            <m:oMathPara>
              <m:oMath>
                <m:sSub>
                  <m:sSubPr>
                    <m:ctrlPr>
                      <w:rPr>
                        <w:rFonts w:ascii="Cambria Math" w:hAnsi="Cambria Math"/>
                        <w:bCs/>
                        <w:i/>
                        <w:lang w:val="es-CO" w:bidi="en-US"/>
                      </w:rPr>
                    </m:ctrlPr>
                  </m:sSubPr>
                  <m:e>
                    <m:r>
                      <w:rPr>
                        <w:rFonts w:ascii="Cambria Math" w:hAnsi="Cambria Math"/>
                        <w:lang w:bidi="en-US"/>
                      </w:rPr>
                      <m:t>η</m:t>
                    </m:r>
                  </m:e>
                  <m:sub>
                    <m:r>
                      <w:rPr>
                        <w:rFonts w:ascii="Cambria Math" w:hAnsi="Cambria Math"/>
                        <w:lang w:bidi="en-US"/>
                      </w:rPr>
                      <m:t>Exergy</m:t>
                    </m:r>
                  </m:sub>
                </m:sSub>
                <m:r>
                  <m:rPr>
                    <m:sty m:val="p"/>
                  </m:rPr>
                  <w:rPr>
                    <w:rFonts w:ascii="Cambria Math" w:hAnsi="Cambria Math"/>
                    <w:lang w:bidi="en-US"/>
                  </w:rPr>
                  <m:t>=1-</m:t>
                </m:r>
                <m:d>
                  <m:dPr>
                    <m:ctrlPr>
                      <w:rPr>
                        <w:rFonts w:ascii="Cambria Math" w:hAnsi="Cambria Math"/>
                        <w:bCs/>
                        <w:i/>
                        <w:lang w:val="es-CO" w:bidi="en-US"/>
                      </w:rPr>
                    </m:ctrlPr>
                  </m:dPr>
                  <m:e>
                    <m:f>
                      <m:fPr>
                        <m:ctrlPr>
                          <w:rPr>
                            <w:rFonts w:ascii="Cambria Math" w:hAnsi="Cambria Math"/>
                            <w:bCs/>
                            <w:i/>
                            <w:lang w:val="es-CO" w:bidi="en-US"/>
                          </w:rPr>
                        </m:ctrlPr>
                      </m:fPr>
                      <m:num>
                        <m:sSub>
                          <m:sSubPr>
                            <m:ctrlPr>
                              <w:rPr>
                                <w:rFonts w:ascii="Cambria Math" w:hAnsi="Cambria Math"/>
                                <w:bCs/>
                                <w:i/>
                                <w:lang w:val="es-CO" w:bidi="en-US"/>
                              </w:rPr>
                            </m:ctrlPr>
                          </m:sSubPr>
                          <m:e>
                            <m:acc>
                              <m:accPr>
                                <m:chr m:val="̇"/>
                                <m:ctrlPr>
                                  <w:rPr>
                                    <w:rFonts w:ascii="Cambria Math" w:hAnsi="Cambria Math"/>
                                    <w:bCs/>
                                    <w:i/>
                                    <w:iCs/>
                                    <w:lang w:val="es-CO" w:bidi="en-US"/>
                                  </w:rPr>
                                </m:ctrlPr>
                              </m:accPr>
                              <m:e>
                                <m:r>
                                  <w:rPr>
                                    <w:rFonts w:ascii="Cambria Math" w:hAnsi="Cambria Math"/>
                                    <w:lang w:bidi="en-US"/>
                                  </w:rPr>
                                  <m:t>E</m:t>
                                </m:r>
                              </m:e>
                            </m:acc>
                            <m:r>
                              <w:rPr>
                                <w:rFonts w:ascii="Cambria Math" w:hAnsi="Cambria Math"/>
                                <w:lang w:bidi="en-US"/>
                              </w:rPr>
                              <m:t>x</m:t>
                            </m:r>
                          </m:e>
                          <m:sub>
                            <m:r>
                              <w:rPr>
                                <w:rFonts w:ascii="Cambria Math" w:hAnsi="Cambria Math"/>
                                <w:lang w:val="es-CO" w:bidi="en-US"/>
                              </w:rPr>
                              <m:t>losses</m:t>
                            </m:r>
                          </m:sub>
                        </m:sSub>
                      </m:num>
                      <m:den>
                        <m:sSub>
                          <m:sSubPr>
                            <m:ctrlPr>
                              <w:rPr>
                                <w:rFonts w:ascii="Cambria Math" w:hAnsi="Cambria Math"/>
                                <w:bCs/>
                                <w:i/>
                                <w:lang w:val="es-CO" w:bidi="en-US"/>
                              </w:rPr>
                            </m:ctrlPr>
                          </m:sSubPr>
                          <m:e>
                            <m:acc>
                              <m:accPr>
                                <m:chr m:val="̇"/>
                                <m:ctrlPr>
                                  <w:rPr>
                                    <w:rFonts w:ascii="Cambria Math" w:hAnsi="Cambria Math"/>
                                    <w:bCs/>
                                    <w:i/>
                                    <w:iCs/>
                                    <w:lang w:val="es-CO" w:bidi="en-US"/>
                                  </w:rPr>
                                </m:ctrlPr>
                              </m:accPr>
                              <m:e>
                                <m:r>
                                  <w:rPr>
                                    <w:rFonts w:ascii="Cambria Math" w:hAnsi="Cambria Math"/>
                                    <w:lang w:bidi="en-US"/>
                                  </w:rPr>
                                  <m:t>E</m:t>
                                </m:r>
                              </m:e>
                            </m:acc>
                            <m:r>
                              <w:rPr>
                                <w:rFonts w:ascii="Cambria Math" w:hAnsi="Cambria Math"/>
                                <w:lang w:bidi="en-US"/>
                              </w:rPr>
                              <m:t>x</m:t>
                            </m:r>
                          </m:e>
                          <m:sub>
                            <m:r>
                              <w:rPr>
                                <w:rFonts w:ascii="Cambria Math" w:hAnsi="Cambria Math"/>
                                <w:lang w:bidi="en-US"/>
                              </w:rPr>
                              <m:t>in</m:t>
                            </m:r>
                          </m:sub>
                        </m:sSub>
                      </m:den>
                    </m:f>
                  </m:e>
                </m:d>
                <m:r>
                  <m:rPr>
                    <m:sty m:val="p"/>
                  </m:rPr>
                  <w:rPr>
                    <w:rFonts w:ascii="Cambria Math" w:hAnsi="Cambria Math"/>
                    <w:lang w:bidi="en-US"/>
                  </w:rPr>
                  <m:t>*100%</m:t>
                </m:r>
              </m:oMath>
            </m:oMathPara>
          </w:p>
        </w:tc>
        <w:tc>
          <w:tcPr>
            <w:tcW w:w="507" w:type="dxa"/>
            <w:vAlign w:val="center"/>
          </w:tcPr>
          <w:p w14:paraId="0B31B6FB" w14:textId="5713939D" w:rsidR="00A60E81" w:rsidRPr="00DA6539" w:rsidRDefault="00A60E81" w:rsidP="004210A5">
            <w:pPr>
              <w:spacing w:after="240"/>
              <w:jc w:val="center"/>
              <w:rPr>
                <w:rFonts w:ascii="Times New Roman" w:hAnsi="Times New Roman"/>
                <w:bCs/>
                <w:i/>
                <w:iCs/>
                <w:lang w:bidi="en-US"/>
              </w:rPr>
            </w:pPr>
            <w:r w:rsidRPr="005C3604">
              <w:rPr>
                <w:rFonts w:ascii="Times New Roman" w:hAnsi="Times New Roman"/>
                <w:bCs/>
                <w:iCs/>
                <w:lang w:bidi="en-US"/>
              </w:rPr>
              <w:t>(</w:t>
            </w:r>
            <w:r w:rsidR="004210A5">
              <w:rPr>
                <w:rFonts w:ascii="Times New Roman" w:hAnsi="Times New Roman"/>
                <w:bCs/>
                <w:iCs/>
                <w:lang w:bidi="en-US"/>
              </w:rPr>
              <w:t>6</w:t>
            </w:r>
            <w:r w:rsidRPr="005C3604">
              <w:rPr>
                <w:rFonts w:ascii="Times New Roman" w:hAnsi="Times New Roman"/>
                <w:bCs/>
                <w:iCs/>
                <w:lang w:bidi="en-US"/>
              </w:rPr>
              <w:t>)</w:t>
            </w:r>
          </w:p>
        </w:tc>
      </w:tr>
    </w:tbl>
    <w:p w14:paraId="1A13520F" w14:textId="6B558110" w:rsidR="005F29D3" w:rsidRDefault="004F412E" w:rsidP="00734B75">
      <w:pPr>
        <w:pStyle w:val="CETHeading1"/>
        <w:numPr>
          <w:ilvl w:val="0"/>
          <w:numId w:val="15"/>
        </w:numPr>
        <w:rPr>
          <w:rFonts w:eastAsia="Arial"/>
        </w:rPr>
      </w:pPr>
      <w:r w:rsidRPr="00734B75">
        <w:rPr>
          <w:rFonts w:eastAsia="Arial"/>
        </w:rPr>
        <w:t>Results and discussion</w:t>
      </w:r>
    </w:p>
    <w:p w14:paraId="2B3C5C55" w14:textId="51EE7F11" w:rsidR="00F95D89" w:rsidRDefault="00F95D89" w:rsidP="00EE230A">
      <w:pPr>
        <w:pStyle w:val="NormalWeb"/>
        <w:spacing w:after="240"/>
        <w:rPr>
          <w:sz w:val="18"/>
          <w:szCs w:val="18"/>
        </w:rPr>
      </w:pPr>
      <w:r>
        <w:rPr>
          <w:sz w:val="18"/>
          <w:szCs w:val="18"/>
          <w:lang w:val="en-US"/>
        </w:rPr>
        <w:t>F</w:t>
      </w:r>
      <w:r w:rsidRPr="00F95D89">
        <w:rPr>
          <w:sz w:val="18"/>
          <w:szCs w:val="18"/>
        </w:rPr>
        <w:t xml:space="preserve">igure </w:t>
      </w:r>
      <w:r>
        <w:rPr>
          <w:sz w:val="18"/>
          <w:szCs w:val="18"/>
        </w:rPr>
        <w:t xml:space="preserve">2 </w:t>
      </w:r>
      <w:r w:rsidRPr="00F95D89">
        <w:rPr>
          <w:sz w:val="18"/>
          <w:szCs w:val="18"/>
        </w:rPr>
        <w:t xml:space="preserve">shows the effect of reusing a </w:t>
      </w:r>
      <w:r w:rsidRPr="00F95D89">
        <w:rPr>
          <w:sz w:val="18"/>
          <w:szCs w:val="18"/>
        </w:rPr>
        <w:t>waste stream</w:t>
      </w:r>
      <w:r>
        <w:rPr>
          <w:sz w:val="18"/>
          <w:szCs w:val="18"/>
        </w:rPr>
        <w:t xml:space="preserve"> of the biorefinery individually (left) and accumulated (right). The base case had and efficiency of 1.3%, the inclusion of wastes individually had a positive effect on the overall exergy of the process. Where the valorisation of the waste form the biocontrol agent process, increased the efficiency substantially up to 39%, alongside a reduction of nearly half the total irreversibilities. The wastes streams of that section had important streams with high mass flow with high exergy value, like solvents (ethanol) and solid residues. Meanwhile, the other processes had minor contributions both to increase the exergy and lowering the losses.</w:t>
      </w:r>
      <w:r w:rsidR="009E2E46">
        <w:rPr>
          <w:sz w:val="18"/>
          <w:szCs w:val="18"/>
        </w:rPr>
        <w:t xml:space="preserve"> Nonetheless, the accumulated contribution of all the reuse of these streams substantially increased </w:t>
      </w:r>
      <w:r w:rsidR="00A900E0">
        <w:rPr>
          <w:sz w:val="18"/>
          <w:szCs w:val="18"/>
        </w:rPr>
        <w:t>the efficiency of the process, achieving an efficiency of 52%, and a reduction of most than half of the losses of the base case.</w:t>
      </w:r>
    </w:p>
    <w:p w14:paraId="0FC91A9C" w14:textId="77777777" w:rsidR="00F30C87" w:rsidRDefault="00DF526A" w:rsidP="00F30C87">
      <w:pPr>
        <w:pStyle w:val="CETCaption"/>
        <w:spacing w:before="0" w:after="0"/>
        <w:rPr>
          <w:noProof/>
        </w:rPr>
      </w:pPr>
      <w:r>
        <w:rPr>
          <w:noProof/>
        </w:rPr>
        <w:drawing>
          <wp:inline distT="0" distB="0" distL="0" distR="0" wp14:anchorId="677BF64E" wp14:editId="6F1CE108">
            <wp:extent cx="2819400" cy="2468880"/>
            <wp:effectExtent l="0" t="0" r="0" b="7620"/>
            <wp:docPr id="1824737733" name="Chart 1">
              <a:extLst xmlns:a="http://schemas.openxmlformats.org/drawingml/2006/main">
                <a:ext uri="{FF2B5EF4-FFF2-40B4-BE49-F238E27FC236}">
                  <a16:creationId xmlns:a16="http://schemas.microsoft.com/office/drawing/2014/main" id="{5C1479F1-CC8F-BD8B-A259-ABE695A509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DF526A">
        <w:rPr>
          <w:noProof/>
        </w:rPr>
        <w:t xml:space="preserve"> </w:t>
      </w:r>
      <w:r>
        <w:rPr>
          <w:noProof/>
        </w:rPr>
        <w:drawing>
          <wp:inline distT="0" distB="0" distL="0" distR="0" wp14:anchorId="26D7394B" wp14:editId="18FFF5F9">
            <wp:extent cx="2621280" cy="2484120"/>
            <wp:effectExtent l="0" t="0" r="7620" b="11430"/>
            <wp:docPr id="1964762092" name="Chart 1">
              <a:extLst xmlns:a="http://schemas.openxmlformats.org/drawingml/2006/main">
                <a:ext uri="{FF2B5EF4-FFF2-40B4-BE49-F238E27FC236}">
                  <a16:creationId xmlns:a16="http://schemas.microsoft.com/office/drawing/2014/main" id="{2C66BA18-4EA1-0A11-4E84-12D6118D7B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D868ED0" w14:textId="030A9C9F" w:rsidR="00282954" w:rsidRDefault="00F30C87" w:rsidP="00F30C87">
      <w:pPr>
        <w:pStyle w:val="CETCaption"/>
        <w:spacing w:before="0"/>
        <w:rPr>
          <w:i w:val="0"/>
          <w:iCs/>
          <w:lang w:val="en-US"/>
        </w:rPr>
      </w:pPr>
      <w:r w:rsidRPr="00F8643E">
        <w:rPr>
          <w:b/>
          <w:bCs/>
          <w:i w:val="0"/>
          <w:iCs/>
          <w:noProof/>
        </w:rPr>
        <w:t>F</w:t>
      </w:r>
      <w:r w:rsidRPr="00F8643E">
        <w:rPr>
          <w:b/>
          <w:bCs/>
          <w:i w:val="0"/>
          <w:iCs/>
          <w:lang w:val="en-US" w:bidi="en-US"/>
        </w:rPr>
        <w:t>igure</w:t>
      </w:r>
      <w:r w:rsidR="00146519" w:rsidRPr="00F8643E">
        <w:rPr>
          <w:b/>
          <w:i w:val="0"/>
          <w:iCs/>
          <w:lang w:val="en-US" w:bidi="en-US"/>
        </w:rPr>
        <w:t xml:space="preserve"> 2.</w:t>
      </w:r>
      <w:r w:rsidR="00146519" w:rsidRPr="00F8643E">
        <w:rPr>
          <w:bCs/>
          <w:i w:val="0"/>
          <w:iCs/>
          <w:lang w:val="en-US" w:bidi="en-US"/>
        </w:rPr>
        <w:t xml:space="preserve"> </w:t>
      </w:r>
      <w:r w:rsidR="00282954" w:rsidRPr="00F8643E">
        <w:rPr>
          <w:bCs/>
          <w:i w:val="0"/>
          <w:iCs/>
          <w:lang w:val="en-US" w:bidi="en-US"/>
        </w:rPr>
        <w:t xml:space="preserve">Effect of waste stream reutilization on global exergy </w:t>
      </w:r>
      <w:r w:rsidR="00307A5E" w:rsidRPr="00F8643E">
        <w:rPr>
          <w:bCs/>
          <w:i w:val="0"/>
          <w:iCs/>
          <w:lang w:val="en-US" w:bidi="en-US"/>
        </w:rPr>
        <w:t>efficiency</w:t>
      </w:r>
      <w:r w:rsidR="00282954" w:rsidRPr="00F8643E">
        <w:rPr>
          <w:bCs/>
          <w:i w:val="0"/>
          <w:iCs/>
          <w:lang w:val="en-US" w:bidi="en-US"/>
        </w:rPr>
        <w:t xml:space="preserve"> </w:t>
      </w:r>
      <w:r w:rsidR="00F8643E" w:rsidRPr="00F8643E">
        <w:rPr>
          <w:i w:val="0"/>
          <w:iCs/>
          <w:lang w:val="en-US"/>
        </w:rPr>
        <w:t>of the Hass Avocado Waste Cascade Biorefinery.</w:t>
      </w:r>
    </w:p>
    <w:p w14:paraId="47EB7A8D" w14:textId="2FC9566E" w:rsidR="004924A8" w:rsidRDefault="00A900E0" w:rsidP="00EE230A">
      <w:pPr>
        <w:pStyle w:val="CETCaption"/>
        <w:spacing w:before="0"/>
        <w:rPr>
          <w:i w:val="0"/>
          <w:iCs/>
          <w:lang w:val="en-US"/>
        </w:rPr>
      </w:pPr>
      <w:r>
        <w:rPr>
          <w:i w:val="0"/>
          <w:iCs/>
          <w:lang w:val="en-US"/>
        </w:rPr>
        <w:lastRenderedPageBreak/>
        <w:t>F</w:t>
      </w:r>
      <w:r w:rsidRPr="00A900E0">
        <w:rPr>
          <w:i w:val="0"/>
          <w:iCs/>
        </w:rPr>
        <w:t xml:space="preserve">igure </w:t>
      </w:r>
      <w:r>
        <w:rPr>
          <w:i w:val="0"/>
          <w:iCs/>
        </w:rPr>
        <w:t xml:space="preserve">3 </w:t>
      </w:r>
      <w:r w:rsidRPr="00A900E0">
        <w:rPr>
          <w:i w:val="0"/>
          <w:iCs/>
        </w:rPr>
        <w:t xml:space="preserve">shows </w:t>
      </w:r>
      <w:r>
        <w:rPr>
          <w:i w:val="0"/>
          <w:iCs/>
        </w:rPr>
        <w:t xml:space="preserve">the effect of improving </w:t>
      </w:r>
      <w:r w:rsidRPr="00F8643E">
        <w:rPr>
          <w:bCs/>
          <w:i w:val="0"/>
          <w:lang w:val="en-US" w:bidi="en-US"/>
        </w:rPr>
        <w:t>local exergy efficiency of key stages on the global exergy efficiency</w:t>
      </w:r>
      <w:r w:rsidRPr="00F8643E">
        <w:rPr>
          <w:i w:val="0"/>
          <w:lang w:val="en-US"/>
        </w:rPr>
        <w:t xml:space="preserve"> of the </w:t>
      </w:r>
      <w:r>
        <w:rPr>
          <w:i w:val="0"/>
          <w:lang w:val="en-US"/>
        </w:rPr>
        <w:t>c</w:t>
      </w:r>
      <w:r w:rsidRPr="00F8643E">
        <w:rPr>
          <w:i w:val="0"/>
          <w:lang w:val="en-US"/>
        </w:rPr>
        <w:t xml:space="preserve">ascade </w:t>
      </w:r>
      <w:r>
        <w:rPr>
          <w:i w:val="0"/>
          <w:lang w:val="en-US"/>
        </w:rPr>
        <w:t>b</w:t>
      </w:r>
      <w:r w:rsidRPr="00F8643E">
        <w:rPr>
          <w:i w:val="0"/>
          <w:lang w:val="en-US"/>
        </w:rPr>
        <w:t>iorefinery</w:t>
      </w:r>
      <w:r>
        <w:rPr>
          <w:i w:val="0"/>
          <w:iCs/>
          <w:lang w:val="en-US"/>
        </w:rPr>
        <w:t xml:space="preserve">. Starch extraction and biocontrol agent production had the highest losses of exergy of the biorefinery. The improvement of the performance of both processes had positive effect on the overall process performance. For instance, an optimized starch extraction process could increase the efficiency of the process to 50% alone. Similarly, the bioagent control process had lower impact on the overall performance of the process, as it achieved 22% efficiency. </w:t>
      </w:r>
      <w:r w:rsidR="001B4A1C">
        <w:rPr>
          <w:i w:val="0"/>
          <w:iCs/>
          <w:lang w:val="en-US"/>
        </w:rPr>
        <w:t>consequently, improving both stages is required if a more efficient process is desired. H</w:t>
      </w:r>
      <w:r>
        <w:rPr>
          <w:i w:val="0"/>
          <w:iCs/>
          <w:lang w:val="en-US"/>
        </w:rPr>
        <w:t xml:space="preserve">owever, this implies </w:t>
      </w:r>
      <w:r w:rsidR="001B4A1C" w:rsidRPr="00A900E0">
        <w:rPr>
          <w:i w:val="0"/>
          <w:iCs/>
        </w:rPr>
        <w:t>dealing with unavoidable losses inherent to the stage’s characteristics</w:t>
      </w:r>
      <w:r w:rsidR="001B4A1C">
        <w:rPr>
          <w:i w:val="0"/>
          <w:iCs/>
          <w:lang w:val="en-US"/>
        </w:rPr>
        <w:t xml:space="preserve">, requiring </w:t>
      </w:r>
      <w:r>
        <w:rPr>
          <w:i w:val="0"/>
          <w:iCs/>
          <w:lang w:val="en-US"/>
        </w:rPr>
        <w:t xml:space="preserve">structural </w:t>
      </w:r>
      <w:r w:rsidR="001B4A1C">
        <w:rPr>
          <w:i w:val="0"/>
          <w:iCs/>
          <w:lang w:val="en-US"/>
        </w:rPr>
        <w:t xml:space="preserve">(often costly) </w:t>
      </w:r>
      <w:r>
        <w:rPr>
          <w:i w:val="0"/>
          <w:iCs/>
          <w:lang w:val="en-US"/>
        </w:rPr>
        <w:t>change</w:t>
      </w:r>
      <w:r w:rsidR="001B4A1C">
        <w:rPr>
          <w:i w:val="0"/>
          <w:iCs/>
          <w:lang w:val="en-US"/>
        </w:rPr>
        <w:t>s</w:t>
      </w:r>
      <w:r>
        <w:rPr>
          <w:i w:val="0"/>
          <w:iCs/>
          <w:lang w:val="en-US"/>
        </w:rPr>
        <w:t xml:space="preserve"> of the units present</w:t>
      </w:r>
      <w:r w:rsidR="001B4A1C">
        <w:rPr>
          <w:i w:val="0"/>
          <w:iCs/>
          <w:lang w:val="en-US"/>
        </w:rPr>
        <w:t xml:space="preserve"> in each process</w:t>
      </w:r>
      <w:r>
        <w:rPr>
          <w:i w:val="0"/>
          <w:iCs/>
          <w:lang w:val="en-US"/>
        </w:rPr>
        <w:t>, as unavoidable losses required to be suppressed.</w:t>
      </w:r>
    </w:p>
    <w:p w14:paraId="10A7E441" w14:textId="77777777" w:rsidR="00F30C87" w:rsidRDefault="00B172A5" w:rsidP="00F30C87">
      <w:pPr>
        <w:pStyle w:val="CETCaption"/>
        <w:spacing w:before="0" w:after="0"/>
        <w:rPr>
          <w:noProof/>
        </w:rPr>
      </w:pPr>
      <w:r>
        <w:rPr>
          <w:noProof/>
        </w:rPr>
        <w:drawing>
          <wp:inline distT="0" distB="0" distL="0" distR="0" wp14:anchorId="6A69CABC" wp14:editId="194BA39D">
            <wp:extent cx="2819400" cy="2099310"/>
            <wp:effectExtent l="0" t="0" r="0" b="15240"/>
            <wp:docPr id="1025380920" name="Chart 1">
              <a:extLst xmlns:a="http://schemas.openxmlformats.org/drawingml/2006/main">
                <a:ext uri="{FF2B5EF4-FFF2-40B4-BE49-F238E27FC236}">
                  <a16:creationId xmlns:a16="http://schemas.microsoft.com/office/drawing/2014/main" id="{21066135-0425-4CB7-EBC9-E58100BC3C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B172A5">
        <w:rPr>
          <w:noProof/>
        </w:rPr>
        <w:t xml:space="preserve"> </w:t>
      </w:r>
      <w:r>
        <w:rPr>
          <w:noProof/>
        </w:rPr>
        <w:drawing>
          <wp:inline distT="0" distB="0" distL="0" distR="0" wp14:anchorId="29A0669B" wp14:editId="29BEF355">
            <wp:extent cx="2705100" cy="2114550"/>
            <wp:effectExtent l="0" t="0" r="0" b="0"/>
            <wp:docPr id="1472049136" name="Chart 1">
              <a:extLst xmlns:a="http://schemas.openxmlformats.org/drawingml/2006/main">
                <a:ext uri="{FF2B5EF4-FFF2-40B4-BE49-F238E27FC236}">
                  <a16:creationId xmlns:a16="http://schemas.microsoft.com/office/drawing/2014/main" id="{9099BF9E-9B05-B3F6-B037-4500B16CA3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7C4559E" w14:textId="2908035D" w:rsidR="00282954" w:rsidRDefault="00146519" w:rsidP="00F8643E">
      <w:pPr>
        <w:pStyle w:val="CETCaption"/>
        <w:spacing w:before="0"/>
        <w:rPr>
          <w:bCs/>
          <w:i w:val="0"/>
          <w:lang w:val="en-US" w:bidi="en-US"/>
        </w:rPr>
      </w:pPr>
      <w:r w:rsidRPr="00F8643E">
        <w:rPr>
          <w:b/>
          <w:i w:val="0"/>
          <w:lang w:val="en-US" w:bidi="en-US"/>
        </w:rPr>
        <w:t>Figure 3.</w:t>
      </w:r>
      <w:r w:rsidRPr="00F8643E">
        <w:rPr>
          <w:bCs/>
          <w:i w:val="0"/>
          <w:lang w:val="en-US" w:bidi="en-US"/>
        </w:rPr>
        <w:t xml:space="preserve"> </w:t>
      </w:r>
      <w:r w:rsidR="00B172A5" w:rsidRPr="00F8643E">
        <w:rPr>
          <w:bCs/>
          <w:i w:val="0"/>
          <w:lang w:val="en-US" w:bidi="en-US"/>
        </w:rPr>
        <w:t xml:space="preserve">Effect of </w:t>
      </w:r>
      <w:r w:rsidR="00DA5456" w:rsidRPr="00F8643E">
        <w:rPr>
          <w:bCs/>
          <w:i w:val="0"/>
          <w:lang w:val="en-US" w:bidi="en-US"/>
        </w:rPr>
        <w:t xml:space="preserve">local exergy </w:t>
      </w:r>
      <w:r w:rsidR="00B172A5" w:rsidRPr="00F8643E">
        <w:rPr>
          <w:bCs/>
          <w:i w:val="0"/>
          <w:lang w:val="en-US" w:bidi="en-US"/>
        </w:rPr>
        <w:t xml:space="preserve">efficiency </w:t>
      </w:r>
      <w:r w:rsidR="00DA5456" w:rsidRPr="00F8643E">
        <w:rPr>
          <w:bCs/>
          <w:i w:val="0"/>
          <w:lang w:val="en-US" w:bidi="en-US"/>
        </w:rPr>
        <w:t xml:space="preserve">of key stages </w:t>
      </w:r>
      <w:r w:rsidR="00B172A5" w:rsidRPr="00F8643E">
        <w:rPr>
          <w:bCs/>
          <w:i w:val="0"/>
          <w:lang w:val="en-US" w:bidi="en-US"/>
        </w:rPr>
        <w:t>on the global exergy efficiency</w:t>
      </w:r>
      <w:r w:rsidR="00F8643E" w:rsidRPr="00F8643E">
        <w:rPr>
          <w:i w:val="0"/>
          <w:lang w:val="en-US"/>
        </w:rPr>
        <w:t xml:space="preserve"> </w:t>
      </w:r>
      <w:r w:rsidR="00F8643E" w:rsidRPr="00F8643E">
        <w:rPr>
          <w:i w:val="0"/>
          <w:lang w:val="en-US"/>
        </w:rPr>
        <w:t>of the Hass Avocado Waste Cascade Biorefinery</w:t>
      </w:r>
      <w:r w:rsidR="00B172A5" w:rsidRPr="00F8643E">
        <w:rPr>
          <w:bCs/>
          <w:i w:val="0"/>
          <w:lang w:val="en-US" w:bidi="en-US"/>
        </w:rPr>
        <w:t>.</w:t>
      </w:r>
    </w:p>
    <w:p w14:paraId="335C7E4E" w14:textId="5BA848FD" w:rsidR="001B4A1C" w:rsidRPr="001B4A1C" w:rsidRDefault="001B4A1C" w:rsidP="004924A8">
      <w:pPr>
        <w:spacing w:after="240"/>
        <w:rPr>
          <w:rFonts w:cs="Arial"/>
          <w:lang w:val="en-US"/>
        </w:rPr>
      </w:pPr>
      <w:r w:rsidRPr="001B4A1C">
        <w:rPr>
          <w:rFonts w:cs="Arial"/>
          <w:lang w:val="en-US"/>
        </w:rPr>
        <w:t xml:space="preserve">Figure </w:t>
      </w:r>
      <w:r w:rsidR="004924A8">
        <w:rPr>
          <w:rFonts w:cs="Arial"/>
          <w:lang w:val="en-US"/>
        </w:rPr>
        <w:t>4</w:t>
      </w:r>
      <w:r w:rsidRPr="001B4A1C">
        <w:rPr>
          <w:rFonts w:cs="Arial"/>
          <w:lang w:val="en-US"/>
        </w:rPr>
        <w:t xml:space="preserve"> shows </w:t>
      </w:r>
      <w:r>
        <w:rPr>
          <w:rFonts w:cs="Arial"/>
          <w:lang w:val="en-US"/>
        </w:rPr>
        <w:t xml:space="preserve">the </w:t>
      </w:r>
      <w:r w:rsidRPr="001B4A1C">
        <w:rPr>
          <w:bCs/>
          <w:lang w:val="en-US" w:bidi="en-US"/>
        </w:rPr>
        <w:t>potential effect of reduc</w:t>
      </w:r>
      <w:r>
        <w:rPr>
          <w:bCs/>
          <w:lang w:val="en-US" w:bidi="en-US"/>
        </w:rPr>
        <w:t xml:space="preserve">ing </w:t>
      </w:r>
      <w:r w:rsidRPr="001B4A1C">
        <w:rPr>
          <w:bCs/>
          <w:lang w:val="en-US" w:bidi="en-US"/>
        </w:rPr>
        <w:t xml:space="preserve">unavoidable exergy losses on the global exergy efficiency </w:t>
      </w:r>
      <w:r>
        <w:rPr>
          <w:lang w:val="en-US"/>
        </w:rPr>
        <w:t>of the biorefinery.</w:t>
      </w:r>
      <w:r w:rsidR="009F357E">
        <w:rPr>
          <w:bCs/>
          <w:lang w:val="en-US" w:bidi="en-US"/>
        </w:rPr>
        <w:t xml:space="preserve"> the </w:t>
      </w:r>
      <w:r w:rsidRPr="001B4A1C">
        <w:rPr>
          <w:rFonts w:cs="Arial"/>
          <w:lang w:val="en-US"/>
        </w:rPr>
        <w:t>reduc</w:t>
      </w:r>
      <w:r w:rsidR="009F357E">
        <w:rPr>
          <w:rFonts w:cs="Arial"/>
          <w:lang w:val="en-US"/>
        </w:rPr>
        <w:t>tion of</w:t>
      </w:r>
      <w:r w:rsidRPr="001B4A1C">
        <w:rPr>
          <w:rFonts w:cs="Arial"/>
          <w:lang w:val="en-US"/>
        </w:rPr>
        <w:t xml:space="preserve"> unavoidable losses </w:t>
      </w:r>
      <w:r w:rsidR="009F357E">
        <w:rPr>
          <w:rFonts w:cs="Arial"/>
          <w:lang w:val="en-US"/>
        </w:rPr>
        <w:t xml:space="preserve">improved substantially, </w:t>
      </w:r>
      <w:r w:rsidRPr="001B4A1C">
        <w:rPr>
          <w:rFonts w:cs="Arial"/>
          <w:lang w:val="en-US"/>
        </w:rPr>
        <w:t xml:space="preserve">the process performance, increasing efficiency from </w:t>
      </w:r>
      <w:r w:rsidR="00D82840">
        <w:rPr>
          <w:rFonts w:cs="Arial"/>
          <w:lang w:val="en-US"/>
        </w:rPr>
        <w:t>1.3</w:t>
      </w:r>
      <w:r w:rsidRPr="001B4A1C">
        <w:rPr>
          <w:rFonts w:cs="Arial"/>
          <w:lang w:val="en-US"/>
        </w:rPr>
        <w:t>% to 5</w:t>
      </w:r>
      <w:r w:rsidR="00D82840">
        <w:rPr>
          <w:rFonts w:cs="Arial"/>
          <w:lang w:val="en-US"/>
        </w:rPr>
        <w:t>0</w:t>
      </w:r>
      <w:r w:rsidRPr="001B4A1C">
        <w:rPr>
          <w:rFonts w:cs="Arial"/>
          <w:lang w:val="en-US"/>
        </w:rPr>
        <w:t xml:space="preserve">%, while simultaneously reducing irreversibilities to </w:t>
      </w:r>
      <w:r w:rsidR="00D82840">
        <w:rPr>
          <w:rFonts w:cs="Arial"/>
          <w:lang w:val="en-US"/>
        </w:rPr>
        <w:t>1</w:t>
      </w:r>
      <w:r w:rsidRPr="001B4A1C">
        <w:rPr>
          <w:rFonts w:cs="Arial"/>
          <w:lang w:val="en-US"/>
        </w:rPr>
        <w:t>00</w:t>
      </w:r>
      <w:r w:rsidR="00D82840">
        <w:rPr>
          <w:rFonts w:cs="Arial"/>
          <w:lang w:val="en-US"/>
        </w:rPr>
        <w:t>1</w:t>
      </w:r>
      <w:r w:rsidRPr="001B4A1C">
        <w:rPr>
          <w:rFonts w:cs="Arial"/>
          <w:lang w:val="en-US"/>
        </w:rPr>
        <w:t xml:space="preserve"> MJ/h</w:t>
      </w:r>
      <w:r w:rsidR="004F43BE">
        <w:rPr>
          <w:rFonts w:cs="Arial"/>
          <w:lang w:val="en-US"/>
        </w:rPr>
        <w:t xml:space="preserve"> (from almost 2000)</w:t>
      </w:r>
      <w:r w:rsidRPr="001B4A1C">
        <w:rPr>
          <w:rFonts w:cs="Arial"/>
          <w:lang w:val="en-US"/>
        </w:rPr>
        <w:t>.</w:t>
      </w:r>
      <w:r w:rsidR="004F43BE">
        <w:rPr>
          <w:rFonts w:cs="Arial"/>
          <w:lang w:val="en-US"/>
        </w:rPr>
        <w:t xml:space="preserve"> </w:t>
      </w:r>
      <w:r w:rsidRPr="001B4A1C">
        <w:rPr>
          <w:rFonts w:cs="Arial"/>
          <w:lang w:val="en-US"/>
        </w:rPr>
        <w:t xml:space="preserve">This improvement is significant compared to that achieved through waste reutilization, which reaches efficiencies close to </w:t>
      </w:r>
      <w:r w:rsidR="00D82840">
        <w:rPr>
          <w:rFonts w:cs="Arial"/>
          <w:lang w:val="en-US"/>
        </w:rPr>
        <w:t>52</w:t>
      </w:r>
      <w:r w:rsidRPr="001B4A1C">
        <w:rPr>
          <w:rFonts w:cs="Arial"/>
          <w:lang w:val="en-US"/>
        </w:rPr>
        <w:t xml:space="preserve">%, </w:t>
      </w:r>
      <w:r w:rsidR="004F43BE">
        <w:rPr>
          <w:rFonts w:cs="Arial"/>
          <w:lang w:val="en-US"/>
        </w:rPr>
        <w:t xml:space="preserve">there is a high volume of unavoidable losses, because of constant unoptimized heating and cooling of flows. The use of heat could improve the handling of heat load across the process. Although, it could be insufficient, as the nature of these losses is inherent to the configuration and condition of the processes. </w:t>
      </w:r>
      <w:r w:rsidRPr="001B4A1C">
        <w:rPr>
          <w:rFonts w:cs="Arial"/>
          <w:lang w:val="en-US"/>
        </w:rPr>
        <w:t>This may involve changes in flow rates, temperatures, or losses, and may even require altering the structure or configuration of the equipment within a stage, depending on how the process has been subdivided.</w:t>
      </w:r>
    </w:p>
    <w:p w14:paraId="65D9C57E" w14:textId="77777777" w:rsidR="00F30C87" w:rsidRDefault="00DA5456" w:rsidP="003A08FE">
      <w:pPr>
        <w:pStyle w:val="CETCaption"/>
        <w:spacing w:before="0" w:after="0"/>
        <w:jc w:val="left"/>
        <w:rPr>
          <w:rFonts w:eastAsia="Arial"/>
          <w:i w:val="0"/>
          <w:iCs/>
          <w:lang w:val="en-US"/>
        </w:rPr>
      </w:pPr>
      <w:r>
        <w:rPr>
          <w:noProof/>
        </w:rPr>
        <w:drawing>
          <wp:inline distT="0" distB="0" distL="0" distR="0" wp14:anchorId="3B40E567" wp14:editId="2BB7D2B5">
            <wp:extent cx="3817620" cy="2190750"/>
            <wp:effectExtent l="0" t="0" r="11430" b="0"/>
            <wp:docPr id="828462505" name="Chart 1">
              <a:extLst xmlns:a="http://schemas.openxmlformats.org/drawingml/2006/main">
                <a:ext uri="{FF2B5EF4-FFF2-40B4-BE49-F238E27FC236}">
                  <a16:creationId xmlns:a16="http://schemas.microsoft.com/office/drawing/2014/main" id="{F56076C9-D3F4-656F-22E6-FC18D6806F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A2E0F74" w14:textId="77777777" w:rsidR="00A944D6" w:rsidRDefault="00146519" w:rsidP="00A944D6">
      <w:pPr>
        <w:pStyle w:val="CETCaption"/>
        <w:spacing w:before="0"/>
        <w:jc w:val="left"/>
        <w:rPr>
          <w:bCs/>
          <w:i w:val="0"/>
          <w:lang w:val="en-US" w:bidi="en-US"/>
        </w:rPr>
      </w:pPr>
      <w:r w:rsidRPr="00F8643E">
        <w:rPr>
          <w:b/>
          <w:i w:val="0"/>
          <w:lang w:val="en-US" w:bidi="en-US"/>
        </w:rPr>
        <w:t>Figure 4.</w:t>
      </w:r>
      <w:r w:rsidRPr="00F8643E">
        <w:rPr>
          <w:bCs/>
          <w:i w:val="0"/>
          <w:lang w:val="en-US" w:bidi="en-US"/>
        </w:rPr>
        <w:t xml:space="preserve"> </w:t>
      </w:r>
      <w:r w:rsidR="00DA5456" w:rsidRPr="00F8643E">
        <w:rPr>
          <w:bCs/>
          <w:i w:val="0"/>
          <w:lang w:val="en-US" w:bidi="en-US"/>
        </w:rPr>
        <w:t>Effect of potential unavoidable exergy losses reduction on the global exergy efficiency</w:t>
      </w:r>
      <w:r w:rsidR="00F8643E" w:rsidRPr="00F8643E">
        <w:rPr>
          <w:bCs/>
          <w:i w:val="0"/>
          <w:lang w:val="en-US" w:bidi="en-US"/>
        </w:rPr>
        <w:t xml:space="preserve"> </w:t>
      </w:r>
      <w:r w:rsidR="00F8643E" w:rsidRPr="00F8643E">
        <w:rPr>
          <w:i w:val="0"/>
          <w:lang w:val="en-US"/>
        </w:rPr>
        <w:t>of the Hass Avocado Waste Cascade Biorefinery</w:t>
      </w:r>
      <w:r w:rsidR="00A944D6">
        <w:rPr>
          <w:bCs/>
          <w:i w:val="0"/>
          <w:lang w:val="en-US" w:bidi="en-US"/>
        </w:rPr>
        <w:t>.</w:t>
      </w:r>
    </w:p>
    <w:p w14:paraId="2CBD2A9C" w14:textId="0107900E" w:rsidR="00B7194E" w:rsidRPr="00A944D6" w:rsidRDefault="00414891" w:rsidP="00A944D6">
      <w:pPr>
        <w:pStyle w:val="CETCaption"/>
        <w:spacing w:before="0"/>
        <w:rPr>
          <w:bCs/>
          <w:i w:val="0"/>
          <w:lang w:val="en-US" w:bidi="en-US"/>
        </w:rPr>
      </w:pPr>
      <w:r>
        <w:rPr>
          <w:bCs/>
          <w:i w:val="0"/>
          <w:lang w:bidi="en-US"/>
        </w:rPr>
        <w:t xml:space="preserve">Figure 5 </w:t>
      </w:r>
      <w:r w:rsidR="00C86306" w:rsidRPr="00C86306">
        <w:rPr>
          <w:bCs/>
          <w:i w:val="0"/>
          <w:lang w:bidi="en-US"/>
        </w:rPr>
        <w:t>show</w:t>
      </w:r>
      <w:r>
        <w:rPr>
          <w:bCs/>
          <w:i w:val="0"/>
          <w:lang w:bidi="en-US"/>
        </w:rPr>
        <w:t xml:space="preserve">cases the effect of exergy output accumulation </w:t>
      </w:r>
      <w:r w:rsidR="00BB06E3">
        <w:rPr>
          <w:bCs/>
          <w:i w:val="0"/>
          <w:lang w:bidi="en-US"/>
        </w:rPr>
        <w:t xml:space="preserve">on the global exergy efficiency and the relative exergy destruction. As expected, </w:t>
      </w:r>
      <w:r w:rsidR="00C86306" w:rsidRPr="00C86306">
        <w:rPr>
          <w:bCs/>
          <w:i w:val="0"/>
          <w:lang w:bidi="en-US"/>
        </w:rPr>
        <w:t>opposite but consistent trends</w:t>
      </w:r>
      <w:r w:rsidR="00BB06E3">
        <w:rPr>
          <w:bCs/>
          <w:i w:val="0"/>
          <w:lang w:bidi="en-US"/>
        </w:rPr>
        <w:t xml:space="preserve"> happened</w:t>
      </w:r>
      <w:r w:rsidR="00C86306" w:rsidRPr="00C86306">
        <w:rPr>
          <w:bCs/>
          <w:i w:val="0"/>
          <w:lang w:bidi="en-US"/>
        </w:rPr>
        <w:t>: as output exergy increases</w:t>
      </w:r>
      <w:r w:rsidR="00BB06E3">
        <w:rPr>
          <w:bCs/>
          <w:i w:val="0"/>
          <w:lang w:bidi="en-US"/>
        </w:rPr>
        <w:t xml:space="preserve">, both </w:t>
      </w:r>
      <w:r w:rsidR="00BB06E3">
        <w:rPr>
          <w:bCs/>
          <w:i w:val="0"/>
          <w:lang w:bidi="en-US"/>
        </w:rPr>
        <w:lastRenderedPageBreak/>
        <w:t xml:space="preserve">the </w:t>
      </w:r>
      <w:r w:rsidR="00C86306" w:rsidRPr="00C86306">
        <w:rPr>
          <w:bCs/>
          <w:i w:val="0"/>
          <w:lang w:bidi="en-US"/>
        </w:rPr>
        <w:t xml:space="preserve">global exergy efficiency rises </w:t>
      </w:r>
      <w:r w:rsidR="00BB06E3">
        <w:rPr>
          <w:bCs/>
          <w:i w:val="0"/>
          <w:lang w:bidi="en-US"/>
        </w:rPr>
        <w:t xml:space="preserve">strongly </w:t>
      </w:r>
      <w:r w:rsidR="00C86306" w:rsidRPr="00C86306">
        <w:rPr>
          <w:bCs/>
          <w:i w:val="0"/>
          <w:lang w:bidi="en-US"/>
        </w:rPr>
        <w:t xml:space="preserve">while relative exergy losses decrease significantly. </w:t>
      </w:r>
      <w:r w:rsidR="00BB06E3">
        <w:rPr>
          <w:bCs/>
          <w:i w:val="0"/>
          <w:lang w:bidi="en-US"/>
        </w:rPr>
        <w:t xml:space="preserve">The initial changes of the assessed variables are low as waste from stages are low (seed conditioning, starch extraction, biofilm production), maintaining a </w:t>
      </w:r>
      <w:r w:rsidR="00C86306" w:rsidRPr="00C86306">
        <w:rPr>
          <w:bCs/>
          <w:i w:val="0"/>
          <w:lang w:bidi="en-US"/>
        </w:rPr>
        <w:t>poor performance</w:t>
      </w:r>
      <w:r w:rsidR="00BB06E3">
        <w:rPr>
          <w:bCs/>
          <w:i w:val="0"/>
          <w:lang w:bidi="en-US"/>
        </w:rPr>
        <w:t xml:space="preserve"> with </w:t>
      </w:r>
      <w:r w:rsidR="00C86306" w:rsidRPr="00C86306">
        <w:rPr>
          <w:bCs/>
          <w:i w:val="0"/>
          <w:lang w:bidi="en-US"/>
        </w:rPr>
        <w:t xml:space="preserve">low efficiency and </w:t>
      </w:r>
      <w:r w:rsidR="00BB06E3">
        <w:rPr>
          <w:bCs/>
          <w:i w:val="0"/>
          <w:lang w:bidi="en-US"/>
        </w:rPr>
        <w:t xml:space="preserve">high relative </w:t>
      </w:r>
      <w:r w:rsidR="00C86306" w:rsidRPr="00C86306">
        <w:rPr>
          <w:bCs/>
          <w:i w:val="0"/>
          <w:lang w:bidi="en-US"/>
        </w:rPr>
        <w:t>losses close to 100</w:t>
      </w:r>
      <w:r w:rsidR="00BB06E3">
        <w:rPr>
          <w:bCs/>
          <w:i w:val="0"/>
          <w:lang w:bidi="en-US"/>
        </w:rPr>
        <w:t>%</w:t>
      </w:r>
      <w:r w:rsidR="00C86306" w:rsidRPr="00C86306">
        <w:rPr>
          <w:bCs/>
          <w:i w:val="0"/>
          <w:lang w:bidi="en-US"/>
        </w:rPr>
        <w:t>.</w:t>
      </w:r>
      <w:r w:rsidR="00A944D6">
        <w:rPr>
          <w:bCs/>
          <w:i w:val="0"/>
          <w:lang w:bidi="en-US"/>
        </w:rPr>
        <w:t xml:space="preserve"> </w:t>
      </w:r>
      <w:r w:rsidR="00C86306" w:rsidRPr="00C86306">
        <w:rPr>
          <w:bCs/>
          <w:i w:val="0"/>
          <w:lang w:bidi="en-US"/>
        </w:rPr>
        <w:t>However, both curves change rapidly—efficiency increases steeply and losses drop considerably. This indicates that recovering additional exergy, likely from high-quality waste streams</w:t>
      </w:r>
      <w:r w:rsidR="00BB06E3">
        <w:rPr>
          <w:bCs/>
          <w:i w:val="0"/>
          <w:lang w:bidi="en-US"/>
        </w:rPr>
        <w:t xml:space="preserve"> (bioagent production waste streams)</w:t>
      </w:r>
      <w:r w:rsidR="00A944D6">
        <w:rPr>
          <w:bCs/>
          <w:i w:val="0"/>
          <w:lang w:bidi="en-US"/>
        </w:rPr>
        <w:t>. T</w:t>
      </w:r>
      <w:r w:rsidR="00C86306" w:rsidRPr="00C86306">
        <w:rPr>
          <w:bCs/>
          <w:i w:val="0"/>
          <w:lang w:bidi="en-US"/>
        </w:rPr>
        <w:t>he process transitions from a highly irreversible regime to a more efficient one, highlighting that improving the utilization of available exergy—especially from key stages—can lead to substantial global gains</w:t>
      </w:r>
      <w:r w:rsidR="0028071C">
        <w:rPr>
          <w:bCs/>
          <w:i w:val="0"/>
          <w:iCs/>
          <w:lang w:bidi="en-US"/>
        </w:rPr>
        <w:t>.</w:t>
      </w:r>
      <w:r w:rsidR="00BB06E3" w:rsidRPr="00C86306">
        <w:rPr>
          <w:bCs/>
          <w:i w:val="0"/>
          <w:iCs/>
          <w:lang w:bidi="en-US"/>
        </w:rPr>
        <w:t xml:space="preserve"> </w:t>
      </w:r>
      <w:r w:rsidR="00F617AF">
        <w:rPr>
          <w:bCs/>
          <w:i w:val="0"/>
          <w:iCs/>
          <w:lang w:bidi="en-US"/>
        </w:rPr>
        <w:t xml:space="preserve">Nonetheless, the process reached its ceiling, as </w:t>
      </w:r>
      <w:r w:rsidR="00F617AF" w:rsidRPr="00B7194E">
        <w:rPr>
          <w:bCs/>
          <w:i w:val="0"/>
          <w:iCs/>
          <w:lang w:val="en-US" w:bidi="en-US"/>
        </w:rPr>
        <w:t xml:space="preserve">the system </w:t>
      </w:r>
      <w:r w:rsidR="00F617AF">
        <w:rPr>
          <w:bCs/>
          <w:i w:val="0"/>
          <w:iCs/>
          <w:lang w:val="en-US" w:bidi="en-US"/>
        </w:rPr>
        <w:t xml:space="preserve">gets </w:t>
      </w:r>
      <w:r w:rsidR="00F617AF" w:rsidRPr="00B7194E">
        <w:rPr>
          <w:bCs/>
          <w:i w:val="0"/>
          <w:iCs/>
          <w:lang w:val="en-US" w:bidi="en-US"/>
        </w:rPr>
        <w:t>closer to the practical thermodynamic limit determined by unavoidable losses</w:t>
      </w:r>
      <w:r w:rsidR="00F617AF">
        <w:rPr>
          <w:bCs/>
          <w:i w:val="0"/>
          <w:iCs/>
          <w:lang w:val="en-US" w:bidi="en-US"/>
        </w:rPr>
        <w:t xml:space="preserve"> (efficiency of 50%)</w:t>
      </w:r>
      <w:r w:rsidR="00A944D6">
        <w:rPr>
          <w:bCs/>
          <w:i w:val="0"/>
          <w:iCs/>
          <w:lang w:val="en-US" w:bidi="en-US"/>
        </w:rPr>
        <w:t>.</w:t>
      </w:r>
    </w:p>
    <w:p w14:paraId="48B2ED79" w14:textId="71A50AB3" w:rsidR="003A08FE" w:rsidRPr="00CD2146" w:rsidRDefault="003A08FE" w:rsidP="00CD2146">
      <w:pPr>
        <w:pStyle w:val="CETCaption"/>
        <w:spacing w:before="0" w:after="0"/>
        <w:jc w:val="left"/>
        <w:rPr>
          <w:bCs/>
          <w:i w:val="0"/>
          <w:lang w:val="en-US" w:bidi="en-US"/>
        </w:rPr>
      </w:pPr>
      <w:r>
        <w:rPr>
          <w:noProof/>
        </w:rPr>
        <w:drawing>
          <wp:inline distT="0" distB="0" distL="0" distR="0" wp14:anchorId="5C409D11" wp14:editId="6F2B5147">
            <wp:extent cx="2979420" cy="1783080"/>
            <wp:effectExtent l="0" t="0" r="11430" b="7620"/>
            <wp:docPr id="909778904" name="Chart 1">
              <a:extLst xmlns:a="http://schemas.openxmlformats.org/drawingml/2006/main">
                <a:ext uri="{FF2B5EF4-FFF2-40B4-BE49-F238E27FC236}">
                  <a16:creationId xmlns:a16="http://schemas.microsoft.com/office/drawing/2014/main" id="{469FFE19-1896-B2F7-70F3-CE57C68547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3A08FE">
        <w:rPr>
          <w:noProof/>
        </w:rPr>
        <w:t xml:space="preserve"> </w:t>
      </w:r>
      <w:r>
        <w:rPr>
          <w:noProof/>
        </w:rPr>
        <w:drawing>
          <wp:inline distT="0" distB="0" distL="0" distR="0" wp14:anchorId="24D30A7F" wp14:editId="0358A622">
            <wp:extent cx="2552700" cy="1783080"/>
            <wp:effectExtent l="0" t="0" r="0" b="7620"/>
            <wp:docPr id="1745496774" name="Chart 1">
              <a:extLst xmlns:a="http://schemas.openxmlformats.org/drawingml/2006/main">
                <a:ext uri="{FF2B5EF4-FFF2-40B4-BE49-F238E27FC236}">
                  <a16:creationId xmlns:a16="http://schemas.microsoft.com/office/drawing/2014/main" id="{9125C982-1529-4E22-BA6D-01A5F9EBD9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19E7CE" w14:textId="77777777" w:rsidR="00A944D6" w:rsidRDefault="00146519" w:rsidP="00A944D6">
      <w:pPr>
        <w:pStyle w:val="CETCaption"/>
        <w:spacing w:before="0"/>
        <w:rPr>
          <w:i w:val="0"/>
          <w:lang w:val="en-US"/>
        </w:rPr>
      </w:pPr>
      <w:r w:rsidRPr="00F8643E">
        <w:rPr>
          <w:b/>
          <w:i w:val="0"/>
          <w:lang w:val="en-US" w:bidi="en-US"/>
        </w:rPr>
        <w:t>Figure 5.</w:t>
      </w:r>
      <w:r w:rsidRPr="00F8643E">
        <w:rPr>
          <w:bCs/>
          <w:i w:val="0"/>
          <w:lang w:val="en-US" w:bidi="en-US"/>
        </w:rPr>
        <w:t xml:space="preserve"> </w:t>
      </w:r>
      <w:r w:rsidR="00282954" w:rsidRPr="00F8643E">
        <w:rPr>
          <w:bCs/>
          <w:i w:val="0"/>
          <w:lang w:val="en-US" w:bidi="en-US"/>
        </w:rPr>
        <w:t xml:space="preserve">Effect of the accumulated output exergy on </w:t>
      </w:r>
      <w:r w:rsidR="00DA5456" w:rsidRPr="00F8643E">
        <w:rPr>
          <w:bCs/>
          <w:i w:val="0"/>
          <w:lang w:val="en-US" w:bidi="en-US"/>
        </w:rPr>
        <w:t>global</w:t>
      </w:r>
      <w:r w:rsidR="00282954" w:rsidRPr="00F8643E">
        <w:rPr>
          <w:bCs/>
          <w:i w:val="0"/>
          <w:lang w:val="en-US" w:bidi="en-US"/>
        </w:rPr>
        <w:t xml:space="preserve"> efficiency</w:t>
      </w:r>
      <w:r w:rsidR="00DA5456" w:rsidRPr="00F8643E">
        <w:rPr>
          <w:bCs/>
          <w:i w:val="0"/>
          <w:lang w:val="en-US" w:bidi="en-US"/>
        </w:rPr>
        <w:t xml:space="preserve"> and total irreversibilities</w:t>
      </w:r>
      <w:r w:rsidR="00F8643E" w:rsidRPr="00F8643E">
        <w:rPr>
          <w:bCs/>
          <w:i w:val="0"/>
          <w:lang w:val="en-US" w:bidi="en-US"/>
        </w:rPr>
        <w:t xml:space="preserve"> </w:t>
      </w:r>
      <w:r w:rsidR="00F8643E" w:rsidRPr="00F8643E">
        <w:rPr>
          <w:i w:val="0"/>
          <w:lang w:val="en-US"/>
        </w:rPr>
        <w:t>of the Hass Avocado Waste Cascade Biorefinery.</w:t>
      </w:r>
    </w:p>
    <w:p w14:paraId="2D40823D" w14:textId="585CBC20" w:rsidR="00A944D6" w:rsidRPr="00A944D6" w:rsidRDefault="00A944D6" w:rsidP="00FF6A32">
      <w:pPr>
        <w:pStyle w:val="CETCaption"/>
        <w:spacing w:before="0"/>
        <w:rPr>
          <w:i w:val="0"/>
          <w:lang w:val="en-US"/>
        </w:rPr>
      </w:pPr>
      <w:r>
        <w:rPr>
          <w:i w:val="0"/>
          <w:lang w:val="en-US"/>
        </w:rPr>
        <w:t xml:space="preserve">Overall, </w:t>
      </w:r>
      <w:r w:rsidR="00030867">
        <w:rPr>
          <w:i w:val="0"/>
          <w:lang w:val="en-US"/>
        </w:rPr>
        <w:t xml:space="preserve">these </w:t>
      </w:r>
      <w:r w:rsidRPr="00C86306">
        <w:rPr>
          <w:bCs/>
          <w:i w:val="0"/>
          <w:iCs/>
          <w:lang w:bidi="en-US"/>
        </w:rPr>
        <w:t>results indicate</w:t>
      </w:r>
      <w:r>
        <w:rPr>
          <w:bCs/>
          <w:i w:val="0"/>
          <w:iCs/>
          <w:lang w:bidi="en-US"/>
        </w:rPr>
        <w:t>d</w:t>
      </w:r>
      <w:r w:rsidRPr="00C86306">
        <w:rPr>
          <w:bCs/>
          <w:i w:val="0"/>
          <w:iCs/>
          <w:lang w:bidi="en-US"/>
        </w:rPr>
        <w:t xml:space="preserve"> that the process initially operates in a regime dominated by high irreversibilities and poor exergy utilization</w:t>
      </w:r>
      <w:r>
        <w:rPr>
          <w:bCs/>
          <w:i w:val="0"/>
          <w:iCs/>
          <w:lang w:bidi="en-US"/>
        </w:rPr>
        <w:t xml:space="preserve">, highlighting </w:t>
      </w:r>
      <w:r w:rsidRPr="00C86306">
        <w:rPr>
          <w:bCs/>
          <w:i w:val="0"/>
          <w:iCs/>
          <w:lang w:bidi="en-US"/>
        </w:rPr>
        <w:t>the importance of targeting specific stages with significant exergy destruction or waste generation, as improvements in these areas can produce substantial global benefits.</w:t>
      </w:r>
      <w:r>
        <w:rPr>
          <w:bCs/>
          <w:i w:val="0"/>
          <w:iCs/>
          <w:lang w:bidi="en-US"/>
        </w:rPr>
        <w:t xml:space="preserve"> These improve can be done through process integration techniques, like heat and mass integration procedures</w:t>
      </w:r>
      <w:r w:rsidR="00AB6B59">
        <w:rPr>
          <w:bCs/>
          <w:i w:val="0"/>
          <w:iCs/>
          <w:lang w:bidi="en-US"/>
        </w:rPr>
        <w:t xml:space="preserve"> </w:t>
      </w:r>
      <w:r w:rsidR="00AB6B59">
        <w:rPr>
          <w:bCs/>
          <w:i w:val="0"/>
          <w:iCs/>
          <w:lang w:bidi="en-US"/>
        </w:rPr>
        <w:fldChar w:fldCharType="begin" w:fldLock="1"/>
      </w:r>
      <w:r w:rsidR="00AB6B59">
        <w:rPr>
          <w:bCs/>
          <w:i w:val="0"/>
          <w:iCs/>
          <w:lang w:bidi="en-US"/>
        </w:rPr>
        <w:instrText>ADDIN CSL_CITATION {"citationItems":[{"id":"ITEM-1","itemData":{"DOI":"10.1177/0958305X17715767","ISSN":"20484070","abstract":"Heat integration techniques are now widely used for energy saving in petroleum processes. In this paper, an industrial hydrocracking process (UOP license) is retrofitted by pinch analysis as a significant tool for heat integration. The hydrocracking process is a main important conversion process in oil refineries and there has been sustained effort to improve its energy efficiency. Application of pinch analysis in retrofit of this process shows the heat exchanger network is operated efficiently. However, a large amount of energy is wasted from the hydrocracking unit, which their condition make no of use directly by the process during pinch analysis. Actually, most of the refining petroleum processes use considerably more energy than the operational minimum energy requirements because of their energy losses. These external energy losses are due to many factors, including normally inefficient or outdated equipment and process design, inadequate heat recovery, and poor integration of heat sources and sinks. However, without identifying the quality of the energy losses, it is difficult to determine how much of that energy is feasible to recover under realistic plant operating conditions. This is where exergy analysis can significantly assist in determining energy recovery opportunities. Thus, this paper is addressed to researchers who are assessing the quality of energy wasted in hydrocracking process, by using the principles of both pinch and exergy analysis. Based on the result obtained, the flue gas exhaust and the high pressure drop in reaction section can be considered as the exergy loss sources in this process. Moreover, the portion of waste energy that can be practically recovered is quantified.","author":[{"dropping-particle":"","family":"Goodarzvand-Chegini","given":"Fatemeh","non-dropping-particle":"","parse-names":false,"suffix":""},{"dropping-particle":"","family":"GhasemiKafrudi","given":"Esmaeil","non-dropping-particle":"","parse-names":false,"suffix":""}],"container-title":"Energy and Environment","id":"ITEM-1","issue":"5-6","issued":{"date-parts":[["2017"]]},"page":"564-579","title":"Application of exergy analysis to improve the heat integration efficiency in a hydrocracking process","type":"article-journal","volume":"28"},"uris":["http://www.mendeley.com/documents/?uuid=96583d17-fdbd-4ebb-babb-7f1a9f55aace"]}],"mendeley":{"formattedCitation":"(11)","plainTextFormattedCitation":"(11)","previouslyFormattedCitation":"(Goodarzvand-Chegini &amp; GhasemiKafrudi, 2017)"},"properties":{"noteIndex":0},"schema":"https://github.com/citation-style-language/schema/raw/master/csl-citation.json"}</w:instrText>
      </w:r>
      <w:r w:rsidR="00AB6B59">
        <w:rPr>
          <w:bCs/>
          <w:i w:val="0"/>
          <w:iCs/>
          <w:lang w:bidi="en-US"/>
        </w:rPr>
        <w:fldChar w:fldCharType="separate"/>
      </w:r>
      <w:r w:rsidR="00AB6B59" w:rsidRPr="00AB6B59">
        <w:rPr>
          <w:bCs/>
          <w:i w:val="0"/>
          <w:iCs/>
          <w:noProof/>
          <w:lang w:bidi="en-US"/>
        </w:rPr>
        <w:t>(11)</w:t>
      </w:r>
      <w:r w:rsidR="00AB6B59">
        <w:rPr>
          <w:bCs/>
          <w:i w:val="0"/>
          <w:iCs/>
          <w:lang w:bidi="en-US"/>
        </w:rPr>
        <w:fldChar w:fldCharType="end"/>
      </w:r>
      <w:r>
        <w:rPr>
          <w:bCs/>
          <w:i w:val="0"/>
          <w:iCs/>
          <w:lang w:bidi="en-US"/>
        </w:rPr>
        <w:t xml:space="preserve">, </w:t>
      </w:r>
      <w:r w:rsidR="00030867">
        <w:rPr>
          <w:bCs/>
          <w:i w:val="0"/>
          <w:iCs/>
          <w:lang w:bidi="en-US"/>
        </w:rPr>
        <w:t>considering</w:t>
      </w:r>
      <w:r>
        <w:rPr>
          <w:bCs/>
          <w:i w:val="0"/>
          <w:iCs/>
          <w:lang w:bidi="en-US"/>
        </w:rPr>
        <w:t xml:space="preserve"> stages like bioagent control and biofilm production.</w:t>
      </w:r>
    </w:p>
    <w:p w14:paraId="4D3A3446" w14:textId="1A264E0F" w:rsidR="005F29D3" w:rsidRDefault="00000000" w:rsidP="006A1B30">
      <w:pPr>
        <w:pStyle w:val="CETHeading1"/>
        <w:numPr>
          <w:ilvl w:val="0"/>
          <w:numId w:val="15"/>
        </w:numPr>
        <w:rPr>
          <w:rFonts w:eastAsia="Arial"/>
        </w:rPr>
      </w:pPr>
      <w:r>
        <w:rPr>
          <w:rFonts w:eastAsia="Arial"/>
        </w:rPr>
        <w:t>Conclusions</w:t>
      </w:r>
    </w:p>
    <w:p w14:paraId="20E0D732" w14:textId="1D0A9156" w:rsidR="003A3A28" w:rsidRPr="003A3A28" w:rsidRDefault="003A3A28" w:rsidP="003A3A28">
      <w:pPr>
        <w:pStyle w:val="CETBodytext"/>
        <w:rPr>
          <w:rFonts w:eastAsia="Arial"/>
          <w:lang w:val="en-GB"/>
        </w:rPr>
      </w:pPr>
      <w:r>
        <w:rPr>
          <w:rFonts w:eastAsia="Arial"/>
          <w:lang w:val="en-GB"/>
        </w:rPr>
        <w:t xml:space="preserve">In this study an exergy resilience sensibility analysis is carried out for a cascade biorefinery for avocado hard waste. Several scenarios based on the biorefinery performance were </w:t>
      </w:r>
      <w:r w:rsidR="00024B89">
        <w:rPr>
          <w:rFonts w:eastAsia="Arial"/>
          <w:lang w:val="en-GB"/>
        </w:rPr>
        <w:t>analysed</w:t>
      </w:r>
      <w:r>
        <w:rPr>
          <w:rFonts w:eastAsia="Arial"/>
          <w:lang w:val="en-GB"/>
        </w:rPr>
        <w:t xml:space="preserve">. The results showcased that </w:t>
      </w:r>
      <w:r w:rsidRPr="003A3A28">
        <w:rPr>
          <w:rFonts w:eastAsia="Arial"/>
          <w:lang w:val="en-GB"/>
        </w:rPr>
        <w:t xml:space="preserve">the global exergy performance of the cascade biorefinery is highly sensitive to both waste </w:t>
      </w:r>
      <w:r w:rsidRPr="003A3A28">
        <w:rPr>
          <w:rFonts w:eastAsia="Arial"/>
          <w:lang w:val="en-GB"/>
        </w:rPr>
        <w:t>valorisation</w:t>
      </w:r>
      <w:r w:rsidRPr="003A3A28">
        <w:rPr>
          <w:rFonts w:eastAsia="Arial"/>
          <w:lang w:val="en-GB"/>
        </w:rPr>
        <w:t xml:space="preserve"> strategies and local stage improvements</w:t>
      </w:r>
      <w:r>
        <w:rPr>
          <w:rFonts w:eastAsia="Arial"/>
          <w:lang w:val="en-GB"/>
        </w:rPr>
        <w:t xml:space="preserve">. Firstly, </w:t>
      </w:r>
      <w:r w:rsidRPr="003A3A28">
        <w:rPr>
          <w:rFonts w:eastAsia="Arial"/>
          <w:lang w:val="en-GB"/>
        </w:rPr>
        <w:t xml:space="preserve">the </w:t>
      </w:r>
      <w:r w:rsidRPr="003A3A28">
        <w:rPr>
          <w:rFonts w:eastAsia="Arial"/>
          <w:lang w:val="en-GB"/>
        </w:rPr>
        <w:t>valorisation</w:t>
      </w:r>
      <w:r w:rsidRPr="003A3A28">
        <w:rPr>
          <w:rFonts w:eastAsia="Arial"/>
          <w:lang w:val="en-GB"/>
        </w:rPr>
        <w:t xml:space="preserve"> of waste streams, </w:t>
      </w:r>
      <w:r w:rsidRPr="003A3A28">
        <w:rPr>
          <w:rFonts w:eastAsia="Arial"/>
          <w:lang w:val="en-GB"/>
        </w:rPr>
        <w:t xml:space="preserve">positively impacted the process efficiency, </w:t>
      </w:r>
      <w:r w:rsidRPr="003A3A28">
        <w:rPr>
          <w:rFonts w:eastAsia="Arial"/>
          <w:lang w:val="en-GB"/>
        </w:rPr>
        <w:t xml:space="preserve">reaching 39% efficiency for individual stream reuse </w:t>
      </w:r>
      <w:r>
        <w:rPr>
          <w:rFonts w:eastAsia="Arial"/>
          <w:lang w:val="en-GB"/>
        </w:rPr>
        <w:t>(</w:t>
      </w:r>
      <w:r w:rsidRPr="003A3A28">
        <w:rPr>
          <w:rFonts w:eastAsia="Arial"/>
          <w:lang w:val="en-GB"/>
        </w:rPr>
        <w:t>biocontrol agent production stage</w:t>
      </w:r>
      <w:r>
        <w:rPr>
          <w:rFonts w:eastAsia="Arial"/>
          <w:lang w:val="en-GB"/>
        </w:rPr>
        <w:t>)</w:t>
      </w:r>
      <w:r w:rsidRPr="003A3A28">
        <w:rPr>
          <w:rFonts w:eastAsia="Arial"/>
          <w:lang w:val="en-GB"/>
        </w:rPr>
        <w:t xml:space="preserve"> </w:t>
      </w:r>
      <w:r w:rsidRPr="003A3A28">
        <w:rPr>
          <w:rFonts w:eastAsia="Arial"/>
          <w:lang w:val="en-GB"/>
        </w:rPr>
        <w:t>and up to 52% when all wastes are integrated</w:t>
      </w:r>
      <w:r w:rsidRPr="003A3A28">
        <w:rPr>
          <w:rFonts w:eastAsia="Arial"/>
          <w:lang w:val="en-GB"/>
        </w:rPr>
        <w:t xml:space="preserve"> (all waste streams)</w:t>
      </w:r>
      <w:r>
        <w:rPr>
          <w:rFonts w:eastAsia="Arial"/>
          <w:lang w:val="en-GB"/>
        </w:rPr>
        <w:t xml:space="preserve">, while </w:t>
      </w:r>
      <w:r w:rsidRPr="003A3A28">
        <w:rPr>
          <w:rFonts w:eastAsia="Arial"/>
          <w:lang w:val="en-GB"/>
        </w:rPr>
        <w:t>nearly halving total irreversibilities.</w:t>
      </w:r>
      <w:r>
        <w:rPr>
          <w:rFonts w:eastAsia="Arial"/>
          <w:lang w:val="en-GB"/>
        </w:rPr>
        <w:t xml:space="preserve"> On the other hand</w:t>
      </w:r>
      <w:r w:rsidR="00E0457C">
        <w:rPr>
          <w:rFonts w:eastAsia="Arial"/>
          <w:lang w:val="en-GB"/>
        </w:rPr>
        <w:t xml:space="preserve">, </w:t>
      </w:r>
      <w:r w:rsidRPr="003A3A28">
        <w:rPr>
          <w:rFonts w:eastAsia="Arial"/>
          <w:lang w:val="en-GB"/>
        </w:rPr>
        <w:t>local exergy efficiency of key stages also has a strong impact on system performance</w:t>
      </w:r>
      <w:r w:rsidR="00E0457C">
        <w:rPr>
          <w:rFonts w:eastAsia="Arial"/>
          <w:lang w:val="en-GB"/>
        </w:rPr>
        <w:t xml:space="preserve">, for instance, optimizing starch extraction can increase process efficiency up to 50%. However, the optimization of key units can entail the reduction of unavoidable losses. In the same idea, the sole </w:t>
      </w:r>
      <w:r w:rsidR="00E0457C" w:rsidRPr="00E0457C">
        <w:rPr>
          <w:rFonts w:eastAsia="Arial"/>
          <w:lang w:val="en-GB"/>
        </w:rPr>
        <w:t>reduc</w:t>
      </w:r>
      <w:r w:rsidR="00E0457C">
        <w:rPr>
          <w:rFonts w:eastAsia="Arial"/>
          <w:lang w:val="en-GB"/>
        </w:rPr>
        <w:t>tion of the</w:t>
      </w:r>
      <w:r w:rsidR="00E0457C" w:rsidRPr="00E0457C">
        <w:rPr>
          <w:rFonts w:eastAsia="Arial"/>
          <w:lang w:val="en-GB"/>
        </w:rPr>
        <w:t xml:space="preserve"> unavoidable losses</w:t>
      </w:r>
      <w:r w:rsidR="00E0457C">
        <w:rPr>
          <w:rFonts w:eastAsia="Arial"/>
          <w:lang w:val="en-GB"/>
        </w:rPr>
        <w:t xml:space="preserve"> can potentially increase the process efficiency near 55%. </w:t>
      </w:r>
      <w:r w:rsidRPr="003A3A28">
        <w:rPr>
          <w:rFonts w:eastAsia="Arial"/>
          <w:lang w:val="en-GB"/>
        </w:rPr>
        <w:t>However, achieving such improvements would require structural and operational modifications, as these losses are strongly linked to intrinsic process constraints.</w:t>
      </w:r>
      <w:r w:rsidR="00577C4C">
        <w:rPr>
          <w:rFonts w:eastAsia="Arial"/>
          <w:lang w:val="en-GB"/>
        </w:rPr>
        <w:t xml:space="preserve"> Lastly, the output exergy influence indicated that the process has </w:t>
      </w:r>
      <w:r w:rsidR="00577C4C" w:rsidRPr="00577C4C">
        <w:rPr>
          <w:rFonts w:eastAsia="Arial"/>
          <w:lang w:val="en-GB"/>
        </w:rPr>
        <w:t xml:space="preserve">high recovery potential masked by poor integration and a few dominant loss </w:t>
      </w:r>
      <w:r w:rsidR="00577C4C">
        <w:rPr>
          <w:rFonts w:eastAsia="Arial"/>
          <w:lang w:val="en-GB"/>
        </w:rPr>
        <w:t xml:space="preserve">key stages, </w:t>
      </w:r>
      <w:r w:rsidRPr="003A3A28">
        <w:rPr>
          <w:rFonts w:eastAsia="Arial"/>
          <w:lang w:val="en-GB"/>
        </w:rPr>
        <w:t>further gains would require advanced heat integration and potential redesign of unit operations.</w:t>
      </w:r>
    </w:p>
    <w:p w14:paraId="2D153CC1" w14:textId="77777777" w:rsidR="005F29D3" w:rsidRDefault="00000000" w:rsidP="00734B75">
      <w:pPr>
        <w:pStyle w:val="CETAcknowledgementstitle"/>
        <w:rPr>
          <w:rFonts w:eastAsia="Arial"/>
        </w:rPr>
      </w:pPr>
      <w:r>
        <w:rPr>
          <w:rFonts w:eastAsia="Arial"/>
        </w:rPr>
        <w:t>Acknowledgments</w:t>
      </w:r>
    </w:p>
    <w:p w14:paraId="74EE2D4E" w14:textId="77777777" w:rsidR="00F6541E" w:rsidRPr="000731B1" w:rsidRDefault="00F6541E" w:rsidP="00F6541E">
      <w:pPr>
        <w:pStyle w:val="CETAcknowledgementstitle"/>
        <w:rPr>
          <w:rFonts w:eastAsia="Arial"/>
        </w:rPr>
      </w:pPr>
      <w:r w:rsidRPr="000731B1">
        <w:rPr>
          <w:rFonts w:eastAsia="Arial"/>
          <w:b w:val="0"/>
          <w:lang w:val="en-US"/>
        </w:rPr>
        <w:t xml:space="preserve">The authors gratefully acknowledge the financial support provided by the Universidad de Cartagena and the Colombian Ministry of Science, Technology, and Innovation (Minciencias). This work was funded under the project SIGP 100307 and contract 442-2023. </w:t>
      </w:r>
    </w:p>
    <w:p w14:paraId="4DFB0660" w14:textId="34EDB807" w:rsidR="006A1B30" w:rsidRDefault="00000000" w:rsidP="00C63B18">
      <w:pPr>
        <w:pStyle w:val="CETReference"/>
        <w:rPr>
          <w:rFonts w:eastAsia="Arial"/>
          <w:sz w:val="20"/>
          <w:szCs w:val="22"/>
          <w:lang w:val="es-CO"/>
        </w:rPr>
      </w:pPr>
      <w:r w:rsidRPr="006A1B30">
        <w:rPr>
          <w:rFonts w:eastAsia="Arial"/>
          <w:sz w:val="20"/>
          <w:szCs w:val="22"/>
          <w:lang w:val="es-CO"/>
        </w:rPr>
        <w:t>References</w:t>
      </w:r>
    </w:p>
    <w:p w14:paraId="041D763F" w14:textId="11330C54" w:rsidR="00AB6B59" w:rsidRPr="00AB6B59" w:rsidRDefault="00F8643E" w:rsidP="00AB6B59">
      <w:pPr>
        <w:widowControl w:val="0"/>
        <w:autoSpaceDE w:val="0"/>
        <w:autoSpaceDN w:val="0"/>
        <w:adjustRightInd w:val="0"/>
        <w:spacing w:before="200" w:after="120" w:line="240" w:lineRule="auto"/>
        <w:ind w:left="640" w:hanging="640"/>
        <w:rPr>
          <w:rFonts w:cs="Arial"/>
          <w:noProof/>
          <w:sz w:val="20"/>
        </w:rPr>
      </w:pPr>
      <w:r>
        <w:rPr>
          <w:rFonts w:eastAsia="Arial"/>
          <w:sz w:val="20"/>
          <w:szCs w:val="22"/>
          <w:lang w:val="es-CO"/>
        </w:rPr>
        <w:fldChar w:fldCharType="begin" w:fldLock="1"/>
      </w:r>
      <w:r>
        <w:rPr>
          <w:rFonts w:eastAsia="Arial"/>
          <w:sz w:val="20"/>
          <w:szCs w:val="22"/>
          <w:lang w:val="es-CO"/>
        </w:rPr>
        <w:instrText xml:space="preserve">ADDIN Mendeley Bibliography CSL_BIBLIOGRAPHY </w:instrText>
      </w:r>
      <w:r>
        <w:rPr>
          <w:rFonts w:eastAsia="Arial"/>
          <w:sz w:val="20"/>
          <w:szCs w:val="22"/>
          <w:lang w:val="es-CO"/>
        </w:rPr>
        <w:fldChar w:fldCharType="separate"/>
      </w:r>
      <w:r w:rsidR="00AB6B59" w:rsidRPr="00AB6B59">
        <w:rPr>
          <w:rFonts w:cs="Arial"/>
          <w:noProof/>
          <w:sz w:val="20"/>
        </w:rPr>
        <w:t>1.</w:t>
      </w:r>
      <w:r w:rsidR="00AB6B59" w:rsidRPr="00AB6B59">
        <w:rPr>
          <w:rFonts w:cs="Arial"/>
          <w:noProof/>
          <w:sz w:val="20"/>
        </w:rPr>
        <w:tab/>
        <w:t xml:space="preserve">Taramuel-Taramuel JP, Montoya-Restrepo IA, Barrios D. Challenges in the avocado production chain in Latin America: A descriptive analysis. Agron Colomb. 2024;42(2):1–11. </w:t>
      </w:r>
    </w:p>
    <w:p w14:paraId="794E0B20" w14:textId="77777777" w:rsidR="00AB6B59" w:rsidRPr="00AB6B59" w:rsidRDefault="00AB6B59" w:rsidP="00AB6B59">
      <w:pPr>
        <w:widowControl w:val="0"/>
        <w:autoSpaceDE w:val="0"/>
        <w:autoSpaceDN w:val="0"/>
        <w:adjustRightInd w:val="0"/>
        <w:spacing w:before="200" w:after="120" w:line="240" w:lineRule="auto"/>
        <w:ind w:left="640" w:hanging="640"/>
        <w:rPr>
          <w:rFonts w:cs="Arial"/>
          <w:noProof/>
          <w:sz w:val="20"/>
        </w:rPr>
      </w:pPr>
      <w:r w:rsidRPr="00AB6B59">
        <w:rPr>
          <w:rFonts w:cs="Arial"/>
          <w:noProof/>
          <w:sz w:val="20"/>
        </w:rPr>
        <w:lastRenderedPageBreak/>
        <w:t>2.</w:t>
      </w:r>
      <w:r w:rsidRPr="00AB6B59">
        <w:rPr>
          <w:rFonts w:cs="Arial"/>
          <w:noProof/>
          <w:sz w:val="20"/>
        </w:rPr>
        <w:tab/>
        <w:t xml:space="preserve">Sandoval-Contreras T, González Chávez F, Poonia A, Iñiguez-Moreno M, Aguirre-Güitrón L. Avocado Waste Biorefinery: Towards Sustainable Development. Recycling. 2023;8(5):1–23. </w:t>
      </w:r>
    </w:p>
    <w:p w14:paraId="420DCC53" w14:textId="77777777" w:rsidR="00AB6B59" w:rsidRPr="00AB6B59" w:rsidRDefault="00AB6B59" w:rsidP="00AB6B59">
      <w:pPr>
        <w:widowControl w:val="0"/>
        <w:autoSpaceDE w:val="0"/>
        <w:autoSpaceDN w:val="0"/>
        <w:adjustRightInd w:val="0"/>
        <w:spacing w:before="200" w:after="120" w:line="240" w:lineRule="auto"/>
        <w:ind w:left="640" w:hanging="640"/>
        <w:rPr>
          <w:rFonts w:cs="Arial"/>
          <w:noProof/>
          <w:sz w:val="20"/>
        </w:rPr>
      </w:pPr>
      <w:r w:rsidRPr="00AB6B59">
        <w:rPr>
          <w:rFonts w:cs="Arial"/>
          <w:noProof/>
          <w:sz w:val="20"/>
        </w:rPr>
        <w:t>3.</w:t>
      </w:r>
      <w:r w:rsidRPr="00AB6B59">
        <w:rPr>
          <w:rFonts w:cs="Arial"/>
          <w:noProof/>
          <w:sz w:val="20"/>
        </w:rPr>
        <w:tab/>
        <w:t>Arias A, Feijoo G, Moreira MT. Biorefineries as a driver for sustainability: Key aspects, actual development and future prospects. J Clean Prod [Internet]. 2023;418(April):137925. Available from: https://doi.org/10.1016/j.jclepro.2023.137925</w:t>
      </w:r>
    </w:p>
    <w:p w14:paraId="2664762E" w14:textId="77777777" w:rsidR="00AB6B59" w:rsidRPr="00AB6B59" w:rsidRDefault="00AB6B59" w:rsidP="00AB6B59">
      <w:pPr>
        <w:widowControl w:val="0"/>
        <w:autoSpaceDE w:val="0"/>
        <w:autoSpaceDN w:val="0"/>
        <w:adjustRightInd w:val="0"/>
        <w:spacing w:before="200" w:after="120" w:line="240" w:lineRule="auto"/>
        <w:ind w:left="640" w:hanging="640"/>
        <w:rPr>
          <w:rFonts w:cs="Arial"/>
          <w:noProof/>
          <w:sz w:val="20"/>
        </w:rPr>
      </w:pPr>
      <w:r w:rsidRPr="00AB6B59">
        <w:rPr>
          <w:rFonts w:cs="Arial"/>
          <w:noProof/>
          <w:sz w:val="20"/>
        </w:rPr>
        <w:t>4.</w:t>
      </w:r>
      <w:r w:rsidRPr="00AB6B59">
        <w:rPr>
          <w:rFonts w:cs="Arial"/>
          <w:noProof/>
          <w:sz w:val="20"/>
        </w:rPr>
        <w:tab/>
        <w:t>Mohammad REA, Abdullahi SS ad, Muhammed HA, Musa H, Habibu S, Jagaba AH, et al. Recent technical and non-technical biorefinery development barriers and potential solutions for a sustainable environment: A mini review. Case Stud Chem Environ Eng [Internet]. 2024;9(December 2023):100586. Available from: https://doi.org/10.1016/j.cscee.2023.100586</w:t>
      </w:r>
    </w:p>
    <w:p w14:paraId="77167702" w14:textId="77777777" w:rsidR="00AB6B59" w:rsidRPr="00AB6B59" w:rsidRDefault="00AB6B59" w:rsidP="00AB6B59">
      <w:pPr>
        <w:widowControl w:val="0"/>
        <w:autoSpaceDE w:val="0"/>
        <w:autoSpaceDN w:val="0"/>
        <w:adjustRightInd w:val="0"/>
        <w:spacing w:before="200" w:after="120" w:line="240" w:lineRule="auto"/>
        <w:ind w:left="640" w:hanging="640"/>
        <w:rPr>
          <w:rFonts w:cs="Arial"/>
          <w:noProof/>
          <w:sz w:val="20"/>
        </w:rPr>
      </w:pPr>
      <w:r w:rsidRPr="00AB6B59">
        <w:rPr>
          <w:rFonts w:cs="Arial"/>
          <w:noProof/>
          <w:sz w:val="20"/>
        </w:rPr>
        <w:t>5.</w:t>
      </w:r>
      <w:r w:rsidRPr="00AB6B59">
        <w:rPr>
          <w:rFonts w:cs="Arial"/>
          <w:noProof/>
          <w:sz w:val="20"/>
        </w:rPr>
        <w:tab/>
        <w:t xml:space="preserve">Rosen MA. Exergy Analysis as a Tool for Addressing Climate Change. Eur J Sustain Dev Res. 2021;5(2):em0148. </w:t>
      </w:r>
    </w:p>
    <w:p w14:paraId="33E07FB0" w14:textId="77777777" w:rsidR="00AB6B59" w:rsidRPr="00AB6B59" w:rsidRDefault="00AB6B59" w:rsidP="00AB6B59">
      <w:pPr>
        <w:widowControl w:val="0"/>
        <w:autoSpaceDE w:val="0"/>
        <w:autoSpaceDN w:val="0"/>
        <w:adjustRightInd w:val="0"/>
        <w:spacing w:before="200" w:after="120" w:line="240" w:lineRule="auto"/>
        <w:ind w:left="640" w:hanging="640"/>
        <w:rPr>
          <w:rFonts w:cs="Arial"/>
          <w:noProof/>
          <w:sz w:val="20"/>
        </w:rPr>
      </w:pPr>
      <w:r w:rsidRPr="00AB6B59">
        <w:rPr>
          <w:rFonts w:cs="Arial"/>
          <w:noProof/>
          <w:sz w:val="20"/>
        </w:rPr>
        <w:t>6.</w:t>
      </w:r>
      <w:r w:rsidRPr="00AB6B59">
        <w:rPr>
          <w:rFonts w:cs="Arial"/>
          <w:noProof/>
          <w:sz w:val="20"/>
        </w:rPr>
        <w:tab/>
        <w:t xml:space="preserve">Michalakakis C, Fouillou J, Lupton RC, Gonzalez Hernandez A, Cullen JM. Calculating the chemical exergy of materials. J Ind Ecol. 2021;25(2):274–87. </w:t>
      </w:r>
    </w:p>
    <w:p w14:paraId="468F556F" w14:textId="77777777" w:rsidR="00AB6B59" w:rsidRPr="00AB6B59" w:rsidRDefault="00AB6B59" w:rsidP="00AB6B59">
      <w:pPr>
        <w:widowControl w:val="0"/>
        <w:autoSpaceDE w:val="0"/>
        <w:autoSpaceDN w:val="0"/>
        <w:adjustRightInd w:val="0"/>
        <w:spacing w:before="200" w:after="120" w:line="240" w:lineRule="auto"/>
        <w:ind w:left="640" w:hanging="640"/>
        <w:rPr>
          <w:rFonts w:cs="Arial"/>
          <w:noProof/>
          <w:sz w:val="20"/>
        </w:rPr>
      </w:pPr>
      <w:r w:rsidRPr="00AB6B59">
        <w:rPr>
          <w:rFonts w:cs="Arial"/>
          <w:noProof/>
          <w:sz w:val="20"/>
        </w:rPr>
        <w:t>7.</w:t>
      </w:r>
      <w:r w:rsidRPr="00AB6B59">
        <w:rPr>
          <w:rFonts w:cs="Arial"/>
          <w:noProof/>
          <w:sz w:val="20"/>
        </w:rPr>
        <w:tab/>
        <w:t xml:space="preserve">Fontalvo-Morales A, Rojas-Flores S, González-Delgado ÁD. Computer-Aided Exergy Analysis of a Creole Avocado Extractive-Based Biorefinery and Sustainable Utilization in Montes de Maria, Colombia. Sustain. 2025;17(12):1–15. </w:t>
      </w:r>
    </w:p>
    <w:p w14:paraId="03CD5CA5" w14:textId="77777777" w:rsidR="00AB6B59" w:rsidRPr="00AB6B59" w:rsidRDefault="00AB6B59" w:rsidP="00AB6B59">
      <w:pPr>
        <w:widowControl w:val="0"/>
        <w:autoSpaceDE w:val="0"/>
        <w:autoSpaceDN w:val="0"/>
        <w:adjustRightInd w:val="0"/>
        <w:spacing w:before="200" w:after="120" w:line="240" w:lineRule="auto"/>
        <w:ind w:left="640" w:hanging="640"/>
        <w:rPr>
          <w:rFonts w:cs="Arial"/>
          <w:noProof/>
          <w:sz w:val="20"/>
        </w:rPr>
      </w:pPr>
      <w:r w:rsidRPr="00AB6B59">
        <w:rPr>
          <w:rFonts w:cs="Arial"/>
          <w:noProof/>
          <w:sz w:val="20"/>
        </w:rPr>
        <w:t>8.</w:t>
      </w:r>
      <w:r w:rsidRPr="00AB6B59">
        <w:rPr>
          <w:rFonts w:cs="Arial"/>
          <w:noProof/>
          <w:sz w:val="20"/>
        </w:rPr>
        <w:tab/>
        <w:t xml:space="preserve">Herrera T, Parejo V, González-Delgado Á. Quality of Energy Conservation in an Avocado Oil Extraction Process Via Exergy Analysis. Chem Eng Trans. 2022;91(December 2021):241–6. </w:t>
      </w:r>
    </w:p>
    <w:p w14:paraId="7867C6D5" w14:textId="77777777" w:rsidR="00AB6B59" w:rsidRPr="00AB6B59" w:rsidRDefault="00AB6B59" w:rsidP="00AB6B59">
      <w:pPr>
        <w:widowControl w:val="0"/>
        <w:autoSpaceDE w:val="0"/>
        <w:autoSpaceDN w:val="0"/>
        <w:adjustRightInd w:val="0"/>
        <w:spacing w:before="200" w:after="120" w:line="240" w:lineRule="auto"/>
        <w:ind w:left="640" w:hanging="640"/>
        <w:rPr>
          <w:rFonts w:cs="Arial"/>
          <w:noProof/>
          <w:sz w:val="20"/>
        </w:rPr>
      </w:pPr>
      <w:r w:rsidRPr="00AB6B59">
        <w:rPr>
          <w:rFonts w:cs="Arial"/>
          <w:noProof/>
          <w:sz w:val="20"/>
        </w:rPr>
        <w:t>9.</w:t>
      </w:r>
      <w:r w:rsidRPr="00AB6B59">
        <w:rPr>
          <w:rFonts w:cs="Arial"/>
          <w:noProof/>
          <w:sz w:val="20"/>
        </w:rPr>
        <w:tab/>
        <w:t xml:space="preserve">Alviz-Meza A, Valdez-Valdes SA, González-Delgado ÁD. Computer-Aided Simulation of a Cascade Biorefinery: Case Study of the Colombian Amazon’s Hass Avocado Waste. Chem Eng Trans. 2025;117(December 2024):67–72. </w:t>
      </w:r>
    </w:p>
    <w:p w14:paraId="4043CF9E" w14:textId="77777777" w:rsidR="00AB6B59" w:rsidRPr="00AB6B59" w:rsidRDefault="00AB6B59" w:rsidP="00AB6B59">
      <w:pPr>
        <w:widowControl w:val="0"/>
        <w:autoSpaceDE w:val="0"/>
        <w:autoSpaceDN w:val="0"/>
        <w:adjustRightInd w:val="0"/>
        <w:spacing w:before="200" w:after="120" w:line="240" w:lineRule="auto"/>
        <w:ind w:left="640" w:hanging="640"/>
        <w:rPr>
          <w:rFonts w:cs="Arial"/>
          <w:noProof/>
          <w:sz w:val="20"/>
        </w:rPr>
      </w:pPr>
      <w:r w:rsidRPr="00AB6B59">
        <w:rPr>
          <w:rFonts w:cs="Arial"/>
          <w:noProof/>
          <w:sz w:val="20"/>
        </w:rPr>
        <w:t>10.</w:t>
      </w:r>
      <w:r w:rsidRPr="00AB6B59">
        <w:rPr>
          <w:rFonts w:cs="Arial"/>
          <w:noProof/>
          <w:sz w:val="20"/>
        </w:rPr>
        <w:tab/>
        <w:t xml:space="preserve">Aguilar-Vásquez E, Ramos-Olmos M, González-Delgado ÁD. A joint exergy analysis/exergetic resilience approach for evaluation of suspension PVC production with VCM recovery. South African J Chem Eng. 2025;53(April):351–61. </w:t>
      </w:r>
    </w:p>
    <w:p w14:paraId="0480AC28" w14:textId="77777777" w:rsidR="00AB6B59" w:rsidRPr="00AB6B59" w:rsidRDefault="00AB6B59" w:rsidP="00AB6B59">
      <w:pPr>
        <w:widowControl w:val="0"/>
        <w:autoSpaceDE w:val="0"/>
        <w:autoSpaceDN w:val="0"/>
        <w:adjustRightInd w:val="0"/>
        <w:spacing w:before="200" w:after="120" w:line="240" w:lineRule="auto"/>
        <w:ind w:left="640" w:hanging="640"/>
        <w:rPr>
          <w:rFonts w:cs="Arial"/>
          <w:noProof/>
          <w:sz w:val="20"/>
        </w:rPr>
      </w:pPr>
      <w:r w:rsidRPr="00AB6B59">
        <w:rPr>
          <w:rFonts w:cs="Arial"/>
          <w:noProof/>
          <w:sz w:val="20"/>
        </w:rPr>
        <w:t>11.</w:t>
      </w:r>
      <w:r w:rsidRPr="00AB6B59">
        <w:rPr>
          <w:rFonts w:cs="Arial"/>
          <w:noProof/>
          <w:sz w:val="20"/>
        </w:rPr>
        <w:tab/>
        <w:t xml:space="preserve">Goodarzvand-Chegini F, GhasemiKafrudi E. Application of exergy analysis to improve the heat integration efficiency in a hydrocracking process. Energy Environ. 2017;28(5–6):564–79. </w:t>
      </w:r>
    </w:p>
    <w:p w14:paraId="23681647" w14:textId="3AF8E5BD" w:rsidR="00F8643E" w:rsidRPr="00DA5456" w:rsidRDefault="00F8643E" w:rsidP="00C63B18">
      <w:pPr>
        <w:pStyle w:val="CETReference"/>
        <w:rPr>
          <w:rFonts w:eastAsia="Arial"/>
          <w:sz w:val="20"/>
          <w:szCs w:val="22"/>
          <w:lang w:val="es-CO"/>
        </w:rPr>
      </w:pPr>
      <w:r>
        <w:rPr>
          <w:rFonts w:eastAsia="Arial"/>
          <w:sz w:val="20"/>
          <w:szCs w:val="22"/>
          <w:lang w:val="es-CO"/>
        </w:rPr>
        <w:fldChar w:fldCharType="end"/>
      </w:r>
    </w:p>
    <w:sectPr w:rsidR="00F8643E" w:rsidRPr="00DA5456">
      <w:type w:val="continuous"/>
      <w:pgSz w:w="11906" w:h="16838"/>
      <w:pgMar w:top="1701" w:right="1418" w:bottom="1701" w:left="1701" w:header="1701"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17DEE386-C3A5-40E0-B75D-09C29BB2570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114DD8A3-A617-4836-8FA2-E12A9AFA194A}"/>
    <w:embedBold r:id="rId3" w:fontKey="{721BAF1B-20A9-437D-B3B2-A12F8F83E3C2}"/>
    <w:embedItalic r:id="rId4" w:fontKey="{F9A98E4D-ED74-45CE-8E6C-216F4ECF5CD7}"/>
    <w:embedBoldItalic r:id="rId5" w:fontKey="{1772B7A2-9F6A-4C82-AF11-79818B98C76C}"/>
  </w:font>
  <w:font w:name="Tahoma">
    <w:panose1 w:val="020B0604030504040204"/>
    <w:charset w:val="00"/>
    <w:family w:val="swiss"/>
    <w:pitch w:val="variable"/>
    <w:sig w:usb0="E1002EFF" w:usb1="C000605B" w:usb2="00000029" w:usb3="00000000" w:csb0="000101FF" w:csb1="00000000"/>
    <w:embedRegular r:id="rId6" w:fontKey="{82856E4C-CD14-4D92-9918-145EDAB2B4F6}"/>
    <w:embedBold r:id="rId7" w:fontKey="{3D6C5B49-1093-4173-939E-DBC1A7A6CA20}"/>
  </w:font>
  <w:font w:name="Consolas">
    <w:panose1 w:val="020B0609020204030204"/>
    <w:charset w:val="00"/>
    <w:family w:val="modern"/>
    <w:pitch w:val="fixed"/>
    <w:sig w:usb0="E00006FF" w:usb1="0000FCFF" w:usb2="00000001" w:usb3="00000000" w:csb0="0000019F" w:csb1="00000000"/>
    <w:embedRegular r:id="rId8" w:fontKey="{AC59D768-3B46-42FF-8F35-479E464A97F3}"/>
  </w:font>
  <w:font w:name="Georgia">
    <w:panose1 w:val="02040502050405020303"/>
    <w:charset w:val="00"/>
    <w:family w:val="roman"/>
    <w:pitch w:val="variable"/>
    <w:sig w:usb0="00000287" w:usb1="00000000" w:usb2="00000000" w:usb3="00000000" w:csb0="0000009F" w:csb1="00000000"/>
    <w:embedRegular r:id="rId9" w:fontKey="{FBD5A376-C15F-481D-B5CA-4BC8FE0F613E}"/>
    <w:embedItalic r:id="rId10" w:fontKey="{E0ABB8A0-229C-4CD1-8C3C-E2C4C45747C0}"/>
  </w:font>
  <w:font w:name="AdvP6960">
    <w:altName w:val="Cambria"/>
    <w:panose1 w:val="00000000000000000000"/>
    <w:charset w:val="4D"/>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1" w:fontKey="{1C47DCD9-E105-49FD-8262-A926F5956519}"/>
  </w:font>
  <w:font w:name="Cambria Math">
    <w:panose1 w:val="02040503050406030204"/>
    <w:charset w:val="00"/>
    <w:family w:val="roman"/>
    <w:pitch w:val="variable"/>
    <w:sig w:usb0="E00006FF" w:usb1="420024FF" w:usb2="02000000" w:usb3="00000000" w:csb0="0000019F" w:csb1="00000000"/>
    <w:embedRegular r:id="rId12" w:fontKey="{8B1B321C-4870-44A1-9A99-1CB95C2FD73E}"/>
    <w:embedItalic r:id="rId13" w:fontKey="{DB8017A1-7346-49EB-BF3F-CDAA1CF21C4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76006E"/>
    <w:multiLevelType w:val="multilevel"/>
    <w:tmpl w:val="B99E5ADA"/>
    <w:lvl w:ilvl="0">
      <w:start w:val="2"/>
      <w:numFmt w:val="decimal"/>
      <w:lvlText w:val="%1"/>
      <w:lvlJc w:val="left"/>
      <w:pPr>
        <w:ind w:left="360" w:hanging="360"/>
      </w:pPr>
      <w:rPr>
        <w:rFonts w:hint="default"/>
      </w:rPr>
    </w:lvl>
    <w:lvl w:ilvl="1">
      <w:start w:val="1"/>
      <w:numFmt w:val="decimal"/>
      <w:pStyle w:val="CETheadingx"/>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237E3F18"/>
    <w:multiLevelType w:val="hybridMultilevel"/>
    <w:tmpl w:val="B362377A"/>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2E651A86"/>
    <w:multiLevelType w:val="multilevel"/>
    <w:tmpl w:val="CAFA7D96"/>
    <w:lvl w:ilvl="0">
      <w:start w:val="1"/>
      <w:numFmt w:val="decimal"/>
      <w:lvlText w:val="Chapter %1"/>
      <w:lvlJc w:val="left"/>
      <w:pPr>
        <w:ind w:left="0" w:firstLine="0"/>
      </w:pPr>
    </w:lvl>
    <w:lvl w:ilvl="1">
      <w:start w:val="1"/>
      <w:numFmt w:val="decimal"/>
      <w:pStyle w:val="Heading1"/>
      <w:lvlText w:val="%2."/>
      <w:lvlJc w:val="left"/>
      <w:pPr>
        <w:ind w:left="0" w:firstLine="0"/>
      </w:pPr>
    </w:lvl>
    <w:lvl w:ilvl="2">
      <w:start w:val="1"/>
      <w:numFmt w:val="decimal"/>
      <w:lvlText w:val="%2.%3"/>
      <w:lvlJc w:val="left"/>
      <w:pPr>
        <w:ind w:left="0" w:firstLine="0"/>
      </w:pPr>
    </w:lvl>
    <w:lvl w:ilvl="3">
      <w:start w:val="1"/>
      <w:numFmt w:val="decimal"/>
      <w:lvlText w:val="%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3.%4.%5.%6.%7.%8.%9."/>
      <w:lvlJc w:val="left"/>
      <w:pPr>
        <w:ind w:left="0" w:firstLine="0"/>
      </w:pPr>
    </w:lvl>
  </w:abstractNum>
  <w:abstractNum w:abstractNumId="3" w15:restartNumberingAfterBreak="0">
    <w:nsid w:val="4772167B"/>
    <w:multiLevelType w:val="multilevel"/>
    <w:tmpl w:val="1F7E7914"/>
    <w:lvl w:ilvl="0">
      <w:start w:val="1"/>
      <w:numFmt w:val="bullet"/>
      <w:pStyle w:val="ListNumber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9421D74"/>
    <w:multiLevelType w:val="multilevel"/>
    <w:tmpl w:val="31A28970"/>
    <w:lvl w:ilvl="0">
      <w:start w:val="1"/>
      <w:numFmt w:val="decimal"/>
      <w:pStyle w:val="ListNumber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9FD21CB"/>
    <w:multiLevelType w:val="multilevel"/>
    <w:tmpl w:val="1C8A4768"/>
    <w:lvl w:ilvl="0">
      <w:start w:val="1"/>
      <w:numFmt w:val="bullet"/>
      <w:pStyle w:val="ListNumber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B6E57FC"/>
    <w:multiLevelType w:val="multilevel"/>
    <w:tmpl w:val="3CBC53C0"/>
    <w:lvl w:ilvl="0">
      <w:start w:val="1"/>
      <w:numFmt w:val="decimal"/>
      <w:lvlText w:val="%1."/>
      <w:lvlJc w:val="left"/>
      <w:pPr>
        <w:ind w:left="360" w:hanging="360"/>
      </w:pPr>
      <w:rPr>
        <w:rFonts w:hint="default"/>
        <w:b/>
        <w:bCs/>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5BAF067E"/>
    <w:multiLevelType w:val="multilevel"/>
    <w:tmpl w:val="8C3C4B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5CDC277F"/>
    <w:multiLevelType w:val="multilevel"/>
    <w:tmpl w:val="D3CE136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FEB0604"/>
    <w:multiLevelType w:val="multilevel"/>
    <w:tmpl w:val="F4529A2A"/>
    <w:lvl w:ilvl="0">
      <w:start w:val="1"/>
      <w:numFmt w:val="bullet"/>
      <w:pStyle w:val="ListNumber4"/>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0AC5553"/>
    <w:multiLevelType w:val="multilevel"/>
    <w:tmpl w:val="3C9C976A"/>
    <w:lvl w:ilvl="0">
      <w:start w:val="1"/>
      <w:numFmt w:val="bullet"/>
      <w:pStyle w:val="ListNumber"/>
      <w:lvlText w:val="●"/>
      <w:lvlJc w:val="left"/>
      <w:pPr>
        <w:ind w:left="340"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37510514">
    <w:abstractNumId w:val="2"/>
  </w:num>
  <w:num w:numId="2" w16cid:durableId="1726640284">
    <w:abstractNumId w:val="10"/>
  </w:num>
  <w:num w:numId="3" w16cid:durableId="513885806">
    <w:abstractNumId w:val="5"/>
  </w:num>
  <w:num w:numId="4" w16cid:durableId="1557276879">
    <w:abstractNumId w:val="3"/>
  </w:num>
  <w:num w:numId="5" w16cid:durableId="715354721">
    <w:abstractNumId w:val="9"/>
  </w:num>
  <w:num w:numId="6" w16cid:durableId="2134052101">
    <w:abstractNumId w:val="4"/>
  </w:num>
  <w:num w:numId="7" w16cid:durableId="4372567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3860855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6523212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930236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173217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728475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056101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9316024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56072905">
    <w:abstractNumId w:val="6"/>
  </w:num>
  <w:num w:numId="16" w16cid:durableId="782379426">
    <w:abstractNumId w:val="1"/>
  </w:num>
  <w:num w:numId="17" w16cid:durableId="409809246">
    <w:abstractNumId w:val="7"/>
  </w:num>
  <w:num w:numId="18" w16cid:durableId="1659070204">
    <w:abstractNumId w:val="8"/>
  </w:num>
  <w:num w:numId="19" w16cid:durableId="3587759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9D3"/>
    <w:rsid w:val="00001F07"/>
    <w:rsid w:val="00007582"/>
    <w:rsid w:val="000172EA"/>
    <w:rsid w:val="00024B89"/>
    <w:rsid w:val="00030867"/>
    <w:rsid w:val="0003714E"/>
    <w:rsid w:val="0004682D"/>
    <w:rsid w:val="000473B9"/>
    <w:rsid w:val="000678D9"/>
    <w:rsid w:val="0007676B"/>
    <w:rsid w:val="00086695"/>
    <w:rsid w:val="00086BFE"/>
    <w:rsid w:val="00097F66"/>
    <w:rsid w:val="000A0076"/>
    <w:rsid w:val="000A7D7B"/>
    <w:rsid w:val="000B4561"/>
    <w:rsid w:val="000C4679"/>
    <w:rsid w:val="000D3553"/>
    <w:rsid w:val="00115E0C"/>
    <w:rsid w:val="001366FF"/>
    <w:rsid w:val="00146519"/>
    <w:rsid w:val="0015206D"/>
    <w:rsid w:val="001626D6"/>
    <w:rsid w:val="00166A15"/>
    <w:rsid w:val="00166FA9"/>
    <w:rsid w:val="00167DCF"/>
    <w:rsid w:val="00173FED"/>
    <w:rsid w:val="0017606A"/>
    <w:rsid w:val="00181AC1"/>
    <w:rsid w:val="00190532"/>
    <w:rsid w:val="00194486"/>
    <w:rsid w:val="001B4A1C"/>
    <w:rsid w:val="001E3509"/>
    <w:rsid w:val="001E518E"/>
    <w:rsid w:val="00210302"/>
    <w:rsid w:val="00254C37"/>
    <w:rsid w:val="00265D4C"/>
    <w:rsid w:val="002673CC"/>
    <w:rsid w:val="0028071C"/>
    <w:rsid w:val="00281F8B"/>
    <w:rsid w:val="00282954"/>
    <w:rsid w:val="002B2D8A"/>
    <w:rsid w:val="002D23DA"/>
    <w:rsid w:val="002F69C3"/>
    <w:rsid w:val="00307A5E"/>
    <w:rsid w:val="00312B71"/>
    <w:rsid w:val="00315336"/>
    <w:rsid w:val="003165C9"/>
    <w:rsid w:val="00342BE2"/>
    <w:rsid w:val="0034347C"/>
    <w:rsid w:val="00355571"/>
    <w:rsid w:val="00356B69"/>
    <w:rsid w:val="0036659C"/>
    <w:rsid w:val="00381C6F"/>
    <w:rsid w:val="003849F4"/>
    <w:rsid w:val="00385BE2"/>
    <w:rsid w:val="00385CB3"/>
    <w:rsid w:val="003943B8"/>
    <w:rsid w:val="003A08FE"/>
    <w:rsid w:val="003A3A28"/>
    <w:rsid w:val="003A5B3D"/>
    <w:rsid w:val="003C1B6C"/>
    <w:rsid w:val="003E39D6"/>
    <w:rsid w:val="003F4D23"/>
    <w:rsid w:val="003F697E"/>
    <w:rsid w:val="00414891"/>
    <w:rsid w:val="00414C9E"/>
    <w:rsid w:val="004210A5"/>
    <w:rsid w:val="00425316"/>
    <w:rsid w:val="004330DC"/>
    <w:rsid w:val="0043676D"/>
    <w:rsid w:val="00440A23"/>
    <w:rsid w:val="004525BB"/>
    <w:rsid w:val="00455F07"/>
    <w:rsid w:val="004667B9"/>
    <w:rsid w:val="004776B5"/>
    <w:rsid w:val="0048030A"/>
    <w:rsid w:val="004924A8"/>
    <w:rsid w:val="00494829"/>
    <w:rsid w:val="004A3FB8"/>
    <w:rsid w:val="004B3FD4"/>
    <w:rsid w:val="004B6136"/>
    <w:rsid w:val="004D0686"/>
    <w:rsid w:val="004F2327"/>
    <w:rsid w:val="004F4013"/>
    <w:rsid w:val="004F412E"/>
    <w:rsid w:val="004F43BE"/>
    <w:rsid w:val="0051363B"/>
    <w:rsid w:val="005202A7"/>
    <w:rsid w:val="00530031"/>
    <w:rsid w:val="0056122C"/>
    <w:rsid w:val="00570A22"/>
    <w:rsid w:val="00577C4C"/>
    <w:rsid w:val="00585533"/>
    <w:rsid w:val="005963E7"/>
    <w:rsid w:val="005A133D"/>
    <w:rsid w:val="005A2A0F"/>
    <w:rsid w:val="005C5E5B"/>
    <w:rsid w:val="005D77E4"/>
    <w:rsid w:val="005F29D3"/>
    <w:rsid w:val="006101A4"/>
    <w:rsid w:val="00611B2E"/>
    <w:rsid w:val="006161E5"/>
    <w:rsid w:val="006208A7"/>
    <w:rsid w:val="00626648"/>
    <w:rsid w:val="00635C7B"/>
    <w:rsid w:val="006361FF"/>
    <w:rsid w:val="006365B1"/>
    <w:rsid w:val="00641D4D"/>
    <w:rsid w:val="00651C37"/>
    <w:rsid w:val="00671883"/>
    <w:rsid w:val="00676320"/>
    <w:rsid w:val="00683BF5"/>
    <w:rsid w:val="00697C20"/>
    <w:rsid w:val="006A1B30"/>
    <w:rsid w:val="006B36CC"/>
    <w:rsid w:val="006B3CE1"/>
    <w:rsid w:val="006B4C24"/>
    <w:rsid w:val="006D3631"/>
    <w:rsid w:val="006E2689"/>
    <w:rsid w:val="006F126F"/>
    <w:rsid w:val="006F6154"/>
    <w:rsid w:val="0071056D"/>
    <w:rsid w:val="007201D0"/>
    <w:rsid w:val="0073495D"/>
    <w:rsid w:val="00734B75"/>
    <w:rsid w:val="00737357"/>
    <w:rsid w:val="0074207C"/>
    <w:rsid w:val="00756A8B"/>
    <w:rsid w:val="0076211B"/>
    <w:rsid w:val="007626E4"/>
    <w:rsid w:val="00764CB9"/>
    <w:rsid w:val="007739A4"/>
    <w:rsid w:val="00783A78"/>
    <w:rsid w:val="00793780"/>
    <w:rsid w:val="0079711C"/>
    <w:rsid w:val="007B0AAF"/>
    <w:rsid w:val="007F413A"/>
    <w:rsid w:val="00806823"/>
    <w:rsid w:val="0083263D"/>
    <w:rsid w:val="00842DA1"/>
    <w:rsid w:val="00864B33"/>
    <w:rsid w:val="00890A83"/>
    <w:rsid w:val="008956C6"/>
    <w:rsid w:val="008A437D"/>
    <w:rsid w:val="008C5928"/>
    <w:rsid w:val="008E7770"/>
    <w:rsid w:val="008F0686"/>
    <w:rsid w:val="008F2148"/>
    <w:rsid w:val="009463E1"/>
    <w:rsid w:val="00950357"/>
    <w:rsid w:val="00964D38"/>
    <w:rsid w:val="00992441"/>
    <w:rsid w:val="009A30FB"/>
    <w:rsid w:val="009A5221"/>
    <w:rsid w:val="009B64B3"/>
    <w:rsid w:val="009C6444"/>
    <w:rsid w:val="009E0447"/>
    <w:rsid w:val="009E1C48"/>
    <w:rsid w:val="009E2E46"/>
    <w:rsid w:val="009E6C41"/>
    <w:rsid w:val="009F357E"/>
    <w:rsid w:val="00A00256"/>
    <w:rsid w:val="00A12FEB"/>
    <w:rsid w:val="00A25A52"/>
    <w:rsid w:val="00A4241A"/>
    <w:rsid w:val="00A60E81"/>
    <w:rsid w:val="00A65D7B"/>
    <w:rsid w:val="00A83970"/>
    <w:rsid w:val="00A900E0"/>
    <w:rsid w:val="00A944D6"/>
    <w:rsid w:val="00AB6B59"/>
    <w:rsid w:val="00AD2AFB"/>
    <w:rsid w:val="00AE3DC4"/>
    <w:rsid w:val="00AF199A"/>
    <w:rsid w:val="00B04E84"/>
    <w:rsid w:val="00B134B6"/>
    <w:rsid w:val="00B14806"/>
    <w:rsid w:val="00B172A5"/>
    <w:rsid w:val="00B35F5F"/>
    <w:rsid w:val="00B472BF"/>
    <w:rsid w:val="00B62799"/>
    <w:rsid w:val="00B659F0"/>
    <w:rsid w:val="00B7194E"/>
    <w:rsid w:val="00B844BE"/>
    <w:rsid w:val="00B93F49"/>
    <w:rsid w:val="00B96346"/>
    <w:rsid w:val="00BA68D6"/>
    <w:rsid w:val="00BB06E3"/>
    <w:rsid w:val="00BC089F"/>
    <w:rsid w:val="00BC100D"/>
    <w:rsid w:val="00BE449F"/>
    <w:rsid w:val="00BE6CA1"/>
    <w:rsid w:val="00C01393"/>
    <w:rsid w:val="00C14D87"/>
    <w:rsid w:val="00C47A46"/>
    <w:rsid w:val="00C60CC7"/>
    <w:rsid w:val="00C63B18"/>
    <w:rsid w:val="00C85746"/>
    <w:rsid w:val="00C86306"/>
    <w:rsid w:val="00C96E6D"/>
    <w:rsid w:val="00C97D5D"/>
    <w:rsid w:val="00CA6F36"/>
    <w:rsid w:val="00CD2146"/>
    <w:rsid w:val="00CE160A"/>
    <w:rsid w:val="00CE21A9"/>
    <w:rsid w:val="00D00A0C"/>
    <w:rsid w:val="00D07C76"/>
    <w:rsid w:val="00D116FC"/>
    <w:rsid w:val="00D16C6B"/>
    <w:rsid w:val="00D179A3"/>
    <w:rsid w:val="00D252FB"/>
    <w:rsid w:val="00D30530"/>
    <w:rsid w:val="00D73850"/>
    <w:rsid w:val="00D77810"/>
    <w:rsid w:val="00D82840"/>
    <w:rsid w:val="00D942A0"/>
    <w:rsid w:val="00D96F47"/>
    <w:rsid w:val="00D97E8A"/>
    <w:rsid w:val="00DA5456"/>
    <w:rsid w:val="00DD1BB8"/>
    <w:rsid w:val="00DE0CA5"/>
    <w:rsid w:val="00DE60ED"/>
    <w:rsid w:val="00DF526A"/>
    <w:rsid w:val="00E0457C"/>
    <w:rsid w:val="00E07E55"/>
    <w:rsid w:val="00E42105"/>
    <w:rsid w:val="00E45CCA"/>
    <w:rsid w:val="00E5406C"/>
    <w:rsid w:val="00E66445"/>
    <w:rsid w:val="00E73F0B"/>
    <w:rsid w:val="00E801AC"/>
    <w:rsid w:val="00E81547"/>
    <w:rsid w:val="00E91FF5"/>
    <w:rsid w:val="00EA46F9"/>
    <w:rsid w:val="00ED5F97"/>
    <w:rsid w:val="00EE15FB"/>
    <w:rsid w:val="00EE230A"/>
    <w:rsid w:val="00F03817"/>
    <w:rsid w:val="00F27D5C"/>
    <w:rsid w:val="00F30C87"/>
    <w:rsid w:val="00F34F06"/>
    <w:rsid w:val="00F514BC"/>
    <w:rsid w:val="00F515C1"/>
    <w:rsid w:val="00F57722"/>
    <w:rsid w:val="00F600D2"/>
    <w:rsid w:val="00F617AF"/>
    <w:rsid w:val="00F6541E"/>
    <w:rsid w:val="00F67AE8"/>
    <w:rsid w:val="00F84656"/>
    <w:rsid w:val="00F8643E"/>
    <w:rsid w:val="00F930C2"/>
    <w:rsid w:val="00F95D89"/>
    <w:rsid w:val="00FB0816"/>
    <w:rsid w:val="00FB15B2"/>
    <w:rsid w:val="00FB497F"/>
    <w:rsid w:val="00FC3036"/>
    <w:rsid w:val="00FE0B82"/>
    <w:rsid w:val="00FE55C6"/>
    <w:rsid w:val="00FE71D1"/>
    <w:rsid w:val="00FF26D9"/>
    <w:rsid w:val="00FF6A3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CB822"/>
  <w15:docId w15:val="{D96F1CA5-B6BF-497B-9DAA-655C00B22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8"/>
        <w:szCs w:val="18"/>
        <w:lang w:val="en-GB" w:eastAsia="es-CO" w:bidi="ar-SA"/>
      </w:rPr>
    </w:rPrDefault>
    <w:pPrDefault>
      <w:pPr>
        <w:tabs>
          <w:tab w:val="right" w:pos="7100"/>
        </w:tabs>
        <w:spacing w:line="26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qFormat/>
    <w:rsid w:val="00FC3036"/>
    <w:rPr>
      <w:rFonts w:eastAsia="Times New Roman" w:cs="Times New Roman"/>
      <w:szCs w:val="20"/>
    </w:rPr>
  </w:style>
  <w:style w:type="paragraph" w:styleId="Heading1">
    <w:name w:val="heading 1"/>
    <w:basedOn w:val="CETHeading1"/>
    <w:next w:val="Normal"/>
    <w:link w:val="Heading1Char"/>
    <w:uiPriority w:val="9"/>
    <w:qFormat/>
    <w:rsid w:val="004F5E36"/>
    <w:pPr>
      <w:numPr>
        <w:ilvl w:val="1"/>
        <w:numId w:val="1"/>
      </w:numPr>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jc w:val="center"/>
      <w:outlineLvl w:val="0"/>
    </w:pPr>
    <w:rPr>
      <w:rFonts w:eastAsia="Times New Roman" w:cs="Times New Roman"/>
      <w:sz w:val="32"/>
      <w:szCs w:val="20"/>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tabs>
        <w:tab w:val="num" w:pos="360"/>
      </w:tabs>
      <w:suppressAutoHyphens/>
      <w:spacing w:before="240" w:after="120" w:line="240" w:lineRule="auto"/>
    </w:pPr>
    <w:rPr>
      <w:rFonts w:eastAsia="Times New Roman" w:cs="Times New Roman"/>
      <w:b/>
      <w:sz w:val="20"/>
      <w:szCs w:val="20"/>
      <w:lang w:val="en-US"/>
    </w:rPr>
  </w:style>
  <w:style w:type="paragraph" w:customStyle="1" w:styleId="CETBodytext">
    <w:name w:val="CET Body text"/>
    <w:link w:val="CETBodytextCarattere"/>
    <w:qFormat/>
    <w:rsid w:val="000E414A"/>
    <w:rPr>
      <w:rFonts w:eastAsia="Times New Roman" w:cs="Times New Roman"/>
      <w:szCs w:val="20"/>
      <w:lang w:val="en-US"/>
    </w:rPr>
  </w:style>
  <w:style w:type="paragraph" w:customStyle="1" w:styleId="CETheadingx">
    <w:name w:val="CET headingx"/>
    <w:next w:val="CETBodytext"/>
    <w:link w:val="CETheadingxCarattere"/>
    <w:autoRedefine/>
    <w:qFormat/>
    <w:rsid w:val="00ED5F97"/>
    <w:pPr>
      <w:keepNext/>
      <w:numPr>
        <w:ilvl w:val="1"/>
        <w:numId w:val="19"/>
      </w:numPr>
      <w:suppressAutoHyphens/>
      <w:spacing w:before="120" w:after="120" w:line="240" w:lineRule="auto"/>
    </w:pPr>
    <w:rPr>
      <w:rFonts w:eastAsia="Times New Roman" w:cs="Times New Roman"/>
      <w:b/>
      <w:szCs w:val="20"/>
      <w:lang w:val="en-US"/>
    </w:rPr>
  </w:style>
  <w:style w:type="paragraph" w:customStyle="1" w:styleId="CETAddress">
    <w:name w:val="CET Address"/>
    <w:link w:val="CETAddressCarattere"/>
    <w:qFormat/>
    <w:rsid w:val="009E788A"/>
    <w:pPr>
      <w:keepNext/>
      <w:suppressAutoHyphens/>
      <w:contextualSpacing/>
    </w:pPr>
    <w:rPr>
      <w:rFonts w:eastAsia="Times New Roman" w:cs="Times New Roman"/>
      <w:noProof/>
      <w:sz w:val="16"/>
      <w:szCs w:val="20"/>
    </w:rPr>
  </w:style>
  <w:style w:type="table" w:styleId="TableSimple1">
    <w:name w:val="Table Simple 1"/>
    <w:basedOn w:val="TableNormal"/>
    <w:semiHidden/>
    <w:rsid w:val="000E414A"/>
    <w:pPr>
      <w:numPr>
        <w:ilvl w:val="3"/>
        <w:numId w:val="1"/>
      </w:numPr>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eastAsia="Times New Roman" w:cs="Times New Roman"/>
      <w:b/>
      <w:szCs w:val="20"/>
    </w:rPr>
  </w:style>
  <w:style w:type="paragraph" w:customStyle="1" w:styleId="CETCaption">
    <w:name w:val="CET Caption"/>
    <w:link w:val="CETCaptionCarattere"/>
    <w:qFormat/>
    <w:rsid w:val="00F7534E"/>
    <w:pPr>
      <w:spacing w:before="240" w:after="240"/>
    </w:pPr>
    <w:rPr>
      <w:rFonts w:eastAsia="Times New Roman" w:cs="Times New Roman"/>
      <w:i/>
      <w:szCs w:val="20"/>
    </w:rPr>
  </w:style>
  <w:style w:type="character" w:customStyle="1" w:styleId="CETheadingxCarattere">
    <w:name w:val="CET headingx Carattere"/>
    <w:link w:val="CETheadingx"/>
    <w:rsid w:val="00ED5F97"/>
    <w:rPr>
      <w:rFonts w:eastAsia="Times New Roman" w:cs="Times New Roman"/>
      <w:b/>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unhideWhenUsed/>
    <w:rsid w:val="0003148D"/>
    <w:rPr>
      <w:sz w:val="24"/>
      <w:szCs w:val="24"/>
    </w:rPr>
  </w:style>
  <w:style w:type="paragraph" w:styleId="ListNumber">
    <w:name w:val="List Number"/>
    <w:basedOn w:val="Normal"/>
    <w:uiPriority w:val="99"/>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tabs>
        <w:tab w:val="num" w:pos="720"/>
      </w:tabs>
      <w:ind w:left="720" w:hanging="720"/>
      <w:contextualSpacing/>
    </w:pPr>
  </w:style>
  <w:style w:type="paragraph" w:styleId="ListBullet2">
    <w:name w:val="List Bullet 2"/>
    <w:basedOn w:val="Normal"/>
    <w:uiPriority w:val="99"/>
    <w:semiHidden/>
    <w:unhideWhenUsed/>
    <w:rsid w:val="0003148D"/>
    <w:pPr>
      <w:tabs>
        <w:tab w:val="num" w:pos="720"/>
      </w:tabs>
      <w:ind w:left="720" w:hanging="720"/>
      <w:contextualSpacing/>
    </w:pPr>
  </w:style>
  <w:style w:type="paragraph" w:styleId="ListBullet3">
    <w:name w:val="List Bullet 3"/>
    <w:basedOn w:val="Normal"/>
    <w:uiPriority w:val="99"/>
    <w:semiHidden/>
    <w:unhideWhenUsed/>
    <w:rsid w:val="0003148D"/>
    <w:pPr>
      <w:tabs>
        <w:tab w:val="num" w:pos="720"/>
      </w:tabs>
      <w:ind w:left="720" w:hanging="720"/>
      <w:contextualSpacing/>
    </w:pPr>
  </w:style>
  <w:style w:type="paragraph" w:styleId="ListBullet4">
    <w:name w:val="List Bullet 4"/>
    <w:basedOn w:val="Normal"/>
    <w:uiPriority w:val="99"/>
    <w:semiHidden/>
    <w:unhideWhenUsed/>
    <w:rsid w:val="0003148D"/>
    <w:pPr>
      <w:tabs>
        <w:tab w:val="num" w:pos="720"/>
      </w:tabs>
      <w:ind w:left="720" w:hanging="720"/>
      <w:contextualSpacing/>
    </w:pPr>
  </w:style>
  <w:style w:type="paragraph" w:styleId="ListBullet5">
    <w:name w:val="List Bullet 5"/>
    <w:basedOn w:val="Normal"/>
    <w:uiPriority w:val="99"/>
    <w:semiHidden/>
    <w:unhideWhenUsed/>
    <w:rsid w:val="0003148D"/>
    <w:pPr>
      <w:tabs>
        <w:tab w:val="num" w:pos="720"/>
      </w:tabs>
      <w:ind w:left="720" w:hanging="720"/>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eastAsia="Times New Roman" w:cs="Times New Roman"/>
      <w:noProof/>
      <w:sz w:val="16"/>
      <w:szCs w:val="20"/>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tabs>
        <w:tab w:val="num" w:pos="720"/>
      </w:tabs>
      <w:ind w:left="720" w:hanging="720"/>
    </w:pPr>
    <w:rPr>
      <w:rFonts w:eastAsia="Times New Roman" w:cs="Times New Roman"/>
      <w:szCs w:val="20"/>
    </w:rPr>
  </w:style>
  <w:style w:type="paragraph" w:customStyle="1" w:styleId="CETnumbering1">
    <w:name w:val="CET numbering (1"/>
    <w:aliases w:val="2..)"/>
    <w:rsid w:val="00B57B36"/>
    <w:pPr>
      <w:tabs>
        <w:tab w:val="num" w:pos="720"/>
      </w:tabs>
      <w:ind w:left="340" w:hanging="227"/>
    </w:pPr>
    <w:rPr>
      <w:rFonts w:eastAsia="Times New Roman" w:cs="Times New Roman"/>
      <w:szCs w:val="20"/>
      <w:lang w:val="en-US"/>
    </w:rPr>
  </w:style>
  <w:style w:type="paragraph" w:customStyle="1" w:styleId="CETnumberinga">
    <w:name w:val="CET numbering (a"/>
    <w:aliases w:val="b,..)"/>
    <w:rsid w:val="00B57B36"/>
    <w:pPr>
      <w:tabs>
        <w:tab w:val="num" w:pos="720"/>
      </w:tabs>
      <w:ind w:left="720" w:hanging="720"/>
    </w:pPr>
    <w:rPr>
      <w:rFonts w:eastAsia="Times New Roman" w:cs="Times New Roman"/>
      <w:szCs w:val="20"/>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39"/>
    <w:rsid w:val="00660E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ind w:left="340" w:hanging="227"/>
    </w:pPr>
    <w:rPr>
      <w:rFonts w:eastAsia="Times New Roman" w:cs="Times New Roman"/>
      <w:szCs w:val="20"/>
    </w:rPr>
  </w:style>
  <w:style w:type="paragraph" w:customStyle="1" w:styleId="CETReferencetext">
    <w:name w:val="CET Reference text"/>
    <w:qFormat/>
    <w:rsid w:val="00600535"/>
    <w:pPr>
      <w:ind w:left="284" w:hanging="284"/>
    </w:pPr>
    <w:rPr>
      <w:rFonts w:eastAsia="Times New Roman" w:cs="Times New Roman"/>
      <w:szCs w:val="20"/>
    </w:rPr>
  </w:style>
  <w:style w:type="paragraph" w:customStyle="1" w:styleId="CETTabletitle">
    <w:name w:val="CET Table title"/>
    <w:qFormat/>
    <w:rsid w:val="00600535"/>
    <w:pPr>
      <w:keepNext/>
      <w:spacing w:before="240" w:after="80" w:line="240" w:lineRule="exact"/>
    </w:pPr>
    <w:rPr>
      <w:rFonts w:eastAsia="Times New Roman" w:cs="Times New Roman"/>
      <w:i/>
      <w:szCs w:val="20"/>
    </w:rPr>
  </w:style>
  <w:style w:type="paragraph" w:customStyle="1" w:styleId="CETAcknowledgementstitle">
    <w:name w:val="CET Acknowledgements title"/>
    <w:next w:val="CETBodytext"/>
    <w:qFormat/>
    <w:rsid w:val="00600535"/>
    <w:pPr>
      <w:spacing w:before="200" w:after="120"/>
    </w:pPr>
    <w:rPr>
      <w:rFonts w:eastAsia="Times New Roman" w:cs="Times New Roman"/>
      <w:b/>
      <w:szCs w:val="20"/>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Pr>
  </w:style>
  <w:style w:type="character" w:styleId="PlaceholderText">
    <w:name w:val="Placeholder Text"/>
    <w:basedOn w:val="DefaultParagraphFont"/>
    <w:uiPriority w:val="99"/>
    <w:semiHidden/>
    <w:rsid w:val="00A12FEB"/>
    <w:rPr>
      <w:color w:val="666666"/>
    </w:rPr>
  </w:style>
  <w:style w:type="paragraph" w:styleId="Revision">
    <w:name w:val="Revision"/>
    <w:hidden/>
    <w:uiPriority w:val="99"/>
    <w:semiHidden/>
    <w:rsid w:val="0036659C"/>
    <w:pPr>
      <w:tabs>
        <w:tab w:val="clear" w:pos="7100"/>
      </w:tabs>
      <w:spacing w:line="240" w:lineRule="auto"/>
      <w:jc w:val="left"/>
    </w:pPr>
    <w:rPr>
      <w:rFonts w:eastAsia="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555643">
      <w:bodyDiv w:val="1"/>
      <w:marLeft w:val="0"/>
      <w:marRight w:val="0"/>
      <w:marTop w:val="0"/>
      <w:marBottom w:val="0"/>
      <w:divBdr>
        <w:top w:val="none" w:sz="0" w:space="0" w:color="auto"/>
        <w:left w:val="none" w:sz="0" w:space="0" w:color="auto"/>
        <w:bottom w:val="none" w:sz="0" w:space="0" w:color="auto"/>
        <w:right w:val="none" w:sz="0" w:space="0" w:color="auto"/>
      </w:divBdr>
      <w:divsChild>
        <w:div w:id="874847705">
          <w:marLeft w:val="0"/>
          <w:marRight w:val="0"/>
          <w:marTop w:val="0"/>
          <w:marBottom w:val="0"/>
          <w:divBdr>
            <w:top w:val="none" w:sz="0" w:space="0" w:color="auto"/>
            <w:left w:val="none" w:sz="0" w:space="0" w:color="auto"/>
            <w:bottom w:val="none" w:sz="0" w:space="0" w:color="auto"/>
            <w:right w:val="none" w:sz="0" w:space="0" w:color="auto"/>
          </w:divBdr>
          <w:divsChild>
            <w:div w:id="1194611042">
              <w:marLeft w:val="0"/>
              <w:marRight w:val="0"/>
              <w:marTop w:val="0"/>
              <w:marBottom w:val="0"/>
              <w:divBdr>
                <w:top w:val="none" w:sz="0" w:space="0" w:color="auto"/>
                <w:left w:val="none" w:sz="0" w:space="0" w:color="auto"/>
                <w:bottom w:val="none" w:sz="0" w:space="0" w:color="auto"/>
                <w:right w:val="none" w:sz="0" w:space="0" w:color="auto"/>
              </w:divBdr>
              <w:divsChild>
                <w:div w:id="1128741056">
                  <w:marLeft w:val="0"/>
                  <w:marRight w:val="0"/>
                  <w:marTop w:val="0"/>
                  <w:marBottom w:val="0"/>
                  <w:divBdr>
                    <w:top w:val="none" w:sz="0" w:space="0" w:color="auto"/>
                    <w:left w:val="none" w:sz="0" w:space="0" w:color="auto"/>
                    <w:bottom w:val="none" w:sz="0" w:space="0" w:color="auto"/>
                    <w:right w:val="none" w:sz="0" w:space="0" w:color="auto"/>
                  </w:divBdr>
                  <w:divsChild>
                    <w:div w:id="190263261">
                      <w:marLeft w:val="0"/>
                      <w:marRight w:val="0"/>
                      <w:marTop w:val="0"/>
                      <w:marBottom w:val="0"/>
                      <w:divBdr>
                        <w:top w:val="none" w:sz="0" w:space="0" w:color="auto"/>
                        <w:left w:val="none" w:sz="0" w:space="0" w:color="auto"/>
                        <w:bottom w:val="none" w:sz="0" w:space="0" w:color="auto"/>
                        <w:right w:val="none" w:sz="0" w:space="0" w:color="auto"/>
                      </w:divBdr>
                      <w:divsChild>
                        <w:div w:id="1902249097">
                          <w:marLeft w:val="0"/>
                          <w:marRight w:val="0"/>
                          <w:marTop w:val="0"/>
                          <w:marBottom w:val="0"/>
                          <w:divBdr>
                            <w:top w:val="none" w:sz="0" w:space="0" w:color="auto"/>
                            <w:left w:val="none" w:sz="0" w:space="0" w:color="auto"/>
                            <w:bottom w:val="none" w:sz="0" w:space="0" w:color="auto"/>
                            <w:right w:val="none" w:sz="0" w:space="0" w:color="auto"/>
                          </w:divBdr>
                          <w:divsChild>
                            <w:div w:id="398871520">
                              <w:marLeft w:val="0"/>
                              <w:marRight w:val="0"/>
                              <w:marTop w:val="0"/>
                              <w:marBottom w:val="0"/>
                              <w:divBdr>
                                <w:top w:val="none" w:sz="0" w:space="0" w:color="auto"/>
                                <w:left w:val="none" w:sz="0" w:space="0" w:color="auto"/>
                                <w:bottom w:val="none" w:sz="0" w:space="0" w:color="auto"/>
                                <w:right w:val="none" w:sz="0" w:space="0" w:color="auto"/>
                              </w:divBdr>
                              <w:divsChild>
                                <w:div w:id="1087001830">
                                  <w:marLeft w:val="0"/>
                                  <w:marRight w:val="0"/>
                                  <w:marTop w:val="0"/>
                                  <w:marBottom w:val="0"/>
                                  <w:divBdr>
                                    <w:top w:val="none" w:sz="0" w:space="0" w:color="auto"/>
                                    <w:left w:val="none" w:sz="0" w:space="0" w:color="auto"/>
                                    <w:bottom w:val="none" w:sz="0" w:space="0" w:color="auto"/>
                                    <w:right w:val="none" w:sz="0" w:space="0" w:color="auto"/>
                                  </w:divBdr>
                                  <w:divsChild>
                                    <w:div w:id="204363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chart" Target="charts/chart4.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chart" Target="charts/chart3.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6.xml"/><Relationship Id="rId10" Type="http://schemas.openxmlformats.org/officeDocument/2006/relationships/chart" Target="charts/chart1.xml"/><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chart" Target="charts/chart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AspenUser\Documents\exergy%20and%20resilienc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spenUser\Documents\exergy%20and%20resilienc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spenUser\Documents\exergy%20and%20resilienc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Sheet5!$E$2</c:f>
              <c:strCache>
                <c:ptCount val="1"/>
                <c:pt idx="0">
                  <c:v>Total Irreversibilities (MJ/h)</c:v>
                </c:pt>
              </c:strCache>
            </c:strRef>
          </c:tx>
          <c:spPr>
            <a:solidFill>
              <a:schemeClr val="accent1"/>
            </a:solidFill>
            <a:ln>
              <a:noFill/>
            </a:ln>
            <a:effectLst/>
          </c:spPr>
          <c:invertIfNegative val="0"/>
          <c:cat>
            <c:strRef>
              <c:f>Sheet5!$D$3:$D$7</c:f>
              <c:strCache>
                <c:ptCount val="5"/>
                <c:pt idx="0">
                  <c:v>Base</c:v>
                </c:pt>
                <c:pt idx="1">
                  <c:v>Seed conditioning</c:v>
                </c:pt>
                <c:pt idx="2">
                  <c:v>Starch extraction</c:v>
                </c:pt>
                <c:pt idx="3">
                  <c:v>Biofilm production</c:v>
                </c:pt>
                <c:pt idx="4">
                  <c:v>Biocontrol agent production</c:v>
                </c:pt>
              </c:strCache>
            </c:strRef>
          </c:cat>
          <c:val>
            <c:numRef>
              <c:f>Sheet5!$E$3:$E$7</c:f>
              <c:numCache>
                <c:formatCode>General</c:formatCode>
                <c:ptCount val="5"/>
                <c:pt idx="0">
                  <c:v>1964.8966569812137</c:v>
                </c:pt>
                <c:pt idx="1">
                  <c:v>1919.040145205583</c:v>
                </c:pt>
                <c:pt idx="2">
                  <c:v>1870.0712849808729</c:v>
                </c:pt>
                <c:pt idx="3">
                  <c:v>1866.5550984797776</c:v>
                </c:pt>
                <c:pt idx="4">
                  <c:v>1197.6764019373998</c:v>
                </c:pt>
              </c:numCache>
            </c:numRef>
          </c:val>
          <c:extLst>
            <c:ext xmlns:c16="http://schemas.microsoft.com/office/drawing/2014/chart" uri="{C3380CC4-5D6E-409C-BE32-E72D297353CC}">
              <c16:uniqueId val="{00000000-3A4C-49AF-8EEC-272B64583766}"/>
            </c:ext>
          </c:extLst>
        </c:ser>
        <c:dLbls>
          <c:showLegendKey val="0"/>
          <c:showVal val="0"/>
          <c:showCatName val="0"/>
          <c:showSerName val="0"/>
          <c:showPercent val="0"/>
          <c:showBubbleSize val="0"/>
        </c:dLbls>
        <c:gapWidth val="219"/>
        <c:axId val="1035071568"/>
        <c:axId val="1035063408"/>
      </c:barChart>
      <c:lineChart>
        <c:grouping val="standard"/>
        <c:varyColors val="0"/>
        <c:ser>
          <c:idx val="1"/>
          <c:order val="1"/>
          <c:tx>
            <c:strRef>
              <c:f>Sheet5!$F$2</c:f>
              <c:strCache>
                <c:ptCount val="1"/>
                <c:pt idx="0">
                  <c:v>Exergetic Efficiency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Sheet5!$D$3:$D$7</c:f>
              <c:strCache>
                <c:ptCount val="5"/>
                <c:pt idx="0">
                  <c:v>Base</c:v>
                </c:pt>
                <c:pt idx="1">
                  <c:v>Seed conditioning</c:v>
                </c:pt>
                <c:pt idx="2">
                  <c:v>Starch extraction</c:v>
                </c:pt>
                <c:pt idx="3">
                  <c:v>Biofilm production</c:v>
                </c:pt>
                <c:pt idx="4">
                  <c:v>Biocontrol agent production</c:v>
                </c:pt>
              </c:strCache>
            </c:strRef>
          </c:cat>
          <c:val>
            <c:numRef>
              <c:f>Sheet5!$F$3:$F$7</c:f>
              <c:numCache>
                <c:formatCode>0.0%</c:formatCode>
                <c:ptCount val="5"/>
                <c:pt idx="0">
                  <c:v>1.3044342816506571E-2</c:v>
                </c:pt>
                <c:pt idx="1">
                  <c:v>3.607779017612156E-2</c:v>
                </c:pt>
                <c:pt idx="2">
                  <c:v>6.0674551259148668E-2</c:v>
                </c:pt>
                <c:pt idx="3">
                  <c:v>6.2440710383415143E-2</c:v>
                </c:pt>
                <c:pt idx="4">
                  <c:v>0.39841441728373317</c:v>
                </c:pt>
              </c:numCache>
            </c:numRef>
          </c:val>
          <c:smooth val="0"/>
          <c:extLst>
            <c:ext xmlns:c16="http://schemas.microsoft.com/office/drawing/2014/chart" uri="{C3380CC4-5D6E-409C-BE32-E72D297353CC}">
              <c16:uniqueId val="{00000001-3A4C-49AF-8EEC-272B64583766}"/>
            </c:ext>
          </c:extLst>
        </c:ser>
        <c:dLbls>
          <c:showLegendKey val="0"/>
          <c:showVal val="0"/>
          <c:showCatName val="0"/>
          <c:showSerName val="0"/>
          <c:showPercent val="0"/>
          <c:showBubbleSize val="0"/>
        </c:dLbls>
        <c:marker val="1"/>
        <c:smooth val="0"/>
        <c:axId val="716918512"/>
        <c:axId val="716912752"/>
      </c:lineChart>
      <c:catAx>
        <c:axId val="10350715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1035063408"/>
        <c:crosses val="autoZero"/>
        <c:auto val="1"/>
        <c:lblAlgn val="ctr"/>
        <c:lblOffset val="100"/>
        <c:noMultiLvlLbl val="0"/>
      </c:catAx>
      <c:valAx>
        <c:axId val="103506340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1035071568"/>
        <c:crosses val="autoZero"/>
        <c:crossBetween val="between"/>
      </c:valAx>
      <c:valAx>
        <c:axId val="716912752"/>
        <c:scaling>
          <c:orientation val="minMax"/>
        </c:scaling>
        <c:delete val="0"/>
        <c:axPos val="r"/>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716918512"/>
        <c:crosses val="max"/>
        <c:crossBetween val="between"/>
        <c:majorUnit val="0.1"/>
      </c:valAx>
      <c:catAx>
        <c:axId val="716918512"/>
        <c:scaling>
          <c:orientation val="minMax"/>
        </c:scaling>
        <c:delete val="1"/>
        <c:axPos val="b"/>
        <c:numFmt formatCode="General" sourceLinked="1"/>
        <c:majorTickMark val="out"/>
        <c:minorTickMark val="none"/>
        <c:tickLblPos val="nextTo"/>
        <c:crossAx val="716912752"/>
        <c:crosses val="autoZero"/>
        <c:auto val="1"/>
        <c:lblAlgn val="ctr"/>
        <c:lblOffset val="100"/>
        <c:noMultiLvlLbl val="0"/>
      </c:catAx>
      <c:spPr>
        <a:noFill/>
        <a:ln>
          <a:solidFill>
            <a:schemeClr val="tx1"/>
          </a:solidFill>
        </a:ln>
        <a:effectLst/>
      </c:spPr>
    </c:plotArea>
    <c:legend>
      <c:legendPos val="b"/>
      <c:layout>
        <c:manualLayout>
          <c:xMode val="edge"/>
          <c:yMode val="edge"/>
          <c:x val="6.1843269591301098E-2"/>
          <c:y val="0.82411943877385696"/>
          <c:w val="0.84297975253093349"/>
          <c:h val="0.1450163636952788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69886828662545"/>
          <c:y val="5.6237218813905927E-2"/>
          <c:w val="0.70782594762863937"/>
          <c:h val="0.39767362285235819"/>
        </c:manualLayout>
      </c:layout>
      <c:barChart>
        <c:barDir val="col"/>
        <c:grouping val="clustered"/>
        <c:varyColors val="0"/>
        <c:ser>
          <c:idx val="0"/>
          <c:order val="0"/>
          <c:tx>
            <c:strRef>
              <c:f>Sheet5!$E$10</c:f>
              <c:strCache>
                <c:ptCount val="1"/>
                <c:pt idx="0">
                  <c:v>Total Irreversibilities (MJ/h)</c:v>
                </c:pt>
              </c:strCache>
            </c:strRef>
          </c:tx>
          <c:spPr>
            <a:solidFill>
              <a:schemeClr val="accent1"/>
            </a:solidFill>
            <a:ln>
              <a:noFill/>
            </a:ln>
            <a:effectLst/>
          </c:spPr>
          <c:invertIfNegative val="0"/>
          <c:cat>
            <c:strRef>
              <c:f>Sheet5!$D$11:$D$15</c:f>
              <c:strCache>
                <c:ptCount val="5"/>
                <c:pt idx="0">
                  <c:v>Base</c:v>
                </c:pt>
                <c:pt idx="1">
                  <c:v>Seed conditioning</c:v>
                </c:pt>
                <c:pt idx="2">
                  <c:v>Starch extraction</c:v>
                </c:pt>
                <c:pt idx="3">
                  <c:v>Biofilm production</c:v>
                </c:pt>
                <c:pt idx="4">
                  <c:v>Biocontrol agent production</c:v>
                </c:pt>
              </c:strCache>
            </c:strRef>
          </c:cat>
          <c:val>
            <c:numRef>
              <c:f>Sheet5!$E$11:$E$15</c:f>
              <c:numCache>
                <c:formatCode>General</c:formatCode>
                <c:ptCount val="5"/>
                <c:pt idx="0">
                  <c:v>1964.896657</c:v>
                </c:pt>
                <c:pt idx="1">
                  <c:v>1919.0401449999999</c:v>
                </c:pt>
                <c:pt idx="2">
                  <c:v>1824.2147729999999</c:v>
                </c:pt>
                <c:pt idx="3">
                  <c:v>1725.8732150000001</c:v>
                </c:pt>
                <c:pt idx="4">
                  <c:v>958.6529597</c:v>
                </c:pt>
              </c:numCache>
            </c:numRef>
          </c:val>
          <c:extLst>
            <c:ext xmlns:c16="http://schemas.microsoft.com/office/drawing/2014/chart" uri="{C3380CC4-5D6E-409C-BE32-E72D297353CC}">
              <c16:uniqueId val="{00000000-7780-4EAA-81DF-33CBEB5C23C8}"/>
            </c:ext>
          </c:extLst>
        </c:ser>
        <c:dLbls>
          <c:showLegendKey val="0"/>
          <c:showVal val="0"/>
          <c:showCatName val="0"/>
          <c:showSerName val="0"/>
          <c:showPercent val="0"/>
          <c:showBubbleSize val="0"/>
        </c:dLbls>
        <c:gapWidth val="219"/>
        <c:axId val="716931472"/>
        <c:axId val="716915152"/>
      </c:barChart>
      <c:lineChart>
        <c:grouping val="standard"/>
        <c:varyColors val="0"/>
        <c:ser>
          <c:idx val="1"/>
          <c:order val="1"/>
          <c:tx>
            <c:strRef>
              <c:f>Sheet5!$F$10</c:f>
              <c:strCache>
                <c:ptCount val="1"/>
                <c:pt idx="0">
                  <c:v>Exergetic Efficiency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Sheet5!$D$11:$D$15</c:f>
              <c:strCache>
                <c:ptCount val="5"/>
                <c:pt idx="0">
                  <c:v>Base</c:v>
                </c:pt>
                <c:pt idx="1">
                  <c:v>Seed conditioning</c:v>
                </c:pt>
                <c:pt idx="2">
                  <c:v>Starch extraction</c:v>
                </c:pt>
                <c:pt idx="3">
                  <c:v>Biofilm production</c:v>
                </c:pt>
                <c:pt idx="4">
                  <c:v>Biocontrol agent production</c:v>
                </c:pt>
              </c:strCache>
            </c:strRef>
          </c:cat>
          <c:val>
            <c:numRef>
              <c:f>Sheet5!$F$11:$F$15</c:f>
              <c:numCache>
                <c:formatCode>0.00%</c:formatCode>
                <c:ptCount val="5"/>
                <c:pt idx="0">
                  <c:v>1.2999999999999999E-2</c:v>
                </c:pt>
                <c:pt idx="1">
                  <c:v>3.5999999999999997E-2</c:v>
                </c:pt>
                <c:pt idx="2">
                  <c:v>8.4000000000000005E-2</c:v>
                </c:pt>
                <c:pt idx="3">
                  <c:v>0.13300000000000001</c:v>
                </c:pt>
                <c:pt idx="4">
                  <c:v>0.51800000000000002</c:v>
                </c:pt>
              </c:numCache>
            </c:numRef>
          </c:val>
          <c:smooth val="0"/>
          <c:extLst>
            <c:ext xmlns:c16="http://schemas.microsoft.com/office/drawing/2014/chart" uri="{C3380CC4-5D6E-409C-BE32-E72D297353CC}">
              <c16:uniqueId val="{00000001-7780-4EAA-81DF-33CBEB5C23C8}"/>
            </c:ext>
          </c:extLst>
        </c:ser>
        <c:dLbls>
          <c:showLegendKey val="0"/>
          <c:showVal val="0"/>
          <c:showCatName val="0"/>
          <c:showSerName val="0"/>
          <c:showPercent val="0"/>
          <c:showBubbleSize val="0"/>
        </c:dLbls>
        <c:marker val="1"/>
        <c:smooth val="0"/>
        <c:axId val="1035065808"/>
        <c:axId val="1035082128"/>
      </c:lineChart>
      <c:catAx>
        <c:axId val="716931472"/>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716915152"/>
        <c:crosses val="autoZero"/>
        <c:auto val="1"/>
        <c:lblAlgn val="ctr"/>
        <c:lblOffset val="100"/>
        <c:noMultiLvlLbl val="0"/>
      </c:catAx>
      <c:valAx>
        <c:axId val="7169151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716931472"/>
        <c:crosses val="autoZero"/>
        <c:crossBetween val="between"/>
      </c:valAx>
      <c:valAx>
        <c:axId val="1035082128"/>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1035065808"/>
        <c:crosses val="max"/>
        <c:crossBetween val="between"/>
      </c:valAx>
      <c:catAx>
        <c:axId val="1035065808"/>
        <c:scaling>
          <c:orientation val="minMax"/>
        </c:scaling>
        <c:delete val="1"/>
        <c:axPos val="b"/>
        <c:numFmt formatCode="General" sourceLinked="1"/>
        <c:majorTickMark val="out"/>
        <c:minorTickMark val="none"/>
        <c:tickLblPos val="nextTo"/>
        <c:crossAx val="1035082128"/>
        <c:crosses val="autoZero"/>
        <c:auto val="1"/>
        <c:lblAlgn val="ctr"/>
        <c:lblOffset val="100"/>
        <c:noMultiLvlLbl val="0"/>
      </c:catAx>
      <c:spPr>
        <a:noFill/>
        <a:ln>
          <a:solidFill>
            <a:schemeClr val="tx1"/>
          </a:solidFill>
        </a:ln>
        <a:effectLst/>
      </c:spPr>
    </c:plotArea>
    <c:legend>
      <c:legendPos val="b"/>
      <c:layout>
        <c:manualLayout>
          <c:xMode val="edge"/>
          <c:yMode val="edge"/>
          <c:x val="4.7433183755256403E-2"/>
          <c:y val="0.85587330724763699"/>
          <c:w val="0.89617270623430134"/>
          <c:h val="0.14412669275236301"/>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Sheet5!$E$21</c:f>
              <c:strCache>
                <c:ptCount val="1"/>
                <c:pt idx="0">
                  <c:v>Global Exergy Efficiency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Sheet5!$D$22:$D$32</c:f>
              <c:numCache>
                <c:formatCode>0%</c:formatCode>
                <c:ptCount val="11"/>
                <c:pt idx="0">
                  <c:v>2.5796611421431082E-2</c:v>
                </c:pt>
                <c:pt idx="1">
                  <c:v>0.12579661142143109</c:v>
                </c:pt>
                <c:pt idx="2">
                  <c:v>0.22579661142143109</c:v>
                </c:pt>
                <c:pt idx="3">
                  <c:v>0.32579661142143113</c:v>
                </c:pt>
                <c:pt idx="4">
                  <c:v>0.4257966114214311</c:v>
                </c:pt>
                <c:pt idx="5">
                  <c:v>0.52579661142143108</c:v>
                </c:pt>
                <c:pt idx="6">
                  <c:v>0.62579661142143106</c:v>
                </c:pt>
                <c:pt idx="7">
                  <c:v>0.72579661142143104</c:v>
                </c:pt>
                <c:pt idx="8">
                  <c:v>0.82579661142143101</c:v>
                </c:pt>
                <c:pt idx="9">
                  <c:v>0.92579661142143099</c:v>
                </c:pt>
                <c:pt idx="10">
                  <c:v>0.99579661142143094</c:v>
                </c:pt>
              </c:numCache>
            </c:numRef>
          </c:xVal>
          <c:yVal>
            <c:numRef>
              <c:f>Sheet5!$E$22:$E$32</c:f>
              <c:numCache>
                <c:formatCode>0.00%</c:formatCode>
                <c:ptCount val="11"/>
                <c:pt idx="0">
                  <c:v>1.3044342816506571E-2</c:v>
                </c:pt>
                <c:pt idx="1">
                  <c:v>6.3610452463255404E-2</c:v>
                </c:pt>
                <c:pt idx="2">
                  <c:v>0.11417656211000424</c:v>
                </c:pt>
                <c:pt idx="3">
                  <c:v>0.16474267175675308</c:v>
                </c:pt>
                <c:pt idx="4">
                  <c:v>0.21530878140350188</c:v>
                </c:pt>
                <c:pt idx="5">
                  <c:v>0.26587489105025069</c:v>
                </c:pt>
                <c:pt idx="6">
                  <c:v>0.31644100069699954</c:v>
                </c:pt>
                <c:pt idx="7">
                  <c:v>0.36700711034374833</c:v>
                </c:pt>
                <c:pt idx="8">
                  <c:v>0.41757321999049712</c:v>
                </c:pt>
                <c:pt idx="9">
                  <c:v>0.46813932963724592</c:v>
                </c:pt>
                <c:pt idx="10">
                  <c:v>0.50353560638997008</c:v>
                </c:pt>
              </c:numCache>
            </c:numRef>
          </c:yVal>
          <c:smooth val="0"/>
          <c:extLst>
            <c:ext xmlns:c16="http://schemas.microsoft.com/office/drawing/2014/chart" uri="{C3380CC4-5D6E-409C-BE32-E72D297353CC}">
              <c16:uniqueId val="{00000000-FD9C-4169-83C3-9BA5A15233DF}"/>
            </c:ext>
          </c:extLst>
        </c:ser>
        <c:dLbls>
          <c:showLegendKey val="0"/>
          <c:showVal val="0"/>
          <c:showCatName val="0"/>
          <c:showSerName val="0"/>
          <c:showPercent val="0"/>
          <c:showBubbleSize val="0"/>
        </c:dLbls>
        <c:axId val="1164017664"/>
        <c:axId val="1164019584"/>
      </c:scatterChart>
      <c:valAx>
        <c:axId val="1164017664"/>
        <c:scaling>
          <c:orientation val="minMax"/>
          <c:max val="1"/>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a:t>Starch Extraction Exergy Efficiency (%) </a:t>
                </a:r>
              </a:p>
            </c:rich>
          </c:tx>
          <c:layout>
            <c:manualLayout>
              <c:xMode val="edge"/>
              <c:yMode val="edge"/>
              <c:x val="0.23873519188479819"/>
              <c:y val="0.85961863659964455"/>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title>
        <c:numFmt formatCode="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1164019584"/>
        <c:crosses val="autoZero"/>
        <c:crossBetween val="midCat"/>
      </c:valAx>
      <c:valAx>
        <c:axId val="1164019584"/>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a:t>Global Exergy Efficiency (%)</a:t>
                </a:r>
              </a:p>
            </c:rich>
          </c:tx>
          <c:layout>
            <c:manualLayout>
              <c:xMode val="edge"/>
              <c:yMode val="edge"/>
              <c:x val="2.6726608498262042E-2"/>
              <c:y val="5.7075896365948814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title>
        <c:numFmt formatCode="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1164017664"/>
        <c:crosses val="autoZero"/>
        <c:crossBetween val="midCat"/>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234002664560547"/>
          <c:y val="6.9444444444444448E-2"/>
          <c:w val="0.62779918467638351"/>
          <c:h val="0.67849660684306357"/>
        </c:manualLayout>
      </c:layout>
      <c:scatterChart>
        <c:scatterStyle val="smoothMarker"/>
        <c:varyColors val="0"/>
        <c:ser>
          <c:idx val="0"/>
          <c:order val="0"/>
          <c:tx>
            <c:strRef>
              <c:f>Sheet5!$H$21</c:f>
              <c:strCache>
                <c:ptCount val="1"/>
                <c:pt idx="0">
                  <c:v>Global Exergy Efficiency (%)</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Sheet5!$G$22:$G$32</c:f>
              <c:numCache>
                <c:formatCode>0%</c:formatCode>
                <c:ptCount val="11"/>
                <c:pt idx="0" formatCode="0.0%">
                  <c:v>5.9267777378568032E-2</c:v>
                </c:pt>
                <c:pt idx="1">
                  <c:v>0.15926777737856804</c:v>
                </c:pt>
                <c:pt idx="2">
                  <c:v>0.25926777737856804</c:v>
                </c:pt>
                <c:pt idx="3">
                  <c:v>0.35926777737856808</c:v>
                </c:pt>
                <c:pt idx="4">
                  <c:v>0.45926777737856805</c:v>
                </c:pt>
                <c:pt idx="5">
                  <c:v>0.55926777737856803</c:v>
                </c:pt>
                <c:pt idx="6">
                  <c:v>0.65926777737856801</c:v>
                </c:pt>
                <c:pt idx="7">
                  <c:v>0.75926777737856799</c:v>
                </c:pt>
                <c:pt idx="8">
                  <c:v>0.85926777737856797</c:v>
                </c:pt>
                <c:pt idx="9">
                  <c:v>0.95926777737856794</c:v>
                </c:pt>
                <c:pt idx="10">
                  <c:v>0.99926777737856798</c:v>
                </c:pt>
              </c:numCache>
            </c:numRef>
          </c:xVal>
          <c:yVal>
            <c:numRef>
              <c:f>Sheet5!$H$22:$H$32</c:f>
              <c:numCache>
                <c:formatCode>0.00%</c:formatCode>
                <c:ptCount val="11"/>
                <c:pt idx="0" formatCode="0.0%">
                  <c:v>1.3044342816506571E-2</c:v>
                </c:pt>
                <c:pt idx="1">
                  <c:v>3.5053507650184931E-2</c:v>
                </c:pt>
                <c:pt idx="2">
                  <c:v>5.7062672483863285E-2</c:v>
                </c:pt>
                <c:pt idx="3">
                  <c:v>7.9071837317541652E-2</c:v>
                </c:pt>
                <c:pt idx="4">
                  <c:v>0.10108100215122001</c:v>
                </c:pt>
                <c:pt idx="5">
                  <c:v>0.12309016698489836</c:v>
                </c:pt>
                <c:pt idx="6">
                  <c:v>0.1450993318185767</c:v>
                </c:pt>
                <c:pt idx="7">
                  <c:v>0.16710849665225505</c:v>
                </c:pt>
                <c:pt idx="8">
                  <c:v>0.1891176614859334</c:v>
                </c:pt>
                <c:pt idx="9">
                  <c:v>0.21112682631961177</c:v>
                </c:pt>
                <c:pt idx="10">
                  <c:v>0.21993049225308314</c:v>
                </c:pt>
              </c:numCache>
            </c:numRef>
          </c:yVal>
          <c:smooth val="1"/>
          <c:extLst>
            <c:ext xmlns:c16="http://schemas.microsoft.com/office/drawing/2014/chart" uri="{C3380CC4-5D6E-409C-BE32-E72D297353CC}">
              <c16:uniqueId val="{00000000-5BCC-4E11-A8E7-447F0EB55B27}"/>
            </c:ext>
          </c:extLst>
        </c:ser>
        <c:dLbls>
          <c:showLegendKey val="0"/>
          <c:showVal val="0"/>
          <c:showCatName val="0"/>
          <c:showSerName val="0"/>
          <c:showPercent val="0"/>
          <c:showBubbleSize val="0"/>
        </c:dLbls>
        <c:axId val="1164020064"/>
        <c:axId val="1164015264"/>
      </c:scatterChart>
      <c:valAx>
        <c:axId val="1164020064"/>
        <c:scaling>
          <c:orientation val="minMax"/>
          <c:max val="1"/>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a:t>Biocontrol</a:t>
                </a:r>
                <a:r>
                  <a:rPr lang="es-ES" baseline="0"/>
                  <a:t> Agent Production </a:t>
                </a:r>
                <a:r>
                  <a:rPr lang="es-ES"/>
                  <a:t>Exergy Efficiency (%) </a:t>
                </a:r>
              </a:p>
            </c:rich>
          </c:tx>
          <c:layout>
            <c:manualLayout>
              <c:xMode val="edge"/>
              <c:yMode val="edge"/>
              <c:x val="0.24701074599717587"/>
              <c:y val="0.8396027523586578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title>
        <c:numFmt formatCode="0.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1164015264"/>
        <c:crosses val="autoZero"/>
        <c:crossBetween val="midCat"/>
      </c:valAx>
      <c:valAx>
        <c:axId val="1164015264"/>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a:t>Global Exergy Efficiency (%)</a:t>
                </a:r>
              </a:p>
            </c:rich>
          </c:tx>
          <c:layout>
            <c:manualLayout>
              <c:xMode val="edge"/>
              <c:yMode val="edge"/>
              <c:x val="2.4430589793297115E-2"/>
              <c:y val="8.9875860112080569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title>
        <c:numFmt formatCode="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1164020064"/>
        <c:crosses val="autoZero"/>
        <c:crossBetween val="midCat"/>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88780968247232"/>
          <c:y val="5.6723040054775763E-2"/>
          <c:w val="0.67005149805376141"/>
          <c:h val="0.74387357830271217"/>
        </c:manualLayout>
      </c:layout>
      <c:scatterChart>
        <c:scatterStyle val="smoothMarker"/>
        <c:varyColors val="0"/>
        <c:ser>
          <c:idx val="0"/>
          <c:order val="0"/>
          <c:tx>
            <c:strRef>
              <c:f>Sheet5!$G$36</c:f>
              <c:strCache>
                <c:ptCount val="1"/>
                <c:pt idx="0">
                  <c:v>Total Irreversibilities (MJ/h)</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Sheet5!$D$37:$D$47</c:f>
              <c:numCache>
                <c:formatCode>0%</c:formatCode>
                <c:ptCount val="11"/>
                <c:pt idx="0">
                  <c:v>0</c:v>
                </c:pt>
                <c:pt idx="1">
                  <c:v>0.1</c:v>
                </c:pt>
                <c:pt idx="2">
                  <c:v>0.2</c:v>
                </c:pt>
                <c:pt idx="3">
                  <c:v>0.30000000000000004</c:v>
                </c:pt>
                <c:pt idx="4">
                  <c:v>0.4</c:v>
                </c:pt>
                <c:pt idx="5">
                  <c:v>0.5</c:v>
                </c:pt>
                <c:pt idx="6">
                  <c:v>0.6</c:v>
                </c:pt>
                <c:pt idx="7">
                  <c:v>0.7</c:v>
                </c:pt>
                <c:pt idx="8">
                  <c:v>0.79999999999999993</c:v>
                </c:pt>
                <c:pt idx="9">
                  <c:v>0.89999999999999991</c:v>
                </c:pt>
                <c:pt idx="10">
                  <c:v>0.99999999999999989</c:v>
                </c:pt>
              </c:numCache>
            </c:numRef>
          </c:xVal>
          <c:yVal>
            <c:numRef>
              <c:f>Sheet5!$G$37:$G$47</c:f>
              <c:numCache>
                <c:formatCode>General</c:formatCode>
                <c:ptCount val="11"/>
                <c:pt idx="0">
                  <c:v>1964.8966569812137</c:v>
                </c:pt>
                <c:pt idx="1">
                  <c:v>1869.0313610152145</c:v>
                </c:pt>
                <c:pt idx="2">
                  <c:v>1696.473828276416</c:v>
                </c:pt>
                <c:pt idx="3">
                  <c:v>1489.4047889898577</c:v>
                </c:pt>
                <c:pt idx="4">
                  <c:v>1296.1403523224033</c:v>
                </c:pt>
                <c:pt idx="5">
                  <c:v>1151.1920248218125</c:v>
                </c:pt>
                <c:pt idx="6">
                  <c:v>1064.2230283214581</c:v>
                </c:pt>
                <c:pt idx="7">
                  <c:v>1023.6374966212926</c:v>
                </c:pt>
                <c:pt idx="8">
                  <c:v>1009.7224571812359</c:v>
                </c:pt>
                <c:pt idx="9">
                  <c:v>1006.5915733072231</c:v>
                </c:pt>
                <c:pt idx="10">
                  <c:v>1006.2436973212217</c:v>
                </c:pt>
              </c:numCache>
            </c:numRef>
          </c:yVal>
          <c:smooth val="1"/>
          <c:extLst>
            <c:ext xmlns:c16="http://schemas.microsoft.com/office/drawing/2014/chart" uri="{C3380CC4-5D6E-409C-BE32-E72D297353CC}">
              <c16:uniqueId val="{00000000-1C47-414C-8FDB-1B80B9DB361A}"/>
            </c:ext>
          </c:extLst>
        </c:ser>
        <c:dLbls>
          <c:showLegendKey val="0"/>
          <c:showVal val="0"/>
          <c:showCatName val="0"/>
          <c:showSerName val="0"/>
          <c:showPercent val="0"/>
          <c:showBubbleSize val="0"/>
        </c:dLbls>
        <c:axId val="1163994624"/>
        <c:axId val="1163996064"/>
      </c:scatterChart>
      <c:scatterChart>
        <c:scatterStyle val="smoothMarker"/>
        <c:varyColors val="0"/>
        <c:ser>
          <c:idx val="1"/>
          <c:order val="1"/>
          <c:tx>
            <c:strRef>
              <c:f>Sheet5!$H$36</c:f>
              <c:strCache>
                <c:ptCount val="1"/>
                <c:pt idx="0">
                  <c:v>Global Exergy Efficiency (%)</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Sheet5!$D$37:$D$47</c:f>
              <c:numCache>
                <c:formatCode>0%</c:formatCode>
                <c:ptCount val="11"/>
                <c:pt idx="0">
                  <c:v>0</c:v>
                </c:pt>
                <c:pt idx="1">
                  <c:v>0.1</c:v>
                </c:pt>
                <c:pt idx="2">
                  <c:v>0.2</c:v>
                </c:pt>
                <c:pt idx="3">
                  <c:v>0.30000000000000004</c:v>
                </c:pt>
                <c:pt idx="4">
                  <c:v>0.4</c:v>
                </c:pt>
                <c:pt idx="5">
                  <c:v>0.5</c:v>
                </c:pt>
                <c:pt idx="6">
                  <c:v>0.6</c:v>
                </c:pt>
                <c:pt idx="7">
                  <c:v>0.7</c:v>
                </c:pt>
                <c:pt idx="8">
                  <c:v>0.79999999999999993</c:v>
                </c:pt>
                <c:pt idx="9">
                  <c:v>0.89999999999999991</c:v>
                </c:pt>
                <c:pt idx="10">
                  <c:v>0.99999999999999989</c:v>
                </c:pt>
              </c:numCache>
            </c:numRef>
          </c:xVal>
          <c:yVal>
            <c:numRef>
              <c:f>Sheet5!$H$37:$H$47</c:f>
              <c:numCache>
                <c:formatCode>0.00%</c:formatCode>
                <c:ptCount val="11"/>
                <c:pt idx="0">
                  <c:v>1.3044342816506571E-2</c:v>
                </c:pt>
                <c:pt idx="1">
                  <c:v>6.11968987512167E-2</c:v>
                </c:pt>
                <c:pt idx="2">
                  <c:v>0.14787149943369493</c:v>
                </c:pt>
                <c:pt idx="3">
                  <c:v>0.2518810202526689</c:v>
                </c:pt>
                <c:pt idx="4">
                  <c:v>0.34895657301704452</c:v>
                </c:pt>
                <c:pt idx="5">
                  <c:v>0.42176323759032619</c:v>
                </c:pt>
                <c:pt idx="6">
                  <c:v>0.46544723633429519</c:v>
                </c:pt>
                <c:pt idx="7">
                  <c:v>0.48583310241481414</c:v>
                </c:pt>
                <c:pt idx="8">
                  <c:v>0.49282254221384914</c:v>
                </c:pt>
                <c:pt idx="9">
                  <c:v>0.49439516616863199</c:v>
                </c:pt>
                <c:pt idx="10">
                  <c:v>0.49456990216360797</c:v>
                </c:pt>
              </c:numCache>
            </c:numRef>
          </c:yVal>
          <c:smooth val="1"/>
          <c:extLst>
            <c:ext xmlns:c16="http://schemas.microsoft.com/office/drawing/2014/chart" uri="{C3380CC4-5D6E-409C-BE32-E72D297353CC}">
              <c16:uniqueId val="{00000001-1C47-414C-8FDB-1B80B9DB361A}"/>
            </c:ext>
          </c:extLst>
        </c:ser>
        <c:dLbls>
          <c:showLegendKey val="0"/>
          <c:showVal val="0"/>
          <c:showCatName val="0"/>
          <c:showSerName val="0"/>
          <c:showPercent val="0"/>
          <c:showBubbleSize val="0"/>
        </c:dLbls>
        <c:axId val="1035081648"/>
        <c:axId val="1035077328"/>
      </c:scatterChart>
      <c:valAx>
        <c:axId val="1163994624"/>
        <c:scaling>
          <c:orientation val="minMax"/>
          <c:max val="1"/>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sz="800" b="1"/>
                  <a:t>Unavoidable losses reduction </a:t>
                </a:r>
              </a:p>
            </c:rich>
          </c:tx>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title>
        <c:numFmt formatCode="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1163996064"/>
        <c:crosses val="autoZero"/>
        <c:crossBetween val="midCat"/>
      </c:valAx>
      <c:valAx>
        <c:axId val="1163996064"/>
        <c:scaling>
          <c:orientation val="minMax"/>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sz="800" b="1"/>
                  <a:t>Total Irreversibilities (MJ/h)</a:t>
                </a:r>
              </a:p>
            </c:rich>
          </c:tx>
          <c:layout>
            <c:manualLayout>
              <c:xMode val="edge"/>
              <c:yMode val="edge"/>
              <c:x val="1.6982046405875913E-2"/>
              <c:y val="0.1142421545132945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1163994624"/>
        <c:crosses val="autoZero"/>
        <c:crossBetween val="midCat"/>
      </c:valAx>
      <c:valAx>
        <c:axId val="1035077328"/>
        <c:scaling>
          <c:orientation val="minMax"/>
        </c:scaling>
        <c:delete val="0"/>
        <c:axPos val="r"/>
        <c:title>
          <c:tx>
            <c:rich>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sz="800" b="1"/>
                  <a:t>Global Exergy Efficiency (%) </a:t>
                </a:r>
              </a:p>
            </c:rich>
          </c:tx>
          <c:layout>
            <c:manualLayout>
              <c:xMode val="edge"/>
              <c:yMode val="edge"/>
              <c:x val="0.93580162509626419"/>
              <c:y val="5.63113089124729E-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1035081648"/>
        <c:crosses val="max"/>
        <c:crossBetween val="midCat"/>
      </c:valAx>
      <c:valAx>
        <c:axId val="1035081648"/>
        <c:scaling>
          <c:orientation val="minMax"/>
        </c:scaling>
        <c:delete val="1"/>
        <c:axPos val="b"/>
        <c:numFmt formatCode="0%" sourceLinked="1"/>
        <c:majorTickMark val="out"/>
        <c:minorTickMark val="none"/>
        <c:tickLblPos val="nextTo"/>
        <c:crossAx val="1035077328"/>
        <c:crosses val="autoZero"/>
        <c:crossBetween val="midCat"/>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131247021232321"/>
          <c:y val="7.8347578347578342E-2"/>
          <c:w val="0.68386229534607412"/>
          <c:h val="0.72609193081634027"/>
        </c:manualLayout>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Sheet5!$E$53:$E$57</c:f>
              <c:numCache>
                <c:formatCode>General</c:formatCode>
                <c:ptCount val="5"/>
                <c:pt idx="0">
                  <c:v>1093.3926607930987</c:v>
                </c:pt>
                <c:pt idx="1">
                  <c:v>1623.6966631557575</c:v>
                </c:pt>
                <c:pt idx="2">
                  <c:v>1741.8969866696402</c:v>
                </c:pt>
                <c:pt idx="3">
                  <c:v>1857.6577300416793</c:v>
                </c:pt>
                <c:pt idx="4">
                  <c:v>2679.0244626777394</c:v>
                </c:pt>
              </c:numCache>
            </c:numRef>
          </c:xVal>
          <c:yVal>
            <c:numRef>
              <c:f>Sheet5!$G$53:$G$57</c:f>
              <c:numCache>
                <c:formatCode>0.0%</c:formatCode>
                <c:ptCount val="5"/>
                <c:pt idx="0">
                  <c:v>1.3044342816506571E-2</c:v>
                </c:pt>
                <c:pt idx="1">
                  <c:v>3.6077790176121671E-2</c:v>
                </c:pt>
                <c:pt idx="2">
                  <c:v>8.3707998618763657E-2</c:v>
                </c:pt>
                <c:pt idx="3">
                  <c:v>0.13310436618567212</c:v>
                </c:pt>
                <c:pt idx="4">
                  <c:v>0.5184744406528986</c:v>
                </c:pt>
              </c:numCache>
            </c:numRef>
          </c:yVal>
          <c:smooth val="0"/>
          <c:extLst>
            <c:ext xmlns:c16="http://schemas.microsoft.com/office/drawing/2014/chart" uri="{C3380CC4-5D6E-409C-BE32-E72D297353CC}">
              <c16:uniqueId val="{00000000-6961-4175-8E2F-4E1B8042C4D3}"/>
            </c:ext>
          </c:extLst>
        </c:ser>
        <c:dLbls>
          <c:showLegendKey val="0"/>
          <c:showVal val="0"/>
          <c:showCatName val="0"/>
          <c:showSerName val="0"/>
          <c:showPercent val="0"/>
          <c:showBubbleSize val="0"/>
        </c:dLbls>
        <c:axId val="716923792"/>
        <c:axId val="716929072"/>
      </c:scatterChart>
      <c:valAx>
        <c:axId val="716923792"/>
        <c:scaling>
          <c:orientation val="minMax"/>
          <c:max val="2800"/>
          <c:min val="1000"/>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b="1"/>
                  <a:t>Accumulated</a:t>
                </a:r>
                <a:r>
                  <a:rPr lang="es-ES" b="1" baseline="0"/>
                  <a:t> o</a:t>
                </a:r>
                <a:r>
                  <a:rPr lang="es-ES" b="1"/>
                  <a:t>utput exergy (MJ/h) </a:t>
                </a:r>
              </a:p>
            </c:rich>
          </c:tx>
          <c:layout>
            <c:manualLayout>
              <c:xMode val="edge"/>
              <c:yMode val="edge"/>
              <c:x val="0.35337985245450459"/>
              <c:y val="0.90601823810485227"/>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716929072"/>
        <c:crosses val="autoZero"/>
        <c:crossBetween val="midCat"/>
      </c:valAx>
      <c:valAx>
        <c:axId val="716929072"/>
        <c:scaling>
          <c:orientation val="minMax"/>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b="1"/>
                  <a:t>Global Exergy Efficiency (%) </a:t>
                </a:r>
              </a:p>
            </c:rich>
          </c:tx>
          <c:layout>
            <c:manualLayout>
              <c:xMode val="edge"/>
              <c:yMode val="edge"/>
              <c:x val="4.550315162011398E-2"/>
              <c:y val="4.2735042735042736E-2"/>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title>
        <c:numFmt formatCode="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716923792"/>
        <c:crosses val="autoZero"/>
        <c:crossBetween val="midCat"/>
      </c:valAx>
      <c:spPr>
        <a:noFill/>
        <a:ln>
          <a:solidFill>
            <a:schemeClr val="tx1"/>
          </a:solidFill>
        </a:ln>
        <a:effectLst/>
      </c:spPr>
    </c:plotArea>
    <c:plotVisOnly val="1"/>
    <c:dispBlanksAs val="gap"/>
    <c:showDLblsOverMax val="0"/>
    <c:extLst/>
  </c:chart>
  <c:spPr>
    <a:solidFill>
      <a:schemeClr val="bg1"/>
    </a:solidFill>
    <a:ln w="9525" cap="flat" cmpd="sng" algn="ctr">
      <a:solidFill>
        <a:schemeClr val="tx1"/>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E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98440866533475"/>
          <c:y val="7.7683615819209045E-2"/>
          <c:w val="0.65701061621028722"/>
          <c:h val="0.72135103874727524"/>
        </c:manualLayout>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Sheet5!$G$64:$G$68</c:f>
              <c:numCache>
                <c:formatCode>General</c:formatCode>
                <c:ptCount val="5"/>
                <c:pt idx="0">
                  <c:v>1093.3926607930987</c:v>
                </c:pt>
                <c:pt idx="1">
                  <c:v>1623.6966631557575</c:v>
                </c:pt>
                <c:pt idx="2">
                  <c:v>1741.8969866696402</c:v>
                </c:pt>
                <c:pt idx="3">
                  <c:v>1857.6577300416793</c:v>
                </c:pt>
                <c:pt idx="4">
                  <c:v>2679.0244626777394</c:v>
                </c:pt>
              </c:numCache>
            </c:numRef>
          </c:xVal>
          <c:yVal>
            <c:numRef>
              <c:f>Sheet5!$F$64:$F$68</c:f>
              <c:numCache>
                <c:formatCode>0.0%</c:formatCode>
                <c:ptCount val="5"/>
                <c:pt idx="0" formatCode="0%">
                  <c:v>1</c:v>
                </c:pt>
                <c:pt idx="1">
                  <c:v>0.97666212540354003</c:v>
                </c:pt>
                <c:pt idx="2">
                  <c:v>0.92840240056588541</c:v>
                </c:pt>
                <c:pt idx="3">
                  <c:v>0.87835317372638144</c:v>
                </c:pt>
                <c:pt idx="4">
                  <c:v>0.48788976064157347</c:v>
                </c:pt>
              </c:numCache>
            </c:numRef>
          </c:yVal>
          <c:smooth val="1"/>
          <c:extLst>
            <c:ext xmlns:c16="http://schemas.microsoft.com/office/drawing/2014/chart" uri="{C3380CC4-5D6E-409C-BE32-E72D297353CC}">
              <c16:uniqueId val="{00000000-62E7-4487-BDFA-FF695EFF3ED0}"/>
            </c:ext>
          </c:extLst>
        </c:ser>
        <c:dLbls>
          <c:showLegendKey val="0"/>
          <c:showVal val="0"/>
          <c:showCatName val="0"/>
          <c:showSerName val="0"/>
          <c:showPercent val="0"/>
          <c:showBubbleSize val="0"/>
        </c:dLbls>
        <c:axId val="716923792"/>
        <c:axId val="716929072"/>
      </c:scatterChart>
      <c:valAx>
        <c:axId val="716923792"/>
        <c:scaling>
          <c:orientation val="minMax"/>
          <c:min val="1000"/>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b="1"/>
                  <a:t>Accumulated</a:t>
                </a:r>
                <a:r>
                  <a:rPr lang="es-ES" b="1" baseline="0"/>
                  <a:t> o</a:t>
                </a:r>
                <a:r>
                  <a:rPr lang="es-ES" b="1"/>
                  <a:t>utput exergy (MJ/h) </a:t>
                </a:r>
              </a:p>
            </c:rich>
          </c:tx>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716929072"/>
        <c:crosses val="autoZero"/>
        <c:crossBetween val="midCat"/>
      </c:valAx>
      <c:valAx>
        <c:axId val="716929072"/>
        <c:scaling>
          <c:orientation val="minMax"/>
          <c:max val="1"/>
          <c:min val="0.4"/>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 b="1"/>
                  <a:t>Relative exergy loss </a:t>
                </a:r>
              </a:p>
            </c:rich>
          </c:tx>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title>
        <c:numFmt formatCode="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716923792"/>
        <c:crosses val="autoZero"/>
        <c:crossBetween val="midCat"/>
      </c:valAx>
      <c:spPr>
        <a:noFill/>
        <a:ln>
          <a:solidFill>
            <a:schemeClr val="tx1"/>
          </a:solid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yiHaZ/2+7eyTXYXB0n180EGn5g==">CgMxLjAyCGguZ2pkZ3hzOAByITFreFN3ZnZnelhGZDQ3UVc3ejJUYzhrZU5iazVvMURRSQ==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7365035-C00D-4991-B6DA-3807E4FCD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2712</TotalTime>
  <Pages>6</Pages>
  <Words>7237</Words>
  <Characters>39809</Characters>
  <Application>Microsoft Office Word</Application>
  <DocSecurity>0</DocSecurity>
  <Lines>331</Lines>
  <Paragraphs>93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AspenUser</cp:lastModifiedBy>
  <cp:revision>226</cp:revision>
  <dcterms:created xsi:type="dcterms:W3CDTF">2022-09-21T08:52:00Z</dcterms:created>
  <dcterms:modified xsi:type="dcterms:W3CDTF">2026-04-15T22:37:00Z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Document_1">
    <vt:lpwstr>True</vt:lpwstr>
  </property>
  <property fmtid="{D5CDD505-2E9C-101B-9397-08002B2CF9AE}" pid="5" name="Mendeley Unique User Id_1">
    <vt:lpwstr>d0388a9d-ac2a-3c39-a91f-0d6969e200f0</vt:lpwstr>
  </property>
  <property fmtid="{D5CDD505-2E9C-101B-9397-08002B2CF9AE}" pid="6" name="Mendeley Citation Style_1">
    <vt:lpwstr>http://www.zotero.org/styles/vancouver</vt:lpwstr>
  </property>
  <property fmtid="{D5CDD505-2E9C-101B-9397-08002B2CF9AE}" pid="7" name="Mendeley Recent Style Id 0_1">
    <vt:lpwstr>http://www.zotero.org/styles/american-medical-association</vt:lpwstr>
  </property>
  <property fmtid="{D5CDD505-2E9C-101B-9397-08002B2CF9AE}" pid="8" name="Mendeley Recent Style Name 0_1">
    <vt:lpwstr>AMA Manual of Style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APSA Style Manual revised 2018 edition</vt:lpwstr>
  </property>
  <property fmtid="{D5CDD505-2E9C-101B-9397-08002B2CF9AE}" pid="11" name="Mendeley Recent Style Id 2_1">
    <vt:lpwstr>http://www.zotero.org/styles/american-sociological-association</vt:lpwstr>
  </property>
  <property fmtid="{D5CDD505-2E9C-101B-9397-08002B2CF9AE}" pid="12" name="Mendeley Recent Style Name 2_1">
    <vt:lpwstr>ASA Style Guide 6th/7th edition</vt:lpwstr>
  </property>
  <property fmtid="{D5CDD505-2E9C-101B-9397-08002B2CF9AE}" pid="13" name="Mendeley Recent Style Id 3_1">
    <vt:lpwstr>http://www.zotero.org/styles/apa</vt:lpwstr>
  </property>
  <property fmtid="{D5CDD505-2E9C-101B-9397-08002B2CF9AE}" pid="14" name="Mendeley Recent Style Name 3_1">
    <vt:lpwstr>American Psychological Association 7th edition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18th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12th edition (author-date/Harvard)</vt:lpwstr>
  </property>
  <property fmtid="{D5CDD505-2E9C-101B-9397-08002B2CF9AE}" pid="19" name="Mendeley Recent Style Id 6_1">
    <vt:lpwstr>http://www.zotero.org/styles/ieee</vt:lpwstr>
  </property>
  <property fmtid="{D5CDD505-2E9C-101B-9397-08002B2CF9AE}" pid="20" name="Mendeley Recent Style Name 6_1">
    <vt:lpwstr>IEEE Reference Guide version 11.29.2023</vt:lpwstr>
  </property>
  <property fmtid="{D5CDD505-2E9C-101B-9397-08002B2CF9AE}" pid="21" name="Mendeley Recent Style Id 7_1">
    <vt:lpwstr>http://www.zotero.org/styles/modern-language-association</vt:lpwstr>
  </property>
  <property fmtid="{D5CDD505-2E9C-101B-9397-08002B2CF9AE}" pid="22" name="Mendeley Recent Style Name 7_1">
    <vt:lpwstr>MLA Handbook 9th edition (in-text citations)</vt:lpwstr>
  </property>
  <property fmtid="{D5CDD505-2E9C-101B-9397-08002B2CF9AE}" pid="23" name="Mendeley Recent Style Id 8_1">
    <vt:lpwstr>http://www.zotero.org/styles/modern-humanities-research-association</vt:lpwstr>
  </property>
  <property fmtid="{D5CDD505-2E9C-101B-9397-08002B2CF9AE}" pid="24" name="Mendeley Recent Style Name 8_1">
    <vt:lpwstr>Modern Humanities Research Association 3rd edition (note with bibliography)</vt:lpwstr>
  </property>
  <property fmtid="{D5CDD505-2E9C-101B-9397-08002B2CF9AE}" pid="25" name="Mendeley Recent Style Id 9_1">
    <vt:lpwstr>http://www.zotero.org/styles/vancouver</vt:lpwstr>
  </property>
  <property fmtid="{D5CDD505-2E9C-101B-9397-08002B2CF9AE}" pid="26" name="Mendeley Recent Style Name 9_1">
    <vt:lpwstr>Vancouver</vt:lpwstr>
  </property>
</Properties>
</file>