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74C20" w14:paraId="2A131A54" w14:textId="77777777" w:rsidTr="00B1393E">
        <w:trPr>
          <w:trHeight w:val="852"/>
          <w:jc w:val="center"/>
        </w:trPr>
        <w:tc>
          <w:tcPr>
            <w:tcW w:w="6940" w:type="dxa"/>
            <w:vMerge w:val="restart"/>
            <w:tcBorders>
              <w:right w:val="single" w:sz="4" w:space="0" w:color="auto"/>
            </w:tcBorders>
          </w:tcPr>
          <w:p w14:paraId="38C3D2BA" w14:textId="77777777" w:rsidR="000A03B2" w:rsidRPr="00E74C20" w:rsidRDefault="000A03B2" w:rsidP="00DE264A">
            <w:pPr>
              <w:tabs>
                <w:tab w:val="left" w:pos="-108"/>
              </w:tabs>
              <w:ind w:left="-108"/>
              <w:jc w:val="left"/>
              <w:rPr>
                <w:rFonts w:cs="Arial"/>
                <w:b/>
                <w:bCs/>
                <w:i/>
                <w:iCs/>
                <w:color w:val="000066"/>
                <w:sz w:val="12"/>
                <w:szCs w:val="12"/>
                <w:lang w:eastAsia="it-IT"/>
              </w:rPr>
            </w:pPr>
            <w:bookmarkStart w:id="0" w:name="_Hlk220334765"/>
            <w:bookmarkEnd w:id="0"/>
            <w:r w:rsidRPr="00E74C20">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74C20">
              <w:rPr>
                <w:rFonts w:ascii="AdvP6960" w:hAnsi="AdvP6960" w:cs="AdvP6960"/>
                <w:color w:val="241F20"/>
                <w:szCs w:val="18"/>
                <w:lang w:eastAsia="it-IT"/>
              </w:rPr>
              <w:t xml:space="preserve"> </w:t>
            </w:r>
            <w:r w:rsidRPr="00E74C20">
              <w:rPr>
                <w:rFonts w:cs="Arial"/>
                <w:b/>
                <w:bCs/>
                <w:i/>
                <w:iCs/>
                <w:color w:val="000066"/>
                <w:sz w:val="24"/>
                <w:szCs w:val="24"/>
                <w:lang w:eastAsia="it-IT"/>
              </w:rPr>
              <w:t>CHEMICAL ENGINEERING</w:t>
            </w:r>
            <w:r w:rsidRPr="00E74C20">
              <w:rPr>
                <w:rFonts w:cs="Arial"/>
                <w:b/>
                <w:bCs/>
                <w:i/>
                <w:iCs/>
                <w:color w:val="0033FF"/>
                <w:sz w:val="24"/>
                <w:szCs w:val="24"/>
                <w:lang w:eastAsia="it-IT"/>
              </w:rPr>
              <w:t xml:space="preserve"> </w:t>
            </w:r>
            <w:r w:rsidRPr="00E74C20">
              <w:rPr>
                <w:rFonts w:cs="Arial"/>
                <w:b/>
                <w:bCs/>
                <w:i/>
                <w:iCs/>
                <w:color w:val="666666"/>
                <w:sz w:val="24"/>
                <w:szCs w:val="24"/>
                <w:lang w:eastAsia="it-IT"/>
              </w:rPr>
              <w:t>TRANSACTIONS</w:t>
            </w:r>
            <w:r w:rsidRPr="00E74C20">
              <w:rPr>
                <w:color w:val="333333"/>
                <w:sz w:val="24"/>
                <w:szCs w:val="24"/>
                <w:lang w:eastAsia="it-IT"/>
              </w:rPr>
              <w:t xml:space="preserve"> </w:t>
            </w:r>
            <w:r w:rsidRPr="00E74C20">
              <w:rPr>
                <w:rFonts w:cs="Arial"/>
                <w:b/>
                <w:bCs/>
                <w:i/>
                <w:iCs/>
                <w:color w:val="000066"/>
                <w:sz w:val="27"/>
                <w:szCs w:val="27"/>
                <w:lang w:eastAsia="it-IT"/>
              </w:rPr>
              <w:br/>
            </w:r>
          </w:p>
          <w:p w14:paraId="4B780582" w14:textId="0413D380" w:rsidR="000A03B2" w:rsidRPr="00E74C20" w:rsidRDefault="00E50A82" w:rsidP="001D21AF">
            <w:pPr>
              <w:tabs>
                <w:tab w:val="left" w:pos="-108"/>
              </w:tabs>
              <w:ind w:left="-108"/>
              <w:rPr>
                <w:rFonts w:cs="Arial"/>
                <w:b/>
                <w:bCs/>
                <w:i/>
                <w:iCs/>
                <w:color w:val="000066"/>
                <w:sz w:val="22"/>
                <w:szCs w:val="22"/>
                <w:lang w:eastAsia="it-IT"/>
              </w:rPr>
            </w:pPr>
            <w:r w:rsidRPr="00E74C20">
              <w:rPr>
                <w:rFonts w:cs="Arial"/>
                <w:b/>
                <w:bCs/>
                <w:i/>
                <w:iCs/>
                <w:color w:val="000066"/>
                <w:sz w:val="22"/>
                <w:szCs w:val="22"/>
                <w:lang w:eastAsia="it-IT"/>
              </w:rPr>
              <w:t>VOL. xxx, 2026</w:t>
            </w:r>
          </w:p>
        </w:tc>
        <w:tc>
          <w:tcPr>
            <w:tcW w:w="1842" w:type="dxa"/>
            <w:tcBorders>
              <w:left w:val="single" w:sz="4" w:space="0" w:color="auto"/>
              <w:bottom w:val="nil"/>
              <w:right w:val="single" w:sz="4" w:space="0" w:color="auto"/>
            </w:tcBorders>
          </w:tcPr>
          <w:p w14:paraId="56782132" w14:textId="77777777" w:rsidR="000A03B2" w:rsidRPr="00E74C20" w:rsidRDefault="000A03B2" w:rsidP="00CD5FE2">
            <w:pPr>
              <w:spacing w:line="140" w:lineRule="atLeast"/>
              <w:jc w:val="right"/>
              <w:rPr>
                <w:rFonts w:cs="Arial"/>
                <w:sz w:val="14"/>
                <w:szCs w:val="14"/>
              </w:rPr>
            </w:pPr>
            <w:r w:rsidRPr="00E74C20">
              <w:rPr>
                <w:rFonts w:cs="Arial"/>
                <w:sz w:val="14"/>
                <w:szCs w:val="14"/>
              </w:rPr>
              <w:t>A publication of</w:t>
            </w:r>
          </w:p>
          <w:p w14:paraId="599E5441" w14:textId="77777777" w:rsidR="000A03B2" w:rsidRPr="00E74C20" w:rsidRDefault="000A03B2" w:rsidP="00CD5FE2">
            <w:pPr>
              <w:jc w:val="right"/>
            </w:pPr>
            <w:r w:rsidRPr="00E74C20">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74C20" w14:paraId="380FA3CD" w14:textId="77777777" w:rsidTr="00B1393E">
        <w:trPr>
          <w:trHeight w:val="567"/>
          <w:jc w:val="center"/>
        </w:trPr>
        <w:tc>
          <w:tcPr>
            <w:tcW w:w="6940" w:type="dxa"/>
            <w:vMerge/>
            <w:tcBorders>
              <w:right w:val="single" w:sz="4" w:space="0" w:color="auto"/>
            </w:tcBorders>
          </w:tcPr>
          <w:p w14:paraId="39E5E4C1" w14:textId="77777777" w:rsidR="000A03B2" w:rsidRPr="00E74C20"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E74C20" w:rsidRDefault="000A03B2" w:rsidP="00CD5FE2">
            <w:pPr>
              <w:spacing w:line="140" w:lineRule="atLeast"/>
              <w:jc w:val="right"/>
              <w:rPr>
                <w:rFonts w:cs="Arial"/>
                <w:sz w:val="14"/>
                <w:szCs w:val="14"/>
              </w:rPr>
            </w:pPr>
            <w:r w:rsidRPr="00E74C20">
              <w:rPr>
                <w:rFonts w:cs="Arial"/>
                <w:sz w:val="14"/>
                <w:szCs w:val="14"/>
              </w:rPr>
              <w:t>The Italian Association</w:t>
            </w:r>
          </w:p>
          <w:p w14:paraId="7522B1D2" w14:textId="77777777" w:rsidR="000A03B2" w:rsidRPr="00E74C20" w:rsidRDefault="000A03B2" w:rsidP="00CD5FE2">
            <w:pPr>
              <w:spacing w:line="140" w:lineRule="atLeast"/>
              <w:jc w:val="right"/>
              <w:rPr>
                <w:rFonts w:cs="Arial"/>
                <w:sz w:val="14"/>
                <w:szCs w:val="14"/>
              </w:rPr>
            </w:pPr>
            <w:r w:rsidRPr="00E74C20">
              <w:rPr>
                <w:rFonts w:cs="Arial"/>
                <w:sz w:val="14"/>
                <w:szCs w:val="14"/>
              </w:rPr>
              <w:t>of Chemical Engineering</w:t>
            </w:r>
          </w:p>
          <w:p w14:paraId="4F0CC5DE" w14:textId="47FDB2FC" w:rsidR="000A03B2" w:rsidRPr="00E74C20" w:rsidRDefault="000D0268" w:rsidP="00CD5FE2">
            <w:pPr>
              <w:spacing w:line="140" w:lineRule="atLeast"/>
              <w:jc w:val="right"/>
              <w:rPr>
                <w:rFonts w:cs="Arial"/>
                <w:sz w:val="13"/>
                <w:szCs w:val="13"/>
              </w:rPr>
            </w:pPr>
            <w:r w:rsidRPr="00E74C20">
              <w:rPr>
                <w:rFonts w:cs="Arial"/>
                <w:sz w:val="13"/>
                <w:szCs w:val="13"/>
              </w:rPr>
              <w:t>Online at www.cetjournal.it</w:t>
            </w:r>
          </w:p>
        </w:tc>
      </w:tr>
      <w:tr w:rsidR="000A03B2" w:rsidRPr="00E74C20" w14:paraId="2D1B7169" w14:textId="77777777" w:rsidTr="00B1393E">
        <w:trPr>
          <w:trHeight w:val="68"/>
          <w:jc w:val="center"/>
        </w:trPr>
        <w:tc>
          <w:tcPr>
            <w:tcW w:w="8782" w:type="dxa"/>
            <w:gridSpan w:val="2"/>
          </w:tcPr>
          <w:p w14:paraId="1ADC5276" w14:textId="77777777" w:rsidR="00E50A82" w:rsidRPr="00E74C20" w:rsidRDefault="00E50A82" w:rsidP="00E50A82">
            <w:pPr>
              <w:ind w:left="-107"/>
              <w:outlineLvl w:val="2"/>
              <w:rPr>
                <w:rFonts w:ascii="Tahoma" w:hAnsi="Tahoma" w:cs="Tahoma"/>
                <w:bCs/>
                <w:color w:val="000000"/>
                <w:sz w:val="14"/>
                <w:szCs w:val="14"/>
                <w:lang w:eastAsia="it-IT"/>
              </w:rPr>
            </w:pPr>
            <w:r w:rsidRPr="00E74C20">
              <w:rPr>
                <w:rFonts w:ascii="Tahoma" w:hAnsi="Tahoma" w:cs="Tahoma"/>
                <w:iCs/>
                <w:color w:val="333333"/>
                <w:sz w:val="14"/>
                <w:szCs w:val="14"/>
                <w:lang w:eastAsia="it-IT"/>
              </w:rPr>
              <w:t>Guest Editors:</w:t>
            </w:r>
            <w:r w:rsidRPr="00E74C20">
              <w:rPr>
                <w:rFonts w:ascii="Tahoma" w:hAnsi="Tahoma" w:cs="Tahoma"/>
                <w:color w:val="000000"/>
                <w:sz w:val="14"/>
                <w:szCs w:val="14"/>
                <w:shd w:val="clear" w:color="auto" w:fill="FFFFFF"/>
              </w:rPr>
              <w:t xml:space="preserve"> Leonardo </w:t>
            </w:r>
            <w:proofErr w:type="spellStart"/>
            <w:r w:rsidRPr="00E74C20">
              <w:rPr>
                <w:rFonts w:ascii="Tahoma" w:hAnsi="Tahoma" w:cs="Tahoma"/>
                <w:color w:val="000000"/>
                <w:sz w:val="14"/>
                <w:szCs w:val="14"/>
                <w:shd w:val="clear" w:color="auto" w:fill="FFFFFF"/>
              </w:rPr>
              <w:t>Tognotti</w:t>
            </w:r>
            <w:proofErr w:type="spellEnd"/>
            <w:r w:rsidRPr="00E74C20">
              <w:rPr>
                <w:rFonts w:ascii="Tahoma" w:hAnsi="Tahoma" w:cs="Tahoma"/>
                <w:color w:val="000000"/>
                <w:sz w:val="14"/>
                <w:szCs w:val="14"/>
                <w:shd w:val="clear" w:color="auto" w:fill="FFFFFF"/>
              </w:rPr>
              <w:t xml:space="preserve">, </w:t>
            </w:r>
            <w:r w:rsidRPr="00E74C20">
              <w:rPr>
                <w:rFonts w:ascii="Tahoma" w:hAnsi="Tahoma" w:cs="Tahoma"/>
                <w:color w:val="000000"/>
                <w:sz w:val="14"/>
                <w:szCs w:val="14"/>
              </w:rPr>
              <w:t xml:space="preserve">Rubens </w:t>
            </w:r>
            <w:proofErr w:type="spellStart"/>
            <w:r w:rsidRPr="00E74C20">
              <w:rPr>
                <w:rFonts w:ascii="Tahoma" w:hAnsi="Tahoma" w:cs="Tahoma"/>
                <w:color w:val="000000"/>
                <w:sz w:val="14"/>
                <w:szCs w:val="14"/>
              </w:rPr>
              <w:t>Maciel</w:t>
            </w:r>
            <w:proofErr w:type="spellEnd"/>
            <w:r w:rsidRPr="00E74C20">
              <w:rPr>
                <w:rFonts w:ascii="Tahoma" w:hAnsi="Tahoma" w:cs="Tahoma"/>
                <w:color w:val="000000"/>
                <w:sz w:val="14"/>
                <w:szCs w:val="14"/>
              </w:rPr>
              <w:t xml:space="preserve"> Filho</w:t>
            </w:r>
            <w:r w:rsidRPr="00E74C20">
              <w:rPr>
                <w:rFonts w:ascii="Tahoma" w:hAnsi="Tahoma" w:cs="Tahoma"/>
                <w:color w:val="000000"/>
                <w:sz w:val="14"/>
                <w:szCs w:val="14"/>
                <w:shd w:val="clear" w:color="auto" w:fill="FFFFFF"/>
              </w:rPr>
              <w:t xml:space="preserve">, </w:t>
            </w:r>
            <w:proofErr w:type="spellStart"/>
            <w:r w:rsidRPr="00E74C20">
              <w:rPr>
                <w:rFonts w:ascii="Tahoma" w:hAnsi="Tahoma" w:cs="Tahoma"/>
                <w:color w:val="000000"/>
                <w:sz w:val="14"/>
                <w:szCs w:val="14"/>
              </w:rPr>
              <w:t>Viatcheslav</w:t>
            </w:r>
            <w:proofErr w:type="spellEnd"/>
            <w:r w:rsidRPr="00E74C20">
              <w:rPr>
                <w:rFonts w:ascii="Tahoma" w:hAnsi="Tahoma" w:cs="Tahoma"/>
                <w:color w:val="000000"/>
                <w:sz w:val="14"/>
                <w:szCs w:val="14"/>
              </w:rPr>
              <w:t xml:space="preserve"> </w:t>
            </w:r>
            <w:proofErr w:type="spellStart"/>
            <w:r w:rsidRPr="00E74C20">
              <w:rPr>
                <w:rFonts w:ascii="Tahoma" w:hAnsi="Tahoma" w:cs="Tahoma"/>
                <w:color w:val="000000"/>
                <w:sz w:val="14"/>
                <w:szCs w:val="14"/>
              </w:rPr>
              <w:t>Kafarov</w:t>
            </w:r>
            <w:proofErr w:type="spellEnd"/>
          </w:p>
          <w:p w14:paraId="1B0F1814" w14:textId="115445AC" w:rsidR="000A03B2" w:rsidRPr="00E74C20" w:rsidRDefault="00E50A82" w:rsidP="00E50A82">
            <w:pPr>
              <w:tabs>
                <w:tab w:val="left" w:pos="-108"/>
              </w:tabs>
              <w:spacing w:line="140" w:lineRule="atLeast"/>
              <w:ind w:left="-107"/>
              <w:jc w:val="left"/>
            </w:pPr>
            <w:r w:rsidRPr="00E74C20">
              <w:rPr>
                <w:rFonts w:ascii="Tahoma" w:hAnsi="Tahoma" w:cs="Tahoma"/>
                <w:iCs/>
                <w:color w:val="333333"/>
                <w:sz w:val="14"/>
                <w:szCs w:val="14"/>
                <w:lang w:eastAsia="it-IT"/>
              </w:rPr>
              <w:t xml:space="preserve">Copyright © 2026, AIDIC </w:t>
            </w:r>
            <w:proofErr w:type="spellStart"/>
            <w:r w:rsidRPr="00E74C20">
              <w:rPr>
                <w:rFonts w:ascii="Tahoma" w:hAnsi="Tahoma" w:cs="Tahoma"/>
                <w:iCs/>
                <w:color w:val="333333"/>
                <w:sz w:val="14"/>
                <w:szCs w:val="14"/>
                <w:lang w:eastAsia="it-IT"/>
              </w:rPr>
              <w:t>Servizi</w:t>
            </w:r>
            <w:proofErr w:type="spellEnd"/>
            <w:r w:rsidRPr="00E74C20">
              <w:rPr>
                <w:rFonts w:ascii="Tahoma" w:hAnsi="Tahoma" w:cs="Tahoma"/>
                <w:iCs/>
                <w:color w:val="333333"/>
                <w:sz w:val="14"/>
                <w:szCs w:val="14"/>
                <w:lang w:eastAsia="it-IT"/>
              </w:rPr>
              <w:t xml:space="preserve"> </w:t>
            </w:r>
            <w:proofErr w:type="spellStart"/>
            <w:r w:rsidRPr="00E74C20">
              <w:rPr>
                <w:rFonts w:ascii="Tahoma" w:hAnsi="Tahoma" w:cs="Tahoma"/>
                <w:iCs/>
                <w:color w:val="333333"/>
                <w:sz w:val="14"/>
                <w:szCs w:val="14"/>
                <w:lang w:eastAsia="it-IT"/>
              </w:rPr>
              <w:t>S.r.l</w:t>
            </w:r>
            <w:proofErr w:type="spellEnd"/>
            <w:r w:rsidRPr="00E74C20">
              <w:rPr>
                <w:rFonts w:ascii="Tahoma" w:hAnsi="Tahoma" w:cs="Tahoma"/>
                <w:iCs/>
                <w:color w:val="333333"/>
                <w:sz w:val="14"/>
                <w:szCs w:val="14"/>
                <w:lang w:eastAsia="it-IT"/>
              </w:rPr>
              <w:t>.</w:t>
            </w:r>
            <w:r w:rsidRPr="00E74C20">
              <w:rPr>
                <w:rFonts w:ascii="Tahoma" w:hAnsi="Tahoma" w:cs="Tahoma"/>
                <w:iCs/>
                <w:color w:val="333333"/>
                <w:sz w:val="14"/>
                <w:szCs w:val="14"/>
                <w:lang w:eastAsia="it-IT"/>
              </w:rPr>
              <w:br/>
            </w:r>
            <w:r w:rsidRPr="00E74C20">
              <w:rPr>
                <w:rFonts w:ascii="Tahoma" w:hAnsi="Tahoma" w:cs="Tahoma"/>
                <w:b/>
                <w:iCs/>
                <w:color w:val="000000"/>
                <w:sz w:val="14"/>
                <w:szCs w:val="14"/>
                <w:lang w:eastAsia="it-IT"/>
              </w:rPr>
              <w:t>ISBN</w:t>
            </w:r>
            <w:r w:rsidRPr="00E74C20">
              <w:rPr>
                <w:rFonts w:ascii="Tahoma" w:hAnsi="Tahoma" w:cs="Tahoma"/>
                <w:iCs/>
                <w:color w:val="000000"/>
                <w:sz w:val="14"/>
                <w:szCs w:val="14"/>
                <w:lang w:eastAsia="it-IT"/>
              </w:rPr>
              <w:t xml:space="preserve"> </w:t>
            </w:r>
            <w:r w:rsidRPr="00E74C20">
              <w:rPr>
                <w:rFonts w:ascii="Tahoma" w:hAnsi="Tahoma" w:cs="Tahoma"/>
                <w:sz w:val="14"/>
                <w:szCs w:val="14"/>
              </w:rPr>
              <w:t>979-12-81206-xx-x</w:t>
            </w:r>
            <w:r w:rsidRPr="00E74C20">
              <w:rPr>
                <w:rFonts w:ascii="Tahoma" w:hAnsi="Tahoma" w:cs="Tahoma"/>
                <w:iCs/>
                <w:color w:val="333333"/>
                <w:sz w:val="14"/>
                <w:szCs w:val="14"/>
                <w:lang w:eastAsia="it-IT"/>
              </w:rPr>
              <w:t xml:space="preserve">; </w:t>
            </w:r>
            <w:r w:rsidRPr="00E74C20">
              <w:rPr>
                <w:rFonts w:ascii="Tahoma" w:hAnsi="Tahoma" w:cs="Tahoma"/>
                <w:b/>
                <w:iCs/>
                <w:color w:val="333333"/>
                <w:sz w:val="14"/>
                <w:szCs w:val="14"/>
                <w:lang w:eastAsia="it-IT"/>
              </w:rPr>
              <w:t>ISSN</w:t>
            </w:r>
            <w:r w:rsidRPr="00E74C20">
              <w:rPr>
                <w:rFonts w:ascii="Tahoma" w:hAnsi="Tahoma" w:cs="Tahoma"/>
                <w:iCs/>
                <w:color w:val="333333"/>
                <w:sz w:val="14"/>
                <w:szCs w:val="14"/>
                <w:lang w:eastAsia="it-IT"/>
              </w:rPr>
              <w:t xml:space="preserve"> 2283-9216</w:t>
            </w:r>
          </w:p>
        </w:tc>
      </w:tr>
    </w:tbl>
    <w:p w14:paraId="2E667253" w14:textId="6C89512E" w:rsidR="00E978D0" w:rsidRPr="00E74C20" w:rsidRDefault="0040517D" w:rsidP="00E978D0">
      <w:pPr>
        <w:pStyle w:val="CETTitle"/>
      </w:pPr>
      <w:r w:rsidRPr="00E74C20">
        <w:t>Experimental Investigation of Lignocellulosic Biomass Flow Behaviour in Valorisation Processes</w:t>
      </w:r>
    </w:p>
    <w:p w14:paraId="0488FED2" w14:textId="0EAD07FA" w:rsidR="00B57E6F" w:rsidRPr="00E74C20" w:rsidRDefault="00B1393E" w:rsidP="00B57E6F">
      <w:pPr>
        <w:pStyle w:val="CETAuthors"/>
        <w:rPr>
          <w:noProof w:val="0"/>
        </w:rPr>
      </w:pPr>
      <w:r w:rsidRPr="00E74C20">
        <w:rPr>
          <w:noProof w:val="0"/>
        </w:rPr>
        <w:t>Charbel El Hajj</w:t>
      </w:r>
      <w:r w:rsidR="00E4301A" w:rsidRPr="00E74C20">
        <w:rPr>
          <w:noProof w:val="0"/>
        </w:rPr>
        <w:t>*</w:t>
      </w:r>
      <w:r w:rsidRPr="00E74C20">
        <w:rPr>
          <w:noProof w:val="0"/>
        </w:rPr>
        <w:t>, Elias Daouk, André Pauss, Stéphane Mottelet, Khashayar Saleh, Xiaojun Liu, Mikel Leturia</w:t>
      </w:r>
    </w:p>
    <w:p w14:paraId="6B2D21B3" w14:textId="66D90096" w:rsidR="00B57E6F" w:rsidRPr="002106E7" w:rsidRDefault="009627EA" w:rsidP="00B57E6F">
      <w:pPr>
        <w:pStyle w:val="CETAddress"/>
        <w:rPr>
          <w:noProof w:val="0"/>
          <w:lang w:val="fr-FR"/>
        </w:rPr>
      </w:pPr>
      <w:r w:rsidRPr="002106E7">
        <w:rPr>
          <w:noProof w:val="0"/>
          <w:lang w:val="fr-FR"/>
        </w:rPr>
        <w:t>Université de technologie de Compiègne, École supérieure de chimie organique et minérale, Alliance Sorbonne Université, TIMR, Compiègne, France</w:t>
      </w:r>
    </w:p>
    <w:p w14:paraId="325C1225" w14:textId="28E36A8F" w:rsidR="00681460" w:rsidRPr="00E74C20" w:rsidRDefault="009627EA" w:rsidP="00681460">
      <w:pPr>
        <w:pStyle w:val="CETemail"/>
        <w:rPr>
          <w:noProof w:val="0"/>
        </w:rPr>
      </w:pPr>
      <w:r w:rsidRPr="00E74C20">
        <w:rPr>
          <w:noProof w:val="0"/>
        </w:rPr>
        <w:t>charbel.el-hajj@utc.fr</w:t>
      </w:r>
    </w:p>
    <w:p w14:paraId="6893AF25" w14:textId="5B44A9A2" w:rsidR="00600535" w:rsidRPr="00E74C20" w:rsidRDefault="00EF52A6" w:rsidP="00EF52A6">
      <w:pPr>
        <w:pStyle w:val="CETBodytext"/>
        <w:rPr>
          <w:lang w:val="en-GB"/>
        </w:rPr>
      </w:pPr>
      <w:r w:rsidRPr="00E74C20">
        <w:rPr>
          <w:lang w:val="en-GB"/>
        </w:rPr>
        <w:t>The transition toward a sustainable bioeconomy relies on efficient biomass valorisation processes, which critically depend</w:t>
      </w:r>
      <w:r w:rsidR="00140C09" w:rsidRPr="00E74C20">
        <w:rPr>
          <w:lang w:val="en-GB"/>
        </w:rPr>
        <w:t>s</w:t>
      </w:r>
      <w:r w:rsidRPr="00E74C20">
        <w:rPr>
          <w:lang w:val="en-GB"/>
        </w:rPr>
        <w:t xml:space="preserve"> on the ability to predict and control the flow behaviour of solid biomaterials</w:t>
      </w:r>
      <w:r w:rsidR="00140C09" w:rsidRPr="00E74C20">
        <w:rPr>
          <w:lang w:val="en-GB"/>
        </w:rPr>
        <w:t xml:space="preserve"> like lignocellulosic biomass (LCB)</w:t>
      </w:r>
      <w:r w:rsidRPr="00E74C20">
        <w:rPr>
          <w:lang w:val="en-GB"/>
        </w:rPr>
        <w:t xml:space="preserve">. However, the </w:t>
      </w:r>
      <w:r w:rsidR="00140C09" w:rsidRPr="00E74C20">
        <w:rPr>
          <w:lang w:val="en-GB"/>
        </w:rPr>
        <w:t xml:space="preserve">rheological properties </w:t>
      </w:r>
      <w:r w:rsidRPr="00E74C20">
        <w:rPr>
          <w:lang w:val="en-GB"/>
        </w:rPr>
        <w:t xml:space="preserve">of </w:t>
      </w:r>
      <w:r w:rsidR="00140C09" w:rsidRPr="00E74C20">
        <w:rPr>
          <w:lang w:val="en-GB"/>
        </w:rPr>
        <w:t>LCB</w:t>
      </w:r>
      <w:r w:rsidRPr="00E74C20">
        <w:rPr>
          <w:lang w:val="en-GB"/>
        </w:rPr>
        <w:t xml:space="preserve"> remain difficult to characterise due to its intrinsic complexity, including broad particle size distributions, irregular and non-spherical morphologies, </w:t>
      </w:r>
      <w:r w:rsidR="00140C09" w:rsidRPr="00E74C20">
        <w:rPr>
          <w:lang w:val="en-GB"/>
        </w:rPr>
        <w:t xml:space="preserve">presence of </w:t>
      </w:r>
      <w:r w:rsidRPr="00E74C20">
        <w:rPr>
          <w:lang w:val="en-GB"/>
        </w:rPr>
        <w:t>moisture and additional variability arising from biological and seasonal factors.</w:t>
      </w:r>
      <w:r w:rsidR="001F0144" w:rsidRPr="00E74C20">
        <w:rPr>
          <w:lang w:val="en-GB"/>
        </w:rPr>
        <w:t xml:space="preserve"> </w:t>
      </w:r>
      <w:r w:rsidR="000714BD" w:rsidRPr="00E74C20">
        <w:rPr>
          <w:lang w:val="en-GB"/>
        </w:rPr>
        <w:t xml:space="preserve">Building on these challenges, this study investigates how particle-scale properties influence </w:t>
      </w:r>
      <w:r w:rsidR="008018B6" w:rsidRPr="00E74C20">
        <w:rPr>
          <w:lang w:val="en-GB"/>
        </w:rPr>
        <w:t>LCB</w:t>
      </w:r>
      <w:r w:rsidR="000714BD" w:rsidRPr="00E74C20">
        <w:rPr>
          <w:lang w:val="en-GB"/>
        </w:rPr>
        <w:t xml:space="preserve"> </w:t>
      </w:r>
      <w:r w:rsidR="003206DC" w:rsidRPr="00E74C20">
        <w:rPr>
          <w:lang w:val="en-GB"/>
        </w:rPr>
        <w:t xml:space="preserve">macroscopic </w:t>
      </w:r>
      <w:r w:rsidR="000714BD" w:rsidRPr="00E74C20">
        <w:rPr>
          <w:lang w:val="en-GB"/>
        </w:rPr>
        <w:t>flow under quasi-static and dense regimes</w:t>
      </w:r>
      <w:r w:rsidRPr="00E74C20">
        <w:rPr>
          <w:lang w:val="en-GB"/>
        </w:rPr>
        <w:t>, using wood sawdust as a model material. Beech and fir sawdust</w:t>
      </w:r>
      <w:r w:rsidR="00C87AD1" w:rsidRPr="00E74C20">
        <w:rPr>
          <w:lang w:val="en-GB"/>
        </w:rPr>
        <w:t xml:space="preserve"> </w:t>
      </w:r>
      <w:r w:rsidRPr="00E74C20">
        <w:rPr>
          <w:lang w:val="en-GB"/>
        </w:rPr>
        <w:t xml:space="preserve">were characterised then tested under </w:t>
      </w:r>
      <w:r w:rsidR="00140C09" w:rsidRPr="00E74C20">
        <w:rPr>
          <w:lang w:val="en-GB"/>
        </w:rPr>
        <w:t>above mentioned</w:t>
      </w:r>
      <w:r w:rsidRPr="00E74C20">
        <w:rPr>
          <w:lang w:val="en-GB"/>
        </w:rPr>
        <w:t xml:space="preserve"> flow regimes using</w:t>
      </w:r>
      <w:r w:rsidR="00CD2E82" w:rsidRPr="00E74C20">
        <w:rPr>
          <w:lang w:val="en-GB"/>
        </w:rPr>
        <w:t xml:space="preserve"> a</w:t>
      </w:r>
      <w:r w:rsidRPr="00E74C20">
        <w:rPr>
          <w:lang w:val="en-GB"/>
        </w:rPr>
        <w:t xml:space="preserve"> shear cell,</w:t>
      </w:r>
      <w:r w:rsidR="00CD2E82" w:rsidRPr="00E74C20">
        <w:rPr>
          <w:lang w:val="en-GB"/>
        </w:rPr>
        <w:t xml:space="preserve"> a</w:t>
      </w:r>
      <w:r w:rsidRPr="00E74C20">
        <w:rPr>
          <w:lang w:val="en-GB"/>
        </w:rPr>
        <w:t xml:space="preserve"> powder rheometer </w:t>
      </w:r>
      <w:r w:rsidR="00BB2C20" w:rsidRPr="00E74C20">
        <w:rPr>
          <w:lang w:val="en-GB"/>
        </w:rPr>
        <w:t xml:space="preserve">and </w:t>
      </w:r>
      <w:r w:rsidR="00CD2E82" w:rsidRPr="00E74C20">
        <w:rPr>
          <w:lang w:val="en-GB"/>
        </w:rPr>
        <w:t xml:space="preserve">a </w:t>
      </w:r>
      <w:r w:rsidRPr="00E74C20">
        <w:rPr>
          <w:lang w:val="en-GB"/>
        </w:rPr>
        <w:t>rotating drum</w:t>
      </w:r>
      <w:r w:rsidR="00BB2C20" w:rsidRPr="00E74C20">
        <w:rPr>
          <w:lang w:val="en-GB"/>
        </w:rPr>
        <w:t xml:space="preserve">. </w:t>
      </w:r>
      <w:r w:rsidR="0040517D" w:rsidRPr="00E74C20">
        <w:rPr>
          <w:lang w:val="en-GB"/>
        </w:rPr>
        <w:t>Under quasi-static conditions, flow function coefficient (FFC) values ranged from 5.2 to 9.8 for both materials, indicating easy-flowing behaviour. In dense regimes, FT4 tests showed that beech required higher mechanical energy than fir to achieve steady flow, while rotating drum experiments revealed cohesion indices of 0.15–0.22 for beech and 0.20–0.28 for fir. Additionally, experimental videos were analysed using Particle Image Velocimetry</w:t>
      </w:r>
      <w:r w:rsidR="008663BA" w:rsidRPr="00E74C20">
        <w:rPr>
          <w:lang w:val="en-GB"/>
        </w:rPr>
        <w:t xml:space="preserve"> (PIV)</w:t>
      </w:r>
      <w:r w:rsidR="0040517D" w:rsidRPr="00E74C20">
        <w:rPr>
          <w:lang w:val="en-GB"/>
        </w:rPr>
        <w:t xml:space="preserve"> to assess internal flow dynamics. These results demonstrate that flow behaviour is strongly influenced by particle size and shape, with fibrous and irregular morphologies promoting interlocking and entanglement.</w:t>
      </w:r>
    </w:p>
    <w:p w14:paraId="476B2F2E" w14:textId="45B1F393" w:rsidR="00600535" w:rsidRPr="00E74C20" w:rsidRDefault="00600535" w:rsidP="00600535">
      <w:pPr>
        <w:pStyle w:val="CETHeading1"/>
        <w:rPr>
          <w:lang w:val="en-GB"/>
        </w:rPr>
      </w:pPr>
      <w:r w:rsidRPr="00E74C20">
        <w:rPr>
          <w:lang w:val="en-GB"/>
        </w:rPr>
        <w:t>Introduction</w:t>
      </w:r>
    </w:p>
    <w:p w14:paraId="2C663CC5" w14:textId="77777777" w:rsidR="00955D15" w:rsidRDefault="00770D34" w:rsidP="00E74C20">
      <w:pPr>
        <w:pStyle w:val="CETBodytext"/>
        <w:rPr>
          <w:lang w:val="en-GB"/>
        </w:rPr>
      </w:pPr>
      <w:r w:rsidRPr="00E74C20">
        <w:rPr>
          <w:lang w:val="en-GB"/>
        </w:rPr>
        <w:t xml:space="preserve">Modern industrial processes face increasing pressure to reduce environmental impact and conserve resources, driving growing interest in lignocellulosic biomass (LCB) as a renewable feedstock for energy, chemicals and materials. However, the efficient and economical use of LCB requires a thorough understanding of its flow behaviour during storage, handling </w:t>
      </w:r>
      <w:r w:rsidR="00470BE6" w:rsidRPr="00E74C20">
        <w:rPr>
          <w:lang w:val="en-GB"/>
        </w:rPr>
        <w:fldChar w:fldCharType="begin"/>
      </w:r>
      <w:r w:rsidR="00470BE6" w:rsidRPr="00E74C20">
        <w:rPr>
          <w:lang w:val="en-GB"/>
        </w:rPr>
        <w:instrText xml:space="preserve"> ADDIN ZOTERO_ITEM CSL_CITATION {"citationID":"1MLQAQw8","properties":{"formattedCitation":"(Cheng et al., 2021)","plainCitation":"(Cheng et al., 2021)","noteIndex":0},"citationItems":[{"id":383,"uris":["http://zotero.org/users/16832050/items/L3SP8RIB"],"itemData":{"id":383,"type":"article-journal","abstract":"With the advancement of renewable energy, the processing and handling of biomass feedstocks has drawn enormous research interest. The key to economically viable and operationally reliable biomass handling processes involves a complete understanding of the flow behavior of different feedstocks as functions of the inherent critical material properties environmental conditions, and critical processing parameters. This review introduces the basic principles and methods in bulk solids flow and highlights recent efforts to understand the flow behavior of biomass feedstocks. The effects of inherent properties, environmental parameters, and handling equipment on the flow behavior of biomass feedstocks are presented. Particle size, shape, moisture, consolidation stress, temperature, storage time at rest, chemical treatment, and the material and geometry of the handling equipment all substantially influence biomass flowability. The limitations of current studies and the potential methods to overcome them are presented. Finally, an outlook for future research effort is provided, with proposed opportunities for improving the characterization of biomass flow.","container-title":"Powder Technology","DOI":"10.1016/j.powtec.2021.04.004","ISSN":"0032-5910","journalAbbreviation":"Powder Technology","page":"156-180","source":"ScienceDirect","title":"Flow behavior characterization of biomass Feedstocks","volume":"387","author":[{"family":"Cheng","given":"Ziwei"},{"family":"Leal","given":"Juan H."},{"family":"Hartford","given":"Carrie E."},{"family":"Carson","given":"John W."},{"family":"Donohoe","given":"Bryon S."},{"family":"Craig","given":"David A."},{"family":"Xia","given":"Yidong"},{"family":"Daniel","given":"Richard C."},{"family":"Ajayi","given":"Oyelayo O."},{"family":"Semelsberger","given":"Troy A."}],"issued":{"date-parts":[["2021",7,1]]}}}],"schema":"https://github.com/citation-style-language/schema/raw/master/csl-citation.json"} </w:instrText>
      </w:r>
      <w:r w:rsidR="00470BE6" w:rsidRPr="00E74C20">
        <w:rPr>
          <w:lang w:val="en-GB"/>
        </w:rPr>
        <w:fldChar w:fldCharType="separate"/>
      </w:r>
      <w:r w:rsidR="00470BE6" w:rsidRPr="00E74C20">
        <w:rPr>
          <w:rFonts w:cs="Arial"/>
          <w:lang w:val="en-GB"/>
        </w:rPr>
        <w:t>(Cheng et al., 2021)</w:t>
      </w:r>
      <w:r w:rsidR="00470BE6" w:rsidRPr="00E74C20">
        <w:rPr>
          <w:lang w:val="en-GB"/>
        </w:rPr>
        <w:fldChar w:fldCharType="end"/>
      </w:r>
      <w:r w:rsidR="00962D27" w:rsidRPr="00E74C20">
        <w:rPr>
          <w:lang w:val="en-GB"/>
        </w:rPr>
        <w:t>,</w:t>
      </w:r>
      <w:r w:rsidR="00DE599F" w:rsidRPr="00E74C20">
        <w:rPr>
          <w:lang w:val="en-GB"/>
        </w:rPr>
        <w:t xml:space="preserve"> </w:t>
      </w:r>
      <w:r w:rsidR="00EF2952" w:rsidRPr="00E74C20">
        <w:rPr>
          <w:lang w:val="en-GB"/>
        </w:rPr>
        <w:t xml:space="preserve">as well as its response in unit operations </w:t>
      </w:r>
      <w:r w:rsidR="00470BE6" w:rsidRPr="00E74C20">
        <w:rPr>
          <w:lang w:val="en-GB"/>
        </w:rPr>
        <w:fldChar w:fldCharType="begin"/>
      </w:r>
      <w:r w:rsidR="00470BE6" w:rsidRPr="00E74C20">
        <w:rPr>
          <w:lang w:val="en-GB"/>
        </w:rPr>
        <w:instrText xml:space="preserve"> ADDIN ZOTERO_ITEM CSL_CITATION {"citationID":"X5Dswnm0","properties":{"formattedCitation":"(Hernandez-Shek, 2020)","plainCitation":"(Hernandez-Shek, 2020)","noteIndex":0},"citationItems":[{"id":385,"uris":["http://zotero.org/users/16832050/items/NQHKJ2BI"],"itemData":{"id":385,"type":"thesis","abstract":"La méthanisation en phase solide en continu en réacteur à écoulement piston (REP) est un procédé qui suscite un intérêt croissant pour le traitement et la valorisation énergétique de sous-produits agricoles à teneur en matière sèche élevée. La production de biométhane, en plus de constituer un revenu supplémentaire aux exploitants agricoles et une source d’engrais naturels, s’inscrit dans les objectifs de développement durable de l’UNESCO à travers la production d’énergie renouvelable, la création d’emplois et la lutte contre les changements climatiques. Malgré le potentiel de ce procédé dans le contexte énergétique actuel, des verrous scientifiques et technologiques demeurent afin de mieux comprendre et maîtriser les phénomènes impliqués, d’augmenter la rentabilité des installations et de rendre cette technologie plus accessible aux petits et moyens exploitants. L’objectif de cette thèse est d’apporter des solutions aux problématiques liées au développement de la méthanisation en continu dans des REP, notamment pour le procédé Easymetha. Dans un premier temps, l’objectif a été de développer et valider des outils et méthodes de mesures rhéologiques adaptés au procédé de méthanisation voie solide à l’échelle pilote. Pour ce faire trois méthodes d’analyse rhéologique alternatives pour mesurer les propriétés rhéologiques (seuil d’écoulement, viscosité, cohésion et angle de frottement) de la biomasse ainsi que sa coulabilité ont été étudiées. Un Slump-Test, un consistomètre et une boîte de cisaillement de grands volumes (&gt; 10 L) ont permis de caractériser les propriétés rhéologiques de mélanges reconstitués de fumier pailleux brut et broyé. Le deuxième objectif porté sur le développement et l’application d’une méthode de courbes de rétention d’eau (WRC) pour la détermination de l’évolution de la distribution de la porosité pour du fumier traité dans des réacteurs batch en discontinu. Ensuite, l’objectif fut d’établir l’effet de l’immersion, de l’absence de recirculation de la phase liquide et de la hauteur du massif solide sur la dégradation de la matière et ses propriétés physiques et rhéologiques en fonction de la pression. Pour se faire, deux colonnes de digestion de 2,5 m de hauteur et 440 L de volume total ont été construites. Deux niveaux d’immersion ont été testés permettant de mettre en évidence le faible besoin de recirculation du liquide une fois que le massif solide est immergé dans la fraction liquide. L’importance de ce paramètre pour les systèmes de méthanisation en continu et alimentés avec des substrats bruts est discutée, l’immersion pouvant favoriser la formation de joints hydrauliques en entrée et sortie de réacteur et le déplacement horizontal de la matière. Ces expériences ont apporté une base solide pour le prochain objectif qui a porté sur le dimensionnement et la mise en opération d’un réacteur pilote de méthanisation en continu avec une conception le plus proche possible du procédé Easymetha. Ce système consiste en un digesteur en écoulement piston de 500 L, un volume important dans lequel la matière avance sur une longueur de 2 m. Ce pilote a été opéré en continu pendant 100 jours, son fonctionnement a montré l’aptitude et la résilience de ce système pour la valorisation du fumier non broyé. Et par ailleurs, un outil de simulation et de prédiction du comportement du débit de méthane à partir des données en batch a été créé et validé avec les résultats expérimentaux du pilote. Pour terminer, l’évolution des propriétés rhéologiques du fumier dans des réacteurs fonctionnant en continu et en discontinu a été étudiée en utilisant les outils développés et calibrés précédemment. Cette thèse s’articule autour de plusieurs expérimentations multi-échelles et complémentaires permettant de mieux comprendre et d’optimiser le procédé de méthanisation en voie solide continue de sous-produits agricoles bruts.","genre":"phdthesis","language":"fr","publisher":"Université de Technologie de Compiègne","source":"theses.hal.science","title":"Développement et validation de méthodologies et d’outils opérationnels de caractérisation rhéologique de biomasses appliqués au procédé de méthanisation en voie solide, et conception de réacteurs de 0,5 m3","URL":"https://theses.hal.science/tel-03351488","author":[{"family":"Hernandez-Shek","given":"Manuel Alejandro"}],"accessed":{"date-parts":[["2025",6,27]]},"issued":{"date-parts":[["2020",12,17]]}}}],"schema":"https://github.com/citation-style-language/schema/raw/master/csl-citation.json"} </w:instrText>
      </w:r>
      <w:r w:rsidR="00470BE6" w:rsidRPr="00E74C20">
        <w:rPr>
          <w:lang w:val="en-GB"/>
        </w:rPr>
        <w:fldChar w:fldCharType="separate"/>
      </w:r>
      <w:r w:rsidR="00470BE6" w:rsidRPr="00E74C20">
        <w:rPr>
          <w:rFonts w:cs="Arial"/>
          <w:lang w:val="en-GB"/>
        </w:rPr>
        <w:t>(Hernandez-Shek, 2020)</w:t>
      </w:r>
      <w:r w:rsidR="00470BE6" w:rsidRPr="00E74C20">
        <w:rPr>
          <w:lang w:val="en-GB"/>
        </w:rPr>
        <w:fldChar w:fldCharType="end"/>
      </w:r>
      <w:r w:rsidR="00DE599F" w:rsidRPr="00E74C20">
        <w:rPr>
          <w:lang w:val="en-GB"/>
        </w:rPr>
        <w:t>.</w:t>
      </w:r>
      <w:r w:rsidR="00D259D3" w:rsidRPr="00E74C20">
        <w:rPr>
          <w:lang w:val="en-GB"/>
        </w:rPr>
        <w:t xml:space="preserve"> </w:t>
      </w:r>
      <w:r w:rsidR="00C25AF2" w:rsidRPr="00E74C20">
        <w:rPr>
          <w:lang w:val="en-GB"/>
        </w:rPr>
        <w:t xml:space="preserve">Predicting and controlling LCB flow is challenging due to its heterogeneous nature. It consists of irregular particles with broad size distributions, low bulk density, high compressibility and variable moisture content </w:t>
      </w:r>
      <w:r w:rsidR="00BA7288" w:rsidRPr="00E74C20">
        <w:rPr>
          <w:lang w:val="en-GB"/>
        </w:rPr>
        <w:fldChar w:fldCharType="begin"/>
      </w:r>
      <w:r w:rsidR="00BA7288" w:rsidRPr="00E74C20">
        <w:rPr>
          <w:lang w:val="en-GB"/>
        </w:rPr>
        <w:instrText xml:space="preserve"> ADDIN ZOTERO_ITEM CSL_CITATION {"citationID":"h0Sxzxy0","properties":{"formattedCitation":"(Cheng et al., 2021)","plainCitation":"(Cheng et al., 2021)","noteIndex":0},"citationItems":[{"id":383,"uris":["http://zotero.org/users/16832050/items/L3SP8RIB"],"itemData":{"id":383,"type":"article-journal","abstract":"With the advancement of renewable energy, the processing and handling of biomass feedstocks has drawn enormous research interest. The key to economically viable and operationally reliable biomass handling processes involves a complete understanding of the flow behavior of different feedstocks as functions of the inherent critical material properties environmental conditions, and critical processing parameters. This review introduces the basic principles and methods in bulk solids flow and highlights recent efforts to understand the flow behavior of biomass feedstocks. The effects of inherent properties, environmental parameters, and handling equipment on the flow behavior of biomass feedstocks are presented. Particle size, shape, moisture, consolidation stress, temperature, storage time at rest, chemical treatment, and the material and geometry of the handling equipment all substantially influence biomass flowability. The limitations of current studies and the potential methods to overcome them are presented. Finally, an outlook for future research effort is provided, with proposed opportunities for improving the characterization of biomass flow.","container-title":"Powder Technology","DOI":"10.1016/j.powtec.2021.04.004","ISSN":"0032-5910","journalAbbreviation":"Powder Technology","page":"156-180","source":"ScienceDirect","title":"Flow behavior characterization of biomass Feedstocks","volume":"387","author":[{"family":"Cheng","given":"Ziwei"},{"family":"Leal","given":"Juan H."},{"family":"Hartford","given":"Carrie E."},{"family":"Carson","given":"John W."},{"family":"Donohoe","given":"Bryon S."},{"family":"Craig","given":"David A."},{"family":"Xia","given":"Yidong"},{"family":"Daniel","given":"Richard C."},{"family":"Ajayi","given":"Oyelayo O."},{"family":"Semelsberger","given":"Troy A."}],"issued":{"date-parts":[["2021",7,1]]}}}],"schema":"https://github.com/citation-style-language/schema/raw/master/csl-citation.json"} </w:instrText>
      </w:r>
      <w:r w:rsidR="00BA7288" w:rsidRPr="00E74C20">
        <w:rPr>
          <w:lang w:val="en-GB"/>
        </w:rPr>
        <w:fldChar w:fldCharType="separate"/>
      </w:r>
      <w:r w:rsidR="00BA7288" w:rsidRPr="00E74C20">
        <w:rPr>
          <w:rFonts w:cs="Arial"/>
          <w:lang w:val="en-GB"/>
        </w:rPr>
        <w:t>(Cheng et al., 2021)</w:t>
      </w:r>
      <w:r w:rsidR="00BA7288" w:rsidRPr="00E74C20">
        <w:rPr>
          <w:lang w:val="en-GB"/>
        </w:rPr>
        <w:fldChar w:fldCharType="end"/>
      </w:r>
      <w:r w:rsidR="00510696" w:rsidRPr="00E74C20">
        <w:rPr>
          <w:lang w:val="en-GB"/>
        </w:rPr>
        <w:t>.</w:t>
      </w:r>
      <w:r w:rsidR="00103611" w:rsidRPr="00E74C20">
        <w:rPr>
          <w:lang w:val="en-GB"/>
        </w:rPr>
        <w:t xml:space="preserve"> </w:t>
      </w:r>
      <w:r w:rsidR="00C25AF2" w:rsidRPr="00E74C20">
        <w:rPr>
          <w:lang w:val="en-GB"/>
        </w:rPr>
        <w:t xml:space="preserve">These properties vary with botanical origin and environmental conditions </w:t>
      </w:r>
      <w:r w:rsidR="0078621A" w:rsidRPr="00E74C20">
        <w:rPr>
          <w:lang w:val="en-GB"/>
        </w:rPr>
        <w:fldChar w:fldCharType="begin"/>
      </w:r>
      <w:r w:rsidR="0078621A" w:rsidRPr="00E74C20">
        <w:rPr>
          <w:lang w:val="en-GB"/>
        </w:rPr>
        <w:instrText xml:space="preserve"> ADDIN ZOTERO_ITEM CSL_CITATION {"citationID":"QN1weqUN","properties":{"formattedCitation":"(Barletta et al., 2015; Ram\\uc0\\u237{}rez-G\\uc0\\u243{}mez, 2016)","plainCitation":"(Barletta et al., 2015; Ramírez-Gómez, 2016)","noteIndex":0},"citationItems":[{"id":388,"uris":["http://zotero.org/users/16832050/items/6VH7WSBL"],"itemData":{"id":388,"type":"article-journal","container-title":"Fuel Processing Technology","DOI":"10.1016/j.fuproc.2015.06.034","ISSN":"03783820","journalAbbreviation":"Fuel Processing Technology","language":"en","page":"540-554","source":"DOI.org (Crossref)","title":"Assessment on bulk solids best practice techniques for flow characterization and storage/handling equipment design for biomass materials of different classes","volume":"138","author":[{"family":"Barletta","given":"Diego"},{"family":"Berry","given":"Robert J."},{"family":"Larsson","given":"Sylvia H."},{"family":"Lestander","given":"Torbjörn A."},{"family":"Poletto","given":"Massimo"},{"family":"Ramírez-Gómez","given":"Álvaro"}],"issued":{"date-parts":[["2015",10]]}}},{"id":389,"uris":["http://zotero.org/users/16832050/items/D2DCIMQK"],"itemData":{"id":389,"type":"webpage","title":"Research needs on biomass characterization to prevent handling problems and hazards in industry: Particulate Science and Technology: Vol 34, No 4","URL":"https://www.tandfonline.com/doi/abs/10.1080/02726351.2016.1138262","author":[{"family":"Ramírez-Gómez","given":"Álvaro"}],"accessed":{"date-parts":[["2025",6,27]]},"issued":{"date-parts":[["2016",1]]}}}],"schema":"https://github.com/citation-style-language/schema/raw/master/csl-citation.json"} </w:instrText>
      </w:r>
      <w:r w:rsidR="0078621A" w:rsidRPr="00E74C20">
        <w:rPr>
          <w:lang w:val="en-GB"/>
        </w:rPr>
        <w:fldChar w:fldCharType="separate"/>
      </w:r>
      <w:r w:rsidR="0078621A" w:rsidRPr="00E74C20">
        <w:rPr>
          <w:rFonts w:cs="Arial"/>
          <w:szCs w:val="24"/>
          <w:lang w:val="en-GB"/>
        </w:rPr>
        <w:t>(Barletta et al., 2015; Ramírez-Gómez, 2016)</w:t>
      </w:r>
      <w:r w:rsidR="0078621A" w:rsidRPr="00E74C20">
        <w:rPr>
          <w:lang w:val="en-GB"/>
        </w:rPr>
        <w:fldChar w:fldCharType="end"/>
      </w:r>
      <w:r w:rsidRPr="00E74C20">
        <w:rPr>
          <w:lang w:val="en-GB"/>
        </w:rPr>
        <w:t xml:space="preserve">, </w:t>
      </w:r>
      <w:r w:rsidR="00C25AF2" w:rsidRPr="00E74C20">
        <w:rPr>
          <w:lang w:val="en-GB"/>
        </w:rPr>
        <w:t>and are further complicated in high-moisture systems where solid</w:t>
      </w:r>
      <w:r w:rsidR="00315128" w:rsidRPr="00E74C20">
        <w:rPr>
          <w:lang w:val="en-GB"/>
        </w:rPr>
        <w:t>-</w:t>
      </w:r>
      <w:r w:rsidR="00C25AF2" w:rsidRPr="00E74C20">
        <w:rPr>
          <w:lang w:val="en-GB"/>
        </w:rPr>
        <w:t>solid and solid</w:t>
      </w:r>
      <w:r w:rsidR="00315128" w:rsidRPr="00E74C20">
        <w:rPr>
          <w:lang w:val="en-GB"/>
        </w:rPr>
        <w:t>-</w:t>
      </w:r>
      <w:r w:rsidR="00C25AF2" w:rsidRPr="00E74C20">
        <w:rPr>
          <w:lang w:val="en-GB"/>
        </w:rPr>
        <w:t>fluid interactions coexist</w:t>
      </w:r>
      <w:r w:rsidR="00103611" w:rsidRPr="00E74C20">
        <w:rPr>
          <w:lang w:val="en-GB"/>
        </w:rPr>
        <w:t xml:space="preserve"> </w:t>
      </w:r>
      <w:r w:rsidR="00B712DD" w:rsidRPr="00E74C20">
        <w:rPr>
          <w:lang w:val="en-GB"/>
        </w:rPr>
        <w:fldChar w:fldCharType="begin"/>
      </w:r>
      <w:r w:rsidR="00B712DD" w:rsidRPr="00E74C20">
        <w:rPr>
          <w:lang w:val="en-GB"/>
        </w:rPr>
        <w:instrText xml:space="preserve"> ADDIN ZOTERO_ITEM CSL_CITATION {"citationID":"DMaIR3n7","properties":{"formattedCitation":"(Ilic et al., 2018)","plainCitation":"(Ilic et al., 2018)","noteIndex":0},"citationItems":[{"id":391,"uris":["http://zotero.org/users/16832050/items/5HP83VF7"],"itemData":{"id":391,"type":"article-journal","abstract":"With a major global emphasis on the management of waste, alternative resources and a shift to environmentally sustainable technologies, demand for large volumes of heterogeneous solid biomass feedstocks for energy or chemical use is expected to rise significantly. In transforming a sporadic supply of a low-value, highly variable product, to continuous and controlled high throughput systems, a thorough understanding of the feedstock properties will increase in importance. Appropriate characterisation tests are necessary to define technical specification and selection criteria for handling equipment and to appraise the requirement and location for additional processes or pre-treatment to be integrated into the handling chain. Such tests may also influence the material characteristics to be used in the conversion process. This paper discusses the main feedstock attributes associated with a number of handling chain phases and the approach to obtain them. The framework for a holistic approach to the characterisation and design of biomass feedstock handling systems for further development and practical implementation is also proposed. © 2018 Society of Chemical Industry and John Wiley &amp; Sons, Ltd","container-title":"Biofuels, Bioproducts and Biorefining","DOI":"10.1002/bbb.1851","ISSN":"1932-1031","issue":"2","language":"en","note":"_eprint: https://scijournals.onlinelibrary.wiley.com/doi/pdf/10.1002/bbb.1851","page":"187-202","source":"Wiley Online Library","title":"On the challenges facing the handling of solid biomass feedstocks","volume":"12","author":[{"family":"Ilic","given":"Dusan"},{"family":"Williams","given":"Kenneth"},{"family":"Farnish","given":"Richard"},{"family":"Webb","given":"Erin"},{"family":"Liu","given":"Gary"}],"issued":{"date-parts":[["2018"]]}}}],"schema":"https://github.com/citation-style-language/schema/raw/master/csl-citation.json"} </w:instrText>
      </w:r>
      <w:r w:rsidR="00B712DD" w:rsidRPr="00E74C20">
        <w:rPr>
          <w:lang w:val="en-GB"/>
        </w:rPr>
        <w:fldChar w:fldCharType="separate"/>
      </w:r>
      <w:r w:rsidR="00B712DD" w:rsidRPr="00E74C20">
        <w:rPr>
          <w:rFonts w:cs="Arial"/>
          <w:lang w:val="en-GB"/>
        </w:rPr>
        <w:t>(Ilic et al., 2018)</w:t>
      </w:r>
      <w:r w:rsidR="00B712DD" w:rsidRPr="00E74C20">
        <w:rPr>
          <w:lang w:val="en-GB"/>
        </w:rPr>
        <w:fldChar w:fldCharType="end"/>
      </w:r>
      <w:r w:rsidR="00DE599F" w:rsidRPr="00E74C20">
        <w:rPr>
          <w:lang w:val="en-GB"/>
        </w:rPr>
        <w:t>.</w:t>
      </w:r>
      <w:r w:rsidR="00EF2952" w:rsidRPr="00E74C20">
        <w:rPr>
          <w:lang w:val="en-GB"/>
        </w:rPr>
        <w:t xml:space="preserve"> </w:t>
      </w:r>
      <w:r w:rsidR="00C25AF2" w:rsidRPr="00E74C20">
        <w:rPr>
          <w:lang w:val="en-GB"/>
        </w:rPr>
        <w:t>Such complexity often makes conventional handling approaches inadequate</w:t>
      </w:r>
      <w:r w:rsidR="00EF2952" w:rsidRPr="00E74C20">
        <w:rPr>
          <w:lang w:val="en-GB"/>
        </w:rPr>
        <w:t>.</w:t>
      </w:r>
      <w:r w:rsidR="003636A6" w:rsidRPr="00E74C20">
        <w:rPr>
          <w:lang w:val="en-GB"/>
        </w:rPr>
        <w:t xml:space="preserve"> </w:t>
      </w:r>
      <w:r w:rsidR="00C25AF2" w:rsidRPr="00E74C20">
        <w:rPr>
          <w:lang w:val="en-GB"/>
        </w:rPr>
        <w:t xml:space="preserve">To address these challenges, LCB is commonly treated as a granular material, composed of solid particles interacting through contact and cohesive forces </w:t>
      </w:r>
      <w:r w:rsidR="00DB75A3" w:rsidRPr="00E74C20">
        <w:rPr>
          <w:color w:val="000000" w:themeColor="text1"/>
          <w:lang w:val="en-GB"/>
        </w:rPr>
        <w:fldChar w:fldCharType="begin"/>
      </w:r>
      <w:r w:rsidR="00DB75A3" w:rsidRPr="00E74C20">
        <w:rPr>
          <w:color w:val="000000" w:themeColor="text1"/>
          <w:lang w:val="en-GB"/>
        </w:rPr>
        <w:instrText xml:space="preserve"> ADDIN ZOTERO_ITEM CSL_CITATION {"citationID":"upIzA9gR","properties":{"formattedCitation":"(Rhodes &amp; Seville, 2024)","plainCitation":"(Rhodes &amp; Seville, 2024)","noteIndex":0},"citationItems":[{"id":479,"uris":["http://zotero.org/users/16832050/items/PEJP77II"],"itemData":{"id":479,"type":"webpage","abstract":"&lt;b&gt;INTRODUCTION TO PARTICLE TECHNOLOGY&lt;/b&gt; &lt;p&gt; &lt;b&gt;A new edition of the indispensable guide to particulates and powders &lt;/b&gt; &lt;p&gt;Particle technology concerns the formation, processing and properties of the particles and powders which make up many of the products that surround us. Such products range from the cement and aggregate in the built environment to pharmaceuticals and processed foods. Most of the process industries involve particles, either as essential components such as catalysts or as intermediate or final products, and minerals such as the rare earths that are generally mined and processed in particulate form. Particles can have many beneficial uses but they can also cause harm in the environment and, through inhalation, to the individual. In all cases, the powder properties, particularly particle size, are crucially important. &lt;p&gt;This well-known textbook, now in its 3rd edition, provides an easily-understood introduction to the underlying scientific principles of particle technology, together with examples of how these principles can be used in practical design and operation of industrial processes. Each chapter contains both worked examples and exercises for the student. Based on feedback from students and users of the earlier editions, this revised and expanded text includes introductory chapters on particles as products and on computational methods. The topics have been selected to give coverage of the broad areas of particle technology and include: &lt;ul&gt;&lt;li&gt;Characterization (size analysis, surface area) &lt;/li&gt;&lt;li&gt;Processing (granulation, fluidization) &lt;/li&gt;&lt;li&gt;Particle formation (granulation, crystallisation, tableting, size reduction) &lt;/li&gt;&lt;li&gt;Storage and transport (hopper design, pneumatic conveying, standpipes) &lt;/li&gt;&lt;li&gt;Separation (filtration, settling, cyclones) &lt;/li&gt;&lt;li&gt;Safety (fire and explosion hazards, health hazards) &lt;/li&gt;&lt;li&gt;Engineering the properties of particulate systems to achieve desired product performance &lt;/li&gt;&lt;li&gt;Discrete element modelling of particulate systems &lt;/li&gt;&lt;/ul&gt; &lt;p&gt;&lt;i&gt;Introduction to Particle Technology, 3rd Edition &lt;/i&gt;is essential reading for students of chemical engineering. The text is also recommended reading for students of mechanical engineering, applied chemistry, pharmaceutics, physics, mineral processing, and metallurgy, and is an excellent source for practising engineers and scientists looking to establish a working knowledge of the subject.","container-title":"Wiley.com","language":"en","title":"Introduction to Particle Technology, 3rd Edition | Wiley","URL":"https://www.wiley.com/en-us/Introduction+to+Particle+Technology%2C+3rd+Edition-p-9781119931164","author":[{"family":"Rhodes","given":"Martin J."},{"family":"Seville","given":"Jonathan"}],"accessed":{"date-parts":[["2026",1,29]]},"issued":{"date-parts":[["2024",5]]}}}],"schema":"https://github.com/citation-style-language/schema/raw/master/csl-citation.json"} </w:instrText>
      </w:r>
      <w:r w:rsidR="00DB75A3" w:rsidRPr="00E74C20">
        <w:rPr>
          <w:color w:val="000000" w:themeColor="text1"/>
          <w:lang w:val="en-GB"/>
        </w:rPr>
        <w:fldChar w:fldCharType="separate"/>
      </w:r>
      <w:r w:rsidR="00DB75A3" w:rsidRPr="00E74C20">
        <w:rPr>
          <w:rFonts w:cs="Arial"/>
          <w:lang w:val="en-GB"/>
        </w:rPr>
        <w:t>(Rhodes &amp; Seville, 2024)</w:t>
      </w:r>
      <w:r w:rsidR="00DB75A3" w:rsidRPr="00E74C20">
        <w:rPr>
          <w:color w:val="000000" w:themeColor="text1"/>
          <w:lang w:val="en-GB"/>
        </w:rPr>
        <w:fldChar w:fldCharType="end"/>
      </w:r>
      <w:r w:rsidR="00857E43" w:rsidRPr="00E74C20">
        <w:rPr>
          <w:color w:val="000000" w:themeColor="text1"/>
          <w:lang w:val="en-GB"/>
        </w:rPr>
        <w:t xml:space="preserve">. </w:t>
      </w:r>
      <w:r w:rsidR="00C25AF2" w:rsidRPr="00E74C20">
        <w:rPr>
          <w:lang w:val="en-GB"/>
        </w:rPr>
        <w:t>Key interparticle forces, including gravity, friction, van der Waals, capillary and electrostatic interactions, govern cohesion and flowability</w:t>
      </w:r>
      <w:r w:rsidR="00C17F3C" w:rsidRPr="00E74C20">
        <w:rPr>
          <w:lang w:val="en-GB"/>
        </w:rPr>
        <w:t xml:space="preserve"> </w:t>
      </w:r>
      <w:r w:rsidR="00DA5E93" w:rsidRPr="00E74C20">
        <w:rPr>
          <w:lang w:val="en-GB"/>
        </w:rPr>
        <w:t xml:space="preserve"> </w:t>
      </w:r>
      <w:r w:rsidR="00DA5E93" w:rsidRPr="00E74C20">
        <w:rPr>
          <w:lang w:val="en-GB"/>
        </w:rPr>
        <w:fldChar w:fldCharType="begin"/>
      </w:r>
      <w:r w:rsidR="00DA5E93" w:rsidRPr="00E74C20">
        <w:rPr>
          <w:lang w:val="en-GB"/>
        </w:rPr>
        <w:instrText xml:space="preserve"> ADDIN ZOTERO_ITEM CSL_CITATION {"citationID":"A5d2l5ka","properties":{"formattedCitation":"(Hamaker, 1937; Israelachvili, 2011; Klapetek, 2013; Seville et al., 2000)","plainCitation":"(Hamaker, 1937; Israelachvili, 2011; Klapetek, 2013; Seville et al., 2000)","noteIndex":0},"citationItems":[{"id":160,"uris":["http://zotero.org/users/16832050/items/8CBY62HN"],"itemData":{"id":160,"type":"article-journal","abstract":"Frequently we experience the existance of adhesive forces between small particles. It seems natural to ascribe this adhesion for a large part to London-v.d. Waals forces. To obtain general information concerning their order of magnitude the London-v. d. Waals interaction between two spherical particles is computed as a function of the diameters and the distance separating them. A table is calculated which enables numerical application of the formulae derived. Besides approximations are added, which may be used when the distance between the particles is small. In a separate section it is investigated how the results must be modified, when both particles are immersed in a liquid. Here we are led to the important conclusion that even in that case London-v. d. Waals forces generally cause an attraction.","container-title":"Physica","DOI":"10.1016/S0031-8914(37)80203-7","ISSN":"0031-8914","issue":"10","journalAbbreviation":"Physica","page":"1058-1072","source":"ScienceDirect","title":"The London—van der Waals attraction between spherical particles","volume":"4","author":[{"family":"Hamaker","given":"H. C."}],"issued":{"date-parts":[["1937",10,1]]}}},{"id":161,"uris":["http://zotero.org/users/16832050/items/X7QD93SS"],"itemData":{"id":161,"type":"article-journal","language":"en","source":"Zotero","title":"Intermolecular and Surface Forces","author":[{"family":"Israelachvili","given":"Jacob N"}],"issued":{"date-parts":[["2011"]]}}},{"id":460,"uris":["http://zotero.org/users/16832050/items/WJ37IL8R"],"itemData":{"id":460,"type":"chapter","container-title":"Quantitative Data Processing in Scanning Probe Microscopy","DOI":"10.1016/B978-1-45-573058-2.00006-1","ISBN":"978-1-4557-3058-2","language":"en","page":"127-172","publisher":"Elsevier","source":"DOI.org (Crossref)","title":"Force and Mechanical Properties","URL":"https://linkinghub.elsevier.com/retrieve/pii/B9781455730582000061","author":[{"family":"Klapetek","given":"Petr"}],"accessed":{"date-parts":[["2026",1,7]]},"issued":{"date-parts":[["2013"]]}}},{"id":157,"uris":["http://zotero.org/users/16832050/items/78UDKGY8"],"itemData":{"id":157,"type":"article-journal","abstract":"Because of the balance of forces in fluidised beds, particle interactions can have a strong effect on their microscopic and macroscopic behaviour, leading to agglomeration and defluidisation. Three types of particle interactions are reviewed: van der Waals forces, liquid bridge forces and sintering. Sintering is qualitatively different in its effects because it is a time-dependent process. The observed effects of these three types of interactions on fluidisation behaviour are described and explained in terms of simple models.","collection-title":"Neptis Symposium on Fluidization- Present and Future","container-title":"Powder Technology","DOI":"10.1016/S0032-5910(00)00309-0","ISSN":"0032-5910","issue":"3","journalAbbreviation":"Powder Technology","page":"261-268","source":"ScienceDirect","title":"Interparticle forces in fluidisation: a review","title-short":"Interparticle forces in fluidisation","volume":"113","author":[{"family":"Seville","given":"J. P. K."},{"family":"Willett","given":"C. D."},{"family":"Knight","given":"P. C."}],"issued":{"date-parts":[["2000",12,6]]}}}],"schema":"https://github.com/citation-style-language/schema/raw/master/csl-citation.json"} </w:instrText>
      </w:r>
      <w:r w:rsidR="00DA5E93" w:rsidRPr="00E74C20">
        <w:rPr>
          <w:lang w:val="en-GB"/>
        </w:rPr>
        <w:fldChar w:fldCharType="separate"/>
      </w:r>
      <w:r w:rsidR="00DA5E93" w:rsidRPr="00E74C20">
        <w:rPr>
          <w:rFonts w:cs="Arial"/>
          <w:lang w:val="en-GB"/>
        </w:rPr>
        <w:t>(Hamaker, 1937; Israelachvili, 2011; Klapetek, 2013; Seville et al., 2000)</w:t>
      </w:r>
      <w:r w:rsidR="00DA5E93" w:rsidRPr="00E74C20">
        <w:rPr>
          <w:lang w:val="en-GB"/>
        </w:rPr>
        <w:fldChar w:fldCharType="end"/>
      </w:r>
      <w:r w:rsidR="00DA5E93" w:rsidRPr="00E74C20">
        <w:rPr>
          <w:lang w:val="en-GB"/>
        </w:rPr>
        <w:t xml:space="preserve">. </w:t>
      </w:r>
      <w:r w:rsidR="00566DDB" w:rsidRPr="00E74C20">
        <w:rPr>
          <w:lang w:val="en-GB"/>
        </w:rPr>
        <w:t>Granular flows are classified into three regimes: quasi-static with solid-like behaviour, dense with liquid-like behaviour, and collisional dominated by particle collisions in dilute systems</w:t>
      </w:r>
      <w:r w:rsidR="00C25AF2" w:rsidRPr="00E74C20">
        <w:rPr>
          <w:lang w:val="en-GB"/>
        </w:rPr>
        <w:t xml:space="preserve">. Flow behaviour depends strongly on particle-scale properties such as size, shape, density and porosity, as well as bulk rheological characteristics including compressibility, cohesion and shear response </w:t>
      </w:r>
      <w:r w:rsidR="00C17F3C" w:rsidRPr="00E74C20">
        <w:rPr>
          <w:lang w:val="en-GB"/>
        </w:rPr>
        <w:fldChar w:fldCharType="begin"/>
      </w:r>
      <w:r w:rsidR="00C17F3C" w:rsidRPr="00E74C20">
        <w:rPr>
          <w:lang w:val="en-GB"/>
        </w:rPr>
        <w:instrText xml:space="preserve"> ADDIN ZOTERO_ITEM CSL_CITATION {"citationID":"Y1l2IqFa","properties":{"formattedCitation":"(Clyton, 2019; Hammoud, 2015; Rhodes &amp; Seville, 2024)","plainCitation":"(Clyton, 2019; Hammoud, 2015; Rhodes &amp; Seville, 2024)","noteIndex":0},"citationItems":[{"id":455,"uris":["http://zotero.org/users/16832050/items/57N73U8H"],"itemData":{"id":455,"type":"chapter","abstract":"Whether as raw materials, intermediates, or final products, powders are integral to the pharmaceutical industry. However, despite their ubiquity, powd…","container-title":"Handbook of Pharmaceutical Wet Granulation","DOI":"10.1016/B978-0-12-810460-6.00021-X","language":"en-US","page":"569-613","publisher":"Academic Press","source":"www.sciencedirect.com","title":"An Introduction to Powder Characterization","URL":"https://www.sciencedirect.com/science/chapter/edited-volume/abs/pii/B978012810460600021X","author":[{"family":"Clyton","given":"Jamie"}],"accessed":{"date-parts":[["2026",1,7]]},"issued":{"date-parts":[["2019",1,1]]}}},{"id":143,"uris":["http://zotero.org/users/16832050/items/ALK8QXVB"],"itemData":{"id":143,"type":"paper-conference","abstract":"Des catalyseurs massiques a base de Cu, Zn et Al ont ete prepares par voie hydrotalcite afin d'etre testes dans la reaction de vaporeformage du biomethanol pour produire de l'hydrogene. Pour les solides seches CuxZn</w:instrText>
      </w:r>
      <w:r w:rsidR="00C17F3C" w:rsidRPr="00E74C20">
        <w:rPr>
          <w:rFonts w:ascii="Cambria Math" w:hAnsi="Cambria Math" w:cs="Cambria Math"/>
          <w:lang w:val="en-GB"/>
        </w:rPr>
        <w:instrText>₆₋</w:instrText>
      </w:r>
      <w:r w:rsidR="00C17F3C" w:rsidRPr="00E74C20">
        <w:rPr>
          <w:lang w:val="en-GB"/>
        </w:rPr>
        <w:instrText>xAl</w:instrText>
      </w:r>
      <w:r w:rsidR="00C17F3C" w:rsidRPr="00E74C20">
        <w:rPr>
          <w:rFonts w:ascii="Cambria Math" w:hAnsi="Cambria Math" w:cs="Cambria Math"/>
          <w:lang w:val="en-GB"/>
        </w:rPr>
        <w:instrText>₂</w:instrText>
      </w:r>
      <w:r w:rsidR="00C17F3C" w:rsidRPr="00E74C20">
        <w:rPr>
          <w:lang w:val="en-GB"/>
        </w:rPr>
        <w:instrText>, quel que soit la teneur en cuivre, la phase hydrotalcite a ete revelee par differentes caracterisations physico-chimiques (DRX, MEB, ATD-ATG). La calcination des hydrotalcites permet de generer un melange d'oxydes ayant des proprietes interessantes telles le non-respect de la stoechiometrie, une stabilite thermique importante, une aire specifique elevee. Le solide Cu</w:instrText>
      </w:r>
      <w:r w:rsidR="00C17F3C" w:rsidRPr="00E74C20">
        <w:rPr>
          <w:rFonts w:ascii="Cambria Math" w:hAnsi="Cambria Math" w:cs="Cambria Math"/>
          <w:lang w:val="en-GB"/>
        </w:rPr>
        <w:instrText>₄</w:instrText>
      </w:r>
      <w:r w:rsidR="00C17F3C" w:rsidRPr="00E74C20">
        <w:rPr>
          <w:lang w:val="en-GB"/>
        </w:rPr>
        <w:instrText>Zn</w:instrText>
      </w:r>
      <w:r w:rsidR="00C17F3C" w:rsidRPr="00E74C20">
        <w:rPr>
          <w:rFonts w:ascii="Cambria Math" w:hAnsi="Cambria Math" w:cs="Cambria Math"/>
          <w:lang w:val="en-GB"/>
        </w:rPr>
        <w:instrText>₂</w:instrText>
      </w:r>
      <w:r w:rsidR="00C17F3C" w:rsidRPr="00E74C20">
        <w:rPr>
          <w:lang w:val="en-GB"/>
        </w:rPr>
        <w:instrText>Al</w:instrText>
      </w:r>
      <w:r w:rsidR="00C17F3C" w:rsidRPr="00E74C20">
        <w:rPr>
          <w:rFonts w:ascii="Cambria Math" w:hAnsi="Cambria Math" w:cs="Cambria Math"/>
          <w:lang w:val="en-GB"/>
        </w:rPr>
        <w:instrText>₂</w:instrText>
      </w:r>
      <w:r w:rsidR="00C17F3C" w:rsidRPr="00E74C20">
        <w:rPr>
          <w:lang w:val="en-GB"/>
        </w:rPr>
        <w:instrText xml:space="preserve"> HT calcine a 500</w:instrText>
      </w:r>
      <w:r w:rsidR="00C17F3C" w:rsidRPr="00E74C20">
        <w:rPr>
          <w:rFonts w:cs="Arial"/>
          <w:lang w:val="en-GB"/>
        </w:rPr>
        <w:instrText>°</w:instrText>
      </w:r>
      <w:r w:rsidR="00C17F3C" w:rsidRPr="00E74C20">
        <w:rPr>
          <w:lang w:val="en-GB"/>
        </w:rPr>
        <w:instrText>C presente les taux de conversion et les selectivites en H</w:instrText>
      </w:r>
      <w:r w:rsidR="00C17F3C" w:rsidRPr="00E74C20">
        <w:rPr>
          <w:rFonts w:ascii="Cambria Math" w:hAnsi="Cambria Math" w:cs="Cambria Math"/>
          <w:lang w:val="en-GB"/>
        </w:rPr>
        <w:instrText>₂</w:instrText>
      </w:r>
      <w:r w:rsidR="00C17F3C" w:rsidRPr="00E74C20">
        <w:rPr>
          <w:lang w:val="en-GB"/>
        </w:rPr>
        <w:instrText xml:space="preserve"> les plus eleves avec une faible formation de CO a hautes temperatures. Cette meilleure performance es due a la presenced'un optimum des especes de cuivre reduites Cu</w:instrText>
      </w:r>
      <w:r w:rsidR="00C17F3C" w:rsidRPr="00E74C20">
        <w:rPr>
          <w:rFonts w:ascii="Cambria Math" w:hAnsi="Cambria Math" w:cs="Cambria Math"/>
          <w:lang w:val="en-GB"/>
        </w:rPr>
        <w:instrText>⁺</w:instrText>
      </w:r>
      <w:r w:rsidR="00C17F3C" w:rsidRPr="00E74C20">
        <w:rPr>
          <w:lang w:val="en-GB"/>
        </w:rPr>
        <w:instrText>,CU</w:instrText>
      </w:r>
      <w:r w:rsidR="00C17F3C" w:rsidRPr="00E74C20">
        <w:rPr>
          <w:rFonts w:cs="Arial"/>
          <w:lang w:val="en-GB"/>
        </w:rPr>
        <w:instrText>⁰</w:instrText>
      </w:r>
      <w:r w:rsidR="00C17F3C" w:rsidRPr="00E74C20">
        <w:rPr>
          <w:lang w:val="en-GB"/>
        </w:rPr>
        <w:instrText xml:space="preserve">. Par ailleurs, un ensemble des solides supportes a base de cuivre utilisant l'hydrotalcite Zn-Al comme precurseur du support a ete synthetise. Les caracterisations des solides impregnes ont montre leurs reconstructions partielles par \"effet memoire\" sous forme hydrotalcite lors de l'impregnation du Cu. La performance catalytique de ces solides calcines depend de la temperature de calcination du support hydrotalcite, de l'echantillon et de la teneur en cuivre impregne. Le solide 10% Cu/Zn-Al (500) 500 presente la meilleure activite dans l'etude de vaporeformage du methanol. Parallelement, un mecanisme reactionnel, renfermant le formiate de methyle et l'acide formique comme composes intermediaires, a ete propose pour le vaporeformage du methanol en presence de ces catalyseurs.","source":"Semantic Scholar","title":"Synthèses et caractérisations d'oxydes mixtes à base de cuivre, zinc et aluminium issus de précurseurs de type hydrotalcite : Application pour la réaction de vaporeformage du biométhanol","title-short":"Synthèses et caractérisations d'oxydes mixtes à base de cuivre, zinc et aluminium issus de précurseurs de type hydrotalcite","URL":"https://www.semanticscholar.org/paper/Synth%C3%A8ses-et-caract%C3%A9risations-d'oxydes-mixtes-%C3%A0-de-Hammoud/a4d0e746b8d738b7252ca7ea13a68e8e7a0cbca5/figure/0","author":[{"family":"Hammoud","given":"D."}],"accessed":{"date-parts":[["2025",3,31]]},"issued":{"date-parts":[["2015",6,9]]}}},{"id":479,"uris":["http://zotero.org/users/16832050/items/PEJP77II"],"itemData":{"id":479,"type":"webpage","abstract":"&lt;b&gt;INTRODUCTION TO PARTICLE TECHNOLOGY&lt;/b&gt; &lt;p&gt; &lt;b&gt;A new edition of the indispensable guide to particulates and powders &lt;/b&gt; &lt;p&gt;Particle technology concerns the formation, processing and properties of the particles and powders which make up many of the products that surround us. Such products range from the cement and aggregate in the built environment to pharmaceuticals and processed foods. Most of the process industries involve particles, either as essential components such as catalysts or as intermediate or final products, and minerals such as the rare earths that are generally mined and processed in particulate form. Particles can have many beneficial uses but they can also cause harm in the environment and, through inhalation, to the individual. In all cases, the powder properties, particularly particle size, are crucially important. &lt;p&gt;This well-known textbook, now in its 3rd edition, provides an easily-understood introduction to the underlying scientific principles of particle technology, together with examples of how these principles can be used in practical design and operation of industrial processes. Each chapter contains both worked examples and exercises for the student. Based on feedback from students and users of the earlier editions, this revised and expanded text includes introductory chapters on particles as products and on computational methods. The topics have been selected to give coverage of the broad areas of particle technology and include: &lt;ul&gt;&lt;li&gt;Characterization (size analysis, surface area) &lt;/li&gt;&lt;li&gt;Processing (granulation, fluidization) &lt;/li&gt;&lt;li&gt;Particle formation (granulation, crystallisation, tableting, size reduction) &lt;/li&gt;&lt;li&gt;Storage and transport (hopper design, pneumatic conveying, standpipes) &lt;/li&gt;&lt;li&gt;Separation (filtration, settling, cyclones) &lt;/li&gt;&lt;li&gt;Safety (fire and explosion hazards, health hazards) &lt;/li&gt;&lt;li&gt;Engineering the properties of particulate systems to achieve desired product performance &lt;/li&gt;&lt;li&gt;Discrete element modelling of particulate systems &lt;/li&gt;&lt;/ul&gt; &lt;p&gt;&lt;i&gt;Introduction to Particle Technology, 3rd Edition &lt;/i&gt;is essential reading for students of chemical engineering. The text is also recommended reading for students of mechanical engineering, applied chemistry, pharmaceutics, physics, mineral processing, and metallurgy, and is an excellent source for practising engineers and scientists looking to establish a working knowledge of the subject.","container-title":"Wiley.com","language":"en","title":"Introduction to Particle Technology, 3rd Edition | Wiley","URL":"https://www.wiley.com/en-us/Introduction+to+Particle+Technology%2C+3rd+Edition-p-9781119931164","author":[{"family":"Rhodes","given":"Martin J."},{"family":"Seville","given":"Jonathan"}],"accessed":{"date-parts":[["2026",1,29]]},"issued":{"date-parts":[["2024",5]]}}}],"schema":"https://github.com/citation-style-language/schema/raw/master/csl-citation.json"} </w:instrText>
      </w:r>
      <w:r w:rsidR="00C17F3C" w:rsidRPr="00E74C20">
        <w:rPr>
          <w:lang w:val="en-GB"/>
        </w:rPr>
        <w:fldChar w:fldCharType="separate"/>
      </w:r>
      <w:r w:rsidR="00C17F3C" w:rsidRPr="00E74C20">
        <w:rPr>
          <w:rFonts w:cs="Arial"/>
          <w:lang w:val="en-GB"/>
        </w:rPr>
        <w:t>(Clyton, 2019; Hammoud, 2015; Rhodes &amp; Seville, 2024)</w:t>
      </w:r>
      <w:r w:rsidR="00C17F3C" w:rsidRPr="00E74C20">
        <w:rPr>
          <w:lang w:val="en-GB"/>
        </w:rPr>
        <w:fldChar w:fldCharType="end"/>
      </w:r>
      <w:r w:rsidR="00315128" w:rsidRPr="00E74C20">
        <w:rPr>
          <w:lang w:val="en-GB"/>
        </w:rPr>
        <w:t>.</w:t>
      </w:r>
      <w:r w:rsidR="00C17F3C" w:rsidRPr="00E74C20">
        <w:rPr>
          <w:lang w:val="en-GB"/>
        </w:rPr>
        <w:t xml:space="preserve"> </w:t>
      </w:r>
      <w:r w:rsidR="00315128" w:rsidRPr="00E74C20">
        <w:rPr>
          <w:lang w:val="en-GB"/>
        </w:rPr>
        <w:t>It is generally admitted that m</w:t>
      </w:r>
      <w:r w:rsidR="00C17F3C" w:rsidRPr="00E74C20">
        <w:rPr>
          <w:lang w:val="en-GB"/>
        </w:rPr>
        <w:t xml:space="preserve">ore irregular or rough particles </w:t>
      </w:r>
      <w:r w:rsidR="00E34EA0" w:rsidRPr="00E74C20">
        <w:rPr>
          <w:lang w:val="en-GB"/>
        </w:rPr>
        <w:t xml:space="preserve">exhibit </w:t>
      </w:r>
      <w:r w:rsidR="00C17F3C" w:rsidRPr="00E74C20">
        <w:rPr>
          <w:lang w:val="en-GB"/>
        </w:rPr>
        <w:t>reduce</w:t>
      </w:r>
      <w:r w:rsidR="00BD5260" w:rsidRPr="00E74C20">
        <w:rPr>
          <w:lang w:val="en-GB"/>
        </w:rPr>
        <w:t>d</w:t>
      </w:r>
      <w:r w:rsidR="00C17F3C" w:rsidRPr="00E74C20">
        <w:rPr>
          <w:lang w:val="en-GB"/>
        </w:rPr>
        <w:t xml:space="preserve"> flowability </w:t>
      </w:r>
      <w:r w:rsidR="00C17F3C" w:rsidRPr="00E74C20">
        <w:rPr>
          <w:lang w:val="en-GB"/>
        </w:rPr>
        <w:fldChar w:fldCharType="begin"/>
      </w:r>
      <w:r w:rsidR="00C17F3C" w:rsidRPr="00E74C20">
        <w:rPr>
          <w:lang w:val="en-GB"/>
        </w:rPr>
        <w:instrText xml:space="preserve"> ADDIN ZOTERO_ITEM CSL_CITATION {"citationID":"Zq2slK5E","properties":{"formattedCitation":"(Mellmann et al., 2013)","plainCitation":"(Mellmann et al., 2013)","noteIndex":0},"citationItems":[{"id":426,"uris":["http://zotero.org/users/16832050/items/GTP7XASL"],"itemData":{"id":426,"type":"article-journal","abstract":"The flow properties of bulk materials are influenced by particle shape and particle size, amongst others. Often the particle shape is assumed to be less important in literature. As yet, almost no results are available on the effect of particle shape on the flowability of crushed grain products. Therefore, two test series were performed with two different particle size fractions in the range of 0.2mm&lt;x&lt;0.8mm. To evaluate the flow properties of the particles, the flowability according to Jenike was applied. In the first test series, the flowability was determined by using a Walker shear cell, and in the second test series by means of a translation shear cell according to Jenike. The particle shape was characterized by the ratio of particle length to particle width (elongation) as well as by the fractionary dimension. As the measurements revealed, the flowability of the crushed grain decreased the more the particle shape deviated from the spherical shape and the roughness of the particle surface increased. As the elongation increased, the tensile strength of both particle size fractions increased and the flowability decreased in the first test series. The same behaviour was observed in the second test series where the fractionary dimension was increased.","container-title":"Powder Technology","DOI":"10.1016/j.powtec.2013.06.035","ISSN":"0032-5910","journalAbbreviation":"Powder Technology","page":"269-273","source":"ScienceDirect","title":"Flow properties of crushed grains as a function of the particle shape","volume":"249","author":[{"family":"Mellmann","given":"J."},{"family":"Hoffmann","given":"T."},{"family":"Fürll","given":"C."}],"issued":{"date-parts":[["2013",11,1]]}}}],"schema":"https://github.com/citation-style-language/schema/raw/master/csl-citation.json"} </w:instrText>
      </w:r>
      <w:r w:rsidR="00C17F3C" w:rsidRPr="00E74C20">
        <w:rPr>
          <w:lang w:val="en-GB"/>
        </w:rPr>
        <w:fldChar w:fldCharType="separate"/>
      </w:r>
      <w:r w:rsidR="00C17F3C" w:rsidRPr="00E74C20">
        <w:rPr>
          <w:rFonts w:cs="Arial"/>
          <w:lang w:val="en-GB"/>
        </w:rPr>
        <w:t>(Mellmann et al., 2013)</w:t>
      </w:r>
      <w:r w:rsidR="00C17F3C" w:rsidRPr="00E74C20">
        <w:rPr>
          <w:lang w:val="en-GB"/>
        </w:rPr>
        <w:fldChar w:fldCharType="end"/>
      </w:r>
      <w:r w:rsidR="00E51C0F" w:rsidRPr="00E74C20">
        <w:rPr>
          <w:lang w:val="en-GB"/>
        </w:rPr>
        <w:t xml:space="preserve">, although </w:t>
      </w:r>
      <w:r w:rsidR="00C25AF2" w:rsidRPr="00E74C20">
        <w:rPr>
          <w:lang w:val="en-GB"/>
        </w:rPr>
        <w:t xml:space="preserve">existing studies </w:t>
      </w:r>
      <w:r w:rsidR="00D85BEA" w:rsidRPr="00E74C20">
        <w:rPr>
          <w:lang w:val="en-GB"/>
        </w:rPr>
        <w:t>on this topic remain</w:t>
      </w:r>
      <w:r w:rsidR="00D85BEA" w:rsidRPr="00E74C20" w:rsidDel="00D85BEA">
        <w:rPr>
          <w:lang w:val="en-GB"/>
        </w:rPr>
        <w:t xml:space="preserve"> </w:t>
      </w:r>
      <w:r w:rsidR="00C25AF2" w:rsidRPr="00E74C20">
        <w:rPr>
          <w:lang w:val="en-GB"/>
        </w:rPr>
        <w:t xml:space="preserve">limited. Most </w:t>
      </w:r>
      <w:r w:rsidR="00D85BEA" w:rsidRPr="00E74C20">
        <w:rPr>
          <w:lang w:val="en-GB"/>
        </w:rPr>
        <w:t xml:space="preserve">studies </w:t>
      </w:r>
      <w:r w:rsidR="00C25AF2" w:rsidRPr="00E74C20">
        <w:rPr>
          <w:lang w:val="en-GB"/>
        </w:rPr>
        <w:t xml:space="preserve">focus on specific factors, such as moisture content or consolidation stress </w:t>
      </w:r>
      <w:r w:rsidR="00C72E38" w:rsidRPr="00E74C20">
        <w:rPr>
          <w:lang w:val="en-GB"/>
        </w:rPr>
        <w:fldChar w:fldCharType="begin"/>
      </w:r>
      <w:r w:rsidR="00C72E38" w:rsidRPr="00E74C20">
        <w:rPr>
          <w:lang w:val="en-GB"/>
        </w:rPr>
        <w:instrText xml:space="preserve"> ADDIN ZOTERO_ITEM CSL_CITATION {"citationID":"ll0RSlvJ","properties":{"formattedCitation":"(Stasiak et al., 2015)","plainCitation":"(Stasiak et al., 2015)","noteIndex":0},"citationItems":[{"id":492,"uris":["http://zotero.org/users/16832050/items/4DBKHZIW"],"itemData":{"id":492,"type":"article-journal","abstract":"Mechanical characteristics useful for design and process control were determined for sawdust and woodchips at five levels of moisture content. The density, the modulus of elasticity and relaxation curves were determined using uniaxial compression tester that allowed for measurement of horizontal pressure. The strength properties, the flowability and coefficient of friction against popular construction materials were determined using direct shear tester having 210mm in diameter shear box. The modulus of elasticity was found to be under strong influence of moisture content of the material. In the case of dry woodchips modulus of elasticity of 0.33MPa was obtained, while at 50% of moisture content it was of 0.25MPa. Mean value of angle of internal friction for sawdust was found 27° while that for woodchips was approximately equal to 33°. Effective angle of internal friction ranged from 34° for sawdust to 42° for woodchips. Flow index of sawdust was characteristic for cohesive/easy flowing materials while it was characteristic for cohesive materials in the case of woodchips. Strong negative correlation was observed in relationship between angle of internal friction and moisture content of sawdust. Weak or no correlation of cohesion versus moisture content relationships was observed for both tested materials, while cohesion was found under strong influence by consolidation stress. Friction against construction materials was found higher in the case of woodchips. No influence of consolidation stress on coefficient of friction was noted. With an increase of moisture content above 30% for sawdust and 20% for woodchips decrease in friction coefficient took place.","container-title":"Fuel","DOI":"10.1016/j.fuel.2015.07.044","ISSN":"0016-2361","journalAbbreviation":"Fuel","page":"900-908","source":"ScienceDirect","title":"Mechanical properties of sawdust and woodchips","volume":"159","author":[{"family":"Stasiak","given":"Mateusz"},{"family":"Molenda","given":"Marek"},{"family":"Bańda","given":"Maciej"},{"family":"Gondek","given":"Ewa"}],"issued":{"date-parts":[["2015",11,1]]}}}],"schema":"https://github.com/citation-style-language/schema/raw/master/csl-citation.json"} </w:instrText>
      </w:r>
      <w:r w:rsidR="00C72E38" w:rsidRPr="00E74C20">
        <w:rPr>
          <w:lang w:val="en-GB"/>
        </w:rPr>
        <w:fldChar w:fldCharType="separate"/>
      </w:r>
      <w:r w:rsidR="00C72E38" w:rsidRPr="00E74C20">
        <w:rPr>
          <w:rFonts w:cs="Arial"/>
          <w:lang w:val="en-GB"/>
        </w:rPr>
        <w:t>(Stasiak et al., 2015)</w:t>
      </w:r>
      <w:r w:rsidR="00C72E38" w:rsidRPr="00E74C20">
        <w:rPr>
          <w:lang w:val="en-GB"/>
        </w:rPr>
        <w:fldChar w:fldCharType="end"/>
      </w:r>
      <w:r w:rsidR="00C72E38" w:rsidRPr="00E74C20">
        <w:rPr>
          <w:lang w:val="en-GB"/>
        </w:rPr>
        <w:t xml:space="preserve">, </w:t>
      </w:r>
      <w:r w:rsidR="00C25AF2" w:rsidRPr="00E74C20">
        <w:rPr>
          <w:lang w:val="en-GB"/>
        </w:rPr>
        <w:t xml:space="preserve">without systematically linking particle morphology to </w:t>
      </w:r>
      <w:r w:rsidR="00C25AF2" w:rsidRPr="00E74C20">
        <w:rPr>
          <w:lang w:val="en-GB"/>
        </w:rPr>
        <w:lastRenderedPageBreak/>
        <w:t>macroscopic flow behaviour.</w:t>
      </w:r>
      <w:r w:rsidR="001928B1" w:rsidRPr="00E74C20">
        <w:rPr>
          <w:lang w:val="en-GB"/>
        </w:rPr>
        <w:t xml:space="preserve"> In contrast,</w:t>
      </w:r>
      <w:r w:rsidR="00C25AF2" w:rsidRPr="00E74C20">
        <w:rPr>
          <w:lang w:val="en-GB"/>
        </w:rPr>
        <w:t xml:space="preserve"> </w:t>
      </w:r>
      <w:r w:rsidR="001928B1" w:rsidRPr="00E74C20">
        <w:rPr>
          <w:lang w:val="en-GB"/>
        </w:rPr>
        <w:t>s</w:t>
      </w:r>
      <w:r w:rsidR="00C25AF2" w:rsidRPr="00E74C20">
        <w:rPr>
          <w:lang w:val="en-GB"/>
        </w:rPr>
        <w:t>tandard model materials like glass beads or sand are too ideal to capture the behaviour of real lignocellulosic systems.</w:t>
      </w:r>
    </w:p>
    <w:p w14:paraId="7FCE1301" w14:textId="3DAB583D" w:rsidR="005B3CC4" w:rsidRPr="00E74C20" w:rsidRDefault="00E74C20" w:rsidP="00E74C20">
      <w:pPr>
        <w:pStyle w:val="CETBodytext"/>
        <w:rPr>
          <w:lang w:val="en-GB"/>
        </w:rPr>
      </w:pPr>
      <w:r w:rsidRPr="00E74C20">
        <w:rPr>
          <w:lang w:val="en-GB"/>
        </w:rPr>
        <w:t xml:space="preserve">This </w:t>
      </w:r>
      <w:r w:rsidR="00955D15">
        <w:rPr>
          <w:lang w:val="en-GB"/>
        </w:rPr>
        <w:t xml:space="preserve">present </w:t>
      </w:r>
      <w:r w:rsidRPr="00E74C20">
        <w:rPr>
          <w:lang w:val="en-GB"/>
        </w:rPr>
        <w:t>study therefore focuses on sawdust, as justified in the following section.</w:t>
      </w:r>
      <w:r w:rsidR="00955D15">
        <w:rPr>
          <w:lang w:val="en-GB"/>
        </w:rPr>
        <w:t xml:space="preserve"> </w:t>
      </w:r>
      <w:r w:rsidRPr="00E74C20">
        <w:rPr>
          <w:lang w:val="en-GB"/>
        </w:rPr>
        <w:t>The objective is to investigate how particle-scale physical properties influence macroscopic flow behaviour in two types of sawdust, through a combined experimental and numerical approach</w:t>
      </w:r>
      <w:r w:rsidR="007B6B3B" w:rsidRPr="00E74C20">
        <w:rPr>
          <w:lang w:val="en-GB"/>
        </w:rPr>
        <w:t>.</w:t>
      </w:r>
    </w:p>
    <w:p w14:paraId="3A3CA7B9" w14:textId="67EE7373" w:rsidR="00E01CDF" w:rsidRPr="00E74C20" w:rsidRDefault="00392C32" w:rsidP="00ED2082">
      <w:pPr>
        <w:pStyle w:val="CETHeading1"/>
        <w:rPr>
          <w:lang w:val="en-GB"/>
        </w:rPr>
      </w:pPr>
      <w:r w:rsidRPr="00E74C20">
        <w:rPr>
          <w:lang w:val="en-GB"/>
        </w:rPr>
        <w:t xml:space="preserve">Materials </w:t>
      </w:r>
      <w:r w:rsidR="007701FE" w:rsidRPr="00E74C20">
        <w:rPr>
          <w:lang w:val="en-GB"/>
        </w:rPr>
        <w:t>and Methods</w:t>
      </w:r>
    </w:p>
    <w:p w14:paraId="7E96CE37" w14:textId="73581D14" w:rsidR="00E01CDF" w:rsidRPr="00E74C20" w:rsidRDefault="00E74C20" w:rsidP="00D63883">
      <w:pPr>
        <w:pStyle w:val="CETBodytext"/>
        <w:rPr>
          <w:lang w:val="en-GB"/>
        </w:rPr>
      </w:pPr>
      <w:r w:rsidRPr="00E74C20">
        <w:rPr>
          <w:lang w:val="en-GB"/>
        </w:rPr>
        <w:t>Beech and fir sawdust were selected as model lignocellulosic materials and investigated across three distinct particle size classes. These materials were chosen for their strong relevance to biorefinery applications, as well as the availability of well-defined</w:t>
      </w:r>
      <w:r>
        <w:rPr>
          <w:lang w:val="en-GB"/>
        </w:rPr>
        <w:t xml:space="preserve"> and</w:t>
      </w:r>
      <w:r w:rsidRPr="00E74C20">
        <w:rPr>
          <w:lang w:val="en-GB"/>
        </w:rPr>
        <w:t xml:space="preserve"> commercially accessible granulometries. Moreover, compared to highly elongated biomass particles such as straw, sawdust exhibits more moderate aspect ratios, making it a suitable </w:t>
      </w:r>
      <w:r>
        <w:rPr>
          <w:lang w:val="en-GB"/>
        </w:rPr>
        <w:t>material</w:t>
      </w:r>
      <w:r w:rsidRPr="00E74C20">
        <w:rPr>
          <w:lang w:val="en-GB"/>
        </w:rPr>
        <w:t xml:space="preserve"> for </w:t>
      </w:r>
      <w:r>
        <w:rPr>
          <w:lang w:val="en-GB"/>
        </w:rPr>
        <w:t>studying and understanding</w:t>
      </w:r>
      <w:r w:rsidRPr="00E74C20">
        <w:rPr>
          <w:lang w:val="en-GB"/>
        </w:rPr>
        <w:t xml:space="preserve"> flow behavio</w:t>
      </w:r>
      <w:r>
        <w:rPr>
          <w:lang w:val="en-GB"/>
        </w:rPr>
        <w:t>u</w:t>
      </w:r>
      <w:r w:rsidRPr="00E74C20">
        <w:rPr>
          <w:lang w:val="en-GB"/>
        </w:rPr>
        <w:t xml:space="preserve">r before addressing more complex fibrous </w:t>
      </w:r>
      <w:r>
        <w:rPr>
          <w:lang w:val="en-GB"/>
        </w:rPr>
        <w:t>biomasses</w:t>
      </w:r>
      <w:r w:rsidR="00D63883" w:rsidRPr="00E74C20">
        <w:rPr>
          <w:lang w:val="en-GB"/>
        </w:rPr>
        <w:t>. The materials were supplied by the French company Sowood (</w:t>
      </w:r>
      <w:proofErr w:type="spellStart"/>
      <w:r w:rsidR="00D63883" w:rsidRPr="00E74C20">
        <w:rPr>
          <w:lang w:val="en-GB"/>
        </w:rPr>
        <w:t>Creil</w:t>
      </w:r>
      <w:proofErr w:type="spellEnd"/>
      <w:r w:rsidR="00D63883" w:rsidRPr="00E74C20">
        <w:rPr>
          <w:lang w:val="en-GB"/>
        </w:rPr>
        <w:t>, France) and originated from forests in the Hauts-de-France region</w:t>
      </w:r>
      <w:r w:rsidR="007A6479" w:rsidRPr="00E74C20">
        <w:rPr>
          <w:lang w:val="en-GB"/>
        </w:rPr>
        <w:t xml:space="preserve">. Wood </w:t>
      </w:r>
      <w:r w:rsidR="00D63883" w:rsidRPr="00E74C20">
        <w:rPr>
          <w:lang w:val="en-GB"/>
        </w:rPr>
        <w:t>sawdust is</w:t>
      </w:r>
      <w:r w:rsidR="007A6479" w:rsidRPr="00E74C20">
        <w:rPr>
          <w:lang w:val="en-GB"/>
        </w:rPr>
        <w:t xml:space="preserve"> composed mainly of cellulose (35–60%), hemicellulose (15–35%), and lignin (15–30%) </w:t>
      </w:r>
      <w:r w:rsidR="000D1919" w:rsidRPr="00E74C20">
        <w:rPr>
          <w:lang w:val="en-GB"/>
        </w:rPr>
        <w:fldChar w:fldCharType="begin"/>
      </w:r>
      <w:r w:rsidR="000D1919" w:rsidRPr="00E74C20">
        <w:rPr>
          <w:lang w:val="en-GB"/>
        </w:rPr>
        <w:instrText xml:space="preserve"> ADDIN ZOTERO_ITEM CSL_CITATION {"citationID":"Z0SGN5o1","properties":{"formattedCitation":"(Adegoke et al., 2022)","plainCitation":"(Adegoke et al., 2022)","noteIndex":0},"citationItems":[{"id":178,"uris":["http://zotero.org/users/16832050/items/VFU3J5CK"],"itemData":{"id":178,"type":"article-journal","abstract":"Sawdust materials are global wastes obtained from wood processing and exploitation activities. They are usually dumped/stored in uncontrolled conditions, thus becoming a major contributor to environmental pollution. Over the years, drastic efforts have been placed on converting these materials to a carbon source that can be applied for wastewater treatment. This places value on sawdust usage to ensure a green, clean, and sustainable environment thereby contributing to the global waste management system. The present review aims at presenting an empirical analysis and methodological approaches on sawdust-biomass-based material for the adsorptive removal of different pollutants from an aqueous solution. The first few parts revealed the hope and fate of sawdust-biomass-based materials in the environment, the health effects of sawdust on human and aquatic lives, and the environmental effects. This study further presents the source, types, composition, fabrication and configuration of sawdust adsorbents and characterization of the adsorbents derived from sawdust-biomass-based materials. The categories of pollutants considered in this study were grouped into endocrine-disrupting chemicals, dyes, pesticides, herbicides and agrochemicals, and heavy metals. A comprehensive review and the corresponding performance of sawdust-biomass-based adsorbents for each pollutant category was presented independently, and comparisons was made in each class. Adsorption capacity of different sawdust-based adsorbents ranged from 10 to 667.9 ​mg/g (for endocrine-disrupting chemicals and other emerging contaminants removal), 69.44–372 ​mg/g (for pesticides, herbicides, and agrochemicals removal), 3.42–526.3 ​mg/g (for dyes removal) and 2.87–325 ​mg/g (for heavy metal removal). This study further discussed the adsorption mechanisms of these materials, strategies for enhancing the efficiency of sawdust-biomass-based adsorbents and a potential methodological approach for engineering application, which is absent in the literature. Lastly, this study highlighted important observations and conclusions relating to the knowledge gaps to foster the way forward for the materials towards ensuring more industrial applications.","container-title":"Current Research in Green and Sustainable Chemistry","DOI":"10.1016/j.crgsc.2022.100274","ISSN":"2666-0865","journalAbbreviation":"Current Research in Green and Sustainable Chemistry","page":"100274","source":"ScienceDirect","title":"Sawdust-biomass based materials for sequestration of organic and inorganic pollutants and potential for engineering applications","volume":"5","author":[{"family":"Adegoke","given":"Kayode Adesina"},{"family":"Adesina","given":"Oreoluwa Ololade"},{"family":"Okon-Akan","given":"Omolabake Abiodun"},{"family":"Adegoke","given":"Oyeladun Rhoda"},{"family":"Olabintan","given":"Abdullahi Biodun"},{"family":"Ajala","given":"Oluwaseyi Aderemi"},{"family":"Olagoke","given":"Halimat"},{"family":"Maxakato","given":"Nobanathi Wendy"},{"family":"Bello","given":"Olugbenga Solomon"}],"issued":{"date-parts":[["2022",1,1]]}}}],"schema":"https://github.com/citation-style-language/schema/raw/master/csl-citation.json"} </w:instrText>
      </w:r>
      <w:r w:rsidR="000D1919" w:rsidRPr="00E74C20">
        <w:rPr>
          <w:lang w:val="en-GB"/>
        </w:rPr>
        <w:fldChar w:fldCharType="separate"/>
      </w:r>
      <w:r w:rsidR="000D1919" w:rsidRPr="00E74C20">
        <w:rPr>
          <w:rFonts w:cs="Arial"/>
          <w:lang w:val="en-GB"/>
        </w:rPr>
        <w:t>(Adegoke et al., 2022)</w:t>
      </w:r>
      <w:r w:rsidR="000D1919" w:rsidRPr="00E74C20">
        <w:rPr>
          <w:lang w:val="en-GB"/>
        </w:rPr>
        <w:fldChar w:fldCharType="end"/>
      </w:r>
      <w:r w:rsidR="000D1919" w:rsidRPr="00E74C20">
        <w:rPr>
          <w:lang w:val="en-GB"/>
        </w:rPr>
        <w:t>.</w:t>
      </w:r>
      <w:r w:rsidR="00575FA1" w:rsidRPr="00E74C20">
        <w:rPr>
          <w:lang w:val="en-GB"/>
        </w:rPr>
        <w:t xml:space="preserve"> </w:t>
      </w:r>
      <w:r w:rsidR="007A6479" w:rsidRPr="00E74C20">
        <w:rPr>
          <w:lang w:val="en-GB"/>
        </w:rPr>
        <w:t xml:space="preserve">This study focuses on quasi-static and dense flow regimes representative of industrial biomass storage, handling and processing. For each species, three granulometries were considered, spanning from fine powders with </w:t>
      </w:r>
      <w:r w:rsidR="0037215C" w:rsidRPr="00E74C20">
        <w:rPr>
          <w:lang w:val="en-GB"/>
        </w:rPr>
        <w:t>Sauter mean diameter (d</w:t>
      </w:r>
      <w:r w:rsidR="0037215C" w:rsidRPr="00E74C20">
        <w:rPr>
          <w:vertAlign w:val="subscript"/>
          <w:lang w:val="en-GB"/>
        </w:rPr>
        <w:t>3,2</w:t>
      </w:r>
      <w:r w:rsidR="0037215C" w:rsidRPr="00E74C20">
        <w:rPr>
          <w:lang w:val="en-GB"/>
        </w:rPr>
        <w:t xml:space="preserve">) </w:t>
      </w:r>
      <w:r w:rsidR="007A6479" w:rsidRPr="00E74C20">
        <w:rPr>
          <w:lang w:val="en-GB"/>
        </w:rPr>
        <w:t xml:space="preserve">around </w:t>
      </w:r>
      <w:r w:rsidR="0037215C" w:rsidRPr="00E74C20">
        <w:rPr>
          <w:lang w:val="en-GB"/>
        </w:rPr>
        <w:t xml:space="preserve">90 </w:t>
      </w:r>
      <w:r w:rsidR="007A6479" w:rsidRPr="00E74C20">
        <w:rPr>
          <w:lang w:val="en-GB"/>
        </w:rPr>
        <w:t xml:space="preserve">µm, to intermediate particles with sizes close to </w:t>
      </w:r>
      <w:r w:rsidR="0037215C" w:rsidRPr="00E74C20">
        <w:rPr>
          <w:lang w:val="en-GB"/>
        </w:rPr>
        <w:t>600 µm</w:t>
      </w:r>
      <w:r w:rsidR="007A6479" w:rsidRPr="00E74C20">
        <w:rPr>
          <w:lang w:val="en-GB"/>
        </w:rPr>
        <w:t xml:space="preserve">, and coarse particles with sizes of about </w:t>
      </w:r>
      <w:r w:rsidR="00460733" w:rsidRPr="00E74C20">
        <w:rPr>
          <w:lang w:val="en-GB"/>
        </w:rPr>
        <w:t>1</w:t>
      </w:r>
      <w:r w:rsidR="007A6479" w:rsidRPr="00E74C20">
        <w:rPr>
          <w:lang w:val="en-GB"/>
        </w:rPr>
        <w:t>.</w:t>
      </w:r>
      <w:r w:rsidR="0037215C" w:rsidRPr="00E74C20">
        <w:rPr>
          <w:lang w:val="en-GB"/>
        </w:rPr>
        <w:t>3</w:t>
      </w:r>
      <w:r w:rsidR="007A6479" w:rsidRPr="00E74C20">
        <w:rPr>
          <w:lang w:val="en-GB"/>
        </w:rPr>
        <w:t xml:space="preserve"> mm. </w:t>
      </w:r>
      <w:r w:rsidR="00BA7DD3" w:rsidRPr="00E74C20">
        <w:rPr>
          <w:lang w:val="en-GB"/>
        </w:rPr>
        <w:t>E</w:t>
      </w:r>
      <w:r w:rsidR="007A6479" w:rsidRPr="00E74C20">
        <w:rPr>
          <w:lang w:val="en-GB"/>
        </w:rPr>
        <w:t xml:space="preserve">mphasis is placed on the </w:t>
      </w:r>
      <w:r w:rsidR="00460733" w:rsidRPr="00E74C20">
        <w:rPr>
          <w:lang w:val="en-GB"/>
        </w:rPr>
        <w:t xml:space="preserve">medium </w:t>
      </w:r>
      <w:r w:rsidR="007A6479" w:rsidRPr="00E74C20">
        <w:rPr>
          <w:lang w:val="en-GB"/>
        </w:rPr>
        <w:t>grained fir and beech sawdust</w:t>
      </w:r>
      <w:r w:rsidR="003B0963" w:rsidRPr="00E74C20">
        <w:rPr>
          <w:lang w:val="en-GB"/>
        </w:rPr>
        <w:t xml:space="preserve"> in this paper</w:t>
      </w:r>
      <w:r w:rsidR="007A6479" w:rsidRPr="00E74C20">
        <w:rPr>
          <w:lang w:val="en-GB"/>
        </w:rPr>
        <w:t>. A comprehensive physical and rheological characterization was performed using complementary experimental techniques</w:t>
      </w:r>
      <w:r w:rsidR="003B0963" w:rsidRPr="00E74C20">
        <w:rPr>
          <w:lang w:val="en-GB"/>
        </w:rPr>
        <w:t xml:space="preserve"> detailed as follows</w:t>
      </w:r>
      <w:r w:rsidR="007A6479" w:rsidRPr="00E74C20">
        <w:rPr>
          <w:lang w:val="en-GB"/>
        </w:rPr>
        <w:t>.</w:t>
      </w:r>
    </w:p>
    <w:p w14:paraId="49FCC32C" w14:textId="0218703F" w:rsidR="00E01CDF" w:rsidRPr="00E74C20" w:rsidRDefault="00E01CDF" w:rsidP="00E01CDF">
      <w:pPr>
        <w:pStyle w:val="CETheadingx"/>
        <w:rPr>
          <w:lang w:val="en-GB"/>
        </w:rPr>
      </w:pPr>
      <w:r w:rsidRPr="00E74C20">
        <w:rPr>
          <w:lang w:val="en-GB"/>
        </w:rPr>
        <w:t>Physical characterization</w:t>
      </w:r>
    </w:p>
    <w:p w14:paraId="48C5FD89" w14:textId="45856240" w:rsidR="00E01CDF" w:rsidRPr="00E74C20" w:rsidRDefault="00E01CDF" w:rsidP="00CB4DD7">
      <w:pPr>
        <w:pStyle w:val="CETHeadingxx"/>
        <w:rPr>
          <w:lang w:val="en-GB"/>
        </w:rPr>
      </w:pPr>
      <w:r w:rsidRPr="00E74C20">
        <w:rPr>
          <w:lang w:val="en-GB"/>
        </w:rPr>
        <w:t xml:space="preserve">Granulometric </w:t>
      </w:r>
      <w:r w:rsidR="000C3D96" w:rsidRPr="00E74C20">
        <w:rPr>
          <w:lang w:val="en-GB"/>
        </w:rPr>
        <w:t>a</w:t>
      </w:r>
      <w:r w:rsidR="007701FE" w:rsidRPr="00E74C20">
        <w:rPr>
          <w:lang w:val="en-GB"/>
        </w:rPr>
        <w:t xml:space="preserve">nd Morphological </w:t>
      </w:r>
      <w:r w:rsidR="00FA49E1" w:rsidRPr="00E74C20">
        <w:rPr>
          <w:lang w:val="en-GB"/>
        </w:rPr>
        <w:t>Characterization</w:t>
      </w:r>
    </w:p>
    <w:p w14:paraId="086D1F5E" w14:textId="1AD91E6D" w:rsidR="006714C0" w:rsidRPr="00E74C20" w:rsidRDefault="00CB5C0F" w:rsidP="00041F29">
      <w:pPr>
        <w:pStyle w:val="CETBodytext"/>
        <w:rPr>
          <w:lang w:val="en-GB"/>
        </w:rPr>
      </w:pPr>
      <w:r w:rsidRPr="00E74C20">
        <w:rPr>
          <w:lang w:val="en-GB"/>
        </w:rPr>
        <w:t>Particle size distributions were determined using a Mastersizer 3000+ Ultra (Malvern Panalytical</w:t>
      </w:r>
      <w:r w:rsidR="00575FA1" w:rsidRPr="00E74C20">
        <w:rPr>
          <w:lang w:val="en-GB"/>
        </w:rPr>
        <w:t xml:space="preserve"> Lt</w:t>
      </w:r>
      <w:r w:rsidR="00E03EB8" w:rsidRPr="00E74C20">
        <w:rPr>
          <w:lang w:val="en-GB"/>
        </w:rPr>
        <w:t>d</w:t>
      </w:r>
      <w:r w:rsidR="00575FA1" w:rsidRPr="00E74C20">
        <w:rPr>
          <w:lang w:val="en-GB"/>
        </w:rPr>
        <w:t xml:space="preserve">, </w:t>
      </w:r>
      <w:r w:rsidR="00E03EB8" w:rsidRPr="00E74C20">
        <w:rPr>
          <w:lang w:val="en-GB"/>
        </w:rPr>
        <w:t xml:space="preserve">Malvern, </w:t>
      </w:r>
      <w:r w:rsidR="00575FA1" w:rsidRPr="00E74C20">
        <w:rPr>
          <w:lang w:val="en-GB"/>
        </w:rPr>
        <w:t>U</w:t>
      </w:r>
      <w:r w:rsidR="0019515D" w:rsidRPr="00E74C20">
        <w:rPr>
          <w:lang w:val="en-GB"/>
        </w:rPr>
        <w:t xml:space="preserve">nited </w:t>
      </w:r>
      <w:r w:rsidR="00575FA1" w:rsidRPr="00E74C20">
        <w:rPr>
          <w:lang w:val="en-GB"/>
        </w:rPr>
        <w:t>K</w:t>
      </w:r>
      <w:r w:rsidR="0019515D" w:rsidRPr="00E74C20">
        <w:rPr>
          <w:lang w:val="en-GB"/>
        </w:rPr>
        <w:t>ingdom</w:t>
      </w:r>
      <w:r w:rsidRPr="00E74C20">
        <w:rPr>
          <w:lang w:val="en-GB"/>
        </w:rPr>
        <w:t>) with the dry method</w:t>
      </w:r>
      <w:r w:rsidR="00B82B14" w:rsidRPr="00E74C20">
        <w:rPr>
          <w:lang w:val="en-GB"/>
        </w:rPr>
        <w:t xml:space="preserve"> following ISO 13320 for laser diffraction particle sizing</w:t>
      </w:r>
      <w:r w:rsidRPr="00E74C20">
        <w:rPr>
          <w:lang w:val="en-GB"/>
        </w:rPr>
        <w:t>.</w:t>
      </w:r>
      <w:r w:rsidR="002218F3" w:rsidRPr="00E74C20">
        <w:rPr>
          <w:lang w:val="en-GB"/>
        </w:rPr>
        <w:t xml:space="preserve"> </w:t>
      </w:r>
      <w:r w:rsidR="002D2DA3" w:rsidRPr="00E74C20">
        <w:rPr>
          <w:lang w:val="en-GB"/>
        </w:rPr>
        <w:t>G</w:t>
      </w:r>
      <w:r w:rsidR="00797E34" w:rsidRPr="00E74C20">
        <w:rPr>
          <w:lang w:val="en-GB"/>
        </w:rPr>
        <w:t>ranulometric</w:t>
      </w:r>
      <w:r w:rsidR="002218F3" w:rsidRPr="00E74C20">
        <w:rPr>
          <w:lang w:val="en-GB"/>
        </w:rPr>
        <w:t xml:space="preserve"> analysis provides access to multiple complementary descriptors,</w:t>
      </w:r>
      <w:r w:rsidR="002D2DA3" w:rsidRPr="00E74C20">
        <w:rPr>
          <w:lang w:val="en-GB"/>
        </w:rPr>
        <w:t xml:space="preserve"> </w:t>
      </w:r>
      <w:r w:rsidR="002218F3" w:rsidRPr="00E74C20">
        <w:rPr>
          <w:lang w:val="en-GB"/>
        </w:rPr>
        <w:t>yielding characteristic diameters such as the Sauter mean diameter (d</w:t>
      </w:r>
      <w:r w:rsidR="00797E34" w:rsidRPr="00E74C20">
        <w:rPr>
          <w:rFonts w:ascii="Cambria Math" w:hAnsi="Cambria Math" w:cs="Cambria Math"/>
          <w:vertAlign w:val="subscript"/>
          <w:lang w:val="en-GB"/>
        </w:rPr>
        <w:t>3,2</w:t>
      </w:r>
      <w:r w:rsidR="002218F3" w:rsidRPr="00E74C20">
        <w:rPr>
          <w:lang w:val="en-GB"/>
        </w:rPr>
        <w:t>), and percentile diameters D</w:t>
      </w:r>
      <w:r w:rsidR="002218F3" w:rsidRPr="00E74C20">
        <w:rPr>
          <w:vertAlign w:val="subscript"/>
          <w:lang w:val="en-GB"/>
        </w:rPr>
        <w:t>10</w:t>
      </w:r>
      <w:r w:rsidR="002218F3" w:rsidRPr="00E74C20">
        <w:rPr>
          <w:lang w:val="en-GB"/>
        </w:rPr>
        <w:t>, D</w:t>
      </w:r>
      <w:r w:rsidR="002218F3" w:rsidRPr="00E74C20">
        <w:rPr>
          <w:vertAlign w:val="subscript"/>
          <w:lang w:val="en-GB"/>
        </w:rPr>
        <w:t>50</w:t>
      </w:r>
      <w:r w:rsidR="002218F3" w:rsidRPr="00E74C20">
        <w:rPr>
          <w:lang w:val="en-GB"/>
        </w:rPr>
        <w:t>, and D</w:t>
      </w:r>
      <w:r w:rsidR="002218F3" w:rsidRPr="00E74C20">
        <w:rPr>
          <w:vertAlign w:val="subscript"/>
          <w:lang w:val="en-GB"/>
        </w:rPr>
        <w:t>90</w:t>
      </w:r>
      <w:r w:rsidR="006714C0" w:rsidRPr="00E74C20">
        <w:rPr>
          <w:lang w:val="en-GB"/>
        </w:rPr>
        <w:t>. Five measurements were performed at a dispersion pressure of 2 bars, after preliminary tests at 0.5, 1, 2, 3, and 4 bars showed no significant effect on the particle size distribution, and the average values were reported.</w:t>
      </w:r>
    </w:p>
    <w:p w14:paraId="10D2296B" w14:textId="6AE5AEBB" w:rsidR="00CB5C0F" w:rsidRPr="00E74C20" w:rsidRDefault="00CB5C0F" w:rsidP="00041F29">
      <w:pPr>
        <w:pStyle w:val="CETBodytext"/>
        <w:rPr>
          <w:u w:val="single"/>
          <w:lang w:val="en-GB"/>
        </w:rPr>
      </w:pPr>
      <w:r w:rsidRPr="00E74C20">
        <w:rPr>
          <w:lang w:val="en-GB"/>
        </w:rPr>
        <w:t xml:space="preserve">Particle morphology, was analysed using </w:t>
      </w:r>
      <w:r w:rsidR="00575FA1" w:rsidRPr="00E74C20">
        <w:rPr>
          <w:lang w:val="en-GB"/>
        </w:rPr>
        <w:t xml:space="preserve">a </w:t>
      </w:r>
      <w:proofErr w:type="spellStart"/>
      <w:r w:rsidRPr="00E74C20">
        <w:rPr>
          <w:lang w:val="en-GB"/>
        </w:rPr>
        <w:t>Litesizer</w:t>
      </w:r>
      <w:proofErr w:type="spellEnd"/>
      <w:r w:rsidRPr="00E74C20">
        <w:rPr>
          <w:lang w:val="en-GB"/>
        </w:rPr>
        <w:t xml:space="preserve"> DIA</w:t>
      </w:r>
      <w:r w:rsidR="00575FA1" w:rsidRPr="00E74C20">
        <w:rPr>
          <w:lang w:val="en-GB"/>
        </w:rPr>
        <w:t xml:space="preserve"> 700 (Anton Paar GmbH,</w:t>
      </w:r>
      <w:r w:rsidR="00E03EB8" w:rsidRPr="00E74C20">
        <w:rPr>
          <w:lang w:val="en-GB"/>
        </w:rPr>
        <w:t xml:space="preserve"> Graz,</w:t>
      </w:r>
      <w:r w:rsidR="00575FA1" w:rsidRPr="00E74C20">
        <w:rPr>
          <w:lang w:val="en-GB"/>
        </w:rPr>
        <w:t xml:space="preserve"> Austria)</w:t>
      </w:r>
      <w:r w:rsidR="00B82B14" w:rsidRPr="00E74C20">
        <w:rPr>
          <w:lang w:val="en-GB"/>
        </w:rPr>
        <w:t xml:space="preserve"> </w:t>
      </w:r>
      <w:r w:rsidR="00434F4A" w:rsidRPr="00E74C20">
        <w:rPr>
          <w:lang w:val="en-GB"/>
        </w:rPr>
        <w:t xml:space="preserve">that </w:t>
      </w:r>
      <w:r w:rsidR="00B82B14" w:rsidRPr="00E74C20">
        <w:rPr>
          <w:lang w:val="en-GB"/>
        </w:rPr>
        <w:t>operate</w:t>
      </w:r>
      <w:r w:rsidR="00434F4A" w:rsidRPr="00E74C20">
        <w:rPr>
          <w:lang w:val="en-GB"/>
        </w:rPr>
        <w:t>s</w:t>
      </w:r>
      <w:r w:rsidR="00B82B14" w:rsidRPr="00E74C20">
        <w:rPr>
          <w:lang w:val="en-GB"/>
        </w:rPr>
        <w:t xml:space="preserve"> in accordance with ISO 9276</w:t>
      </w:r>
      <w:r w:rsidRPr="00E74C20">
        <w:rPr>
          <w:lang w:val="en-GB"/>
        </w:rPr>
        <w:t>. Three measurements were carried out using the free-fall accessory</w:t>
      </w:r>
      <w:r w:rsidR="000C3D96" w:rsidRPr="00E74C20">
        <w:rPr>
          <w:lang w:val="en-GB"/>
        </w:rPr>
        <w:t xml:space="preserve"> at</w:t>
      </w:r>
      <w:r w:rsidRPr="00E74C20">
        <w:rPr>
          <w:lang w:val="en-GB"/>
        </w:rPr>
        <w:t xml:space="preserve"> three different camera zooms, providing a detailed quantitative description of grain geometry.</w:t>
      </w:r>
    </w:p>
    <w:p w14:paraId="51426F05" w14:textId="1C9F1F02" w:rsidR="00E55D8E" w:rsidRPr="00E74C20" w:rsidRDefault="00E55D8E" w:rsidP="00CB4DD7">
      <w:pPr>
        <w:pStyle w:val="CETHeadingxx"/>
        <w:rPr>
          <w:lang w:val="en-GB"/>
        </w:rPr>
      </w:pPr>
      <w:r w:rsidRPr="00E74C20">
        <w:rPr>
          <w:lang w:val="en-GB"/>
        </w:rPr>
        <w:t xml:space="preserve">Scanning </w:t>
      </w:r>
      <w:r w:rsidR="007701FE" w:rsidRPr="00E74C20">
        <w:rPr>
          <w:lang w:val="en-GB"/>
        </w:rPr>
        <w:t>Electron Microscopy</w:t>
      </w:r>
    </w:p>
    <w:p w14:paraId="10A60F1A" w14:textId="384A1FDD" w:rsidR="005C4503" w:rsidRPr="00E74C20" w:rsidRDefault="005C4503" w:rsidP="00041F29">
      <w:pPr>
        <w:pStyle w:val="CETBodytext"/>
        <w:rPr>
          <w:i/>
          <w:iCs/>
          <w:lang w:val="en-GB"/>
        </w:rPr>
      </w:pPr>
      <w:r w:rsidRPr="00E74C20">
        <w:rPr>
          <w:lang w:val="en-GB"/>
        </w:rPr>
        <w:t>Scanning Electron Microscopy (SEM) was used to characterize the morphology of wood sawdust particles. Observations were conducted at magnifications ranging from ×50 to ×100</w:t>
      </w:r>
      <w:r w:rsidR="00FA49E1" w:rsidRPr="00E74C20">
        <w:rPr>
          <w:lang w:val="en-GB"/>
        </w:rPr>
        <w:t>0</w:t>
      </w:r>
      <w:r w:rsidRPr="00E74C20">
        <w:rPr>
          <w:lang w:val="en-GB"/>
        </w:rPr>
        <w:t xml:space="preserve"> using an accelerating voltage of 20 kV. Secondary electron images were acquired with an Everhart</w:t>
      </w:r>
      <w:r w:rsidR="00856A99" w:rsidRPr="00E74C20">
        <w:rPr>
          <w:lang w:val="en-GB"/>
        </w:rPr>
        <w:t>-</w:t>
      </w:r>
      <w:r w:rsidRPr="00E74C20">
        <w:rPr>
          <w:lang w:val="en-GB"/>
        </w:rPr>
        <w:t xml:space="preserve">Thornley detector (ETD) in </w:t>
      </w:r>
      <w:r w:rsidR="007A6479" w:rsidRPr="00E74C20">
        <w:rPr>
          <w:lang w:val="en-GB"/>
        </w:rPr>
        <w:t>secondary electron</w:t>
      </w:r>
      <w:r w:rsidRPr="00E74C20">
        <w:rPr>
          <w:lang w:val="en-GB"/>
        </w:rPr>
        <w:t xml:space="preserve"> mode to highlight surface topography and roughness. The horizontal field width was set to 2.54 mm.</w:t>
      </w:r>
      <w:r w:rsidR="007A6479" w:rsidRPr="00E74C20">
        <w:rPr>
          <w:lang w:val="en-GB"/>
        </w:rPr>
        <w:t xml:space="preserve"> This configuration is well suited for capturing </w:t>
      </w:r>
      <w:r w:rsidR="0096362F" w:rsidRPr="00E74C20">
        <w:rPr>
          <w:lang w:val="en-GB"/>
        </w:rPr>
        <w:t xml:space="preserve">the </w:t>
      </w:r>
      <w:r w:rsidR="007A6479" w:rsidRPr="00E74C20">
        <w:rPr>
          <w:lang w:val="en-GB"/>
        </w:rPr>
        <w:t xml:space="preserve">surface texture, and structural heterogeneity </w:t>
      </w:r>
      <w:r w:rsidR="0037215C" w:rsidRPr="00E74C20">
        <w:rPr>
          <w:lang w:val="en-GB"/>
        </w:rPr>
        <w:t>of wood particles.</w:t>
      </w:r>
    </w:p>
    <w:p w14:paraId="26262DAE" w14:textId="77777777" w:rsidR="002B66B1" w:rsidRPr="00E74C20" w:rsidRDefault="00E01CDF" w:rsidP="00CB4DD7">
      <w:pPr>
        <w:pStyle w:val="CETHeadingxx"/>
        <w:rPr>
          <w:lang w:val="en-GB"/>
        </w:rPr>
      </w:pPr>
      <w:r w:rsidRPr="00E74C20">
        <w:rPr>
          <w:lang w:val="en-GB"/>
        </w:rPr>
        <w:t xml:space="preserve">True </w:t>
      </w:r>
      <w:r w:rsidR="007701FE" w:rsidRPr="00E74C20">
        <w:rPr>
          <w:lang w:val="en-GB"/>
        </w:rPr>
        <w:t xml:space="preserve">Density </w:t>
      </w:r>
      <w:r w:rsidR="00FA49E1" w:rsidRPr="00E74C20">
        <w:rPr>
          <w:lang w:val="en-GB"/>
        </w:rPr>
        <w:t>Characterization</w:t>
      </w:r>
    </w:p>
    <w:p w14:paraId="27E0343D" w14:textId="45CFF165" w:rsidR="00E01CDF" w:rsidRPr="00E74C20" w:rsidRDefault="00CB5C0F" w:rsidP="002B66B1">
      <w:pPr>
        <w:pStyle w:val="CETBodytext"/>
        <w:rPr>
          <w:b/>
          <w:bCs/>
          <w:lang w:val="en-GB"/>
        </w:rPr>
      </w:pPr>
      <w:r w:rsidRPr="00E74C20">
        <w:rPr>
          <w:lang w:val="en-GB"/>
        </w:rPr>
        <w:t>The true particle density was measured using a</w:t>
      </w:r>
      <w:r w:rsidR="00E03EB8" w:rsidRPr="00E74C20">
        <w:rPr>
          <w:lang w:val="en-GB"/>
        </w:rPr>
        <w:t xml:space="preserve"> </w:t>
      </w:r>
      <w:r w:rsidRPr="00E74C20">
        <w:rPr>
          <w:lang w:val="en-GB"/>
        </w:rPr>
        <w:t>helium pycnometer</w:t>
      </w:r>
      <w:r w:rsidR="00E03EB8" w:rsidRPr="00E74C20">
        <w:rPr>
          <w:lang w:val="en-GB"/>
        </w:rPr>
        <w:t xml:space="preserve"> (Anton Paar GmbH, Graz, Austria)</w:t>
      </w:r>
      <w:r w:rsidRPr="00E74C20">
        <w:rPr>
          <w:lang w:val="en-GB"/>
        </w:rPr>
        <w:t xml:space="preserve">. </w:t>
      </w:r>
      <w:r w:rsidR="00F620DB" w:rsidRPr="00E74C20">
        <w:rPr>
          <w:lang w:val="en-GB"/>
        </w:rPr>
        <w:t>Using the medium cell</w:t>
      </w:r>
      <w:r w:rsidR="00C7068C" w:rsidRPr="00E74C20">
        <w:rPr>
          <w:lang w:val="en-GB"/>
        </w:rPr>
        <w:t xml:space="preserve"> size and </w:t>
      </w:r>
      <w:r w:rsidR="00F620DB" w:rsidRPr="00E74C20">
        <w:rPr>
          <w:lang w:val="en-GB"/>
        </w:rPr>
        <w:t>with a gas</w:t>
      </w:r>
      <w:r w:rsidR="00B1596A" w:rsidRPr="00E74C20">
        <w:rPr>
          <w:lang w:val="en-GB"/>
        </w:rPr>
        <w:t xml:space="preserve"> gauge</w:t>
      </w:r>
      <w:r w:rsidR="00F620DB" w:rsidRPr="00E74C20">
        <w:rPr>
          <w:lang w:val="en-GB"/>
        </w:rPr>
        <w:t xml:space="preserve"> pressure of 0.69 bars</w:t>
      </w:r>
      <w:r w:rsidR="006714C0" w:rsidRPr="00E74C20">
        <w:rPr>
          <w:lang w:val="en-GB"/>
        </w:rPr>
        <w:t xml:space="preserve"> </w:t>
      </w:r>
      <w:r w:rsidR="00F8617C" w:rsidRPr="00E74C20">
        <w:rPr>
          <w:lang w:val="en-GB"/>
        </w:rPr>
        <w:t xml:space="preserve">(recommended </w:t>
      </w:r>
      <w:r w:rsidR="006714C0" w:rsidRPr="00E74C20">
        <w:rPr>
          <w:lang w:val="en-GB"/>
        </w:rPr>
        <w:t xml:space="preserve">pressure to </w:t>
      </w:r>
      <w:r w:rsidR="00F8617C" w:rsidRPr="00E74C20">
        <w:rPr>
          <w:lang w:val="en-GB"/>
        </w:rPr>
        <w:t xml:space="preserve">characterize </w:t>
      </w:r>
      <w:r w:rsidR="006714C0" w:rsidRPr="00E74C20">
        <w:rPr>
          <w:lang w:val="en-GB"/>
        </w:rPr>
        <w:t>powders</w:t>
      </w:r>
      <w:r w:rsidR="00F8617C" w:rsidRPr="00E74C20">
        <w:rPr>
          <w:lang w:val="en-GB"/>
        </w:rPr>
        <w:t>)</w:t>
      </w:r>
      <w:r w:rsidR="006714C0" w:rsidRPr="00E74C20">
        <w:rPr>
          <w:lang w:val="en-GB"/>
        </w:rPr>
        <w:t>,</w:t>
      </w:r>
      <w:r w:rsidR="00F620DB" w:rsidRPr="00E74C20">
        <w:rPr>
          <w:lang w:val="en-GB"/>
        </w:rPr>
        <w:t xml:space="preserve"> </w:t>
      </w:r>
      <w:r w:rsidR="002B66B1" w:rsidRPr="00E74C20">
        <w:rPr>
          <w:lang w:val="en-GB"/>
        </w:rPr>
        <w:t>seven measurements were performed in total, but the first three were discarded to allow instrument stabilization, and the average of the remaining four measurements was reported as the true density</w:t>
      </w:r>
      <w:r w:rsidRPr="00E74C20">
        <w:rPr>
          <w:lang w:val="en-GB"/>
        </w:rPr>
        <w:t>.</w:t>
      </w:r>
      <w:r w:rsidR="00B82B14" w:rsidRPr="00E74C20">
        <w:rPr>
          <w:lang w:val="en-GB"/>
        </w:rPr>
        <w:t xml:space="preserve"> The measurement procedure follow</w:t>
      </w:r>
      <w:r w:rsidR="00434F4A" w:rsidRPr="00E74C20">
        <w:rPr>
          <w:lang w:val="en-GB"/>
        </w:rPr>
        <w:t>s</w:t>
      </w:r>
      <w:r w:rsidR="00B82B14" w:rsidRPr="00E74C20">
        <w:rPr>
          <w:lang w:val="en-GB"/>
        </w:rPr>
        <w:t xml:space="preserve"> ISO 12154 for determining the true density of powders using gas pycnometry.</w:t>
      </w:r>
    </w:p>
    <w:p w14:paraId="385302BD" w14:textId="7B688B9F" w:rsidR="00C407F0" w:rsidRPr="00E74C20" w:rsidRDefault="00E01CDF" w:rsidP="00C407F0">
      <w:pPr>
        <w:pStyle w:val="CETheadingx"/>
        <w:rPr>
          <w:lang w:val="en-GB"/>
        </w:rPr>
      </w:pPr>
      <w:r w:rsidRPr="00E74C20">
        <w:rPr>
          <w:lang w:val="en-GB"/>
        </w:rPr>
        <w:t xml:space="preserve">Rheological </w:t>
      </w:r>
      <w:r w:rsidR="007701FE" w:rsidRPr="00E74C20">
        <w:rPr>
          <w:lang w:val="en-GB"/>
        </w:rPr>
        <w:t>Characterization</w:t>
      </w:r>
    </w:p>
    <w:p w14:paraId="1B2BF198" w14:textId="5FC6EAFC" w:rsidR="00E01CDF" w:rsidRPr="00E74C20" w:rsidRDefault="00FA49E1" w:rsidP="00CB4DD7">
      <w:pPr>
        <w:pStyle w:val="CETHeadingxx"/>
        <w:rPr>
          <w:lang w:val="en-GB"/>
        </w:rPr>
      </w:pPr>
      <w:r w:rsidRPr="00E74C20">
        <w:rPr>
          <w:lang w:val="en-GB"/>
        </w:rPr>
        <w:t xml:space="preserve">Characterization under </w:t>
      </w:r>
      <w:r w:rsidR="00E01CDF" w:rsidRPr="00E74C20">
        <w:rPr>
          <w:lang w:val="en-GB"/>
        </w:rPr>
        <w:t>Quasi</w:t>
      </w:r>
      <w:r w:rsidR="007701FE" w:rsidRPr="00E74C20">
        <w:rPr>
          <w:lang w:val="en-GB"/>
        </w:rPr>
        <w:t>-Static Regime</w:t>
      </w:r>
    </w:p>
    <w:p w14:paraId="6E0E9138" w14:textId="021FF3B4" w:rsidR="00E03EB8" w:rsidRPr="00E74C20" w:rsidRDefault="009036D5" w:rsidP="00E01CDF">
      <w:pPr>
        <w:pStyle w:val="CETBodytext"/>
        <w:rPr>
          <w:lang w:val="en-GB"/>
        </w:rPr>
      </w:pPr>
      <w:r w:rsidRPr="00E74C20">
        <w:rPr>
          <w:lang w:val="en-GB"/>
        </w:rPr>
        <w:t>T</w:t>
      </w:r>
      <w:r w:rsidR="00AD7245" w:rsidRPr="00E74C20">
        <w:rPr>
          <w:lang w:val="en-GB"/>
        </w:rPr>
        <w:t>he internal shear strength and flowability under low deformation rates were characterized using a</w:t>
      </w:r>
      <w:r w:rsidR="00AD35E8" w:rsidRPr="00E74C20">
        <w:rPr>
          <w:lang w:val="en-GB"/>
        </w:rPr>
        <w:t>n RST-</w:t>
      </w:r>
      <w:proofErr w:type="gramStart"/>
      <w:r w:rsidR="00AD35E8" w:rsidRPr="00E74C20">
        <w:rPr>
          <w:lang w:val="en-GB"/>
        </w:rPr>
        <w:t>XS.s</w:t>
      </w:r>
      <w:proofErr w:type="gramEnd"/>
      <w:r w:rsidR="00AD7245" w:rsidRPr="00E74C20">
        <w:rPr>
          <w:lang w:val="en-GB"/>
        </w:rPr>
        <w:t xml:space="preserve"> Schulze ring shear tester </w:t>
      </w:r>
      <w:r w:rsidR="0019515D" w:rsidRPr="00E74C20">
        <w:rPr>
          <w:lang w:val="en-GB"/>
        </w:rPr>
        <w:t>(</w:t>
      </w:r>
      <w:proofErr w:type="spellStart"/>
      <w:r w:rsidR="0019515D" w:rsidRPr="00E74C20">
        <w:rPr>
          <w:lang w:val="en-GB"/>
        </w:rPr>
        <w:t>Wolfenbütte</w:t>
      </w:r>
      <w:proofErr w:type="spellEnd"/>
      <w:r w:rsidR="0019515D" w:rsidRPr="00E74C20">
        <w:rPr>
          <w:lang w:val="en-GB"/>
        </w:rPr>
        <w:t>, Germany)</w:t>
      </w:r>
      <w:r w:rsidR="00434F4A" w:rsidRPr="00E74C20">
        <w:rPr>
          <w:lang w:val="en-GB"/>
        </w:rPr>
        <w:t>, which operates in accordance with the ASTM D6773</w:t>
      </w:r>
      <w:r w:rsidR="00E03EB8" w:rsidRPr="00E74C20">
        <w:rPr>
          <w:lang w:val="en-GB"/>
        </w:rPr>
        <w:t>. The Flow Function Coefficient (FFC),</w:t>
      </w:r>
      <w:r w:rsidR="005B001C" w:rsidRPr="00E74C20">
        <w:rPr>
          <w:lang w:val="en-GB"/>
        </w:rPr>
        <w:t xml:space="preserve"> is</w:t>
      </w:r>
      <w:r w:rsidR="00E03EB8" w:rsidRPr="00E74C20">
        <w:rPr>
          <w:lang w:val="en-GB"/>
        </w:rPr>
        <w:t xml:space="preserve"> defined</w:t>
      </w:r>
      <w:r w:rsidR="0019515D" w:rsidRPr="00E74C20">
        <w:rPr>
          <w:lang w:val="en-GB"/>
        </w:rPr>
        <w:t xml:space="preserve"> in </w:t>
      </w:r>
      <w:proofErr w:type="spellStart"/>
      <w:proofErr w:type="gramStart"/>
      <w:r w:rsidR="0019515D" w:rsidRPr="00E74C20">
        <w:rPr>
          <w:lang w:val="en-GB"/>
        </w:rPr>
        <w:t>Eq</w:t>
      </w:r>
      <w:proofErr w:type="spellEnd"/>
      <w:r w:rsidR="0019515D" w:rsidRPr="00E74C20">
        <w:rPr>
          <w:lang w:val="en-GB"/>
        </w:rPr>
        <w:t>(</w:t>
      </w:r>
      <w:proofErr w:type="gramEnd"/>
      <w:r w:rsidR="0019515D" w:rsidRPr="00E74C20">
        <w:rPr>
          <w:lang w:val="en-GB"/>
        </w:rPr>
        <w:t>1)</w:t>
      </w:r>
      <w:r w:rsidR="00E03EB8" w:rsidRPr="00E74C20">
        <w:rPr>
          <w:lang w:val="en-GB"/>
        </w:rPr>
        <w:t xml:space="preserve"> as:</w:t>
      </w:r>
    </w:p>
    <w:p w14:paraId="5A443AE2" w14:textId="19AE6352" w:rsidR="00E03EB8" w:rsidRPr="00E74C20" w:rsidRDefault="00A24223" w:rsidP="00A24223">
      <w:pPr>
        <w:pStyle w:val="CETEquation"/>
        <w:rPr>
          <w:rFonts w:cs="Arial"/>
          <w:szCs w:val="18"/>
        </w:rPr>
      </w:pPr>
      <m:oMath>
        <m:r>
          <w:rPr>
            <w:rFonts w:ascii="Cambria Math" w:hAnsi="Cambria Math" w:cs="Arial"/>
            <w:szCs w:val="18"/>
          </w:rPr>
          <m:t>FFC=</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σ</m:t>
                </m:r>
              </m:e>
              <m:sub>
                <m:r>
                  <w:rPr>
                    <w:rFonts w:ascii="Cambria Math" w:hAnsi="Cambria Math" w:cs="Arial"/>
                    <w:szCs w:val="18"/>
                  </w:rPr>
                  <m:t>1</m:t>
                </m:r>
              </m:sub>
            </m:sSub>
          </m:num>
          <m:den>
            <m:sSub>
              <m:sSubPr>
                <m:ctrlPr>
                  <w:rPr>
                    <w:rFonts w:ascii="Cambria Math" w:hAnsi="Cambria Math" w:cs="Arial"/>
                    <w:i/>
                    <w:szCs w:val="18"/>
                  </w:rPr>
                </m:ctrlPr>
              </m:sSubPr>
              <m:e>
                <m:r>
                  <w:rPr>
                    <w:rFonts w:ascii="Cambria Math" w:hAnsi="Cambria Math" w:cs="Arial"/>
                    <w:szCs w:val="18"/>
                  </w:rPr>
                  <m:t>σ</m:t>
                </m:r>
              </m:e>
              <m:sub>
                <m:r>
                  <w:rPr>
                    <w:rFonts w:ascii="Cambria Math" w:hAnsi="Cambria Math" w:cs="Arial"/>
                    <w:szCs w:val="18"/>
                  </w:rPr>
                  <m:t>c</m:t>
                </m:r>
              </m:sub>
            </m:sSub>
          </m:den>
        </m:f>
      </m:oMath>
      <w:r w:rsidRPr="00E74C20">
        <w:rPr>
          <w:rFonts w:cs="Arial"/>
          <w:szCs w:val="18"/>
        </w:rPr>
        <w:t xml:space="preserve"> </w:t>
      </w:r>
    </w:p>
    <w:p w14:paraId="6D33A963" w14:textId="556C8602" w:rsidR="002D2DA3" w:rsidRPr="00E74C20" w:rsidRDefault="00434F4A" w:rsidP="00314D37">
      <w:pPr>
        <w:pStyle w:val="CETBodytext"/>
        <w:rPr>
          <w:lang w:val="en-GB"/>
        </w:rPr>
      </w:pPr>
      <w:r w:rsidRPr="00E74C20">
        <w:rPr>
          <w:noProof/>
          <w:lang w:val="en-GB"/>
        </w:rPr>
        <w:drawing>
          <wp:anchor distT="0" distB="0" distL="114300" distR="114300" simplePos="0" relativeHeight="251696128" behindDoc="0" locked="0" layoutInCell="1" allowOverlap="1" wp14:anchorId="2C103B73" wp14:editId="280E8EE6">
            <wp:simplePos x="0" y="0"/>
            <wp:positionH relativeFrom="margin">
              <wp:align>right</wp:align>
            </wp:positionH>
            <wp:positionV relativeFrom="paragraph">
              <wp:posOffset>-288595</wp:posOffset>
            </wp:positionV>
            <wp:extent cx="178435" cy="16002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435" cy="160020"/>
                    </a:xfrm>
                    <a:prstGeom prst="rect">
                      <a:avLst/>
                    </a:prstGeom>
                  </pic:spPr>
                </pic:pic>
              </a:graphicData>
            </a:graphic>
            <wp14:sizeRelH relativeFrom="margin">
              <wp14:pctWidth>0</wp14:pctWidth>
            </wp14:sizeRelH>
            <wp14:sizeRelV relativeFrom="margin">
              <wp14:pctHeight>0</wp14:pctHeight>
            </wp14:sizeRelV>
          </wp:anchor>
        </w:drawing>
      </w:r>
      <w:r w:rsidR="00E03EB8" w:rsidRPr="00E74C20">
        <w:rPr>
          <w:lang w:val="en-GB"/>
        </w:rPr>
        <w:t>where</w:t>
      </w:r>
      <w:r w:rsidR="005B001C" w:rsidRPr="00E74C20">
        <w:rPr>
          <w:lang w:val="en-GB"/>
        </w:rPr>
        <w:t>,</w:t>
      </w:r>
      <w:r w:rsidR="00E03EB8" w:rsidRPr="00E74C20">
        <w:rPr>
          <w:lang w:val="en-GB"/>
        </w:rPr>
        <w:t xml:space="preserve"> </w:t>
      </w:r>
      <m:oMath>
        <m:sSub>
          <m:sSubPr>
            <m:ctrlPr>
              <w:rPr>
                <w:rFonts w:ascii="Cambria Math" w:hAnsi="Cambria Math"/>
                <w:i/>
                <w:lang w:val="en-GB"/>
              </w:rPr>
            </m:ctrlPr>
          </m:sSubPr>
          <m:e>
            <m:r>
              <m:rPr>
                <m:sty m:val="p"/>
              </m:rPr>
              <w:rPr>
                <w:rFonts w:ascii="Cambria Math" w:hAnsi="Cambria Math" w:cs="Cambria Math"/>
                <w:lang w:val="en-GB"/>
              </w:rPr>
              <m:t>σ</m:t>
            </m:r>
          </m:e>
          <m:sub>
            <m:r>
              <w:rPr>
                <w:rFonts w:ascii="Cambria Math" w:hAnsi="Cambria Math"/>
                <w:lang w:val="en-GB"/>
              </w:rPr>
              <m:t>1</m:t>
            </m:r>
          </m:sub>
        </m:sSub>
      </m:oMath>
      <w:r w:rsidR="00E03EB8" w:rsidRPr="00E74C20">
        <w:rPr>
          <w:lang w:val="en-GB"/>
        </w:rPr>
        <w:t xml:space="preserve"> is the consolidation stress and </w:t>
      </w:r>
      <m:oMath>
        <m:sSub>
          <m:sSubPr>
            <m:ctrlPr>
              <w:rPr>
                <w:rFonts w:ascii="Cambria Math" w:hAnsi="Cambria Math"/>
                <w:i/>
                <w:lang w:val="en-GB"/>
              </w:rPr>
            </m:ctrlPr>
          </m:sSubPr>
          <m:e>
            <m:r>
              <m:rPr>
                <m:sty m:val="p"/>
              </m:rPr>
              <w:rPr>
                <w:rFonts w:ascii="Cambria Math" w:hAnsi="Cambria Math" w:cs="Cambria Math"/>
                <w:lang w:val="en-GB"/>
              </w:rPr>
              <m:t>σ</m:t>
            </m:r>
          </m:e>
          <m:sub>
            <m:r>
              <w:rPr>
                <w:rFonts w:ascii="Cambria Math" w:hAnsi="Cambria Math"/>
                <w:lang w:val="en-GB"/>
              </w:rPr>
              <m:t>c</m:t>
            </m:r>
          </m:sub>
        </m:sSub>
      </m:oMath>
      <w:r w:rsidR="00E03EB8" w:rsidRPr="00E74C20">
        <w:rPr>
          <w:lang w:val="en-GB"/>
        </w:rPr>
        <w:t xml:space="preserve"> the unconfined yield strength</w:t>
      </w:r>
      <w:r w:rsidR="005B001C" w:rsidRPr="00E74C20">
        <w:rPr>
          <w:lang w:val="en-GB"/>
        </w:rPr>
        <w:t>. FFC</w:t>
      </w:r>
      <w:r w:rsidR="00E03EB8" w:rsidRPr="00E74C20">
        <w:rPr>
          <w:lang w:val="en-GB"/>
        </w:rPr>
        <w:t xml:space="preserve"> was used to classify powder behaviour from non-flowing (FFC &lt; 1) to free-flowing (FFC &gt; 10).</w:t>
      </w:r>
      <w:r w:rsidR="00AA06E9" w:rsidRPr="00E74C20">
        <w:rPr>
          <w:lang w:val="en-GB"/>
        </w:rPr>
        <w:t xml:space="preserve"> The shear test was performed with</w:t>
      </w:r>
      <w:r w:rsidR="00E03EB8" w:rsidRPr="00E74C20">
        <w:rPr>
          <w:lang w:val="en-GB"/>
        </w:rPr>
        <w:t xml:space="preserve"> </w:t>
      </w:r>
      <w:r w:rsidR="00AA06E9" w:rsidRPr="00E74C20">
        <w:rPr>
          <w:lang w:val="en-GB"/>
        </w:rPr>
        <w:t xml:space="preserve">a </w:t>
      </w:r>
      <w:r w:rsidR="00E03EB8" w:rsidRPr="00E74C20">
        <w:rPr>
          <w:lang w:val="en-GB"/>
        </w:rPr>
        <w:t xml:space="preserve">pre-shear </w:t>
      </w:r>
      <w:r w:rsidR="00AA06E9" w:rsidRPr="00E74C20">
        <w:rPr>
          <w:lang w:val="en-GB"/>
        </w:rPr>
        <w:lastRenderedPageBreak/>
        <w:t>stress of</w:t>
      </w:r>
      <w:r w:rsidR="00E03EB8" w:rsidRPr="00E74C20">
        <w:rPr>
          <w:lang w:val="en-GB"/>
        </w:rPr>
        <w:t xml:space="preserve"> 3</w:t>
      </w:r>
      <w:r w:rsidR="00F8617C" w:rsidRPr="00E74C20">
        <w:rPr>
          <w:lang w:val="en-GB"/>
        </w:rPr>
        <w:t>000</w:t>
      </w:r>
      <w:r w:rsidR="00E03EB8" w:rsidRPr="00E74C20">
        <w:rPr>
          <w:lang w:val="en-GB"/>
        </w:rPr>
        <w:t xml:space="preserve"> Pa</w:t>
      </w:r>
      <w:r w:rsidR="00AA06E9" w:rsidRPr="00E74C20">
        <w:rPr>
          <w:lang w:val="en-GB"/>
        </w:rPr>
        <w:t xml:space="preserve"> to establish consolidation until steady-state</w:t>
      </w:r>
      <w:r w:rsidR="00E03EB8" w:rsidRPr="00E74C20">
        <w:rPr>
          <w:lang w:val="en-GB"/>
        </w:rPr>
        <w:t xml:space="preserve">, followed by shear </w:t>
      </w:r>
      <w:r w:rsidR="00AA06E9" w:rsidRPr="00E74C20">
        <w:rPr>
          <w:lang w:val="en-GB"/>
        </w:rPr>
        <w:t xml:space="preserve">stresses </w:t>
      </w:r>
      <w:r w:rsidR="00E03EB8" w:rsidRPr="00E74C20">
        <w:rPr>
          <w:lang w:val="en-GB"/>
        </w:rPr>
        <w:t xml:space="preserve">at 750, 1575, and 2400 Pa to determine the yield locus and calculate </w:t>
      </w:r>
      <w:r w:rsidR="00D44DAD" w:rsidRPr="00E74C20">
        <w:rPr>
          <w:lang w:val="en-GB"/>
        </w:rPr>
        <w:t xml:space="preserve">the </w:t>
      </w:r>
      <w:r w:rsidR="00E03EB8" w:rsidRPr="00E74C20">
        <w:rPr>
          <w:lang w:val="en-GB"/>
        </w:rPr>
        <w:t>FFC values.</w:t>
      </w:r>
    </w:p>
    <w:p w14:paraId="0207791F" w14:textId="7AA6D483" w:rsidR="00E01CDF" w:rsidRPr="00E74C20" w:rsidRDefault="00FA49E1" w:rsidP="00CB4DD7">
      <w:pPr>
        <w:pStyle w:val="CETHeadingxx"/>
        <w:rPr>
          <w:lang w:val="en-GB"/>
        </w:rPr>
      </w:pPr>
      <w:r w:rsidRPr="00E74C20">
        <w:rPr>
          <w:lang w:val="en-GB"/>
        </w:rPr>
        <w:t xml:space="preserve">Characterization under </w:t>
      </w:r>
      <w:r w:rsidR="00E01CDF" w:rsidRPr="00E74C20">
        <w:rPr>
          <w:lang w:val="en-GB"/>
        </w:rPr>
        <w:t xml:space="preserve">Dense </w:t>
      </w:r>
      <w:r w:rsidR="007701FE" w:rsidRPr="00E74C20">
        <w:rPr>
          <w:lang w:val="en-GB"/>
        </w:rPr>
        <w:t>Flow Regime</w:t>
      </w:r>
    </w:p>
    <w:p w14:paraId="0F8FBBA2" w14:textId="59C4F5C7" w:rsidR="0015396C" w:rsidRPr="00E74C20" w:rsidRDefault="00464770" w:rsidP="00E01CDF">
      <w:pPr>
        <w:pStyle w:val="CETBodytext"/>
        <w:rPr>
          <w:lang w:val="en-GB"/>
        </w:rPr>
      </w:pPr>
      <w:r w:rsidRPr="00E74C20">
        <w:rPr>
          <w:lang w:val="en-GB"/>
        </w:rPr>
        <w:t>The FT4 Powder Rheometer (Freeman Technology</w:t>
      </w:r>
      <w:r w:rsidR="0019515D" w:rsidRPr="00E74C20">
        <w:rPr>
          <w:lang w:val="en-GB"/>
        </w:rPr>
        <w:t xml:space="preserve"> Ltd, Tewkesbury, United Kingdom</w:t>
      </w:r>
      <w:r w:rsidRPr="00E74C20">
        <w:rPr>
          <w:lang w:val="en-GB"/>
        </w:rPr>
        <w:t xml:space="preserve">) was employed to characterize powder flow </w:t>
      </w:r>
      <w:r w:rsidR="005C4503" w:rsidRPr="00E74C20">
        <w:rPr>
          <w:lang w:val="en-GB"/>
        </w:rPr>
        <w:t>behaviour</w:t>
      </w:r>
      <w:r w:rsidRPr="00E74C20">
        <w:rPr>
          <w:lang w:val="en-GB"/>
        </w:rPr>
        <w:t xml:space="preserve"> under varying shear rates and consolidation conditions</w:t>
      </w:r>
      <w:r w:rsidR="00434F4A" w:rsidRPr="00E74C20">
        <w:rPr>
          <w:lang w:val="en-GB"/>
        </w:rPr>
        <w:t>, following Freeman Technology standard operating procedures</w:t>
      </w:r>
      <w:r w:rsidRPr="00E74C20">
        <w:rPr>
          <w:lang w:val="en-GB"/>
        </w:rPr>
        <w:t>. The Variable Flow Rate (VFR) test was used to assess rate-dependent flow properties by measuring the mechanical energy required to displace a blade</w:t>
      </w:r>
      <w:r w:rsidR="002845F2" w:rsidRPr="00E74C20">
        <w:rPr>
          <w:lang w:val="en-GB"/>
        </w:rPr>
        <w:t xml:space="preserve"> </w:t>
      </w:r>
      <w:r w:rsidRPr="00E74C20">
        <w:rPr>
          <w:lang w:val="en-GB"/>
        </w:rPr>
        <w:t xml:space="preserve">through the powder bed. </w:t>
      </w:r>
      <w:r w:rsidR="00AA06E9" w:rsidRPr="00E74C20">
        <w:rPr>
          <w:lang w:val="en-GB"/>
        </w:rPr>
        <w:t>A total of 11 successive measurements are performed with decreasing blade tip speeds, consisting of eight tests at 100 mm·s</w:t>
      </w:r>
      <w:r w:rsidR="00AA06E9" w:rsidRPr="00E74C20">
        <w:rPr>
          <w:rFonts w:ascii="Cambria Math" w:hAnsi="Cambria Math" w:cs="Cambria Math"/>
          <w:lang w:val="en-GB"/>
        </w:rPr>
        <w:t>⁻</w:t>
      </w:r>
      <w:r w:rsidR="00AA06E9" w:rsidRPr="00E74C20">
        <w:rPr>
          <w:rFonts w:cs="Arial"/>
          <w:lang w:val="en-GB"/>
        </w:rPr>
        <w:t>¹</w:t>
      </w:r>
      <w:r w:rsidR="00AA06E9" w:rsidRPr="00E74C20">
        <w:rPr>
          <w:lang w:val="en-GB"/>
        </w:rPr>
        <w:t>, followed by tests at 70, 40, and 10 mm</w:t>
      </w:r>
      <w:r w:rsidR="00AA06E9" w:rsidRPr="00E74C20">
        <w:rPr>
          <w:rFonts w:cs="Arial"/>
          <w:lang w:val="en-GB"/>
        </w:rPr>
        <w:t>·</w:t>
      </w:r>
      <w:r w:rsidR="00AA06E9" w:rsidRPr="00E74C20">
        <w:rPr>
          <w:lang w:val="en-GB"/>
        </w:rPr>
        <w:t>s</w:t>
      </w:r>
      <w:r w:rsidR="00AA06E9" w:rsidRPr="00E74C20">
        <w:rPr>
          <w:rFonts w:ascii="Cambria Math" w:hAnsi="Cambria Math" w:cs="Cambria Math"/>
          <w:lang w:val="en-GB"/>
        </w:rPr>
        <w:t>⁻</w:t>
      </w:r>
      <w:r w:rsidR="00AA06E9" w:rsidRPr="00E74C20">
        <w:rPr>
          <w:lang w:val="en-GB"/>
        </w:rPr>
        <w:t xml:space="preserve">¹. </w:t>
      </w:r>
      <w:r w:rsidR="0015396C" w:rsidRPr="00E74C20">
        <w:rPr>
          <w:lang w:val="en-GB"/>
        </w:rPr>
        <w:t xml:space="preserve">Experiments were conducted using a </w:t>
      </w:r>
      <w:r w:rsidR="008639E7" w:rsidRPr="00E74C20">
        <w:rPr>
          <w:lang w:val="en-GB"/>
        </w:rPr>
        <w:t>62 mm diameter vessel fitted with a 48 mm blade at a 5</w:t>
      </w:r>
      <w:r w:rsidR="002D6E8D" w:rsidRPr="00E74C20">
        <w:rPr>
          <w:lang w:val="en-GB"/>
        </w:rPr>
        <w:t xml:space="preserve"> </w:t>
      </w:r>
      <w:r w:rsidR="008639E7" w:rsidRPr="00E74C20">
        <w:rPr>
          <w:lang w:val="en-GB"/>
        </w:rPr>
        <w:t>° helix angle, ensuring a blade</w:t>
      </w:r>
      <w:r w:rsidR="00D929FD" w:rsidRPr="00E74C20">
        <w:rPr>
          <w:lang w:val="en-GB"/>
        </w:rPr>
        <w:t>-</w:t>
      </w:r>
      <w:r w:rsidR="008639E7" w:rsidRPr="00E74C20">
        <w:rPr>
          <w:lang w:val="en-GB"/>
        </w:rPr>
        <w:t>wall clearance of approximately 7 mm on both sides of the blade</w:t>
      </w:r>
      <w:r w:rsidR="0015396C" w:rsidRPr="00E74C20">
        <w:rPr>
          <w:lang w:val="en-GB"/>
        </w:rPr>
        <w:t>. This clearance was chosen to accommodate medium and coarse grained particles and to minimize particle breakage caused by blade</w:t>
      </w:r>
      <w:r w:rsidR="00D929FD" w:rsidRPr="00E74C20">
        <w:rPr>
          <w:lang w:val="en-GB"/>
        </w:rPr>
        <w:t>-</w:t>
      </w:r>
      <w:r w:rsidR="0015396C" w:rsidRPr="00E74C20">
        <w:rPr>
          <w:lang w:val="en-GB"/>
        </w:rPr>
        <w:t>wall interactions during shearing.</w:t>
      </w:r>
      <w:r w:rsidR="0015396C" w:rsidRPr="00E74C20" w:rsidDel="0015396C">
        <w:rPr>
          <w:lang w:val="en-GB"/>
        </w:rPr>
        <w:t xml:space="preserve"> </w:t>
      </w:r>
    </w:p>
    <w:p w14:paraId="6CAFAF21" w14:textId="06BEC464" w:rsidR="00E01CDF" w:rsidRPr="00E74C20" w:rsidRDefault="009036D5" w:rsidP="00E01CDF">
      <w:pPr>
        <w:pStyle w:val="CETBodytext"/>
        <w:rPr>
          <w:b/>
          <w:bCs/>
          <w:lang w:val="en-GB"/>
        </w:rPr>
      </w:pPr>
      <w:r w:rsidRPr="00E74C20">
        <w:rPr>
          <w:lang w:val="en-GB"/>
        </w:rPr>
        <w:t>Dynamic flow behaviour was further assessed using the Granudrum</w:t>
      </w:r>
      <w:r w:rsidR="00962D27" w:rsidRPr="00E74C20">
        <w:rPr>
          <w:lang w:val="en-GB"/>
        </w:rPr>
        <w:t xml:space="preserve"> (</w:t>
      </w:r>
      <w:proofErr w:type="spellStart"/>
      <w:r w:rsidR="00962D27" w:rsidRPr="00E74C20">
        <w:rPr>
          <w:lang w:val="en-GB"/>
        </w:rPr>
        <w:t>Granutools</w:t>
      </w:r>
      <w:proofErr w:type="spellEnd"/>
      <w:r w:rsidR="0019515D" w:rsidRPr="00E74C20">
        <w:rPr>
          <w:lang w:val="en-GB"/>
        </w:rPr>
        <w:t xml:space="preserve">, </w:t>
      </w:r>
      <w:proofErr w:type="spellStart"/>
      <w:r w:rsidR="0019515D" w:rsidRPr="00E74C20">
        <w:rPr>
          <w:lang w:val="en-GB"/>
        </w:rPr>
        <w:t>Awans</w:t>
      </w:r>
      <w:proofErr w:type="spellEnd"/>
      <w:r w:rsidR="0019515D" w:rsidRPr="00E74C20">
        <w:rPr>
          <w:lang w:val="en-GB"/>
        </w:rPr>
        <w:t>, Belgium</w:t>
      </w:r>
      <w:r w:rsidR="00962D27" w:rsidRPr="00E74C20">
        <w:rPr>
          <w:lang w:val="en-GB"/>
        </w:rPr>
        <w:t>)</w:t>
      </w:r>
      <w:r w:rsidRPr="00E74C20">
        <w:rPr>
          <w:lang w:val="en-GB"/>
        </w:rPr>
        <w:t>, which provides two complementary indicators</w:t>
      </w:r>
      <w:r w:rsidR="00D44DAD" w:rsidRPr="00E74C20">
        <w:rPr>
          <w:lang w:val="en-GB"/>
        </w:rPr>
        <w:t>:</w:t>
      </w:r>
      <w:r w:rsidR="00AA06E9" w:rsidRPr="00E74C20">
        <w:rPr>
          <w:lang w:val="en-GB"/>
        </w:rPr>
        <w:t xml:space="preserve"> </w:t>
      </w:r>
      <w:r w:rsidR="00D929FD" w:rsidRPr="00E74C20">
        <w:rPr>
          <w:lang w:val="en-GB"/>
        </w:rPr>
        <w:t>(</w:t>
      </w:r>
      <w:proofErr w:type="spellStart"/>
      <w:r w:rsidR="00D929FD" w:rsidRPr="00E74C20">
        <w:rPr>
          <w:lang w:val="en-GB"/>
        </w:rPr>
        <w:t>i</w:t>
      </w:r>
      <w:proofErr w:type="spellEnd"/>
      <w:r w:rsidR="00D929FD" w:rsidRPr="00E74C20">
        <w:rPr>
          <w:lang w:val="en-GB"/>
        </w:rPr>
        <w:t xml:space="preserve">) </w:t>
      </w:r>
      <w:r w:rsidR="00AA06E9" w:rsidRPr="00E74C20">
        <w:rPr>
          <w:lang w:val="en-GB"/>
        </w:rPr>
        <w:t xml:space="preserve">the </w:t>
      </w:r>
      <w:r w:rsidR="00906BEE" w:rsidRPr="00E74C20">
        <w:rPr>
          <w:lang w:val="en-GB"/>
        </w:rPr>
        <w:t>d</w:t>
      </w:r>
      <w:r w:rsidR="00AA06E9" w:rsidRPr="00E74C20">
        <w:rPr>
          <w:lang w:val="en-GB"/>
        </w:rPr>
        <w:t xml:space="preserve">ynamic </w:t>
      </w:r>
      <w:r w:rsidR="00906BEE" w:rsidRPr="00E74C20">
        <w:rPr>
          <w:lang w:val="en-GB"/>
        </w:rPr>
        <w:t>a</w:t>
      </w:r>
      <w:r w:rsidR="00AA06E9" w:rsidRPr="00E74C20">
        <w:rPr>
          <w:lang w:val="en-GB"/>
        </w:rPr>
        <w:t xml:space="preserve">ngle of </w:t>
      </w:r>
      <w:r w:rsidR="00906BEE" w:rsidRPr="00E74C20">
        <w:rPr>
          <w:lang w:val="en-GB"/>
        </w:rPr>
        <w:t>r</w:t>
      </w:r>
      <w:r w:rsidR="00AA06E9" w:rsidRPr="00E74C20">
        <w:rPr>
          <w:lang w:val="en-GB"/>
        </w:rPr>
        <w:t>epose</w:t>
      </w:r>
      <w:r w:rsidR="00D929FD" w:rsidRPr="00E74C20">
        <w:rPr>
          <w:lang w:val="en-GB"/>
        </w:rPr>
        <w:t>,</w:t>
      </w:r>
      <w:r w:rsidR="00AA06E9" w:rsidRPr="00E74C20">
        <w:rPr>
          <w:lang w:val="en-GB"/>
        </w:rPr>
        <w:t xml:space="preserve"> which represents the mean slope of the rotating powder bed, with larger angles corresponding to higher cohesion; </w:t>
      </w:r>
      <w:r w:rsidR="00D929FD" w:rsidRPr="00E74C20">
        <w:rPr>
          <w:lang w:val="en-GB"/>
        </w:rPr>
        <w:t xml:space="preserve">(ii) </w:t>
      </w:r>
      <w:r w:rsidR="00D44DAD" w:rsidRPr="00E74C20">
        <w:rPr>
          <w:lang w:val="en-GB"/>
        </w:rPr>
        <w:t>t</w:t>
      </w:r>
      <w:r w:rsidRPr="00E74C20">
        <w:rPr>
          <w:lang w:val="en-GB"/>
        </w:rPr>
        <w:t xml:space="preserve">he </w:t>
      </w:r>
      <w:r w:rsidR="00906BEE" w:rsidRPr="00E74C20">
        <w:rPr>
          <w:lang w:val="en-GB"/>
        </w:rPr>
        <w:t>c</w:t>
      </w:r>
      <w:r w:rsidRPr="00E74C20">
        <w:rPr>
          <w:lang w:val="en-GB"/>
        </w:rPr>
        <w:t xml:space="preserve">ohesion </w:t>
      </w:r>
      <w:r w:rsidR="00906BEE" w:rsidRPr="00E74C20">
        <w:rPr>
          <w:lang w:val="en-GB"/>
        </w:rPr>
        <w:t>i</w:t>
      </w:r>
      <w:r w:rsidRPr="00E74C20">
        <w:rPr>
          <w:lang w:val="en-GB"/>
        </w:rPr>
        <w:t>ndex</w:t>
      </w:r>
      <w:r w:rsidR="00D929FD" w:rsidRPr="00E74C20">
        <w:rPr>
          <w:lang w:val="en-GB"/>
        </w:rPr>
        <w:t>,</w:t>
      </w:r>
      <w:r w:rsidRPr="00E74C20">
        <w:rPr>
          <w:lang w:val="en-GB"/>
        </w:rPr>
        <w:t xml:space="preserve"> </w:t>
      </w:r>
      <w:r w:rsidR="00E07210" w:rsidRPr="00E74C20">
        <w:rPr>
          <w:lang w:val="en-GB"/>
        </w:rPr>
        <w:t xml:space="preserve">which </w:t>
      </w:r>
      <w:r w:rsidRPr="00E74C20">
        <w:rPr>
          <w:lang w:val="en-GB"/>
        </w:rPr>
        <w:t xml:space="preserve">is </w:t>
      </w:r>
      <w:r w:rsidR="007071A1" w:rsidRPr="00E74C20">
        <w:rPr>
          <w:lang w:val="en-GB"/>
        </w:rPr>
        <w:t>calculated</w:t>
      </w:r>
      <w:r w:rsidRPr="00E74C20">
        <w:rPr>
          <w:lang w:val="en-GB"/>
        </w:rPr>
        <w:t xml:space="preserve"> from fluctuations at the powder</w:t>
      </w:r>
      <w:r w:rsidR="003C0AFB" w:rsidRPr="00E74C20">
        <w:rPr>
          <w:lang w:val="en-GB"/>
        </w:rPr>
        <w:t>-</w:t>
      </w:r>
      <w:r w:rsidRPr="00E74C20">
        <w:rPr>
          <w:lang w:val="en-GB"/>
        </w:rPr>
        <w:t>air interface</w:t>
      </w:r>
      <w:r w:rsidR="00D929FD" w:rsidRPr="00E74C20">
        <w:rPr>
          <w:lang w:val="en-GB"/>
        </w:rPr>
        <w:t>,</w:t>
      </w:r>
      <w:r w:rsidRPr="00E74C20">
        <w:rPr>
          <w:lang w:val="en-GB"/>
        </w:rPr>
        <w:t xml:space="preserve"> </w:t>
      </w:r>
      <w:r w:rsidR="00E07210" w:rsidRPr="00E74C20">
        <w:rPr>
          <w:lang w:val="en-GB"/>
        </w:rPr>
        <w:t>where</w:t>
      </w:r>
      <w:r w:rsidRPr="00E74C20">
        <w:rPr>
          <w:lang w:val="en-GB"/>
        </w:rPr>
        <w:t xml:space="preserve"> higher values indicate stronger </w:t>
      </w:r>
      <w:r w:rsidR="007071A1" w:rsidRPr="00E74C20">
        <w:rPr>
          <w:lang w:val="en-GB"/>
        </w:rPr>
        <w:t xml:space="preserve">particles </w:t>
      </w:r>
      <w:r w:rsidRPr="00E74C20">
        <w:rPr>
          <w:lang w:val="en-GB"/>
        </w:rPr>
        <w:t>cohesion and reduced flowability</w:t>
      </w:r>
      <w:r w:rsidR="000B3BA7" w:rsidRPr="00E74C20">
        <w:rPr>
          <w:lang w:val="en-GB"/>
        </w:rPr>
        <w:t xml:space="preserve"> </w:t>
      </w:r>
      <w:r w:rsidR="000B3BA7" w:rsidRPr="00E74C20">
        <w:rPr>
          <w:lang w:val="en-GB"/>
        </w:rPr>
        <w:fldChar w:fldCharType="begin"/>
      </w:r>
      <w:r w:rsidR="000B3BA7" w:rsidRPr="00E74C20">
        <w:rPr>
          <w:lang w:val="en-GB"/>
        </w:rPr>
        <w:instrText xml:space="preserve"> ADDIN ZOTERO_ITEM CSL_CITATION {"citationID":"iqFNPYhi","properties":{"formattedCitation":"(Neveu et al., 2022)","plainCitation":"(Neveu et al., 2022)","noteIndex":0},"citationItems":[{"id":418,"uris":["http://zotero.org/users/16832050/items/W9G5WHXX"],"itemData":{"id":418,"type":"article-journal","abstract":"The rotating drum geometry is widely used to analyze the flow of powders and granular materials in low consolidation conditions. Many different physical quantities can be measured using image analysis algorithms. This variety of methods makes it difficult to compare the results obtained with different set-ups and methods. In this paper, the set of physical quantities (Dynamic angle of repose α, Cohesive index CI, Roughness index RI, Aeration AE and Thixotropy index TI) measured by GranuDrum instrument from the images using dedicated algorithms are presented in details. Moreover, the results obtained with a set of typical powders are analyzed to illustrate the interpretation of the different measurements. For the whole set of parameters, a strong dependence to the drum rotating speed is shown by the measurement results, highlighting the importance of the measurement at different flowing speeds. Moreover, time-dependent or shear-dependent properties are evidenced.","container-title":"Measurement","DOI":"10.1016/j.measurement.2022.111548","ISSN":"0263-2241","journalAbbreviation":"Measurement","page":"111548","source":"ScienceDirect","title":"Measuring powder flow properties in a rotating drum","volume":"200","author":[{"family":"Neveu","given":"A."},{"family":"Francqui","given":"F."},{"family":"Lumay","given":"G."}],"issued":{"date-parts":[["2022",8,15]]}}}],"schema":"https://github.com/citation-style-language/schema/raw/master/csl-citation.json"} </w:instrText>
      </w:r>
      <w:r w:rsidR="000B3BA7" w:rsidRPr="00E74C20">
        <w:rPr>
          <w:lang w:val="en-GB"/>
        </w:rPr>
        <w:fldChar w:fldCharType="separate"/>
      </w:r>
      <w:r w:rsidR="000B3BA7" w:rsidRPr="00E74C20">
        <w:rPr>
          <w:rFonts w:cs="Arial"/>
          <w:lang w:val="en-GB"/>
        </w:rPr>
        <w:t>(Neveu et al., 2022)</w:t>
      </w:r>
      <w:r w:rsidR="000B3BA7" w:rsidRPr="00E74C20">
        <w:rPr>
          <w:lang w:val="en-GB"/>
        </w:rPr>
        <w:fldChar w:fldCharType="end"/>
      </w:r>
      <w:r w:rsidRPr="00E74C20">
        <w:rPr>
          <w:lang w:val="en-GB"/>
        </w:rPr>
        <w:t xml:space="preserve">. </w:t>
      </w:r>
      <w:r w:rsidR="00434F4A" w:rsidRPr="00E74C20">
        <w:rPr>
          <w:lang w:val="en-GB"/>
        </w:rPr>
        <w:t xml:space="preserve">The Granudrum is operated following ASTM D8648-25. </w:t>
      </w:r>
      <w:r w:rsidRPr="00E74C20">
        <w:rPr>
          <w:lang w:val="en-GB"/>
        </w:rPr>
        <w:t>For these measurements, the drum</w:t>
      </w:r>
      <w:r w:rsidR="0015396C" w:rsidRPr="00E74C20">
        <w:rPr>
          <w:lang w:val="en-GB"/>
        </w:rPr>
        <w:t xml:space="preserve">, with an 84 mm diameter, </w:t>
      </w:r>
      <w:r w:rsidRPr="00E74C20">
        <w:rPr>
          <w:lang w:val="en-GB"/>
        </w:rPr>
        <w:t>was filled to half its volume, and rotation speeds were gradually increased from 2 to 60 rpm in increments of 2</w:t>
      </w:r>
      <w:r w:rsidR="00E07210" w:rsidRPr="00E74C20">
        <w:rPr>
          <w:lang w:val="en-GB"/>
        </w:rPr>
        <w:t>.</w:t>
      </w:r>
    </w:p>
    <w:p w14:paraId="455F77E9" w14:textId="33EB0C8A" w:rsidR="00E01CDF" w:rsidRPr="00E74C20" w:rsidRDefault="007701FE" w:rsidP="00E01CDF">
      <w:pPr>
        <w:pStyle w:val="CETheadingx"/>
        <w:rPr>
          <w:lang w:val="en-GB"/>
        </w:rPr>
      </w:pPr>
      <w:r w:rsidRPr="00E74C20">
        <w:rPr>
          <w:lang w:val="en-GB"/>
        </w:rPr>
        <w:t>V</w:t>
      </w:r>
      <w:r w:rsidR="00E01CDF" w:rsidRPr="00E74C20">
        <w:rPr>
          <w:lang w:val="en-GB"/>
        </w:rPr>
        <w:t>elocity field analysis</w:t>
      </w:r>
      <w:r w:rsidR="00FB36B0" w:rsidRPr="00E74C20">
        <w:rPr>
          <w:lang w:val="en-GB"/>
        </w:rPr>
        <w:t xml:space="preserve"> for Rheological Interpretation</w:t>
      </w:r>
    </w:p>
    <w:p w14:paraId="79E2B4F9" w14:textId="563725A4" w:rsidR="00E01CDF" w:rsidRPr="00E74C20" w:rsidRDefault="002740AD" w:rsidP="00E01CDF">
      <w:pPr>
        <w:pStyle w:val="CETBodytext"/>
        <w:rPr>
          <w:lang w:val="en-GB"/>
        </w:rPr>
      </w:pPr>
      <w:r w:rsidRPr="00E74C20">
        <w:rPr>
          <w:lang w:val="en-GB"/>
        </w:rPr>
        <w:t>To complement the rheological measurements, Particle Image Velocimetry (PIV) was performed during both the FT4 VFR and Granudrum tests</w:t>
      </w:r>
      <w:r w:rsidR="003B595B" w:rsidRPr="00E74C20">
        <w:rPr>
          <w:lang w:val="en-GB"/>
        </w:rPr>
        <w:t xml:space="preserve"> in order to provide additional information on the internal flow dynamics and particle kinematics, thereby improving the understanding of the underlying mechanisms governing the measured bulk behaviour.</w:t>
      </w:r>
      <w:r w:rsidRPr="00E74C20">
        <w:rPr>
          <w:lang w:val="en-GB"/>
        </w:rPr>
        <w:t xml:space="preserve"> </w:t>
      </w:r>
      <w:r w:rsidR="0015396C" w:rsidRPr="00E74C20">
        <w:rPr>
          <w:lang w:val="en-GB"/>
        </w:rPr>
        <w:t>A fast</w:t>
      </w:r>
      <w:r w:rsidRPr="00E74C20">
        <w:rPr>
          <w:lang w:val="en-GB"/>
        </w:rPr>
        <w:t xml:space="preserve"> camera capturing 235 frames per second recorded the flow. The images were analysed using the</w:t>
      </w:r>
      <w:r w:rsidR="006B063D" w:rsidRPr="00E74C20">
        <w:rPr>
          <w:lang w:val="en-GB"/>
        </w:rPr>
        <w:t xml:space="preserve"> optical</w:t>
      </w:r>
      <w:r w:rsidRPr="00E74C20">
        <w:rPr>
          <w:lang w:val="en-GB"/>
        </w:rPr>
        <w:t xml:space="preserve"> </w:t>
      </w:r>
      <w:r w:rsidR="006B063D" w:rsidRPr="00E74C20">
        <w:rPr>
          <w:lang w:val="en-GB"/>
        </w:rPr>
        <w:t>d</w:t>
      </w:r>
      <w:r w:rsidRPr="00E74C20">
        <w:rPr>
          <w:lang w:val="en-GB"/>
        </w:rPr>
        <w:t xml:space="preserve">eep </w:t>
      </w:r>
      <w:r w:rsidR="006B063D" w:rsidRPr="00E74C20">
        <w:rPr>
          <w:lang w:val="en-GB"/>
        </w:rPr>
        <w:t>f</w:t>
      </w:r>
      <w:r w:rsidRPr="00E74C20">
        <w:rPr>
          <w:lang w:val="en-GB"/>
        </w:rPr>
        <w:t xml:space="preserve">low algorithm, a </w:t>
      </w:r>
      <w:r w:rsidR="006B063D" w:rsidRPr="00E74C20">
        <w:rPr>
          <w:lang w:val="en-GB"/>
        </w:rPr>
        <w:t>D</w:t>
      </w:r>
      <w:r w:rsidRPr="00E74C20">
        <w:rPr>
          <w:lang w:val="en-GB"/>
        </w:rPr>
        <w:t xml:space="preserve">eep </w:t>
      </w:r>
      <w:r w:rsidR="006B063D" w:rsidRPr="00E74C20">
        <w:rPr>
          <w:lang w:val="en-GB"/>
        </w:rPr>
        <w:t>L</w:t>
      </w:r>
      <w:r w:rsidRPr="00E74C20">
        <w:rPr>
          <w:lang w:val="en-GB"/>
        </w:rPr>
        <w:t xml:space="preserve">earning-based </w:t>
      </w:r>
      <w:r w:rsidR="006B063D" w:rsidRPr="00E74C20">
        <w:rPr>
          <w:lang w:val="en-GB"/>
        </w:rPr>
        <w:t>O</w:t>
      </w:r>
      <w:r w:rsidRPr="00E74C20">
        <w:rPr>
          <w:lang w:val="en-GB"/>
        </w:rPr>
        <w:t xml:space="preserve">ptical </w:t>
      </w:r>
      <w:r w:rsidR="006B063D" w:rsidRPr="00E74C20">
        <w:rPr>
          <w:lang w:val="en-GB"/>
        </w:rPr>
        <w:t>F</w:t>
      </w:r>
      <w:r w:rsidRPr="00E74C20">
        <w:rPr>
          <w:lang w:val="en-GB"/>
        </w:rPr>
        <w:t xml:space="preserve">low (DLOF) method. This algorithm extracts features from adjacent video frames using deep convolutional neural networks and uses these features to estimate the inter-frame motion of particles at the pixel level </w:t>
      </w:r>
      <w:r w:rsidRPr="00E74C20">
        <w:rPr>
          <w:lang w:val="en-GB"/>
        </w:rPr>
        <w:fldChar w:fldCharType="begin"/>
      </w:r>
      <w:r w:rsidRPr="00E74C20">
        <w:rPr>
          <w:lang w:val="en-GB"/>
        </w:rPr>
        <w:instrText xml:space="preserve"> ADDIN ZOTERO_ITEM CSL_CITATION {"citationID":"5MKz0A2S","properties":{"formattedCitation":"(Tran et al., 2024)","plainCitation":"(Tran et al., 2024)","noteIndex":0},"citationItems":[{"id":472,"uris":["http://zotero.org/users/16832050/items/SNLICP3H"],"itemData":{"id":472,"type":"article","abstract":"Deep learning-based optical flow (DLOF) extracts features in adjacent video frames with deep convolutional neural networks. It uses those features to estimate the inter-frame motions of objects at the pixel level. In this article, we evaluate the ability of optical flow to quantify the spontaneous flows of MT-based active nematics under different labeling conditions. We compare DLOF against the commonly used technique, particle imaging velocimetry (PIV). We obtain flow velocity ground truths either by performing semi-automated particle tracking on samples with sparsely labeled filaments, or from passive tracer beads. We find that DLOF produces significantly more accurate velocity fields than PIV for densely labeled samples. We show that the breakdown of PIV arises because the algorithm cannot reliably distinguish contrast variations at high densities, particularly in directions parallel to the nematic director. DLOF overcomes this limitation. For sparsely labeled samples, DLOF and PIV produce results with similar accuracy, but DLOF gives higher-resolution fields. Our work establishes DLOF as a versatile tool for measuring fluid flows in a broad class of active, soft, and biophysical systems.","DOI":"10.48550/arXiv.2404.15497","note":"arXiv:2404.15497 [cond-mat]","number":"arXiv:2404.15497","publisher":"arXiv","source":"arXiv.org","title":"Deep-learning Optical Flow Outperforms PIV in Obtaining Velocity Fields from Active Nematics","URL":"http://arxiv.org/abs/2404.15497","author":[{"family":"Tran","given":"Phu N."},{"family":"Ray","given":"Sattvic"},{"family":"Lemma","given":"Linnea"},{"family":"Li","given":"Yunrui"},{"family":"Sweeney","given":"Reef"},{"family":"Baskaran","given":"Aparna"},{"family":"Dogic","given":"Zvonimir"},{"family":"Hong","given":"Pengyu"},{"family":"Hagan","given":"Michael F."}],"accessed":{"date-parts":[["2026",1,26]]},"issued":{"date-parts":[["2024",4,26]]}}}],"schema":"https://github.com/citation-style-language/schema/raw/master/csl-citation.json"} </w:instrText>
      </w:r>
      <w:r w:rsidRPr="00E74C20">
        <w:rPr>
          <w:lang w:val="en-GB"/>
        </w:rPr>
        <w:fldChar w:fldCharType="separate"/>
      </w:r>
      <w:r w:rsidRPr="00E74C20">
        <w:rPr>
          <w:rFonts w:cs="Arial"/>
          <w:lang w:val="en-GB"/>
        </w:rPr>
        <w:t>(Tran et al., 2024)</w:t>
      </w:r>
      <w:r w:rsidRPr="00E74C20">
        <w:rPr>
          <w:lang w:val="en-GB"/>
        </w:rPr>
        <w:fldChar w:fldCharType="end"/>
      </w:r>
      <w:r w:rsidRPr="00E74C20">
        <w:rPr>
          <w:lang w:val="en-GB"/>
        </w:rPr>
        <w:t xml:space="preserve">. The Python-based implementation </w:t>
      </w:r>
      <w:r w:rsidR="008000BB" w:rsidRPr="00E74C20">
        <w:rPr>
          <w:lang w:val="en-GB"/>
        </w:rPr>
        <w:t>allows</w:t>
      </w:r>
      <w:r w:rsidRPr="00E74C20">
        <w:rPr>
          <w:lang w:val="en-GB"/>
        </w:rPr>
        <w:t xml:space="preserve"> calculation of velocity fields, as well as potential and kinetic energies, providing a detailed quantification of particle motion within the flowing material</w:t>
      </w:r>
      <w:r w:rsidR="007C7EF7" w:rsidRPr="00E74C20">
        <w:rPr>
          <w:lang w:val="en-GB"/>
        </w:rPr>
        <w:t>.</w:t>
      </w:r>
    </w:p>
    <w:p w14:paraId="677EBFF0" w14:textId="2386237F" w:rsidR="00600535" w:rsidRPr="00E74C20" w:rsidRDefault="00392C32" w:rsidP="00600535">
      <w:pPr>
        <w:pStyle w:val="CETHeading1"/>
        <w:tabs>
          <w:tab w:val="clear" w:pos="360"/>
          <w:tab w:val="right" w:pos="7100"/>
        </w:tabs>
        <w:jc w:val="both"/>
        <w:rPr>
          <w:lang w:val="en-GB"/>
        </w:rPr>
      </w:pPr>
      <w:r w:rsidRPr="00E74C20">
        <w:rPr>
          <w:lang w:val="en-GB"/>
        </w:rPr>
        <w:t xml:space="preserve">Results and </w:t>
      </w:r>
      <w:r w:rsidR="007701FE" w:rsidRPr="00E74C20">
        <w:rPr>
          <w:lang w:val="en-GB"/>
        </w:rPr>
        <w:t>D</w:t>
      </w:r>
      <w:r w:rsidRPr="00E74C20">
        <w:rPr>
          <w:lang w:val="en-GB"/>
        </w:rPr>
        <w:t>iscussion</w:t>
      </w:r>
    </w:p>
    <w:p w14:paraId="6E799E1F" w14:textId="0F1AA18B" w:rsidR="00392C32" w:rsidRPr="00E74C20" w:rsidRDefault="00392C32" w:rsidP="005E218D">
      <w:pPr>
        <w:pStyle w:val="CETheadingx"/>
        <w:rPr>
          <w:lang w:val="en-GB"/>
        </w:rPr>
      </w:pPr>
      <w:r w:rsidRPr="00E74C20">
        <w:rPr>
          <w:lang w:val="en-GB"/>
        </w:rPr>
        <w:t>Physical characterisation</w:t>
      </w:r>
    </w:p>
    <w:p w14:paraId="720F9603" w14:textId="61BACB6C" w:rsidR="005E218D" w:rsidRPr="00E74C20" w:rsidRDefault="005E218D" w:rsidP="00CB4DD7">
      <w:pPr>
        <w:pStyle w:val="CETHeadingxx"/>
        <w:rPr>
          <w:lang w:val="en-GB"/>
        </w:rPr>
      </w:pPr>
      <w:r w:rsidRPr="00E74C20">
        <w:rPr>
          <w:lang w:val="en-GB"/>
        </w:rPr>
        <w:t>Granulometry</w:t>
      </w:r>
    </w:p>
    <w:p w14:paraId="7013D990" w14:textId="0BF43C7D" w:rsidR="004229F8" w:rsidRPr="00E74C20" w:rsidRDefault="001B356F" w:rsidP="00041F29">
      <w:pPr>
        <w:pStyle w:val="CETBodytext"/>
        <w:rPr>
          <w:lang w:val="en-GB"/>
        </w:rPr>
      </w:pPr>
      <w:r w:rsidRPr="00E74C20">
        <w:rPr>
          <w:color w:val="FF0000"/>
          <w:lang w:val="en-GB"/>
        </w:rPr>
        <w:fldChar w:fldCharType="begin"/>
      </w:r>
      <w:r w:rsidRPr="00E74C20">
        <w:rPr>
          <w:color w:val="FF0000"/>
          <w:lang w:val="en-GB"/>
        </w:rPr>
        <w:instrText xml:space="preserve"> REF _Ref225167732 \h </w:instrText>
      </w:r>
      <w:r w:rsidRPr="00E74C20">
        <w:rPr>
          <w:color w:val="FF0000"/>
          <w:lang w:val="en-GB"/>
        </w:rPr>
      </w:r>
      <w:r w:rsidRPr="00E74C20">
        <w:rPr>
          <w:color w:val="FF0000"/>
          <w:lang w:val="en-GB"/>
        </w:rPr>
        <w:fldChar w:fldCharType="separate"/>
      </w:r>
      <w:r w:rsidR="004E6FC3" w:rsidRPr="00E74C20">
        <w:t xml:space="preserve">Figure </w:t>
      </w:r>
      <w:r w:rsidR="004E6FC3">
        <w:rPr>
          <w:noProof/>
        </w:rPr>
        <w:t>1</w:t>
      </w:r>
      <w:r w:rsidRPr="00E74C20">
        <w:rPr>
          <w:color w:val="FF0000"/>
          <w:lang w:val="en-GB"/>
        </w:rPr>
        <w:fldChar w:fldCharType="end"/>
      </w:r>
      <w:r w:rsidRPr="00E74C20">
        <w:rPr>
          <w:color w:val="FF0000"/>
          <w:lang w:val="en-GB"/>
        </w:rPr>
        <w:t xml:space="preserve"> </w:t>
      </w:r>
      <w:r w:rsidR="00C7200B" w:rsidRPr="00E74C20">
        <w:rPr>
          <w:lang w:val="en-GB"/>
        </w:rPr>
        <w:t>shows that the medium grain wood sawdust spans a broad size range, with dominant peaks around 500–700 µm, indicating a heterogeneous granulometric distribution with multiple particle populations. The table summarizes the characteristic diameters of the materials</w:t>
      </w:r>
      <w:r w:rsidR="005E218D" w:rsidRPr="00E74C20">
        <w:rPr>
          <w:lang w:val="en-GB"/>
        </w:rPr>
        <w:t>.</w:t>
      </w:r>
      <w:r w:rsidR="00C7200B" w:rsidRPr="00E74C20">
        <w:rPr>
          <w:lang w:val="en-GB"/>
        </w:rPr>
        <w:t xml:space="preserve"> </w:t>
      </w:r>
      <w:r w:rsidR="0015396C" w:rsidRPr="00E74C20">
        <w:rPr>
          <w:lang w:val="en-GB"/>
        </w:rPr>
        <w:t>Notably, the absence of fine particles below 100 µm suggests that interparticle cohesive forces are negligible, and that the flow behaviour is primarily governed by contact mechanics and frictional interactions.</w:t>
      </w:r>
    </w:p>
    <w:p w14:paraId="79D103A6" w14:textId="3C7138BE" w:rsidR="001B356F" w:rsidRPr="00E74C20" w:rsidRDefault="00A26B0C" w:rsidP="001B356F">
      <w:pPr>
        <w:pStyle w:val="CETBodytext"/>
        <w:keepNext/>
        <w:rPr>
          <w:lang w:val="en-GB"/>
        </w:rPr>
      </w:pPr>
      <w:r w:rsidRPr="00A26B0C">
        <w:drawing>
          <wp:inline distT="0" distB="0" distL="0" distR="0" wp14:anchorId="27A345E6" wp14:editId="429E12AE">
            <wp:extent cx="4234170" cy="2235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4950"/>
                    <a:stretch/>
                  </pic:blipFill>
                  <pic:spPr bwMode="auto">
                    <a:xfrm>
                      <a:off x="0" y="0"/>
                      <a:ext cx="4273820" cy="2256131"/>
                    </a:xfrm>
                    <a:prstGeom prst="rect">
                      <a:avLst/>
                    </a:prstGeom>
                    <a:noFill/>
                    <a:ln>
                      <a:noFill/>
                    </a:ln>
                    <a:extLst>
                      <a:ext uri="{53640926-AAD7-44D8-BBD7-CCE9431645EC}">
                        <a14:shadowObscured xmlns:a14="http://schemas.microsoft.com/office/drawing/2010/main"/>
                      </a:ext>
                    </a:extLst>
                  </pic:spPr>
                </pic:pic>
              </a:graphicData>
            </a:graphic>
          </wp:inline>
        </w:drawing>
      </w:r>
    </w:p>
    <w:p w14:paraId="749F1359" w14:textId="5FBEFDD7" w:rsidR="004229F8" w:rsidRPr="00E74C20" w:rsidRDefault="001B356F" w:rsidP="002D3455">
      <w:pPr>
        <w:pStyle w:val="CETCaption"/>
      </w:pPr>
      <w:bookmarkStart w:id="1" w:name="_Ref225167732"/>
      <w:r w:rsidRPr="00E74C20">
        <w:t xml:space="preserve">Figure </w:t>
      </w:r>
      <w:r w:rsidRPr="00E74C20">
        <w:fldChar w:fldCharType="begin"/>
      </w:r>
      <w:r w:rsidRPr="00E74C20">
        <w:instrText xml:space="preserve"> SEQ Figure \* ARABIC </w:instrText>
      </w:r>
      <w:r w:rsidRPr="00E74C20">
        <w:fldChar w:fldCharType="separate"/>
      </w:r>
      <w:r w:rsidR="004E6FC3">
        <w:rPr>
          <w:noProof/>
        </w:rPr>
        <w:t>1</w:t>
      </w:r>
      <w:r w:rsidRPr="00E74C20">
        <w:fldChar w:fldCharType="end"/>
      </w:r>
      <w:bookmarkEnd w:id="1"/>
      <w:r w:rsidRPr="00E74C20">
        <w:t>: Particle size distribution and cumulative passing curve for medium grain beech and fir wood</w:t>
      </w:r>
    </w:p>
    <w:p w14:paraId="5E4D7624" w14:textId="1695A5BA" w:rsidR="001D1FF5" w:rsidRPr="00E74C20" w:rsidRDefault="001D1FF5" w:rsidP="00CB4DD7">
      <w:pPr>
        <w:pStyle w:val="CETHeadingxx"/>
        <w:rPr>
          <w:lang w:val="en-GB"/>
        </w:rPr>
      </w:pPr>
      <w:r w:rsidRPr="00E74C20">
        <w:rPr>
          <w:lang w:val="en-GB"/>
        </w:rPr>
        <w:lastRenderedPageBreak/>
        <w:t>Scanning Electron Microscopy</w:t>
      </w:r>
    </w:p>
    <w:p w14:paraId="133F29C4" w14:textId="30086700" w:rsidR="009A77CC" w:rsidRPr="00E74C20" w:rsidRDefault="001D1FF5" w:rsidP="00041F29">
      <w:pPr>
        <w:pStyle w:val="CETBodytext"/>
        <w:rPr>
          <w:lang w:val="en-GB"/>
        </w:rPr>
      </w:pPr>
      <w:r w:rsidRPr="00E74C20">
        <w:rPr>
          <w:lang w:val="en-GB"/>
        </w:rPr>
        <w:t>SEM observations at ×50 in</w:t>
      </w:r>
      <w:r w:rsidR="001B356F" w:rsidRPr="00E74C20">
        <w:rPr>
          <w:lang w:val="en-GB"/>
        </w:rPr>
        <w:t xml:space="preserve"> </w:t>
      </w:r>
      <w:r w:rsidR="001B356F" w:rsidRPr="00E74C20">
        <w:rPr>
          <w:lang w:val="en-GB"/>
        </w:rPr>
        <w:fldChar w:fldCharType="begin"/>
      </w:r>
      <w:r w:rsidR="001B356F" w:rsidRPr="00E74C20">
        <w:rPr>
          <w:lang w:val="en-GB"/>
        </w:rPr>
        <w:instrText xml:space="preserve"> REF _Ref225167844 \h </w:instrText>
      </w:r>
      <w:r w:rsidR="001B356F" w:rsidRPr="00E74C20">
        <w:rPr>
          <w:lang w:val="en-GB"/>
        </w:rPr>
      </w:r>
      <w:r w:rsidR="001B356F" w:rsidRPr="00E74C20">
        <w:rPr>
          <w:lang w:val="en-GB"/>
        </w:rPr>
        <w:fldChar w:fldCharType="separate"/>
      </w:r>
      <w:r w:rsidR="004E6FC3" w:rsidRPr="00E74C20">
        <w:t xml:space="preserve">Figure </w:t>
      </w:r>
      <w:r w:rsidR="004E6FC3">
        <w:rPr>
          <w:noProof/>
        </w:rPr>
        <w:t>2</w:t>
      </w:r>
      <w:r w:rsidR="001B356F" w:rsidRPr="00E74C20">
        <w:rPr>
          <w:lang w:val="en-GB"/>
        </w:rPr>
        <w:fldChar w:fldCharType="end"/>
      </w:r>
      <w:r w:rsidRPr="00E74C20">
        <w:rPr>
          <w:lang w:val="en-GB"/>
        </w:rPr>
        <w:t xml:space="preserve">, </w:t>
      </w:r>
      <w:r w:rsidR="009A77CC" w:rsidRPr="00E74C20">
        <w:rPr>
          <w:lang w:val="en-GB"/>
        </w:rPr>
        <w:t xml:space="preserve">revealed distinct morphological differences between the </w:t>
      </w:r>
      <w:proofErr w:type="gramStart"/>
      <w:r w:rsidR="009A77CC" w:rsidRPr="00E74C20">
        <w:rPr>
          <w:lang w:val="en-GB"/>
        </w:rPr>
        <w:t>two medium</w:t>
      </w:r>
      <w:proofErr w:type="gramEnd"/>
      <w:r w:rsidR="004F57BD" w:rsidRPr="00E74C20">
        <w:rPr>
          <w:lang w:val="en-GB"/>
        </w:rPr>
        <w:t xml:space="preserve"> </w:t>
      </w:r>
      <w:r w:rsidR="009A77CC" w:rsidRPr="00E74C20">
        <w:rPr>
          <w:lang w:val="en-GB"/>
        </w:rPr>
        <w:t xml:space="preserve">grain sawdusts. Beech particles are compact and fragmented with rough lamellar surfaces, whereas fir particles are more fibrous and elongated, retaining partially preserved cellular structures and visible honeycomb-like </w:t>
      </w:r>
      <w:r w:rsidR="0037215C" w:rsidRPr="00E74C20">
        <w:rPr>
          <w:lang w:val="en-GB"/>
        </w:rPr>
        <w:t>pores</w:t>
      </w:r>
      <w:r w:rsidR="009A77CC" w:rsidRPr="00E74C20">
        <w:rPr>
          <w:lang w:val="en-GB"/>
        </w:rPr>
        <w:t>. These visual differences indicate variations in particle shape and surface complexity, which may contribute to differences in interparticle interactions and flow behaviour</w:t>
      </w:r>
      <w:r w:rsidRPr="00E74C20">
        <w:rPr>
          <w:lang w:val="en-GB"/>
        </w:rPr>
        <w:t>.</w:t>
      </w:r>
    </w:p>
    <w:p w14:paraId="434FE5B3" w14:textId="7EE5C731" w:rsidR="001B356F" w:rsidRPr="00E74C20" w:rsidRDefault="001A15F4" w:rsidP="001B356F">
      <w:pPr>
        <w:pStyle w:val="CETBodytext"/>
        <w:keepNext/>
        <w:rPr>
          <w:lang w:val="en-GB"/>
        </w:rPr>
      </w:pPr>
      <w:r w:rsidRPr="001A15F4">
        <w:drawing>
          <wp:inline distT="0" distB="0" distL="0" distR="0" wp14:anchorId="413AED4F" wp14:editId="62BB4577">
            <wp:extent cx="2774950" cy="9395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4860" cy="942865"/>
                    </a:xfrm>
                    <a:prstGeom prst="rect">
                      <a:avLst/>
                    </a:prstGeom>
                    <a:noFill/>
                    <a:ln>
                      <a:noFill/>
                    </a:ln>
                  </pic:spPr>
                </pic:pic>
              </a:graphicData>
            </a:graphic>
          </wp:inline>
        </w:drawing>
      </w:r>
    </w:p>
    <w:p w14:paraId="4746669D" w14:textId="2C9706F6" w:rsidR="001B356F" w:rsidRPr="00E74C20" w:rsidRDefault="001B356F" w:rsidP="002D3455">
      <w:pPr>
        <w:pStyle w:val="CETCaption"/>
      </w:pPr>
      <w:bookmarkStart w:id="2" w:name="_Ref225167844"/>
      <w:r w:rsidRPr="00E74C20">
        <w:t xml:space="preserve">Figure </w:t>
      </w:r>
      <w:r w:rsidRPr="00E74C20">
        <w:fldChar w:fldCharType="begin"/>
      </w:r>
      <w:r w:rsidRPr="00E74C20">
        <w:instrText xml:space="preserve"> SEQ Figure \* ARABIC </w:instrText>
      </w:r>
      <w:r w:rsidRPr="00E74C20">
        <w:fldChar w:fldCharType="separate"/>
      </w:r>
      <w:r w:rsidR="004E6FC3">
        <w:rPr>
          <w:noProof/>
        </w:rPr>
        <w:t>2</w:t>
      </w:r>
      <w:r w:rsidRPr="00E74C20">
        <w:fldChar w:fldCharType="end"/>
      </w:r>
      <w:bookmarkEnd w:id="2"/>
      <w:r w:rsidRPr="00E74C20">
        <w:t>: SEM images of medium grain (a) beech and (b) fir wood</w:t>
      </w:r>
    </w:p>
    <w:p w14:paraId="2A938CBB" w14:textId="39E2C8D2" w:rsidR="001D41FF" w:rsidRPr="00E74C20" w:rsidRDefault="001D41FF" w:rsidP="00CB4DD7">
      <w:pPr>
        <w:pStyle w:val="CETHeadingxx"/>
        <w:rPr>
          <w:lang w:val="en-GB"/>
        </w:rPr>
      </w:pPr>
      <w:r w:rsidRPr="00E74C20">
        <w:rPr>
          <w:lang w:val="en-GB"/>
        </w:rPr>
        <w:t>Morphological characterization</w:t>
      </w:r>
    </w:p>
    <w:p w14:paraId="0F4273AC" w14:textId="51AC7352" w:rsidR="00972BB4" w:rsidRPr="00E74C20" w:rsidRDefault="009A77CC" w:rsidP="001D41FF">
      <w:pPr>
        <w:pStyle w:val="CETBodytext"/>
        <w:rPr>
          <w:lang w:val="en-GB"/>
        </w:rPr>
      </w:pPr>
      <w:r w:rsidRPr="00E74C20">
        <w:rPr>
          <w:lang w:val="en-GB"/>
        </w:rPr>
        <w:t xml:space="preserve">Morphological analysis </w:t>
      </w:r>
      <w:r w:rsidR="008560AE" w:rsidRPr="00E74C20">
        <w:rPr>
          <w:lang w:val="en-GB"/>
        </w:rPr>
        <w:t xml:space="preserve">in </w:t>
      </w:r>
      <w:r w:rsidR="001B356F" w:rsidRPr="00E74C20">
        <w:rPr>
          <w:lang w:val="en-GB"/>
        </w:rPr>
        <w:fldChar w:fldCharType="begin"/>
      </w:r>
      <w:r w:rsidR="001B356F" w:rsidRPr="00E74C20">
        <w:rPr>
          <w:lang w:val="en-GB"/>
        </w:rPr>
        <w:instrText xml:space="preserve"> REF _Ref225167879 \h </w:instrText>
      </w:r>
      <w:r w:rsidR="001B356F" w:rsidRPr="00E74C20">
        <w:rPr>
          <w:lang w:val="en-GB"/>
        </w:rPr>
      </w:r>
      <w:r w:rsidR="001B356F" w:rsidRPr="00E74C20">
        <w:rPr>
          <w:lang w:val="en-GB"/>
        </w:rPr>
        <w:fldChar w:fldCharType="separate"/>
      </w:r>
      <w:r w:rsidR="004E6FC3" w:rsidRPr="00E74C20">
        <w:t xml:space="preserve">Figure </w:t>
      </w:r>
      <w:r w:rsidR="004E6FC3">
        <w:rPr>
          <w:noProof/>
        </w:rPr>
        <w:t>3</w:t>
      </w:r>
      <w:r w:rsidR="001B356F" w:rsidRPr="00E74C20">
        <w:rPr>
          <w:lang w:val="en-GB"/>
        </w:rPr>
        <w:fldChar w:fldCharType="end"/>
      </w:r>
      <w:r w:rsidR="001B356F" w:rsidRPr="00E74C20">
        <w:rPr>
          <w:lang w:val="en-GB"/>
        </w:rPr>
        <w:t xml:space="preserve"> </w:t>
      </w:r>
      <w:r w:rsidR="00C2036D" w:rsidRPr="00E74C20">
        <w:rPr>
          <w:lang w:val="en-GB"/>
        </w:rPr>
        <w:t xml:space="preserve">quantitatively confirms the observations from SEM. </w:t>
      </w:r>
      <w:r w:rsidR="00C505C6" w:rsidRPr="00E74C20">
        <w:rPr>
          <w:lang w:val="en-GB"/>
        </w:rPr>
        <w:t>While circularity distributions peak at relatively high values (0.8–0.9), indicating compact particle cores, the broad ranges of aspect ratio and elongation reveal the fibrous nature of the fragments. The two species show similar morphological trends, although beech displays a slightly more uniform circularity distribution.</w:t>
      </w:r>
      <w:r w:rsidR="000B1C5B" w:rsidRPr="00E74C20">
        <w:rPr>
          <w:lang w:val="en-GB"/>
        </w:rPr>
        <w:t xml:space="preserve"> These particle shape characteristics are expected to affect the bulk flow behaviour observed in subsequent rheological tests, as they enhance interparticle friction and interlocking, explaining the differences in flow despite comparable particle size distribution</w:t>
      </w:r>
      <w:r w:rsidR="00C505C6" w:rsidRPr="00E74C20">
        <w:rPr>
          <w:lang w:val="en-GB"/>
        </w:rPr>
        <w:t>.</w:t>
      </w:r>
    </w:p>
    <w:p w14:paraId="654D4101" w14:textId="129391A7" w:rsidR="001B356F" w:rsidRPr="00E74C20" w:rsidRDefault="001A15F4" w:rsidP="002251FB">
      <w:pPr>
        <w:pStyle w:val="CETBodytext"/>
        <w:keepNext/>
        <w:jc w:val="left"/>
        <w:rPr>
          <w:lang w:val="en-GB"/>
        </w:rPr>
      </w:pPr>
      <w:r w:rsidRPr="001A15F4">
        <w:drawing>
          <wp:inline distT="0" distB="0" distL="0" distR="0" wp14:anchorId="526D210A" wp14:editId="3F6C8DC2">
            <wp:extent cx="5539711" cy="17843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778" b="22627"/>
                    <a:stretch/>
                  </pic:blipFill>
                  <pic:spPr bwMode="auto">
                    <a:xfrm>
                      <a:off x="0" y="0"/>
                      <a:ext cx="5593996" cy="1801835"/>
                    </a:xfrm>
                    <a:prstGeom prst="rect">
                      <a:avLst/>
                    </a:prstGeom>
                    <a:noFill/>
                    <a:ln>
                      <a:noFill/>
                    </a:ln>
                    <a:extLst>
                      <a:ext uri="{53640926-AAD7-44D8-BBD7-CCE9431645EC}">
                        <a14:shadowObscured xmlns:a14="http://schemas.microsoft.com/office/drawing/2010/main"/>
                      </a:ext>
                    </a:extLst>
                  </pic:spPr>
                </pic:pic>
              </a:graphicData>
            </a:graphic>
          </wp:inline>
        </w:drawing>
      </w:r>
    </w:p>
    <w:p w14:paraId="3C625C4E" w14:textId="504C1D15" w:rsidR="006667A5" w:rsidRPr="00E74C20" w:rsidRDefault="001B356F" w:rsidP="00A621EC">
      <w:pPr>
        <w:pStyle w:val="CETCaption"/>
      </w:pPr>
      <w:bookmarkStart w:id="3" w:name="_Ref225167879"/>
      <w:r w:rsidRPr="00E74C20">
        <w:t xml:space="preserve">Figure </w:t>
      </w:r>
      <w:r w:rsidRPr="00E74C20">
        <w:fldChar w:fldCharType="begin"/>
      </w:r>
      <w:r w:rsidRPr="00E74C20">
        <w:instrText xml:space="preserve"> SEQ Figure \* ARABIC </w:instrText>
      </w:r>
      <w:r w:rsidRPr="00E74C20">
        <w:fldChar w:fldCharType="separate"/>
      </w:r>
      <w:r w:rsidR="004E6FC3">
        <w:rPr>
          <w:noProof/>
        </w:rPr>
        <w:t>3</w:t>
      </w:r>
      <w:r w:rsidRPr="00E74C20">
        <w:fldChar w:fldCharType="end"/>
      </w:r>
      <w:bookmarkEnd w:id="3"/>
      <w:r w:rsidRPr="00E74C20">
        <w:t>: Particle morphologies of medium grain (a) beech and (b) fir wood</w:t>
      </w:r>
    </w:p>
    <w:p w14:paraId="633BD752" w14:textId="77777777" w:rsidR="00C52622" w:rsidRPr="00E74C20" w:rsidRDefault="000D1919" w:rsidP="00CB4DD7">
      <w:pPr>
        <w:pStyle w:val="CETHeadingxx"/>
        <w:rPr>
          <w:lang w:val="en-GB"/>
        </w:rPr>
      </w:pPr>
      <w:r w:rsidRPr="00E74C20">
        <w:rPr>
          <w:lang w:val="en-GB"/>
        </w:rPr>
        <w:t>True Density</w:t>
      </w:r>
      <w:r w:rsidR="007A7AFF" w:rsidRPr="00E74C20">
        <w:rPr>
          <w:lang w:val="en-GB"/>
        </w:rPr>
        <w:t xml:space="preserve"> </w:t>
      </w:r>
    </w:p>
    <w:p w14:paraId="78246230" w14:textId="1801F5FE" w:rsidR="00B07DE3" w:rsidRPr="00E74C20" w:rsidRDefault="00AE6C56" w:rsidP="001D41FF">
      <w:pPr>
        <w:pStyle w:val="CETBodytext"/>
        <w:rPr>
          <w:lang w:val="en-GB"/>
        </w:rPr>
      </w:pPr>
      <w:r w:rsidRPr="00E74C20">
        <w:rPr>
          <w:lang w:val="en-GB"/>
        </w:rPr>
        <w:t>The true densities of medium-grained beech and fir sawdust 1.41 and 1.44 g·cm</w:t>
      </w:r>
      <w:r w:rsidRPr="00E74C20">
        <w:rPr>
          <w:rFonts w:ascii="Cambria Math" w:hAnsi="Cambria Math" w:cs="Cambria Math"/>
          <w:lang w:val="en-GB"/>
        </w:rPr>
        <w:t>⁻</w:t>
      </w:r>
      <w:r w:rsidRPr="00E74C20">
        <w:rPr>
          <w:rFonts w:cs="Arial"/>
          <w:lang w:val="en-GB"/>
        </w:rPr>
        <w:t>³</w:t>
      </w:r>
      <w:r w:rsidRPr="00E74C20">
        <w:rPr>
          <w:lang w:val="en-GB"/>
        </w:rPr>
        <w:t xml:space="preserve"> are similar and consistent with literature values, with relative deviations of 4.2</w:t>
      </w:r>
      <w:r w:rsidR="00522E37" w:rsidRPr="00E74C20">
        <w:rPr>
          <w:lang w:val="en-GB"/>
        </w:rPr>
        <w:t xml:space="preserve"> </w:t>
      </w:r>
      <w:r w:rsidRPr="00E74C20">
        <w:rPr>
          <w:lang w:val="en-GB"/>
        </w:rPr>
        <w:t xml:space="preserve">% </w:t>
      </w:r>
      <w:r w:rsidRPr="00E74C20">
        <w:rPr>
          <w:lang w:val="en-GB"/>
        </w:rPr>
        <w:fldChar w:fldCharType="begin"/>
      </w:r>
      <w:r w:rsidRPr="00E74C20">
        <w:rPr>
          <w:lang w:val="en-GB"/>
        </w:rPr>
        <w:instrText xml:space="preserve"> ADDIN ZOTERO_ITEM CSL_CITATION {"citationID":"XHWIc1Fu","properties":{"formattedCitation":"(Pl\\uc0\\u246{}tze &amp; Niemz, 2011)","plainCitation":"(Plötze &amp; Niemz, 2011)","noteIndex":0},"citationItems":[{"id":478,"uris":["http://zotero.org/users/16832050/items/9P2X98HQ"],"itemData":{"id":478,"type":"article-journal","abstract":"In this work, densities and porosity parameters are determined on domestic and overseas soft- and hardwoods by application of pycnometric methods and mercury intrusion porosimetry (MIP). Great variability was found in bulk density, porosity and in the speciﬁc surface area. According to the pore size distribution, four pore size classes could be distinguished: macropores (radius 58–2 µm and 2–0.5 µm), mesopores (500–80 nm), and micropores (80–1.8 nm). The pore size distribution can vary even in the case of comparable pore volumes. The hardwoods, particularly the European diffuse-porous ones, show a higher amount of micropores, which represent the microvoids or cell wall capillaries. A high cumulative pore volume can also be the result of a high content of micropores with poorer accessibility. The value of the total speciﬁc surface area from MIP measurements is, generally, below those values obtained by the water vapour adsorption technique. These results can provide information for further investigations on the sorption behaviour and the ﬂuid intake as technological characteristics in industrial processes of impregnation and penetration of coating materials or adhesives.","container-title":"European Journal of Wood and Wood Products","DOI":"10.1007/s00107-010-0504-0","ISSN":"0018-3768, 1436-736X","issue":"4","journalAbbreviation":"Eur. J. Wood Prod.","language":"en","license":"http://www.springer.com/tdm","page":"649-657","source":"DOI.org (Crossref)","title":"Porosity and pore size distribution of different wood types as determined by mercury intrusion porosimetry","volume":"69","author":[{"family":"Plötze","given":"Michael"},{"family":"Niemz","given":"Peter"}],"issued":{"date-parts":[["2011",11]]}}}],"schema":"https://github.com/citation-style-language/schema/raw/master/csl-citation.json"} </w:instrText>
      </w:r>
      <w:r w:rsidRPr="00E74C20">
        <w:rPr>
          <w:lang w:val="en-GB"/>
        </w:rPr>
        <w:fldChar w:fldCharType="separate"/>
      </w:r>
      <w:r w:rsidRPr="00E74C20">
        <w:rPr>
          <w:rFonts w:cs="Arial"/>
          <w:szCs w:val="24"/>
          <w:lang w:val="en-GB"/>
        </w:rPr>
        <w:t>(Plötze &amp; Niemz, 2011)</w:t>
      </w:r>
      <w:r w:rsidRPr="00E74C20">
        <w:rPr>
          <w:lang w:val="en-GB"/>
        </w:rPr>
        <w:fldChar w:fldCharType="end"/>
      </w:r>
      <w:r w:rsidRPr="00E74C20">
        <w:rPr>
          <w:lang w:val="en-GB"/>
        </w:rPr>
        <w:t xml:space="preserve"> and 1.4</w:t>
      </w:r>
      <w:r w:rsidR="00522E37" w:rsidRPr="00E74C20">
        <w:rPr>
          <w:lang w:val="en-GB"/>
        </w:rPr>
        <w:t xml:space="preserve"> </w:t>
      </w:r>
      <w:r w:rsidRPr="00E74C20">
        <w:rPr>
          <w:lang w:val="en-GB"/>
        </w:rPr>
        <w:t xml:space="preserve">% </w:t>
      </w:r>
      <w:r w:rsidRPr="00E74C20">
        <w:rPr>
          <w:lang w:val="en-GB"/>
        </w:rPr>
        <w:fldChar w:fldCharType="begin"/>
      </w:r>
      <w:r w:rsidRPr="00E74C20">
        <w:rPr>
          <w:lang w:val="en-GB"/>
        </w:rPr>
        <w:instrText xml:space="preserve"> ADDIN ZOTERO_ITEM CSL_CITATION {"citationID":"cbYximzA","properties":{"formattedCitation":"(Jang et al., 2020)","plainCitation":"(Jang et al., 2020)","noteIndex":0},"citationItems":[{"id":475,"uris":["http://zotero.org/users/16832050/items/TZ744LJS"],"itemData":{"id":475,"type":"article-journal","abstract":"The purpose of this study is to analyze the pore structure for the heartwood, intermediate wood, and sapwood sections in three species of softwood (hinoki, Douglas fir, and hemlock) and to investigate the correlation of gas permeability depending on pore structure. For this study, gas permeability and pore size were measured by capillary flow porometry, and classification of a novel method was performed to determine the type of pores (through pores, blind pores, and closed pores) based on International Union of Pure and Applied Chemistry (IUPAC). Gas permeability, through pore porosity, and pore size increased from heartwood to sapwood. The results of multiple regression analysis showed that through pore porosity, mean pore size, and bulk density were significant factors affecting gas permeability.","container-title":"Journal of Wood Science","DOI":"10.1186/s10086-020-01925-9","ISSN":"1611-4663","issue":"1","journalAbbreviation":"J Wood Sci","language":"en","page":"78","source":"Springer Link","title":"An experimental study on change of gas permeability depending on pore structures in three species (hinoki, Douglas fir, and hemlock) of softwood","volume":"66","author":[{"family":"Jang","given":"Eun-Suk"},{"family":"Yuk","given":"Jee-Hoon"},{"family":"Kang","given":"Chun-Won"}],"issued":{"date-parts":[["2020",11,7]]}}}],"schema":"https://github.com/citation-style-language/schema/raw/master/csl-citation.json"} </w:instrText>
      </w:r>
      <w:r w:rsidRPr="00E74C20">
        <w:rPr>
          <w:lang w:val="en-GB"/>
        </w:rPr>
        <w:fldChar w:fldCharType="separate"/>
      </w:r>
      <w:r w:rsidRPr="00E74C20">
        <w:rPr>
          <w:rFonts w:cs="Arial"/>
          <w:lang w:val="en-GB"/>
        </w:rPr>
        <w:t>(Jang et al., 2020)</w:t>
      </w:r>
      <w:r w:rsidRPr="00E74C20">
        <w:rPr>
          <w:lang w:val="en-GB"/>
        </w:rPr>
        <w:fldChar w:fldCharType="end"/>
      </w:r>
      <w:r w:rsidRPr="00E74C20">
        <w:rPr>
          <w:lang w:val="en-GB"/>
        </w:rPr>
        <w:t xml:space="preserve"> respectively, confirming measurement reliability. This indicates that flow behaviour is mainly governed by particle morphology, surface properties, and packing structure rather than intrinsic density</w:t>
      </w:r>
      <w:r w:rsidR="007A7AFF" w:rsidRPr="00E74C20">
        <w:rPr>
          <w:lang w:val="en-GB"/>
        </w:rPr>
        <w:t>.</w:t>
      </w:r>
    </w:p>
    <w:p w14:paraId="52D13AB1" w14:textId="3FC584CC" w:rsidR="00962D27" w:rsidRPr="00E74C20" w:rsidRDefault="00962D27" w:rsidP="001D41FF">
      <w:pPr>
        <w:pStyle w:val="CETBodytext"/>
        <w:rPr>
          <w:lang w:val="en-GB"/>
        </w:rPr>
      </w:pPr>
    </w:p>
    <w:p w14:paraId="4E101616" w14:textId="72410F52" w:rsidR="000D40C5" w:rsidRPr="00E74C20" w:rsidRDefault="00962D27" w:rsidP="001D41FF">
      <w:pPr>
        <w:pStyle w:val="CETBodytext"/>
        <w:rPr>
          <w:lang w:val="en-GB"/>
        </w:rPr>
      </w:pPr>
      <w:r w:rsidRPr="00E74C20">
        <w:rPr>
          <w:lang w:val="en-GB"/>
        </w:rPr>
        <w:t>Overall, despite comparable particle sizes and intrinsic densities, beech and fir sawdust exhibit markedly different particle morphologies. Beech particles are more compact and fragmented, whereas fir particles are more fibrous and elongated. These differences play a central role in the rheological behaviour discussed in the following sections.</w:t>
      </w:r>
    </w:p>
    <w:p w14:paraId="692B4246" w14:textId="7DFB60B4" w:rsidR="000D40C5" w:rsidRPr="00E74C20" w:rsidRDefault="000D40C5" w:rsidP="000D40C5">
      <w:pPr>
        <w:pStyle w:val="CETheadingx"/>
        <w:rPr>
          <w:lang w:val="en-GB"/>
        </w:rPr>
      </w:pPr>
      <w:r w:rsidRPr="00E74C20">
        <w:rPr>
          <w:lang w:val="en-GB"/>
        </w:rPr>
        <w:t>Rheological characterizations</w:t>
      </w:r>
    </w:p>
    <w:p w14:paraId="08A36B75" w14:textId="44F5B067" w:rsidR="00C52622" w:rsidRPr="00E74C20" w:rsidRDefault="00AD7245" w:rsidP="00CB4DD7">
      <w:pPr>
        <w:pStyle w:val="CETHeadingxx"/>
        <w:rPr>
          <w:lang w:val="en-GB"/>
        </w:rPr>
      </w:pPr>
      <w:r w:rsidRPr="00E74C20">
        <w:rPr>
          <w:lang w:val="en-GB"/>
        </w:rPr>
        <w:t>Quasi-static regime</w:t>
      </w:r>
    </w:p>
    <w:p w14:paraId="5073ADD8" w14:textId="18BA3FE8" w:rsidR="00962D27" w:rsidRPr="00E74C20" w:rsidRDefault="00522E37" w:rsidP="00AD7245">
      <w:pPr>
        <w:pStyle w:val="CETBodytext"/>
        <w:rPr>
          <w:lang w:val="en-GB"/>
        </w:rPr>
      </w:pPr>
      <w:r w:rsidRPr="00E74C20">
        <w:rPr>
          <w:lang w:val="en-GB"/>
        </w:rPr>
        <w:t>Schulze shear cell measurements gave a mean FFC of</w:t>
      </w:r>
      <w:r w:rsidR="00991E7E" w:rsidRPr="00E74C20">
        <w:rPr>
          <w:lang w:val="en-GB"/>
        </w:rPr>
        <w:t xml:space="preserve"> </w:t>
      </w:r>
      <w:r w:rsidRPr="00E74C20">
        <w:rPr>
          <w:lang w:val="en-GB"/>
        </w:rPr>
        <w:t xml:space="preserve">7.76 ± 3.03 for beech wood and 5.93 ± 0.78 for </w:t>
      </w:r>
      <w:proofErr w:type="spellStart"/>
      <w:r w:rsidRPr="00E74C20">
        <w:rPr>
          <w:lang w:val="en-GB"/>
        </w:rPr>
        <w:t>fir</w:t>
      </w:r>
      <w:proofErr w:type="spellEnd"/>
      <w:r w:rsidRPr="00E74C20">
        <w:rPr>
          <w:lang w:val="en-GB"/>
        </w:rPr>
        <w:t xml:space="preserve"> wood, </w:t>
      </w:r>
      <w:r w:rsidR="006D38BF" w:rsidRPr="00E74C20">
        <w:rPr>
          <w:lang w:val="en-GB"/>
        </w:rPr>
        <w:t xml:space="preserve">indicating </w:t>
      </w:r>
      <w:r w:rsidR="00667553" w:rsidRPr="00E74C20">
        <w:rPr>
          <w:lang w:val="en-GB"/>
        </w:rPr>
        <w:t>an easy flowing</w:t>
      </w:r>
      <w:r w:rsidR="006D38BF" w:rsidRPr="00E74C20">
        <w:rPr>
          <w:lang w:val="en-GB"/>
        </w:rPr>
        <w:t xml:space="preserve"> behaviour</w:t>
      </w:r>
      <w:r w:rsidRPr="00E74C20">
        <w:rPr>
          <w:lang w:val="en-GB"/>
        </w:rPr>
        <w:t xml:space="preserve"> for both materials</w:t>
      </w:r>
      <w:r w:rsidR="006D38BF" w:rsidRPr="00E74C20">
        <w:rPr>
          <w:lang w:val="en-GB"/>
        </w:rPr>
        <w:t>. The similarity of these values suggests that, under low deformation rates and moderate consolidation, quasi-static shear behaviour is governed primarily by frictional contacts and force</w:t>
      </w:r>
      <w:r w:rsidR="00A57E53" w:rsidRPr="00E74C20">
        <w:rPr>
          <w:lang w:val="en-GB"/>
        </w:rPr>
        <w:t xml:space="preserve"> </w:t>
      </w:r>
      <w:r w:rsidR="006D38BF" w:rsidRPr="00E74C20">
        <w:rPr>
          <w:lang w:val="en-GB"/>
        </w:rPr>
        <w:t>chain</w:t>
      </w:r>
      <w:r w:rsidR="00A57E53" w:rsidRPr="00E74C20">
        <w:rPr>
          <w:lang w:val="en-GB"/>
        </w:rPr>
        <w:t xml:space="preserve"> </w:t>
      </w:r>
      <w:r w:rsidR="006D38BF" w:rsidRPr="00E74C20">
        <w:rPr>
          <w:lang w:val="en-GB"/>
        </w:rPr>
        <w:t>packing, rather than by dynamic or inertial effects. Under these conditions, differences in particle morphology between beech and fir sawdust have a limited influence on bulk shear resistance</w:t>
      </w:r>
      <w:r w:rsidR="009F36C2" w:rsidRPr="00E74C20">
        <w:rPr>
          <w:lang w:val="en-GB"/>
        </w:rPr>
        <w:t>.</w:t>
      </w:r>
    </w:p>
    <w:p w14:paraId="39DA34E4" w14:textId="31B131F3" w:rsidR="00AD7245" w:rsidRPr="00E74C20" w:rsidRDefault="00921BCF" w:rsidP="00CB4DD7">
      <w:pPr>
        <w:pStyle w:val="CETHeadingxx"/>
        <w:rPr>
          <w:lang w:val="en-GB"/>
        </w:rPr>
      </w:pPr>
      <w:r w:rsidRPr="00E74C20">
        <w:rPr>
          <w:lang w:val="en-GB"/>
        </w:rPr>
        <w:lastRenderedPageBreak/>
        <w:t>Dense regime</w:t>
      </w:r>
    </w:p>
    <w:p w14:paraId="799CB5AF" w14:textId="22F9F1E7" w:rsidR="007657E1" w:rsidRPr="00E74C20" w:rsidRDefault="001B356F" w:rsidP="00AD7245">
      <w:pPr>
        <w:pStyle w:val="CETBodytext"/>
        <w:rPr>
          <w:lang w:val="en-GB"/>
        </w:rPr>
      </w:pPr>
      <w:r w:rsidRPr="00E74C20">
        <w:rPr>
          <w:lang w:val="en-GB"/>
        </w:rPr>
        <w:fldChar w:fldCharType="begin"/>
      </w:r>
      <w:r w:rsidRPr="00E74C20">
        <w:rPr>
          <w:lang w:val="en-GB"/>
        </w:rPr>
        <w:instrText xml:space="preserve"> REF _Ref225167928 \h </w:instrText>
      </w:r>
      <w:r w:rsidRPr="00E74C20">
        <w:rPr>
          <w:lang w:val="en-GB"/>
        </w:rPr>
      </w:r>
      <w:r w:rsidRPr="00E74C20">
        <w:rPr>
          <w:lang w:val="en-GB"/>
        </w:rPr>
        <w:fldChar w:fldCharType="separate"/>
      </w:r>
      <w:r w:rsidR="004E6FC3" w:rsidRPr="00E74C20">
        <w:t xml:space="preserve">Figure </w:t>
      </w:r>
      <w:r w:rsidR="004E6FC3">
        <w:rPr>
          <w:noProof/>
        </w:rPr>
        <w:t>4</w:t>
      </w:r>
      <w:r w:rsidRPr="00E74C20">
        <w:rPr>
          <w:lang w:val="en-GB"/>
        </w:rPr>
        <w:fldChar w:fldCharType="end"/>
      </w:r>
      <w:r w:rsidR="000F7B97" w:rsidRPr="00E74C20">
        <w:rPr>
          <w:lang w:val="en-GB"/>
        </w:rPr>
        <w:t>(</w:t>
      </w:r>
      <w:r w:rsidR="00991E7E" w:rsidRPr="00E74C20">
        <w:rPr>
          <w:lang w:val="en-GB"/>
        </w:rPr>
        <w:t>c</w:t>
      </w:r>
      <w:r w:rsidR="000F7B97" w:rsidRPr="00E74C20">
        <w:rPr>
          <w:lang w:val="en-GB"/>
        </w:rPr>
        <w:t>)</w:t>
      </w:r>
      <w:r w:rsidR="00FB04EC" w:rsidRPr="00E74C20">
        <w:rPr>
          <w:lang w:val="en-GB"/>
        </w:rPr>
        <w:t xml:space="preserve"> </w:t>
      </w:r>
      <w:r w:rsidR="002916E1" w:rsidRPr="00E74C20">
        <w:rPr>
          <w:lang w:val="en-GB"/>
        </w:rPr>
        <w:t>shows that medium-grain beech wood requires more energy than fir wood in the FT4 VFR test, indicating higher shear resistance, while fir flows more easily under forced shear conditions</w:t>
      </w:r>
      <w:r w:rsidR="001B28DC" w:rsidRPr="00E74C20">
        <w:rPr>
          <w:lang w:val="en-GB"/>
        </w:rPr>
        <w:t>. Conversely, GranuDrum measurements reveal an opposite trend, with fir wood systematically displaying a higher Cohesion Index than beech wood</w:t>
      </w:r>
      <w:r w:rsidR="001B28DC" w:rsidRPr="00E74C20" w:rsidDel="001B28DC">
        <w:rPr>
          <w:lang w:val="en-GB"/>
        </w:rPr>
        <w:t xml:space="preserve"> </w:t>
      </w:r>
      <w:r w:rsidR="00100283" w:rsidRPr="00E74C20">
        <w:rPr>
          <w:lang w:val="en-GB"/>
        </w:rPr>
        <w:t>(</w:t>
      </w:r>
      <w:r w:rsidR="002106E7">
        <w:rPr>
          <w:lang w:val="en-GB"/>
        </w:rPr>
        <w:fldChar w:fldCharType="begin"/>
      </w:r>
      <w:r w:rsidR="002106E7">
        <w:rPr>
          <w:lang w:val="en-GB"/>
        </w:rPr>
        <w:instrText xml:space="preserve"> REF _Ref225167928 \h </w:instrText>
      </w:r>
      <w:r w:rsidR="002106E7">
        <w:rPr>
          <w:lang w:val="en-GB"/>
        </w:rPr>
      </w:r>
      <w:r w:rsidR="002106E7">
        <w:rPr>
          <w:lang w:val="en-GB"/>
        </w:rPr>
        <w:fldChar w:fldCharType="separate"/>
      </w:r>
      <w:r w:rsidR="004E6FC3" w:rsidRPr="00E74C20">
        <w:t xml:space="preserve">Figure </w:t>
      </w:r>
      <w:r w:rsidR="004E6FC3">
        <w:rPr>
          <w:noProof/>
        </w:rPr>
        <w:t>4</w:t>
      </w:r>
      <w:r w:rsidR="002106E7">
        <w:rPr>
          <w:lang w:val="en-GB"/>
        </w:rPr>
        <w:fldChar w:fldCharType="end"/>
      </w:r>
      <w:r w:rsidR="000F7B97" w:rsidRPr="00E74C20">
        <w:rPr>
          <w:lang w:val="en-GB"/>
        </w:rPr>
        <w:t>(b)</w:t>
      </w:r>
      <w:r w:rsidR="00100283" w:rsidRPr="00E74C20">
        <w:rPr>
          <w:lang w:val="en-GB"/>
        </w:rPr>
        <w:t>)</w:t>
      </w:r>
      <w:r w:rsidR="00B47D0F" w:rsidRPr="00E74C20">
        <w:rPr>
          <w:lang w:val="en-GB"/>
        </w:rPr>
        <w:t xml:space="preserve">, </w:t>
      </w:r>
      <w:r w:rsidR="001B28DC" w:rsidRPr="00E74C20">
        <w:rPr>
          <w:lang w:val="en-GB"/>
        </w:rPr>
        <w:t xml:space="preserve">indicative of stronger interparticle interactions under rotating drum conditions. Below 10 rpm, both materials exhibit an intermittent flow regime before reaching a cohesion index independent of rotational speed. Additionally, the dynamic angle of repose increases with rotational speed for both biomasses before reaching a </w:t>
      </w:r>
      <w:r w:rsidR="00E456D8" w:rsidRPr="00E74C20">
        <w:rPr>
          <w:lang w:val="en-GB"/>
        </w:rPr>
        <w:t>constant value</w:t>
      </w:r>
      <w:r w:rsidR="001B28DC" w:rsidRPr="00E74C20">
        <w:rPr>
          <w:lang w:val="en-GB"/>
        </w:rPr>
        <w:t xml:space="preserve"> above 30 rpm</w:t>
      </w:r>
      <w:r w:rsidR="001B28DC" w:rsidRPr="00E74C20" w:rsidDel="001B28DC">
        <w:rPr>
          <w:lang w:val="en-GB"/>
        </w:rPr>
        <w:t xml:space="preserve"> </w:t>
      </w:r>
      <w:r w:rsidR="000A5DED" w:rsidRPr="00E74C20">
        <w:rPr>
          <w:lang w:val="en-GB"/>
        </w:rPr>
        <w:t>(</w:t>
      </w:r>
      <w:r w:rsidRPr="00E74C20">
        <w:rPr>
          <w:lang w:val="en-GB"/>
        </w:rPr>
        <w:fldChar w:fldCharType="begin"/>
      </w:r>
      <w:r w:rsidRPr="00E74C20">
        <w:rPr>
          <w:lang w:val="en-GB"/>
        </w:rPr>
        <w:instrText xml:space="preserve"> REF _Ref225167928 \h </w:instrText>
      </w:r>
      <w:r w:rsidRPr="00E74C20">
        <w:rPr>
          <w:lang w:val="en-GB"/>
        </w:rPr>
      </w:r>
      <w:r w:rsidRPr="00E74C20">
        <w:rPr>
          <w:lang w:val="en-GB"/>
        </w:rPr>
        <w:fldChar w:fldCharType="separate"/>
      </w:r>
      <w:r w:rsidR="004E6FC3" w:rsidRPr="00E74C20">
        <w:t xml:space="preserve">Figure </w:t>
      </w:r>
      <w:r w:rsidR="004E6FC3">
        <w:rPr>
          <w:noProof/>
        </w:rPr>
        <w:t>4</w:t>
      </w:r>
      <w:r w:rsidRPr="00E74C20">
        <w:rPr>
          <w:lang w:val="en-GB"/>
        </w:rPr>
        <w:fldChar w:fldCharType="end"/>
      </w:r>
      <w:r w:rsidR="000F7B97" w:rsidRPr="00E74C20">
        <w:rPr>
          <w:lang w:val="en-GB"/>
        </w:rPr>
        <w:t>(</w:t>
      </w:r>
      <w:r w:rsidR="00991E7E" w:rsidRPr="00E74C20">
        <w:rPr>
          <w:lang w:val="en-GB"/>
        </w:rPr>
        <w:t>a</w:t>
      </w:r>
      <w:r w:rsidR="000F7B97" w:rsidRPr="00E74C20">
        <w:rPr>
          <w:lang w:val="en-GB"/>
        </w:rPr>
        <w:t>)</w:t>
      </w:r>
      <w:r w:rsidR="000A5DED" w:rsidRPr="00E74C20">
        <w:rPr>
          <w:lang w:val="en-GB"/>
        </w:rPr>
        <w:t>)</w:t>
      </w:r>
      <w:r w:rsidR="00453B94" w:rsidRPr="00E74C20">
        <w:rPr>
          <w:lang w:val="en-GB"/>
        </w:rPr>
        <w:t>.</w:t>
      </w:r>
      <w:r w:rsidR="001B28DC" w:rsidRPr="00E74C20">
        <w:rPr>
          <w:lang w:val="en-GB"/>
        </w:rPr>
        <w:t xml:space="preserve"> The absence of hysteresis between speed-up and speed-down tests </w:t>
      </w:r>
      <w:r w:rsidRPr="00E74C20">
        <w:rPr>
          <w:lang w:val="en-GB"/>
        </w:rPr>
        <w:t>indicates</w:t>
      </w:r>
      <w:r w:rsidR="001B28DC" w:rsidRPr="00E74C20">
        <w:rPr>
          <w:lang w:val="en-GB"/>
        </w:rPr>
        <w:t xml:space="preserve"> reversible flow behaviour, with no structural rearrangement.</w:t>
      </w:r>
      <w:r w:rsidR="002916E1" w:rsidRPr="00E74C20">
        <w:rPr>
          <w:lang w:val="en-GB"/>
        </w:rPr>
        <w:t xml:space="preserve"> The compact, fragmented morphology of beech particles increases packing fraction, enhancing interlocking and frictional resistance under shear, which raises energy consumption in the FT4 VFR test. In contrast, the elongated structure of fir particles reduces packing density and promotes easier particle rearrangement, resulting in lower energy requirements in the low-stress tumbling regime of the GranuDrum. These observations emphasize the need for detailed analysis of internal flow dynamics, which can be addressed using PIV.</w:t>
      </w:r>
    </w:p>
    <w:p w14:paraId="26D71E0B" w14:textId="6A50F569" w:rsidR="001B356F" w:rsidRPr="00E74C20" w:rsidRDefault="001A15F4" w:rsidP="001B356F">
      <w:pPr>
        <w:pStyle w:val="CETBodytext"/>
        <w:keepNext/>
        <w:rPr>
          <w:lang w:val="en-GB"/>
        </w:rPr>
      </w:pPr>
      <w:r w:rsidRPr="001A15F4">
        <w:drawing>
          <wp:inline distT="0" distB="0" distL="0" distR="0" wp14:anchorId="58D132E4" wp14:editId="7619FC92">
            <wp:extent cx="5360648" cy="30607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822" cy="3064796"/>
                    </a:xfrm>
                    <a:prstGeom prst="rect">
                      <a:avLst/>
                    </a:prstGeom>
                    <a:noFill/>
                    <a:ln>
                      <a:noFill/>
                    </a:ln>
                  </pic:spPr>
                </pic:pic>
              </a:graphicData>
            </a:graphic>
          </wp:inline>
        </w:drawing>
      </w:r>
    </w:p>
    <w:p w14:paraId="007327EE" w14:textId="1F51519C" w:rsidR="006667A5" w:rsidRPr="00E74C20" w:rsidRDefault="001B356F" w:rsidP="00A621EC">
      <w:pPr>
        <w:pStyle w:val="CETCaption"/>
      </w:pPr>
      <w:bookmarkStart w:id="4" w:name="_Ref225167928"/>
      <w:r w:rsidRPr="00E74C20">
        <w:t xml:space="preserve">Figure </w:t>
      </w:r>
      <w:r w:rsidRPr="00E74C20">
        <w:fldChar w:fldCharType="begin"/>
      </w:r>
      <w:r w:rsidRPr="00E74C20">
        <w:instrText xml:space="preserve"> SEQ Figure \* ARABIC </w:instrText>
      </w:r>
      <w:r w:rsidRPr="00E74C20">
        <w:fldChar w:fldCharType="separate"/>
      </w:r>
      <w:r w:rsidR="004E6FC3">
        <w:rPr>
          <w:noProof/>
        </w:rPr>
        <w:t>4</w:t>
      </w:r>
      <w:r w:rsidRPr="00E74C20">
        <w:fldChar w:fldCharType="end"/>
      </w:r>
      <w:bookmarkEnd w:id="4"/>
      <w:r w:rsidRPr="00E74C20">
        <w:t xml:space="preserve">: Medium-grain beech and fir wood results: (a) </w:t>
      </w:r>
      <w:r w:rsidR="00991E7E" w:rsidRPr="00E74C20">
        <w:t>dynamic angle</w:t>
      </w:r>
      <w:r w:rsidRPr="00E74C20">
        <w:t xml:space="preserve">, (b) cohesion index, (c) </w:t>
      </w:r>
      <w:r w:rsidR="00991E7E" w:rsidRPr="00E74C20">
        <w:t>FT4 VFR and (d) PIV analysis with beech wood in the FT4 on the left and fir wood in the Granudrum on the right</w:t>
      </w:r>
    </w:p>
    <w:p w14:paraId="73D95806" w14:textId="3C260B3D" w:rsidR="00921BCF" w:rsidRPr="00E74C20" w:rsidRDefault="00921BCF" w:rsidP="00CB4DD7">
      <w:pPr>
        <w:pStyle w:val="CETHeadingxx"/>
        <w:rPr>
          <w:lang w:val="en-GB"/>
        </w:rPr>
      </w:pPr>
      <w:r w:rsidRPr="00E74C20">
        <w:rPr>
          <w:lang w:val="en-GB"/>
        </w:rPr>
        <w:t>Velocity Field Analysis</w:t>
      </w:r>
    </w:p>
    <w:p w14:paraId="1F1B9114" w14:textId="3BC1E9AB" w:rsidR="001B356F" w:rsidRPr="00E74C20" w:rsidRDefault="003A44F2" w:rsidP="002251FB">
      <w:pPr>
        <w:pStyle w:val="CETBodytext"/>
        <w:rPr>
          <w:lang w:val="en-GB"/>
        </w:rPr>
      </w:pPr>
      <w:r w:rsidRPr="00E74C20">
        <w:rPr>
          <w:lang w:val="en-GB"/>
        </w:rPr>
        <w:t xml:space="preserve">PIV </w:t>
      </w:r>
      <w:r w:rsidR="009F36C2" w:rsidRPr="00E74C20">
        <w:rPr>
          <w:lang w:val="en-GB"/>
        </w:rPr>
        <w:t xml:space="preserve">analysis </w:t>
      </w:r>
      <w:r w:rsidRPr="00E74C20">
        <w:rPr>
          <w:lang w:val="en-GB"/>
        </w:rPr>
        <w:t>(</w:t>
      </w:r>
      <w:r w:rsidR="00991E7E" w:rsidRPr="00E74C20">
        <w:rPr>
          <w:lang w:val="en-GB"/>
        </w:rPr>
        <w:fldChar w:fldCharType="begin"/>
      </w:r>
      <w:r w:rsidR="00991E7E" w:rsidRPr="00E74C20">
        <w:rPr>
          <w:lang w:val="en-GB"/>
        </w:rPr>
        <w:instrText xml:space="preserve"> REF _Ref225167928 \h </w:instrText>
      </w:r>
      <w:r w:rsidR="00991E7E" w:rsidRPr="00E74C20">
        <w:rPr>
          <w:lang w:val="en-GB"/>
        </w:rPr>
      </w:r>
      <w:r w:rsidR="00991E7E" w:rsidRPr="00E74C20">
        <w:rPr>
          <w:lang w:val="en-GB"/>
        </w:rPr>
        <w:fldChar w:fldCharType="separate"/>
      </w:r>
      <w:r w:rsidR="004E6FC3" w:rsidRPr="00E74C20">
        <w:t xml:space="preserve">Figure </w:t>
      </w:r>
      <w:r w:rsidR="004E6FC3">
        <w:rPr>
          <w:noProof/>
        </w:rPr>
        <w:t>4</w:t>
      </w:r>
      <w:r w:rsidR="00991E7E" w:rsidRPr="00E74C20">
        <w:rPr>
          <w:lang w:val="en-GB"/>
        </w:rPr>
        <w:fldChar w:fldCharType="end"/>
      </w:r>
      <w:r w:rsidR="00991E7E" w:rsidRPr="00E74C20">
        <w:rPr>
          <w:lang w:val="en-GB"/>
        </w:rPr>
        <w:t>(d)</w:t>
      </w:r>
      <w:r w:rsidRPr="00E74C20">
        <w:rPr>
          <w:lang w:val="en-GB"/>
        </w:rPr>
        <w:t>)</w:t>
      </w:r>
      <w:r w:rsidR="00F35F19" w:rsidRPr="00E74C20">
        <w:rPr>
          <w:lang w:val="en-GB"/>
        </w:rPr>
        <w:t xml:space="preserve"> </w:t>
      </w:r>
      <w:r w:rsidR="00E456D8" w:rsidRPr="00E74C20">
        <w:rPr>
          <w:lang w:val="en-GB"/>
        </w:rPr>
        <w:t>was performed in both experimental configurations to characterize the internal kinematics of the powders under their respective operating conditions. In the FT4 VFR test, conducted at a blade tip speed of 100 mm·s</w:t>
      </w:r>
      <w:r w:rsidR="00081B86" w:rsidRPr="00E74C20">
        <w:rPr>
          <w:rFonts w:ascii="Cambria Math" w:hAnsi="Cambria Math" w:cs="Cambria Math"/>
          <w:vertAlign w:val="superscript"/>
          <w:lang w:val="en-GB"/>
        </w:rPr>
        <w:t>-1</w:t>
      </w:r>
      <w:r w:rsidR="00081B86" w:rsidRPr="00E74C20">
        <w:rPr>
          <w:lang w:val="en-GB"/>
        </w:rPr>
        <w:t xml:space="preserve">, </w:t>
      </w:r>
      <w:r w:rsidR="00E456D8" w:rsidRPr="00E74C20">
        <w:rPr>
          <w:lang w:val="en-GB"/>
        </w:rPr>
        <w:t xml:space="preserve">velocity fields were measured in beech sawdust, revealing spatially heterogeneous particle motion with higher velocities in the </w:t>
      </w:r>
      <w:r w:rsidR="0078195E" w:rsidRPr="00E74C20">
        <w:rPr>
          <w:lang w:val="en-GB"/>
        </w:rPr>
        <w:t>surrounding area</w:t>
      </w:r>
      <w:r w:rsidR="00E456D8" w:rsidRPr="00E74C20">
        <w:rPr>
          <w:lang w:val="en-GB"/>
        </w:rPr>
        <w:t xml:space="preserve"> of the rotating blade and a rapid decay away from this region. In the GranuDrum experiments, performed at a rotational speed of 10 rpm, velocity fields were obtained for fir sawdust, showing particle motion predominantly localized near the free surface, while the bulk below remained weakly mobilized</w:t>
      </w:r>
      <w:r w:rsidR="009B65CF" w:rsidRPr="00E74C20">
        <w:rPr>
          <w:lang w:val="en-GB"/>
        </w:rPr>
        <w:t xml:space="preserve">. </w:t>
      </w:r>
      <w:r w:rsidR="00E456D8" w:rsidRPr="00E74C20">
        <w:rPr>
          <w:lang w:val="en-GB"/>
        </w:rPr>
        <w:t xml:space="preserve">Beyond qualitative visualization of the velocity fields, PIV data can be further exploited to perform more detailed analyses, such as identifying shear localization zones, extracting velocity vectors, or decomposing the flow into tangential </w:t>
      </w:r>
      <w:r w:rsidR="00373D29" w:rsidRPr="00E74C20">
        <w:rPr>
          <w:lang w:val="en-GB"/>
        </w:rPr>
        <w:t>(</w:t>
      </w:r>
      <w:r w:rsidR="00373D29" w:rsidRPr="00E74C20">
        <w:rPr>
          <w:rFonts w:ascii="Cambria Math" w:hAnsi="Cambria Math" w:cs="Cambria Math"/>
          <w:lang w:val="en-GB"/>
        </w:rPr>
        <w:t>𝑢</w:t>
      </w:r>
      <w:r w:rsidR="00373D29" w:rsidRPr="00E74C20">
        <w:rPr>
          <w:rFonts w:ascii="Cambria Math" w:hAnsi="Cambria Math" w:cs="Cambria Math"/>
          <w:vertAlign w:val="subscript"/>
          <w:lang w:val="en-GB"/>
        </w:rPr>
        <w:t>𝜃</w:t>
      </w:r>
      <w:r w:rsidR="00373D29" w:rsidRPr="00E74C20">
        <w:rPr>
          <w:lang w:val="en-GB"/>
        </w:rPr>
        <w:t>) and axial (</w:t>
      </w:r>
      <w:r w:rsidR="00373D29" w:rsidRPr="00E74C20">
        <w:rPr>
          <w:rFonts w:ascii="Cambria Math" w:hAnsi="Cambria Math" w:cs="Cambria Math"/>
          <w:lang w:val="en-GB"/>
        </w:rPr>
        <w:t>𝑢</w:t>
      </w:r>
      <w:r w:rsidR="00373D29" w:rsidRPr="00E74C20">
        <w:rPr>
          <w:rFonts w:ascii="Cambria Math" w:hAnsi="Cambria Math" w:cs="Cambria Math"/>
          <w:vertAlign w:val="subscript"/>
          <w:lang w:val="en-GB"/>
        </w:rPr>
        <w:t>𝑧</w:t>
      </w:r>
      <w:r w:rsidR="00373D29" w:rsidRPr="00E74C20">
        <w:rPr>
          <w:lang w:val="en-GB"/>
        </w:rPr>
        <w:t xml:space="preserve">) </w:t>
      </w:r>
      <w:r w:rsidR="00E456D8" w:rsidRPr="00E74C20">
        <w:rPr>
          <w:lang w:val="en-GB"/>
        </w:rPr>
        <w:t xml:space="preserve">components. </w:t>
      </w:r>
      <w:r w:rsidR="0078195E" w:rsidRPr="00E74C20">
        <w:rPr>
          <w:lang w:val="en-GB"/>
        </w:rPr>
        <w:t>These analyses would allow a direct correlation between particle morphology, local flow kinematics and energy dissipation in each device, which is the focus of ongoing work</w:t>
      </w:r>
      <w:r w:rsidR="009F36C2" w:rsidRPr="00E74C20">
        <w:rPr>
          <w:lang w:val="en-GB"/>
        </w:rPr>
        <w:t>.</w:t>
      </w:r>
    </w:p>
    <w:p w14:paraId="68D26B83" w14:textId="541FA70E" w:rsidR="00600535" w:rsidRPr="00E74C20" w:rsidRDefault="00600535" w:rsidP="00600535">
      <w:pPr>
        <w:pStyle w:val="CETHeading1"/>
        <w:rPr>
          <w:lang w:val="en-GB"/>
        </w:rPr>
      </w:pPr>
      <w:r w:rsidRPr="00E74C20">
        <w:rPr>
          <w:lang w:val="en-GB"/>
        </w:rPr>
        <w:t>Conclusions</w:t>
      </w:r>
    </w:p>
    <w:p w14:paraId="5D58A2A5" w14:textId="50B48735" w:rsidR="00086274" w:rsidRPr="00E74C20" w:rsidRDefault="00962D27" w:rsidP="00086274">
      <w:pPr>
        <w:pStyle w:val="CETBodytext"/>
        <w:rPr>
          <w:lang w:val="en-GB"/>
        </w:rPr>
      </w:pPr>
      <w:r w:rsidRPr="00E74C20">
        <w:rPr>
          <w:lang w:val="en-GB"/>
        </w:rPr>
        <w:t>T</w:t>
      </w:r>
      <w:r w:rsidR="00086274" w:rsidRPr="00E74C20">
        <w:rPr>
          <w:lang w:val="en-GB"/>
        </w:rPr>
        <w:t>his study provides a comprehensive analysis of lignocellulosic biomass flow, combining physical, rheological, and kinematic characterizations. Beech and fir sawdust, despite similar true densities, differ in particle morphology and surface texture, which significantly influence bulk behaviour. Rheological measurements indicate both materials exhibit intermittent, transitional flow (</w:t>
      </w:r>
      <w:r w:rsidR="00E37D8F" w:rsidRPr="00E74C20">
        <w:rPr>
          <w:lang w:val="en-GB"/>
        </w:rPr>
        <w:t>5&lt;</w:t>
      </w:r>
      <w:r w:rsidR="00086274" w:rsidRPr="00E74C20">
        <w:rPr>
          <w:lang w:val="en-GB"/>
        </w:rPr>
        <w:t>FFC</w:t>
      </w:r>
      <w:r w:rsidR="00E37D8F" w:rsidRPr="00E74C20">
        <w:rPr>
          <w:lang w:val="en-GB"/>
        </w:rPr>
        <w:t>&lt;10</w:t>
      </w:r>
      <w:r w:rsidR="00086274" w:rsidRPr="00E74C20">
        <w:rPr>
          <w:lang w:val="en-GB"/>
        </w:rPr>
        <w:t xml:space="preserve">), with beech wood showing higher flow </w:t>
      </w:r>
      <w:r w:rsidR="00086274" w:rsidRPr="00E74C20">
        <w:rPr>
          <w:lang w:val="en-GB"/>
        </w:rPr>
        <w:lastRenderedPageBreak/>
        <w:t>resistance and cohesion, and fir wood displaying greater deformability and flowability. Particle Image Velocimetry further revealed highly heterogeneous velocity fields, with rapid motion near moving boundaries and quasi-static regions in the bulk. These findings demonstrate that particle-scale properties, and interparticle forces, rather than intrinsic density alone, govern biomass handling. The integration of such detailed analyses provides essential insights for predicting, controlling and optimizing biomass flow in industrial processes, supporting more efficient and reliable lignocellulosic valorisation.</w:t>
      </w:r>
    </w:p>
    <w:p w14:paraId="459D05E6" w14:textId="664A205A" w:rsidR="00600535" w:rsidRPr="00E74C20" w:rsidRDefault="00600535" w:rsidP="00600535">
      <w:pPr>
        <w:pStyle w:val="CETAcknowledgementstitle"/>
      </w:pPr>
      <w:r w:rsidRPr="00E74C20">
        <w:t>Acknowledgments</w:t>
      </w:r>
    </w:p>
    <w:p w14:paraId="44A7B4D0" w14:textId="224B8894" w:rsidR="00176737" w:rsidRPr="00E74C20" w:rsidRDefault="008730CC" w:rsidP="002718E0">
      <w:pPr>
        <w:pStyle w:val="CETBodytext"/>
        <w:rPr>
          <w:lang w:val="en-GB"/>
        </w:rPr>
      </w:pPr>
      <w:r w:rsidRPr="00E74C20">
        <w:rPr>
          <w:lang w:val="en-GB"/>
        </w:rPr>
        <w:t>This work was funded by the French Ministry of Higher Education and Research. The author warmly thanks the technical staff who contributed to the success of the experimental work, particularly Matthieu Proust</w:t>
      </w:r>
      <w:r w:rsidR="00030905" w:rsidRPr="00E74C20">
        <w:rPr>
          <w:lang w:val="en-GB"/>
        </w:rPr>
        <w:t>,</w:t>
      </w:r>
      <w:r w:rsidRPr="00E74C20">
        <w:rPr>
          <w:lang w:val="en-GB"/>
        </w:rPr>
        <w:t xml:space="preserve"> Michael Lefebvre</w:t>
      </w:r>
      <w:r w:rsidR="00C128A9" w:rsidRPr="00E74C20">
        <w:rPr>
          <w:lang w:val="en-GB"/>
        </w:rPr>
        <w:t xml:space="preserve"> </w:t>
      </w:r>
      <w:r w:rsidR="00030905" w:rsidRPr="00E74C20">
        <w:rPr>
          <w:lang w:val="en-GB"/>
        </w:rPr>
        <w:t xml:space="preserve">and Céline Thomain </w:t>
      </w:r>
      <w:r w:rsidR="00C128A9" w:rsidRPr="00E74C20">
        <w:rPr>
          <w:lang w:val="en-GB"/>
        </w:rPr>
        <w:t xml:space="preserve">from </w:t>
      </w:r>
      <w:r w:rsidR="005E4AB0" w:rsidRPr="00E74C20">
        <w:rPr>
          <w:lang w:val="en-GB"/>
        </w:rPr>
        <w:t xml:space="preserve">the </w:t>
      </w:r>
      <w:r w:rsidR="00C128A9" w:rsidRPr="00E74C20">
        <w:rPr>
          <w:lang w:val="en-GB"/>
        </w:rPr>
        <w:t>TIMR laboratory of UTC</w:t>
      </w:r>
      <w:r w:rsidR="00743313" w:rsidRPr="00E74C20">
        <w:rPr>
          <w:lang w:val="en-GB"/>
        </w:rPr>
        <w:t>,</w:t>
      </w:r>
      <w:r w:rsidRPr="00E74C20">
        <w:rPr>
          <w:lang w:val="en-GB"/>
        </w:rPr>
        <w:t xml:space="preserve"> for their valuable assistance and support.</w:t>
      </w:r>
    </w:p>
    <w:p w14:paraId="19C4FC68" w14:textId="4C1B0BFD" w:rsidR="004628D2" w:rsidRPr="00E74C20" w:rsidRDefault="00600535" w:rsidP="00392C32">
      <w:pPr>
        <w:pStyle w:val="CETReference"/>
      </w:pPr>
      <w:r w:rsidRPr="00E74C20">
        <w:t>References</w:t>
      </w:r>
    </w:p>
    <w:bookmarkStart w:id="5" w:name="_Hlk225252229"/>
    <w:p w14:paraId="5073C810" w14:textId="77777777" w:rsidR="00B85181" w:rsidRPr="00E74C20" w:rsidRDefault="00B85181" w:rsidP="00B85181">
      <w:pPr>
        <w:pStyle w:val="CETReferencetext"/>
      </w:pPr>
      <w:r w:rsidRPr="00E74C20">
        <w:fldChar w:fldCharType="begin"/>
      </w:r>
      <w:r w:rsidRPr="00E74C20">
        <w:instrText xml:space="preserve"> ADDIN ZOTERO_BIBL {"uncited":[],"omitted":[],"custom":[]} CSL_BIBLIOGRAPHY </w:instrText>
      </w:r>
      <w:r w:rsidRPr="00E74C20">
        <w:fldChar w:fldCharType="separate"/>
      </w:r>
      <w:r w:rsidRPr="00E74C20">
        <w:t>Adegoke, K. A., Adesina, O. O., Okon-Akan, O. A., Adegoke, O. R., Olabintan, A. B., Ajala, O. A., Olagoke, H., Maxakato, N. W., &amp; Bello, O. S., 2022, Sawdust-biomass based materials for sequestration of organic and inorganic pollutants and potential for engineering applications. Current Research in Green and Sustainable Chemistry, 5, 100274.</w:t>
      </w:r>
    </w:p>
    <w:p w14:paraId="04CEEEC6" w14:textId="77777777" w:rsidR="00B85181" w:rsidRPr="00E74C20" w:rsidRDefault="00B85181" w:rsidP="00B85181">
      <w:pPr>
        <w:pStyle w:val="CETReferencetext"/>
      </w:pPr>
      <w:r w:rsidRPr="00E74C20">
        <w:t>Barletta, D., Berry, R. J., Larsson, S. H., Lestander, T. A., Poletto, M., &amp; Ramírez-Gómez, Á., 2015, Assessment on bulk solids best practice techniques for flow characterization and storage/handling equipment design for biomass materials of different classes. Fuel Processing Technology, 138, 540–554.</w:t>
      </w:r>
    </w:p>
    <w:p w14:paraId="11AAD70F" w14:textId="77777777" w:rsidR="00B85181" w:rsidRPr="00E74C20" w:rsidRDefault="00B85181" w:rsidP="00B85181">
      <w:pPr>
        <w:pStyle w:val="CETReferencetext"/>
      </w:pPr>
      <w:r w:rsidRPr="00E74C20">
        <w:t>Cheng, Z., Leal, J. H., Hartford, C. E., Carson, J. W., Donohoe, B. S., Craig, D. A., Xia, Y., Daniel, R. C., Ajayi, O. O., &amp; Semelsberger, T. A., 2021, Flow behavior characterization of biomass Feedstocks. Powder Technology, 387, 156–180.</w:t>
      </w:r>
    </w:p>
    <w:p w14:paraId="6209059B" w14:textId="77777777" w:rsidR="00B85181" w:rsidRPr="00E74C20" w:rsidRDefault="00B85181" w:rsidP="00B85181">
      <w:pPr>
        <w:pStyle w:val="CETReferencetext"/>
      </w:pPr>
      <w:r w:rsidRPr="00E74C20">
        <w:t>Clyton, J., 2019, An Introduction to Powder Characterization. In Handbook of Pharmaceutical Wet Granulation (pp. 569–613). Academic Press, Cambridge, Massachusetts, USA.</w:t>
      </w:r>
    </w:p>
    <w:p w14:paraId="32838B18" w14:textId="77777777" w:rsidR="00B85181" w:rsidRPr="00E74C20" w:rsidRDefault="00B85181" w:rsidP="00B85181">
      <w:pPr>
        <w:pStyle w:val="CETReferencetext"/>
      </w:pPr>
      <w:r w:rsidRPr="00E74C20">
        <w:t>Hamaker, H. C., 1937, The London—Van der Waals attraction between spherical particles. Physica, 4(10), 1058–1072.</w:t>
      </w:r>
    </w:p>
    <w:p w14:paraId="7B7BE2B8" w14:textId="77777777" w:rsidR="00B85181" w:rsidRPr="00E74C20" w:rsidRDefault="00B85181" w:rsidP="00B85181">
      <w:pPr>
        <w:pStyle w:val="CETReferencetext"/>
      </w:pPr>
      <w:r w:rsidRPr="00E74C20">
        <w:t>Hammoud, D., 2015, Synthesis and characterization of mixed copper zinc aluminum oxides derived from hydrotalcite type precursors application to the biomethanol steam reforming reaction, l’université du littoral, côte d’opale, France. (in French)</w:t>
      </w:r>
    </w:p>
    <w:p w14:paraId="5AB5A63A" w14:textId="77777777" w:rsidR="00B85181" w:rsidRPr="00E74C20" w:rsidRDefault="00B85181" w:rsidP="00B85181">
      <w:pPr>
        <w:pStyle w:val="CETReferencetext"/>
      </w:pPr>
      <w:r w:rsidRPr="00E74C20">
        <w:t>Hernandez-Shek, M. A., 2020, Development and validation of methodologies and operational tools for the rheological characterization of biomass applied to solid state anaerobic digestion processes and the design of 0.5 m3 reactors, Université de Technologie de Compiègne, France. (in French)</w:t>
      </w:r>
    </w:p>
    <w:p w14:paraId="05B6E2CE" w14:textId="77777777" w:rsidR="00B85181" w:rsidRPr="00E74C20" w:rsidRDefault="00B85181" w:rsidP="00B85181">
      <w:pPr>
        <w:pStyle w:val="CETReferencetext"/>
      </w:pPr>
      <w:r w:rsidRPr="00E74C20">
        <w:t>Ilic, D., Williams, K., Farnish, R., Webb, E., &amp; Liu, G., 2018, On the challenges facing the handling of solid biomass feedstocks. Biofuels, Bioproducts and Biorefining, 12(2), 187–202.</w:t>
      </w:r>
    </w:p>
    <w:p w14:paraId="5427A33F" w14:textId="77777777" w:rsidR="00B85181" w:rsidRPr="00E74C20" w:rsidRDefault="00B85181" w:rsidP="00B85181">
      <w:pPr>
        <w:pStyle w:val="CETReferencetext"/>
      </w:pPr>
      <w:r w:rsidRPr="00E74C20">
        <w:t>Israelachvili, J. N., 2011, Intermolecular and Surface Forces, Academic Press, Cambridge, Massachusetts, USA.</w:t>
      </w:r>
    </w:p>
    <w:p w14:paraId="0FAE7A63" w14:textId="77777777" w:rsidR="00B85181" w:rsidRPr="00E74C20" w:rsidRDefault="00B85181" w:rsidP="00B85181">
      <w:pPr>
        <w:pStyle w:val="CETReferencetext"/>
      </w:pPr>
      <w:r w:rsidRPr="00E74C20">
        <w:t>Jang, E.-S., Yuk, J.-H., &amp; Kang, C.-W., 2020, An experimental study on change of gas permeability depending on pore structures in three species (hinoki, Douglas fir, and hemlock) of softwood. Journal of Wood Science, 66(1), 78.</w:t>
      </w:r>
    </w:p>
    <w:p w14:paraId="3399DAEB" w14:textId="77777777" w:rsidR="00B85181" w:rsidRPr="00E74C20" w:rsidRDefault="00B85181" w:rsidP="00B85181">
      <w:pPr>
        <w:pStyle w:val="CETReferencetext"/>
      </w:pPr>
      <w:r w:rsidRPr="00E74C20">
        <w:t>Klapetek, P., 2013, Force and Mechanical Properties. In Quantitative Data Processing in Scanning Probe Microscopy, William Andrew, Norwich, New York, USA (pp. 127–172). Elsevier.</w:t>
      </w:r>
    </w:p>
    <w:p w14:paraId="5B06605C" w14:textId="3099FB67" w:rsidR="00B85181" w:rsidRPr="00E74C20" w:rsidRDefault="00B85181" w:rsidP="00A051C8">
      <w:pPr>
        <w:pStyle w:val="CETReferencetext"/>
      </w:pPr>
      <w:r w:rsidRPr="00E74C20">
        <w:t>Mellmann, J., Hoffmann, T., &amp; Fürll, C., 2013, Flow properties of crushed grains as a function of the particle shape. Powder Technology, 249, 269–273.</w:t>
      </w:r>
    </w:p>
    <w:p w14:paraId="1EAB9B64" w14:textId="77777777" w:rsidR="00B85181" w:rsidRPr="00E74C20" w:rsidRDefault="00B85181" w:rsidP="00B85181">
      <w:pPr>
        <w:pStyle w:val="CETReferencetext"/>
      </w:pPr>
      <w:r w:rsidRPr="00E74C20">
        <w:t>Neveu, A., Francqui, F., &amp; Lumay, G., 2022, Measuring powder flow properties in a rotating drum. Measurement, 200, 111548.</w:t>
      </w:r>
    </w:p>
    <w:p w14:paraId="3875095F" w14:textId="77777777" w:rsidR="00B85181" w:rsidRPr="00E74C20" w:rsidRDefault="00B85181" w:rsidP="00B85181">
      <w:pPr>
        <w:pStyle w:val="CETReferencetext"/>
      </w:pPr>
      <w:r w:rsidRPr="00E74C20">
        <w:t>Plötze, M., &amp; Niemz, P., 2011, Porosity and pore size distribution of different wood types as determined by mercury intrusion porosimetry. European Journal of Wood and Wood Products, 69(4), 649–657.</w:t>
      </w:r>
    </w:p>
    <w:p w14:paraId="7CF54445" w14:textId="77777777" w:rsidR="00B85181" w:rsidRPr="00E74C20" w:rsidRDefault="00B85181" w:rsidP="00B85181">
      <w:pPr>
        <w:pStyle w:val="CETReferencetext"/>
      </w:pPr>
      <w:r w:rsidRPr="00E74C20">
        <w:t xml:space="preserve">Ramírez-Gómez, Á., 2016, Research needs on biomass characterization to prevent handling problems and hazards in industry: Particulate Science and Technology: Vol 34, No 4. </w:t>
      </w:r>
    </w:p>
    <w:p w14:paraId="68490533" w14:textId="77777777" w:rsidR="00B85181" w:rsidRPr="00E74C20" w:rsidRDefault="00B85181" w:rsidP="00B85181">
      <w:pPr>
        <w:pStyle w:val="CETReferencetext"/>
      </w:pPr>
      <w:r w:rsidRPr="00E74C20">
        <w:t>Rhodes, M. J., &amp; Seville, J., 2024, Introduction to Particle Technology, 3rd Edition, New Jersey, USA.</w:t>
      </w:r>
    </w:p>
    <w:p w14:paraId="5459525D" w14:textId="600EAA34" w:rsidR="00B85181" w:rsidRPr="00E74C20" w:rsidRDefault="00B85181" w:rsidP="00B85181">
      <w:pPr>
        <w:pStyle w:val="CETReferencetext"/>
      </w:pPr>
      <w:r w:rsidRPr="00E74C20">
        <w:t>Seville, J. P. K., Willett, C. D., &amp; Knight, P. C., 2000, Interparticle forces in fluidisation: A review. Powder Technology, Neptis Symposium on Fluidization- Present and Future, 113(3), 261–268.</w:t>
      </w:r>
    </w:p>
    <w:p w14:paraId="2DA46396" w14:textId="10E352F4" w:rsidR="00B85181" w:rsidRPr="00E74C20" w:rsidRDefault="00B85181" w:rsidP="00B85181">
      <w:pPr>
        <w:pStyle w:val="CETReferencetext"/>
      </w:pPr>
      <w:r w:rsidRPr="00E74C20">
        <w:t>Stasiak, M., Molenda, M., Bańda, M., &amp; Gondek, E., 2015, Mechanical properties of sawdust and woodchips. Fuel, 159, 900–908.</w:t>
      </w:r>
    </w:p>
    <w:p w14:paraId="426C02D7" w14:textId="1E87E568" w:rsidR="00A014EC" w:rsidRPr="00E74C20" w:rsidRDefault="00B85181" w:rsidP="00B85181">
      <w:pPr>
        <w:pStyle w:val="CETReferencetext"/>
      </w:pPr>
      <w:r w:rsidRPr="00E74C20">
        <w:t>Tran, P. N., Ray, S., Lemma, L., Li, Y., Sweeney, R., Baskaran, A., Dogic, Z., Hong, P., &amp; Hagan, M. F., 2024, Deep-learning Optical Flow Outperforms PIV in Obtaining Velocity Fields from Active Nematics (arXiv:2404.15497). arXiv.</w:t>
      </w:r>
      <w:r w:rsidRPr="00E74C20">
        <w:fldChar w:fldCharType="end"/>
      </w:r>
      <w:bookmarkEnd w:id="5"/>
    </w:p>
    <w:sectPr w:rsidR="00A014EC" w:rsidRPr="00E74C20"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7D999" w14:textId="77777777" w:rsidR="005D5434" w:rsidRDefault="005D5434" w:rsidP="004F5E36">
      <w:r>
        <w:separator/>
      </w:r>
    </w:p>
  </w:endnote>
  <w:endnote w:type="continuationSeparator" w:id="0">
    <w:p w14:paraId="004DA7CB" w14:textId="77777777" w:rsidR="005D5434" w:rsidRDefault="005D543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6ADF" w14:textId="77777777" w:rsidR="005D5434" w:rsidRDefault="005D5434" w:rsidP="004F5E36">
      <w:r>
        <w:separator/>
      </w:r>
    </w:p>
  </w:footnote>
  <w:footnote w:type="continuationSeparator" w:id="0">
    <w:p w14:paraId="23B60D96" w14:textId="77777777" w:rsidR="005D5434" w:rsidRDefault="005D543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1080B73"/>
    <w:multiLevelType w:val="hybridMultilevel"/>
    <w:tmpl w:val="C24EC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7142F2"/>
    <w:multiLevelType w:val="hybridMultilevel"/>
    <w:tmpl w:val="78EA433A"/>
    <w:lvl w:ilvl="0" w:tplc="D684085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5A355C"/>
    <w:multiLevelType w:val="hybridMultilevel"/>
    <w:tmpl w:val="87C2A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7E5E16"/>
    <w:multiLevelType w:val="hybridMultilevel"/>
    <w:tmpl w:val="94060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590F27"/>
    <w:multiLevelType w:val="multilevel"/>
    <w:tmpl w:val="D8E68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269145C5"/>
    <w:multiLevelType w:val="hybridMultilevel"/>
    <w:tmpl w:val="7D6E53D2"/>
    <w:lvl w:ilvl="0" w:tplc="FF16B74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93749C"/>
    <w:multiLevelType w:val="hybridMultilevel"/>
    <w:tmpl w:val="C0A05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3FA2BBC"/>
    <w:multiLevelType w:val="multilevel"/>
    <w:tmpl w:val="1AFE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9686A57"/>
    <w:multiLevelType w:val="hybridMultilevel"/>
    <w:tmpl w:val="CEB21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E87192F"/>
    <w:multiLevelType w:val="multilevel"/>
    <w:tmpl w:val="A156D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09563AC"/>
    <w:multiLevelType w:val="hybridMultilevel"/>
    <w:tmpl w:val="175C69B4"/>
    <w:lvl w:ilvl="0" w:tplc="07BC278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D42C49"/>
    <w:multiLevelType w:val="hybridMultilevel"/>
    <w:tmpl w:val="F2B82D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79B47A2"/>
    <w:multiLevelType w:val="multilevel"/>
    <w:tmpl w:val="A384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6"/>
  </w:num>
  <w:num w:numId="13">
    <w:abstractNumId w:val="20"/>
  </w:num>
  <w:num w:numId="14">
    <w:abstractNumId w:val="27"/>
  </w:num>
  <w:num w:numId="15">
    <w:abstractNumId w:val="30"/>
  </w:num>
  <w:num w:numId="16">
    <w:abstractNumId w:val="29"/>
  </w:num>
  <w:num w:numId="17">
    <w:abstractNumId w:val="18"/>
  </w:num>
  <w:num w:numId="18">
    <w:abstractNumId w:val="20"/>
    <w:lvlOverride w:ilvl="0">
      <w:startOverride w:val="1"/>
    </w:lvlOverride>
  </w:num>
  <w:num w:numId="19">
    <w:abstractNumId w:val="25"/>
  </w:num>
  <w:num w:numId="20">
    <w:abstractNumId w:val="24"/>
  </w:num>
  <w:num w:numId="21">
    <w:abstractNumId w:val="22"/>
  </w:num>
  <w:num w:numId="22">
    <w:abstractNumId w:val="21"/>
  </w:num>
  <w:num w:numId="23">
    <w:abstractNumId w:val="17"/>
  </w:num>
  <w:num w:numId="24">
    <w:abstractNumId w:val="19"/>
  </w:num>
  <w:num w:numId="25">
    <w:abstractNumId w:val="28"/>
  </w:num>
  <w:num w:numId="26">
    <w:abstractNumId w:val="33"/>
  </w:num>
  <w:num w:numId="27">
    <w:abstractNumId w:val="14"/>
  </w:num>
  <w:num w:numId="28">
    <w:abstractNumId w:val="10"/>
  </w:num>
  <w:num w:numId="29">
    <w:abstractNumId w:val="23"/>
  </w:num>
  <w:num w:numId="30">
    <w:abstractNumId w:val="12"/>
  </w:num>
  <w:num w:numId="31">
    <w:abstractNumId w:val="13"/>
  </w:num>
  <w:num w:numId="32">
    <w:abstractNumId w:val="32"/>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6"/>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425"/>
    <w:rsid w:val="000027C0"/>
    <w:rsid w:val="000052FB"/>
    <w:rsid w:val="00005A19"/>
    <w:rsid w:val="00006AD6"/>
    <w:rsid w:val="00010678"/>
    <w:rsid w:val="000117CB"/>
    <w:rsid w:val="000135E1"/>
    <w:rsid w:val="00030905"/>
    <w:rsid w:val="0003148D"/>
    <w:rsid w:val="00031EEC"/>
    <w:rsid w:val="00033442"/>
    <w:rsid w:val="00041F29"/>
    <w:rsid w:val="000467B1"/>
    <w:rsid w:val="00046F26"/>
    <w:rsid w:val="00047D3D"/>
    <w:rsid w:val="000512AC"/>
    <w:rsid w:val="00051566"/>
    <w:rsid w:val="00054288"/>
    <w:rsid w:val="000562A9"/>
    <w:rsid w:val="00062A9A"/>
    <w:rsid w:val="00065058"/>
    <w:rsid w:val="000714BD"/>
    <w:rsid w:val="00081B86"/>
    <w:rsid w:val="00084F65"/>
    <w:rsid w:val="00086274"/>
    <w:rsid w:val="00086A5C"/>
    <w:rsid w:val="00086C39"/>
    <w:rsid w:val="00095073"/>
    <w:rsid w:val="000A03B2"/>
    <w:rsid w:val="000A5D4B"/>
    <w:rsid w:val="000A5DED"/>
    <w:rsid w:val="000B12B2"/>
    <w:rsid w:val="000B1C5B"/>
    <w:rsid w:val="000B3BA7"/>
    <w:rsid w:val="000B5036"/>
    <w:rsid w:val="000C3D96"/>
    <w:rsid w:val="000C6CA6"/>
    <w:rsid w:val="000D0268"/>
    <w:rsid w:val="000D1919"/>
    <w:rsid w:val="000D34BE"/>
    <w:rsid w:val="000D40C5"/>
    <w:rsid w:val="000D6067"/>
    <w:rsid w:val="000D618F"/>
    <w:rsid w:val="000D7026"/>
    <w:rsid w:val="000E102F"/>
    <w:rsid w:val="000E36F1"/>
    <w:rsid w:val="000E3A73"/>
    <w:rsid w:val="000E414A"/>
    <w:rsid w:val="000F093C"/>
    <w:rsid w:val="000F787B"/>
    <w:rsid w:val="000F7B97"/>
    <w:rsid w:val="00100283"/>
    <w:rsid w:val="001005E5"/>
    <w:rsid w:val="00103611"/>
    <w:rsid w:val="00112C0F"/>
    <w:rsid w:val="0011451B"/>
    <w:rsid w:val="0012091F"/>
    <w:rsid w:val="00124172"/>
    <w:rsid w:val="00126BC2"/>
    <w:rsid w:val="001308B6"/>
    <w:rsid w:val="0013121F"/>
    <w:rsid w:val="00131FE6"/>
    <w:rsid w:val="0013263F"/>
    <w:rsid w:val="001331DF"/>
    <w:rsid w:val="001341D0"/>
    <w:rsid w:val="00134DE4"/>
    <w:rsid w:val="0014034D"/>
    <w:rsid w:val="00140C09"/>
    <w:rsid w:val="001449FA"/>
    <w:rsid w:val="00144D16"/>
    <w:rsid w:val="00145B8C"/>
    <w:rsid w:val="00150E59"/>
    <w:rsid w:val="00152DE3"/>
    <w:rsid w:val="0015396C"/>
    <w:rsid w:val="001543C6"/>
    <w:rsid w:val="00164CF9"/>
    <w:rsid w:val="001667A6"/>
    <w:rsid w:val="00176737"/>
    <w:rsid w:val="00180D40"/>
    <w:rsid w:val="00184AD6"/>
    <w:rsid w:val="001928B1"/>
    <w:rsid w:val="00193B42"/>
    <w:rsid w:val="0019515D"/>
    <w:rsid w:val="001A15F4"/>
    <w:rsid w:val="001A2880"/>
    <w:rsid w:val="001A4AF7"/>
    <w:rsid w:val="001B0349"/>
    <w:rsid w:val="001B1E93"/>
    <w:rsid w:val="001B28DC"/>
    <w:rsid w:val="001B356F"/>
    <w:rsid w:val="001B65C1"/>
    <w:rsid w:val="001C1678"/>
    <w:rsid w:val="001C684B"/>
    <w:rsid w:val="001D0CFB"/>
    <w:rsid w:val="001D1FF5"/>
    <w:rsid w:val="001D21AF"/>
    <w:rsid w:val="001D41FF"/>
    <w:rsid w:val="001D53FC"/>
    <w:rsid w:val="001E03EC"/>
    <w:rsid w:val="001E3FB3"/>
    <w:rsid w:val="001F0144"/>
    <w:rsid w:val="001F115B"/>
    <w:rsid w:val="001F207C"/>
    <w:rsid w:val="001F42A5"/>
    <w:rsid w:val="001F7B9D"/>
    <w:rsid w:val="001F7F35"/>
    <w:rsid w:val="00201C93"/>
    <w:rsid w:val="00202A8E"/>
    <w:rsid w:val="00205DC8"/>
    <w:rsid w:val="002106E7"/>
    <w:rsid w:val="00220AF9"/>
    <w:rsid w:val="002218F3"/>
    <w:rsid w:val="002224B4"/>
    <w:rsid w:val="002251FB"/>
    <w:rsid w:val="0022653F"/>
    <w:rsid w:val="00234641"/>
    <w:rsid w:val="00237EB6"/>
    <w:rsid w:val="002447EF"/>
    <w:rsid w:val="0024596D"/>
    <w:rsid w:val="00251550"/>
    <w:rsid w:val="00257B08"/>
    <w:rsid w:val="00263B05"/>
    <w:rsid w:val="002674C4"/>
    <w:rsid w:val="002718E0"/>
    <w:rsid w:val="0027221A"/>
    <w:rsid w:val="002740AD"/>
    <w:rsid w:val="00275B61"/>
    <w:rsid w:val="00280FAF"/>
    <w:rsid w:val="00282656"/>
    <w:rsid w:val="0028433F"/>
    <w:rsid w:val="002845F2"/>
    <w:rsid w:val="002916E1"/>
    <w:rsid w:val="00296B83"/>
    <w:rsid w:val="00297A1D"/>
    <w:rsid w:val="002A5BCF"/>
    <w:rsid w:val="002B4015"/>
    <w:rsid w:val="002B66B1"/>
    <w:rsid w:val="002B743B"/>
    <w:rsid w:val="002B78CE"/>
    <w:rsid w:val="002C03BC"/>
    <w:rsid w:val="002C2FB6"/>
    <w:rsid w:val="002D2DA3"/>
    <w:rsid w:val="002D3455"/>
    <w:rsid w:val="002D6E8D"/>
    <w:rsid w:val="002E0780"/>
    <w:rsid w:val="002E5FA7"/>
    <w:rsid w:val="002F0EB6"/>
    <w:rsid w:val="002F29F5"/>
    <w:rsid w:val="002F3309"/>
    <w:rsid w:val="003008CE"/>
    <w:rsid w:val="003009B7"/>
    <w:rsid w:val="00300E56"/>
    <w:rsid w:val="0030152C"/>
    <w:rsid w:val="0030469C"/>
    <w:rsid w:val="003073E3"/>
    <w:rsid w:val="00312601"/>
    <w:rsid w:val="00314D37"/>
    <w:rsid w:val="00315128"/>
    <w:rsid w:val="003167FD"/>
    <w:rsid w:val="003206DC"/>
    <w:rsid w:val="00321CA6"/>
    <w:rsid w:val="00323763"/>
    <w:rsid w:val="0032376B"/>
    <w:rsid w:val="00323C5F"/>
    <w:rsid w:val="00327748"/>
    <w:rsid w:val="00331014"/>
    <w:rsid w:val="0033382E"/>
    <w:rsid w:val="00334C09"/>
    <w:rsid w:val="00346949"/>
    <w:rsid w:val="003471C0"/>
    <w:rsid w:val="003556CB"/>
    <w:rsid w:val="003636A6"/>
    <w:rsid w:val="0037215C"/>
    <w:rsid w:val="003723D4"/>
    <w:rsid w:val="00373D29"/>
    <w:rsid w:val="00374F0E"/>
    <w:rsid w:val="00377C93"/>
    <w:rsid w:val="00381905"/>
    <w:rsid w:val="00383F4F"/>
    <w:rsid w:val="00384CC8"/>
    <w:rsid w:val="00385814"/>
    <w:rsid w:val="003871FD"/>
    <w:rsid w:val="003915B7"/>
    <w:rsid w:val="00392C32"/>
    <w:rsid w:val="00394F57"/>
    <w:rsid w:val="003A1E30"/>
    <w:rsid w:val="003A2829"/>
    <w:rsid w:val="003A389C"/>
    <w:rsid w:val="003A44F2"/>
    <w:rsid w:val="003A716C"/>
    <w:rsid w:val="003A7D1C"/>
    <w:rsid w:val="003B0963"/>
    <w:rsid w:val="003B304B"/>
    <w:rsid w:val="003B3146"/>
    <w:rsid w:val="003B595B"/>
    <w:rsid w:val="003C0AFB"/>
    <w:rsid w:val="003C17E1"/>
    <w:rsid w:val="003C6391"/>
    <w:rsid w:val="003C710E"/>
    <w:rsid w:val="003E402F"/>
    <w:rsid w:val="003E65E2"/>
    <w:rsid w:val="003F015E"/>
    <w:rsid w:val="003F5613"/>
    <w:rsid w:val="00400414"/>
    <w:rsid w:val="00403083"/>
    <w:rsid w:val="0040517D"/>
    <w:rsid w:val="0041446B"/>
    <w:rsid w:val="004149F4"/>
    <w:rsid w:val="00420B36"/>
    <w:rsid w:val="004229F8"/>
    <w:rsid w:val="0042394C"/>
    <w:rsid w:val="004259A7"/>
    <w:rsid w:val="00427758"/>
    <w:rsid w:val="00431D67"/>
    <w:rsid w:val="0043473D"/>
    <w:rsid w:val="00434F4A"/>
    <w:rsid w:val="0044071E"/>
    <w:rsid w:val="0044329C"/>
    <w:rsid w:val="00445337"/>
    <w:rsid w:val="00446347"/>
    <w:rsid w:val="00453B94"/>
    <w:rsid w:val="00453E24"/>
    <w:rsid w:val="00457456"/>
    <w:rsid w:val="004577FE"/>
    <w:rsid w:val="00457B9C"/>
    <w:rsid w:val="00460733"/>
    <w:rsid w:val="0046164A"/>
    <w:rsid w:val="004628D2"/>
    <w:rsid w:val="00462DCD"/>
    <w:rsid w:val="00464770"/>
    <w:rsid w:val="004648AD"/>
    <w:rsid w:val="004703A9"/>
    <w:rsid w:val="004703CA"/>
    <w:rsid w:val="004706FF"/>
    <w:rsid w:val="00470BE6"/>
    <w:rsid w:val="00474F0B"/>
    <w:rsid w:val="004760DE"/>
    <w:rsid w:val="004763D7"/>
    <w:rsid w:val="00477C1E"/>
    <w:rsid w:val="004A004E"/>
    <w:rsid w:val="004A229C"/>
    <w:rsid w:val="004A24CF"/>
    <w:rsid w:val="004B5D44"/>
    <w:rsid w:val="004B7554"/>
    <w:rsid w:val="004C17E2"/>
    <w:rsid w:val="004C3D1D"/>
    <w:rsid w:val="004C3D84"/>
    <w:rsid w:val="004C7913"/>
    <w:rsid w:val="004D2159"/>
    <w:rsid w:val="004D482F"/>
    <w:rsid w:val="004E4DD6"/>
    <w:rsid w:val="004E6FC3"/>
    <w:rsid w:val="004F29C8"/>
    <w:rsid w:val="004F57BD"/>
    <w:rsid w:val="004F5E36"/>
    <w:rsid w:val="00501867"/>
    <w:rsid w:val="00507B47"/>
    <w:rsid w:val="00507BEF"/>
    <w:rsid w:val="00507CC9"/>
    <w:rsid w:val="00510696"/>
    <w:rsid w:val="005119A5"/>
    <w:rsid w:val="00512043"/>
    <w:rsid w:val="00522E37"/>
    <w:rsid w:val="005256CD"/>
    <w:rsid w:val="005278B7"/>
    <w:rsid w:val="00531675"/>
    <w:rsid w:val="00532016"/>
    <w:rsid w:val="005346C8"/>
    <w:rsid w:val="00535AD1"/>
    <w:rsid w:val="005374DC"/>
    <w:rsid w:val="00543E7D"/>
    <w:rsid w:val="00547A68"/>
    <w:rsid w:val="005516BE"/>
    <w:rsid w:val="005531C9"/>
    <w:rsid w:val="00556903"/>
    <w:rsid w:val="00557E00"/>
    <w:rsid w:val="0056326E"/>
    <w:rsid w:val="00566DDB"/>
    <w:rsid w:val="00570C43"/>
    <w:rsid w:val="00572869"/>
    <w:rsid w:val="00575FA1"/>
    <w:rsid w:val="005867DB"/>
    <w:rsid w:val="005A1EF2"/>
    <w:rsid w:val="005B001C"/>
    <w:rsid w:val="005B2110"/>
    <w:rsid w:val="005B3CC4"/>
    <w:rsid w:val="005B4A56"/>
    <w:rsid w:val="005B61E6"/>
    <w:rsid w:val="005C069F"/>
    <w:rsid w:val="005C4503"/>
    <w:rsid w:val="005C6ED9"/>
    <w:rsid w:val="005C77E1"/>
    <w:rsid w:val="005D52AC"/>
    <w:rsid w:val="005D5434"/>
    <w:rsid w:val="005D668A"/>
    <w:rsid w:val="005D6A2F"/>
    <w:rsid w:val="005E1A82"/>
    <w:rsid w:val="005E218D"/>
    <w:rsid w:val="005E4AB0"/>
    <w:rsid w:val="005E4ED9"/>
    <w:rsid w:val="005E794C"/>
    <w:rsid w:val="005F0A28"/>
    <w:rsid w:val="005F0E5E"/>
    <w:rsid w:val="00600535"/>
    <w:rsid w:val="006073C5"/>
    <w:rsid w:val="00610CD6"/>
    <w:rsid w:val="00620DEE"/>
    <w:rsid w:val="00621F92"/>
    <w:rsid w:val="00622647"/>
    <w:rsid w:val="0062280A"/>
    <w:rsid w:val="00625639"/>
    <w:rsid w:val="0063124D"/>
    <w:rsid w:val="006316ED"/>
    <w:rsid w:val="00631B33"/>
    <w:rsid w:val="006401F5"/>
    <w:rsid w:val="0064184D"/>
    <w:rsid w:val="006422CC"/>
    <w:rsid w:val="00654627"/>
    <w:rsid w:val="00660E3E"/>
    <w:rsid w:val="00662E74"/>
    <w:rsid w:val="006667A5"/>
    <w:rsid w:val="00667553"/>
    <w:rsid w:val="00670B63"/>
    <w:rsid w:val="006714C0"/>
    <w:rsid w:val="006778FF"/>
    <w:rsid w:val="00680787"/>
    <w:rsid w:val="00680C23"/>
    <w:rsid w:val="00681460"/>
    <w:rsid w:val="006819AE"/>
    <w:rsid w:val="00686D0D"/>
    <w:rsid w:val="0069170D"/>
    <w:rsid w:val="00693766"/>
    <w:rsid w:val="00694C4D"/>
    <w:rsid w:val="006A167E"/>
    <w:rsid w:val="006A3281"/>
    <w:rsid w:val="006B063D"/>
    <w:rsid w:val="006B4888"/>
    <w:rsid w:val="006C2CD4"/>
    <w:rsid w:val="006C2E45"/>
    <w:rsid w:val="006C359C"/>
    <w:rsid w:val="006C5579"/>
    <w:rsid w:val="006C612E"/>
    <w:rsid w:val="006D38BF"/>
    <w:rsid w:val="006D6E8B"/>
    <w:rsid w:val="006E085C"/>
    <w:rsid w:val="006E737D"/>
    <w:rsid w:val="006E7749"/>
    <w:rsid w:val="006F3CD0"/>
    <w:rsid w:val="0070259C"/>
    <w:rsid w:val="007071A1"/>
    <w:rsid w:val="00707DD1"/>
    <w:rsid w:val="00713973"/>
    <w:rsid w:val="00714040"/>
    <w:rsid w:val="00720A24"/>
    <w:rsid w:val="007245C8"/>
    <w:rsid w:val="00732386"/>
    <w:rsid w:val="00733023"/>
    <w:rsid w:val="0073514D"/>
    <w:rsid w:val="00737EB3"/>
    <w:rsid w:val="00743313"/>
    <w:rsid w:val="007447F3"/>
    <w:rsid w:val="00746E35"/>
    <w:rsid w:val="00751927"/>
    <w:rsid w:val="00754022"/>
    <w:rsid w:val="0075499F"/>
    <w:rsid w:val="00755371"/>
    <w:rsid w:val="0076297E"/>
    <w:rsid w:val="007657E1"/>
    <w:rsid w:val="007661C8"/>
    <w:rsid w:val="007701FE"/>
    <w:rsid w:val="0077098D"/>
    <w:rsid w:val="00770D34"/>
    <w:rsid w:val="00773C52"/>
    <w:rsid w:val="00780564"/>
    <w:rsid w:val="0078095A"/>
    <w:rsid w:val="0078195E"/>
    <w:rsid w:val="0078311C"/>
    <w:rsid w:val="0078621A"/>
    <w:rsid w:val="00791539"/>
    <w:rsid w:val="007931FA"/>
    <w:rsid w:val="00797E34"/>
    <w:rsid w:val="007A326F"/>
    <w:rsid w:val="007A4861"/>
    <w:rsid w:val="007A6479"/>
    <w:rsid w:val="007A7AFF"/>
    <w:rsid w:val="007A7BBA"/>
    <w:rsid w:val="007A7E31"/>
    <w:rsid w:val="007B0C50"/>
    <w:rsid w:val="007B48F9"/>
    <w:rsid w:val="007B517E"/>
    <w:rsid w:val="007B6B3B"/>
    <w:rsid w:val="007C1A43"/>
    <w:rsid w:val="007C603F"/>
    <w:rsid w:val="007C7EF7"/>
    <w:rsid w:val="007D0951"/>
    <w:rsid w:val="007D19EE"/>
    <w:rsid w:val="007E1CD3"/>
    <w:rsid w:val="008000BB"/>
    <w:rsid w:val="0080013E"/>
    <w:rsid w:val="008018B6"/>
    <w:rsid w:val="00813288"/>
    <w:rsid w:val="008168FC"/>
    <w:rsid w:val="00820F5D"/>
    <w:rsid w:val="008256F5"/>
    <w:rsid w:val="008305B2"/>
    <w:rsid w:val="00830996"/>
    <w:rsid w:val="00833528"/>
    <w:rsid w:val="00834423"/>
    <w:rsid w:val="008345F1"/>
    <w:rsid w:val="008350F5"/>
    <w:rsid w:val="00853811"/>
    <w:rsid w:val="00853E44"/>
    <w:rsid w:val="008560AE"/>
    <w:rsid w:val="00856A99"/>
    <w:rsid w:val="00857E43"/>
    <w:rsid w:val="008639E7"/>
    <w:rsid w:val="00865B07"/>
    <w:rsid w:val="008663BA"/>
    <w:rsid w:val="008667EA"/>
    <w:rsid w:val="008730CC"/>
    <w:rsid w:val="0087637F"/>
    <w:rsid w:val="00877093"/>
    <w:rsid w:val="008778B1"/>
    <w:rsid w:val="008805E6"/>
    <w:rsid w:val="0088090E"/>
    <w:rsid w:val="00892AD5"/>
    <w:rsid w:val="00895A4E"/>
    <w:rsid w:val="008A1512"/>
    <w:rsid w:val="008A6C3B"/>
    <w:rsid w:val="008B25C9"/>
    <w:rsid w:val="008B6AB0"/>
    <w:rsid w:val="008B7F94"/>
    <w:rsid w:val="008C0201"/>
    <w:rsid w:val="008C7506"/>
    <w:rsid w:val="008D231F"/>
    <w:rsid w:val="008D32B9"/>
    <w:rsid w:val="008D433B"/>
    <w:rsid w:val="008D4A16"/>
    <w:rsid w:val="008E0309"/>
    <w:rsid w:val="008E3219"/>
    <w:rsid w:val="008E566E"/>
    <w:rsid w:val="008E58F7"/>
    <w:rsid w:val="008E6614"/>
    <w:rsid w:val="008F5D6B"/>
    <w:rsid w:val="0090161A"/>
    <w:rsid w:val="00901EB6"/>
    <w:rsid w:val="009036D5"/>
    <w:rsid w:val="00904C62"/>
    <w:rsid w:val="00906BEE"/>
    <w:rsid w:val="00921BCF"/>
    <w:rsid w:val="00922BA8"/>
    <w:rsid w:val="00924DAC"/>
    <w:rsid w:val="00927058"/>
    <w:rsid w:val="00930070"/>
    <w:rsid w:val="0093057E"/>
    <w:rsid w:val="00930FFF"/>
    <w:rsid w:val="00933B82"/>
    <w:rsid w:val="00942750"/>
    <w:rsid w:val="009450CE"/>
    <w:rsid w:val="009459BB"/>
    <w:rsid w:val="00947179"/>
    <w:rsid w:val="0095164B"/>
    <w:rsid w:val="00954090"/>
    <w:rsid w:val="00955D15"/>
    <w:rsid w:val="009573E7"/>
    <w:rsid w:val="00961B07"/>
    <w:rsid w:val="009627EA"/>
    <w:rsid w:val="00962D27"/>
    <w:rsid w:val="0096362F"/>
    <w:rsid w:val="00963E05"/>
    <w:rsid w:val="00964A45"/>
    <w:rsid w:val="00967843"/>
    <w:rsid w:val="00967D54"/>
    <w:rsid w:val="00971028"/>
    <w:rsid w:val="00972BB4"/>
    <w:rsid w:val="00973ED7"/>
    <w:rsid w:val="00975691"/>
    <w:rsid w:val="00991E7E"/>
    <w:rsid w:val="00993B84"/>
    <w:rsid w:val="00996483"/>
    <w:rsid w:val="00996F5A"/>
    <w:rsid w:val="009A0CF2"/>
    <w:rsid w:val="009A47FB"/>
    <w:rsid w:val="009A6DEF"/>
    <w:rsid w:val="009A77CC"/>
    <w:rsid w:val="009B041A"/>
    <w:rsid w:val="009B3B2B"/>
    <w:rsid w:val="009B5FB4"/>
    <w:rsid w:val="009B65CF"/>
    <w:rsid w:val="009C37C3"/>
    <w:rsid w:val="009C7C86"/>
    <w:rsid w:val="009D1CEE"/>
    <w:rsid w:val="009D2FF7"/>
    <w:rsid w:val="009E7884"/>
    <w:rsid w:val="009E788A"/>
    <w:rsid w:val="009F0E08"/>
    <w:rsid w:val="009F161B"/>
    <w:rsid w:val="009F36C2"/>
    <w:rsid w:val="00A0136D"/>
    <w:rsid w:val="00A014EC"/>
    <w:rsid w:val="00A01BBA"/>
    <w:rsid w:val="00A03F63"/>
    <w:rsid w:val="00A051C8"/>
    <w:rsid w:val="00A13E83"/>
    <w:rsid w:val="00A1763D"/>
    <w:rsid w:val="00A17CEC"/>
    <w:rsid w:val="00A21927"/>
    <w:rsid w:val="00A24223"/>
    <w:rsid w:val="00A24533"/>
    <w:rsid w:val="00A26B0C"/>
    <w:rsid w:val="00A27409"/>
    <w:rsid w:val="00A276B5"/>
    <w:rsid w:val="00A27D83"/>
    <w:rsid w:val="00A27EF0"/>
    <w:rsid w:val="00A36F61"/>
    <w:rsid w:val="00A42361"/>
    <w:rsid w:val="00A50B20"/>
    <w:rsid w:val="00A51390"/>
    <w:rsid w:val="00A568A4"/>
    <w:rsid w:val="00A57E53"/>
    <w:rsid w:val="00A60D13"/>
    <w:rsid w:val="00A621EC"/>
    <w:rsid w:val="00A64D19"/>
    <w:rsid w:val="00A714EF"/>
    <w:rsid w:val="00A7223D"/>
    <w:rsid w:val="00A72745"/>
    <w:rsid w:val="00A73FA0"/>
    <w:rsid w:val="00A74BCE"/>
    <w:rsid w:val="00A76EFC"/>
    <w:rsid w:val="00A84718"/>
    <w:rsid w:val="00A87D50"/>
    <w:rsid w:val="00A91010"/>
    <w:rsid w:val="00A93171"/>
    <w:rsid w:val="00A931BD"/>
    <w:rsid w:val="00A97F29"/>
    <w:rsid w:val="00AA06E9"/>
    <w:rsid w:val="00AA702E"/>
    <w:rsid w:val="00AA7D26"/>
    <w:rsid w:val="00AB0964"/>
    <w:rsid w:val="00AB5011"/>
    <w:rsid w:val="00AB7B46"/>
    <w:rsid w:val="00AC6B37"/>
    <w:rsid w:val="00AC7368"/>
    <w:rsid w:val="00AD16B9"/>
    <w:rsid w:val="00AD35E8"/>
    <w:rsid w:val="00AD7245"/>
    <w:rsid w:val="00AD731E"/>
    <w:rsid w:val="00AE1ACB"/>
    <w:rsid w:val="00AE377D"/>
    <w:rsid w:val="00AE6C56"/>
    <w:rsid w:val="00AE7FF8"/>
    <w:rsid w:val="00AF0EBA"/>
    <w:rsid w:val="00AF46C8"/>
    <w:rsid w:val="00B02C8A"/>
    <w:rsid w:val="00B06762"/>
    <w:rsid w:val="00B07DE3"/>
    <w:rsid w:val="00B12011"/>
    <w:rsid w:val="00B13256"/>
    <w:rsid w:val="00B1393E"/>
    <w:rsid w:val="00B14FEB"/>
    <w:rsid w:val="00B1596A"/>
    <w:rsid w:val="00B17FBD"/>
    <w:rsid w:val="00B22444"/>
    <w:rsid w:val="00B315A6"/>
    <w:rsid w:val="00B31813"/>
    <w:rsid w:val="00B31C76"/>
    <w:rsid w:val="00B33365"/>
    <w:rsid w:val="00B40D8D"/>
    <w:rsid w:val="00B47994"/>
    <w:rsid w:val="00B47D0F"/>
    <w:rsid w:val="00B57B36"/>
    <w:rsid w:val="00B57E6F"/>
    <w:rsid w:val="00B60CD0"/>
    <w:rsid w:val="00B67669"/>
    <w:rsid w:val="00B70894"/>
    <w:rsid w:val="00B712DD"/>
    <w:rsid w:val="00B82B14"/>
    <w:rsid w:val="00B85181"/>
    <w:rsid w:val="00B8686D"/>
    <w:rsid w:val="00B93F69"/>
    <w:rsid w:val="00B947D5"/>
    <w:rsid w:val="00B94AF6"/>
    <w:rsid w:val="00BA7288"/>
    <w:rsid w:val="00BA7DD3"/>
    <w:rsid w:val="00BB1DDC"/>
    <w:rsid w:val="00BB2C20"/>
    <w:rsid w:val="00BC30C9"/>
    <w:rsid w:val="00BC5688"/>
    <w:rsid w:val="00BD077D"/>
    <w:rsid w:val="00BD37E7"/>
    <w:rsid w:val="00BD5260"/>
    <w:rsid w:val="00BE3B84"/>
    <w:rsid w:val="00BE3E58"/>
    <w:rsid w:val="00BE4D5D"/>
    <w:rsid w:val="00BF7005"/>
    <w:rsid w:val="00C01616"/>
    <w:rsid w:val="00C0162B"/>
    <w:rsid w:val="00C022ED"/>
    <w:rsid w:val="00C068ED"/>
    <w:rsid w:val="00C109D2"/>
    <w:rsid w:val="00C10E18"/>
    <w:rsid w:val="00C11975"/>
    <w:rsid w:val="00C128A9"/>
    <w:rsid w:val="00C165B4"/>
    <w:rsid w:val="00C17F3C"/>
    <w:rsid w:val="00C2036D"/>
    <w:rsid w:val="00C22E0C"/>
    <w:rsid w:val="00C24AF1"/>
    <w:rsid w:val="00C25AF2"/>
    <w:rsid w:val="00C345B1"/>
    <w:rsid w:val="00C40142"/>
    <w:rsid w:val="00C407F0"/>
    <w:rsid w:val="00C40A8A"/>
    <w:rsid w:val="00C505C6"/>
    <w:rsid w:val="00C52622"/>
    <w:rsid w:val="00C52C3C"/>
    <w:rsid w:val="00C57182"/>
    <w:rsid w:val="00C57863"/>
    <w:rsid w:val="00C640AF"/>
    <w:rsid w:val="00C651F8"/>
    <w:rsid w:val="00C655FD"/>
    <w:rsid w:val="00C65CE6"/>
    <w:rsid w:val="00C7068C"/>
    <w:rsid w:val="00C7200B"/>
    <w:rsid w:val="00C722E4"/>
    <w:rsid w:val="00C72E38"/>
    <w:rsid w:val="00C75407"/>
    <w:rsid w:val="00C841C6"/>
    <w:rsid w:val="00C8665B"/>
    <w:rsid w:val="00C870A8"/>
    <w:rsid w:val="00C87AD1"/>
    <w:rsid w:val="00C94434"/>
    <w:rsid w:val="00C97A87"/>
    <w:rsid w:val="00CA0D75"/>
    <w:rsid w:val="00CA109B"/>
    <w:rsid w:val="00CA1C95"/>
    <w:rsid w:val="00CA5A9C"/>
    <w:rsid w:val="00CA7506"/>
    <w:rsid w:val="00CB23F0"/>
    <w:rsid w:val="00CB4DD7"/>
    <w:rsid w:val="00CB5C0F"/>
    <w:rsid w:val="00CC157F"/>
    <w:rsid w:val="00CC4C20"/>
    <w:rsid w:val="00CD2E82"/>
    <w:rsid w:val="00CD3517"/>
    <w:rsid w:val="00CD5FE2"/>
    <w:rsid w:val="00CD6EB6"/>
    <w:rsid w:val="00CD74D6"/>
    <w:rsid w:val="00CD7D3F"/>
    <w:rsid w:val="00CE0DBC"/>
    <w:rsid w:val="00CE7C68"/>
    <w:rsid w:val="00CE7EDB"/>
    <w:rsid w:val="00CF1F1F"/>
    <w:rsid w:val="00CF41BA"/>
    <w:rsid w:val="00D00BA0"/>
    <w:rsid w:val="00D02B4C"/>
    <w:rsid w:val="00D040C4"/>
    <w:rsid w:val="00D078AF"/>
    <w:rsid w:val="00D16F24"/>
    <w:rsid w:val="00D20AD1"/>
    <w:rsid w:val="00D2582C"/>
    <w:rsid w:val="00D259D3"/>
    <w:rsid w:val="00D27B68"/>
    <w:rsid w:val="00D44DAD"/>
    <w:rsid w:val="00D46B7E"/>
    <w:rsid w:val="00D57C84"/>
    <w:rsid w:val="00D6057D"/>
    <w:rsid w:val="00D63883"/>
    <w:rsid w:val="00D71640"/>
    <w:rsid w:val="00D7411D"/>
    <w:rsid w:val="00D836C5"/>
    <w:rsid w:val="00D84576"/>
    <w:rsid w:val="00D85BEA"/>
    <w:rsid w:val="00D929FD"/>
    <w:rsid w:val="00DA1399"/>
    <w:rsid w:val="00DA24C6"/>
    <w:rsid w:val="00DA4D7B"/>
    <w:rsid w:val="00DA5BFF"/>
    <w:rsid w:val="00DA5E93"/>
    <w:rsid w:val="00DB1DFF"/>
    <w:rsid w:val="00DB75A3"/>
    <w:rsid w:val="00DC2E04"/>
    <w:rsid w:val="00DD271C"/>
    <w:rsid w:val="00DD62EB"/>
    <w:rsid w:val="00DE264A"/>
    <w:rsid w:val="00DE599F"/>
    <w:rsid w:val="00DF5072"/>
    <w:rsid w:val="00E01016"/>
    <w:rsid w:val="00E01CDF"/>
    <w:rsid w:val="00E02D18"/>
    <w:rsid w:val="00E03EB8"/>
    <w:rsid w:val="00E041E7"/>
    <w:rsid w:val="00E04EE5"/>
    <w:rsid w:val="00E07210"/>
    <w:rsid w:val="00E160D6"/>
    <w:rsid w:val="00E23CA1"/>
    <w:rsid w:val="00E23DCD"/>
    <w:rsid w:val="00E27ADE"/>
    <w:rsid w:val="00E34EA0"/>
    <w:rsid w:val="00E37D8F"/>
    <w:rsid w:val="00E409A8"/>
    <w:rsid w:val="00E4301A"/>
    <w:rsid w:val="00E456D8"/>
    <w:rsid w:val="00E50A82"/>
    <w:rsid w:val="00E50C12"/>
    <w:rsid w:val="00E51C0F"/>
    <w:rsid w:val="00E55D6A"/>
    <w:rsid w:val="00E55D8E"/>
    <w:rsid w:val="00E629CD"/>
    <w:rsid w:val="00E64213"/>
    <w:rsid w:val="00E65B91"/>
    <w:rsid w:val="00E7209D"/>
    <w:rsid w:val="00E72D8B"/>
    <w:rsid w:val="00E72EAD"/>
    <w:rsid w:val="00E74A00"/>
    <w:rsid w:val="00E74C20"/>
    <w:rsid w:val="00E77223"/>
    <w:rsid w:val="00E8528B"/>
    <w:rsid w:val="00E85B94"/>
    <w:rsid w:val="00E9072B"/>
    <w:rsid w:val="00E978D0"/>
    <w:rsid w:val="00EA23E4"/>
    <w:rsid w:val="00EA4613"/>
    <w:rsid w:val="00EA5B7B"/>
    <w:rsid w:val="00EA6D54"/>
    <w:rsid w:val="00EA7F91"/>
    <w:rsid w:val="00EB0FDB"/>
    <w:rsid w:val="00EB1523"/>
    <w:rsid w:val="00EC0E49"/>
    <w:rsid w:val="00EC101F"/>
    <w:rsid w:val="00EC1D9F"/>
    <w:rsid w:val="00EC6B12"/>
    <w:rsid w:val="00ED023D"/>
    <w:rsid w:val="00ED2082"/>
    <w:rsid w:val="00EE0131"/>
    <w:rsid w:val="00EE0AE5"/>
    <w:rsid w:val="00EE17B0"/>
    <w:rsid w:val="00EF06D9"/>
    <w:rsid w:val="00EF2952"/>
    <w:rsid w:val="00EF2F41"/>
    <w:rsid w:val="00EF4222"/>
    <w:rsid w:val="00EF52A6"/>
    <w:rsid w:val="00F00DC9"/>
    <w:rsid w:val="00F049CC"/>
    <w:rsid w:val="00F053E5"/>
    <w:rsid w:val="00F17D0B"/>
    <w:rsid w:val="00F204E9"/>
    <w:rsid w:val="00F254AB"/>
    <w:rsid w:val="00F3049E"/>
    <w:rsid w:val="00F30C64"/>
    <w:rsid w:val="00F32BA2"/>
    <w:rsid w:val="00F32CDB"/>
    <w:rsid w:val="00F35695"/>
    <w:rsid w:val="00F35F19"/>
    <w:rsid w:val="00F41E2E"/>
    <w:rsid w:val="00F556C3"/>
    <w:rsid w:val="00F565FE"/>
    <w:rsid w:val="00F62034"/>
    <w:rsid w:val="00F620DB"/>
    <w:rsid w:val="00F62835"/>
    <w:rsid w:val="00F63A70"/>
    <w:rsid w:val="00F63D8C"/>
    <w:rsid w:val="00F66807"/>
    <w:rsid w:val="00F72D06"/>
    <w:rsid w:val="00F7534E"/>
    <w:rsid w:val="00F85DE8"/>
    <w:rsid w:val="00F8617C"/>
    <w:rsid w:val="00F93EDF"/>
    <w:rsid w:val="00FA1802"/>
    <w:rsid w:val="00FA21D0"/>
    <w:rsid w:val="00FA49E1"/>
    <w:rsid w:val="00FA5F5F"/>
    <w:rsid w:val="00FA7223"/>
    <w:rsid w:val="00FB04EC"/>
    <w:rsid w:val="00FB36B0"/>
    <w:rsid w:val="00FB730C"/>
    <w:rsid w:val="00FC2695"/>
    <w:rsid w:val="00FC3E03"/>
    <w:rsid w:val="00FC3FC1"/>
    <w:rsid w:val="00FD08BF"/>
    <w:rsid w:val="00FE613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48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customStyle="1" w:styleId="gmail-apple-converted-space">
    <w:name w:val="gmail-apple-converted-space"/>
    <w:basedOn w:val="Policepardfaut"/>
    <w:rsid w:val="00005A19"/>
  </w:style>
  <w:style w:type="paragraph" w:styleId="Rvision">
    <w:name w:val="Revision"/>
    <w:hidden/>
    <w:uiPriority w:val="99"/>
    <w:semiHidden/>
    <w:rsid w:val="00140C09"/>
    <w:pPr>
      <w:spacing w:after="0" w:line="240" w:lineRule="auto"/>
    </w:pPr>
    <w:rPr>
      <w:rFonts w:ascii="Arial" w:eastAsia="Times New Roman" w:hAnsi="Arial" w:cs="Times New Roman"/>
      <w:sz w:val="18"/>
      <w:szCs w:val="20"/>
      <w:lang w:val="en-GB"/>
    </w:rPr>
  </w:style>
  <w:style w:type="character" w:styleId="Textedelespacerserv">
    <w:name w:val="Placeholder Text"/>
    <w:basedOn w:val="Policepardfaut"/>
    <w:uiPriority w:val="99"/>
    <w:semiHidden/>
    <w:rsid w:val="00FE61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8013">
      <w:bodyDiv w:val="1"/>
      <w:marLeft w:val="0"/>
      <w:marRight w:val="0"/>
      <w:marTop w:val="0"/>
      <w:marBottom w:val="0"/>
      <w:divBdr>
        <w:top w:val="none" w:sz="0" w:space="0" w:color="auto"/>
        <w:left w:val="none" w:sz="0" w:space="0" w:color="auto"/>
        <w:bottom w:val="none" w:sz="0" w:space="0" w:color="auto"/>
        <w:right w:val="none" w:sz="0" w:space="0" w:color="auto"/>
      </w:divBdr>
    </w:div>
    <w:div w:id="165245157">
      <w:bodyDiv w:val="1"/>
      <w:marLeft w:val="0"/>
      <w:marRight w:val="0"/>
      <w:marTop w:val="0"/>
      <w:marBottom w:val="0"/>
      <w:divBdr>
        <w:top w:val="none" w:sz="0" w:space="0" w:color="auto"/>
        <w:left w:val="none" w:sz="0" w:space="0" w:color="auto"/>
        <w:bottom w:val="none" w:sz="0" w:space="0" w:color="auto"/>
        <w:right w:val="none" w:sz="0" w:space="0" w:color="auto"/>
      </w:divBdr>
    </w:div>
    <w:div w:id="183909056">
      <w:bodyDiv w:val="1"/>
      <w:marLeft w:val="0"/>
      <w:marRight w:val="0"/>
      <w:marTop w:val="0"/>
      <w:marBottom w:val="0"/>
      <w:divBdr>
        <w:top w:val="none" w:sz="0" w:space="0" w:color="auto"/>
        <w:left w:val="none" w:sz="0" w:space="0" w:color="auto"/>
        <w:bottom w:val="none" w:sz="0" w:space="0" w:color="auto"/>
        <w:right w:val="none" w:sz="0" w:space="0" w:color="auto"/>
      </w:divBdr>
    </w:div>
    <w:div w:id="204293482">
      <w:bodyDiv w:val="1"/>
      <w:marLeft w:val="0"/>
      <w:marRight w:val="0"/>
      <w:marTop w:val="0"/>
      <w:marBottom w:val="0"/>
      <w:divBdr>
        <w:top w:val="none" w:sz="0" w:space="0" w:color="auto"/>
        <w:left w:val="none" w:sz="0" w:space="0" w:color="auto"/>
        <w:bottom w:val="none" w:sz="0" w:space="0" w:color="auto"/>
        <w:right w:val="none" w:sz="0" w:space="0" w:color="auto"/>
      </w:divBdr>
    </w:div>
    <w:div w:id="234242000">
      <w:bodyDiv w:val="1"/>
      <w:marLeft w:val="0"/>
      <w:marRight w:val="0"/>
      <w:marTop w:val="0"/>
      <w:marBottom w:val="0"/>
      <w:divBdr>
        <w:top w:val="none" w:sz="0" w:space="0" w:color="auto"/>
        <w:left w:val="none" w:sz="0" w:space="0" w:color="auto"/>
        <w:bottom w:val="none" w:sz="0" w:space="0" w:color="auto"/>
        <w:right w:val="none" w:sz="0" w:space="0" w:color="auto"/>
      </w:divBdr>
    </w:div>
    <w:div w:id="272707422">
      <w:bodyDiv w:val="1"/>
      <w:marLeft w:val="0"/>
      <w:marRight w:val="0"/>
      <w:marTop w:val="0"/>
      <w:marBottom w:val="0"/>
      <w:divBdr>
        <w:top w:val="none" w:sz="0" w:space="0" w:color="auto"/>
        <w:left w:val="none" w:sz="0" w:space="0" w:color="auto"/>
        <w:bottom w:val="none" w:sz="0" w:space="0" w:color="auto"/>
        <w:right w:val="none" w:sz="0" w:space="0" w:color="auto"/>
      </w:divBdr>
    </w:div>
    <w:div w:id="292247307">
      <w:bodyDiv w:val="1"/>
      <w:marLeft w:val="0"/>
      <w:marRight w:val="0"/>
      <w:marTop w:val="0"/>
      <w:marBottom w:val="0"/>
      <w:divBdr>
        <w:top w:val="none" w:sz="0" w:space="0" w:color="auto"/>
        <w:left w:val="none" w:sz="0" w:space="0" w:color="auto"/>
        <w:bottom w:val="none" w:sz="0" w:space="0" w:color="auto"/>
        <w:right w:val="none" w:sz="0" w:space="0" w:color="auto"/>
      </w:divBdr>
    </w:div>
    <w:div w:id="314342205">
      <w:bodyDiv w:val="1"/>
      <w:marLeft w:val="0"/>
      <w:marRight w:val="0"/>
      <w:marTop w:val="0"/>
      <w:marBottom w:val="0"/>
      <w:divBdr>
        <w:top w:val="none" w:sz="0" w:space="0" w:color="auto"/>
        <w:left w:val="none" w:sz="0" w:space="0" w:color="auto"/>
        <w:bottom w:val="none" w:sz="0" w:space="0" w:color="auto"/>
        <w:right w:val="none" w:sz="0" w:space="0" w:color="auto"/>
      </w:divBdr>
    </w:div>
    <w:div w:id="345789897">
      <w:bodyDiv w:val="1"/>
      <w:marLeft w:val="0"/>
      <w:marRight w:val="0"/>
      <w:marTop w:val="0"/>
      <w:marBottom w:val="0"/>
      <w:divBdr>
        <w:top w:val="none" w:sz="0" w:space="0" w:color="auto"/>
        <w:left w:val="none" w:sz="0" w:space="0" w:color="auto"/>
        <w:bottom w:val="none" w:sz="0" w:space="0" w:color="auto"/>
        <w:right w:val="none" w:sz="0" w:space="0" w:color="auto"/>
      </w:divBdr>
    </w:div>
    <w:div w:id="501355566">
      <w:bodyDiv w:val="1"/>
      <w:marLeft w:val="0"/>
      <w:marRight w:val="0"/>
      <w:marTop w:val="0"/>
      <w:marBottom w:val="0"/>
      <w:divBdr>
        <w:top w:val="none" w:sz="0" w:space="0" w:color="auto"/>
        <w:left w:val="none" w:sz="0" w:space="0" w:color="auto"/>
        <w:bottom w:val="none" w:sz="0" w:space="0" w:color="auto"/>
        <w:right w:val="none" w:sz="0" w:space="0" w:color="auto"/>
      </w:divBdr>
    </w:div>
    <w:div w:id="523517570">
      <w:bodyDiv w:val="1"/>
      <w:marLeft w:val="0"/>
      <w:marRight w:val="0"/>
      <w:marTop w:val="0"/>
      <w:marBottom w:val="0"/>
      <w:divBdr>
        <w:top w:val="none" w:sz="0" w:space="0" w:color="auto"/>
        <w:left w:val="none" w:sz="0" w:space="0" w:color="auto"/>
        <w:bottom w:val="none" w:sz="0" w:space="0" w:color="auto"/>
        <w:right w:val="none" w:sz="0" w:space="0" w:color="auto"/>
      </w:divBdr>
    </w:div>
    <w:div w:id="546112894">
      <w:bodyDiv w:val="1"/>
      <w:marLeft w:val="0"/>
      <w:marRight w:val="0"/>
      <w:marTop w:val="0"/>
      <w:marBottom w:val="0"/>
      <w:divBdr>
        <w:top w:val="none" w:sz="0" w:space="0" w:color="auto"/>
        <w:left w:val="none" w:sz="0" w:space="0" w:color="auto"/>
        <w:bottom w:val="none" w:sz="0" w:space="0" w:color="auto"/>
        <w:right w:val="none" w:sz="0" w:space="0" w:color="auto"/>
      </w:divBdr>
    </w:div>
    <w:div w:id="58002050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764736">
      <w:bodyDiv w:val="1"/>
      <w:marLeft w:val="0"/>
      <w:marRight w:val="0"/>
      <w:marTop w:val="0"/>
      <w:marBottom w:val="0"/>
      <w:divBdr>
        <w:top w:val="none" w:sz="0" w:space="0" w:color="auto"/>
        <w:left w:val="none" w:sz="0" w:space="0" w:color="auto"/>
        <w:bottom w:val="none" w:sz="0" w:space="0" w:color="auto"/>
        <w:right w:val="none" w:sz="0" w:space="0" w:color="auto"/>
      </w:divBdr>
    </w:div>
    <w:div w:id="92958149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089">
      <w:bodyDiv w:val="1"/>
      <w:marLeft w:val="0"/>
      <w:marRight w:val="0"/>
      <w:marTop w:val="0"/>
      <w:marBottom w:val="0"/>
      <w:divBdr>
        <w:top w:val="none" w:sz="0" w:space="0" w:color="auto"/>
        <w:left w:val="none" w:sz="0" w:space="0" w:color="auto"/>
        <w:bottom w:val="none" w:sz="0" w:space="0" w:color="auto"/>
        <w:right w:val="none" w:sz="0" w:space="0" w:color="auto"/>
      </w:divBdr>
    </w:div>
    <w:div w:id="1063866450">
      <w:bodyDiv w:val="1"/>
      <w:marLeft w:val="0"/>
      <w:marRight w:val="0"/>
      <w:marTop w:val="0"/>
      <w:marBottom w:val="0"/>
      <w:divBdr>
        <w:top w:val="none" w:sz="0" w:space="0" w:color="auto"/>
        <w:left w:val="none" w:sz="0" w:space="0" w:color="auto"/>
        <w:bottom w:val="none" w:sz="0" w:space="0" w:color="auto"/>
        <w:right w:val="none" w:sz="0" w:space="0" w:color="auto"/>
      </w:divBdr>
    </w:div>
    <w:div w:id="1075132990">
      <w:bodyDiv w:val="1"/>
      <w:marLeft w:val="0"/>
      <w:marRight w:val="0"/>
      <w:marTop w:val="0"/>
      <w:marBottom w:val="0"/>
      <w:divBdr>
        <w:top w:val="none" w:sz="0" w:space="0" w:color="auto"/>
        <w:left w:val="none" w:sz="0" w:space="0" w:color="auto"/>
        <w:bottom w:val="none" w:sz="0" w:space="0" w:color="auto"/>
        <w:right w:val="none" w:sz="0" w:space="0" w:color="auto"/>
      </w:divBdr>
    </w:div>
    <w:div w:id="1103300514">
      <w:bodyDiv w:val="1"/>
      <w:marLeft w:val="0"/>
      <w:marRight w:val="0"/>
      <w:marTop w:val="0"/>
      <w:marBottom w:val="0"/>
      <w:divBdr>
        <w:top w:val="none" w:sz="0" w:space="0" w:color="auto"/>
        <w:left w:val="none" w:sz="0" w:space="0" w:color="auto"/>
        <w:bottom w:val="none" w:sz="0" w:space="0" w:color="auto"/>
        <w:right w:val="none" w:sz="0" w:space="0" w:color="auto"/>
      </w:divBdr>
    </w:div>
    <w:div w:id="117415174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72498431">
      <w:bodyDiv w:val="1"/>
      <w:marLeft w:val="0"/>
      <w:marRight w:val="0"/>
      <w:marTop w:val="0"/>
      <w:marBottom w:val="0"/>
      <w:divBdr>
        <w:top w:val="none" w:sz="0" w:space="0" w:color="auto"/>
        <w:left w:val="none" w:sz="0" w:space="0" w:color="auto"/>
        <w:bottom w:val="none" w:sz="0" w:space="0" w:color="auto"/>
        <w:right w:val="none" w:sz="0" w:space="0" w:color="auto"/>
      </w:divBdr>
    </w:div>
    <w:div w:id="163810354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8624">
      <w:bodyDiv w:val="1"/>
      <w:marLeft w:val="0"/>
      <w:marRight w:val="0"/>
      <w:marTop w:val="0"/>
      <w:marBottom w:val="0"/>
      <w:divBdr>
        <w:top w:val="none" w:sz="0" w:space="0" w:color="auto"/>
        <w:left w:val="none" w:sz="0" w:space="0" w:color="auto"/>
        <w:bottom w:val="none" w:sz="0" w:space="0" w:color="auto"/>
        <w:right w:val="none" w:sz="0" w:space="0" w:color="auto"/>
      </w:divBdr>
    </w:div>
    <w:div w:id="1738237608">
      <w:bodyDiv w:val="1"/>
      <w:marLeft w:val="0"/>
      <w:marRight w:val="0"/>
      <w:marTop w:val="0"/>
      <w:marBottom w:val="0"/>
      <w:divBdr>
        <w:top w:val="none" w:sz="0" w:space="0" w:color="auto"/>
        <w:left w:val="none" w:sz="0" w:space="0" w:color="auto"/>
        <w:bottom w:val="none" w:sz="0" w:space="0" w:color="auto"/>
        <w:right w:val="none" w:sz="0" w:space="0" w:color="auto"/>
      </w:divBdr>
    </w:div>
    <w:div w:id="1783374824">
      <w:bodyDiv w:val="1"/>
      <w:marLeft w:val="0"/>
      <w:marRight w:val="0"/>
      <w:marTop w:val="0"/>
      <w:marBottom w:val="0"/>
      <w:divBdr>
        <w:top w:val="none" w:sz="0" w:space="0" w:color="auto"/>
        <w:left w:val="none" w:sz="0" w:space="0" w:color="auto"/>
        <w:bottom w:val="none" w:sz="0" w:space="0" w:color="auto"/>
        <w:right w:val="none" w:sz="0" w:space="0" w:color="auto"/>
      </w:divBdr>
    </w:div>
    <w:div w:id="1842697526">
      <w:bodyDiv w:val="1"/>
      <w:marLeft w:val="0"/>
      <w:marRight w:val="0"/>
      <w:marTop w:val="0"/>
      <w:marBottom w:val="0"/>
      <w:divBdr>
        <w:top w:val="none" w:sz="0" w:space="0" w:color="auto"/>
        <w:left w:val="none" w:sz="0" w:space="0" w:color="auto"/>
        <w:bottom w:val="none" w:sz="0" w:space="0" w:color="auto"/>
        <w:right w:val="none" w:sz="0" w:space="0" w:color="auto"/>
      </w:divBdr>
    </w:div>
    <w:div w:id="1890606580">
      <w:bodyDiv w:val="1"/>
      <w:marLeft w:val="0"/>
      <w:marRight w:val="0"/>
      <w:marTop w:val="0"/>
      <w:marBottom w:val="0"/>
      <w:divBdr>
        <w:top w:val="none" w:sz="0" w:space="0" w:color="auto"/>
        <w:left w:val="none" w:sz="0" w:space="0" w:color="auto"/>
        <w:bottom w:val="none" w:sz="0" w:space="0" w:color="auto"/>
        <w:right w:val="none" w:sz="0" w:space="0" w:color="auto"/>
      </w:divBdr>
    </w:div>
    <w:div w:id="1922713390">
      <w:bodyDiv w:val="1"/>
      <w:marLeft w:val="0"/>
      <w:marRight w:val="0"/>
      <w:marTop w:val="0"/>
      <w:marBottom w:val="0"/>
      <w:divBdr>
        <w:top w:val="none" w:sz="0" w:space="0" w:color="auto"/>
        <w:left w:val="none" w:sz="0" w:space="0" w:color="auto"/>
        <w:bottom w:val="none" w:sz="0" w:space="0" w:color="auto"/>
        <w:right w:val="none" w:sz="0" w:space="0" w:color="auto"/>
      </w:divBdr>
    </w:div>
    <w:div w:id="1986545810">
      <w:bodyDiv w:val="1"/>
      <w:marLeft w:val="0"/>
      <w:marRight w:val="0"/>
      <w:marTop w:val="0"/>
      <w:marBottom w:val="0"/>
      <w:divBdr>
        <w:top w:val="none" w:sz="0" w:space="0" w:color="auto"/>
        <w:left w:val="none" w:sz="0" w:space="0" w:color="auto"/>
        <w:bottom w:val="none" w:sz="0" w:space="0" w:color="auto"/>
        <w:right w:val="none" w:sz="0" w:space="0" w:color="auto"/>
      </w:divBdr>
    </w:div>
    <w:div w:id="2071228463">
      <w:bodyDiv w:val="1"/>
      <w:marLeft w:val="0"/>
      <w:marRight w:val="0"/>
      <w:marTop w:val="0"/>
      <w:marBottom w:val="0"/>
      <w:divBdr>
        <w:top w:val="none" w:sz="0" w:space="0" w:color="auto"/>
        <w:left w:val="none" w:sz="0" w:space="0" w:color="auto"/>
        <w:bottom w:val="none" w:sz="0" w:space="0" w:color="auto"/>
        <w:right w:val="none" w:sz="0" w:space="0" w:color="auto"/>
      </w:divBdr>
    </w:div>
    <w:div w:id="208418078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2078</TotalTime>
  <Pages>1</Pages>
  <Words>10198</Words>
  <Characters>56090</Characters>
  <Application>Microsoft Office Word</Application>
  <DocSecurity>0</DocSecurity>
  <Lines>467</Lines>
  <Paragraphs>132</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66156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Charbel El Hajj</cp:lastModifiedBy>
  <cp:revision>160</cp:revision>
  <cp:lastPrinted>2026-04-08T08:33:00Z</cp:lastPrinted>
  <dcterms:created xsi:type="dcterms:W3CDTF">2026-01-29T17:57:00Z</dcterms:created>
  <dcterms:modified xsi:type="dcterms:W3CDTF">2026-04-08T08:34:00Z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id="hVm4Hzgb"/&gt;&lt;style id="http://www.zotero.org/styles/harvard-educational-review" hasBibliography="1" bibliographyStyleHasBeenSet="1"/&gt;&lt;prefs&gt;&lt;pref name="fieldType" value="Field"/&gt;&lt;pref name="storeR</vt:lpwstr>
  </property>
  <property fmtid="{D5CDD505-2E9C-101B-9397-08002B2CF9AE}" pid="3" name="ZOTERO_PREF_2">
    <vt:lpwstr>eferences" value="true"/&gt;&lt;/prefs&gt;&lt;/data&gt;</vt:lpwstr>
  </property>
</Properties>
</file>