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F17DE"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3F17DE" w:rsidRDefault="000A03B2" w:rsidP="001D0AAF">
            <w:pPr>
              <w:rPr>
                <w:rFonts w:cs="Arial"/>
                <w:b/>
                <w:bCs/>
                <w:i/>
                <w:iCs/>
                <w:color w:val="000066"/>
                <w:sz w:val="12"/>
                <w:szCs w:val="12"/>
                <w:lang w:val="en-US" w:eastAsia="it-IT"/>
              </w:rPr>
            </w:pPr>
            <w:bookmarkStart w:id="0" w:name="_Hlk145068772"/>
            <w:r w:rsidRPr="003F17DE">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F17DE">
              <w:rPr>
                <w:rFonts w:ascii="AdvP6960" w:hAnsi="AdvP6960" w:cs="AdvP6960"/>
                <w:color w:val="241F20"/>
                <w:szCs w:val="18"/>
                <w:lang w:val="en-US" w:eastAsia="it-IT"/>
              </w:rPr>
              <w:t xml:space="preserve"> </w:t>
            </w:r>
            <w:r w:rsidRPr="003F17DE">
              <w:rPr>
                <w:rFonts w:cs="Arial"/>
                <w:b/>
                <w:bCs/>
                <w:i/>
                <w:iCs/>
                <w:color w:val="000066"/>
                <w:sz w:val="24"/>
                <w:szCs w:val="24"/>
                <w:lang w:val="en-US" w:eastAsia="it-IT"/>
              </w:rPr>
              <w:t>CHEMICAL ENGINEERING</w:t>
            </w:r>
            <w:r w:rsidRPr="003F17DE">
              <w:rPr>
                <w:rFonts w:cs="Arial"/>
                <w:b/>
                <w:bCs/>
                <w:i/>
                <w:iCs/>
                <w:color w:val="0033FF"/>
                <w:sz w:val="24"/>
                <w:szCs w:val="24"/>
                <w:lang w:val="en-US" w:eastAsia="it-IT"/>
              </w:rPr>
              <w:t xml:space="preserve"> </w:t>
            </w:r>
            <w:r w:rsidRPr="003F17DE">
              <w:rPr>
                <w:rFonts w:cs="Arial"/>
                <w:b/>
                <w:bCs/>
                <w:i/>
                <w:iCs/>
                <w:color w:val="666666"/>
                <w:sz w:val="24"/>
                <w:szCs w:val="24"/>
                <w:lang w:val="en-US" w:eastAsia="it-IT"/>
              </w:rPr>
              <w:t>TRANSACTIONS</w:t>
            </w:r>
            <w:r w:rsidRPr="003F17DE">
              <w:rPr>
                <w:color w:val="333333"/>
                <w:sz w:val="24"/>
                <w:szCs w:val="24"/>
                <w:lang w:val="en-US" w:eastAsia="it-IT"/>
              </w:rPr>
              <w:t xml:space="preserve"> </w:t>
            </w:r>
            <w:r w:rsidRPr="003F17DE">
              <w:rPr>
                <w:rFonts w:cs="Arial"/>
                <w:b/>
                <w:bCs/>
                <w:i/>
                <w:iCs/>
                <w:color w:val="000066"/>
                <w:sz w:val="27"/>
                <w:szCs w:val="27"/>
                <w:lang w:val="en-US" w:eastAsia="it-IT"/>
              </w:rPr>
              <w:br/>
            </w:r>
          </w:p>
          <w:p w14:paraId="4B780582" w14:textId="753620B8" w:rsidR="000A03B2" w:rsidRPr="003F17DE" w:rsidRDefault="00A76EFC" w:rsidP="001D21AF">
            <w:pPr>
              <w:tabs>
                <w:tab w:val="left" w:pos="-108"/>
              </w:tabs>
              <w:ind w:left="-108"/>
              <w:rPr>
                <w:rFonts w:cs="Arial"/>
                <w:b/>
                <w:bCs/>
                <w:i/>
                <w:iCs/>
                <w:color w:val="000066"/>
                <w:sz w:val="22"/>
                <w:szCs w:val="22"/>
                <w:lang w:val="en-US" w:eastAsia="it-IT"/>
              </w:rPr>
            </w:pPr>
            <w:r w:rsidRPr="003F17DE">
              <w:rPr>
                <w:rFonts w:cs="Arial"/>
                <w:b/>
                <w:bCs/>
                <w:i/>
                <w:iCs/>
                <w:color w:val="000066"/>
                <w:sz w:val="22"/>
                <w:szCs w:val="22"/>
                <w:lang w:val="en-US" w:eastAsia="it-IT"/>
              </w:rPr>
              <w:t>VOL.</w:t>
            </w:r>
            <w:r w:rsidR="00785BF9" w:rsidRPr="003F17DE">
              <w:rPr>
                <w:rFonts w:cs="Arial"/>
                <w:b/>
                <w:bCs/>
                <w:i/>
                <w:iCs/>
                <w:color w:val="000066"/>
                <w:sz w:val="22"/>
                <w:szCs w:val="22"/>
                <w:lang w:val="en-US" w:eastAsia="it-IT"/>
              </w:rPr>
              <w:t xml:space="preserve"> </w:t>
            </w:r>
            <w:r w:rsidR="00AD0278" w:rsidRPr="003F17DE">
              <w:rPr>
                <w:rFonts w:cs="Arial"/>
                <w:b/>
                <w:bCs/>
                <w:i/>
                <w:iCs/>
                <w:color w:val="000066"/>
                <w:sz w:val="22"/>
                <w:szCs w:val="22"/>
                <w:lang w:val="en-US" w:eastAsia="it-IT"/>
              </w:rPr>
              <w:t>xxx</w:t>
            </w:r>
            <w:r w:rsidR="007B48F9" w:rsidRPr="003F17DE">
              <w:rPr>
                <w:rFonts w:cs="Arial"/>
                <w:b/>
                <w:bCs/>
                <w:i/>
                <w:iCs/>
                <w:color w:val="000066"/>
                <w:sz w:val="22"/>
                <w:szCs w:val="22"/>
                <w:lang w:val="en-US" w:eastAsia="it-IT"/>
              </w:rPr>
              <w:t>,</w:t>
            </w:r>
            <w:r w:rsidR="00FA5F5F" w:rsidRPr="003F17DE">
              <w:rPr>
                <w:rFonts w:cs="Arial"/>
                <w:b/>
                <w:bCs/>
                <w:i/>
                <w:iCs/>
                <w:color w:val="000066"/>
                <w:sz w:val="22"/>
                <w:szCs w:val="22"/>
                <w:lang w:val="en-US" w:eastAsia="it-IT"/>
              </w:rPr>
              <w:t xml:space="preserve"> </w:t>
            </w:r>
            <w:r w:rsidR="0030152C" w:rsidRPr="003F17DE">
              <w:rPr>
                <w:rFonts w:cs="Arial"/>
                <w:b/>
                <w:bCs/>
                <w:i/>
                <w:iCs/>
                <w:color w:val="000066"/>
                <w:sz w:val="22"/>
                <w:szCs w:val="22"/>
                <w:lang w:val="en-US" w:eastAsia="it-IT"/>
              </w:rPr>
              <w:t>202</w:t>
            </w:r>
            <w:r w:rsidR="00AD0278" w:rsidRPr="003F17DE">
              <w:rPr>
                <w:rFonts w:cs="Arial"/>
                <w:b/>
                <w:bCs/>
                <w:i/>
                <w:iCs/>
                <w:color w:val="000066"/>
                <w:sz w:val="22"/>
                <w:szCs w:val="22"/>
                <w:lang w:val="en-US" w:eastAsia="it-IT"/>
              </w:rPr>
              <w:t>6</w:t>
            </w:r>
          </w:p>
        </w:tc>
        <w:tc>
          <w:tcPr>
            <w:tcW w:w="1843" w:type="dxa"/>
            <w:tcBorders>
              <w:left w:val="single" w:sz="4" w:space="0" w:color="auto"/>
              <w:bottom w:val="nil"/>
              <w:right w:val="single" w:sz="4" w:space="0" w:color="auto"/>
            </w:tcBorders>
          </w:tcPr>
          <w:p w14:paraId="56782132" w14:textId="77777777" w:rsidR="000A03B2" w:rsidRPr="003F17DE" w:rsidRDefault="000A03B2" w:rsidP="00CD5FE2">
            <w:pPr>
              <w:spacing w:line="140" w:lineRule="atLeast"/>
              <w:jc w:val="right"/>
              <w:rPr>
                <w:rFonts w:cs="Arial"/>
                <w:sz w:val="14"/>
                <w:szCs w:val="14"/>
                <w:lang w:val="en-US"/>
              </w:rPr>
            </w:pPr>
            <w:r w:rsidRPr="003F17DE">
              <w:rPr>
                <w:rFonts w:cs="Arial"/>
                <w:sz w:val="14"/>
                <w:szCs w:val="14"/>
                <w:lang w:val="en-US"/>
              </w:rPr>
              <w:t>A publication of</w:t>
            </w:r>
          </w:p>
          <w:p w14:paraId="599E5441" w14:textId="77777777" w:rsidR="000A03B2" w:rsidRPr="003F17DE" w:rsidRDefault="000A03B2" w:rsidP="00CD5FE2">
            <w:pPr>
              <w:jc w:val="right"/>
              <w:rPr>
                <w:lang w:val="en-US"/>
              </w:rPr>
            </w:pPr>
            <w:r w:rsidRPr="003F17DE">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F17DE" w14:paraId="380FA3CD" w14:textId="77777777" w:rsidTr="00DE264A">
        <w:trPr>
          <w:trHeight w:val="567"/>
          <w:jc w:val="center"/>
        </w:trPr>
        <w:tc>
          <w:tcPr>
            <w:tcW w:w="6946" w:type="dxa"/>
            <w:vMerge/>
            <w:tcBorders>
              <w:right w:val="single" w:sz="4" w:space="0" w:color="auto"/>
            </w:tcBorders>
          </w:tcPr>
          <w:p w14:paraId="39E5E4C1" w14:textId="77777777" w:rsidR="000A03B2" w:rsidRPr="003F17DE"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3F17DE" w:rsidRDefault="000A03B2" w:rsidP="00CD5FE2">
            <w:pPr>
              <w:spacing w:line="140" w:lineRule="atLeast"/>
              <w:jc w:val="right"/>
              <w:rPr>
                <w:rFonts w:cs="Arial"/>
                <w:sz w:val="14"/>
                <w:szCs w:val="14"/>
                <w:lang w:val="en-US"/>
              </w:rPr>
            </w:pPr>
            <w:r w:rsidRPr="003F17DE">
              <w:rPr>
                <w:rFonts w:cs="Arial"/>
                <w:sz w:val="14"/>
                <w:szCs w:val="14"/>
                <w:lang w:val="en-US"/>
              </w:rPr>
              <w:t>The Italian Association</w:t>
            </w:r>
          </w:p>
          <w:p w14:paraId="7522B1D2" w14:textId="77777777" w:rsidR="000A03B2" w:rsidRPr="003F17DE" w:rsidRDefault="000A03B2" w:rsidP="00CD5FE2">
            <w:pPr>
              <w:spacing w:line="140" w:lineRule="atLeast"/>
              <w:jc w:val="right"/>
              <w:rPr>
                <w:rFonts w:cs="Arial"/>
                <w:sz w:val="14"/>
                <w:szCs w:val="14"/>
                <w:lang w:val="en-US"/>
              </w:rPr>
            </w:pPr>
            <w:r w:rsidRPr="003F17DE">
              <w:rPr>
                <w:rFonts w:cs="Arial"/>
                <w:sz w:val="14"/>
                <w:szCs w:val="14"/>
                <w:lang w:val="en-US"/>
              </w:rPr>
              <w:t>of Chemical Engineering</w:t>
            </w:r>
          </w:p>
          <w:p w14:paraId="4F0CC5DE" w14:textId="47FDB2FC" w:rsidR="000A03B2" w:rsidRPr="003F17DE" w:rsidRDefault="000D0268" w:rsidP="00CD5FE2">
            <w:pPr>
              <w:spacing w:line="140" w:lineRule="atLeast"/>
              <w:jc w:val="right"/>
              <w:rPr>
                <w:rFonts w:cs="Arial"/>
                <w:sz w:val="13"/>
                <w:szCs w:val="13"/>
                <w:lang w:val="en-US"/>
              </w:rPr>
            </w:pPr>
            <w:r w:rsidRPr="003F17DE">
              <w:rPr>
                <w:rFonts w:cs="Arial"/>
                <w:sz w:val="13"/>
                <w:szCs w:val="13"/>
                <w:lang w:val="en-US"/>
              </w:rPr>
              <w:t>Online at www.cetjournal.it</w:t>
            </w:r>
          </w:p>
        </w:tc>
      </w:tr>
      <w:tr w:rsidR="000A03B2" w:rsidRPr="003F17DE" w14:paraId="2D1B7169" w14:textId="77777777" w:rsidTr="00DE264A">
        <w:trPr>
          <w:trHeight w:val="68"/>
          <w:jc w:val="center"/>
        </w:trPr>
        <w:tc>
          <w:tcPr>
            <w:tcW w:w="8789" w:type="dxa"/>
            <w:gridSpan w:val="2"/>
          </w:tcPr>
          <w:p w14:paraId="1D8DD3C9" w14:textId="61229B97" w:rsidR="00AA7D26" w:rsidRPr="003F17DE" w:rsidRDefault="004A5E57" w:rsidP="004A5E57">
            <w:pPr>
              <w:ind w:left="-107"/>
              <w:outlineLvl w:val="2"/>
              <w:rPr>
                <w:rFonts w:ascii="Tahoma" w:hAnsi="Tahoma" w:cs="Tahoma"/>
                <w:bCs/>
                <w:color w:val="000000"/>
                <w:sz w:val="14"/>
                <w:szCs w:val="14"/>
                <w:lang w:val="en-US" w:eastAsia="it-IT"/>
              </w:rPr>
            </w:pPr>
            <w:r w:rsidRPr="003F17DE">
              <w:rPr>
                <w:rFonts w:ascii="Tahoma" w:hAnsi="Tahoma" w:cs="Tahoma"/>
                <w:iCs/>
                <w:color w:val="333333"/>
                <w:sz w:val="14"/>
                <w:szCs w:val="14"/>
                <w:lang w:val="en-US" w:eastAsia="it-IT"/>
              </w:rPr>
              <w:t>Guest Editors:</w:t>
            </w:r>
            <w:r w:rsidRPr="003F17DE">
              <w:rPr>
                <w:rFonts w:ascii="Tahoma" w:hAnsi="Tahoma" w:cs="Tahoma"/>
                <w:color w:val="000000"/>
                <w:sz w:val="14"/>
                <w:szCs w:val="14"/>
                <w:shd w:val="clear" w:color="auto" w:fill="FFFFFF"/>
                <w:lang w:val="en-US"/>
              </w:rPr>
              <w:t xml:space="preserve"> </w:t>
            </w:r>
            <w:r w:rsidR="00EA3EF9" w:rsidRPr="003F17DE">
              <w:rPr>
                <w:rFonts w:ascii="Tahoma" w:hAnsi="Tahoma" w:cs="Tahoma"/>
                <w:color w:val="000000"/>
                <w:sz w:val="14"/>
                <w:szCs w:val="14"/>
                <w:shd w:val="clear" w:color="auto" w:fill="FFFFFF"/>
                <w:lang w:val="en-US"/>
              </w:rPr>
              <w:t xml:space="preserve">Leonardo Tognotti, </w:t>
            </w:r>
            <w:r w:rsidR="00EA3EF9" w:rsidRPr="003F17DE">
              <w:rPr>
                <w:rFonts w:ascii="Tahoma" w:hAnsi="Tahoma" w:cs="Tahoma"/>
                <w:color w:val="000000"/>
                <w:sz w:val="14"/>
                <w:szCs w:val="14"/>
                <w:lang w:val="en-US"/>
              </w:rPr>
              <w:t>Rubens Maciel Filho</w:t>
            </w:r>
            <w:r w:rsidR="00EA3EF9" w:rsidRPr="003F17DE">
              <w:rPr>
                <w:rFonts w:ascii="Tahoma" w:hAnsi="Tahoma" w:cs="Tahoma"/>
                <w:color w:val="000000"/>
                <w:sz w:val="14"/>
                <w:szCs w:val="14"/>
                <w:shd w:val="clear" w:color="auto" w:fill="FFFFFF"/>
                <w:lang w:val="en-US"/>
              </w:rPr>
              <w:t xml:space="preserve">, </w:t>
            </w:r>
            <w:r w:rsidR="00EA3EF9" w:rsidRPr="003F17DE">
              <w:rPr>
                <w:rFonts w:ascii="Tahoma" w:hAnsi="Tahoma" w:cs="Tahoma"/>
                <w:color w:val="000000"/>
                <w:sz w:val="14"/>
                <w:szCs w:val="14"/>
                <w:lang w:val="en-US"/>
              </w:rPr>
              <w:t>Viatcheslav Kafarov</w:t>
            </w:r>
          </w:p>
          <w:p w14:paraId="1B0F1814" w14:textId="710B7B96" w:rsidR="000A03B2" w:rsidRPr="003F17DE" w:rsidRDefault="00AA7D26" w:rsidP="00AA7D26">
            <w:pPr>
              <w:tabs>
                <w:tab w:val="left" w:pos="-108"/>
              </w:tabs>
              <w:spacing w:line="140" w:lineRule="atLeast"/>
              <w:ind w:left="-107"/>
              <w:jc w:val="left"/>
              <w:rPr>
                <w:lang w:val="en-US"/>
              </w:rPr>
            </w:pPr>
            <w:r w:rsidRPr="003F17DE">
              <w:rPr>
                <w:rFonts w:ascii="Tahoma" w:hAnsi="Tahoma" w:cs="Tahoma"/>
                <w:iCs/>
                <w:color w:val="333333"/>
                <w:sz w:val="14"/>
                <w:szCs w:val="14"/>
                <w:lang w:val="en-US" w:eastAsia="it-IT"/>
              </w:rPr>
              <w:t>Copyright © 202</w:t>
            </w:r>
            <w:r w:rsidR="00005884" w:rsidRPr="003F17DE">
              <w:rPr>
                <w:rFonts w:ascii="Tahoma" w:hAnsi="Tahoma" w:cs="Tahoma"/>
                <w:iCs/>
                <w:color w:val="333333"/>
                <w:sz w:val="14"/>
                <w:szCs w:val="14"/>
                <w:lang w:val="en-US" w:eastAsia="it-IT"/>
              </w:rPr>
              <w:t>6</w:t>
            </w:r>
            <w:r w:rsidRPr="003F17DE">
              <w:rPr>
                <w:rFonts w:ascii="Tahoma" w:hAnsi="Tahoma" w:cs="Tahoma"/>
                <w:iCs/>
                <w:color w:val="333333"/>
                <w:sz w:val="14"/>
                <w:szCs w:val="14"/>
                <w:lang w:val="en-US" w:eastAsia="it-IT"/>
              </w:rPr>
              <w:t xml:space="preserve">, AIDIC Servizi </w:t>
            </w:r>
            <w:proofErr w:type="spellStart"/>
            <w:r w:rsidRPr="003F17DE">
              <w:rPr>
                <w:rFonts w:ascii="Tahoma" w:hAnsi="Tahoma" w:cs="Tahoma"/>
                <w:iCs/>
                <w:color w:val="333333"/>
                <w:sz w:val="14"/>
                <w:szCs w:val="14"/>
                <w:lang w:val="en-US" w:eastAsia="it-IT"/>
              </w:rPr>
              <w:t>S.r.l</w:t>
            </w:r>
            <w:proofErr w:type="spellEnd"/>
            <w:r w:rsidRPr="003F17DE">
              <w:rPr>
                <w:rFonts w:ascii="Tahoma" w:hAnsi="Tahoma" w:cs="Tahoma"/>
                <w:iCs/>
                <w:color w:val="333333"/>
                <w:sz w:val="14"/>
                <w:szCs w:val="14"/>
                <w:lang w:val="en-US" w:eastAsia="it-IT"/>
              </w:rPr>
              <w:t>.</w:t>
            </w:r>
            <w:r w:rsidRPr="003F17DE">
              <w:rPr>
                <w:rFonts w:ascii="Tahoma" w:hAnsi="Tahoma" w:cs="Tahoma"/>
                <w:iCs/>
                <w:color w:val="333333"/>
                <w:sz w:val="14"/>
                <w:szCs w:val="14"/>
                <w:lang w:val="en-US" w:eastAsia="it-IT"/>
              </w:rPr>
              <w:br/>
            </w:r>
            <w:r w:rsidRPr="003F17DE">
              <w:rPr>
                <w:rFonts w:ascii="Tahoma" w:hAnsi="Tahoma" w:cs="Tahoma"/>
                <w:b/>
                <w:iCs/>
                <w:color w:val="000000"/>
                <w:sz w:val="14"/>
                <w:szCs w:val="14"/>
                <w:lang w:val="en-US" w:eastAsia="it-IT"/>
              </w:rPr>
              <w:t>ISBN</w:t>
            </w:r>
            <w:r w:rsidRPr="003F17DE">
              <w:rPr>
                <w:rFonts w:ascii="Tahoma" w:hAnsi="Tahoma" w:cs="Tahoma"/>
                <w:iCs/>
                <w:color w:val="000000"/>
                <w:sz w:val="14"/>
                <w:szCs w:val="14"/>
                <w:lang w:val="en-US" w:eastAsia="it-IT"/>
              </w:rPr>
              <w:t xml:space="preserve"> </w:t>
            </w:r>
            <w:r w:rsidR="00D2582C" w:rsidRPr="003F17DE">
              <w:rPr>
                <w:rFonts w:ascii="Tahoma" w:hAnsi="Tahoma" w:cs="Tahoma"/>
                <w:sz w:val="14"/>
                <w:szCs w:val="14"/>
                <w:lang w:val="en-US"/>
              </w:rPr>
              <w:t>979-12-81206-</w:t>
            </w:r>
            <w:r w:rsidR="00005884" w:rsidRPr="003F17DE">
              <w:rPr>
                <w:rFonts w:ascii="Tahoma" w:hAnsi="Tahoma" w:cs="Tahoma"/>
                <w:sz w:val="14"/>
                <w:szCs w:val="14"/>
                <w:lang w:val="en-US"/>
              </w:rPr>
              <w:t>xx</w:t>
            </w:r>
            <w:r w:rsidR="009041F8" w:rsidRPr="003F17DE">
              <w:rPr>
                <w:rFonts w:ascii="Tahoma" w:hAnsi="Tahoma" w:cs="Tahoma"/>
                <w:sz w:val="14"/>
                <w:szCs w:val="14"/>
                <w:lang w:val="en-US"/>
              </w:rPr>
              <w:t>-</w:t>
            </w:r>
            <w:r w:rsidR="00005884" w:rsidRPr="003F17DE">
              <w:rPr>
                <w:rFonts w:ascii="Tahoma" w:hAnsi="Tahoma" w:cs="Tahoma"/>
                <w:sz w:val="14"/>
                <w:szCs w:val="14"/>
                <w:lang w:val="en-US"/>
              </w:rPr>
              <w:t>x</w:t>
            </w:r>
            <w:r w:rsidRPr="003F17DE">
              <w:rPr>
                <w:rFonts w:ascii="Tahoma" w:hAnsi="Tahoma" w:cs="Tahoma"/>
                <w:iCs/>
                <w:color w:val="333333"/>
                <w:sz w:val="14"/>
                <w:szCs w:val="14"/>
                <w:lang w:val="en-US" w:eastAsia="it-IT"/>
              </w:rPr>
              <w:t xml:space="preserve">; </w:t>
            </w:r>
            <w:r w:rsidRPr="003F17DE">
              <w:rPr>
                <w:rFonts w:ascii="Tahoma" w:hAnsi="Tahoma" w:cs="Tahoma"/>
                <w:b/>
                <w:iCs/>
                <w:color w:val="333333"/>
                <w:sz w:val="14"/>
                <w:szCs w:val="14"/>
                <w:lang w:val="en-US" w:eastAsia="it-IT"/>
              </w:rPr>
              <w:t>ISSN</w:t>
            </w:r>
            <w:r w:rsidRPr="003F17DE">
              <w:rPr>
                <w:rFonts w:ascii="Tahoma" w:hAnsi="Tahoma" w:cs="Tahoma"/>
                <w:iCs/>
                <w:color w:val="333333"/>
                <w:sz w:val="14"/>
                <w:szCs w:val="14"/>
                <w:lang w:val="en-US" w:eastAsia="it-IT"/>
              </w:rPr>
              <w:t xml:space="preserve"> 2283-9216</w:t>
            </w:r>
          </w:p>
        </w:tc>
      </w:tr>
    </w:tbl>
    <w:bookmarkEnd w:id="0"/>
    <w:p w14:paraId="2E667253" w14:textId="2A56623C" w:rsidR="00E978D0" w:rsidRPr="003F17DE" w:rsidRDefault="00BF08C0" w:rsidP="00E978D0">
      <w:pPr>
        <w:pStyle w:val="CETTitle"/>
        <w:rPr>
          <w:lang w:val="en-US"/>
        </w:rPr>
      </w:pPr>
      <w:r w:rsidRPr="003F17DE">
        <w:rPr>
          <w:lang w:val="en-US"/>
        </w:rPr>
        <w:t xml:space="preserve">Evaluation of γ-Valerolactone as a Solvent </w:t>
      </w:r>
      <w:r w:rsidR="00B97767" w:rsidRPr="003F17DE">
        <w:rPr>
          <w:lang w:val="en-US"/>
        </w:rPr>
        <w:t>for</w:t>
      </w:r>
      <w:r w:rsidRPr="003F17DE">
        <w:rPr>
          <w:lang w:val="en-US"/>
        </w:rPr>
        <w:t xml:space="preserve"> Butyric Acid Recovery from Fermentation Broth</w:t>
      </w:r>
    </w:p>
    <w:p w14:paraId="0488FED2" w14:textId="40CFB678" w:rsidR="00B57E6F" w:rsidRPr="000F4856" w:rsidRDefault="00BF08C0" w:rsidP="00B57E6F">
      <w:pPr>
        <w:pStyle w:val="CETAuthors"/>
        <w:rPr>
          <w:lang w:val="pt-BR"/>
        </w:rPr>
      </w:pPr>
      <w:r w:rsidRPr="000F4856">
        <w:rPr>
          <w:lang w:val="pt-BR"/>
        </w:rPr>
        <w:t>Igor F. Fioravante</w:t>
      </w:r>
      <w:r w:rsidR="00B97767" w:rsidRPr="000F4856">
        <w:rPr>
          <w:lang w:val="pt-BR"/>
        </w:rPr>
        <w:t>, Riann de Q. Nóbrega, Gustavo Prancic, Jean F. Leal Silva</w:t>
      </w:r>
    </w:p>
    <w:p w14:paraId="22D576F3" w14:textId="77777777" w:rsidR="00B97767" w:rsidRPr="003F17DE" w:rsidRDefault="00B97767" w:rsidP="00B57E6F">
      <w:pPr>
        <w:pStyle w:val="CETAddress"/>
        <w:rPr>
          <w:lang w:val="en-US"/>
        </w:rPr>
      </w:pPr>
      <w:r w:rsidRPr="003F17DE">
        <w:rPr>
          <w:lang w:val="en-US"/>
        </w:rPr>
        <w:t>School of Chemical Engineering, University of Campinas (UNICAMP), Av Albert Einstein, 500, Campinas, SP, Brazil</w:t>
      </w:r>
    </w:p>
    <w:p w14:paraId="73F1267A" w14:textId="6E821A76" w:rsidR="00B57E6F" w:rsidRPr="003F17DE" w:rsidRDefault="00B97767" w:rsidP="00B57E6F">
      <w:pPr>
        <w:pStyle w:val="CETemail"/>
        <w:rPr>
          <w:lang w:val="en-US"/>
        </w:rPr>
      </w:pPr>
      <w:r w:rsidRPr="003F17DE">
        <w:rPr>
          <w:lang w:val="en-US"/>
        </w:rPr>
        <w:t>igorfioravante24@gmail.com</w:t>
      </w:r>
    </w:p>
    <w:p w14:paraId="375A05D0" w14:textId="2B2F3787" w:rsidR="00B97767" w:rsidRDefault="00B97767" w:rsidP="00484ACB">
      <w:pPr>
        <w:pStyle w:val="CETBodytext"/>
      </w:pPr>
      <w:r w:rsidRPr="003F17DE">
        <w:t>Butyric acid is a short-chain volatile fatty acid (VFA) that has emerged as a versatile platform molecule with a wide range of industrial applications. Traditionally, VFAs are synthesized from fossil-based raw materials; however, they can also be produced through fermentation of renewable biomass sources. However</w:t>
      </w:r>
      <w:r w:rsidR="002B75CF" w:rsidRPr="003F17DE">
        <w:t>,</w:t>
      </w:r>
      <w:r w:rsidRPr="003F17DE">
        <w:t xml:space="preserve"> </w:t>
      </w:r>
      <w:r w:rsidR="002B75CF" w:rsidRPr="003F17DE">
        <w:t>recovering these acids produced by biomass fermentation remains one of the most critical and cost-intensive steps, as the complex nature of fermentation broths complicates separation and can account for</w:t>
      </w:r>
      <w:r w:rsidRPr="003F17DE">
        <w:t xml:space="preserve"> nearly half of total production costs. Among </w:t>
      </w:r>
      <w:r w:rsidR="002B75CF" w:rsidRPr="003F17DE">
        <w:t xml:space="preserve">available recovery strategies, </w:t>
      </w:r>
      <w:r w:rsidR="00575E8F">
        <w:t>liquid-liquid</w:t>
      </w:r>
      <w:r w:rsidR="002B75CF" w:rsidRPr="003F17DE">
        <w:t xml:space="preserve"> extraction stands out as a desirable option due to its high selectivity and efficiency for</w:t>
      </w:r>
      <w:r w:rsidRPr="003F17DE">
        <w:t xml:space="preserve"> VFA separation. Various types of solvents have been proposed in the literature; however, in recent years, green solvents have emerged as environmentally friendly alternatives. γ-Valerolactone (GVL) is a chemically stable cyclic solvent (</w:t>
      </w:r>
      <w:r w:rsidR="002B75CF" w:rsidRPr="003F17DE">
        <w:t>C</w:t>
      </w:r>
      <w:r w:rsidR="002B75CF" w:rsidRPr="003F17DE">
        <w:rPr>
          <w:vertAlign w:val="subscript"/>
        </w:rPr>
        <w:t>5</w:t>
      </w:r>
      <w:r w:rsidR="002B75CF" w:rsidRPr="003F17DE">
        <w:t>H</w:t>
      </w:r>
      <w:r w:rsidR="002B75CF" w:rsidRPr="003F17DE">
        <w:rPr>
          <w:vertAlign w:val="subscript"/>
        </w:rPr>
        <w:t>8</w:t>
      </w:r>
      <w:r w:rsidR="002B75CF" w:rsidRPr="003F17DE">
        <w:t>O</w:t>
      </w:r>
      <w:r w:rsidR="002B75CF" w:rsidRPr="003F17DE">
        <w:rPr>
          <w:vertAlign w:val="subscript"/>
        </w:rPr>
        <w:t>2</w:t>
      </w:r>
      <w:r w:rsidRPr="003F17DE">
        <w:t>) primarily produced from levulinic acid or furfural</w:t>
      </w:r>
      <w:r w:rsidR="003F17DE">
        <w:t>, which are renewable chemicals</w:t>
      </w:r>
      <w:r w:rsidRPr="003F17DE">
        <w:t xml:space="preserve">. Owing to its favorable physicochemical properties, GVL can serve as a sustainable and green alternative to conventional organic solvents. </w:t>
      </w:r>
      <w:r w:rsidR="003F17DE">
        <w:t>This study</w:t>
      </w:r>
      <w:r w:rsidRPr="003F17DE">
        <w:t xml:space="preserve"> evaluate</w:t>
      </w:r>
      <w:r w:rsidR="003F17DE">
        <w:t>d</w:t>
      </w:r>
      <w:r w:rsidRPr="003F17DE">
        <w:t xml:space="preserve"> the efficiency of GVL for the </w:t>
      </w:r>
      <w:r w:rsidR="00575E8F">
        <w:t>liquid-liquid</w:t>
      </w:r>
      <w:r w:rsidRPr="003F17DE">
        <w:t xml:space="preserve"> extraction of butyric acid from fermentation broth.  Experimental conditions were optimized by varying the pH (2.5</w:t>
      </w:r>
      <w:r w:rsidR="00EF1382">
        <w:t>–</w:t>
      </w:r>
      <w:r w:rsidRPr="003F17DE">
        <w:t>4.5), stirring time (1</w:t>
      </w:r>
      <w:r w:rsidR="00EF1382">
        <w:t>–</w:t>
      </w:r>
      <w:r w:rsidRPr="003F17DE">
        <w:t xml:space="preserve">3 hours), </w:t>
      </w:r>
      <w:r w:rsidR="003F17DE">
        <w:t>solvent-to-butyric acid ratio</w:t>
      </w:r>
      <w:r w:rsidRPr="003F17DE">
        <w:t xml:space="preserve">, and butyric acid concentration. The results indicate that the highest separation efficiency for butyric acid was achieved at a pH of 2.5 and a stirring time of at least 2 hours. Separation efficiencies of over 78% were obtained for butyric acid in the best condition tested, which implies that GVL may be a promising solvent for butyric acid separation </w:t>
      </w:r>
      <w:r w:rsidR="003F17DE">
        <w:t>from</w:t>
      </w:r>
      <w:r w:rsidRPr="003F17DE">
        <w:t xml:space="preserve"> fermentation broth</w:t>
      </w:r>
      <w:r w:rsidR="003F17DE">
        <w:t>.</w:t>
      </w:r>
    </w:p>
    <w:p w14:paraId="07635728" w14:textId="77777777" w:rsidR="00FD26BB" w:rsidRPr="003F17DE" w:rsidRDefault="00FD26BB" w:rsidP="00484ACB">
      <w:pPr>
        <w:pStyle w:val="CETBodytext"/>
      </w:pPr>
    </w:p>
    <w:p w14:paraId="476B2F2E" w14:textId="77777777" w:rsidR="00600535" w:rsidRPr="003F17DE" w:rsidRDefault="00600535" w:rsidP="00484ACB">
      <w:pPr>
        <w:pStyle w:val="CETHeading1"/>
        <w:spacing w:before="0" w:after="0"/>
      </w:pPr>
      <w:r w:rsidRPr="003F17DE">
        <w:t>Introduction</w:t>
      </w:r>
    </w:p>
    <w:p w14:paraId="28A4792A" w14:textId="37EB30B2" w:rsidR="00B97767" w:rsidRPr="003F17DE" w:rsidRDefault="00B97767" w:rsidP="00B97767">
      <w:pPr>
        <w:pStyle w:val="CETBodytext"/>
      </w:pPr>
      <w:r w:rsidRPr="003F17DE">
        <w:t xml:space="preserve">Reducing carbon emissions is essential for ensuring a sustainable future and represents one of the greatest global challenges today. Replacing </w:t>
      </w:r>
      <w:r w:rsidR="00EF1382">
        <w:t>oil</w:t>
      </w:r>
      <w:r w:rsidRPr="003F17DE">
        <w:t>-based products with renewable alternatives and developing processes aligned with the principles of the circular economy are key steps toward achieving net-zero carbon emissions. Among the various strategies, biomass fermentation stands out as a promising route for producing bio-based platform chemicals that can replace fossil-derived counterparts</w:t>
      </w:r>
      <w:r w:rsidR="00EF1382">
        <w:t>, reduce environmental impact, and support the goals of sustainable production systems (Kelbert et al., 2024; López-Garzón and</w:t>
      </w:r>
      <w:r w:rsidRPr="003F17DE">
        <w:t xml:space="preserve"> </w:t>
      </w:r>
      <w:r w:rsidR="006B2666" w:rsidRPr="003F17DE">
        <w:t xml:space="preserve">Straathof, </w:t>
      </w:r>
      <w:r w:rsidRPr="003F17DE">
        <w:t>2014).</w:t>
      </w:r>
    </w:p>
    <w:p w14:paraId="48C9039E" w14:textId="50C47040" w:rsidR="00B97767" w:rsidRPr="003F17DE" w:rsidRDefault="00B97767" w:rsidP="00B97767">
      <w:pPr>
        <w:pStyle w:val="CETBodytext"/>
      </w:pPr>
      <w:r w:rsidRPr="003F17DE">
        <w:t>In the context of the circular economy, anaerobic fermentation of biomass enables the use of organic waste as a substrate to convert low-value residues into value-added chemicals</w:t>
      </w:r>
      <w:r w:rsidR="00EF1382">
        <w:t>, such as volatile fatty acids (VFAs), that are still predominantly produced from oil</w:t>
      </w:r>
      <w:r w:rsidRPr="003F17DE">
        <w:t>. VFAs are C2</w:t>
      </w:r>
      <w:r w:rsidR="00EF1382">
        <w:t>–</w:t>
      </w:r>
      <w:r w:rsidRPr="003F17DE">
        <w:t>C6 short-chain organic acids generated as intermediates during anaerobic fermentation. They are considered platform chemicals because they can serve as precursors for a wide range of products, including food and feed additives, biodegradable plastics, microbial oils, aviation fuels, biofuels, and other valuable compounds (Sun et al., 2024; Kim et al. 2022).</w:t>
      </w:r>
    </w:p>
    <w:p w14:paraId="629CA98D" w14:textId="60B876F1" w:rsidR="00B97767" w:rsidRPr="003F17DE" w:rsidRDefault="00B97767" w:rsidP="00B97767">
      <w:pPr>
        <w:pStyle w:val="CETBodytext"/>
      </w:pPr>
      <w:r w:rsidRPr="003F17DE">
        <w:t>Butyric acid (</w:t>
      </w:r>
      <w:proofErr w:type="spellStart"/>
      <w:r w:rsidRPr="003F17DE">
        <w:t>HBu</w:t>
      </w:r>
      <w:proofErr w:type="spellEnd"/>
      <w:r w:rsidRPr="003F17DE">
        <w:t xml:space="preserve">) is a four-carbon fatty acid that is predominantly produced synthetically from petroleum-derived feedstocks, although it can also be obtained through biomass fermentation. The growing interest in </w:t>
      </w:r>
      <w:proofErr w:type="spellStart"/>
      <w:r w:rsidRPr="003F17DE">
        <w:t>HBu</w:t>
      </w:r>
      <w:proofErr w:type="spellEnd"/>
      <w:r w:rsidRPr="003F17DE">
        <w:t xml:space="preserve"> and its esters stems from their wide range of industrial and biomedical applications. For instance, butyric acid is used to enhance food flavorings and fragrances</w:t>
      </w:r>
      <w:r w:rsidR="00EF1382">
        <w:t xml:space="preserve"> and has demonstrated therapeutic potential in treating</w:t>
      </w:r>
      <w:r w:rsidRPr="003F17DE">
        <w:t xml:space="preserve"> certain types of cancer. According to Technavio (2024) reports, the global butyric acid market was valued at USD 376.5 million in 2023 and is projected to reach USD 598.09 million by 2028, corresponding to a compound annual growth rate (CAGR) of 9.7%. This rapid increase in demand highlights the need to explore biological production routes, making biomass fermentation a promising and competitive alternative for large-scale </w:t>
      </w:r>
      <w:r w:rsidR="00275FCA">
        <w:t>butyric acid</w:t>
      </w:r>
      <w:r w:rsidRPr="003F17DE">
        <w:t xml:space="preserve"> production (Sun et a</w:t>
      </w:r>
      <w:r w:rsidR="00EF1382">
        <w:t>l</w:t>
      </w:r>
      <w:r w:rsidRPr="003F17DE">
        <w:t xml:space="preserve">. 2024; Kelbert et al. 2024; </w:t>
      </w:r>
      <w:proofErr w:type="spellStart"/>
      <w:r w:rsidRPr="003F17DE">
        <w:t>Gerunova</w:t>
      </w:r>
      <w:proofErr w:type="spellEnd"/>
      <w:r w:rsidRPr="003F17DE">
        <w:t xml:space="preserve"> et al., 2024; Chen et al. 2022).</w:t>
      </w:r>
    </w:p>
    <w:p w14:paraId="2F21684E" w14:textId="08AF363B" w:rsidR="00B97767" w:rsidRPr="003F17DE" w:rsidRDefault="00B97767" w:rsidP="00B97767">
      <w:pPr>
        <w:pStyle w:val="CETBodytext"/>
      </w:pPr>
      <w:r w:rsidRPr="003F17DE">
        <w:lastRenderedPageBreak/>
        <w:t xml:space="preserve">However, to make biomass fermentation a feasible alternative for butyric acid production, several challenges must be addressed, including the low yield of the acid, the instability of the acid composition, and the complex and costly downstream processes required to achieve the desired purity (Luo et al., 2018; Jiang et al., 2018). In fact, downstream operations can account for up to 50% of the total production cost, making the selection of </w:t>
      </w:r>
      <w:r w:rsidR="00EF1382" w:rsidRPr="003F17DE">
        <w:t>appropriate</w:t>
      </w:r>
      <w:r w:rsidRPr="003F17DE">
        <w:t xml:space="preserve"> separation technology crucial for process development. The downstream stage generally involves at least two main steps</w:t>
      </w:r>
      <w:r w:rsidR="00EF1382">
        <w:t xml:space="preserve"> (</w:t>
      </w:r>
      <w:r w:rsidRPr="003F17DE">
        <w:t>concentration and purification</w:t>
      </w:r>
      <w:r w:rsidR="00EF1382">
        <w:t xml:space="preserve">), </w:t>
      </w:r>
      <w:r w:rsidRPr="003F17DE">
        <w:t xml:space="preserve">and the choice of technique depends strongly on factors such as the required product purity, the </w:t>
      </w:r>
      <w:r w:rsidR="00EF1382">
        <w:t xml:space="preserve">butyric acid concentration </w:t>
      </w:r>
      <w:r w:rsidRPr="003F17DE">
        <w:t xml:space="preserve">in the fermentation broth, and the type of feedstock used. Among the technologies proposed in the literature for butyric acid recovery and purification, </w:t>
      </w:r>
      <w:r w:rsidR="00575E8F">
        <w:t>liquid-liquid</w:t>
      </w:r>
      <w:r w:rsidRPr="003F17DE">
        <w:t xml:space="preserve"> extraction has emerged as one of the most extensively investigated approaches (Kerlbert et al., 2024; Jiang et al., 2018).</w:t>
      </w:r>
    </w:p>
    <w:p w14:paraId="2FAB4943" w14:textId="39B26DA6" w:rsidR="00B97767" w:rsidRPr="003F17DE" w:rsidRDefault="00575E8F" w:rsidP="00B97767">
      <w:pPr>
        <w:pStyle w:val="CETBodytext"/>
      </w:pPr>
      <w:r>
        <w:t>Liquid-liquid</w:t>
      </w:r>
      <w:r w:rsidR="00B97767" w:rsidRPr="003F17DE">
        <w:t xml:space="preserve"> extraction</w:t>
      </w:r>
      <w:r w:rsidR="00EF1382">
        <w:t xml:space="preserve"> (or </w:t>
      </w:r>
      <w:r>
        <w:t>solvent</w:t>
      </w:r>
      <w:r w:rsidR="00EF1382">
        <w:t xml:space="preserve"> extraction)</w:t>
      </w:r>
      <w:r w:rsidR="00B97767" w:rsidRPr="003F17DE">
        <w:t xml:space="preserve"> is based on the principle that when an organic solvent phase is brought into contact with an aqueous phase containing the target molecule, this molecule can migrate from the aqueous phase to the organic phase depending on its affinity for the solvent, until equilibrium is reached. This affinity is quantified by the partition coefficient, which represents the ratio of the solute’s concentration in the organic phase to that in the aqueous phase at equilibrium. Therefore, the higher the partition coefficient of a substance </w:t>
      </w:r>
      <w:r w:rsidR="00EF1382">
        <w:t>on a</w:t>
      </w:r>
      <w:r w:rsidR="00B97767" w:rsidRPr="003F17DE">
        <w:t xml:space="preserve"> given solvent, the greater its affinity for that solvent. Consequently, the choice of solvent plays a crucial role in determining the overall cost and efficiency of the extraction process. In the literature, several types of solvents have been investigated for </w:t>
      </w:r>
      <w:r w:rsidR="00EF1382">
        <w:t>the separation of butyric acid</w:t>
      </w:r>
      <w:r w:rsidR="00B97767" w:rsidRPr="003F17DE">
        <w:t>, including esters, amines, carboxylic acids, and alcohols</w:t>
      </w:r>
      <w:r w:rsidR="00EF1382">
        <w:t xml:space="preserve">, </w:t>
      </w:r>
      <w:r w:rsidR="00B97767" w:rsidRPr="003F17DE">
        <w:t>often with the addition of salts to enhance extraction performance</w:t>
      </w:r>
      <w:r w:rsidR="0072313A">
        <w:t xml:space="preserve"> </w:t>
      </w:r>
      <w:r w:rsidR="0072313A" w:rsidRPr="0072313A">
        <w:t>(sal</w:t>
      </w:r>
      <w:r w:rsidR="0072313A">
        <w:t>ting-out)</w:t>
      </w:r>
      <w:r w:rsidR="00B97767" w:rsidRPr="003F17DE">
        <w:t>. However, due to environmental and safety concerns associated with many conventional organic solvents, recent studies have increasingly focused on green solvents, such as bio-based esters, ionic liquids, and deep eutectic solvents, as more sustainable and environmentally friendly alternatives (</w:t>
      </w:r>
      <w:r w:rsidR="0072313A">
        <w:t xml:space="preserve">Fioravante et al., 2025; </w:t>
      </w:r>
      <w:r w:rsidR="00B97767" w:rsidRPr="003F17DE">
        <w:t>Chen et al., 2022; López-</w:t>
      </w:r>
      <w:proofErr w:type="spellStart"/>
      <w:r w:rsidR="00B97767" w:rsidRPr="003F17DE">
        <w:t>Porfiri</w:t>
      </w:r>
      <w:proofErr w:type="spellEnd"/>
      <w:r w:rsidR="00B97767" w:rsidRPr="003F17DE">
        <w:t xml:space="preserve"> et al., 2020).</w:t>
      </w:r>
    </w:p>
    <w:p w14:paraId="1C989970" w14:textId="0ED3895C" w:rsidR="00B97767" w:rsidRDefault="00B97767" w:rsidP="00B97767">
      <w:pPr>
        <w:pStyle w:val="CETBodytext"/>
      </w:pPr>
      <w:r w:rsidRPr="003F17DE">
        <w:t>Among the emerging green solvents, γ-valerolactone (GVL) has gained particular attention due to its renewable origin, low toxicity, and excellent physicochemical properties. GVL is a stable cyclic ester derived from levulinic acid, which can be produced from lignocellulosic biomass</w:t>
      </w:r>
      <w:r w:rsidR="0072313A">
        <w:t xml:space="preserve">. Its </w:t>
      </w:r>
      <w:r w:rsidRPr="003F17DE">
        <w:t>properties</w:t>
      </w:r>
      <w:r w:rsidR="0072313A">
        <w:t xml:space="preserve"> </w:t>
      </w:r>
      <w:r w:rsidRPr="003F17DE">
        <w:t>make it an effective</w:t>
      </w:r>
      <w:r w:rsidR="0072313A">
        <w:t>, environmentally friendly solvent for extracting</w:t>
      </w:r>
      <w:r w:rsidRPr="003F17DE">
        <w:t xml:space="preserve"> </w:t>
      </w:r>
      <w:r w:rsidR="0072313A">
        <w:t>butyric acid</w:t>
      </w:r>
      <w:r w:rsidRPr="003F17DE">
        <w:t xml:space="preserve">, offering a promising alternative to conventional </w:t>
      </w:r>
      <w:r w:rsidR="0072313A">
        <w:t>oil</w:t>
      </w:r>
      <w:r w:rsidRPr="003F17DE">
        <w:t xml:space="preserve">-based solvents (Dantas </w:t>
      </w:r>
      <w:r w:rsidR="0072313A">
        <w:t>and</w:t>
      </w:r>
      <w:r w:rsidRPr="003F17DE">
        <w:t xml:space="preserve"> Ceriani</w:t>
      </w:r>
      <w:r w:rsidR="0072313A">
        <w:t>,</w:t>
      </w:r>
      <w:r w:rsidRPr="003F17DE">
        <w:t xml:space="preserve"> 2022; Wong et al., 2017).</w:t>
      </w:r>
      <w:r w:rsidR="0072313A">
        <w:t xml:space="preserve"> </w:t>
      </w:r>
      <w:r w:rsidRPr="003F17DE">
        <w:t xml:space="preserve">The production of butyric acid from biomass fermentation using waste materials already represents </w:t>
      </w:r>
      <w:proofErr w:type="gramStart"/>
      <w:r w:rsidRPr="003F17DE">
        <w:t>a significant</w:t>
      </w:r>
      <w:proofErr w:type="gramEnd"/>
      <w:r w:rsidRPr="003F17DE">
        <w:t xml:space="preserve"> environmental advancement, especially when combined with </w:t>
      </w:r>
      <w:r w:rsidR="0072313A">
        <w:t xml:space="preserve">green solvents that minimize </w:t>
      </w:r>
      <w:r w:rsidRPr="003F17DE">
        <w:t xml:space="preserve">reliance on toxic chemicals and align with circular economy principles. </w:t>
      </w:r>
      <w:r w:rsidR="0051363A">
        <w:t>T</w:t>
      </w:r>
      <w:r w:rsidRPr="003F17DE">
        <w:t xml:space="preserve">he aim of this work is to evaluate the efficiency of γ-valerolactone (GVL) as a green solvent for the </w:t>
      </w:r>
      <w:r w:rsidR="00575E8F">
        <w:t>liquid-liquid</w:t>
      </w:r>
      <w:r w:rsidRPr="003F17DE">
        <w:t xml:space="preserve"> extraction of butyric acid.</w:t>
      </w:r>
    </w:p>
    <w:p w14:paraId="0816EB84" w14:textId="77777777" w:rsidR="00FD26BB" w:rsidRPr="003F17DE" w:rsidRDefault="00FD26BB" w:rsidP="00B97767">
      <w:pPr>
        <w:pStyle w:val="CETBodytext"/>
      </w:pPr>
    </w:p>
    <w:p w14:paraId="22A5DA2C" w14:textId="5E8CB62A" w:rsidR="00B97767" w:rsidRPr="003F17DE" w:rsidRDefault="00B97767" w:rsidP="00484ACB">
      <w:pPr>
        <w:pStyle w:val="CETHeading1"/>
        <w:spacing w:before="0" w:after="0"/>
      </w:pPr>
      <w:r w:rsidRPr="003F17DE">
        <w:t>Methodology</w:t>
      </w:r>
    </w:p>
    <w:p w14:paraId="03B5EF3E" w14:textId="358F3880" w:rsidR="00B97767" w:rsidRPr="003F17DE" w:rsidRDefault="00B97767" w:rsidP="00B97767">
      <w:pPr>
        <w:pStyle w:val="CETheadingx"/>
      </w:pPr>
      <w:r w:rsidRPr="003F17DE">
        <w:t>Materials</w:t>
      </w:r>
    </w:p>
    <w:p w14:paraId="15DEE28C" w14:textId="3AF5EEAF" w:rsidR="00B97767" w:rsidRPr="003F17DE" w:rsidRDefault="00B97767" w:rsidP="00600535">
      <w:pPr>
        <w:pStyle w:val="CETBodytext"/>
      </w:pPr>
      <w:r w:rsidRPr="003F17DE">
        <w:t xml:space="preserve">γ-Valerolactone (GVL) and </w:t>
      </w:r>
      <w:r w:rsidR="0072313A">
        <w:t>lactic</w:t>
      </w:r>
      <w:r w:rsidRPr="003F17DE">
        <w:t xml:space="preserve"> acid were supplied by Sigma-Aldrich (USA), while potassium hydroxide was provided by </w:t>
      </w:r>
      <w:proofErr w:type="spellStart"/>
      <w:r w:rsidRPr="003F17DE">
        <w:t>Anidrol</w:t>
      </w:r>
      <w:proofErr w:type="spellEnd"/>
      <w:r w:rsidRPr="003F17DE">
        <w:t xml:space="preserve"> (Brazil). Butyric, propionic</w:t>
      </w:r>
      <w:r w:rsidR="0072313A">
        <w:t>,</w:t>
      </w:r>
      <w:r w:rsidRPr="003F17DE">
        <w:t xml:space="preserve"> and acetic acids were purchased from </w:t>
      </w:r>
      <w:proofErr w:type="spellStart"/>
      <w:r w:rsidRPr="003F17DE">
        <w:t>Êxodo</w:t>
      </w:r>
      <w:proofErr w:type="spellEnd"/>
      <w:r w:rsidRPr="003F17DE">
        <w:t xml:space="preserve"> </w:t>
      </w:r>
      <w:proofErr w:type="spellStart"/>
      <w:r w:rsidRPr="003F17DE">
        <w:t>Científica</w:t>
      </w:r>
      <w:proofErr w:type="spellEnd"/>
      <w:r w:rsidRPr="003F17DE">
        <w:t xml:space="preserve"> (Brazil), phosphoric acid was obtained from </w:t>
      </w:r>
      <w:proofErr w:type="spellStart"/>
      <w:r w:rsidRPr="003F17DE">
        <w:t>Dinâmica</w:t>
      </w:r>
      <w:proofErr w:type="spellEnd"/>
      <w:r w:rsidRPr="003F17DE">
        <w:t xml:space="preserve"> (Brazil. Ultrapure water was produced using a Master System MS20000 ALL unit (GEHAKA, Brazil). pH measurements were carried out with an mPA2010 pH meter (MS </w:t>
      </w:r>
      <w:proofErr w:type="spellStart"/>
      <w:r w:rsidRPr="003F17DE">
        <w:t>Tecnopon</w:t>
      </w:r>
      <w:proofErr w:type="spellEnd"/>
      <w:r w:rsidRPr="003F17DE">
        <w:t xml:space="preserve">® </w:t>
      </w:r>
      <w:proofErr w:type="spellStart"/>
      <w:r w:rsidRPr="003F17DE">
        <w:t>Instrumentação</w:t>
      </w:r>
      <w:proofErr w:type="spellEnd"/>
      <w:r w:rsidRPr="003F17DE">
        <w:t xml:space="preserve">, Brazil). All experiments were conducted in a jacketed reactor system model MA 505/5FEQ (MARCONI, Brazil). The </w:t>
      </w:r>
      <w:r w:rsidR="0072313A">
        <w:t>sample concentrations</w:t>
      </w:r>
      <w:r w:rsidRPr="003F17DE">
        <w:t xml:space="preserve"> were determined by high-performance liquid chromatography (HPLC) using an Agilent 1260 Infinity II system (Agilent Technologies, USA).</w:t>
      </w:r>
    </w:p>
    <w:p w14:paraId="6CFABA91" w14:textId="2E38FE3E" w:rsidR="00B97767" w:rsidRPr="003F17DE" w:rsidRDefault="00B97767" w:rsidP="00B97767">
      <w:pPr>
        <w:pStyle w:val="CETheadingx"/>
      </w:pPr>
      <w:r w:rsidRPr="003F17DE">
        <w:t>VFA solution</w:t>
      </w:r>
    </w:p>
    <w:p w14:paraId="614E3FF1" w14:textId="13C8C5C4" w:rsidR="00B97767" w:rsidRPr="003F17DE" w:rsidRDefault="00B97767" w:rsidP="00600535">
      <w:pPr>
        <w:pStyle w:val="CETBodytext"/>
      </w:pPr>
      <w:r w:rsidRPr="003F17DE">
        <w:t xml:space="preserve">The concentration of volatile fatty acids (VFAs) </w:t>
      </w:r>
      <w:r w:rsidR="0072313A">
        <w:t>in the synthetic medium prepared for this study was based on experimental results obtained through internal communication with a company developing the fermentation process</w:t>
      </w:r>
      <w:r w:rsidRPr="003F17DE">
        <w:t xml:space="preserve">. </w:t>
      </w:r>
      <w:r w:rsidR="0072313A">
        <w:t>This process is based on fermentation using a mixed microbial culture and residues from an organic sugar industry as substrate, yielding</w:t>
      </w:r>
      <w:r w:rsidRPr="003F17DE">
        <w:t xml:space="preserve"> 33 g/L of butyric acid, 13 g/L of propionic acid, and 2.4 g/L of both acetic and lactic acids. Accordingly, a synthetic solution was prepared with these concentrations using Type I ultrapure water. In addition, a second synthetic solution containing 87 g/L of butyric acid, 20 g/L of propionic acid, and 5</w:t>
      </w:r>
      <w:r w:rsidR="00275FCA">
        <w:t>.0</w:t>
      </w:r>
      <w:r w:rsidRPr="003F17DE">
        <w:t xml:space="preserve"> g/L of acetic and lactic acids </w:t>
      </w:r>
      <w:proofErr w:type="gramStart"/>
      <w:r w:rsidRPr="003F17DE">
        <w:t>was</w:t>
      </w:r>
      <w:proofErr w:type="gramEnd"/>
      <w:r w:rsidRPr="003F17DE">
        <w:t xml:space="preserve"> also prepared. To simulate the conditions of an actual fermentation process, the pH of the solutions was initially adjusted to 6.5, corresponding to the optimal pH for butyric acid production, and then sequentially adjusted to 5.0, 3.5, and 2.0 using phosphoric acid. This pH range was selected to encompass the transition of butyric acid from its </w:t>
      </w:r>
      <w:r w:rsidR="0072313A">
        <w:t>ionized</w:t>
      </w:r>
      <w:r w:rsidRPr="003F17DE">
        <w:t xml:space="preserve"> to its </w:t>
      </w:r>
      <w:r w:rsidR="0072313A">
        <w:t>molecular</w:t>
      </w:r>
      <w:r w:rsidRPr="003F17DE">
        <w:t xml:space="preserve"> form (</w:t>
      </w:r>
      <w:proofErr w:type="spellStart"/>
      <w:r w:rsidRPr="003F17DE">
        <w:t>pKa</w:t>
      </w:r>
      <w:proofErr w:type="spellEnd"/>
      <w:r w:rsidRPr="003F17DE">
        <w:t xml:space="preserve"> = 4.74), allowing assessment of its interaction with the solvent.</w:t>
      </w:r>
    </w:p>
    <w:p w14:paraId="6BD409F2" w14:textId="4501434E" w:rsidR="00B97767" w:rsidRPr="003F17DE" w:rsidRDefault="00575E8F" w:rsidP="00B97767">
      <w:pPr>
        <w:pStyle w:val="CETheadingx"/>
      </w:pPr>
      <w:r>
        <w:lastRenderedPageBreak/>
        <w:t>Liquid-liquid</w:t>
      </w:r>
      <w:r w:rsidR="00B97767" w:rsidRPr="003F17DE">
        <w:t xml:space="preserve"> extraction</w:t>
      </w:r>
    </w:p>
    <w:p w14:paraId="1F4F6344" w14:textId="7944EFDA" w:rsidR="00B97767" w:rsidRPr="003F17DE" w:rsidRDefault="00B97767" w:rsidP="00B97767">
      <w:pPr>
        <w:pStyle w:val="CETBodytext"/>
      </w:pPr>
      <w:r w:rsidRPr="003F17DE">
        <w:t>The liquid</w:t>
      </w:r>
      <w:r w:rsidR="00FD26BB">
        <w:t>-</w:t>
      </w:r>
      <w:r w:rsidRPr="003F17DE">
        <w:t xml:space="preserve">liquid extraction experiments were carried out using acidified synthetic fermentation media and γ-valerolactone (GVL) as the extracting agent. Each trial employed 12.5 mL of sample, with the pH adjusted between 2.5 and 4.5. The extraction procedure was adapted from the method described by Alao et al. (2023) for lactic acid recovery, with </w:t>
      </w:r>
      <w:r w:rsidR="00265D07">
        <w:t xml:space="preserve">modifications to account for GVL's unique behavior </w:t>
      </w:r>
      <w:r w:rsidRPr="003F17DE">
        <w:t>in aqueous systems. Consequently, the stirring and decantation times were adjusted to optimize phase separation and extraction performance.</w:t>
      </w:r>
      <w:r w:rsidR="00FD26BB">
        <w:t xml:space="preserve"> </w:t>
      </w:r>
    </w:p>
    <w:p w14:paraId="6EC7389E" w14:textId="01C463D6" w:rsidR="00B97767" w:rsidRDefault="00B97767" w:rsidP="00B97767">
      <w:pPr>
        <w:pStyle w:val="CETBodytext"/>
      </w:pPr>
      <w:r w:rsidRPr="003F17DE">
        <w:t xml:space="preserve">The mixtures were prepared in beakers at room temperature and stirred at 150 rpm for 2 hours. The solvent-to-aqueous phase volume ratio was maintained at 1:1 for </w:t>
      </w:r>
      <w:r w:rsidR="00265D07">
        <w:t>experiments investigating the effects of pH and butyric acid concentration, yielding</w:t>
      </w:r>
      <w:r w:rsidRPr="003F17DE">
        <w:t xml:space="preserve"> a total mixture volume of 20 </w:t>
      </w:r>
      <w:proofErr w:type="spellStart"/>
      <w:r w:rsidRPr="003F17DE">
        <w:t>mL.</w:t>
      </w:r>
      <w:proofErr w:type="spellEnd"/>
      <w:r w:rsidRPr="003F17DE">
        <w:t xml:space="preserve"> An additional experiment was performed at pH 2.5 using a solvent-to-feed ratio of 0.5:1. After agitation, the mixtures were transferred to separatory funnels and left to settle overnight to ensure complete phase separation. Subsequently, 2 mL </w:t>
      </w:r>
      <w:r w:rsidR="00265D07">
        <w:t>samples</w:t>
      </w:r>
      <w:r w:rsidRPr="003F17DE">
        <w:t xml:space="preserve"> were collected from both the organic and aqueous phases, transferred </w:t>
      </w:r>
      <w:r w:rsidR="00265D07">
        <w:t>to vials, and stored at -5 °C</w:t>
      </w:r>
      <w:r w:rsidRPr="003F17DE">
        <w:t xml:space="preserve"> for further analysis.</w:t>
      </w:r>
    </w:p>
    <w:p w14:paraId="79338D6B" w14:textId="1845729C" w:rsidR="00B97767" w:rsidRPr="003F17DE" w:rsidRDefault="00B97767" w:rsidP="00B97767">
      <w:pPr>
        <w:pStyle w:val="CETheadingx"/>
      </w:pPr>
      <w:r w:rsidRPr="003F17DE">
        <w:t>Sample analysis</w:t>
      </w:r>
    </w:p>
    <w:p w14:paraId="105922B9" w14:textId="692BBFC7" w:rsidR="00B97767" w:rsidRPr="003F17DE" w:rsidRDefault="00B97767" w:rsidP="00484ACB">
      <w:pPr>
        <w:pStyle w:val="CETBodytext"/>
      </w:pPr>
      <w:r w:rsidRPr="003F17DE">
        <w:t xml:space="preserve">The sample analysis was performed using an Agilent 1260 Infinity II HPLC system (Agilent Technologies, USA) equipped with an HPX-87H column (1.3 × 7.8 mm) with the temperature maintained at 15 °C during the runs. The injection volume was 20 µL, and the eluent </w:t>
      </w:r>
      <w:r w:rsidR="0000422A">
        <w:t>was an aqueous 3 mmol/L sulfuric acid solution</w:t>
      </w:r>
      <w:r w:rsidRPr="003F17DE">
        <w:t xml:space="preserve"> delivered at a constant flow rate of 0.5 mL/min. Calibration curves were constructed using standard solutions of butyric acid at concentrations of 8.0, 4.8, 3.2, 1.6, and 0.8 g/L. The linear regression of the calibration data yielded Equation (1)</w:t>
      </w:r>
      <w:r w:rsidR="0000422A">
        <w:t>, which</w:t>
      </w:r>
      <w:r w:rsidRPr="003F17DE">
        <w:t xml:space="preserve"> was used to determine the butyric acid concentration</w:t>
      </w:r>
      <w:r w:rsidR="0000422A">
        <w:t>. In this equation</w:t>
      </w:r>
      <w:r w:rsidRPr="003F17DE">
        <w:t>,</w:t>
      </w:r>
      <w:r w:rsidR="0000422A">
        <w:t xml:space="preserve"> </w:t>
      </w:r>
      <m:oMath>
        <m:sSub>
          <m:sSubPr>
            <m:ctrlPr>
              <w:rPr>
                <w:rFonts w:ascii="Cambria Math" w:hAnsi="Cambria Math"/>
                <w:i/>
              </w:rPr>
            </m:ctrlPr>
          </m:sSubPr>
          <m:e>
            <m:r>
              <w:rPr>
                <w:rFonts w:ascii="Cambria Math" w:hAnsi="Cambria Math"/>
              </w:rPr>
              <m:t>S</m:t>
            </m:r>
          </m:e>
          <m:sub>
            <m:r>
              <w:rPr>
                <w:rFonts w:ascii="Cambria Math" w:hAnsi="Cambria Math"/>
              </w:rPr>
              <m:t>HBu</m:t>
            </m:r>
          </m:sub>
        </m:sSub>
      </m:oMath>
      <w:r w:rsidR="0000422A">
        <w:t xml:space="preserve"> </w:t>
      </w:r>
      <w:r w:rsidRPr="003F17DE">
        <w:t xml:space="preserve">represents the peak area corresponding to butyric acid and </w:t>
      </w:r>
      <m:oMath>
        <m:sSub>
          <m:sSubPr>
            <m:ctrlPr>
              <w:rPr>
                <w:rFonts w:ascii="Cambria Math" w:hAnsi="Cambria Math"/>
                <w:i/>
              </w:rPr>
            </m:ctrlPr>
          </m:sSubPr>
          <m:e>
            <m:r>
              <w:rPr>
                <w:rFonts w:ascii="Cambria Math" w:hAnsi="Cambria Math"/>
              </w:rPr>
              <m:t>C</m:t>
            </m:r>
          </m:e>
          <m:sub>
            <m:r>
              <w:rPr>
                <w:rFonts w:ascii="Cambria Math" w:hAnsi="Cambria Math"/>
              </w:rPr>
              <m:t>HBu</m:t>
            </m:r>
          </m:sub>
        </m:sSub>
      </m:oMath>
      <w:r w:rsidR="0000422A">
        <w:t xml:space="preserve"> </w:t>
      </w:r>
      <w:r w:rsidRPr="003F17DE">
        <w:t>denotes its concentration</w:t>
      </w:r>
      <w:r w:rsidR="0000422A">
        <w:t>.</w:t>
      </w:r>
    </w:p>
    <w:tbl>
      <w:tblPr>
        <w:tblW w:w="5000" w:type="pct"/>
        <w:tblLook w:val="04A0" w:firstRow="1" w:lastRow="0" w:firstColumn="1" w:lastColumn="0" w:noHBand="0" w:noVBand="1"/>
      </w:tblPr>
      <w:tblGrid>
        <w:gridCol w:w="7986"/>
        <w:gridCol w:w="801"/>
      </w:tblGrid>
      <w:tr w:rsidR="00B97767" w:rsidRPr="003F17DE" w14:paraId="13C4F215" w14:textId="77777777" w:rsidTr="00B97767">
        <w:tc>
          <w:tcPr>
            <w:tcW w:w="7986" w:type="dxa"/>
            <w:vAlign w:val="center"/>
          </w:tcPr>
          <w:p w14:paraId="76BD3643" w14:textId="3F856807" w:rsidR="00B97767" w:rsidRPr="003F17DE" w:rsidRDefault="00000000" w:rsidP="00484ACB">
            <w:pPr>
              <w:pStyle w:val="CETEquation"/>
              <w:spacing w:before="0" w:after="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HBu</m:t>
                    </m:r>
                  </m:sub>
                </m:sSub>
                <m:r>
                  <w:rPr>
                    <w:rFonts w:ascii="Cambria Math" w:hAnsi="Cambria Math"/>
                    <w:lang w:val="en-US"/>
                  </w:rPr>
                  <m:t>=288730∙CHBu+87349</m:t>
                </m:r>
              </m:oMath>
            </m:oMathPara>
          </w:p>
        </w:tc>
        <w:tc>
          <w:tcPr>
            <w:tcW w:w="801" w:type="dxa"/>
            <w:vAlign w:val="center"/>
          </w:tcPr>
          <w:p w14:paraId="53D7AAEC" w14:textId="77777777" w:rsidR="00B97767" w:rsidRPr="003F17DE" w:rsidRDefault="00B97767" w:rsidP="00484ACB">
            <w:pPr>
              <w:pStyle w:val="CETEquation"/>
              <w:spacing w:before="0" w:after="0"/>
              <w:jc w:val="right"/>
              <w:rPr>
                <w:lang w:val="en-US"/>
              </w:rPr>
            </w:pPr>
            <w:r w:rsidRPr="003F17DE">
              <w:rPr>
                <w:lang w:val="en-US"/>
              </w:rPr>
              <w:t>(1)</w:t>
            </w:r>
          </w:p>
        </w:tc>
      </w:tr>
    </w:tbl>
    <w:p w14:paraId="0C78CD96" w14:textId="400AD6FA" w:rsidR="00B97767" w:rsidRPr="003F17DE" w:rsidRDefault="00B97767" w:rsidP="00484ACB">
      <w:pPr>
        <w:pStyle w:val="CETBodytext"/>
      </w:pPr>
      <w:r w:rsidRPr="003F17DE">
        <w:t xml:space="preserve">The extraction recovery ratio of butyric acid was calculated using Equation (2), where </w:t>
      </w:r>
      <m:oMath>
        <m:sSub>
          <m:sSubPr>
            <m:ctrlPr>
              <w:rPr>
                <w:rFonts w:ascii="Cambria Math" w:hAnsi="Cambria Math"/>
                <w:i/>
              </w:rPr>
            </m:ctrlPr>
          </m:sSubPr>
          <m:e>
            <m:r>
              <w:rPr>
                <w:rFonts w:ascii="Cambria Math" w:hAnsi="Cambria Math"/>
              </w:rPr>
              <m:t>C</m:t>
            </m:r>
          </m:e>
          <m:sub>
            <m:r>
              <w:rPr>
                <w:rFonts w:ascii="Cambria Math" w:hAnsi="Cambria Math"/>
              </w:rPr>
              <m:t>HBu,0</m:t>
            </m:r>
          </m:sub>
        </m:sSub>
      </m:oMath>
      <w:r w:rsidR="0000422A">
        <w:t xml:space="preserve"> </w:t>
      </w:r>
      <w:r w:rsidRPr="003F17DE">
        <w:t xml:space="preserve">and </w:t>
      </w:r>
      <m:oMath>
        <m:sSub>
          <m:sSubPr>
            <m:ctrlPr>
              <w:rPr>
                <w:rFonts w:ascii="Cambria Math" w:hAnsi="Cambria Math"/>
                <w:i/>
              </w:rPr>
            </m:ctrlPr>
          </m:sSubPr>
          <m:e>
            <m:r>
              <w:rPr>
                <w:rFonts w:ascii="Cambria Math" w:hAnsi="Cambria Math"/>
              </w:rPr>
              <m:t>C</m:t>
            </m:r>
          </m:e>
          <m:sub>
            <m:r>
              <w:rPr>
                <w:rFonts w:ascii="Cambria Math" w:hAnsi="Cambria Math"/>
              </w:rPr>
              <m:t>HBu,f</m:t>
            </m:r>
          </m:sub>
        </m:sSub>
      </m:oMath>
      <w:r w:rsidR="0000422A">
        <w:t xml:space="preserve"> </w:t>
      </w:r>
      <w:r w:rsidRPr="003F17DE">
        <w:t xml:space="preserve">are the concentrations of </w:t>
      </w:r>
      <w:r w:rsidR="0000422A">
        <w:t>butyric</w:t>
      </w:r>
      <w:r w:rsidRPr="003F17DE">
        <w:t xml:space="preserve"> </w:t>
      </w:r>
      <w:r w:rsidR="0000422A">
        <w:t xml:space="preserve">acid </w:t>
      </w:r>
      <w:r w:rsidRPr="003F17DE">
        <w:t xml:space="preserve">in the organic and feed phases, respectively, and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00422A">
        <w:t xml:space="preserve"> </w:t>
      </w:r>
      <w:r w:rsidRPr="003F17DE">
        <w:t xml:space="preserve">and </w:t>
      </w:r>
      <m:oMath>
        <m:sSub>
          <m:sSubPr>
            <m:ctrlPr>
              <w:rPr>
                <w:rFonts w:ascii="Cambria Math" w:hAnsi="Cambria Math"/>
                <w:i/>
              </w:rPr>
            </m:ctrlPr>
          </m:sSubPr>
          <m:e>
            <m:r>
              <w:rPr>
                <w:rFonts w:ascii="Cambria Math" w:hAnsi="Cambria Math"/>
              </w:rPr>
              <m:t>V</m:t>
            </m:r>
          </m:e>
          <m:sub>
            <m:r>
              <w:rPr>
                <w:rFonts w:ascii="Cambria Math" w:hAnsi="Cambria Math"/>
              </w:rPr>
              <m:t>f</m:t>
            </m:r>
          </m:sub>
        </m:sSub>
      </m:oMath>
      <w:r w:rsidR="0000422A">
        <w:t xml:space="preserve"> </w:t>
      </w:r>
      <w:r w:rsidRPr="003F17DE">
        <w:t>are the corresponding volumes</w:t>
      </w:r>
      <w:r w:rsidR="0000422A">
        <w:t xml:space="preserve"> of each phase.</w:t>
      </w:r>
    </w:p>
    <w:tbl>
      <w:tblPr>
        <w:tblW w:w="5000" w:type="pct"/>
        <w:tblLook w:val="04A0" w:firstRow="1" w:lastRow="0" w:firstColumn="1" w:lastColumn="0" w:noHBand="0" w:noVBand="1"/>
      </w:tblPr>
      <w:tblGrid>
        <w:gridCol w:w="7986"/>
        <w:gridCol w:w="801"/>
      </w:tblGrid>
      <w:tr w:rsidR="00B97767" w:rsidRPr="003F17DE" w14:paraId="5F371AD5" w14:textId="77777777" w:rsidTr="004F69E7">
        <w:tc>
          <w:tcPr>
            <w:tcW w:w="7986" w:type="dxa"/>
            <w:vAlign w:val="center"/>
          </w:tcPr>
          <w:p w14:paraId="4DD49BD6" w14:textId="63462229" w:rsidR="00275587" w:rsidRPr="00275587" w:rsidRDefault="00B97767" w:rsidP="00484ACB">
            <w:pPr>
              <w:pStyle w:val="CETEquation"/>
              <w:spacing w:before="0" w:after="0"/>
              <w:rPr>
                <w:lang w:val="en-US"/>
              </w:rPr>
            </w:pPr>
            <m:oMath>
              <m:r>
                <w:rPr>
                  <w:rFonts w:ascii="Cambria Math" w:hAnsi="Cambria Math"/>
                  <w:lang w:val="en-US"/>
                </w:rPr>
                <m:t>y</m:t>
              </m:r>
              <m:d>
                <m:dPr>
                  <m:ctrlPr>
                    <w:rPr>
                      <w:rFonts w:ascii="Cambria Math" w:hAnsi="Cambria Math"/>
                      <w:i/>
                      <w:lang w:val="en-US"/>
                    </w:rPr>
                  </m:ctrlPr>
                </m:dPr>
                <m:e>
                  <m:r>
                    <w:rPr>
                      <w:rFonts w:ascii="Cambria Math" w:hAnsi="Cambria Math"/>
                      <w:lang w:val="en-US"/>
                    </w:rPr>
                    <m: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HBu,0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HBu,f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m:t>
              </m:r>
            </m:oMath>
            <w:r w:rsidR="0000422A">
              <w:rPr>
                <w:lang w:val="en-US"/>
              </w:rPr>
              <w:t xml:space="preserve"> </w:t>
            </w:r>
          </w:p>
        </w:tc>
        <w:tc>
          <w:tcPr>
            <w:tcW w:w="801" w:type="dxa"/>
            <w:vAlign w:val="center"/>
          </w:tcPr>
          <w:p w14:paraId="706B4B5D" w14:textId="35FFC878" w:rsidR="00B97767" w:rsidRPr="003F17DE" w:rsidRDefault="00B97767" w:rsidP="00484ACB">
            <w:pPr>
              <w:pStyle w:val="CETEquation"/>
              <w:spacing w:before="0" w:after="0"/>
              <w:jc w:val="right"/>
              <w:rPr>
                <w:lang w:val="en-US"/>
              </w:rPr>
            </w:pPr>
            <w:r w:rsidRPr="003F17DE">
              <w:rPr>
                <w:lang w:val="en-US"/>
              </w:rPr>
              <w:t>(2)</w:t>
            </w:r>
          </w:p>
        </w:tc>
      </w:tr>
    </w:tbl>
    <w:p w14:paraId="4730DABE" w14:textId="5EF428E7" w:rsidR="00FD26BB" w:rsidRPr="00260F77" w:rsidRDefault="00933BAE" w:rsidP="00FD26BB">
      <w:pPr>
        <w:pStyle w:val="CETBodytext"/>
      </w:pPr>
      <w:r w:rsidRPr="00260F77">
        <w:rPr>
          <w:lang w:val="en-GB"/>
        </w:rPr>
        <w:t>The distribution coefficient was determined to evaluate the partitioning of the acid between the organic and aqueous phases during the extraction process. The distribution coefficient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Pr="00260F77">
        <w:rPr>
          <w:lang w:val="en-GB"/>
        </w:rPr>
        <w:t>) was calculated as the ratio of the VFA concentration in the organic phase to that in the aqueous phase, as expressed in Equation (3)</w:t>
      </w:r>
      <w:r w:rsidR="00FD26BB">
        <w:rPr>
          <w:lang w:val="en-GB"/>
        </w:rPr>
        <w:t xml:space="preserve">, </w:t>
      </w:r>
      <w:r w:rsidR="00FD26BB" w:rsidRPr="00260F77">
        <w:rPr>
          <w:lang w:val="en-GB"/>
        </w:rPr>
        <w:t xml:space="preserve">where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org</m:t>
            </m:r>
          </m:sub>
        </m:sSub>
      </m:oMath>
      <w:r w:rsidR="00FD26BB">
        <w:rPr>
          <w:lang w:val="en-GB"/>
        </w:rPr>
        <w:t xml:space="preserve"> and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aq</m:t>
            </m:r>
          </m:sub>
        </m:sSub>
      </m:oMath>
      <w:r w:rsidR="00FD26BB" w:rsidRPr="00260F77">
        <w:rPr>
          <w:lang w:val="en-GB"/>
        </w:rPr>
        <w:t xml:space="preserve"> </w:t>
      </w:r>
      <w:r w:rsidR="00FD26BB">
        <w:rPr>
          <w:lang w:val="en-GB"/>
        </w:rPr>
        <w:t>are</w:t>
      </w:r>
      <w:r w:rsidR="00FD26BB" w:rsidRPr="00260F77">
        <w:rPr>
          <w:lang w:val="en-GB"/>
        </w:rPr>
        <w:t xml:space="preserve"> the concentration</w:t>
      </w:r>
      <w:r w:rsidR="00FD26BB">
        <w:rPr>
          <w:lang w:val="en-GB"/>
        </w:rPr>
        <w:t>s</w:t>
      </w:r>
      <w:r w:rsidR="00FD26BB" w:rsidRPr="00260F77">
        <w:rPr>
          <w:lang w:val="en-GB"/>
        </w:rPr>
        <w:t xml:space="preserve"> of </w:t>
      </w:r>
      <w:proofErr w:type="spellStart"/>
      <w:r w:rsidR="00FD26BB">
        <w:rPr>
          <w:lang w:val="en-GB"/>
        </w:rPr>
        <w:t>HBu</w:t>
      </w:r>
      <w:proofErr w:type="spellEnd"/>
      <w:r w:rsidR="00FD26BB" w:rsidRPr="00260F77">
        <w:rPr>
          <w:lang w:val="en-GB"/>
        </w:rPr>
        <w:t xml:space="preserve"> in the organic </w:t>
      </w:r>
      <w:r w:rsidR="00FD26BB">
        <w:rPr>
          <w:lang w:val="en-GB"/>
        </w:rPr>
        <w:t xml:space="preserve">and aqueous </w:t>
      </w:r>
      <w:r w:rsidR="00FD26BB" w:rsidRPr="00260F77">
        <w:rPr>
          <w:lang w:val="en-GB"/>
        </w:rPr>
        <w:t>phase</w:t>
      </w:r>
      <w:r w:rsidR="00FD26BB">
        <w:rPr>
          <w:lang w:val="en-GB"/>
        </w:rPr>
        <w:t>s</w:t>
      </w:r>
      <w:r w:rsidR="00FD26BB" w:rsidRPr="00260F77">
        <w:rPr>
          <w:lang w:val="en-GB"/>
        </w:rPr>
        <w:t>.</w:t>
      </w:r>
    </w:p>
    <w:p w14:paraId="78860E26" w14:textId="007A06FB" w:rsidR="00E274D9" w:rsidRPr="00260F77" w:rsidRDefault="00000000" w:rsidP="001A274C">
      <w:pPr>
        <w:pStyle w:val="CETBodytext"/>
        <w:jc w:val="center"/>
      </w:pP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org</m:t>
                </m:r>
              </m:sub>
            </m:sSub>
          </m:num>
          <m:den>
            <m:sSub>
              <m:sSubPr>
                <m:ctrlPr>
                  <w:rPr>
                    <w:rFonts w:ascii="Cambria Math" w:hAnsi="Cambria Math"/>
                    <w:i/>
                  </w:rPr>
                </m:ctrlPr>
              </m:sSubPr>
              <m:e>
                <m:r>
                  <w:rPr>
                    <w:rFonts w:ascii="Cambria Math" w:hAnsi="Cambria Math"/>
                  </w:rPr>
                  <m:t>C</m:t>
                </m:r>
              </m:e>
              <m:sub>
                <m:r>
                  <w:rPr>
                    <w:rFonts w:ascii="Cambria Math" w:hAnsi="Cambria Math"/>
                  </w:rPr>
                  <m:t>aq</m:t>
                </m:r>
              </m:sub>
            </m:sSub>
          </m:den>
        </m:f>
      </m:oMath>
      <w:r w:rsidR="001A274C" w:rsidRPr="00260F77">
        <w:t xml:space="preserve">                                                                                                                                                        (3)</w:t>
      </w:r>
    </w:p>
    <w:p w14:paraId="1CE75035" w14:textId="299811CA" w:rsidR="00B33ED6" w:rsidRPr="00260F77" w:rsidRDefault="005E037F" w:rsidP="006E741E">
      <w:pPr>
        <w:pStyle w:val="CETBodytext"/>
      </w:pPr>
      <w:r w:rsidRPr="00260F77">
        <w:rPr>
          <w:lang w:val="en-GB"/>
        </w:rPr>
        <w:t xml:space="preserve">The selectivity of the extraction system was evaluated to assess the preferential partitioning of the </w:t>
      </w:r>
      <w:proofErr w:type="spellStart"/>
      <w:r w:rsidRPr="00260F77">
        <w:rPr>
          <w:lang w:val="en-GB"/>
        </w:rPr>
        <w:t>HBu</w:t>
      </w:r>
      <w:proofErr w:type="spellEnd"/>
      <w:r w:rsidRPr="00260F77">
        <w:rPr>
          <w:lang w:val="en-GB"/>
        </w:rPr>
        <w:t xml:space="preserve"> compound relative to the other VFAs present in the mixture. The selectivity (</w:t>
      </w:r>
      <m:oMath>
        <m:r>
          <w:rPr>
            <w:rFonts w:ascii="Cambria Math" w:hAnsi="Cambria Math"/>
            <w:lang w:val="en-GB"/>
          </w:rPr>
          <m:t>β</m:t>
        </m:r>
      </m:oMath>
      <w:r w:rsidRPr="00260F77">
        <w:rPr>
          <w:lang w:val="en-GB"/>
        </w:rPr>
        <w:t>) was calculated as the ratio of the distribution coefficient of HBu to that of the remaining VFAs, as shown in Equation (4):</w:t>
      </w:r>
    </w:p>
    <w:p w14:paraId="46610BF9" w14:textId="0C15E9F4" w:rsidR="009A2F41" w:rsidRPr="00260F77" w:rsidRDefault="0091280E" w:rsidP="006E741E">
      <w:pPr>
        <w:pStyle w:val="CETBodytext"/>
      </w:pPr>
      <m:oMath>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rPr>
                  <m:t>,HB</m:t>
                </m:r>
                <m:r>
                  <w:rPr>
                    <w:rFonts w:ascii="Cambria Math" w:hAnsi="Cambria Math"/>
                  </w:rPr>
                  <m:t>u</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rPr>
                      <m:t>,</m:t>
                    </m:r>
                    <m:r>
                      <w:rPr>
                        <w:rFonts w:ascii="Cambria Math" w:hAnsi="Cambria Math"/>
                      </w:rPr>
                      <m:t>i</m:t>
                    </m:r>
                  </m:sub>
                </m:sSub>
              </m:e>
            </m:nary>
          </m:den>
        </m:f>
      </m:oMath>
      <w:r w:rsidR="0075679B" w:rsidRPr="00260F77">
        <w:t xml:space="preserve">                                                                                                                                                            (4)</w:t>
      </w:r>
    </w:p>
    <w:p w14:paraId="55C7ED95" w14:textId="7EE75788" w:rsidR="0075679B" w:rsidRPr="00B33ED6" w:rsidRDefault="00C83524" w:rsidP="006E741E">
      <w:pPr>
        <w:pStyle w:val="CETBodytext"/>
      </w:pPr>
      <w:r w:rsidRPr="00260F77">
        <w:rPr>
          <w:lang w:val="en-GB"/>
        </w:rPr>
        <w:t xml:space="preserve">where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d</m:t>
            </m:r>
            <m:r>
              <w:rPr>
                <w:rFonts w:ascii="Cambria Math" w:hAnsi="Cambria Math"/>
                <w:lang w:val="en-GB"/>
              </w:rPr>
              <m:t>,</m:t>
            </m:r>
            <m:r>
              <w:rPr>
                <w:rFonts w:ascii="Cambria Math" w:hAnsi="Cambria Math"/>
                <w:lang w:val="en-GB"/>
              </w:rPr>
              <m:t>H</m:t>
            </m:r>
            <m:r>
              <w:rPr>
                <w:rFonts w:ascii="Cambria Math" w:hAnsi="Cambria Math"/>
                <w:lang w:val="en-GB"/>
              </w:rPr>
              <m:t>B</m:t>
            </m:r>
            <m:r>
              <w:rPr>
                <w:rFonts w:ascii="Cambria Math" w:hAnsi="Cambria Math"/>
                <w:lang w:val="en-GB"/>
              </w:rPr>
              <m:t>u</m:t>
            </m:r>
          </m:sub>
        </m:sSub>
      </m:oMath>
      <w:r w:rsidRPr="00260F77">
        <w:rPr>
          <w:lang w:val="en-GB"/>
        </w:rPr>
        <w:t xml:space="preserve"> corresponds to the distribution coefficient of butyric acid in the solvent and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d</m:t>
            </m:r>
            <m:r>
              <w:rPr>
                <w:rFonts w:ascii="Cambria Math" w:hAnsi="Cambria Math"/>
                <w:lang w:val="en-GB"/>
              </w:rPr>
              <m:t>,</m:t>
            </m:r>
            <m:r>
              <w:rPr>
                <w:rFonts w:ascii="Cambria Math" w:hAnsi="Cambria Math"/>
                <w:lang w:val="en-GB"/>
              </w:rPr>
              <m:t>i</m:t>
            </m:r>
          </m:sub>
        </m:sSub>
      </m:oMath>
      <w:r w:rsidRPr="00260F77">
        <w:rPr>
          <w:lang w:val="en-GB"/>
        </w:rPr>
        <w:t xml:space="preserve">, </w:t>
      </w:r>
      <w:r w:rsidR="00A70498" w:rsidRPr="00260F77">
        <w:rPr>
          <w:lang w:val="en-GB"/>
        </w:rPr>
        <w:t xml:space="preserve">represents the distribution coefficient of the other components </w:t>
      </w:r>
      <m:oMath>
        <m:r>
          <w:rPr>
            <w:rFonts w:ascii="Cambria Math" w:hAnsi="Cambria Math"/>
            <w:lang w:val="en-GB"/>
          </w:rPr>
          <m:t>i</m:t>
        </m:r>
      </m:oMath>
      <w:r w:rsidR="00260F77" w:rsidRPr="00260F77">
        <w:rPr>
          <w:lang w:val="en-GB"/>
        </w:rPr>
        <w:t xml:space="preserve"> </w:t>
      </w:r>
      <w:r w:rsidR="00A70498" w:rsidRPr="00260F77">
        <w:rPr>
          <w:lang w:val="en-GB"/>
        </w:rPr>
        <w:t>present in the synthetic medium.</w:t>
      </w:r>
    </w:p>
    <w:p w14:paraId="33549712" w14:textId="4048DE4C" w:rsidR="00E30B5A" w:rsidRDefault="00E30B5A" w:rsidP="00E30B5A">
      <w:pPr>
        <w:pStyle w:val="CETheadingx"/>
      </w:pPr>
      <w:r>
        <w:t>Comparison with a group contribution method</w:t>
      </w:r>
    </w:p>
    <w:p w14:paraId="283B083D" w14:textId="31DFF18B" w:rsidR="00E30B5A" w:rsidRDefault="00E30B5A" w:rsidP="00E30B5A">
      <w:pPr>
        <w:pStyle w:val="CETBodytext"/>
      </w:pPr>
      <w:r>
        <w:t xml:space="preserve">Experimental results of the separation process were compared to the results of a simulation of the extraction process in Aspen Plus v14. The process was simulated assuming the UNIFAC group contribution method to estimate the activity coefficient in the liquid phase. Compositions were the same as indicated in section 2.2. The liquid-liquid extraction process was simulated using a </w:t>
      </w:r>
      <w:r w:rsidRPr="00E30B5A">
        <w:rPr>
          <w:i/>
          <w:iCs/>
        </w:rPr>
        <w:t>Decanter</w:t>
      </w:r>
      <w:r>
        <w:t xml:space="preserve"> model at 25 </w:t>
      </w:r>
      <w:r w:rsidRPr="003F17DE">
        <w:t>°C</w:t>
      </w:r>
      <w:r>
        <w:t xml:space="preserve"> and 1 atm (Figure 1).</w:t>
      </w:r>
    </w:p>
    <w:p w14:paraId="1419FC04" w14:textId="77777777" w:rsidR="00E30B5A" w:rsidRPr="00140542" w:rsidRDefault="00E30B5A" w:rsidP="00E30B5A">
      <w:pPr>
        <w:pStyle w:val="CETBodytext"/>
        <w:rPr>
          <w:sz w:val="10"/>
          <w:szCs w:val="12"/>
        </w:rPr>
      </w:pPr>
    </w:p>
    <w:p w14:paraId="10BB1256" w14:textId="071B2245" w:rsidR="00E30B5A" w:rsidRDefault="00E30B5A" w:rsidP="00E30B5A">
      <w:pPr>
        <w:pStyle w:val="CETBodytext"/>
      </w:pPr>
      <w:r>
        <w:rPr>
          <w:noProof/>
        </w:rPr>
        <w:drawing>
          <wp:inline distT="0" distB="0" distL="0" distR="0" wp14:anchorId="61C6A480" wp14:editId="02E1B7C8">
            <wp:extent cx="4304665" cy="1245870"/>
            <wp:effectExtent l="0" t="0" r="635" b="0"/>
            <wp:docPr id="82242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668" b="5532"/>
                    <a:stretch>
                      <a:fillRect/>
                    </a:stretch>
                  </pic:blipFill>
                  <pic:spPr bwMode="auto">
                    <a:xfrm>
                      <a:off x="0" y="0"/>
                      <a:ext cx="4365479" cy="1263471"/>
                    </a:xfrm>
                    <a:prstGeom prst="rect">
                      <a:avLst/>
                    </a:prstGeom>
                    <a:noFill/>
                    <a:ln>
                      <a:noFill/>
                    </a:ln>
                    <a:extLst>
                      <a:ext uri="{53640926-AAD7-44D8-BBD7-CCE9431645EC}">
                        <a14:shadowObscured xmlns:a14="http://schemas.microsoft.com/office/drawing/2010/main"/>
                      </a:ext>
                    </a:extLst>
                  </pic:spPr>
                </pic:pic>
              </a:graphicData>
            </a:graphic>
          </wp:inline>
        </w:drawing>
      </w:r>
    </w:p>
    <w:p w14:paraId="754E426A" w14:textId="285419F2" w:rsidR="00E30B5A" w:rsidRPr="003F17DE" w:rsidRDefault="00E30B5A" w:rsidP="00140542">
      <w:pPr>
        <w:pStyle w:val="CETCaption"/>
        <w:spacing w:before="120" w:after="120"/>
        <w:rPr>
          <w:lang w:val="en-US"/>
        </w:rPr>
      </w:pPr>
      <w:r w:rsidRPr="003F17DE">
        <w:rPr>
          <w:rStyle w:val="CETCaptionCarattere"/>
          <w:i/>
          <w:lang w:val="en-US"/>
        </w:rPr>
        <w:t xml:space="preserve">Figure 1: </w:t>
      </w:r>
      <w:r>
        <w:rPr>
          <w:rStyle w:val="CETCaptionCarattere"/>
          <w:i/>
          <w:lang w:val="en-US"/>
        </w:rPr>
        <w:t>Process flowsheet diagram of the liquid-liquid extraction of VFAs using GVL in Aspen Plus v14</w:t>
      </w:r>
      <w:r w:rsidRPr="003F17DE">
        <w:rPr>
          <w:rStyle w:val="CETCaptionCarattere"/>
          <w:i/>
          <w:lang w:val="en-US"/>
        </w:rPr>
        <w:t>.</w:t>
      </w:r>
      <w:r w:rsidRPr="003F17DE">
        <w:rPr>
          <w:lang w:val="en-US"/>
        </w:rPr>
        <w:t xml:space="preserve"> </w:t>
      </w:r>
    </w:p>
    <w:p w14:paraId="5B7B11A6" w14:textId="3637D48E" w:rsidR="00B97767" w:rsidRPr="003F17DE" w:rsidRDefault="00B97767" w:rsidP="00B97767">
      <w:pPr>
        <w:pStyle w:val="CETHeading1"/>
      </w:pPr>
      <w:r w:rsidRPr="003F17DE">
        <w:lastRenderedPageBreak/>
        <w:t>Results and discussion</w:t>
      </w:r>
    </w:p>
    <w:p w14:paraId="29670F74" w14:textId="023C0811" w:rsidR="00B97767" w:rsidRPr="003F17DE" w:rsidRDefault="00575E8F" w:rsidP="00B97767">
      <w:pPr>
        <w:pStyle w:val="CETheadingx"/>
      </w:pPr>
      <w:r>
        <w:t>Liquid-liquid</w:t>
      </w:r>
      <w:r w:rsidR="00B97767" w:rsidRPr="003F17DE">
        <w:t xml:space="preserve"> extraction</w:t>
      </w:r>
    </w:p>
    <w:p w14:paraId="77A5E0D3" w14:textId="55599116" w:rsidR="00B97767" w:rsidRPr="003F17DE" w:rsidRDefault="00B97767" w:rsidP="00600535">
      <w:pPr>
        <w:pStyle w:val="CETBodytext"/>
      </w:pPr>
      <w:r w:rsidRPr="003F17DE">
        <w:t xml:space="preserve">The initial increase in pH </w:t>
      </w:r>
      <w:r w:rsidR="0000422A">
        <w:t xml:space="preserve">with potassium hydroxide, followed by pH </w:t>
      </w:r>
      <w:r w:rsidRPr="003F17DE">
        <w:t>reduction with phosphoric acid, allowed the synthetic solution to simulate the behavior of an actual fermentation broth. Thereafter, three different pH levels (2.5, 3.5, and 4.5) were selected for liquid–liquid extraction using γ-valerolactone (GVL) as the solvent. The recovery percentages of butyric acid (</w:t>
      </w:r>
      <w:proofErr w:type="spellStart"/>
      <w:r w:rsidRPr="003F17DE">
        <w:t>HBu</w:t>
      </w:r>
      <w:proofErr w:type="spellEnd"/>
      <w:r w:rsidRPr="003F17DE">
        <w:t xml:space="preserve">) from the synthetic fermentation medium at these pH values are presented in Figure </w:t>
      </w:r>
      <w:r w:rsidR="00E30B5A">
        <w:t>2</w:t>
      </w:r>
      <w:r w:rsidRPr="003F17DE">
        <w:t xml:space="preserve">. </w:t>
      </w:r>
    </w:p>
    <w:p w14:paraId="283E5CBB" w14:textId="371BFBBB" w:rsidR="00254E88" w:rsidRPr="003F17DE" w:rsidRDefault="001967A6" w:rsidP="00600535">
      <w:pPr>
        <w:pStyle w:val="CETBodytext"/>
      </w:pPr>
      <w:r>
        <w:rPr>
          <w:noProof/>
        </w:rPr>
        <w:drawing>
          <wp:inline distT="0" distB="0" distL="0" distR="0" wp14:anchorId="77203FBB" wp14:editId="06CF4BD0">
            <wp:extent cx="5457884" cy="2190750"/>
            <wp:effectExtent l="0" t="0" r="9525" b="0"/>
            <wp:docPr id="1417860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6" r="1400"/>
                    <a:stretch>
                      <a:fillRect/>
                    </a:stretch>
                  </pic:blipFill>
                  <pic:spPr bwMode="auto">
                    <a:xfrm>
                      <a:off x="0" y="0"/>
                      <a:ext cx="5465505" cy="2193809"/>
                    </a:xfrm>
                    <a:prstGeom prst="rect">
                      <a:avLst/>
                    </a:prstGeom>
                    <a:noFill/>
                    <a:ln>
                      <a:noFill/>
                    </a:ln>
                    <a:extLst>
                      <a:ext uri="{53640926-AAD7-44D8-BBD7-CCE9431645EC}">
                        <a14:shadowObscured xmlns:a14="http://schemas.microsoft.com/office/drawing/2010/main"/>
                      </a:ext>
                    </a:extLst>
                  </pic:spPr>
                </pic:pic>
              </a:graphicData>
            </a:graphic>
          </wp:inline>
        </w:drawing>
      </w:r>
    </w:p>
    <w:p w14:paraId="59184382" w14:textId="2BC4DA90" w:rsidR="00254E88" w:rsidRPr="003F17DE" w:rsidRDefault="00254E88" w:rsidP="00254E88">
      <w:pPr>
        <w:pStyle w:val="CETCaption"/>
        <w:rPr>
          <w:lang w:val="en-US"/>
        </w:rPr>
      </w:pPr>
      <w:r w:rsidRPr="003F17DE">
        <w:rPr>
          <w:rStyle w:val="CETCaptionCarattere"/>
          <w:i/>
          <w:lang w:val="en-US"/>
        </w:rPr>
        <w:t xml:space="preserve">Figure </w:t>
      </w:r>
      <w:r w:rsidR="00E30B5A">
        <w:rPr>
          <w:rStyle w:val="CETCaptionCarattere"/>
          <w:i/>
          <w:lang w:val="en-US"/>
        </w:rPr>
        <w:t>2</w:t>
      </w:r>
      <w:r w:rsidRPr="003F17DE">
        <w:rPr>
          <w:rStyle w:val="CETCaptionCarattere"/>
          <w:i/>
          <w:lang w:val="en-US"/>
        </w:rPr>
        <w:t>: Butyric acid recovery (%) using GVL as solvent at different pH values (2.5, 3.5, and 4.5).</w:t>
      </w:r>
      <w:r w:rsidRPr="003F17DE">
        <w:rPr>
          <w:lang w:val="en-US"/>
        </w:rPr>
        <w:t xml:space="preserve"> </w:t>
      </w:r>
    </w:p>
    <w:p w14:paraId="5FBB077D" w14:textId="4BB744D0" w:rsidR="009064AE" w:rsidRPr="00260F77" w:rsidRDefault="002D5932" w:rsidP="009064AE">
      <w:pPr>
        <w:pStyle w:val="CETBodytext"/>
      </w:pPr>
      <w:r w:rsidRPr="00260F77">
        <w:t>F</w:t>
      </w:r>
      <w:r w:rsidR="00E663CF" w:rsidRPr="00260F77">
        <w:t xml:space="preserve">igure 2 shows that GVL achieved butyric acid recoveries of 79%, 40%, and 21% at pH 2.5, 3.5, and 4.5, respectively, </w:t>
      </w:r>
      <w:r w:rsidR="00BE3877" w:rsidRPr="00260F77">
        <w:t>and In terms of the distribution coefficient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BE3877" w:rsidRPr="00260F77">
        <w:t xml:space="preserve">), values of 3.76, 0.66, and 0.26 were obtained </w:t>
      </w:r>
      <w:r w:rsidR="00E663CF" w:rsidRPr="00260F77">
        <w:t>from a synthetic fermentation broth, highlighting its potential as a solvent for liquid–liquid extraction. However, the separation efficiency decreases as the pH increases.</w:t>
      </w:r>
      <w:r w:rsidR="00484ACB" w:rsidRPr="00260F77">
        <w:t xml:space="preserve"> </w:t>
      </w:r>
      <w:r w:rsidR="00E663CF" w:rsidRPr="00260F77">
        <w:t xml:space="preserve">This behavior is expected, as increasing the pH toward the </w:t>
      </w:r>
      <w:proofErr w:type="spellStart"/>
      <w:r w:rsidR="00E663CF" w:rsidRPr="00260F77">
        <w:t>pKa</w:t>
      </w:r>
      <w:proofErr w:type="spellEnd"/>
      <w:r w:rsidR="00E663CF" w:rsidRPr="00260F77">
        <w:t xml:space="preserve"> of the acid shifts its speciation from the molecular (undissociated) form to the ionized form, thereby reducing its affinity for the organic phase and hindering extraction. Therefore, for efficient acid recovery, the pH of the solution should be maintained below the </w:t>
      </w:r>
      <w:proofErr w:type="spellStart"/>
      <w:r w:rsidR="00E663CF" w:rsidRPr="00260F77">
        <w:t>pKa</w:t>
      </w:r>
      <w:proofErr w:type="spellEnd"/>
      <w:r w:rsidR="00E663CF" w:rsidRPr="00260F77">
        <w:t xml:space="preserve"> to ensure that most VFAs remain in their undissociated form (Xu &amp; Jiang, 2011).</w:t>
      </w:r>
      <w:r w:rsidR="00260F77" w:rsidRPr="00260F77">
        <w:t xml:space="preserve"> </w:t>
      </w:r>
      <w:r w:rsidR="009064AE" w:rsidRPr="00260F77">
        <w:t>Under the conditions that provided the highest recovery (pH 2.5), the extraction of the other acids reached 51%, 43%, and 31% for propionic, acetic, and lactic acids, respectively. In terms of distribution coefficients, these values correspond to 1.04, 0.75, and 0.44, respectively, resulting in a selectivity (</w:t>
      </w:r>
      <m:oMath>
        <m:r>
          <w:rPr>
            <w:rFonts w:ascii="Cambria Math" w:hAnsi="Cambria Math"/>
            <w:lang w:val="pt-BR"/>
          </w:rPr>
          <m:t>β</m:t>
        </m:r>
      </m:oMath>
      <w:r w:rsidR="009064AE" w:rsidRPr="00260F77">
        <w:t>) of 1.69 at this pH.</w:t>
      </w:r>
    </w:p>
    <w:p w14:paraId="251B293E" w14:textId="528E15C9" w:rsidR="009064AE" w:rsidRPr="009064AE" w:rsidRDefault="009064AE" w:rsidP="009064AE">
      <w:pPr>
        <w:pStyle w:val="CETBodytext"/>
      </w:pPr>
      <w:r w:rsidRPr="00260F77">
        <w:t>According to Seader et al. (2019), a selectivity greater than unity indicates that the solvent preferentially extracts the target compound</w:t>
      </w:r>
      <w:r w:rsidR="00905D98" w:rsidRPr="00260F77">
        <w:t xml:space="preserve">, </w:t>
      </w:r>
      <w:r w:rsidRPr="00260F77">
        <w:t xml:space="preserve">in this case, </w:t>
      </w:r>
      <w:proofErr w:type="spellStart"/>
      <w:r w:rsidRPr="00260F77">
        <w:t>HBu</w:t>
      </w:r>
      <w:proofErr w:type="spellEnd"/>
      <w:r w:rsidR="00905D98" w:rsidRPr="00260F77">
        <w:t xml:space="preserve">, </w:t>
      </w:r>
      <w:r w:rsidRPr="00260F77">
        <w:t xml:space="preserve">over the other components. However, the observed </w:t>
      </w:r>
      <w:r w:rsidRPr="00260F77">
        <w:rPr>
          <w:lang w:val="pt-BR"/>
        </w:rPr>
        <w:t>β</w:t>
      </w:r>
      <w:r w:rsidRPr="00260F77">
        <w:t xml:space="preserve"> value is relatively low for an efficient separation process. </w:t>
      </w:r>
      <w:r w:rsidR="00800C3C" w:rsidRPr="00260F77">
        <w:rPr>
          <w:lang w:val="en-GB"/>
        </w:rPr>
        <w:t xml:space="preserve">This limited selectivity indicates significant co-extraction of other acids, which may increase the complexity of downstream processing by requiring additional separation steps to isolate butyric acid from the co-extracted species. However, this </w:t>
      </w:r>
      <w:proofErr w:type="spellStart"/>
      <w:r w:rsidR="00800C3C" w:rsidRPr="00260F77">
        <w:rPr>
          <w:lang w:val="en-GB"/>
        </w:rPr>
        <w:t>behavior</w:t>
      </w:r>
      <w:proofErr w:type="spellEnd"/>
      <w:r w:rsidR="00800C3C" w:rsidRPr="00260F77">
        <w:rPr>
          <w:lang w:val="en-GB"/>
        </w:rPr>
        <w:t xml:space="preserve"> is expected in this case due to the similar physicochemical properties of the organic acids present in the mixture.</w:t>
      </w:r>
    </w:p>
    <w:p w14:paraId="4875914E" w14:textId="30FE4EC1" w:rsidR="00226E4C" w:rsidRPr="003F17DE" w:rsidRDefault="00226E4C" w:rsidP="00600535">
      <w:pPr>
        <w:pStyle w:val="CETBodytext"/>
      </w:pPr>
      <w:r>
        <w:t xml:space="preserve">Results from the Aspen Plus simulation, using the UNIFAC method to calculate the liquid activity coefficient, indicated </w:t>
      </w:r>
      <w:proofErr w:type="gramStart"/>
      <w:r>
        <w:t>a</w:t>
      </w:r>
      <w:proofErr w:type="gramEnd"/>
      <w:r>
        <w:t xml:space="preserve"> 81% recovery of butyric acid. The UNIFAC method considers carboxylic acids in their undissociated form; therefore, the recovery calculated with this method is expected to be closer to the experimental recovery at lower pH, where the undissociated form of butyric acid predominates. </w:t>
      </w:r>
    </w:p>
    <w:p w14:paraId="454D6187" w14:textId="782C8EAA" w:rsidR="00254E88" w:rsidRDefault="00254E88" w:rsidP="00600535">
      <w:pPr>
        <w:pStyle w:val="CETBodytext"/>
      </w:pPr>
      <w:r w:rsidRPr="003F17DE">
        <w:t>Additional extraction experiments were carried out by varying the solvent-to-feed ratio to 0.5:1 and by using a synthetic medium with twice the original concentration, in order to evaluate the solvent performance under different scenarios: (</w:t>
      </w:r>
      <w:proofErr w:type="spellStart"/>
      <w:r w:rsidRPr="003F17DE">
        <w:t>i</w:t>
      </w:r>
      <w:proofErr w:type="spellEnd"/>
      <w:r w:rsidRPr="003F17DE">
        <w:t xml:space="preserve">) using a lower amount of solvent and (ii) introducing a concentration step prior to extraction to assess the maximum distribution coefficient of butyric acid in the solvent. For the experiments with the </w:t>
      </w:r>
      <w:proofErr w:type="gramStart"/>
      <w:r w:rsidRPr="003F17DE">
        <w:t>two</w:t>
      </w:r>
      <w:r w:rsidR="00740288">
        <w:t xml:space="preserve"> </w:t>
      </w:r>
      <w:r w:rsidRPr="003F17DE">
        <w:t>fold</w:t>
      </w:r>
      <w:proofErr w:type="gramEnd"/>
      <w:r w:rsidRPr="003F17DE">
        <w:t xml:space="preserve">-concentrated medium, the solvent-to-feed ratio was maintained at 1:1. In all experiments, the pH was kept at 2.5. The results are shown in Figure </w:t>
      </w:r>
      <w:r w:rsidR="00E30B5A">
        <w:t>3</w:t>
      </w:r>
      <w:r w:rsidR="00DB0160">
        <w:t>.</w:t>
      </w:r>
    </w:p>
    <w:p w14:paraId="27039A0F" w14:textId="77777777" w:rsidR="003C03D7" w:rsidRPr="003F17DE" w:rsidRDefault="003C03D7" w:rsidP="003C03D7">
      <w:pPr>
        <w:pStyle w:val="CETBodytext"/>
      </w:pPr>
      <w:r w:rsidRPr="003F17DE">
        <w:t xml:space="preserve">As shown in Figure </w:t>
      </w:r>
      <w:r>
        <w:t>3</w:t>
      </w:r>
      <w:r w:rsidRPr="003F17DE">
        <w:t xml:space="preserve">, reducing the solvent-to-feed ratio to 0.5:1 led to a significant decrease in butyric acid recovery, by nearly 40%. In contrast, when a twofold-concentrated medium was used, the amount of butyric acid extracted by GVL was only slightly lower than that obtained at a 1:1 ratio, reaching 64%. These results indicate that the solvent is promising for recovering butyric acid from more concentrated media, enabling the implementation of a concentration step prior to extraction which may be advantageous for downstream </w:t>
      </w:r>
      <w:r w:rsidRPr="003F17DE">
        <w:lastRenderedPageBreak/>
        <w:t xml:space="preserve">processing. However, when the solvent volume is reduced by half, the extraction capacity decreases markedly, likely requiring the implementation of an additional extraction </w:t>
      </w:r>
      <w:r>
        <w:t>step</w:t>
      </w:r>
      <w:r w:rsidRPr="003F17DE">
        <w:t xml:space="preserve"> to achieve comparable recovery levels. </w:t>
      </w:r>
    </w:p>
    <w:p w14:paraId="789FD6E2" w14:textId="77777777" w:rsidR="003C03D7" w:rsidRPr="003F17DE" w:rsidRDefault="003C03D7" w:rsidP="00600535">
      <w:pPr>
        <w:pStyle w:val="CETBodytext"/>
      </w:pPr>
    </w:p>
    <w:p w14:paraId="661B38D2" w14:textId="77777777" w:rsidR="002E26B8" w:rsidRPr="003F17DE" w:rsidRDefault="002E26B8" w:rsidP="00600535">
      <w:pPr>
        <w:pStyle w:val="CETBodytext"/>
      </w:pPr>
    </w:p>
    <w:p w14:paraId="4ACAE2C7" w14:textId="506005C6" w:rsidR="00254E88" w:rsidRPr="003F17DE" w:rsidRDefault="001967A6" w:rsidP="00600535">
      <w:pPr>
        <w:pStyle w:val="CETBodytext"/>
      </w:pPr>
      <w:r>
        <w:rPr>
          <w:noProof/>
        </w:rPr>
        <w:drawing>
          <wp:inline distT="0" distB="0" distL="0" distR="0" wp14:anchorId="27A61723" wp14:editId="2AC447C1">
            <wp:extent cx="5579745" cy="2160905"/>
            <wp:effectExtent l="0" t="0" r="1905" b="0"/>
            <wp:docPr id="1842820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160905"/>
                    </a:xfrm>
                    <a:prstGeom prst="rect">
                      <a:avLst/>
                    </a:prstGeom>
                    <a:noFill/>
                    <a:ln>
                      <a:noFill/>
                    </a:ln>
                  </pic:spPr>
                </pic:pic>
              </a:graphicData>
            </a:graphic>
          </wp:inline>
        </w:drawing>
      </w:r>
    </w:p>
    <w:p w14:paraId="14B15066" w14:textId="26826812" w:rsidR="002E26B8" w:rsidRPr="003F17DE" w:rsidRDefault="002E26B8" w:rsidP="002E26B8">
      <w:pPr>
        <w:pStyle w:val="CETCaption"/>
        <w:rPr>
          <w:lang w:val="en-US"/>
        </w:rPr>
      </w:pPr>
      <w:r w:rsidRPr="003F17DE">
        <w:rPr>
          <w:rStyle w:val="CETCaptionCarattere"/>
          <w:i/>
          <w:lang w:val="en-US"/>
        </w:rPr>
        <w:t xml:space="preserve">Figure </w:t>
      </w:r>
      <w:r w:rsidR="00E30B5A">
        <w:rPr>
          <w:rStyle w:val="CETCaptionCarattere"/>
          <w:i/>
          <w:lang w:val="en-US"/>
        </w:rPr>
        <w:t>3</w:t>
      </w:r>
      <w:r w:rsidRPr="003F17DE">
        <w:rPr>
          <w:rStyle w:val="CETCaptionCarattere"/>
          <w:i/>
          <w:lang w:val="en-US"/>
        </w:rPr>
        <w:t>: Butyric acid recovery (%) using GVL as solvent: (</w:t>
      </w:r>
      <w:proofErr w:type="spellStart"/>
      <w:r w:rsidRPr="003F17DE">
        <w:rPr>
          <w:rStyle w:val="CETCaptionCarattere"/>
          <w:i/>
          <w:lang w:val="en-US"/>
        </w:rPr>
        <w:t>i</w:t>
      </w:r>
      <w:proofErr w:type="spellEnd"/>
      <w:r w:rsidRPr="003F17DE">
        <w:rPr>
          <w:rStyle w:val="CETCaptionCarattere"/>
          <w:i/>
          <w:lang w:val="en-US"/>
        </w:rPr>
        <w:t>) solvent-to-feed ratio of 0.5:1 and (ii) twofold-concentrated synthetic medium.</w:t>
      </w:r>
      <w:r w:rsidRPr="003F17DE">
        <w:rPr>
          <w:lang w:val="en-US"/>
        </w:rPr>
        <w:t xml:space="preserve"> </w:t>
      </w:r>
    </w:p>
    <w:p w14:paraId="0CF87AD0" w14:textId="2B77266C" w:rsidR="002E26B8" w:rsidRPr="003F17DE" w:rsidRDefault="003C03D7" w:rsidP="002E26B8">
      <w:pPr>
        <w:pStyle w:val="CETBodytext"/>
      </w:pPr>
      <w:r>
        <w:t>Liquid</w:t>
      </w:r>
      <w:r w:rsidR="002E26B8" w:rsidRPr="003F17DE">
        <w:t>–liquid equilibrium data at 298</w:t>
      </w:r>
      <w:r w:rsidR="00B911CC">
        <w:t xml:space="preserve"> L</w:t>
      </w:r>
      <w:r w:rsidR="002E26B8" w:rsidRPr="003F17DE">
        <w:t xml:space="preserve"> for the system γ-valerolactone, n-tetradecane, and butanoic acid were reported by Corrêa et al. (2019). According to their study, the oxygen-containing functional groups of carboxylic acids are responsible for creating a polarized region that interacts with GVL through dipole–dipole interactions, enabling the solvent to interact with and extract butyric acid from the raffinate phase (n-tetradecane). This interaction mechanism likely explains the good extraction performance observed in the present work. </w:t>
      </w:r>
    </w:p>
    <w:p w14:paraId="338C468B" w14:textId="2754E18C" w:rsidR="002E26B8" w:rsidRPr="003F17DE" w:rsidRDefault="002E26B8" w:rsidP="002E26B8">
      <w:pPr>
        <w:pStyle w:val="CETBodytext"/>
      </w:pPr>
      <w:r w:rsidRPr="003F17DE">
        <w:t xml:space="preserve">Other solvents were also evaluated by this research group, such as ethyl acetate and octyl acetate, as reported by Fioravante et al. (2025), achieving higher recoveries under optimal conditions (approximately 91% and 83%, respectively). However, these solvents are classified as “hazardous solvents,” despite the relatively low toxicity of octyl acetate (Kerkel et al., 2021). In this context, GVL emerges as a promising option for </w:t>
      </w:r>
      <w:r w:rsidR="00B911CC">
        <w:t>butyric acid</w:t>
      </w:r>
      <w:r w:rsidRPr="003F17DE">
        <w:t xml:space="preserve"> recovery and as a greener alternative to replace these conventional solvents. </w:t>
      </w:r>
    </w:p>
    <w:p w14:paraId="5DB43DE5" w14:textId="41AB2EF2" w:rsidR="009A4421" w:rsidRPr="009A4421" w:rsidRDefault="009A4421" w:rsidP="009A4421">
      <w:pPr>
        <w:pStyle w:val="CETBodytext"/>
      </w:pPr>
      <w:r w:rsidRPr="00FD26BB">
        <w:t>Nevertheless, two practical limitations were observed when using GVL as the solvent in the synthetic medium. First, the small density difference between the solvent (1.05</w:t>
      </w:r>
      <w:r w:rsidR="00FD26BB" w:rsidRPr="00FD26BB">
        <w:t>4</w:t>
      </w:r>
      <w:r w:rsidRPr="00FD26BB">
        <w:t xml:space="preserve"> g·cm</w:t>
      </w:r>
      <w:r w:rsidRPr="00FD26BB">
        <w:rPr>
          <w:rFonts w:ascii="Cambria Math" w:hAnsi="Cambria Math" w:cs="Cambria Math"/>
        </w:rPr>
        <w:t>⁻</w:t>
      </w:r>
      <w:r w:rsidRPr="00FD26BB">
        <w:rPr>
          <w:rFonts w:cs="Arial"/>
        </w:rPr>
        <w:t>³</w:t>
      </w:r>
      <w:r w:rsidRPr="00FD26BB">
        <w:t xml:space="preserve">) and </w:t>
      </w:r>
      <w:r w:rsidR="00FD26BB" w:rsidRPr="00FD26BB">
        <w:t>water</w:t>
      </w:r>
      <w:r w:rsidRPr="00FD26BB">
        <w:t xml:space="preserve"> (0.997 g</w:t>
      </w:r>
      <w:r w:rsidRPr="00FD26BB">
        <w:rPr>
          <w:rFonts w:cs="Arial"/>
        </w:rPr>
        <w:t>·</w:t>
      </w:r>
      <w:r w:rsidRPr="00FD26BB">
        <w:t>cm</w:t>
      </w:r>
      <w:r w:rsidRPr="00FD26BB">
        <w:rPr>
          <w:rFonts w:ascii="Cambria Math" w:hAnsi="Cambria Math" w:cs="Cambria Math"/>
        </w:rPr>
        <w:t>⁻</w:t>
      </w:r>
      <w:r w:rsidRPr="00FD26BB">
        <w:rPr>
          <w:rFonts w:cs="Arial"/>
        </w:rPr>
        <w:t>³</w:t>
      </w:r>
      <w:r w:rsidRPr="00FD26BB">
        <w:t>) hindered phase disengagement</w:t>
      </w:r>
      <w:r w:rsidR="00260F77" w:rsidRPr="00FD26BB">
        <w:t xml:space="preserve"> because of less buoyancy of droplets of light phase in the heavy phase</w:t>
      </w:r>
      <w:r w:rsidRPr="00FD26BB">
        <w:t>, resulting in longer settling times. Additionally, GVL exhibits a slightly higher surface tension (30.6 dyn</w:t>
      </w:r>
      <w:r w:rsidRPr="00FD26BB">
        <w:rPr>
          <w:rFonts w:cs="Arial"/>
        </w:rPr>
        <w:t>·</w:t>
      </w:r>
      <w:r w:rsidRPr="00FD26BB">
        <w:t>cm</w:t>
      </w:r>
      <w:r w:rsidRPr="00FD26BB">
        <w:rPr>
          <w:rFonts w:ascii="Cambria Math" w:hAnsi="Cambria Math" w:cs="Cambria Math"/>
        </w:rPr>
        <w:t>⁻</w:t>
      </w:r>
      <w:r w:rsidRPr="00FD26BB">
        <w:rPr>
          <w:rFonts w:cs="Arial"/>
        </w:rPr>
        <w:t>¹</w:t>
      </w:r>
      <w:r w:rsidRPr="00FD26BB">
        <w:t>) compared to common organic solvents such as ethyl acetate (23.51 dyn</w:t>
      </w:r>
      <w:r w:rsidRPr="00FD26BB">
        <w:rPr>
          <w:rFonts w:cs="Arial"/>
        </w:rPr>
        <w:t>·</w:t>
      </w:r>
      <w:r w:rsidRPr="00FD26BB">
        <w:t>cm</w:t>
      </w:r>
      <w:r w:rsidRPr="00FD26BB">
        <w:rPr>
          <w:rFonts w:ascii="Cambria Math" w:hAnsi="Cambria Math" w:cs="Cambria Math"/>
        </w:rPr>
        <w:t>⁻</w:t>
      </w:r>
      <w:r w:rsidRPr="00FD26BB">
        <w:rPr>
          <w:rFonts w:cs="Arial"/>
        </w:rPr>
        <w:t>¹</w:t>
      </w:r>
      <w:r w:rsidRPr="00FD26BB">
        <w:t>), although it remains significantly lower than that of water (72 dyn</w:t>
      </w:r>
      <w:r w:rsidRPr="00FD26BB">
        <w:rPr>
          <w:rFonts w:cs="Arial"/>
        </w:rPr>
        <w:t>·</w:t>
      </w:r>
      <w:r w:rsidRPr="00FD26BB">
        <w:t>cm</w:t>
      </w:r>
      <w:r w:rsidRPr="00FD26BB">
        <w:rPr>
          <w:rFonts w:ascii="Cambria Math" w:hAnsi="Cambria Math" w:cs="Cambria Math"/>
        </w:rPr>
        <w:t>⁻</w:t>
      </w:r>
      <w:r w:rsidRPr="00FD26BB">
        <w:rPr>
          <w:rFonts w:cs="Arial"/>
        </w:rPr>
        <w:t>¹</w:t>
      </w:r>
      <w:r w:rsidRPr="00FD26BB">
        <w:t>). This characteristic</w:t>
      </w:r>
      <w:r w:rsidR="00FD26BB" w:rsidRPr="00FD26BB">
        <w:t>, together with the acid behavior created by the solute,</w:t>
      </w:r>
      <w:r w:rsidRPr="00FD26BB">
        <w:t xml:space="preserve"> may also contribute to difficulties in phase separation.</w:t>
      </w:r>
      <w:r w:rsidR="00FD26BB" w:rsidRPr="00FD26BB">
        <w:t xml:space="preserve"> </w:t>
      </w:r>
      <w:r w:rsidRPr="00FD26BB">
        <w:t>Second, emulsion formation between the phases was observed, requiring an increase in temperature to facilitate phase disengagement. An alternative approach to reduce both settling time and emulsion stability would be centrifugation, which can promote faster phase separation while also assisting in emulsion breaking</w:t>
      </w:r>
      <w:r w:rsidR="00FD26BB" w:rsidRPr="00FD26BB">
        <w:t xml:space="preserve"> to compensate for the low difference in density</w:t>
      </w:r>
      <w:r w:rsidRPr="00FD26BB">
        <w:t>.</w:t>
      </w:r>
      <w:r w:rsidR="00FD26BB" w:rsidRPr="00FD26BB">
        <w:t xml:space="preserve"> </w:t>
      </w:r>
      <w:r w:rsidRPr="00FD26BB">
        <w:t>These observations indicate that further investigation is still required to enable the practical application of GVL as an extraction solvent, despite its clear potential for butyric acid recovery.</w:t>
      </w:r>
    </w:p>
    <w:p w14:paraId="775332E6" w14:textId="66B75E4B" w:rsidR="00B97767" w:rsidRPr="000C0AD7" w:rsidRDefault="00B97767" w:rsidP="002E26B8">
      <w:pPr>
        <w:pStyle w:val="CETBodytext"/>
      </w:pPr>
    </w:p>
    <w:p w14:paraId="744A21BD" w14:textId="42B31920" w:rsidR="002E26B8" w:rsidRPr="003F17DE" w:rsidRDefault="002E26B8" w:rsidP="002E26B8">
      <w:pPr>
        <w:pStyle w:val="CETHeading1"/>
      </w:pPr>
      <w:r w:rsidRPr="003F17DE">
        <w:t>Conclusion</w:t>
      </w:r>
    </w:p>
    <w:p w14:paraId="1399B590" w14:textId="6F871530" w:rsidR="002E26B8" w:rsidRPr="003F17DE" w:rsidRDefault="002E26B8" w:rsidP="002E26B8">
      <w:pPr>
        <w:pStyle w:val="CETBodytext"/>
      </w:pPr>
      <w:r w:rsidRPr="003F17DE">
        <w:t>This study demonstrate</w:t>
      </w:r>
      <w:r w:rsidR="00B911CC">
        <w:t>d</w:t>
      </w:r>
      <w:r w:rsidRPr="003F17DE">
        <w:t xml:space="preserve"> that liquid–liquid extraction of VFAs from synthetic fermentation media using γ-valerolactone (GVL) is a promising approach for butyric acid recovery. At pH 2.5, GVL achieved a high extraction efficiency, recovering 7</w:t>
      </w:r>
      <w:r w:rsidR="00275FCA">
        <w:t>9</w:t>
      </w:r>
      <w:r w:rsidRPr="003F17DE">
        <w:t xml:space="preserve">% of the </w:t>
      </w:r>
      <w:r w:rsidR="00B911CC">
        <w:t>butyric acid</w:t>
      </w:r>
      <w:r w:rsidRPr="003F17DE">
        <w:t xml:space="preserve"> in a single equilibrium stage, confirming its strong affinity for the undissociated acid. Although the extraction performance decreases with increasing pH, the solvent still showed relevant recovery under more challenging conditions. Based on the promising result obtained at pH 2.5, the solvent-to-feed ratio was reduced to 0.5:1, resulting in an almost 40% recovery. On the other hand, when the solvent-to-feed ratio was kept constant and the medium was concentrated twofold, a recovery of 64% of </w:t>
      </w:r>
      <w:r w:rsidR="00B911CC">
        <w:t>butyric acid</w:t>
      </w:r>
      <w:r w:rsidRPr="003F17DE">
        <w:t xml:space="preserve"> was achieved, demonstrating that the solvent remains effective even at higher concentrations of organic acids in the medium. These results establish GVL as a competitive and sustainable alternative solvent for butyric acid extraction. Despite the observation of practical limitations related to phase disengagement, such as </w:t>
      </w:r>
      <w:r w:rsidRPr="003F17DE">
        <w:lastRenderedPageBreak/>
        <w:t>emulsion formation and small density differences between phases, the overall performance achieved in this work clearly supports the strong potential of GVL for application in carboxylic acid recovery processes and provides a solid basis for further optimization and development.</w:t>
      </w:r>
    </w:p>
    <w:p w14:paraId="46AF0170" w14:textId="77777777" w:rsidR="002E26B8" w:rsidRPr="003F17DE" w:rsidRDefault="002E26B8" w:rsidP="002E26B8">
      <w:pPr>
        <w:pStyle w:val="CETAcknowledgementstitle"/>
        <w:rPr>
          <w:lang w:val="en-US"/>
        </w:rPr>
      </w:pPr>
      <w:r w:rsidRPr="003F17DE">
        <w:rPr>
          <w:lang w:val="en-US"/>
        </w:rPr>
        <w:t>Acknowledgments</w:t>
      </w:r>
    </w:p>
    <w:p w14:paraId="36F6CD91" w14:textId="43D8A030" w:rsidR="002E26B8" w:rsidRPr="003F17DE" w:rsidRDefault="002E26B8" w:rsidP="002E26B8">
      <w:pPr>
        <w:pStyle w:val="CETBodytext"/>
      </w:pPr>
      <w:r w:rsidRPr="003F17DE">
        <w:t>The authors acknowledge the financial support of the “</w:t>
      </w:r>
      <w:proofErr w:type="spellStart"/>
      <w:r w:rsidRPr="003F17DE">
        <w:t>Conselho</w:t>
      </w:r>
      <w:proofErr w:type="spellEnd"/>
      <w:r w:rsidRPr="003F17DE">
        <w:t xml:space="preserve"> Nacional de </w:t>
      </w:r>
      <w:proofErr w:type="spellStart"/>
      <w:r w:rsidRPr="003F17DE">
        <w:t>Desenvolvimento</w:t>
      </w:r>
      <w:proofErr w:type="spellEnd"/>
      <w:r w:rsidRPr="003F17DE">
        <w:t xml:space="preserve"> </w:t>
      </w:r>
      <w:proofErr w:type="spellStart"/>
      <w:r w:rsidRPr="003F17DE">
        <w:t>Científico</w:t>
      </w:r>
      <w:proofErr w:type="spellEnd"/>
      <w:r w:rsidRPr="003F17DE">
        <w:t xml:space="preserve"> e Tecnológico – CNPq”, CAPES - Finance Code 001, </w:t>
      </w:r>
      <w:r w:rsidR="008D1356">
        <w:t>,</w:t>
      </w:r>
      <w:r w:rsidRPr="003F17DE">
        <w:t xml:space="preserve"> and ), The São Paulo Research Foundation (FAPESP, grant numbers </w:t>
      </w:r>
      <w:r w:rsidR="008D1356">
        <w:t>#2022/16379-8</w:t>
      </w:r>
      <w:r w:rsidR="008D1356">
        <w:t>,</w:t>
      </w:r>
      <w:r w:rsidRPr="003F17DE">
        <w:t xml:space="preserve"> </w:t>
      </w:r>
      <w:r w:rsidR="008D1356">
        <w:t>#</w:t>
      </w:r>
      <w:r w:rsidRPr="003F17DE">
        <w:t xml:space="preserve">2022/11460-1, </w:t>
      </w:r>
      <w:r w:rsidR="008D1356">
        <w:t>#</w:t>
      </w:r>
      <w:r w:rsidRPr="003F17DE">
        <w:t>2022/03698-6</w:t>
      </w:r>
      <w:r w:rsidR="008D1356">
        <w:t xml:space="preserve">, </w:t>
      </w:r>
      <w:r w:rsidR="008D1356">
        <w:t>#</w:t>
      </w:r>
      <w:r w:rsidR="008D1356" w:rsidRPr="003F17DE">
        <w:t>2023/12288-0,</w:t>
      </w:r>
      <w:r w:rsidR="008D1356">
        <w:t xml:space="preserve"> </w:t>
      </w:r>
      <w:r w:rsidR="008D1356">
        <w:t xml:space="preserve">#2024/20048-2, </w:t>
      </w:r>
      <w:r w:rsidR="008D1356" w:rsidRPr="003F17DE">
        <w:t>#2024/21072-4</w:t>
      </w:r>
      <w:r w:rsidRPr="003F17DE">
        <w:t xml:space="preserve">), and the Fundo de </w:t>
      </w:r>
      <w:proofErr w:type="spellStart"/>
      <w:r w:rsidRPr="003F17DE">
        <w:t>Apoio</w:t>
      </w:r>
      <w:proofErr w:type="spellEnd"/>
      <w:r w:rsidRPr="003F17DE">
        <w:t xml:space="preserve"> </w:t>
      </w:r>
      <w:proofErr w:type="spellStart"/>
      <w:r w:rsidRPr="003F17DE">
        <w:t>ao</w:t>
      </w:r>
      <w:proofErr w:type="spellEnd"/>
      <w:r w:rsidRPr="003F17DE">
        <w:t xml:space="preserve"> Ensino, à Pesquisa e à </w:t>
      </w:r>
      <w:proofErr w:type="spellStart"/>
      <w:r w:rsidRPr="003F17DE">
        <w:t>Extensão</w:t>
      </w:r>
      <w:proofErr w:type="spellEnd"/>
      <w:r w:rsidRPr="003F17DE">
        <w:t xml:space="preserve"> (FAEPEX) of the University of Campinas (UNICAMP). This study was developed at the EQS – Sustainable Energy and Chemistry Laboratory at the University of Campinas (UNICAMP), Brazil</w:t>
      </w:r>
      <w:r w:rsidR="004B600D" w:rsidRPr="003F17DE">
        <w:t>.</w:t>
      </w:r>
    </w:p>
    <w:p w14:paraId="4EB67CF6" w14:textId="77777777" w:rsidR="002E26B8" w:rsidRPr="003F17DE" w:rsidRDefault="002E26B8" w:rsidP="002E26B8">
      <w:pPr>
        <w:pStyle w:val="CETReference"/>
        <w:rPr>
          <w:lang w:val="en-US"/>
        </w:rPr>
      </w:pPr>
      <w:r w:rsidRPr="003F17DE">
        <w:rPr>
          <w:lang w:val="en-US"/>
        </w:rPr>
        <w:t>References</w:t>
      </w:r>
    </w:p>
    <w:p w14:paraId="70B15B66" w14:textId="77777777" w:rsidR="002E26B8" w:rsidRPr="003F17DE" w:rsidRDefault="002E26B8" w:rsidP="002E26B8">
      <w:pPr>
        <w:pStyle w:val="CETReferencetext"/>
        <w:rPr>
          <w:lang w:val="en-US"/>
        </w:rPr>
      </w:pPr>
      <w:r w:rsidRPr="003F17DE">
        <w:rPr>
          <w:lang w:val="en-US"/>
        </w:rPr>
        <w:t xml:space="preserve">Alao A.I., </w:t>
      </w:r>
      <w:proofErr w:type="spellStart"/>
      <w:r w:rsidRPr="003F17DE">
        <w:rPr>
          <w:lang w:val="en-US"/>
        </w:rPr>
        <w:t>Agarry</w:t>
      </w:r>
      <w:proofErr w:type="spellEnd"/>
      <w:r w:rsidRPr="003F17DE">
        <w:rPr>
          <w:lang w:val="en-US"/>
        </w:rPr>
        <w:t xml:space="preserve"> S.E., Afolabi T.J., 2023, Extraction of Lactic Acid from Fermentation Broth Using Long Chain </w:t>
      </w:r>
      <w:proofErr w:type="spellStart"/>
      <w:r w:rsidRPr="003F17DE">
        <w:rPr>
          <w:lang w:val="en-US"/>
        </w:rPr>
        <w:t>Alkanoates</w:t>
      </w:r>
      <w:proofErr w:type="spellEnd"/>
      <w:r w:rsidRPr="003F17DE">
        <w:rPr>
          <w:lang w:val="en-US"/>
        </w:rPr>
        <w:t>, Journal of Chemical Engineering Data, 68, 2686-2697.</w:t>
      </w:r>
    </w:p>
    <w:p w14:paraId="5F0C45C0" w14:textId="77777777" w:rsidR="002E26B8" w:rsidRPr="003F17DE" w:rsidRDefault="002E26B8" w:rsidP="002E26B8">
      <w:pPr>
        <w:pStyle w:val="CETReferencetext"/>
        <w:rPr>
          <w:lang w:val="en-US"/>
        </w:rPr>
      </w:pPr>
      <w:r w:rsidRPr="003F17DE">
        <w:rPr>
          <w:lang w:val="en-US"/>
        </w:rPr>
        <w:t>Chen C., Zhang X., Liu C., Wu Y., Zheng G., Chen Y, 2022, Advances in downstream processes and applications of biological carboxylic acids derived from organic wastes, Bioresource Technology, 126609</w:t>
      </w:r>
    </w:p>
    <w:p w14:paraId="74DCAD97" w14:textId="77777777" w:rsidR="002E26B8" w:rsidRPr="003F17DE" w:rsidRDefault="002E26B8" w:rsidP="002E26B8">
      <w:pPr>
        <w:pStyle w:val="CETReferencetext"/>
        <w:rPr>
          <w:lang w:val="en-US"/>
        </w:rPr>
      </w:pPr>
      <w:r w:rsidRPr="003F17DE">
        <w:rPr>
          <w:lang w:val="en-US"/>
        </w:rPr>
        <w:t>Corrêa, L.F.F., Soares, R.P., Ceriani, R., 2019, Liquid–liquid equilibria for ternary mixtures of γ-valerolactone + n-tetradecane + (butanoic acid, hexanoic acid or methyl myristate) at 298.15 K. Journal of Chemical &amp; Engineering Data, 64, 2282–2291.</w:t>
      </w:r>
    </w:p>
    <w:p w14:paraId="50FC67B3" w14:textId="77777777" w:rsidR="002E26B8" w:rsidRPr="003F17DE" w:rsidRDefault="002E26B8" w:rsidP="002E26B8">
      <w:pPr>
        <w:pStyle w:val="CETReferencetext"/>
        <w:rPr>
          <w:lang w:val="en-US"/>
        </w:rPr>
      </w:pPr>
      <w:r w:rsidRPr="003F17DE">
        <w:rPr>
          <w:lang w:val="en-US"/>
        </w:rPr>
        <w:t>Dantas, C.E.S., Ceriani, R., 2022, Liquid–liquid equilibria of ternary mixtures containing n-tetradecane + γ-valerolactone + aldehyde [butanal, pentanal or (E)-2-undecenal] at 298.15 K. Journal of Chemical &amp; Engineering Data, 67, 393-403.</w:t>
      </w:r>
    </w:p>
    <w:p w14:paraId="2500DE2F" w14:textId="77777777" w:rsidR="002E26B8" w:rsidRPr="003F17DE" w:rsidRDefault="002E26B8" w:rsidP="002E26B8">
      <w:pPr>
        <w:pStyle w:val="CETReferencetext"/>
        <w:rPr>
          <w:lang w:val="en-US"/>
        </w:rPr>
      </w:pPr>
      <w:r w:rsidRPr="003F17DE">
        <w:rPr>
          <w:lang w:val="en-US"/>
        </w:rPr>
        <w:t>Fioravante, I.F., de Q. Nóbrega, R., Leal Silva, J.F., 2025, Recovery of volatile fatty acids from fermentation broth using ethyl acetate as solvent. Chemical Engineering Transactions, 117, 115–120.</w:t>
      </w:r>
    </w:p>
    <w:p w14:paraId="2D586826" w14:textId="18A81636" w:rsidR="002E26B8" w:rsidRPr="003F17DE" w:rsidRDefault="002E26B8" w:rsidP="002E26B8">
      <w:pPr>
        <w:pStyle w:val="CETReferencetext"/>
        <w:rPr>
          <w:lang w:val="en-US"/>
        </w:rPr>
      </w:pPr>
      <w:proofErr w:type="spellStart"/>
      <w:r w:rsidRPr="003F17DE">
        <w:rPr>
          <w:lang w:val="en-US"/>
        </w:rPr>
        <w:t>Gerunova</w:t>
      </w:r>
      <w:proofErr w:type="spellEnd"/>
      <w:r w:rsidRPr="003F17DE">
        <w:rPr>
          <w:lang w:val="en-US"/>
        </w:rPr>
        <w:t xml:space="preserve"> L.K., </w:t>
      </w:r>
      <w:proofErr w:type="spellStart"/>
      <w:r w:rsidRPr="003F17DE">
        <w:rPr>
          <w:lang w:val="en-US"/>
        </w:rPr>
        <w:t>Gerunov</w:t>
      </w:r>
      <w:proofErr w:type="spellEnd"/>
      <w:r w:rsidRPr="003F17DE">
        <w:rPr>
          <w:lang w:val="en-US"/>
        </w:rPr>
        <w:t xml:space="preserve"> T.V., </w:t>
      </w:r>
      <w:proofErr w:type="spellStart"/>
      <w:r w:rsidRPr="003F17DE">
        <w:rPr>
          <w:lang w:val="en-US"/>
        </w:rPr>
        <w:t>P’yanova</w:t>
      </w:r>
      <w:proofErr w:type="spellEnd"/>
      <w:r w:rsidRPr="003F17DE">
        <w:rPr>
          <w:lang w:val="en-US"/>
        </w:rPr>
        <w:t xml:space="preserve"> L.G.,</w:t>
      </w:r>
      <w:r w:rsidR="001967A6">
        <w:rPr>
          <w:lang w:val="en-US"/>
        </w:rPr>
        <w:t xml:space="preserve"> </w:t>
      </w:r>
      <w:proofErr w:type="spellStart"/>
      <w:r w:rsidRPr="003F17DE">
        <w:rPr>
          <w:lang w:val="en-US"/>
        </w:rPr>
        <w:t>Lavrenov</w:t>
      </w:r>
      <w:proofErr w:type="spellEnd"/>
      <w:r w:rsidRPr="003F17DE">
        <w:rPr>
          <w:lang w:val="en-US"/>
        </w:rPr>
        <w:t xml:space="preserve"> A.V., </w:t>
      </w:r>
      <w:proofErr w:type="spellStart"/>
      <w:r w:rsidRPr="003F17DE">
        <w:rPr>
          <w:lang w:val="en-US"/>
        </w:rPr>
        <w:t>Sedanova</w:t>
      </w:r>
      <w:proofErr w:type="spellEnd"/>
      <w:r w:rsidRPr="003F17DE">
        <w:rPr>
          <w:lang w:val="en-US"/>
        </w:rPr>
        <w:t xml:space="preserve"> A.V., </w:t>
      </w:r>
      <w:proofErr w:type="spellStart"/>
      <w:r w:rsidRPr="003F17DE">
        <w:rPr>
          <w:lang w:val="en-US"/>
        </w:rPr>
        <w:t>Delyagina</w:t>
      </w:r>
      <w:proofErr w:type="spellEnd"/>
      <w:r w:rsidRPr="003F17DE">
        <w:rPr>
          <w:lang w:val="en-US"/>
        </w:rPr>
        <w:t xml:space="preserve"> M.S., Fedorov Y.N., Kornienko N.V., </w:t>
      </w:r>
      <w:proofErr w:type="spellStart"/>
      <w:r w:rsidRPr="003F17DE">
        <w:rPr>
          <w:lang w:val="en-US"/>
        </w:rPr>
        <w:t>Kryuchek</w:t>
      </w:r>
      <w:proofErr w:type="spellEnd"/>
      <w:r w:rsidRPr="003F17DE">
        <w:rPr>
          <w:lang w:val="en-US"/>
        </w:rPr>
        <w:t xml:space="preserve"> Y.O., Tarasenko A.A., 2024, Butyric acid and prospects for creation of new medicines based on its derivatives: a literature review, Journal of Veterinary Science, 25(2</w:t>
      </w:r>
      <w:proofErr w:type="gramStart"/>
      <w:r w:rsidRPr="003F17DE">
        <w:rPr>
          <w:lang w:val="en-US"/>
        </w:rPr>
        <w:t>):e</w:t>
      </w:r>
      <w:proofErr w:type="gramEnd"/>
      <w:r w:rsidRPr="003F17DE">
        <w:rPr>
          <w:lang w:val="en-US"/>
        </w:rPr>
        <w:t>23.</w:t>
      </w:r>
    </w:p>
    <w:p w14:paraId="33A040B0" w14:textId="18CD0160" w:rsidR="002E26B8" w:rsidRPr="003F17DE" w:rsidRDefault="002E26B8" w:rsidP="002E26B8">
      <w:pPr>
        <w:pStyle w:val="CETReferencetext"/>
        <w:rPr>
          <w:lang w:val="en-US"/>
        </w:rPr>
      </w:pPr>
      <w:r w:rsidRPr="003F17DE">
        <w:rPr>
          <w:lang w:val="en-US"/>
        </w:rPr>
        <w:t xml:space="preserve">Jiang L, Fu H, Yang </w:t>
      </w:r>
      <w:proofErr w:type="spellStart"/>
      <w:r w:rsidRPr="003F17DE">
        <w:rPr>
          <w:lang w:val="en-US"/>
        </w:rPr>
        <w:t>Hk</w:t>
      </w:r>
      <w:proofErr w:type="spellEnd"/>
      <w:r w:rsidRPr="003F17DE">
        <w:rPr>
          <w:lang w:val="en-US"/>
        </w:rPr>
        <w:t>, Xu W, Wang J, Yang St, Butyric acid: Applications and recent advances in its bioproduction, Biotec. Adv., v.8, p.2101-2117. 2018,</w:t>
      </w:r>
    </w:p>
    <w:p w14:paraId="25DE7356" w14:textId="77777777" w:rsidR="002E26B8" w:rsidRPr="003F17DE" w:rsidRDefault="002E26B8" w:rsidP="002E26B8">
      <w:pPr>
        <w:pStyle w:val="CETReferencetext"/>
        <w:rPr>
          <w:lang w:val="en-US"/>
        </w:rPr>
      </w:pPr>
      <w:r w:rsidRPr="003F17DE">
        <w:rPr>
          <w:lang w:val="en-US"/>
        </w:rPr>
        <w:t xml:space="preserve">Kelbert, M. et al, Perspectives on biotechnological production of butyric acid from lignocellulosic biomass. Ren.  Sust. En. </w:t>
      </w:r>
      <w:proofErr w:type="spellStart"/>
      <w:r w:rsidRPr="003F17DE">
        <w:rPr>
          <w:lang w:val="en-US"/>
        </w:rPr>
        <w:t>ReviewsElsevier</w:t>
      </w:r>
      <w:proofErr w:type="spellEnd"/>
      <w:r w:rsidRPr="003F17DE">
        <w:rPr>
          <w:lang w:val="en-US"/>
        </w:rPr>
        <w:t xml:space="preserve"> Ltd</w:t>
      </w:r>
      <w:proofErr w:type="gramStart"/>
      <w:r w:rsidRPr="003F17DE">
        <w:rPr>
          <w:lang w:val="en-US"/>
        </w:rPr>
        <w:t>, ,</w:t>
      </w:r>
      <w:proofErr w:type="gramEnd"/>
      <w:r w:rsidRPr="003F17DE">
        <w:rPr>
          <w:lang w:val="en-US"/>
        </w:rPr>
        <w:t xml:space="preserve"> 1 set. 2024.</w:t>
      </w:r>
    </w:p>
    <w:p w14:paraId="61FB6416" w14:textId="77777777" w:rsidR="002E26B8" w:rsidRPr="003F17DE" w:rsidRDefault="002E26B8" w:rsidP="002E26B8">
      <w:pPr>
        <w:pStyle w:val="CETReferencetext"/>
        <w:rPr>
          <w:lang w:val="en-US"/>
        </w:rPr>
      </w:pPr>
      <w:r w:rsidRPr="003F17DE">
        <w:rPr>
          <w:lang w:val="en-US"/>
        </w:rPr>
        <w:t>Kerkel, F., Markiewicz, M., Stolte, S., Müller, E., Kunz, W., 2021, The green platform molecule gamma-valerolactone – ecotoxicity, biodegradability, solvent properties, and potential applications. Green Chemistry, 23, 2962–2976.</w:t>
      </w:r>
    </w:p>
    <w:p w14:paraId="043B8287" w14:textId="77777777" w:rsidR="002E26B8" w:rsidRPr="003F17DE" w:rsidRDefault="002E26B8" w:rsidP="002E26B8">
      <w:pPr>
        <w:pStyle w:val="CETReferencetext"/>
        <w:rPr>
          <w:lang w:val="en-US"/>
        </w:rPr>
      </w:pPr>
      <w:r w:rsidRPr="003F17DE">
        <w:rPr>
          <w:lang w:val="en-US"/>
        </w:rPr>
        <w:t>Kim, J., Park, H., Han, S., Lee, J., 2022, A strategy for food waste-to-biofuels: Co-production of gasoline alternatives from volatile fatty acids. Journal of Cleaner Production, 348, 131408.</w:t>
      </w:r>
    </w:p>
    <w:p w14:paraId="7A0B230C" w14:textId="77777777" w:rsidR="002E26B8" w:rsidRPr="003F17DE" w:rsidRDefault="002E26B8" w:rsidP="002E26B8">
      <w:pPr>
        <w:pStyle w:val="CETReferencetext"/>
        <w:rPr>
          <w:lang w:val="en-US"/>
        </w:rPr>
      </w:pPr>
      <w:r w:rsidRPr="003F17DE">
        <w:rPr>
          <w:lang w:val="en-US"/>
        </w:rPr>
        <w:t>López-Garzón, C.S., Straathof, A.J.J., 2014, Recovery of carboxylic acids produced by fermentation. Biotechnology Advances, 5, 873-904.</w:t>
      </w:r>
    </w:p>
    <w:p w14:paraId="184C716F" w14:textId="77777777" w:rsidR="002E26B8" w:rsidRPr="003F17DE" w:rsidRDefault="002E26B8" w:rsidP="002E26B8">
      <w:pPr>
        <w:pStyle w:val="CETReferencetext"/>
        <w:rPr>
          <w:lang w:val="en-US"/>
        </w:rPr>
      </w:pPr>
      <w:r w:rsidRPr="003F17DE">
        <w:rPr>
          <w:lang w:val="en-US"/>
        </w:rPr>
        <w:t xml:space="preserve">López-Porfiri, P., </w:t>
      </w:r>
      <w:proofErr w:type="spellStart"/>
      <w:r w:rsidRPr="003F17DE">
        <w:rPr>
          <w:lang w:val="en-US"/>
        </w:rPr>
        <w:t>Gorgojo</w:t>
      </w:r>
      <w:proofErr w:type="spellEnd"/>
      <w:r w:rsidRPr="003F17DE">
        <w:rPr>
          <w:lang w:val="en-US"/>
        </w:rPr>
        <w:t>, P., Gonzalez-Miquel, M., 2020, Green solvents selection guide for bio-based organic acids recovery. ACS Sustainable Chemistry &amp; Engineering, 8, 8958–8969.</w:t>
      </w:r>
    </w:p>
    <w:p w14:paraId="47A85C5B" w14:textId="77777777" w:rsidR="002E26B8" w:rsidRDefault="002E26B8" w:rsidP="002E26B8">
      <w:pPr>
        <w:pStyle w:val="CETReferencetext"/>
        <w:rPr>
          <w:lang w:val="en-US"/>
        </w:rPr>
      </w:pPr>
      <w:r w:rsidRPr="003F17DE">
        <w:rPr>
          <w:lang w:val="en-US"/>
        </w:rPr>
        <w:t xml:space="preserve">Luo H., Yang R., Zhao Y., Wang Z., Liu Z., Huang M., Zeng Q., 2018, Recent advances and strategies in process and strain engineering </w:t>
      </w:r>
      <w:proofErr w:type="gramStart"/>
      <w:r w:rsidRPr="003F17DE">
        <w:rPr>
          <w:lang w:val="en-US"/>
        </w:rPr>
        <w:t>for the production of</w:t>
      </w:r>
      <w:proofErr w:type="gramEnd"/>
      <w:r w:rsidRPr="003F17DE">
        <w:rPr>
          <w:lang w:val="en-US"/>
        </w:rPr>
        <w:t xml:space="preserve"> butyric acid by microbial fermentation, Bioresource Technology, 253, 343-354.</w:t>
      </w:r>
    </w:p>
    <w:p w14:paraId="2409DE77" w14:textId="5A182A6B" w:rsidR="0062645D" w:rsidRPr="003F17DE" w:rsidRDefault="0062645D" w:rsidP="002E26B8">
      <w:pPr>
        <w:pStyle w:val="CETReferencetext"/>
        <w:rPr>
          <w:lang w:val="en-US"/>
        </w:rPr>
      </w:pPr>
      <w:r w:rsidRPr="00FD26BB">
        <w:t>Seader, J. D.; Henley, E. J.; Roper, D. K. 2019</w:t>
      </w:r>
      <w:r w:rsidR="00EC650E" w:rsidRPr="00FD26BB">
        <w:t>.</w:t>
      </w:r>
      <w:r w:rsidRPr="00FD26BB">
        <w:t xml:space="preserve"> Separation process principles with applications using process simulators. 4. ed. Hoboken: John Wiley &amp; Sons</w:t>
      </w:r>
    </w:p>
    <w:p w14:paraId="20EBEF45" w14:textId="1FEC6BCB" w:rsidR="002E26B8" w:rsidRPr="003F17DE" w:rsidRDefault="002E26B8" w:rsidP="002E26B8">
      <w:pPr>
        <w:pStyle w:val="CETReferencetext"/>
        <w:rPr>
          <w:lang w:val="en-US"/>
        </w:rPr>
      </w:pPr>
      <w:r w:rsidRPr="003F17DE">
        <w:rPr>
          <w:lang w:val="en-US"/>
        </w:rPr>
        <w:t>Sun S., Wang X., Cheng S., Lei Y., Sun W., Wang K., Li Z., 2024, A review of volatile fatty acids production from organic wastes: Intensification techniques and separation methods, Journal of Environmental Management, 121062.</w:t>
      </w:r>
    </w:p>
    <w:p w14:paraId="1646E63D" w14:textId="77777777" w:rsidR="002E26B8" w:rsidRPr="003F17DE" w:rsidRDefault="002E26B8" w:rsidP="002E26B8">
      <w:pPr>
        <w:pStyle w:val="CETReferencetext"/>
        <w:rPr>
          <w:lang w:val="en-US"/>
        </w:rPr>
      </w:pPr>
      <w:r w:rsidRPr="003F17DE">
        <w:rPr>
          <w:lang w:val="en-US"/>
        </w:rPr>
        <w:t>Wong, C.Y.Y., Choi, A.W.T., Lui, M.Y., Fridrich, B., Horváth, A.K., Mika, L.T., Horváth, I.T., 2017, Stability of gamma-valerolactone under neutral, acidic, and basic conditions. Structural Chemistry, 28, 423-429.</w:t>
      </w:r>
    </w:p>
    <w:p w14:paraId="79B1F9EF" w14:textId="51D5F86C" w:rsidR="002E26B8" w:rsidRPr="003F17DE" w:rsidRDefault="002E26B8" w:rsidP="002E26B8">
      <w:pPr>
        <w:pStyle w:val="CETReferencetext"/>
        <w:rPr>
          <w:lang w:val="en-US"/>
        </w:rPr>
      </w:pPr>
      <w:r w:rsidRPr="003F17DE">
        <w:rPr>
          <w:lang w:val="en-US"/>
        </w:rPr>
        <w:t>Xu Z, Jiang, Butyric Acid. Elsevier, B.V., Bio-B. Chem., Elsevier. p.207-215, 2011.</w:t>
      </w:r>
    </w:p>
    <w:p w14:paraId="0EA38C1A" w14:textId="77777777" w:rsidR="002E26B8" w:rsidRPr="00EF1382" w:rsidRDefault="002E26B8" w:rsidP="002E26B8">
      <w:pPr>
        <w:pStyle w:val="CETBodytext"/>
        <w:rPr>
          <w:lang w:val="pt-BR"/>
        </w:rPr>
      </w:pPr>
    </w:p>
    <w:sectPr w:rsidR="002E26B8" w:rsidRPr="00EF138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5B496" w14:textId="77777777" w:rsidR="00977E68" w:rsidRDefault="00977E68" w:rsidP="004F5E36">
      <w:r>
        <w:separator/>
      </w:r>
    </w:p>
  </w:endnote>
  <w:endnote w:type="continuationSeparator" w:id="0">
    <w:p w14:paraId="4CBC825F" w14:textId="77777777" w:rsidR="00977E68" w:rsidRDefault="00977E6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6CB2" w14:textId="77777777" w:rsidR="00977E68" w:rsidRDefault="00977E68" w:rsidP="004F5E36">
      <w:r>
        <w:separator/>
      </w:r>
    </w:p>
  </w:footnote>
  <w:footnote w:type="continuationSeparator" w:id="0">
    <w:p w14:paraId="1A6FDDB1" w14:textId="77777777" w:rsidR="00977E68" w:rsidRDefault="00977E6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790"/>
    <w:rsid w:val="0000422A"/>
    <w:rsid w:val="000052FB"/>
    <w:rsid w:val="00005884"/>
    <w:rsid w:val="00005A19"/>
    <w:rsid w:val="000117CB"/>
    <w:rsid w:val="0003148D"/>
    <w:rsid w:val="00031EEC"/>
    <w:rsid w:val="00051566"/>
    <w:rsid w:val="000562A9"/>
    <w:rsid w:val="00062A9A"/>
    <w:rsid w:val="00065058"/>
    <w:rsid w:val="00086C39"/>
    <w:rsid w:val="000A03B2"/>
    <w:rsid w:val="000C0AD7"/>
    <w:rsid w:val="000C7DE7"/>
    <w:rsid w:val="000D0268"/>
    <w:rsid w:val="000D34BE"/>
    <w:rsid w:val="000D7151"/>
    <w:rsid w:val="000E102F"/>
    <w:rsid w:val="000E36F1"/>
    <w:rsid w:val="000E3A73"/>
    <w:rsid w:val="000E414A"/>
    <w:rsid w:val="000E75FD"/>
    <w:rsid w:val="000F093C"/>
    <w:rsid w:val="000F4856"/>
    <w:rsid w:val="000F787B"/>
    <w:rsid w:val="00101F02"/>
    <w:rsid w:val="0012091F"/>
    <w:rsid w:val="00124AAD"/>
    <w:rsid w:val="00124D7C"/>
    <w:rsid w:val="00126BC2"/>
    <w:rsid w:val="001308B6"/>
    <w:rsid w:val="0013121F"/>
    <w:rsid w:val="00131FE6"/>
    <w:rsid w:val="0013263F"/>
    <w:rsid w:val="001331DF"/>
    <w:rsid w:val="00134DE4"/>
    <w:rsid w:val="0014034D"/>
    <w:rsid w:val="00140542"/>
    <w:rsid w:val="00140FE3"/>
    <w:rsid w:val="00144D16"/>
    <w:rsid w:val="00150E59"/>
    <w:rsid w:val="00152DE3"/>
    <w:rsid w:val="00164CF9"/>
    <w:rsid w:val="001667A6"/>
    <w:rsid w:val="00184AD6"/>
    <w:rsid w:val="001967A6"/>
    <w:rsid w:val="001A274C"/>
    <w:rsid w:val="001A4AF7"/>
    <w:rsid w:val="001B0349"/>
    <w:rsid w:val="001B1E93"/>
    <w:rsid w:val="001B65C1"/>
    <w:rsid w:val="001C260F"/>
    <w:rsid w:val="001C33F1"/>
    <w:rsid w:val="001C684B"/>
    <w:rsid w:val="001D0AAF"/>
    <w:rsid w:val="001D0CFB"/>
    <w:rsid w:val="001D21AF"/>
    <w:rsid w:val="001D53FC"/>
    <w:rsid w:val="001F42A5"/>
    <w:rsid w:val="001F7B9D"/>
    <w:rsid w:val="00201C93"/>
    <w:rsid w:val="002026F9"/>
    <w:rsid w:val="002224B4"/>
    <w:rsid w:val="00226E4C"/>
    <w:rsid w:val="00240B19"/>
    <w:rsid w:val="002447EF"/>
    <w:rsid w:val="00251266"/>
    <w:rsid w:val="00251550"/>
    <w:rsid w:val="00254E88"/>
    <w:rsid w:val="00260F77"/>
    <w:rsid w:val="00263B05"/>
    <w:rsid w:val="00265D07"/>
    <w:rsid w:val="0027221A"/>
    <w:rsid w:val="00275587"/>
    <w:rsid w:val="00275B61"/>
    <w:rsid w:val="00275FCA"/>
    <w:rsid w:val="00276280"/>
    <w:rsid w:val="0028015A"/>
    <w:rsid w:val="00280FAF"/>
    <w:rsid w:val="00282656"/>
    <w:rsid w:val="00296B83"/>
    <w:rsid w:val="002B4015"/>
    <w:rsid w:val="002B5C01"/>
    <w:rsid w:val="002B75CF"/>
    <w:rsid w:val="002B78CE"/>
    <w:rsid w:val="002C2FB6"/>
    <w:rsid w:val="002D5932"/>
    <w:rsid w:val="002E26B8"/>
    <w:rsid w:val="002E5FA7"/>
    <w:rsid w:val="002F3309"/>
    <w:rsid w:val="003008CE"/>
    <w:rsid w:val="003009B7"/>
    <w:rsid w:val="00300E56"/>
    <w:rsid w:val="0030152C"/>
    <w:rsid w:val="0030469C"/>
    <w:rsid w:val="003100A3"/>
    <w:rsid w:val="00321CA6"/>
    <w:rsid w:val="00323763"/>
    <w:rsid w:val="00323C5F"/>
    <w:rsid w:val="00334C09"/>
    <w:rsid w:val="003723D4"/>
    <w:rsid w:val="00374870"/>
    <w:rsid w:val="00381905"/>
    <w:rsid w:val="00384CC8"/>
    <w:rsid w:val="003871FD"/>
    <w:rsid w:val="0039772D"/>
    <w:rsid w:val="003A1E30"/>
    <w:rsid w:val="003A2829"/>
    <w:rsid w:val="003A7D1C"/>
    <w:rsid w:val="003B304B"/>
    <w:rsid w:val="003B3146"/>
    <w:rsid w:val="003B4EA5"/>
    <w:rsid w:val="003C03D7"/>
    <w:rsid w:val="003C2257"/>
    <w:rsid w:val="003D1E02"/>
    <w:rsid w:val="003F015E"/>
    <w:rsid w:val="003F17DE"/>
    <w:rsid w:val="003F3F5A"/>
    <w:rsid w:val="00400414"/>
    <w:rsid w:val="0041446B"/>
    <w:rsid w:val="00417DFB"/>
    <w:rsid w:val="0044071E"/>
    <w:rsid w:val="0044329C"/>
    <w:rsid w:val="00453E24"/>
    <w:rsid w:val="00457456"/>
    <w:rsid w:val="004577FE"/>
    <w:rsid w:val="00457B9C"/>
    <w:rsid w:val="0046164A"/>
    <w:rsid w:val="004628D2"/>
    <w:rsid w:val="00462DCD"/>
    <w:rsid w:val="004648AD"/>
    <w:rsid w:val="004703A9"/>
    <w:rsid w:val="004760DE"/>
    <w:rsid w:val="004763D7"/>
    <w:rsid w:val="00484ACB"/>
    <w:rsid w:val="00493EF4"/>
    <w:rsid w:val="004A004E"/>
    <w:rsid w:val="004A24CF"/>
    <w:rsid w:val="004A5E57"/>
    <w:rsid w:val="004B600D"/>
    <w:rsid w:val="004C194F"/>
    <w:rsid w:val="004C3D1D"/>
    <w:rsid w:val="004C3D84"/>
    <w:rsid w:val="004C7913"/>
    <w:rsid w:val="004E4DD6"/>
    <w:rsid w:val="004F5E36"/>
    <w:rsid w:val="00507B47"/>
    <w:rsid w:val="00507BEF"/>
    <w:rsid w:val="00507CC9"/>
    <w:rsid w:val="005119A5"/>
    <w:rsid w:val="0051363A"/>
    <w:rsid w:val="005278B7"/>
    <w:rsid w:val="00530FEE"/>
    <w:rsid w:val="00532016"/>
    <w:rsid w:val="005346C8"/>
    <w:rsid w:val="00543E7D"/>
    <w:rsid w:val="00547A68"/>
    <w:rsid w:val="005531C9"/>
    <w:rsid w:val="00553501"/>
    <w:rsid w:val="005678D3"/>
    <w:rsid w:val="00570C43"/>
    <w:rsid w:val="00575E8F"/>
    <w:rsid w:val="00592274"/>
    <w:rsid w:val="005B2110"/>
    <w:rsid w:val="005B5220"/>
    <w:rsid w:val="005B61E6"/>
    <w:rsid w:val="005C4884"/>
    <w:rsid w:val="005C6A80"/>
    <w:rsid w:val="005C77E1"/>
    <w:rsid w:val="005D668A"/>
    <w:rsid w:val="005D6A2F"/>
    <w:rsid w:val="005E037F"/>
    <w:rsid w:val="005E0592"/>
    <w:rsid w:val="005E1A82"/>
    <w:rsid w:val="005E2E01"/>
    <w:rsid w:val="005E794C"/>
    <w:rsid w:val="005F0A28"/>
    <w:rsid w:val="005F0E5E"/>
    <w:rsid w:val="00600535"/>
    <w:rsid w:val="00610CD6"/>
    <w:rsid w:val="00620DEE"/>
    <w:rsid w:val="00621F92"/>
    <w:rsid w:val="0062280A"/>
    <w:rsid w:val="006231E1"/>
    <w:rsid w:val="00625639"/>
    <w:rsid w:val="0062645D"/>
    <w:rsid w:val="00631B33"/>
    <w:rsid w:val="0064184D"/>
    <w:rsid w:val="006422CC"/>
    <w:rsid w:val="00651D18"/>
    <w:rsid w:val="00660E3E"/>
    <w:rsid w:val="00662E74"/>
    <w:rsid w:val="00664F9F"/>
    <w:rsid w:val="00680C23"/>
    <w:rsid w:val="00681156"/>
    <w:rsid w:val="00683E23"/>
    <w:rsid w:val="00693766"/>
    <w:rsid w:val="006A1CEC"/>
    <w:rsid w:val="006A3281"/>
    <w:rsid w:val="006B2666"/>
    <w:rsid w:val="006B4888"/>
    <w:rsid w:val="006C2E45"/>
    <w:rsid w:val="006C359C"/>
    <w:rsid w:val="006C4AA9"/>
    <w:rsid w:val="006C5579"/>
    <w:rsid w:val="006D3D9B"/>
    <w:rsid w:val="006D6E8B"/>
    <w:rsid w:val="006D7209"/>
    <w:rsid w:val="006E1472"/>
    <w:rsid w:val="006E22B2"/>
    <w:rsid w:val="006E737D"/>
    <w:rsid w:val="006E741E"/>
    <w:rsid w:val="006F6E0C"/>
    <w:rsid w:val="00707DD1"/>
    <w:rsid w:val="00713973"/>
    <w:rsid w:val="00720A24"/>
    <w:rsid w:val="0072313A"/>
    <w:rsid w:val="00724074"/>
    <w:rsid w:val="00732386"/>
    <w:rsid w:val="0073514D"/>
    <w:rsid w:val="00740288"/>
    <w:rsid w:val="007447F3"/>
    <w:rsid w:val="0075499F"/>
    <w:rsid w:val="0075679B"/>
    <w:rsid w:val="007617CC"/>
    <w:rsid w:val="007661C8"/>
    <w:rsid w:val="0077098D"/>
    <w:rsid w:val="00785BF9"/>
    <w:rsid w:val="007931FA"/>
    <w:rsid w:val="007A4861"/>
    <w:rsid w:val="007A7BBA"/>
    <w:rsid w:val="007B0C50"/>
    <w:rsid w:val="007B48F9"/>
    <w:rsid w:val="007C1A43"/>
    <w:rsid w:val="007C778B"/>
    <w:rsid w:val="007D0951"/>
    <w:rsid w:val="007E1792"/>
    <w:rsid w:val="007F27C8"/>
    <w:rsid w:val="0080013E"/>
    <w:rsid w:val="00800C3C"/>
    <w:rsid w:val="00803C4B"/>
    <w:rsid w:val="00813288"/>
    <w:rsid w:val="008168FC"/>
    <w:rsid w:val="00830996"/>
    <w:rsid w:val="008314D7"/>
    <w:rsid w:val="008345F1"/>
    <w:rsid w:val="008522DD"/>
    <w:rsid w:val="00865B07"/>
    <w:rsid w:val="008667EA"/>
    <w:rsid w:val="0087637F"/>
    <w:rsid w:val="008764A0"/>
    <w:rsid w:val="00892AD5"/>
    <w:rsid w:val="00893CA9"/>
    <w:rsid w:val="008A0EC7"/>
    <w:rsid w:val="008A1512"/>
    <w:rsid w:val="008A4EED"/>
    <w:rsid w:val="008C6E80"/>
    <w:rsid w:val="008D1356"/>
    <w:rsid w:val="008D32B9"/>
    <w:rsid w:val="008D433B"/>
    <w:rsid w:val="008D4A16"/>
    <w:rsid w:val="008E209A"/>
    <w:rsid w:val="008E45BC"/>
    <w:rsid w:val="008E566E"/>
    <w:rsid w:val="0090161A"/>
    <w:rsid w:val="00901EB6"/>
    <w:rsid w:val="009041F8"/>
    <w:rsid w:val="00904C62"/>
    <w:rsid w:val="00905D98"/>
    <w:rsid w:val="009064AE"/>
    <w:rsid w:val="0091280E"/>
    <w:rsid w:val="00922A06"/>
    <w:rsid w:val="00922BA8"/>
    <w:rsid w:val="00924DAC"/>
    <w:rsid w:val="00927058"/>
    <w:rsid w:val="00933BAE"/>
    <w:rsid w:val="00942750"/>
    <w:rsid w:val="009450CE"/>
    <w:rsid w:val="009459BB"/>
    <w:rsid w:val="00947179"/>
    <w:rsid w:val="0095164B"/>
    <w:rsid w:val="00954090"/>
    <w:rsid w:val="009573E7"/>
    <w:rsid w:val="00963E05"/>
    <w:rsid w:val="00964A45"/>
    <w:rsid w:val="00967843"/>
    <w:rsid w:val="00967D54"/>
    <w:rsid w:val="00971028"/>
    <w:rsid w:val="00977E68"/>
    <w:rsid w:val="00993B84"/>
    <w:rsid w:val="00996483"/>
    <w:rsid w:val="00996F5A"/>
    <w:rsid w:val="009A2F41"/>
    <w:rsid w:val="009A4421"/>
    <w:rsid w:val="009B041A"/>
    <w:rsid w:val="009C0263"/>
    <w:rsid w:val="009C37C3"/>
    <w:rsid w:val="009C7C86"/>
    <w:rsid w:val="009D2FF7"/>
    <w:rsid w:val="009E7884"/>
    <w:rsid w:val="009E788A"/>
    <w:rsid w:val="009F0E08"/>
    <w:rsid w:val="00A079AE"/>
    <w:rsid w:val="00A13F1C"/>
    <w:rsid w:val="00A1763D"/>
    <w:rsid w:val="00A17CEC"/>
    <w:rsid w:val="00A26CBB"/>
    <w:rsid w:val="00A27EF0"/>
    <w:rsid w:val="00A41370"/>
    <w:rsid w:val="00A42361"/>
    <w:rsid w:val="00A50B20"/>
    <w:rsid w:val="00A51390"/>
    <w:rsid w:val="00A60B27"/>
    <w:rsid w:val="00A60D13"/>
    <w:rsid w:val="00A67D4D"/>
    <w:rsid w:val="00A70498"/>
    <w:rsid w:val="00A7223D"/>
    <w:rsid w:val="00A72745"/>
    <w:rsid w:val="00A76EFC"/>
    <w:rsid w:val="00A87D50"/>
    <w:rsid w:val="00A91010"/>
    <w:rsid w:val="00A97F29"/>
    <w:rsid w:val="00AA702E"/>
    <w:rsid w:val="00AA7D26"/>
    <w:rsid w:val="00AB0964"/>
    <w:rsid w:val="00AB5011"/>
    <w:rsid w:val="00AC7368"/>
    <w:rsid w:val="00AD0278"/>
    <w:rsid w:val="00AD16B9"/>
    <w:rsid w:val="00AE377D"/>
    <w:rsid w:val="00AF0EBA"/>
    <w:rsid w:val="00B02C8A"/>
    <w:rsid w:val="00B04627"/>
    <w:rsid w:val="00B065B6"/>
    <w:rsid w:val="00B17FBD"/>
    <w:rsid w:val="00B264AF"/>
    <w:rsid w:val="00B315A6"/>
    <w:rsid w:val="00B31813"/>
    <w:rsid w:val="00B33365"/>
    <w:rsid w:val="00B33ED6"/>
    <w:rsid w:val="00B357F8"/>
    <w:rsid w:val="00B57B36"/>
    <w:rsid w:val="00B57E6F"/>
    <w:rsid w:val="00B65332"/>
    <w:rsid w:val="00B83C42"/>
    <w:rsid w:val="00B8686D"/>
    <w:rsid w:val="00B911CC"/>
    <w:rsid w:val="00B93F69"/>
    <w:rsid w:val="00B97767"/>
    <w:rsid w:val="00BB1ACA"/>
    <w:rsid w:val="00BB1DDC"/>
    <w:rsid w:val="00BB2FF4"/>
    <w:rsid w:val="00BB6245"/>
    <w:rsid w:val="00BC30C9"/>
    <w:rsid w:val="00BD077D"/>
    <w:rsid w:val="00BE3877"/>
    <w:rsid w:val="00BE3E58"/>
    <w:rsid w:val="00BF08C0"/>
    <w:rsid w:val="00C01616"/>
    <w:rsid w:val="00C0162B"/>
    <w:rsid w:val="00C068ED"/>
    <w:rsid w:val="00C07BC4"/>
    <w:rsid w:val="00C208E9"/>
    <w:rsid w:val="00C22E0C"/>
    <w:rsid w:val="00C345B1"/>
    <w:rsid w:val="00C40142"/>
    <w:rsid w:val="00C52C3C"/>
    <w:rsid w:val="00C57182"/>
    <w:rsid w:val="00C57863"/>
    <w:rsid w:val="00C640AF"/>
    <w:rsid w:val="00C655FD"/>
    <w:rsid w:val="00C75407"/>
    <w:rsid w:val="00C83524"/>
    <w:rsid w:val="00C841C6"/>
    <w:rsid w:val="00C870A8"/>
    <w:rsid w:val="00C94434"/>
    <w:rsid w:val="00CA0D75"/>
    <w:rsid w:val="00CA1C95"/>
    <w:rsid w:val="00CA5A9C"/>
    <w:rsid w:val="00CC2256"/>
    <w:rsid w:val="00CC41AD"/>
    <w:rsid w:val="00CC4C20"/>
    <w:rsid w:val="00CD3517"/>
    <w:rsid w:val="00CD5FE2"/>
    <w:rsid w:val="00CE458E"/>
    <w:rsid w:val="00CE7C68"/>
    <w:rsid w:val="00D02B4C"/>
    <w:rsid w:val="00D02F4C"/>
    <w:rsid w:val="00D040C4"/>
    <w:rsid w:val="00D159FC"/>
    <w:rsid w:val="00D20AD1"/>
    <w:rsid w:val="00D2582C"/>
    <w:rsid w:val="00D46B7E"/>
    <w:rsid w:val="00D57C84"/>
    <w:rsid w:val="00D6057D"/>
    <w:rsid w:val="00D612AA"/>
    <w:rsid w:val="00D71640"/>
    <w:rsid w:val="00D836C5"/>
    <w:rsid w:val="00D84576"/>
    <w:rsid w:val="00DA1399"/>
    <w:rsid w:val="00DA24C6"/>
    <w:rsid w:val="00DA4D7B"/>
    <w:rsid w:val="00DB0160"/>
    <w:rsid w:val="00DD271C"/>
    <w:rsid w:val="00DE264A"/>
    <w:rsid w:val="00DE5D7D"/>
    <w:rsid w:val="00DF5072"/>
    <w:rsid w:val="00E02D18"/>
    <w:rsid w:val="00E041E7"/>
    <w:rsid w:val="00E23C0D"/>
    <w:rsid w:val="00E23CA1"/>
    <w:rsid w:val="00E274D9"/>
    <w:rsid w:val="00E30B5A"/>
    <w:rsid w:val="00E409A8"/>
    <w:rsid w:val="00E47D61"/>
    <w:rsid w:val="00E50C12"/>
    <w:rsid w:val="00E65B91"/>
    <w:rsid w:val="00E663CF"/>
    <w:rsid w:val="00E71E90"/>
    <w:rsid w:val="00E7209D"/>
    <w:rsid w:val="00E72EAD"/>
    <w:rsid w:val="00E7469C"/>
    <w:rsid w:val="00E77223"/>
    <w:rsid w:val="00E8528B"/>
    <w:rsid w:val="00E85B94"/>
    <w:rsid w:val="00E867C2"/>
    <w:rsid w:val="00E978D0"/>
    <w:rsid w:val="00EA3EF9"/>
    <w:rsid w:val="00EA4613"/>
    <w:rsid w:val="00EA7F91"/>
    <w:rsid w:val="00EB1523"/>
    <w:rsid w:val="00EC0E49"/>
    <w:rsid w:val="00EC101F"/>
    <w:rsid w:val="00EC1D9F"/>
    <w:rsid w:val="00EC650E"/>
    <w:rsid w:val="00EE0131"/>
    <w:rsid w:val="00EE17B0"/>
    <w:rsid w:val="00EF06D9"/>
    <w:rsid w:val="00EF0982"/>
    <w:rsid w:val="00EF1382"/>
    <w:rsid w:val="00EF44D0"/>
    <w:rsid w:val="00EF70D3"/>
    <w:rsid w:val="00F0348A"/>
    <w:rsid w:val="00F126A5"/>
    <w:rsid w:val="00F3049E"/>
    <w:rsid w:val="00F30C64"/>
    <w:rsid w:val="00F32BA2"/>
    <w:rsid w:val="00F32CDB"/>
    <w:rsid w:val="00F3348F"/>
    <w:rsid w:val="00F37280"/>
    <w:rsid w:val="00F41EE4"/>
    <w:rsid w:val="00F565FE"/>
    <w:rsid w:val="00F63A70"/>
    <w:rsid w:val="00F63D8C"/>
    <w:rsid w:val="00F7534E"/>
    <w:rsid w:val="00F91C5E"/>
    <w:rsid w:val="00F93EDF"/>
    <w:rsid w:val="00FA1802"/>
    <w:rsid w:val="00FA21D0"/>
    <w:rsid w:val="00FA5F5F"/>
    <w:rsid w:val="00FB730C"/>
    <w:rsid w:val="00FC2695"/>
    <w:rsid w:val="00FC3E03"/>
    <w:rsid w:val="00FC3FC1"/>
    <w:rsid w:val="00FC6AA3"/>
    <w:rsid w:val="00FD26B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B97767"/>
    <w:rPr>
      <w:color w:val="605E5C"/>
      <w:shd w:val="clear" w:color="auto" w:fill="E1DFDD"/>
    </w:rPr>
  </w:style>
  <w:style w:type="character" w:styleId="PlaceholderText">
    <w:name w:val="Placeholder Text"/>
    <w:basedOn w:val="DefaultParagraphFont"/>
    <w:uiPriority w:val="99"/>
    <w:semiHidden/>
    <w:rsid w:val="00B977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6</Pages>
  <Words>3836</Words>
  <Characters>22254</Characters>
  <Application>Microsoft Office Word</Application>
  <DocSecurity>0</DocSecurity>
  <Lines>296</Lines>
  <Paragraphs>97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Jean Felipe Leal Silva</cp:lastModifiedBy>
  <cp:revision>84</cp:revision>
  <cp:lastPrinted>2026-01-30T16:27:00Z</cp:lastPrinted>
  <dcterms:created xsi:type="dcterms:W3CDTF">2026-01-30T16:28:00Z</dcterms:created>
  <dcterms:modified xsi:type="dcterms:W3CDTF">2026-03-29T22:00:00Z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c4c097db-dc8b-47e9-8303-bbc0e8bc11c7</vt:lpwstr>
  </property>
</Properties>
</file>