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31F62204"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994C6A">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892483">
              <w:rPr>
                <w:rFonts w:cs="Arial"/>
                <w:b/>
                <w:bCs/>
                <w:i/>
                <w:iCs/>
                <w:color w:val="000066"/>
                <w:sz w:val="22"/>
                <w:szCs w:val="22"/>
                <w:lang w:eastAsia="it-IT"/>
              </w:rPr>
              <w:t>6</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4D56D2AD" w:rsidR="00AA7D26" w:rsidRPr="007D610D" w:rsidRDefault="00AA7D26" w:rsidP="007D610D">
            <w:pPr>
              <w:ind w:left="-107"/>
              <w:outlineLvl w:val="2"/>
              <w:rPr>
                <w:rFonts w:ascii="Tahoma" w:hAnsi="Tahoma" w:cs="Tahoma"/>
                <w:color w:val="000000"/>
                <w:sz w:val="14"/>
                <w:szCs w:val="14"/>
                <w:shd w:val="clear" w:color="auto" w:fill="FFFFFF"/>
                <w:lang w:val="it-IT"/>
              </w:rPr>
            </w:pPr>
            <w:r w:rsidRPr="007D610D">
              <w:rPr>
                <w:rFonts w:ascii="Tahoma" w:hAnsi="Tahoma" w:cs="Tahoma"/>
                <w:iCs/>
                <w:color w:val="333333"/>
                <w:sz w:val="14"/>
                <w:szCs w:val="14"/>
                <w:lang w:val="it-IT" w:eastAsia="it-IT"/>
              </w:rPr>
              <w:t>Guest Editors:</w:t>
            </w:r>
            <w:r w:rsidR="007D610D" w:rsidRPr="007D610D">
              <w:rPr>
                <w:rFonts w:ascii="Aptos" w:eastAsiaTheme="minorHAnsi" w:hAnsi="Aptos" w:cs="Aptos"/>
                <w:sz w:val="22"/>
                <w:szCs w:val="22"/>
                <w:lang w:val="it-IT"/>
                <w14:ligatures w14:val="standardContextual"/>
              </w:rPr>
              <w:t xml:space="preserve"> </w:t>
            </w:r>
            <w:r w:rsidR="007D610D" w:rsidRPr="007D610D">
              <w:rPr>
                <w:rFonts w:ascii="Tahoma" w:hAnsi="Tahoma" w:cs="Tahoma"/>
                <w:color w:val="000000"/>
                <w:sz w:val="14"/>
                <w:szCs w:val="14"/>
                <w:shd w:val="clear" w:color="auto" w:fill="FFFFFF"/>
                <w:lang w:val="it-IT"/>
              </w:rPr>
              <w:t>Fabrizio Bezzo, Gabriele Pannocchia, Almerinda di Benedetto</w:t>
            </w:r>
          </w:p>
          <w:p w14:paraId="1B0F1814" w14:textId="7C54DC3A"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994C6A">
              <w:rPr>
                <w:rFonts w:ascii="Tahoma" w:hAnsi="Tahoma" w:cs="Tahoma"/>
                <w:iCs/>
                <w:color w:val="333333"/>
                <w:sz w:val="14"/>
                <w:szCs w:val="14"/>
                <w:lang w:eastAsia="it-IT"/>
              </w:rPr>
              <w:t>5</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3B49CD" w:rsidRPr="000562A9">
              <w:rPr>
                <w:rFonts w:ascii="Tahoma" w:hAnsi="Tahoma" w:cs="Tahoma"/>
                <w:sz w:val="14"/>
                <w:szCs w:val="14"/>
              </w:rPr>
              <w:t>97</w:t>
            </w:r>
            <w:r w:rsidR="003B49CD">
              <w:rPr>
                <w:rFonts w:ascii="Tahoma" w:hAnsi="Tahoma" w:cs="Tahoma"/>
                <w:sz w:val="14"/>
                <w:szCs w:val="14"/>
              </w:rPr>
              <w:t>9</w:t>
            </w:r>
            <w:r w:rsidR="003B49CD" w:rsidRPr="000562A9">
              <w:rPr>
                <w:rFonts w:ascii="Tahoma" w:hAnsi="Tahoma" w:cs="Tahoma"/>
                <w:sz w:val="14"/>
                <w:szCs w:val="14"/>
              </w:rPr>
              <w:t>-</w:t>
            </w:r>
            <w:r w:rsidR="003B49CD">
              <w:rPr>
                <w:rFonts w:ascii="Tahoma" w:hAnsi="Tahoma" w:cs="Tahoma"/>
                <w:sz w:val="14"/>
                <w:szCs w:val="14"/>
              </w:rPr>
              <w:t>12</w:t>
            </w:r>
            <w:r w:rsidR="003B49CD" w:rsidRPr="000562A9">
              <w:rPr>
                <w:rFonts w:ascii="Tahoma" w:hAnsi="Tahoma" w:cs="Tahoma"/>
                <w:sz w:val="14"/>
                <w:szCs w:val="14"/>
              </w:rPr>
              <w:t>-</w:t>
            </w:r>
            <w:r w:rsidR="003B49CD">
              <w:rPr>
                <w:rFonts w:ascii="Tahoma" w:hAnsi="Tahoma" w:cs="Tahoma"/>
                <w:sz w:val="14"/>
                <w:szCs w:val="14"/>
              </w:rPr>
              <w:t>81206-1</w:t>
            </w:r>
            <w:r w:rsidR="00994C6A">
              <w:rPr>
                <w:rFonts w:ascii="Tahoma" w:hAnsi="Tahoma" w:cs="Tahoma"/>
                <w:sz w:val="14"/>
                <w:szCs w:val="14"/>
              </w:rPr>
              <w:t>7</w:t>
            </w:r>
            <w:r w:rsidR="003B49CD">
              <w:rPr>
                <w:rFonts w:ascii="Tahoma" w:hAnsi="Tahoma" w:cs="Tahoma"/>
                <w:sz w:val="14"/>
                <w:szCs w:val="14"/>
              </w:rPr>
              <w:t>-</w:t>
            </w:r>
            <w:r w:rsidR="00994C6A">
              <w:rPr>
                <w:rFonts w:ascii="Tahoma" w:hAnsi="Tahoma" w:cs="Tahoma"/>
                <w:sz w:val="14"/>
                <w:szCs w:val="14"/>
              </w:rPr>
              <w:t>5</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41137F6B" w14:textId="49037EC4" w:rsidR="00233B34" w:rsidRPr="00233B34" w:rsidRDefault="00233B34" w:rsidP="00233B34">
      <w:pPr>
        <w:pStyle w:val="CETTitle"/>
      </w:pPr>
      <w:r>
        <w:t>From Waste to Process Enhancer: Pyrolysis-Engineered Biochar as a Booster in Anaerobic Digestion</w:t>
      </w:r>
    </w:p>
    <w:p w14:paraId="0488FED2" w14:textId="01C6A950" w:rsidR="00B57E6F" w:rsidRPr="00B2184B" w:rsidRDefault="00396E42" w:rsidP="00B57E6F">
      <w:pPr>
        <w:pStyle w:val="CETAuthors"/>
        <w:rPr>
          <w:lang w:val="it-IT"/>
        </w:rPr>
      </w:pPr>
      <w:r w:rsidRPr="00B2184B">
        <w:rPr>
          <w:lang w:val="it-IT"/>
        </w:rPr>
        <w:t>Martina Fazi*</w:t>
      </w:r>
      <w:r w:rsidR="00B57E6F" w:rsidRPr="00B2184B">
        <w:rPr>
          <w:lang w:val="it-IT"/>
        </w:rPr>
        <w:t>,</w:t>
      </w:r>
      <w:r w:rsidRPr="00B2184B">
        <w:rPr>
          <w:lang w:val="it-IT"/>
        </w:rPr>
        <w:t xml:space="preserve"> Domenico Rosa</w:t>
      </w:r>
      <w:r w:rsidR="00B57E6F" w:rsidRPr="00B2184B">
        <w:rPr>
          <w:lang w:val="it-IT"/>
        </w:rPr>
        <w:t>,</w:t>
      </w:r>
      <w:r w:rsidR="00233B34" w:rsidRPr="00B2184B">
        <w:rPr>
          <w:lang w:val="it-IT"/>
        </w:rPr>
        <w:t xml:space="preserve"> Serena Monaco</w:t>
      </w:r>
      <w:r w:rsidR="00B2184B" w:rsidRPr="00966276">
        <w:rPr>
          <w:lang w:val="it-IT"/>
        </w:rPr>
        <w:t>,</w:t>
      </w:r>
      <w:r w:rsidR="00233B34" w:rsidRPr="00B2184B">
        <w:rPr>
          <w:lang w:val="it-IT"/>
        </w:rPr>
        <w:t xml:space="preserve"> and</w:t>
      </w:r>
      <w:r w:rsidR="00B57E6F" w:rsidRPr="00B2184B">
        <w:rPr>
          <w:lang w:val="it-IT"/>
        </w:rPr>
        <w:t xml:space="preserve"> </w:t>
      </w:r>
      <w:r w:rsidRPr="00B2184B">
        <w:rPr>
          <w:lang w:val="it-IT"/>
        </w:rPr>
        <w:t>Luca Di Palma</w:t>
      </w:r>
    </w:p>
    <w:p w14:paraId="119F8528" w14:textId="3ECFDFAD" w:rsidR="00233B34" w:rsidRPr="00347EB5" w:rsidRDefault="00233B34" w:rsidP="00233B34">
      <w:pPr>
        <w:pStyle w:val="CETAddress"/>
      </w:pPr>
      <w:r w:rsidRPr="002E6DCA">
        <w:t xml:space="preserve">Department of Chemical Engineering Materials Environment, Sapienza-University of Rome, Via Eudossiana 18, 00184 Rome, Italy </w:t>
      </w:r>
    </w:p>
    <w:p w14:paraId="23ADE96B" w14:textId="77777777" w:rsidR="00396E42" w:rsidRPr="00B57B36" w:rsidRDefault="00396E42" w:rsidP="00396E42">
      <w:pPr>
        <w:pStyle w:val="CETemail"/>
      </w:pPr>
      <w:r>
        <w:t>martina.fazi</w:t>
      </w:r>
      <w:r w:rsidRPr="00B57B36">
        <w:t>@</w:t>
      </w:r>
      <w:r>
        <w:t>uniroma1.it</w:t>
      </w:r>
      <w:r w:rsidRPr="00B57B36">
        <w:t xml:space="preserve"> </w:t>
      </w:r>
    </w:p>
    <w:p w14:paraId="20B8E299" w14:textId="517D2A46" w:rsidR="00EF16AA" w:rsidRPr="00EF16AA" w:rsidRDefault="00EF16AA" w:rsidP="00EF16AA">
      <w:pPr>
        <w:spacing w:line="240" w:lineRule="auto"/>
        <w:rPr>
          <w:rFonts w:cs="Arial"/>
          <w:color w:val="000000" w:themeColor="text1"/>
          <w:szCs w:val="18"/>
          <w:lang w:val="en-US"/>
        </w:rPr>
      </w:pPr>
      <w:r w:rsidRPr="00EF16AA">
        <w:rPr>
          <w:rFonts w:cs="Arial"/>
          <w:color w:val="000000" w:themeColor="text1"/>
          <w:szCs w:val="18"/>
          <w:lang w:val="en-US"/>
        </w:rPr>
        <w:t>Anaerobic digestion (AD) is a key technology for organic waste valorization into biogas, but its efficiency is often limited by process instability. The accumulation of inhibitory compounds, such as ammonium and heavy metals, together with pH fluctuations, can impair microbial activity and reduce methane production. Biochar has emerged as a promising additive due to its ability to modulate the physicochemical environment of AD systems.</w:t>
      </w:r>
      <w:r w:rsidR="002A5DA1">
        <w:rPr>
          <w:rFonts w:cs="Arial"/>
          <w:color w:val="000000" w:themeColor="text1"/>
          <w:szCs w:val="18"/>
          <w:lang w:val="en-US"/>
        </w:rPr>
        <w:t xml:space="preserve"> </w:t>
      </w:r>
      <w:r w:rsidRPr="00EF16AA">
        <w:rPr>
          <w:rFonts w:cs="Arial"/>
          <w:color w:val="000000" w:themeColor="text1"/>
          <w:szCs w:val="18"/>
          <w:lang w:val="en-US"/>
        </w:rPr>
        <w:t>This study investigated the role of biochar properties in enhancing AD performance, focusing on (</w:t>
      </w:r>
      <w:proofErr w:type="spellStart"/>
      <w:r w:rsidRPr="00EF16AA">
        <w:rPr>
          <w:rFonts w:cs="Arial"/>
          <w:color w:val="000000" w:themeColor="text1"/>
          <w:szCs w:val="18"/>
          <w:lang w:val="en-US"/>
        </w:rPr>
        <w:t>i</w:t>
      </w:r>
      <w:proofErr w:type="spellEnd"/>
      <w:r w:rsidRPr="00EF16AA">
        <w:rPr>
          <w:rFonts w:cs="Arial"/>
          <w:color w:val="000000" w:themeColor="text1"/>
          <w:szCs w:val="18"/>
          <w:lang w:val="en-US"/>
        </w:rPr>
        <w:t xml:space="preserve">) biomass type and (ii) pyrolysis temperature. Four </w:t>
      </w:r>
      <w:proofErr w:type="spellStart"/>
      <w:r w:rsidRPr="00EF16AA">
        <w:rPr>
          <w:rFonts w:cs="Arial"/>
          <w:color w:val="000000" w:themeColor="text1"/>
          <w:szCs w:val="18"/>
          <w:lang w:val="en-US"/>
        </w:rPr>
        <w:t>biochars</w:t>
      </w:r>
      <w:proofErr w:type="spellEnd"/>
      <w:r w:rsidRPr="00EF16AA">
        <w:rPr>
          <w:rFonts w:cs="Arial"/>
          <w:color w:val="000000" w:themeColor="text1"/>
          <w:szCs w:val="18"/>
          <w:lang w:val="en-US"/>
        </w:rPr>
        <w:t xml:space="preserve"> were produced: one from spent coffee grounds (SCG) at 500 °C and three from tomato plant residues (TP) at 500, 700, and 900 °C. This approach enabled comparison of different feedstocks at the same pyrolysis temperature and assessment of the effect of pyrolysis temperature on a selected biomass. A physicochemical characterization was performed to elucidate the functional role of biochar in AD. Point of zero charge (PZC) and BET analysis were used to assess buffering behavior and surface area, respectively. Heavy metal and ammonium release and adsorption tests were conducted to evaluate both potential inhibitory effects and mitigation capacity. The materials were tested in batch anaerobic digesters using livestock digestate fed with glucose. Process performance was evaluated through gas production and composition (CH</w:t>
      </w:r>
      <w:r w:rsidRPr="00EF16AA">
        <w:rPr>
          <w:rFonts w:ascii="Cambria Math" w:hAnsi="Cambria Math" w:cs="Cambria Math"/>
          <w:color w:val="000000" w:themeColor="text1"/>
          <w:szCs w:val="18"/>
          <w:lang w:val="en-US"/>
        </w:rPr>
        <w:t>₄</w:t>
      </w:r>
      <w:r w:rsidRPr="00EF16AA">
        <w:rPr>
          <w:rFonts w:cs="Arial"/>
          <w:color w:val="000000" w:themeColor="text1"/>
          <w:szCs w:val="18"/>
          <w:lang w:val="en-US"/>
        </w:rPr>
        <w:t>, H</w:t>
      </w:r>
      <w:r w:rsidRPr="00EF16AA">
        <w:rPr>
          <w:rFonts w:ascii="Cambria Math" w:hAnsi="Cambria Math" w:cs="Cambria Math"/>
          <w:color w:val="000000" w:themeColor="text1"/>
          <w:szCs w:val="18"/>
          <w:lang w:val="en-US"/>
        </w:rPr>
        <w:t>₂</w:t>
      </w:r>
      <w:r w:rsidRPr="00EF16AA">
        <w:rPr>
          <w:rFonts w:cs="Arial"/>
          <w:color w:val="000000" w:themeColor="text1"/>
          <w:szCs w:val="18"/>
          <w:lang w:val="en-US"/>
        </w:rPr>
        <w:t>, CO</w:t>
      </w:r>
      <w:r w:rsidRPr="00EF16AA">
        <w:rPr>
          <w:rFonts w:ascii="Cambria Math" w:hAnsi="Cambria Math" w:cs="Cambria Math"/>
          <w:color w:val="000000" w:themeColor="text1"/>
          <w:szCs w:val="18"/>
          <w:lang w:val="en-US"/>
        </w:rPr>
        <w:t>₂</w:t>
      </w:r>
      <w:r w:rsidRPr="00EF16AA">
        <w:rPr>
          <w:rFonts w:cs="Arial"/>
          <w:color w:val="000000" w:themeColor="text1"/>
          <w:szCs w:val="18"/>
          <w:lang w:val="en-US"/>
        </w:rPr>
        <w:t>), with the CH</w:t>
      </w:r>
      <w:r w:rsidRPr="00EF16AA">
        <w:rPr>
          <w:rFonts w:ascii="Cambria Math" w:hAnsi="Cambria Math" w:cs="Cambria Math"/>
          <w:color w:val="000000" w:themeColor="text1"/>
          <w:szCs w:val="18"/>
          <w:lang w:val="en-US"/>
        </w:rPr>
        <w:t>₄</w:t>
      </w:r>
      <w:r w:rsidRPr="00EF16AA">
        <w:rPr>
          <w:rFonts w:cs="Arial"/>
          <w:color w:val="000000" w:themeColor="text1"/>
          <w:szCs w:val="18"/>
          <w:lang w:val="en-US"/>
        </w:rPr>
        <w:t>/CO</w:t>
      </w:r>
      <w:r w:rsidRPr="00EF16AA">
        <w:rPr>
          <w:rFonts w:ascii="Cambria Math" w:hAnsi="Cambria Math" w:cs="Cambria Math"/>
          <w:color w:val="000000" w:themeColor="text1"/>
          <w:szCs w:val="18"/>
          <w:lang w:val="en-US"/>
        </w:rPr>
        <w:t>₂</w:t>
      </w:r>
      <w:r w:rsidRPr="00EF16AA">
        <w:rPr>
          <w:rFonts w:cs="Arial"/>
          <w:color w:val="000000" w:themeColor="text1"/>
          <w:szCs w:val="18"/>
          <w:lang w:val="en-US"/>
        </w:rPr>
        <w:t xml:space="preserve"> ratio as an indicator of biogas quality.</w:t>
      </w:r>
    </w:p>
    <w:p w14:paraId="7675CFFC" w14:textId="6FD9B85C" w:rsidR="00EF16AA" w:rsidRPr="00EF16AA" w:rsidRDefault="00EF16AA" w:rsidP="00EF16AA">
      <w:pPr>
        <w:pStyle w:val="CETBodytext"/>
        <w:spacing w:line="240" w:lineRule="auto"/>
        <w:rPr>
          <w:rFonts w:cs="Arial"/>
          <w:szCs w:val="18"/>
          <w:lang w:val="en-GB"/>
        </w:rPr>
      </w:pPr>
      <w:r w:rsidRPr="00EF16AA">
        <w:rPr>
          <w:rFonts w:cs="Arial"/>
          <w:color w:val="000000" w:themeColor="text1"/>
          <w:szCs w:val="18"/>
        </w:rPr>
        <w:t>Results demonstrated that feedstock plays a key role, with TP-biochar outperforming SCG-based material. Among TP-</w:t>
      </w:r>
      <w:proofErr w:type="spellStart"/>
      <w:r w:rsidRPr="00EF16AA">
        <w:rPr>
          <w:rFonts w:cs="Arial"/>
          <w:color w:val="000000" w:themeColor="text1"/>
          <w:szCs w:val="18"/>
        </w:rPr>
        <w:t>biochars</w:t>
      </w:r>
      <w:proofErr w:type="spellEnd"/>
      <w:r w:rsidRPr="00EF16AA">
        <w:rPr>
          <w:rFonts w:cs="Arial"/>
          <w:color w:val="000000" w:themeColor="text1"/>
          <w:szCs w:val="18"/>
        </w:rPr>
        <w:t>, 500 °C maximized methane production, while 900 °C yielded the highest CH</w:t>
      </w:r>
      <w:r w:rsidRPr="00EF16AA">
        <w:rPr>
          <w:rFonts w:ascii="Cambria Math" w:hAnsi="Cambria Math" w:cs="Cambria Math"/>
          <w:color w:val="000000" w:themeColor="text1"/>
          <w:szCs w:val="18"/>
        </w:rPr>
        <w:t>₄</w:t>
      </w:r>
      <w:r w:rsidRPr="00EF16AA">
        <w:rPr>
          <w:rFonts w:cs="Arial"/>
          <w:color w:val="000000" w:themeColor="text1"/>
          <w:szCs w:val="18"/>
        </w:rPr>
        <w:t>/CO</w:t>
      </w:r>
      <w:r w:rsidRPr="00EF16AA">
        <w:rPr>
          <w:rFonts w:ascii="Cambria Math" w:hAnsi="Cambria Math" w:cs="Cambria Math"/>
          <w:color w:val="000000" w:themeColor="text1"/>
          <w:szCs w:val="18"/>
        </w:rPr>
        <w:t>₂</w:t>
      </w:r>
      <w:r w:rsidRPr="00EF16AA">
        <w:rPr>
          <w:rFonts w:cs="Arial"/>
          <w:color w:val="000000" w:themeColor="text1"/>
          <w:szCs w:val="18"/>
        </w:rPr>
        <w:t xml:space="preserve"> ratio, indicating improved biogas purification. These findings highlight the importance of tailoring biochar properties to enhance AD stability and efficiency.</w:t>
      </w:r>
    </w:p>
    <w:p w14:paraId="476B2F2E" w14:textId="52B36035" w:rsidR="00600535" w:rsidRDefault="00600535" w:rsidP="00600535">
      <w:pPr>
        <w:pStyle w:val="CETHeading1"/>
        <w:rPr>
          <w:lang w:val="en-GB"/>
        </w:rPr>
      </w:pPr>
      <w:r w:rsidRPr="00B57B36">
        <w:rPr>
          <w:lang w:val="en-GB"/>
        </w:rPr>
        <w:t>Introduction</w:t>
      </w:r>
    </w:p>
    <w:p w14:paraId="781A0758" w14:textId="429A7172" w:rsidR="00F91988" w:rsidRPr="00F91988" w:rsidRDefault="00F91988" w:rsidP="00F91988">
      <w:pPr>
        <w:pStyle w:val="CETBodytext"/>
        <w:rPr>
          <w:lang w:eastAsia="it-IT"/>
        </w:rPr>
      </w:pPr>
      <w:r w:rsidRPr="00F91988">
        <w:rPr>
          <w:lang w:eastAsia="it-IT"/>
        </w:rPr>
        <w:t>Anaerobic digestion (AD) is a widely adopted technology for the valorization of organic waste into renewable energy in the form of biogas, contributing to circular economy strategies and waste management.</w:t>
      </w:r>
      <w:r w:rsidR="005C527F">
        <w:rPr>
          <w:lang w:eastAsia="it-IT"/>
        </w:rPr>
        <w:t xml:space="preserve"> </w:t>
      </w:r>
      <w:r w:rsidRPr="00F91988">
        <w:rPr>
          <w:lang w:eastAsia="it-IT"/>
        </w:rPr>
        <w:t>AD is a complex biological process occurring in the absence of oxygen and involving a consortium of microorganisms that operate through four main stages: hydrolysis, acidogenesis, acetogenesis, and methanogenesis. The efficiency of the process relies on the delicate balance among these microbial communities. However, AD performance is often hindered by the accumulation of inhibitory compounds, such as ammonium</w:t>
      </w:r>
      <w:r w:rsidR="005767B1">
        <w:rPr>
          <w:lang w:eastAsia="it-IT"/>
        </w:rPr>
        <w:t xml:space="preserve"> (NH</w:t>
      </w:r>
      <w:r w:rsidR="005767B1">
        <w:rPr>
          <w:vertAlign w:val="subscript"/>
          <w:lang w:eastAsia="it-IT"/>
        </w:rPr>
        <w:t>4</w:t>
      </w:r>
      <w:r w:rsidR="005767B1">
        <w:rPr>
          <w:vertAlign w:val="superscript"/>
          <w:lang w:eastAsia="it-IT"/>
        </w:rPr>
        <w:t>+</w:t>
      </w:r>
      <w:r w:rsidR="005767B1">
        <w:rPr>
          <w:lang w:eastAsia="it-IT"/>
        </w:rPr>
        <w:t>)</w:t>
      </w:r>
      <w:r w:rsidRPr="00F91988">
        <w:rPr>
          <w:lang w:eastAsia="it-IT"/>
        </w:rPr>
        <w:t xml:space="preserve"> and heavy </w:t>
      </w:r>
      <w:r w:rsidRPr="00966276">
        <w:rPr>
          <w:lang w:eastAsia="it-IT"/>
        </w:rPr>
        <w:t>metals</w:t>
      </w:r>
      <w:r w:rsidR="00C136B7" w:rsidRPr="00966276">
        <w:rPr>
          <w:lang w:eastAsia="it-IT"/>
        </w:rPr>
        <w:t xml:space="preserve"> (HMs)</w:t>
      </w:r>
      <w:r w:rsidRPr="00966276">
        <w:rPr>
          <w:lang w:eastAsia="it-IT"/>
        </w:rPr>
        <w:t>,</w:t>
      </w:r>
      <w:r w:rsidRPr="00F91988">
        <w:rPr>
          <w:lang w:eastAsia="it-IT"/>
        </w:rPr>
        <w:t xml:space="preserve"> as well as by pH instability, which can negatively affect microbial activity and reduce </w:t>
      </w:r>
      <w:r w:rsidRPr="00966276">
        <w:rPr>
          <w:lang w:eastAsia="it-IT"/>
        </w:rPr>
        <w:t xml:space="preserve">methane </w:t>
      </w:r>
      <w:r w:rsidR="00213034" w:rsidRPr="00966276">
        <w:rPr>
          <w:lang w:eastAsia="it-IT"/>
        </w:rPr>
        <w:t>(</w:t>
      </w:r>
      <w:r w:rsidR="00213034" w:rsidRPr="00966276">
        <w:rPr>
          <w:rFonts w:cs="Arial"/>
          <w:color w:val="000000" w:themeColor="text1"/>
          <w:szCs w:val="18"/>
        </w:rPr>
        <w:t>CH</w:t>
      </w:r>
      <w:r w:rsidR="00213034" w:rsidRPr="00966276">
        <w:rPr>
          <w:rFonts w:ascii="Cambria Math" w:hAnsi="Cambria Math" w:cs="Cambria Math"/>
          <w:color w:val="000000" w:themeColor="text1"/>
          <w:szCs w:val="18"/>
        </w:rPr>
        <w:t>₄)</w:t>
      </w:r>
      <w:r w:rsidR="00213034">
        <w:rPr>
          <w:rFonts w:ascii="Cambria Math" w:hAnsi="Cambria Math" w:cs="Cambria Math"/>
          <w:color w:val="000000" w:themeColor="text1"/>
          <w:szCs w:val="18"/>
        </w:rPr>
        <w:t xml:space="preserve"> </w:t>
      </w:r>
      <w:r w:rsidRPr="00F91988">
        <w:rPr>
          <w:lang w:eastAsia="it-IT"/>
        </w:rPr>
        <w:t>production</w:t>
      </w:r>
      <w:r w:rsidR="005F0D70">
        <w:rPr>
          <w:rFonts w:cs="Arial"/>
          <w:color w:val="000000"/>
          <w:lang w:eastAsia="it-IT"/>
        </w:rPr>
        <w:t xml:space="preserve"> </w:t>
      </w:r>
      <w:sdt>
        <w:sdtPr>
          <w:rPr>
            <w:rFonts w:cs="Arial"/>
            <w:color w:val="000000"/>
            <w:lang w:eastAsia="it-IT"/>
          </w:rPr>
          <w:tag w:val="MENDELEY_CITATION_v3_eyJjaXRhdGlvbklEIjoiTUVOREVMRVlfQ0lUQVRJT05fZjgyZDRkNjQtODI5Yi00NGE1LWE3OTYtNDgxMzhhOGQzZWUzIiwicHJvcGVydGllcyI6eyJub3RlSW5kZXgiOjB9LCJpc0VkaXRlZCI6ZmFsc2UsIm1hbnVhbE92ZXJyaWRlIjp7ImlzTWFudWFsbHlPdmVycmlkZGVuIjpmYWxzZSwiY2l0ZXByb2NUZXh0IjoiKEZhemkgZXQgYWwuLCAyMDI2KSIsIm1hbnVhbE92ZXJyaWRlVGV4dCI6IiJ9LCJjaXRhdGlvbkl0ZW1zIjpbeyJpZCI6Ijg4ZmU4YzMyLWZlM2QtM2U2MC05M2M4LWM0NWZjN2EwNDFhYyIsIml0ZW1EYXRhIjp7InR5cGUiOiJhcnRpY2xlLWpvdXJuYWwiLCJpZCI6Ijg4ZmU4YzMyLWZlM2QtM2U2MC05M2M4LWM0NWZjN2EwNDFhYy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
          <w:id w:val="-1421101363"/>
          <w:placeholder>
            <w:docPart w:val="DefaultPlaceholder_-1854013440"/>
          </w:placeholder>
        </w:sdtPr>
        <w:sdtContent>
          <w:r w:rsidR="005F0D70" w:rsidRPr="005F0D70">
            <w:rPr>
              <w:rFonts w:cs="Arial"/>
              <w:color w:val="000000"/>
              <w:lang w:eastAsia="it-IT"/>
            </w:rPr>
            <w:t>(Fazi et al., 2026)</w:t>
          </w:r>
        </w:sdtContent>
      </w:sdt>
      <w:r w:rsidRPr="00F91988">
        <w:rPr>
          <w:lang w:eastAsia="it-IT"/>
        </w:rPr>
        <w:t>.</w:t>
      </w:r>
    </w:p>
    <w:p w14:paraId="10437BE9" w14:textId="466E9FE6" w:rsidR="00F91988" w:rsidRPr="00F91988" w:rsidRDefault="004D0A9E" w:rsidP="00F91988">
      <w:pPr>
        <w:pStyle w:val="CETBodytext"/>
        <w:rPr>
          <w:lang w:eastAsia="it-IT"/>
        </w:rPr>
      </w:pPr>
      <w:r w:rsidRPr="00966276">
        <w:rPr>
          <w:lang w:eastAsia="it-IT"/>
        </w:rPr>
        <w:t>B</w:t>
      </w:r>
      <w:r w:rsidR="00F91988" w:rsidRPr="00966276">
        <w:rPr>
          <w:lang w:eastAsia="it-IT"/>
        </w:rPr>
        <w:t>iochar</w:t>
      </w:r>
      <w:r w:rsidR="00F91988" w:rsidRPr="00F91988">
        <w:rPr>
          <w:lang w:eastAsia="it-IT"/>
        </w:rPr>
        <w:t xml:space="preserve"> has emerged as a promising additive for AD systems. Due to its high surface area, porous structure, and surface functional groups, biochar can adsorb inhibitory compounds and contribute to pH buffering. Moreover, it can provide a suitable microhabitat for microbial growth and facilitate direct interspecies electron transfer (DIET), enhancing syntrophic interactions and overall process efficiency</w:t>
      </w:r>
      <w:r w:rsidR="00516967">
        <w:rPr>
          <w:lang w:eastAsia="it-IT"/>
        </w:rPr>
        <w:t xml:space="preserve"> </w:t>
      </w:r>
      <w:sdt>
        <w:sdtPr>
          <w:rPr>
            <w:rFonts w:cs="Arial"/>
            <w:color w:val="000000"/>
            <w:lang w:eastAsia="it-IT"/>
          </w:rPr>
          <w:tag w:val="MENDELEY_CITATION_v3_eyJjaXRhdGlvbklEIjoiTUVOREVMRVlfQ0lUQVRJT05fZjUxZDUxZDItMjMxOS00ODUxLTk5NDgtNTY2YTE5NTMyMWJhIiwicHJvcGVydGllcyI6eyJub3RlSW5kZXgiOjB9LCJpc0VkaXRlZCI6ZmFsc2UsIm1hbnVhbE92ZXJyaWRlIjp7ImlzTWFudWFsbHlPdmVycmlkZGVuIjpmYWxzZSwiY2l0ZXByb2NUZXh0IjoiKEZhemkgZXQgYWwuLCAyMDI2KSIsIm1hbnVhbE92ZXJyaWRlVGV4dCI6IiJ9LCJjaXRhdGlvbkl0ZW1zIjpbeyJpZCI6Ijg4ZmU4YzMyLWZlM2QtM2U2MC05M2M4LWM0NWZjN2EwNDFhYyIsIml0ZW1EYXRhIjp7InR5cGUiOiJhcnRpY2xlLWpvdXJuYWwiLCJpZCI6Ijg4ZmU4YzMyLWZlM2QtM2U2MC05M2M4LWM0NWZjN2EwNDFhYy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
          <w:id w:val="1191878010"/>
          <w:placeholder>
            <w:docPart w:val="DefaultPlaceholder_-1854013440"/>
          </w:placeholder>
        </w:sdtPr>
        <w:sdtContent>
          <w:r w:rsidR="005F0D70" w:rsidRPr="005F0D70">
            <w:rPr>
              <w:rFonts w:cs="Arial"/>
              <w:color w:val="000000"/>
              <w:lang w:eastAsia="it-IT"/>
            </w:rPr>
            <w:t>(Fazi et al., 2026)</w:t>
          </w:r>
        </w:sdtContent>
      </w:sdt>
      <w:r w:rsidR="00F91988" w:rsidRPr="00F91988">
        <w:rPr>
          <w:lang w:eastAsia="it-IT"/>
        </w:rPr>
        <w:t>. Therefore, a systematic understanding of how these parameters influence AD performance is required.</w:t>
      </w:r>
    </w:p>
    <w:p w14:paraId="7369A627" w14:textId="7F93F463" w:rsidR="00505AF6" w:rsidRPr="00505AF6" w:rsidRDefault="00F91988" w:rsidP="00505AF6">
      <w:pPr>
        <w:pStyle w:val="CETBodytext"/>
        <w:rPr>
          <w:lang w:eastAsia="it-IT"/>
        </w:rPr>
      </w:pPr>
      <w:r w:rsidRPr="00F91988">
        <w:rPr>
          <w:lang w:eastAsia="it-IT"/>
        </w:rPr>
        <w:t xml:space="preserve">In this study, </w:t>
      </w:r>
      <w:proofErr w:type="spellStart"/>
      <w:r w:rsidRPr="00F91988">
        <w:rPr>
          <w:lang w:eastAsia="it-IT"/>
        </w:rPr>
        <w:t>biochars</w:t>
      </w:r>
      <w:proofErr w:type="spellEnd"/>
      <w:r w:rsidRPr="00F91988">
        <w:rPr>
          <w:lang w:eastAsia="it-IT"/>
        </w:rPr>
        <w:t xml:space="preserve"> derived from different biomasses and produced at different pyrolysis temperatures were investigated as additives in </w:t>
      </w:r>
      <w:r w:rsidR="00FC22DC" w:rsidRPr="00966276">
        <w:rPr>
          <w:lang w:eastAsia="it-IT"/>
        </w:rPr>
        <w:t>AD</w:t>
      </w:r>
      <w:r w:rsidRPr="00F91988">
        <w:rPr>
          <w:lang w:eastAsia="it-IT"/>
        </w:rPr>
        <w:t>. The materials were first characterized in terms of physicochemical properties and interaction with potential inhibitors, and subsequently tested in batch reactors to evaluate their effect on biogas production and composition.</w:t>
      </w:r>
    </w:p>
    <w:p w14:paraId="0F2B87DB" w14:textId="77103C9F" w:rsidR="00505AF6" w:rsidRDefault="00505AF6" w:rsidP="00505AF6">
      <w:pPr>
        <w:pStyle w:val="CETHeading1"/>
      </w:pPr>
      <w:r>
        <w:lastRenderedPageBreak/>
        <w:t>Materials and methods</w:t>
      </w:r>
    </w:p>
    <w:p w14:paraId="5BA3C6FF" w14:textId="23601D6E" w:rsidR="00505AF6" w:rsidRDefault="00505AF6" w:rsidP="00505AF6">
      <w:pPr>
        <w:pStyle w:val="CETheadingx"/>
      </w:pPr>
      <w:r>
        <w:t>Biochar synthesis</w:t>
      </w:r>
      <w:r w:rsidR="005E0AA7">
        <w:t xml:space="preserve"> and characterization</w:t>
      </w:r>
    </w:p>
    <w:p w14:paraId="4B353D3B" w14:textId="22143D31" w:rsidR="00101112" w:rsidRDefault="00101112" w:rsidP="00505AF6">
      <w:pPr>
        <w:pStyle w:val="CETBodytext"/>
        <w:rPr>
          <w:lang w:eastAsia="it-IT"/>
        </w:rPr>
      </w:pPr>
      <w:r w:rsidRPr="00101112">
        <w:rPr>
          <w:lang w:val="en-GB" w:eastAsia="it-IT"/>
        </w:rPr>
        <w:t xml:space="preserve">Four </w:t>
      </w:r>
      <w:proofErr w:type="spellStart"/>
      <w:r w:rsidRPr="00101112">
        <w:rPr>
          <w:lang w:val="en-GB" w:eastAsia="it-IT"/>
        </w:rPr>
        <w:t>biochars</w:t>
      </w:r>
      <w:proofErr w:type="spellEnd"/>
      <w:r w:rsidRPr="00101112">
        <w:rPr>
          <w:lang w:val="en-GB" w:eastAsia="it-IT"/>
        </w:rPr>
        <w:t xml:space="preserve"> were produced by slow pyrolysis of agro-industrial residues. Spent coffee grounds (SCG) and tomato plant (TP) were used as feedstocks. SCG was pyrolyzed at 500 °C, while TP at 500, 700, and 900 °C, yielding SCG-500, TP-500, TP-700, and TP-900, according to</w:t>
      </w:r>
      <w:r w:rsidRPr="00101112">
        <w:rPr>
          <w:rFonts w:cs="Arial"/>
          <w:color w:val="000000"/>
          <w:lang w:eastAsia="it-IT"/>
        </w:rPr>
        <w:t xml:space="preserve"> </w:t>
      </w:r>
      <w:sdt>
        <w:sdtPr>
          <w:rPr>
            <w:rFonts w:cs="Arial"/>
            <w:color w:val="000000"/>
            <w:lang w:eastAsia="it-IT"/>
          </w:rPr>
          <w:tag w:val="MENDELEY_CITATION_v3_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"/>
          <w:id w:val="-310252823"/>
          <w:placeholder>
            <w:docPart w:val="C52AB1868CA44142AA888EEC1D532B87"/>
          </w:placeholder>
        </w:sdtPr>
        <w:sdtContent>
          <w:r w:rsidR="005F0D70" w:rsidRPr="005F0D70">
            <w:rPr>
              <w:rFonts w:cs="Arial"/>
              <w:color w:val="000000"/>
              <w:lang w:eastAsia="it-IT"/>
            </w:rPr>
            <w:t>Fazi et al., 2025</w:t>
          </w:r>
        </w:sdtContent>
      </w:sdt>
      <w:r w:rsidRPr="00101112">
        <w:rPr>
          <w:lang w:val="en-GB" w:eastAsia="it-IT"/>
        </w:rPr>
        <w:t>.</w:t>
      </w:r>
    </w:p>
    <w:p w14:paraId="39859C25" w14:textId="26151974" w:rsidR="00101112" w:rsidRPr="00B2184B" w:rsidRDefault="00101112" w:rsidP="00C80779">
      <w:pPr>
        <w:pStyle w:val="CETBodytext"/>
      </w:pPr>
      <w:proofErr w:type="spellStart"/>
      <w:r w:rsidRPr="00101112">
        <w:rPr>
          <w:lang w:val="en-GB"/>
        </w:rPr>
        <w:t>Biochars</w:t>
      </w:r>
      <w:proofErr w:type="spellEnd"/>
      <w:r w:rsidRPr="00101112">
        <w:rPr>
          <w:lang w:val="en-GB"/>
        </w:rPr>
        <w:t xml:space="preserve"> were characterized for surface area and pore structure by gas adsorption. Samples were degassed overnight at 250 °C prior to analysis. CO</w:t>
      </w:r>
      <w:r w:rsidRPr="00101112">
        <w:rPr>
          <w:rFonts w:ascii="Cambria Math" w:hAnsi="Cambria Math" w:cs="Cambria Math"/>
          <w:lang w:val="en-GB"/>
        </w:rPr>
        <w:t>₂</w:t>
      </w:r>
      <w:r w:rsidRPr="00101112">
        <w:rPr>
          <w:lang w:val="en-GB"/>
        </w:rPr>
        <w:t xml:space="preserve"> adsorption isotherms were acquired at 0 °C </w:t>
      </w:r>
      <w:r w:rsidRPr="00966276">
        <w:rPr>
          <w:lang w:val="en-GB"/>
        </w:rPr>
        <w:t>(</w:t>
      </w:r>
      <w:r w:rsidR="0074304C" w:rsidRPr="00966276">
        <w:rPr>
          <w:lang w:val="en-GB"/>
        </w:rPr>
        <w:t>P/P</w:t>
      </w:r>
      <w:r w:rsidR="0074304C" w:rsidRPr="00966276">
        <w:rPr>
          <w:vertAlign w:val="subscript"/>
          <w:lang w:val="en-GB"/>
        </w:rPr>
        <w:t>0</w:t>
      </w:r>
      <w:r w:rsidR="0074304C" w:rsidRPr="00966276">
        <w:rPr>
          <w:lang w:val="en-GB"/>
        </w:rPr>
        <w:t xml:space="preserve"> =</w:t>
      </w:r>
      <w:r w:rsidR="0074304C">
        <w:rPr>
          <w:lang w:val="en-GB"/>
        </w:rPr>
        <w:t xml:space="preserve"> </w:t>
      </w:r>
      <w:r w:rsidRPr="00101112">
        <w:rPr>
          <w:lang w:val="en-GB"/>
        </w:rPr>
        <w:t>4×10</w:t>
      </w:r>
      <w:r w:rsidRPr="00101112">
        <w:rPr>
          <w:rFonts w:ascii="Cambria Math" w:hAnsi="Cambria Math" w:cs="Cambria Math"/>
          <w:lang w:val="en-GB"/>
        </w:rPr>
        <w:t>⁻</w:t>
      </w:r>
      <w:r w:rsidRPr="00101112">
        <w:rPr>
          <w:lang w:val="en-GB"/>
        </w:rPr>
        <w:t xml:space="preserve">⁵–0.03) using a Micromeritics 3Flex </w:t>
      </w:r>
      <w:proofErr w:type="spellStart"/>
      <w:r w:rsidRPr="00101112">
        <w:rPr>
          <w:lang w:val="en-GB"/>
        </w:rPr>
        <w:t>analyzer</w:t>
      </w:r>
      <w:proofErr w:type="spellEnd"/>
      <w:r w:rsidRPr="00101112">
        <w:rPr>
          <w:lang w:val="en-GB"/>
        </w:rPr>
        <w:t xml:space="preserve">. Surface area and total pore volume were determined using the </w:t>
      </w:r>
      <w:proofErr w:type="spellStart"/>
      <w:r w:rsidRPr="00101112">
        <w:rPr>
          <w:lang w:val="en-GB"/>
        </w:rPr>
        <w:t>Dubinin</w:t>
      </w:r>
      <w:proofErr w:type="spellEnd"/>
      <w:r w:rsidRPr="00101112">
        <w:rPr>
          <w:lang w:val="en-GB"/>
        </w:rPr>
        <w:t>–</w:t>
      </w:r>
      <w:proofErr w:type="spellStart"/>
      <w:r w:rsidRPr="00101112">
        <w:rPr>
          <w:lang w:val="en-GB"/>
        </w:rPr>
        <w:t>Radushkevich</w:t>
      </w:r>
      <w:proofErr w:type="spellEnd"/>
      <w:r w:rsidRPr="00101112">
        <w:rPr>
          <w:lang w:val="en-GB"/>
        </w:rPr>
        <w:t xml:space="preserve"> and </w:t>
      </w:r>
      <w:proofErr w:type="spellStart"/>
      <w:r w:rsidRPr="00101112">
        <w:rPr>
          <w:lang w:val="en-GB"/>
        </w:rPr>
        <w:t>Dubinin</w:t>
      </w:r>
      <w:proofErr w:type="spellEnd"/>
      <w:r w:rsidRPr="00101112">
        <w:rPr>
          <w:lang w:val="en-GB"/>
        </w:rPr>
        <w:t>–Astakhov models, respectively.</w:t>
      </w:r>
    </w:p>
    <w:p w14:paraId="575D9F4F" w14:textId="49CB9FDD" w:rsidR="00861AA9" w:rsidRPr="00101112" w:rsidRDefault="00E25849" w:rsidP="00E15574">
      <w:pPr>
        <w:pStyle w:val="CETBodytext"/>
        <w:rPr>
          <w:lang w:val="en-GB"/>
        </w:rPr>
      </w:pPr>
      <w:r w:rsidRPr="00E25849">
        <w:rPr>
          <w:lang w:val="en-GB"/>
        </w:rPr>
        <w:t>The point of zero charge (PZC) was determined via the pH drift method, following the procedure described by</w:t>
      </w:r>
      <w:r w:rsidR="00FA0A6F">
        <w:rPr>
          <w:rFonts w:cs="Arial"/>
          <w:color w:val="000000"/>
          <w:lang w:val="en-GB"/>
        </w:rPr>
        <w:t xml:space="preserve"> </w:t>
      </w:r>
      <w:sdt>
        <w:sdtPr>
          <w:rPr>
            <w:rFonts w:cs="Arial"/>
            <w:color w:val="000000"/>
            <w:lang w:eastAsia="it-IT"/>
          </w:rPr>
          <w:tag w:val="MENDELEY_CITATION_v3_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"/>
          <w:id w:val="-1448085203"/>
          <w:placeholder>
            <w:docPart w:val="827E05BADB969C4EB4A3AF7E361542A6"/>
          </w:placeholder>
        </w:sdtPr>
        <w:sdtContent>
          <w:r w:rsidR="005F0D70" w:rsidRPr="005F0D70">
            <w:rPr>
              <w:rFonts w:cs="Arial"/>
              <w:color w:val="000000"/>
              <w:lang w:eastAsia="it-IT"/>
            </w:rPr>
            <w:t>Fazi et al., 2025</w:t>
          </w:r>
        </w:sdtContent>
      </w:sdt>
      <w:r w:rsidRPr="00E25849">
        <w:rPr>
          <w:lang w:val="en-GB"/>
        </w:rPr>
        <w:t>.</w:t>
      </w:r>
      <w:r w:rsidR="00D77DAD">
        <w:rPr>
          <w:lang w:val="en-GB"/>
        </w:rPr>
        <w:t xml:space="preserve"> </w:t>
      </w:r>
      <w:r w:rsidR="00101112" w:rsidRPr="00101112">
        <w:rPr>
          <w:lang w:val="en-GB"/>
        </w:rPr>
        <w:t xml:space="preserve">Release tests were performed to assess nutrient and inhibitory compound release from </w:t>
      </w:r>
      <w:proofErr w:type="spellStart"/>
      <w:r w:rsidR="00101112" w:rsidRPr="00101112">
        <w:rPr>
          <w:lang w:val="en-GB"/>
        </w:rPr>
        <w:t>biochars</w:t>
      </w:r>
      <w:proofErr w:type="spellEnd"/>
      <w:r w:rsidR="00101112" w:rsidRPr="00101112">
        <w:rPr>
          <w:lang w:val="en-GB"/>
        </w:rPr>
        <w:t>. Experiments were conducted by adding 0.5 g of biochar to 50 mL of distilled water under continuous stirring (500 rpm) for 7, 14, 21, and 28 days. At each interval, samples were filtered (vacuum</w:t>
      </w:r>
      <w:r w:rsidR="00E50218">
        <w:rPr>
          <w:lang w:val="en-GB"/>
        </w:rPr>
        <w:t xml:space="preserve"> filtration</w:t>
      </w:r>
      <w:r w:rsidR="00101112" w:rsidRPr="00101112">
        <w:rPr>
          <w:lang w:val="en-GB"/>
        </w:rPr>
        <w:t xml:space="preserve"> and 0.45 </w:t>
      </w:r>
      <w:proofErr w:type="spellStart"/>
      <w:r w:rsidR="00101112" w:rsidRPr="00101112">
        <w:rPr>
          <w:lang w:val="en-GB"/>
        </w:rPr>
        <w:t>μm</w:t>
      </w:r>
      <w:proofErr w:type="spellEnd"/>
      <w:r w:rsidR="00E50218">
        <w:rPr>
          <w:lang w:val="en-GB"/>
        </w:rPr>
        <w:t xml:space="preserve"> syringe filters</w:t>
      </w:r>
      <w:r w:rsidR="00101112" w:rsidRPr="00101112">
        <w:rPr>
          <w:lang w:val="en-GB"/>
        </w:rPr>
        <w:t xml:space="preserve"> when needed) and stored for analysis. </w:t>
      </w:r>
      <w:r w:rsidR="00C136B7" w:rsidRPr="00966276">
        <w:rPr>
          <w:lang w:val="en-GB"/>
        </w:rPr>
        <w:t>HMs such as</w:t>
      </w:r>
      <w:r w:rsidR="00101112" w:rsidRPr="00966276">
        <w:rPr>
          <w:lang w:val="en-GB"/>
        </w:rPr>
        <w:t xml:space="preserve"> Ni, Cu, Cd, Pb, </w:t>
      </w:r>
      <w:r w:rsidR="0074304C" w:rsidRPr="00C8724A">
        <w:rPr>
          <w:lang w:val="en-GB"/>
        </w:rPr>
        <w:t xml:space="preserve">and </w:t>
      </w:r>
      <w:r w:rsidR="00101112" w:rsidRPr="00C8724A">
        <w:rPr>
          <w:lang w:val="en-GB"/>
        </w:rPr>
        <w:t>Zn</w:t>
      </w:r>
      <w:r w:rsidR="0074304C">
        <w:rPr>
          <w:lang w:val="en-GB"/>
        </w:rPr>
        <w:t xml:space="preserve"> </w:t>
      </w:r>
      <w:r w:rsidR="00101112" w:rsidRPr="00101112">
        <w:rPr>
          <w:lang w:val="en-GB"/>
        </w:rPr>
        <w:t>were quantified by</w:t>
      </w:r>
      <w:r w:rsidR="00101112">
        <w:rPr>
          <w:lang w:val="en-GB"/>
        </w:rPr>
        <w:t xml:space="preserve"> </w:t>
      </w:r>
      <w:r w:rsidR="00101112" w:rsidRPr="00B2184B">
        <w:t>atomic absorption spectroscopy</w:t>
      </w:r>
      <w:r w:rsidR="00101112" w:rsidRPr="00101112">
        <w:rPr>
          <w:lang w:val="en-GB"/>
        </w:rPr>
        <w:t xml:space="preserve"> </w:t>
      </w:r>
      <w:r w:rsidR="00101112">
        <w:rPr>
          <w:lang w:val="en-GB"/>
        </w:rPr>
        <w:t>(</w:t>
      </w:r>
      <w:r w:rsidR="00101112" w:rsidRPr="00101112">
        <w:rPr>
          <w:lang w:val="en-GB"/>
        </w:rPr>
        <w:t>AAS</w:t>
      </w:r>
      <w:r w:rsidR="00101112">
        <w:rPr>
          <w:lang w:val="en-GB"/>
        </w:rPr>
        <w:t>)</w:t>
      </w:r>
      <w:r w:rsidR="00101112" w:rsidRPr="00101112">
        <w:rPr>
          <w:lang w:val="en-GB"/>
        </w:rPr>
        <w:t>, while</w:t>
      </w:r>
      <w:r w:rsidR="00101112">
        <w:rPr>
          <w:lang w:val="en-GB"/>
        </w:rPr>
        <w:t xml:space="preserve"> </w:t>
      </w:r>
      <w:r w:rsidR="00101112" w:rsidRPr="00966276">
        <w:rPr>
          <w:lang w:val="en-GB"/>
        </w:rPr>
        <w:t>NH</w:t>
      </w:r>
      <w:r w:rsidR="00101112" w:rsidRPr="00966276">
        <w:rPr>
          <w:rFonts w:ascii="Cambria Math" w:hAnsi="Cambria Math" w:cs="Cambria Math"/>
          <w:lang w:val="en-GB"/>
        </w:rPr>
        <w:t>₄⁺</w:t>
      </w:r>
      <w:r w:rsidR="00101112" w:rsidRPr="00966276">
        <w:rPr>
          <w:lang w:val="en-GB"/>
        </w:rPr>
        <w:t xml:space="preserve"> and phosphorus </w:t>
      </w:r>
      <w:r w:rsidR="00AA17EA" w:rsidRPr="00966276">
        <w:rPr>
          <w:lang w:val="en-GB"/>
        </w:rPr>
        <w:t xml:space="preserve">(P) </w:t>
      </w:r>
      <w:r w:rsidR="00101112" w:rsidRPr="00966276">
        <w:rPr>
          <w:lang w:val="en-GB"/>
        </w:rPr>
        <w:t>were</w:t>
      </w:r>
      <w:r w:rsidR="00101112" w:rsidRPr="00101112">
        <w:rPr>
          <w:lang w:val="en-GB"/>
        </w:rPr>
        <w:t xml:space="preserve"> determined by UV–</w:t>
      </w:r>
      <w:proofErr w:type="gramStart"/>
      <w:r w:rsidR="00101112" w:rsidRPr="00101112">
        <w:rPr>
          <w:lang w:val="en-GB"/>
        </w:rPr>
        <w:t>Vis</w:t>
      </w:r>
      <w:proofErr w:type="gramEnd"/>
      <w:r w:rsidR="00101112" w:rsidRPr="00101112">
        <w:rPr>
          <w:lang w:val="en-GB"/>
        </w:rPr>
        <w:t xml:space="preserve"> spectroscopy using the Nessler and molybdenum blue methods, respectively.</w:t>
      </w:r>
    </w:p>
    <w:p w14:paraId="18474938" w14:textId="144395FB" w:rsidR="00E15574" w:rsidRDefault="00E15574" w:rsidP="008569C8">
      <w:pPr>
        <w:pStyle w:val="CETheadingx"/>
      </w:pPr>
      <w:r>
        <w:t>Adsorption tests</w:t>
      </w:r>
    </w:p>
    <w:p w14:paraId="58F6878A" w14:textId="03244282" w:rsidR="0068646C" w:rsidRPr="00B2184B" w:rsidRDefault="00101112" w:rsidP="0068646C">
      <w:pPr>
        <w:pStyle w:val="CETBodytext"/>
      </w:pPr>
      <w:r w:rsidRPr="00101112">
        <w:rPr>
          <w:lang w:val="en-GB"/>
        </w:rPr>
        <w:t xml:space="preserve">Batch adsorption tests were conducted to evaluate </w:t>
      </w:r>
      <w:r w:rsidRPr="00D0541C">
        <w:rPr>
          <w:lang w:val="en-GB"/>
        </w:rPr>
        <w:t>inhibitory compound</w:t>
      </w:r>
      <w:r w:rsidR="007007C4" w:rsidRPr="00D0541C">
        <w:rPr>
          <w:lang w:val="en-GB"/>
        </w:rPr>
        <w:t xml:space="preserve"> removal</w:t>
      </w:r>
      <w:r w:rsidRPr="00D0541C">
        <w:rPr>
          <w:lang w:val="en-GB"/>
        </w:rPr>
        <w:t>.</w:t>
      </w:r>
      <w:r w:rsidRPr="00101112">
        <w:rPr>
          <w:lang w:val="en-GB"/>
        </w:rPr>
        <w:t xml:space="preserve"> Experiments were performed at different contact times (1</w:t>
      </w:r>
      <w:r w:rsidR="00420FE3">
        <w:rPr>
          <w:lang w:val="en-GB"/>
        </w:rPr>
        <w:t>-3</w:t>
      </w:r>
      <w:r w:rsidRPr="00101112">
        <w:rPr>
          <w:lang w:val="en-GB"/>
        </w:rPr>
        <w:t>.5 h) using the same setup and biochar-to-liquid ratio as the release tests (</w:t>
      </w:r>
      <w:r w:rsidR="00420FE3">
        <w:rPr>
          <w:lang w:val="en-GB"/>
        </w:rPr>
        <w:t xml:space="preserve">stirring at </w:t>
      </w:r>
      <w:r w:rsidRPr="00101112">
        <w:rPr>
          <w:lang w:val="en-GB"/>
        </w:rPr>
        <w:t xml:space="preserve">300 rpm), with multicomponent </w:t>
      </w:r>
      <w:r w:rsidR="00C136B7" w:rsidRPr="00D0541C">
        <w:rPr>
          <w:lang w:val="en-GB"/>
        </w:rPr>
        <w:t>HMs</w:t>
      </w:r>
      <w:r w:rsidRPr="00101112">
        <w:rPr>
          <w:lang w:val="en-GB"/>
        </w:rPr>
        <w:t xml:space="preserve"> and NH</w:t>
      </w:r>
      <w:r w:rsidRPr="00101112">
        <w:rPr>
          <w:rFonts w:ascii="Cambria Math" w:hAnsi="Cambria Math" w:cs="Cambria Math"/>
          <w:lang w:val="en-GB"/>
        </w:rPr>
        <w:t>₄⁺</w:t>
      </w:r>
      <w:r w:rsidRPr="00101112">
        <w:rPr>
          <w:lang w:val="en-GB"/>
        </w:rPr>
        <w:t xml:space="preserve"> solutions. </w:t>
      </w:r>
      <w:r w:rsidR="006D700F" w:rsidRPr="008A5607">
        <w:rPr>
          <w:color w:val="000000" w:themeColor="text1"/>
          <w:lang w:val="en-GB"/>
        </w:rPr>
        <w:t>Initial concentrations were selected to represent a worst-case scenario with elevated and fully available metal concentrations in solution</w:t>
      </w:r>
      <w:r w:rsidR="006D700F" w:rsidRPr="003101BE">
        <w:rPr>
          <w:color w:val="000000" w:themeColor="text1"/>
        </w:rPr>
        <w:t xml:space="preserve"> </w:t>
      </w:r>
      <w:r w:rsidRPr="003101BE">
        <w:t>(Ni</w:t>
      </w:r>
      <w:r w:rsidRPr="003101BE">
        <w:rPr>
          <w:vertAlign w:val="superscript"/>
        </w:rPr>
        <w:t>2+</w:t>
      </w:r>
      <w:r w:rsidRPr="003101BE">
        <w:t>: 90, Pb</w:t>
      </w:r>
      <w:r w:rsidRPr="003101BE">
        <w:rPr>
          <w:vertAlign w:val="superscript"/>
        </w:rPr>
        <w:t>2+</w:t>
      </w:r>
      <w:r w:rsidRPr="003101BE">
        <w:t>: 360, Cd</w:t>
      </w:r>
      <w:r w:rsidRPr="003101BE">
        <w:rPr>
          <w:vertAlign w:val="superscript"/>
        </w:rPr>
        <w:t>2+</w:t>
      </w:r>
      <w:r w:rsidRPr="003101BE">
        <w:t>: 289, Zn</w:t>
      </w:r>
      <w:r w:rsidRPr="003101BE">
        <w:rPr>
          <w:vertAlign w:val="superscript"/>
        </w:rPr>
        <w:t>2+</w:t>
      </w:r>
      <w:r w:rsidRPr="003101BE">
        <w:t>: 1059, Cu</w:t>
      </w:r>
      <w:r w:rsidRPr="003101BE">
        <w:rPr>
          <w:vertAlign w:val="superscript"/>
        </w:rPr>
        <w:t>2+</w:t>
      </w:r>
      <w:r w:rsidRPr="003101BE">
        <w:t>: 651, NH</w:t>
      </w:r>
      <w:r w:rsidRPr="003101BE">
        <w:rPr>
          <w:rFonts w:ascii="Cambria Math" w:hAnsi="Cambria Math" w:cs="Cambria Math"/>
        </w:rPr>
        <w:t>₄⁺</w:t>
      </w:r>
      <w:r w:rsidRPr="003101BE">
        <w:t xml:space="preserve">: 440 mg/L). </w:t>
      </w:r>
      <w:r w:rsidRPr="00101112">
        <w:rPr>
          <w:lang w:val="en-GB"/>
        </w:rPr>
        <w:t xml:space="preserve">After each contact time, samples were filtered and </w:t>
      </w:r>
      <w:proofErr w:type="spellStart"/>
      <w:r w:rsidRPr="00101112">
        <w:rPr>
          <w:lang w:val="en-GB"/>
        </w:rPr>
        <w:t>analyzed</w:t>
      </w:r>
      <w:proofErr w:type="spellEnd"/>
      <w:r w:rsidRPr="00101112">
        <w:rPr>
          <w:lang w:val="en-GB"/>
        </w:rPr>
        <w:t xml:space="preserve"> to determine residual concentrations.</w:t>
      </w:r>
    </w:p>
    <w:p w14:paraId="084B5A77" w14:textId="4D4E55A0" w:rsidR="00505AF6" w:rsidRDefault="00505AF6" w:rsidP="00505AF6">
      <w:pPr>
        <w:pStyle w:val="CETheadingx"/>
      </w:pPr>
      <w:r>
        <w:t>Anaerobic digestion experiments</w:t>
      </w:r>
    </w:p>
    <w:p w14:paraId="1526E155" w14:textId="373AED24" w:rsidR="00101112" w:rsidRPr="00101112" w:rsidRDefault="00101112" w:rsidP="00101112">
      <w:pPr>
        <w:pStyle w:val="CETBodytext"/>
        <w:rPr>
          <w:lang w:eastAsia="it-IT"/>
        </w:rPr>
      </w:pPr>
      <w:r w:rsidRPr="00101112">
        <w:rPr>
          <w:lang w:eastAsia="it-IT"/>
        </w:rPr>
        <w:t>Batch AD tests were conducted to evaluate the effect of biochar on methanogenesis under mesophilic conditions (37 °C, 100 rpm). Experiments were performed in 250 mL sealed bottles equipped with gas collection lines connected to gas bags. Each reactor contained 200 mL of liquid (120 mL untreated digestate, 60 mL thermally pretreated digestate at 70 °C for 30 min, and 20 mL distilled water) and 2 g of biochar.</w:t>
      </w:r>
    </w:p>
    <w:p w14:paraId="3BB1AD54" w14:textId="61208F37" w:rsidR="00101112" w:rsidRDefault="00101112" w:rsidP="0068646C">
      <w:pPr>
        <w:pStyle w:val="CETBodytext"/>
        <w:rPr>
          <w:lang w:eastAsia="it-IT"/>
        </w:rPr>
      </w:pPr>
      <w:r w:rsidRPr="00101112">
        <w:rPr>
          <w:lang w:eastAsia="it-IT"/>
        </w:rPr>
        <w:t>Anaerobic conditions were established by N</w:t>
      </w:r>
      <w:r w:rsidRPr="00101112">
        <w:rPr>
          <w:rFonts w:ascii="Cambria Math" w:hAnsi="Cambria Math" w:cs="Cambria Math"/>
          <w:lang w:eastAsia="it-IT"/>
        </w:rPr>
        <w:t>₂</w:t>
      </w:r>
      <w:r w:rsidRPr="00101112">
        <w:rPr>
          <w:lang w:eastAsia="it-IT"/>
        </w:rPr>
        <w:t xml:space="preserve"> flushing (5 min), </w:t>
      </w:r>
      <w:r w:rsidRPr="00D0541C">
        <w:rPr>
          <w:lang w:eastAsia="it-IT"/>
        </w:rPr>
        <w:t xml:space="preserve">and </w:t>
      </w:r>
      <w:r w:rsidR="004D1459" w:rsidRPr="00D0541C">
        <w:rPr>
          <w:lang w:eastAsia="it-IT"/>
        </w:rPr>
        <w:t>the</w:t>
      </w:r>
      <w:r w:rsidR="004D1459">
        <w:rPr>
          <w:lang w:eastAsia="it-IT"/>
        </w:rPr>
        <w:t xml:space="preserve"> </w:t>
      </w:r>
      <w:r w:rsidRPr="00101112">
        <w:rPr>
          <w:lang w:eastAsia="it-IT"/>
        </w:rPr>
        <w:t xml:space="preserve">reactors were fed </w:t>
      </w:r>
      <w:r w:rsidRPr="00EF531E">
        <w:rPr>
          <w:lang w:eastAsia="it-IT"/>
        </w:rPr>
        <w:t>with glucose (1 g/L) weekly.</w:t>
      </w:r>
      <w:r w:rsidR="00D06DB5">
        <w:rPr>
          <w:lang w:eastAsia="it-IT"/>
        </w:rPr>
        <w:t xml:space="preserve"> </w:t>
      </w:r>
      <w:r w:rsidR="00D06DB5" w:rsidRPr="00C8724A">
        <w:rPr>
          <w:color w:val="000000" w:themeColor="text1"/>
          <w:lang w:val="en-GB" w:eastAsia="it-IT"/>
        </w:rPr>
        <w:t>The effectiveness of the flushing procedure was verified by preliminary GC analysis of the headspace, which confirmed the absence of detectable oxygen.</w:t>
      </w:r>
      <w:r w:rsidRPr="00C8724A">
        <w:rPr>
          <w:color w:val="000000" w:themeColor="text1"/>
          <w:lang w:eastAsia="it-IT"/>
        </w:rPr>
        <w:t xml:space="preserve"> </w:t>
      </w:r>
      <w:r w:rsidRPr="00101112">
        <w:rPr>
          <w:lang w:eastAsia="it-IT"/>
        </w:rPr>
        <w:t xml:space="preserve">A control without biochar was also included. Experiments were conducted for 28 days, with biogas collected in gas </w:t>
      </w:r>
      <w:r w:rsidRPr="00D0541C">
        <w:rPr>
          <w:lang w:eastAsia="it-IT"/>
        </w:rPr>
        <w:t>bags.</w:t>
      </w:r>
      <w:r w:rsidR="004D1459" w:rsidRPr="00D0541C">
        <w:rPr>
          <w:lang w:eastAsia="it-IT"/>
        </w:rPr>
        <w:t xml:space="preserve"> </w:t>
      </w:r>
      <w:r w:rsidRPr="00D0541C">
        <w:rPr>
          <w:lang w:eastAsia="it-IT"/>
        </w:rPr>
        <w:t>Biogas volume was determined by water displacement</w:t>
      </w:r>
      <w:r w:rsidR="00AA17EA" w:rsidRPr="00D0541C">
        <w:rPr>
          <w:lang w:eastAsia="it-IT"/>
        </w:rPr>
        <w:t xml:space="preserve"> </w:t>
      </w:r>
      <w:r w:rsidRPr="00D0541C">
        <w:rPr>
          <w:lang w:eastAsia="it-IT"/>
        </w:rPr>
        <w:t>and e</w:t>
      </w:r>
      <w:r w:rsidRPr="00101112">
        <w:rPr>
          <w:lang w:eastAsia="it-IT"/>
        </w:rPr>
        <w:t>xpressed as cumulative production. Gas composition (CH</w:t>
      </w:r>
      <w:r w:rsidRPr="00101112">
        <w:rPr>
          <w:rFonts w:ascii="Cambria Math" w:hAnsi="Cambria Math" w:cs="Cambria Math"/>
          <w:lang w:eastAsia="it-IT"/>
        </w:rPr>
        <w:t>₄</w:t>
      </w:r>
      <w:r w:rsidRPr="00101112">
        <w:rPr>
          <w:lang w:eastAsia="it-IT"/>
        </w:rPr>
        <w:t>, CO</w:t>
      </w:r>
      <w:r w:rsidRPr="00101112">
        <w:rPr>
          <w:rFonts w:ascii="Cambria Math" w:hAnsi="Cambria Math" w:cs="Cambria Math"/>
          <w:lang w:eastAsia="it-IT"/>
        </w:rPr>
        <w:t>₂</w:t>
      </w:r>
      <w:r w:rsidRPr="00101112">
        <w:rPr>
          <w:lang w:eastAsia="it-IT"/>
        </w:rPr>
        <w:t>, N</w:t>
      </w:r>
      <w:r w:rsidRPr="00101112">
        <w:rPr>
          <w:rFonts w:ascii="Cambria Math" w:hAnsi="Cambria Math" w:cs="Cambria Math"/>
          <w:lang w:eastAsia="it-IT"/>
        </w:rPr>
        <w:t>₂</w:t>
      </w:r>
      <w:r w:rsidRPr="00101112">
        <w:rPr>
          <w:lang w:eastAsia="it-IT"/>
        </w:rPr>
        <w:t>, H</w:t>
      </w:r>
      <w:r w:rsidRPr="00101112">
        <w:rPr>
          <w:rFonts w:ascii="Cambria Math" w:hAnsi="Cambria Math" w:cs="Cambria Math"/>
          <w:lang w:eastAsia="it-IT"/>
        </w:rPr>
        <w:t>₂</w:t>
      </w:r>
      <w:r w:rsidRPr="00101112">
        <w:rPr>
          <w:lang w:eastAsia="it-IT"/>
        </w:rPr>
        <w:t>, H</w:t>
      </w:r>
      <w:r w:rsidRPr="00101112">
        <w:rPr>
          <w:rFonts w:ascii="Cambria Math" w:hAnsi="Cambria Math" w:cs="Cambria Math"/>
          <w:lang w:eastAsia="it-IT"/>
        </w:rPr>
        <w:t>₂</w:t>
      </w:r>
      <w:r w:rsidRPr="00101112">
        <w:rPr>
          <w:lang w:eastAsia="it-IT"/>
        </w:rPr>
        <w:t>S) was analyzed by a quadrupole gas analyzer</w:t>
      </w:r>
      <w:r w:rsidR="0002552A">
        <w:rPr>
          <w:lang w:eastAsia="it-IT"/>
        </w:rPr>
        <w:t xml:space="preserve"> (QGA)</w:t>
      </w:r>
      <w:r w:rsidRPr="00101112">
        <w:rPr>
          <w:lang w:eastAsia="it-IT"/>
        </w:rPr>
        <w:t>.</w:t>
      </w:r>
    </w:p>
    <w:p w14:paraId="2A853D57" w14:textId="55675BFA" w:rsidR="00505AF6" w:rsidRDefault="00505AF6" w:rsidP="00505AF6">
      <w:pPr>
        <w:pStyle w:val="CETHeading1"/>
      </w:pPr>
      <w:r>
        <w:t>Results and discussion</w:t>
      </w:r>
    </w:p>
    <w:p w14:paraId="5D537F57" w14:textId="5CF5BA6E" w:rsidR="00505AF6" w:rsidRDefault="00505AF6" w:rsidP="00505AF6">
      <w:pPr>
        <w:pStyle w:val="CETheadingx"/>
      </w:pPr>
      <w:r>
        <w:t>Biochar characterization</w:t>
      </w:r>
    </w:p>
    <w:p w14:paraId="71DCE956" w14:textId="62DA5770" w:rsidR="003B1383" w:rsidRPr="00D0541C" w:rsidRDefault="003C3669" w:rsidP="003B1383">
      <w:pPr>
        <w:pStyle w:val="CETBodytext"/>
        <w:rPr>
          <w:color w:val="000000" w:themeColor="text1"/>
          <w:lang w:eastAsia="it-IT"/>
        </w:rPr>
      </w:pPr>
      <w:r w:rsidRPr="003C3669">
        <w:rPr>
          <w:lang w:eastAsia="it-IT"/>
        </w:rPr>
        <w:t xml:space="preserve">BET results and PZC are reported in Table </w:t>
      </w:r>
      <w:r w:rsidRPr="00D0541C">
        <w:rPr>
          <w:lang w:eastAsia="it-IT"/>
        </w:rPr>
        <w:t>1</w:t>
      </w:r>
      <w:r w:rsidR="00EA75A7" w:rsidRPr="00D0541C">
        <w:rPr>
          <w:lang w:eastAsia="it-IT"/>
        </w:rPr>
        <w:t xml:space="preserve">. </w:t>
      </w:r>
      <w:r w:rsidRPr="00D0541C">
        <w:rPr>
          <w:lang w:eastAsia="it-IT"/>
        </w:rPr>
        <w:t>SCG-500 show</w:t>
      </w:r>
      <w:r w:rsidR="00EA75A7" w:rsidRPr="00D0541C">
        <w:rPr>
          <w:lang w:eastAsia="it-IT"/>
        </w:rPr>
        <w:t>ed</w:t>
      </w:r>
      <w:r w:rsidRPr="00D0541C">
        <w:rPr>
          <w:lang w:eastAsia="it-IT"/>
        </w:rPr>
        <w:t xml:space="preserve"> a lower PZC than TP-500</w:t>
      </w:r>
      <w:r w:rsidR="003B1383" w:rsidRPr="00D0541C">
        <w:rPr>
          <w:lang w:eastAsia="it-IT"/>
        </w:rPr>
        <w:t>; t</w:t>
      </w:r>
      <w:r w:rsidR="003B1383" w:rsidRPr="00D0541C">
        <w:rPr>
          <w:color w:val="000000" w:themeColor="text1"/>
          <w:lang w:eastAsia="it-IT"/>
        </w:rPr>
        <w:t xml:space="preserve">his difference can be </w:t>
      </w:r>
      <w:r w:rsidR="00EA75A7" w:rsidRPr="00D0541C">
        <w:rPr>
          <w:color w:val="000000" w:themeColor="text1"/>
          <w:lang w:eastAsia="it-IT"/>
        </w:rPr>
        <w:t>due</w:t>
      </w:r>
      <w:r w:rsidR="003B1383" w:rsidRPr="00D0541C">
        <w:rPr>
          <w:color w:val="000000" w:themeColor="text1"/>
          <w:lang w:eastAsia="it-IT"/>
        </w:rPr>
        <w:t xml:space="preserve"> to the feedstock: SCG </w:t>
      </w:r>
      <w:r w:rsidR="00C136B7" w:rsidRPr="00D0541C">
        <w:rPr>
          <w:color w:val="000000" w:themeColor="text1"/>
          <w:lang w:eastAsia="it-IT"/>
        </w:rPr>
        <w:t>has</w:t>
      </w:r>
      <w:r w:rsidR="003B1383" w:rsidRPr="00D0541C">
        <w:rPr>
          <w:color w:val="000000" w:themeColor="text1"/>
          <w:lang w:eastAsia="it-IT"/>
        </w:rPr>
        <w:t xml:space="preserve"> </w:t>
      </w:r>
      <w:r w:rsidR="00C136B7" w:rsidRPr="00D0541C">
        <w:rPr>
          <w:color w:val="000000" w:themeColor="text1"/>
          <w:lang w:eastAsia="it-IT"/>
        </w:rPr>
        <w:t>a</w:t>
      </w:r>
      <w:r w:rsidR="003B1383" w:rsidRPr="00D0541C">
        <w:rPr>
          <w:color w:val="000000" w:themeColor="text1"/>
          <w:lang w:eastAsia="it-IT"/>
        </w:rPr>
        <w:t xml:space="preserve"> higher lignin content, whereas TP residues </w:t>
      </w:r>
      <w:r w:rsidR="00C136B7" w:rsidRPr="00D0541C">
        <w:rPr>
          <w:color w:val="000000" w:themeColor="text1"/>
          <w:lang w:eastAsia="it-IT"/>
        </w:rPr>
        <w:t xml:space="preserve">are </w:t>
      </w:r>
      <w:proofErr w:type="gramStart"/>
      <w:r w:rsidR="00C136B7" w:rsidRPr="00D0541C">
        <w:rPr>
          <w:color w:val="000000" w:themeColor="text1"/>
          <w:lang w:eastAsia="it-IT"/>
        </w:rPr>
        <w:t>a</w:t>
      </w:r>
      <w:proofErr w:type="gramEnd"/>
      <w:r w:rsidR="003B1383" w:rsidRPr="00D0541C">
        <w:rPr>
          <w:color w:val="000000" w:themeColor="text1"/>
          <w:lang w:eastAsia="it-IT"/>
        </w:rPr>
        <w:t xml:space="preserve"> herbaceous biomass</w:t>
      </w:r>
      <w:r w:rsidR="00C136B7" w:rsidRPr="00D0541C">
        <w:rPr>
          <w:color w:val="000000" w:themeColor="text1"/>
          <w:lang w:eastAsia="it-IT"/>
        </w:rPr>
        <w:t xml:space="preserve">, which is </w:t>
      </w:r>
      <w:r w:rsidR="003B1383" w:rsidRPr="00D0541C">
        <w:rPr>
          <w:color w:val="000000" w:themeColor="text1"/>
          <w:lang w:eastAsia="it-IT"/>
        </w:rPr>
        <w:t xml:space="preserve">typically associated with higher ash content, </w:t>
      </w:r>
      <w:r w:rsidR="00C136B7" w:rsidRPr="00D0541C">
        <w:rPr>
          <w:color w:val="000000" w:themeColor="text1"/>
          <w:lang w:eastAsia="it-IT"/>
        </w:rPr>
        <w:t>resulting</w:t>
      </w:r>
      <w:r w:rsidR="003B1383" w:rsidRPr="00D0541C">
        <w:rPr>
          <w:color w:val="000000" w:themeColor="text1"/>
          <w:lang w:eastAsia="it-IT"/>
        </w:rPr>
        <w:t xml:space="preserve"> in </w:t>
      </w:r>
      <w:r w:rsidR="00C136B7" w:rsidRPr="00D0541C">
        <w:rPr>
          <w:color w:val="000000" w:themeColor="text1"/>
          <w:lang w:eastAsia="it-IT"/>
        </w:rPr>
        <w:t xml:space="preserve">a </w:t>
      </w:r>
      <w:r w:rsidR="003B1383" w:rsidRPr="00D0541C">
        <w:rPr>
          <w:color w:val="000000" w:themeColor="text1"/>
          <w:lang w:eastAsia="it-IT"/>
        </w:rPr>
        <w:t xml:space="preserve">higher PZC </w:t>
      </w:r>
      <w:r w:rsidR="00FC22DC" w:rsidRPr="00D0541C">
        <w:rPr>
          <w:color w:val="000000" w:themeColor="text1"/>
          <w:lang w:eastAsia="it-IT"/>
        </w:rPr>
        <w:t>biochar</w:t>
      </w:r>
      <w:r w:rsidR="003B1383" w:rsidRPr="00D0541C">
        <w:rPr>
          <w:color w:val="000000" w:themeColor="text1"/>
          <w:lang w:eastAsia="it-IT"/>
        </w:rPr>
        <w:t xml:space="preserve"> </w:t>
      </w:r>
      <w:sdt>
        <w:sdtPr>
          <w:rPr>
            <w:rFonts w:cs="Arial"/>
            <w:color w:val="000000"/>
            <w:lang w:eastAsia="it-IT"/>
          </w:rPr>
          <w:tag w:val="MENDELEY_CITATION_v3_eyJjaXRhdGlvbklEIjoiTUVOREVMRVlfQ0lUQVRJT05fYjcwOWI4OWYtZDM0My00ZTE0LTgwYzItY2RkOTc1NjQ0MjY4IiwicHJvcGVydGllcyI6eyJub3RlSW5kZXgiOjB9LCJpc0VkaXRlZCI6ZmFsc2UsIm1hbnVhbE92ZXJyaWRlIjp7ImlzTWFudWFsbHlPdmVycmlkZGVuIjpmYWxzZSwiY2l0ZXByb2NUZXh0IjoiKEZhemkgZXQgYWwuLCAyMDI2KSIsIm1hbnVhbE92ZXJyaWRlVGV4dCI6IiJ9LCJjaXRhdGlvbkl0ZW1zIjpbeyJpZCI6Ijg4ZmU4YzMyLWZlM2QtM2U2MC05M2M4LWM0NWZjN2EwNDFhYyIsIml0ZW1EYXRhIjp7InR5cGUiOiJhcnRpY2xlLWpvdXJuYWwiLCJpZCI6Ijg4ZmU4YzMyLWZlM2QtM2U2MC05M2M4LWM0NWZjN2EwNDFhYy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
          <w:id w:val="-380182060"/>
          <w:placeholder>
            <w:docPart w:val="13787D46F320C94F99AA01490DF11CBC"/>
          </w:placeholder>
        </w:sdtPr>
        <w:sdtContent>
          <w:r w:rsidR="005F0D70" w:rsidRPr="00D0541C">
            <w:rPr>
              <w:rFonts w:cs="Arial"/>
              <w:color w:val="000000"/>
              <w:lang w:eastAsia="it-IT"/>
            </w:rPr>
            <w:t>(Fazi et al., 2026)</w:t>
          </w:r>
        </w:sdtContent>
      </w:sdt>
      <w:r w:rsidR="003B1383" w:rsidRPr="00D0541C">
        <w:rPr>
          <w:color w:val="000000" w:themeColor="text1"/>
          <w:lang w:eastAsia="it-IT"/>
        </w:rPr>
        <w:t>.</w:t>
      </w:r>
    </w:p>
    <w:p w14:paraId="55FEAF1A" w14:textId="07EDE496" w:rsidR="002354EE" w:rsidRPr="00D0541C" w:rsidRDefault="003C3669" w:rsidP="00AC553E">
      <w:pPr>
        <w:pStyle w:val="CETBodytext"/>
        <w:rPr>
          <w:lang w:eastAsia="it-IT"/>
        </w:rPr>
      </w:pPr>
      <w:r w:rsidRPr="00D0541C">
        <w:rPr>
          <w:lang w:eastAsia="it-IT"/>
        </w:rPr>
        <w:t xml:space="preserve">For TP-derived </w:t>
      </w:r>
      <w:proofErr w:type="spellStart"/>
      <w:r w:rsidRPr="00D0541C">
        <w:rPr>
          <w:lang w:eastAsia="it-IT"/>
        </w:rPr>
        <w:t>biochars</w:t>
      </w:r>
      <w:proofErr w:type="spellEnd"/>
      <w:r w:rsidRPr="00D0541C">
        <w:rPr>
          <w:lang w:eastAsia="it-IT"/>
        </w:rPr>
        <w:t>, PZC increase</w:t>
      </w:r>
      <w:r w:rsidR="00C136B7" w:rsidRPr="00D0541C">
        <w:rPr>
          <w:lang w:eastAsia="it-IT"/>
        </w:rPr>
        <w:t>d</w:t>
      </w:r>
      <w:r w:rsidRPr="00D0541C">
        <w:rPr>
          <w:lang w:eastAsia="it-IT"/>
        </w:rPr>
        <w:t xml:space="preserve"> with temperature, likely due to loss of surface functional groups and increased ash content, leading to more alkaline surfaces </w:t>
      </w:r>
      <w:sdt>
        <w:sdtPr>
          <w:rPr>
            <w:rFonts w:cs="Arial"/>
            <w:color w:val="000000"/>
            <w:lang w:eastAsia="it-IT"/>
          </w:rPr>
          <w:tag w:val="MENDELEY_CITATION_v3_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"/>
          <w:id w:val="136850520"/>
          <w:placeholder>
            <w:docPart w:val="1AD6AD4C2D39FC4D8A2BEBCA9D94F698"/>
          </w:placeholder>
        </w:sdtPr>
        <w:sdtContent>
          <w:r w:rsidR="005F0D70" w:rsidRPr="00D0541C">
            <w:rPr>
              <w:rFonts w:cs="Arial"/>
              <w:color w:val="000000"/>
              <w:lang w:eastAsia="it-IT"/>
            </w:rPr>
            <w:t>(</w:t>
          </w:r>
          <w:proofErr w:type="spellStart"/>
          <w:r w:rsidR="005F0D70" w:rsidRPr="00D0541C">
            <w:rPr>
              <w:rFonts w:cs="Arial"/>
              <w:color w:val="000000"/>
              <w:lang w:eastAsia="it-IT"/>
            </w:rPr>
            <w:t>Guilhen</w:t>
          </w:r>
          <w:proofErr w:type="spellEnd"/>
          <w:r w:rsidR="005F0D70" w:rsidRPr="00D0541C">
            <w:rPr>
              <w:rFonts w:cs="Arial"/>
              <w:color w:val="000000"/>
              <w:lang w:eastAsia="it-IT"/>
            </w:rPr>
            <w:t xml:space="preserve"> et al., 2022)</w:t>
          </w:r>
        </w:sdtContent>
      </w:sdt>
      <w:r w:rsidRPr="00D0541C">
        <w:rPr>
          <w:lang w:eastAsia="it-IT"/>
        </w:rPr>
        <w:t>.</w:t>
      </w:r>
      <w:r w:rsidR="002354EE" w:rsidRPr="00D0541C">
        <w:rPr>
          <w:lang w:eastAsia="it-IT"/>
        </w:rPr>
        <w:t xml:space="preserve"> </w:t>
      </w:r>
    </w:p>
    <w:p w14:paraId="490DC838" w14:textId="7B32296E" w:rsidR="00101112" w:rsidRPr="00D0541C" w:rsidRDefault="003C3669" w:rsidP="00AC553E">
      <w:pPr>
        <w:pStyle w:val="CETBodytext"/>
        <w:rPr>
          <w:lang w:eastAsia="it-IT"/>
        </w:rPr>
      </w:pPr>
      <w:r w:rsidRPr="00D0541C">
        <w:rPr>
          <w:lang w:eastAsia="it-IT"/>
        </w:rPr>
        <w:t xml:space="preserve">A similar trend </w:t>
      </w:r>
      <w:r w:rsidR="00C136B7" w:rsidRPr="00D0541C">
        <w:rPr>
          <w:lang w:eastAsia="it-IT"/>
        </w:rPr>
        <w:t>was</w:t>
      </w:r>
      <w:r w:rsidRPr="00D0541C">
        <w:rPr>
          <w:lang w:eastAsia="it-IT"/>
        </w:rPr>
        <w:t xml:space="preserve"> observed for BET parameters. SCG-500 exhibits higher SSA than TP-500, consistent with lignin-rich feedstocks </w:t>
      </w:r>
      <w:sdt>
        <w:sdtPr>
          <w:rPr>
            <w:rFonts w:cs="Arial"/>
            <w:color w:val="000000"/>
            <w:lang w:eastAsia="it-IT"/>
          </w:rPr>
          <w:tag w:val="MENDELEY_CITATION_v3_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"/>
          <w:id w:val="-1960172196"/>
          <w:placeholder>
            <w:docPart w:val="D5CEB853747A3645AE1BA2CB3D4EB9D3"/>
          </w:placeholder>
        </w:sdtPr>
        <w:sdtContent>
          <w:r w:rsidR="005F0D70" w:rsidRPr="00D0541C">
            <w:rPr>
              <w:rFonts w:cs="Arial"/>
              <w:color w:val="000000"/>
              <w:lang w:eastAsia="it-IT"/>
            </w:rPr>
            <w:t>(He et al., 2024)</w:t>
          </w:r>
        </w:sdtContent>
      </w:sdt>
      <w:r w:rsidRPr="00D0541C">
        <w:rPr>
          <w:lang w:eastAsia="it-IT"/>
        </w:rPr>
        <w:t xml:space="preserve">. For TP </w:t>
      </w:r>
      <w:proofErr w:type="spellStart"/>
      <w:r w:rsidRPr="00D0541C">
        <w:rPr>
          <w:lang w:eastAsia="it-IT"/>
        </w:rPr>
        <w:t>biochars</w:t>
      </w:r>
      <w:proofErr w:type="spellEnd"/>
      <w:r w:rsidRPr="00D0541C">
        <w:rPr>
          <w:lang w:eastAsia="it-IT"/>
        </w:rPr>
        <w:t>, SSA increase</w:t>
      </w:r>
      <w:r w:rsidR="00FC22DC" w:rsidRPr="00D0541C">
        <w:rPr>
          <w:lang w:eastAsia="it-IT"/>
        </w:rPr>
        <w:t>d</w:t>
      </w:r>
      <w:r w:rsidRPr="00D0541C">
        <w:rPr>
          <w:lang w:eastAsia="it-IT"/>
        </w:rPr>
        <w:t xml:space="preserve"> up to 700 °C and then decrease</w:t>
      </w:r>
      <w:r w:rsidR="00C136B7" w:rsidRPr="00D0541C">
        <w:rPr>
          <w:lang w:eastAsia="it-IT"/>
        </w:rPr>
        <w:t>d</w:t>
      </w:r>
      <w:r w:rsidRPr="00D0541C">
        <w:rPr>
          <w:lang w:eastAsia="it-IT"/>
        </w:rPr>
        <w:t xml:space="preserve"> at higher temperatures, likely due to structural rearrangement and partial pore collapse </w:t>
      </w:r>
      <w:sdt>
        <w:sdtPr>
          <w:rPr>
            <w:rFonts w:cs="Arial"/>
            <w:color w:val="000000"/>
            <w:lang w:eastAsia="it-IT"/>
          </w:rPr>
          <w:tag w:val="MENDELEY_CITATION_v3_eyJjaXRhdGlvbklEIjoiTUVOREVMRVlfQ0lUQVRJT05fNTQxYTdjZjctMjk1MS00NzMyLTk4MWEtMmY0M2VmYmZmN2QxIiwicHJvcGVydGllcyI6eyJub3RlSW5kZXgiOjB9LCJpc0VkaXRlZCI6ZmFsc2UsIm1hbnVhbE92ZXJyaWRlIjp7ImlzTWFudWFsbHlPdmVycmlkZGVuIjpmYWxzZSwiY2l0ZXByb2NUZXh0IjoiKEZhemkgZXQgYWwuLCAyMDI2KSIsIm1hbnVhbE92ZXJyaWRlVGV4dCI6IiJ9LCJjaXRhdGlvbkl0ZW1zIjpbeyJpZCI6Ijg4ZmU4YzMyLWZlM2QtM2U2MC05M2M4LWM0NWZjN2EwNDFhYyIsIml0ZW1EYXRhIjp7InR5cGUiOiJhcnRpY2xlLWpvdXJuYWwiLCJpZCI6Ijg4ZmU4YzMyLWZlM2QtM2U2MC05M2M4LWM0NWZjN2EwNDFhYy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
          <w:id w:val="-1369605342"/>
          <w:placeholder>
            <w:docPart w:val="3BD4E85288E82F4C8D2F2A219FE94661"/>
          </w:placeholder>
        </w:sdtPr>
        <w:sdtContent>
          <w:r w:rsidR="005F0D70" w:rsidRPr="00D0541C">
            <w:rPr>
              <w:rFonts w:cs="Arial"/>
              <w:color w:val="000000"/>
              <w:lang w:eastAsia="it-IT"/>
            </w:rPr>
            <w:t>(Fazi et al., 2026)</w:t>
          </w:r>
        </w:sdtContent>
      </w:sdt>
      <w:r w:rsidRPr="00D0541C">
        <w:rPr>
          <w:lang w:eastAsia="it-IT"/>
        </w:rPr>
        <w:t>.</w:t>
      </w:r>
    </w:p>
    <w:p w14:paraId="337410E0" w14:textId="444DB485" w:rsidR="00DE11AD" w:rsidRPr="00B57B36" w:rsidRDefault="00DE11AD" w:rsidP="00DE11AD">
      <w:pPr>
        <w:pStyle w:val="CETCaption"/>
      </w:pPr>
      <w:r w:rsidRPr="00D0541C">
        <w:t>Table 1: Characterization of biochar samples, including BET and point</w:t>
      </w:r>
      <w:r>
        <w:t xml:space="preserve"> of zero charge results</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068"/>
        <w:gridCol w:w="1125"/>
        <w:gridCol w:w="1940"/>
        <w:gridCol w:w="2445"/>
        <w:gridCol w:w="2209"/>
      </w:tblGrid>
      <w:tr w:rsidR="00E60143" w:rsidRPr="00B57B36" w14:paraId="049C9F6B" w14:textId="77777777" w:rsidTr="00E60143">
        <w:tc>
          <w:tcPr>
            <w:tcW w:w="608" w:type="pct"/>
            <w:tcBorders>
              <w:top w:val="single" w:sz="12" w:space="0" w:color="008000"/>
              <w:bottom w:val="single" w:sz="6" w:space="0" w:color="008000"/>
            </w:tcBorders>
            <w:shd w:val="clear" w:color="auto" w:fill="FFFFFF"/>
          </w:tcPr>
          <w:p w14:paraId="06B8379F" w14:textId="35CCC936" w:rsidR="00DE11AD" w:rsidRPr="00B57B36" w:rsidRDefault="00DE11AD" w:rsidP="005D5173">
            <w:pPr>
              <w:pStyle w:val="CETBodytext"/>
              <w:rPr>
                <w:lang w:val="en-GB"/>
              </w:rPr>
            </w:pPr>
            <w:r>
              <w:rPr>
                <w:lang w:val="en-GB"/>
              </w:rPr>
              <w:t>Sample</w:t>
            </w:r>
          </w:p>
        </w:tc>
        <w:tc>
          <w:tcPr>
            <w:tcW w:w="640" w:type="pct"/>
            <w:tcBorders>
              <w:top w:val="single" w:sz="12" w:space="0" w:color="008000"/>
              <w:bottom w:val="single" w:sz="6" w:space="0" w:color="008000"/>
            </w:tcBorders>
            <w:shd w:val="clear" w:color="auto" w:fill="FFFFFF"/>
            <w:vAlign w:val="center"/>
          </w:tcPr>
          <w:p w14:paraId="643A84DC" w14:textId="41A9CDBF" w:rsidR="00DE11AD" w:rsidRPr="00DE11AD" w:rsidRDefault="00DE11AD" w:rsidP="00DE11AD">
            <w:pPr>
              <w:pStyle w:val="CETBodytext"/>
              <w:jc w:val="center"/>
              <w:rPr>
                <w:lang w:val="en-GB"/>
              </w:rPr>
            </w:pPr>
            <w:r>
              <w:rPr>
                <w:lang w:val="en-GB"/>
              </w:rPr>
              <w:t>SSA (m</w:t>
            </w:r>
            <w:r>
              <w:rPr>
                <w:vertAlign w:val="superscript"/>
                <w:lang w:val="en-GB"/>
              </w:rPr>
              <w:t>2</w:t>
            </w:r>
            <w:r>
              <w:rPr>
                <w:lang w:val="en-GB"/>
              </w:rPr>
              <w:t>/g)</w:t>
            </w:r>
          </w:p>
        </w:tc>
        <w:tc>
          <w:tcPr>
            <w:tcW w:w="1104" w:type="pct"/>
            <w:tcBorders>
              <w:top w:val="single" w:sz="12" w:space="0" w:color="008000"/>
              <w:bottom w:val="single" w:sz="6" w:space="0" w:color="008000"/>
            </w:tcBorders>
            <w:shd w:val="clear" w:color="auto" w:fill="FFFFFF"/>
            <w:vAlign w:val="center"/>
          </w:tcPr>
          <w:p w14:paraId="3407CB4F" w14:textId="5BF7BCA1" w:rsidR="00DE11AD" w:rsidRPr="00DE11AD" w:rsidRDefault="00DE11AD" w:rsidP="00DE11AD">
            <w:pPr>
              <w:pStyle w:val="CETBodytext"/>
              <w:jc w:val="center"/>
              <w:rPr>
                <w:szCs w:val="18"/>
                <w:lang w:val="en-GB"/>
              </w:rPr>
            </w:pPr>
            <w:r w:rsidRPr="00DE11AD">
              <w:rPr>
                <w:szCs w:val="18"/>
                <w:lang w:val="en-GB"/>
              </w:rPr>
              <w:t>Mean pore width (</w:t>
            </w:r>
            <w:r w:rsidRPr="00DE11AD">
              <w:rPr>
                <w:rFonts w:eastAsiaTheme="minorHAnsi"/>
                <w:kern w:val="2"/>
                <w:szCs w:val="18"/>
                <w:lang w:val="en-GB"/>
                <w14:ligatures w14:val="standardContextual"/>
              </w:rPr>
              <w:t>Å)</w:t>
            </w:r>
          </w:p>
        </w:tc>
        <w:tc>
          <w:tcPr>
            <w:tcW w:w="1391" w:type="pct"/>
            <w:tcBorders>
              <w:top w:val="single" w:sz="12" w:space="0" w:color="008000"/>
              <w:bottom w:val="single" w:sz="6" w:space="0" w:color="008000"/>
            </w:tcBorders>
            <w:shd w:val="clear" w:color="auto" w:fill="FFFFFF"/>
            <w:vAlign w:val="center"/>
          </w:tcPr>
          <w:p w14:paraId="2A0F51F1" w14:textId="77619FC1" w:rsidR="00DE11AD" w:rsidRPr="00DE11AD" w:rsidRDefault="00DE11AD" w:rsidP="00DE11AD">
            <w:pPr>
              <w:pStyle w:val="CETBodytext"/>
              <w:ind w:right="-1"/>
              <w:jc w:val="center"/>
              <w:rPr>
                <w:rFonts w:cs="Arial"/>
                <w:szCs w:val="18"/>
                <w:lang w:val="en-GB"/>
              </w:rPr>
            </w:pPr>
            <w:r>
              <w:rPr>
                <w:rFonts w:cs="Arial"/>
                <w:szCs w:val="18"/>
                <w:lang w:val="en-GB"/>
              </w:rPr>
              <w:t>Total pore volume (cm</w:t>
            </w:r>
            <w:r>
              <w:rPr>
                <w:rFonts w:cs="Arial"/>
                <w:szCs w:val="18"/>
                <w:vertAlign w:val="superscript"/>
                <w:lang w:val="en-GB"/>
              </w:rPr>
              <w:t>3</w:t>
            </w:r>
            <w:r>
              <w:rPr>
                <w:rFonts w:cs="Arial"/>
                <w:szCs w:val="18"/>
                <w:lang w:val="en-GB"/>
              </w:rPr>
              <w:t>/g)</w:t>
            </w:r>
          </w:p>
        </w:tc>
        <w:tc>
          <w:tcPr>
            <w:tcW w:w="1257" w:type="pct"/>
            <w:tcBorders>
              <w:top w:val="single" w:sz="12" w:space="0" w:color="008000"/>
              <w:bottom w:val="single" w:sz="6" w:space="0" w:color="008000"/>
            </w:tcBorders>
            <w:shd w:val="clear" w:color="auto" w:fill="FFFFFF"/>
            <w:vAlign w:val="center"/>
          </w:tcPr>
          <w:p w14:paraId="28C765E4" w14:textId="79D01E93" w:rsidR="00DE11AD" w:rsidRPr="00B57B36" w:rsidRDefault="00DE11AD" w:rsidP="00DE11AD">
            <w:pPr>
              <w:pStyle w:val="CETBodytext"/>
              <w:ind w:right="-1"/>
              <w:jc w:val="center"/>
              <w:rPr>
                <w:rFonts w:cs="Arial"/>
                <w:szCs w:val="18"/>
                <w:lang w:val="en-GB"/>
              </w:rPr>
            </w:pPr>
            <w:r>
              <w:rPr>
                <w:rFonts w:cs="Arial"/>
                <w:szCs w:val="18"/>
                <w:lang w:val="en-GB"/>
              </w:rPr>
              <w:t>PZC</w:t>
            </w:r>
          </w:p>
        </w:tc>
      </w:tr>
      <w:tr w:rsidR="00E60143" w:rsidRPr="00B57B36" w14:paraId="4D7FC812" w14:textId="77777777" w:rsidTr="00E60143">
        <w:tc>
          <w:tcPr>
            <w:tcW w:w="608" w:type="pct"/>
            <w:shd w:val="clear" w:color="auto" w:fill="FFFFFF"/>
          </w:tcPr>
          <w:p w14:paraId="079C7935" w14:textId="165603A8" w:rsidR="00DE11AD" w:rsidRPr="00B57B36" w:rsidRDefault="00DE11AD" w:rsidP="005D5173">
            <w:pPr>
              <w:pStyle w:val="CETBodytext"/>
              <w:rPr>
                <w:lang w:val="en-GB"/>
              </w:rPr>
            </w:pPr>
            <w:r>
              <w:rPr>
                <w:lang w:val="en-GB"/>
              </w:rPr>
              <w:t>SCG-500</w:t>
            </w:r>
          </w:p>
        </w:tc>
        <w:tc>
          <w:tcPr>
            <w:tcW w:w="640" w:type="pct"/>
            <w:shd w:val="clear" w:color="auto" w:fill="FFFFFF"/>
            <w:vAlign w:val="center"/>
          </w:tcPr>
          <w:p w14:paraId="18E2959C" w14:textId="01B0F4DC" w:rsidR="00DE11AD" w:rsidRPr="00861AA9" w:rsidRDefault="00D37637" w:rsidP="00DE11AD">
            <w:pPr>
              <w:pStyle w:val="CETBodytext"/>
              <w:jc w:val="center"/>
              <w:rPr>
                <w:color w:val="000000" w:themeColor="text1"/>
                <w:lang w:val="en-GB"/>
              </w:rPr>
            </w:pPr>
            <w:r w:rsidRPr="00861AA9">
              <w:rPr>
                <w:color w:val="000000" w:themeColor="text1"/>
                <w:lang w:val="en-GB"/>
              </w:rPr>
              <w:t>210</w:t>
            </w:r>
          </w:p>
        </w:tc>
        <w:tc>
          <w:tcPr>
            <w:tcW w:w="1104" w:type="pct"/>
            <w:shd w:val="clear" w:color="auto" w:fill="FFFFFF"/>
            <w:vAlign w:val="center"/>
          </w:tcPr>
          <w:p w14:paraId="479253B8" w14:textId="675E53EB" w:rsidR="00DE11AD" w:rsidRPr="00861AA9" w:rsidRDefault="00D37637" w:rsidP="00DE11AD">
            <w:pPr>
              <w:pStyle w:val="CETBodytext"/>
              <w:jc w:val="center"/>
              <w:rPr>
                <w:color w:val="000000" w:themeColor="text1"/>
                <w:lang w:val="en-GB"/>
              </w:rPr>
            </w:pPr>
            <w:r w:rsidRPr="00861AA9">
              <w:rPr>
                <w:color w:val="000000" w:themeColor="text1"/>
                <w:lang w:val="en-GB"/>
              </w:rPr>
              <w:t>11</w:t>
            </w:r>
            <w:r w:rsidR="00D01508">
              <w:rPr>
                <w:color w:val="000000" w:themeColor="text1"/>
                <w:lang w:val="en-GB"/>
              </w:rPr>
              <w:t>.</w:t>
            </w:r>
            <w:r w:rsidRPr="00861AA9">
              <w:rPr>
                <w:color w:val="000000" w:themeColor="text1"/>
                <w:lang w:val="en-GB"/>
              </w:rPr>
              <w:t>9</w:t>
            </w:r>
          </w:p>
        </w:tc>
        <w:tc>
          <w:tcPr>
            <w:tcW w:w="1391" w:type="pct"/>
            <w:shd w:val="clear" w:color="auto" w:fill="FFFFFF"/>
            <w:vAlign w:val="center"/>
          </w:tcPr>
          <w:p w14:paraId="53A28FB6" w14:textId="5852F6AF" w:rsidR="00DE11AD" w:rsidRPr="00861AA9" w:rsidRDefault="00D37637" w:rsidP="00DE11AD">
            <w:pPr>
              <w:pStyle w:val="CETBodytext"/>
              <w:ind w:right="-1"/>
              <w:jc w:val="center"/>
              <w:rPr>
                <w:rFonts w:cs="Arial"/>
                <w:color w:val="000000" w:themeColor="text1"/>
                <w:szCs w:val="18"/>
                <w:lang w:val="en-GB"/>
              </w:rPr>
            </w:pPr>
            <w:r w:rsidRPr="00861AA9">
              <w:rPr>
                <w:rFonts w:cs="Arial"/>
                <w:color w:val="000000" w:themeColor="text1"/>
                <w:szCs w:val="18"/>
                <w:lang w:val="en-GB"/>
              </w:rPr>
              <w:t>0</w:t>
            </w:r>
            <w:r w:rsidR="00D01508">
              <w:rPr>
                <w:rFonts w:cs="Arial"/>
                <w:color w:val="000000" w:themeColor="text1"/>
                <w:szCs w:val="18"/>
                <w:lang w:val="en-GB"/>
              </w:rPr>
              <w:t>.</w:t>
            </w:r>
            <w:r w:rsidRPr="00861AA9">
              <w:rPr>
                <w:rFonts w:cs="Arial"/>
                <w:color w:val="000000" w:themeColor="text1"/>
                <w:szCs w:val="18"/>
                <w:lang w:val="en-GB"/>
              </w:rPr>
              <w:t>105</w:t>
            </w:r>
          </w:p>
        </w:tc>
        <w:tc>
          <w:tcPr>
            <w:tcW w:w="1257" w:type="pct"/>
            <w:shd w:val="clear" w:color="auto" w:fill="FFFFFF"/>
            <w:vAlign w:val="center"/>
          </w:tcPr>
          <w:p w14:paraId="1E70191A" w14:textId="0C7D8398" w:rsidR="00DE11AD" w:rsidRPr="00B57B36" w:rsidRDefault="00E60143" w:rsidP="00DE11AD">
            <w:pPr>
              <w:pStyle w:val="CETBodytext"/>
              <w:ind w:right="-1"/>
              <w:jc w:val="center"/>
              <w:rPr>
                <w:rFonts w:cs="Arial"/>
                <w:szCs w:val="18"/>
                <w:lang w:val="en-GB"/>
              </w:rPr>
            </w:pPr>
            <w:r>
              <w:rPr>
                <w:rFonts w:cs="Arial"/>
                <w:szCs w:val="18"/>
                <w:lang w:val="en-GB"/>
              </w:rPr>
              <w:t>7</w:t>
            </w:r>
            <w:r w:rsidR="00D01508">
              <w:rPr>
                <w:rFonts w:cs="Arial"/>
                <w:szCs w:val="18"/>
                <w:lang w:val="en-GB"/>
              </w:rPr>
              <w:t>.</w:t>
            </w:r>
            <w:r>
              <w:rPr>
                <w:rFonts w:cs="Arial"/>
                <w:szCs w:val="18"/>
                <w:lang w:val="en-GB"/>
              </w:rPr>
              <w:t>5</w:t>
            </w:r>
          </w:p>
        </w:tc>
      </w:tr>
      <w:tr w:rsidR="00E60143" w:rsidRPr="00B57B36" w14:paraId="3180D134" w14:textId="77777777" w:rsidTr="00E60143">
        <w:tc>
          <w:tcPr>
            <w:tcW w:w="608" w:type="pct"/>
            <w:shd w:val="clear" w:color="auto" w:fill="FFFFFF"/>
          </w:tcPr>
          <w:p w14:paraId="3A2B3B46" w14:textId="15665A9D" w:rsidR="00DE11AD" w:rsidRPr="00B57B36" w:rsidRDefault="00DE11AD" w:rsidP="005D5173">
            <w:pPr>
              <w:pStyle w:val="CETBodytext"/>
              <w:ind w:right="-1"/>
              <w:rPr>
                <w:rFonts w:cs="Arial"/>
                <w:szCs w:val="18"/>
                <w:lang w:val="en-GB"/>
              </w:rPr>
            </w:pPr>
            <w:r>
              <w:rPr>
                <w:rFonts w:cs="Arial"/>
                <w:szCs w:val="18"/>
                <w:lang w:val="en-GB"/>
              </w:rPr>
              <w:t>TP-500</w:t>
            </w:r>
          </w:p>
        </w:tc>
        <w:tc>
          <w:tcPr>
            <w:tcW w:w="640" w:type="pct"/>
            <w:shd w:val="clear" w:color="auto" w:fill="FFFFFF"/>
            <w:vAlign w:val="center"/>
          </w:tcPr>
          <w:p w14:paraId="278DB304" w14:textId="47CA9C43" w:rsidR="00DE11AD" w:rsidRPr="00861AA9" w:rsidRDefault="00D37637" w:rsidP="00DE11AD">
            <w:pPr>
              <w:pStyle w:val="CETBodytext"/>
              <w:ind w:right="-1"/>
              <w:jc w:val="center"/>
              <w:rPr>
                <w:rFonts w:cs="Arial"/>
                <w:color w:val="000000" w:themeColor="text1"/>
                <w:szCs w:val="18"/>
                <w:lang w:val="en-GB"/>
              </w:rPr>
            </w:pPr>
            <w:r w:rsidRPr="00861AA9">
              <w:rPr>
                <w:rFonts w:cs="Arial"/>
                <w:color w:val="000000" w:themeColor="text1"/>
                <w:szCs w:val="18"/>
                <w:lang w:val="en-GB"/>
              </w:rPr>
              <w:t>1</w:t>
            </w:r>
            <w:r w:rsidR="00E05133" w:rsidRPr="00861AA9">
              <w:rPr>
                <w:rFonts w:cs="Arial"/>
                <w:color w:val="000000" w:themeColor="text1"/>
                <w:szCs w:val="18"/>
                <w:lang w:val="en-GB"/>
              </w:rPr>
              <w:t>7</w:t>
            </w:r>
            <w:r w:rsidRPr="00861AA9">
              <w:rPr>
                <w:rFonts w:cs="Arial"/>
                <w:color w:val="000000" w:themeColor="text1"/>
                <w:szCs w:val="18"/>
                <w:lang w:val="en-GB"/>
              </w:rPr>
              <w:t>9</w:t>
            </w:r>
          </w:p>
        </w:tc>
        <w:tc>
          <w:tcPr>
            <w:tcW w:w="1104" w:type="pct"/>
            <w:shd w:val="clear" w:color="auto" w:fill="FFFFFF"/>
            <w:vAlign w:val="center"/>
          </w:tcPr>
          <w:p w14:paraId="021957FB" w14:textId="68EA3548" w:rsidR="00DE11AD" w:rsidRPr="00861AA9" w:rsidRDefault="00D37637" w:rsidP="00DE11AD">
            <w:pPr>
              <w:pStyle w:val="CETBodytext"/>
              <w:ind w:right="-1"/>
              <w:jc w:val="center"/>
              <w:rPr>
                <w:rFonts w:cs="Arial"/>
                <w:color w:val="000000" w:themeColor="text1"/>
                <w:szCs w:val="18"/>
                <w:lang w:val="en-GB"/>
              </w:rPr>
            </w:pPr>
            <w:r w:rsidRPr="00861AA9">
              <w:rPr>
                <w:rFonts w:cs="Arial"/>
                <w:color w:val="000000" w:themeColor="text1"/>
                <w:szCs w:val="18"/>
                <w:lang w:val="en-GB"/>
              </w:rPr>
              <w:t>11</w:t>
            </w:r>
            <w:r w:rsidR="00D01508">
              <w:rPr>
                <w:rFonts w:cs="Arial"/>
                <w:color w:val="000000" w:themeColor="text1"/>
                <w:szCs w:val="18"/>
                <w:lang w:val="en-GB"/>
              </w:rPr>
              <w:t>.</w:t>
            </w:r>
            <w:r w:rsidRPr="00861AA9">
              <w:rPr>
                <w:rFonts w:cs="Arial"/>
                <w:color w:val="000000" w:themeColor="text1"/>
                <w:szCs w:val="18"/>
                <w:lang w:val="en-GB"/>
              </w:rPr>
              <w:t>1</w:t>
            </w:r>
          </w:p>
        </w:tc>
        <w:tc>
          <w:tcPr>
            <w:tcW w:w="1391" w:type="pct"/>
            <w:shd w:val="clear" w:color="auto" w:fill="FFFFFF"/>
            <w:vAlign w:val="center"/>
          </w:tcPr>
          <w:p w14:paraId="2150DC27" w14:textId="53AFEC83" w:rsidR="00DE11AD" w:rsidRPr="00861AA9" w:rsidRDefault="00D37637" w:rsidP="00DE11AD">
            <w:pPr>
              <w:pStyle w:val="CETBodytext"/>
              <w:ind w:right="-1"/>
              <w:jc w:val="center"/>
              <w:rPr>
                <w:rFonts w:cs="Arial"/>
                <w:color w:val="000000" w:themeColor="text1"/>
                <w:szCs w:val="18"/>
                <w:lang w:val="en-GB"/>
              </w:rPr>
            </w:pPr>
            <w:r w:rsidRPr="00861AA9">
              <w:rPr>
                <w:rFonts w:cs="Arial"/>
                <w:color w:val="000000" w:themeColor="text1"/>
                <w:szCs w:val="18"/>
                <w:lang w:val="en-GB"/>
              </w:rPr>
              <w:t>0</w:t>
            </w:r>
            <w:r w:rsidR="00D01508">
              <w:rPr>
                <w:rFonts w:cs="Arial"/>
                <w:color w:val="000000" w:themeColor="text1"/>
                <w:szCs w:val="18"/>
                <w:lang w:val="en-GB"/>
              </w:rPr>
              <w:t>.</w:t>
            </w:r>
            <w:r w:rsidRPr="00861AA9">
              <w:rPr>
                <w:rFonts w:cs="Arial"/>
                <w:color w:val="000000" w:themeColor="text1"/>
                <w:szCs w:val="18"/>
                <w:lang w:val="en-GB"/>
              </w:rPr>
              <w:t>0</w:t>
            </w:r>
            <w:r w:rsidR="006F7D19" w:rsidRPr="00861AA9">
              <w:rPr>
                <w:rFonts w:cs="Arial"/>
                <w:color w:val="000000" w:themeColor="text1"/>
                <w:szCs w:val="18"/>
                <w:lang w:val="en-GB"/>
              </w:rPr>
              <w:t>7</w:t>
            </w:r>
            <w:r w:rsidRPr="00861AA9">
              <w:rPr>
                <w:rFonts w:cs="Arial"/>
                <w:color w:val="000000" w:themeColor="text1"/>
                <w:szCs w:val="18"/>
                <w:lang w:val="en-GB"/>
              </w:rPr>
              <w:t>5</w:t>
            </w:r>
          </w:p>
        </w:tc>
        <w:tc>
          <w:tcPr>
            <w:tcW w:w="1257" w:type="pct"/>
            <w:shd w:val="clear" w:color="auto" w:fill="FFFFFF"/>
            <w:vAlign w:val="center"/>
          </w:tcPr>
          <w:p w14:paraId="361A7ED7" w14:textId="70F0C541" w:rsidR="00DE11AD" w:rsidRPr="00B57B36" w:rsidRDefault="00E60143" w:rsidP="00DE11AD">
            <w:pPr>
              <w:pStyle w:val="CETBodytext"/>
              <w:ind w:right="-1"/>
              <w:jc w:val="center"/>
              <w:rPr>
                <w:rFonts w:cs="Arial"/>
                <w:szCs w:val="18"/>
                <w:lang w:val="en-GB"/>
              </w:rPr>
            </w:pPr>
            <w:r>
              <w:rPr>
                <w:rFonts w:cs="Arial"/>
                <w:szCs w:val="18"/>
                <w:lang w:val="en-GB"/>
              </w:rPr>
              <w:t>10</w:t>
            </w:r>
            <w:r w:rsidR="00D01508">
              <w:rPr>
                <w:rFonts w:cs="Arial"/>
                <w:szCs w:val="18"/>
                <w:lang w:val="en-GB"/>
              </w:rPr>
              <w:t>.</w:t>
            </w:r>
            <w:r>
              <w:rPr>
                <w:rFonts w:cs="Arial"/>
                <w:szCs w:val="18"/>
                <w:lang w:val="en-GB"/>
              </w:rPr>
              <w:t>4</w:t>
            </w:r>
          </w:p>
        </w:tc>
      </w:tr>
      <w:tr w:rsidR="00DE11AD" w:rsidRPr="00B57B36" w14:paraId="670871F8" w14:textId="77777777" w:rsidTr="00E60143">
        <w:tc>
          <w:tcPr>
            <w:tcW w:w="608" w:type="pct"/>
            <w:shd w:val="clear" w:color="auto" w:fill="FFFFFF"/>
          </w:tcPr>
          <w:p w14:paraId="3FA09293" w14:textId="3F3FA050" w:rsidR="00DE11AD" w:rsidRDefault="00DE11AD" w:rsidP="005D5173">
            <w:pPr>
              <w:pStyle w:val="CETBodytext"/>
              <w:ind w:right="-1"/>
              <w:rPr>
                <w:rFonts w:cs="Arial"/>
                <w:szCs w:val="18"/>
                <w:lang w:val="en-GB"/>
              </w:rPr>
            </w:pPr>
            <w:r>
              <w:rPr>
                <w:rFonts w:cs="Arial"/>
                <w:szCs w:val="18"/>
                <w:lang w:val="en-GB"/>
              </w:rPr>
              <w:t>TP-700</w:t>
            </w:r>
          </w:p>
        </w:tc>
        <w:tc>
          <w:tcPr>
            <w:tcW w:w="640" w:type="pct"/>
            <w:shd w:val="clear" w:color="auto" w:fill="FFFFFF"/>
            <w:vAlign w:val="center"/>
          </w:tcPr>
          <w:p w14:paraId="0E23D9B6" w14:textId="13D174CB" w:rsidR="00DE11AD" w:rsidRPr="00D0541C" w:rsidRDefault="00DE11AD" w:rsidP="00DE11AD">
            <w:pPr>
              <w:pStyle w:val="CETBodytext"/>
              <w:ind w:right="-1"/>
              <w:jc w:val="center"/>
              <w:rPr>
                <w:rFonts w:cs="Arial"/>
                <w:szCs w:val="18"/>
                <w:lang w:val="en-GB"/>
              </w:rPr>
            </w:pPr>
            <w:r w:rsidRPr="00D0541C">
              <w:rPr>
                <w:rFonts w:cs="Arial"/>
                <w:szCs w:val="18"/>
                <w:lang w:val="en-GB"/>
              </w:rPr>
              <w:t>306</w:t>
            </w:r>
          </w:p>
        </w:tc>
        <w:tc>
          <w:tcPr>
            <w:tcW w:w="1104" w:type="pct"/>
            <w:shd w:val="clear" w:color="auto" w:fill="FFFFFF"/>
            <w:vAlign w:val="center"/>
          </w:tcPr>
          <w:p w14:paraId="1063D976" w14:textId="499B2C54" w:rsidR="00DE11AD" w:rsidRPr="00D0541C" w:rsidRDefault="00DE11AD" w:rsidP="00DE11AD">
            <w:pPr>
              <w:pStyle w:val="CETBodytext"/>
              <w:ind w:right="-1"/>
              <w:jc w:val="center"/>
              <w:rPr>
                <w:rFonts w:cs="Arial"/>
                <w:szCs w:val="18"/>
                <w:lang w:val="en-GB"/>
              </w:rPr>
            </w:pPr>
            <w:r w:rsidRPr="00D0541C">
              <w:rPr>
                <w:rFonts w:cs="Arial"/>
                <w:szCs w:val="18"/>
                <w:lang w:val="en-GB"/>
              </w:rPr>
              <w:t>10</w:t>
            </w:r>
            <w:r w:rsidR="00D01508">
              <w:rPr>
                <w:rFonts w:cs="Arial"/>
                <w:szCs w:val="18"/>
                <w:lang w:val="en-GB"/>
              </w:rPr>
              <w:t>.</w:t>
            </w:r>
            <w:r w:rsidRPr="00D0541C">
              <w:rPr>
                <w:rFonts w:cs="Arial"/>
                <w:szCs w:val="18"/>
                <w:lang w:val="en-GB"/>
              </w:rPr>
              <w:t>6</w:t>
            </w:r>
          </w:p>
        </w:tc>
        <w:tc>
          <w:tcPr>
            <w:tcW w:w="1391" w:type="pct"/>
            <w:shd w:val="clear" w:color="auto" w:fill="FFFFFF"/>
            <w:vAlign w:val="center"/>
          </w:tcPr>
          <w:p w14:paraId="619A3C23" w14:textId="7196D37E" w:rsidR="00DE11AD" w:rsidRPr="00B57B36" w:rsidRDefault="00DE11AD" w:rsidP="00DE11AD">
            <w:pPr>
              <w:pStyle w:val="CETBodytext"/>
              <w:ind w:right="-1"/>
              <w:jc w:val="center"/>
              <w:rPr>
                <w:rFonts w:cs="Arial"/>
                <w:szCs w:val="18"/>
                <w:lang w:val="en-GB"/>
              </w:rPr>
            </w:pPr>
            <w:r>
              <w:rPr>
                <w:rFonts w:cs="Arial"/>
                <w:szCs w:val="18"/>
                <w:lang w:val="en-GB"/>
              </w:rPr>
              <w:t>0</w:t>
            </w:r>
            <w:r w:rsidR="00D01508">
              <w:rPr>
                <w:rFonts w:cs="Arial"/>
                <w:szCs w:val="18"/>
                <w:lang w:val="en-GB"/>
              </w:rPr>
              <w:t>.</w:t>
            </w:r>
            <w:r w:rsidR="00E60143">
              <w:rPr>
                <w:rFonts w:cs="Arial"/>
                <w:szCs w:val="18"/>
                <w:lang w:val="en-GB"/>
              </w:rPr>
              <w:t>122</w:t>
            </w:r>
          </w:p>
        </w:tc>
        <w:tc>
          <w:tcPr>
            <w:tcW w:w="1257" w:type="pct"/>
            <w:shd w:val="clear" w:color="auto" w:fill="FFFFFF"/>
            <w:vAlign w:val="center"/>
          </w:tcPr>
          <w:p w14:paraId="7501F45C" w14:textId="3B9F5D9B" w:rsidR="00DE11AD" w:rsidRPr="00B57B36" w:rsidRDefault="00E60143" w:rsidP="00DE11AD">
            <w:pPr>
              <w:pStyle w:val="CETBodytext"/>
              <w:ind w:right="-1"/>
              <w:jc w:val="center"/>
              <w:rPr>
                <w:rFonts w:cs="Arial"/>
                <w:szCs w:val="18"/>
                <w:lang w:val="en-GB"/>
              </w:rPr>
            </w:pPr>
            <w:r>
              <w:rPr>
                <w:rFonts w:cs="Arial"/>
                <w:szCs w:val="18"/>
                <w:lang w:val="en-GB"/>
              </w:rPr>
              <w:t>11</w:t>
            </w:r>
            <w:r w:rsidR="00D01508">
              <w:rPr>
                <w:rFonts w:cs="Arial"/>
                <w:szCs w:val="18"/>
                <w:lang w:val="en-GB"/>
              </w:rPr>
              <w:t>.</w:t>
            </w:r>
            <w:r>
              <w:rPr>
                <w:rFonts w:cs="Arial"/>
                <w:szCs w:val="18"/>
                <w:lang w:val="en-GB"/>
              </w:rPr>
              <w:t>1</w:t>
            </w:r>
          </w:p>
        </w:tc>
      </w:tr>
      <w:tr w:rsidR="00DE11AD" w:rsidRPr="00B57B36" w14:paraId="33F7487A" w14:textId="77777777" w:rsidTr="00E60143">
        <w:tc>
          <w:tcPr>
            <w:tcW w:w="608" w:type="pct"/>
            <w:shd w:val="clear" w:color="auto" w:fill="FFFFFF"/>
          </w:tcPr>
          <w:p w14:paraId="4A091D5F" w14:textId="3F7FB235" w:rsidR="00DE11AD" w:rsidRDefault="00DE11AD" w:rsidP="005D5173">
            <w:pPr>
              <w:pStyle w:val="CETBodytext"/>
              <w:ind w:right="-1"/>
              <w:rPr>
                <w:rFonts w:cs="Arial"/>
                <w:szCs w:val="18"/>
                <w:lang w:val="en-GB"/>
              </w:rPr>
            </w:pPr>
            <w:r>
              <w:rPr>
                <w:rFonts w:cs="Arial"/>
                <w:szCs w:val="18"/>
                <w:lang w:val="en-GB"/>
              </w:rPr>
              <w:t>TP-900</w:t>
            </w:r>
          </w:p>
        </w:tc>
        <w:tc>
          <w:tcPr>
            <w:tcW w:w="640" w:type="pct"/>
            <w:shd w:val="clear" w:color="auto" w:fill="FFFFFF"/>
            <w:vAlign w:val="center"/>
          </w:tcPr>
          <w:p w14:paraId="5AB89D07" w14:textId="46D4D3EC" w:rsidR="00DE11AD" w:rsidRPr="00D0541C" w:rsidRDefault="00DE11AD" w:rsidP="00DE11AD">
            <w:pPr>
              <w:pStyle w:val="CETBodytext"/>
              <w:ind w:right="-1"/>
              <w:jc w:val="center"/>
              <w:rPr>
                <w:rFonts w:cs="Arial"/>
                <w:szCs w:val="18"/>
                <w:lang w:val="en-GB"/>
              </w:rPr>
            </w:pPr>
            <w:r w:rsidRPr="00D0541C">
              <w:rPr>
                <w:rFonts w:cs="Arial"/>
                <w:szCs w:val="18"/>
                <w:lang w:val="en-GB"/>
              </w:rPr>
              <w:t>16</w:t>
            </w:r>
            <w:r w:rsidR="0074304C" w:rsidRPr="00D0541C">
              <w:rPr>
                <w:rFonts w:cs="Arial"/>
                <w:szCs w:val="18"/>
                <w:lang w:val="en-GB"/>
              </w:rPr>
              <w:t>4</w:t>
            </w:r>
          </w:p>
        </w:tc>
        <w:tc>
          <w:tcPr>
            <w:tcW w:w="1104" w:type="pct"/>
            <w:shd w:val="clear" w:color="auto" w:fill="FFFFFF"/>
            <w:vAlign w:val="center"/>
          </w:tcPr>
          <w:p w14:paraId="776CF560" w14:textId="6804B3D5" w:rsidR="00DE11AD" w:rsidRPr="00D0541C" w:rsidRDefault="00DE11AD" w:rsidP="00DE11AD">
            <w:pPr>
              <w:pStyle w:val="CETBodytext"/>
              <w:ind w:right="-1"/>
              <w:jc w:val="center"/>
              <w:rPr>
                <w:rFonts w:cs="Arial"/>
                <w:szCs w:val="18"/>
                <w:lang w:val="en-GB"/>
              </w:rPr>
            </w:pPr>
            <w:r w:rsidRPr="00D0541C">
              <w:rPr>
                <w:rFonts w:cs="Arial"/>
                <w:szCs w:val="18"/>
                <w:lang w:val="en-GB"/>
              </w:rPr>
              <w:t>11</w:t>
            </w:r>
            <w:r w:rsidR="00D01508">
              <w:rPr>
                <w:rFonts w:cs="Arial"/>
                <w:szCs w:val="18"/>
                <w:lang w:val="en-GB"/>
              </w:rPr>
              <w:t>.</w:t>
            </w:r>
            <w:r w:rsidRPr="00D0541C">
              <w:rPr>
                <w:rFonts w:cs="Arial"/>
                <w:szCs w:val="18"/>
                <w:lang w:val="en-GB"/>
              </w:rPr>
              <w:t>3</w:t>
            </w:r>
          </w:p>
        </w:tc>
        <w:tc>
          <w:tcPr>
            <w:tcW w:w="1391" w:type="pct"/>
            <w:shd w:val="clear" w:color="auto" w:fill="FFFFFF"/>
            <w:vAlign w:val="center"/>
          </w:tcPr>
          <w:p w14:paraId="2A0E49EE" w14:textId="2770EFCB" w:rsidR="00DE11AD" w:rsidRPr="00B57B36" w:rsidRDefault="00E60143" w:rsidP="00DE11AD">
            <w:pPr>
              <w:pStyle w:val="CETBodytext"/>
              <w:ind w:right="-1"/>
              <w:jc w:val="center"/>
              <w:rPr>
                <w:rFonts w:cs="Arial"/>
                <w:szCs w:val="18"/>
                <w:lang w:val="en-GB"/>
              </w:rPr>
            </w:pPr>
            <w:r>
              <w:rPr>
                <w:rFonts w:cs="Arial"/>
                <w:szCs w:val="18"/>
                <w:lang w:val="en-GB"/>
              </w:rPr>
              <w:t>0</w:t>
            </w:r>
            <w:r w:rsidR="00D01508">
              <w:rPr>
                <w:rFonts w:cs="Arial"/>
                <w:szCs w:val="18"/>
                <w:lang w:val="en-GB"/>
              </w:rPr>
              <w:t>.</w:t>
            </w:r>
            <w:r>
              <w:rPr>
                <w:rFonts w:cs="Arial"/>
                <w:szCs w:val="18"/>
                <w:lang w:val="en-GB"/>
              </w:rPr>
              <w:t>052</w:t>
            </w:r>
          </w:p>
        </w:tc>
        <w:tc>
          <w:tcPr>
            <w:tcW w:w="1257" w:type="pct"/>
            <w:shd w:val="clear" w:color="auto" w:fill="FFFFFF"/>
            <w:vAlign w:val="center"/>
          </w:tcPr>
          <w:p w14:paraId="0136F23A" w14:textId="2EC35766" w:rsidR="00DE11AD" w:rsidRPr="00B57B36" w:rsidRDefault="00E60143" w:rsidP="00DE11AD">
            <w:pPr>
              <w:pStyle w:val="CETBodytext"/>
              <w:ind w:right="-1"/>
              <w:jc w:val="center"/>
              <w:rPr>
                <w:rFonts w:cs="Arial"/>
                <w:szCs w:val="18"/>
                <w:lang w:val="en-GB"/>
              </w:rPr>
            </w:pPr>
            <w:r>
              <w:rPr>
                <w:rFonts w:cs="Arial"/>
                <w:szCs w:val="18"/>
                <w:lang w:val="en-GB"/>
              </w:rPr>
              <w:t>12</w:t>
            </w:r>
            <w:r w:rsidR="00D01508">
              <w:rPr>
                <w:rFonts w:cs="Arial"/>
                <w:szCs w:val="18"/>
                <w:lang w:val="en-GB"/>
              </w:rPr>
              <w:t>.</w:t>
            </w:r>
            <w:r>
              <w:rPr>
                <w:rFonts w:cs="Arial"/>
                <w:szCs w:val="18"/>
                <w:lang w:val="en-GB"/>
              </w:rPr>
              <w:t>5</w:t>
            </w:r>
          </w:p>
        </w:tc>
      </w:tr>
    </w:tbl>
    <w:p w14:paraId="013EA0C6" w14:textId="77777777" w:rsidR="00DE11AD" w:rsidRDefault="00DE11AD" w:rsidP="00DE11AD">
      <w:pPr>
        <w:pStyle w:val="CETBodytext"/>
      </w:pPr>
    </w:p>
    <w:p w14:paraId="2E667EA2" w14:textId="278CF58A" w:rsidR="003B1383" w:rsidRDefault="007007C4" w:rsidP="003B1383">
      <w:pPr>
        <w:pStyle w:val="CETBodytext"/>
        <w:rPr>
          <w:color w:val="000000" w:themeColor="text1"/>
          <w:lang w:val="en-GB"/>
        </w:rPr>
      </w:pPr>
      <w:r>
        <w:rPr>
          <w:color w:val="000000" w:themeColor="text1"/>
          <w:lang w:val="en-GB"/>
        </w:rPr>
        <w:lastRenderedPageBreak/>
        <w:t>R</w:t>
      </w:r>
      <w:r w:rsidR="003B1383" w:rsidRPr="003B1383">
        <w:rPr>
          <w:color w:val="000000" w:themeColor="text1"/>
          <w:lang w:val="en-GB"/>
        </w:rPr>
        <w:t xml:space="preserve">elease of inorganic species </w:t>
      </w:r>
      <w:r>
        <w:rPr>
          <w:color w:val="000000" w:themeColor="text1"/>
          <w:lang w:val="en-GB"/>
        </w:rPr>
        <w:t>is</w:t>
      </w:r>
      <w:r w:rsidR="003B1383" w:rsidRPr="003B1383">
        <w:rPr>
          <w:color w:val="000000" w:themeColor="text1"/>
          <w:lang w:val="en-GB"/>
        </w:rPr>
        <w:t xml:space="preserve"> reported in Table 2. </w:t>
      </w:r>
      <w:r w:rsidR="00C136B7" w:rsidRPr="00D0541C">
        <w:rPr>
          <w:color w:val="000000" w:themeColor="text1"/>
          <w:lang w:val="en-GB"/>
        </w:rPr>
        <w:t>HM</w:t>
      </w:r>
      <w:r w:rsidR="003B1383" w:rsidRPr="00D0541C">
        <w:rPr>
          <w:color w:val="000000" w:themeColor="text1"/>
          <w:lang w:val="en-GB"/>
        </w:rPr>
        <w:t xml:space="preserve"> concentrations remained nearly constant over 28 days and were several orders of magnitude lower than literature inhibition thresholds</w:t>
      </w:r>
      <w:r w:rsidRPr="00D0541C">
        <w:rPr>
          <w:color w:val="000000" w:themeColor="text1"/>
          <w:lang w:val="en-GB"/>
        </w:rPr>
        <w:t xml:space="preserve">. </w:t>
      </w:r>
      <w:r w:rsidR="003B1383" w:rsidRPr="00D0541C">
        <w:rPr>
          <w:color w:val="000000" w:themeColor="text1"/>
          <w:lang w:val="en-GB"/>
        </w:rPr>
        <w:t>At such low levels, these elements may act as essential micronutrients, serving as enzymatic cofactors in anaerobic metabolism</w:t>
      </w:r>
      <w:r w:rsidR="0074304C" w:rsidRPr="00D0541C">
        <w:rPr>
          <w:color w:val="000000" w:themeColor="text1"/>
          <w:lang w:val="en-GB"/>
        </w:rPr>
        <w:t>. E.g.,</w:t>
      </w:r>
      <w:r w:rsidR="003B1383" w:rsidRPr="00D0541C">
        <w:rPr>
          <w:color w:val="000000" w:themeColor="text1"/>
          <w:lang w:val="en-GB"/>
        </w:rPr>
        <w:t xml:space="preserve"> Ni, Fe, and Zn are involved in key methanogenic pathways and can support microbial activity and </w:t>
      </w:r>
      <w:r w:rsidR="00213034" w:rsidRPr="00D0541C">
        <w:rPr>
          <w:rFonts w:cs="Arial"/>
          <w:color w:val="000000" w:themeColor="text1"/>
          <w:szCs w:val="18"/>
        </w:rPr>
        <w:t>CH</w:t>
      </w:r>
      <w:r w:rsidR="00213034" w:rsidRPr="00D0541C">
        <w:rPr>
          <w:rFonts w:ascii="Cambria Math" w:hAnsi="Cambria Math" w:cs="Cambria Math"/>
          <w:color w:val="000000" w:themeColor="text1"/>
          <w:szCs w:val="18"/>
        </w:rPr>
        <w:t>₄</w:t>
      </w:r>
      <w:r w:rsidR="003B1383" w:rsidRPr="00D0541C">
        <w:rPr>
          <w:color w:val="000000" w:themeColor="text1"/>
          <w:lang w:val="en-GB"/>
        </w:rPr>
        <w:t xml:space="preserve"> production </w:t>
      </w:r>
      <w:sdt>
        <w:sdtPr>
          <w:rPr>
            <w:rFonts w:cs="Arial"/>
            <w:color w:val="000000"/>
            <w:lang w:val="en-GB"/>
          </w:rPr>
          <w:tag w:val="MENDELEY_CITATION_v3_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"/>
          <w:id w:val="725113843"/>
          <w:placeholder>
            <w:docPart w:val="6A1885612BC2424F9851B5E3942BA271"/>
          </w:placeholder>
        </w:sdtPr>
        <w:sdtContent>
          <w:r w:rsidR="005F0D70" w:rsidRPr="00D0541C">
            <w:rPr>
              <w:rFonts w:cs="Arial"/>
              <w:color w:val="000000"/>
            </w:rPr>
            <w:t>(Salazar-</w:t>
          </w:r>
          <w:proofErr w:type="spellStart"/>
          <w:r w:rsidR="005F0D70" w:rsidRPr="00D0541C">
            <w:rPr>
              <w:rFonts w:cs="Arial"/>
              <w:color w:val="000000"/>
            </w:rPr>
            <w:t>Batres</w:t>
          </w:r>
          <w:proofErr w:type="spellEnd"/>
          <w:r w:rsidR="005F0D70" w:rsidRPr="00D0541C">
            <w:rPr>
              <w:rFonts w:cs="Arial"/>
              <w:color w:val="000000"/>
            </w:rPr>
            <w:t xml:space="preserve"> &amp; Moreno-Andrade, 2025)</w:t>
          </w:r>
        </w:sdtContent>
      </w:sdt>
      <w:r w:rsidR="003B1383" w:rsidRPr="00D0541C">
        <w:rPr>
          <w:color w:val="000000" w:themeColor="text1"/>
          <w:lang w:val="en-GB"/>
        </w:rPr>
        <w:t xml:space="preserve">. No clear trends were observed among </w:t>
      </w:r>
      <w:proofErr w:type="spellStart"/>
      <w:r w:rsidR="003B1383" w:rsidRPr="00D0541C">
        <w:rPr>
          <w:color w:val="000000" w:themeColor="text1"/>
          <w:lang w:val="en-GB"/>
        </w:rPr>
        <w:t>biochars</w:t>
      </w:r>
      <w:proofErr w:type="spellEnd"/>
      <w:r w:rsidR="003B1383" w:rsidRPr="00D0541C">
        <w:rPr>
          <w:color w:val="000000" w:themeColor="text1"/>
          <w:lang w:val="en-GB"/>
        </w:rPr>
        <w:t xml:space="preserve"> in relation to feedstock or pyrolysis temperature.</w:t>
      </w:r>
    </w:p>
    <w:p w14:paraId="792A993C" w14:textId="3CC639F2" w:rsidR="0012474E" w:rsidRPr="00B2184B" w:rsidRDefault="0012474E" w:rsidP="003B1383">
      <w:pPr>
        <w:pStyle w:val="CETCaption"/>
        <w:rPr>
          <w:color w:val="000000" w:themeColor="text1"/>
          <w:lang w:val="en-US"/>
        </w:rPr>
      </w:pPr>
      <w:r w:rsidRPr="00B57B36">
        <w:t xml:space="preserve">Table </w:t>
      </w:r>
      <w:r>
        <w:t>2</w:t>
      </w:r>
      <w:r w:rsidRPr="00B57B36">
        <w:t>:</w:t>
      </w:r>
      <w:r>
        <w:t xml:space="preserve"> </w:t>
      </w:r>
      <w:r w:rsidR="00014FA9" w:rsidRPr="00014FA9">
        <w:t xml:space="preserve">Maximum </w:t>
      </w:r>
      <w:r w:rsidR="00014FA9" w:rsidRPr="00D0541C">
        <w:t xml:space="preserve">concentration of </w:t>
      </w:r>
      <w:r w:rsidR="00FC22DC" w:rsidRPr="00D0541C">
        <w:t>HMs</w:t>
      </w:r>
      <w:r w:rsidR="00014FA9" w:rsidRPr="00D0541C">
        <w:t xml:space="preserve"> (</w:t>
      </w:r>
      <w:proofErr w:type="spellStart"/>
      <w:r w:rsidR="00014FA9" w:rsidRPr="00D0541C">
        <w:t>c</w:t>
      </w:r>
      <w:r w:rsidR="00014FA9" w:rsidRPr="00D0541C">
        <w:rPr>
          <w:vertAlign w:val="subscript"/>
        </w:rPr>
        <w:t>max</w:t>
      </w:r>
      <w:proofErr w:type="spellEnd"/>
      <w:r w:rsidR="00014FA9" w:rsidRPr="00D0541C">
        <w:t xml:space="preserve">) released from </w:t>
      </w:r>
      <w:proofErr w:type="spellStart"/>
      <w:r w:rsidR="00014FA9" w:rsidRPr="00D0541C">
        <w:t>biochar</w:t>
      </w:r>
      <w:r w:rsidR="00FC22DC" w:rsidRPr="00D0541C">
        <w:t>s</w:t>
      </w:r>
      <w:proofErr w:type="spellEnd"/>
      <w:r w:rsidR="00014FA9" w:rsidRPr="00D0541C">
        <w:t xml:space="preserve"> during incubation (28 days), compared with literature inhibitory thresholds for AD.</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278"/>
        <w:gridCol w:w="991"/>
        <w:gridCol w:w="1135"/>
        <w:gridCol w:w="2267"/>
        <w:gridCol w:w="3116"/>
      </w:tblGrid>
      <w:tr w:rsidR="009A7F58" w:rsidRPr="00B57B36" w14:paraId="24149725" w14:textId="77777777" w:rsidTr="009A7F58">
        <w:tc>
          <w:tcPr>
            <w:tcW w:w="727" w:type="pct"/>
            <w:tcBorders>
              <w:top w:val="single" w:sz="12" w:space="0" w:color="008000"/>
              <w:bottom w:val="single" w:sz="6" w:space="0" w:color="008000"/>
            </w:tcBorders>
            <w:shd w:val="clear" w:color="auto" w:fill="FFFFFF"/>
            <w:vAlign w:val="center"/>
          </w:tcPr>
          <w:p w14:paraId="5AC51DF8" w14:textId="5083E917" w:rsidR="00014FA9" w:rsidRPr="00D0541C" w:rsidRDefault="00AA17EA" w:rsidP="00014FA9">
            <w:pPr>
              <w:pStyle w:val="CETBodytext"/>
              <w:jc w:val="center"/>
              <w:rPr>
                <w:lang w:val="en-GB"/>
              </w:rPr>
            </w:pPr>
            <w:r w:rsidRPr="00D0541C">
              <w:rPr>
                <w:lang w:val="en-GB"/>
              </w:rPr>
              <w:t>HM</w:t>
            </w:r>
          </w:p>
        </w:tc>
        <w:tc>
          <w:tcPr>
            <w:tcW w:w="564" w:type="pct"/>
            <w:tcBorders>
              <w:top w:val="single" w:sz="12" w:space="0" w:color="008000"/>
              <w:bottom w:val="single" w:sz="6" w:space="0" w:color="008000"/>
            </w:tcBorders>
            <w:shd w:val="clear" w:color="auto" w:fill="FFFFFF"/>
          </w:tcPr>
          <w:p w14:paraId="2EA26FA8" w14:textId="474C0843" w:rsidR="00014FA9" w:rsidRPr="00D0541C" w:rsidRDefault="00014FA9" w:rsidP="00014FA9">
            <w:pPr>
              <w:pStyle w:val="CETBodytext"/>
              <w:jc w:val="center"/>
              <w:rPr>
                <w:szCs w:val="18"/>
                <w:lang w:val="en-GB"/>
              </w:rPr>
            </w:pPr>
            <w:r w:rsidRPr="00D0541C">
              <w:rPr>
                <w:lang w:val="en-GB"/>
              </w:rPr>
              <w:t>Sample</w:t>
            </w:r>
          </w:p>
        </w:tc>
        <w:tc>
          <w:tcPr>
            <w:tcW w:w="646" w:type="pct"/>
            <w:tcBorders>
              <w:top w:val="single" w:sz="12" w:space="0" w:color="008000"/>
              <w:bottom w:val="single" w:sz="6" w:space="0" w:color="008000"/>
            </w:tcBorders>
            <w:shd w:val="clear" w:color="auto" w:fill="FFFFFF"/>
            <w:vAlign w:val="center"/>
          </w:tcPr>
          <w:p w14:paraId="571B99D2" w14:textId="1BECB221" w:rsidR="00014FA9" w:rsidRPr="00D0541C" w:rsidRDefault="00014FA9" w:rsidP="00014FA9">
            <w:pPr>
              <w:pStyle w:val="CETBodytext"/>
              <w:jc w:val="center"/>
              <w:rPr>
                <w:szCs w:val="18"/>
                <w:lang w:val="en-GB"/>
              </w:rPr>
            </w:pPr>
            <w:proofErr w:type="spellStart"/>
            <w:r w:rsidRPr="00D0541C">
              <w:rPr>
                <w:szCs w:val="18"/>
                <w:lang w:val="en-GB"/>
              </w:rPr>
              <w:t>c</w:t>
            </w:r>
            <w:r w:rsidRPr="00D0541C">
              <w:rPr>
                <w:szCs w:val="18"/>
                <w:vertAlign w:val="subscript"/>
                <w:lang w:val="en-GB"/>
              </w:rPr>
              <w:t>max</w:t>
            </w:r>
            <w:proofErr w:type="spellEnd"/>
            <w:r w:rsidRPr="00D0541C">
              <w:rPr>
                <w:szCs w:val="18"/>
                <w:lang w:val="en-GB"/>
              </w:rPr>
              <w:t xml:space="preserve"> (mg/L)</w:t>
            </w:r>
          </w:p>
        </w:tc>
        <w:tc>
          <w:tcPr>
            <w:tcW w:w="1290" w:type="pct"/>
            <w:tcBorders>
              <w:top w:val="single" w:sz="12" w:space="0" w:color="008000"/>
              <w:bottom w:val="single" w:sz="6" w:space="0" w:color="008000"/>
            </w:tcBorders>
            <w:shd w:val="clear" w:color="auto" w:fill="FFFFFF"/>
            <w:vAlign w:val="center"/>
          </w:tcPr>
          <w:p w14:paraId="58E8E840" w14:textId="7AF03F16" w:rsidR="00014FA9" w:rsidRPr="00D0541C" w:rsidRDefault="004D1459" w:rsidP="00014FA9">
            <w:pPr>
              <w:pStyle w:val="CETBodytext"/>
              <w:ind w:right="-1"/>
              <w:jc w:val="center"/>
              <w:rPr>
                <w:rFonts w:cs="Arial"/>
                <w:szCs w:val="18"/>
                <w:lang w:val="en-GB"/>
              </w:rPr>
            </w:pPr>
            <w:r w:rsidRPr="00D0541C">
              <w:rPr>
                <w:rFonts w:cs="Arial"/>
                <w:szCs w:val="18"/>
                <w:lang w:val="en-GB"/>
              </w:rPr>
              <w:t>Inhibitory</w:t>
            </w:r>
            <w:r w:rsidR="00014FA9" w:rsidRPr="00D0541C">
              <w:rPr>
                <w:rFonts w:cs="Arial"/>
                <w:szCs w:val="18"/>
                <w:lang w:val="en-GB"/>
              </w:rPr>
              <w:t xml:space="preserve"> threshold (mg/L)</w:t>
            </w:r>
          </w:p>
        </w:tc>
        <w:tc>
          <w:tcPr>
            <w:tcW w:w="1773" w:type="pct"/>
            <w:tcBorders>
              <w:top w:val="single" w:sz="12" w:space="0" w:color="008000"/>
              <w:bottom w:val="single" w:sz="6" w:space="0" w:color="008000"/>
            </w:tcBorders>
            <w:shd w:val="clear" w:color="auto" w:fill="FFFFFF"/>
            <w:vAlign w:val="center"/>
          </w:tcPr>
          <w:p w14:paraId="7A22CCB8" w14:textId="50FF6614" w:rsidR="00014FA9" w:rsidRPr="00B57B36" w:rsidRDefault="00014FA9" w:rsidP="00014FA9">
            <w:pPr>
              <w:pStyle w:val="CETBodytext"/>
              <w:ind w:right="-1"/>
              <w:jc w:val="center"/>
              <w:rPr>
                <w:rFonts w:cs="Arial"/>
                <w:szCs w:val="18"/>
                <w:lang w:val="en-GB"/>
              </w:rPr>
            </w:pPr>
            <w:r>
              <w:rPr>
                <w:rFonts w:cs="Arial"/>
                <w:szCs w:val="18"/>
                <w:lang w:val="en-GB"/>
              </w:rPr>
              <w:t>Reference</w:t>
            </w:r>
          </w:p>
        </w:tc>
      </w:tr>
      <w:tr w:rsidR="00014FA9" w:rsidRPr="00B57B36" w14:paraId="22726F26" w14:textId="77777777" w:rsidTr="009A7F58">
        <w:tc>
          <w:tcPr>
            <w:tcW w:w="727" w:type="pct"/>
            <w:vMerge w:val="restart"/>
            <w:shd w:val="clear" w:color="auto" w:fill="FFFFFF"/>
            <w:vAlign w:val="center"/>
          </w:tcPr>
          <w:p w14:paraId="5B83E62C" w14:textId="6992F279" w:rsidR="00014FA9" w:rsidRPr="003B1383" w:rsidRDefault="00014FA9" w:rsidP="00014FA9">
            <w:pPr>
              <w:pStyle w:val="CETBodytext"/>
              <w:jc w:val="center"/>
              <w:rPr>
                <w:color w:val="FF0000"/>
                <w:vertAlign w:val="superscript"/>
                <w:lang w:val="en-GB"/>
              </w:rPr>
            </w:pPr>
            <w:r w:rsidRPr="00014FA9">
              <w:rPr>
                <w:color w:val="000000" w:themeColor="text1"/>
                <w:lang w:val="en-GB"/>
              </w:rPr>
              <w:t>Ni</w:t>
            </w:r>
            <w:r w:rsidR="003B1383">
              <w:rPr>
                <w:color w:val="000000" w:themeColor="text1"/>
                <w:vertAlign w:val="superscript"/>
                <w:lang w:val="en-GB"/>
              </w:rPr>
              <w:t>2+</w:t>
            </w:r>
          </w:p>
        </w:tc>
        <w:tc>
          <w:tcPr>
            <w:tcW w:w="564" w:type="pct"/>
            <w:shd w:val="clear" w:color="auto" w:fill="FFFFFF"/>
          </w:tcPr>
          <w:p w14:paraId="7772B0C6" w14:textId="4AE5D791" w:rsidR="00014FA9" w:rsidRPr="00D37637" w:rsidRDefault="00014FA9" w:rsidP="00014FA9">
            <w:pPr>
              <w:pStyle w:val="CETBodytext"/>
              <w:jc w:val="center"/>
              <w:rPr>
                <w:color w:val="FF0000"/>
                <w:lang w:val="en-GB"/>
              </w:rPr>
            </w:pPr>
            <w:r>
              <w:rPr>
                <w:lang w:val="en-GB"/>
              </w:rPr>
              <w:t>SCG-500</w:t>
            </w:r>
          </w:p>
        </w:tc>
        <w:tc>
          <w:tcPr>
            <w:tcW w:w="646" w:type="pct"/>
            <w:shd w:val="clear" w:color="auto" w:fill="FFFFFF"/>
            <w:vAlign w:val="center"/>
          </w:tcPr>
          <w:p w14:paraId="6E221626" w14:textId="45E2B893" w:rsidR="00014FA9" w:rsidRPr="00D37637" w:rsidRDefault="00014FA9" w:rsidP="00014FA9">
            <w:pPr>
              <w:pStyle w:val="CETBodytext"/>
              <w:jc w:val="center"/>
              <w:rPr>
                <w:color w:val="FF0000"/>
                <w:lang w:val="en-GB"/>
              </w:rPr>
            </w:pPr>
            <w:r w:rsidRPr="00014FA9">
              <w:rPr>
                <w:color w:val="000000" w:themeColor="text1"/>
                <w:lang w:val="en-GB"/>
              </w:rPr>
              <w:t>0</w:t>
            </w:r>
            <w:r w:rsidR="00F5478B">
              <w:rPr>
                <w:color w:val="000000" w:themeColor="text1"/>
                <w:lang w:val="en-GB"/>
              </w:rPr>
              <w:t>.</w:t>
            </w:r>
            <w:r w:rsidRPr="00014FA9">
              <w:rPr>
                <w:color w:val="000000" w:themeColor="text1"/>
                <w:lang w:val="en-GB"/>
              </w:rPr>
              <w:t>0</w:t>
            </w:r>
            <w:r w:rsidR="005512F0">
              <w:rPr>
                <w:color w:val="000000" w:themeColor="text1"/>
                <w:lang w:val="en-GB"/>
              </w:rPr>
              <w:t>6</w:t>
            </w:r>
          </w:p>
        </w:tc>
        <w:tc>
          <w:tcPr>
            <w:tcW w:w="1290" w:type="pct"/>
            <w:vMerge w:val="restart"/>
            <w:shd w:val="clear" w:color="auto" w:fill="FFFFFF"/>
            <w:vAlign w:val="center"/>
          </w:tcPr>
          <w:p w14:paraId="2CB8ACC9" w14:textId="1214A0F3" w:rsidR="00014FA9" w:rsidRPr="00D37637" w:rsidRDefault="00014FA9" w:rsidP="00014FA9">
            <w:pPr>
              <w:pStyle w:val="CETBodytext"/>
              <w:ind w:right="-1"/>
              <w:jc w:val="center"/>
              <w:rPr>
                <w:rFonts w:cs="Arial"/>
                <w:color w:val="FF0000"/>
                <w:szCs w:val="18"/>
                <w:lang w:val="en-GB"/>
              </w:rPr>
            </w:pPr>
            <w:r w:rsidRPr="00014FA9">
              <w:rPr>
                <w:rFonts w:cs="Arial"/>
                <w:color w:val="000000" w:themeColor="text1"/>
                <w:szCs w:val="18"/>
                <w:lang w:val="en-GB"/>
              </w:rPr>
              <w:t>100</w:t>
            </w:r>
          </w:p>
        </w:tc>
        <w:sdt>
          <w:sdtPr>
            <w:rPr>
              <w:rFonts w:cs="Arial"/>
              <w:color w:val="000000"/>
              <w:szCs w:val="18"/>
              <w:lang w:val="en-GB"/>
            </w:rPr>
            <w:tag w:val="MENDELEY_CITATION_v3_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"/>
            <w:id w:val="1072617287"/>
            <w:placeholder>
              <w:docPart w:val="DefaultPlaceholder_-1854013440"/>
            </w:placeholder>
          </w:sdtPr>
          <w:sdtContent>
            <w:tc>
              <w:tcPr>
                <w:tcW w:w="1773" w:type="pct"/>
                <w:vMerge w:val="restart"/>
                <w:shd w:val="clear" w:color="auto" w:fill="FFFFFF"/>
                <w:vAlign w:val="center"/>
              </w:tcPr>
              <w:p w14:paraId="43C973F6" w14:textId="6EE1731D" w:rsidR="00014FA9" w:rsidRPr="00B57B36" w:rsidRDefault="005F0D70" w:rsidP="00014FA9">
                <w:pPr>
                  <w:pStyle w:val="CETBodytext"/>
                  <w:ind w:right="-1"/>
                  <w:jc w:val="center"/>
                  <w:rPr>
                    <w:rFonts w:cs="Arial"/>
                    <w:szCs w:val="18"/>
                    <w:lang w:val="en-GB"/>
                  </w:rPr>
                </w:pPr>
                <w:r w:rsidRPr="005F0D70">
                  <w:rPr>
                    <w:rFonts w:cs="Arial"/>
                    <w:color w:val="000000"/>
                    <w:szCs w:val="18"/>
                    <w:lang w:val="en-GB"/>
                  </w:rPr>
                  <w:t>(Guo et al., 2019)</w:t>
                </w:r>
              </w:p>
            </w:tc>
          </w:sdtContent>
        </w:sdt>
      </w:tr>
      <w:tr w:rsidR="00014FA9" w:rsidRPr="00B57B36" w14:paraId="39CA8C73" w14:textId="77777777" w:rsidTr="009A7F58">
        <w:tc>
          <w:tcPr>
            <w:tcW w:w="727" w:type="pct"/>
            <w:vMerge/>
            <w:shd w:val="clear" w:color="auto" w:fill="FFFFFF"/>
            <w:vAlign w:val="center"/>
          </w:tcPr>
          <w:p w14:paraId="0628A178" w14:textId="371F272F" w:rsidR="00014FA9" w:rsidRPr="00D37637" w:rsidRDefault="00014FA9" w:rsidP="00014FA9">
            <w:pPr>
              <w:pStyle w:val="CETBodytext"/>
              <w:ind w:right="-1"/>
              <w:jc w:val="center"/>
              <w:rPr>
                <w:rFonts w:cs="Arial"/>
                <w:color w:val="FF0000"/>
                <w:szCs w:val="18"/>
                <w:lang w:val="en-GB"/>
              </w:rPr>
            </w:pPr>
          </w:p>
        </w:tc>
        <w:tc>
          <w:tcPr>
            <w:tcW w:w="564" w:type="pct"/>
            <w:shd w:val="clear" w:color="auto" w:fill="FFFFFF"/>
          </w:tcPr>
          <w:p w14:paraId="15726661" w14:textId="6E8BBEB9" w:rsidR="00014FA9" w:rsidRPr="00D37637" w:rsidRDefault="00014FA9" w:rsidP="00014FA9">
            <w:pPr>
              <w:pStyle w:val="CETBodytext"/>
              <w:ind w:right="-1"/>
              <w:jc w:val="center"/>
              <w:rPr>
                <w:rFonts w:cs="Arial"/>
                <w:color w:val="FF0000"/>
                <w:szCs w:val="18"/>
                <w:lang w:val="en-GB"/>
              </w:rPr>
            </w:pPr>
            <w:r>
              <w:rPr>
                <w:rFonts w:cs="Arial"/>
                <w:szCs w:val="18"/>
                <w:lang w:val="en-GB"/>
              </w:rPr>
              <w:t>TP-500</w:t>
            </w:r>
          </w:p>
        </w:tc>
        <w:tc>
          <w:tcPr>
            <w:tcW w:w="646" w:type="pct"/>
            <w:shd w:val="clear" w:color="auto" w:fill="FFFFFF"/>
            <w:vAlign w:val="center"/>
          </w:tcPr>
          <w:p w14:paraId="5FC721E1" w14:textId="48A787FF" w:rsidR="00014FA9" w:rsidRPr="00D37637" w:rsidRDefault="00014FA9" w:rsidP="00014FA9">
            <w:pPr>
              <w:pStyle w:val="CETBodytext"/>
              <w:ind w:right="-1"/>
              <w:jc w:val="center"/>
              <w:rPr>
                <w:rFonts w:cs="Arial"/>
                <w:color w:val="FF0000"/>
                <w:szCs w:val="18"/>
                <w:lang w:val="en-GB"/>
              </w:rPr>
            </w:pPr>
            <w:r w:rsidRPr="00014FA9">
              <w:rPr>
                <w:rFonts w:cs="Arial"/>
                <w:color w:val="000000" w:themeColor="text1"/>
                <w:szCs w:val="18"/>
                <w:lang w:val="en-GB"/>
              </w:rPr>
              <w:t>0</w:t>
            </w:r>
            <w:r w:rsidR="00F5478B">
              <w:rPr>
                <w:rFonts w:cs="Arial"/>
                <w:color w:val="000000" w:themeColor="text1"/>
                <w:szCs w:val="18"/>
                <w:lang w:val="en-GB"/>
              </w:rPr>
              <w:t>.</w:t>
            </w:r>
            <w:r w:rsidRPr="00014FA9">
              <w:rPr>
                <w:rFonts w:cs="Arial"/>
                <w:color w:val="000000" w:themeColor="text1"/>
                <w:szCs w:val="18"/>
                <w:lang w:val="en-GB"/>
              </w:rPr>
              <w:t>0</w:t>
            </w:r>
            <w:r w:rsidR="005512F0">
              <w:rPr>
                <w:rFonts w:cs="Arial"/>
                <w:color w:val="000000" w:themeColor="text1"/>
                <w:szCs w:val="18"/>
                <w:lang w:val="en-GB"/>
              </w:rPr>
              <w:t>4</w:t>
            </w:r>
          </w:p>
        </w:tc>
        <w:tc>
          <w:tcPr>
            <w:tcW w:w="1290" w:type="pct"/>
            <w:vMerge/>
            <w:shd w:val="clear" w:color="auto" w:fill="FFFFFF"/>
            <w:vAlign w:val="center"/>
          </w:tcPr>
          <w:p w14:paraId="756B91CC" w14:textId="7ECB5FA4" w:rsidR="00014FA9" w:rsidRPr="00D37637" w:rsidRDefault="00014FA9" w:rsidP="00014FA9">
            <w:pPr>
              <w:pStyle w:val="CETBodytext"/>
              <w:ind w:right="-1"/>
              <w:jc w:val="center"/>
              <w:rPr>
                <w:rFonts w:cs="Arial"/>
                <w:color w:val="FF0000"/>
                <w:szCs w:val="18"/>
                <w:lang w:val="en-GB"/>
              </w:rPr>
            </w:pPr>
          </w:p>
        </w:tc>
        <w:tc>
          <w:tcPr>
            <w:tcW w:w="1773" w:type="pct"/>
            <w:vMerge/>
            <w:shd w:val="clear" w:color="auto" w:fill="FFFFFF"/>
            <w:vAlign w:val="center"/>
          </w:tcPr>
          <w:p w14:paraId="3AC52FE1" w14:textId="2688056D" w:rsidR="00014FA9" w:rsidRPr="00B57B36" w:rsidRDefault="00014FA9" w:rsidP="00014FA9">
            <w:pPr>
              <w:pStyle w:val="CETBodytext"/>
              <w:ind w:right="-1"/>
              <w:jc w:val="center"/>
              <w:rPr>
                <w:rFonts w:cs="Arial"/>
                <w:szCs w:val="18"/>
                <w:lang w:val="en-GB"/>
              </w:rPr>
            </w:pPr>
          </w:p>
        </w:tc>
      </w:tr>
      <w:tr w:rsidR="00014FA9" w:rsidRPr="00B57B36" w14:paraId="171FA8F7" w14:textId="77777777" w:rsidTr="009A7F58">
        <w:trPr>
          <w:trHeight w:val="68"/>
        </w:trPr>
        <w:tc>
          <w:tcPr>
            <w:tcW w:w="727" w:type="pct"/>
            <w:vMerge/>
            <w:shd w:val="clear" w:color="auto" w:fill="FFFFFF"/>
            <w:vAlign w:val="center"/>
          </w:tcPr>
          <w:p w14:paraId="4B4BD848" w14:textId="4B9F7179" w:rsidR="00014FA9" w:rsidRPr="00B57B36" w:rsidRDefault="00014FA9" w:rsidP="00014FA9">
            <w:pPr>
              <w:pStyle w:val="CETBodytext"/>
              <w:ind w:right="-1"/>
              <w:jc w:val="center"/>
              <w:rPr>
                <w:rFonts w:cs="Arial"/>
                <w:szCs w:val="18"/>
                <w:lang w:val="en-GB"/>
              </w:rPr>
            </w:pPr>
          </w:p>
        </w:tc>
        <w:tc>
          <w:tcPr>
            <w:tcW w:w="564" w:type="pct"/>
            <w:shd w:val="clear" w:color="auto" w:fill="FFFFFF"/>
          </w:tcPr>
          <w:p w14:paraId="6506C0CC" w14:textId="0220B260" w:rsidR="00014FA9" w:rsidRPr="00B57B36" w:rsidRDefault="00014FA9" w:rsidP="00014FA9">
            <w:pPr>
              <w:pStyle w:val="CETBodytext"/>
              <w:ind w:right="-1"/>
              <w:jc w:val="center"/>
              <w:rPr>
                <w:rFonts w:cs="Arial"/>
                <w:szCs w:val="18"/>
                <w:lang w:val="en-GB"/>
              </w:rPr>
            </w:pPr>
            <w:r>
              <w:rPr>
                <w:rFonts w:cs="Arial"/>
                <w:szCs w:val="18"/>
                <w:lang w:val="en-GB"/>
              </w:rPr>
              <w:t>TP-700</w:t>
            </w:r>
          </w:p>
        </w:tc>
        <w:tc>
          <w:tcPr>
            <w:tcW w:w="646" w:type="pct"/>
            <w:shd w:val="clear" w:color="auto" w:fill="FFFFFF"/>
            <w:vAlign w:val="center"/>
          </w:tcPr>
          <w:p w14:paraId="37B53133" w14:textId="5E192FEE" w:rsidR="00014FA9" w:rsidRPr="00B57B36" w:rsidRDefault="00014FA9" w:rsidP="00014FA9">
            <w:pPr>
              <w:pStyle w:val="CETBodytext"/>
              <w:ind w:right="-1"/>
              <w:jc w:val="center"/>
              <w:rPr>
                <w:rFonts w:cs="Arial"/>
                <w:szCs w:val="18"/>
                <w:lang w:val="en-GB"/>
              </w:rPr>
            </w:pPr>
            <w:r>
              <w:rPr>
                <w:rFonts w:cs="Arial"/>
                <w:szCs w:val="18"/>
                <w:lang w:val="en-GB"/>
              </w:rPr>
              <w:t>0</w:t>
            </w:r>
            <w:r w:rsidR="00F5478B">
              <w:rPr>
                <w:rFonts w:cs="Arial"/>
                <w:szCs w:val="18"/>
                <w:lang w:val="en-GB"/>
              </w:rPr>
              <w:t>.</w:t>
            </w:r>
            <w:r>
              <w:rPr>
                <w:rFonts w:cs="Arial"/>
                <w:szCs w:val="18"/>
                <w:lang w:val="en-GB"/>
              </w:rPr>
              <w:t>06</w:t>
            </w:r>
          </w:p>
        </w:tc>
        <w:tc>
          <w:tcPr>
            <w:tcW w:w="1290" w:type="pct"/>
            <w:vMerge/>
            <w:shd w:val="clear" w:color="auto" w:fill="FFFFFF"/>
            <w:vAlign w:val="center"/>
          </w:tcPr>
          <w:p w14:paraId="3D2D52B6" w14:textId="1FAA1237" w:rsidR="00014FA9" w:rsidRPr="00B57B36" w:rsidRDefault="00014FA9" w:rsidP="00014FA9">
            <w:pPr>
              <w:pStyle w:val="CETBodytext"/>
              <w:ind w:right="-1"/>
              <w:jc w:val="center"/>
              <w:rPr>
                <w:rFonts w:cs="Arial"/>
                <w:szCs w:val="18"/>
                <w:lang w:val="en-GB"/>
              </w:rPr>
            </w:pPr>
          </w:p>
        </w:tc>
        <w:tc>
          <w:tcPr>
            <w:tcW w:w="1773" w:type="pct"/>
            <w:vMerge/>
            <w:shd w:val="clear" w:color="auto" w:fill="FFFFFF"/>
            <w:vAlign w:val="center"/>
          </w:tcPr>
          <w:p w14:paraId="0ECADA26" w14:textId="52E3F735" w:rsidR="00014FA9" w:rsidRPr="00B57B36" w:rsidRDefault="00014FA9" w:rsidP="00014FA9">
            <w:pPr>
              <w:pStyle w:val="CETBodytext"/>
              <w:ind w:right="-1"/>
              <w:jc w:val="center"/>
              <w:rPr>
                <w:rFonts w:cs="Arial"/>
                <w:szCs w:val="18"/>
                <w:lang w:val="en-GB"/>
              </w:rPr>
            </w:pPr>
          </w:p>
        </w:tc>
      </w:tr>
      <w:tr w:rsidR="00014FA9" w:rsidRPr="00B57B36" w14:paraId="085C72BB" w14:textId="77777777" w:rsidTr="009A7F58">
        <w:tc>
          <w:tcPr>
            <w:tcW w:w="727" w:type="pct"/>
            <w:vMerge/>
            <w:shd w:val="clear" w:color="auto" w:fill="FFFFFF"/>
            <w:vAlign w:val="center"/>
          </w:tcPr>
          <w:p w14:paraId="3FF41A9A" w14:textId="1E2B08FF" w:rsidR="00014FA9" w:rsidRPr="00B57B36" w:rsidRDefault="00014FA9" w:rsidP="00014FA9">
            <w:pPr>
              <w:pStyle w:val="CETBodytext"/>
              <w:ind w:right="-1"/>
              <w:jc w:val="center"/>
              <w:rPr>
                <w:rFonts w:cs="Arial"/>
                <w:szCs w:val="18"/>
                <w:lang w:val="en-GB"/>
              </w:rPr>
            </w:pPr>
          </w:p>
        </w:tc>
        <w:tc>
          <w:tcPr>
            <w:tcW w:w="564" w:type="pct"/>
            <w:shd w:val="clear" w:color="auto" w:fill="FFFFFF"/>
          </w:tcPr>
          <w:p w14:paraId="7CEB1828" w14:textId="3B67C765" w:rsidR="00014FA9" w:rsidRPr="00B57B36" w:rsidRDefault="00014FA9" w:rsidP="00014FA9">
            <w:pPr>
              <w:pStyle w:val="CETBodytext"/>
              <w:ind w:right="-1"/>
              <w:jc w:val="center"/>
              <w:rPr>
                <w:rFonts w:cs="Arial"/>
                <w:szCs w:val="18"/>
                <w:lang w:val="en-GB"/>
              </w:rPr>
            </w:pPr>
            <w:r>
              <w:rPr>
                <w:rFonts w:cs="Arial"/>
                <w:szCs w:val="18"/>
                <w:lang w:val="en-GB"/>
              </w:rPr>
              <w:t>TP-900</w:t>
            </w:r>
          </w:p>
        </w:tc>
        <w:tc>
          <w:tcPr>
            <w:tcW w:w="646" w:type="pct"/>
            <w:shd w:val="clear" w:color="auto" w:fill="FFFFFF"/>
            <w:vAlign w:val="center"/>
          </w:tcPr>
          <w:p w14:paraId="12AD5FDD" w14:textId="2C119C57" w:rsidR="00014FA9" w:rsidRPr="00B57B36" w:rsidRDefault="00014FA9" w:rsidP="00014FA9">
            <w:pPr>
              <w:pStyle w:val="CETBodytext"/>
              <w:ind w:right="-1"/>
              <w:jc w:val="center"/>
              <w:rPr>
                <w:rFonts w:cs="Arial"/>
                <w:szCs w:val="18"/>
                <w:lang w:val="en-GB"/>
              </w:rPr>
            </w:pPr>
            <w:r>
              <w:rPr>
                <w:rFonts w:cs="Arial"/>
                <w:szCs w:val="18"/>
                <w:lang w:val="en-GB"/>
              </w:rPr>
              <w:t>0</w:t>
            </w:r>
            <w:r w:rsidR="00F5478B">
              <w:rPr>
                <w:rFonts w:cs="Arial"/>
                <w:szCs w:val="18"/>
                <w:lang w:val="en-GB"/>
              </w:rPr>
              <w:t>.</w:t>
            </w:r>
            <w:r>
              <w:rPr>
                <w:rFonts w:cs="Arial"/>
                <w:szCs w:val="18"/>
                <w:lang w:val="en-GB"/>
              </w:rPr>
              <w:t>1</w:t>
            </w:r>
            <w:r w:rsidR="005512F0">
              <w:rPr>
                <w:rFonts w:cs="Arial"/>
                <w:szCs w:val="18"/>
                <w:lang w:val="en-GB"/>
              </w:rPr>
              <w:t>1</w:t>
            </w:r>
          </w:p>
        </w:tc>
        <w:tc>
          <w:tcPr>
            <w:tcW w:w="1290" w:type="pct"/>
            <w:vMerge/>
            <w:shd w:val="clear" w:color="auto" w:fill="FFFFFF"/>
            <w:vAlign w:val="center"/>
          </w:tcPr>
          <w:p w14:paraId="20435390" w14:textId="639DFC59" w:rsidR="00014FA9" w:rsidRPr="00B57B36" w:rsidRDefault="00014FA9" w:rsidP="00014FA9">
            <w:pPr>
              <w:pStyle w:val="CETBodytext"/>
              <w:ind w:right="-1"/>
              <w:jc w:val="center"/>
              <w:rPr>
                <w:rFonts w:cs="Arial"/>
                <w:szCs w:val="18"/>
                <w:lang w:val="en-GB"/>
              </w:rPr>
            </w:pPr>
          </w:p>
        </w:tc>
        <w:tc>
          <w:tcPr>
            <w:tcW w:w="1773" w:type="pct"/>
            <w:vMerge/>
            <w:shd w:val="clear" w:color="auto" w:fill="FFFFFF"/>
            <w:vAlign w:val="center"/>
          </w:tcPr>
          <w:p w14:paraId="51E99095" w14:textId="49E2A8A1" w:rsidR="00014FA9" w:rsidRPr="00B57B36" w:rsidRDefault="00014FA9" w:rsidP="00014FA9">
            <w:pPr>
              <w:pStyle w:val="CETBodytext"/>
              <w:ind w:right="-1"/>
              <w:jc w:val="center"/>
              <w:rPr>
                <w:rFonts w:cs="Arial"/>
                <w:szCs w:val="18"/>
                <w:lang w:val="en-GB"/>
              </w:rPr>
            </w:pPr>
          </w:p>
        </w:tc>
      </w:tr>
      <w:tr w:rsidR="001A4706" w:rsidRPr="002A5DA1" w14:paraId="626463D5" w14:textId="77777777" w:rsidTr="009A7F58">
        <w:tc>
          <w:tcPr>
            <w:tcW w:w="727" w:type="pct"/>
            <w:vMerge w:val="restart"/>
            <w:shd w:val="clear" w:color="auto" w:fill="FFFFFF"/>
            <w:vAlign w:val="center"/>
          </w:tcPr>
          <w:p w14:paraId="28D967C7" w14:textId="1E44DE59" w:rsidR="001A4706" w:rsidRPr="003B1383" w:rsidRDefault="001A4706" w:rsidP="00014FA9">
            <w:pPr>
              <w:pStyle w:val="CETBodytext"/>
              <w:ind w:right="-1"/>
              <w:jc w:val="center"/>
              <w:rPr>
                <w:rFonts w:cs="Arial"/>
                <w:szCs w:val="18"/>
                <w:vertAlign w:val="superscript"/>
                <w:lang w:val="en-GB"/>
              </w:rPr>
            </w:pPr>
            <w:r>
              <w:rPr>
                <w:rFonts w:cs="Arial"/>
                <w:szCs w:val="18"/>
                <w:lang w:val="en-GB"/>
              </w:rPr>
              <w:t>Cu</w:t>
            </w:r>
            <w:r w:rsidR="003B1383">
              <w:rPr>
                <w:rFonts w:cs="Arial"/>
                <w:szCs w:val="18"/>
                <w:vertAlign w:val="superscript"/>
                <w:lang w:val="en-GB"/>
              </w:rPr>
              <w:t>2+</w:t>
            </w:r>
          </w:p>
        </w:tc>
        <w:tc>
          <w:tcPr>
            <w:tcW w:w="564" w:type="pct"/>
            <w:shd w:val="clear" w:color="auto" w:fill="FFFFFF"/>
          </w:tcPr>
          <w:p w14:paraId="376EF650" w14:textId="5C79F640" w:rsidR="001A4706" w:rsidRDefault="001A4706" w:rsidP="00014FA9">
            <w:pPr>
              <w:pStyle w:val="CETBodytext"/>
              <w:ind w:right="-1"/>
              <w:jc w:val="center"/>
              <w:rPr>
                <w:rFonts w:cs="Arial"/>
                <w:szCs w:val="18"/>
                <w:lang w:val="en-GB"/>
              </w:rPr>
            </w:pPr>
            <w:r>
              <w:rPr>
                <w:lang w:val="en-GB"/>
              </w:rPr>
              <w:t>SCG-500</w:t>
            </w:r>
          </w:p>
        </w:tc>
        <w:tc>
          <w:tcPr>
            <w:tcW w:w="646" w:type="pct"/>
            <w:shd w:val="clear" w:color="auto" w:fill="FFFFFF"/>
            <w:vAlign w:val="center"/>
          </w:tcPr>
          <w:p w14:paraId="36EC3DAB" w14:textId="3AA77F09" w:rsidR="001A4706" w:rsidRDefault="001A4706" w:rsidP="00014FA9">
            <w:pPr>
              <w:pStyle w:val="CETBodytext"/>
              <w:ind w:right="-1"/>
              <w:jc w:val="center"/>
              <w:rPr>
                <w:rFonts w:cs="Arial"/>
                <w:szCs w:val="18"/>
                <w:lang w:val="en-GB"/>
              </w:rPr>
            </w:pPr>
            <w:r>
              <w:rPr>
                <w:rFonts w:cs="Arial"/>
                <w:szCs w:val="18"/>
                <w:lang w:val="en-GB"/>
              </w:rPr>
              <w:t>0</w:t>
            </w:r>
            <w:r w:rsidR="00F5478B">
              <w:rPr>
                <w:rFonts w:cs="Arial"/>
                <w:szCs w:val="18"/>
                <w:lang w:val="en-GB"/>
              </w:rPr>
              <w:t>.</w:t>
            </w:r>
            <w:r>
              <w:rPr>
                <w:rFonts w:cs="Arial"/>
                <w:szCs w:val="18"/>
                <w:lang w:val="en-GB"/>
              </w:rPr>
              <w:t>07</w:t>
            </w:r>
          </w:p>
        </w:tc>
        <w:tc>
          <w:tcPr>
            <w:tcW w:w="1290" w:type="pct"/>
            <w:vMerge w:val="restart"/>
            <w:shd w:val="clear" w:color="auto" w:fill="FFFFFF"/>
            <w:vAlign w:val="center"/>
          </w:tcPr>
          <w:p w14:paraId="2006A476" w14:textId="1CB464FA" w:rsidR="001A4706" w:rsidRPr="00B57B36" w:rsidRDefault="001A4706" w:rsidP="00014FA9">
            <w:pPr>
              <w:pStyle w:val="CETBodytext"/>
              <w:ind w:right="-1"/>
              <w:jc w:val="center"/>
              <w:rPr>
                <w:rFonts w:cs="Arial"/>
                <w:szCs w:val="18"/>
                <w:lang w:val="en-GB"/>
              </w:rPr>
            </w:pPr>
            <w:r>
              <w:rPr>
                <w:rFonts w:cs="Arial"/>
                <w:szCs w:val="18"/>
                <w:lang w:val="en-GB"/>
              </w:rPr>
              <w:t>500</w:t>
            </w:r>
          </w:p>
        </w:tc>
        <w:sdt>
          <w:sdtPr>
            <w:rPr>
              <w:rFonts w:cs="Arial"/>
              <w:color w:val="000000"/>
              <w:szCs w:val="18"/>
              <w:lang w:val="en-GB"/>
            </w:rPr>
            <w:tag w:val="MENDELEY_CITATION_v3_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"/>
            <w:id w:val="403112634"/>
            <w:placeholder>
              <w:docPart w:val="DefaultPlaceholder_-1854013440"/>
            </w:placeholder>
          </w:sdtPr>
          <w:sdtContent>
            <w:tc>
              <w:tcPr>
                <w:tcW w:w="1773" w:type="pct"/>
                <w:vMerge w:val="restart"/>
                <w:shd w:val="clear" w:color="auto" w:fill="FFFFFF"/>
                <w:vAlign w:val="center"/>
              </w:tcPr>
              <w:p w14:paraId="39E00674" w14:textId="5B2772DE" w:rsidR="001A4706" w:rsidRPr="00B2184B" w:rsidRDefault="005F0D70" w:rsidP="00014FA9">
                <w:pPr>
                  <w:pStyle w:val="CETBodytext"/>
                  <w:ind w:right="-1"/>
                  <w:jc w:val="center"/>
                  <w:rPr>
                    <w:rFonts w:cs="Arial"/>
                    <w:szCs w:val="18"/>
                    <w:lang w:val="nl-NL"/>
                  </w:rPr>
                </w:pPr>
                <w:r w:rsidRPr="00B2184B">
                  <w:rPr>
                    <w:rFonts w:cs="Arial"/>
                    <w:color w:val="000000"/>
                    <w:szCs w:val="18"/>
                    <w:lang w:val="nl-NL"/>
                  </w:rPr>
                  <w:t>(</w:t>
                </w:r>
                <w:proofErr w:type="spellStart"/>
                <w:r w:rsidRPr="00B2184B">
                  <w:rPr>
                    <w:rFonts w:cs="Arial"/>
                    <w:color w:val="000000"/>
                    <w:szCs w:val="18"/>
                    <w:lang w:val="nl-NL"/>
                  </w:rPr>
                  <w:t>Guo</w:t>
                </w:r>
                <w:proofErr w:type="spellEnd"/>
                <w:r w:rsidRPr="00B2184B">
                  <w:rPr>
                    <w:rFonts w:cs="Arial"/>
                    <w:color w:val="000000"/>
                    <w:szCs w:val="18"/>
                    <w:lang w:val="nl-NL"/>
                  </w:rPr>
                  <w:t xml:space="preserve"> et al., 2019; </w:t>
                </w:r>
                <w:proofErr w:type="spellStart"/>
                <w:r w:rsidRPr="00B2184B">
                  <w:rPr>
                    <w:rFonts w:cs="Arial"/>
                    <w:color w:val="000000"/>
                    <w:szCs w:val="18"/>
                    <w:lang w:val="nl-NL"/>
                  </w:rPr>
                  <w:t>Kadam</w:t>
                </w:r>
                <w:proofErr w:type="spellEnd"/>
                <w:r w:rsidRPr="00B2184B">
                  <w:rPr>
                    <w:rFonts w:cs="Arial"/>
                    <w:color w:val="000000"/>
                    <w:szCs w:val="18"/>
                    <w:lang w:val="nl-NL"/>
                  </w:rPr>
                  <w:t xml:space="preserve"> et al., 2022)</w:t>
                </w:r>
              </w:p>
            </w:tc>
          </w:sdtContent>
        </w:sdt>
      </w:tr>
      <w:tr w:rsidR="001A4706" w:rsidRPr="00B57B36" w14:paraId="245E871E" w14:textId="77777777" w:rsidTr="009A7F58">
        <w:tc>
          <w:tcPr>
            <w:tcW w:w="727" w:type="pct"/>
            <w:vMerge/>
            <w:shd w:val="clear" w:color="auto" w:fill="FFFFFF"/>
            <w:vAlign w:val="center"/>
          </w:tcPr>
          <w:p w14:paraId="0F19E05E" w14:textId="77777777" w:rsidR="001A4706" w:rsidRPr="00B2184B" w:rsidRDefault="001A4706" w:rsidP="00014FA9">
            <w:pPr>
              <w:pStyle w:val="CETBodytext"/>
              <w:ind w:right="-1"/>
              <w:jc w:val="center"/>
              <w:rPr>
                <w:rFonts w:cs="Arial"/>
                <w:szCs w:val="18"/>
                <w:lang w:val="nl-NL"/>
              </w:rPr>
            </w:pPr>
          </w:p>
        </w:tc>
        <w:tc>
          <w:tcPr>
            <w:tcW w:w="564" w:type="pct"/>
            <w:shd w:val="clear" w:color="auto" w:fill="FFFFFF"/>
          </w:tcPr>
          <w:p w14:paraId="6EC13F20" w14:textId="4DE8E20C" w:rsidR="001A4706" w:rsidRDefault="001A4706" w:rsidP="00014FA9">
            <w:pPr>
              <w:pStyle w:val="CETBodytext"/>
              <w:ind w:right="-1"/>
              <w:jc w:val="center"/>
              <w:rPr>
                <w:rFonts w:cs="Arial"/>
                <w:szCs w:val="18"/>
                <w:lang w:val="en-GB"/>
              </w:rPr>
            </w:pPr>
            <w:r>
              <w:rPr>
                <w:rFonts w:cs="Arial"/>
                <w:szCs w:val="18"/>
                <w:lang w:val="en-GB"/>
              </w:rPr>
              <w:t>TP-500</w:t>
            </w:r>
          </w:p>
        </w:tc>
        <w:tc>
          <w:tcPr>
            <w:tcW w:w="646" w:type="pct"/>
            <w:shd w:val="clear" w:color="auto" w:fill="FFFFFF"/>
            <w:vAlign w:val="center"/>
          </w:tcPr>
          <w:p w14:paraId="069FABAF" w14:textId="46C15668" w:rsidR="001A4706" w:rsidRDefault="001A4706" w:rsidP="00014FA9">
            <w:pPr>
              <w:pStyle w:val="CETBodytext"/>
              <w:ind w:right="-1"/>
              <w:jc w:val="center"/>
              <w:rPr>
                <w:rFonts w:cs="Arial"/>
                <w:szCs w:val="18"/>
                <w:lang w:val="en-GB"/>
              </w:rPr>
            </w:pPr>
            <w:r>
              <w:rPr>
                <w:rFonts w:cs="Arial"/>
                <w:szCs w:val="18"/>
                <w:lang w:val="en-GB"/>
              </w:rPr>
              <w:t>0</w:t>
            </w:r>
            <w:r w:rsidR="00F5478B">
              <w:rPr>
                <w:rFonts w:cs="Arial"/>
                <w:szCs w:val="18"/>
                <w:lang w:val="en-GB"/>
              </w:rPr>
              <w:t>.</w:t>
            </w:r>
            <w:r>
              <w:rPr>
                <w:rFonts w:cs="Arial"/>
                <w:szCs w:val="18"/>
                <w:lang w:val="en-GB"/>
              </w:rPr>
              <w:t>44</w:t>
            </w:r>
          </w:p>
        </w:tc>
        <w:tc>
          <w:tcPr>
            <w:tcW w:w="1290" w:type="pct"/>
            <w:vMerge/>
            <w:shd w:val="clear" w:color="auto" w:fill="FFFFFF"/>
            <w:vAlign w:val="center"/>
          </w:tcPr>
          <w:p w14:paraId="368A1232" w14:textId="77777777" w:rsidR="001A4706" w:rsidRPr="00B57B36" w:rsidRDefault="001A4706" w:rsidP="00014FA9">
            <w:pPr>
              <w:pStyle w:val="CETBodytext"/>
              <w:ind w:right="-1"/>
              <w:jc w:val="center"/>
              <w:rPr>
                <w:rFonts w:cs="Arial"/>
                <w:szCs w:val="18"/>
                <w:lang w:val="en-GB"/>
              </w:rPr>
            </w:pPr>
          </w:p>
        </w:tc>
        <w:tc>
          <w:tcPr>
            <w:tcW w:w="1773" w:type="pct"/>
            <w:vMerge/>
            <w:shd w:val="clear" w:color="auto" w:fill="FFFFFF"/>
            <w:vAlign w:val="center"/>
          </w:tcPr>
          <w:p w14:paraId="69E8D5CA" w14:textId="77777777" w:rsidR="001A4706" w:rsidRPr="00B57B36" w:rsidRDefault="001A4706" w:rsidP="00014FA9">
            <w:pPr>
              <w:pStyle w:val="CETBodytext"/>
              <w:ind w:right="-1"/>
              <w:jc w:val="center"/>
              <w:rPr>
                <w:rFonts w:cs="Arial"/>
                <w:szCs w:val="18"/>
                <w:lang w:val="en-GB"/>
              </w:rPr>
            </w:pPr>
          </w:p>
        </w:tc>
      </w:tr>
      <w:tr w:rsidR="001A4706" w:rsidRPr="00B57B36" w14:paraId="464DEC06" w14:textId="77777777" w:rsidTr="009A7F58">
        <w:tc>
          <w:tcPr>
            <w:tcW w:w="727" w:type="pct"/>
            <w:vMerge/>
            <w:shd w:val="clear" w:color="auto" w:fill="FFFFFF"/>
            <w:vAlign w:val="center"/>
          </w:tcPr>
          <w:p w14:paraId="5972507B" w14:textId="77777777" w:rsidR="001A4706" w:rsidRPr="00B57B36" w:rsidRDefault="001A4706" w:rsidP="00014FA9">
            <w:pPr>
              <w:pStyle w:val="CETBodytext"/>
              <w:ind w:right="-1"/>
              <w:jc w:val="center"/>
              <w:rPr>
                <w:rFonts w:cs="Arial"/>
                <w:szCs w:val="18"/>
                <w:lang w:val="en-GB"/>
              </w:rPr>
            </w:pPr>
          </w:p>
        </w:tc>
        <w:tc>
          <w:tcPr>
            <w:tcW w:w="564" w:type="pct"/>
            <w:shd w:val="clear" w:color="auto" w:fill="FFFFFF"/>
          </w:tcPr>
          <w:p w14:paraId="11865C92" w14:textId="7A34B64E" w:rsidR="001A4706" w:rsidRDefault="001A4706" w:rsidP="00014FA9">
            <w:pPr>
              <w:pStyle w:val="CETBodytext"/>
              <w:ind w:right="-1"/>
              <w:jc w:val="center"/>
              <w:rPr>
                <w:rFonts w:cs="Arial"/>
                <w:szCs w:val="18"/>
                <w:lang w:val="en-GB"/>
              </w:rPr>
            </w:pPr>
            <w:r>
              <w:rPr>
                <w:rFonts w:cs="Arial"/>
                <w:szCs w:val="18"/>
                <w:lang w:val="en-GB"/>
              </w:rPr>
              <w:t>TP-700</w:t>
            </w:r>
          </w:p>
        </w:tc>
        <w:tc>
          <w:tcPr>
            <w:tcW w:w="646" w:type="pct"/>
            <w:shd w:val="clear" w:color="auto" w:fill="FFFFFF"/>
            <w:vAlign w:val="center"/>
          </w:tcPr>
          <w:p w14:paraId="6A9A175E" w14:textId="35E88854" w:rsidR="001A4706" w:rsidRDefault="001A4706" w:rsidP="00014FA9">
            <w:pPr>
              <w:pStyle w:val="CETBodytext"/>
              <w:ind w:right="-1"/>
              <w:jc w:val="center"/>
              <w:rPr>
                <w:rFonts w:cs="Arial"/>
                <w:szCs w:val="18"/>
                <w:lang w:val="en-GB"/>
              </w:rPr>
            </w:pPr>
            <w:r>
              <w:rPr>
                <w:rFonts w:cs="Arial"/>
                <w:szCs w:val="18"/>
                <w:lang w:val="en-GB"/>
              </w:rPr>
              <w:t>0</w:t>
            </w:r>
          </w:p>
        </w:tc>
        <w:tc>
          <w:tcPr>
            <w:tcW w:w="1290" w:type="pct"/>
            <w:vMerge/>
            <w:shd w:val="clear" w:color="auto" w:fill="FFFFFF"/>
            <w:vAlign w:val="center"/>
          </w:tcPr>
          <w:p w14:paraId="347F522E" w14:textId="77777777" w:rsidR="001A4706" w:rsidRPr="00B57B36" w:rsidRDefault="001A4706" w:rsidP="00014FA9">
            <w:pPr>
              <w:pStyle w:val="CETBodytext"/>
              <w:ind w:right="-1"/>
              <w:jc w:val="center"/>
              <w:rPr>
                <w:rFonts w:cs="Arial"/>
                <w:szCs w:val="18"/>
                <w:lang w:val="en-GB"/>
              </w:rPr>
            </w:pPr>
          </w:p>
        </w:tc>
        <w:tc>
          <w:tcPr>
            <w:tcW w:w="1773" w:type="pct"/>
            <w:vMerge/>
            <w:shd w:val="clear" w:color="auto" w:fill="FFFFFF"/>
            <w:vAlign w:val="center"/>
          </w:tcPr>
          <w:p w14:paraId="1380912B" w14:textId="77777777" w:rsidR="001A4706" w:rsidRPr="00B57B36" w:rsidRDefault="001A4706" w:rsidP="00014FA9">
            <w:pPr>
              <w:pStyle w:val="CETBodytext"/>
              <w:ind w:right="-1"/>
              <w:jc w:val="center"/>
              <w:rPr>
                <w:rFonts w:cs="Arial"/>
                <w:szCs w:val="18"/>
                <w:lang w:val="en-GB"/>
              </w:rPr>
            </w:pPr>
          </w:p>
        </w:tc>
      </w:tr>
      <w:tr w:rsidR="001A4706" w:rsidRPr="00B57B36" w14:paraId="31299221" w14:textId="77777777" w:rsidTr="009A7F58">
        <w:tc>
          <w:tcPr>
            <w:tcW w:w="727" w:type="pct"/>
            <w:vMerge/>
            <w:shd w:val="clear" w:color="auto" w:fill="FFFFFF"/>
            <w:vAlign w:val="center"/>
          </w:tcPr>
          <w:p w14:paraId="36646E02" w14:textId="77777777" w:rsidR="001A4706" w:rsidRPr="00B57B36" w:rsidRDefault="001A4706" w:rsidP="00014FA9">
            <w:pPr>
              <w:pStyle w:val="CETBodytext"/>
              <w:ind w:right="-1"/>
              <w:jc w:val="center"/>
              <w:rPr>
                <w:rFonts w:cs="Arial"/>
                <w:szCs w:val="18"/>
                <w:lang w:val="en-GB"/>
              </w:rPr>
            </w:pPr>
          </w:p>
        </w:tc>
        <w:tc>
          <w:tcPr>
            <w:tcW w:w="564" w:type="pct"/>
            <w:shd w:val="clear" w:color="auto" w:fill="FFFFFF"/>
          </w:tcPr>
          <w:p w14:paraId="45DD15AC" w14:textId="5342C745" w:rsidR="001A4706" w:rsidRDefault="001A4706" w:rsidP="00014FA9">
            <w:pPr>
              <w:pStyle w:val="CETBodytext"/>
              <w:ind w:right="-1"/>
              <w:jc w:val="center"/>
              <w:rPr>
                <w:rFonts w:cs="Arial"/>
                <w:szCs w:val="18"/>
                <w:lang w:val="en-GB"/>
              </w:rPr>
            </w:pPr>
            <w:r>
              <w:rPr>
                <w:rFonts w:cs="Arial"/>
                <w:szCs w:val="18"/>
                <w:lang w:val="en-GB"/>
              </w:rPr>
              <w:t>TP-900</w:t>
            </w:r>
          </w:p>
        </w:tc>
        <w:tc>
          <w:tcPr>
            <w:tcW w:w="646" w:type="pct"/>
            <w:shd w:val="clear" w:color="auto" w:fill="FFFFFF"/>
            <w:vAlign w:val="center"/>
          </w:tcPr>
          <w:p w14:paraId="4D95443F" w14:textId="021CC155" w:rsidR="001A4706" w:rsidRDefault="001A4706" w:rsidP="00014FA9">
            <w:pPr>
              <w:pStyle w:val="CETBodytext"/>
              <w:ind w:right="-1"/>
              <w:jc w:val="center"/>
              <w:rPr>
                <w:rFonts w:cs="Arial"/>
                <w:szCs w:val="18"/>
                <w:lang w:val="en-GB"/>
              </w:rPr>
            </w:pPr>
            <w:r>
              <w:rPr>
                <w:rFonts w:cs="Arial"/>
                <w:szCs w:val="18"/>
                <w:lang w:val="en-GB"/>
              </w:rPr>
              <w:t>0</w:t>
            </w:r>
            <w:r w:rsidR="00F5478B">
              <w:rPr>
                <w:rFonts w:cs="Arial"/>
                <w:szCs w:val="18"/>
                <w:lang w:val="en-GB"/>
              </w:rPr>
              <w:t>.</w:t>
            </w:r>
            <w:r>
              <w:rPr>
                <w:rFonts w:cs="Arial"/>
                <w:szCs w:val="18"/>
                <w:lang w:val="en-GB"/>
              </w:rPr>
              <w:t>13</w:t>
            </w:r>
          </w:p>
        </w:tc>
        <w:tc>
          <w:tcPr>
            <w:tcW w:w="1290" w:type="pct"/>
            <w:vMerge/>
            <w:shd w:val="clear" w:color="auto" w:fill="FFFFFF"/>
            <w:vAlign w:val="center"/>
          </w:tcPr>
          <w:p w14:paraId="7267F9C7" w14:textId="77777777" w:rsidR="001A4706" w:rsidRPr="00B57B36" w:rsidRDefault="001A4706" w:rsidP="00014FA9">
            <w:pPr>
              <w:pStyle w:val="CETBodytext"/>
              <w:ind w:right="-1"/>
              <w:jc w:val="center"/>
              <w:rPr>
                <w:rFonts w:cs="Arial"/>
                <w:szCs w:val="18"/>
                <w:lang w:val="en-GB"/>
              </w:rPr>
            </w:pPr>
          </w:p>
        </w:tc>
        <w:tc>
          <w:tcPr>
            <w:tcW w:w="1773" w:type="pct"/>
            <w:vMerge/>
            <w:shd w:val="clear" w:color="auto" w:fill="FFFFFF"/>
            <w:vAlign w:val="center"/>
          </w:tcPr>
          <w:p w14:paraId="19E63FC8" w14:textId="77777777" w:rsidR="001A4706" w:rsidRPr="00B57B36" w:rsidRDefault="001A4706" w:rsidP="00014FA9">
            <w:pPr>
              <w:pStyle w:val="CETBodytext"/>
              <w:ind w:right="-1"/>
              <w:jc w:val="center"/>
              <w:rPr>
                <w:rFonts w:cs="Arial"/>
                <w:szCs w:val="18"/>
                <w:lang w:val="en-GB"/>
              </w:rPr>
            </w:pPr>
          </w:p>
        </w:tc>
      </w:tr>
      <w:tr w:rsidR="001A4706" w:rsidRPr="002A5DA1" w14:paraId="6D15A8BE" w14:textId="77777777" w:rsidTr="009A7F58">
        <w:tc>
          <w:tcPr>
            <w:tcW w:w="727" w:type="pct"/>
            <w:vMerge w:val="restart"/>
            <w:shd w:val="clear" w:color="auto" w:fill="FFFFFF"/>
            <w:vAlign w:val="center"/>
          </w:tcPr>
          <w:p w14:paraId="22D7D7DA" w14:textId="1108F1B1" w:rsidR="001A4706" w:rsidRPr="003B1383" w:rsidRDefault="001A4706" w:rsidP="00014FA9">
            <w:pPr>
              <w:pStyle w:val="CETBodytext"/>
              <w:ind w:right="-1"/>
              <w:jc w:val="center"/>
              <w:rPr>
                <w:rFonts w:cs="Arial"/>
                <w:szCs w:val="18"/>
                <w:vertAlign w:val="superscript"/>
                <w:lang w:val="en-GB"/>
              </w:rPr>
            </w:pPr>
            <w:r>
              <w:rPr>
                <w:rFonts w:cs="Arial"/>
                <w:szCs w:val="18"/>
                <w:lang w:val="en-GB"/>
              </w:rPr>
              <w:t>Cd</w:t>
            </w:r>
            <w:r w:rsidR="003B1383">
              <w:rPr>
                <w:rFonts w:cs="Arial"/>
                <w:szCs w:val="18"/>
                <w:vertAlign w:val="superscript"/>
                <w:lang w:val="en-GB"/>
              </w:rPr>
              <w:t>2+</w:t>
            </w:r>
          </w:p>
        </w:tc>
        <w:tc>
          <w:tcPr>
            <w:tcW w:w="564" w:type="pct"/>
            <w:shd w:val="clear" w:color="auto" w:fill="FFFFFF"/>
          </w:tcPr>
          <w:p w14:paraId="4D809432" w14:textId="48CB0A8D" w:rsidR="001A4706" w:rsidRDefault="001A4706" w:rsidP="00014FA9">
            <w:pPr>
              <w:pStyle w:val="CETBodytext"/>
              <w:ind w:right="-1"/>
              <w:jc w:val="center"/>
              <w:rPr>
                <w:rFonts w:cs="Arial"/>
                <w:szCs w:val="18"/>
                <w:lang w:val="en-GB"/>
              </w:rPr>
            </w:pPr>
            <w:r>
              <w:rPr>
                <w:lang w:val="en-GB"/>
              </w:rPr>
              <w:t>SCG-500</w:t>
            </w:r>
          </w:p>
        </w:tc>
        <w:tc>
          <w:tcPr>
            <w:tcW w:w="646" w:type="pct"/>
            <w:shd w:val="clear" w:color="auto" w:fill="FFFFFF"/>
            <w:vAlign w:val="center"/>
          </w:tcPr>
          <w:p w14:paraId="58C21F60" w14:textId="24317C6C" w:rsidR="001A4706" w:rsidRDefault="001A4706" w:rsidP="00014FA9">
            <w:pPr>
              <w:pStyle w:val="CETBodytext"/>
              <w:ind w:right="-1"/>
              <w:jc w:val="center"/>
              <w:rPr>
                <w:rFonts w:cs="Arial"/>
                <w:szCs w:val="18"/>
                <w:lang w:val="en-GB"/>
              </w:rPr>
            </w:pPr>
            <w:r>
              <w:rPr>
                <w:rFonts w:cs="Arial"/>
                <w:szCs w:val="18"/>
                <w:lang w:val="en-GB"/>
              </w:rPr>
              <w:t>0</w:t>
            </w:r>
            <w:r w:rsidR="00F5478B">
              <w:rPr>
                <w:rFonts w:cs="Arial"/>
                <w:szCs w:val="18"/>
                <w:lang w:val="en-GB"/>
              </w:rPr>
              <w:t>.</w:t>
            </w:r>
            <w:r>
              <w:rPr>
                <w:rFonts w:cs="Arial"/>
                <w:szCs w:val="18"/>
                <w:lang w:val="en-GB"/>
              </w:rPr>
              <w:t>02</w:t>
            </w:r>
          </w:p>
        </w:tc>
        <w:tc>
          <w:tcPr>
            <w:tcW w:w="1290" w:type="pct"/>
            <w:vMerge w:val="restart"/>
            <w:shd w:val="clear" w:color="auto" w:fill="FFFFFF"/>
            <w:vAlign w:val="center"/>
          </w:tcPr>
          <w:p w14:paraId="2A3A7E38" w14:textId="7642F2E2" w:rsidR="001A4706" w:rsidRPr="00B57B36" w:rsidRDefault="001A4706" w:rsidP="00014FA9">
            <w:pPr>
              <w:pStyle w:val="CETBodytext"/>
              <w:ind w:right="-1"/>
              <w:jc w:val="center"/>
              <w:rPr>
                <w:rFonts w:cs="Arial"/>
                <w:szCs w:val="18"/>
                <w:lang w:val="en-GB"/>
              </w:rPr>
            </w:pPr>
            <w:r>
              <w:rPr>
                <w:rFonts w:cs="Arial"/>
                <w:szCs w:val="18"/>
                <w:lang w:val="en-GB"/>
              </w:rPr>
              <w:t>1</w:t>
            </w:r>
            <w:r w:rsidR="00F5478B">
              <w:rPr>
                <w:rFonts w:cs="Arial"/>
                <w:szCs w:val="18"/>
                <w:lang w:val="en-GB"/>
              </w:rPr>
              <w:t>.</w:t>
            </w:r>
            <w:r>
              <w:rPr>
                <w:rFonts w:cs="Arial"/>
                <w:szCs w:val="18"/>
                <w:lang w:val="en-GB"/>
              </w:rPr>
              <w:t>2</w:t>
            </w:r>
          </w:p>
        </w:tc>
        <w:sdt>
          <w:sdtPr>
            <w:rPr>
              <w:rFonts w:cs="Arial"/>
              <w:color w:val="000000"/>
              <w:szCs w:val="18"/>
              <w:lang w:val="en-GB"/>
            </w:rPr>
            <w:tag w:val="MENDELEY_CITATION_v3_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"/>
            <w:id w:val="1158035910"/>
            <w:placeholder>
              <w:docPart w:val="324EB2D5D15C4045926025C3B43B4797"/>
            </w:placeholder>
          </w:sdtPr>
          <w:sdtContent>
            <w:tc>
              <w:tcPr>
                <w:tcW w:w="1773" w:type="pct"/>
                <w:vMerge w:val="restart"/>
                <w:shd w:val="clear" w:color="auto" w:fill="FFFFFF"/>
                <w:vAlign w:val="center"/>
              </w:tcPr>
              <w:p w14:paraId="2108E3BE" w14:textId="18033CCB" w:rsidR="001A4706" w:rsidRPr="00B2184B" w:rsidRDefault="005F0D70" w:rsidP="00014FA9">
                <w:pPr>
                  <w:pStyle w:val="CETBodytext"/>
                  <w:ind w:right="-1"/>
                  <w:jc w:val="center"/>
                  <w:rPr>
                    <w:rFonts w:cs="Arial"/>
                    <w:szCs w:val="18"/>
                    <w:lang w:val="nl-NL"/>
                  </w:rPr>
                </w:pPr>
                <w:r w:rsidRPr="00B2184B">
                  <w:rPr>
                    <w:rFonts w:cs="Arial"/>
                    <w:color w:val="000000"/>
                    <w:szCs w:val="18"/>
                    <w:lang w:val="nl-NL"/>
                  </w:rPr>
                  <w:t>(</w:t>
                </w:r>
                <w:proofErr w:type="spellStart"/>
                <w:r w:rsidRPr="00B2184B">
                  <w:rPr>
                    <w:rFonts w:cs="Arial"/>
                    <w:color w:val="000000"/>
                    <w:szCs w:val="18"/>
                    <w:lang w:val="nl-NL"/>
                  </w:rPr>
                  <w:t>Guo</w:t>
                </w:r>
                <w:proofErr w:type="spellEnd"/>
                <w:r w:rsidRPr="00B2184B">
                  <w:rPr>
                    <w:rFonts w:cs="Arial"/>
                    <w:color w:val="000000"/>
                    <w:szCs w:val="18"/>
                    <w:lang w:val="nl-NL"/>
                  </w:rPr>
                  <w:t xml:space="preserve"> et al., 2019; </w:t>
                </w:r>
                <w:proofErr w:type="spellStart"/>
                <w:r w:rsidRPr="00B2184B">
                  <w:rPr>
                    <w:rFonts w:cs="Arial"/>
                    <w:color w:val="000000"/>
                    <w:szCs w:val="18"/>
                    <w:lang w:val="nl-NL"/>
                  </w:rPr>
                  <w:t>Kadam</w:t>
                </w:r>
                <w:proofErr w:type="spellEnd"/>
                <w:r w:rsidRPr="00B2184B">
                  <w:rPr>
                    <w:rFonts w:cs="Arial"/>
                    <w:color w:val="000000"/>
                    <w:szCs w:val="18"/>
                    <w:lang w:val="nl-NL"/>
                  </w:rPr>
                  <w:t xml:space="preserve"> et al., 2022)</w:t>
                </w:r>
              </w:p>
            </w:tc>
          </w:sdtContent>
        </w:sdt>
      </w:tr>
      <w:tr w:rsidR="001A4706" w:rsidRPr="00B57B36" w14:paraId="0440DAC4" w14:textId="77777777" w:rsidTr="009A7F58">
        <w:tc>
          <w:tcPr>
            <w:tcW w:w="727" w:type="pct"/>
            <w:vMerge/>
            <w:shd w:val="clear" w:color="auto" w:fill="FFFFFF"/>
            <w:vAlign w:val="center"/>
          </w:tcPr>
          <w:p w14:paraId="72F76E1E" w14:textId="77777777" w:rsidR="001A4706" w:rsidRPr="00B2184B" w:rsidRDefault="001A4706" w:rsidP="00014FA9">
            <w:pPr>
              <w:pStyle w:val="CETBodytext"/>
              <w:ind w:right="-1"/>
              <w:jc w:val="center"/>
              <w:rPr>
                <w:rFonts w:cs="Arial"/>
                <w:szCs w:val="18"/>
                <w:lang w:val="nl-NL"/>
              </w:rPr>
            </w:pPr>
          </w:p>
        </w:tc>
        <w:tc>
          <w:tcPr>
            <w:tcW w:w="564" w:type="pct"/>
            <w:shd w:val="clear" w:color="auto" w:fill="FFFFFF"/>
          </w:tcPr>
          <w:p w14:paraId="194860B9" w14:textId="3060AF7F" w:rsidR="001A4706" w:rsidRDefault="001A4706" w:rsidP="00014FA9">
            <w:pPr>
              <w:pStyle w:val="CETBodytext"/>
              <w:ind w:right="-1"/>
              <w:jc w:val="center"/>
              <w:rPr>
                <w:rFonts w:cs="Arial"/>
                <w:szCs w:val="18"/>
                <w:lang w:val="en-GB"/>
              </w:rPr>
            </w:pPr>
            <w:r>
              <w:rPr>
                <w:rFonts w:cs="Arial"/>
                <w:szCs w:val="18"/>
                <w:lang w:val="en-GB"/>
              </w:rPr>
              <w:t>TP-500</w:t>
            </w:r>
          </w:p>
        </w:tc>
        <w:tc>
          <w:tcPr>
            <w:tcW w:w="646" w:type="pct"/>
            <w:shd w:val="clear" w:color="auto" w:fill="FFFFFF"/>
            <w:vAlign w:val="center"/>
          </w:tcPr>
          <w:p w14:paraId="08B35B5F" w14:textId="21A8C0DA" w:rsidR="001A4706" w:rsidRDefault="001A4706" w:rsidP="00014FA9">
            <w:pPr>
              <w:pStyle w:val="CETBodytext"/>
              <w:ind w:right="-1"/>
              <w:jc w:val="center"/>
              <w:rPr>
                <w:rFonts w:cs="Arial"/>
                <w:szCs w:val="18"/>
                <w:lang w:val="en-GB"/>
              </w:rPr>
            </w:pPr>
            <w:r>
              <w:rPr>
                <w:rFonts w:cs="Arial"/>
                <w:szCs w:val="18"/>
                <w:lang w:val="en-GB"/>
              </w:rPr>
              <w:t>0</w:t>
            </w:r>
            <w:r w:rsidR="00F5478B">
              <w:rPr>
                <w:rFonts w:cs="Arial"/>
                <w:szCs w:val="18"/>
                <w:lang w:val="en-GB"/>
              </w:rPr>
              <w:t>.</w:t>
            </w:r>
            <w:r>
              <w:rPr>
                <w:rFonts w:cs="Arial"/>
                <w:szCs w:val="18"/>
                <w:lang w:val="en-GB"/>
              </w:rPr>
              <w:t>0</w:t>
            </w:r>
            <w:r w:rsidR="005512F0">
              <w:rPr>
                <w:rFonts w:cs="Arial"/>
                <w:szCs w:val="18"/>
                <w:lang w:val="en-GB"/>
              </w:rPr>
              <w:t>3</w:t>
            </w:r>
          </w:p>
        </w:tc>
        <w:tc>
          <w:tcPr>
            <w:tcW w:w="1290" w:type="pct"/>
            <w:vMerge/>
            <w:shd w:val="clear" w:color="auto" w:fill="FFFFFF"/>
            <w:vAlign w:val="center"/>
          </w:tcPr>
          <w:p w14:paraId="63C50DE5" w14:textId="77777777" w:rsidR="001A4706" w:rsidRPr="00B57B36" w:rsidRDefault="001A4706" w:rsidP="00014FA9">
            <w:pPr>
              <w:pStyle w:val="CETBodytext"/>
              <w:ind w:right="-1"/>
              <w:jc w:val="center"/>
              <w:rPr>
                <w:rFonts w:cs="Arial"/>
                <w:szCs w:val="18"/>
                <w:lang w:val="en-GB"/>
              </w:rPr>
            </w:pPr>
          </w:p>
        </w:tc>
        <w:tc>
          <w:tcPr>
            <w:tcW w:w="1773" w:type="pct"/>
            <w:vMerge/>
            <w:shd w:val="clear" w:color="auto" w:fill="FFFFFF"/>
            <w:vAlign w:val="center"/>
          </w:tcPr>
          <w:p w14:paraId="19B307D9" w14:textId="77777777" w:rsidR="001A4706" w:rsidRPr="00B57B36" w:rsidRDefault="001A4706" w:rsidP="00014FA9">
            <w:pPr>
              <w:pStyle w:val="CETBodytext"/>
              <w:ind w:right="-1"/>
              <w:jc w:val="center"/>
              <w:rPr>
                <w:rFonts w:cs="Arial"/>
                <w:szCs w:val="18"/>
                <w:lang w:val="en-GB"/>
              </w:rPr>
            </w:pPr>
          </w:p>
        </w:tc>
      </w:tr>
      <w:tr w:rsidR="001A4706" w:rsidRPr="00B57B36" w14:paraId="30F5B292" w14:textId="77777777" w:rsidTr="009A7F58">
        <w:tc>
          <w:tcPr>
            <w:tcW w:w="727" w:type="pct"/>
            <w:vMerge/>
            <w:shd w:val="clear" w:color="auto" w:fill="FFFFFF"/>
            <w:vAlign w:val="center"/>
          </w:tcPr>
          <w:p w14:paraId="1D403B4F" w14:textId="77777777" w:rsidR="001A4706" w:rsidRPr="00B57B36" w:rsidRDefault="001A4706" w:rsidP="00014FA9">
            <w:pPr>
              <w:pStyle w:val="CETBodytext"/>
              <w:ind w:right="-1"/>
              <w:jc w:val="center"/>
              <w:rPr>
                <w:rFonts w:cs="Arial"/>
                <w:szCs w:val="18"/>
                <w:lang w:val="en-GB"/>
              </w:rPr>
            </w:pPr>
          </w:p>
        </w:tc>
        <w:tc>
          <w:tcPr>
            <w:tcW w:w="564" w:type="pct"/>
            <w:shd w:val="clear" w:color="auto" w:fill="FFFFFF"/>
          </w:tcPr>
          <w:p w14:paraId="443000D1" w14:textId="083960AD" w:rsidR="001A4706" w:rsidRDefault="001A4706" w:rsidP="00014FA9">
            <w:pPr>
              <w:pStyle w:val="CETBodytext"/>
              <w:ind w:right="-1"/>
              <w:jc w:val="center"/>
              <w:rPr>
                <w:rFonts w:cs="Arial"/>
                <w:szCs w:val="18"/>
                <w:lang w:val="en-GB"/>
              </w:rPr>
            </w:pPr>
            <w:r>
              <w:rPr>
                <w:rFonts w:cs="Arial"/>
                <w:szCs w:val="18"/>
                <w:lang w:val="en-GB"/>
              </w:rPr>
              <w:t>TP-700</w:t>
            </w:r>
          </w:p>
        </w:tc>
        <w:tc>
          <w:tcPr>
            <w:tcW w:w="646" w:type="pct"/>
            <w:shd w:val="clear" w:color="auto" w:fill="FFFFFF"/>
            <w:vAlign w:val="center"/>
          </w:tcPr>
          <w:p w14:paraId="009C37D5" w14:textId="1011DB23" w:rsidR="001A4706" w:rsidRDefault="001A4706" w:rsidP="00014FA9">
            <w:pPr>
              <w:pStyle w:val="CETBodytext"/>
              <w:ind w:right="-1"/>
              <w:jc w:val="center"/>
              <w:rPr>
                <w:rFonts w:cs="Arial"/>
                <w:szCs w:val="18"/>
                <w:lang w:val="en-GB"/>
              </w:rPr>
            </w:pPr>
            <w:r>
              <w:rPr>
                <w:rFonts w:cs="Arial"/>
                <w:szCs w:val="18"/>
                <w:lang w:val="en-GB"/>
              </w:rPr>
              <w:t>0</w:t>
            </w:r>
          </w:p>
        </w:tc>
        <w:tc>
          <w:tcPr>
            <w:tcW w:w="1290" w:type="pct"/>
            <w:vMerge/>
            <w:shd w:val="clear" w:color="auto" w:fill="FFFFFF"/>
            <w:vAlign w:val="center"/>
          </w:tcPr>
          <w:p w14:paraId="04169B0F" w14:textId="77777777" w:rsidR="001A4706" w:rsidRPr="00B57B36" w:rsidRDefault="001A4706" w:rsidP="00014FA9">
            <w:pPr>
              <w:pStyle w:val="CETBodytext"/>
              <w:ind w:right="-1"/>
              <w:jc w:val="center"/>
              <w:rPr>
                <w:rFonts w:cs="Arial"/>
                <w:szCs w:val="18"/>
                <w:lang w:val="en-GB"/>
              </w:rPr>
            </w:pPr>
          </w:p>
        </w:tc>
        <w:tc>
          <w:tcPr>
            <w:tcW w:w="1773" w:type="pct"/>
            <w:vMerge/>
            <w:shd w:val="clear" w:color="auto" w:fill="FFFFFF"/>
            <w:vAlign w:val="center"/>
          </w:tcPr>
          <w:p w14:paraId="72473629" w14:textId="77777777" w:rsidR="001A4706" w:rsidRPr="00B57B36" w:rsidRDefault="001A4706" w:rsidP="00014FA9">
            <w:pPr>
              <w:pStyle w:val="CETBodytext"/>
              <w:ind w:right="-1"/>
              <w:jc w:val="center"/>
              <w:rPr>
                <w:rFonts w:cs="Arial"/>
                <w:szCs w:val="18"/>
                <w:lang w:val="en-GB"/>
              </w:rPr>
            </w:pPr>
          </w:p>
        </w:tc>
      </w:tr>
      <w:tr w:rsidR="001A4706" w:rsidRPr="00B57B36" w14:paraId="2E49CF70" w14:textId="77777777" w:rsidTr="009A7F58">
        <w:tc>
          <w:tcPr>
            <w:tcW w:w="727" w:type="pct"/>
            <w:vMerge/>
            <w:shd w:val="clear" w:color="auto" w:fill="FFFFFF"/>
            <w:vAlign w:val="center"/>
          </w:tcPr>
          <w:p w14:paraId="5CD06660" w14:textId="77777777" w:rsidR="001A4706" w:rsidRPr="00B57B36" w:rsidRDefault="001A4706" w:rsidP="00014FA9">
            <w:pPr>
              <w:pStyle w:val="CETBodytext"/>
              <w:ind w:right="-1"/>
              <w:jc w:val="center"/>
              <w:rPr>
                <w:rFonts w:cs="Arial"/>
                <w:szCs w:val="18"/>
                <w:lang w:val="en-GB"/>
              </w:rPr>
            </w:pPr>
          </w:p>
        </w:tc>
        <w:tc>
          <w:tcPr>
            <w:tcW w:w="564" w:type="pct"/>
            <w:shd w:val="clear" w:color="auto" w:fill="FFFFFF"/>
          </w:tcPr>
          <w:p w14:paraId="41F45AD3" w14:textId="1C3E6F8B" w:rsidR="001A4706" w:rsidRDefault="001A4706" w:rsidP="00014FA9">
            <w:pPr>
              <w:pStyle w:val="CETBodytext"/>
              <w:ind w:right="-1"/>
              <w:jc w:val="center"/>
              <w:rPr>
                <w:rFonts w:cs="Arial"/>
                <w:szCs w:val="18"/>
                <w:lang w:val="en-GB"/>
              </w:rPr>
            </w:pPr>
            <w:r>
              <w:rPr>
                <w:rFonts w:cs="Arial"/>
                <w:szCs w:val="18"/>
                <w:lang w:val="en-GB"/>
              </w:rPr>
              <w:t>TP-900</w:t>
            </w:r>
          </w:p>
        </w:tc>
        <w:tc>
          <w:tcPr>
            <w:tcW w:w="646" w:type="pct"/>
            <w:shd w:val="clear" w:color="auto" w:fill="FFFFFF"/>
            <w:vAlign w:val="center"/>
          </w:tcPr>
          <w:p w14:paraId="564D2459" w14:textId="181085C4" w:rsidR="001A4706" w:rsidRDefault="001A4706" w:rsidP="00014FA9">
            <w:pPr>
              <w:pStyle w:val="CETBodytext"/>
              <w:ind w:right="-1"/>
              <w:jc w:val="center"/>
              <w:rPr>
                <w:rFonts w:cs="Arial"/>
                <w:szCs w:val="18"/>
                <w:lang w:val="en-GB"/>
              </w:rPr>
            </w:pPr>
            <w:r>
              <w:rPr>
                <w:rFonts w:cs="Arial"/>
                <w:szCs w:val="18"/>
                <w:lang w:val="en-GB"/>
              </w:rPr>
              <w:t>0</w:t>
            </w:r>
          </w:p>
        </w:tc>
        <w:tc>
          <w:tcPr>
            <w:tcW w:w="1290" w:type="pct"/>
            <w:vMerge/>
            <w:shd w:val="clear" w:color="auto" w:fill="FFFFFF"/>
            <w:vAlign w:val="center"/>
          </w:tcPr>
          <w:p w14:paraId="6878400C" w14:textId="77777777" w:rsidR="001A4706" w:rsidRPr="00B57B36" w:rsidRDefault="001A4706" w:rsidP="00014FA9">
            <w:pPr>
              <w:pStyle w:val="CETBodytext"/>
              <w:ind w:right="-1"/>
              <w:jc w:val="center"/>
              <w:rPr>
                <w:rFonts w:cs="Arial"/>
                <w:szCs w:val="18"/>
                <w:lang w:val="en-GB"/>
              </w:rPr>
            </w:pPr>
          </w:p>
        </w:tc>
        <w:tc>
          <w:tcPr>
            <w:tcW w:w="1773" w:type="pct"/>
            <w:vMerge/>
            <w:shd w:val="clear" w:color="auto" w:fill="FFFFFF"/>
            <w:vAlign w:val="center"/>
          </w:tcPr>
          <w:p w14:paraId="683E04C4" w14:textId="77777777" w:rsidR="001A4706" w:rsidRPr="00B57B36" w:rsidRDefault="001A4706" w:rsidP="00014FA9">
            <w:pPr>
              <w:pStyle w:val="CETBodytext"/>
              <w:ind w:right="-1"/>
              <w:jc w:val="center"/>
              <w:rPr>
                <w:rFonts w:cs="Arial"/>
                <w:szCs w:val="18"/>
                <w:lang w:val="en-GB"/>
              </w:rPr>
            </w:pPr>
          </w:p>
        </w:tc>
      </w:tr>
      <w:tr w:rsidR="001A4706" w:rsidRPr="00B57B36" w14:paraId="66896537" w14:textId="77777777" w:rsidTr="009A7F58">
        <w:tc>
          <w:tcPr>
            <w:tcW w:w="727" w:type="pct"/>
            <w:vMerge w:val="restart"/>
            <w:shd w:val="clear" w:color="auto" w:fill="FFFFFF"/>
            <w:vAlign w:val="center"/>
          </w:tcPr>
          <w:p w14:paraId="60A7B54E" w14:textId="133FF890" w:rsidR="001A4706" w:rsidRPr="003B1383" w:rsidRDefault="001A4706" w:rsidP="00014FA9">
            <w:pPr>
              <w:pStyle w:val="CETBodytext"/>
              <w:ind w:right="-1"/>
              <w:jc w:val="center"/>
              <w:rPr>
                <w:rFonts w:cs="Arial"/>
                <w:szCs w:val="18"/>
                <w:vertAlign w:val="superscript"/>
                <w:lang w:val="en-GB"/>
              </w:rPr>
            </w:pPr>
            <w:r>
              <w:rPr>
                <w:rFonts w:cs="Arial"/>
                <w:szCs w:val="18"/>
                <w:lang w:val="en-GB"/>
              </w:rPr>
              <w:t>Pb</w:t>
            </w:r>
            <w:r w:rsidR="003B1383">
              <w:rPr>
                <w:rFonts w:cs="Arial"/>
                <w:szCs w:val="18"/>
                <w:vertAlign w:val="superscript"/>
                <w:lang w:val="en-GB"/>
              </w:rPr>
              <w:t>2+</w:t>
            </w:r>
          </w:p>
        </w:tc>
        <w:tc>
          <w:tcPr>
            <w:tcW w:w="564" w:type="pct"/>
            <w:shd w:val="clear" w:color="auto" w:fill="FFFFFF"/>
          </w:tcPr>
          <w:p w14:paraId="1CE36554" w14:textId="532ABD9F" w:rsidR="001A4706" w:rsidRDefault="001A4706" w:rsidP="00014FA9">
            <w:pPr>
              <w:pStyle w:val="CETBodytext"/>
              <w:ind w:right="-1"/>
              <w:jc w:val="center"/>
              <w:rPr>
                <w:rFonts w:cs="Arial"/>
                <w:szCs w:val="18"/>
                <w:lang w:val="en-GB"/>
              </w:rPr>
            </w:pPr>
            <w:r>
              <w:rPr>
                <w:lang w:val="en-GB"/>
              </w:rPr>
              <w:t>SCG-500</w:t>
            </w:r>
          </w:p>
        </w:tc>
        <w:tc>
          <w:tcPr>
            <w:tcW w:w="646" w:type="pct"/>
            <w:shd w:val="clear" w:color="auto" w:fill="FFFFFF"/>
            <w:vAlign w:val="center"/>
          </w:tcPr>
          <w:p w14:paraId="5AB301E2" w14:textId="4CE85E95" w:rsidR="001A4706" w:rsidRDefault="001A4706" w:rsidP="00014FA9">
            <w:pPr>
              <w:pStyle w:val="CETBodytext"/>
              <w:ind w:right="-1"/>
              <w:jc w:val="center"/>
              <w:rPr>
                <w:rFonts w:cs="Arial"/>
                <w:szCs w:val="18"/>
                <w:lang w:val="en-GB"/>
              </w:rPr>
            </w:pPr>
            <w:r>
              <w:rPr>
                <w:rFonts w:cs="Arial"/>
                <w:szCs w:val="18"/>
                <w:lang w:val="en-GB"/>
              </w:rPr>
              <w:t>0</w:t>
            </w:r>
          </w:p>
        </w:tc>
        <w:tc>
          <w:tcPr>
            <w:tcW w:w="1290" w:type="pct"/>
            <w:vMerge w:val="restart"/>
            <w:shd w:val="clear" w:color="auto" w:fill="FFFFFF"/>
            <w:vAlign w:val="center"/>
          </w:tcPr>
          <w:p w14:paraId="205C280D" w14:textId="44A95187" w:rsidR="001A4706" w:rsidRPr="00B57B36" w:rsidRDefault="001A4706" w:rsidP="00014FA9">
            <w:pPr>
              <w:pStyle w:val="CETBodytext"/>
              <w:ind w:right="-1"/>
              <w:jc w:val="center"/>
              <w:rPr>
                <w:rFonts w:cs="Arial"/>
                <w:szCs w:val="18"/>
                <w:lang w:val="en-GB"/>
              </w:rPr>
            </w:pPr>
            <w:r>
              <w:rPr>
                <w:rFonts w:cs="Arial"/>
                <w:szCs w:val="18"/>
                <w:lang w:val="en-GB"/>
              </w:rPr>
              <w:t>35</w:t>
            </w:r>
            <w:r w:rsidR="00AA17EA">
              <w:rPr>
                <w:rFonts w:cs="Arial"/>
                <w:szCs w:val="18"/>
                <w:lang w:val="en-GB"/>
              </w:rPr>
              <w:t>0</w:t>
            </w:r>
            <w:r w:rsidR="00F5478B">
              <w:rPr>
                <w:rFonts w:cs="Arial"/>
                <w:szCs w:val="18"/>
                <w:lang w:val="en-GB"/>
              </w:rPr>
              <w:t>.</w:t>
            </w:r>
            <w:r w:rsidR="00AA17EA">
              <w:rPr>
                <w:rFonts w:cs="Arial"/>
                <w:szCs w:val="18"/>
                <w:lang w:val="en-GB"/>
              </w:rPr>
              <w:t>3</w:t>
            </w:r>
          </w:p>
        </w:tc>
        <w:sdt>
          <w:sdtPr>
            <w:rPr>
              <w:rFonts w:cs="Arial"/>
              <w:color w:val="000000"/>
              <w:szCs w:val="18"/>
              <w:lang w:val="en-GB"/>
            </w:rPr>
            <w:tag w:val="MENDELEY_CITATION_v3_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"/>
            <w:id w:val="-791669665"/>
            <w:placeholder>
              <w:docPart w:val="DefaultPlaceholder_-1854013440"/>
            </w:placeholder>
          </w:sdtPr>
          <w:sdtContent>
            <w:tc>
              <w:tcPr>
                <w:tcW w:w="1773" w:type="pct"/>
                <w:vMerge w:val="restart"/>
                <w:shd w:val="clear" w:color="auto" w:fill="FFFFFF"/>
                <w:vAlign w:val="center"/>
              </w:tcPr>
              <w:p w14:paraId="0A793240" w14:textId="4998C49F" w:rsidR="001A4706" w:rsidRPr="00B57B36" w:rsidRDefault="005F0D70" w:rsidP="00014FA9">
                <w:pPr>
                  <w:pStyle w:val="CETBodytext"/>
                  <w:ind w:right="-1"/>
                  <w:jc w:val="center"/>
                  <w:rPr>
                    <w:rFonts w:cs="Arial"/>
                    <w:szCs w:val="18"/>
                    <w:lang w:val="en-GB"/>
                  </w:rPr>
                </w:pPr>
                <w:r w:rsidRPr="005F0D70">
                  <w:rPr>
                    <w:rFonts w:cs="Arial"/>
                    <w:color w:val="000000"/>
                    <w:szCs w:val="18"/>
                    <w:lang w:val="en-GB"/>
                  </w:rPr>
                  <w:t>(Kadam et al., 2022)</w:t>
                </w:r>
              </w:p>
            </w:tc>
          </w:sdtContent>
        </w:sdt>
      </w:tr>
      <w:tr w:rsidR="001A4706" w:rsidRPr="00B57B36" w14:paraId="34F12E70" w14:textId="77777777" w:rsidTr="009A7F58">
        <w:tc>
          <w:tcPr>
            <w:tcW w:w="727" w:type="pct"/>
            <w:vMerge/>
            <w:shd w:val="clear" w:color="auto" w:fill="FFFFFF"/>
            <w:vAlign w:val="center"/>
          </w:tcPr>
          <w:p w14:paraId="3FFCD003" w14:textId="77777777" w:rsidR="001A4706" w:rsidRPr="00B57B36" w:rsidRDefault="001A4706" w:rsidP="00014FA9">
            <w:pPr>
              <w:pStyle w:val="CETBodytext"/>
              <w:ind w:right="-1"/>
              <w:jc w:val="center"/>
              <w:rPr>
                <w:rFonts w:cs="Arial"/>
                <w:szCs w:val="18"/>
                <w:lang w:val="en-GB"/>
              </w:rPr>
            </w:pPr>
          </w:p>
        </w:tc>
        <w:tc>
          <w:tcPr>
            <w:tcW w:w="564" w:type="pct"/>
            <w:shd w:val="clear" w:color="auto" w:fill="FFFFFF"/>
          </w:tcPr>
          <w:p w14:paraId="60C4E58B" w14:textId="29B96C55" w:rsidR="001A4706" w:rsidRDefault="001A4706" w:rsidP="00014FA9">
            <w:pPr>
              <w:pStyle w:val="CETBodytext"/>
              <w:ind w:right="-1"/>
              <w:jc w:val="center"/>
              <w:rPr>
                <w:rFonts w:cs="Arial"/>
                <w:szCs w:val="18"/>
                <w:lang w:val="en-GB"/>
              </w:rPr>
            </w:pPr>
            <w:r>
              <w:rPr>
                <w:rFonts w:cs="Arial"/>
                <w:szCs w:val="18"/>
                <w:lang w:val="en-GB"/>
              </w:rPr>
              <w:t>TP-500</w:t>
            </w:r>
          </w:p>
        </w:tc>
        <w:tc>
          <w:tcPr>
            <w:tcW w:w="646" w:type="pct"/>
            <w:shd w:val="clear" w:color="auto" w:fill="FFFFFF"/>
            <w:vAlign w:val="center"/>
          </w:tcPr>
          <w:p w14:paraId="7CA6F942" w14:textId="098164AE" w:rsidR="001A4706" w:rsidRDefault="001A4706" w:rsidP="00014FA9">
            <w:pPr>
              <w:pStyle w:val="CETBodytext"/>
              <w:ind w:right="-1"/>
              <w:jc w:val="center"/>
              <w:rPr>
                <w:rFonts w:cs="Arial"/>
                <w:szCs w:val="18"/>
                <w:lang w:val="en-GB"/>
              </w:rPr>
            </w:pPr>
            <w:r>
              <w:rPr>
                <w:rFonts w:cs="Arial"/>
                <w:szCs w:val="18"/>
                <w:lang w:val="en-GB"/>
              </w:rPr>
              <w:t>0</w:t>
            </w:r>
          </w:p>
        </w:tc>
        <w:tc>
          <w:tcPr>
            <w:tcW w:w="1290" w:type="pct"/>
            <w:vMerge/>
            <w:shd w:val="clear" w:color="auto" w:fill="FFFFFF"/>
            <w:vAlign w:val="center"/>
          </w:tcPr>
          <w:p w14:paraId="2CB54B2B" w14:textId="77777777" w:rsidR="001A4706" w:rsidRPr="00B57B36" w:rsidRDefault="001A4706" w:rsidP="00014FA9">
            <w:pPr>
              <w:pStyle w:val="CETBodytext"/>
              <w:ind w:right="-1"/>
              <w:jc w:val="center"/>
              <w:rPr>
                <w:rFonts w:cs="Arial"/>
                <w:szCs w:val="18"/>
                <w:lang w:val="en-GB"/>
              </w:rPr>
            </w:pPr>
          </w:p>
        </w:tc>
        <w:tc>
          <w:tcPr>
            <w:tcW w:w="1773" w:type="pct"/>
            <w:vMerge/>
            <w:shd w:val="clear" w:color="auto" w:fill="FFFFFF"/>
            <w:vAlign w:val="center"/>
          </w:tcPr>
          <w:p w14:paraId="42118391" w14:textId="77777777" w:rsidR="001A4706" w:rsidRPr="00B57B36" w:rsidRDefault="001A4706" w:rsidP="00014FA9">
            <w:pPr>
              <w:pStyle w:val="CETBodytext"/>
              <w:ind w:right="-1"/>
              <w:jc w:val="center"/>
              <w:rPr>
                <w:rFonts w:cs="Arial"/>
                <w:szCs w:val="18"/>
                <w:lang w:val="en-GB"/>
              </w:rPr>
            </w:pPr>
          </w:p>
        </w:tc>
      </w:tr>
      <w:tr w:rsidR="001A4706" w:rsidRPr="00B57B36" w14:paraId="5678CE3C" w14:textId="77777777" w:rsidTr="009A7F58">
        <w:tc>
          <w:tcPr>
            <w:tcW w:w="727" w:type="pct"/>
            <w:vMerge/>
            <w:shd w:val="clear" w:color="auto" w:fill="FFFFFF"/>
            <w:vAlign w:val="center"/>
          </w:tcPr>
          <w:p w14:paraId="238F5395" w14:textId="77777777" w:rsidR="001A4706" w:rsidRPr="00B57B36" w:rsidRDefault="001A4706" w:rsidP="00014FA9">
            <w:pPr>
              <w:pStyle w:val="CETBodytext"/>
              <w:ind w:right="-1"/>
              <w:jc w:val="center"/>
              <w:rPr>
                <w:rFonts w:cs="Arial"/>
                <w:szCs w:val="18"/>
                <w:lang w:val="en-GB"/>
              </w:rPr>
            </w:pPr>
          </w:p>
        </w:tc>
        <w:tc>
          <w:tcPr>
            <w:tcW w:w="564" w:type="pct"/>
            <w:shd w:val="clear" w:color="auto" w:fill="FFFFFF"/>
          </w:tcPr>
          <w:p w14:paraId="4C864D40" w14:textId="497DBE1D" w:rsidR="001A4706" w:rsidRDefault="001A4706" w:rsidP="00014FA9">
            <w:pPr>
              <w:pStyle w:val="CETBodytext"/>
              <w:ind w:right="-1"/>
              <w:jc w:val="center"/>
              <w:rPr>
                <w:rFonts w:cs="Arial"/>
                <w:szCs w:val="18"/>
                <w:lang w:val="en-GB"/>
              </w:rPr>
            </w:pPr>
            <w:r>
              <w:rPr>
                <w:rFonts w:cs="Arial"/>
                <w:szCs w:val="18"/>
                <w:lang w:val="en-GB"/>
              </w:rPr>
              <w:t>TP-700</w:t>
            </w:r>
          </w:p>
        </w:tc>
        <w:tc>
          <w:tcPr>
            <w:tcW w:w="646" w:type="pct"/>
            <w:shd w:val="clear" w:color="auto" w:fill="FFFFFF"/>
            <w:vAlign w:val="center"/>
          </w:tcPr>
          <w:p w14:paraId="574E6D16" w14:textId="61FB2E08" w:rsidR="001A4706" w:rsidRDefault="001A4706" w:rsidP="00014FA9">
            <w:pPr>
              <w:pStyle w:val="CETBodytext"/>
              <w:ind w:right="-1"/>
              <w:jc w:val="center"/>
              <w:rPr>
                <w:rFonts w:cs="Arial"/>
                <w:szCs w:val="18"/>
                <w:lang w:val="en-GB"/>
              </w:rPr>
            </w:pPr>
            <w:r>
              <w:rPr>
                <w:rFonts w:cs="Arial"/>
                <w:szCs w:val="18"/>
                <w:lang w:val="en-GB"/>
              </w:rPr>
              <w:t>0</w:t>
            </w:r>
            <w:r w:rsidR="00F5478B">
              <w:rPr>
                <w:rFonts w:cs="Arial"/>
                <w:szCs w:val="18"/>
                <w:lang w:val="en-GB"/>
              </w:rPr>
              <w:t>.</w:t>
            </w:r>
            <w:r>
              <w:rPr>
                <w:rFonts w:cs="Arial"/>
                <w:szCs w:val="18"/>
                <w:lang w:val="en-GB"/>
              </w:rPr>
              <w:t>22</w:t>
            </w:r>
          </w:p>
        </w:tc>
        <w:tc>
          <w:tcPr>
            <w:tcW w:w="1290" w:type="pct"/>
            <w:vMerge/>
            <w:shd w:val="clear" w:color="auto" w:fill="FFFFFF"/>
            <w:vAlign w:val="center"/>
          </w:tcPr>
          <w:p w14:paraId="76BBC0DA" w14:textId="77777777" w:rsidR="001A4706" w:rsidRPr="00B57B36" w:rsidRDefault="001A4706" w:rsidP="00014FA9">
            <w:pPr>
              <w:pStyle w:val="CETBodytext"/>
              <w:ind w:right="-1"/>
              <w:jc w:val="center"/>
              <w:rPr>
                <w:rFonts w:cs="Arial"/>
                <w:szCs w:val="18"/>
                <w:lang w:val="en-GB"/>
              </w:rPr>
            </w:pPr>
          </w:p>
        </w:tc>
        <w:tc>
          <w:tcPr>
            <w:tcW w:w="1773" w:type="pct"/>
            <w:vMerge/>
            <w:shd w:val="clear" w:color="auto" w:fill="FFFFFF"/>
            <w:vAlign w:val="center"/>
          </w:tcPr>
          <w:p w14:paraId="1BE25F90" w14:textId="77777777" w:rsidR="001A4706" w:rsidRPr="00B57B36" w:rsidRDefault="001A4706" w:rsidP="00014FA9">
            <w:pPr>
              <w:pStyle w:val="CETBodytext"/>
              <w:ind w:right="-1"/>
              <w:jc w:val="center"/>
              <w:rPr>
                <w:rFonts w:cs="Arial"/>
                <w:szCs w:val="18"/>
                <w:lang w:val="en-GB"/>
              </w:rPr>
            </w:pPr>
          </w:p>
        </w:tc>
      </w:tr>
      <w:tr w:rsidR="001A4706" w:rsidRPr="00B57B36" w14:paraId="674799C0" w14:textId="77777777" w:rsidTr="009A7F58">
        <w:tc>
          <w:tcPr>
            <w:tcW w:w="727" w:type="pct"/>
            <w:vMerge/>
            <w:shd w:val="clear" w:color="auto" w:fill="FFFFFF"/>
            <w:vAlign w:val="center"/>
          </w:tcPr>
          <w:p w14:paraId="24A2372C" w14:textId="77777777" w:rsidR="001A4706" w:rsidRPr="00B57B36" w:rsidRDefault="001A4706" w:rsidP="00014FA9">
            <w:pPr>
              <w:pStyle w:val="CETBodytext"/>
              <w:ind w:right="-1"/>
              <w:jc w:val="center"/>
              <w:rPr>
                <w:rFonts w:cs="Arial"/>
                <w:szCs w:val="18"/>
                <w:lang w:val="en-GB"/>
              </w:rPr>
            </w:pPr>
          </w:p>
        </w:tc>
        <w:tc>
          <w:tcPr>
            <w:tcW w:w="564" w:type="pct"/>
            <w:shd w:val="clear" w:color="auto" w:fill="FFFFFF"/>
          </w:tcPr>
          <w:p w14:paraId="7E2B6002" w14:textId="77F33214" w:rsidR="001A4706" w:rsidRDefault="001A4706" w:rsidP="00014FA9">
            <w:pPr>
              <w:pStyle w:val="CETBodytext"/>
              <w:ind w:right="-1"/>
              <w:jc w:val="center"/>
              <w:rPr>
                <w:rFonts w:cs="Arial"/>
                <w:szCs w:val="18"/>
                <w:lang w:val="en-GB"/>
              </w:rPr>
            </w:pPr>
            <w:r>
              <w:rPr>
                <w:rFonts w:cs="Arial"/>
                <w:szCs w:val="18"/>
                <w:lang w:val="en-GB"/>
              </w:rPr>
              <w:t>TP-900</w:t>
            </w:r>
          </w:p>
        </w:tc>
        <w:tc>
          <w:tcPr>
            <w:tcW w:w="646" w:type="pct"/>
            <w:shd w:val="clear" w:color="auto" w:fill="FFFFFF"/>
            <w:vAlign w:val="center"/>
          </w:tcPr>
          <w:p w14:paraId="610F2270" w14:textId="7C21C3A4" w:rsidR="001A4706" w:rsidRDefault="001A4706" w:rsidP="00014FA9">
            <w:pPr>
              <w:pStyle w:val="CETBodytext"/>
              <w:ind w:right="-1"/>
              <w:jc w:val="center"/>
              <w:rPr>
                <w:rFonts w:cs="Arial"/>
                <w:szCs w:val="18"/>
                <w:lang w:val="en-GB"/>
              </w:rPr>
            </w:pPr>
            <w:r>
              <w:rPr>
                <w:rFonts w:cs="Arial"/>
                <w:szCs w:val="18"/>
                <w:lang w:val="en-GB"/>
              </w:rPr>
              <w:t>0</w:t>
            </w:r>
            <w:r w:rsidR="00F5478B">
              <w:rPr>
                <w:rFonts w:cs="Arial"/>
                <w:szCs w:val="18"/>
                <w:lang w:val="en-GB"/>
              </w:rPr>
              <w:t>.</w:t>
            </w:r>
            <w:r>
              <w:rPr>
                <w:rFonts w:cs="Arial"/>
                <w:szCs w:val="18"/>
                <w:lang w:val="en-GB"/>
              </w:rPr>
              <w:t>64</w:t>
            </w:r>
          </w:p>
        </w:tc>
        <w:tc>
          <w:tcPr>
            <w:tcW w:w="1290" w:type="pct"/>
            <w:vMerge/>
            <w:shd w:val="clear" w:color="auto" w:fill="FFFFFF"/>
            <w:vAlign w:val="center"/>
          </w:tcPr>
          <w:p w14:paraId="1CA90A51" w14:textId="77777777" w:rsidR="001A4706" w:rsidRPr="00B57B36" w:rsidRDefault="001A4706" w:rsidP="00014FA9">
            <w:pPr>
              <w:pStyle w:val="CETBodytext"/>
              <w:ind w:right="-1"/>
              <w:jc w:val="center"/>
              <w:rPr>
                <w:rFonts w:cs="Arial"/>
                <w:szCs w:val="18"/>
                <w:lang w:val="en-GB"/>
              </w:rPr>
            </w:pPr>
          </w:p>
        </w:tc>
        <w:tc>
          <w:tcPr>
            <w:tcW w:w="1773" w:type="pct"/>
            <w:vMerge/>
            <w:shd w:val="clear" w:color="auto" w:fill="FFFFFF"/>
            <w:vAlign w:val="center"/>
          </w:tcPr>
          <w:p w14:paraId="1BFD80EC" w14:textId="77777777" w:rsidR="001A4706" w:rsidRPr="00B57B36" w:rsidRDefault="001A4706" w:rsidP="00014FA9">
            <w:pPr>
              <w:pStyle w:val="CETBodytext"/>
              <w:ind w:right="-1"/>
              <w:jc w:val="center"/>
              <w:rPr>
                <w:rFonts w:cs="Arial"/>
                <w:szCs w:val="18"/>
                <w:lang w:val="en-GB"/>
              </w:rPr>
            </w:pPr>
          </w:p>
        </w:tc>
      </w:tr>
      <w:tr w:rsidR="001A4706" w:rsidRPr="00B57B36" w14:paraId="301A8800" w14:textId="77777777" w:rsidTr="009A7F58">
        <w:tc>
          <w:tcPr>
            <w:tcW w:w="727" w:type="pct"/>
            <w:vMerge w:val="restart"/>
            <w:shd w:val="clear" w:color="auto" w:fill="FFFFFF"/>
            <w:vAlign w:val="center"/>
          </w:tcPr>
          <w:p w14:paraId="40E2478C" w14:textId="51ACCB02" w:rsidR="001A4706" w:rsidRPr="003B1383" w:rsidRDefault="001A4706" w:rsidP="00014FA9">
            <w:pPr>
              <w:pStyle w:val="CETBodytext"/>
              <w:ind w:right="-1"/>
              <w:jc w:val="center"/>
              <w:rPr>
                <w:rFonts w:cs="Arial"/>
                <w:szCs w:val="18"/>
                <w:vertAlign w:val="superscript"/>
                <w:lang w:val="en-GB"/>
              </w:rPr>
            </w:pPr>
            <w:r>
              <w:rPr>
                <w:rFonts w:cs="Arial"/>
                <w:szCs w:val="18"/>
                <w:lang w:val="en-GB"/>
              </w:rPr>
              <w:t>Zn</w:t>
            </w:r>
            <w:r w:rsidR="003B1383" w:rsidRPr="003B1383">
              <w:rPr>
                <w:rFonts w:cs="Arial"/>
                <w:szCs w:val="18"/>
                <w:vertAlign w:val="superscript"/>
                <w:lang w:val="en-GB"/>
              </w:rPr>
              <w:t>2+</w:t>
            </w:r>
          </w:p>
        </w:tc>
        <w:tc>
          <w:tcPr>
            <w:tcW w:w="564" w:type="pct"/>
            <w:shd w:val="clear" w:color="auto" w:fill="FFFFFF"/>
          </w:tcPr>
          <w:p w14:paraId="43DF95CF" w14:textId="74B42B62" w:rsidR="001A4706" w:rsidRDefault="001A4706" w:rsidP="00014FA9">
            <w:pPr>
              <w:pStyle w:val="CETBodytext"/>
              <w:ind w:right="-1"/>
              <w:jc w:val="center"/>
              <w:rPr>
                <w:rFonts w:cs="Arial"/>
                <w:szCs w:val="18"/>
                <w:lang w:val="en-GB"/>
              </w:rPr>
            </w:pPr>
            <w:r>
              <w:rPr>
                <w:lang w:val="en-GB"/>
              </w:rPr>
              <w:t>SCG-500</w:t>
            </w:r>
          </w:p>
        </w:tc>
        <w:tc>
          <w:tcPr>
            <w:tcW w:w="646" w:type="pct"/>
            <w:shd w:val="clear" w:color="auto" w:fill="FFFFFF"/>
            <w:vAlign w:val="center"/>
          </w:tcPr>
          <w:p w14:paraId="7382F8C4" w14:textId="4201C381" w:rsidR="001A4706" w:rsidRDefault="001A4706" w:rsidP="00014FA9">
            <w:pPr>
              <w:pStyle w:val="CETBodytext"/>
              <w:ind w:right="-1"/>
              <w:jc w:val="center"/>
              <w:rPr>
                <w:rFonts w:cs="Arial"/>
                <w:szCs w:val="18"/>
                <w:lang w:val="en-GB"/>
              </w:rPr>
            </w:pPr>
            <w:r>
              <w:rPr>
                <w:rFonts w:cs="Arial"/>
                <w:szCs w:val="18"/>
                <w:lang w:val="en-GB"/>
              </w:rPr>
              <w:t>0</w:t>
            </w:r>
            <w:r w:rsidR="00F5478B">
              <w:rPr>
                <w:rFonts w:cs="Arial"/>
                <w:szCs w:val="18"/>
                <w:lang w:val="en-GB"/>
              </w:rPr>
              <w:t>.</w:t>
            </w:r>
            <w:r>
              <w:rPr>
                <w:rFonts w:cs="Arial"/>
                <w:szCs w:val="18"/>
                <w:lang w:val="en-GB"/>
              </w:rPr>
              <w:t>0</w:t>
            </w:r>
            <w:r w:rsidR="005512F0">
              <w:rPr>
                <w:rFonts w:cs="Arial"/>
                <w:szCs w:val="18"/>
                <w:lang w:val="en-GB"/>
              </w:rPr>
              <w:t>2</w:t>
            </w:r>
          </w:p>
        </w:tc>
        <w:tc>
          <w:tcPr>
            <w:tcW w:w="1290" w:type="pct"/>
            <w:vMerge w:val="restart"/>
            <w:shd w:val="clear" w:color="auto" w:fill="FFFFFF"/>
            <w:vAlign w:val="center"/>
          </w:tcPr>
          <w:p w14:paraId="028E7DDA" w14:textId="485748EF" w:rsidR="001A4706" w:rsidRPr="00B57B36" w:rsidRDefault="001A4706" w:rsidP="00014FA9">
            <w:pPr>
              <w:pStyle w:val="CETBodytext"/>
              <w:ind w:right="-1"/>
              <w:jc w:val="center"/>
              <w:rPr>
                <w:rFonts w:cs="Arial"/>
                <w:szCs w:val="18"/>
                <w:lang w:val="en-GB"/>
              </w:rPr>
            </w:pPr>
            <w:r>
              <w:rPr>
                <w:rFonts w:cs="Arial"/>
                <w:szCs w:val="18"/>
                <w:lang w:val="en-GB"/>
              </w:rPr>
              <w:t>50</w:t>
            </w:r>
          </w:p>
        </w:tc>
        <w:sdt>
          <w:sdtPr>
            <w:rPr>
              <w:rFonts w:cs="Arial"/>
              <w:color w:val="000000"/>
              <w:szCs w:val="18"/>
              <w:lang w:val="en-GB"/>
            </w:rPr>
            <w:tag w:val="MENDELEY_CITATION_v3_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"/>
            <w:id w:val="-1652752510"/>
            <w:placeholder>
              <w:docPart w:val="DefaultPlaceholder_-1854013440"/>
            </w:placeholder>
          </w:sdtPr>
          <w:sdtContent>
            <w:tc>
              <w:tcPr>
                <w:tcW w:w="1773" w:type="pct"/>
                <w:vMerge w:val="restart"/>
                <w:shd w:val="clear" w:color="auto" w:fill="FFFFFF"/>
                <w:vAlign w:val="center"/>
              </w:tcPr>
              <w:p w14:paraId="2F7ED768" w14:textId="60D89F2B" w:rsidR="001A4706" w:rsidRPr="00B57B36" w:rsidRDefault="005F0D70" w:rsidP="00014FA9">
                <w:pPr>
                  <w:pStyle w:val="CETBodytext"/>
                  <w:ind w:right="-1"/>
                  <w:jc w:val="center"/>
                  <w:rPr>
                    <w:rFonts w:cs="Arial"/>
                    <w:szCs w:val="18"/>
                    <w:lang w:val="en-GB"/>
                  </w:rPr>
                </w:pPr>
                <w:r w:rsidRPr="005F0D70">
                  <w:rPr>
                    <w:rFonts w:cs="Arial"/>
                    <w:color w:val="000000"/>
                    <w:szCs w:val="18"/>
                    <w:lang w:val="en-GB"/>
                  </w:rPr>
                  <w:t>(Kadam et al., 2022)</w:t>
                </w:r>
              </w:p>
            </w:tc>
          </w:sdtContent>
        </w:sdt>
      </w:tr>
      <w:tr w:rsidR="001A4706" w:rsidRPr="00B57B36" w14:paraId="2672CFA6" w14:textId="77777777" w:rsidTr="009A7F58">
        <w:tc>
          <w:tcPr>
            <w:tcW w:w="727" w:type="pct"/>
            <w:vMerge/>
            <w:shd w:val="clear" w:color="auto" w:fill="FFFFFF"/>
            <w:vAlign w:val="center"/>
          </w:tcPr>
          <w:p w14:paraId="04E042F8" w14:textId="77777777" w:rsidR="001A4706" w:rsidRPr="00B57B36" w:rsidRDefault="001A4706" w:rsidP="00014FA9">
            <w:pPr>
              <w:pStyle w:val="CETBodytext"/>
              <w:ind w:right="-1"/>
              <w:jc w:val="center"/>
              <w:rPr>
                <w:rFonts w:cs="Arial"/>
                <w:szCs w:val="18"/>
                <w:lang w:val="en-GB"/>
              </w:rPr>
            </w:pPr>
          </w:p>
        </w:tc>
        <w:tc>
          <w:tcPr>
            <w:tcW w:w="564" w:type="pct"/>
            <w:shd w:val="clear" w:color="auto" w:fill="FFFFFF"/>
          </w:tcPr>
          <w:p w14:paraId="2A75C4D7" w14:textId="3EF135A1" w:rsidR="001A4706" w:rsidRDefault="001A4706" w:rsidP="00014FA9">
            <w:pPr>
              <w:pStyle w:val="CETBodytext"/>
              <w:ind w:right="-1"/>
              <w:jc w:val="center"/>
              <w:rPr>
                <w:rFonts w:cs="Arial"/>
                <w:szCs w:val="18"/>
                <w:lang w:val="en-GB"/>
              </w:rPr>
            </w:pPr>
            <w:r>
              <w:rPr>
                <w:rFonts w:cs="Arial"/>
                <w:szCs w:val="18"/>
                <w:lang w:val="en-GB"/>
              </w:rPr>
              <w:t>TP-500</w:t>
            </w:r>
          </w:p>
        </w:tc>
        <w:tc>
          <w:tcPr>
            <w:tcW w:w="646" w:type="pct"/>
            <w:shd w:val="clear" w:color="auto" w:fill="FFFFFF"/>
            <w:vAlign w:val="center"/>
          </w:tcPr>
          <w:p w14:paraId="030D2E0C" w14:textId="495CC145" w:rsidR="001A4706" w:rsidRDefault="001A4706" w:rsidP="00014FA9">
            <w:pPr>
              <w:pStyle w:val="CETBodytext"/>
              <w:ind w:right="-1"/>
              <w:jc w:val="center"/>
              <w:rPr>
                <w:rFonts w:cs="Arial"/>
                <w:szCs w:val="18"/>
                <w:lang w:val="en-GB"/>
              </w:rPr>
            </w:pPr>
            <w:r>
              <w:rPr>
                <w:rFonts w:cs="Arial"/>
                <w:szCs w:val="18"/>
                <w:lang w:val="en-GB"/>
              </w:rPr>
              <w:t>0</w:t>
            </w:r>
            <w:r w:rsidR="00F5478B">
              <w:rPr>
                <w:rFonts w:cs="Arial"/>
                <w:szCs w:val="18"/>
                <w:lang w:val="en-GB"/>
              </w:rPr>
              <w:t>.</w:t>
            </w:r>
            <w:r>
              <w:rPr>
                <w:rFonts w:cs="Arial"/>
                <w:szCs w:val="18"/>
                <w:lang w:val="en-GB"/>
              </w:rPr>
              <w:t>0</w:t>
            </w:r>
            <w:r w:rsidR="005512F0">
              <w:rPr>
                <w:rFonts w:cs="Arial"/>
                <w:szCs w:val="18"/>
                <w:lang w:val="en-GB"/>
              </w:rPr>
              <w:t>3</w:t>
            </w:r>
          </w:p>
        </w:tc>
        <w:tc>
          <w:tcPr>
            <w:tcW w:w="1290" w:type="pct"/>
            <w:vMerge/>
            <w:shd w:val="clear" w:color="auto" w:fill="FFFFFF"/>
            <w:vAlign w:val="center"/>
          </w:tcPr>
          <w:p w14:paraId="2BAC2FD8" w14:textId="77777777" w:rsidR="001A4706" w:rsidRPr="00B57B36" w:rsidRDefault="001A4706" w:rsidP="00014FA9">
            <w:pPr>
              <w:pStyle w:val="CETBodytext"/>
              <w:ind w:right="-1"/>
              <w:jc w:val="center"/>
              <w:rPr>
                <w:rFonts w:cs="Arial"/>
                <w:szCs w:val="18"/>
                <w:lang w:val="en-GB"/>
              </w:rPr>
            </w:pPr>
          </w:p>
        </w:tc>
        <w:tc>
          <w:tcPr>
            <w:tcW w:w="1773" w:type="pct"/>
            <w:vMerge/>
            <w:shd w:val="clear" w:color="auto" w:fill="FFFFFF"/>
            <w:vAlign w:val="center"/>
          </w:tcPr>
          <w:p w14:paraId="07B42EC4" w14:textId="77777777" w:rsidR="001A4706" w:rsidRPr="00B57B36" w:rsidRDefault="001A4706" w:rsidP="00014FA9">
            <w:pPr>
              <w:pStyle w:val="CETBodytext"/>
              <w:ind w:right="-1"/>
              <w:jc w:val="center"/>
              <w:rPr>
                <w:rFonts w:cs="Arial"/>
                <w:szCs w:val="18"/>
                <w:lang w:val="en-GB"/>
              </w:rPr>
            </w:pPr>
          </w:p>
        </w:tc>
      </w:tr>
      <w:tr w:rsidR="001A4706" w:rsidRPr="00B57B36" w14:paraId="3F4C397E" w14:textId="77777777" w:rsidTr="009A7F58">
        <w:tc>
          <w:tcPr>
            <w:tcW w:w="727" w:type="pct"/>
            <w:vMerge/>
            <w:shd w:val="clear" w:color="auto" w:fill="FFFFFF"/>
            <w:vAlign w:val="center"/>
          </w:tcPr>
          <w:p w14:paraId="1D94E0DC" w14:textId="77777777" w:rsidR="001A4706" w:rsidRPr="00B57B36" w:rsidRDefault="001A4706" w:rsidP="00014FA9">
            <w:pPr>
              <w:pStyle w:val="CETBodytext"/>
              <w:ind w:right="-1"/>
              <w:jc w:val="center"/>
              <w:rPr>
                <w:rFonts w:cs="Arial"/>
                <w:szCs w:val="18"/>
                <w:lang w:val="en-GB"/>
              </w:rPr>
            </w:pPr>
          </w:p>
        </w:tc>
        <w:tc>
          <w:tcPr>
            <w:tcW w:w="564" w:type="pct"/>
            <w:shd w:val="clear" w:color="auto" w:fill="FFFFFF"/>
          </w:tcPr>
          <w:p w14:paraId="73830B52" w14:textId="46A33209" w:rsidR="001A4706" w:rsidRDefault="001A4706" w:rsidP="00014FA9">
            <w:pPr>
              <w:pStyle w:val="CETBodytext"/>
              <w:ind w:right="-1"/>
              <w:jc w:val="center"/>
              <w:rPr>
                <w:rFonts w:cs="Arial"/>
                <w:szCs w:val="18"/>
                <w:lang w:val="en-GB"/>
              </w:rPr>
            </w:pPr>
            <w:r>
              <w:rPr>
                <w:rFonts w:cs="Arial"/>
                <w:szCs w:val="18"/>
                <w:lang w:val="en-GB"/>
              </w:rPr>
              <w:t>TP-700</w:t>
            </w:r>
          </w:p>
        </w:tc>
        <w:tc>
          <w:tcPr>
            <w:tcW w:w="646" w:type="pct"/>
            <w:shd w:val="clear" w:color="auto" w:fill="FFFFFF"/>
            <w:vAlign w:val="center"/>
          </w:tcPr>
          <w:p w14:paraId="055639DC" w14:textId="066F5960" w:rsidR="001A4706" w:rsidRDefault="001A4706" w:rsidP="00014FA9">
            <w:pPr>
              <w:pStyle w:val="CETBodytext"/>
              <w:ind w:right="-1"/>
              <w:jc w:val="center"/>
              <w:rPr>
                <w:rFonts w:cs="Arial"/>
                <w:szCs w:val="18"/>
                <w:lang w:val="en-GB"/>
              </w:rPr>
            </w:pPr>
            <w:r>
              <w:rPr>
                <w:rFonts w:cs="Arial"/>
                <w:szCs w:val="18"/>
                <w:lang w:val="en-GB"/>
              </w:rPr>
              <w:t>0</w:t>
            </w:r>
            <w:r w:rsidR="00F5478B">
              <w:rPr>
                <w:rFonts w:cs="Arial"/>
                <w:szCs w:val="18"/>
                <w:lang w:val="en-GB"/>
              </w:rPr>
              <w:t>.</w:t>
            </w:r>
            <w:r>
              <w:rPr>
                <w:rFonts w:cs="Arial"/>
                <w:szCs w:val="18"/>
                <w:lang w:val="en-GB"/>
              </w:rPr>
              <w:t>04</w:t>
            </w:r>
          </w:p>
        </w:tc>
        <w:tc>
          <w:tcPr>
            <w:tcW w:w="1290" w:type="pct"/>
            <w:vMerge/>
            <w:shd w:val="clear" w:color="auto" w:fill="FFFFFF"/>
            <w:vAlign w:val="center"/>
          </w:tcPr>
          <w:p w14:paraId="57F66425" w14:textId="77777777" w:rsidR="001A4706" w:rsidRPr="00B57B36" w:rsidRDefault="001A4706" w:rsidP="00014FA9">
            <w:pPr>
              <w:pStyle w:val="CETBodytext"/>
              <w:ind w:right="-1"/>
              <w:jc w:val="center"/>
              <w:rPr>
                <w:rFonts w:cs="Arial"/>
                <w:szCs w:val="18"/>
                <w:lang w:val="en-GB"/>
              </w:rPr>
            </w:pPr>
          </w:p>
        </w:tc>
        <w:tc>
          <w:tcPr>
            <w:tcW w:w="1773" w:type="pct"/>
            <w:vMerge/>
            <w:shd w:val="clear" w:color="auto" w:fill="FFFFFF"/>
            <w:vAlign w:val="center"/>
          </w:tcPr>
          <w:p w14:paraId="226CB443" w14:textId="77777777" w:rsidR="001A4706" w:rsidRPr="00B57B36" w:rsidRDefault="001A4706" w:rsidP="00014FA9">
            <w:pPr>
              <w:pStyle w:val="CETBodytext"/>
              <w:ind w:right="-1"/>
              <w:jc w:val="center"/>
              <w:rPr>
                <w:rFonts w:cs="Arial"/>
                <w:szCs w:val="18"/>
                <w:lang w:val="en-GB"/>
              </w:rPr>
            </w:pPr>
          </w:p>
        </w:tc>
      </w:tr>
      <w:tr w:rsidR="001A4706" w:rsidRPr="00B57B36" w14:paraId="40EE5677" w14:textId="77777777" w:rsidTr="009A7F58">
        <w:tc>
          <w:tcPr>
            <w:tcW w:w="727" w:type="pct"/>
            <w:vMerge/>
            <w:shd w:val="clear" w:color="auto" w:fill="FFFFFF"/>
            <w:vAlign w:val="center"/>
          </w:tcPr>
          <w:p w14:paraId="6A4677BA" w14:textId="77777777" w:rsidR="001A4706" w:rsidRPr="00B57B36" w:rsidRDefault="001A4706" w:rsidP="00014FA9">
            <w:pPr>
              <w:pStyle w:val="CETBodytext"/>
              <w:ind w:right="-1"/>
              <w:jc w:val="center"/>
              <w:rPr>
                <w:rFonts w:cs="Arial"/>
                <w:szCs w:val="18"/>
                <w:lang w:val="en-GB"/>
              </w:rPr>
            </w:pPr>
          </w:p>
        </w:tc>
        <w:tc>
          <w:tcPr>
            <w:tcW w:w="564" w:type="pct"/>
            <w:shd w:val="clear" w:color="auto" w:fill="FFFFFF"/>
          </w:tcPr>
          <w:p w14:paraId="2C6C1C6C" w14:textId="7DC36738" w:rsidR="001A4706" w:rsidRDefault="001A4706" w:rsidP="00014FA9">
            <w:pPr>
              <w:pStyle w:val="CETBodytext"/>
              <w:ind w:right="-1"/>
              <w:jc w:val="center"/>
              <w:rPr>
                <w:rFonts w:cs="Arial"/>
                <w:szCs w:val="18"/>
                <w:lang w:val="en-GB"/>
              </w:rPr>
            </w:pPr>
            <w:r>
              <w:rPr>
                <w:rFonts w:cs="Arial"/>
                <w:szCs w:val="18"/>
                <w:lang w:val="en-GB"/>
              </w:rPr>
              <w:t>TP-900</w:t>
            </w:r>
          </w:p>
        </w:tc>
        <w:tc>
          <w:tcPr>
            <w:tcW w:w="646" w:type="pct"/>
            <w:shd w:val="clear" w:color="auto" w:fill="FFFFFF"/>
            <w:vAlign w:val="center"/>
          </w:tcPr>
          <w:p w14:paraId="4A8B2CC2" w14:textId="78C45B2A" w:rsidR="001A4706" w:rsidRDefault="001A4706" w:rsidP="00014FA9">
            <w:pPr>
              <w:pStyle w:val="CETBodytext"/>
              <w:ind w:right="-1"/>
              <w:jc w:val="center"/>
              <w:rPr>
                <w:rFonts w:cs="Arial"/>
                <w:szCs w:val="18"/>
                <w:lang w:val="en-GB"/>
              </w:rPr>
            </w:pPr>
            <w:r>
              <w:rPr>
                <w:rFonts w:cs="Arial"/>
                <w:szCs w:val="18"/>
                <w:lang w:val="en-GB"/>
              </w:rPr>
              <w:t>0</w:t>
            </w:r>
            <w:r w:rsidR="00F5478B">
              <w:rPr>
                <w:rFonts w:cs="Arial"/>
                <w:szCs w:val="18"/>
                <w:lang w:val="en-GB"/>
              </w:rPr>
              <w:t>.</w:t>
            </w:r>
            <w:r>
              <w:rPr>
                <w:rFonts w:cs="Arial"/>
                <w:szCs w:val="18"/>
                <w:lang w:val="en-GB"/>
              </w:rPr>
              <w:t>07</w:t>
            </w:r>
          </w:p>
        </w:tc>
        <w:tc>
          <w:tcPr>
            <w:tcW w:w="1290" w:type="pct"/>
            <w:vMerge/>
            <w:shd w:val="clear" w:color="auto" w:fill="FFFFFF"/>
            <w:vAlign w:val="center"/>
          </w:tcPr>
          <w:p w14:paraId="5840D9EE" w14:textId="77777777" w:rsidR="001A4706" w:rsidRPr="00B57B36" w:rsidRDefault="001A4706" w:rsidP="00014FA9">
            <w:pPr>
              <w:pStyle w:val="CETBodytext"/>
              <w:ind w:right="-1"/>
              <w:jc w:val="center"/>
              <w:rPr>
                <w:rFonts w:cs="Arial"/>
                <w:szCs w:val="18"/>
                <w:lang w:val="en-GB"/>
              </w:rPr>
            </w:pPr>
          </w:p>
        </w:tc>
        <w:tc>
          <w:tcPr>
            <w:tcW w:w="1773" w:type="pct"/>
            <w:vMerge/>
            <w:shd w:val="clear" w:color="auto" w:fill="FFFFFF"/>
            <w:vAlign w:val="center"/>
          </w:tcPr>
          <w:p w14:paraId="4AF555EE" w14:textId="77777777" w:rsidR="001A4706" w:rsidRPr="00B57B36" w:rsidRDefault="001A4706" w:rsidP="00014FA9">
            <w:pPr>
              <w:pStyle w:val="CETBodytext"/>
              <w:ind w:right="-1"/>
              <w:jc w:val="center"/>
              <w:rPr>
                <w:rFonts w:cs="Arial"/>
                <w:szCs w:val="18"/>
                <w:lang w:val="en-GB"/>
              </w:rPr>
            </w:pPr>
          </w:p>
        </w:tc>
      </w:tr>
    </w:tbl>
    <w:p w14:paraId="40B375CD" w14:textId="77777777" w:rsidR="00C00AAE" w:rsidRDefault="00C00AAE" w:rsidP="001A4706">
      <w:pPr>
        <w:pStyle w:val="CETBodytext"/>
        <w:rPr>
          <w:lang w:val="en-GB"/>
        </w:rPr>
      </w:pPr>
    </w:p>
    <w:p w14:paraId="62911717" w14:textId="4CC87168" w:rsidR="00F10124" w:rsidRPr="00B2184B" w:rsidRDefault="0074304C" w:rsidP="001A4706">
      <w:pPr>
        <w:pStyle w:val="CETBodytext"/>
        <w:rPr>
          <w:color w:val="000000" w:themeColor="text1"/>
        </w:rPr>
      </w:pPr>
      <w:r w:rsidRPr="00D0541C">
        <w:rPr>
          <w:lang w:val="en-GB"/>
        </w:rPr>
        <w:t>NH</w:t>
      </w:r>
      <w:r w:rsidRPr="00D0541C">
        <w:rPr>
          <w:rFonts w:ascii="Cambria Math" w:hAnsi="Cambria Math" w:cs="Cambria Math"/>
          <w:lang w:val="en-GB"/>
        </w:rPr>
        <w:t>₄⁺</w:t>
      </w:r>
      <w:r w:rsidR="001D064B" w:rsidRPr="00D0541C">
        <w:rPr>
          <w:color w:val="000000" w:themeColor="text1"/>
        </w:rPr>
        <w:t xml:space="preserve"> and </w:t>
      </w:r>
      <w:r w:rsidR="00AA17EA" w:rsidRPr="00D0541C">
        <w:rPr>
          <w:color w:val="000000" w:themeColor="text1"/>
        </w:rPr>
        <w:t>P</w:t>
      </w:r>
      <w:r w:rsidR="001D064B" w:rsidRPr="00D0541C">
        <w:rPr>
          <w:color w:val="000000" w:themeColor="text1"/>
        </w:rPr>
        <w:t xml:space="preserve"> release is shown in Fig. 1. </w:t>
      </w:r>
      <w:r w:rsidRPr="00D0541C">
        <w:rPr>
          <w:lang w:val="en-GB"/>
        </w:rPr>
        <w:t>NH</w:t>
      </w:r>
      <w:r w:rsidRPr="00D0541C">
        <w:rPr>
          <w:rFonts w:ascii="Cambria Math" w:hAnsi="Cambria Math" w:cs="Cambria Math"/>
          <w:lang w:val="en-GB"/>
        </w:rPr>
        <w:t>₄⁺</w:t>
      </w:r>
      <w:r w:rsidR="001D064B" w:rsidRPr="00D0541C">
        <w:rPr>
          <w:color w:val="000000" w:themeColor="text1"/>
        </w:rPr>
        <w:t xml:space="preserve"> release (Fig. 1a) </w:t>
      </w:r>
      <w:r w:rsidR="00AA17EA" w:rsidRPr="00D0541C">
        <w:rPr>
          <w:color w:val="000000" w:themeColor="text1"/>
        </w:rPr>
        <w:t>was</w:t>
      </w:r>
      <w:r w:rsidR="001D064B" w:rsidRPr="00D0541C">
        <w:rPr>
          <w:color w:val="000000" w:themeColor="text1"/>
        </w:rPr>
        <w:t xml:space="preserve"> limited for all samples, with concentrations well below inhibitory levels for </w:t>
      </w:r>
      <w:r w:rsidRPr="00D0541C">
        <w:rPr>
          <w:color w:val="000000" w:themeColor="text1"/>
        </w:rPr>
        <w:t>AD</w:t>
      </w:r>
      <w:r w:rsidR="001D064B" w:rsidRPr="00D0541C">
        <w:rPr>
          <w:color w:val="000000" w:themeColor="text1"/>
        </w:rPr>
        <w:t xml:space="preserve"> (1500 mg/L)</w:t>
      </w:r>
      <w:r w:rsidR="001D064B" w:rsidRPr="00D0541C">
        <w:rPr>
          <w:rFonts w:cs="Arial"/>
          <w:color w:val="000000" w:themeColor="text1"/>
        </w:rPr>
        <w:t xml:space="preserve"> </w:t>
      </w:r>
      <w:sdt>
        <w:sdtPr>
          <w:rPr>
            <w:rFonts w:cs="Arial"/>
            <w:color w:val="000000"/>
            <w:lang w:val="it-IT"/>
          </w:rPr>
          <w:tag w:val="MENDELEY_CITATION_v3_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"/>
          <w:id w:val="-1237936014"/>
          <w:placeholder>
            <w:docPart w:val="F8216F80AEC93D429C98BBF3E85637F5"/>
          </w:placeholder>
        </w:sdtPr>
        <w:sdtContent>
          <w:r w:rsidR="005F0D70" w:rsidRPr="00D0541C">
            <w:rPr>
              <w:rFonts w:cs="Arial"/>
              <w:color w:val="000000"/>
            </w:rPr>
            <w:t>(Khalil et al., 2017)</w:t>
          </w:r>
        </w:sdtContent>
      </w:sdt>
      <w:r w:rsidR="001D064B" w:rsidRPr="00D0541C">
        <w:rPr>
          <w:color w:val="000000" w:themeColor="text1"/>
        </w:rPr>
        <w:t xml:space="preserve">. At these levels, </w:t>
      </w:r>
      <w:r w:rsidRPr="00D0541C">
        <w:rPr>
          <w:lang w:val="en-GB"/>
        </w:rPr>
        <w:t>NH</w:t>
      </w:r>
      <w:r w:rsidRPr="00D0541C">
        <w:rPr>
          <w:rFonts w:ascii="Cambria Math" w:hAnsi="Cambria Math" w:cs="Cambria Math"/>
          <w:lang w:val="en-GB"/>
        </w:rPr>
        <w:t>₄⁺</w:t>
      </w:r>
      <w:r w:rsidR="001D064B" w:rsidRPr="00D0541C">
        <w:rPr>
          <w:color w:val="000000" w:themeColor="text1"/>
        </w:rPr>
        <w:t xml:space="preserve"> can act as a nitrogen source supporting microbial metabolism without toxic effects </w:t>
      </w:r>
      <w:sdt>
        <w:sdtPr>
          <w:rPr>
            <w:rFonts w:cs="Arial"/>
            <w:color w:val="000000"/>
            <w:lang w:val="it-IT"/>
          </w:rPr>
          <w:tag w:val="MENDELEY_CITATION_v3_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"/>
          <w:id w:val="106710584"/>
          <w:placeholder>
            <w:docPart w:val="C286FF385D1C7B4C9137FC567A644E9C"/>
          </w:placeholder>
        </w:sdtPr>
        <w:sdtContent>
          <w:r w:rsidR="005F0D70" w:rsidRPr="00D0541C">
            <w:rPr>
              <w:rFonts w:cs="Arial"/>
              <w:color w:val="000000"/>
            </w:rPr>
            <w:t>(Choong et al., 2016)</w:t>
          </w:r>
        </w:sdtContent>
      </w:sdt>
      <w:r w:rsidR="001D064B" w:rsidRPr="00D0541C">
        <w:rPr>
          <w:color w:val="000000" w:themeColor="text1"/>
        </w:rPr>
        <w:t xml:space="preserve">. </w:t>
      </w:r>
      <w:r w:rsidR="00117D12" w:rsidRPr="00D0541C">
        <w:rPr>
          <w:color w:val="000000" w:themeColor="text1"/>
        </w:rPr>
        <w:t>SCG-500 exhibit</w:t>
      </w:r>
      <w:r w:rsidR="00AA17EA" w:rsidRPr="00D0541C">
        <w:rPr>
          <w:color w:val="000000" w:themeColor="text1"/>
        </w:rPr>
        <w:t>ed</w:t>
      </w:r>
      <w:r w:rsidR="00117D12" w:rsidRPr="00D0541C">
        <w:rPr>
          <w:color w:val="000000" w:themeColor="text1"/>
        </w:rPr>
        <w:t xml:space="preserve"> the lowest and nearly constant release over time, whereas TP-500 </w:t>
      </w:r>
      <w:r w:rsidR="00AA17EA" w:rsidRPr="00D0541C">
        <w:rPr>
          <w:color w:val="000000" w:themeColor="text1"/>
        </w:rPr>
        <w:t>showed</w:t>
      </w:r>
      <w:r w:rsidR="00117D12" w:rsidRPr="00D0541C">
        <w:rPr>
          <w:color w:val="000000" w:themeColor="text1"/>
        </w:rPr>
        <w:t xml:space="preserve"> a slightly increasing trend after 20 days. A more pronounced increase </w:t>
      </w:r>
      <w:r w:rsidR="00AA17EA" w:rsidRPr="00D0541C">
        <w:rPr>
          <w:color w:val="000000" w:themeColor="text1"/>
        </w:rPr>
        <w:t>was</w:t>
      </w:r>
      <w:r w:rsidR="00117D12" w:rsidRPr="00D0541C">
        <w:rPr>
          <w:color w:val="000000" w:themeColor="text1"/>
        </w:rPr>
        <w:t xml:space="preserve"> observed for TP-700 and TP-900 at longer incubation times, although concentrations remain</w:t>
      </w:r>
      <w:r w:rsidR="00AA17EA" w:rsidRPr="00D0541C">
        <w:rPr>
          <w:color w:val="000000" w:themeColor="text1"/>
        </w:rPr>
        <w:t>ed</w:t>
      </w:r>
      <w:r w:rsidR="00117D12" w:rsidRPr="00D0541C">
        <w:rPr>
          <w:color w:val="000000" w:themeColor="text1"/>
        </w:rPr>
        <w:t xml:space="preserve"> within a moderate range. This trend may be associated with progressive structural </w:t>
      </w:r>
      <w:r w:rsidR="00AA17EA" w:rsidRPr="00D0541C">
        <w:rPr>
          <w:color w:val="000000" w:themeColor="text1"/>
        </w:rPr>
        <w:t xml:space="preserve">biochar </w:t>
      </w:r>
      <w:r w:rsidR="00117D12" w:rsidRPr="00D0541C">
        <w:rPr>
          <w:color w:val="000000" w:themeColor="text1"/>
        </w:rPr>
        <w:t xml:space="preserve">degradation during prolonged agitation, </w:t>
      </w:r>
      <w:r w:rsidR="00AA17EA" w:rsidRPr="00D0541C">
        <w:rPr>
          <w:color w:val="000000" w:themeColor="text1"/>
        </w:rPr>
        <w:t>releasing</w:t>
      </w:r>
      <w:r w:rsidR="00117D12" w:rsidRPr="00D0541C">
        <w:rPr>
          <w:color w:val="000000" w:themeColor="text1"/>
        </w:rPr>
        <w:t xml:space="preserve"> nitrogen-containing compounds. Conversely, </w:t>
      </w:r>
      <w:r w:rsidR="00AA17EA" w:rsidRPr="00D0541C">
        <w:rPr>
          <w:color w:val="000000" w:themeColor="text1"/>
        </w:rPr>
        <w:t>P</w:t>
      </w:r>
      <w:r w:rsidR="001D064B" w:rsidRPr="00D0541C">
        <w:rPr>
          <w:color w:val="000000" w:themeColor="text1"/>
        </w:rPr>
        <w:t xml:space="preserve"> release (Fig. 1b) </w:t>
      </w:r>
      <w:r w:rsidR="00AA17EA" w:rsidRPr="00D0541C">
        <w:rPr>
          <w:color w:val="000000" w:themeColor="text1"/>
        </w:rPr>
        <w:t>was</w:t>
      </w:r>
      <w:r w:rsidR="001D064B" w:rsidRPr="00D0541C">
        <w:rPr>
          <w:color w:val="000000" w:themeColor="text1"/>
        </w:rPr>
        <w:t xml:space="preserve"> more pronounced and time-dependent, with trends influenced by feedstock and pyrolysis temperature. TP-500 show</w:t>
      </w:r>
      <w:r w:rsidR="00AA17EA" w:rsidRPr="00D0541C">
        <w:rPr>
          <w:color w:val="000000" w:themeColor="text1"/>
        </w:rPr>
        <w:t>ed</w:t>
      </w:r>
      <w:r w:rsidR="001D064B" w:rsidRPr="00D0541C">
        <w:rPr>
          <w:color w:val="000000" w:themeColor="text1"/>
        </w:rPr>
        <w:t xml:space="preserve"> the highest release, followed by TP-700, while SCG-500 exhibit</w:t>
      </w:r>
      <w:r w:rsidR="00AA17EA" w:rsidRPr="00D0541C">
        <w:rPr>
          <w:color w:val="000000" w:themeColor="text1"/>
        </w:rPr>
        <w:t>ed</w:t>
      </w:r>
      <w:r w:rsidR="001D064B" w:rsidRPr="00D0541C">
        <w:rPr>
          <w:color w:val="000000" w:themeColor="text1"/>
        </w:rPr>
        <w:t xml:space="preserve"> a peak around 20 days</w:t>
      </w:r>
      <w:r w:rsidR="00AA17EA" w:rsidRPr="00D0541C">
        <w:rPr>
          <w:color w:val="000000" w:themeColor="text1"/>
        </w:rPr>
        <w:t>,</w:t>
      </w:r>
      <w:r w:rsidR="001D064B" w:rsidRPr="00D0541C">
        <w:rPr>
          <w:color w:val="000000" w:themeColor="text1"/>
        </w:rPr>
        <w:t xml:space="preserve"> followed by a slight decrease, likely due to re-adsorption </w:t>
      </w:r>
      <w:sdt>
        <w:sdtPr>
          <w:rPr>
            <w:rFonts w:cs="Arial"/>
            <w:color w:val="000000"/>
            <w:lang w:val="it-IT"/>
          </w:rPr>
          <w:tag w:val="MENDELEY_CITATION_v3_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"/>
          <w:id w:val="-340848568"/>
          <w:placeholder>
            <w:docPart w:val="371C25729327684D883E5F6FC2C2E4BA"/>
          </w:placeholder>
        </w:sdtPr>
        <w:sdtContent>
          <w:r w:rsidR="005F0D70" w:rsidRPr="00D0541C">
            <w:rPr>
              <w:rFonts w:cs="Arial"/>
              <w:color w:val="000000"/>
            </w:rPr>
            <w:t>(Qian et al., 2013)</w:t>
          </w:r>
        </w:sdtContent>
      </w:sdt>
      <w:r w:rsidR="001D064B" w:rsidRPr="00D0541C">
        <w:rPr>
          <w:color w:val="000000" w:themeColor="text1"/>
        </w:rPr>
        <w:t>. TP-900 show</w:t>
      </w:r>
      <w:r w:rsidR="00AA17EA" w:rsidRPr="00D0541C">
        <w:rPr>
          <w:color w:val="000000" w:themeColor="text1"/>
        </w:rPr>
        <w:t>ed</w:t>
      </w:r>
      <w:r w:rsidR="001D064B" w:rsidRPr="00D0541C">
        <w:rPr>
          <w:color w:val="000000" w:themeColor="text1"/>
        </w:rPr>
        <w:t xml:space="preserve"> the lowest release</w:t>
      </w:r>
      <w:r w:rsidR="00117D12" w:rsidRPr="00D0541C">
        <w:rPr>
          <w:color w:val="000000" w:themeColor="text1"/>
        </w:rPr>
        <w:t>, with a trend comparable to SCG-500</w:t>
      </w:r>
      <w:r w:rsidR="001D064B" w:rsidRPr="00D0541C">
        <w:rPr>
          <w:color w:val="000000" w:themeColor="text1"/>
        </w:rPr>
        <w:t xml:space="preserve">. The lower release of SCG-derived biochar is consistent with the pre-extracted nature of the feedstock, while higher mobility at lower pyrolysis temperatures agrees with literature </w:t>
      </w:r>
      <w:sdt>
        <w:sdtPr>
          <w:rPr>
            <w:rFonts w:cs="Arial"/>
            <w:color w:val="000000"/>
            <w:lang w:val="it-IT"/>
          </w:rPr>
          <w:tag w:val="MENDELEY_CITATION_v3_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"/>
          <w:id w:val="222410409"/>
          <w:placeholder>
            <w:docPart w:val="2AEA5609A50E4B40953351674FB42505"/>
          </w:placeholder>
        </w:sdtPr>
        <w:sdtContent>
          <w:r w:rsidR="005F0D70" w:rsidRPr="00D0541C">
            <w:rPr>
              <w:rFonts w:cs="Arial"/>
              <w:color w:val="000000"/>
            </w:rPr>
            <w:t>(</w:t>
          </w:r>
          <w:proofErr w:type="spellStart"/>
          <w:r w:rsidR="005F0D70" w:rsidRPr="00D0541C">
            <w:rPr>
              <w:rFonts w:cs="Arial"/>
              <w:color w:val="000000"/>
            </w:rPr>
            <w:t>Elnour</w:t>
          </w:r>
          <w:proofErr w:type="spellEnd"/>
          <w:r w:rsidR="005F0D70" w:rsidRPr="00D0541C">
            <w:rPr>
              <w:rFonts w:cs="Arial"/>
              <w:color w:val="000000"/>
            </w:rPr>
            <w:t xml:space="preserve"> et al., 2019)</w:t>
          </w:r>
        </w:sdtContent>
      </w:sdt>
      <w:r w:rsidR="001D064B" w:rsidRPr="00D0541C">
        <w:rPr>
          <w:color w:val="000000" w:themeColor="text1"/>
        </w:rPr>
        <w:t>.</w:t>
      </w:r>
      <w:r w:rsidR="00117D12" w:rsidRPr="00D0541C">
        <w:rPr>
          <w:color w:val="000000" w:themeColor="text1"/>
        </w:rPr>
        <w:t xml:space="preserve"> </w:t>
      </w:r>
      <w:r w:rsidR="001D064B" w:rsidRPr="00D0541C">
        <w:rPr>
          <w:color w:val="000000" w:themeColor="text1"/>
        </w:rPr>
        <w:t xml:space="preserve">Given the essential role of </w:t>
      </w:r>
      <w:r w:rsidR="00AA17EA" w:rsidRPr="00D0541C">
        <w:rPr>
          <w:color w:val="000000" w:themeColor="text1"/>
        </w:rPr>
        <w:t>P</w:t>
      </w:r>
      <w:r w:rsidR="001D064B" w:rsidRPr="00D0541C">
        <w:rPr>
          <w:color w:val="000000" w:themeColor="text1"/>
        </w:rPr>
        <w:t xml:space="preserve"> in anaerobic microorganisms, these results suggest that </w:t>
      </w:r>
      <w:proofErr w:type="spellStart"/>
      <w:r w:rsidR="001D064B" w:rsidRPr="00D0541C">
        <w:rPr>
          <w:color w:val="000000" w:themeColor="text1"/>
        </w:rPr>
        <w:t>biochars</w:t>
      </w:r>
      <w:proofErr w:type="spellEnd"/>
      <w:r w:rsidR="001D064B" w:rsidRPr="00D0541C">
        <w:rPr>
          <w:color w:val="000000" w:themeColor="text1"/>
        </w:rPr>
        <w:t xml:space="preserve"> may contribute to nutrient supply and support microbial activity </w:t>
      </w:r>
      <w:sdt>
        <w:sdtPr>
          <w:rPr>
            <w:rFonts w:cs="Arial"/>
            <w:color w:val="000000"/>
            <w:lang w:val="it-IT"/>
          </w:rPr>
          <w:tag w:val="MENDELEY_CITATION_v3_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"/>
          <w:id w:val="-533422587"/>
          <w:placeholder>
            <w:docPart w:val="18EFAD7C6A13A44981B07AA5348869F0"/>
          </w:placeholder>
        </w:sdtPr>
        <w:sdtContent>
          <w:r w:rsidR="005F0D70" w:rsidRPr="00D0541C">
            <w:rPr>
              <w:rFonts w:cs="Arial"/>
              <w:color w:val="000000"/>
            </w:rPr>
            <w:t>(Choong et al., 2016)</w:t>
          </w:r>
        </w:sdtContent>
      </w:sdt>
      <w:r w:rsidR="001D064B" w:rsidRPr="00D0541C">
        <w:rPr>
          <w:color w:val="000000" w:themeColor="text1"/>
        </w:rPr>
        <w:t>.</w:t>
      </w:r>
    </w:p>
    <w:tbl>
      <w:tblPr>
        <w:tblStyle w:val="Grigliatabella"/>
        <w:tblpPr w:leftFromText="141" w:rightFromText="141"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395"/>
        <w:gridCol w:w="4392"/>
      </w:tblGrid>
      <w:tr w:rsidR="002354EE" w14:paraId="007D536A" w14:textId="77777777" w:rsidTr="002354EE">
        <w:tc>
          <w:tcPr>
            <w:tcW w:w="4395" w:type="dxa"/>
            <w:vAlign w:val="center"/>
          </w:tcPr>
          <w:p w14:paraId="054B6943" w14:textId="77777777" w:rsidR="002354EE" w:rsidRDefault="002354EE" w:rsidP="002354EE">
            <w:pPr>
              <w:pStyle w:val="CETBodytext"/>
              <w:jc w:val="center"/>
              <w:rPr>
                <w:color w:val="000000" w:themeColor="text1"/>
                <w:lang w:val="it-IT"/>
              </w:rPr>
            </w:pPr>
            <w:r>
              <w:rPr>
                <w:noProof/>
              </w:rPr>
              <w:drawing>
                <wp:inline distT="0" distB="0" distL="0" distR="0" wp14:anchorId="62F5B2DE" wp14:editId="6C9E8781">
                  <wp:extent cx="2696845" cy="1747520"/>
                  <wp:effectExtent l="0" t="0" r="0" b="5080"/>
                  <wp:docPr id="1558935706" name="Grafico 1">
                    <a:extLst xmlns:a="http://schemas.openxmlformats.org/drawingml/2006/main">
                      <a:ext uri="{FF2B5EF4-FFF2-40B4-BE49-F238E27FC236}">
                        <a16:creationId xmlns:a16="http://schemas.microsoft.com/office/drawing/2014/main" id="{CA7D62CA-4216-AD4E-978D-344FA8E89A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392" w:type="dxa"/>
            <w:vAlign w:val="center"/>
          </w:tcPr>
          <w:p w14:paraId="3911F1FD" w14:textId="77777777" w:rsidR="002354EE" w:rsidRDefault="002354EE" w:rsidP="002354EE">
            <w:pPr>
              <w:pStyle w:val="CETBodytext"/>
              <w:jc w:val="center"/>
              <w:rPr>
                <w:color w:val="000000" w:themeColor="text1"/>
                <w:lang w:val="it-IT"/>
              </w:rPr>
            </w:pPr>
            <w:r>
              <w:rPr>
                <w:noProof/>
              </w:rPr>
              <w:drawing>
                <wp:inline distT="0" distB="0" distL="0" distR="0" wp14:anchorId="3A2E2EF5" wp14:editId="18C15069">
                  <wp:extent cx="2558415" cy="1726776"/>
                  <wp:effectExtent l="0" t="0" r="0" b="635"/>
                  <wp:docPr id="1026087640" name="Grafico 1">
                    <a:extLst xmlns:a="http://schemas.openxmlformats.org/drawingml/2006/main">
                      <a:ext uri="{FF2B5EF4-FFF2-40B4-BE49-F238E27FC236}">
                        <a16:creationId xmlns:a16="http://schemas.microsoft.com/office/drawing/2014/main" id="{9BB24FCB-F398-F244-BC57-A0FCFCCBBE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69FF3A49" w14:textId="2C709F3F" w:rsidR="00861AA9" w:rsidRPr="00B2184B" w:rsidRDefault="00861AA9" w:rsidP="00861AA9">
      <w:pPr>
        <w:pStyle w:val="CETCaption"/>
        <w:rPr>
          <w:color w:val="000000" w:themeColor="text1"/>
          <w:lang w:val="en-US"/>
        </w:rPr>
      </w:pPr>
      <w:r>
        <w:lastRenderedPageBreak/>
        <w:t>Figure 1</w:t>
      </w:r>
      <w:r w:rsidRPr="00D0541C">
        <w:t xml:space="preserve">: </w:t>
      </w:r>
      <w:r w:rsidR="0074304C" w:rsidRPr="00D0541C">
        <w:t>NH</w:t>
      </w:r>
      <w:r w:rsidR="0074304C" w:rsidRPr="00D0541C">
        <w:rPr>
          <w:rFonts w:ascii="Cambria Math" w:hAnsi="Cambria Math" w:cs="Cambria Math"/>
        </w:rPr>
        <w:t>₄⁺</w:t>
      </w:r>
      <w:r w:rsidRPr="00D0541C">
        <w:t xml:space="preserve"> (a) and </w:t>
      </w:r>
      <w:r w:rsidR="0074304C" w:rsidRPr="00D0541C">
        <w:t>P</w:t>
      </w:r>
      <w:r w:rsidRPr="00D0541C">
        <w:t xml:space="preserve"> (b) release from </w:t>
      </w:r>
      <w:proofErr w:type="spellStart"/>
      <w:r w:rsidRPr="00D0541C">
        <w:t>biochar</w:t>
      </w:r>
      <w:r w:rsidR="00FC22DC" w:rsidRPr="00D0541C">
        <w:t>s</w:t>
      </w:r>
      <w:proofErr w:type="spellEnd"/>
      <w:r w:rsidRPr="0078309C">
        <w:t xml:space="preserve"> as a function of incubation time</w:t>
      </w:r>
      <w:r w:rsidR="00F10124">
        <w:t>.</w:t>
      </w:r>
    </w:p>
    <w:p w14:paraId="50047C2A" w14:textId="06872557" w:rsidR="005E554C" w:rsidRDefault="005E554C" w:rsidP="00505AF6">
      <w:pPr>
        <w:pStyle w:val="CETheadingx"/>
      </w:pPr>
      <w:r>
        <w:t>Adsorption tests</w:t>
      </w:r>
    </w:p>
    <w:p w14:paraId="7B8B5141" w14:textId="66D4F394" w:rsidR="00D26B41" w:rsidRPr="00D0541C" w:rsidRDefault="00AA17EA" w:rsidP="00D26B41">
      <w:pPr>
        <w:pStyle w:val="CETBodytext"/>
        <w:rPr>
          <w:lang w:eastAsia="it-IT"/>
        </w:rPr>
      </w:pPr>
      <w:r w:rsidRPr="00D0541C">
        <w:rPr>
          <w:lang w:eastAsia="it-IT"/>
        </w:rPr>
        <w:t>HM</w:t>
      </w:r>
      <w:r w:rsidR="00D26B41" w:rsidRPr="00D0541C">
        <w:rPr>
          <w:lang w:eastAsia="it-IT"/>
        </w:rPr>
        <w:t xml:space="preserve"> adsorption tests showed that all TP-derived </w:t>
      </w:r>
      <w:proofErr w:type="spellStart"/>
      <w:r w:rsidR="00D26B41" w:rsidRPr="00D0541C">
        <w:rPr>
          <w:lang w:eastAsia="it-IT"/>
        </w:rPr>
        <w:t>biochars</w:t>
      </w:r>
      <w:proofErr w:type="spellEnd"/>
      <w:r w:rsidR="00D26B41" w:rsidRPr="00D0541C">
        <w:rPr>
          <w:lang w:eastAsia="it-IT"/>
        </w:rPr>
        <w:t xml:space="preserve"> achieved complete removal within the first hour, whereas SCG-500 exhibited significantly lower removal </w:t>
      </w:r>
      <w:r w:rsidR="00D26B41" w:rsidRPr="00C8724A">
        <w:rPr>
          <w:color w:val="000000" w:themeColor="text1"/>
          <w:lang w:eastAsia="it-IT"/>
        </w:rPr>
        <w:t>efficiencies</w:t>
      </w:r>
      <w:r w:rsidR="0081321C" w:rsidRPr="00C8724A">
        <w:rPr>
          <w:color w:val="000000" w:themeColor="text1"/>
          <w:lang w:eastAsia="it-IT"/>
        </w:rPr>
        <w:t xml:space="preserve">, </w:t>
      </w:r>
      <w:proofErr w:type="gramStart"/>
      <w:r w:rsidR="007B187F" w:rsidRPr="00C8724A">
        <w:rPr>
          <w:color w:val="000000" w:themeColor="text1"/>
          <w:lang w:val="en-GB" w:eastAsia="it-IT"/>
        </w:rPr>
        <w:t>with the exception of</w:t>
      </w:r>
      <w:proofErr w:type="gramEnd"/>
      <w:r w:rsidR="007B187F" w:rsidRPr="00C8724A">
        <w:rPr>
          <w:color w:val="000000" w:themeColor="text1"/>
          <w:lang w:val="en-GB" w:eastAsia="it-IT"/>
        </w:rPr>
        <w:t xml:space="preserve"> Pb²</w:t>
      </w:r>
      <w:r w:rsidR="007B187F" w:rsidRPr="00C8724A">
        <w:rPr>
          <w:rFonts w:ascii="Cambria Math" w:hAnsi="Cambria Math" w:cs="Cambria Math"/>
          <w:color w:val="000000" w:themeColor="text1"/>
          <w:lang w:val="en-GB" w:eastAsia="it-IT"/>
        </w:rPr>
        <w:t>⁺</w:t>
      </w:r>
      <w:r w:rsidR="007B187F" w:rsidRPr="00C8724A">
        <w:rPr>
          <w:color w:val="000000" w:themeColor="text1"/>
          <w:lang w:val="en-GB" w:eastAsia="it-IT"/>
        </w:rPr>
        <w:t xml:space="preserve"> (~80% removal at 1 h)</w:t>
      </w:r>
      <w:r w:rsidR="00D26B41" w:rsidRPr="00C8724A">
        <w:rPr>
          <w:color w:val="000000" w:themeColor="text1"/>
          <w:lang w:eastAsia="it-IT"/>
        </w:rPr>
        <w:t xml:space="preserve">. </w:t>
      </w:r>
      <w:r w:rsidR="00E268C7" w:rsidRPr="00C8724A">
        <w:rPr>
          <w:color w:val="000000" w:themeColor="text1"/>
          <w:lang w:val="en-GB" w:eastAsia="it-IT"/>
        </w:rPr>
        <w:t xml:space="preserve">These results indicate that equilibrium was reached within 1 h, with no significant changes observed at longer contact times (up to 3.5 h). </w:t>
      </w:r>
      <w:r w:rsidR="00E268C7" w:rsidRPr="00C8724A">
        <w:rPr>
          <w:color w:val="000000" w:themeColor="text1"/>
          <w:lang w:val="en-GB" w:eastAsia="it-IT"/>
        </w:rPr>
        <w:tab/>
      </w:r>
      <w:r w:rsidR="00E268C7" w:rsidRPr="00C8724A">
        <w:rPr>
          <w:color w:val="000000" w:themeColor="text1"/>
          <w:lang w:val="en-GB" w:eastAsia="it-IT"/>
        </w:rPr>
        <w:br/>
      </w:r>
      <w:r w:rsidR="00D26B41" w:rsidRPr="00C8724A">
        <w:rPr>
          <w:color w:val="000000" w:themeColor="text1"/>
          <w:lang w:eastAsia="it-IT"/>
        </w:rPr>
        <w:t>Th</w:t>
      </w:r>
      <w:r w:rsidR="00E268C7" w:rsidRPr="00C8724A">
        <w:rPr>
          <w:color w:val="000000" w:themeColor="text1"/>
          <w:lang w:eastAsia="it-IT"/>
        </w:rPr>
        <w:t>e</w:t>
      </w:r>
      <w:r w:rsidR="00D26B41" w:rsidRPr="00C8724A">
        <w:rPr>
          <w:color w:val="000000" w:themeColor="text1"/>
          <w:lang w:eastAsia="it-IT"/>
        </w:rPr>
        <w:t xml:space="preserve"> difference</w:t>
      </w:r>
      <w:r w:rsidR="00E268C7" w:rsidRPr="00C8724A">
        <w:rPr>
          <w:color w:val="000000" w:themeColor="text1"/>
          <w:lang w:eastAsia="it-IT"/>
        </w:rPr>
        <w:t xml:space="preserve"> between the different </w:t>
      </w:r>
      <w:proofErr w:type="spellStart"/>
      <w:r w:rsidR="00E268C7" w:rsidRPr="00C8724A">
        <w:rPr>
          <w:color w:val="000000" w:themeColor="text1"/>
          <w:lang w:eastAsia="it-IT"/>
        </w:rPr>
        <w:t>biochars</w:t>
      </w:r>
      <w:proofErr w:type="spellEnd"/>
      <w:r w:rsidR="00D26B41" w:rsidRPr="00C8724A">
        <w:rPr>
          <w:color w:val="000000" w:themeColor="text1"/>
          <w:lang w:eastAsia="it-IT"/>
        </w:rPr>
        <w:t xml:space="preserve"> can be </w:t>
      </w:r>
      <w:r w:rsidR="004D1459" w:rsidRPr="00C8724A">
        <w:rPr>
          <w:color w:val="000000" w:themeColor="text1"/>
          <w:lang w:eastAsia="it-IT"/>
        </w:rPr>
        <w:t>due</w:t>
      </w:r>
      <w:r w:rsidR="00D26B41" w:rsidRPr="00C8724A">
        <w:rPr>
          <w:color w:val="000000" w:themeColor="text1"/>
          <w:lang w:eastAsia="it-IT"/>
        </w:rPr>
        <w:t xml:space="preserve"> to the intrinsic properties of the feedstocks, as the pre-extracted nature of spent coffee grounds may result in a reduc</w:t>
      </w:r>
      <w:r w:rsidR="00D26B41" w:rsidRPr="00D0541C">
        <w:rPr>
          <w:lang w:eastAsia="it-IT"/>
        </w:rPr>
        <w:t xml:space="preserve">ed availability of surface-active sites. In contrast, TP-derived </w:t>
      </w:r>
      <w:proofErr w:type="spellStart"/>
      <w:r w:rsidR="00D26B41" w:rsidRPr="00D0541C">
        <w:rPr>
          <w:lang w:eastAsia="it-IT"/>
        </w:rPr>
        <w:t>biochars</w:t>
      </w:r>
      <w:proofErr w:type="spellEnd"/>
      <w:r w:rsidR="00D26B41" w:rsidRPr="00D0541C">
        <w:rPr>
          <w:lang w:eastAsia="it-IT"/>
        </w:rPr>
        <w:t xml:space="preserve"> likely benefit from more </w:t>
      </w:r>
      <w:proofErr w:type="spellStart"/>
      <w:r w:rsidR="00D26B41" w:rsidRPr="00D0541C">
        <w:rPr>
          <w:lang w:eastAsia="it-IT"/>
        </w:rPr>
        <w:t>favourable</w:t>
      </w:r>
      <w:proofErr w:type="spellEnd"/>
      <w:r w:rsidR="00D26B41" w:rsidRPr="00D0541C">
        <w:rPr>
          <w:lang w:eastAsia="it-IT"/>
        </w:rPr>
        <w:t xml:space="preserve"> physicochemical characteristics, such as higher surface reactivity and/or more developed porosity, enhancing their interaction with metal species.</w:t>
      </w:r>
    </w:p>
    <w:p w14:paraId="2AB931DC" w14:textId="46375282" w:rsidR="00D26B41" w:rsidRDefault="00D26B41" w:rsidP="00D26B41">
      <w:pPr>
        <w:pStyle w:val="CETBodytext"/>
        <w:rPr>
          <w:lang w:eastAsia="it-IT"/>
        </w:rPr>
      </w:pPr>
      <w:r w:rsidRPr="00D0541C">
        <w:rPr>
          <w:lang w:eastAsia="it-IT"/>
        </w:rPr>
        <w:t xml:space="preserve">Residual metal concentrations after adsorption with SCG-500 are reported in Table 3 and compared with inhibition thresholds for </w:t>
      </w:r>
      <w:r w:rsidR="00FC22DC" w:rsidRPr="00D0541C">
        <w:rPr>
          <w:lang w:eastAsia="it-IT"/>
        </w:rPr>
        <w:t>AD</w:t>
      </w:r>
      <w:r w:rsidRPr="00D0541C">
        <w:rPr>
          <w:lang w:eastAsia="it-IT"/>
        </w:rPr>
        <w:t>. Among the investigated metals, only Cd exceeds the reported inhibitory concentration, suggesting a potential risk</w:t>
      </w:r>
      <w:r w:rsidRPr="00D26B41">
        <w:rPr>
          <w:lang w:eastAsia="it-IT"/>
        </w:rPr>
        <w:t xml:space="preserve"> of process inhibition in this specific case.</w:t>
      </w:r>
    </w:p>
    <w:p w14:paraId="75229EFA" w14:textId="308ADAA1" w:rsidR="00556EAF" w:rsidRPr="00B57B36" w:rsidRDefault="00556EAF" w:rsidP="00556EAF">
      <w:pPr>
        <w:pStyle w:val="CETCaption"/>
      </w:pPr>
      <w:r w:rsidRPr="00B57B36">
        <w:t xml:space="preserve">Table </w:t>
      </w:r>
      <w:r>
        <w:t>3</w:t>
      </w:r>
      <w:r w:rsidRPr="00B57B36">
        <w:t>:</w:t>
      </w:r>
      <w:r>
        <w:t xml:space="preserve"> </w:t>
      </w:r>
      <w:r w:rsidR="006101AB" w:rsidRPr="006101AB">
        <w:t xml:space="preserve">Residual concentrations of </w:t>
      </w:r>
      <w:r w:rsidR="00AA17EA" w:rsidRPr="00D0541C">
        <w:t>HMs</w:t>
      </w:r>
      <w:r w:rsidR="006101AB" w:rsidRPr="00D0541C">
        <w:t xml:space="preserve"> after adsorption tests with SCG-500 and comparison with inhibitory thresholds for AD reported in the literature.</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2411"/>
        <w:gridCol w:w="2126"/>
        <w:gridCol w:w="3116"/>
      </w:tblGrid>
      <w:tr w:rsidR="006101AB" w:rsidRPr="00B57B36" w14:paraId="2756D3DD" w14:textId="77777777" w:rsidTr="006101AB">
        <w:tc>
          <w:tcPr>
            <w:tcW w:w="645" w:type="pct"/>
            <w:tcBorders>
              <w:top w:val="single" w:sz="12" w:space="0" w:color="008000"/>
              <w:bottom w:val="single" w:sz="6" w:space="0" w:color="008000"/>
            </w:tcBorders>
            <w:shd w:val="clear" w:color="auto" w:fill="FFFFFF"/>
          </w:tcPr>
          <w:p w14:paraId="4C39C2A6" w14:textId="20DB0C75" w:rsidR="006101AB" w:rsidRPr="00B57B36" w:rsidRDefault="006101AB" w:rsidP="006101AB">
            <w:pPr>
              <w:pStyle w:val="CETBodytext"/>
              <w:jc w:val="center"/>
              <w:rPr>
                <w:lang w:val="en-GB"/>
              </w:rPr>
            </w:pPr>
            <w:r>
              <w:rPr>
                <w:lang w:val="en-GB"/>
              </w:rPr>
              <w:t>Metal</w:t>
            </w:r>
          </w:p>
        </w:tc>
        <w:tc>
          <w:tcPr>
            <w:tcW w:w="1372" w:type="pct"/>
            <w:tcBorders>
              <w:top w:val="single" w:sz="12" w:space="0" w:color="008000"/>
              <w:bottom w:val="single" w:sz="6" w:space="0" w:color="008000"/>
            </w:tcBorders>
            <w:shd w:val="clear" w:color="auto" w:fill="FFFFFF"/>
            <w:vAlign w:val="center"/>
          </w:tcPr>
          <w:p w14:paraId="5EED2E73" w14:textId="184B8054" w:rsidR="006101AB" w:rsidRPr="00DE11AD" w:rsidRDefault="006101AB" w:rsidP="00D8526E">
            <w:pPr>
              <w:pStyle w:val="CETBodytext"/>
              <w:jc w:val="center"/>
              <w:rPr>
                <w:lang w:val="en-GB"/>
              </w:rPr>
            </w:pPr>
            <w:r>
              <w:rPr>
                <w:lang w:val="en-GB"/>
              </w:rPr>
              <w:t>Residual concentration (mg/L)</w:t>
            </w:r>
          </w:p>
        </w:tc>
        <w:tc>
          <w:tcPr>
            <w:tcW w:w="1210" w:type="pct"/>
            <w:tcBorders>
              <w:top w:val="single" w:sz="12" w:space="0" w:color="008000"/>
              <w:bottom w:val="single" w:sz="6" w:space="0" w:color="008000"/>
            </w:tcBorders>
            <w:shd w:val="clear" w:color="auto" w:fill="FFFFFF"/>
            <w:vAlign w:val="center"/>
          </w:tcPr>
          <w:p w14:paraId="61455F3C" w14:textId="450BFB63" w:rsidR="006101AB" w:rsidRPr="00DE11AD" w:rsidRDefault="006101AB" w:rsidP="00D8526E">
            <w:pPr>
              <w:pStyle w:val="CETBodytext"/>
              <w:ind w:right="-1"/>
              <w:jc w:val="center"/>
              <w:rPr>
                <w:rFonts w:cs="Arial"/>
                <w:szCs w:val="18"/>
                <w:lang w:val="en-GB"/>
              </w:rPr>
            </w:pPr>
            <w:r w:rsidRPr="00D0541C">
              <w:rPr>
                <w:rFonts w:cs="Arial"/>
                <w:szCs w:val="18"/>
                <w:lang w:val="en-GB"/>
              </w:rPr>
              <w:t>In</w:t>
            </w:r>
            <w:r w:rsidR="004D1459" w:rsidRPr="00D0541C">
              <w:rPr>
                <w:rFonts w:cs="Arial"/>
                <w:szCs w:val="18"/>
                <w:lang w:val="en-GB"/>
              </w:rPr>
              <w:t>h</w:t>
            </w:r>
            <w:r w:rsidRPr="00D0541C">
              <w:rPr>
                <w:rFonts w:cs="Arial"/>
                <w:szCs w:val="18"/>
                <w:lang w:val="en-GB"/>
              </w:rPr>
              <w:t>ibitory</w:t>
            </w:r>
            <w:r>
              <w:rPr>
                <w:rFonts w:cs="Arial"/>
                <w:szCs w:val="18"/>
                <w:lang w:val="en-GB"/>
              </w:rPr>
              <w:t xml:space="preserve"> threshold (mg/L)</w:t>
            </w:r>
          </w:p>
        </w:tc>
        <w:tc>
          <w:tcPr>
            <w:tcW w:w="1773" w:type="pct"/>
            <w:tcBorders>
              <w:top w:val="single" w:sz="12" w:space="0" w:color="008000"/>
              <w:bottom w:val="single" w:sz="6" w:space="0" w:color="008000"/>
            </w:tcBorders>
            <w:shd w:val="clear" w:color="auto" w:fill="FFFFFF"/>
            <w:vAlign w:val="center"/>
          </w:tcPr>
          <w:p w14:paraId="3D6358EA" w14:textId="13AA994D" w:rsidR="006101AB" w:rsidRPr="00B57B36" w:rsidRDefault="006101AB" w:rsidP="00D8526E">
            <w:pPr>
              <w:pStyle w:val="CETBodytext"/>
              <w:ind w:right="-1"/>
              <w:jc w:val="center"/>
              <w:rPr>
                <w:rFonts w:cs="Arial"/>
                <w:szCs w:val="18"/>
                <w:lang w:val="en-GB"/>
              </w:rPr>
            </w:pPr>
            <w:r>
              <w:rPr>
                <w:rFonts w:cs="Arial"/>
                <w:szCs w:val="18"/>
                <w:lang w:val="en-GB"/>
              </w:rPr>
              <w:t>Reference</w:t>
            </w:r>
          </w:p>
        </w:tc>
      </w:tr>
      <w:tr w:rsidR="006101AB" w:rsidRPr="00B57B36" w14:paraId="3A26608C" w14:textId="77777777" w:rsidTr="006101AB">
        <w:tc>
          <w:tcPr>
            <w:tcW w:w="645" w:type="pct"/>
            <w:shd w:val="clear" w:color="auto" w:fill="FFFFFF"/>
          </w:tcPr>
          <w:p w14:paraId="490A8A5E" w14:textId="329CB598" w:rsidR="006101AB" w:rsidRPr="00D0541C" w:rsidRDefault="006101AB" w:rsidP="006101AB">
            <w:pPr>
              <w:pStyle w:val="CETBodytext"/>
              <w:jc w:val="center"/>
              <w:rPr>
                <w:lang w:val="en-GB"/>
              </w:rPr>
            </w:pPr>
            <w:r w:rsidRPr="00D0541C">
              <w:rPr>
                <w:lang w:val="en-GB"/>
              </w:rPr>
              <w:t>Ni</w:t>
            </w:r>
            <w:r w:rsidR="00213034" w:rsidRPr="00D0541C">
              <w:rPr>
                <w:color w:val="000000" w:themeColor="text1"/>
                <w:vertAlign w:val="superscript"/>
                <w:lang w:val="en-GB"/>
              </w:rPr>
              <w:t>2+</w:t>
            </w:r>
          </w:p>
        </w:tc>
        <w:tc>
          <w:tcPr>
            <w:tcW w:w="1372" w:type="pct"/>
            <w:shd w:val="clear" w:color="auto" w:fill="FFFFFF"/>
            <w:vAlign w:val="center"/>
          </w:tcPr>
          <w:p w14:paraId="346B241F" w14:textId="4EE5C475" w:rsidR="006101AB" w:rsidRPr="00D0541C" w:rsidRDefault="006101AB" w:rsidP="006101AB">
            <w:pPr>
              <w:pStyle w:val="CETBodytext"/>
              <w:jc w:val="center"/>
              <w:rPr>
                <w:color w:val="000000" w:themeColor="text1"/>
                <w:lang w:val="en-GB"/>
              </w:rPr>
            </w:pPr>
            <w:r w:rsidRPr="00D0541C">
              <w:rPr>
                <w:color w:val="000000" w:themeColor="text1"/>
                <w:lang w:val="en-GB"/>
              </w:rPr>
              <w:t>0</w:t>
            </w:r>
            <w:r w:rsidR="005303D2">
              <w:rPr>
                <w:color w:val="000000" w:themeColor="text1"/>
                <w:lang w:val="en-GB"/>
              </w:rPr>
              <w:t>.</w:t>
            </w:r>
            <w:r w:rsidRPr="00D0541C">
              <w:rPr>
                <w:color w:val="000000" w:themeColor="text1"/>
                <w:lang w:val="en-GB"/>
              </w:rPr>
              <w:t>87</w:t>
            </w:r>
          </w:p>
        </w:tc>
        <w:tc>
          <w:tcPr>
            <w:tcW w:w="1210" w:type="pct"/>
            <w:shd w:val="clear" w:color="auto" w:fill="FFFFFF"/>
            <w:vAlign w:val="center"/>
          </w:tcPr>
          <w:p w14:paraId="25808F10" w14:textId="27B04971" w:rsidR="006101AB" w:rsidRPr="00D37637" w:rsidRDefault="006101AB" w:rsidP="006101AB">
            <w:pPr>
              <w:pStyle w:val="CETBodytext"/>
              <w:ind w:right="-1"/>
              <w:jc w:val="center"/>
              <w:rPr>
                <w:rFonts w:cs="Arial"/>
                <w:color w:val="FF0000"/>
                <w:szCs w:val="18"/>
                <w:lang w:val="en-GB"/>
              </w:rPr>
            </w:pPr>
            <w:r w:rsidRPr="00014FA9">
              <w:rPr>
                <w:rFonts w:cs="Arial"/>
                <w:color w:val="000000" w:themeColor="text1"/>
                <w:szCs w:val="18"/>
                <w:lang w:val="en-GB"/>
              </w:rPr>
              <w:t>100</w:t>
            </w:r>
          </w:p>
        </w:tc>
        <w:sdt>
          <w:sdtPr>
            <w:rPr>
              <w:rFonts w:cs="Arial"/>
              <w:color w:val="000000"/>
              <w:szCs w:val="18"/>
              <w:lang w:val="en-GB"/>
            </w:rPr>
            <w:tag w:val="MENDELEY_CITATION_v3_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"/>
            <w:id w:val="484985249"/>
            <w:placeholder>
              <w:docPart w:val="92CBB7E4D12A06438A5E75F19EB4237B"/>
            </w:placeholder>
          </w:sdtPr>
          <w:sdtContent>
            <w:tc>
              <w:tcPr>
                <w:tcW w:w="1773" w:type="pct"/>
                <w:shd w:val="clear" w:color="auto" w:fill="FFFFFF"/>
                <w:vAlign w:val="center"/>
              </w:tcPr>
              <w:p w14:paraId="4FFD0E9C" w14:textId="08E9B7F2" w:rsidR="006101AB" w:rsidRPr="00B57B36" w:rsidRDefault="005F0D70" w:rsidP="006101AB">
                <w:pPr>
                  <w:pStyle w:val="CETBodytext"/>
                  <w:ind w:right="-1"/>
                  <w:jc w:val="center"/>
                  <w:rPr>
                    <w:rFonts w:cs="Arial"/>
                    <w:szCs w:val="18"/>
                    <w:lang w:val="en-GB"/>
                  </w:rPr>
                </w:pPr>
                <w:r w:rsidRPr="005F0D70">
                  <w:rPr>
                    <w:rFonts w:cs="Arial"/>
                    <w:color w:val="000000"/>
                    <w:szCs w:val="18"/>
                    <w:lang w:val="en-GB"/>
                  </w:rPr>
                  <w:t>(Guo et al., 2019)</w:t>
                </w:r>
              </w:p>
            </w:tc>
          </w:sdtContent>
        </w:sdt>
      </w:tr>
      <w:tr w:rsidR="006101AB" w:rsidRPr="002A5DA1" w14:paraId="19AF464C" w14:textId="77777777" w:rsidTr="006101AB">
        <w:tc>
          <w:tcPr>
            <w:tcW w:w="645" w:type="pct"/>
            <w:shd w:val="clear" w:color="auto" w:fill="FFFFFF"/>
          </w:tcPr>
          <w:p w14:paraId="6D52A795" w14:textId="40EF4FED" w:rsidR="006101AB" w:rsidRPr="00D0541C" w:rsidRDefault="006101AB" w:rsidP="006101AB">
            <w:pPr>
              <w:pStyle w:val="CETBodytext"/>
              <w:ind w:right="-1"/>
              <w:jc w:val="center"/>
              <w:rPr>
                <w:rFonts w:cs="Arial"/>
                <w:szCs w:val="18"/>
                <w:lang w:val="en-GB"/>
              </w:rPr>
            </w:pPr>
            <w:r w:rsidRPr="00D0541C">
              <w:rPr>
                <w:rFonts w:cs="Arial"/>
                <w:szCs w:val="18"/>
                <w:lang w:val="en-GB"/>
              </w:rPr>
              <w:t>Cu</w:t>
            </w:r>
            <w:r w:rsidR="00213034" w:rsidRPr="00D0541C">
              <w:rPr>
                <w:color w:val="000000" w:themeColor="text1"/>
                <w:vertAlign w:val="superscript"/>
                <w:lang w:val="en-GB"/>
              </w:rPr>
              <w:t>2+</w:t>
            </w:r>
          </w:p>
        </w:tc>
        <w:tc>
          <w:tcPr>
            <w:tcW w:w="1372" w:type="pct"/>
            <w:shd w:val="clear" w:color="auto" w:fill="FFFFFF"/>
            <w:vAlign w:val="center"/>
          </w:tcPr>
          <w:p w14:paraId="16F3FF56" w14:textId="61106995" w:rsidR="006101AB" w:rsidRPr="00D0541C" w:rsidRDefault="006101AB" w:rsidP="006101AB">
            <w:pPr>
              <w:pStyle w:val="CETBodytext"/>
              <w:ind w:right="-1"/>
              <w:jc w:val="center"/>
              <w:rPr>
                <w:rFonts w:cs="Arial"/>
                <w:color w:val="000000" w:themeColor="text1"/>
                <w:szCs w:val="18"/>
                <w:lang w:val="en-GB"/>
              </w:rPr>
            </w:pPr>
            <w:r w:rsidRPr="00D0541C">
              <w:rPr>
                <w:rFonts w:cs="Arial"/>
                <w:color w:val="000000" w:themeColor="text1"/>
                <w:szCs w:val="18"/>
                <w:lang w:val="en-GB"/>
              </w:rPr>
              <w:t>34</w:t>
            </w:r>
            <w:r w:rsidR="005303D2">
              <w:rPr>
                <w:rFonts w:cs="Arial"/>
                <w:color w:val="000000" w:themeColor="text1"/>
                <w:szCs w:val="18"/>
                <w:lang w:val="en-GB"/>
              </w:rPr>
              <w:t>.</w:t>
            </w:r>
            <w:r w:rsidRPr="00D0541C">
              <w:rPr>
                <w:rFonts w:cs="Arial"/>
                <w:color w:val="000000" w:themeColor="text1"/>
                <w:szCs w:val="18"/>
                <w:lang w:val="en-GB"/>
              </w:rPr>
              <w:t>34</w:t>
            </w:r>
          </w:p>
        </w:tc>
        <w:tc>
          <w:tcPr>
            <w:tcW w:w="1210" w:type="pct"/>
            <w:shd w:val="clear" w:color="auto" w:fill="FFFFFF"/>
            <w:vAlign w:val="center"/>
          </w:tcPr>
          <w:p w14:paraId="2857A77C" w14:textId="6E6D0FE0" w:rsidR="006101AB" w:rsidRPr="00D37637" w:rsidRDefault="006101AB" w:rsidP="006101AB">
            <w:pPr>
              <w:pStyle w:val="CETBodytext"/>
              <w:ind w:right="-1"/>
              <w:jc w:val="center"/>
              <w:rPr>
                <w:rFonts w:cs="Arial"/>
                <w:color w:val="FF0000"/>
                <w:szCs w:val="18"/>
                <w:lang w:val="en-GB"/>
              </w:rPr>
            </w:pPr>
            <w:r>
              <w:rPr>
                <w:rFonts w:cs="Arial"/>
                <w:szCs w:val="18"/>
                <w:lang w:val="en-GB"/>
              </w:rPr>
              <w:t>500</w:t>
            </w:r>
          </w:p>
        </w:tc>
        <w:sdt>
          <w:sdtPr>
            <w:rPr>
              <w:rFonts w:cs="Arial"/>
              <w:color w:val="000000"/>
              <w:szCs w:val="18"/>
              <w:lang w:val="en-GB"/>
            </w:rPr>
            <w:tag w:val="MENDELEY_CITATION_v3_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"/>
            <w:id w:val="313835057"/>
            <w:placeholder>
              <w:docPart w:val="DE5E476A8DFF6648AAE87C4E9407A4DD"/>
            </w:placeholder>
          </w:sdtPr>
          <w:sdtContent>
            <w:tc>
              <w:tcPr>
                <w:tcW w:w="1773" w:type="pct"/>
                <w:shd w:val="clear" w:color="auto" w:fill="FFFFFF"/>
                <w:vAlign w:val="center"/>
              </w:tcPr>
              <w:p w14:paraId="45C10A27" w14:textId="04CDA1EF" w:rsidR="006101AB" w:rsidRPr="00B2184B" w:rsidRDefault="005F0D70" w:rsidP="006101AB">
                <w:pPr>
                  <w:pStyle w:val="CETBodytext"/>
                  <w:ind w:right="-1"/>
                  <w:jc w:val="center"/>
                  <w:rPr>
                    <w:rFonts w:cs="Arial"/>
                    <w:szCs w:val="18"/>
                    <w:lang w:val="nl-NL"/>
                  </w:rPr>
                </w:pPr>
                <w:r w:rsidRPr="00B2184B">
                  <w:rPr>
                    <w:rFonts w:cs="Arial"/>
                    <w:color w:val="000000"/>
                    <w:szCs w:val="18"/>
                    <w:lang w:val="nl-NL"/>
                  </w:rPr>
                  <w:t>(</w:t>
                </w:r>
                <w:proofErr w:type="spellStart"/>
                <w:r w:rsidRPr="00B2184B">
                  <w:rPr>
                    <w:rFonts w:cs="Arial"/>
                    <w:color w:val="000000"/>
                    <w:szCs w:val="18"/>
                    <w:lang w:val="nl-NL"/>
                  </w:rPr>
                  <w:t>Guo</w:t>
                </w:r>
                <w:proofErr w:type="spellEnd"/>
                <w:r w:rsidRPr="00B2184B">
                  <w:rPr>
                    <w:rFonts w:cs="Arial"/>
                    <w:color w:val="000000"/>
                    <w:szCs w:val="18"/>
                    <w:lang w:val="nl-NL"/>
                  </w:rPr>
                  <w:t xml:space="preserve"> et al., 2019; </w:t>
                </w:r>
                <w:proofErr w:type="spellStart"/>
                <w:r w:rsidRPr="00B2184B">
                  <w:rPr>
                    <w:rFonts w:cs="Arial"/>
                    <w:color w:val="000000"/>
                    <w:szCs w:val="18"/>
                    <w:lang w:val="nl-NL"/>
                  </w:rPr>
                  <w:t>Kadam</w:t>
                </w:r>
                <w:proofErr w:type="spellEnd"/>
                <w:r w:rsidRPr="00B2184B">
                  <w:rPr>
                    <w:rFonts w:cs="Arial"/>
                    <w:color w:val="000000"/>
                    <w:szCs w:val="18"/>
                    <w:lang w:val="nl-NL"/>
                  </w:rPr>
                  <w:t xml:space="preserve"> et al., 2022)</w:t>
                </w:r>
              </w:p>
            </w:tc>
          </w:sdtContent>
        </w:sdt>
      </w:tr>
      <w:tr w:rsidR="006101AB" w:rsidRPr="002A5DA1" w14:paraId="6A012094" w14:textId="77777777" w:rsidTr="006101AB">
        <w:tc>
          <w:tcPr>
            <w:tcW w:w="645" w:type="pct"/>
            <w:shd w:val="clear" w:color="auto" w:fill="FFFFFF"/>
          </w:tcPr>
          <w:p w14:paraId="74289A10" w14:textId="37DA0A6B" w:rsidR="006101AB" w:rsidRPr="00D0541C" w:rsidRDefault="006101AB" w:rsidP="006101AB">
            <w:pPr>
              <w:pStyle w:val="CETBodytext"/>
              <w:ind w:right="-1"/>
              <w:jc w:val="center"/>
              <w:rPr>
                <w:rFonts w:cs="Arial"/>
                <w:szCs w:val="18"/>
                <w:lang w:val="en-GB"/>
              </w:rPr>
            </w:pPr>
            <w:r w:rsidRPr="00D0541C">
              <w:rPr>
                <w:rFonts w:cs="Arial"/>
                <w:szCs w:val="18"/>
                <w:lang w:val="en-GB"/>
              </w:rPr>
              <w:t>Cd</w:t>
            </w:r>
            <w:r w:rsidR="00213034" w:rsidRPr="00D0541C">
              <w:rPr>
                <w:color w:val="000000" w:themeColor="text1"/>
                <w:vertAlign w:val="superscript"/>
                <w:lang w:val="en-GB"/>
              </w:rPr>
              <w:t>2+</w:t>
            </w:r>
          </w:p>
        </w:tc>
        <w:tc>
          <w:tcPr>
            <w:tcW w:w="1372" w:type="pct"/>
            <w:shd w:val="clear" w:color="auto" w:fill="FFFFFF"/>
            <w:vAlign w:val="center"/>
          </w:tcPr>
          <w:p w14:paraId="54AB4A74" w14:textId="5BC0D23C" w:rsidR="006101AB" w:rsidRPr="00D0541C" w:rsidRDefault="006101AB" w:rsidP="006101AB">
            <w:pPr>
              <w:pStyle w:val="CETBodytext"/>
              <w:ind w:right="-1"/>
              <w:jc w:val="center"/>
              <w:rPr>
                <w:rFonts w:cs="Arial"/>
                <w:color w:val="000000" w:themeColor="text1"/>
                <w:szCs w:val="18"/>
                <w:lang w:val="en-GB"/>
              </w:rPr>
            </w:pPr>
            <w:r w:rsidRPr="00D0541C">
              <w:rPr>
                <w:rFonts w:cs="Arial"/>
                <w:color w:val="000000" w:themeColor="text1"/>
                <w:szCs w:val="18"/>
                <w:lang w:val="en-GB"/>
              </w:rPr>
              <w:t>2</w:t>
            </w:r>
            <w:r w:rsidR="005303D2">
              <w:rPr>
                <w:rFonts w:cs="Arial"/>
                <w:color w:val="000000" w:themeColor="text1"/>
                <w:szCs w:val="18"/>
                <w:lang w:val="en-GB"/>
              </w:rPr>
              <w:t>.</w:t>
            </w:r>
            <w:r w:rsidRPr="00D0541C">
              <w:rPr>
                <w:rFonts w:cs="Arial"/>
                <w:color w:val="000000" w:themeColor="text1"/>
                <w:szCs w:val="18"/>
                <w:lang w:val="en-GB"/>
              </w:rPr>
              <w:t>62</w:t>
            </w:r>
          </w:p>
        </w:tc>
        <w:tc>
          <w:tcPr>
            <w:tcW w:w="1210" w:type="pct"/>
            <w:shd w:val="clear" w:color="auto" w:fill="FFFFFF"/>
            <w:vAlign w:val="center"/>
          </w:tcPr>
          <w:p w14:paraId="17907D8C" w14:textId="1A7B5B79" w:rsidR="006101AB" w:rsidRPr="00B57B36" w:rsidRDefault="006101AB" w:rsidP="006101AB">
            <w:pPr>
              <w:pStyle w:val="CETBodytext"/>
              <w:ind w:right="-1"/>
              <w:jc w:val="center"/>
              <w:rPr>
                <w:rFonts w:cs="Arial"/>
                <w:szCs w:val="18"/>
                <w:lang w:val="en-GB"/>
              </w:rPr>
            </w:pPr>
            <w:r>
              <w:rPr>
                <w:rFonts w:cs="Arial"/>
                <w:szCs w:val="18"/>
                <w:lang w:val="en-GB"/>
              </w:rPr>
              <w:t>1</w:t>
            </w:r>
            <w:r w:rsidR="005303D2">
              <w:rPr>
                <w:rFonts w:cs="Arial"/>
                <w:szCs w:val="18"/>
                <w:lang w:val="en-GB"/>
              </w:rPr>
              <w:t>.</w:t>
            </w:r>
            <w:r>
              <w:rPr>
                <w:rFonts w:cs="Arial"/>
                <w:szCs w:val="18"/>
                <w:lang w:val="en-GB"/>
              </w:rPr>
              <w:t>2</w:t>
            </w:r>
          </w:p>
        </w:tc>
        <w:sdt>
          <w:sdtPr>
            <w:rPr>
              <w:rFonts w:cs="Arial"/>
              <w:color w:val="000000"/>
              <w:szCs w:val="18"/>
              <w:lang w:val="en-GB"/>
            </w:rPr>
            <w:tag w:val="MENDELEY_CITATION_v3_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"/>
            <w:id w:val="-1375226410"/>
            <w:placeholder>
              <w:docPart w:val="EAC017AB6EFC3F4DADAA4D5B19CD6148"/>
            </w:placeholder>
          </w:sdtPr>
          <w:sdtContent>
            <w:tc>
              <w:tcPr>
                <w:tcW w:w="1773" w:type="pct"/>
                <w:shd w:val="clear" w:color="auto" w:fill="FFFFFF"/>
                <w:vAlign w:val="center"/>
              </w:tcPr>
              <w:p w14:paraId="1D2D32C3" w14:textId="0A18D11C" w:rsidR="006101AB" w:rsidRPr="00B2184B" w:rsidRDefault="005F0D70" w:rsidP="006101AB">
                <w:pPr>
                  <w:pStyle w:val="CETBodytext"/>
                  <w:ind w:right="-1"/>
                  <w:jc w:val="center"/>
                  <w:rPr>
                    <w:rFonts w:cs="Arial"/>
                    <w:szCs w:val="18"/>
                    <w:lang w:val="nl-NL"/>
                  </w:rPr>
                </w:pPr>
                <w:r w:rsidRPr="00B2184B">
                  <w:rPr>
                    <w:rFonts w:cs="Arial"/>
                    <w:color w:val="000000"/>
                    <w:szCs w:val="18"/>
                    <w:lang w:val="nl-NL"/>
                  </w:rPr>
                  <w:t>(</w:t>
                </w:r>
                <w:proofErr w:type="spellStart"/>
                <w:r w:rsidRPr="00B2184B">
                  <w:rPr>
                    <w:rFonts w:cs="Arial"/>
                    <w:color w:val="000000"/>
                    <w:szCs w:val="18"/>
                    <w:lang w:val="nl-NL"/>
                  </w:rPr>
                  <w:t>Guo</w:t>
                </w:r>
                <w:proofErr w:type="spellEnd"/>
                <w:r w:rsidRPr="00B2184B">
                  <w:rPr>
                    <w:rFonts w:cs="Arial"/>
                    <w:color w:val="000000"/>
                    <w:szCs w:val="18"/>
                    <w:lang w:val="nl-NL"/>
                  </w:rPr>
                  <w:t xml:space="preserve"> et al., 2019; </w:t>
                </w:r>
                <w:proofErr w:type="spellStart"/>
                <w:r w:rsidRPr="00B2184B">
                  <w:rPr>
                    <w:rFonts w:cs="Arial"/>
                    <w:color w:val="000000"/>
                    <w:szCs w:val="18"/>
                    <w:lang w:val="nl-NL"/>
                  </w:rPr>
                  <w:t>Kadam</w:t>
                </w:r>
                <w:proofErr w:type="spellEnd"/>
                <w:r w:rsidRPr="00B2184B">
                  <w:rPr>
                    <w:rFonts w:cs="Arial"/>
                    <w:color w:val="000000"/>
                    <w:szCs w:val="18"/>
                    <w:lang w:val="nl-NL"/>
                  </w:rPr>
                  <w:t xml:space="preserve"> et al., 2022)</w:t>
                </w:r>
              </w:p>
            </w:tc>
          </w:sdtContent>
        </w:sdt>
      </w:tr>
      <w:tr w:rsidR="006101AB" w:rsidRPr="00B57B36" w14:paraId="6A3FDB50" w14:textId="77777777" w:rsidTr="006101AB">
        <w:tc>
          <w:tcPr>
            <w:tcW w:w="645" w:type="pct"/>
            <w:shd w:val="clear" w:color="auto" w:fill="FFFFFF"/>
          </w:tcPr>
          <w:p w14:paraId="484BC161" w14:textId="42CE841C" w:rsidR="006101AB" w:rsidRPr="00D0541C" w:rsidRDefault="006101AB" w:rsidP="006101AB">
            <w:pPr>
              <w:pStyle w:val="CETBodytext"/>
              <w:ind w:right="-1"/>
              <w:jc w:val="center"/>
              <w:rPr>
                <w:rFonts w:cs="Arial"/>
                <w:szCs w:val="18"/>
                <w:lang w:val="en-GB"/>
              </w:rPr>
            </w:pPr>
            <w:r w:rsidRPr="00D0541C">
              <w:rPr>
                <w:rFonts w:cs="Arial"/>
                <w:szCs w:val="18"/>
                <w:lang w:val="en-GB"/>
              </w:rPr>
              <w:t>Zn</w:t>
            </w:r>
            <w:r w:rsidR="00213034" w:rsidRPr="00D0541C">
              <w:rPr>
                <w:color w:val="000000" w:themeColor="text1"/>
                <w:vertAlign w:val="superscript"/>
                <w:lang w:val="en-GB"/>
              </w:rPr>
              <w:t>2+</w:t>
            </w:r>
          </w:p>
        </w:tc>
        <w:tc>
          <w:tcPr>
            <w:tcW w:w="1372" w:type="pct"/>
            <w:shd w:val="clear" w:color="auto" w:fill="FFFFFF"/>
            <w:vAlign w:val="center"/>
          </w:tcPr>
          <w:p w14:paraId="1D468A7F" w14:textId="47D6E910" w:rsidR="006101AB" w:rsidRPr="00D0541C" w:rsidRDefault="006101AB" w:rsidP="006101AB">
            <w:pPr>
              <w:pStyle w:val="CETBodytext"/>
              <w:ind w:right="-1"/>
              <w:jc w:val="center"/>
              <w:rPr>
                <w:rFonts w:cs="Arial"/>
                <w:color w:val="000000" w:themeColor="text1"/>
                <w:szCs w:val="18"/>
                <w:lang w:val="en-GB"/>
              </w:rPr>
            </w:pPr>
            <w:r w:rsidRPr="00D0541C">
              <w:rPr>
                <w:rFonts w:cs="Arial"/>
                <w:color w:val="000000" w:themeColor="text1"/>
                <w:szCs w:val="18"/>
                <w:lang w:val="en-GB"/>
              </w:rPr>
              <w:t>9</w:t>
            </w:r>
            <w:r w:rsidR="005303D2">
              <w:rPr>
                <w:rFonts w:cs="Arial"/>
                <w:color w:val="000000" w:themeColor="text1"/>
                <w:szCs w:val="18"/>
                <w:lang w:val="en-GB"/>
              </w:rPr>
              <w:t>.</w:t>
            </w:r>
            <w:r w:rsidRPr="00D0541C">
              <w:rPr>
                <w:rFonts w:cs="Arial"/>
                <w:color w:val="000000" w:themeColor="text1"/>
                <w:szCs w:val="18"/>
                <w:lang w:val="en-GB"/>
              </w:rPr>
              <w:t>89</w:t>
            </w:r>
          </w:p>
        </w:tc>
        <w:tc>
          <w:tcPr>
            <w:tcW w:w="1210" w:type="pct"/>
            <w:shd w:val="clear" w:color="auto" w:fill="FFFFFF"/>
            <w:vAlign w:val="center"/>
          </w:tcPr>
          <w:p w14:paraId="31E55F61" w14:textId="53BD5375" w:rsidR="006101AB" w:rsidRPr="00B57B36" w:rsidRDefault="006101AB" w:rsidP="006101AB">
            <w:pPr>
              <w:pStyle w:val="CETBodytext"/>
              <w:ind w:right="-1"/>
              <w:jc w:val="center"/>
              <w:rPr>
                <w:rFonts w:cs="Arial"/>
                <w:szCs w:val="18"/>
                <w:lang w:val="en-GB"/>
              </w:rPr>
            </w:pPr>
            <w:r>
              <w:rPr>
                <w:rFonts w:cs="Arial"/>
                <w:szCs w:val="18"/>
                <w:lang w:val="en-GB"/>
              </w:rPr>
              <w:t>50</w:t>
            </w:r>
          </w:p>
        </w:tc>
        <w:sdt>
          <w:sdtPr>
            <w:rPr>
              <w:rFonts w:cs="Arial"/>
              <w:color w:val="000000"/>
              <w:szCs w:val="18"/>
              <w:lang w:val="en-GB"/>
            </w:rPr>
            <w:tag w:val="MENDELEY_CITATION_v3_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"/>
            <w:id w:val="-182512367"/>
            <w:placeholder>
              <w:docPart w:val="5592CFDBFE2C3C4F90C917C657A47B41"/>
            </w:placeholder>
          </w:sdtPr>
          <w:sdtContent>
            <w:tc>
              <w:tcPr>
                <w:tcW w:w="1773" w:type="pct"/>
                <w:shd w:val="clear" w:color="auto" w:fill="FFFFFF"/>
                <w:vAlign w:val="center"/>
              </w:tcPr>
              <w:p w14:paraId="4788E82D" w14:textId="6A7A92CD" w:rsidR="006101AB" w:rsidRPr="00B57B36" w:rsidRDefault="005F0D70" w:rsidP="006101AB">
                <w:pPr>
                  <w:pStyle w:val="CETBodytext"/>
                  <w:ind w:right="-1"/>
                  <w:jc w:val="center"/>
                  <w:rPr>
                    <w:rFonts w:cs="Arial"/>
                    <w:szCs w:val="18"/>
                    <w:lang w:val="en-GB"/>
                  </w:rPr>
                </w:pPr>
                <w:r w:rsidRPr="005F0D70">
                  <w:rPr>
                    <w:rFonts w:cs="Arial"/>
                    <w:color w:val="000000"/>
                    <w:szCs w:val="18"/>
                    <w:lang w:val="en-GB"/>
                  </w:rPr>
                  <w:t>(Kadam et al., 2022)</w:t>
                </w:r>
              </w:p>
            </w:tc>
          </w:sdtContent>
        </w:sdt>
      </w:tr>
      <w:tr w:rsidR="0081321C" w:rsidRPr="00B57B36" w14:paraId="10EDD58C" w14:textId="77777777" w:rsidTr="006101AB">
        <w:tc>
          <w:tcPr>
            <w:tcW w:w="645" w:type="pct"/>
            <w:shd w:val="clear" w:color="auto" w:fill="FFFFFF"/>
          </w:tcPr>
          <w:p w14:paraId="292A0EF7" w14:textId="11277C1D" w:rsidR="0081321C" w:rsidRPr="0081321C" w:rsidRDefault="0081321C" w:rsidP="006101AB">
            <w:pPr>
              <w:pStyle w:val="CETBodytext"/>
              <w:ind w:right="-1"/>
              <w:jc w:val="center"/>
              <w:rPr>
                <w:rFonts w:cs="Arial"/>
                <w:szCs w:val="18"/>
                <w:vertAlign w:val="superscript"/>
                <w:lang w:val="en-GB"/>
              </w:rPr>
            </w:pPr>
            <w:r>
              <w:rPr>
                <w:rFonts w:cs="Arial"/>
                <w:szCs w:val="18"/>
                <w:lang w:val="en-GB"/>
              </w:rPr>
              <w:t>Pb</w:t>
            </w:r>
            <w:r>
              <w:rPr>
                <w:rFonts w:cs="Arial"/>
                <w:szCs w:val="18"/>
                <w:vertAlign w:val="superscript"/>
                <w:lang w:val="en-GB"/>
              </w:rPr>
              <w:t>2+</w:t>
            </w:r>
          </w:p>
        </w:tc>
        <w:tc>
          <w:tcPr>
            <w:tcW w:w="1372" w:type="pct"/>
            <w:shd w:val="clear" w:color="auto" w:fill="FFFFFF"/>
            <w:vAlign w:val="center"/>
          </w:tcPr>
          <w:p w14:paraId="4D8CF0A6" w14:textId="06DFB314" w:rsidR="0081321C" w:rsidRPr="00D0541C" w:rsidRDefault="0081321C" w:rsidP="006101AB">
            <w:pPr>
              <w:pStyle w:val="CETBodytext"/>
              <w:ind w:right="-1"/>
              <w:jc w:val="center"/>
              <w:rPr>
                <w:rFonts w:cs="Arial"/>
                <w:color w:val="000000" w:themeColor="text1"/>
                <w:szCs w:val="18"/>
                <w:lang w:val="en-GB"/>
              </w:rPr>
            </w:pPr>
            <w:r>
              <w:rPr>
                <w:rFonts w:cs="Arial"/>
                <w:color w:val="000000" w:themeColor="text1"/>
                <w:szCs w:val="18"/>
                <w:lang w:val="en-GB"/>
              </w:rPr>
              <w:t>0.62</w:t>
            </w:r>
          </w:p>
        </w:tc>
        <w:tc>
          <w:tcPr>
            <w:tcW w:w="1210" w:type="pct"/>
            <w:shd w:val="clear" w:color="auto" w:fill="FFFFFF"/>
            <w:vAlign w:val="center"/>
          </w:tcPr>
          <w:p w14:paraId="32F8DEC1" w14:textId="466BCF6B" w:rsidR="0081321C" w:rsidRDefault="0081321C" w:rsidP="006101AB">
            <w:pPr>
              <w:pStyle w:val="CETBodytext"/>
              <w:ind w:right="-1"/>
              <w:jc w:val="center"/>
              <w:rPr>
                <w:rFonts w:cs="Arial"/>
                <w:szCs w:val="18"/>
                <w:lang w:val="en-GB"/>
              </w:rPr>
            </w:pPr>
            <w:r>
              <w:rPr>
                <w:rFonts w:cs="Arial"/>
                <w:szCs w:val="18"/>
                <w:lang w:val="en-GB"/>
              </w:rPr>
              <w:t>350.3</w:t>
            </w:r>
          </w:p>
        </w:tc>
        <w:sdt>
          <w:sdtPr>
            <w:rPr>
              <w:rFonts w:cs="Arial"/>
              <w:color w:val="000000"/>
              <w:szCs w:val="18"/>
              <w:lang w:val="en-GB"/>
            </w:rPr>
            <w:tag w:val="MENDELEY_CITATION_v3_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"/>
            <w:id w:val="-1307232321"/>
            <w:placeholder>
              <w:docPart w:val="36E3CF3F64021544BA079CF6219A5FA5"/>
            </w:placeholder>
          </w:sdtPr>
          <w:sdtContent>
            <w:tc>
              <w:tcPr>
                <w:tcW w:w="1773" w:type="pct"/>
                <w:shd w:val="clear" w:color="auto" w:fill="FFFFFF"/>
                <w:vAlign w:val="center"/>
              </w:tcPr>
              <w:p w14:paraId="108672C6" w14:textId="7373E95F" w:rsidR="0081321C" w:rsidRDefault="0081321C" w:rsidP="006101AB">
                <w:pPr>
                  <w:pStyle w:val="CETBodytext"/>
                  <w:ind w:right="-1"/>
                  <w:jc w:val="center"/>
                  <w:rPr>
                    <w:rFonts w:cs="Arial"/>
                    <w:color w:val="000000"/>
                    <w:szCs w:val="18"/>
                    <w:lang w:val="en-GB"/>
                  </w:rPr>
                </w:pPr>
                <w:r w:rsidRPr="005F0D70">
                  <w:rPr>
                    <w:rFonts w:cs="Arial"/>
                    <w:color w:val="000000"/>
                    <w:szCs w:val="18"/>
                    <w:lang w:val="en-GB"/>
                  </w:rPr>
                  <w:t>(Kadam et al., 2022)</w:t>
                </w:r>
              </w:p>
            </w:tc>
          </w:sdtContent>
        </w:sdt>
      </w:tr>
    </w:tbl>
    <w:p w14:paraId="1B335525" w14:textId="77777777" w:rsidR="00DF7EB8" w:rsidRDefault="00DF7EB8" w:rsidP="00DF7EB8">
      <w:pPr>
        <w:pStyle w:val="CETBodytext"/>
      </w:pPr>
    </w:p>
    <w:p w14:paraId="3BC31460" w14:textId="3F6F034F" w:rsidR="00DF7EB8" w:rsidRPr="00B2184B" w:rsidRDefault="004D0A9E" w:rsidP="00DF7EB8">
      <w:pPr>
        <w:pStyle w:val="CETBodytext"/>
        <w:rPr>
          <w:color w:val="000000" w:themeColor="text1"/>
        </w:rPr>
      </w:pPr>
      <w:r w:rsidRPr="00D0541C">
        <w:rPr>
          <w:lang w:eastAsia="it-IT"/>
        </w:rPr>
        <w:t>NH</w:t>
      </w:r>
      <w:r w:rsidRPr="00D0541C">
        <w:rPr>
          <w:vertAlign w:val="subscript"/>
          <w:lang w:eastAsia="it-IT"/>
        </w:rPr>
        <w:t>4</w:t>
      </w:r>
      <w:r w:rsidRPr="00D0541C">
        <w:rPr>
          <w:vertAlign w:val="superscript"/>
          <w:lang w:eastAsia="it-IT"/>
        </w:rPr>
        <w:t>+</w:t>
      </w:r>
      <w:r w:rsidR="00DF7EB8" w:rsidRPr="00D0541C">
        <w:rPr>
          <w:color w:val="000000" w:themeColor="text1"/>
        </w:rPr>
        <w:t xml:space="preserve"> adsorption tests showed consistently low removal efficiencies for all </w:t>
      </w:r>
      <w:proofErr w:type="spellStart"/>
      <w:r w:rsidR="00DF7EB8" w:rsidRPr="00D0541C">
        <w:rPr>
          <w:color w:val="000000" w:themeColor="text1"/>
        </w:rPr>
        <w:t>biochar</w:t>
      </w:r>
      <w:r w:rsidR="00FC22DC" w:rsidRPr="00D0541C">
        <w:rPr>
          <w:color w:val="000000" w:themeColor="text1"/>
        </w:rPr>
        <w:t>s</w:t>
      </w:r>
      <w:proofErr w:type="spellEnd"/>
      <w:r w:rsidR="00FC22DC" w:rsidRPr="00D0541C">
        <w:rPr>
          <w:color w:val="000000" w:themeColor="text1"/>
        </w:rPr>
        <w:t xml:space="preserve">, </w:t>
      </w:r>
      <w:r w:rsidR="00DF7EB8" w:rsidRPr="00D0541C">
        <w:rPr>
          <w:color w:val="000000" w:themeColor="text1"/>
        </w:rPr>
        <w:t xml:space="preserve">with values remaining below 10% after 3.5 h of contact time and below 5% for TP-900. Only minor differences among samples were observed, with slightly higher removal for TP-500 and TP-700 compared to the other materials. Overall, the limited adsorption capacity reflects the low affinity of biochar for </w:t>
      </w:r>
      <w:r w:rsidRPr="00D0541C">
        <w:rPr>
          <w:lang w:eastAsia="it-IT"/>
        </w:rPr>
        <w:t>NH</w:t>
      </w:r>
      <w:r w:rsidRPr="00D0541C">
        <w:rPr>
          <w:vertAlign w:val="subscript"/>
          <w:lang w:eastAsia="it-IT"/>
        </w:rPr>
        <w:t>4</w:t>
      </w:r>
      <w:r w:rsidRPr="00D0541C">
        <w:rPr>
          <w:vertAlign w:val="superscript"/>
          <w:lang w:eastAsia="it-IT"/>
        </w:rPr>
        <w:t>+</w:t>
      </w:r>
      <w:r w:rsidRPr="00D0541C">
        <w:rPr>
          <w:color w:val="000000" w:themeColor="text1"/>
        </w:rPr>
        <w:t xml:space="preserve"> </w:t>
      </w:r>
      <w:r w:rsidR="00DF7EB8" w:rsidRPr="00D0541C">
        <w:rPr>
          <w:color w:val="000000" w:themeColor="text1"/>
        </w:rPr>
        <w:t xml:space="preserve">under the tested conditions. From an application perspective, these results are consistent with </w:t>
      </w:r>
      <w:r w:rsidR="00FC22DC" w:rsidRPr="00D0541C">
        <w:rPr>
          <w:lang w:val="en-GB"/>
        </w:rPr>
        <w:t>NH</w:t>
      </w:r>
      <w:r w:rsidR="00FC22DC" w:rsidRPr="00D0541C">
        <w:rPr>
          <w:rFonts w:ascii="Cambria Math" w:hAnsi="Cambria Math" w:cs="Cambria Math"/>
          <w:lang w:val="en-GB"/>
        </w:rPr>
        <w:t>₄⁺</w:t>
      </w:r>
      <w:r w:rsidR="00FC22DC" w:rsidRPr="00D0541C">
        <w:rPr>
          <w:color w:val="000000" w:themeColor="text1"/>
          <w:lang w:val="en-GB"/>
        </w:rPr>
        <w:t xml:space="preserve"> </w:t>
      </w:r>
      <w:r w:rsidR="00DF7EB8" w:rsidRPr="00D0541C">
        <w:rPr>
          <w:color w:val="000000" w:themeColor="text1"/>
        </w:rPr>
        <w:t>role</w:t>
      </w:r>
      <w:r w:rsidR="00FC22DC" w:rsidRPr="00D0541C">
        <w:rPr>
          <w:color w:val="000000" w:themeColor="text1"/>
        </w:rPr>
        <w:t xml:space="preserve"> </w:t>
      </w:r>
      <w:r w:rsidR="00DF7EB8" w:rsidRPr="00D0541C">
        <w:rPr>
          <w:color w:val="000000" w:themeColor="text1"/>
        </w:rPr>
        <w:t xml:space="preserve">as an essential nutrient in </w:t>
      </w:r>
      <w:r w:rsidR="00FC22DC" w:rsidRPr="00D0541C">
        <w:rPr>
          <w:color w:val="000000" w:themeColor="text1"/>
        </w:rPr>
        <w:t>AD</w:t>
      </w:r>
      <w:r w:rsidR="00DF7EB8" w:rsidRPr="00D0541C">
        <w:rPr>
          <w:color w:val="000000" w:themeColor="text1"/>
        </w:rPr>
        <w:t>.</w:t>
      </w:r>
      <w:r w:rsidR="00DF7EB8" w:rsidRPr="00B2184B">
        <w:rPr>
          <w:color w:val="000000" w:themeColor="text1"/>
        </w:rPr>
        <w:t xml:space="preserve"> The low removal ensures that nitrogen availability is preserved, avoiding potential limitations to microbial activity. Moreover, final ammonium concentrations remain below reported inhibitory thresholds, confirming that no adverse effects on the process are expected.</w:t>
      </w:r>
    </w:p>
    <w:p w14:paraId="42F6C47D" w14:textId="6ECCA8DF" w:rsidR="004C7963" w:rsidRDefault="00505AF6" w:rsidP="004C7963">
      <w:pPr>
        <w:pStyle w:val="CETheadingx"/>
      </w:pPr>
      <w:r>
        <w:t>Anaerobic digestion experiments</w:t>
      </w:r>
    </w:p>
    <w:p w14:paraId="78E2351A" w14:textId="13EE5594" w:rsidR="00FC4B12" w:rsidRPr="00C8724A" w:rsidRDefault="00FC4B12" w:rsidP="00FC4B12">
      <w:pPr>
        <w:pStyle w:val="CETBodytext"/>
        <w:rPr>
          <w:color w:val="000000" w:themeColor="text1"/>
        </w:rPr>
      </w:pPr>
      <w:r w:rsidRPr="00C8724A">
        <w:rPr>
          <w:color w:val="000000" w:themeColor="text1"/>
          <w:lang w:val="en-GB"/>
        </w:rPr>
        <w:t>Anaerobic digestion experiments were conducted as single measurements; therefore, variability and statistical dispersion could not be assessed.</w:t>
      </w:r>
    </w:p>
    <w:p w14:paraId="5022DD73" w14:textId="795D26B5" w:rsidR="00505AF6" w:rsidRPr="00D0541C" w:rsidRDefault="00505AF6" w:rsidP="00505AF6">
      <w:pPr>
        <w:pStyle w:val="CETHeadingxx"/>
      </w:pPr>
      <w:r>
        <w:t>3.</w:t>
      </w:r>
      <w:r w:rsidR="004C7963">
        <w:t>3</w:t>
      </w:r>
      <w:r>
        <w:t xml:space="preserve">.1 Gas volume </w:t>
      </w:r>
      <w:r w:rsidR="004D1459" w:rsidRPr="00D0541C">
        <w:t>measurement</w:t>
      </w:r>
    </w:p>
    <w:p w14:paraId="6E62539F" w14:textId="098C5FC2" w:rsidR="00E041B1" w:rsidRPr="00D0541C" w:rsidRDefault="00E041B1" w:rsidP="00E041B1">
      <w:pPr>
        <w:pStyle w:val="CETBodytext"/>
        <w:rPr>
          <w:color w:val="FF0000"/>
        </w:rPr>
      </w:pPr>
      <w:r w:rsidRPr="00D0541C">
        <w:rPr>
          <w:color w:val="000000" w:themeColor="text1"/>
        </w:rPr>
        <w:t xml:space="preserve">Figure 2 shows the effect of biochar addition on cumulative biogas production during </w:t>
      </w:r>
      <w:r w:rsidR="00FC22DC" w:rsidRPr="00D0541C">
        <w:rPr>
          <w:color w:val="000000" w:themeColor="text1"/>
        </w:rPr>
        <w:t>AD</w:t>
      </w:r>
      <w:r w:rsidRPr="00D0541C">
        <w:rPr>
          <w:color w:val="000000" w:themeColor="text1"/>
        </w:rPr>
        <w:t xml:space="preserve">. </w:t>
      </w:r>
      <w:r w:rsidR="00FC22DC" w:rsidRPr="00D0541C">
        <w:rPr>
          <w:color w:val="000000" w:themeColor="text1"/>
        </w:rPr>
        <w:t>In</w:t>
      </w:r>
      <w:r w:rsidRPr="00D0541C">
        <w:rPr>
          <w:color w:val="000000" w:themeColor="text1"/>
        </w:rPr>
        <w:t xml:space="preserve"> 24 h, all systems exhibit</w:t>
      </w:r>
      <w:r w:rsidR="00FC22DC" w:rsidRPr="00D0541C">
        <w:rPr>
          <w:color w:val="000000" w:themeColor="text1"/>
        </w:rPr>
        <w:t>ed</w:t>
      </w:r>
      <w:r w:rsidRPr="00D0541C">
        <w:rPr>
          <w:color w:val="000000" w:themeColor="text1"/>
        </w:rPr>
        <w:t xml:space="preserve"> </w:t>
      </w:r>
      <w:r w:rsidR="00FC22DC" w:rsidRPr="00D0541C">
        <w:rPr>
          <w:color w:val="000000" w:themeColor="text1"/>
        </w:rPr>
        <w:t xml:space="preserve">a </w:t>
      </w:r>
      <w:r w:rsidRPr="00D0541C">
        <w:rPr>
          <w:color w:val="000000" w:themeColor="text1"/>
        </w:rPr>
        <w:t>similar trend, indicating comparable initial process conditions. After this phase, differences among samples become evident. In particular, TP-700 shows a consistently lower biogas production compared to the other conditions, while TP-500 exhibits the highest cumulative production throughout the test. From the second week onwards, SCG-500 and TP-900 also display higher biogas yields than the control, whereas the control system tends to stabilize earlier.</w:t>
      </w:r>
    </w:p>
    <w:p w14:paraId="01A8BD35" w14:textId="054472EA" w:rsidR="003D6CAD" w:rsidRPr="00B2184B" w:rsidRDefault="00E041B1" w:rsidP="00E041B1">
      <w:pPr>
        <w:pStyle w:val="CETBodytext"/>
        <w:rPr>
          <w:color w:val="000000" w:themeColor="text1"/>
        </w:rPr>
      </w:pPr>
      <w:r w:rsidRPr="00D0541C">
        <w:rPr>
          <w:color w:val="000000" w:themeColor="text1"/>
        </w:rPr>
        <w:t xml:space="preserve">At the end of the experimental period, TP-500 results in the highest biogas production, suggesting a more </w:t>
      </w:r>
      <w:proofErr w:type="spellStart"/>
      <w:r w:rsidRPr="00D0541C">
        <w:rPr>
          <w:color w:val="000000" w:themeColor="text1"/>
        </w:rPr>
        <w:t>favourable</w:t>
      </w:r>
      <w:proofErr w:type="spellEnd"/>
      <w:r w:rsidRPr="00D0541C">
        <w:rPr>
          <w:color w:val="000000" w:themeColor="text1"/>
        </w:rPr>
        <w:t xml:space="preserve"> interaction with the anaerobic microbial community. This </w:t>
      </w:r>
      <w:proofErr w:type="spellStart"/>
      <w:r w:rsidRPr="00D0541C">
        <w:rPr>
          <w:color w:val="000000" w:themeColor="text1"/>
        </w:rPr>
        <w:t>behaviour</w:t>
      </w:r>
      <w:proofErr w:type="spellEnd"/>
      <w:r w:rsidRPr="00D0541C">
        <w:rPr>
          <w:color w:val="000000" w:themeColor="text1"/>
        </w:rPr>
        <w:t xml:space="preserve"> </w:t>
      </w:r>
      <w:r w:rsidR="004D1459" w:rsidRPr="00D0541C">
        <w:rPr>
          <w:color w:val="000000" w:themeColor="text1"/>
        </w:rPr>
        <w:t>is linked to</w:t>
      </w:r>
      <w:r w:rsidRPr="00D0541C">
        <w:rPr>
          <w:color w:val="000000" w:themeColor="text1"/>
        </w:rPr>
        <w:t xml:space="preserve"> the physicochemical properties of the biochar, as materials produced at lower pyrolysis temperatures are typically characterized by a higher abundance of surface functional groups, </w:t>
      </w:r>
      <w:r w:rsidR="00222519" w:rsidRPr="00D0541C">
        <w:rPr>
          <w:color w:val="000000" w:themeColor="text1"/>
          <w:lang w:val="en-GB"/>
        </w:rPr>
        <w:t>which may enhance microbial activity and facilitate DIET processes</w:t>
      </w:r>
      <w:r w:rsidR="00575816" w:rsidRPr="00D0541C">
        <w:rPr>
          <w:color w:val="000000" w:themeColor="text1"/>
          <w:lang w:val="en-GB"/>
        </w:rPr>
        <w:t xml:space="preserve"> </w:t>
      </w:r>
      <w:sdt>
        <w:sdtPr>
          <w:rPr>
            <w:rFonts w:cs="Arial"/>
            <w:color w:val="000000"/>
            <w:lang w:val="en-GB"/>
          </w:rPr>
          <w:tag w:val="MENDELEY_CITATION_v3_eyJjaXRhdGlvbklEIjoiTUVOREVMRVlfQ0lUQVRJT05fOGRhM2IxZTItN2RmYi00NDUyLWEyYjktODIyNGY2NWViNjYxIiwicHJvcGVydGllcyI6eyJub3RlSW5kZXgiOjB9LCJpc0VkaXRlZCI6ZmFsc2UsIm1hbnVhbE92ZXJyaWRlIjp7ImlzTWFudWFsbHlPdmVycmlkZGVuIjpmYWxzZSwiY2l0ZXByb2NUZXh0IjoiKEZhemkgZXQgYWwuLCAyMDI2KSIsIm1hbnVhbE92ZXJyaWRlVGV4dCI6IiJ9LCJjaXRhdGlvbkl0ZW1zIjpbeyJpZCI6Ijg4ZmU4YzMyLWZlM2QtM2U2MC05M2M4LWM0NWZjN2EwNDFhYyIsIml0ZW1EYXRhIjp7InR5cGUiOiJhcnRpY2xlLWpvdXJuYWwiLCJpZCI6Ijg4ZmU4YzMyLWZlM2QtM2U2MC05M2M4LWM0NWZjN2EwNDFhYy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
          <w:id w:val="85744763"/>
          <w:placeholder>
            <w:docPart w:val="DefaultPlaceholder_-1854013440"/>
          </w:placeholder>
        </w:sdtPr>
        <w:sdtContent>
          <w:r w:rsidR="005F0D70" w:rsidRPr="00D0541C">
            <w:rPr>
              <w:rFonts w:cs="Arial"/>
              <w:color w:val="000000"/>
              <w:lang w:val="en-GB"/>
            </w:rPr>
            <w:t>(Fazi et al., 2026)</w:t>
          </w:r>
        </w:sdtContent>
      </w:sdt>
      <w:r w:rsidRPr="00D0541C">
        <w:rPr>
          <w:color w:val="000000" w:themeColor="text1"/>
        </w:rPr>
        <w:t xml:space="preserve">. In contrast, the lower performance observed for TP-700, despite its higher surface area, suggests that porosity alone is not the determining factor for process enhancement. </w:t>
      </w:r>
      <w:r w:rsidR="00213034" w:rsidRPr="00D0541C">
        <w:rPr>
          <w:color w:val="000000" w:themeColor="text1"/>
        </w:rPr>
        <w:t>G</w:t>
      </w:r>
      <w:r w:rsidRPr="00D0541C">
        <w:rPr>
          <w:color w:val="000000" w:themeColor="text1"/>
        </w:rPr>
        <w:t xml:space="preserve">as adsorption </w:t>
      </w:r>
      <w:r w:rsidR="00213034" w:rsidRPr="00D0541C">
        <w:rPr>
          <w:color w:val="000000" w:themeColor="text1"/>
        </w:rPr>
        <w:t xml:space="preserve">may also contribute. </w:t>
      </w:r>
      <w:r w:rsidRPr="00D0541C">
        <w:rPr>
          <w:color w:val="000000" w:themeColor="text1"/>
        </w:rPr>
        <w:t xml:space="preserve">The comparable </w:t>
      </w:r>
      <w:proofErr w:type="spellStart"/>
      <w:r w:rsidRPr="00D0541C">
        <w:rPr>
          <w:color w:val="000000" w:themeColor="text1"/>
        </w:rPr>
        <w:t>behaviour</w:t>
      </w:r>
      <w:proofErr w:type="spellEnd"/>
      <w:r w:rsidRPr="00D0541C">
        <w:rPr>
          <w:color w:val="000000" w:themeColor="text1"/>
        </w:rPr>
        <w:t xml:space="preserve"> observed for SCG-</w:t>
      </w:r>
      <w:proofErr w:type="gramStart"/>
      <w:r w:rsidRPr="00D0541C">
        <w:rPr>
          <w:color w:val="000000" w:themeColor="text1"/>
        </w:rPr>
        <w:t>500</w:t>
      </w:r>
      <w:proofErr w:type="gramEnd"/>
      <w:r w:rsidRPr="00D0541C">
        <w:rPr>
          <w:color w:val="000000" w:themeColor="text1"/>
        </w:rPr>
        <w:t xml:space="preserve"> and TP-900 may be related to similarities in their structural properties, while the lower performance of SCG-derived biochar can also be linked to the pre-extracted nature of the feedstock, resulting in a reduced availability of active sites. </w:t>
      </w:r>
      <w:r w:rsidR="00213034" w:rsidRPr="00D0541C">
        <w:rPr>
          <w:color w:val="000000" w:themeColor="text1"/>
        </w:rPr>
        <w:t>R</w:t>
      </w:r>
      <w:r w:rsidRPr="00D0541C">
        <w:rPr>
          <w:color w:val="000000" w:themeColor="text1"/>
        </w:rPr>
        <w:t>esults confirm</w:t>
      </w:r>
      <w:r w:rsidR="0074304C" w:rsidRPr="00D0541C">
        <w:rPr>
          <w:color w:val="000000" w:themeColor="text1"/>
        </w:rPr>
        <w:t>ed</w:t>
      </w:r>
      <w:r w:rsidRPr="00D0541C">
        <w:rPr>
          <w:color w:val="000000" w:themeColor="text1"/>
        </w:rPr>
        <w:t xml:space="preserve"> that both feedstock type and pyrolysis temperature play a key role in determining biochar performance in </w:t>
      </w:r>
      <w:r w:rsidR="0074304C" w:rsidRPr="00D0541C">
        <w:rPr>
          <w:color w:val="000000" w:themeColor="text1"/>
        </w:rPr>
        <w:t>AD</w:t>
      </w:r>
      <w:r w:rsidRPr="00D0541C">
        <w:rPr>
          <w:color w:val="000000" w:themeColor="text1"/>
        </w:rPr>
        <w:t xml:space="preserve"> systems</w:t>
      </w:r>
      <w:r w:rsidR="00213034" w:rsidRPr="00D0541C">
        <w:rPr>
          <w:color w:val="000000" w:themeColor="text1"/>
        </w:rPr>
        <w:t xml:space="preserve"> </w:t>
      </w:r>
      <w:sdt>
        <w:sdtPr>
          <w:rPr>
            <w:rFonts w:cs="Arial"/>
            <w:color w:val="000000"/>
            <w:lang w:val="it-IT"/>
          </w:rPr>
          <w:tag w:val="MENDELEY_CITATION_v3_eyJjaXRhdGlvbklEIjoiTUVOREVMRVlfQ0lUQVRJT05fNTJlOTFiZTktMzk5OS00Nzc4LWI4M2YtYjhhYWM5MTE0NmE3IiwicHJvcGVydGllcyI6eyJub3RlSW5kZXgiOjB9LCJpc0VkaXRlZCI6ZmFsc2UsIm1hbnVhbE92ZXJyaWRlIjp7ImlzTWFudWFsbHlPdmVycmlkZGVuIjpmYWxzZSwiY2l0ZXByb2NUZXh0IjoiKEZhemkgZXQgYWwuLCAyMDI2KSIsIm1hbnVhbE92ZXJyaWRlVGV4dCI6IiJ9LCJjaXRhdGlvbkl0ZW1zIjpbeyJpZCI6Ijg4ZmU4YzMyLWZlM2QtM2U2MC05M2M4LWM0NWZjN2EwNDFhYyIsIml0ZW1EYXRhIjp7InR5cGUiOiJhcnRpY2xlLWpvdXJuYWwiLCJpZCI6Ijg4ZmU4YzMyLWZlM2QtM2U2MC05M2M4LWM0NWZjN2EwNDFhYy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
          <w:id w:val="-1521624753"/>
          <w:placeholder>
            <w:docPart w:val="DefaultPlaceholder_-1854013440"/>
          </w:placeholder>
        </w:sdtPr>
        <w:sdtContent>
          <w:r w:rsidR="005F0D70" w:rsidRPr="00D0541C">
            <w:rPr>
              <w:rFonts w:cs="Arial"/>
              <w:color w:val="000000"/>
            </w:rPr>
            <w:t>(Fazi et al., 2026)</w:t>
          </w:r>
        </w:sdtContent>
      </w:sdt>
      <w:r w:rsidRPr="00D0541C">
        <w:rPr>
          <w:color w:val="000000" w:themeColor="text1"/>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8787"/>
      </w:tblGrid>
      <w:tr w:rsidR="004C7963" w14:paraId="5FCFDFBB" w14:textId="77777777" w:rsidTr="006D2857">
        <w:tc>
          <w:tcPr>
            <w:tcW w:w="8787" w:type="dxa"/>
          </w:tcPr>
          <w:p w14:paraId="4AE5753F" w14:textId="0D781D31" w:rsidR="004C7963" w:rsidRDefault="006D2857" w:rsidP="004C7963">
            <w:pPr>
              <w:pStyle w:val="CETBodytext"/>
            </w:pPr>
            <w:r>
              <w:rPr>
                <w:noProof/>
              </w:rPr>
              <w:lastRenderedPageBreak/>
              <w:drawing>
                <wp:inline distT="0" distB="0" distL="0" distR="0" wp14:anchorId="540499D2" wp14:editId="4C5F26AA">
                  <wp:extent cx="5579745" cy="2153920"/>
                  <wp:effectExtent l="0" t="0" r="0" b="5080"/>
                  <wp:docPr id="551010545" name="Grafico 1">
                    <a:extLst xmlns:a="http://schemas.openxmlformats.org/drawingml/2006/main">
                      <a:ext uri="{FF2B5EF4-FFF2-40B4-BE49-F238E27FC236}">
                        <a16:creationId xmlns:a16="http://schemas.microsoft.com/office/drawing/2014/main" id="{27AFEB49-B4BA-3847-84B2-0599B22AD5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4158E208" w14:textId="6A7F5EB8" w:rsidR="003D6CAD" w:rsidRDefault="003D6CAD" w:rsidP="003D6CAD">
      <w:pPr>
        <w:pStyle w:val="CETCaption"/>
      </w:pPr>
      <w:r>
        <w:t xml:space="preserve">Figure 2: </w:t>
      </w:r>
      <w:r w:rsidRPr="00E041B1">
        <w:t>Cumulative biogas production</w:t>
      </w:r>
      <w:r w:rsidR="00C8724A">
        <w:t xml:space="preserve"> normalized </w:t>
      </w:r>
      <w:r w:rsidR="00705DA4">
        <w:t>to</w:t>
      </w:r>
      <w:r w:rsidR="00C8724A">
        <w:t xml:space="preserve"> </w:t>
      </w:r>
      <w:r w:rsidR="00705DA4">
        <w:t>digestat</w:t>
      </w:r>
      <w:r w:rsidR="00C8724A">
        <w:t>e volume</w:t>
      </w:r>
      <w:r w:rsidRPr="00E041B1">
        <w:t xml:space="preserve"> over time </w:t>
      </w:r>
      <w:r w:rsidRPr="00D0541C">
        <w:t xml:space="preserve">for </w:t>
      </w:r>
      <w:r w:rsidR="0074304C" w:rsidRPr="00D0541C">
        <w:t>AD</w:t>
      </w:r>
      <w:r w:rsidRPr="00E041B1">
        <w:t xml:space="preserve"> systems amended with different biochar samples.</w:t>
      </w:r>
    </w:p>
    <w:p w14:paraId="70113A3E" w14:textId="5CD3B879" w:rsidR="00505AF6" w:rsidRDefault="00505AF6" w:rsidP="00505AF6">
      <w:pPr>
        <w:pStyle w:val="CETHeadingxx"/>
      </w:pPr>
      <w:r>
        <w:t>3.</w:t>
      </w:r>
      <w:r w:rsidR="004C7963">
        <w:t>3</w:t>
      </w:r>
      <w:r>
        <w:t>.2 QGA analysis</w:t>
      </w:r>
    </w:p>
    <w:p w14:paraId="419A081C" w14:textId="0D4552DE" w:rsidR="0007799B" w:rsidRPr="00D0541C" w:rsidRDefault="0007799B" w:rsidP="0007799B">
      <w:pPr>
        <w:pStyle w:val="CETBodytext"/>
        <w:rPr>
          <w:color w:val="FF0000"/>
        </w:rPr>
      </w:pPr>
      <w:r w:rsidRPr="00B2184B">
        <w:rPr>
          <w:color w:val="000000" w:themeColor="text1"/>
        </w:rPr>
        <w:t xml:space="preserve">Figure 3a shows the evolution of </w:t>
      </w:r>
      <w:r w:rsidR="00213034" w:rsidRPr="00D0541C">
        <w:rPr>
          <w:rFonts w:cs="Arial"/>
          <w:color w:val="000000" w:themeColor="text1"/>
          <w:szCs w:val="18"/>
        </w:rPr>
        <w:t>CH</w:t>
      </w:r>
      <w:r w:rsidR="00213034" w:rsidRPr="00D0541C">
        <w:rPr>
          <w:rFonts w:ascii="Cambria Math" w:hAnsi="Cambria Math" w:cs="Cambria Math"/>
          <w:color w:val="000000" w:themeColor="text1"/>
          <w:szCs w:val="18"/>
        </w:rPr>
        <w:t>₄</w:t>
      </w:r>
      <w:r w:rsidRPr="00D0541C">
        <w:rPr>
          <w:color w:val="000000" w:themeColor="text1"/>
        </w:rPr>
        <w:t xml:space="preserve"> content during </w:t>
      </w:r>
      <w:r w:rsidR="00FC22DC" w:rsidRPr="00D0541C">
        <w:rPr>
          <w:color w:val="000000" w:themeColor="text1"/>
        </w:rPr>
        <w:t>AD</w:t>
      </w:r>
      <w:r w:rsidRPr="00D0541C">
        <w:rPr>
          <w:color w:val="000000" w:themeColor="text1"/>
        </w:rPr>
        <w:t>. CH</w:t>
      </w:r>
      <w:r w:rsidRPr="00D0541C">
        <w:rPr>
          <w:rFonts w:ascii="Cambria Math" w:hAnsi="Cambria Math" w:cs="Cambria Math"/>
          <w:color w:val="000000" w:themeColor="text1"/>
        </w:rPr>
        <w:t>₄</w:t>
      </w:r>
      <w:r w:rsidRPr="00D0541C">
        <w:rPr>
          <w:color w:val="000000" w:themeColor="text1"/>
        </w:rPr>
        <w:t xml:space="preserve"> fraction increase</w:t>
      </w:r>
      <w:r w:rsidR="00FC22DC" w:rsidRPr="00D0541C">
        <w:rPr>
          <w:color w:val="000000" w:themeColor="text1"/>
        </w:rPr>
        <w:t>d</w:t>
      </w:r>
      <w:r w:rsidRPr="00D0541C">
        <w:rPr>
          <w:color w:val="000000" w:themeColor="text1"/>
        </w:rPr>
        <w:t xml:space="preserve"> rapidly during the initial phase, indicating a prompt onset of methanogenic activity. After the first week, </w:t>
      </w:r>
      <w:r w:rsidR="00213034" w:rsidRPr="00D0541C">
        <w:rPr>
          <w:rFonts w:cs="Arial"/>
          <w:color w:val="000000" w:themeColor="text1"/>
          <w:szCs w:val="18"/>
        </w:rPr>
        <w:t>CH</w:t>
      </w:r>
      <w:r w:rsidR="00213034" w:rsidRPr="00D0541C">
        <w:rPr>
          <w:rFonts w:ascii="Cambria Math" w:hAnsi="Cambria Math" w:cs="Cambria Math"/>
          <w:color w:val="000000" w:themeColor="text1"/>
          <w:szCs w:val="18"/>
        </w:rPr>
        <w:t>₄</w:t>
      </w:r>
      <w:r w:rsidRPr="00D0541C">
        <w:rPr>
          <w:color w:val="000000" w:themeColor="text1"/>
        </w:rPr>
        <w:t xml:space="preserve"> content exceed</w:t>
      </w:r>
      <w:r w:rsidR="00FC22DC" w:rsidRPr="00D0541C">
        <w:rPr>
          <w:color w:val="000000" w:themeColor="text1"/>
        </w:rPr>
        <w:t>ed</w:t>
      </w:r>
      <w:r w:rsidRPr="00D0541C">
        <w:rPr>
          <w:color w:val="000000" w:themeColor="text1"/>
        </w:rPr>
        <w:t xml:space="preserve"> 60% in all systems, with TP-900 and TP-500 reaching the highest values (&gt;80%), while the control </w:t>
      </w:r>
      <w:r w:rsidR="00FC22DC" w:rsidRPr="00D0541C">
        <w:rPr>
          <w:color w:val="000000" w:themeColor="text1"/>
        </w:rPr>
        <w:t>stabilized</w:t>
      </w:r>
      <w:r w:rsidRPr="00D0541C">
        <w:rPr>
          <w:color w:val="000000" w:themeColor="text1"/>
        </w:rPr>
        <w:t xml:space="preserve"> at slightly lower levels. SCG-500 and TP-700 also show</w:t>
      </w:r>
      <w:r w:rsidR="00FC22DC" w:rsidRPr="00D0541C">
        <w:rPr>
          <w:color w:val="000000" w:themeColor="text1"/>
        </w:rPr>
        <w:t>ed</w:t>
      </w:r>
      <w:r w:rsidRPr="00D0541C">
        <w:rPr>
          <w:color w:val="000000" w:themeColor="text1"/>
        </w:rPr>
        <w:t xml:space="preserve"> an increasing trend, although with generally lower </w:t>
      </w:r>
      <w:r w:rsidR="00213034" w:rsidRPr="00D0541C">
        <w:rPr>
          <w:rFonts w:cs="Arial"/>
          <w:color w:val="000000" w:themeColor="text1"/>
          <w:szCs w:val="18"/>
        </w:rPr>
        <w:t>CH</w:t>
      </w:r>
      <w:r w:rsidR="00213034" w:rsidRPr="00D0541C">
        <w:rPr>
          <w:rFonts w:ascii="Cambria Math" w:hAnsi="Cambria Math" w:cs="Cambria Math"/>
          <w:color w:val="000000" w:themeColor="text1"/>
          <w:szCs w:val="18"/>
        </w:rPr>
        <w:t>₄</w:t>
      </w:r>
      <w:r w:rsidRPr="00D0541C">
        <w:rPr>
          <w:color w:val="000000" w:themeColor="text1"/>
        </w:rPr>
        <w:t xml:space="preserve"> fractions. In the later stages, </w:t>
      </w:r>
      <w:r w:rsidR="00213034" w:rsidRPr="00D0541C">
        <w:rPr>
          <w:rFonts w:cs="Arial"/>
          <w:color w:val="000000" w:themeColor="text1"/>
          <w:szCs w:val="18"/>
        </w:rPr>
        <w:t>CH</w:t>
      </w:r>
      <w:r w:rsidR="00213034" w:rsidRPr="00D0541C">
        <w:rPr>
          <w:rFonts w:ascii="Cambria Math" w:hAnsi="Cambria Math" w:cs="Cambria Math"/>
          <w:color w:val="000000" w:themeColor="text1"/>
          <w:szCs w:val="18"/>
        </w:rPr>
        <w:t>₄</w:t>
      </w:r>
      <w:r w:rsidRPr="00D0541C">
        <w:rPr>
          <w:color w:val="000000" w:themeColor="text1"/>
        </w:rPr>
        <w:t xml:space="preserve"> content </w:t>
      </w:r>
      <w:r w:rsidR="00FC22DC" w:rsidRPr="00D0541C">
        <w:rPr>
          <w:color w:val="000000" w:themeColor="text1"/>
        </w:rPr>
        <w:t>stabilized</w:t>
      </w:r>
      <w:r w:rsidR="004D0A9E" w:rsidRPr="00D0541C">
        <w:rPr>
          <w:color w:val="000000" w:themeColor="text1"/>
        </w:rPr>
        <w:t>,</w:t>
      </w:r>
      <w:r w:rsidRPr="00D0541C">
        <w:rPr>
          <w:color w:val="000000" w:themeColor="text1"/>
        </w:rPr>
        <w:t xml:space="preserve"> with TP-900 maintaining consistently high values until the end of the experiment.</w:t>
      </w:r>
    </w:p>
    <w:p w14:paraId="4D35DE82" w14:textId="5C4C1C11" w:rsidR="0007799B" w:rsidRPr="00D0541C" w:rsidRDefault="0007799B" w:rsidP="0007799B">
      <w:pPr>
        <w:pStyle w:val="CETBodytext"/>
        <w:rPr>
          <w:color w:val="000000" w:themeColor="text1"/>
        </w:rPr>
      </w:pPr>
      <w:r w:rsidRPr="00D0541C">
        <w:rPr>
          <w:color w:val="000000" w:themeColor="text1"/>
        </w:rPr>
        <w:t xml:space="preserve">These results suggest that biochar addition can enhance </w:t>
      </w:r>
      <w:r w:rsidR="007007C4" w:rsidRPr="00D0541C">
        <w:rPr>
          <w:rFonts w:cs="Arial"/>
          <w:color w:val="000000" w:themeColor="text1"/>
          <w:szCs w:val="18"/>
        </w:rPr>
        <w:t>CH</w:t>
      </w:r>
      <w:r w:rsidR="007007C4" w:rsidRPr="00D0541C">
        <w:rPr>
          <w:rFonts w:ascii="Cambria Math" w:hAnsi="Cambria Math" w:cs="Cambria Math"/>
          <w:color w:val="000000" w:themeColor="text1"/>
          <w:szCs w:val="18"/>
        </w:rPr>
        <w:t>₄</w:t>
      </w:r>
      <w:r w:rsidRPr="00D0541C">
        <w:rPr>
          <w:color w:val="000000" w:themeColor="text1"/>
        </w:rPr>
        <w:t xml:space="preserve"> production and process stability, with performance dependent on feedstock and pyrolysis temperature. </w:t>
      </w:r>
    </w:p>
    <w:p w14:paraId="004A405C" w14:textId="321707D0" w:rsidR="00513127" w:rsidRPr="00D0541C" w:rsidRDefault="00513127" w:rsidP="00513127">
      <w:pPr>
        <w:pStyle w:val="CETBodytext"/>
        <w:rPr>
          <w:color w:val="000000" w:themeColor="text1"/>
        </w:rPr>
      </w:pPr>
      <w:r w:rsidRPr="00D0541C">
        <w:rPr>
          <w:color w:val="000000" w:themeColor="text1"/>
        </w:rPr>
        <w:t>Figure 3b reports the CH</w:t>
      </w:r>
      <w:r w:rsidRPr="00D0541C">
        <w:rPr>
          <w:rFonts w:ascii="Cambria Math" w:hAnsi="Cambria Math" w:cs="Cambria Math"/>
          <w:color w:val="000000" w:themeColor="text1"/>
        </w:rPr>
        <w:t>₄</w:t>
      </w:r>
      <w:r w:rsidRPr="00D0541C">
        <w:rPr>
          <w:color w:val="000000" w:themeColor="text1"/>
        </w:rPr>
        <w:t>/CO</w:t>
      </w:r>
      <w:r w:rsidRPr="00D0541C">
        <w:rPr>
          <w:rFonts w:ascii="Cambria Math" w:hAnsi="Cambria Math" w:cs="Cambria Math"/>
          <w:color w:val="000000" w:themeColor="text1"/>
        </w:rPr>
        <w:t>₂</w:t>
      </w:r>
      <w:r w:rsidRPr="00D0541C">
        <w:rPr>
          <w:color w:val="000000" w:themeColor="text1"/>
        </w:rPr>
        <w:t xml:space="preserve"> ratio over time. A rapid increase </w:t>
      </w:r>
      <w:r w:rsidR="004D0A9E" w:rsidRPr="00D0541C">
        <w:rPr>
          <w:color w:val="000000" w:themeColor="text1"/>
        </w:rPr>
        <w:t>was</w:t>
      </w:r>
      <w:r w:rsidRPr="00D0541C">
        <w:rPr>
          <w:color w:val="000000" w:themeColor="text1"/>
        </w:rPr>
        <w:t xml:space="preserve"> observed during the initial phase, with TP-900 reaching the highest values (above 8), significantly exceeding the other conditions and indicating an improvement in biogas quality. At longer times, the CH</w:t>
      </w:r>
      <w:r w:rsidRPr="00D0541C">
        <w:rPr>
          <w:rFonts w:ascii="Cambria Math" w:hAnsi="Cambria Math" w:cs="Cambria Math"/>
          <w:color w:val="000000" w:themeColor="text1"/>
        </w:rPr>
        <w:t>₄</w:t>
      </w:r>
      <w:r w:rsidRPr="00D0541C">
        <w:rPr>
          <w:color w:val="000000" w:themeColor="text1"/>
        </w:rPr>
        <w:t>/CO</w:t>
      </w:r>
      <w:r w:rsidRPr="00D0541C">
        <w:rPr>
          <w:rFonts w:ascii="Cambria Math" w:hAnsi="Cambria Math" w:cs="Cambria Math"/>
          <w:color w:val="000000" w:themeColor="text1"/>
        </w:rPr>
        <w:t>₂</w:t>
      </w:r>
      <w:r w:rsidRPr="00D0541C">
        <w:rPr>
          <w:color w:val="000000" w:themeColor="text1"/>
        </w:rPr>
        <w:t xml:space="preserve"> ratio for TP-900, initially higher than all other systems, decrease</w:t>
      </w:r>
      <w:r w:rsidR="004D0A9E" w:rsidRPr="00D0541C">
        <w:rPr>
          <w:color w:val="000000" w:themeColor="text1"/>
        </w:rPr>
        <w:t>d</w:t>
      </w:r>
      <w:r w:rsidRPr="00D0541C">
        <w:rPr>
          <w:color w:val="000000" w:themeColor="text1"/>
        </w:rPr>
        <w:t xml:space="preserve"> and </w:t>
      </w:r>
      <w:r w:rsidR="004D0A9E" w:rsidRPr="00D0541C">
        <w:rPr>
          <w:color w:val="000000" w:themeColor="text1"/>
        </w:rPr>
        <w:t>converged</w:t>
      </w:r>
      <w:r w:rsidRPr="00D0541C">
        <w:rPr>
          <w:color w:val="000000" w:themeColor="text1"/>
        </w:rPr>
        <w:t xml:space="preserve"> towards other sample</w:t>
      </w:r>
      <w:r w:rsidR="004D0A9E" w:rsidRPr="00D0541C">
        <w:rPr>
          <w:color w:val="000000" w:themeColor="text1"/>
        </w:rPr>
        <w:t xml:space="preserve"> values.</w:t>
      </w:r>
    </w:p>
    <w:p w14:paraId="3BBFC5C2" w14:textId="614FF9E1" w:rsidR="00696692" w:rsidRPr="00452986" w:rsidRDefault="00513127" w:rsidP="00696692">
      <w:pPr>
        <w:pStyle w:val="CETBodytext"/>
        <w:rPr>
          <w:color w:val="000000" w:themeColor="text1"/>
        </w:rPr>
      </w:pPr>
      <w:r w:rsidRPr="00D0541C">
        <w:rPr>
          <w:color w:val="000000" w:themeColor="text1"/>
        </w:rPr>
        <w:t>The enhanced CH</w:t>
      </w:r>
      <w:r w:rsidRPr="00D0541C">
        <w:rPr>
          <w:rFonts w:ascii="Cambria Math" w:hAnsi="Cambria Math" w:cs="Cambria Math"/>
          <w:color w:val="000000" w:themeColor="text1"/>
        </w:rPr>
        <w:t>₄</w:t>
      </w:r>
      <w:r w:rsidRPr="00D0541C">
        <w:rPr>
          <w:color w:val="000000" w:themeColor="text1"/>
        </w:rPr>
        <w:t>/CO</w:t>
      </w:r>
      <w:r w:rsidRPr="00D0541C">
        <w:rPr>
          <w:rFonts w:ascii="Cambria Math" w:hAnsi="Cambria Math" w:cs="Cambria Math"/>
          <w:color w:val="000000" w:themeColor="text1"/>
        </w:rPr>
        <w:t>₂</w:t>
      </w:r>
      <w:r w:rsidRPr="00D0541C">
        <w:rPr>
          <w:color w:val="000000" w:themeColor="text1"/>
        </w:rPr>
        <w:t xml:space="preserve"> ratio observed for TP-900 may be associated with preferential CO</w:t>
      </w:r>
      <w:r w:rsidRPr="00D0541C">
        <w:rPr>
          <w:rFonts w:ascii="Cambria Math" w:hAnsi="Cambria Math" w:cs="Cambria Math"/>
          <w:color w:val="000000" w:themeColor="text1"/>
        </w:rPr>
        <w:t>₂</w:t>
      </w:r>
      <w:r w:rsidRPr="00D0541C">
        <w:rPr>
          <w:color w:val="000000" w:themeColor="text1"/>
        </w:rPr>
        <w:t xml:space="preserve"> adsorption by the biochar.</w:t>
      </w:r>
      <w:r w:rsidR="004D0A9E" w:rsidRPr="00D0541C">
        <w:rPr>
          <w:color w:val="000000" w:themeColor="text1"/>
        </w:rPr>
        <w:t xml:space="preserve"> </w:t>
      </w:r>
      <w:r w:rsidRPr="00D0541C">
        <w:rPr>
          <w:color w:val="000000" w:themeColor="text1"/>
        </w:rPr>
        <w:t xml:space="preserve">TP-900 </w:t>
      </w:r>
      <w:r w:rsidR="004D0A9E" w:rsidRPr="00D0541C">
        <w:rPr>
          <w:color w:val="000000" w:themeColor="text1"/>
        </w:rPr>
        <w:t xml:space="preserve">was </w:t>
      </w:r>
      <w:r w:rsidRPr="00D0541C">
        <w:rPr>
          <w:color w:val="000000" w:themeColor="text1"/>
        </w:rPr>
        <w:t xml:space="preserve">characterized by a lower total pore volume compared to the other samples, despite a comparable average pore diameter, suggesting a less developed and potentially more accessible pore structure. This feature may </w:t>
      </w:r>
      <w:proofErr w:type="spellStart"/>
      <w:r w:rsidRPr="00D0541C">
        <w:rPr>
          <w:color w:val="000000" w:themeColor="text1"/>
        </w:rPr>
        <w:t>favour</w:t>
      </w:r>
      <w:proofErr w:type="spellEnd"/>
      <w:r w:rsidRPr="00D0541C">
        <w:rPr>
          <w:color w:val="000000" w:themeColor="text1"/>
        </w:rPr>
        <w:t xml:space="preserve"> interactions with smaller and more polarizable molecules such as CO</w:t>
      </w:r>
      <w:r w:rsidRPr="00D0541C">
        <w:rPr>
          <w:rFonts w:ascii="Cambria Math" w:hAnsi="Cambria Math" w:cs="Cambria Math"/>
          <w:color w:val="000000" w:themeColor="text1"/>
        </w:rPr>
        <w:t>₂</w:t>
      </w:r>
      <w:r w:rsidRPr="00D0541C">
        <w:rPr>
          <w:color w:val="000000" w:themeColor="text1"/>
        </w:rPr>
        <w:t xml:space="preserve"> rather than CH</w:t>
      </w:r>
      <w:r w:rsidRPr="00D0541C">
        <w:rPr>
          <w:rFonts w:ascii="Cambria Math" w:hAnsi="Cambria Math" w:cs="Cambria Math"/>
          <w:color w:val="000000" w:themeColor="text1"/>
        </w:rPr>
        <w:t>₄</w:t>
      </w:r>
      <w:r w:rsidRPr="00D0541C">
        <w:rPr>
          <w:color w:val="000000" w:themeColor="text1"/>
        </w:rPr>
        <w:t>. The subsequent convergence of the CH</w:t>
      </w:r>
      <w:r w:rsidRPr="00D0541C">
        <w:rPr>
          <w:rFonts w:ascii="Cambria Math" w:hAnsi="Cambria Math" w:cs="Cambria Math"/>
          <w:color w:val="000000" w:themeColor="text1"/>
        </w:rPr>
        <w:t>₄</w:t>
      </w:r>
      <w:r w:rsidRPr="00D0541C">
        <w:rPr>
          <w:color w:val="000000" w:themeColor="text1"/>
        </w:rPr>
        <w:t>/CO</w:t>
      </w:r>
      <w:r w:rsidRPr="00D0541C">
        <w:rPr>
          <w:rFonts w:ascii="Cambria Math" w:hAnsi="Cambria Math" w:cs="Cambria Math"/>
          <w:color w:val="000000" w:themeColor="text1"/>
        </w:rPr>
        <w:t>₂</w:t>
      </w:r>
      <w:r w:rsidRPr="00D0541C">
        <w:rPr>
          <w:color w:val="000000" w:themeColor="text1"/>
        </w:rPr>
        <w:t xml:space="preserve"> ratio around day 16 may further support this interpretation, possibly reflecting a progressive saturation of the adsorption capacity of TP-900</w:t>
      </w:r>
      <w:r w:rsidRPr="00452986">
        <w:rPr>
          <w:color w:val="000000" w:themeColor="text1"/>
        </w:rPr>
        <w:t>.</w:t>
      </w:r>
      <w:r w:rsidR="009071BE" w:rsidRPr="00452986">
        <w:rPr>
          <w:color w:val="000000" w:themeColor="text1"/>
        </w:rPr>
        <w:t xml:space="preserve"> </w:t>
      </w:r>
      <w:r w:rsidR="009071BE" w:rsidRPr="00452986">
        <w:rPr>
          <w:color w:val="000000" w:themeColor="text1"/>
          <w:lang w:val="en-GB"/>
        </w:rPr>
        <w:t>However, dedicated gas adsorption tests would be needed to confirm this hypothesis.</w:t>
      </w: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472"/>
        <w:gridCol w:w="4315"/>
      </w:tblGrid>
      <w:tr w:rsidR="00E332BC" w14:paraId="4DF556C1" w14:textId="77777777" w:rsidTr="00117D12">
        <w:trPr>
          <w:trHeight w:val="1833"/>
        </w:trPr>
        <w:tc>
          <w:tcPr>
            <w:tcW w:w="2545" w:type="pct"/>
            <w:vAlign w:val="center"/>
          </w:tcPr>
          <w:p w14:paraId="776736BB" w14:textId="3DDF071C" w:rsidR="00C212AB" w:rsidRPr="00C212AB" w:rsidRDefault="005C48C5" w:rsidP="00117D12">
            <w:pPr>
              <w:pStyle w:val="CETBodytext"/>
              <w:jc w:val="center"/>
              <w:rPr>
                <w:noProof/>
              </w:rPr>
            </w:pPr>
            <w:r>
              <w:rPr>
                <w:noProof/>
              </w:rPr>
              <w:drawing>
                <wp:inline distT="0" distB="0" distL="0" distR="0" wp14:anchorId="321DB2C3" wp14:editId="59F4DEEF">
                  <wp:extent cx="2758440" cy="1991360"/>
                  <wp:effectExtent l="0" t="0" r="0" b="2540"/>
                  <wp:docPr id="1079821709" name="Grafico 1">
                    <a:extLst xmlns:a="http://schemas.openxmlformats.org/drawingml/2006/main">
                      <a:ext uri="{FF2B5EF4-FFF2-40B4-BE49-F238E27FC236}">
                        <a16:creationId xmlns:a16="http://schemas.microsoft.com/office/drawing/2014/main" id="{CFED65BD-B955-AC47-A4E2-426E334DB5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2455" w:type="pct"/>
            <w:vAlign w:val="center"/>
          </w:tcPr>
          <w:p w14:paraId="4DABAC14" w14:textId="1833373F" w:rsidR="00696692" w:rsidRDefault="00D77F54" w:rsidP="00C212AB">
            <w:pPr>
              <w:pStyle w:val="CETBodytext"/>
              <w:jc w:val="center"/>
            </w:pPr>
            <w:r>
              <w:rPr>
                <w:noProof/>
              </w:rPr>
              <w:drawing>
                <wp:inline distT="0" distB="0" distL="0" distR="0" wp14:anchorId="7FDB3B88" wp14:editId="15EDFC42">
                  <wp:extent cx="2658110" cy="2045547"/>
                  <wp:effectExtent l="0" t="0" r="0" b="0"/>
                  <wp:docPr id="1109328506" name="Grafico 1">
                    <a:extLst xmlns:a="http://schemas.openxmlformats.org/drawingml/2006/main">
                      <a:ext uri="{FF2B5EF4-FFF2-40B4-BE49-F238E27FC236}">
                        <a16:creationId xmlns:a16="http://schemas.microsoft.com/office/drawing/2014/main" id="{CA4517BC-0896-5C4F-AFB1-DA762B45CD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30081E8B" w14:textId="14BCF51A" w:rsidR="00C212AB" w:rsidRDefault="00C212AB" w:rsidP="00C212AB">
      <w:pPr>
        <w:pStyle w:val="CETCaption"/>
      </w:pPr>
      <w:r>
        <w:t>Figure 3</w:t>
      </w:r>
      <w:r w:rsidRPr="00D0541C">
        <w:t xml:space="preserve">: </w:t>
      </w:r>
      <w:r w:rsidR="00213034" w:rsidRPr="00D0541C">
        <w:rPr>
          <w:rFonts w:cs="Arial"/>
          <w:color w:val="000000" w:themeColor="text1"/>
          <w:szCs w:val="18"/>
          <w:lang w:val="en-US"/>
        </w:rPr>
        <w:t>CH</w:t>
      </w:r>
      <w:r w:rsidR="00213034" w:rsidRPr="00D0541C">
        <w:rPr>
          <w:rFonts w:ascii="Cambria Math" w:hAnsi="Cambria Math" w:cs="Cambria Math"/>
          <w:color w:val="000000" w:themeColor="text1"/>
          <w:szCs w:val="18"/>
          <w:lang w:val="en-US"/>
        </w:rPr>
        <w:t>₄</w:t>
      </w:r>
      <w:r w:rsidRPr="00D0541C">
        <w:t xml:space="preserve"> percentage (a) and CH</w:t>
      </w:r>
      <w:r w:rsidRPr="00D0541C">
        <w:rPr>
          <w:rFonts w:ascii="Cambria Math" w:hAnsi="Cambria Math" w:cs="Cambria Math"/>
        </w:rPr>
        <w:t>₄</w:t>
      </w:r>
      <w:r w:rsidRPr="00D0541C">
        <w:t>/CO</w:t>
      </w:r>
      <w:r w:rsidRPr="00D0541C">
        <w:rPr>
          <w:rFonts w:ascii="Cambria Math" w:hAnsi="Cambria Math" w:cs="Cambria Math"/>
        </w:rPr>
        <w:t>₂</w:t>
      </w:r>
      <w:r w:rsidRPr="00D0541C">
        <w:t xml:space="preserve"> ratio (b) over time during </w:t>
      </w:r>
      <w:r w:rsidR="0074304C" w:rsidRPr="00D0541C">
        <w:t>AD</w:t>
      </w:r>
      <w:r w:rsidRPr="00D0541C">
        <w:t xml:space="preserve"> in the presence of different biochar samples.</w:t>
      </w:r>
    </w:p>
    <w:p w14:paraId="67CFAC87" w14:textId="41D32A70" w:rsidR="000F18C6" w:rsidRPr="00452986" w:rsidRDefault="000F18C6" w:rsidP="000F18C6">
      <w:pPr>
        <w:pStyle w:val="CETBodytext"/>
        <w:rPr>
          <w:color w:val="000000" w:themeColor="text1"/>
        </w:rPr>
      </w:pPr>
      <w:r w:rsidRPr="000F18C6">
        <w:rPr>
          <w:lang w:val="en-GB"/>
        </w:rPr>
        <w:lastRenderedPageBreak/>
        <w:t xml:space="preserve">Hydrogen production remained generally low for most of the experimental conditions, with limited variations over time. A distinct peak was observed for TP-700 during the first week, followed by a rapid decrease, whereas the other systems showed a delayed and more moderate increase in hydrogen production at later stages. This behaviour suggests that TP-700 may transiently promote </w:t>
      </w:r>
      <w:proofErr w:type="spellStart"/>
      <w:r w:rsidRPr="00452986">
        <w:rPr>
          <w:color w:val="000000" w:themeColor="text1"/>
          <w:lang w:val="en-GB"/>
        </w:rPr>
        <w:t>hydrogenogenic</w:t>
      </w:r>
      <w:proofErr w:type="spellEnd"/>
      <w:r w:rsidRPr="00452986">
        <w:rPr>
          <w:color w:val="000000" w:themeColor="text1"/>
          <w:lang w:val="en-GB"/>
        </w:rPr>
        <w:t xml:space="preserve"> activity, although without negatively affecting </w:t>
      </w:r>
      <w:r w:rsidR="00213034" w:rsidRPr="00452986">
        <w:rPr>
          <w:rFonts w:cs="Arial"/>
          <w:color w:val="000000" w:themeColor="text1"/>
          <w:szCs w:val="18"/>
        </w:rPr>
        <w:t>CH</w:t>
      </w:r>
      <w:r w:rsidR="00213034" w:rsidRPr="00452986">
        <w:rPr>
          <w:rFonts w:ascii="Cambria Math" w:hAnsi="Cambria Math" w:cs="Cambria Math"/>
          <w:color w:val="000000" w:themeColor="text1"/>
          <w:szCs w:val="18"/>
        </w:rPr>
        <w:t>₄</w:t>
      </w:r>
      <w:r w:rsidRPr="00452986">
        <w:rPr>
          <w:color w:val="000000" w:themeColor="text1"/>
          <w:lang w:val="en-GB"/>
        </w:rPr>
        <w:t xml:space="preserve"> production, as confirmed by the simultaneous CH</w:t>
      </w:r>
      <w:r w:rsidRPr="00452986">
        <w:rPr>
          <w:rFonts w:ascii="Cambria Math" w:hAnsi="Cambria Math" w:cs="Cambria Math"/>
          <w:color w:val="000000" w:themeColor="text1"/>
          <w:lang w:val="en-GB"/>
        </w:rPr>
        <w:t>₄</w:t>
      </w:r>
      <w:r w:rsidRPr="00452986">
        <w:rPr>
          <w:color w:val="000000" w:themeColor="text1"/>
          <w:lang w:val="en-GB"/>
        </w:rPr>
        <w:t xml:space="preserve"> trends.</w:t>
      </w:r>
      <w:r w:rsidR="00346655" w:rsidRPr="00452986">
        <w:rPr>
          <w:color w:val="000000" w:themeColor="text1"/>
          <w:lang w:val="en-GB"/>
        </w:rPr>
        <w:t xml:space="preserve"> For clarity, H</w:t>
      </w:r>
      <w:r w:rsidR="00346655" w:rsidRPr="00452986">
        <w:rPr>
          <w:rFonts w:ascii="Cambria Math" w:hAnsi="Cambria Math" w:cs="Cambria Math"/>
          <w:color w:val="000000" w:themeColor="text1"/>
          <w:lang w:val="en-GB"/>
        </w:rPr>
        <w:t>₂</w:t>
      </w:r>
      <w:r w:rsidR="00346655" w:rsidRPr="00452986">
        <w:rPr>
          <w:color w:val="000000" w:themeColor="text1"/>
          <w:lang w:val="en-GB"/>
        </w:rPr>
        <w:t xml:space="preserve"> data are described here but not shown due to space constraints.</w:t>
      </w:r>
    </w:p>
    <w:p w14:paraId="387CC738" w14:textId="09FA710D" w:rsidR="00505AF6" w:rsidRPr="00505AF6" w:rsidRDefault="00505AF6" w:rsidP="00505AF6">
      <w:pPr>
        <w:pStyle w:val="CETHeading1"/>
      </w:pPr>
      <w:r>
        <w:t>Conclusions</w:t>
      </w:r>
    </w:p>
    <w:p w14:paraId="51ECF74C" w14:textId="36279D36" w:rsidR="008149B1" w:rsidRPr="008149B1" w:rsidRDefault="008149B1" w:rsidP="008149B1">
      <w:pPr>
        <w:pStyle w:val="CETBodytext"/>
        <w:rPr>
          <w:lang w:eastAsia="it-IT"/>
        </w:rPr>
      </w:pPr>
      <w:r w:rsidRPr="008149B1">
        <w:rPr>
          <w:lang w:eastAsia="it-IT"/>
        </w:rPr>
        <w:t>This study investigated the use of biochar derived from agro-industrial residues via slow pyrolysis as a functional material for AD. Results highlight that both feedstock type and pyrolysis temperature significantly influence biochar physicochemical properties and, consequently, AD performance.</w:t>
      </w:r>
    </w:p>
    <w:p w14:paraId="0AD7F1A2" w14:textId="64F9B08B" w:rsidR="008149B1" w:rsidRPr="00D0541C" w:rsidRDefault="008149B1" w:rsidP="008149B1">
      <w:pPr>
        <w:pStyle w:val="CETBodytext"/>
        <w:rPr>
          <w:lang w:eastAsia="it-IT"/>
        </w:rPr>
      </w:pPr>
      <w:r w:rsidRPr="008149B1">
        <w:rPr>
          <w:lang w:eastAsia="it-IT"/>
        </w:rPr>
        <w:t xml:space="preserve">Release tests showed that inorganic species were present at concentrations well below inhibitory thresholds, while potentially </w:t>
      </w:r>
      <w:r w:rsidRPr="00D0541C">
        <w:rPr>
          <w:lang w:eastAsia="it-IT"/>
        </w:rPr>
        <w:t xml:space="preserve">contributing as micronutrients to microbial metabolism. Adsorption experiments demonstrated high removal efficiency of </w:t>
      </w:r>
      <w:r w:rsidR="004D0A9E" w:rsidRPr="00D0541C">
        <w:rPr>
          <w:lang w:eastAsia="it-IT"/>
        </w:rPr>
        <w:t>HMs</w:t>
      </w:r>
      <w:r w:rsidRPr="00D0541C">
        <w:rPr>
          <w:lang w:eastAsia="it-IT"/>
        </w:rPr>
        <w:t xml:space="preserve">, particularly for TP-derived </w:t>
      </w:r>
      <w:proofErr w:type="spellStart"/>
      <w:r w:rsidRPr="00D0541C">
        <w:rPr>
          <w:lang w:eastAsia="it-IT"/>
        </w:rPr>
        <w:t>biochars</w:t>
      </w:r>
      <w:proofErr w:type="spellEnd"/>
      <w:r w:rsidRPr="00D0541C">
        <w:rPr>
          <w:lang w:eastAsia="it-IT"/>
        </w:rPr>
        <w:t xml:space="preserve">, whereas </w:t>
      </w:r>
      <w:r w:rsidR="004D0A9E" w:rsidRPr="00452986">
        <w:rPr>
          <w:lang w:eastAsia="it-IT"/>
        </w:rPr>
        <w:t>NH</w:t>
      </w:r>
      <w:r w:rsidR="004D0A9E" w:rsidRPr="00452986">
        <w:rPr>
          <w:vertAlign w:val="subscript"/>
          <w:lang w:eastAsia="it-IT"/>
        </w:rPr>
        <w:t>4</w:t>
      </w:r>
      <w:r w:rsidR="004D0A9E" w:rsidRPr="00452986">
        <w:rPr>
          <w:vertAlign w:val="superscript"/>
          <w:lang w:eastAsia="it-IT"/>
        </w:rPr>
        <w:t>+</w:t>
      </w:r>
      <w:r w:rsidRPr="00452986">
        <w:rPr>
          <w:lang w:eastAsia="it-IT"/>
        </w:rPr>
        <w:t xml:space="preserve"> adsorption</w:t>
      </w:r>
      <w:r w:rsidRPr="00D0541C">
        <w:rPr>
          <w:lang w:eastAsia="it-IT"/>
        </w:rPr>
        <w:t xml:space="preserve"> remained limited, preserving nitrogen availability for microbial activity.</w:t>
      </w:r>
    </w:p>
    <w:p w14:paraId="2579355F" w14:textId="303C6B7C" w:rsidR="00ED2A0E" w:rsidRPr="00D0541C" w:rsidRDefault="00ED2A0E" w:rsidP="00ED2A0E">
      <w:pPr>
        <w:pStyle w:val="CETBodytext"/>
        <w:rPr>
          <w:lang w:eastAsia="it-IT"/>
        </w:rPr>
      </w:pPr>
      <w:r w:rsidRPr="00D0541C">
        <w:rPr>
          <w:lang w:eastAsia="it-IT"/>
        </w:rPr>
        <w:t xml:space="preserve">AD experiments revealed distinct </w:t>
      </w:r>
      <w:proofErr w:type="spellStart"/>
      <w:r w:rsidRPr="00D0541C">
        <w:rPr>
          <w:lang w:eastAsia="it-IT"/>
        </w:rPr>
        <w:t>behaviours</w:t>
      </w:r>
      <w:proofErr w:type="spellEnd"/>
      <w:r w:rsidRPr="00D0541C">
        <w:rPr>
          <w:lang w:eastAsia="it-IT"/>
        </w:rPr>
        <w:t xml:space="preserve"> among </w:t>
      </w:r>
      <w:proofErr w:type="spellStart"/>
      <w:r w:rsidRPr="00D0541C">
        <w:rPr>
          <w:lang w:eastAsia="it-IT"/>
        </w:rPr>
        <w:t>biochars</w:t>
      </w:r>
      <w:proofErr w:type="spellEnd"/>
      <w:r w:rsidRPr="00D0541C">
        <w:rPr>
          <w:lang w:eastAsia="it-IT"/>
        </w:rPr>
        <w:t xml:space="preserve">. TP-500 showed the highest cumulative biogas production, indicating its effectiveness in enhancing </w:t>
      </w:r>
      <w:r w:rsidR="00213034" w:rsidRPr="00D0541C">
        <w:rPr>
          <w:rFonts w:cs="Arial"/>
          <w:color w:val="000000" w:themeColor="text1"/>
          <w:szCs w:val="18"/>
        </w:rPr>
        <w:t>CH</w:t>
      </w:r>
      <w:r w:rsidR="00213034" w:rsidRPr="00D0541C">
        <w:rPr>
          <w:rFonts w:ascii="Cambria Math" w:hAnsi="Cambria Math" w:cs="Cambria Math"/>
          <w:color w:val="000000" w:themeColor="text1"/>
          <w:szCs w:val="18"/>
        </w:rPr>
        <w:t>₄</w:t>
      </w:r>
      <w:r w:rsidRPr="00D0541C">
        <w:rPr>
          <w:lang w:eastAsia="it-IT"/>
        </w:rPr>
        <w:t xml:space="preserve"> yield. In contrast, TP-900 exhibited biogas production comparable to the control and SCG-500, with only a moderate reduction in total volume (</w:t>
      </w:r>
      <w:r w:rsidR="005272A4" w:rsidRPr="00D0541C">
        <w:rPr>
          <w:lang w:val="it-IT" w:eastAsia="it-IT"/>
        </w:rPr>
        <w:sym w:font="Symbol" w:char="F07E"/>
      </w:r>
      <w:r w:rsidRPr="00D0541C">
        <w:rPr>
          <w:lang w:eastAsia="it-IT"/>
        </w:rPr>
        <w:t>15%), but significantly improved biogas quality, with higher CH</w:t>
      </w:r>
      <w:r w:rsidRPr="00D0541C">
        <w:rPr>
          <w:rFonts w:ascii="Cambria Math" w:hAnsi="Cambria Math" w:cs="Cambria Math"/>
          <w:lang w:eastAsia="it-IT"/>
        </w:rPr>
        <w:t>₄</w:t>
      </w:r>
      <w:r w:rsidRPr="00D0541C">
        <w:rPr>
          <w:lang w:eastAsia="it-IT"/>
        </w:rPr>
        <w:t>/CO</w:t>
      </w:r>
      <w:r w:rsidRPr="00D0541C">
        <w:rPr>
          <w:rFonts w:ascii="Cambria Math" w:hAnsi="Cambria Math" w:cs="Cambria Math"/>
          <w:lang w:eastAsia="it-IT"/>
        </w:rPr>
        <w:t>₂</w:t>
      </w:r>
      <w:r w:rsidRPr="00D0541C">
        <w:rPr>
          <w:lang w:eastAsia="it-IT"/>
        </w:rPr>
        <w:t xml:space="preserve"> ratios, likely associated with preferential CO</w:t>
      </w:r>
      <w:r w:rsidRPr="00D0541C">
        <w:rPr>
          <w:rFonts w:ascii="Cambria Math" w:hAnsi="Cambria Math" w:cs="Cambria Math"/>
          <w:lang w:eastAsia="it-IT"/>
        </w:rPr>
        <w:t>₂</w:t>
      </w:r>
      <w:r w:rsidRPr="00D0541C">
        <w:rPr>
          <w:lang w:eastAsia="it-IT"/>
        </w:rPr>
        <w:t xml:space="preserve"> adsorption. TP-700 resulted in the lowest biogas production despite comparable </w:t>
      </w:r>
      <w:r w:rsidR="007007C4" w:rsidRPr="00D0541C">
        <w:rPr>
          <w:rFonts w:cs="Arial"/>
          <w:color w:val="000000" w:themeColor="text1"/>
          <w:szCs w:val="18"/>
        </w:rPr>
        <w:t>CH</w:t>
      </w:r>
      <w:r w:rsidR="007007C4" w:rsidRPr="00D0541C">
        <w:rPr>
          <w:rFonts w:ascii="Cambria Math" w:hAnsi="Cambria Math" w:cs="Cambria Math"/>
          <w:color w:val="000000" w:themeColor="text1"/>
          <w:szCs w:val="18"/>
        </w:rPr>
        <w:t>₄</w:t>
      </w:r>
      <w:r w:rsidRPr="00D0541C">
        <w:rPr>
          <w:lang w:eastAsia="it-IT"/>
        </w:rPr>
        <w:t xml:space="preserve"> fractions, suggesting possible adsorption of biogas components rather than inhibition of methanogenesis, likely related to its higher specific surface area. TP-900 represent</w:t>
      </w:r>
      <w:r w:rsidR="007007C4" w:rsidRPr="00D0541C">
        <w:rPr>
          <w:lang w:eastAsia="it-IT"/>
        </w:rPr>
        <w:t>ed</w:t>
      </w:r>
      <w:r w:rsidRPr="00D0541C">
        <w:rPr>
          <w:lang w:eastAsia="it-IT"/>
        </w:rPr>
        <w:t xml:space="preserve"> the most promising option</w:t>
      </w:r>
      <w:r w:rsidR="007007C4" w:rsidRPr="00D0541C">
        <w:rPr>
          <w:lang w:eastAsia="it-IT"/>
        </w:rPr>
        <w:t xml:space="preserve"> for</w:t>
      </w:r>
      <w:r w:rsidRPr="00D0541C">
        <w:rPr>
          <w:lang w:eastAsia="it-IT"/>
        </w:rPr>
        <w:t xml:space="preserve"> biogas quality </w:t>
      </w:r>
      <w:r w:rsidR="007007C4" w:rsidRPr="00D0541C">
        <w:rPr>
          <w:lang w:eastAsia="it-IT"/>
        </w:rPr>
        <w:t>improvement, reducing</w:t>
      </w:r>
      <w:r w:rsidRPr="00D0541C">
        <w:rPr>
          <w:lang w:eastAsia="it-IT"/>
        </w:rPr>
        <w:t xml:space="preserve"> the need for downstream purification, which is one of the most energy- and cost-intensive steps in AD processes. The limited reduction in biogas volume compared to TP-500 further supports its potential for practical implementation.</w:t>
      </w:r>
    </w:p>
    <w:p w14:paraId="705727F5" w14:textId="251E7B47" w:rsidR="00ED2A0E" w:rsidRDefault="00213034" w:rsidP="00ED2A0E">
      <w:pPr>
        <w:pStyle w:val="CETBodytext"/>
        <w:rPr>
          <w:lang w:val="en-GB" w:eastAsia="it-IT"/>
        </w:rPr>
      </w:pPr>
      <w:r w:rsidRPr="00D0541C">
        <w:rPr>
          <w:lang w:val="en-GB" w:eastAsia="it-IT"/>
        </w:rPr>
        <w:t>R</w:t>
      </w:r>
      <w:r w:rsidR="00ED2A0E" w:rsidRPr="00D0541C">
        <w:rPr>
          <w:lang w:val="en-GB" w:eastAsia="it-IT"/>
        </w:rPr>
        <w:t xml:space="preserve">esults demonstrate that biochar properties can be tuned to target specific process outcomes, such as maximizing biogas yield (TP-500) or improving its quality through partial in situ upgrading (TP-900). These findings confirm the potential of biochar as a versatile tool for optimizing </w:t>
      </w:r>
      <w:r w:rsidR="0074304C" w:rsidRPr="00D0541C">
        <w:rPr>
          <w:lang w:val="en-GB" w:eastAsia="it-IT"/>
        </w:rPr>
        <w:t>AD</w:t>
      </w:r>
      <w:r w:rsidR="00ED2A0E" w:rsidRPr="00D0541C">
        <w:rPr>
          <w:lang w:val="en-GB" w:eastAsia="it-IT"/>
        </w:rPr>
        <w:t xml:space="preserve"> performance.</w:t>
      </w:r>
    </w:p>
    <w:p w14:paraId="19C4FC68" w14:textId="275E8669" w:rsidR="004628D2" w:rsidRDefault="00600535" w:rsidP="00ED2A0E">
      <w:pPr>
        <w:pStyle w:val="CETReference"/>
      </w:pPr>
      <w:r w:rsidRPr="00B57B36">
        <w:t>References</w:t>
      </w:r>
    </w:p>
    <w:p w14:paraId="7769C557" w14:textId="7743CC4F" w:rsidR="00556BF5" w:rsidRDefault="00556BF5" w:rsidP="00556BF5">
      <w:pPr>
        <w:pStyle w:val="CETReferencetext"/>
      </w:pPr>
      <w:r w:rsidRPr="00556BF5">
        <w:t xml:space="preserve">Choong Y.Y., </w:t>
      </w:r>
      <w:proofErr w:type="spellStart"/>
      <w:r w:rsidRPr="00556BF5">
        <w:t>Norli</w:t>
      </w:r>
      <w:proofErr w:type="spellEnd"/>
      <w:r w:rsidRPr="00556BF5">
        <w:t xml:space="preserve"> I., Abdullah A.Z., </w:t>
      </w:r>
      <w:proofErr w:type="spellStart"/>
      <w:r w:rsidRPr="00556BF5">
        <w:t>Yhaya</w:t>
      </w:r>
      <w:proofErr w:type="spellEnd"/>
      <w:r w:rsidRPr="00556BF5">
        <w:t xml:space="preserve"> M.F., 2016, Impacts of trace element supplementation on the performance of anaerobic digestion process: A critical review, </w:t>
      </w:r>
      <w:r w:rsidRPr="00556BF5">
        <w:rPr>
          <w:i/>
          <w:iCs/>
        </w:rPr>
        <w:t>Bioresource Technology</w:t>
      </w:r>
      <w:r w:rsidRPr="00556BF5">
        <w:t>, 209, 369–379, DOI: 10.1016/j.biortech.2016.03.028</w:t>
      </w:r>
    </w:p>
    <w:p w14:paraId="1F1DD19E" w14:textId="77777777" w:rsidR="00556BF5" w:rsidRPr="003101BE" w:rsidRDefault="00556BF5" w:rsidP="00556BF5">
      <w:pPr>
        <w:pStyle w:val="CETReferencetext"/>
        <w:rPr>
          <w:lang w:val="en-US"/>
        </w:rPr>
      </w:pPr>
      <w:proofErr w:type="spellStart"/>
      <w:r w:rsidRPr="003101BE">
        <w:rPr>
          <w:lang w:val="en-US"/>
        </w:rPr>
        <w:t>Elnour</w:t>
      </w:r>
      <w:proofErr w:type="spellEnd"/>
      <w:r w:rsidRPr="003101BE">
        <w:rPr>
          <w:lang w:val="en-US"/>
        </w:rPr>
        <w:t xml:space="preserve"> A.Y., </w:t>
      </w:r>
      <w:proofErr w:type="spellStart"/>
      <w:r w:rsidRPr="003101BE">
        <w:rPr>
          <w:lang w:val="en-US"/>
        </w:rPr>
        <w:t>Alghyamah</w:t>
      </w:r>
      <w:proofErr w:type="spellEnd"/>
      <w:r w:rsidRPr="003101BE">
        <w:rPr>
          <w:lang w:val="en-US"/>
        </w:rPr>
        <w:t xml:space="preserve"> A.A., Shaikh H.M., </w:t>
      </w:r>
      <w:proofErr w:type="spellStart"/>
      <w:r w:rsidRPr="003101BE">
        <w:rPr>
          <w:lang w:val="en-US"/>
        </w:rPr>
        <w:t>Poulose</w:t>
      </w:r>
      <w:proofErr w:type="spellEnd"/>
      <w:r w:rsidRPr="003101BE">
        <w:rPr>
          <w:lang w:val="en-US"/>
        </w:rPr>
        <w:t xml:space="preserve"> A.M., Al-Zahrani S.M., Anis A., Al-</w:t>
      </w:r>
      <w:proofErr w:type="spellStart"/>
      <w:r w:rsidRPr="003101BE">
        <w:rPr>
          <w:lang w:val="en-US"/>
        </w:rPr>
        <w:t>Wabel</w:t>
      </w:r>
      <w:proofErr w:type="spellEnd"/>
      <w:r w:rsidRPr="003101BE">
        <w:rPr>
          <w:lang w:val="en-US"/>
        </w:rPr>
        <w:t xml:space="preserve"> M.I., 2019, Effect of pyrolysis temperature on biochar microstructural evolution, physicochemical characteristics, and its influence on biochar/polypropylene composites, </w:t>
      </w:r>
      <w:r w:rsidRPr="003101BE">
        <w:rPr>
          <w:i/>
          <w:iCs/>
          <w:lang w:val="en-US"/>
        </w:rPr>
        <w:t>Applied Sciences</w:t>
      </w:r>
      <w:r w:rsidRPr="003101BE">
        <w:rPr>
          <w:lang w:val="en-US"/>
        </w:rPr>
        <w:t>, 9(6), DOI: 10.3390/app9061149</w:t>
      </w:r>
    </w:p>
    <w:p w14:paraId="55FF6A0C" w14:textId="77777777" w:rsidR="00556BF5" w:rsidRPr="003101BE" w:rsidRDefault="00556BF5" w:rsidP="00556BF5">
      <w:pPr>
        <w:pStyle w:val="CETReferencetext"/>
        <w:rPr>
          <w:lang w:val="en-US"/>
        </w:rPr>
      </w:pPr>
      <w:r w:rsidRPr="003101BE">
        <w:rPr>
          <w:lang w:val="en-US"/>
        </w:rPr>
        <w:t xml:space="preserve">Fazi M., Rosa D., Di Palma L., 2025, Modulating biochar properties through pyrolysis temperature for different applications, </w:t>
      </w:r>
      <w:r w:rsidRPr="003101BE">
        <w:rPr>
          <w:i/>
          <w:iCs/>
          <w:lang w:val="en-US"/>
        </w:rPr>
        <w:t>Chemical Engineering Transactions</w:t>
      </w:r>
      <w:r w:rsidRPr="003101BE">
        <w:rPr>
          <w:lang w:val="en-US"/>
        </w:rPr>
        <w:t>, 117, 25–30, DOI: 10.3303/CET25117005</w:t>
      </w:r>
    </w:p>
    <w:p w14:paraId="42942B6C" w14:textId="77777777" w:rsidR="00556BF5" w:rsidRPr="003101BE" w:rsidRDefault="00556BF5" w:rsidP="00556BF5">
      <w:pPr>
        <w:pStyle w:val="CETReferencetext"/>
        <w:rPr>
          <w:lang w:val="en-US"/>
        </w:rPr>
      </w:pPr>
      <w:r w:rsidRPr="003101BE">
        <w:rPr>
          <w:lang w:val="en-US"/>
        </w:rPr>
        <w:t xml:space="preserve">Fazi M., Rosa D., Di Palma L., 2026, Designing biochar through controlled synthesis: correlating processing conditions with functional performance, </w:t>
      </w:r>
      <w:r w:rsidRPr="003101BE">
        <w:rPr>
          <w:i/>
          <w:iCs/>
          <w:lang w:val="en-US"/>
        </w:rPr>
        <w:t>Journal of Analytical and Applied Pyrolysis</w:t>
      </w:r>
      <w:r w:rsidRPr="003101BE">
        <w:rPr>
          <w:lang w:val="en-US"/>
        </w:rPr>
        <w:t>, DOI: 10.1016/j.jaap.2026.107772</w:t>
      </w:r>
    </w:p>
    <w:p w14:paraId="495298A3" w14:textId="77777777" w:rsidR="00556BF5" w:rsidRPr="003101BE" w:rsidRDefault="00556BF5" w:rsidP="00556BF5">
      <w:pPr>
        <w:pStyle w:val="CETReferencetext"/>
        <w:rPr>
          <w:lang w:val="en-US"/>
        </w:rPr>
      </w:pPr>
      <w:proofErr w:type="spellStart"/>
      <w:r w:rsidRPr="003101BE">
        <w:rPr>
          <w:lang w:val="en-US"/>
        </w:rPr>
        <w:t>Guilhen</w:t>
      </w:r>
      <w:proofErr w:type="spellEnd"/>
      <w:r w:rsidRPr="003101BE">
        <w:rPr>
          <w:lang w:val="en-US"/>
        </w:rPr>
        <w:t xml:space="preserve"> S.N., Watanabe T., Silva T.T., </w:t>
      </w:r>
      <w:proofErr w:type="spellStart"/>
      <w:r w:rsidRPr="003101BE">
        <w:rPr>
          <w:lang w:val="en-US"/>
        </w:rPr>
        <w:t>Rovani</w:t>
      </w:r>
      <w:proofErr w:type="spellEnd"/>
      <w:r w:rsidRPr="003101BE">
        <w:rPr>
          <w:lang w:val="en-US"/>
        </w:rPr>
        <w:t xml:space="preserve"> S., </w:t>
      </w:r>
      <w:proofErr w:type="spellStart"/>
      <w:r w:rsidRPr="003101BE">
        <w:rPr>
          <w:lang w:val="en-US"/>
        </w:rPr>
        <w:t>Marumo</w:t>
      </w:r>
      <w:proofErr w:type="spellEnd"/>
      <w:r w:rsidRPr="003101BE">
        <w:rPr>
          <w:lang w:val="en-US"/>
        </w:rPr>
        <w:t xml:space="preserve"> J.T., </w:t>
      </w:r>
      <w:proofErr w:type="spellStart"/>
      <w:r w:rsidRPr="003101BE">
        <w:rPr>
          <w:lang w:val="en-US"/>
        </w:rPr>
        <w:t>Tenório</w:t>
      </w:r>
      <w:proofErr w:type="spellEnd"/>
      <w:r w:rsidRPr="003101BE">
        <w:rPr>
          <w:lang w:val="en-US"/>
        </w:rPr>
        <w:t xml:space="preserve"> J.A.S., </w:t>
      </w:r>
      <w:proofErr w:type="spellStart"/>
      <w:r w:rsidRPr="003101BE">
        <w:rPr>
          <w:lang w:val="en-US"/>
        </w:rPr>
        <w:t>Mašek</w:t>
      </w:r>
      <w:proofErr w:type="spellEnd"/>
      <w:r w:rsidRPr="003101BE">
        <w:rPr>
          <w:lang w:val="en-US"/>
        </w:rPr>
        <w:t xml:space="preserve"> O., Araujo L.G., 2022, Role of point of zero charge in the adsorption of cationic textile dye on standard </w:t>
      </w:r>
      <w:proofErr w:type="spellStart"/>
      <w:r w:rsidRPr="003101BE">
        <w:rPr>
          <w:lang w:val="en-US"/>
        </w:rPr>
        <w:t>biochars</w:t>
      </w:r>
      <w:proofErr w:type="spellEnd"/>
      <w:r w:rsidRPr="003101BE">
        <w:rPr>
          <w:lang w:val="en-US"/>
        </w:rPr>
        <w:t xml:space="preserve"> from aqueous solutions: selection criteria and performance assessment, </w:t>
      </w:r>
      <w:r w:rsidRPr="003101BE">
        <w:rPr>
          <w:i/>
          <w:iCs/>
          <w:lang w:val="en-US"/>
        </w:rPr>
        <w:t>Recent Progress in Materials</w:t>
      </w:r>
      <w:r w:rsidRPr="003101BE">
        <w:rPr>
          <w:lang w:val="en-US"/>
        </w:rPr>
        <w:t>, 4(2), DOI: 10.21926/rpm.2202010</w:t>
      </w:r>
    </w:p>
    <w:p w14:paraId="00B68D38" w14:textId="77777777" w:rsidR="00556BF5" w:rsidRPr="003101BE" w:rsidRDefault="00556BF5" w:rsidP="00556BF5">
      <w:pPr>
        <w:pStyle w:val="CETReferencetext"/>
        <w:rPr>
          <w:lang w:val="en-US"/>
        </w:rPr>
      </w:pPr>
      <w:r w:rsidRPr="003101BE">
        <w:rPr>
          <w:lang w:val="en-US"/>
        </w:rPr>
        <w:t xml:space="preserve">Guo Q., Majeed S., Xu R., Zhang K., </w:t>
      </w:r>
      <w:proofErr w:type="spellStart"/>
      <w:r w:rsidRPr="003101BE">
        <w:rPr>
          <w:lang w:val="en-US"/>
        </w:rPr>
        <w:t>Kakade</w:t>
      </w:r>
      <w:proofErr w:type="spellEnd"/>
      <w:r w:rsidRPr="003101BE">
        <w:rPr>
          <w:lang w:val="en-US"/>
        </w:rPr>
        <w:t xml:space="preserve"> A., Khan A., Hafeez F.Y., Mao C., Liu P., Li X., 2019, Heavy metals interact with the microbial community and affect biogas production in anaerobic digestion: a review, </w:t>
      </w:r>
      <w:r w:rsidRPr="003101BE">
        <w:rPr>
          <w:i/>
          <w:iCs/>
          <w:lang w:val="en-US"/>
        </w:rPr>
        <w:t>Journal of Environmental Management</w:t>
      </w:r>
      <w:r w:rsidRPr="003101BE">
        <w:rPr>
          <w:lang w:val="en-US"/>
        </w:rPr>
        <w:t>, 240, 266–272, DOI: 10.1016/j.jenvman.2019.03.104</w:t>
      </w:r>
    </w:p>
    <w:p w14:paraId="76545550" w14:textId="77777777" w:rsidR="00556BF5" w:rsidRPr="003101BE" w:rsidRDefault="00556BF5" w:rsidP="00556BF5">
      <w:pPr>
        <w:pStyle w:val="CETReferencetext"/>
        <w:rPr>
          <w:lang w:val="en-US"/>
        </w:rPr>
      </w:pPr>
      <w:r w:rsidRPr="003101BE">
        <w:rPr>
          <w:lang w:val="en-US"/>
        </w:rPr>
        <w:t xml:space="preserve">He D., Luo Y., Zhu B., 2024, Feedstock and pyrolysis temperature influence biochar properties and its interactions with soil substances: insights from a DFT calculation, </w:t>
      </w:r>
      <w:r w:rsidRPr="003101BE">
        <w:rPr>
          <w:i/>
          <w:iCs/>
          <w:lang w:val="en-US"/>
        </w:rPr>
        <w:t>Science of the Total Environment</w:t>
      </w:r>
      <w:r w:rsidRPr="003101BE">
        <w:rPr>
          <w:lang w:val="en-US"/>
        </w:rPr>
        <w:t>, 922, DOI: 10.1016/j.scitotenv.2024.171259</w:t>
      </w:r>
    </w:p>
    <w:p w14:paraId="1C59D234" w14:textId="77777777" w:rsidR="00556BF5" w:rsidRPr="003101BE" w:rsidRDefault="00556BF5" w:rsidP="00556BF5">
      <w:pPr>
        <w:pStyle w:val="CETReferencetext"/>
        <w:rPr>
          <w:lang w:val="en-US"/>
        </w:rPr>
      </w:pPr>
      <w:r w:rsidRPr="003101BE">
        <w:rPr>
          <w:lang w:val="en-US"/>
        </w:rPr>
        <w:t xml:space="preserve">Kadam R., </w:t>
      </w:r>
      <w:proofErr w:type="spellStart"/>
      <w:r w:rsidRPr="003101BE">
        <w:rPr>
          <w:lang w:val="en-US"/>
        </w:rPr>
        <w:t>Khanthong</w:t>
      </w:r>
      <w:proofErr w:type="spellEnd"/>
      <w:r w:rsidRPr="003101BE">
        <w:rPr>
          <w:lang w:val="en-US"/>
        </w:rPr>
        <w:t xml:space="preserve"> K., Jang H., Lee J., Park J., 2022, Occurrence, fate, and implications of heavy metals during anaerobic digestion: a review, </w:t>
      </w:r>
      <w:r w:rsidRPr="003101BE">
        <w:rPr>
          <w:i/>
          <w:iCs/>
          <w:lang w:val="en-US"/>
        </w:rPr>
        <w:t>Energies</w:t>
      </w:r>
      <w:r w:rsidRPr="003101BE">
        <w:rPr>
          <w:lang w:val="en-US"/>
        </w:rPr>
        <w:t>, 15(22), DOI: 10.3390/en15228618</w:t>
      </w:r>
    </w:p>
    <w:p w14:paraId="3CE1E8BC" w14:textId="77777777" w:rsidR="00556BF5" w:rsidRPr="003101BE" w:rsidRDefault="00556BF5" w:rsidP="00556BF5">
      <w:pPr>
        <w:pStyle w:val="CETReferencetext"/>
        <w:rPr>
          <w:lang w:val="en-US"/>
        </w:rPr>
      </w:pPr>
      <w:r w:rsidRPr="003101BE">
        <w:rPr>
          <w:lang w:val="en-US"/>
        </w:rPr>
        <w:t xml:space="preserve">Khalil C.A., </w:t>
      </w:r>
      <w:proofErr w:type="spellStart"/>
      <w:r w:rsidRPr="003101BE">
        <w:rPr>
          <w:lang w:val="en-US"/>
        </w:rPr>
        <w:t>Ghanimeh</w:t>
      </w:r>
      <w:proofErr w:type="spellEnd"/>
      <w:r w:rsidRPr="003101BE">
        <w:rPr>
          <w:lang w:val="en-US"/>
        </w:rPr>
        <w:t xml:space="preserve"> S., Medawar Y., 2017, Ammonia inhibition and recovery potential in anaerobic digesters: a review</w:t>
      </w:r>
    </w:p>
    <w:p w14:paraId="41AA57F4" w14:textId="77777777" w:rsidR="00556BF5" w:rsidRPr="003101BE" w:rsidRDefault="00556BF5" w:rsidP="00556BF5">
      <w:pPr>
        <w:pStyle w:val="CETReferencetext"/>
        <w:rPr>
          <w:lang w:val="en-US"/>
        </w:rPr>
      </w:pPr>
      <w:r w:rsidRPr="003101BE">
        <w:rPr>
          <w:lang w:val="en-US"/>
        </w:rPr>
        <w:t xml:space="preserve">Qian T., Zhang X., Hu J., Jiang H., 2013, Effects of environmental conditions on the release of phosphorus from biochar, </w:t>
      </w:r>
      <w:r w:rsidRPr="003101BE">
        <w:rPr>
          <w:i/>
          <w:iCs/>
          <w:lang w:val="en-US"/>
        </w:rPr>
        <w:t>Chemosphere</w:t>
      </w:r>
      <w:r w:rsidRPr="003101BE">
        <w:rPr>
          <w:lang w:val="en-US"/>
        </w:rPr>
        <w:t>, 93(9), 2069–2075, DOI: 10.1016/j.chemosphere.2013.07.041</w:t>
      </w:r>
    </w:p>
    <w:p w14:paraId="3E87CBFB" w14:textId="2DA24D43" w:rsidR="003A36D4" w:rsidRPr="00452986" w:rsidRDefault="00556BF5" w:rsidP="00452986">
      <w:pPr>
        <w:pStyle w:val="CETReferencetext"/>
        <w:rPr>
          <w:lang w:val="en-US"/>
        </w:rPr>
      </w:pPr>
      <w:r w:rsidRPr="003101BE">
        <w:rPr>
          <w:lang w:val="en-US"/>
        </w:rPr>
        <w:t>Salazar-</w:t>
      </w:r>
      <w:proofErr w:type="spellStart"/>
      <w:r w:rsidRPr="003101BE">
        <w:rPr>
          <w:lang w:val="en-US"/>
        </w:rPr>
        <w:t>Batres</w:t>
      </w:r>
      <w:proofErr w:type="spellEnd"/>
      <w:r w:rsidRPr="003101BE">
        <w:rPr>
          <w:lang w:val="en-US"/>
        </w:rPr>
        <w:t xml:space="preserve"> K.J., Moreno-Andrade I., 2025, Review of the effects of trace metal concentrations on the anaerobic digestion of organic solid waste, </w:t>
      </w:r>
      <w:r w:rsidRPr="003101BE">
        <w:rPr>
          <w:i/>
          <w:iCs/>
          <w:lang w:val="en-US"/>
        </w:rPr>
        <w:t>Bioenergy Research</w:t>
      </w:r>
      <w:r w:rsidRPr="003101BE">
        <w:rPr>
          <w:lang w:val="en-US"/>
        </w:rPr>
        <w:t>, 18(1), DOI: 10.1007/s12155-025-10826-y</w:t>
      </w:r>
    </w:p>
    <w:sectPr w:rsidR="003A36D4" w:rsidRPr="00452986" w:rsidSect="00DC73EE">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9D497" w14:textId="77777777" w:rsidR="00B937D7" w:rsidRDefault="00B937D7" w:rsidP="004F5E36">
      <w:r>
        <w:separator/>
      </w:r>
    </w:p>
  </w:endnote>
  <w:endnote w:type="continuationSeparator" w:id="0">
    <w:p w14:paraId="3FF98584" w14:textId="77777777" w:rsidR="00B937D7" w:rsidRDefault="00B937D7"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vP6960">
    <w:altName w:val="Cambria"/>
    <w:panose1 w:val="020B0604020202020204"/>
    <w:charset w:val="4D"/>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6338D" w14:textId="77777777" w:rsidR="00B937D7" w:rsidRDefault="00B937D7" w:rsidP="004F5E36">
      <w:r>
        <w:separator/>
      </w:r>
    </w:p>
  </w:footnote>
  <w:footnote w:type="continuationSeparator" w:id="0">
    <w:p w14:paraId="2C69BF4F" w14:textId="77777777" w:rsidR="00B937D7" w:rsidRDefault="00B937D7"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12266B64"/>
    <w:multiLevelType w:val="hybridMultilevel"/>
    <w:tmpl w:val="059214A0"/>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1"/>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3"/>
  </w:num>
  <w:num w:numId="14" w16cid:durableId="145903400">
    <w:abstractNumId w:val="19"/>
  </w:num>
  <w:num w:numId="15" w16cid:durableId="19162326">
    <w:abstractNumId w:val="21"/>
  </w:num>
  <w:num w:numId="16" w16cid:durableId="1977102699">
    <w:abstractNumId w:val="20"/>
  </w:num>
  <w:num w:numId="17" w16cid:durableId="860774865">
    <w:abstractNumId w:val="12"/>
  </w:num>
  <w:num w:numId="18" w16cid:durableId="313221457">
    <w:abstractNumId w:val="13"/>
    <w:lvlOverride w:ilvl="0">
      <w:startOverride w:val="1"/>
    </w:lvlOverride>
  </w:num>
  <w:num w:numId="19" w16cid:durableId="534971577">
    <w:abstractNumId w:val="17"/>
  </w:num>
  <w:num w:numId="20" w16cid:durableId="1150947773">
    <w:abstractNumId w:val="16"/>
  </w:num>
  <w:num w:numId="21" w16cid:durableId="124660497">
    <w:abstractNumId w:val="15"/>
  </w:num>
  <w:num w:numId="22" w16cid:durableId="2099861471">
    <w:abstractNumId w:val="14"/>
  </w:num>
  <w:num w:numId="23" w16cid:durableId="84351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12762"/>
    <w:rsid w:val="00014FA9"/>
    <w:rsid w:val="00017528"/>
    <w:rsid w:val="0002552A"/>
    <w:rsid w:val="0003148D"/>
    <w:rsid w:val="00031EEC"/>
    <w:rsid w:val="00046C4D"/>
    <w:rsid w:val="00051566"/>
    <w:rsid w:val="000562A9"/>
    <w:rsid w:val="00056F36"/>
    <w:rsid w:val="00062A66"/>
    <w:rsid w:val="00062A9A"/>
    <w:rsid w:val="00064311"/>
    <w:rsid w:val="00065058"/>
    <w:rsid w:val="0007799B"/>
    <w:rsid w:val="0008047F"/>
    <w:rsid w:val="00086C39"/>
    <w:rsid w:val="000A03B2"/>
    <w:rsid w:val="000C454F"/>
    <w:rsid w:val="000D0268"/>
    <w:rsid w:val="000D3478"/>
    <w:rsid w:val="000D34BE"/>
    <w:rsid w:val="000E0B3C"/>
    <w:rsid w:val="000E102F"/>
    <w:rsid w:val="000E36F1"/>
    <w:rsid w:val="000E3A73"/>
    <w:rsid w:val="000E414A"/>
    <w:rsid w:val="000E75FD"/>
    <w:rsid w:val="000F093C"/>
    <w:rsid w:val="000F18C6"/>
    <w:rsid w:val="000F5EA9"/>
    <w:rsid w:val="000F787B"/>
    <w:rsid w:val="00101112"/>
    <w:rsid w:val="00103767"/>
    <w:rsid w:val="0011160A"/>
    <w:rsid w:val="00117D12"/>
    <w:rsid w:val="0012091F"/>
    <w:rsid w:val="0012474E"/>
    <w:rsid w:val="00126BC2"/>
    <w:rsid w:val="001308B6"/>
    <w:rsid w:val="0013121F"/>
    <w:rsid w:val="00131FE6"/>
    <w:rsid w:val="0013263F"/>
    <w:rsid w:val="001331DF"/>
    <w:rsid w:val="00134DE4"/>
    <w:rsid w:val="0014034D"/>
    <w:rsid w:val="00140FE3"/>
    <w:rsid w:val="00144D16"/>
    <w:rsid w:val="00150E59"/>
    <w:rsid w:val="00152DE3"/>
    <w:rsid w:val="00164CF9"/>
    <w:rsid w:val="0016621D"/>
    <w:rsid w:val="001667A6"/>
    <w:rsid w:val="0018171E"/>
    <w:rsid w:val="00184AD6"/>
    <w:rsid w:val="0019064C"/>
    <w:rsid w:val="001A4706"/>
    <w:rsid w:val="001A4AF7"/>
    <w:rsid w:val="001B0349"/>
    <w:rsid w:val="001B1E93"/>
    <w:rsid w:val="001B65C1"/>
    <w:rsid w:val="001C260F"/>
    <w:rsid w:val="001C5C3A"/>
    <w:rsid w:val="001C684B"/>
    <w:rsid w:val="001C7351"/>
    <w:rsid w:val="001D064B"/>
    <w:rsid w:val="001D0CFB"/>
    <w:rsid w:val="001D21AF"/>
    <w:rsid w:val="001D4124"/>
    <w:rsid w:val="001D53FC"/>
    <w:rsid w:val="001F42A5"/>
    <w:rsid w:val="001F7B9D"/>
    <w:rsid w:val="00201C93"/>
    <w:rsid w:val="00210CB9"/>
    <w:rsid w:val="00213034"/>
    <w:rsid w:val="002224B4"/>
    <w:rsid w:val="00222519"/>
    <w:rsid w:val="00233B34"/>
    <w:rsid w:val="002354EE"/>
    <w:rsid w:val="002447EF"/>
    <w:rsid w:val="002513DB"/>
    <w:rsid w:val="00251550"/>
    <w:rsid w:val="00263B05"/>
    <w:rsid w:val="0027221A"/>
    <w:rsid w:val="00275B61"/>
    <w:rsid w:val="00280FAF"/>
    <w:rsid w:val="00282656"/>
    <w:rsid w:val="0028289C"/>
    <w:rsid w:val="00296B83"/>
    <w:rsid w:val="002A5DA1"/>
    <w:rsid w:val="002B4015"/>
    <w:rsid w:val="002B4BDA"/>
    <w:rsid w:val="002B78CE"/>
    <w:rsid w:val="002C2FB6"/>
    <w:rsid w:val="002C4D15"/>
    <w:rsid w:val="002D2891"/>
    <w:rsid w:val="002D59DE"/>
    <w:rsid w:val="002E5FA7"/>
    <w:rsid w:val="002F2D71"/>
    <w:rsid w:val="002F3309"/>
    <w:rsid w:val="003008CE"/>
    <w:rsid w:val="003009B7"/>
    <w:rsid w:val="00300E56"/>
    <w:rsid w:val="0030152C"/>
    <w:rsid w:val="0030469C"/>
    <w:rsid w:val="003046A9"/>
    <w:rsid w:val="003101BE"/>
    <w:rsid w:val="00321CA6"/>
    <w:rsid w:val="00323763"/>
    <w:rsid w:val="00323C5F"/>
    <w:rsid w:val="003317A6"/>
    <w:rsid w:val="00334C09"/>
    <w:rsid w:val="00346655"/>
    <w:rsid w:val="0035557D"/>
    <w:rsid w:val="003723D4"/>
    <w:rsid w:val="00381905"/>
    <w:rsid w:val="00382E70"/>
    <w:rsid w:val="00384CC8"/>
    <w:rsid w:val="003871FD"/>
    <w:rsid w:val="00396E42"/>
    <w:rsid w:val="003A1E30"/>
    <w:rsid w:val="003A2829"/>
    <w:rsid w:val="003A36D4"/>
    <w:rsid w:val="003A7D1C"/>
    <w:rsid w:val="003B12DB"/>
    <w:rsid w:val="003B1383"/>
    <w:rsid w:val="003B304B"/>
    <w:rsid w:val="003B3146"/>
    <w:rsid w:val="003B49CD"/>
    <w:rsid w:val="003C3669"/>
    <w:rsid w:val="003D1E02"/>
    <w:rsid w:val="003D6CAD"/>
    <w:rsid w:val="003F015E"/>
    <w:rsid w:val="00400414"/>
    <w:rsid w:val="00402446"/>
    <w:rsid w:val="0041446B"/>
    <w:rsid w:val="00420FE3"/>
    <w:rsid w:val="0044071E"/>
    <w:rsid w:val="0044329C"/>
    <w:rsid w:val="00452986"/>
    <w:rsid w:val="00453E24"/>
    <w:rsid w:val="00457456"/>
    <w:rsid w:val="004577FE"/>
    <w:rsid w:val="00457B9C"/>
    <w:rsid w:val="0046164A"/>
    <w:rsid w:val="004628D2"/>
    <w:rsid w:val="00462DCD"/>
    <w:rsid w:val="004648AD"/>
    <w:rsid w:val="004703A9"/>
    <w:rsid w:val="004760DE"/>
    <w:rsid w:val="004763D7"/>
    <w:rsid w:val="004A004E"/>
    <w:rsid w:val="004A0F2D"/>
    <w:rsid w:val="004A24CF"/>
    <w:rsid w:val="004C3D1D"/>
    <w:rsid w:val="004C3D84"/>
    <w:rsid w:val="004C7913"/>
    <w:rsid w:val="004C7963"/>
    <w:rsid w:val="004D0A9E"/>
    <w:rsid w:val="004D1459"/>
    <w:rsid w:val="004E4DD6"/>
    <w:rsid w:val="004F5E36"/>
    <w:rsid w:val="00505AF6"/>
    <w:rsid w:val="00507B47"/>
    <w:rsid w:val="00507BEF"/>
    <w:rsid w:val="00507CC9"/>
    <w:rsid w:val="005119A5"/>
    <w:rsid w:val="00513127"/>
    <w:rsid w:val="00513E9D"/>
    <w:rsid w:val="00516967"/>
    <w:rsid w:val="005272A4"/>
    <w:rsid w:val="005278B7"/>
    <w:rsid w:val="005303D2"/>
    <w:rsid w:val="00532016"/>
    <w:rsid w:val="005346C8"/>
    <w:rsid w:val="00543E7D"/>
    <w:rsid w:val="00547A68"/>
    <w:rsid w:val="005512F0"/>
    <w:rsid w:val="005531C9"/>
    <w:rsid w:val="00554879"/>
    <w:rsid w:val="00556BF5"/>
    <w:rsid w:val="00556EAF"/>
    <w:rsid w:val="00570C43"/>
    <w:rsid w:val="00574ADF"/>
    <w:rsid w:val="00575816"/>
    <w:rsid w:val="005767B1"/>
    <w:rsid w:val="00592274"/>
    <w:rsid w:val="005B2110"/>
    <w:rsid w:val="005B350B"/>
    <w:rsid w:val="005B61E6"/>
    <w:rsid w:val="005C48C5"/>
    <w:rsid w:val="005C527F"/>
    <w:rsid w:val="005C53C8"/>
    <w:rsid w:val="005C77E1"/>
    <w:rsid w:val="005D176A"/>
    <w:rsid w:val="005D668A"/>
    <w:rsid w:val="005D6A2F"/>
    <w:rsid w:val="005E0592"/>
    <w:rsid w:val="005E0A2E"/>
    <w:rsid w:val="005E0AA7"/>
    <w:rsid w:val="005E1A82"/>
    <w:rsid w:val="005E554C"/>
    <w:rsid w:val="005E794C"/>
    <w:rsid w:val="005F0A28"/>
    <w:rsid w:val="005F0AD6"/>
    <w:rsid w:val="005F0D70"/>
    <w:rsid w:val="005F0E5E"/>
    <w:rsid w:val="00600535"/>
    <w:rsid w:val="006101AB"/>
    <w:rsid w:val="006108DA"/>
    <w:rsid w:val="00610CD6"/>
    <w:rsid w:val="006178D6"/>
    <w:rsid w:val="00620DEE"/>
    <w:rsid w:val="00621F92"/>
    <w:rsid w:val="0062280A"/>
    <w:rsid w:val="006231E1"/>
    <w:rsid w:val="00625639"/>
    <w:rsid w:val="00631B33"/>
    <w:rsid w:val="0063301E"/>
    <w:rsid w:val="0064184D"/>
    <w:rsid w:val="006422CC"/>
    <w:rsid w:val="00643A73"/>
    <w:rsid w:val="00651D18"/>
    <w:rsid w:val="0065458D"/>
    <w:rsid w:val="00660E3E"/>
    <w:rsid w:val="00662E74"/>
    <w:rsid w:val="00680C23"/>
    <w:rsid w:val="00683E23"/>
    <w:rsid w:val="00685A6E"/>
    <w:rsid w:val="0068646C"/>
    <w:rsid w:val="00691DA9"/>
    <w:rsid w:val="00693766"/>
    <w:rsid w:val="00696692"/>
    <w:rsid w:val="006A3281"/>
    <w:rsid w:val="006A4542"/>
    <w:rsid w:val="006A6DE5"/>
    <w:rsid w:val="006B1A5D"/>
    <w:rsid w:val="006B4888"/>
    <w:rsid w:val="006C2E45"/>
    <w:rsid w:val="006C359C"/>
    <w:rsid w:val="006C366A"/>
    <w:rsid w:val="006C5579"/>
    <w:rsid w:val="006C5EBD"/>
    <w:rsid w:val="006D2857"/>
    <w:rsid w:val="006D6E8B"/>
    <w:rsid w:val="006D700F"/>
    <w:rsid w:val="006D7209"/>
    <w:rsid w:val="006E737D"/>
    <w:rsid w:val="006F7D19"/>
    <w:rsid w:val="007007C4"/>
    <w:rsid w:val="00702ED1"/>
    <w:rsid w:val="00705DA4"/>
    <w:rsid w:val="00707DD1"/>
    <w:rsid w:val="00713973"/>
    <w:rsid w:val="00720A24"/>
    <w:rsid w:val="00732386"/>
    <w:rsid w:val="0073514D"/>
    <w:rsid w:val="0073620D"/>
    <w:rsid w:val="0074304C"/>
    <w:rsid w:val="007447F3"/>
    <w:rsid w:val="0075499F"/>
    <w:rsid w:val="0076068B"/>
    <w:rsid w:val="0076163A"/>
    <w:rsid w:val="007655C8"/>
    <w:rsid w:val="007661C8"/>
    <w:rsid w:val="0077098D"/>
    <w:rsid w:val="0078309C"/>
    <w:rsid w:val="00785BF9"/>
    <w:rsid w:val="007931FA"/>
    <w:rsid w:val="007A4861"/>
    <w:rsid w:val="007A7BBA"/>
    <w:rsid w:val="007B0C50"/>
    <w:rsid w:val="007B187F"/>
    <w:rsid w:val="007B48F9"/>
    <w:rsid w:val="007C1A43"/>
    <w:rsid w:val="007D0951"/>
    <w:rsid w:val="007D193C"/>
    <w:rsid w:val="007D610D"/>
    <w:rsid w:val="0080013E"/>
    <w:rsid w:val="00801759"/>
    <w:rsid w:val="0081321C"/>
    <w:rsid w:val="00813288"/>
    <w:rsid w:val="008149B1"/>
    <w:rsid w:val="008168FC"/>
    <w:rsid w:val="00830996"/>
    <w:rsid w:val="008345F1"/>
    <w:rsid w:val="00840F72"/>
    <w:rsid w:val="008569C8"/>
    <w:rsid w:val="00861AA9"/>
    <w:rsid w:val="00865B07"/>
    <w:rsid w:val="008662EA"/>
    <w:rsid w:val="008667EA"/>
    <w:rsid w:val="0086709E"/>
    <w:rsid w:val="00873939"/>
    <w:rsid w:val="0087637F"/>
    <w:rsid w:val="00883AF4"/>
    <w:rsid w:val="008860EB"/>
    <w:rsid w:val="00892483"/>
    <w:rsid w:val="00892AD5"/>
    <w:rsid w:val="008A1512"/>
    <w:rsid w:val="008A5607"/>
    <w:rsid w:val="008B60BE"/>
    <w:rsid w:val="008D32B9"/>
    <w:rsid w:val="008D433B"/>
    <w:rsid w:val="008D4A16"/>
    <w:rsid w:val="008E0163"/>
    <w:rsid w:val="008E5401"/>
    <w:rsid w:val="008E566E"/>
    <w:rsid w:val="008E6B7C"/>
    <w:rsid w:val="008F134B"/>
    <w:rsid w:val="0090161A"/>
    <w:rsid w:val="00901EB6"/>
    <w:rsid w:val="009041F8"/>
    <w:rsid w:val="00904C62"/>
    <w:rsid w:val="009071BE"/>
    <w:rsid w:val="00914FD7"/>
    <w:rsid w:val="00922BA8"/>
    <w:rsid w:val="009248B8"/>
    <w:rsid w:val="00924DAC"/>
    <w:rsid w:val="00927058"/>
    <w:rsid w:val="00942750"/>
    <w:rsid w:val="009450CE"/>
    <w:rsid w:val="009459BB"/>
    <w:rsid w:val="00947179"/>
    <w:rsid w:val="00951534"/>
    <w:rsid w:val="0095164B"/>
    <w:rsid w:val="00954090"/>
    <w:rsid w:val="009573E7"/>
    <w:rsid w:val="00963E05"/>
    <w:rsid w:val="00964A45"/>
    <w:rsid w:val="00966276"/>
    <w:rsid w:val="009674B9"/>
    <w:rsid w:val="00967843"/>
    <w:rsid w:val="00967D54"/>
    <w:rsid w:val="0097043C"/>
    <w:rsid w:val="009707C1"/>
    <w:rsid w:val="00971028"/>
    <w:rsid w:val="00975887"/>
    <w:rsid w:val="009819FA"/>
    <w:rsid w:val="00993B84"/>
    <w:rsid w:val="009948E1"/>
    <w:rsid w:val="00994C6A"/>
    <w:rsid w:val="00996483"/>
    <w:rsid w:val="00996F5A"/>
    <w:rsid w:val="009A6CFB"/>
    <w:rsid w:val="009A7F58"/>
    <w:rsid w:val="009B041A"/>
    <w:rsid w:val="009C37C3"/>
    <w:rsid w:val="009C7C86"/>
    <w:rsid w:val="009D2FF7"/>
    <w:rsid w:val="009E7884"/>
    <w:rsid w:val="009E788A"/>
    <w:rsid w:val="009F0E08"/>
    <w:rsid w:val="00A079AE"/>
    <w:rsid w:val="00A1763D"/>
    <w:rsid w:val="00A1794A"/>
    <w:rsid w:val="00A17CEC"/>
    <w:rsid w:val="00A27EF0"/>
    <w:rsid w:val="00A34B64"/>
    <w:rsid w:val="00A42361"/>
    <w:rsid w:val="00A50B20"/>
    <w:rsid w:val="00A51390"/>
    <w:rsid w:val="00A572F3"/>
    <w:rsid w:val="00A57E38"/>
    <w:rsid w:val="00A60D13"/>
    <w:rsid w:val="00A7223D"/>
    <w:rsid w:val="00A72745"/>
    <w:rsid w:val="00A76EFC"/>
    <w:rsid w:val="00A87D50"/>
    <w:rsid w:val="00A91010"/>
    <w:rsid w:val="00A97F29"/>
    <w:rsid w:val="00AA17EA"/>
    <w:rsid w:val="00AA702E"/>
    <w:rsid w:val="00AA7D26"/>
    <w:rsid w:val="00AB0964"/>
    <w:rsid w:val="00AB4C0B"/>
    <w:rsid w:val="00AB5011"/>
    <w:rsid w:val="00AC046A"/>
    <w:rsid w:val="00AC553E"/>
    <w:rsid w:val="00AC7368"/>
    <w:rsid w:val="00AD16B9"/>
    <w:rsid w:val="00AD2C23"/>
    <w:rsid w:val="00AE377D"/>
    <w:rsid w:val="00AE3DF8"/>
    <w:rsid w:val="00AF0EBA"/>
    <w:rsid w:val="00AF2463"/>
    <w:rsid w:val="00AF7D16"/>
    <w:rsid w:val="00B01957"/>
    <w:rsid w:val="00B01B33"/>
    <w:rsid w:val="00B02C8A"/>
    <w:rsid w:val="00B05B61"/>
    <w:rsid w:val="00B06879"/>
    <w:rsid w:val="00B17FBD"/>
    <w:rsid w:val="00B2184B"/>
    <w:rsid w:val="00B24CCC"/>
    <w:rsid w:val="00B315A6"/>
    <w:rsid w:val="00B31813"/>
    <w:rsid w:val="00B33365"/>
    <w:rsid w:val="00B57B36"/>
    <w:rsid w:val="00B57E6F"/>
    <w:rsid w:val="00B8686D"/>
    <w:rsid w:val="00B937D7"/>
    <w:rsid w:val="00B93F69"/>
    <w:rsid w:val="00BB1DDC"/>
    <w:rsid w:val="00BC2DB0"/>
    <w:rsid w:val="00BC30C9"/>
    <w:rsid w:val="00BD077D"/>
    <w:rsid w:val="00BD646A"/>
    <w:rsid w:val="00BE0F77"/>
    <w:rsid w:val="00BE1F77"/>
    <w:rsid w:val="00BE3E58"/>
    <w:rsid w:val="00BF13CE"/>
    <w:rsid w:val="00BF24AB"/>
    <w:rsid w:val="00C00AAE"/>
    <w:rsid w:val="00C01616"/>
    <w:rsid w:val="00C0162B"/>
    <w:rsid w:val="00C0212E"/>
    <w:rsid w:val="00C068ED"/>
    <w:rsid w:val="00C136B7"/>
    <w:rsid w:val="00C14044"/>
    <w:rsid w:val="00C212AB"/>
    <w:rsid w:val="00C22BFB"/>
    <w:rsid w:val="00C22E0C"/>
    <w:rsid w:val="00C345B1"/>
    <w:rsid w:val="00C40142"/>
    <w:rsid w:val="00C52C3C"/>
    <w:rsid w:val="00C57182"/>
    <w:rsid w:val="00C57863"/>
    <w:rsid w:val="00C640AF"/>
    <w:rsid w:val="00C655FD"/>
    <w:rsid w:val="00C67487"/>
    <w:rsid w:val="00C75407"/>
    <w:rsid w:val="00C80779"/>
    <w:rsid w:val="00C841C6"/>
    <w:rsid w:val="00C870A8"/>
    <w:rsid w:val="00C8724A"/>
    <w:rsid w:val="00C93168"/>
    <w:rsid w:val="00C94434"/>
    <w:rsid w:val="00CA0D75"/>
    <w:rsid w:val="00CA0D96"/>
    <w:rsid w:val="00CA1C95"/>
    <w:rsid w:val="00CA5A9C"/>
    <w:rsid w:val="00CC16C9"/>
    <w:rsid w:val="00CC4C20"/>
    <w:rsid w:val="00CD3517"/>
    <w:rsid w:val="00CD5FE2"/>
    <w:rsid w:val="00CD7004"/>
    <w:rsid w:val="00CE7C68"/>
    <w:rsid w:val="00CF2259"/>
    <w:rsid w:val="00CF6DD3"/>
    <w:rsid w:val="00D006F4"/>
    <w:rsid w:val="00D01508"/>
    <w:rsid w:val="00D02B4C"/>
    <w:rsid w:val="00D040C4"/>
    <w:rsid w:val="00D0541C"/>
    <w:rsid w:val="00D06DB5"/>
    <w:rsid w:val="00D20AD1"/>
    <w:rsid w:val="00D2582C"/>
    <w:rsid w:val="00D26B41"/>
    <w:rsid w:val="00D37637"/>
    <w:rsid w:val="00D434B4"/>
    <w:rsid w:val="00D46B7E"/>
    <w:rsid w:val="00D57C84"/>
    <w:rsid w:val="00D6057D"/>
    <w:rsid w:val="00D71640"/>
    <w:rsid w:val="00D77DAD"/>
    <w:rsid w:val="00D77F54"/>
    <w:rsid w:val="00D836C5"/>
    <w:rsid w:val="00D84576"/>
    <w:rsid w:val="00D84B16"/>
    <w:rsid w:val="00DA1399"/>
    <w:rsid w:val="00DA24C6"/>
    <w:rsid w:val="00DA4D7B"/>
    <w:rsid w:val="00DC2840"/>
    <w:rsid w:val="00DC3871"/>
    <w:rsid w:val="00DC73EE"/>
    <w:rsid w:val="00DD271C"/>
    <w:rsid w:val="00DE11AD"/>
    <w:rsid w:val="00DE264A"/>
    <w:rsid w:val="00DE36C6"/>
    <w:rsid w:val="00DE6292"/>
    <w:rsid w:val="00DF5072"/>
    <w:rsid w:val="00DF78ED"/>
    <w:rsid w:val="00DF7EB8"/>
    <w:rsid w:val="00E0161D"/>
    <w:rsid w:val="00E02D18"/>
    <w:rsid w:val="00E041B1"/>
    <w:rsid w:val="00E041E7"/>
    <w:rsid w:val="00E05133"/>
    <w:rsid w:val="00E15574"/>
    <w:rsid w:val="00E159CF"/>
    <w:rsid w:val="00E23CA1"/>
    <w:rsid w:val="00E25849"/>
    <w:rsid w:val="00E268C7"/>
    <w:rsid w:val="00E332BC"/>
    <w:rsid w:val="00E409A8"/>
    <w:rsid w:val="00E50218"/>
    <w:rsid w:val="00E50C12"/>
    <w:rsid w:val="00E60143"/>
    <w:rsid w:val="00E65B91"/>
    <w:rsid w:val="00E7209D"/>
    <w:rsid w:val="00E72EAD"/>
    <w:rsid w:val="00E77223"/>
    <w:rsid w:val="00E8321F"/>
    <w:rsid w:val="00E8528B"/>
    <w:rsid w:val="00E85B94"/>
    <w:rsid w:val="00E978D0"/>
    <w:rsid w:val="00EA2B8C"/>
    <w:rsid w:val="00EA4613"/>
    <w:rsid w:val="00EA75A7"/>
    <w:rsid w:val="00EA7F91"/>
    <w:rsid w:val="00EA7F9B"/>
    <w:rsid w:val="00EB1523"/>
    <w:rsid w:val="00EC0E49"/>
    <w:rsid w:val="00EC101F"/>
    <w:rsid w:val="00EC1D9F"/>
    <w:rsid w:val="00ED2A0E"/>
    <w:rsid w:val="00EE0131"/>
    <w:rsid w:val="00EE034A"/>
    <w:rsid w:val="00EE17B0"/>
    <w:rsid w:val="00EE49D4"/>
    <w:rsid w:val="00EF06D9"/>
    <w:rsid w:val="00EF16AA"/>
    <w:rsid w:val="00EF531E"/>
    <w:rsid w:val="00F10124"/>
    <w:rsid w:val="00F24A05"/>
    <w:rsid w:val="00F3049E"/>
    <w:rsid w:val="00F30C64"/>
    <w:rsid w:val="00F32BA2"/>
    <w:rsid w:val="00F32CDB"/>
    <w:rsid w:val="00F41EE4"/>
    <w:rsid w:val="00F5478B"/>
    <w:rsid w:val="00F565FE"/>
    <w:rsid w:val="00F63A70"/>
    <w:rsid w:val="00F63D8C"/>
    <w:rsid w:val="00F730D3"/>
    <w:rsid w:val="00F7534E"/>
    <w:rsid w:val="00F91988"/>
    <w:rsid w:val="00F93EDF"/>
    <w:rsid w:val="00FA0A6F"/>
    <w:rsid w:val="00FA1802"/>
    <w:rsid w:val="00FA1ABF"/>
    <w:rsid w:val="00FA21D0"/>
    <w:rsid w:val="00FA5F5F"/>
    <w:rsid w:val="00FB730C"/>
    <w:rsid w:val="00FC22DC"/>
    <w:rsid w:val="00FC2695"/>
    <w:rsid w:val="00FC2F8D"/>
    <w:rsid w:val="00FC3E03"/>
    <w:rsid w:val="00FC3FC1"/>
    <w:rsid w:val="00FC4B12"/>
    <w:rsid w:val="00FF2842"/>
    <w:rsid w:val="00FF5FB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Testosegnaposto">
    <w:name w:val="Placeholder Text"/>
    <w:basedOn w:val="Carpredefinitoparagrafo"/>
    <w:uiPriority w:val="99"/>
    <w:semiHidden/>
    <w:rsid w:val="00C807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50368">
      <w:bodyDiv w:val="1"/>
      <w:marLeft w:val="0"/>
      <w:marRight w:val="0"/>
      <w:marTop w:val="0"/>
      <w:marBottom w:val="0"/>
      <w:divBdr>
        <w:top w:val="none" w:sz="0" w:space="0" w:color="auto"/>
        <w:left w:val="none" w:sz="0" w:space="0" w:color="auto"/>
        <w:bottom w:val="none" w:sz="0" w:space="0" w:color="auto"/>
        <w:right w:val="none" w:sz="0" w:space="0" w:color="auto"/>
      </w:divBdr>
    </w:div>
    <w:div w:id="45379419">
      <w:bodyDiv w:val="1"/>
      <w:marLeft w:val="0"/>
      <w:marRight w:val="0"/>
      <w:marTop w:val="0"/>
      <w:marBottom w:val="0"/>
      <w:divBdr>
        <w:top w:val="none" w:sz="0" w:space="0" w:color="auto"/>
        <w:left w:val="none" w:sz="0" w:space="0" w:color="auto"/>
        <w:bottom w:val="none" w:sz="0" w:space="0" w:color="auto"/>
        <w:right w:val="none" w:sz="0" w:space="0" w:color="auto"/>
      </w:divBdr>
    </w:div>
    <w:div w:id="65035530">
      <w:bodyDiv w:val="1"/>
      <w:marLeft w:val="0"/>
      <w:marRight w:val="0"/>
      <w:marTop w:val="0"/>
      <w:marBottom w:val="0"/>
      <w:divBdr>
        <w:top w:val="none" w:sz="0" w:space="0" w:color="auto"/>
        <w:left w:val="none" w:sz="0" w:space="0" w:color="auto"/>
        <w:bottom w:val="none" w:sz="0" w:space="0" w:color="auto"/>
        <w:right w:val="none" w:sz="0" w:space="0" w:color="auto"/>
      </w:divBdr>
    </w:div>
    <w:div w:id="79915006">
      <w:bodyDiv w:val="1"/>
      <w:marLeft w:val="0"/>
      <w:marRight w:val="0"/>
      <w:marTop w:val="0"/>
      <w:marBottom w:val="0"/>
      <w:divBdr>
        <w:top w:val="none" w:sz="0" w:space="0" w:color="auto"/>
        <w:left w:val="none" w:sz="0" w:space="0" w:color="auto"/>
        <w:bottom w:val="none" w:sz="0" w:space="0" w:color="auto"/>
        <w:right w:val="none" w:sz="0" w:space="0" w:color="auto"/>
      </w:divBdr>
    </w:div>
    <w:div w:id="91127688">
      <w:bodyDiv w:val="1"/>
      <w:marLeft w:val="0"/>
      <w:marRight w:val="0"/>
      <w:marTop w:val="0"/>
      <w:marBottom w:val="0"/>
      <w:divBdr>
        <w:top w:val="none" w:sz="0" w:space="0" w:color="auto"/>
        <w:left w:val="none" w:sz="0" w:space="0" w:color="auto"/>
        <w:bottom w:val="none" w:sz="0" w:space="0" w:color="auto"/>
        <w:right w:val="none" w:sz="0" w:space="0" w:color="auto"/>
      </w:divBdr>
    </w:div>
    <w:div w:id="92288584">
      <w:bodyDiv w:val="1"/>
      <w:marLeft w:val="0"/>
      <w:marRight w:val="0"/>
      <w:marTop w:val="0"/>
      <w:marBottom w:val="0"/>
      <w:divBdr>
        <w:top w:val="none" w:sz="0" w:space="0" w:color="auto"/>
        <w:left w:val="none" w:sz="0" w:space="0" w:color="auto"/>
        <w:bottom w:val="none" w:sz="0" w:space="0" w:color="auto"/>
        <w:right w:val="none" w:sz="0" w:space="0" w:color="auto"/>
      </w:divBdr>
    </w:div>
    <w:div w:id="106779874">
      <w:bodyDiv w:val="1"/>
      <w:marLeft w:val="0"/>
      <w:marRight w:val="0"/>
      <w:marTop w:val="0"/>
      <w:marBottom w:val="0"/>
      <w:divBdr>
        <w:top w:val="none" w:sz="0" w:space="0" w:color="auto"/>
        <w:left w:val="none" w:sz="0" w:space="0" w:color="auto"/>
        <w:bottom w:val="none" w:sz="0" w:space="0" w:color="auto"/>
        <w:right w:val="none" w:sz="0" w:space="0" w:color="auto"/>
      </w:divBdr>
    </w:div>
    <w:div w:id="128934403">
      <w:bodyDiv w:val="1"/>
      <w:marLeft w:val="0"/>
      <w:marRight w:val="0"/>
      <w:marTop w:val="0"/>
      <w:marBottom w:val="0"/>
      <w:divBdr>
        <w:top w:val="none" w:sz="0" w:space="0" w:color="auto"/>
        <w:left w:val="none" w:sz="0" w:space="0" w:color="auto"/>
        <w:bottom w:val="none" w:sz="0" w:space="0" w:color="auto"/>
        <w:right w:val="none" w:sz="0" w:space="0" w:color="auto"/>
      </w:divBdr>
      <w:divsChild>
        <w:div w:id="1058894416">
          <w:marLeft w:val="480"/>
          <w:marRight w:val="0"/>
          <w:marTop w:val="0"/>
          <w:marBottom w:val="0"/>
          <w:divBdr>
            <w:top w:val="none" w:sz="0" w:space="0" w:color="auto"/>
            <w:left w:val="none" w:sz="0" w:space="0" w:color="auto"/>
            <w:bottom w:val="none" w:sz="0" w:space="0" w:color="auto"/>
            <w:right w:val="none" w:sz="0" w:space="0" w:color="auto"/>
          </w:divBdr>
        </w:div>
        <w:div w:id="20326379">
          <w:marLeft w:val="480"/>
          <w:marRight w:val="0"/>
          <w:marTop w:val="0"/>
          <w:marBottom w:val="0"/>
          <w:divBdr>
            <w:top w:val="none" w:sz="0" w:space="0" w:color="auto"/>
            <w:left w:val="none" w:sz="0" w:space="0" w:color="auto"/>
            <w:bottom w:val="none" w:sz="0" w:space="0" w:color="auto"/>
            <w:right w:val="none" w:sz="0" w:space="0" w:color="auto"/>
          </w:divBdr>
        </w:div>
        <w:div w:id="2048095013">
          <w:marLeft w:val="480"/>
          <w:marRight w:val="0"/>
          <w:marTop w:val="0"/>
          <w:marBottom w:val="0"/>
          <w:divBdr>
            <w:top w:val="none" w:sz="0" w:space="0" w:color="auto"/>
            <w:left w:val="none" w:sz="0" w:space="0" w:color="auto"/>
            <w:bottom w:val="none" w:sz="0" w:space="0" w:color="auto"/>
            <w:right w:val="none" w:sz="0" w:space="0" w:color="auto"/>
          </w:divBdr>
        </w:div>
        <w:div w:id="1804299980">
          <w:marLeft w:val="480"/>
          <w:marRight w:val="0"/>
          <w:marTop w:val="0"/>
          <w:marBottom w:val="0"/>
          <w:divBdr>
            <w:top w:val="none" w:sz="0" w:space="0" w:color="auto"/>
            <w:left w:val="none" w:sz="0" w:space="0" w:color="auto"/>
            <w:bottom w:val="none" w:sz="0" w:space="0" w:color="auto"/>
            <w:right w:val="none" w:sz="0" w:space="0" w:color="auto"/>
          </w:divBdr>
        </w:div>
        <w:div w:id="982269479">
          <w:marLeft w:val="480"/>
          <w:marRight w:val="0"/>
          <w:marTop w:val="0"/>
          <w:marBottom w:val="0"/>
          <w:divBdr>
            <w:top w:val="none" w:sz="0" w:space="0" w:color="auto"/>
            <w:left w:val="none" w:sz="0" w:space="0" w:color="auto"/>
            <w:bottom w:val="none" w:sz="0" w:space="0" w:color="auto"/>
            <w:right w:val="none" w:sz="0" w:space="0" w:color="auto"/>
          </w:divBdr>
        </w:div>
        <w:div w:id="1931233848">
          <w:marLeft w:val="480"/>
          <w:marRight w:val="0"/>
          <w:marTop w:val="0"/>
          <w:marBottom w:val="0"/>
          <w:divBdr>
            <w:top w:val="none" w:sz="0" w:space="0" w:color="auto"/>
            <w:left w:val="none" w:sz="0" w:space="0" w:color="auto"/>
            <w:bottom w:val="none" w:sz="0" w:space="0" w:color="auto"/>
            <w:right w:val="none" w:sz="0" w:space="0" w:color="auto"/>
          </w:divBdr>
        </w:div>
        <w:div w:id="1015352476">
          <w:marLeft w:val="480"/>
          <w:marRight w:val="0"/>
          <w:marTop w:val="0"/>
          <w:marBottom w:val="0"/>
          <w:divBdr>
            <w:top w:val="none" w:sz="0" w:space="0" w:color="auto"/>
            <w:left w:val="none" w:sz="0" w:space="0" w:color="auto"/>
            <w:bottom w:val="none" w:sz="0" w:space="0" w:color="auto"/>
            <w:right w:val="none" w:sz="0" w:space="0" w:color="auto"/>
          </w:divBdr>
        </w:div>
        <w:div w:id="1296833298">
          <w:marLeft w:val="480"/>
          <w:marRight w:val="0"/>
          <w:marTop w:val="0"/>
          <w:marBottom w:val="0"/>
          <w:divBdr>
            <w:top w:val="none" w:sz="0" w:space="0" w:color="auto"/>
            <w:left w:val="none" w:sz="0" w:space="0" w:color="auto"/>
            <w:bottom w:val="none" w:sz="0" w:space="0" w:color="auto"/>
            <w:right w:val="none" w:sz="0" w:space="0" w:color="auto"/>
          </w:divBdr>
        </w:div>
        <w:div w:id="1658222152">
          <w:marLeft w:val="480"/>
          <w:marRight w:val="0"/>
          <w:marTop w:val="0"/>
          <w:marBottom w:val="0"/>
          <w:divBdr>
            <w:top w:val="none" w:sz="0" w:space="0" w:color="auto"/>
            <w:left w:val="none" w:sz="0" w:space="0" w:color="auto"/>
            <w:bottom w:val="none" w:sz="0" w:space="0" w:color="auto"/>
            <w:right w:val="none" w:sz="0" w:space="0" w:color="auto"/>
          </w:divBdr>
        </w:div>
        <w:div w:id="1206983246">
          <w:marLeft w:val="480"/>
          <w:marRight w:val="0"/>
          <w:marTop w:val="0"/>
          <w:marBottom w:val="0"/>
          <w:divBdr>
            <w:top w:val="none" w:sz="0" w:space="0" w:color="auto"/>
            <w:left w:val="none" w:sz="0" w:space="0" w:color="auto"/>
            <w:bottom w:val="none" w:sz="0" w:space="0" w:color="auto"/>
            <w:right w:val="none" w:sz="0" w:space="0" w:color="auto"/>
          </w:divBdr>
        </w:div>
        <w:div w:id="330914107">
          <w:marLeft w:val="480"/>
          <w:marRight w:val="0"/>
          <w:marTop w:val="0"/>
          <w:marBottom w:val="0"/>
          <w:divBdr>
            <w:top w:val="none" w:sz="0" w:space="0" w:color="auto"/>
            <w:left w:val="none" w:sz="0" w:space="0" w:color="auto"/>
            <w:bottom w:val="none" w:sz="0" w:space="0" w:color="auto"/>
            <w:right w:val="none" w:sz="0" w:space="0" w:color="auto"/>
          </w:divBdr>
        </w:div>
      </w:divsChild>
    </w:div>
    <w:div w:id="151144042">
      <w:bodyDiv w:val="1"/>
      <w:marLeft w:val="0"/>
      <w:marRight w:val="0"/>
      <w:marTop w:val="0"/>
      <w:marBottom w:val="0"/>
      <w:divBdr>
        <w:top w:val="none" w:sz="0" w:space="0" w:color="auto"/>
        <w:left w:val="none" w:sz="0" w:space="0" w:color="auto"/>
        <w:bottom w:val="none" w:sz="0" w:space="0" w:color="auto"/>
        <w:right w:val="none" w:sz="0" w:space="0" w:color="auto"/>
      </w:divBdr>
      <w:divsChild>
        <w:div w:id="1377654528">
          <w:marLeft w:val="480"/>
          <w:marRight w:val="0"/>
          <w:marTop w:val="0"/>
          <w:marBottom w:val="0"/>
          <w:divBdr>
            <w:top w:val="none" w:sz="0" w:space="0" w:color="auto"/>
            <w:left w:val="none" w:sz="0" w:space="0" w:color="auto"/>
            <w:bottom w:val="none" w:sz="0" w:space="0" w:color="auto"/>
            <w:right w:val="none" w:sz="0" w:space="0" w:color="auto"/>
          </w:divBdr>
        </w:div>
        <w:div w:id="1964992976">
          <w:marLeft w:val="480"/>
          <w:marRight w:val="0"/>
          <w:marTop w:val="0"/>
          <w:marBottom w:val="0"/>
          <w:divBdr>
            <w:top w:val="none" w:sz="0" w:space="0" w:color="auto"/>
            <w:left w:val="none" w:sz="0" w:space="0" w:color="auto"/>
            <w:bottom w:val="none" w:sz="0" w:space="0" w:color="auto"/>
            <w:right w:val="none" w:sz="0" w:space="0" w:color="auto"/>
          </w:divBdr>
        </w:div>
        <w:div w:id="1233739828">
          <w:marLeft w:val="480"/>
          <w:marRight w:val="0"/>
          <w:marTop w:val="0"/>
          <w:marBottom w:val="0"/>
          <w:divBdr>
            <w:top w:val="none" w:sz="0" w:space="0" w:color="auto"/>
            <w:left w:val="none" w:sz="0" w:space="0" w:color="auto"/>
            <w:bottom w:val="none" w:sz="0" w:space="0" w:color="auto"/>
            <w:right w:val="none" w:sz="0" w:space="0" w:color="auto"/>
          </w:divBdr>
        </w:div>
        <w:div w:id="1639921553">
          <w:marLeft w:val="480"/>
          <w:marRight w:val="0"/>
          <w:marTop w:val="0"/>
          <w:marBottom w:val="0"/>
          <w:divBdr>
            <w:top w:val="none" w:sz="0" w:space="0" w:color="auto"/>
            <w:left w:val="none" w:sz="0" w:space="0" w:color="auto"/>
            <w:bottom w:val="none" w:sz="0" w:space="0" w:color="auto"/>
            <w:right w:val="none" w:sz="0" w:space="0" w:color="auto"/>
          </w:divBdr>
        </w:div>
        <w:div w:id="931204162">
          <w:marLeft w:val="480"/>
          <w:marRight w:val="0"/>
          <w:marTop w:val="0"/>
          <w:marBottom w:val="0"/>
          <w:divBdr>
            <w:top w:val="none" w:sz="0" w:space="0" w:color="auto"/>
            <w:left w:val="none" w:sz="0" w:space="0" w:color="auto"/>
            <w:bottom w:val="none" w:sz="0" w:space="0" w:color="auto"/>
            <w:right w:val="none" w:sz="0" w:space="0" w:color="auto"/>
          </w:divBdr>
        </w:div>
        <w:div w:id="918709787">
          <w:marLeft w:val="480"/>
          <w:marRight w:val="0"/>
          <w:marTop w:val="0"/>
          <w:marBottom w:val="0"/>
          <w:divBdr>
            <w:top w:val="none" w:sz="0" w:space="0" w:color="auto"/>
            <w:left w:val="none" w:sz="0" w:space="0" w:color="auto"/>
            <w:bottom w:val="none" w:sz="0" w:space="0" w:color="auto"/>
            <w:right w:val="none" w:sz="0" w:space="0" w:color="auto"/>
          </w:divBdr>
        </w:div>
        <w:div w:id="1644849563">
          <w:marLeft w:val="480"/>
          <w:marRight w:val="0"/>
          <w:marTop w:val="0"/>
          <w:marBottom w:val="0"/>
          <w:divBdr>
            <w:top w:val="none" w:sz="0" w:space="0" w:color="auto"/>
            <w:left w:val="none" w:sz="0" w:space="0" w:color="auto"/>
            <w:bottom w:val="none" w:sz="0" w:space="0" w:color="auto"/>
            <w:right w:val="none" w:sz="0" w:space="0" w:color="auto"/>
          </w:divBdr>
        </w:div>
        <w:div w:id="1611358950">
          <w:marLeft w:val="480"/>
          <w:marRight w:val="0"/>
          <w:marTop w:val="0"/>
          <w:marBottom w:val="0"/>
          <w:divBdr>
            <w:top w:val="none" w:sz="0" w:space="0" w:color="auto"/>
            <w:left w:val="none" w:sz="0" w:space="0" w:color="auto"/>
            <w:bottom w:val="none" w:sz="0" w:space="0" w:color="auto"/>
            <w:right w:val="none" w:sz="0" w:space="0" w:color="auto"/>
          </w:divBdr>
        </w:div>
        <w:div w:id="1662544154">
          <w:marLeft w:val="480"/>
          <w:marRight w:val="0"/>
          <w:marTop w:val="0"/>
          <w:marBottom w:val="0"/>
          <w:divBdr>
            <w:top w:val="none" w:sz="0" w:space="0" w:color="auto"/>
            <w:left w:val="none" w:sz="0" w:space="0" w:color="auto"/>
            <w:bottom w:val="none" w:sz="0" w:space="0" w:color="auto"/>
            <w:right w:val="none" w:sz="0" w:space="0" w:color="auto"/>
          </w:divBdr>
        </w:div>
        <w:div w:id="1052575652">
          <w:marLeft w:val="480"/>
          <w:marRight w:val="0"/>
          <w:marTop w:val="0"/>
          <w:marBottom w:val="0"/>
          <w:divBdr>
            <w:top w:val="none" w:sz="0" w:space="0" w:color="auto"/>
            <w:left w:val="none" w:sz="0" w:space="0" w:color="auto"/>
            <w:bottom w:val="none" w:sz="0" w:space="0" w:color="auto"/>
            <w:right w:val="none" w:sz="0" w:space="0" w:color="auto"/>
          </w:divBdr>
        </w:div>
        <w:div w:id="1855025719">
          <w:marLeft w:val="480"/>
          <w:marRight w:val="0"/>
          <w:marTop w:val="0"/>
          <w:marBottom w:val="0"/>
          <w:divBdr>
            <w:top w:val="none" w:sz="0" w:space="0" w:color="auto"/>
            <w:left w:val="none" w:sz="0" w:space="0" w:color="auto"/>
            <w:bottom w:val="none" w:sz="0" w:space="0" w:color="auto"/>
            <w:right w:val="none" w:sz="0" w:space="0" w:color="auto"/>
          </w:divBdr>
        </w:div>
        <w:div w:id="1107888802">
          <w:marLeft w:val="480"/>
          <w:marRight w:val="0"/>
          <w:marTop w:val="0"/>
          <w:marBottom w:val="0"/>
          <w:divBdr>
            <w:top w:val="none" w:sz="0" w:space="0" w:color="auto"/>
            <w:left w:val="none" w:sz="0" w:space="0" w:color="auto"/>
            <w:bottom w:val="none" w:sz="0" w:space="0" w:color="auto"/>
            <w:right w:val="none" w:sz="0" w:space="0" w:color="auto"/>
          </w:divBdr>
        </w:div>
        <w:div w:id="227302848">
          <w:marLeft w:val="480"/>
          <w:marRight w:val="0"/>
          <w:marTop w:val="0"/>
          <w:marBottom w:val="0"/>
          <w:divBdr>
            <w:top w:val="none" w:sz="0" w:space="0" w:color="auto"/>
            <w:left w:val="none" w:sz="0" w:space="0" w:color="auto"/>
            <w:bottom w:val="none" w:sz="0" w:space="0" w:color="auto"/>
            <w:right w:val="none" w:sz="0" w:space="0" w:color="auto"/>
          </w:divBdr>
        </w:div>
        <w:div w:id="803423158">
          <w:marLeft w:val="480"/>
          <w:marRight w:val="0"/>
          <w:marTop w:val="0"/>
          <w:marBottom w:val="0"/>
          <w:divBdr>
            <w:top w:val="none" w:sz="0" w:space="0" w:color="auto"/>
            <w:left w:val="none" w:sz="0" w:space="0" w:color="auto"/>
            <w:bottom w:val="none" w:sz="0" w:space="0" w:color="auto"/>
            <w:right w:val="none" w:sz="0" w:space="0" w:color="auto"/>
          </w:divBdr>
        </w:div>
      </w:divsChild>
    </w:div>
    <w:div w:id="163934146">
      <w:bodyDiv w:val="1"/>
      <w:marLeft w:val="0"/>
      <w:marRight w:val="0"/>
      <w:marTop w:val="0"/>
      <w:marBottom w:val="0"/>
      <w:divBdr>
        <w:top w:val="none" w:sz="0" w:space="0" w:color="auto"/>
        <w:left w:val="none" w:sz="0" w:space="0" w:color="auto"/>
        <w:bottom w:val="none" w:sz="0" w:space="0" w:color="auto"/>
        <w:right w:val="none" w:sz="0" w:space="0" w:color="auto"/>
      </w:divBdr>
    </w:div>
    <w:div w:id="171843502">
      <w:bodyDiv w:val="1"/>
      <w:marLeft w:val="0"/>
      <w:marRight w:val="0"/>
      <w:marTop w:val="0"/>
      <w:marBottom w:val="0"/>
      <w:divBdr>
        <w:top w:val="none" w:sz="0" w:space="0" w:color="auto"/>
        <w:left w:val="none" w:sz="0" w:space="0" w:color="auto"/>
        <w:bottom w:val="none" w:sz="0" w:space="0" w:color="auto"/>
        <w:right w:val="none" w:sz="0" w:space="0" w:color="auto"/>
      </w:divBdr>
    </w:div>
    <w:div w:id="197477268">
      <w:bodyDiv w:val="1"/>
      <w:marLeft w:val="0"/>
      <w:marRight w:val="0"/>
      <w:marTop w:val="0"/>
      <w:marBottom w:val="0"/>
      <w:divBdr>
        <w:top w:val="none" w:sz="0" w:space="0" w:color="auto"/>
        <w:left w:val="none" w:sz="0" w:space="0" w:color="auto"/>
        <w:bottom w:val="none" w:sz="0" w:space="0" w:color="auto"/>
        <w:right w:val="none" w:sz="0" w:space="0" w:color="auto"/>
      </w:divBdr>
    </w:div>
    <w:div w:id="223218997">
      <w:bodyDiv w:val="1"/>
      <w:marLeft w:val="0"/>
      <w:marRight w:val="0"/>
      <w:marTop w:val="0"/>
      <w:marBottom w:val="0"/>
      <w:divBdr>
        <w:top w:val="none" w:sz="0" w:space="0" w:color="auto"/>
        <w:left w:val="none" w:sz="0" w:space="0" w:color="auto"/>
        <w:bottom w:val="none" w:sz="0" w:space="0" w:color="auto"/>
        <w:right w:val="none" w:sz="0" w:space="0" w:color="auto"/>
      </w:divBdr>
    </w:div>
    <w:div w:id="238369849">
      <w:bodyDiv w:val="1"/>
      <w:marLeft w:val="0"/>
      <w:marRight w:val="0"/>
      <w:marTop w:val="0"/>
      <w:marBottom w:val="0"/>
      <w:divBdr>
        <w:top w:val="none" w:sz="0" w:space="0" w:color="auto"/>
        <w:left w:val="none" w:sz="0" w:space="0" w:color="auto"/>
        <w:bottom w:val="none" w:sz="0" w:space="0" w:color="auto"/>
        <w:right w:val="none" w:sz="0" w:space="0" w:color="auto"/>
      </w:divBdr>
    </w:div>
    <w:div w:id="238906249">
      <w:bodyDiv w:val="1"/>
      <w:marLeft w:val="0"/>
      <w:marRight w:val="0"/>
      <w:marTop w:val="0"/>
      <w:marBottom w:val="0"/>
      <w:divBdr>
        <w:top w:val="none" w:sz="0" w:space="0" w:color="auto"/>
        <w:left w:val="none" w:sz="0" w:space="0" w:color="auto"/>
        <w:bottom w:val="none" w:sz="0" w:space="0" w:color="auto"/>
        <w:right w:val="none" w:sz="0" w:space="0" w:color="auto"/>
      </w:divBdr>
    </w:div>
    <w:div w:id="298730266">
      <w:bodyDiv w:val="1"/>
      <w:marLeft w:val="0"/>
      <w:marRight w:val="0"/>
      <w:marTop w:val="0"/>
      <w:marBottom w:val="0"/>
      <w:divBdr>
        <w:top w:val="none" w:sz="0" w:space="0" w:color="auto"/>
        <w:left w:val="none" w:sz="0" w:space="0" w:color="auto"/>
        <w:bottom w:val="none" w:sz="0" w:space="0" w:color="auto"/>
        <w:right w:val="none" w:sz="0" w:space="0" w:color="auto"/>
      </w:divBdr>
    </w:div>
    <w:div w:id="305166446">
      <w:bodyDiv w:val="1"/>
      <w:marLeft w:val="0"/>
      <w:marRight w:val="0"/>
      <w:marTop w:val="0"/>
      <w:marBottom w:val="0"/>
      <w:divBdr>
        <w:top w:val="none" w:sz="0" w:space="0" w:color="auto"/>
        <w:left w:val="none" w:sz="0" w:space="0" w:color="auto"/>
        <w:bottom w:val="none" w:sz="0" w:space="0" w:color="auto"/>
        <w:right w:val="none" w:sz="0" w:space="0" w:color="auto"/>
      </w:divBdr>
    </w:div>
    <w:div w:id="316151722">
      <w:bodyDiv w:val="1"/>
      <w:marLeft w:val="0"/>
      <w:marRight w:val="0"/>
      <w:marTop w:val="0"/>
      <w:marBottom w:val="0"/>
      <w:divBdr>
        <w:top w:val="none" w:sz="0" w:space="0" w:color="auto"/>
        <w:left w:val="none" w:sz="0" w:space="0" w:color="auto"/>
        <w:bottom w:val="none" w:sz="0" w:space="0" w:color="auto"/>
        <w:right w:val="none" w:sz="0" w:space="0" w:color="auto"/>
      </w:divBdr>
    </w:div>
    <w:div w:id="317660190">
      <w:bodyDiv w:val="1"/>
      <w:marLeft w:val="0"/>
      <w:marRight w:val="0"/>
      <w:marTop w:val="0"/>
      <w:marBottom w:val="0"/>
      <w:divBdr>
        <w:top w:val="none" w:sz="0" w:space="0" w:color="auto"/>
        <w:left w:val="none" w:sz="0" w:space="0" w:color="auto"/>
        <w:bottom w:val="none" w:sz="0" w:space="0" w:color="auto"/>
        <w:right w:val="none" w:sz="0" w:space="0" w:color="auto"/>
      </w:divBdr>
      <w:divsChild>
        <w:div w:id="1000427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51332">
      <w:bodyDiv w:val="1"/>
      <w:marLeft w:val="0"/>
      <w:marRight w:val="0"/>
      <w:marTop w:val="0"/>
      <w:marBottom w:val="0"/>
      <w:divBdr>
        <w:top w:val="none" w:sz="0" w:space="0" w:color="auto"/>
        <w:left w:val="none" w:sz="0" w:space="0" w:color="auto"/>
        <w:bottom w:val="none" w:sz="0" w:space="0" w:color="auto"/>
        <w:right w:val="none" w:sz="0" w:space="0" w:color="auto"/>
      </w:divBdr>
    </w:div>
    <w:div w:id="360010684">
      <w:bodyDiv w:val="1"/>
      <w:marLeft w:val="0"/>
      <w:marRight w:val="0"/>
      <w:marTop w:val="0"/>
      <w:marBottom w:val="0"/>
      <w:divBdr>
        <w:top w:val="none" w:sz="0" w:space="0" w:color="auto"/>
        <w:left w:val="none" w:sz="0" w:space="0" w:color="auto"/>
        <w:bottom w:val="none" w:sz="0" w:space="0" w:color="auto"/>
        <w:right w:val="none" w:sz="0" w:space="0" w:color="auto"/>
      </w:divBdr>
    </w:div>
    <w:div w:id="370308572">
      <w:bodyDiv w:val="1"/>
      <w:marLeft w:val="0"/>
      <w:marRight w:val="0"/>
      <w:marTop w:val="0"/>
      <w:marBottom w:val="0"/>
      <w:divBdr>
        <w:top w:val="none" w:sz="0" w:space="0" w:color="auto"/>
        <w:left w:val="none" w:sz="0" w:space="0" w:color="auto"/>
        <w:bottom w:val="none" w:sz="0" w:space="0" w:color="auto"/>
        <w:right w:val="none" w:sz="0" w:space="0" w:color="auto"/>
      </w:divBdr>
    </w:div>
    <w:div w:id="385033632">
      <w:bodyDiv w:val="1"/>
      <w:marLeft w:val="0"/>
      <w:marRight w:val="0"/>
      <w:marTop w:val="0"/>
      <w:marBottom w:val="0"/>
      <w:divBdr>
        <w:top w:val="none" w:sz="0" w:space="0" w:color="auto"/>
        <w:left w:val="none" w:sz="0" w:space="0" w:color="auto"/>
        <w:bottom w:val="none" w:sz="0" w:space="0" w:color="auto"/>
        <w:right w:val="none" w:sz="0" w:space="0" w:color="auto"/>
      </w:divBdr>
    </w:div>
    <w:div w:id="403571189">
      <w:bodyDiv w:val="1"/>
      <w:marLeft w:val="0"/>
      <w:marRight w:val="0"/>
      <w:marTop w:val="0"/>
      <w:marBottom w:val="0"/>
      <w:divBdr>
        <w:top w:val="none" w:sz="0" w:space="0" w:color="auto"/>
        <w:left w:val="none" w:sz="0" w:space="0" w:color="auto"/>
        <w:bottom w:val="none" w:sz="0" w:space="0" w:color="auto"/>
        <w:right w:val="none" w:sz="0" w:space="0" w:color="auto"/>
      </w:divBdr>
    </w:div>
    <w:div w:id="411204422">
      <w:bodyDiv w:val="1"/>
      <w:marLeft w:val="0"/>
      <w:marRight w:val="0"/>
      <w:marTop w:val="0"/>
      <w:marBottom w:val="0"/>
      <w:divBdr>
        <w:top w:val="none" w:sz="0" w:space="0" w:color="auto"/>
        <w:left w:val="none" w:sz="0" w:space="0" w:color="auto"/>
        <w:bottom w:val="none" w:sz="0" w:space="0" w:color="auto"/>
        <w:right w:val="none" w:sz="0" w:space="0" w:color="auto"/>
      </w:divBdr>
    </w:div>
    <w:div w:id="459104867">
      <w:bodyDiv w:val="1"/>
      <w:marLeft w:val="0"/>
      <w:marRight w:val="0"/>
      <w:marTop w:val="0"/>
      <w:marBottom w:val="0"/>
      <w:divBdr>
        <w:top w:val="none" w:sz="0" w:space="0" w:color="auto"/>
        <w:left w:val="none" w:sz="0" w:space="0" w:color="auto"/>
        <w:bottom w:val="none" w:sz="0" w:space="0" w:color="auto"/>
        <w:right w:val="none" w:sz="0" w:space="0" w:color="auto"/>
      </w:divBdr>
    </w:div>
    <w:div w:id="594360986">
      <w:bodyDiv w:val="1"/>
      <w:marLeft w:val="0"/>
      <w:marRight w:val="0"/>
      <w:marTop w:val="0"/>
      <w:marBottom w:val="0"/>
      <w:divBdr>
        <w:top w:val="none" w:sz="0" w:space="0" w:color="auto"/>
        <w:left w:val="none" w:sz="0" w:space="0" w:color="auto"/>
        <w:bottom w:val="none" w:sz="0" w:space="0" w:color="auto"/>
        <w:right w:val="none" w:sz="0" w:space="0" w:color="auto"/>
      </w:divBdr>
    </w:div>
    <w:div w:id="597560869">
      <w:bodyDiv w:val="1"/>
      <w:marLeft w:val="0"/>
      <w:marRight w:val="0"/>
      <w:marTop w:val="0"/>
      <w:marBottom w:val="0"/>
      <w:divBdr>
        <w:top w:val="none" w:sz="0" w:space="0" w:color="auto"/>
        <w:left w:val="none" w:sz="0" w:space="0" w:color="auto"/>
        <w:bottom w:val="none" w:sz="0" w:space="0" w:color="auto"/>
        <w:right w:val="none" w:sz="0" w:space="0" w:color="auto"/>
      </w:divBdr>
      <w:divsChild>
        <w:div w:id="1328360793">
          <w:marLeft w:val="480"/>
          <w:marRight w:val="0"/>
          <w:marTop w:val="0"/>
          <w:marBottom w:val="0"/>
          <w:divBdr>
            <w:top w:val="none" w:sz="0" w:space="0" w:color="auto"/>
            <w:left w:val="none" w:sz="0" w:space="0" w:color="auto"/>
            <w:bottom w:val="none" w:sz="0" w:space="0" w:color="auto"/>
            <w:right w:val="none" w:sz="0" w:space="0" w:color="auto"/>
          </w:divBdr>
        </w:div>
        <w:div w:id="702706256">
          <w:marLeft w:val="480"/>
          <w:marRight w:val="0"/>
          <w:marTop w:val="0"/>
          <w:marBottom w:val="0"/>
          <w:divBdr>
            <w:top w:val="none" w:sz="0" w:space="0" w:color="auto"/>
            <w:left w:val="none" w:sz="0" w:space="0" w:color="auto"/>
            <w:bottom w:val="none" w:sz="0" w:space="0" w:color="auto"/>
            <w:right w:val="none" w:sz="0" w:space="0" w:color="auto"/>
          </w:divBdr>
        </w:div>
        <w:div w:id="601839735">
          <w:marLeft w:val="480"/>
          <w:marRight w:val="0"/>
          <w:marTop w:val="0"/>
          <w:marBottom w:val="0"/>
          <w:divBdr>
            <w:top w:val="none" w:sz="0" w:space="0" w:color="auto"/>
            <w:left w:val="none" w:sz="0" w:space="0" w:color="auto"/>
            <w:bottom w:val="none" w:sz="0" w:space="0" w:color="auto"/>
            <w:right w:val="none" w:sz="0" w:space="0" w:color="auto"/>
          </w:divBdr>
        </w:div>
        <w:div w:id="894706167">
          <w:marLeft w:val="480"/>
          <w:marRight w:val="0"/>
          <w:marTop w:val="0"/>
          <w:marBottom w:val="0"/>
          <w:divBdr>
            <w:top w:val="none" w:sz="0" w:space="0" w:color="auto"/>
            <w:left w:val="none" w:sz="0" w:space="0" w:color="auto"/>
            <w:bottom w:val="none" w:sz="0" w:space="0" w:color="auto"/>
            <w:right w:val="none" w:sz="0" w:space="0" w:color="auto"/>
          </w:divBdr>
        </w:div>
        <w:div w:id="2068413587">
          <w:marLeft w:val="480"/>
          <w:marRight w:val="0"/>
          <w:marTop w:val="0"/>
          <w:marBottom w:val="0"/>
          <w:divBdr>
            <w:top w:val="none" w:sz="0" w:space="0" w:color="auto"/>
            <w:left w:val="none" w:sz="0" w:space="0" w:color="auto"/>
            <w:bottom w:val="none" w:sz="0" w:space="0" w:color="auto"/>
            <w:right w:val="none" w:sz="0" w:space="0" w:color="auto"/>
          </w:divBdr>
        </w:div>
        <w:div w:id="1697266338">
          <w:marLeft w:val="480"/>
          <w:marRight w:val="0"/>
          <w:marTop w:val="0"/>
          <w:marBottom w:val="0"/>
          <w:divBdr>
            <w:top w:val="none" w:sz="0" w:space="0" w:color="auto"/>
            <w:left w:val="none" w:sz="0" w:space="0" w:color="auto"/>
            <w:bottom w:val="none" w:sz="0" w:space="0" w:color="auto"/>
            <w:right w:val="none" w:sz="0" w:space="0" w:color="auto"/>
          </w:divBdr>
        </w:div>
        <w:div w:id="607195743">
          <w:marLeft w:val="480"/>
          <w:marRight w:val="0"/>
          <w:marTop w:val="0"/>
          <w:marBottom w:val="0"/>
          <w:divBdr>
            <w:top w:val="none" w:sz="0" w:space="0" w:color="auto"/>
            <w:left w:val="none" w:sz="0" w:space="0" w:color="auto"/>
            <w:bottom w:val="none" w:sz="0" w:space="0" w:color="auto"/>
            <w:right w:val="none" w:sz="0" w:space="0" w:color="auto"/>
          </w:divBdr>
        </w:div>
        <w:div w:id="1022246422">
          <w:marLeft w:val="480"/>
          <w:marRight w:val="0"/>
          <w:marTop w:val="0"/>
          <w:marBottom w:val="0"/>
          <w:divBdr>
            <w:top w:val="none" w:sz="0" w:space="0" w:color="auto"/>
            <w:left w:val="none" w:sz="0" w:space="0" w:color="auto"/>
            <w:bottom w:val="none" w:sz="0" w:space="0" w:color="auto"/>
            <w:right w:val="none" w:sz="0" w:space="0" w:color="auto"/>
          </w:divBdr>
        </w:div>
        <w:div w:id="1864900722">
          <w:marLeft w:val="480"/>
          <w:marRight w:val="0"/>
          <w:marTop w:val="0"/>
          <w:marBottom w:val="0"/>
          <w:divBdr>
            <w:top w:val="none" w:sz="0" w:space="0" w:color="auto"/>
            <w:left w:val="none" w:sz="0" w:space="0" w:color="auto"/>
            <w:bottom w:val="none" w:sz="0" w:space="0" w:color="auto"/>
            <w:right w:val="none" w:sz="0" w:space="0" w:color="auto"/>
          </w:divBdr>
        </w:div>
        <w:div w:id="589629189">
          <w:marLeft w:val="480"/>
          <w:marRight w:val="0"/>
          <w:marTop w:val="0"/>
          <w:marBottom w:val="0"/>
          <w:divBdr>
            <w:top w:val="none" w:sz="0" w:space="0" w:color="auto"/>
            <w:left w:val="none" w:sz="0" w:space="0" w:color="auto"/>
            <w:bottom w:val="none" w:sz="0" w:space="0" w:color="auto"/>
            <w:right w:val="none" w:sz="0" w:space="0" w:color="auto"/>
          </w:divBdr>
        </w:div>
        <w:div w:id="1556087107">
          <w:marLeft w:val="480"/>
          <w:marRight w:val="0"/>
          <w:marTop w:val="0"/>
          <w:marBottom w:val="0"/>
          <w:divBdr>
            <w:top w:val="none" w:sz="0" w:space="0" w:color="auto"/>
            <w:left w:val="none" w:sz="0" w:space="0" w:color="auto"/>
            <w:bottom w:val="none" w:sz="0" w:space="0" w:color="auto"/>
            <w:right w:val="none" w:sz="0" w:space="0" w:color="auto"/>
          </w:divBdr>
        </w:div>
        <w:div w:id="842089631">
          <w:marLeft w:val="480"/>
          <w:marRight w:val="0"/>
          <w:marTop w:val="0"/>
          <w:marBottom w:val="0"/>
          <w:divBdr>
            <w:top w:val="none" w:sz="0" w:space="0" w:color="auto"/>
            <w:left w:val="none" w:sz="0" w:space="0" w:color="auto"/>
            <w:bottom w:val="none" w:sz="0" w:space="0" w:color="auto"/>
            <w:right w:val="none" w:sz="0" w:space="0" w:color="auto"/>
          </w:divBdr>
        </w:div>
        <w:div w:id="1469081164">
          <w:marLeft w:val="480"/>
          <w:marRight w:val="0"/>
          <w:marTop w:val="0"/>
          <w:marBottom w:val="0"/>
          <w:divBdr>
            <w:top w:val="none" w:sz="0" w:space="0" w:color="auto"/>
            <w:left w:val="none" w:sz="0" w:space="0" w:color="auto"/>
            <w:bottom w:val="none" w:sz="0" w:space="0" w:color="auto"/>
            <w:right w:val="none" w:sz="0" w:space="0" w:color="auto"/>
          </w:divBdr>
          <w:divsChild>
            <w:div w:id="2036223343">
              <w:marLeft w:val="0"/>
              <w:marRight w:val="0"/>
              <w:marTop w:val="0"/>
              <w:marBottom w:val="0"/>
              <w:divBdr>
                <w:top w:val="none" w:sz="0" w:space="0" w:color="auto"/>
                <w:left w:val="none" w:sz="0" w:space="0" w:color="auto"/>
                <w:bottom w:val="none" w:sz="0" w:space="0" w:color="auto"/>
                <w:right w:val="none" w:sz="0" w:space="0" w:color="auto"/>
              </w:divBdr>
              <w:divsChild>
                <w:div w:id="1179343743">
                  <w:marLeft w:val="480"/>
                  <w:marRight w:val="0"/>
                  <w:marTop w:val="0"/>
                  <w:marBottom w:val="0"/>
                  <w:divBdr>
                    <w:top w:val="none" w:sz="0" w:space="0" w:color="auto"/>
                    <w:left w:val="none" w:sz="0" w:space="0" w:color="auto"/>
                    <w:bottom w:val="none" w:sz="0" w:space="0" w:color="auto"/>
                    <w:right w:val="none" w:sz="0" w:space="0" w:color="auto"/>
                  </w:divBdr>
                </w:div>
                <w:div w:id="1437552781">
                  <w:marLeft w:val="480"/>
                  <w:marRight w:val="0"/>
                  <w:marTop w:val="0"/>
                  <w:marBottom w:val="0"/>
                  <w:divBdr>
                    <w:top w:val="none" w:sz="0" w:space="0" w:color="auto"/>
                    <w:left w:val="none" w:sz="0" w:space="0" w:color="auto"/>
                    <w:bottom w:val="none" w:sz="0" w:space="0" w:color="auto"/>
                    <w:right w:val="none" w:sz="0" w:space="0" w:color="auto"/>
                  </w:divBdr>
                </w:div>
                <w:div w:id="1483236332">
                  <w:marLeft w:val="480"/>
                  <w:marRight w:val="0"/>
                  <w:marTop w:val="0"/>
                  <w:marBottom w:val="0"/>
                  <w:divBdr>
                    <w:top w:val="none" w:sz="0" w:space="0" w:color="auto"/>
                    <w:left w:val="none" w:sz="0" w:space="0" w:color="auto"/>
                    <w:bottom w:val="none" w:sz="0" w:space="0" w:color="auto"/>
                    <w:right w:val="none" w:sz="0" w:space="0" w:color="auto"/>
                  </w:divBdr>
                </w:div>
                <w:div w:id="1000084585">
                  <w:marLeft w:val="480"/>
                  <w:marRight w:val="0"/>
                  <w:marTop w:val="0"/>
                  <w:marBottom w:val="0"/>
                  <w:divBdr>
                    <w:top w:val="none" w:sz="0" w:space="0" w:color="auto"/>
                    <w:left w:val="none" w:sz="0" w:space="0" w:color="auto"/>
                    <w:bottom w:val="none" w:sz="0" w:space="0" w:color="auto"/>
                    <w:right w:val="none" w:sz="0" w:space="0" w:color="auto"/>
                  </w:divBdr>
                </w:div>
                <w:div w:id="1999773036">
                  <w:marLeft w:val="480"/>
                  <w:marRight w:val="0"/>
                  <w:marTop w:val="0"/>
                  <w:marBottom w:val="0"/>
                  <w:divBdr>
                    <w:top w:val="none" w:sz="0" w:space="0" w:color="auto"/>
                    <w:left w:val="none" w:sz="0" w:space="0" w:color="auto"/>
                    <w:bottom w:val="none" w:sz="0" w:space="0" w:color="auto"/>
                    <w:right w:val="none" w:sz="0" w:space="0" w:color="auto"/>
                  </w:divBdr>
                </w:div>
                <w:div w:id="1246568397">
                  <w:marLeft w:val="480"/>
                  <w:marRight w:val="0"/>
                  <w:marTop w:val="0"/>
                  <w:marBottom w:val="0"/>
                  <w:divBdr>
                    <w:top w:val="none" w:sz="0" w:space="0" w:color="auto"/>
                    <w:left w:val="none" w:sz="0" w:space="0" w:color="auto"/>
                    <w:bottom w:val="none" w:sz="0" w:space="0" w:color="auto"/>
                    <w:right w:val="none" w:sz="0" w:space="0" w:color="auto"/>
                  </w:divBdr>
                </w:div>
                <w:div w:id="1104810708">
                  <w:marLeft w:val="480"/>
                  <w:marRight w:val="0"/>
                  <w:marTop w:val="0"/>
                  <w:marBottom w:val="0"/>
                  <w:divBdr>
                    <w:top w:val="none" w:sz="0" w:space="0" w:color="auto"/>
                    <w:left w:val="none" w:sz="0" w:space="0" w:color="auto"/>
                    <w:bottom w:val="none" w:sz="0" w:space="0" w:color="auto"/>
                    <w:right w:val="none" w:sz="0" w:space="0" w:color="auto"/>
                  </w:divBdr>
                </w:div>
                <w:div w:id="517087127">
                  <w:marLeft w:val="480"/>
                  <w:marRight w:val="0"/>
                  <w:marTop w:val="0"/>
                  <w:marBottom w:val="0"/>
                  <w:divBdr>
                    <w:top w:val="none" w:sz="0" w:space="0" w:color="auto"/>
                    <w:left w:val="none" w:sz="0" w:space="0" w:color="auto"/>
                    <w:bottom w:val="none" w:sz="0" w:space="0" w:color="auto"/>
                    <w:right w:val="none" w:sz="0" w:space="0" w:color="auto"/>
                  </w:divBdr>
                </w:div>
                <w:div w:id="642349669">
                  <w:marLeft w:val="480"/>
                  <w:marRight w:val="0"/>
                  <w:marTop w:val="0"/>
                  <w:marBottom w:val="0"/>
                  <w:divBdr>
                    <w:top w:val="none" w:sz="0" w:space="0" w:color="auto"/>
                    <w:left w:val="none" w:sz="0" w:space="0" w:color="auto"/>
                    <w:bottom w:val="none" w:sz="0" w:space="0" w:color="auto"/>
                    <w:right w:val="none" w:sz="0" w:space="0" w:color="auto"/>
                  </w:divBdr>
                </w:div>
                <w:div w:id="1337268588">
                  <w:marLeft w:val="480"/>
                  <w:marRight w:val="0"/>
                  <w:marTop w:val="0"/>
                  <w:marBottom w:val="0"/>
                  <w:divBdr>
                    <w:top w:val="none" w:sz="0" w:space="0" w:color="auto"/>
                    <w:left w:val="none" w:sz="0" w:space="0" w:color="auto"/>
                    <w:bottom w:val="none" w:sz="0" w:space="0" w:color="auto"/>
                    <w:right w:val="none" w:sz="0" w:space="0" w:color="auto"/>
                  </w:divBdr>
                </w:div>
                <w:div w:id="9724895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92367">
      <w:bodyDiv w:val="1"/>
      <w:marLeft w:val="0"/>
      <w:marRight w:val="0"/>
      <w:marTop w:val="0"/>
      <w:marBottom w:val="0"/>
      <w:divBdr>
        <w:top w:val="none" w:sz="0" w:space="0" w:color="auto"/>
        <w:left w:val="none" w:sz="0" w:space="0" w:color="auto"/>
        <w:bottom w:val="none" w:sz="0" w:space="0" w:color="auto"/>
        <w:right w:val="none" w:sz="0" w:space="0" w:color="auto"/>
      </w:divBdr>
    </w:div>
    <w:div w:id="653070530">
      <w:bodyDiv w:val="1"/>
      <w:marLeft w:val="0"/>
      <w:marRight w:val="0"/>
      <w:marTop w:val="0"/>
      <w:marBottom w:val="0"/>
      <w:divBdr>
        <w:top w:val="none" w:sz="0" w:space="0" w:color="auto"/>
        <w:left w:val="none" w:sz="0" w:space="0" w:color="auto"/>
        <w:bottom w:val="none" w:sz="0" w:space="0" w:color="auto"/>
        <w:right w:val="none" w:sz="0" w:space="0" w:color="auto"/>
      </w:divBdr>
    </w:div>
    <w:div w:id="693966712">
      <w:bodyDiv w:val="1"/>
      <w:marLeft w:val="0"/>
      <w:marRight w:val="0"/>
      <w:marTop w:val="0"/>
      <w:marBottom w:val="0"/>
      <w:divBdr>
        <w:top w:val="none" w:sz="0" w:space="0" w:color="auto"/>
        <w:left w:val="none" w:sz="0" w:space="0" w:color="auto"/>
        <w:bottom w:val="none" w:sz="0" w:space="0" w:color="auto"/>
        <w:right w:val="none" w:sz="0" w:space="0" w:color="auto"/>
      </w:divBdr>
    </w:div>
    <w:div w:id="696393205">
      <w:bodyDiv w:val="1"/>
      <w:marLeft w:val="0"/>
      <w:marRight w:val="0"/>
      <w:marTop w:val="0"/>
      <w:marBottom w:val="0"/>
      <w:divBdr>
        <w:top w:val="none" w:sz="0" w:space="0" w:color="auto"/>
        <w:left w:val="none" w:sz="0" w:space="0" w:color="auto"/>
        <w:bottom w:val="none" w:sz="0" w:space="0" w:color="auto"/>
        <w:right w:val="none" w:sz="0" w:space="0" w:color="auto"/>
      </w:divBdr>
    </w:div>
    <w:div w:id="700402348">
      <w:bodyDiv w:val="1"/>
      <w:marLeft w:val="0"/>
      <w:marRight w:val="0"/>
      <w:marTop w:val="0"/>
      <w:marBottom w:val="0"/>
      <w:divBdr>
        <w:top w:val="none" w:sz="0" w:space="0" w:color="auto"/>
        <w:left w:val="none" w:sz="0" w:space="0" w:color="auto"/>
        <w:bottom w:val="none" w:sz="0" w:space="0" w:color="auto"/>
        <w:right w:val="none" w:sz="0" w:space="0" w:color="auto"/>
      </w:divBdr>
    </w:div>
    <w:div w:id="738745442">
      <w:bodyDiv w:val="1"/>
      <w:marLeft w:val="0"/>
      <w:marRight w:val="0"/>
      <w:marTop w:val="0"/>
      <w:marBottom w:val="0"/>
      <w:divBdr>
        <w:top w:val="none" w:sz="0" w:space="0" w:color="auto"/>
        <w:left w:val="none" w:sz="0" w:space="0" w:color="auto"/>
        <w:bottom w:val="none" w:sz="0" w:space="0" w:color="auto"/>
        <w:right w:val="none" w:sz="0" w:space="0" w:color="auto"/>
      </w:divBdr>
    </w:div>
    <w:div w:id="749889958">
      <w:bodyDiv w:val="1"/>
      <w:marLeft w:val="0"/>
      <w:marRight w:val="0"/>
      <w:marTop w:val="0"/>
      <w:marBottom w:val="0"/>
      <w:divBdr>
        <w:top w:val="none" w:sz="0" w:space="0" w:color="auto"/>
        <w:left w:val="none" w:sz="0" w:space="0" w:color="auto"/>
        <w:bottom w:val="none" w:sz="0" w:space="0" w:color="auto"/>
        <w:right w:val="none" w:sz="0" w:space="0" w:color="auto"/>
      </w:divBdr>
    </w:div>
    <w:div w:id="758410613">
      <w:bodyDiv w:val="1"/>
      <w:marLeft w:val="0"/>
      <w:marRight w:val="0"/>
      <w:marTop w:val="0"/>
      <w:marBottom w:val="0"/>
      <w:divBdr>
        <w:top w:val="none" w:sz="0" w:space="0" w:color="auto"/>
        <w:left w:val="none" w:sz="0" w:space="0" w:color="auto"/>
        <w:bottom w:val="none" w:sz="0" w:space="0" w:color="auto"/>
        <w:right w:val="none" w:sz="0" w:space="0" w:color="auto"/>
      </w:divBdr>
    </w:div>
    <w:div w:id="760957468">
      <w:bodyDiv w:val="1"/>
      <w:marLeft w:val="0"/>
      <w:marRight w:val="0"/>
      <w:marTop w:val="0"/>
      <w:marBottom w:val="0"/>
      <w:divBdr>
        <w:top w:val="none" w:sz="0" w:space="0" w:color="auto"/>
        <w:left w:val="none" w:sz="0" w:space="0" w:color="auto"/>
        <w:bottom w:val="none" w:sz="0" w:space="0" w:color="auto"/>
        <w:right w:val="none" w:sz="0" w:space="0" w:color="auto"/>
      </w:divBdr>
    </w:div>
    <w:div w:id="770007219">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54511">
      <w:bodyDiv w:val="1"/>
      <w:marLeft w:val="0"/>
      <w:marRight w:val="0"/>
      <w:marTop w:val="0"/>
      <w:marBottom w:val="0"/>
      <w:divBdr>
        <w:top w:val="none" w:sz="0" w:space="0" w:color="auto"/>
        <w:left w:val="none" w:sz="0" w:space="0" w:color="auto"/>
        <w:bottom w:val="none" w:sz="0" w:space="0" w:color="auto"/>
        <w:right w:val="none" w:sz="0" w:space="0" w:color="auto"/>
      </w:divBdr>
    </w:div>
    <w:div w:id="849562017">
      <w:bodyDiv w:val="1"/>
      <w:marLeft w:val="0"/>
      <w:marRight w:val="0"/>
      <w:marTop w:val="0"/>
      <w:marBottom w:val="0"/>
      <w:divBdr>
        <w:top w:val="none" w:sz="0" w:space="0" w:color="auto"/>
        <w:left w:val="none" w:sz="0" w:space="0" w:color="auto"/>
        <w:bottom w:val="none" w:sz="0" w:space="0" w:color="auto"/>
        <w:right w:val="none" w:sz="0" w:space="0" w:color="auto"/>
      </w:divBdr>
    </w:div>
    <w:div w:id="860364062">
      <w:bodyDiv w:val="1"/>
      <w:marLeft w:val="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679495">
      <w:bodyDiv w:val="1"/>
      <w:marLeft w:val="0"/>
      <w:marRight w:val="0"/>
      <w:marTop w:val="0"/>
      <w:marBottom w:val="0"/>
      <w:divBdr>
        <w:top w:val="none" w:sz="0" w:space="0" w:color="auto"/>
        <w:left w:val="none" w:sz="0" w:space="0" w:color="auto"/>
        <w:bottom w:val="none" w:sz="0" w:space="0" w:color="auto"/>
        <w:right w:val="none" w:sz="0" w:space="0" w:color="auto"/>
      </w:divBdr>
    </w:div>
    <w:div w:id="916014720">
      <w:bodyDiv w:val="1"/>
      <w:marLeft w:val="0"/>
      <w:marRight w:val="0"/>
      <w:marTop w:val="0"/>
      <w:marBottom w:val="0"/>
      <w:divBdr>
        <w:top w:val="none" w:sz="0" w:space="0" w:color="auto"/>
        <w:left w:val="none" w:sz="0" w:space="0" w:color="auto"/>
        <w:bottom w:val="none" w:sz="0" w:space="0" w:color="auto"/>
        <w:right w:val="none" w:sz="0" w:space="0" w:color="auto"/>
      </w:divBdr>
    </w:div>
    <w:div w:id="922952161">
      <w:bodyDiv w:val="1"/>
      <w:marLeft w:val="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169171">
      <w:bodyDiv w:val="1"/>
      <w:marLeft w:val="0"/>
      <w:marRight w:val="0"/>
      <w:marTop w:val="0"/>
      <w:marBottom w:val="0"/>
      <w:divBdr>
        <w:top w:val="none" w:sz="0" w:space="0" w:color="auto"/>
        <w:left w:val="none" w:sz="0" w:space="0" w:color="auto"/>
        <w:bottom w:val="none" w:sz="0" w:space="0" w:color="auto"/>
        <w:right w:val="none" w:sz="0" w:space="0" w:color="auto"/>
      </w:divBdr>
    </w:div>
    <w:div w:id="999424859">
      <w:bodyDiv w:val="1"/>
      <w:marLeft w:val="0"/>
      <w:marRight w:val="0"/>
      <w:marTop w:val="0"/>
      <w:marBottom w:val="0"/>
      <w:divBdr>
        <w:top w:val="none" w:sz="0" w:space="0" w:color="auto"/>
        <w:left w:val="none" w:sz="0" w:space="0" w:color="auto"/>
        <w:bottom w:val="none" w:sz="0" w:space="0" w:color="auto"/>
        <w:right w:val="none" w:sz="0" w:space="0" w:color="auto"/>
      </w:divBdr>
    </w:div>
    <w:div w:id="1011104809">
      <w:bodyDiv w:val="1"/>
      <w:marLeft w:val="0"/>
      <w:marRight w:val="0"/>
      <w:marTop w:val="0"/>
      <w:marBottom w:val="0"/>
      <w:divBdr>
        <w:top w:val="none" w:sz="0" w:space="0" w:color="auto"/>
        <w:left w:val="none" w:sz="0" w:space="0" w:color="auto"/>
        <w:bottom w:val="none" w:sz="0" w:space="0" w:color="auto"/>
        <w:right w:val="none" w:sz="0" w:space="0" w:color="auto"/>
      </w:divBdr>
    </w:div>
    <w:div w:id="1046176007">
      <w:bodyDiv w:val="1"/>
      <w:marLeft w:val="0"/>
      <w:marRight w:val="0"/>
      <w:marTop w:val="0"/>
      <w:marBottom w:val="0"/>
      <w:divBdr>
        <w:top w:val="none" w:sz="0" w:space="0" w:color="auto"/>
        <w:left w:val="none" w:sz="0" w:space="0" w:color="auto"/>
        <w:bottom w:val="none" w:sz="0" w:space="0" w:color="auto"/>
        <w:right w:val="none" w:sz="0" w:space="0" w:color="auto"/>
      </w:divBdr>
    </w:div>
    <w:div w:id="1062483699">
      <w:bodyDiv w:val="1"/>
      <w:marLeft w:val="0"/>
      <w:marRight w:val="0"/>
      <w:marTop w:val="0"/>
      <w:marBottom w:val="0"/>
      <w:divBdr>
        <w:top w:val="none" w:sz="0" w:space="0" w:color="auto"/>
        <w:left w:val="none" w:sz="0" w:space="0" w:color="auto"/>
        <w:bottom w:val="none" w:sz="0" w:space="0" w:color="auto"/>
        <w:right w:val="none" w:sz="0" w:space="0" w:color="auto"/>
      </w:divBdr>
    </w:div>
    <w:div w:id="1098211933">
      <w:bodyDiv w:val="1"/>
      <w:marLeft w:val="0"/>
      <w:marRight w:val="0"/>
      <w:marTop w:val="0"/>
      <w:marBottom w:val="0"/>
      <w:divBdr>
        <w:top w:val="none" w:sz="0" w:space="0" w:color="auto"/>
        <w:left w:val="none" w:sz="0" w:space="0" w:color="auto"/>
        <w:bottom w:val="none" w:sz="0" w:space="0" w:color="auto"/>
        <w:right w:val="none" w:sz="0" w:space="0" w:color="auto"/>
      </w:divBdr>
    </w:div>
    <w:div w:id="1106002381">
      <w:bodyDiv w:val="1"/>
      <w:marLeft w:val="0"/>
      <w:marRight w:val="0"/>
      <w:marTop w:val="0"/>
      <w:marBottom w:val="0"/>
      <w:divBdr>
        <w:top w:val="none" w:sz="0" w:space="0" w:color="auto"/>
        <w:left w:val="none" w:sz="0" w:space="0" w:color="auto"/>
        <w:bottom w:val="none" w:sz="0" w:space="0" w:color="auto"/>
        <w:right w:val="none" w:sz="0" w:space="0" w:color="auto"/>
      </w:divBdr>
    </w:div>
    <w:div w:id="1110204398">
      <w:bodyDiv w:val="1"/>
      <w:marLeft w:val="0"/>
      <w:marRight w:val="0"/>
      <w:marTop w:val="0"/>
      <w:marBottom w:val="0"/>
      <w:divBdr>
        <w:top w:val="none" w:sz="0" w:space="0" w:color="auto"/>
        <w:left w:val="none" w:sz="0" w:space="0" w:color="auto"/>
        <w:bottom w:val="none" w:sz="0" w:space="0" w:color="auto"/>
        <w:right w:val="none" w:sz="0" w:space="0" w:color="auto"/>
      </w:divBdr>
    </w:div>
    <w:div w:id="1225330629">
      <w:bodyDiv w:val="1"/>
      <w:marLeft w:val="0"/>
      <w:marRight w:val="0"/>
      <w:marTop w:val="0"/>
      <w:marBottom w:val="0"/>
      <w:divBdr>
        <w:top w:val="none" w:sz="0" w:space="0" w:color="auto"/>
        <w:left w:val="none" w:sz="0" w:space="0" w:color="auto"/>
        <w:bottom w:val="none" w:sz="0" w:space="0" w:color="auto"/>
        <w:right w:val="none" w:sz="0" w:space="0" w:color="auto"/>
      </w:divBdr>
    </w:div>
    <w:div w:id="1225721793">
      <w:bodyDiv w:val="1"/>
      <w:marLeft w:val="0"/>
      <w:marRight w:val="0"/>
      <w:marTop w:val="0"/>
      <w:marBottom w:val="0"/>
      <w:divBdr>
        <w:top w:val="none" w:sz="0" w:space="0" w:color="auto"/>
        <w:left w:val="none" w:sz="0" w:space="0" w:color="auto"/>
        <w:bottom w:val="none" w:sz="0" w:space="0" w:color="auto"/>
        <w:right w:val="none" w:sz="0" w:space="0" w:color="auto"/>
      </w:divBdr>
    </w:div>
    <w:div w:id="1227304560">
      <w:bodyDiv w:val="1"/>
      <w:marLeft w:val="0"/>
      <w:marRight w:val="0"/>
      <w:marTop w:val="0"/>
      <w:marBottom w:val="0"/>
      <w:divBdr>
        <w:top w:val="none" w:sz="0" w:space="0" w:color="auto"/>
        <w:left w:val="none" w:sz="0" w:space="0" w:color="auto"/>
        <w:bottom w:val="none" w:sz="0" w:space="0" w:color="auto"/>
        <w:right w:val="none" w:sz="0" w:space="0" w:color="auto"/>
      </w:divBdr>
    </w:div>
    <w:div w:id="1229413735">
      <w:bodyDiv w:val="1"/>
      <w:marLeft w:val="0"/>
      <w:marRight w:val="0"/>
      <w:marTop w:val="0"/>
      <w:marBottom w:val="0"/>
      <w:divBdr>
        <w:top w:val="none" w:sz="0" w:space="0" w:color="auto"/>
        <w:left w:val="none" w:sz="0" w:space="0" w:color="auto"/>
        <w:bottom w:val="none" w:sz="0" w:space="0" w:color="auto"/>
        <w:right w:val="none" w:sz="0" w:space="0" w:color="auto"/>
      </w:divBdr>
    </w:div>
    <w:div w:id="1234774463">
      <w:bodyDiv w:val="1"/>
      <w:marLeft w:val="0"/>
      <w:marRight w:val="0"/>
      <w:marTop w:val="0"/>
      <w:marBottom w:val="0"/>
      <w:divBdr>
        <w:top w:val="none" w:sz="0" w:space="0" w:color="auto"/>
        <w:left w:val="none" w:sz="0" w:space="0" w:color="auto"/>
        <w:bottom w:val="none" w:sz="0" w:space="0" w:color="auto"/>
        <w:right w:val="none" w:sz="0" w:space="0" w:color="auto"/>
      </w:divBdr>
    </w:div>
    <w:div w:id="1239367703">
      <w:bodyDiv w:val="1"/>
      <w:marLeft w:val="0"/>
      <w:marRight w:val="0"/>
      <w:marTop w:val="0"/>
      <w:marBottom w:val="0"/>
      <w:divBdr>
        <w:top w:val="none" w:sz="0" w:space="0" w:color="auto"/>
        <w:left w:val="none" w:sz="0" w:space="0" w:color="auto"/>
        <w:bottom w:val="none" w:sz="0" w:space="0" w:color="auto"/>
        <w:right w:val="none" w:sz="0" w:space="0" w:color="auto"/>
      </w:divBdr>
    </w:div>
    <w:div w:id="1258097519">
      <w:bodyDiv w:val="1"/>
      <w:marLeft w:val="0"/>
      <w:marRight w:val="0"/>
      <w:marTop w:val="0"/>
      <w:marBottom w:val="0"/>
      <w:divBdr>
        <w:top w:val="none" w:sz="0" w:space="0" w:color="auto"/>
        <w:left w:val="none" w:sz="0" w:space="0" w:color="auto"/>
        <w:bottom w:val="none" w:sz="0" w:space="0" w:color="auto"/>
        <w:right w:val="none" w:sz="0" w:space="0" w:color="auto"/>
      </w:divBdr>
    </w:div>
    <w:div w:id="1263610924">
      <w:bodyDiv w:val="1"/>
      <w:marLeft w:val="0"/>
      <w:marRight w:val="0"/>
      <w:marTop w:val="0"/>
      <w:marBottom w:val="0"/>
      <w:divBdr>
        <w:top w:val="none" w:sz="0" w:space="0" w:color="auto"/>
        <w:left w:val="none" w:sz="0" w:space="0" w:color="auto"/>
        <w:bottom w:val="none" w:sz="0" w:space="0" w:color="auto"/>
        <w:right w:val="none" w:sz="0" w:space="0" w:color="auto"/>
      </w:divBdr>
    </w:div>
    <w:div w:id="1306937039">
      <w:bodyDiv w:val="1"/>
      <w:marLeft w:val="0"/>
      <w:marRight w:val="0"/>
      <w:marTop w:val="0"/>
      <w:marBottom w:val="0"/>
      <w:divBdr>
        <w:top w:val="none" w:sz="0" w:space="0" w:color="auto"/>
        <w:left w:val="none" w:sz="0" w:space="0" w:color="auto"/>
        <w:bottom w:val="none" w:sz="0" w:space="0" w:color="auto"/>
        <w:right w:val="none" w:sz="0" w:space="0" w:color="auto"/>
      </w:divBdr>
    </w:div>
    <w:div w:id="1313560037">
      <w:bodyDiv w:val="1"/>
      <w:marLeft w:val="0"/>
      <w:marRight w:val="0"/>
      <w:marTop w:val="0"/>
      <w:marBottom w:val="0"/>
      <w:divBdr>
        <w:top w:val="none" w:sz="0" w:space="0" w:color="auto"/>
        <w:left w:val="none" w:sz="0" w:space="0" w:color="auto"/>
        <w:bottom w:val="none" w:sz="0" w:space="0" w:color="auto"/>
        <w:right w:val="none" w:sz="0" w:space="0" w:color="auto"/>
      </w:divBdr>
    </w:div>
    <w:div w:id="1316760437">
      <w:bodyDiv w:val="1"/>
      <w:marLeft w:val="0"/>
      <w:marRight w:val="0"/>
      <w:marTop w:val="0"/>
      <w:marBottom w:val="0"/>
      <w:divBdr>
        <w:top w:val="none" w:sz="0" w:space="0" w:color="auto"/>
        <w:left w:val="none" w:sz="0" w:space="0" w:color="auto"/>
        <w:bottom w:val="none" w:sz="0" w:space="0" w:color="auto"/>
        <w:right w:val="none" w:sz="0" w:space="0" w:color="auto"/>
      </w:divBdr>
    </w:div>
    <w:div w:id="1343315046">
      <w:bodyDiv w:val="1"/>
      <w:marLeft w:val="0"/>
      <w:marRight w:val="0"/>
      <w:marTop w:val="0"/>
      <w:marBottom w:val="0"/>
      <w:divBdr>
        <w:top w:val="none" w:sz="0" w:space="0" w:color="auto"/>
        <w:left w:val="none" w:sz="0" w:space="0" w:color="auto"/>
        <w:bottom w:val="none" w:sz="0" w:space="0" w:color="auto"/>
        <w:right w:val="none" w:sz="0" w:space="0" w:color="auto"/>
      </w:divBdr>
    </w:div>
    <w:div w:id="1368064460">
      <w:bodyDiv w:val="1"/>
      <w:marLeft w:val="0"/>
      <w:marRight w:val="0"/>
      <w:marTop w:val="0"/>
      <w:marBottom w:val="0"/>
      <w:divBdr>
        <w:top w:val="none" w:sz="0" w:space="0" w:color="auto"/>
        <w:left w:val="none" w:sz="0" w:space="0" w:color="auto"/>
        <w:bottom w:val="none" w:sz="0" w:space="0" w:color="auto"/>
        <w:right w:val="none" w:sz="0" w:space="0" w:color="auto"/>
      </w:divBdr>
    </w:div>
    <w:div w:id="1400790166">
      <w:bodyDiv w:val="1"/>
      <w:marLeft w:val="0"/>
      <w:marRight w:val="0"/>
      <w:marTop w:val="0"/>
      <w:marBottom w:val="0"/>
      <w:divBdr>
        <w:top w:val="none" w:sz="0" w:space="0" w:color="auto"/>
        <w:left w:val="none" w:sz="0" w:space="0" w:color="auto"/>
        <w:bottom w:val="none" w:sz="0" w:space="0" w:color="auto"/>
        <w:right w:val="none" w:sz="0" w:space="0" w:color="auto"/>
      </w:divBdr>
    </w:div>
    <w:div w:id="1417824694">
      <w:bodyDiv w:val="1"/>
      <w:marLeft w:val="0"/>
      <w:marRight w:val="0"/>
      <w:marTop w:val="0"/>
      <w:marBottom w:val="0"/>
      <w:divBdr>
        <w:top w:val="none" w:sz="0" w:space="0" w:color="auto"/>
        <w:left w:val="none" w:sz="0" w:space="0" w:color="auto"/>
        <w:bottom w:val="none" w:sz="0" w:space="0" w:color="auto"/>
        <w:right w:val="none" w:sz="0" w:space="0" w:color="auto"/>
      </w:divBdr>
    </w:div>
    <w:div w:id="1419594749">
      <w:bodyDiv w:val="1"/>
      <w:marLeft w:val="0"/>
      <w:marRight w:val="0"/>
      <w:marTop w:val="0"/>
      <w:marBottom w:val="0"/>
      <w:divBdr>
        <w:top w:val="none" w:sz="0" w:space="0" w:color="auto"/>
        <w:left w:val="none" w:sz="0" w:space="0" w:color="auto"/>
        <w:bottom w:val="none" w:sz="0" w:space="0" w:color="auto"/>
        <w:right w:val="none" w:sz="0" w:space="0" w:color="auto"/>
      </w:divBdr>
      <w:divsChild>
        <w:div w:id="1620256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61974">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47197338">
      <w:bodyDiv w:val="1"/>
      <w:marLeft w:val="0"/>
      <w:marRight w:val="0"/>
      <w:marTop w:val="0"/>
      <w:marBottom w:val="0"/>
      <w:divBdr>
        <w:top w:val="none" w:sz="0" w:space="0" w:color="auto"/>
        <w:left w:val="none" w:sz="0" w:space="0" w:color="auto"/>
        <w:bottom w:val="none" w:sz="0" w:space="0" w:color="auto"/>
        <w:right w:val="none" w:sz="0" w:space="0" w:color="auto"/>
      </w:divBdr>
    </w:div>
    <w:div w:id="145726098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39395787">
      <w:bodyDiv w:val="1"/>
      <w:marLeft w:val="0"/>
      <w:marRight w:val="0"/>
      <w:marTop w:val="0"/>
      <w:marBottom w:val="0"/>
      <w:divBdr>
        <w:top w:val="none" w:sz="0" w:space="0" w:color="auto"/>
        <w:left w:val="none" w:sz="0" w:space="0" w:color="auto"/>
        <w:bottom w:val="none" w:sz="0" w:space="0" w:color="auto"/>
        <w:right w:val="none" w:sz="0" w:space="0" w:color="auto"/>
      </w:divBdr>
    </w:div>
    <w:div w:id="1565599468">
      <w:bodyDiv w:val="1"/>
      <w:marLeft w:val="0"/>
      <w:marRight w:val="0"/>
      <w:marTop w:val="0"/>
      <w:marBottom w:val="0"/>
      <w:divBdr>
        <w:top w:val="none" w:sz="0" w:space="0" w:color="auto"/>
        <w:left w:val="none" w:sz="0" w:space="0" w:color="auto"/>
        <w:bottom w:val="none" w:sz="0" w:space="0" w:color="auto"/>
        <w:right w:val="none" w:sz="0" w:space="0" w:color="auto"/>
      </w:divBdr>
    </w:div>
    <w:div w:id="1599941350">
      <w:bodyDiv w:val="1"/>
      <w:marLeft w:val="0"/>
      <w:marRight w:val="0"/>
      <w:marTop w:val="0"/>
      <w:marBottom w:val="0"/>
      <w:divBdr>
        <w:top w:val="none" w:sz="0" w:space="0" w:color="auto"/>
        <w:left w:val="none" w:sz="0" w:space="0" w:color="auto"/>
        <w:bottom w:val="none" w:sz="0" w:space="0" w:color="auto"/>
        <w:right w:val="none" w:sz="0" w:space="0" w:color="auto"/>
      </w:divBdr>
    </w:div>
    <w:div w:id="1611618642">
      <w:bodyDiv w:val="1"/>
      <w:marLeft w:val="0"/>
      <w:marRight w:val="0"/>
      <w:marTop w:val="0"/>
      <w:marBottom w:val="0"/>
      <w:divBdr>
        <w:top w:val="none" w:sz="0" w:space="0" w:color="auto"/>
        <w:left w:val="none" w:sz="0" w:space="0" w:color="auto"/>
        <w:bottom w:val="none" w:sz="0" w:space="0" w:color="auto"/>
        <w:right w:val="none" w:sz="0" w:space="0" w:color="auto"/>
      </w:divBdr>
    </w:div>
    <w:div w:id="1626152837">
      <w:bodyDiv w:val="1"/>
      <w:marLeft w:val="0"/>
      <w:marRight w:val="0"/>
      <w:marTop w:val="0"/>
      <w:marBottom w:val="0"/>
      <w:divBdr>
        <w:top w:val="none" w:sz="0" w:space="0" w:color="auto"/>
        <w:left w:val="none" w:sz="0" w:space="0" w:color="auto"/>
        <w:bottom w:val="none" w:sz="0" w:space="0" w:color="auto"/>
        <w:right w:val="none" w:sz="0" w:space="0" w:color="auto"/>
      </w:divBdr>
    </w:div>
    <w:div w:id="1668170519">
      <w:bodyDiv w:val="1"/>
      <w:marLeft w:val="0"/>
      <w:marRight w:val="0"/>
      <w:marTop w:val="0"/>
      <w:marBottom w:val="0"/>
      <w:divBdr>
        <w:top w:val="none" w:sz="0" w:space="0" w:color="auto"/>
        <w:left w:val="none" w:sz="0" w:space="0" w:color="auto"/>
        <w:bottom w:val="none" w:sz="0" w:space="0" w:color="auto"/>
        <w:right w:val="none" w:sz="0" w:space="0" w:color="auto"/>
      </w:divBdr>
    </w:div>
    <w:div w:id="1675716849">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600">
      <w:bodyDiv w:val="1"/>
      <w:marLeft w:val="0"/>
      <w:marRight w:val="0"/>
      <w:marTop w:val="0"/>
      <w:marBottom w:val="0"/>
      <w:divBdr>
        <w:top w:val="none" w:sz="0" w:space="0" w:color="auto"/>
        <w:left w:val="none" w:sz="0" w:space="0" w:color="auto"/>
        <w:bottom w:val="none" w:sz="0" w:space="0" w:color="auto"/>
        <w:right w:val="none" w:sz="0" w:space="0" w:color="auto"/>
      </w:divBdr>
    </w:div>
    <w:div w:id="1747142133">
      <w:bodyDiv w:val="1"/>
      <w:marLeft w:val="0"/>
      <w:marRight w:val="0"/>
      <w:marTop w:val="0"/>
      <w:marBottom w:val="0"/>
      <w:divBdr>
        <w:top w:val="none" w:sz="0" w:space="0" w:color="auto"/>
        <w:left w:val="none" w:sz="0" w:space="0" w:color="auto"/>
        <w:bottom w:val="none" w:sz="0" w:space="0" w:color="auto"/>
        <w:right w:val="none" w:sz="0" w:space="0" w:color="auto"/>
      </w:divBdr>
    </w:div>
    <w:div w:id="1749418324">
      <w:bodyDiv w:val="1"/>
      <w:marLeft w:val="0"/>
      <w:marRight w:val="0"/>
      <w:marTop w:val="0"/>
      <w:marBottom w:val="0"/>
      <w:divBdr>
        <w:top w:val="none" w:sz="0" w:space="0" w:color="auto"/>
        <w:left w:val="none" w:sz="0" w:space="0" w:color="auto"/>
        <w:bottom w:val="none" w:sz="0" w:space="0" w:color="auto"/>
        <w:right w:val="none" w:sz="0" w:space="0" w:color="auto"/>
      </w:divBdr>
    </w:div>
    <w:div w:id="1771273355">
      <w:bodyDiv w:val="1"/>
      <w:marLeft w:val="0"/>
      <w:marRight w:val="0"/>
      <w:marTop w:val="0"/>
      <w:marBottom w:val="0"/>
      <w:divBdr>
        <w:top w:val="none" w:sz="0" w:space="0" w:color="auto"/>
        <w:left w:val="none" w:sz="0" w:space="0" w:color="auto"/>
        <w:bottom w:val="none" w:sz="0" w:space="0" w:color="auto"/>
        <w:right w:val="none" w:sz="0" w:space="0" w:color="auto"/>
      </w:divBdr>
    </w:div>
    <w:div w:id="1773239915">
      <w:bodyDiv w:val="1"/>
      <w:marLeft w:val="0"/>
      <w:marRight w:val="0"/>
      <w:marTop w:val="0"/>
      <w:marBottom w:val="0"/>
      <w:divBdr>
        <w:top w:val="none" w:sz="0" w:space="0" w:color="auto"/>
        <w:left w:val="none" w:sz="0" w:space="0" w:color="auto"/>
        <w:bottom w:val="none" w:sz="0" w:space="0" w:color="auto"/>
        <w:right w:val="none" w:sz="0" w:space="0" w:color="auto"/>
      </w:divBdr>
    </w:div>
    <w:div w:id="1786850499">
      <w:bodyDiv w:val="1"/>
      <w:marLeft w:val="0"/>
      <w:marRight w:val="0"/>
      <w:marTop w:val="0"/>
      <w:marBottom w:val="0"/>
      <w:divBdr>
        <w:top w:val="none" w:sz="0" w:space="0" w:color="auto"/>
        <w:left w:val="none" w:sz="0" w:space="0" w:color="auto"/>
        <w:bottom w:val="none" w:sz="0" w:space="0" w:color="auto"/>
        <w:right w:val="none" w:sz="0" w:space="0" w:color="auto"/>
      </w:divBdr>
    </w:div>
    <w:div w:id="1792164184">
      <w:bodyDiv w:val="1"/>
      <w:marLeft w:val="0"/>
      <w:marRight w:val="0"/>
      <w:marTop w:val="0"/>
      <w:marBottom w:val="0"/>
      <w:divBdr>
        <w:top w:val="none" w:sz="0" w:space="0" w:color="auto"/>
        <w:left w:val="none" w:sz="0" w:space="0" w:color="auto"/>
        <w:bottom w:val="none" w:sz="0" w:space="0" w:color="auto"/>
        <w:right w:val="none" w:sz="0" w:space="0" w:color="auto"/>
      </w:divBdr>
    </w:div>
    <w:div w:id="1832066084">
      <w:bodyDiv w:val="1"/>
      <w:marLeft w:val="0"/>
      <w:marRight w:val="0"/>
      <w:marTop w:val="0"/>
      <w:marBottom w:val="0"/>
      <w:divBdr>
        <w:top w:val="none" w:sz="0" w:space="0" w:color="auto"/>
        <w:left w:val="none" w:sz="0" w:space="0" w:color="auto"/>
        <w:bottom w:val="none" w:sz="0" w:space="0" w:color="auto"/>
        <w:right w:val="none" w:sz="0" w:space="0" w:color="auto"/>
      </w:divBdr>
    </w:div>
    <w:div w:id="1880049237">
      <w:bodyDiv w:val="1"/>
      <w:marLeft w:val="0"/>
      <w:marRight w:val="0"/>
      <w:marTop w:val="0"/>
      <w:marBottom w:val="0"/>
      <w:divBdr>
        <w:top w:val="none" w:sz="0" w:space="0" w:color="auto"/>
        <w:left w:val="none" w:sz="0" w:space="0" w:color="auto"/>
        <w:bottom w:val="none" w:sz="0" w:space="0" w:color="auto"/>
        <w:right w:val="none" w:sz="0" w:space="0" w:color="auto"/>
      </w:divBdr>
    </w:div>
    <w:div w:id="1883906821">
      <w:bodyDiv w:val="1"/>
      <w:marLeft w:val="0"/>
      <w:marRight w:val="0"/>
      <w:marTop w:val="0"/>
      <w:marBottom w:val="0"/>
      <w:divBdr>
        <w:top w:val="none" w:sz="0" w:space="0" w:color="auto"/>
        <w:left w:val="none" w:sz="0" w:space="0" w:color="auto"/>
        <w:bottom w:val="none" w:sz="0" w:space="0" w:color="auto"/>
        <w:right w:val="none" w:sz="0" w:space="0" w:color="auto"/>
      </w:divBdr>
    </w:div>
    <w:div w:id="1894079320">
      <w:bodyDiv w:val="1"/>
      <w:marLeft w:val="0"/>
      <w:marRight w:val="0"/>
      <w:marTop w:val="0"/>
      <w:marBottom w:val="0"/>
      <w:divBdr>
        <w:top w:val="none" w:sz="0" w:space="0" w:color="auto"/>
        <w:left w:val="none" w:sz="0" w:space="0" w:color="auto"/>
        <w:bottom w:val="none" w:sz="0" w:space="0" w:color="auto"/>
        <w:right w:val="none" w:sz="0" w:space="0" w:color="auto"/>
      </w:divBdr>
    </w:div>
    <w:div w:id="1988317054">
      <w:bodyDiv w:val="1"/>
      <w:marLeft w:val="0"/>
      <w:marRight w:val="0"/>
      <w:marTop w:val="0"/>
      <w:marBottom w:val="0"/>
      <w:divBdr>
        <w:top w:val="none" w:sz="0" w:space="0" w:color="auto"/>
        <w:left w:val="none" w:sz="0" w:space="0" w:color="auto"/>
        <w:bottom w:val="none" w:sz="0" w:space="0" w:color="auto"/>
        <w:right w:val="none" w:sz="0" w:space="0" w:color="auto"/>
      </w:divBdr>
    </w:div>
    <w:div w:id="2017267295">
      <w:bodyDiv w:val="1"/>
      <w:marLeft w:val="0"/>
      <w:marRight w:val="0"/>
      <w:marTop w:val="0"/>
      <w:marBottom w:val="0"/>
      <w:divBdr>
        <w:top w:val="none" w:sz="0" w:space="0" w:color="auto"/>
        <w:left w:val="none" w:sz="0" w:space="0" w:color="auto"/>
        <w:bottom w:val="none" w:sz="0" w:space="0" w:color="auto"/>
        <w:right w:val="none" w:sz="0" w:space="0" w:color="auto"/>
      </w:divBdr>
    </w:div>
    <w:div w:id="2071147818">
      <w:bodyDiv w:val="1"/>
      <w:marLeft w:val="0"/>
      <w:marRight w:val="0"/>
      <w:marTop w:val="0"/>
      <w:marBottom w:val="0"/>
      <w:divBdr>
        <w:top w:val="none" w:sz="0" w:space="0" w:color="auto"/>
        <w:left w:val="none" w:sz="0" w:space="0" w:color="auto"/>
        <w:bottom w:val="none" w:sz="0" w:space="0" w:color="auto"/>
        <w:right w:val="none" w:sz="0" w:space="0" w:color="auto"/>
      </w:divBdr>
    </w:div>
    <w:div w:id="2100133642">
      <w:bodyDiv w:val="1"/>
      <w:marLeft w:val="0"/>
      <w:marRight w:val="0"/>
      <w:marTop w:val="0"/>
      <w:marBottom w:val="0"/>
      <w:divBdr>
        <w:top w:val="none" w:sz="0" w:space="0" w:color="auto"/>
        <w:left w:val="none" w:sz="0" w:space="0" w:color="auto"/>
        <w:bottom w:val="none" w:sz="0" w:space="0" w:color="auto"/>
        <w:right w:val="none" w:sz="0" w:space="0" w:color="auto"/>
      </w:divBdr>
    </w:div>
    <w:div w:id="2119371848">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10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Users\giannifazi\Desktop\Dottorato\Attivita&#768;%20BIOCHAR\Tesisti\Alessia\Dati%20sperimentali\Rilascio\Nessler%20campioni%20agitat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giannifazi\Desktop\Dottorato\Attivita&#768;%20BIOCHAR\Tesisti\Alessia\Dati%20sperimentali\Rilascio\Fosforo%20campioni%20agitat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giannifazi/Desktop/Dottorato/Attivita&#768;%20BIOCHAR/Analisi%20dei%20dati/2.%20AD%20e%20DF/Dati%20Alessi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giannifazi\Desktop\Dottorato\Attivita&#768;%20BIOCHAR\Tesisti\Alessia\Dati%20sperimentali\Gas%20prodott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giannifazi\Desktop\Dottorato\Attivita&#768;%20BIOCHAR\Tesisti\Alessia\Dati%20sperimentali\Gas%20prodotto.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solidFill>
                <a:latin typeface="+mn-lt"/>
                <a:ea typeface="+mn-ea"/>
                <a:cs typeface="+mn-cs"/>
              </a:defRPr>
            </a:pPr>
            <a:r>
              <a:rPr lang="it-IT" sz="1600" baseline="0">
                <a:solidFill>
                  <a:schemeClr val="tx1"/>
                </a:solidFill>
              </a:rPr>
              <a:t>a</a:t>
            </a:r>
          </a:p>
        </c:rich>
      </c:tx>
      <c:layout>
        <c:manualLayout>
          <c:xMode val="edge"/>
          <c:yMode val="edge"/>
          <c:x val="1.0167436393266947E-3"/>
          <c:y val="4.3756804948479637E-3"/>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solidFill>
              <a:latin typeface="+mn-lt"/>
              <a:ea typeface="+mn-ea"/>
              <a:cs typeface="+mn-cs"/>
            </a:defRPr>
          </a:pPr>
          <a:endParaRPr lang="it-IT"/>
        </a:p>
      </c:txPr>
    </c:title>
    <c:autoTitleDeleted val="0"/>
    <c:plotArea>
      <c:layout>
        <c:manualLayout>
          <c:layoutTarget val="inner"/>
          <c:xMode val="edge"/>
          <c:yMode val="edge"/>
          <c:x val="0.16358967608446165"/>
          <c:y val="2.8551073972896239E-2"/>
          <c:w val="0.78668110328921392"/>
          <c:h val="0.73223024629188793"/>
        </c:manualLayout>
      </c:layout>
      <c:scatterChart>
        <c:scatterStyle val="lineMarker"/>
        <c:varyColors val="0"/>
        <c:ser>
          <c:idx val="0"/>
          <c:order val="0"/>
          <c:tx>
            <c:v>SCG-500</c:v>
          </c:tx>
          <c:spPr>
            <a:ln w="19050" cap="rnd">
              <a:solidFill>
                <a:schemeClr val="accent2"/>
              </a:solidFill>
              <a:prstDash val="sysDash"/>
              <a:round/>
            </a:ln>
            <a:effectLst/>
          </c:spPr>
          <c:marker>
            <c:symbol val="circle"/>
            <c:size val="5"/>
            <c:spPr>
              <a:solidFill>
                <a:schemeClr val="accent2"/>
              </a:solidFill>
              <a:ln w="9525">
                <a:solidFill>
                  <a:schemeClr val="accent2"/>
                </a:solidFill>
              </a:ln>
              <a:effectLst/>
            </c:spPr>
          </c:marker>
          <c:xVal>
            <c:numRef>
              <c:f>Campioni!$B$2:$B$5</c:f>
              <c:numCache>
                <c:formatCode>General</c:formatCode>
                <c:ptCount val="4"/>
                <c:pt idx="0">
                  <c:v>7</c:v>
                </c:pt>
                <c:pt idx="1">
                  <c:v>14</c:v>
                </c:pt>
                <c:pt idx="2">
                  <c:v>21</c:v>
                </c:pt>
                <c:pt idx="3">
                  <c:v>28</c:v>
                </c:pt>
              </c:numCache>
            </c:numRef>
          </c:xVal>
          <c:yVal>
            <c:numRef>
              <c:f>Campioni!$F$2:$F$5</c:f>
              <c:numCache>
                <c:formatCode>General</c:formatCode>
                <c:ptCount val="4"/>
                <c:pt idx="0">
                  <c:v>1.0779220779220777E-2</c:v>
                </c:pt>
                <c:pt idx="1">
                  <c:v>4.0649350649350643E-2</c:v>
                </c:pt>
                <c:pt idx="2">
                  <c:v>4.7142857142857139E-2</c:v>
                </c:pt>
                <c:pt idx="3">
                  <c:v>0</c:v>
                </c:pt>
              </c:numCache>
            </c:numRef>
          </c:yVal>
          <c:smooth val="0"/>
          <c:extLst>
            <c:ext xmlns:c16="http://schemas.microsoft.com/office/drawing/2014/chart" uri="{C3380CC4-5D6E-409C-BE32-E72D297353CC}">
              <c16:uniqueId val="{00000000-7A72-5C4F-8AD5-97289F8682FF}"/>
            </c:ext>
          </c:extLst>
        </c:ser>
        <c:ser>
          <c:idx val="1"/>
          <c:order val="1"/>
          <c:tx>
            <c:v>TP-500</c:v>
          </c:tx>
          <c:spPr>
            <a:ln w="19050" cap="rnd">
              <a:solidFill>
                <a:srgbClr val="92D050"/>
              </a:solidFill>
              <a:prstDash val="sysDash"/>
              <a:round/>
            </a:ln>
            <a:effectLst/>
          </c:spPr>
          <c:marker>
            <c:symbol val="circle"/>
            <c:size val="5"/>
            <c:spPr>
              <a:solidFill>
                <a:srgbClr val="92D050"/>
              </a:solidFill>
              <a:ln w="9525">
                <a:solidFill>
                  <a:srgbClr val="92D050"/>
                </a:solidFill>
              </a:ln>
              <a:effectLst/>
            </c:spPr>
          </c:marker>
          <c:xVal>
            <c:numRef>
              <c:f>Campioni!$B$6:$B$9</c:f>
              <c:numCache>
                <c:formatCode>General</c:formatCode>
                <c:ptCount val="4"/>
                <c:pt idx="0">
                  <c:v>7</c:v>
                </c:pt>
                <c:pt idx="1">
                  <c:v>14</c:v>
                </c:pt>
                <c:pt idx="2">
                  <c:v>21</c:v>
                </c:pt>
                <c:pt idx="3">
                  <c:v>28</c:v>
                </c:pt>
              </c:numCache>
            </c:numRef>
          </c:xVal>
          <c:yVal>
            <c:numRef>
              <c:f>Campioni!$F$6:$F$9</c:f>
              <c:numCache>
                <c:formatCode>General</c:formatCode>
                <c:ptCount val="4"/>
                <c:pt idx="0">
                  <c:v>2.1168831168831167E-2</c:v>
                </c:pt>
                <c:pt idx="1">
                  <c:v>5.4935064935064941E-2</c:v>
                </c:pt>
                <c:pt idx="2">
                  <c:v>1.6883116883116916E-3</c:v>
                </c:pt>
                <c:pt idx="3">
                  <c:v>7.7012987012987005E-2</c:v>
                </c:pt>
              </c:numCache>
            </c:numRef>
          </c:yVal>
          <c:smooth val="0"/>
          <c:extLst>
            <c:ext xmlns:c16="http://schemas.microsoft.com/office/drawing/2014/chart" uri="{C3380CC4-5D6E-409C-BE32-E72D297353CC}">
              <c16:uniqueId val="{00000001-7A72-5C4F-8AD5-97289F8682FF}"/>
            </c:ext>
          </c:extLst>
        </c:ser>
        <c:ser>
          <c:idx val="2"/>
          <c:order val="2"/>
          <c:tx>
            <c:v>TP-700</c:v>
          </c:tx>
          <c:spPr>
            <a:ln w="19050" cap="rnd">
              <a:solidFill>
                <a:srgbClr val="00B050"/>
              </a:solidFill>
              <a:prstDash val="sysDash"/>
              <a:round/>
            </a:ln>
            <a:effectLst/>
          </c:spPr>
          <c:marker>
            <c:symbol val="circle"/>
            <c:size val="5"/>
            <c:spPr>
              <a:solidFill>
                <a:srgbClr val="00B050"/>
              </a:solidFill>
              <a:ln w="9525">
                <a:solidFill>
                  <a:srgbClr val="00B050"/>
                </a:solidFill>
              </a:ln>
              <a:effectLst/>
            </c:spPr>
          </c:marker>
          <c:xVal>
            <c:numRef>
              <c:f>Campioni!$B$10:$B$13</c:f>
              <c:numCache>
                <c:formatCode>General</c:formatCode>
                <c:ptCount val="4"/>
                <c:pt idx="0">
                  <c:v>7</c:v>
                </c:pt>
                <c:pt idx="1">
                  <c:v>14</c:v>
                </c:pt>
                <c:pt idx="2">
                  <c:v>21</c:v>
                </c:pt>
                <c:pt idx="3">
                  <c:v>28</c:v>
                </c:pt>
              </c:numCache>
            </c:numRef>
          </c:xVal>
          <c:yVal>
            <c:numRef>
              <c:f>Campioni!$F$10:$F$13</c:f>
              <c:numCache>
                <c:formatCode>General</c:formatCode>
                <c:ptCount val="4"/>
                <c:pt idx="0">
                  <c:v>8.1818181818181859E-3</c:v>
                </c:pt>
                <c:pt idx="1">
                  <c:v>6.4025974025974014E-2</c:v>
                </c:pt>
                <c:pt idx="2">
                  <c:v>3.4155844155844155E-2</c:v>
                </c:pt>
                <c:pt idx="3">
                  <c:v>0.6276623376623377</c:v>
                </c:pt>
              </c:numCache>
            </c:numRef>
          </c:yVal>
          <c:smooth val="0"/>
          <c:extLst>
            <c:ext xmlns:c16="http://schemas.microsoft.com/office/drawing/2014/chart" uri="{C3380CC4-5D6E-409C-BE32-E72D297353CC}">
              <c16:uniqueId val="{00000002-7A72-5C4F-8AD5-97289F8682FF}"/>
            </c:ext>
          </c:extLst>
        </c:ser>
        <c:ser>
          <c:idx val="3"/>
          <c:order val="3"/>
          <c:tx>
            <c:v>TP-900</c:v>
          </c:tx>
          <c:spPr>
            <a:ln w="19050" cap="rnd">
              <a:solidFill>
                <a:schemeClr val="accent3">
                  <a:lumMod val="50000"/>
                </a:schemeClr>
              </a:solidFill>
              <a:prstDash val="sysDash"/>
              <a:round/>
            </a:ln>
            <a:effectLst/>
          </c:spPr>
          <c:marker>
            <c:symbol val="circle"/>
            <c:size val="5"/>
            <c:spPr>
              <a:solidFill>
                <a:schemeClr val="accent3">
                  <a:lumMod val="50000"/>
                </a:schemeClr>
              </a:solidFill>
              <a:ln w="9525">
                <a:solidFill>
                  <a:schemeClr val="accent3">
                    <a:lumMod val="50000"/>
                  </a:schemeClr>
                </a:solidFill>
              </a:ln>
              <a:effectLst/>
            </c:spPr>
          </c:marker>
          <c:xVal>
            <c:numRef>
              <c:f>Campioni!$B$14:$B$17</c:f>
              <c:numCache>
                <c:formatCode>General</c:formatCode>
                <c:ptCount val="4"/>
                <c:pt idx="0">
                  <c:v>7</c:v>
                </c:pt>
                <c:pt idx="1">
                  <c:v>14</c:v>
                </c:pt>
                <c:pt idx="2">
                  <c:v>21</c:v>
                </c:pt>
                <c:pt idx="3">
                  <c:v>28</c:v>
                </c:pt>
              </c:numCache>
            </c:numRef>
          </c:xVal>
          <c:yVal>
            <c:numRef>
              <c:f>Campioni!$F$14:$F$17</c:f>
              <c:numCache>
                <c:formatCode>General</c:formatCode>
                <c:ptCount val="4"/>
                <c:pt idx="0">
                  <c:v>0.16792207792207792</c:v>
                </c:pt>
                <c:pt idx="1">
                  <c:v>0.17181818181818181</c:v>
                </c:pt>
                <c:pt idx="2">
                  <c:v>3.0259740259740257E-2</c:v>
                </c:pt>
                <c:pt idx="3">
                  <c:v>0.67831168831168842</c:v>
                </c:pt>
              </c:numCache>
            </c:numRef>
          </c:yVal>
          <c:smooth val="0"/>
          <c:extLst>
            <c:ext xmlns:c16="http://schemas.microsoft.com/office/drawing/2014/chart" uri="{C3380CC4-5D6E-409C-BE32-E72D297353CC}">
              <c16:uniqueId val="{00000003-7A72-5C4F-8AD5-97289F8682FF}"/>
            </c:ext>
          </c:extLst>
        </c:ser>
        <c:dLbls>
          <c:showLegendKey val="0"/>
          <c:showVal val="0"/>
          <c:showCatName val="0"/>
          <c:showSerName val="0"/>
          <c:showPercent val="0"/>
          <c:showBubbleSize val="0"/>
        </c:dLbls>
        <c:axId val="1696458511"/>
        <c:axId val="1696460223"/>
      </c:scatterChart>
      <c:valAx>
        <c:axId val="1696458511"/>
        <c:scaling>
          <c:orientation val="minMax"/>
          <c:max val="28"/>
          <c:min val="7"/>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it-IT">
                    <a:solidFill>
                      <a:schemeClr val="tx1"/>
                    </a:solidFill>
                  </a:rPr>
                  <a:t>∆t</a:t>
                </a:r>
                <a:r>
                  <a:rPr lang="it-IT" baseline="0">
                    <a:solidFill>
                      <a:schemeClr val="tx1"/>
                    </a:solidFill>
                  </a:rPr>
                  <a:t> (days)</a:t>
                </a:r>
                <a:endParaRPr lang="it-IT">
                  <a:solidFill>
                    <a:schemeClr val="tx1"/>
                  </a:solidFill>
                </a:endParaRPr>
              </a:p>
            </c:rich>
          </c:tx>
          <c:overlay val="0"/>
          <c:spPr>
            <a:solidFill>
              <a:schemeClr val="bg1"/>
            </a:solid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t-IT"/>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t-IT"/>
          </a:p>
        </c:txPr>
        <c:crossAx val="1696460223"/>
        <c:crosses val="autoZero"/>
        <c:crossBetween val="midCat"/>
      </c:valAx>
      <c:valAx>
        <c:axId val="1696460223"/>
        <c:scaling>
          <c:orientation val="minMax"/>
          <c:max val="0.7"/>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GB" sz="1000" b="0" i="0" u="none" strike="noStrike" baseline="0">
                    <a:effectLst/>
                  </a:rPr>
                  <a:t>NH₄⁺ </a:t>
                </a:r>
                <a:r>
                  <a:rPr lang="it-IT" baseline="0">
                    <a:solidFill>
                      <a:schemeClr val="tx1"/>
                    </a:solidFill>
                  </a:rPr>
                  <a:t>(mg/L)</a:t>
                </a:r>
                <a:endParaRPr lang="it-IT">
                  <a:solidFill>
                    <a:schemeClr val="tx1"/>
                  </a:solidFill>
                </a:endParaRPr>
              </a:p>
            </c:rich>
          </c:tx>
          <c:layout>
            <c:manualLayout>
              <c:xMode val="edge"/>
              <c:yMode val="edge"/>
              <c:x val="0"/>
              <c:y val="0.29952030044340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t-IT"/>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t-IT"/>
          </a:p>
        </c:txPr>
        <c:crossAx val="1696458511"/>
        <c:crosses val="autoZero"/>
        <c:crossBetween val="midCat"/>
      </c:valAx>
      <c:spPr>
        <a:noFill/>
        <a:ln>
          <a:noFill/>
        </a:ln>
        <a:effectLst/>
      </c:spPr>
    </c:plotArea>
    <c:legend>
      <c:legendPos val="r"/>
      <c:layout>
        <c:manualLayout>
          <c:xMode val="edge"/>
          <c:yMode val="edge"/>
          <c:x val="0.16679416132554892"/>
          <c:y val="6.1821150973491654E-3"/>
          <c:w val="0.30998591116164975"/>
          <c:h val="0.381893561536319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t-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solidFill>
                <a:latin typeface="+mn-lt"/>
                <a:ea typeface="+mn-ea"/>
                <a:cs typeface="+mn-cs"/>
              </a:defRPr>
            </a:pPr>
            <a:r>
              <a:rPr lang="it-IT" sz="1600">
                <a:solidFill>
                  <a:schemeClr val="tx1"/>
                </a:solidFill>
              </a:rPr>
              <a:t>b</a:t>
            </a:r>
            <a:endParaRPr lang="it-IT" sz="1600" baseline="0">
              <a:solidFill>
                <a:schemeClr val="tx1"/>
              </a:solidFill>
            </a:endParaRPr>
          </a:p>
        </c:rich>
      </c:tx>
      <c:layout>
        <c:manualLayout>
          <c:xMode val="edge"/>
          <c:yMode val="edge"/>
          <c:x val="6.1717899558906498E-4"/>
          <c:y val="2.8388643513647701E-3"/>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solidFill>
              <a:latin typeface="+mn-lt"/>
              <a:ea typeface="+mn-ea"/>
              <a:cs typeface="+mn-cs"/>
            </a:defRPr>
          </a:pPr>
          <a:endParaRPr lang="it-IT"/>
        </a:p>
      </c:txPr>
    </c:title>
    <c:autoTitleDeleted val="0"/>
    <c:plotArea>
      <c:layout>
        <c:manualLayout>
          <c:layoutTarget val="inner"/>
          <c:xMode val="edge"/>
          <c:yMode val="edge"/>
          <c:x val="0.1614749757173875"/>
          <c:y val="2.24412761869002E-2"/>
          <c:w val="0.78610506895871091"/>
          <c:h val="0.72551221645289921"/>
        </c:manualLayout>
      </c:layout>
      <c:scatterChart>
        <c:scatterStyle val="lineMarker"/>
        <c:varyColors val="0"/>
        <c:ser>
          <c:idx val="0"/>
          <c:order val="0"/>
          <c:tx>
            <c:v>SCG-500</c:v>
          </c:tx>
          <c:spPr>
            <a:ln w="19050" cap="rnd">
              <a:solidFill>
                <a:schemeClr val="accent2"/>
              </a:solidFill>
              <a:prstDash val="sysDash"/>
              <a:round/>
            </a:ln>
            <a:effectLst/>
          </c:spPr>
          <c:marker>
            <c:symbol val="circle"/>
            <c:size val="5"/>
            <c:spPr>
              <a:solidFill>
                <a:schemeClr val="accent2"/>
              </a:solidFill>
              <a:ln w="9525">
                <a:solidFill>
                  <a:schemeClr val="accent2"/>
                </a:solidFill>
              </a:ln>
              <a:effectLst/>
            </c:spPr>
          </c:marker>
          <c:xVal>
            <c:numRef>
              <c:f>Campioni!$B$2:$B$5</c:f>
              <c:numCache>
                <c:formatCode>General</c:formatCode>
                <c:ptCount val="4"/>
                <c:pt idx="0">
                  <c:v>7</c:v>
                </c:pt>
                <c:pt idx="1">
                  <c:v>14</c:v>
                </c:pt>
                <c:pt idx="2">
                  <c:v>21</c:v>
                </c:pt>
                <c:pt idx="3">
                  <c:v>28</c:v>
                </c:pt>
              </c:numCache>
            </c:numRef>
          </c:xVal>
          <c:yVal>
            <c:numRef>
              <c:f>Campioni!$F$2:$F$5</c:f>
              <c:numCache>
                <c:formatCode>General</c:formatCode>
                <c:ptCount val="4"/>
                <c:pt idx="0">
                  <c:v>16.310312204351941</c:v>
                </c:pt>
                <c:pt idx="1">
                  <c:v>17.114474929044466</c:v>
                </c:pt>
                <c:pt idx="2">
                  <c:v>51.125827814569533</c:v>
                </c:pt>
                <c:pt idx="3">
                  <c:v>45.023651844843897</c:v>
                </c:pt>
              </c:numCache>
            </c:numRef>
          </c:yVal>
          <c:smooth val="0"/>
          <c:extLst>
            <c:ext xmlns:c16="http://schemas.microsoft.com/office/drawing/2014/chart" uri="{C3380CC4-5D6E-409C-BE32-E72D297353CC}">
              <c16:uniqueId val="{00000000-9184-DC49-AB47-5437CE277C99}"/>
            </c:ext>
          </c:extLst>
        </c:ser>
        <c:ser>
          <c:idx val="1"/>
          <c:order val="1"/>
          <c:tx>
            <c:v>TP-500</c:v>
          </c:tx>
          <c:spPr>
            <a:ln w="19050" cap="rnd">
              <a:solidFill>
                <a:srgbClr val="92D050"/>
              </a:solidFill>
              <a:prstDash val="sysDash"/>
              <a:round/>
            </a:ln>
            <a:effectLst/>
          </c:spPr>
          <c:marker>
            <c:symbol val="circle"/>
            <c:size val="5"/>
            <c:spPr>
              <a:solidFill>
                <a:srgbClr val="92D050"/>
              </a:solidFill>
              <a:ln w="9525">
                <a:solidFill>
                  <a:srgbClr val="92D050"/>
                </a:solidFill>
              </a:ln>
              <a:effectLst/>
            </c:spPr>
          </c:marker>
          <c:xVal>
            <c:numRef>
              <c:f>Campioni!$B$6:$B$9</c:f>
              <c:numCache>
                <c:formatCode>General</c:formatCode>
                <c:ptCount val="4"/>
                <c:pt idx="0">
                  <c:v>7</c:v>
                </c:pt>
                <c:pt idx="1">
                  <c:v>14</c:v>
                </c:pt>
                <c:pt idx="2">
                  <c:v>21</c:v>
                </c:pt>
                <c:pt idx="3">
                  <c:v>28</c:v>
                </c:pt>
              </c:numCache>
            </c:numRef>
          </c:xVal>
          <c:yVal>
            <c:numRef>
              <c:f>Campioni!$F$6:$F$9</c:f>
              <c:numCache>
                <c:formatCode>General</c:formatCode>
                <c:ptCount val="4"/>
                <c:pt idx="0">
                  <c:v>34.001892147587512</c:v>
                </c:pt>
                <c:pt idx="1">
                  <c:v>44.597918637653734</c:v>
                </c:pt>
                <c:pt idx="2">
                  <c:v>53.39640491958373</c:v>
                </c:pt>
                <c:pt idx="3">
                  <c:v>66.263008514664136</c:v>
                </c:pt>
              </c:numCache>
            </c:numRef>
          </c:yVal>
          <c:smooth val="0"/>
          <c:extLst>
            <c:ext xmlns:c16="http://schemas.microsoft.com/office/drawing/2014/chart" uri="{C3380CC4-5D6E-409C-BE32-E72D297353CC}">
              <c16:uniqueId val="{00000001-9184-DC49-AB47-5437CE277C99}"/>
            </c:ext>
          </c:extLst>
        </c:ser>
        <c:ser>
          <c:idx val="2"/>
          <c:order val="2"/>
          <c:tx>
            <c:v>TP-700</c:v>
          </c:tx>
          <c:spPr>
            <a:ln w="19050" cap="rnd">
              <a:solidFill>
                <a:srgbClr val="00B050"/>
              </a:solidFill>
              <a:prstDash val="sysDash"/>
              <a:round/>
            </a:ln>
            <a:effectLst/>
          </c:spPr>
          <c:marker>
            <c:symbol val="circle"/>
            <c:size val="5"/>
            <c:spPr>
              <a:solidFill>
                <a:srgbClr val="00B050"/>
              </a:solidFill>
              <a:ln w="9525">
                <a:solidFill>
                  <a:srgbClr val="00B050"/>
                </a:solidFill>
              </a:ln>
              <a:effectLst/>
            </c:spPr>
          </c:marker>
          <c:xVal>
            <c:numRef>
              <c:f>Campioni!$B$10:$B$13</c:f>
              <c:numCache>
                <c:formatCode>General</c:formatCode>
                <c:ptCount val="4"/>
                <c:pt idx="0">
                  <c:v>7</c:v>
                </c:pt>
                <c:pt idx="1">
                  <c:v>14</c:v>
                </c:pt>
                <c:pt idx="2">
                  <c:v>21</c:v>
                </c:pt>
                <c:pt idx="3">
                  <c:v>28</c:v>
                </c:pt>
              </c:numCache>
            </c:numRef>
          </c:xVal>
          <c:yVal>
            <c:numRef>
              <c:f>Campioni!$F$10:$F$13</c:f>
              <c:numCache>
                <c:formatCode>General</c:formatCode>
                <c:ptCount val="4"/>
                <c:pt idx="0">
                  <c:v>20.709555345316932</c:v>
                </c:pt>
                <c:pt idx="1">
                  <c:v>27.994323557237465</c:v>
                </c:pt>
                <c:pt idx="2">
                  <c:v>37.833491012298957</c:v>
                </c:pt>
                <c:pt idx="3">
                  <c:v>45.260170293282876</c:v>
                </c:pt>
              </c:numCache>
            </c:numRef>
          </c:yVal>
          <c:smooth val="0"/>
          <c:extLst>
            <c:ext xmlns:c16="http://schemas.microsoft.com/office/drawing/2014/chart" uri="{C3380CC4-5D6E-409C-BE32-E72D297353CC}">
              <c16:uniqueId val="{00000002-9184-DC49-AB47-5437CE277C99}"/>
            </c:ext>
          </c:extLst>
        </c:ser>
        <c:ser>
          <c:idx val="3"/>
          <c:order val="3"/>
          <c:tx>
            <c:v>TP-900</c:v>
          </c:tx>
          <c:spPr>
            <a:ln w="19050" cap="rnd">
              <a:solidFill>
                <a:schemeClr val="accent3">
                  <a:lumMod val="50000"/>
                </a:schemeClr>
              </a:solidFill>
              <a:prstDash val="sysDash"/>
              <a:round/>
            </a:ln>
            <a:effectLst/>
          </c:spPr>
          <c:marker>
            <c:symbol val="circle"/>
            <c:size val="5"/>
            <c:spPr>
              <a:solidFill>
                <a:schemeClr val="accent3">
                  <a:lumMod val="50000"/>
                </a:schemeClr>
              </a:solidFill>
              <a:ln w="9525">
                <a:solidFill>
                  <a:schemeClr val="accent3">
                    <a:lumMod val="50000"/>
                  </a:schemeClr>
                </a:solidFill>
              </a:ln>
              <a:effectLst/>
            </c:spPr>
          </c:marker>
          <c:xVal>
            <c:numRef>
              <c:f>Campioni!$B$14:$B$17</c:f>
              <c:numCache>
                <c:formatCode>General</c:formatCode>
                <c:ptCount val="4"/>
                <c:pt idx="0">
                  <c:v>7</c:v>
                </c:pt>
                <c:pt idx="1">
                  <c:v>14</c:v>
                </c:pt>
                <c:pt idx="2">
                  <c:v>21</c:v>
                </c:pt>
                <c:pt idx="3">
                  <c:v>28</c:v>
                </c:pt>
              </c:numCache>
            </c:numRef>
          </c:xVal>
          <c:yVal>
            <c:numRef>
              <c:f>Campioni!$F$14:$F$17</c:f>
              <c:numCache>
                <c:formatCode>General</c:formatCode>
                <c:ptCount val="4"/>
                <c:pt idx="0">
                  <c:v>4.5789971617786183</c:v>
                </c:pt>
                <c:pt idx="1">
                  <c:v>4.6263008514664143</c:v>
                </c:pt>
                <c:pt idx="2">
                  <c:v>23.500473036896878</c:v>
                </c:pt>
                <c:pt idx="3">
                  <c:v>12.904446546830652</c:v>
                </c:pt>
              </c:numCache>
            </c:numRef>
          </c:yVal>
          <c:smooth val="0"/>
          <c:extLst>
            <c:ext xmlns:c16="http://schemas.microsoft.com/office/drawing/2014/chart" uri="{C3380CC4-5D6E-409C-BE32-E72D297353CC}">
              <c16:uniqueId val="{00000003-9184-DC49-AB47-5437CE277C99}"/>
            </c:ext>
          </c:extLst>
        </c:ser>
        <c:dLbls>
          <c:showLegendKey val="0"/>
          <c:showVal val="0"/>
          <c:showCatName val="0"/>
          <c:showSerName val="0"/>
          <c:showPercent val="0"/>
          <c:showBubbleSize val="0"/>
        </c:dLbls>
        <c:axId val="1696458511"/>
        <c:axId val="1696460223"/>
      </c:scatterChart>
      <c:valAx>
        <c:axId val="1696458511"/>
        <c:scaling>
          <c:orientation val="minMax"/>
          <c:max val="28"/>
          <c:min val="7"/>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it-IT">
                    <a:solidFill>
                      <a:schemeClr val="tx1"/>
                    </a:solidFill>
                  </a:rPr>
                  <a:t>∆t</a:t>
                </a:r>
                <a:r>
                  <a:rPr lang="it-IT" baseline="0">
                    <a:solidFill>
                      <a:schemeClr val="tx1"/>
                    </a:solidFill>
                  </a:rPr>
                  <a:t> (days)</a:t>
                </a:r>
                <a:endParaRPr lang="it-IT">
                  <a:solidFill>
                    <a:schemeClr val="tx1"/>
                  </a:solidFill>
                </a:endParaRPr>
              </a:p>
            </c:rich>
          </c:tx>
          <c:overlay val="0"/>
          <c:spPr>
            <a:solidFill>
              <a:schemeClr val="bg1"/>
            </a:solid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t-IT"/>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t-IT"/>
          </a:p>
        </c:txPr>
        <c:crossAx val="1696460223"/>
        <c:crosses val="autoZero"/>
        <c:crossBetween val="midCat"/>
      </c:valAx>
      <c:valAx>
        <c:axId val="169646022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it-IT" baseline="0">
                    <a:solidFill>
                      <a:schemeClr val="tx1"/>
                    </a:solidFill>
                  </a:rPr>
                  <a:t>P (mg/L)</a:t>
                </a:r>
                <a:endParaRPr lang="it-IT">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t-IT"/>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t-IT"/>
          </a:p>
        </c:txPr>
        <c:crossAx val="1696458511"/>
        <c:crosses val="autoZero"/>
        <c:crossBetween val="midCat"/>
      </c:valAx>
      <c:spPr>
        <a:noFill/>
        <a:ln>
          <a:noFill/>
        </a:ln>
        <a:effectLst/>
      </c:spPr>
    </c:plotArea>
    <c:legend>
      <c:legendPos val="r"/>
      <c:layout>
        <c:manualLayout>
          <c:xMode val="edge"/>
          <c:yMode val="edge"/>
          <c:x val="0.16688848369009718"/>
          <c:y val="1.1862692016150238E-2"/>
          <c:w val="0.31807818512633801"/>
          <c:h val="0.281870834593088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t-I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974812469028597E-2"/>
          <c:y val="1.2071471835251363E-2"/>
          <c:w val="0.88398968053199567"/>
          <c:h val="0.80172142625213072"/>
        </c:manualLayout>
      </c:layout>
      <c:scatterChart>
        <c:scatterStyle val="lineMarker"/>
        <c:varyColors val="0"/>
        <c:ser>
          <c:idx val="0"/>
          <c:order val="0"/>
          <c:tx>
            <c:v>Blank</c:v>
          </c:tx>
          <c:spPr>
            <a:ln w="19050" cap="rnd">
              <a:solidFill>
                <a:schemeClr val="tx1"/>
              </a:solidFill>
              <a:prstDash val="sysDash"/>
              <a:round/>
            </a:ln>
            <a:effectLst/>
          </c:spPr>
          <c:marker>
            <c:symbol val="circle"/>
            <c:size val="5"/>
            <c:spPr>
              <a:solidFill>
                <a:schemeClr val="tx1"/>
              </a:solidFill>
              <a:ln w="9525">
                <a:solidFill>
                  <a:schemeClr val="tx1"/>
                </a:solidFill>
              </a:ln>
              <a:effectLst/>
            </c:spPr>
          </c:marker>
          <c:xVal>
            <c:numRef>
              <c:f>(Foglio1!$T$1,Foglio1!$U$1,Foglio1!$V$1,Foglio1!$X$1,Foglio1!$Z$1,Foglio1!$AA$1,Foglio1!$AC$1,Foglio1!$AD$1,Foglio1!$AG$1)</c:f>
              <c:numCache>
                <c:formatCode>General</c:formatCode>
                <c:ptCount val="9"/>
                <c:pt idx="0">
                  <c:v>0</c:v>
                </c:pt>
                <c:pt idx="1">
                  <c:v>1</c:v>
                </c:pt>
                <c:pt idx="2">
                  <c:v>3</c:v>
                </c:pt>
                <c:pt idx="3">
                  <c:v>7</c:v>
                </c:pt>
                <c:pt idx="4">
                  <c:v>13</c:v>
                </c:pt>
                <c:pt idx="5">
                  <c:v>16</c:v>
                </c:pt>
                <c:pt idx="6">
                  <c:v>21</c:v>
                </c:pt>
                <c:pt idx="7">
                  <c:v>23</c:v>
                </c:pt>
                <c:pt idx="8">
                  <c:v>28</c:v>
                </c:pt>
              </c:numCache>
            </c:numRef>
          </c:xVal>
          <c:yVal>
            <c:numRef>
              <c:f>(Foglio1!$T$7,Foglio1!$U$7,Foglio1!$V$7,Foglio1!$X$7,Foglio1!$Z$7,Foglio1!$AA$7,Foglio1!$AC$7,Foglio1!$AD$7,Foglio1!$AG$7)</c:f>
              <c:numCache>
                <c:formatCode>General</c:formatCode>
                <c:ptCount val="9"/>
                <c:pt idx="0">
                  <c:v>0</c:v>
                </c:pt>
                <c:pt idx="1">
                  <c:v>0.76628352490421447</c:v>
                </c:pt>
                <c:pt idx="2">
                  <c:v>1.3409961685823752</c:v>
                </c:pt>
                <c:pt idx="3">
                  <c:v>1.7624521072796933</c:v>
                </c:pt>
                <c:pt idx="4">
                  <c:v>2.6436781609195394</c:v>
                </c:pt>
                <c:pt idx="5">
                  <c:v>3.1800766283524897</c:v>
                </c:pt>
                <c:pt idx="6">
                  <c:v>3.2183908045977003</c:v>
                </c:pt>
                <c:pt idx="7">
                  <c:v>3.5249042145593856</c:v>
                </c:pt>
                <c:pt idx="8">
                  <c:v>4.2911877394636004</c:v>
                </c:pt>
              </c:numCache>
            </c:numRef>
          </c:yVal>
          <c:smooth val="0"/>
          <c:extLst>
            <c:ext xmlns:c16="http://schemas.microsoft.com/office/drawing/2014/chart" uri="{C3380CC4-5D6E-409C-BE32-E72D297353CC}">
              <c16:uniqueId val="{00000000-54F6-D94A-AC6B-DCA518266FBD}"/>
            </c:ext>
          </c:extLst>
        </c:ser>
        <c:ser>
          <c:idx val="1"/>
          <c:order val="1"/>
          <c:tx>
            <c:v>SCG-500</c:v>
          </c:tx>
          <c:spPr>
            <a:ln w="19050" cap="rnd">
              <a:solidFill>
                <a:schemeClr val="accent2"/>
              </a:solidFill>
              <a:prstDash val="sysDash"/>
              <a:round/>
            </a:ln>
            <a:effectLst/>
          </c:spPr>
          <c:marker>
            <c:symbol val="circle"/>
            <c:size val="5"/>
            <c:spPr>
              <a:solidFill>
                <a:schemeClr val="accent2"/>
              </a:solidFill>
              <a:ln w="9525">
                <a:solidFill>
                  <a:schemeClr val="accent2"/>
                </a:solidFill>
              </a:ln>
              <a:effectLst/>
            </c:spPr>
          </c:marker>
          <c:xVal>
            <c:numRef>
              <c:f>('V test 1'!$B$1,'V test 1'!$C$1,'V test 1'!$D$1,'V test 1'!$F$1,'V test 1'!$H$1,'V test 1'!$I$1,'V test 1'!$K$1,'V test 1'!$L$1,'V test 1'!$O$1)</c:f>
              <c:numCache>
                <c:formatCode>General</c:formatCode>
                <c:ptCount val="9"/>
                <c:pt idx="0">
                  <c:v>0</c:v>
                </c:pt>
                <c:pt idx="1">
                  <c:v>1</c:v>
                </c:pt>
                <c:pt idx="2">
                  <c:v>3</c:v>
                </c:pt>
                <c:pt idx="3">
                  <c:v>7</c:v>
                </c:pt>
                <c:pt idx="4">
                  <c:v>13</c:v>
                </c:pt>
                <c:pt idx="5">
                  <c:v>16</c:v>
                </c:pt>
                <c:pt idx="6">
                  <c:v>21</c:v>
                </c:pt>
                <c:pt idx="7">
                  <c:v>23</c:v>
                </c:pt>
                <c:pt idx="8">
                  <c:v>28</c:v>
                </c:pt>
              </c:numCache>
            </c:numRef>
          </c:xVal>
          <c:yVal>
            <c:numRef>
              <c:f>(Foglio1!$T$8,Foglio1!$U$8,Foglio1!$V$8,Foglio1!$X$8,Foglio1!$Z$8,Foglio1!$AA$8,Foglio1!$AC$8,Foglio1!$AD$8,Foglio1!$AG$8)</c:f>
              <c:numCache>
                <c:formatCode>General</c:formatCode>
                <c:ptCount val="9"/>
                <c:pt idx="0">
                  <c:v>0</c:v>
                </c:pt>
                <c:pt idx="1">
                  <c:v>0.76628352490421447</c:v>
                </c:pt>
                <c:pt idx="2">
                  <c:v>1.3026819923371646</c:v>
                </c:pt>
                <c:pt idx="3">
                  <c:v>1.9540229885057467</c:v>
                </c:pt>
                <c:pt idx="4">
                  <c:v>2.2988505747126435</c:v>
                </c:pt>
                <c:pt idx="5">
                  <c:v>2.911877394636015</c:v>
                </c:pt>
                <c:pt idx="6">
                  <c:v>3.3333333333333326</c:v>
                </c:pt>
                <c:pt idx="7">
                  <c:v>3.71647509578544</c:v>
                </c:pt>
                <c:pt idx="8">
                  <c:v>4.2911877394636004</c:v>
                </c:pt>
              </c:numCache>
            </c:numRef>
          </c:yVal>
          <c:smooth val="0"/>
          <c:extLst>
            <c:ext xmlns:c16="http://schemas.microsoft.com/office/drawing/2014/chart" uri="{C3380CC4-5D6E-409C-BE32-E72D297353CC}">
              <c16:uniqueId val="{00000001-54F6-D94A-AC6B-DCA518266FBD}"/>
            </c:ext>
          </c:extLst>
        </c:ser>
        <c:ser>
          <c:idx val="2"/>
          <c:order val="2"/>
          <c:tx>
            <c:v>TP-500</c:v>
          </c:tx>
          <c:spPr>
            <a:ln w="19050" cap="rnd">
              <a:solidFill>
                <a:srgbClr val="92D050"/>
              </a:solidFill>
              <a:prstDash val="sysDash"/>
              <a:round/>
            </a:ln>
            <a:effectLst/>
          </c:spPr>
          <c:marker>
            <c:symbol val="circle"/>
            <c:size val="5"/>
            <c:spPr>
              <a:solidFill>
                <a:srgbClr val="92D050"/>
              </a:solidFill>
              <a:ln w="9525">
                <a:solidFill>
                  <a:srgbClr val="92D050"/>
                </a:solidFill>
              </a:ln>
              <a:effectLst/>
            </c:spPr>
          </c:marker>
          <c:xVal>
            <c:numRef>
              <c:f>(Foglio1!$T$1,Foglio1!$U$1,Foglio1!$W$1,Foglio1!$X$1,Foglio1!$Y$1,Foglio1!$Z$1,Foglio1!$AA$1,Foglio1!$AB$1,Foglio1!$AC$1,Foglio1!$AE$1,Foglio1!$AF$1,Foglio1!$AG$1)</c:f>
              <c:numCache>
                <c:formatCode>General</c:formatCode>
                <c:ptCount val="12"/>
                <c:pt idx="0">
                  <c:v>0</c:v>
                </c:pt>
                <c:pt idx="1">
                  <c:v>1</c:v>
                </c:pt>
                <c:pt idx="2">
                  <c:v>4</c:v>
                </c:pt>
                <c:pt idx="3">
                  <c:v>7</c:v>
                </c:pt>
                <c:pt idx="4">
                  <c:v>11</c:v>
                </c:pt>
                <c:pt idx="5">
                  <c:v>13</c:v>
                </c:pt>
                <c:pt idx="6">
                  <c:v>16</c:v>
                </c:pt>
                <c:pt idx="7">
                  <c:v>19</c:v>
                </c:pt>
                <c:pt idx="8">
                  <c:v>21</c:v>
                </c:pt>
                <c:pt idx="9">
                  <c:v>25</c:v>
                </c:pt>
                <c:pt idx="10">
                  <c:v>27</c:v>
                </c:pt>
                <c:pt idx="11">
                  <c:v>28</c:v>
                </c:pt>
              </c:numCache>
            </c:numRef>
          </c:xVal>
          <c:yVal>
            <c:numRef>
              <c:f>(Foglio1!$T$9,Foglio1!$U$9,Foglio1!$W$9,Foglio1!$X$9,Foglio1!$Y$9,Foglio1!$Z$9,Foglio1!$AA$9,Foglio1!$AB$9,Foglio1!$AC$9,Foglio1!$AE$9,Foglio1!$AF$9,Foglio1!$AG$9)</c:f>
              <c:numCache>
                <c:formatCode>General</c:formatCode>
                <c:ptCount val="12"/>
                <c:pt idx="0">
                  <c:v>0</c:v>
                </c:pt>
                <c:pt idx="1">
                  <c:v>0.61299999999999999</c:v>
                </c:pt>
                <c:pt idx="2">
                  <c:v>1.4176245210727965</c:v>
                </c:pt>
                <c:pt idx="3">
                  <c:v>1.8390804597701143</c:v>
                </c:pt>
                <c:pt idx="4">
                  <c:v>2.7203065134099607</c:v>
                </c:pt>
                <c:pt idx="5">
                  <c:v>2.7586206896551713</c:v>
                </c:pt>
                <c:pt idx="6">
                  <c:v>3.8697318007662824</c:v>
                </c:pt>
                <c:pt idx="7">
                  <c:v>4.2145593869731792</c:v>
                </c:pt>
                <c:pt idx="8">
                  <c:v>4.5210727969348641</c:v>
                </c:pt>
                <c:pt idx="9">
                  <c:v>5.3639846743295001</c:v>
                </c:pt>
                <c:pt idx="10">
                  <c:v>5.5938697318007646</c:v>
                </c:pt>
                <c:pt idx="11">
                  <c:v>5.6</c:v>
                </c:pt>
              </c:numCache>
            </c:numRef>
          </c:yVal>
          <c:smooth val="0"/>
          <c:extLst>
            <c:ext xmlns:c16="http://schemas.microsoft.com/office/drawing/2014/chart" uri="{C3380CC4-5D6E-409C-BE32-E72D297353CC}">
              <c16:uniqueId val="{00000002-54F6-D94A-AC6B-DCA518266FBD}"/>
            </c:ext>
          </c:extLst>
        </c:ser>
        <c:ser>
          <c:idx val="3"/>
          <c:order val="3"/>
          <c:tx>
            <c:v>TP-700</c:v>
          </c:tx>
          <c:spPr>
            <a:ln w="19050" cap="rnd">
              <a:solidFill>
                <a:srgbClr val="00B050"/>
              </a:solidFill>
              <a:prstDash val="sysDash"/>
              <a:round/>
            </a:ln>
            <a:effectLst/>
          </c:spPr>
          <c:marker>
            <c:symbol val="circle"/>
            <c:size val="5"/>
            <c:spPr>
              <a:solidFill>
                <a:srgbClr val="00B050"/>
              </a:solidFill>
              <a:ln w="9525">
                <a:solidFill>
                  <a:srgbClr val="00B050"/>
                </a:solidFill>
              </a:ln>
              <a:effectLst/>
            </c:spPr>
          </c:marker>
          <c:xVal>
            <c:numRef>
              <c:f>(Foglio1!$T$1,Foglio1!$U$1,Foglio1!$V$1,Foglio1!$X$1,Foglio1!$Z$1,Foglio1!$AA$1,Foglio1!$AC$1,Foglio1!$AD$1,Foglio1!$AG$1)</c:f>
              <c:numCache>
                <c:formatCode>General</c:formatCode>
                <c:ptCount val="9"/>
                <c:pt idx="0">
                  <c:v>0</c:v>
                </c:pt>
                <c:pt idx="1">
                  <c:v>1</c:v>
                </c:pt>
                <c:pt idx="2">
                  <c:v>3</c:v>
                </c:pt>
                <c:pt idx="3">
                  <c:v>7</c:v>
                </c:pt>
                <c:pt idx="4">
                  <c:v>13</c:v>
                </c:pt>
                <c:pt idx="5">
                  <c:v>16</c:v>
                </c:pt>
                <c:pt idx="6">
                  <c:v>21</c:v>
                </c:pt>
                <c:pt idx="7">
                  <c:v>23</c:v>
                </c:pt>
                <c:pt idx="8">
                  <c:v>28</c:v>
                </c:pt>
              </c:numCache>
            </c:numRef>
          </c:xVal>
          <c:yVal>
            <c:numRef>
              <c:f>(Foglio1!$T$10,Foglio1!$U$10,Foglio1!$V$10,Foglio1!$X$10,Foglio1!$Z$10,Foglio1!$AA$10,Foglio1!$AC$10,Foglio1!$AD$10,Foglio1!$AG$10)</c:f>
              <c:numCache>
                <c:formatCode>General</c:formatCode>
                <c:ptCount val="9"/>
                <c:pt idx="0">
                  <c:v>0</c:v>
                </c:pt>
                <c:pt idx="1">
                  <c:v>0.6513409961685821</c:v>
                </c:pt>
                <c:pt idx="2">
                  <c:v>0.8812260536398463</c:v>
                </c:pt>
                <c:pt idx="3">
                  <c:v>1.0727969348658999</c:v>
                </c:pt>
                <c:pt idx="4">
                  <c:v>1.1494252873563211</c:v>
                </c:pt>
                <c:pt idx="5">
                  <c:v>1.6858237547892714</c:v>
                </c:pt>
                <c:pt idx="6">
                  <c:v>2.3371647509578533</c:v>
                </c:pt>
                <c:pt idx="7">
                  <c:v>2.8735632183908035</c:v>
                </c:pt>
                <c:pt idx="8">
                  <c:v>3.2567049808429109</c:v>
                </c:pt>
              </c:numCache>
            </c:numRef>
          </c:yVal>
          <c:smooth val="0"/>
          <c:extLst>
            <c:ext xmlns:c16="http://schemas.microsoft.com/office/drawing/2014/chart" uri="{C3380CC4-5D6E-409C-BE32-E72D297353CC}">
              <c16:uniqueId val="{00000003-54F6-D94A-AC6B-DCA518266FBD}"/>
            </c:ext>
          </c:extLst>
        </c:ser>
        <c:ser>
          <c:idx val="4"/>
          <c:order val="4"/>
          <c:tx>
            <c:v>TP-900</c:v>
          </c:tx>
          <c:spPr>
            <a:ln w="19050" cap="rnd">
              <a:solidFill>
                <a:schemeClr val="accent3">
                  <a:lumMod val="75000"/>
                </a:schemeClr>
              </a:solidFill>
              <a:prstDash val="sysDash"/>
              <a:round/>
            </a:ln>
            <a:effectLst/>
          </c:spPr>
          <c:marker>
            <c:symbol val="circle"/>
            <c:size val="5"/>
            <c:spPr>
              <a:solidFill>
                <a:schemeClr val="accent3">
                  <a:lumMod val="75000"/>
                </a:schemeClr>
              </a:solidFill>
              <a:ln w="9525">
                <a:solidFill>
                  <a:schemeClr val="accent3">
                    <a:lumMod val="75000"/>
                  </a:schemeClr>
                </a:solidFill>
              </a:ln>
              <a:effectLst/>
            </c:spPr>
          </c:marker>
          <c:xVal>
            <c:numRef>
              <c:f>(Foglio1!$T$1,Foglio1!$U$1,Foglio1!$V$1,Foglio1!$X$1,Foglio1!$Z$1,Foglio1!$AA$1,Foglio1!$AC$1,Foglio1!$AD$1,Foglio1!$AG$1)</c:f>
              <c:numCache>
                <c:formatCode>General</c:formatCode>
                <c:ptCount val="9"/>
                <c:pt idx="0">
                  <c:v>0</c:v>
                </c:pt>
                <c:pt idx="1">
                  <c:v>1</c:v>
                </c:pt>
                <c:pt idx="2">
                  <c:v>3</c:v>
                </c:pt>
                <c:pt idx="3">
                  <c:v>7</c:v>
                </c:pt>
                <c:pt idx="4">
                  <c:v>13</c:v>
                </c:pt>
                <c:pt idx="5">
                  <c:v>16</c:v>
                </c:pt>
                <c:pt idx="6">
                  <c:v>21</c:v>
                </c:pt>
                <c:pt idx="7">
                  <c:v>23</c:v>
                </c:pt>
                <c:pt idx="8">
                  <c:v>28</c:v>
                </c:pt>
              </c:numCache>
            </c:numRef>
          </c:xVal>
          <c:yVal>
            <c:numRef>
              <c:f>(Foglio1!$T$11,Foglio1!$U$11,Foglio1!$V$11,Foglio1!$X$11,Foglio1!$Z$11,Foglio1!$AA$11,Foglio1!$AC$11,Foglio1!$AD$11,Foglio1!$AG$11)</c:f>
              <c:numCache>
                <c:formatCode>General</c:formatCode>
                <c:ptCount val="9"/>
                <c:pt idx="0">
                  <c:v>0</c:v>
                </c:pt>
                <c:pt idx="1">
                  <c:v>0.61302681992337149</c:v>
                </c:pt>
                <c:pt idx="2">
                  <c:v>1.2643678160919536</c:v>
                </c:pt>
                <c:pt idx="3">
                  <c:v>1.8773946360153249</c:v>
                </c:pt>
                <c:pt idx="4">
                  <c:v>2.1455938697317998</c:v>
                </c:pt>
                <c:pt idx="5">
                  <c:v>3.026819923371646</c:v>
                </c:pt>
                <c:pt idx="6">
                  <c:v>3.7164750957854387</c:v>
                </c:pt>
                <c:pt idx="7">
                  <c:v>4.2528735632183885</c:v>
                </c:pt>
                <c:pt idx="8">
                  <c:v>4.5210727969348641</c:v>
                </c:pt>
              </c:numCache>
            </c:numRef>
          </c:yVal>
          <c:smooth val="0"/>
          <c:extLst>
            <c:ext xmlns:c16="http://schemas.microsoft.com/office/drawing/2014/chart" uri="{C3380CC4-5D6E-409C-BE32-E72D297353CC}">
              <c16:uniqueId val="{00000004-54F6-D94A-AC6B-DCA518266FBD}"/>
            </c:ext>
          </c:extLst>
        </c:ser>
        <c:ser>
          <c:idx val="5"/>
          <c:order val="5"/>
          <c:spPr>
            <a:ln w="6350" cap="rnd">
              <a:solidFill>
                <a:schemeClr val="tx1"/>
              </a:solidFill>
              <a:round/>
            </a:ln>
            <a:effectLst/>
          </c:spPr>
          <c:marker>
            <c:symbol val="none"/>
          </c:marker>
          <c:xVal>
            <c:numRef>
              <c:f>'V test 1'!$U$15:$U$16</c:f>
              <c:numCache>
                <c:formatCode>General</c:formatCode>
                <c:ptCount val="2"/>
                <c:pt idx="0">
                  <c:v>7</c:v>
                </c:pt>
                <c:pt idx="1">
                  <c:v>7</c:v>
                </c:pt>
              </c:numCache>
            </c:numRef>
          </c:xVal>
          <c:yVal>
            <c:numRef>
              <c:f>'V test 1'!$V$15:$V$16</c:f>
              <c:numCache>
                <c:formatCode>General</c:formatCode>
                <c:ptCount val="2"/>
                <c:pt idx="0">
                  <c:v>0</c:v>
                </c:pt>
                <c:pt idx="1">
                  <c:v>1000</c:v>
                </c:pt>
              </c:numCache>
            </c:numRef>
          </c:yVal>
          <c:smooth val="0"/>
          <c:extLst>
            <c:ext xmlns:c16="http://schemas.microsoft.com/office/drawing/2014/chart" uri="{C3380CC4-5D6E-409C-BE32-E72D297353CC}">
              <c16:uniqueId val="{00000005-54F6-D94A-AC6B-DCA518266FBD}"/>
            </c:ext>
          </c:extLst>
        </c:ser>
        <c:ser>
          <c:idx val="6"/>
          <c:order val="6"/>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dPt>
            <c:idx val="0"/>
            <c:marker>
              <c:symbol val="none"/>
            </c:marker>
            <c:bubble3D val="0"/>
            <c:extLst>
              <c:ext xmlns:c16="http://schemas.microsoft.com/office/drawing/2014/chart" uri="{C3380CC4-5D6E-409C-BE32-E72D297353CC}">
                <c16:uniqueId val="{00000006-54F6-D94A-AC6B-DCA518266FBD}"/>
              </c:ext>
            </c:extLst>
          </c:dPt>
          <c:dPt>
            <c:idx val="1"/>
            <c:marker>
              <c:symbol val="none"/>
            </c:marker>
            <c:bubble3D val="0"/>
            <c:spPr>
              <a:ln w="6350" cap="rnd">
                <a:solidFill>
                  <a:schemeClr val="tx1"/>
                </a:solidFill>
                <a:round/>
              </a:ln>
              <a:effectLst/>
            </c:spPr>
            <c:extLst>
              <c:ext xmlns:c16="http://schemas.microsoft.com/office/drawing/2014/chart" uri="{C3380CC4-5D6E-409C-BE32-E72D297353CC}">
                <c16:uniqueId val="{00000008-54F6-D94A-AC6B-DCA518266FBD}"/>
              </c:ext>
            </c:extLst>
          </c:dPt>
          <c:xVal>
            <c:numRef>
              <c:f>'V test 1'!$U$17:$U$18</c:f>
              <c:numCache>
                <c:formatCode>General</c:formatCode>
                <c:ptCount val="2"/>
                <c:pt idx="0">
                  <c:v>14</c:v>
                </c:pt>
                <c:pt idx="1">
                  <c:v>14</c:v>
                </c:pt>
              </c:numCache>
            </c:numRef>
          </c:xVal>
          <c:yVal>
            <c:numRef>
              <c:f>'V test 1'!$V$17:$V$18</c:f>
              <c:numCache>
                <c:formatCode>General</c:formatCode>
                <c:ptCount val="2"/>
                <c:pt idx="0">
                  <c:v>0</c:v>
                </c:pt>
                <c:pt idx="1">
                  <c:v>1000</c:v>
                </c:pt>
              </c:numCache>
            </c:numRef>
          </c:yVal>
          <c:smooth val="0"/>
          <c:extLst>
            <c:ext xmlns:c16="http://schemas.microsoft.com/office/drawing/2014/chart" uri="{C3380CC4-5D6E-409C-BE32-E72D297353CC}">
              <c16:uniqueId val="{00000009-54F6-D94A-AC6B-DCA518266FBD}"/>
            </c:ext>
          </c:extLst>
        </c:ser>
        <c:ser>
          <c:idx val="7"/>
          <c:order val="7"/>
          <c:spPr>
            <a:ln w="6350" cap="rnd">
              <a:solidFill>
                <a:schemeClr val="tx1"/>
              </a:solidFill>
              <a:round/>
            </a:ln>
            <a:effectLst/>
          </c:spPr>
          <c:marker>
            <c:symbol val="none"/>
          </c:marker>
          <c:xVal>
            <c:numRef>
              <c:f>'V test 1'!$U$19:$U$20</c:f>
              <c:numCache>
                <c:formatCode>General</c:formatCode>
                <c:ptCount val="2"/>
                <c:pt idx="0">
                  <c:v>21</c:v>
                </c:pt>
                <c:pt idx="1">
                  <c:v>21</c:v>
                </c:pt>
              </c:numCache>
            </c:numRef>
          </c:xVal>
          <c:yVal>
            <c:numRef>
              <c:f>'V test 1'!$V$19:$V$20</c:f>
              <c:numCache>
                <c:formatCode>General</c:formatCode>
                <c:ptCount val="2"/>
                <c:pt idx="0">
                  <c:v>0</c:v>
                </c:pt>
                <c:pt idx="1">
                  <c:v>1000</c:v>
                </c:pt>
              </c:numCache>
            </c:numRef>
          </c:yVal>
          <c:smooth val="0"/>
          <c:extLst>
            <c:ext xmlns:c16="http://schemas.microsoft.com/office/drawing/2014/chart" uri="{C3380CC4-5D6E-409C-BE32-E72D297353CC}">
              <c16:uniqueId val="{0000000A-54F6-D94A-AC6B-DCA518266FBD}"/>
            </c:ext>
          </c:extLst>
        </c:ser>
        <c:ser>
          <c:idx val="8"/>
          <c:order val="8"/>
          <c:spPr>
            <a:ln w="6350" cap="rnd">
              <a:solidFill>
                <a:schemeClr val="accent3">
                  <a:lumMod val="60000"/>
                </a:schemeClr>
              </a:solidFill>
              <a:round/>
            </a:ln>
            <a:effectLst/>
          </c:spPr>
          <c:marker>
            <c:symbol val="none"/>
          </c:marker>
          <c:xVal>
            <c:numRef>
              <c:f>'V test 1'!$U$21:$U$22</c:f>
              <c:numCache>
                <c:formatCode>General</c:formatCode>
                <c:ptCount val="2"/>
                <c:pt idx="0">
                  <c:v>28</c:v>
                </c:pt>
                <c:pt idx="1">
                  <c:v>28</c:v>
                </c:pt>
              </c:numCache>
            </c:numRef>
          </c:xVal>
          <c:yVal>
            <c:numRef>
              <c:f>'V test 1'!$V$21:$V$22</c:f>
              <c:numCache>
                <c:formatCode>General</c:formatCode>
                <c:ptCount val="2"/>
                <c:pt idx="0">
                  <c:v>0</c:v>
                </c:pt>
                <c:pt idx="1">
                  <c:v>1000</c:v>
                </c:pt>
              </c:numCache>
            </c:numRef>
          </c:yVal>
          <c:smooth val="0"/>
          <c:extLst>
            <c:ext xmlns:c16="http://schemas.microsoft.com/office/drawing/2014/chart" uri="{C3380CC4-5D6E-409C-BE32-E72D297353CC}">
              <c16:uniqueId val="{0000000B-54F6-D94A-AC6B-DCA518266FBD}"/>
            </c:ext>
          </c:extLst>
        </c:ser>
        <c:dLbls>
          <c:showLegendKey val="0"/>
          <c:showVal val="0"/>
          <c:showCatName val="0"/>
          <c:showSerName val="0"/>
          <c:showPercent val="0"/>
          <c:showBubbleSize val="0"/>
        </c:dLbls>
        <c:axId val="826676511"/>
        <c:axId val="826679903"/>
      </c:scatterChart>
      <c:valAx>
        <c:axId val="826676511"/>
        <c:scaling>
          <c:orientation val="minMax"/>
          <c:max val="28"/>
          <c:min val="0"/>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it-IT">
                    <a:solidFill>
                      <a:schemeClr val="tx1"/>
                    </a:solidFill>
                  </a:rPr>
                  <a:t>Time (days)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t-IT"/>
            </a:p>
          </c:txPr>
        </c:title>
        <c:numFmt formatCode="General" sourceLinked="1"/>
        <c:majorTickMark val="cross"/>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t-IT"/>
          </a:p>
        </c:txPr>
        <c:crossAx val="826679903"/>
        <c:crosses val="autoZero"/>
        <c:crossBetween val="midCat"/>
      </c:valAx>
      <c:valAx>
        <c:axId val="826679903"/>
        <c:scaling>
          <c:orientation val="minMax"/>
          <c:max val="6"/>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it-IT" sz="1000" b="0" i="0" u="none" strike="noStrike" baseline="0"/>
                  <a:t>Biogas production </a:t>
                </a:r>
                <a:br>
                  <a:rPr lang="it-IT" sz="1000" b="0" i="0" u="none" strike="noStrike" baseline="0"/>
                </a:br>
                <a:r>
                  <a:rPr lang="it-IT" sz="1000" b="0" i="0" u="none" strike="noStrike" baseline="0"/>
                  <a:t>(L biogas L⁻¹ digestate)</a:t>
                </a:r>
                <a:endParaRPr lang="it-IT" sz="1000">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t-IT"/>
            </a:p>
          </c:txPr>
        </c:title>
        <c:numFmt formatCode="General" sourceLinked="1"/>
        <c:majorTickMark val="cross"/>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t-IT"/>
          </a:p>
        </c:txPr>
        <c:crossAx val="826676511"/>
        <c:crosses val="autoZero"/>
        <c:crossBetween val="midCat"/>
      </c:valAx>
      <c:spPr>
        <a:noFill/>
        <a:ln>
          <a:noFill/>
        </a:ln>
        <a:effectLst/>
      </c:spPr>
    </c:plotArea>
    <c:legend>
      <c:legendPos val="b"/>
      <c:legendEntry>
        <c:idx val="5"/>
        <c:delete val="1"/>
      </c:legendEntry>
      <c:legendEntry>
        <c:idx val="6"/>
        <c:delete val="1"/>
      </c:legendEntry>
      <c:legendEntry>
        <c:idx val="7"/>
        <c:delete val="1"/>
      </c:legendEntry>
      <c:legendEntry>
        <c:idx val="8"/>
        <c:delete val="1"/>
      </c:legendEntry>
      <c:layout>
        <c:manualLayout>
          <c:xMode val="edge"/>
          <c:yMode val="edge"/>
          <c:x val="9.6631297666828861E-2"/>
          <c:y val="3.5276611944733326E-2"/>
          <c:w val="0.15293763424672632"/>
          <c:h val="0.394413101712801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t-I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solidFill>
                <a:latin typeface="+mn-lt"/>
                <a:ea typeface="+mn-ea"/>
                <a:cs typeface="+mn-cs"/>
              </a:defRPr>
            </a:pPr>
            <a:r>
              <a:rPr lang="it-IT" sz="1600">
                <a:solidFill>
                  <a:schemeClr val="tx1"/>
                </a:solidFill>
              </a:rPr>
              <a:t>a</a:t>
            </a:r>
          </a:p>
        </c:rich>
      </c:tx>
      <c:layout>
        <c:manualLayout>
          <c:xMode val="edge"/>
          <c:yMode val="edge"/>
          <c:x val="2.5924073026783088E-3"/>
          <c:y val="5.9987381203652091E-3"/>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solidFill>
              <a:latin typeface="+mn-lt"/>
              <a:ea typeface="+mn-ea"/>
              <a:cs typeface="+mn-cs"/>
            </a:defRPr>
          </a:pPr>
          <a:endParaRPr lang="it-IT"/>
        </a:p>
      </c:txPr>
    </c:title>
    <c:autoTitleDeleted val="0"/>
    <c:plotArea>
      <c:layout>
        <c:manualLayout>
          <c:layoutTarget val="inner"/>
          <c:xMode val="edge"/>
          <c:yMode val="edge"/>
          <c:x val="0.17739011905279795"/>
          <c:y val="3.0044538913865788E-2"/>
          <c:w val="0.77399109641681529"/>
          <c:h val="0.79880735517639401"/>
        </c:manualLayout>
      </c:layout>
      <c:scatterChart>
        <c:scatterStyle val="lineMarker"/>
        <c:varyColors val="0"/>
        <c:ser>
          <c:idx val="0"/>
          <c:order val="0"/>
          <c:tx>
            <c:v>Blank</c:v>
          </c:tx>
          <c:spPr>
            <a:ln w="19050" cap="rnd">
              <a:solidFill>
                <a:schemeClr val="tx1"/>
              </a:solidFill>
              <a:prstDash val="sysDash"/>
              <a:round/>
            </a:ln>
            <a:effectLst/>
          </c:spPr>
          <c:marker>
            <c:symbol val="circle"/>
            <c:size val="5"/>
            <c:spPr>
              <a:solidFill>
                <a:schemeClr val="tx1"/>
              </a:solidFill>
              <a:ln w="9525">
                <a:solidFill>
                  <a:schemeClr val="tx1"/>
                </a:solidFill>
              </a:ln>
              <a:effectLst/>
            </c:spPr>
          </c:marker>
          <c:xVal>
            <c:numRef>
              <c:f>('Grafici metano'!$B$2,'Grafici metano'!$C$2,'Grafici metano'!$E$2,'Grafici metano'!$G$2,'Grafici metano'!$I$2,'Grafici metano'!$J$2,'Grafici metano'!$L$2,'Grafici metano'!$M$2)</c:f>
              <c:numCache>
                <c:formatCode>General</c:formatCode>
                <c:ptCount val="8"/>
                <c:pt idx="0">
                  <c:v>0</c:v>
                </c:pt>
                <c:pt idx="1">
                  <c:v>1</c:v>
                </c:pt>
                <c:pt idx="2">
                  <c:v>3</c:v>
                </c:pt>
                <c:pt idx="3">
                  <c:v>7</c:v>
                </c:pt>
                <c:pt idx="4">
                  <c:v>13</c:v>
                </c:pt>
                <c:pt idx="5">
                  <c:v>16</c:v>
                </c:pt>
                <c:pt idx="6">
                  <c:v>21</c:v>
                </c:pt>
                <c:pt idx="7">
                  <c:v>28</c:v>
                </c:pt>
              </c:numCache>
            </c:numRef>
          </c:xVal>
          <c:yVal>
            <c:numRef>
              <c:f>('Grafici metano'!$B$3,'Grafici metano'!$B$3,'Grafici metano'!$C$3,'Grafici metano'!$E$3,'Grafici metano'!$G$3,'Grafici metano'!$I$3,'Grafici metano'!$J$3,'Grafici metano'!$L$3,'Grafici metano'!$M$3)</c:f>
              <c:numCache>
                <c:formatCode>General</c:formatCode>
                <c:ptCount val="9"/>
                <c:pt idx="0">
                  <c:v>0</c:v>
                </c:pt>
                <c:pt idx="1">
                  <c:v>0</c:v>
                </c:pt>
                <c:pt idx="2">
                  <c:v>48.248733567459482</c:v>
                </c:pt>
                <c:pt idx="3">
                  <c:v>76.856184938595675</c:v>
                </c:pt>
                <c:pt idx="4">
                  <c:v>76.9611812013612</c:v>
                </c:pt>
                <c:pt idx="5">
                  <c:v>79.204729284318745</c:v>
                </c:pt>
                <c:pt idx="6">
                  <c:v>76.110993417297266</c:v>
                </c:pt>
                <c:pt idx="7">
                  <c:v>70.306006912677248</c:v>
                </c:pt>
                <c:pt idx="8">
                  <c:v>69.319999999999993</c:v>
                </c:pt>
              </c:numCache>
            </c:numRef>
          </c:yVal>
          <c:smooth val="0"/>
          <c:extLst>
            <c:ext xmlns:c16="http://schemas.microsoft.com/office/drawing/2014/chart" uri="{C3380CC4-5D6E-409C-BE32-E72D297353CC}">
              <c16:uniqueId val="{00000000-3294-5A47-A92D-A83348594F6F}"/>
            </c:ext>
          </c:extLst>
        </c:ser>
        <c:ser>
          <c:idx val="1"/>
          <c:order val="1"/>
          <c:tx>
            <c:v>SCG-500</c:v>
          </c:tx>
          <c:spPr>
            <a:ln w="19050" cap="rnd">
              <a:solidFill>
                <a:schemeClr val="accent2"/>
              </a:solidFill>
              <a:prstDash val="sysDash"/>
              <a:round/>
            </a:ln>
            <a:effectLst/>
          </c:spPr>
          <c:marker>
            <c:symbol val="circle"/>
            <c:size val="5"/>
            <c:spPr>
              <a:solidFill>
                <a:schemeClr val="accent2"/>
              </a:solidFill>
              <a:ln w="9525">
                <a:solidFill>
                  <a:schemeClr val="accent2"/>
                </a:solidFill>
              </a:ln>
              <a:effectLst/>
            </c:spPr>
          </c:marker>
          <c:xVal>
            <c:numRef>
              <c:f>('Grafici metano'!$B$2,'Grafici metano'!$B$2,'Grafici metano'!$C$2,'Grafici metano'!$G$2,'Grafici metano'!$I$2,'Grafici metano'!$J$2,'Grafici metano'!$M$2)</c:f>
              <c:numCache>
                <c:formatCode>General</c:formatCode>
                <c:ptCount val="7"/>
                <c:pt idx="0">
                  <c:v>0</c:v>
                </c:pt>
                <c:pt idx="1">
                  <c:v>0</c:v>
                </c:pt>
                <c:pt idx="2">
                  <c:v>1</c:v>
                </c:pt>
                <c:pt idx="3">
                  <c:v>7</c:v>
                </c:pt>
                <c:pt idx="4">
                  <c:v>13</c:v>
                </c:pt>
                <c:pt idx="5">
                  <c:v>16</c:v>
                </c:pt>
                <c:pt idx="6">
                  <c:v>28</c:v>
                </c:pt>
              </c:numCache>
            </c:numRef>
          </c:xVal>
          <c:yVal>
            <c:numRef>
              <c:f>('Grafici metano'!$B$4,'Grafici metano'!$B$4,'Grafici metano'!$C$4,'Grafici metano'!$G$4,'Grafici metano'!$I$4,'Grafici metano'!$J$4,'Grafici metano'!$M$4)</c:f>
              <c:numCache>
                <c:formatCode>General</c:formatCode>
                <c:ptCount val="7"/>
                <c:pt idx="0">
                  <c:v>0</c:v>
                </c:pt>
                <c:pt idx="1">
                  <c:v>0</c:v>
                </c:pt>
                <c:pt idx="2">
                  <c:v>49.374584090801854</c:v>
                </c:pt>
                <c:pt idx="3">
                  <c:v>74.942983280727191</c:v>
                </c:pt>
                <c:pt idx="4">
                  <c:v>75.584458851130847</c:v>
                </c:pt>
                <c:pt idx="5">
                  <c:v>71.649990368986977</c:v>
                </c:pt>
                <c:pt idx="6">
                  <c:v>72.45</c:v>
                </c:pt>
              </c:numCache>
            </c:numRef>
          </c:yVal>
          <c:smooth val="0"/>
          <c:extLst>
            <c:ext xmlns:c16="http://schemas.microsoft.com/office/drawing/2014/chart" uri="{C3380CC4-5D6E-409C-BE32-E72D297353CC}">
              <c16:uniqueId val="{00000001-3294-5A47-A92D-A83348594F6F}"/>
            </c:ext>
          </c:extLst>
        </c:ser>
        <c:ser>
          <c:idx val="2"/>
          <c:order val="2"/>
          <c:tx>
            <c:v>TP-500</c:v>
          </c:tx>
          <c:spPr>
            <a:ln w="19050" cap="rnd">
              <a:solidFill>
                <a:srgbClr val="92D050"/>
              </a:solidFill>
              <a:prstDash val="sysDash"/>
              <a:round/>
            </a:ln>
            <a:effectLst/>
          </c:spPr>
          <c:marker>
            <c:symbol val="circle"/>
            <c:size val="5"/>
            <c:spPr>
              <a:solidFill>
                <a:srgbClr val="92D050"/>
              </a:solidFill>
              <a:ln w="9525">
                <a:solidFill>
                  <a:srgbClr val="92D050"/>
                </a:solidFill>
                <a:prstDash val="solid"/>
              </a:ln>
              <a:effectLst/>
            </c:spPr>
          </c:marker>
          <c:xVal>
            <c:numRef>
              <c:f>('Grafici metano'!$B$2,'Grafici metano'!$B$2,'Grafici metano'!$C$2,'Grafici metano'!$D$2,'Grafici metano'!$F$2,'Grafici metano'!$G$2,'Grafici metano'!$H$2,'Grafici metano'!$K$2,'Grafici metano'!$M$2)</c:f>
              <c:numCache>
                <c:formatCode>General</c:formatCode>
                <c:ptCount val="9"/>
                <c:pt idx="0">
                  <c:v>0</c:v>
                </c:pt>
                <c:pt idx="1">
                  <c:v>0</c:v>
                </c:pt>
                <c:pt idx="2">
                  <c:v>1</c:v>
                </c:pt>
                <c:pt idx="3">
                  <c:v>2</c:v>
                </c:pt>
                <c:pt idx="4">
                  <c:v>4</c:v>
                </c:pt>
                <c:pt idx="5">
                  <c:v>7</c:v>
                </c:pt>
                <c:pt idx="6">
                  <c:v>11</c:v>
                </c:pt>
                <c:pt idx="7">
                  <c:v>19</c:v>
                </c:pt>
                <c:pt idx="8">
                  <c:v>28</c:v>
                </c:pt>
              </c:numCache>
            </c:numRef>
          </c:xVal>
          <c:yVal>
            <c:numRef>
              <c:f>('Grafici metano'!$B$5,'Grafici metano'!$B$5,'Grafici metano'!$C$5,'Grafici metano'!$D$5,'Grafici metano'!$F$5,'Grafici metano'!$G$5,'Grafici metano'!$H$5,'Grafici metano'!$K$5,'Grafici metano'!$M$5)</c:f>
              <c:numCache>
                <c:formatCode>General</c:formatCode>
                <c:ptCount val="9"/>
                <c:pt idx="0">
                  <c:v>0</c:v>
                </c:pt>
                <c:pt idx="1">
                  <c:v>0</c:v>
                </c:pt>
                <c:pt idx="2">
                  <c:v>59.231209087008949</c:v>
                </c:pt>
                <c:pt idx="3">
                  <c:v>68.168120777624821</c:v>
                </c:pt>
                <c:pt idx="4">
                  <c:v>72.586156651805481</c:v>
                </c:pt>
                <c:pt idx="5">
                  <c:v>66.751844651514432</c:v>
                </c:pt>
                <c:pt idx="6">
                  <c:v>78.780605255461751</c:v>
                </c:pt>
                <c:pt idx="7">
                  <c:v>64.852172465045058</c:v>
                </c:pt>
                <c:pt idx="8">
                  <c:v>63.85</c:v>
                </c:pt>
              </c:numCache>
            </c:numRef>
          </c:yVal>
          <c:smooth val="0"/>
          <c:extLst>
            <c:ext xmlns:c16="http://schemas.microsoft.com/office/drawing/2014/chart" uri="{C3380CC4-5D6E-409C-BE32-E72D297353CC}">
              <c16:uniqueId val="{00000002-3294-5A47-A92D-A83348594F6F}"/>
            </c:ext>
          </c:extLst>
        </c:ser>
        <c:ser>
          <c:idx val="3"/>
          <c:order val="3"/>
          <c:tx>
            <c:v>TP-700</c:v>
          </c:tx>
          <c:spPr>
            <a:ln w="19050" cap="rnd">
              <a:solidFill>
                <a:srgbClr val="00B050"/>
              </a:solidFill>
              <a:prstDash val="sysDash"/>
              <a:round/>
            </a:ln>
            <a:effectLst/>
          </c:spPr>
          <c:marker>
            <c:symbol val="circle"/>
            <c:size val="5"/>
            <c:spPr>
              <a:solidFill>
                <a:srgbClr val="00B050"/>
              </a:solidFill>
              <a:ln w="9525">
                <a:solidFill>
                  <a:srgbClr val="00B050"/>
                </a:solidFill>
              </a:ln>
              <a:effectLst/>
            </c:spPr>
          </c:marker>
          <c:xVal>
            <c:numRef>
              <c:f>('Grafici metano'!$B$2,'Grafici metano'!$B$2,'Grafici metano'!$C$2,'Grafici metano'!$G$2,'Grafici metano'!$J$2,'Grafici metano'!$L$2,'Grafici metano'!$M$2)</c:f>
              <c:numCache>
                <c:formatCode>General</c:formatCode>
                <c:ptCount val="7"/>
                <c:pt idx="0">
                  <c:v>0</c:v>
                </c:pt>
                <c:pt idx="1">
                  <c:v>0</c:v>
                </c:pt>
                <c:pt idx="2">
                  <c:v>1</c:v>
                </c:pt>
                <c:pt idx="3">
                  <c:v>7</c:v>
                </c:pt>
                <c:pt idx="4">
                  <c:v>16</c:v>
                </c:pt>
                <c:pt idx="5">
                  <c:v>21</c:v>
                </c:pt>
                <c:pt idx="6">
                  <c:v>28</c:v>
                </c:pt>
              </c:numCache>
            </c:numRef>
          </c:xVal>
          <c:yVal>
            <c:numRef>
              <c:f>('Grafici metano'!$B$6,'Grafici metano'!$B$6,'Grafici metano'!$C$6,'Grafici metano'!$G$6,'Grafici metano'!$J$6,'Grafici metano'!$L$6,'Grafici metano'!$M$6)</c:f>
              <c:numCache>
                <c:formatCode>General</c:formatCode>
                <c:ptCount val="7"/>
                <c:pt idx="0">
                  <c:v>0</c:v>
                </c:pt>
                <c:pt idx="1">
                  <c:v>0</c:v>
                </c:pt>
                <c:pt idx="2">
                  <c:v>39.137659278816386</c:v>
                </c:pt>
                <c:pt idx="3">
                  <c:v>71.276341717744401</c:v>
                </c:pt>
                <c:pt idx="4">
                  <c:v>75.71130615394128</c:v>
                </c:pt>
                <c:pt idx="5">
                  <c:v>76.219229015915431</c:v>
                </c:pt>
                <c:pt idx="6">
                  <c:v>77.2</c:v>
                </c:pt>
              </c:numCache>
            </c:numRef>
          </c:yVal>
          <c:smooth val="0"/>
          <c:extLst>
            <c:ext xmlns:c16="http://schemas.microsoft.com/office/drawing/2014/chart" uri="{C3380CC4-5D6E-409C-BE32-E72D297353CC}">
              <c16:uniqueId val="{00000003-3294-5A47-A92D-A83348594F6F}"/>
            </c:ext>
          </c:extLst>
        </c:ser>
        <c:ser>
          <c:idx val="4"/>
          <c:order val="4"/>
          <c:tx>
            <c:v>TP-900</c:v>
          </c:tx>
          <c:spPr>
            <a:ln w="19050" cap="rnd">
              <a:solidFill>
                <a:schemeClr val="accent3">
                  <a:lumMod val="50000"/>
                </a:schemeClr>
              </a:solidFill>
              <a:prstDash val="sysDash"/>
              <a:round/>
            </a:ln>
            <a:effectLst/>
          </c:spPr>
          <c:marker>
            <c:symbol val="circle"/>
            <c:size val="5"/>
            <c:spPr>
              <a:solidFill>
                <a:schemeClr val="accent3">
                  <a:lumMod val="50000"/>
                </a:schemeClr>
              </a:solidFill>
              <a:ln w="9525">
                <a:solidFill>
                  <a:schemeClr val="accent3">
                    <a:lumMod val="50000"/>
                  </a:schemeClr>
                </a:solidFill>
              </a:ln>
              <a:effectLst/>
            </c:spPr>
          </c:marker>
          <c:xVal>
            <c:numRef>
              <c:f>('Grafici metano'!$B$2,'Grafici metano'!$B$2,'Grafici metano'!$C$2,'Grafici metano'!$G$2,'Grafici metano'!$I$2,'Grafici metano'!$J$2,'Grafici metano'!$L$2,'Grafici metano'!$M$2)</c:f>
              <c:numCache>
                <c:formatCode>General</c:formatCode>
                <c:ptCount val="8"/>
                <c:pt idx="0">
                  <c:v>0</c:v>
                </c:pt>
                <c:pt idx="1">
                  <c:v>0</c:v>
                </c:pt>
                <c:pt idx="2">
                  <c:v>1</c:v>
                </c:pt>
                <c:pt idx="3">
                  <c:v>7</c:v>
                </c:pt>
                <c:pt idx="4">
                  <c:v>13</c:v>
                </c:pt>
                <c:pt idx="5">
                  <c:v>16</c:v>
                </c:pt>
                <c:pt idx="6">
                  <c:v>21</c:v>
                </c:pt>
                <c:pt idx="7">
                  <c:v>28</c:v>
                </c:pt>
              </c:numCache>
            </c:numRef>
          </c:xVal>
          <c:yVal>
            <c:numRef>
              <c:f>('Grafici metano'!$B$7,'Grafici metano'!$B$7,'Grafici metano'!$C$7,'Grafici metano'!$G$7,'Grafici metano'!$I$7,'Grafici metano'!$J$7,'Grafici metano'!$L$7,'Grafici metano'!$M$7)</c:f>
              <c:numCache>
                <c:formatCode>General</c:formatCode>
                <c:ptCount val="8"/>
                <c:pt idx="0">
                  <c:v>0</c:v>
                </c:pt>
                <c:pt idx="1">
                  <c:v>0</c:v>
                </c:pt>
                <c:pt idx="2">
                  <c:v>48.0869</c:v>
                </c:pt>
                <c:pt idx="3">
                  <c:v>82.695270421733994</c:v>
                </c:pt>
                <c:pt idx="4">
                  <c:v>82.953925049643601</c:v>
                </c:pt>
                <c:pt idx="5">
                  <c:v>75.810676187715458</c:v>
                </c:pt>
                <c:pt idx="6">
                  <c:v>79.05925970752989</c:v>
                </c:pt>
                <c:pt idx="7">
                  <c:v>80</c:v>
                </c:pt>
              </c:numCache>
            </c:numRef>
          </c:yVal>
          <c:smooth val="0"/>
          <c:extLst>
            <c:ext xmlns:c16="http://schemas.microsoft.com/office/drawing/2014/chart" uri="{C3380CC4-5D6E-409C-BE32-E72D297353CC}">
              <c16:uniqueId val="{00000004-3294-5A47-A92D-A83348594F6F}"/>
            </c:ext>
          </c:extLst>
        </c:ser>
        <c:dLbls>
          <c:showLegendKey val="0"/>
          <c:showVal val="0"/>
          <c:showCatName val="0"/>
          <c:showSerName val="0"/>
          <c:showPercent val="0"/>
          <c:showBubbleSize val="0"/>
        </c:dLbls>
        <c:axId val="1554259280"/>
        <c:axId val="1199635536"/>
      </c:scatterChart>
      <c:valAx>
        <c:axId val="1554259280"/>
        <c:scaling>
          <c:orientation val="minMax"/>
          <c:max val="28"/>
          <c:min val="0"/>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it-IT">
                    <a:solidFill>
                      <a:schemeClr val="tx1"/>
                    </a:solidFill>
                  </a:rPr>
                  <a:t>Time (days)</a:t>
                </a:r>
              </a:p>
            </c:rich>
          </c:tx>
          <c:layout>
            <c:manualLayout>
              <c:xMode val="edge"/>
              <c:yMode val="edge"/>
              <c:x val="0.46554791838865445"/>
              <c:y val="0.9115024627727050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t-IT"/>
            </a:p>
          </c:txPr>
        </c:title>
        <c:numFmt formatCode="General" sourceLinked="1"/>
        <c:majorTickMark val="cross"/>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t-IT"/>
          </a:p>
        </c:txPr>
        <c:crossAx val="1199635536"/>
        <c:crosses val="autoZero"/>
        <c:crossBetween val="midCat"/>
      </c:valAx>
      <c:valAx>
        <c:axId val="11996355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it-IT">
                    <a:solidFill>
                      <a:schemeClr val="tx1"/>
                    </a:solidFill>
                  </a:rPr>
                  <a:t>Produced</a:t>
                </a:r>
                <a:r>
                  <a:rPr lang="it-IT" baseline="0">
                    <a:solidFill>
                      <a:schemeClr val="tx1"/>
                    </a:solidFill>
                  </a:rPr>
                  <a:t> </a:t>
                </a:r>
                <a:r>
                  <a:rPr lang="it-IT">
                    <a:solidFill>
                      <a:schemeClr val="tx1"/>
                    </a:solidFill>
                  </a:rPr>
                  <a:t>CH</a:t>
                </a:r>
                <a:r>
                  <a:rPr lang="it-IT" baseline="-25000">
                    <a:solidFill>
                      <a:schemeClr val="tx1"/>
                    </a:solidFill>
                  </a:rPr>
                  <a:t>4</a:t>
                </a:r>
                <a:r>
                  <a:rPr lang="it-IT">
                    <a:solidFill>
                      <a:schemeClr val="tx1"/>
                    </a:solidFill>
                  </a:rPr>
                  <a:t> (%)</a:t>
                </a:r>
              </a:p>
            </c:rich>
          </c:tx>
          <c:layout>
            <c:manualLayout>
              <c:xMode val="edge"/>
              <c:yMode val="edge"/>
              <c:x val="4.6040515653775326E-3"/>
              <c:y val="0.2403133762070614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t-IT"/>
            </a:p>
          </c:txPr>
        </c:title>
        <c:numFmt formatCode="General" sourceLinked="1"/>
        <c:majorTickMark val="cross"/>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t-IT"/>
          </a:p>
        </c:txPr>
        <c:crossAx val="1554259280"/>
        <c:crosses val="autoZero"/>
        <c:crossBetween val="midCat"/>
      </c:valAx>
      <c:spPr>
        <a:noFill/>
        <a:ln>
          <a:noFill/>
        </a:ln>
        <a:effectLst/>
      </c:spPr>
    </c:plotArea>
    <c:legend>
      <c:legendPos val="r"/>
      <c:layout>
        <c:manualLayout>
          <c:xMode val="edge"/>
          <c:yMode val="edge"/>
          <c:x val="0.59907592697321677"/>
          <c:y val="0.35015066724063715"/>
          <c:w val="0.37342628442162967"/>
          <c:h val="0.42868541561448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t-I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solidFill>
                <a:latin typeface="+mn-lt"/>
                <a:ea typeface="+mn-ea"/>
                <a:cs typeface="+mn-cs"/>
              </a:defRPr>
            </a:pPr>
            <a:r>
              <a:rPr lang="it-IT" sz="1600">
                <a:solidFill>
                  <a:schemeClr val="tx1"/>
                </a:solidFill>
              </a:rPr>
              <a:t>b</a:t>
            </a:r>
          </a:p>
        </c:rich>
      </c:tx>
      <c:layout>
        <c:manualLayout>
          <c:xMode val="edge"/>
          <c:yMode val="edge"/>
          <c:x val="1.252034881526041E-2"/>
          <c:y val="2.4575165295802993E-2"/>
        </c:manualLayout>
      </c:layout>
      <c:overlay val="0"/>
      <c:spPr>
        <a:noFill/>
        <a:ln>
          <a:noFill/>
        </a:ln>
        <a:effectLst/>
      </c:spPr>
      <c:txPr>
        <a:bodyPr rot="0" spcFirstLastPara="1" vertOverflow="ellipsis" vert="horz" wrap="square" anchor="ctr" anchorCtr="1"/>
        <a:lstStyle/>
        <a:p>
          <a:pPr>
            <a:defRPr sz="1600" b="0" i="0" u="none" strike="noStrike" kern="1200" spc="0" baseline="0">
              <a:solidFill>
                <a:schemeClr val="tx1"/>
              </a:solidFill>
              <a:latin typeface="+mn-lt"/>
              <a:ea typeface="+mn-ea"/>
              <a:cs typeface="+mn-cs"/>
            </a:defRPr>
          </a:pPr>
          <a:endParaRPr lang="it-IT"/>
        </a:p>
      </c:txPr>
    </c:title>
    <c:autoTitleDeleted val="0"/>
    <c:plotArea>
      <c:layout>
        <c:manualLayout>
          <c:layoutTarget val="inner"/>
          <c:xMode val="edge"/>
          <c:yMode val="edge"/>
          <c:x val="0.13363179100940145"/>
          <c:y val="3.3477615676826902E-2"/>
          <c:w val="0.81591431505844381"/>
          <c:h val="0.78714476728144833"/>
        </c:manualLayout>
      </c:layout>
      <c:scatterChart>
        <c:scatterStyle val="lineMarker"/>
        <c:varyColors val="0"/>
        <c:ser>
          <c:idx val="0"/>
          <c:order val="0"/>
          <c:tx>
            <c:v>Blank</c:v>
          </c:tx>
          <c:spPr>
            <a:ln w="19050" cap="rnd">
              <a:solidFill>
                <a:schemeClr val="tx1"/>
              </a:solidFill>
              <a:prstDash val="sysDash"/>
              <a:round/>
            </a:ln>
            <a:effectLst/>
          </c:spPr>
          <c:marker>
            <c:symbol val="circle"/>
            <c:size val="5"/>
            <c:spPr>
              <a:solidFill>
                <a:schemeClr val="tx1"/>
              </a:solidFill>
              <a:ln w="9525">
                <a:solidFill>
                  <a:schemeClr val="tx1"/>
                </a:solidFill>
              </a:ln>
              <a:effectLst/>
            </c:spPr>
          </c:marker>
          <c:xVal>
            <c:numRef>
              <c:f>'[Gas prodotto.xlsx]Grafici metano'!$B$9,'[Gas prodotto.xlsx]Grafici metano'!$B$9,'[Gas prodotto.xlsx]Grafici metano'!$C$9,'[Gas prodotto.xlsx]Grafici metano'!$E$9,'[Gas prodotto.xlsx]Grafici metano'!$G$9,'[Gas prodotto.xlsx]Grafici metano'!$I$9,'[Gas prodotto.xlsx]Grafici metano'!$J$9,'[Gas prodotto.xlsx]Grafici metano'!$L$9,'[Gas prodotto.xlsx]Grafici metano'!$M$9</c:f>
              <c:numCache>
                <c:formatCode>General</c:formatCode>
                <c:ptCount val="9"/>
                <c:pt idx="0">
                  <c:v>0</c:v>
                </c:pt>
                <c:pt idx="1">
                  <c:v>0</c:v>
                </c:pt>
                <c:pt idx="2">
                  <c:v>1</c:v>
                </c:pt>
                <c:pt idx="3">
                  <c:v>3</c:v>
                </c:pt>
                <c:pt idx="4">
                  <c:v>7</c:v>
                </c:pt>
                <c:pt idx="5">
                  <c:v>13</c:v>
                </c:pt>
                <c:pt idx="6">
                  <c:v>16</c:v>
                </c:pt>
                <c:pt idx="7">
                  <c:v>21</c:v>
                </c:pt>
                <c:pt idx="8">
                  <c:v>28</c:v>
                </c:pt>
              </c:numCache>
            </c:numRef>
          </c:xVal>
          <c:yVal>
            <c:numRef>
              <c:f>'[Gas prodotto.xlsx]Grafici metano'!$B$10,'[Gas prodotto.xlsx]Grafici metano'!$B$10,'[Gas prodotto.xlsx]Grafici metano'!$C$10,'[Gas prodotto.xlsx]Grafici metano'!$E$10,'[Gas prodotto.xlsx]Grafici metano'!$G$10,'[Gas prodotto.xlsx]Grafici metano'!$I$10,'[Gas prodotto.xlsx]Grafici metano'!$J$10,'[Gas prodotto.xlsx]Grafici metano'!$L$10,'[Gas prodotto.xlsx]Grafici metano'!$M$10</c:f>
              <c:numCache>
                <c:formatCode>General</c:formatCode>
                <c:ptCount val="9"/>
                <c:pt idx="0">
                  <c:v>0</c:v>
                </c:pt>
                <c:pt idx="1">
                  <c:v>0</c:v>
                </c:pt>
                <c:pt idx="2">
                  <c:v>2.8854402908462009</c:v>
                </c:pt>
                <c:pt idx="3">
                  <c:v>4.4212415951966735</c:v>
                </c:pt>
                <c:pt idx="4">
                  <c:v>4.2746808698276277</c:v>
                </c:pt>
                <c:pt idx="5">
                  <c:v>4.1749949656580378</c:v>
                </c:pt>
                <c:pt idx="6">
                  <c:v>3.9332850484383881</c:v>
                </c:pt>
                <c:pt idx="7">
                  <c:v>3.4500188702755636</c:v>
                </c:pt>
                <c:pt idx="8">
                  <c:v>3.5</c:v>
                </c:pt>
              </c:numCache>
            </c:numRef>
          </c:yVal>
          <c:smooth val="0"/>
          <c:extLst>
            <c:ext xmlns:c16="http://schemas.microsoft.com/office/drawing/2014/chart" uri="{C3380CC4-5D6E-409C-BE32-E72D297353CC}">
              <c16:uniqueId val="{00000000-FEBE-DB4F-84EA-7D2C93F07830}"/>
            </c:ext>
          </c:extLst>
        </c:ser>
        <c:ser>
          <c:idx val="1"/>
          <c:order val="1"/>
          <c:tx>
            <c:v>SCG-500</c:v>
          </c:tx>
          <c:spPr>
            <a:ln w="19050" cap="rnd">
              <a:solidFill>
                <a:schemeClr val="accent2"/>
              </a:solidFill>
              <a:prstDash val="sysDash"/>
              <a:round/>
            </a:ln>
            <a:effectLst/>
          </c:spPr>
          <c:marker>
            <c:symbol val="circle"/>
            <c:size val="5"/>
            <c:spPr>
              <a:solidFill>
                <a:schemeClr val="accent2"/>
              </a:solidFill>
              <a:ln w="9525">
                <a:solidFill>
                  <a:schemeClr val="accent2"/>
                </a:solidFill>
              </a:ln>
              <a:effectLst/>
            </c:spPr>
          </c:marker>
          <c:xVal>
            <c:numRef>
              <c:f>'[Gas prodotto.xlsx]Grafici metano'!$B$9,'[Gas prodotto.xlsx]Grafici metano'!$B$9,'[Gas prodotto.xlsx]Grafici metano'!$C$9,'[Gas prodotto.xlsx]Grafici metano'!$G$9,'[Gas prodotto.xlsx]Grafici metano'!$I$9,'[Gas prodotto.xlsx]Grafici metano'!$J$9,'[Gas prodotto.xlsx]Grafici metano'!$M$9</c:f>
              <c:numCache>
                <c:formatCode>General</c:formatCode>
                <c:ptCount val="7"/>
                <c:pt idx="0">
                  <c:v>0</c:v>
                </c:pt>
                <c:pt idx="1">
                  <c:v>0</c:v>
                </c:pt>
                <c:pt idx="2">
                  <c:v>1</c:v>
                </c:pt>
                <c:pt idx="3">
                  <c:v>7</c:v>
                </c:pt>
                <c:pt idx="4">
                  <c:v>13</c:v>
                </c:pt>
                <c:pt idx="5">
                  <c:v>16</c:v>
                </c:pt>
                <c:pt idx="6">
                  <c:v>28</c:v>
                </c:pt>
              </c:numCache>
            </c:numRef>
          </c:xVal>
          <c:yVal>
            <c:numRef>
              <c:f>'[Gas prodotto.xlsx]Grafici metano'!$B$11,'[Gas prodotto.xlsx]Grafici metano'!$B$11,'[Gas prodotto.xlsx]Grafici metano'!$C$11,'[Gas prodotto.xlsx]Grafici metano'!$G$11,'[Gas prodotto.xlsx]Grafici metano'!$I$11,'[Gas prodotto.xlsx]Grafici metano'!$J$11,'[Gas prodotto.xlsx]Grafici metano'!$M$11</c:f>
              <c:numCache>
                <c:formatCode>General</c:formatCode>
                <c:ptCount val="7"/>
                <c:pt idx="0">
                  <c:v>0</c:v>
                </c:pt>
                <c:pt idx="1">
                  <c:v>0</c:v>
                </c:pt>
                <c:pt idx="2">
                  <c:v>2.9541768230519971</c:v>
                </c:pt>
                <c:pt idx="3">
                  <c:v>4.3392086746748664</c:v>
                </c:pt>
                <c:pt idx="4">
                  <c:v>4.9557510921652996</c:v>
                </c:pt>
                <c:pt idx="5">
                  <c:v>3.4877739711222242</c:v>
                </c:pt>
                <c:pt idx="6">
                  <c:v>3.44</c:v>
                </c:pt>
              </c:numCache>
            </c:numRef>
          </c:yVal>
          <c:smooth val="0"/>
          <c:extLst>
            <c:ext xmlns:c16="http://schemas.microsoft.com/office/drawing/2014/chart" uri="{C3380CC4-5D6E-409C-BE32-E72D297353CC}">
              <c16:uniqueId val="{00000001-FEBE-DB4F-84EA-7D2C93F07830}"/>
            </c:ext>
          </c:extLst>
        </c:ser>
        <c:ser>
          <c:idx val="2"/>
          <c:order val="2"/>
          <c:tx>
            <c:v>TP-500</c:v>
          </c:tx>
          <c:spPr>
            <a:ln w="19050" cap="rnd">
              <a:solidFill>
                <a:srgbClr val="92D050"/>
              </a:solidFill>
              <a:prstDash val="sysDash"/>
              <a:round/>
            </a:ln>
            <a:effectLst/>
          </c:spPr>
          <c:marker>
            <c:symbol val="circle"/>
            <c:size val="5"/>
            <c:spPr>
              <a:solidFill>
                <a:srgbClr val="92D050"/>
              </a:solidFill>
              <a:ln w="9525">
                <a:solidFill>
                  <a:srgbClr val="92D050"/>
                </a:solidFill>
                <a:prstDash val="solid"/>
              </a:ln>
              <a:effectLst/>
            </c:spPr>
          </c:marker>
          <c:xVal>
            <c:numRef>
              <c:f>'[Gas prodotto.xlsx]Grafici metano'!$B$9,'[Gas prodotto.xlsx]Grafici metano'!$B$9,'[Gas prodotto.xlsx]Grafici metano'!$C$9,'[Gas prodotto.xlsx]Grafici metano'!$D$9,'[Gas prodotto.xlsx]Grafici metano'!$F$9,'[Gas prodotto.xlsx]Grafici metano'!$G$9,'[Gas prodotto.xlsx]Grafici metano'!$H$9,'[Gas prodotto.xlsx]Grafici metano'!$K$9,'[Gas prodotto.xlsx]Grafici metano'!$M$9</c:f>
              <c:numCache>
                <c:formatCode>General</c:formatCode>
                <c:ptCount val="9"/>
                <c:pt idx="0">
                  <c:v>0</c:v>
                </c:pt>
                <c:pt idx="1">
                  <c:v>0</c:v>
                </c:pt>
                <c:pt idx="2">
                  <c:v>1</c:v>
                </c:pt>
                <c:pt idx="3">
                  <c:v>2</c:v>
                </c:pt>
                <c:pt idx="4">
                  <c:v>4</c:v>
                </c:pt>
                <c:pt idx="5">
                  <c:v>7</c:v>
                </c:pt>
                <c:pt idx="6">
                  <c:v>11</c:v>
                </c:pt>
                <c:pt idx="7">
                  <c:v>19</c:v>
                </c:pt>
                <c:pt idx="8">
                  <c:v>28</c:v>
                </c:pt>
              </c:numCache>
            </c:numRef>
          </c:xVal>
          <c:yVal>
            <c:numRef>
              <c:f>'[Gas prodotto.xlsx]Grafici metano'!$B$12,'[Gas prodotto.xlsx]Grafici metano'!$B$12,'[Gas prodotto.xlsx]Grafici metano'!$C$12,'[Gas prodotto.xlsx]Grafici metano'!$D$12,'[Gas prodotto.xlsx]Grafici metano'!$F$12,'[Gas prodotto.xlsx]Grafici metano'!$G$12,'[Gas prodotto.xlsx]Grafici metano'!$H$12,'[Gas prodotto.xlsx]Grafici metano'!$K$12,'[Gas prodotto.xlsx]Grafici metano'!$M$12</c:f>
              <c:numCache>
                <c:formatCode>General</c:formatCode>
                <c:ptCount val="9"/>
                <c:pt idx="0">
                  <c:v>0</c:v>
                </c:pt>
                <c:pt idx="1">
                  <c:v>0</c:v>
                </c:pt>
                <c:pt idx="2">
                  <c:v>3.0318829585247125</c:v>
                </c:pt>
                <c:pt idx="3">
                  <c:v>4.1711455604426364</c:v>
                </c:pt>
                <c:pt idx="4">
                  <c:v>4.5937537700792896</c:v>
                </c:pt>
                <c:pt idx="5">
                  <c:v>2.6712253456300745</c:v>
                </c:pt>
                <c:pt idx="6">
                  <c:v>4.3186760088898009</c:v>
                </c:pt>
                <c:pt idx="7">
                  <c:v>3.062815236239441</c:v>
                </c:pt>
                <c:pt idx="8">
                  <c:v>3.1</c:v>
                </c:pt>
              </c:numCache>
            </c:numRef>
          </c:yVal>
          <c:smooth val="0"/>
          <c:extLst>
            <c:ext xmlns:c16="http://schemas.microsoft.com/office/drawing/2014/chart" uri="{C3380CC4-5D6E-409C-BE32-E72D297353CC}">
              <c16:uniqueId val="{00000002-FEBE-DB4F-84EA-7D2C93F07830}"/>
            </c:ext>
          </c:extLst>
        </c:ser>
        <c:ser>
          <c:idx val="3"/>
          <c:order val="3"/>
          <c:tx>
            <c:v>TP-700</c:v>
          </c:tx>
          <c:spPr>
            <a:ln w="19050" cap="rnd">
              <a:solidFill>
                <a:srgbClr val="00B050"/>
              </a:solidFill>
              <a:prstDash val="sysDash"/>
              <a:round/>
            </a:ln>
            <a:effectLst/>
          </c:spPr>
          <c:marker>
            <c:symbol val="circle"/>
            <c:size val="5"/>
            <c:spPr>
              <a:solidFill>
                <a:srgbClr val="00B050"/>
              </a:solidFill>
              <a:ln w="9525">
                <a:solidFill>
                  <a:srgbClr val="00B050"/>
                </a:solidFill>
              </a:ln>
              <a:effectLst/>
            </c:spPr>
          </c:marker>
          <c:xVal>
            <c:numRef>
              <c:f>'[Gas prodotto.xlsx]Grafici metano'!$B$9,'[Gas prodotto.xlsx]Grafici metano'!$B$9,'[Gas prodotto.xlsx]Grafici metano'!$C$9,'[Gas prodotto.xlsx]Grafici metano'!$G$9,'[Gas prodotto.xlsx]Grafici metano'!$J$9,'[Gas prodotto.xlsx]Grafici metano'!$L$9,'[Gas prodotto.xlsx]Grafici metano'!$M$9</c:f>
              <c:numCache>
                <c:formatCode>General</c:formatCode>
                <c:ptCount val="7"/>
                <c:pt idx="0">
                  <c:v>0</c:v>
                </c:pt>
                <c:pt idx="1">
                  <c:v>0</c:v>
                </c:pt>
                <c:pt idx="2">
                  <c:v>1</c:v>
                </c:pt>
                <c:pt idx="3">
                  <c:v>7</c:v>
                </c:pt>
                <c:pt idx="4">
                  <c:v>16</c:v>
                </c:pt>
                <c:pt idx="5">
                  <c:v>21</c:v>
                </c:pt>
                <c:pt idx="6">
                  <c:v>28</c:v>
                </c:pt>
              </c:numCache>
            </c:numRef>
          </c:xVal>
          <c:yVal>
            <c:numRef>
              <c:f>'[Gas prodotto.xlsx]Grafici metano'!$B$13,'[Gas prodotto.xlsx]Grafici metano'!$B$13,'[Gas prodotto.xlsx]Grafici metano'!$C$13,'[Gas prodotto.xlsx]Grafici metano'!$G$13,'[Gas prodotto.xlsx]Grafici metano'!$J$13,'[Gas prodotto.xlsx]Grafici metano'!$L$13,'[Gas prodotto.xlsx]Grafici metano'!$M$13</c:f>
              <c:numCache>
                <c:formatCode>General</c:formatCode>
                <c:ptCount val="7"/>
                <c:pt idx="0">
                  <c:v>0</c:v>
                </c:pt>
                <c:pt idx="1">
                  <c:v>0</c:v>
                </c:pt>
                <c:pt idx="2">
                  <c:v>3.178102579178085</c:v>
                </c:pt>
                <c:pt idx="3">
                  <c:v>4.3558269689336493</c:v>
                </c:pt>
                <c:pt idx="4">
                  <c:v>3.6336894025510018</c:v>
                </c:pt>
                <c:pt idx="5">
                  <c:v>3.6502971604691941</c:v>
                </c:pt>
                <c:pt idx="6">
                  <c:v>3.67</c:v>
                </c:pt>
              </c:numCache>
            </c:numRef>
          </c:yVal>
          <c:smooth val="0"/>
          <c:extLst>
            <c:ext xmlns:c16="http://schemas.microsoft.com/office/drawing/2014/chart" uri="{C3380CC4-5D6E-409C-BE32-E72D297353CC}">
              <c16:uniqueId val="{00000003-FEBE-DB4F-84EA-7D2C93F07830}"/>
            </c:ext>
          </c:extLst>
        </c:ser>
        <c:ser>
          <c:idx val="4"/>
          <c:order val="4"/>
          <c:tx>
            <c:v>TP-900</c:v>
          </c:tx>
          <c:spPr>
            <a:ln w="19050" cap="rnd">
              <a:solidFill>
                <a:schemeClr val="accent3">
                  <a:lumMod val="50000"/>
                </a:schemeClr>
              </a:solidFill>
              <a:prstDash val="sysDash"/>
              <a:round/>
            </a:ln>
            <a:effectLst/>
          </c:spPr>
          <c:marker>
            <c:symbol val="circle"/>
            <c:size val="5"/>
            <c:spPr>
              <a:solidFill>
                <a:schemeClr val="accent3">
                  <a:lumMod val="50000"/>
                </a:schemeClr>
              </a:solidFill>
              <a:ln w="9525">
                <a:solidFill>
                  <a:schemeClr val="accent3">
                    <a:lumMod val="50000"/>
                  </a:schemeClr>
                </a:solidFill>
              </a:ln>
              <a:effectLst/>
            </c:spPr>
          </c:marker>
          <c:xVal>
            <c:numRef>
              <c:f>'[Gas prodotto.xlsx]Grafici metano'!$B$9,'[Gas prodotto.xlsx]Grafici metano'!$B$9,'[Gas prodotto.xlsx]Grafici metano'!$C$9,'[Gas prodotto.xlsx]Grafici metano'!$G$9,'[Gas prodotto.xlsx]Grafici metano'!$I$9,'[Gas prodotto.xlsx]Grafici metano'!$J$9,'[Gas prodotto.xlsx]Grafici metano'!$L$9,'[Gas prodotto.xlsx]Grafici metano'!$M$9</c:f>
              <c:numCache>
                <c:formatCode>General</c:formatCode>
                <c:ptCount val="8"/>
                <c:pt idx="0">
                  <c:v>0</c:v>
                </c:pt>
                <c:pt idx="1">
                  <c:v>0</c:v>
                </c:pt>
                <c:pt idx="2">
                  <c:v>1</c:v>
                </c:pt>
                <c:pt idx="3">
                  <c:v>7</c:v>
                </c:pt>
                <c:pt idx="4">
                  <c:v>13</c:v>
                </c:pt>
                <c:pt idx="5">
                  <c:v>16</c:v>
                </c:pt>
                <c:pt idx="6">
                  <c:v>21</c:v>
                </c:pt>
                <c:pt idx="7">
                  <c:v>28</c:v>
                </c:pt>
              </c:numCache>
            </c:numRef>
          </c:xVal>
          <c:yVal>
            <c:numRef>
              <c:f>'[Gas prodotto.xlsx]Grafici metano'!$B$14,'[Gas prodotto.xlsx]Grafici metano'!$B$14,'[Gas prodotto.xlsx]Grafici metano'!$C$14,'[Gas prodotto.xlsx]Grafici metano'!$G$14,'[Gas prodotto.xlsx]Grafici metano'!$I$14,'[Gas prodotto.xlsx]Grafici metano'!$J$14,'[Gas prodotto.xlsx]Grafici metano'!$L$14,'[Gas prodotto.xlsx]Grafici metano'!$M$14</c:f>
              <c:numCache>
                <c:formatCode>General</c:formatCode>
                <c:ptCount val="8"/>
                <c:pt idx="0">
                  <c:v>0</c:v>
                </c:pt>
                <c:pt idx="1">
                  <c:v>0</c:v>
                </c:pt>
                <c:pt idx="2">
                  <c:v>6.8513674528499537</c:v>
                </c:pt>
                <c:pt idx="3">
                  <c:v>8.3331366112954939</c:v>
                </c:pt>
                <c:pt idx="4">
                  <c:v>7.0248628545314693</c:v>
                </c:pt>
                <c:pt idx="5">
                  <c:v>3.6270528884717836</c:v>
                </c:pt>
                <c:pt idx="6">
                  <c:v>4.5174371439751191</c:v>
                </c:pt>
                <c:pt idx="7">
                  <c:v>4.63</c:v>
                </c:pt>
              </c:numCache>
            </c:numRef>
          </c:yVal>
          <c:smooth val="0"/>
          <c:extLst>
            <c:ext xmlns:c16="http://schemas.microsoft.com/office/drawing/2014/chart" uri="{C3380CC4-5D6E-409C-BE32-E72D297353CC}">
              <c16:uniqueId val="{00000004-FEBE-DB4F-84EA-7D2C93F07830}"/>
            </c:ext>
          </c:extLst>
        </c:ser>
        <c:dLbls>
          <c:showLegendKey val="0"/>
          <c:showVal val="0"/>
          <c:showCatName val="0"/>
          <c:showSerName val="0"/>
          <c:showPercent val="0"/>
          <c:showBubbleSize val="0"/>
        </c:dLbls>
        <c:axId val="1554259280"/>
        <c:axId val="1199635536"/>
      </c:scatterChart>
      <c:valAx>
        <c:axId val="1554259280"/>
        <c:scaling>
          <c:orientation val="minMax"/>
          <c:max val="28"/>
          <c:min val="0"/>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it-IT">
                    <a:solidFill>
                      <a:schemeClr val="tx1"/>
                    </a:solidFill>
                  </a:rPr>
                  <a:t>Time (days)</a:t>
                </a:r>
              </a:p>
            </c:rich>
          </c:tx>
          <c:layout>
            <c:manualLayout>
              <c:xMode val="edge"/>
              <c:yMode val="edge"/>
              <c:x val="0.44379841315822144"/>
              <c:y val="0.889738655764476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t-IT"/>
            </a:p>
          </c:txPr>
        </c:title>
        <c:numFmt formatCode="General" sourceLinked="1"/>
        <c:majorTickMark val="cross"/>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t-IT"/>
          </a:p>
        </c:txPr>
        <c:crossAx val="1199635536"/>
        <c:crosses val="autoZero"/>
        <c:crossBetween val="midCat"/>
      </c:valAx>
      <c:valAx>
        <c:axId val="1199635536"/>
        <c:scaling>
          <c:orientation val="minMax"/>
          <c:max val="9.5"/>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it-IT">
                    <a:solidFill>
                      <a:schemeClr val="tx1"/>
                    </a:solidFill>
                  </a:rPr>
                  <a:t>CH</a:t>
                </a:r>
                <a:r>
                  <a:rPr lang="it-IT" baseline="-25000">
                    <a:solidFill>
                      <a:schemeClr val="tx1"/>
                    </a:solidFill>
                  </a:rPr>
                  <a:t>4</a:t>
                </a:r>
                <a:r>
                  <a:rPr lang="it-IT">
                    <a:solidFill>
                      <a:schemeClr val="tx1"/>
                    </a:solidFill>
                  </a:rPr>
                  <a:t>/CO</a:t>
                </a:r>
                <a:r>
                  <a:rPr lang="it-IT" baseline="-25000">
                    <a:solidFill>
                      <a:schemeClr val="tx1"/>
                    </a:solidFill>
                  </a:rPr>
                  <a:t>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it-IT"/>
            </a:p>
          </c:txPr>
        </c:title>
        <c:numFmt formatCode="General" sourceLinked="1"/>
        <c:majorTickMark val="cross"/>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it-IT"/>
          </a:p>
        </c:txPr>
        <c:crossAx val="1554259280"/>
        <c:crosses val="autoZero"/>
        <c:crossBetween val="midCat"/>
      </c:valAx>
      <c:spPr>
        <a:noFill/>
        <a:ln>
          <a:noFill/>
        </a:ln>
        <a:effectLst/>
      </c:spPr>
    </c:plotArea>
    <c:legend>
      <c:legendPos val="r"/>
      <c:layout>
        <c:manualLayout>
          <c:xMode val="edge"/>
          <c:yMode val="edge"/>
          <c:x val="0.66889406382730576"/>
          <c:y val="0"/>
          <c:w val="0.32431013013005477"/>
          <c:h val="0.392956518893770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e"/>
          <w:gallery w:val="placeholder"/>
        </w:category>
        <w:types>
          <w:type w:val="bbPlcHdr"/>
        </w:types>
        <w:behaviors>
          <w:behavior w:val="content"/>
        </w:behaviors>
        <w:guid w:val="{FA5EFE43-A017-614D-B8F8-0F66CF1C919F}"/>
      </w:docPartPr>
      <w:docPartBody>
        <w:p w:rsidR="0044125D" w:rsidRDefault="00F71FAA">
          <w:r w:rsidRPr="00E84037">
            <w:rPr>
              <w:rStyle w:val="Testosegnaposto"/>
            </w:rPr>
            <w:t>Fare clic o toccare qui per immettere il testo.</w:t>
          </w:r>
        </w:p>
      </w:docPartBody>
    </w:docPart>
    <w:docPart>
      <w:docPartPr>
        <w:name w:val="827E05BADB969C4EB4A3AF7E361542A6"/>
        <w:category>
          <w:name w:val="Generale"/>
          <w:gallery w:val="placeholder"/>
        </w:category>
        <w:types>
          <w:type w:val="bbPlcHdr"/>
        </w:types>
        <w:behaviors>
          <w:behavior w:val="content"/>
        </w:behaviors>
        <w:guid w:val="{55A2BFC2-99FC-F642-94F6-20656A25578E}"/>
      </w:docPartPr>
      <w:docPartBody>
        <w:p w:rsidR="0044125D" w:rsidRDefault="00F71FAA" w:rsidP="00F71FAA">
          <w:pPr>
            <w:pStyle w:val="827E05BADB969C4EB4A3AF7E361542A6"/>
          </w:pPr>
          <w:r w:rsidRPr="00E84037">
            <w:rPr>
              <w:rStyle w:val="Testosegnaposto"/>
            </w:rPr>
            <w:t>Fare clic o toccare qui per immettere il testo.</w:t>
          </w:r>
        </w:p>
      </w:docPartBody>
    </w:docPart>
    <w:docPart>
      <w:docPartPr>
        <w:name w:val="324EB2D5D15C4045926025C3B43B4797"/>
        <w:category>
          <w:name w:val="Generale"/>
          <w:gallery w:val="placeholder"/>
        </w:category>
        <w:types>
          <w:type w:val="bbPlcHdr"/>
        </w:types>
        <w:behaviors>
          <w:behavior w:val="content"/>
        </w:behaviors>
        <w:guid w:val="{F5E7683C-D92F-A548-8BA3-B958FEF7F1CB}"/>
      </w:docPartPr>
      <w:docPartBody>
        <w:p w:rsidR="00774045" w:rsidRDefault="0044125D" w:rsidP="0044125D">
          <w:pPr>
            <w:pStyle w:val="324EB2D5D15C4045926025C3B43B4797"/>
          </w:pPr>
          <w:r w:rsidRPr="00E84037">
            <w:rPr>
              <w:rStyle w:val="Testosegnaposto"/>
            </w:rPr>
            <w:t>Fare clic o toccare qui per immettere il testo.</w:t>
          </w:r>
        </w:p>
      </w:docPartBody>
    </w:docPart>
    <w:docPart>
      <w:docPartPr>
        <w:name w:val="92CBB7E4D12A06438A5E75F19EB4237B"/>
        <w:category>
          <w:name w:val="Generale"/>
          <w:gallery w:val="placeholder"/>
        </w:category>
        <w:types>
          <w:type w:val="bbPlcHdr"/>
        </w:types>
        <w:behaviors>
          <w:behavior w:val="content"/>
        </w:behaviors>
        <w:guid w:val="{61338922-7BA3-2948-98EF-0ECE8B9427F6}"/>
      </w:docPartPr>
      <w:docPartBody>
        <w:p w:rsidR="00774045" w:rsidRDefault="0044125D" w:rsidP="0044125D">
          <w:pPr>
            <w:pStyle w:val="92CBB7E4D12A06438A5E75F19EB4237B"/>
          </w:pPr>
          <w:r w:rsidRPr="00E84037">
            <w:rPr>
              <w:rStyle w:val="Testosegnaposto"/>
            </w:rPr>
            <w:t>Fare clic o toccare qui per immettere il testo.</w:t>
          </w:r>
        </w:p>
      </w:docPartBody>
    </w:docPart>
    <w:docPart>
      <w:docPartPr>
        <w:name w:val="DE5E476A8DFF6648AAE87C4E9407A4DD"/>
        <w:category>
          <w:name w:val="Generale"/>
          <w:gallery w:val="placeholder"/>
        </w:category>
        <w:types>
          <w:type w:val="bbPlcHdr"/>
        </w:types>
        <w:behaviors>
          <w:behavior w:val="content"/>
        </w:behaviors>
        <w:guid w:val="{FFC4AC49-EA7F-9841-8E78-ECF685E45F0E}"/>
      </w:docPartPr>
      <w:docPartBody>
        <w:p w:rsidR="00774045" w:rsidRDefault="0044125D" w:rsidP="0044125D">
          <w:pPr>
            <w:pStyle w:val="DE5E476A8DFF6648AAE87C4E9407A4DD"/>
          </w:pPr>
          <w:r w:rsidRPr="00E84037">
            <w:rPr>
              <w:rStyle w:val="Testosegnaposto"/>
            </w:rPr>
            <w:t>Fare clic o toccare qui per immettere il testo.</w:t>
          </w:r>
        </w:p>
      </w:docPartBody>
    </w:docPart>
    <w:docPart>
      <w:docPartPr>
        <w:name w:val="EAC017AB6EFC3F4DADAA4D5B19CD6148"/>
        <w:category>
          <w:name w:val="Generale"/>
          <w:gallery w:val="placeholder"/>
        </w:category>
        <w:types>
          <w:type w:val="bbPlcHdr"/>
        </w:types>
        <w:behaviors>
          <w:behavior w:val="content"/>
        </w:behaviors>
        <w:guid w:val="{C71ADDBF-D6CB-AA4E-8A08-4826B78A718A}"/>
      </w:docPartPr>
      <w:docPartBody>
        <w:p w:rsidR="00774045" w:rsidRDefault="0044125D" w:rsidP="0044125D">
          <w:pPr>
            <w:pStyle w:val="EAC017AB6EFC3F4DADAA4D5B19CD6148"/>
          </w:pPr>
          <w:r w:rsidRPr="00E84037">
            <w:rPr>
              <w:rStyle w:val="Testosegnaposto"/>
            </w:rPr>
            <w:t>Fare clic o toccare qui per immettere il testo.</w:t>
          </w:r>
        </w:p>
      </w:docPartBody>
    </w:docPart>
    <w:docPart>
      <w:docPartPr>
        <w:name w:val="5592CFDBFE2C3C4F90C917C657A47B41"/>
        <w:category>
          <w:name w:val="Generale"/>
          <w:gallery w:val="placeholder"/>
        </w:category>
        <w:types>
          <w:type w:val="bbPlcHdr"/>
        </w:types>
        <w:behaviors>
          <w:behavior w:val="content"/>
        </w:behaviors>
        <w:guid w:val="{1962F939-9F2D-7A4D-BCA2-25C7B9A77C93}"/>
      </w:docPartPr>
      <w:docPartBody>
        <w:p w:rsidR="00774045" w:rsidRDefault="0044125D" w:rsidP="0044125D">
          <w:pPr>
            <w:pStyle w:val="5592CFDBFE2C3C4F90C917C657A47B41"/>
          </w:pPr>
          <w:r w:rsidRPr="00E84037">
            <w:rPr>
              <w:rStyle w:val="Testosegnaposto"/>
            </w:rPr>
            <w:t>Fare clic o toccare qui per immettere il testo.</w:t>
          </w:r>
        </w:p>
      </w:docPartBody>
    </w:docPart>
    <w:docPart>
      <w:docPartPr>
        <w:name w:val="C52AB1868CA44142AA888EEC1D532B87"/>
        <w:category>
          <w:name w:val="Generale"/>
          <w:gallery w:val="placeholder"/>
        </w:category>
        <w:types>
          <w:type w:val="bbPlcHdr"/>
        </w:types>
        <w:behaviors>
          <w:behavior w:val="content"/>
        </w:behaviors>
        <w:guid w:val="{19B67A87-9F7B-DB42-AEF6-7421AB58D9CE}"/>
      </w:docPartPr>
      <w:docPartBody>
        <w:p w:rsidR="002A7434" w:rsidRDefault="00E22175" w:rsidP="00E22175">
          <w:pPr>
            <w:pStyle w:val="C52AB1868CA44142AA888EEC1D532B87"/>
          </w:pPr>
          <w:r w:rsidRPr="00E84037">
            <w:rPr>
              <w:rStyle w:val="Testosegnaposto"/>
            </w:rPr>
            <w:t>Fare clic o toccare qui per immettere il testo.</w:t>
          </w:r>
        </w:p>
      </w:docPartBody>
    </w:docPart>
    <w:docPart>
      <w:docPartPr>
        <w:name w:val="1AD6AD4C2D39FC4D8A2BEBCA9D94F698"/>
        <w:category>
          <w:name w:val="Generale"/>
          <w:gallery w:val="placeholder"/>
        </w:category>
        <w:types>
          <w:type w:val="bbPlcHdr"/>
        </w:types>
        <w:behaviors>
          <w:behavior w:val="content"/>
        </w:behaviors>
        <w:guid w:val="{0FDF5A80-6AC3-4D4B-8AA5-909C316C091B}"/>
      </w:docPartPr>
      <w:docPartBody>
        <w:p w:rsidR="002A7434" w:rsidRDefault="00E22175" w:rsidP="00E22175">
          <w:pPr>
            <w:pStyle w:val="1AD6AD4C2D39FC4D8A2BEBCA9D94F698"/>
          </w:pPr>
          <w:r w:rsidRPr="00E84037">
            <w:rPr>
              <w:rStyle w:val="Testosegnaposto"/>
            </w:rPr>
            <w:t>Fare clic o toccare qui per immettere il testo.</w:t>
          </w:r>
        </w:p>
      </w:docPartBody>
    </w:docPart>
    <w:docPart>
      <w:docPartPr>
        <w:name w:val="D5CEB853747A3645AE1BA2CB3D4EB9D3"/>
        <w:category>
          <w:name w:val="Generale"/>
          <w:gallery w:val="placeholder"/>
        </w:category>
        <w:types>
          <w:type w:val="bbPlcHdr"/>
        </w:types>
        <w:behaviors>
          <w:behavior w:val="content"/>
        </w:behaviors>
        <w:guid w:val="{173C99A1-85D4-444D-909D-1C3930421A4A}"/>
      </w:docPartPr>
      <w:docPartBody>
        <w:p w:rsidR="002A7434" w:rsidRDefault="00E22175" w:rsidP="00E22175">
          <w:pPr>
            <w:pStyle w:val="D5CEB853747A3645AE1BA2CB3D4EB9D3"/>
          </w:pPr>
          <w:r w:rsidRPr="00E84037">
            <w:rPr>
              <w:rStyle w:val="Testosegnaposto"/>
            </w:rPr>
            <w:t>Fare clic o toccare qui per immettere il testo.</w:t>
          </w:r>
        </w:p>
      </w:docPartBody>
    </w:docPart>
    <w:docPart>
      <w:docPartPr>
        <w:name w:val="3BD4E85288E82F4C8D2F2A219FE94661"/>
        <w:category>
          <w:name w:val="Generale"/>
          <w:gallery w:val="placeholder"/>
        </w:category>
        <w:types>
          <w:type w:val="bbPlcHdr"/>
        </w:types>
        <w:behaviors>
          <w:behavior w:val="content"/>
        </w:behaviors>
        <w:guid w:val="{46C0DE65-C609-3D48-882F-02358AD25DBB}"/>
      </w:docPartPr>
      <w:docPartBody>
        <w:p w:rsidR="002A7434" w:rsidRDefault="00E22175" w:rsidP="00E22175">
          <w:pPr>
            <w:pStyle w:val="3BD4E85288E82F4C8D2F2A219FE94661"/>
          </w:pPr>
          <w:r w:rsidRPr="00E84037">
            <w:rPr>
              <w:rStyle w:val="Testosegnaposto"/>
            </w:rPr>
            <w:t>Fare clic o toccare qui per immettere il testo.</w:t>
          </w:r>
        </w:p>
      </w:docPartBody>
    </w:docPart>
    <w:docPart>
      <w:docPartPr>
        <w:name w:val="13787D46F320C94F99AA01490DF11CBC"/>
        <w:category>
          <w:name w:val="Generale"/>
          <w:gallery w:val="placeholder"/>
        </w:category>
        <w:types>
          <w:type w:val="bbPlcHdr"/>
        </w:types>
        <w:behaviors>
          <w:behavior w:val="content"/>
        </w:behaviors>
        <w:guid w:val="{5E1EF364-A5E4-E640-B147-290BF1342A1F}"/>
      </w:docPartPr>
      <w:docPartBody>
        <w:p w:rsidR="002A7434" w:rsidRDefault="00E22175" w:rsidP="00E22175">
          <w:pPr>
            <w:pStyle w:val="13787D46F320C94F99AA01490DF11CBC"/>
          </w:pPr>
          <w:r w:rsidRPr="00E84037">
            <w:rPr>
              <w:rStyle w:val="Testosegnaposto"/>
            </w:rPr>
            <w:t>Fare clic o toccare qui per immettere il testo.</w:t>
          </w:r>
        </w:p>
      </w:docPartBody>
    </w:docPart>
    <w:docPart>
      <w:docPartPr>
        <w:name w:val="6A1885612BC2424F9851B5E3942BA271"/>
        <w:category>
          <w:name w:val="Generale"/>
          <w:gallery w:val="placeholder"/>
        </w:category>
        <w:types>
          <w:type w:val="bbPlcHdr"/>
        </w:types>
        <w:behaviors>
          <w:behavior w:val="content"/>
        </w:behaviors>
        <w:guid w:val="{E216DA1B-0449-6241-B044-D0ABB9FCB70B}"/>
      </w:docPartPr>
      <w:docPartBody>
        <w:p w:rsidR="002A7434" w:rsidRDefault="00E22175" w:rsidP="00E22175">
          <w:pPr>
            <w:pStyle w:val="6A1885612BC2424F9851B5E3942BA271"/>
          </w:pPr>
          <w:r w:rsidRPr="00E84037">
            <w:rPr>
              <w:rStyle w:val="Testosegnaposto"/>
            </w:rPr>
            <w:t>Fare clic o toccare qui per immettere il testo.</w:t>
          </w:r>
        </w:p>
      </w:docPartBody>
    </w:docPart>
    <w:docPart>
      <w:docPartPr>
        <w:name w:val="F8216F80AEC93D429C98BBF3E85637F5"/>
        <w:category>
          <w:name w:val="Generale"/>
          <w:gallery w:val="placeholder"/>
        </w:category>
        <w:types>
          <w:type w:val="bbPlcHdr"/>
        </w:types>
        <w:behaviors>
          <w:behavior w:val="content"/>
        </w:behaviors>
        <w:guid w:val="{6F6D7458-14FC-FF4C-93B1-C59A82EAACC8}"/>
      </w:docPartPr>
      <w:docPartBody>
        <w:p w:rsidR="002A7434" w:rsidRDefault="00E22175" w:rsidP="00E22175">
          <w:pPr>
            <w:pStyle w:val="F8216F80AEC93D429C98BBF3E85637F5"/>
          </w:pPr>
          <w:r w:rsidRPr="00E84037">
            <w:rPr>
              <w:rStyle w:val="Testosegnaposto"/>
            </w:rPr>
            <w:t>Fare clic o toccare qui per immettere il testo.</w:t>
          </w:r>
        </w:p>
      </w:docPartBody>
    </w:docPart>
    <w:docPart>
      <w:docPartPr>
        <w:name w:val="C286FF385D1C7B4C9137FC567A644E9C"/>
        <w:category>
          <w:name w:val="Generale"/>
          <w:gallery w:val="placeholder"/>
        </w:category>
        <w:types>
          <w:type w:val="bbPlcHdr"/>
        </w:types>
        <w:behaviors>
          <w:behavior w:val="content"/>
        </w:behaviors>
        <w:guid w:val="{747E7EF8-4A25-D140-B5B6-031F7357802F}"/>
      </w:docPartPr>
      <w:docPartBody>
        <w:p w:rsidR="002A7434" w:rsidRDefault="00E22175" w:rsidP="00E22175">
          <w:pPr>
            <w:pStyle w:val="C286FF385D1C7B4C9137FC567A644E9C"/>
          </w:pPr>
          <w:r w:rsidRPr="00E84037">
            <w:rPr>
              <w:rStyle w:val="Testosegnaposto"/>
            </w:rPr>
            <w:t>Fare clic o toccare qui per immettere il testo.</w:t>
          </w:r>
        </w:p>
      </w:docPartBody>
    </w:docPart>
    <w:docPart>
      <w:docPartPr>
        <w:name w:val="371C25729327684D883E5F6FC2C2E4BA"/>
        <w:category>
          <w:name w:val="Generale"/>
          <w:gallery w:val="placeholder"/>
        </w:category>
        <w:types>
          <w:type w:val="bbPlcHdr"/>
        </w:types>
        <w:behaviors>
          <w:behavior w:val="content"/>
        </w:behaviors>
        <w:guid w:val="{01F93F25-6BBD-F944-A5DA-073A5B5C1B44}"/>
      </w:docPartPr>
      <w:docPartBody>
        <w:p w:rsidR="002A7434" w:rsidRDefault="00E22175" w:rsidP="00E22175">
          <w:pPr>
            <w:pStyle w:val="371C25729327684D883E5F6FC2C2E4BA"/>
          </w:pPr>
          <w:r w:rsidRPr="00E84037">
            <w:rPr>
              <w:rStyle w:val="Testosegnaposto"/>
            </w:rPr>
            <w:t>Fare clic o toccare qui per immettere il testo.</w:t>
          </w:r>
        </w:p>
      </w:docPartBody>
    </w:docPart>
    <w:docPart>
      <w:docPartPr>
        <w:name w:val="2AEA5609A50E4B40953351674FB42505"/>
        <w:category>
          <w:name w:val="Generale"/>
          <w:gallery w:val="placeholder"/>
        </w:category>
        <w:types>
          <w:type w:val="bbPlcHdr"/>
        </w:types>
        <w:behaviors>
          <w:behavior w:val="content"/>
        </w:behaviors>
        <w:guid w:val="{C6DA908E-EA27-8A41-95AF-C868E25BAB52}"/>
      </w:docPartPr>
      <w:docPartBody>
        <w:p w:rsidR="002A7434" w:rsidRDefault="00E22175" w:rsidP="00E22175">
          <w:pPr>
            <w:pStyle w:val="2AEA5609A50E4B40953351674FB42505"/>
          </w:pPr>
          <w:r w:rsidRPr="00E84037">
            <w:rPr>
              <w:rStyle w:val="Testosegnaposto"/>
            </w:rPr>
            <w:t>Fare clic o toccare qui per immettere il testo.</w:t>
          </w:r>
        </w:p>
      </w:docPartBody>
    </w:docPart>
    <w:docPart>
      <w:docPartPr>
        <w:name w:val="18EFAD7C6A13A44981B07AA5348869F0"/>
        <w:category>
          <w:name w:val="Generale"/>
          <w:gallery w:val="placeholder"/>
        </w:category>
        <w:types>
          <w:type w:val="bbPlcHdr"/>
        </w:types>
        <w:behaviors>
          <w:behavior w:val="content"/>
        </w:behaviors>
        <w:guid w:val="{A635E48F-F388-0B45-8F54-C971E93B81B8}"/>
      </w:docPartPr>
      <w:docPartBody>
        <w:p w:rsidR="002A7434" w:rsidRDefault="00E22175" w:rsidP="00E22175">
          <w:pPr>
            <w:pStyle w:val="18EFAD7C6A13A44981B07AA5348869F0"/>
          </w:pPr>
          <w:r w:rsidRPr="00E84037">
            <w:rPr>
              <w:rStyle w:val="Testosegnaposto"/>
            </w:rPr>
            <w:t>Fare clic o toccare qui per immettere il testo.</w:t>
          </w:r>
        </w:p>
      </w:docPartBody>
    </w:docPart>
    <w:docPart>
      <w:docPartPr>
        <w:name w:val="36E3CF3F64021544BA079CF6219A5FA5"/>
        <w:category>
          <w:name w:val="Generale"/>
          <w:gallery w:val="placeholder"/>
        </w:category>
        <w:types>
          <w:type w:val="bbPlcHdr"/>
        </w:types>
        <w:behaviors>
          <w:behavior w:val="content"/>
        </w:behaviors>
        <w:guid w:val="{0EAD9F17-148C-CC47-B42A-585CF65C88C2}"/>
      </w:docPartPr>
      <w:docPartBody>
        <w:p w:rsidR="005A341F" w:rsidRDefault="00E61AF2" w:rsidP="00E61AF2">
          <w:pPr>
            <w:pStyle w:val="36E3CF3F64021544BA079CF6219A5FA5"/>
          </w:pPr>
          <w:r w:rsidRPr="00E84037">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dvP6960">
    <w:altName w:val="Cambria"/>
    <w:panose1 w:val="020B0604020202020204"/>
    <w:charset w:val="4D"/>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AA"/>
    <w:rsid w:val="000D0812"/>
    <w:rsid w:val="000D7EFE"/>
    <w:rsid w:val="0016621D"/>
    <w:rsid w:val="001D4124"/>
    <w:rsid w:val="002A7434"/>
    <w:rsid w:val="002B256A"/>
    <w:rsid w:val="0044125D"/>
    <w:rsid w:val="005A341F"/>
    <w:rsid w:val="005E3AC6"/>
    <w:rsid w:val="006A4542"/>
    <w:rsid w:val="00774045"/>
    <w:rsid w:val="00873939"/>
    <w:rsid w:val="009A6CFB"/>
    <w:rsid w:val="00A1794A"/>
    <w:rsid w:val="00A908B1"/>
    <w:rsid w:val="00A96C0D"/>
    <w:rsid w:val="00B440E9"/>
    <w:rsid w:val="00BD68D5"/>
    <w:rsid w:val="00C0212E"/>
    <w:rsid w:val="00C120F2"/>
    <w:rsid w:val="00C2244A"/>
    <w:rsid w:val="00CA0D96"/>
    <w:rsid w:val="00CD33E2"/>
    <w:rsid w:val="00CD7004"/>
    <w:rsid w:val="00D006F4"/>
    <w:rsid w:val="00D45A9D"/>
    <w:rsid w:val="00DD526A"/>
    <w:rsid w:val="00E010AB"/>
    <w:rsid w:val="00E159CF"/>
    <w:rsid w:val="00E22175"/>
    <w:rsid w:val="00E44969"/>
    <w:rsid w:val="00E61AF2"/>
    <w:rsid w:val="00EA7F9B"/>
    <w:rsid w:val="00EE49D4"/>
    <w:rsid w:val="00F14176"/>
    <w:rsid w:val="00F71F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61AF2"/>
    <w:rPr>
      <w:color w:val="666666"/>
    </w:rPr>
  </w:style>
  <w:style w:type="paragraph" w:customStyle="1" w:styleId="324EB2D5D15C4045926025C3B43B4797">
    <w:name w:val="324EB2D5D15C4045926025C3B43B4797"/>
    <w:rsid w:val="0044125D"/>
  </w:style>
  <w:style w:type="paragraph" w:customStyle="1" w:styleId="827E05BADB969C4EB4A3AF7E361542A6">
    <w:name w:val="827E05BADB969C4EB4A3AF7E361542A6"/>
    <w:rsid w:val="00F71FAA"/>
  </w:style>
  <w:style w:type="paragraph" w:customStyle="1" w:styleId="92CBB7E4D12A06438A5E75F19EB4237B">
    <w:name w:val="92CBB7E4D12A06438A5E75F19EB4237B"/>
    <w:rsid w:val="0044125D"/>
  </w:style>
  <w:style w:type="paragraph" w:customStyle="1" w:styleId="DE5E476A8DFF6648AAE87C4E9407A4DD">
    <w:name w:val="DE5E476A8DFF6648AAE87C4E9407A4DD"/>
    <w:rsid w:val="0044125D"/>
  </w:style>
  <w:style w:type="paragraph" w:customStyle="1" w:styleId="EAC017AB6EFC3F4DADAA4D5B19CD6148">
    <w:name w:val="EAC017AB6EFC3F4DADAA4D5B19CD6148"/>
    <w:rsid w:val="0044125D"/>
  </w:style>
  <w:style w:type="paragraph" w:customStyle="1" w:styleId="5592CFDBFE2C3C4F90C917C657A47B41">
    <w:name w:val="5592CFDBFE2C3C4F90C917C657A47B41"/>
    <w:rsid w:val="0044125D"/>
  </w:style>
  <w:style w:type="paragraph" w:customStyle="1" w:styleId="C52AB1868CA44142AA888EEC1D532B87">
    <w:name w:val="C52AB1868CA44142AA888EEC1D532B87"/>
    <w:rsid w:val="00E22175"/>
  </w:style>
  <w:style w:type="paragraph" w:customStyle="1" w:styleId="1AD6AD4C2D39FC4D8A2BEBCA9D94F698">
    <w:name w:val="1AD6AD4C2D39FC4D8A2BEBCA9D94F698"/>
    <w:rsid w:val="00E22175"/>
  </w:style>
  <w:style w:type="paragraph" w:customStyle="1" w:styleId="D5CEB853747A3645AE1BA2CB3D4EB9D3">
    <w:name w:val="D5CEB853747A3645AE1BA2CB3D4EB9D3"/>
    <w:rsid w:val="00E22175"/>
  </w:style>
  <w:style w:type="paragraph" w:customStyle="1" w:styleId="3BD4E85288E82F4C8D2F2A219FE94661">
    <w:name w:val="3BD4E85288E82F4C8D2F2A219FE94661"/>
    <w:rsid w:val="00E22175"/>
  </w:style>
  <w:style w:type="paragraph" w:customStyle="1" w:styleId="13787D46F320C94F99AA01490DF11CBC">
    <w:name w:val="13787D46F320C94F99AA01490DF11CBC"/>
    <w:rsid w:val="00E22175"/>
  </w:style>
  <w:style w:type="paragraph" w:customStyle="1" w:styleId="6A1885612BC2424F9851B5E3942BA271">
    <w:name w:val="6A1885612BC2424F9851B5E3942BA271"/>
    <w:rsid w:val="00E22175"/>
  </w:style>
  <w:style w:type="paragraph" w:customStyle="1" w:styleId="F8216F80AEC93D429C98BBF3E85637F5">
    <w:name w:val="F8216F80AEC93D429C98BBF3E85637F5"/>
    <w:rsid w:val="00E22175"/>
  </w:style>
  <w:style w:type="paragraph" w:customStyle="1" w:styleId="C286FF385D1C7B4C9137FC567A644E9C">
    <w:name w:val="C286FF385D1C7B4C9137FC567A644E9C"/>
    <w:rsid w:val="00E22175"/>
  </w:style>
  <w:style w:type="paragraph" w:customStyle="1" w:styleId="371C25729327684D883E5F6FC2C2E4BA">
    <w:name w:val="371C25729327684D883E5F6FC2C2E4BA"/>
    <w:rsid w:val="00E22175"/>
  </w:style>
  <w:style w:type="paragraph" w:customStyle="1" w:styleId="2AEA5609A50E4B40953351674FB42505">
    <w:name w:val="2AEA5609A50E4B40953351674FB42505"/>
    <w:rsid w:val="00E22175"/>
  </w:style>
  <w:style w:type="paragraph" w:customStyle="1" w:styleId="18EFAD7C6A13A44981B07AA5348869F0">
    <w:name w:val="18EFAD7C6A13A44981B07AA5348869F0"/>
    <w:rsid w:val="00E22175"/>
  </w:style>
  <w:style w:type="paragraph" w:customStyle="1" w:styleId="36E3CF3F64021544BA079CF6219A5FA5">
    <w:name w:val="36E3CF3F64021544BA079CF6219A5FA5"/>
    <w:rsid w:val="00E61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8389F1-42D2-4F46-A167-A88F262CFB2B}">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4537212545"/>
    <we:property name="MENDELEY_CITATIONS" value="[{&quot;citationID&quot;:&quot;MENDELEY_CITATION_f82d4d64-829b-44a5-a796-48138a8d3ee3&quot;,&quot;properties&quot;:{&quot;noteIndex&quot;:0},&quot;isEdited&quot;:false,&quot;manualOverride&quot;:{&quot;isManuallyOverridden&quot;:false,&quot;citeprocText&quot;:&quot;(Fazi et al., 2026)&quot;,&quot;manualOverrideText&quot;:&quot;&quot;},&quot;citationTag&quot;:&quot;MENDELEY_CITATION_v3_eyJjaXRhdGlvbklEIjoiTUVOREVMRVlfQ0lUQVRJT05fZjgyZDRkNjQtODI5Yi00NGE1LWE3OTYtNDgxMzhhOGQzZWUzIiwicHJvcGVydGllcyI6eyJub3RlSW5kZXgiOjB9LCJpc0VkaXRlZCI6ZmFsc2UsIm1hbnVhbE92ZXJyaWRlIjp7ImlzTWFudWFsbHlPdmVycmlkZGVuIjpmYWxzZSwiY2l0ZXByb2NUZXh0IjoiKEZhemkgZXQgYWwuLCAyMDI2KSIsIm1hbnVhbE92ZXJyaWRlVGV4dCI6IiJ9LCJjaXRhdGlvbkl0ZW1zIjpbeyJpZCI6Ijg4ZmU4YzMyLWZlM2QtM2U2MC05M2M4LWM0NWZjN2EwNDFhYyIsIml0ZW1EYXRhIjp7InR5cGUiOiJhcnRpY2xlLWpvdXJuYWwiLCJpZCI6Ijg4ZmU4YzMyLWZlM2QtM2U2MC05M2M4LWM0NWZjN2EwNDFhYy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quot;,&quot;citationItems&quot;:[{&quot;id&quot;:&quot;88fe8c32-fe3d-3e60-93c8-c45fc7a041ac&quot;,&quot;itemData&quot;:{&quot;type&quot;:&quot;article-journal&quot;,&quot;id&quot;:&quot;88fe8c32-fe3d-3e60-93c8-c45fc7a041ac&quot;,&quot;title&quot;:&quot;Designing Biochar through Controlled Synthesis: Correlating Processing Conditions with Functional Performance&quot;,&quot;author&quot;:[{&quot;family&quot;:&quot;Fazi&quot;,&quot;given&quot;:&quot;Martina&quot;,&quot;parse-names&quot;:false,&quot;dropping-particle&quot;:&quot;&quot;,&quot;non-dropping-particle&quot;:&quot;&quot;},{&quot;family&quot;:&quot;Rosa&quot;,&quot;given&quot;:&quot;Domenico&quot;,&quot;parse-names&quot;:false,&quot;dropping-particle&quot;:&quot;&quot;,&quot;non-dropping-particle&quot;:&quot;&quot;},{&quot;family&quot;:&quot;Palma&quot;,&quot;given&quot;:&quot;Luca&quot;,&quot;parse-names&quot;:false,&quot;dropping-particle&quot;:&quot;&quot;,&quot;non-dropping-particle&quot;:&quot;Di&quot;}],&quot;container-title&quot;:&quot;Journal of Analytical and Applied Pyrolysis&quot;,&quot;container-title-short&quot;:&quot;J. Anal. Appl. Pyrolysis&quot;,&quot;DOI&quot;:&quot;10.1016/j.jaap.2026.107772&quot;,&quot;ISSN&quot;:&quot;01652370&quot;,&quot;URL&quot;:&quot;https://linkinghub.elsevier.com/retrieve/pii/S0165237026001798&quot;,&quot;issued&quot;:{&quot;date-parts&quot;:[[2026,3]]},&quot;page&quot;:&quot;107772&quot;},&quot;isTemporary&quot;:false}]},{&quot;citationID&quot;:&quot;MENDELEY_CITATION_f51d51d2-2319-4851-9948-566a195321ba&quot;,&quot;properties&quot;:{&quot;noteIndex&quot;:0},&quot;isEdited&quot;:false,&quot;manualOverride&quot;:{&quot;isManuallyOverridden&quot;:false,&quot;citeprocText&quot;:&quot;(Fazi et al., 2026)&quot;,&quot;manualOverrideText&quot;:&quot;&quot;},&quot;citationTag&quot;:&quot;MENDELEY_CITATION_v3_eyJjaXRhdGlvbklEIjoiTUVOREVMRVlfQ0lUQVRJT05fZjUxZDUxZDItMjMxOS00ODUxLTk5NDgtNTY2YTE5NTMyMWJhIiwicHJvcGVydGllcyI6eyJub3RlSW5kZXgiOjB9LCJpc0VkaXRlZCI6ZmFsc2UsIm1hbnVhbE92ZXJyaWRlIjp7ImlzTWFudWFsbHlPdmVycmlkZGVuIjpmYWxzZSwiY2l0ZXByb2NUZXh0IjoiKEZhemkgZXQgYWwuLCAyMDI2KSIsIm1hbnVhbE92ZXJyaWRlVGV4dCI6IiJ9LCJjaXRhdGlvbkl0ZW1zIjpbeyJpZCI6Ijg4ZmU4YzMyLWZlM2QtM2U2MC05M2M4LWM0NWZjN2EwNDFhYyIsIml0ZW1EYXRhIjp7InR5cGUiOiJhcnRpY2xlLWpvdXJuYWwiLCJpZCI6Ijg4ZmU4YzMyLWZlM2QtM2U2MC05M2M4LWM0NWZjN2EwNDFhYy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quot;,&quot;citationItems&quot;:[{&quot;id&quot;:&quot;88fe8c32-fe3d-3e60-93c8-c45fc7a041ac&quot;,&quot;itemData&quot;:{&quot;type&quot;:&quot;article-journal&quot;,&quot;id&quot;:&quot;88fe8c32-fe3d-3e60-93c8-c45fc7a041ac&quot;,&quot;title&quot;:&quot;Designing Biochar through Controlled Synthesis: Correlating Processing Conditions with Functional Performance&quot;,&quot;author&quot;:[{&quot;family&quot;:&quot;Fazi&quot;,&quot;given&quot;:&quot;Martina&quot;,&quot;parse-names&quot;:false,&quot;dropping-particle&quot;:&quot;&quot;,&quot;non-dropping-particle&quot;:&quot;&quot;},{&quot;family&quot;:&quot;Rosa&quot;,&quot;given&quot;:&quot;Domenico&quot;,&quot;parse-names&quot;:false,&quot;dropping-particle&quot;:&quot;&quot;,&quot;non-dropping-particle&quot;:&quot;&quot;},{&quot;family&quot;:&quot;Palma&quot;,&quot;given&quot;:&quot;Luca&quot;,&quot;parse-names&quot;:false,&quot;dropping-particle&quot;:&quot;&quot;,&quot;non-dropping-particle&quot;:&quot;Di&quot;}],&quot;container-title&quot;:&quot;Journal of Analytical and Applied Pyrolysis&quot;,&quot;container-title-short&quot;:&quot;J. Anal. Appl. Pyrolysis&quot;,&quot;DOI&quot;:&quot;10.1016/j.jaap.2026.107772&quot;,&quot;ISSN&quot;:&quot;01652370&quot;,&quot;URL&quot;:&quot;https://linkinghub.elsevier.com/retrieve/pii/S0165237026001798&quot;,&quot;issued&quot;:{&quot;date-parts&quot;:[[2026,3]]},&quot;page&quot;:&quot;107772&quot;},&quot;isTemporary&quot;:false}]},{&quot;citationID&quot;:&quot;MENDELEY_CITATION_89230fc6-cfde-46c8-aa34-615a98cd1b36&quot;,&quot;properties&quot;:{&quot;noteIndex&quot;:0},&quot;isEdited&quot;:false,&quot;manualOverride&quot;:{&quot;isManuallyOverridden&quot;:true,&quot;citeprocText&quot;:&quot;(Fazi et al., 2025)&quot;,&quot;manualOverrideText&quot;:&quot;Fazi et al., 2025&quot;},&quot;citationItems&quot;:[{&quot;id&quot;:&quot;4ac9b0ec-2fd6-3c27-8066-b255c956c192&quot;,&quot;itemData&quot;:{&quot;type&quot;:&quot;article-journal&quot;,&quot;id&quot;:&quot;4ac9b0ec-2fd6-3c27-8066-b255c956c192&quot;,&quot;title&quot;:&quot;Modulating Biochar Properties through Pyrolysis Temperature for Different Applications&quot;,&quot;author&quot;:[{&quot;family&quot;:&quot;Fazi&quot;,&quot;given&quot;:&quot;Martina&quot;,&quot;parse-names&quot;:false,&quot;dropping-particle&quot;:&quot;&quot;,&quot;non-dropping-particle&quot;:&quot;&quot;},{&quot;family&quot;:&quot;Rosa&quot;,&quot;given&quot;:&quot;Domenico&quot;,&quot;parse-names&quot;:false,&quot;dropping-particle&quot;:&quot;&quot;,&quot;non-dropping-particle&quot;:&quot;&quot;},{&quot;family&quot;:&quot;Palma&quot;,&quot;given&quot;:&quot;Luca&quot;,&quot;parse-names&quot;:false,&quot;dropping-particle&quot;:&quot;&quot;,&quot;non-dropping-particle&quot;:&quot;Di&quot;}],&quot;container-title&quot;:&quot;Chemical Engineering Transactions &quot;,&quot;DOI&quot;:&quot;10.3303/CET25117005&quot;,&quot;ISSN&quot;:&quot;22839216&quot;,&quot;issued&quot;:{&quot;date-parts&quot;:[[2025]]},&quot;page&quot;:&quot;25-30&quot;,&quot;abstract&quot;:&quot;Biochar, the solid product of biomass carbonization, is a versatile material that can be used for different applications. This material is a sustainable solution for many environment issues, like food waste treatment, greenhouse gases emission reduction and soil remediation. In this work, slow pyrolysis was used to produce biochar from agri-food waste at three different temperatures (500, 800 and 900 °C) for 1 hour as residence time. The produced biochars were characterized through SEM and EDS analisys. Point of zero charge (pHZC) was measured, and the leaching of nutrients and anions from biochars was investigated. Results show that biochar main characteritics strongly depended on the sinthesys temperature: at increasing pyrolysis temperature point of zero charge increased, as well as the leaching of chlorides phosphates and nitrates. Adsorption tests were then carried out to assess the adsorption properties of biochars synthesized at different temperatures. The biochar produced at 500 °C proved to be the most effective in the removal of organic dyes in water. According to the results of the characterization study, some applications were proposed for the synthetized biochars.&quot;,&quot;publisher&quot;:&quot;Italian Association of Chemical Engineering - AIDIC&quot;,&quot;volume&quot;:&quot;117&quot;,&quot;container-title-short&quot;:&quot;&quot;},&quot;isTemporary&quot;:false}],&quot;citationTag&quot;:&quot;MENDELEY_CITATION_v3_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&quot;},{&quot;citationID&quot;:&quot;MENDELEY_CITATION_b5e8ac9a-431b-4c22-a855-ceef1849856e&quot;,&quot;properties&quot;:{&quot;noteIndex&quot;:0},&quot;isEdited&quot;:false,&quot;manualOverride&quot;:{&quot;isManuallyOverridden&quot;:true,&quot;citeprocText&quot;:&quot;(Fazi et al., 2025)&quot;,&quot;manualOverrideText&quot;:&quot;Fazi et al., 2025&quot;},&quot;citationTag&quot;:&quot;MENDELEY_CITATION_v3_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&quot;,&quot;citationItems&quot;:[{&quot;id&quot;:&quot;4ac9b0ec-2fd6-3c27-8066-b255c956c192&quot;,&quot;itemData&quot;:{&quot;type&quot;:&quot;article-journal&quot;,&quot;id&quot;:&quot;4ac9b0ec-2fd6-3c27-8066-b255c956c192&quot;,&quot;title&quot;:&quot;Modulating Biochar Properties through Pyrolysis Temperature for Different Applications&quot;,&quot;author&quot;:[{&quot;family&quot;:&quot;Fazi&quot;,&quot;given&quot;:&quot;Martina&quot;,&quot;parse-names&quot;:false,&quot;dropping-particle&quot;:&quot;&quot;,&quot;non-dropping-particle&quot;:&quot;&quot;},{&quot;family&quot;:&quot;Rosa&quot;,&quot;given&quot;:&quot;Domenico&quot;,&quot;parse-names&quot;:false,&quot;dropping-particle&quot;:&quot;&quot;,&quot;non-dropping-particle&quot;:&quot;&quot;},{&quot;family&quot;:&quot;Palma&quot;,&quot;given&quot;:&quot;Luca&quot;,&quot;parse-names&quot;:false,&quot;dropping-particle&quot;:&quot;&quot;,&quot;non-dropping-particle&quot;:&quot;Di&quot;}],&quot;container-title&quot;:&quot;Chemical Engineering Transactions &quot;,&quot;DOI&quot;:&quot;10.3303/CET25117005&quot;,&quot;ISSN&quot;:&quot;22839216&quot;,&quot;issued&quot;:{&quot;date-parts&quot;:[[2025]]},&quot;page&quot;:&quot;25-30&quot;,&quot;abstract&quot;:&quot;Biochar, the solid product of biomass carbonization, is a versatile material that can be used for different applications. This material is a sustainable solution for many environment issues, like food waste treatment, greenhouse gases emission reduction and soil remediation. In this work, slow pyrolysis was used to produce biochar from agri-food waste at three different temperatures (500, 800 and 900 °C) for 1 hour as residence time. The produced biochars were characterized through SEM and EDS analisys. Point of zero charge (pHZC) was measured, and the leaching of nutrients and anions from biochars was investigated. Results show that biochar main characteritics strongly depended on the sinthesys temperature: at increasing pyrolysis temperature point of zero charge increased, as well as the leaching of chlorides phosphates and nitrates. Adsorption tests were then carried out to assess the adsorption properties of biochars synthesized at different temperatures. The biochar produced at 500 °C proved to be the most effective in the removal of organic dyes in water. According to the results of the characterization study, some applications were proposed for the synthetized biochars.&quot;,&quot;publisher&quot;:&quot;Italian Association of Chemical Engineering - AIDIC&quot;,&quot;volume&quot;:&quot;117&quot;,&quot;container-title-short&quot;:&quot;&quot;},&quot;isTemporary&quot;:false}]},{&quot;citationID&quot;:&quot;MENDELEY_CITATION_b709b89f-d343-4e14-80c2-cdd975644268&quot;,&quot;properties&quot;:{&quot;noteIndex&quot;:0},&quot;isEdited&quot;:false,&quot;manualOverride&quot;:{&quot;isManuallyOverridden&quot;:false,&quot;citeprocText&quot;:&quot;(Fazi et al., 2026)&quot;,&quot;manualOverrideText&quot;:&quot;&quot;},&quot;citationItems&quot;:[{&quot;id&quot;:&quot;88fe8c32-fe3d-3e60-93c8-c45fc7a041ac&quot;,&quot;itemData&quot;:{&quot;type&quot;:&quot;article-journal&quot;,&quot;id&quot;:&quot;88fe8c32-fe3d-3e60-93c8-c45fc7a041ac&quot;,&quot;title&quot;:&quot;Designing Biochar through Controlled Synthesis: Correlating Processing Conditions with Functional Performance&quot;,&quot;author&quot;:[{&quot;family&quot;:&quot;Fazi&quot;,&quot;given&quot;:&quot;Martina&quot;,&quot;parse-names&quot;:false,&quot;dropping-particle&quot;:&quot;&quot;,&quot;non-dropping-particle&quot;:&quot;&quot;},{&quot;family&quot;:&quot;Rosa&quot;,&quot;given&quot;:&quot;Domenico&quot;,&quot;parse-names&quot;:false,&quot;dropping-particle&quot;:&quot;&quot;,&quot;non-dropping-particle&quot;:&quot;&quot;},{&quot;family&quot;:&quot;Palma&quot;,&quot;given&quot;:&quot;Luca&quot;,&quot;parse-names&quot;:false,&quot;dropping-particle&quot;:&quot;&quot;,&quot;non-dropping-particle&quot;:&quot;Di&quot;}],&quot;container-title&quot;:&quot;Journal of Analytical and Applied Pyrolysis&quot;,&quot;container-title-short&quot;:&quot;J. Anal. Appl. Pyrolysis&quot;,&quot;DOI&quot;:&quot;10.1016/j.jaap.2026.107772&quot;,&quot;ISSN&quot;:&quot;01652370&quot;,&quot;URL&quot;:&quot;https://linkinghub.elsevier.com/retrieve/pii/S0165237026001798&quot;,&quot;issued&quot;:{&quot;date-parts&quot;:[[2026,3]]},&quot;page&quot;:&quot;107772&quot;},&quot;isTemporary&quot;:false}],&quot;citationTag&quot;:&quot;MENDELEY_CITATION_v3_eyJjaXRhdGlvbklEIjoiTUVOREVMRVlfQ0lUQVRJT05fYjcwOWI4OWYtZDM0My00ZTE0LTgwYzItY2RkOTc1NjQ0MjY4IiwicHJvcGVydGllcyI6eyJub3RlSW5kZXgiOjB9LCJpc0VkaXRlZCI6ZmFsc2UsIm1hbnVhbE92ZXJyaWRlIjp7ImlzTWFudWFsbHlPdmVycmlkZGVuIjpmYWxzZSwiY2l0ZXByb2NUZXh0IjoiKEZhemkgZXQgYWwuLCAyMDI2KSIsIm1hbnVhbE92ZXJyaWRlVGV4dCI6IiJ9LCJjaXRhdGlvbkl0ZW1zIjpbeyJpZCI6Ijg4ZmU4YzMyLWZlM2QtM2U2MC05M2M4LWM0NWZjN2EwNDFhYyIsIml0ZW1EYXRhIjp7InR5cGUiOiJhcnRpY2xlLWpvdXJuYWwiLCJpZCI6Ijg4ZmU4YzMyLWZlM2QtM2U2MC05M2M4LWM0NWZjN2EwNDFhYy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quot;},{&quot;citationID&quot;:&quot;MENDELEY_CITATION_bebec4cd-447e-4a8e-95c4-e84dd7f68bb3&quot;,&quot;properties&quot;:{&quot;noteIndex&quot;:0},&quot;isEdited&quot;:false,&quot;manualOverride&quot;:{&quot;isManuallyOverridden&quot;:false,&quot;citeprocText&quot;:&quot;(Guilhen et al., 2022)&quot;,&quot;manualOverrideText&quot;:&quot;&quot;},&quot;citationItems&quot;:[{&quot;id&quot;:&quot;393415ad-a1e5-37e1-8d84-32cb0b2273a8&quot;,&quot;itemData&quot;:{&quot;type&quot;:&quot;article-journal&quot;,&quot;id&quot;:&quot;393415ad-a1e5-37e1-8d84-32cb0b2273a8&quot;,&quot;title&quot;:&quot;Role of Point of Zero Charge in the Adsorption of Cationic Textile Dye on Standard Biochars from Aqueous Solutions: Selection Criteria and Performance Assessment&quot;,&quot;author&quot;:[{&quot;family&quot;:&quot;Guilhen&quot;,&quot;given&quot;:&quot;Sabine Neusatz&quot;,&quot;parse-names&quot;:false,&quot;dropping-particle&quot;:&quot;&quot;,&quot;non-dropping-particle&quot;:&quot;&quot;},{&quot;family&quot;:&quot;Watanabe&quot;,&quot;given&quot;:&quot;Tamires&quot;,&quot;parse-names&quot;:false,&quot;dropping-particle&quot;:&quot;&quot;,&quot;non-dropping-particle&quot;:&quot;&quot;},{&quot;family&quot;:&quot;Silva&quot;,&quot;given&quot;:&quot;Thalita Tieko&quot;,&quot;parse-names&quot;:false,&quot;dropping-particle&quot;:&quot;&quot;,&quot;non-dropping-particle&quot;:&quot;&quot;},{&quot;family&quot;:&quot;Rovani&quot;,&quot;given&quot;:&quot;Suzimara&quot;,&quot;parse-names&quot;:false,&quot;dropping-particle&quot;:&quot;&quot;,&quot;non-dropping-particle&quot;:&quot;&quot;},{&quot;family&quot;:&quot;Marumo&quot;,&quot;given&quot;:&quot;Júlio Takehiro&quot;,&quot;parse-names&quot;:false,&quot;dropping-particle&quot;:&quot;&quot;,&quot;non-dropping-particle&quot;:&quot;&quot;},{&quot;family&quot;:&quot;Tenório&quot;,&quot;given&quot;:&quot;Jorge Alberto Soares&quot;,&quot;parse-names&quot;:false,&quot;dropping-particle&quot;:&quot;&quot;,&quot;non-dropping-particle&quot;:&quot;&quot;},{&quot;family&quot;:&quot;Mašek&quot;,&quot;given&quot;:&quot;Ondřej&quot;,&quot;parse-names&quot;:false,&quot;dropping-particle&quot;:&quot;&quot;,&quot;non-dropping-particle&quot;:&quot;&quot;},{&quot;family&quot;:&quot;Araujo&quot;,&quot;given&quot;:&quot;Leandro Goulart&quot;,&quot;parse-names&quot;:false,&quot;dropping-particle&quot;:&quot;de&quot;,&quot;non-dropping-particle&quot;:&quot;&quot;}],&quot;container-title&quot;:&quot;Recent Progress in Materials&quot;,&quot;DOI&quot;:&quot;10.21926/rpm.2202010&quot;,&quot;ISSN&quot;:&quot;26895846&quot;,&quot;URL&quot;:&quot;http://lidsen.com/journals/rpm/rpm-04-02-010&quot;,&quot;issued&quot;:{&quot;date-parts&quot;:[[2022,4,19]]},&quot;page&quot;:&quot;1-1&quot;,&quot;abstract&quot;:&quot;&lt;p&gt;The point of zero charge (PZC) is an inherent electrokinetic property of biochars (BC). It influences the adsorption process under certain pH conditions. Herein, we report the method of determination of the PZC values of ten standard BCs. We used the salt addition method to select the BCs with suitable properties for methylene blue (MB) removal from aqueous solutions. The standard BCs were obtained by pyrolyzing five different biomasses at two distinct temperatures (550°C and 700°C). The BCs derived from rice husk (pHPZC at 7.22 and 7.64 for RH550 and RH700, respectively) and softwood pellets (pHPZC at 6.57 and 6.78 for SWP500 and SWP700, respectively) were selected for their compatibility with cationic dyes such as MB. Results from adsorption experiments indicated the potential use of the RH biochar as an adsorbent for the removal of MB from aqueous solutions. The removal efficiencies were 68.83% and 71.97% for RH550 and RH700, respectively. Considerably low values were obtained for SWP550 and SWP700 (21.61% and 22.84%, respectively). Equilibrium was achieved at 2 h for RH550 and 1 h for RH700, and the adsorption kinetics for the RH BCs could be described by a pseudo-second order equation. The results revealed that even when produced under comparable conditions, BCs obtained from different feedstocks exhibited different cationic dye removing abilities. BCs optimized for the removal of cationic or anionic dyes can be easily engineered by appropriately matching the feedstock with the processing conditions.&lt;/p&gt;&quot;,&quot;issue&quot;:&quot;2&quot;,&quot;volume&quot;:&quot;4&quot;,&quot;container-title-short&quot;:&quot;Recent Prog. Mater.&quot;},&quot;isTemporary&quot;:false}],&quot;citationTag&quot;:&quot;MENDELEY_CITATION_v3_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&quot;},{&quot;citationID&quot;:&quot;MENDELEY_CITATION_0f4f6369-abd8-4925-b72a-a5512cc1ed8f&quot;,&quot;properties&quot;:{&quot;noteIndex&quot;:0},&quot;isEdited&quot;:false,&quot;manualOverride&quot;:{&quot;isManuallyOverridden&quot;:false,&quot;citeprocText&quot;:&quot;(He et al., 2024)&quot;,&quot;manualOverrideText&quot;:&quot;&quot;},&quot;citationItems&quot;:[{&quot;id&quot;:&quot;c516d943-a394-3719-a34c-f398eba878dc&quot;,&quot;itemData&quot;:{&quot;type&quot;:&quot;article-journal&quot;,&quot;id&quot;:&quot;c516d943-a394-3719-a34c-f398eba878dc&quot;,&quot;title&quot;:&quot;Feedstock and pyrolysis temperature influence biochar properties and its interactions with soil substances: Insights from a DFT calculation&quot;,&quot;author&quot;:[{&quot;family&quot;:&quot;He&quot;,&quot;given&quot;:&quot;Debo&quot;,&quot;parse-names&quot;:false,&quot;dropping-particle&quot;:&quot;&quot;,&quot;non-dropping-particle&quot;:&quot;&quot;},{&quot;family&quot;:&quot;Luo&quot;,&quot;given&quot;:&quot;Yiming&quot;,&quot;parse-names&quot;:false,&quot;dropping-particle&quot;:&quot;&quot;,&quot;non-dropping-particle&quot;:&quot;&quot;},{&quot;family&quot;:&quot;Zhu&quot;,&quot;given&quot;:&quot;Bo&quot;,&quot;parse-names&quot;:false,&quot;dropping-particle&quot;:&quot;&quot;,&quot;non-dropping-particle&quot;:&quot;&quot;}],&quot;container-title&quot;:&quot;Science of the Total Environment&quot;,&quot;DOI&quot;:&quot;10.1016/j.scitotenv.2024.171259&quot;,&quot;ISSN&quot;:&quot;18791026&quot;,&quot;PMID&quot;:&quot;38417524&quot;,&quot;issued&quot;:{&quot;date-parts&quot;:[[2024,4,20]]},&quot;abstract&quot;:&quot;The use of biochar for soil improvement and emission reduction has been widely recognized for its excellent performance. However, the choice of feedstock and pyrolysis temperature for biochar production significantly affects its surface parameters and interactions with soil substances. In this study, we retrieved 465 peer-reviewed papers on the application of biochar in reducing greenhouse gas emissions and nutrient losses in soil and analyzed the changes in biochar physicochemical parameters from different feedstock and pyrolytic temperatures. Molecular simulation computing technology was also used to explore the impacts of these changes on the interaction between biochar and soil substances. The statistical results from the peer-reviewed papers indicated that biochar derived from wood-based feedstock exhibits superior physical characteristics, such as increased porosity and specific surface area. Conversely, biochar derived from straw-based feedstock was found to contain excellent element content, such as O, N, and H, and biochar derived from straw and produced at low pyrolysis temperatures contains a significant number of functional groups that enhance the charge transfer potential and adsorption stability by increasing surface charge density, charge distribution and bonding orbitals. However, it should be noted that this enhancement may also activate certain recalcitrant C compounds and promote biochar decomposition. Taken together, these results have significant implications for biochar practitioners when selecting suitable feedstock and pyrolysis temperatures based on agricultural needs and increasing their understanding of the interaction mechanism between biochar and soil substances.&quot;,&quot;publisher&quot;:&quot;Elsevier B.V.&quot;,&quot;volume&quot;:&quot;922&quot;,&quot;container-title-short&quot;:&quot;&quot;},&quot;isTemporary&quot;:false}],&quot;citationTag&quot;:&quot;MENDELEY_CITATION_v3_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&quot;},{&quot;citationID&quot;:&quot;MENDELEY_CITATION_541a7cf7-2951-4732-981a-2f43efbff7d1&quot;,&quot;properties&quot;:{&quot;noteIndex&quot;:0},&quot;isEdited&quot;:false,&quot;manualOverride&quot;:{&quot;isManuallyOverridden&quot;:false,&quot;citeprocText&quot;:&quot;(Fazi et al., 2026)&quot;,&quot;manualOverrideText&quot;:&quot;&quot;},&quot;citationItems&quot;:[{&quot;id&quot;:&quot;88fe8c32-fe3d-3e60-93c8-c45fc7a041ac&quot;,&quot;itemData&quot;:{&quot;type&quot;:&quot;article-journal&quot;,&quot;id&quot;:&quot;88fe8c32-fe3d-3e60-93c8-c45fc7a041ac&quot;,&quot;title&quot;:&quot;Designing Biochar through Controlled Synthesis: Correlating Processing Conditions with Functional Performance&quot;,&quot;author&quot;:[{&quot;family&quot;:&quot;Fazi&quot;,&quot;given&quot;:&quot;Martina&quot;,&quot;parse-names&quot;:false,&quot;dropping-particle&quot;:&quot;&quot;,&quot;non-dropping-particle&quot;:&quot;&quot;},{&quot;family&quot;:&quot;Rosa&quot;,&quot;given&quot;:&quot;Domenico&quot;,&quot;parse-names&quot;:false,&quot;dropping-particle&quot;:&quot;&quot;,&quot;non-dropping-particle&quot;:&quot;&quot;},{&quot;family&quot;:&quot;Palma&quot;,&quot;given&quot;:&quot;Luca&quot;,&quot;parse-names&quot;:false,&quot;dropping-particle&quot;:&quot;&quot;,&quot;non-dropping-particle&quot;:&quot;Di&quot;}],&quot;container-title&quot;:&quot;Journal of Analytical and Applied Pyrolysis&quot;,&quot;container-title-short&quot;:&quot;J. Anal. Appl. Pyrolysis&quot;,&quot;DOI&quot;:&quot;10.1016/j.jaap.2026.107772&quot;,&quot;ISSN&quot;:&quot;01652370&quot;,&quot;URL&quot;:&quot;https://linkinghub.elsevier.com/retrieve/pii/S0165237026001798&quot;,&quot;issued&quot;:{&quot;date-parts&quot;:[[2026,3]]},&quot;page&quot;:&quot;107772&quot;},&quot;isTemporary&quot;:false}],&quot;citationTag&quot;:&quot;MENDELEY_CITATION_v3_eyJjaXRhdGlvbklEIjoiTUVOREVMRVlfQ0lUQVRJT05fNTQxYTdjZjctMjk1MS00NzMyLTk4MWEtMmY0M2VmYmZmN2QxIiwicHJvcGVydGllcyI6eyJub3RlSW5kZXgiOjB9LCJpc0VkaXRlZCI6ZmFsc2UsIm1hbnVhbE92ZXJyaWRlIjp7ImlzTWFudWFsbHlPdmVycmlkZGVuIjpmYWxzZSwiY2l0ZXByb2NUZXh0IjoiKEZhemkgZXQgYWwuLCAyMDI2KSIsIm1hbnVhbE92ZXJyaWRlVGV4dCI6IiJ9LCJjaXRhdGlvbkl0ZW1zIjpbeyJpZCI6Ijg4ZmU4YzMyLWZlM2QtM2U2MC05M2M4LWM0NWZjN2EwNDFhYyIsIml0ZW1EYXRhIjp7InR5cGUiOiJhcnRpY2xlLWpvdXJuYWwiLCJpZCI6Ijg4ZmU4YzMyLWZlM2QtM2U2MC05M2M4LWM0NWZjN2EwNDFhYy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quot;},{&quot;citationID&quot;:&quot;MENDELEY_CITATION_fa706036-0bc1-4729-82c3-6e0ad37ff8cd&quot;,&quot;properties&quot;:{&quot;noteIndex&quot;:0},&quot;isEdited&quot;:false,&quot;manualOverride&quot;:{&quot;isManuallyOverridden&quot;:false,&quot;citeprocText&quot;:&quot;(Salazar-Batres &amp;#38; Moreno-Andrade, 2025)&quot;,&quot;manualOverrideText&quot;:&quot;&quot;},&quot;citationItems&quot;:[{&quot;id&quot;:&quot;b2e90912-7b82-3537-bf12-db0b1f2fef01&quot;,&quot;itemData&quot;:{&quot;type&quot;:&quot;article-journal&quot;,&quot;id&quot;:&quot;b2e90912-7b82-3537-bf12-db0b1f2fef01&quot;,&quot;title&quot;:&quot;Review of the Effects of Trace Metal Concentrations on the Anaerobic Digestion of Organic Solid Waste&quot;,&quot;author&quot;:[{&quot;family&quot;:&quot;Salazar-Batres&quot;,&quot;given&quot;:&quot;Karina J.&quot;,&quot;parse-names&quot;:false,&quot;dropping-particle&quot;:&quot;&quot;,&quot;non-dropping-particle&quot;:&quot;&quot;},{&quot;family&quot;:&quot;Moreno-Andrade&quot;,&quot;given&quot;:&quot;Iván&quot;,&quot;parse-names&quot;:false,&quot;dropping-particle&quot;:&quot;&quot;,&quot;non-dropping-particle&quot;:&quot;&quot;}],&quot;container-title&quot;:&quot;Bioenergy Research&quot;,&quot;DOI&quot;:&quot;10.1007/s12155-025-10826-y&quot;,&quot;ISSN&quot;:&quot;19391242&quot;,&quot;issued&quot;:{&quot;date-parts&quot;:[[2025,12,1]]},&quot;abstract&quot;:&quot;Anaerobic digestion is a promising technology for producing methane-rich biogas. Various wastes, including waste activated sludge, food waste, farm waste, agricultural waste, and wastewater, have been used as substrates to generate biogas, which can be transformed into electrical or thermal energy. However, process instability and low methane yield restrict the widespread application of this process. Several strategies have been employed to increase methane yield and energy production, including adding trace elements, such as iron, cobalt, molybdenum, and nickel. Trace elements are part of the cofactors of enzymes involved in methane synthesis and microbial growth. This review aims to analyze the effects of trace elements on methane yield and propose concentrations at which methane production increases, as well as potential inhibitory effects. The addition of trace metals to the anaerobic digestion process has been found to have positive effects, such as enhanced methane yields and productivities, volatile fatty acid (VFA) removal, and chemical oxygen demand removal. An analysis of previously published data from other researchers was adjusted to a variant of the Haldane equation, suggesting that ranges of mg of trace metals per gram of substrate added promote an increase in methane production (0.56–1.67 mg/g VS for iron, 0.01–0.1 mg/g VS for cobalt, 0.03–0.5 mg Mo/g VS for molybdenum, and 0.04–0.5 mg Mo/g VS for nickel). Furthermore, the literature review revealed that the efficiency of the process decreases with increasing metal dose beyond the proposed range. The frequency of trace elements addition directly influences VFA removal. Some trace elements, such as nickel, generate VFAs of higher molecular weight, modifying the process performance. Notably, the process efficiency decreases with higher doses of trace elements, although this promotes the VFA removal.&quot;,&quot;publisher&quot;:&quot;Springer&quot;,&quot;issue&quot;:&quot;1&quot;,&quot;volume&quot;:&quot;18&quot;,&quot;container-title-short&quot;:&quot;Bioenergy Res.&quot;},&quot;isTemporary&quot;:false}],&quot;citationTag&quot;:&quot;MENDELEY_CITATION_v3_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&quot;},{&quot;citationID&quot;:&quot;MENDELEY_CITATION_f00bf58e-0ed2-41c3-9496-a37c0135b183&quot;,&quot;properties&quot;:{&quot;noteIndex&quot;:0},&quot;isEdited&quot;:false,&quot;manualOverride&quot;:{&quot;isManuallyOverridden&quot;:false,&quot;citeprocText&quot;:&quot;(Guo et al., 2019)&quot;,&quot;manualOverrideText&quot;:&quot;&quot;},&quot;citationTag&quot;:&quot;MENDELEY_CITATION_v3_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&quot;,&quot;citationItems&quot;:[{&quot;id&quot;:&quot;e9e7a07f-910d-35f6-b3cf-8de4057e0649&quot;,&quot;itemData&quot;:{&quot;type&quot;:&quot;article-journal&quot;,&quot;id&quot;:&quot;e9e7a07f-910d-35f6-b3cf-8de4057e0649&quot;,&quot;title&quot;:&quot;Heavy metals interact with the microbial community and affect biogas production in anaerobic digestion: A review&quot;,&quot;author&quot;:[{&quot;family&quot;:&quot;Guo&quot;,&quot;given&quot;:&quot;Qian&quot;,&quot;parse-names&quot;:false,&quot;dropping-particle&quot;:&quot;&quot;,&quot;non-dropping-particle&quot;:&quot;&quot;},{&quot;family&quot;:&quot;Majeed&quot;,&quot;given&quot;:&quot;Sabahat&quot;,&quot;parse-names&quot;:false,&quot;dropping-particle&quot;:&quot;&quot;,&quot;non-dropping-particle&quot;:&quot;&quot;},{&quot;family&quot;:&quot;Xu&quot;,&quot;given&quot;:&quot;Rong&quot;,&quot;parse-names&quot;:false,&quot;dropping-particle&quot;:&quot;&quot;,&quot;non-dropping-particle&quot;:&quot;&quot;},{&quot;family&quot;:&quot;Zhang&quot;,&quot;given&quot;:&quot;Kai&quot;,&quot;parse-names&quot;:false,&quot;dropping-particle&quot;:&quot;&quot;,&quot;non-dropping-particle&quot;:&quot;&quot;},{&quot;family&quot;:&quot;Kakade&quot;,&quot;given&quot;:&quot;Apurva&quot;,&quot;parse-names&quot;:false,&quot;dropping-particle&quot;:&quot;&quot;,&quot;non-dropping-particle&quot;:&quot;&quot;},{&quot;family&quot;:&quot;Khan&quot;,&quot;given&quot;:&quot;Aman&quot;,&quot;parse-names&quot;:false,&quot;dropping-particle&quot;:&quot;&quot;,&quot;non-dropping-particle&quot;:&quot;&quot;},{&quot;family&quot;:&quot;Hafeez&quot;,&quot;given&quot;:&quot;Fauzia Yusuf&quot;,&quot;parse-names&quot;:false,&quot;dropping-particle&quot;:&quot;&quot;,&quot;non-dropping-particle&quot;:&quot;&quot;},{&quot;family&quot;:&quot;Mao&quot;,&quot;given&quot;:&quot;Chunlan&quot;,&quot;parse-names&quot;:false,&quot;dropping-particle&quot;:&quot;&quot;,&quot;non-dropping-particle&quot;:&quot;&quot;},{&quot;family&quot;:&quot;Liu&quot;,&quot;given&quot;:&quot;Pu&quot;,&quot;parse-names&quot;:false,&quot;dropping-particle&quot;:&quot;&quot;,&quot;non-dropping-particle&quot;:&quot;&quot;},{&quot;family&quot;:&quot;Li&quot;,&quot;given&quot;:&quot;Xiangkai&quot;,&quot;parse-names&quot;:false,&quot;dropping-particle&quot;:&quot;&quot;,&quot;non-dropping-particle&quot;:&quot;&quot;}],&quot;container-title&quot;:&quot;Journal of Environmental Management&quot;,&quot;DOI&quot;:&quot;10.1016/j.jenvman.2019.03.104&quot;,&quot;ISSN&quot;:&quot;10958630&quot;,&quot;PMID&quot;:&quot;30952047&quot;,&quot;issued&quot;:{&quot;date-parts&quot;:[[2019,6,15]]},&quot;page&quot;:&quot;266-272&quot;,&quot;abstract&quot;:&quot;Heavy metals (HMs), which accumulate in digestion substrates, such as plant residues and livestock manure, can affect biogas yields during anaerobic digestion (AD). Low concentration of Cu2+ (0–100 mg/L), Fe2+ (50–4000 mg/L), Ni2+ (0.8–50 mg/L), Cd2+ (0.1–0.3 mg/L), and Zn2+ (0–5 mg/kg) promote biogas production, while high concentrations inhibit AD. Trace amounts of HMs are necessary for the activity of some enzymes. For example, Cu2+ and Cd2+ serve as cofactors in the catalytic center of cellulase and stimulate enzyme activity. High contents of Cd2+ and Cu2+ inhibit enzyme activity by disrupting protein structures. Trace amounts of HMs stimulate the growth and activity of methanogens, while high levels have toxic effects on methanogens. HMs affect the hydrolysis, acidification, and other biochemical reactions of organics in AD by changing the enzyme structure and they also impact methanogen growth. A better understanding of the impact of HMs on AD can provide valuable insights for improving the digestion of poultry manure and plant residues contaminated with HMs, as well as help mitigate HMs pollution. Although several studies have been conducted in this field, few comprehensive reviews have examined the effect of many common HMs on AD. This review summarizes the effects of HMs on the biogas production efficiency of AD and also discusses the effects of HMs on the activities of enzymes and microbial communities.&quot;,&quot;publisher&quot;:&quot;Academic Press&quot;,&quot;volume&quot;:&quot;240&quot;,&quot;container-title-short&quot;:&quot;J. Environ. Manage.&quot;},&quot;isTemporary&quot;:false}]},{&quot;citationID&quot;:&quot;MENDELEY_CITATION_bb1ff942-ed0d-4afc-9589-e75f9150b74a&quot;,&quot;properties&quot;:{&quot;noteIndex&quot;:0},&quot;isEdited&quot;:false,&quot;manualOverride&quot;:{&quot;isManuallyOverridden&quot;:false,&quot;citeprocText&quot;:&quot;(Guo et al., 2019; Kadam et al., 2022)&quot;,&quot;manualOverrideText&quot;:&quot;&quot;},&quot;citationTag&quot;:&quot;MENDELEY_CITATION_v3_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&quot;,&quot;citationItems&quot;:[{&quot;id&quot;:&quot;e9e7a07f-910d-35f6-b3cf-8de4057e0649&quot;,&quot;itemData&quot;:{&quot;type&quot;:&quot;article-journal&quot;,&quot;id&quot;:&quot;e9e7a07f-910d-35f6-b3cf-8de4057e0649&quot;,&quot;title&quot;:&quot;Heavy metals interact with the microbial community and affect biogas production in anaerobic digestion: A review&quot;,&quot;author&quot;:[{&quot;family&quot;:&quot;Guo&quot;,&quot;given&quot;:&quot;Qian&quot;,&quot;parse-names&quot;:false,&quot;dropping-particle&quot;:&quot;&quot;,&quot;non-dropping-particle&quot;:&quot;&quot;},{&quot;family&quot;:&quot;Majeed&quot;,&quot;given&quot;:&quot;Sabahat&quot;,&quot;parse-names&quot;:false,&quot;dropping-particle&quot;:&quot;&quot;,&quot;non-dropping-particle&quot;:&quot;&quot;},{&quot;family&quot;:&quot;Xu&quot;,&quot;given&quot;:&quot;Rong&quot;,&quot;parse-names&quot;:false,&quot;dropping-particle&quot;:&quot;&quot;,&quot;non-dropping-particle&quot;:&quot;&quot;},{&quot;family&quot;:&quot;Zhang&quot;,&quot;given&quot;:&quot;Kai&quot;,&quot;parse-names&quot;:false,&quot;dropping-particle&quot;:&quot;&quot;,&quot;non-dropping-particle&quot;:&quot;&quot;},{&quot;family&quot;:&quot;Kakade&quot;,&quot;given&quot;:&quot;Apurva&quot;,&quot;parse-names&quot;:false,&quot;dropping-particle&quot;:&quot;&quot;,&quot;non-dropping-particle&quot;:&quot;&quot;},{&quot;family&quot;:&quot;Khan&quot;,&quot;given&quot;:&quot;Aman&quot;,&quot;parse-names&quot;:false,&quot;dropping-particle&quot;:&quot;&quot;,&quot;non-dropping-particle&quot;:&quot;&quot;},{&quot;family&quot;:&quot;Hafeez&quot;,&quot;given&quot;:&quot;Fauzia Yusuf&quot;,&quot;parse-names&quot;:false,&quot;dropping-particle&quot;:&quot;&quot;,&quot;non-dropping-particle&quot;:&quot;&quot;},{&quot;family&quot;:&quot;Mao&quot;,&quot;given&quot;:&quot;Chunlan&quot;,&quot;parse-names&quot;:false,&quot;dropping-particle&quot;:&quot;&quot;,&quot;non-dropping-particle&quot;:&quot;&quot;},{&quot;family&quot;:&quot;Liu&quot;,&quot;given&quot;:&quot;Pu&quot;,&quot;parse-names&quot;:false,&quot;dropping-particle&quot;:&quot;&quot;,&quot;non-dropping-particle&quot;:&quot;&quot;},{&quot;family&quot;:&quot;Li&quot;,&quot;given&quot;:&quot;Xiangkai&quot;,&quot;parse-names&quot;:false,&quot;dropping-particle&quot;:&quot;&quot;,&quot;non-dropping-particle&quot;:&quot;&quot;}],&quot;container-title&quot;:&quot;Journal of Environmental Management&quot;,&quot;DOI&quot;:&quot;10.1016/j.jenvman.2019.03.104&quot;,&quot;ISSN&quot;:&quot;10958630&quot;,&quot;PMID&quot;:&quot;30952047&quot;,&quot;issued&quot;:{&quot;date-parts&quot;:[[2019,6,15]]},&quot;page&quot;:&quot;266-272&quot;,&quot;abstract&quot;:&quot;Heavy metals (HMs), which accumulate in digestion substrates, such as plant residues and livestock manure, can affect biogas yields during anaerobic digestion (AD). Low concentration of Cu2+ (0–100 mg/L), Fe2+ (50–4000 mg/L), Ni2+ (0.8–50 mg/L), Cd2+ (0.1–0.3 mg/L), and Zn2+ (0–5 mg/kg) promote biogas production, while high concentrations inhibit AD. Trace amounts of HMs are necessary for the activity of some enzymes. For example, Cu2+ and Cd2+ serve as cofactors in the catalytic center of cellulase and stimulate enzyme activity. High contents of Cd2+ and Cu2+ inhibit enzyme activity by disrupting protein structures. Trace amounts of HMs stimulate the growth and activity of methanogens, while high levels have toxic effects on methanogens. HMs affect the hydrolysis, acidification, and other biochemical reactions of organics in AD by changing the enzyme structure and they also impact methanogen growth. A better understanding of the impact of HMs on AD can provide valuable insights for improving the digestion of poultry manure and plant residues contaminated with HMs, as well as help mitigate HMs pollution. Although several studies have been conducted in this field, few comprehensive reviews have examined the effect of many common HMs on AD. This review summarizes the effects of HMs on the biogas production efficiency of AD and also discusses the effects of HMs on the activities of enzymes and microbial communities.&quot;,&quot;publisher&quot;:&quot;Academic Press&quot;,&quot;volume&quot;:&quot;240&quot;,&quot;container-title-short&quot;:&quot;J. Environ. Manage.&quot;},&quot;isTemporary&quot;:false},{&quot;id&quot;:&quot;a3747986-5fcd-3eb6-98f6-3d17b1645a90&quot;,&quot;itemData&quot;:{&quot;type&quot;:&quot;article&quot;,&quot;id&quot;:&quot;a3747986-5fcd-3eb6-98f6-3d17b1645a90&quot;,&quot;title&quot;:&quot;Occurrence, Fate, and Implications of Heavy Metals during Anaerobic Digestion: A Review&quot;,&quot;author&quot;:[{&quot;family&quot;:&quot;Kadam&quot;,&quot;given&quot;:&quot;Rahul&quot;,&quot;parse-names&quot;:false,&quot;dropping-particle&quot;:&quot;&quot;,&quot;non-dropping-particle&quot;:&quot;&quot;},{&quot;family&quot;:&quot;Khanthong&quot;,&quot;given&quot;:&quot;Kamonwan&quot;,&quot;parse-names&quot;:false,&quot;dropping-particle&quot;:&quot;&quot;,&quot;non-dropping-particle&quot;:&quot;&quot;},{&quot;family&quot;:&quot;Jang&quot;,&quot;given&quot;:&quot;Heewon&quot;,&quot;parse-names&quot;:false,&quot;dropping-particle&quot;:&quot;&quot;,&quot;non-dropping-particle&quot;:&quot;&quot;},{&quot;family&quot;:&quot;Lee&quot;,&quot;given&quot;:&quot;Jonghwa&quot;,&quot;parse-names&quot;:false,&quot;dropping-particle&quot;:&quot;&quot;,&quot;non-dropping-particle&quot;:&quot;&quot;},{&quot;family&quot;:&quot;Park&quot;,&quot;given&quot;:&quot;Jungyu&quot;,&quot;parse-names&quot;:false,&quot;dropping-particle&quot;:&quot;&quot;,&quot;non-dropping-particle&quot;:&quot;&quot;}],&quot;container-title&quot;:&quot;Energies&quot;,&quot;DOI&quot;:&quot;10.3390/en15228618&quot;,&quot;ISSN&quot;:&quot;19961073&quot;,&quot;issued&quot;:{&quot;date-parts&quot;:[[2022,11,1]]},&quot;abstract&quot;:&quot;Over the years, anaerobic digestion (AD) has evolved as a competent technology to retrieve energy potential from various organic substrates, including wastewater. However, the energy metabolisms of anaerobic microorganisms, biochemical reactions, and biogas production are affected by various parameters, including heavy metals. It is important to understand the interaction of heavy metals with anaerobes and their potential influence on the process to enhance energy potential. This review methodically outlines the occurrence and role of heavy metals in the AD process. Additionally, the repercussions of the most common heavy metals (i.e., Cu, Zn, Cd, Fe, and Ni) on each stage of AD (i.e., hydrolysis, acidogenesis, and methanogenesis) have been discussed. We found that traces of heavy metals can endorse anaerobic digestion, but inhibition increases with increasing concentration. Methanogenic archaea are more susceptible to heavy metal inhibition than hydrolytic and acidogenic archaea. An improved understanding and relevant intuition will help to promote biogas production along with heavy metal management.&quot;,&quot;publisher&quot;:&quot;MDPI&quot;,&quot;issue&quot;:&quot;22&quot;,&quot;volume&quot;:&quot;15&quot;,&quot;container-title-short&quot;:&quot;Energies (Basel).&quot;},&quot;isTemporary&quot;:false}]},{&quot;citationID&quot;:&quot;MENDELEY_CITATION_d65f4aa7-a5e2-4feb-9907-7c34fe811c50&quot;,&quot;properties&quot;:{&quot;noteIndex&quot;:0},&quot;isEdited&quot;:false,&quot;manualOverride&quot;:{&quot;isManuallyOverridden&quot;:false,&quot;citeprocText&quot;:&quot;(Guo et al., 2019; Kadam et al., 2022)&quot;,&quot;manualOverrideText&quot;:&quot;&quot;},&quot;citationTag&quot;:&quot;MENDELEY_CITATION_v3_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&quot;,&quot;citationItems&quot;:[{&quot;id&quot;:&quot;e9e7a07f-910d-35f6-b3cf-8de4057e0649&quot;,&quot;itemData&quot;:{&quot;type&quot;:&quot;article-journal&quot;,&quot;id&quot;:&quot;e9e7a07f-910d-35f6-b3cf-8de4057e0649&quot;,&quot;title&quot;:&quot;Heavy metals interact with the microbial community and affect biogas production in anaerobic digestion: A review&quot;,&quot;author&quot;:[{&quot;family&quot;:&quot;Guo&quot;,&quot;given&quot;:&quot;Qian&quot;,&quot;parse-names&quot;:false,&quot;dropping-particle&quot;:&quot;&quot;,&quot;non-dropping-particle&quot;:&quot;&quot;},{&quot;family&quot;:&quot;Majeed&quot;,&quot;given&quot;:&quot;Sabahat&quot;,&quot;parse-names&quot;:false,&quot;dropping-particle&quot;:&quot;&quot;,&quot;non-dropping-particle&quot;:&quot;&quot;},{&quot;family&quot;:&quot;Xu&quot;,&quot;given&quot;:&quot;Rong&quot;,&quot;parse-names&quot;:false,&quot;dropping-particle&quot;:&quot;&quot;,&quot;non-dropping-particle&quot;:&quot;&quot;},{&quot;family&quot;:&quot;Zhang&quot;,&quot;given&quot;:&quot;Kai&quot;,&quot;parse-names&quot;:false,&quot;dropping-particle&quot;:&quot;&quot;,&quot;non-dropping-particle&quot;:&quot;&quot;},{&quot;family&quot;:&quot;Kakade&quot;,&quot;given&quot;:&quot;Apurva&quot;,&quot;parse-names&quot;:false,&quot;dropping-particle&quot;:&quot;&quot;,&quot;non-dropping-particle&quot;:&quot;&quot;},{&quot;family&quot;:&quot;Khan&quot;,&quot;given&quot;:&quot;Aman&quot;,&quot;parse-names&quot;:false,&quot;dropping-particle&quot;:&quot;&quot;,&quot;non-dropping-particle&quot;:&quot;&quot;},{&quot;family&quot;:&quot;Hafeez&quot;,&quot;given&quot;:&quot;Fauzia Yusuf&quot;,&quot;parse-names&quot;:false,&quot;dropping-particle&quot;:&quot;&quot;,&quot;non-dropping-particle&quot;:&quot;&quot;},{&quot;family&quot;:&quot;Mao&quot;,&quot;given&quot;:&quot;Chunlan&quot;,&quot;parse-names&quot;:false,&quot;dropping-particle&quot;:&quot;&quot;,&quot;non-dropping-particle&quot;:&quot;&quot;},{&quot;family&quot;:&quot;Liu&quot;,&quot;given&quot;:&quot;Pu&quot;,&quot;parse-names&quot;:false,&quot;dropping-particle&quot;:&quot;&quot;,&quot;non-dropping-particle&quot;:&quot;&quot;},{&quot;family&quot;:&quot;Li&quot;,&quot;given&quot;:&quot;Xiangkai&quot;,&quot;parse-names&quot;:false,&quot;dropping-particle&quot;:&quot;&quot;,&quot;non-dropping-particle&quot;:&quot;&quot;}],&quot;container-title&quot;:&quot;Journal of Environmental Management&quot;,&quot;DOI&quot;:&quot;10.1016/j.jenvman.2019.03.104&quot;,&quot;ISSN&quot;:&quot;10958630&quot;,&quot;PMID&quot;:&quot;30952047&quot;,&quot;issued&quot;:{&quot;date-parts&quot;:[[2019,6,15]]},&quot;page&quot;:&quot;266-272&quot;,&quot;abstract&quot;:&quot;Heavy metals (HMs), which accumulate in digestion substrates, such as plant residues and livestock manure, can affect biogas yields during anaerobic digestion (AD). Low concentration of Cu2+ (0–100 mg/L), Fe2+ (50–4000 mg/L), Ni2+ (0.8–50 mg/L), Cd2+ (0.1–0.3 mg/L), and Zn2+ (0–5 mg/kg) promote biogas production, while high concentrations inhibit AD. Trace amounts of HMs are necessary for the activity of some enzymes. For example, Cu2+ and Cd2+ serve as cofactors in the catalytic center of cellulase and stimulate enzyme activity. High contents of Cd2+ and Cu2+ inhibit enzyme activity by disrupting protein structures. Trace amounts of HMs stimulate the growth and activity of methanogens, while high levels have toxic effects on methanogens. HMs affect the hydrolysis, acidification, and other biochemical reactions of organics in AD by changing the enzyme structure and they also impact methanogen growth. A better understanding of the impact of HMs on AD can provide valuable insights for improving the digestion of poultry manure and plant residues contaminated with HMs, as well as help mitigate HMs pollution. Although several studies have been conducted in this field, few comprehensive reviews have examined the effect of many common HMs on AD. This review summarizes the effects of HMs on the biogas production efficiency of AD and also discusses the effects of HMs on the activities of enzymes and microbial communities.&quot;,&quot;publisher&quot;:&quot;Academic Press&quot;,&quot;volume&quot;:&quot;240&quot;,&quot;container-title-short&quot;:&quot;J. Environ. Manage.&quot;},&quot;isTemporary&quot;:false},{&quot;id&quot;:&quot;a3747986-5fcd-3eb6-98f6-3d17b1645a90&quot;,&quot;itemData&quot;:{&quot;type&quot;:&quot;article&quot;,&quot;id&quot;:&quot;a3747986-5fcd-3eb6-98f6-3d17b1645a90&quot;,&quot;title&quot;:&quot;Occurrence, Fate, and Implications of Heavy Metals during Anaerobic Digestion: A Review&quot;,&quot;author&quot;:[{&quot;family&quot;:&quot;Kadam&quot;,&quot;given&quot;:&quot;Rahul&quot;,&quot;parse-names&quot;:false,&quot;dropping-particle&quot;:&quot;&quot;,&quot;non-dropping-particle&quot;:&quot;&quot;},{&quot;family&quot;:&quot;Khanthong&quot;,&quot;given&quot;:&quot;Kamonwan&quot;,&quot;parse-names&quot;:false,&quot;dropping-particle&quot;:&quot;&quot;,&quot;non-dropping-particle&quot;:&quot;&quot;},{&quot;family&quot;:&quot;Jang&quot;,&quot;given&quot;:&quot;Heewon&quot;,&quot;parse-names&quot;:false,&quot;dropping-particle&quot;:&quot;&quot;,&quot;non-dropping-particle&quot;:&quot;&quot;},{&quot;family&quot;:&quot;Lee&quot;,&quot;given&quot;:&quot;Jonghwa&quot;,&quot;parse-names&quot;:false,&quot;dropping-particle&quot;:&quot;&quot;,&quot;non-dropping-particle&quot;:&quot;&quot;},{&quot;family&quot;:&quot;Park&quot;,&quot;given&quot;:&quot;Jungyu&quot;,&quot;parse-names&quot;:false,&quot;dropping-particle&quot;:&quot;&quot;,&quot;non-dropping-particle&quot;:&quot;&quot;}],&quot;container-title&quot;:&quot;Energies&quot;,&quot;DOI&quot;:&quot;10.3390/en15228618&quot;,&quot;ISSN&quot;:&quot;19961073&quot;,&quot;issued&quot;:{&quot;date-parts&quot;:[[2022,11,1]]},&quot;abstract&quot;:&quot;Over the years, anaerobic digestion (AD) has evolved as a competent technology to retrieve energy potential from various organic substrates, including wastewater. However, the energy metabolisms of anaerobic microorganisms, biochemical reactions, and biogas production are affected by various parameters, including heavy metals. It is important to understand the interaction of heavy metals with anaerobes and their potential influence on the process to enhance energy potential. This review methodically outlines the occurrence and role of heavy metals in the AD process. Additionally, the repercussions of the most common heavy metals (i.e., Cu, Zn, Cd, Fe, and Ni) on each stage of AD (i.e., hydrolysis, acidogenesis, and methanogenesis) have been discussed. We found that traces of heavy metals can endorse anaerobic digestion, but inhibition increases with increasing concentration. Methanogenic archaea are more susceptible to heavy metal inhibition than hydrolytic and acidogenic archaea. An improved understanding and relevant intuition will help to promote biogas production along with heavy metal management.&quot;,&quot;publisher&quot;:&quot;MDPI&quot;,&quot;issue&quot;:&quot;22&quot;,&quot;volume&quot;:&quot;15&quot;,&quot;container-title-short&quot;:&quot;Energies (Basel).&quot;},&quot;isTemporary&quot;:false}]},{&quot;citationID&quot;:&quot;MENDELEY_CITATION_8ff8a7d6-44a2-4732-bc32-c99aa5c9f1f0&quot;,&quot;properties&quot;:{&quot;noteIndex&quot;:0},&quot;isEdited&quot;:false,&quot;manualOverride&quot;:{&quot;isManuallyOverridden&quot;:false,&quot;citeprocText&quot;:&quot;(Kadam et al., 2022)&quot;,&quot;manualOverrideText&quot;:&quot;&quot;},&quot;citationTag&quot;:&quot;MENDELEY_CITATION_v3_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&quot;,&quot;citationItems&quot;:[{&quot;id&quot;:&quot;a3747986-5fcd-3eb6-98f6-3d17b1645a90&quot;,&quot;itemData&quot;:{&quot;type&quot;:&quot;article&quot;,&quot;id&quot;:&quot;a3747986-5fcd-3eb6-98f6-3d17b1645a90&quot;,&quot;title&quot;:&quot;Occurrence, Fate, and Implications of Heavy Metals during Anaerobic Digestion: A Review&quot;,&quot;author&quot;:[{&quot;family&quot;:&quot;Kadam&quot;,&quot;given&quot;:&quot;Rahul&quot;,&quot;parse-names&quot;:false,&quot;dropping-particle&quot;:&quot;&quot;,&quot;non-dropping-particle&quot;:&quot;&quot;},{&quot;family&quot;:&quot;Khanthong&quot;,&quot;given&quot;:&quot;Kamonwan&quot;,&quot;parse-names&quot;:false,&quot;dropping-particle&quot;:&quot;&quot;,&quot;non-dropping-particle&quot;:&quot;&quot;},{&quot;family&quot;:&quot;Jang&quot;,&quot;given&quot;:&quot;Heewon&quot;,&quot;parse-names&quot;:false,&quot;dropping-particle&quot;:&quot;&quot;,&quot;non-dropping-particle&quot;:&quot;&quot;},{&quot;family&quot;:&quot;Lee&quot;,&quot;given&quot;:&quot;Jonghwa&quot;,&quot;parse-names&quot;:false,&quot;dropping-particle&quot;:&quot;&quot;,&quot;non-dropping-particle&quot;:&quot;&quot;},{&quot;family&quot;:&quot;Park&quot;,&quot;given&quot;:&quot;Jungyu&quot;,&quot;parse-names&quot;:false,&quot;dropping-particle&quot;:&quot;&quot;,&quot;non-dropping-particle&quot;:&quot;&quot;}],&quot;container-title&quot;:&quot;Energies&quot;,&quot;DOI&quot;:&quot;10.3390/en15228618&quot;,&quot;ISSN&quot;:&quot;19961073&quot;,&quot;issued&quot;:{&quot;date-parts&quot;:[[2022,11,1]]},&quot;abstract&quot;:&quot;Over the years, anaerobic digestion (AD) has evolved as a competent technology to retrieve energy potential from various organic substrates, including wastewater. However, the energy metabolisms of anaerobic microorganisms, biochemical reactions, and biogas production are affected by various parameters, including heavy metals. It is important to understand the interaction of heavy metals with anaerobes and their potential influence on the process to enhance energy potential. This review methodically outlines the occurrence and role of heavy metals in the AD process. Additionally, the repercussions of the most common heavy metals (i.e., Cu, Zn, Cd, Fe, and Ni) on each stage of AD (i.e., hydrolysis, acidogenesis, and methanogenesis) have been discussed. We found that traces of heavy metals can endorse anaerobic digestion, but inhibition increases with increasing concentration. Methanogenic archaea are more susceptible to heavy metal inhibition than hydrolytic and acidogenic archaea. An improved understanding and relevant intuition will help to promote biogas production along with heavy metal management.&quot;,&quot;publisher&quot;:&quot;MDPI&quot;,&quot;issue&quot;:&quot;22&quot;,&quot;volume&quot;:&quot;15&quot;,&quot;container-title-short&quot;:&quot;Energies (Basel).&quot;},&quot;isTemporary&quot;:false}]},{&quot;citationID&quot;:&quot;MENDELEY_CITATION_d93275a8-fb76-4a2a-a1ac-3c7c3d3690ba&quot;,&quot;properties&quot;:{&quot;noteIndex&quot;:0},&quot;isEdited&quot;:false,&quot;manualOverride&quot;:{&quot;isManuallyOverridden&quot;:false,&quot;citeprocText&quot;:&quot;(Kadam et al., 2022)&quot;,&quot;manualOverrideText&quot;:&quot;&quot;},&quot;citationTag&quot;:&quot;MENDELEY_CITATION_v3_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&quot;,&quot;citationItems&quot;:[{&quot;id&quot;:&quot;a3747986-5fcd-3eb6-98f6-3d17b1645a90&quot;,&quot;itemData&quot;:{&quot;type&quot;:&quot;article&quot;,&quot;id&quot;:&quot;a3747986-5fcd-3eb6-98f6-3d17b1645a90&quot;,&quot;title&quot;:&quot;Occurrence, Fate, and Implications of Heavy Metals during Anaerobic Digestion: A Review&quot;,&quot;author&quot;:[{&quot;family&quot;:&quot;Kadam&quot;,&quot;given&quot;:&quot;Rahul&quot;,&quot;parse-names&quot;:false,&quot;dropping-particle&quot;:&quot;&quot;,&quot;non-dropping-particle&quot;:&quot;&quot;},{&quot;family&quot;:&quot;Khanthong&quot;,&quot;given&quot;:&quot;Kamonwan&quot;,&quot;parse-names&quot;:false,&quot;dropping-particle&quot;:&quot;&quot;,&quot;non-dropping-particle&quot;:&quot;&quot;},{&quot;family&quot;:&quot;Jang&quot;,&quot;given&quot;:&quot;Heewon&quot;,&quot;parse-names&quot;:false,&quot;dropping-particle&quot;:&quot;&quot;,&quot;non-dropping-particle&quot;:&quot;&quot;},{&quot;family&quot;:&quot;Lee&quot;,&quot;given&quot;:&quot;Jonghwa&quot;,&quot;parse-names&quot;:false,&quot;dropping-particle&quot;:&quot;&quot;,&quot;non-dropping-particle&quot;:&quot;&quot;},{&quot;family&quot;:&quot;Park&quot;,&quot;given&quot;:&quot;Jungyu&quot;,&quot;parse-names&quot;:false,&quot;dropping-particle&quot;:&quot;&quot;,&quot;non-dropping-particle&quot;:&quot;&quot;}],&quot;container-title&quot;:&quot;Energies&quot;,&quot;DOI&quot;:&quot;10.3390/en15228618&quot;,&quot;ISSN&quot;:&quot;19961073&quot;,&quot;issued&quot;:{&quot;date-parts&quot;:[[2022,11,1]]},&quot;abstract&quot;:&quot;Over the years, anaerobic digestion (AD) has evolved as a competent technology to retrieve energy potential from various organic substrates, including wastewater. However, the energy metabolisms of anaerobic microorganisms, biochemical reactions, and biogas production are affected by various parameters, including heavy metals. It is important to understand the interaction of heavy metals with anaerobes and their potential influence on the process to enhance energy potential. This review methodically outlines the occurrence and role of heavy metals in the AD process. Additionally, the repercussions of the most common heavy metals (i.e., Cu, Zn, Cd, Fe, and Ni) on each stage of AD (i.e., hydrolysis, acidogenesis, and methanogenesis) have been discussed. We found that traces of heavy metals can endorse anaerobic digestion, but inhibition increases with increasing concentration. Methanogenic archaea are more susceptible to heavy metal inhibition than hydrolytic and acidogenic archaea. An improved understanding and relevant intuition will help to promote biogas production along with heavy metal management.&quot;,&quot;publisher&quot;:&quot;MDPI&quot;,&quot;issue&quot;:&quot;22&quot;,&quot;volume&quot;:&quot;15&quot;,&quot;container-title-short&quot;:&quot;Energies (Basel).&quot;},&quot;isTemporary&quot;:false}]},{&quot;citationID&quot;:&quot;MENDELEY_CITATION_28ee0ceb-3a69-429b-a630-f7afa1facb35&quot;,&quot;properties&quot;:{&quot;noteIndex&quot;:0},&quot;isEdited&quot;:false,&quot;manualOverride&quot;:{&quot;isManuallyOverridden&quot;:false,&quot;citeprocText&quot;:&quot;(Khalil et al., 2017)&quot;,&quot;manualOverrideText&quot;:&quot;&quot;},&quot;citationTag&quot;:&quot;MENDELEY_CITATION_v3_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&quot;,&quot;citationItems&quot;:[{&quot;id&quot;:&quot;cbf9e280-085b-3769-9d9c-35de6c929e9e&quot;,&quot;itemData&quot;:{&quot;type&quot;:&quot;report&quot;,&quot;id&quot;:&quot;cbf9e280-085b-3769-9d9c-35de6c929e9e&quot;,&quot;title&quot;:&quot;Ammonia Inhibition and Recovery Potential in Anaerobic Digesters: A Review&quot;,&quot;author&quot;:[{&quot;family&quot;:&quot;Khalil&quot;,&quot;given&quot;:&quot;Charbel Abou&quot;,&quot;parse-names&quot;:false,&quot;dropping-particle&quot;:&quot;&quot;,&quot;non-dropping-particle&quot;:&quot;&quot;},{&quot;family&quot;:&quot;Ghanimeh&quot;,&quot;given&quot;:&quot;Sophia&quot;,&quot;parse-names&quot;:false,&quot;dropping-particle&quot;:&quot;&quot;,&quot;non-dropping-particle&quot;:&quot;&quot;},{&quot;family&quot;:&quot;Medawar&quot;,&quot;given&quot;:&quot;Yara&quot;,&quot;parse-names&quot;:false,&quot;dropping-particle&quot;:&quot;&quot;,&quot;non-dropping-particle&quot;:&quot;&quot;}],&quot;URL&quot;:&quot;https://www.researchgate.net/publication/332037836&quot;,&quot;issued&quot;:{&quot;date-parts&quot;:[[2017]]},&quot;container-title-short&quot;:&quot;&quot;},&quot;isTemporary&quot;:false}]},{&quot;citationID&quot;:&quot;MENDELEY_CITATION_6f105e8d-54f7-4d51-b756-f3d93219b02a&quot;,&quot;properties&quot;:{&quot;noteIndex&quot;:0},&quot;isEdited&quot;:false,&quot;manualOverride&quot;:{&quot;isManuallyOverridden&quot;:false,&quot;citeprocText&quot;:&quot;(Choong et al., 2016)&quot;,&quot;manualOverrideText&quot;:&quot;&quot;},&quot;citationTag&quot;:&quot;MENDELEY_CITATION_v3_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&quot;,&quot;citationItems&quot;:[{&quot;id&quot;:&quot;c7dc5e71-3cd4-37d1-87d4-6055eff3ef61&quot;,&quot;itemData&quot;:{&quot;type&quot;:&quot;article&quot;,&quot;id&quot;:&quot;c7dc5e71-3cd4-37d1-87d4-6055eff3ef61&quot;,&quot;title&quot;:&quot;Impacts of trace element supplementation on the performance of anaerobic digestion process: A critical review&quot;,&quot;author&quot;:[{&quot;family&quot;:&quot;Choong&quot;,&quot;given&quot;:&quot;Yee Yaw&quot;,&quot;parse-names&quot;:false,&quot;dropping-particle&quot;:&quot;&quot;,&quot;non-dropping-particle&quot;:&quot;&quot;},{&quot;family&quot;:&quot;Norli&quot;,&quot;given&quot;:&quot;Ismail&quot;,&quot;parse-names&quot;:false,&quot;dropping-particle&quot;:&quot;&quot;,&quot;non-dropping-particle&quot;:&quot;&quot;},{&quot;family&quot;:&quot;Abdullah&quot;,&quot;given&quot;:&quot;Ahmad Zuhairi&quot;,&quot;parse-names&quot;:false,&quot;dropping-particle&quot;:&quot;&quot;,&quot;non-dropping-particle&quot;:&quot;&quot;},{&quot;family&quot;:&quot;Yhaya&quot;,&quot;given&quot;:&quot;Mohd Firdaus&quot;,&quot;parse-names&quot;:false,&quot;dropping-particle&quot;:&quot;&quot;,&quot;non-dropping-particle&quot;:&quot;&quot;}],&quot;container-title&quot;:&quot;Bioresource Technology&quot;,&quot;container-title-short&quot;:&quot;Bioresour. Technol.&quot;,&quot;DOI&quot;:&quot;10.1016/j.biortech.2016.03.028&quot;,&quot;ISSN&quot;:&quot;18732976&quot;,&quot;PMID&quot;:&quot;27005788&quot;,&quot;issued&quot;:{&quot;date-parts&quot;:[[2016,6,1]]},&quot;page&quot;:&quot;369-379&quot;,&quot;abstract&quot;:&quot;This paper critically reviews the impacts of supplementing trace elements on the anaerobic digestion performance. The in-depth knowledge of trace elements as micronutrients and metalloenzyme components justifies trace element supplementation into the anaerobic digestion system. Most of the earlier studies reported that trace elements addition at (sub)optimum dosages had positive impacts mainly longer term on digester stability with greater organic matter degradation, low volatile fatty acids (VFA) concentration and higher biogas production. However, these positive impacts and element requirements are not fully understood, they are explained on a case to case basis because of the great variance of the anaerobic digestion operation. Iron (Fe), nickel (Ni) and cobalt (Co) are the most studied and desirable elements. The right combination of multi-elements supplementation can have greater positive impact. This measure is highly recommended, especially for the mono-digestion of micronutrient-deficient substrates. The future research should consider the aspect of trace element bioavailability.&quot;,&quot;publisher&quot;:&quot;Elsevier Ltd&quot;,&quot;volume&quot;:&quot;209&quot;},&quot;isTemporary&quot;:false}]},{&quot;citationID&quot;:&quot;MENDELEY_CITATION_e24dc32f-2a65-4350-8bcf-5567c58e456f&quot;,&quot;properties&quot;:{&quot;noteIndex&quot;:0},&quot;isEdited&quot;:false,&quot;manualOverride&quot;:{&quot;isManuallyOverridden&quot;:false,&quot;citeprocText&quot;:&quot;(Qian et al., 2013)&quot;,&quot;manualOverrideText&quot;:&quot;&quot;},&quot;citationTag&quot;:&quot;MENDELEY_CITATION_v3_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&quot;,&quot;citationItems&quot;:[{&quot;id&quot;:&quot;8657045f-d5e3-3d13-a703-fd33ab3cd56c&quot;,&quot;itemData&quot;:{&quot;type&quot;:&quot;article-journal&quot;,&quot;id&quot;:&quot;8657045f-d5e3-3d13-a703-fd33ab3cd56c&quot;,&quot;title&quot;:&quot;Effects of environmental conditions on the release of phosphorus from biochar&quot;,&quot;author&quot;:[{&quot;family&quot;:&quot;Qian&quot;,&quot;given&quot;:&quot;Tingting&quot;,&quot;parse-names&quot;:false,&quot;dropping-particle&quot;:&quot;&quot;,&quot;non-dropping-particle&quot;:&quot;&quot;},{&quot;family&quot;:&quot;Zhang&quot;,&quot;given&quot;:&quot;Xuesong&quot;,&quot;parse-names&quot;:false,&quot;dropping-particle&quot;:&quot;&quot;,&quot;non-dropping-particle&quot;:&quot;&quot;},{&quot;family&quot;:&quot;Hu&quot;,&quot;given&quot;:&quot;Jianyang&quot;,&quot;parse-names&quot;:false,&quot;dropping-particle&quot;:&quot;&quot;,&quot;non-dropping-particle&quot;:&quot;&quot;},{&quot;family&quot;:&quot;Jiang&quot;,&quot;given&quot;:&quot;Hong&quot;,&quot;parse-names&quot;:false,&quot;dropping-particle&quot;:&quot;&quot;,&quot;non-dropping-particle&quot;:&quot;&quot;}],&quot;container-title&quot;:&quot;Chemosphere&quot;,&quot;container-title-short&quot;:&quot;Chemosphere&quot;,&quot;DOI&quot;:&quot;10.1016/j.chemosphere.2013.07.041&quot;,&quot;ISSN&quot;:&quot;18791298&quot;,&quot;PMID&quot;:&quot;23958443&quot;,&quot;issued&quot;:{&quot;date-parts&quot;:[[2013]]},&quot;page&quot;:&quot;2069-2075&quot;,&quot;abstract&quot;:&quot;Biochar, the byproduct from fast pyrolysis of waste biomass, is widely used as a soil conditioner. The phosphorus in biochar is not only a P source for plant growth, but also an important factor caused the eutrophication of water. Here, the effects of environmental conditions on the release of different P species from biochar in a biochar-water system were investigated. About 2.2mgg-1 P in the form of inorganic orthophosphate and pyrophosphate was released from a raw biochar (contained 4.7mg Pg-1) at initial pH of 9.0 in the initial 8h. The release of orthophosphate was significantly enhanced from 0.64 to 1.35mgg-1 by the coexisting anions of Cl-, NO3- or SO42- due to the effect of ion exchange competition, while the release of pyrophosphate (P2O74-) was not influenced by the introduction of anions which might be attributed to the formation of stable complexes. The introduction of Hoagland nutrient solution led to the decrease in release of P due to the formation of precipitates between dissolved P and excessive Ca2+ and Mg2+. © 2013 Elsevier Ltd.&quot;,&quot;publisher&quot;:&quot;Elsevier Ltd&quot;,&quot;issue&quot;:&quot;9&quot;,&quot;volume&quot;:&quot;93&quot;},&quot;isTemporary&quot;:false}]},{&quot;citationID&quot;:&quot;MENDELEY_CITATION_bf83c342-0a5b-458b-a35b-269274a41b25&quot;,&quot;properties&quot;:{&quot;noteIndex&quot;:0},&quot;isEdited&quot;:false,&quot;manualOverride&quot;:{&quot;isManuallyOverridden&quot;:false,&quot;citeprocText&quot;:&quot;(Elnour et al., 2019)&quot;,&quot;manualOverrideText&quot;:&quot;&quot;},&quot;citationTag&quot;:&quot;MENDELEY_CITATION_v3_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&quot;,&quot;citationItems&quot;:[{&quot;id&quot;:&quot;06ce9ae5-e1fa-320a-91a3-e3c9c7e53e31&quot;,&quot;itemData&quot;:{&quot;type&quot;:&quot;article-journal&quot;,&quot;id&quot;:&quot;06ce9ae5-e1fa-320a-91a3-e3c9c7e53e31&quot;,&quot;title&quot;:&quot;Effect of pyrolysis temperature on biochar microstructural evolution, physicochemical characteristics, and its influence on biochar/polypropylene composites&quot;,&quot;author&quot;:[{&quot;family&quot;:&quot;Elnour&quot;,&quot;given&quot;:&quot;Ahmed Y.&quot;,&quot;parse-names&quot;:false,&quot;dropping-particle&quot;:&quot;&quot;,&quot;non-dropping-particle&quot;:&quot;&quot;},{&quot;family&quot;:&quot;Alghyamah&quot;,&quot;given&quot;:&quot;Abdulaziz A.&quot;,&quot;parse-names&quot;:false,&quot;dropping-particle&quot;:&quot;&quot;,&quot;non-dropping-particle&quot;:&quot;&quot;},{&quot;family&quot;:&quot;Shaikh&quot;,&quot;given&quot;:&quot;Hamid M.&quot;,&quot;parse-names&quot;:false,&quot;dropping-particle&quot;:&quot;&quot;,&quot;non-dropping-particle&quot;:&quot;&quot;},{&quot;family&quot;:&quot;Poulose&quot;,&quot;given&quot;:&quot;Anesh M.&quot;,&quot;parse-names&quot;:false,&quot;dropping-particle&quot;:&quot;&quot;,&quot;non-dropping-particle&quot;:&quot;&quot;},{&quot;family&quot;:&quot;Al-Zahrani&quot;,&quot;given&quot;:&quot;Saeed M.&quot;,&quot;parse-names&quot;:false,&quot;dropping-particle&quot;:&quot;&quot;,&quot;non-dropping-particle&quot;:&quot;&quot;},{&quot;family&quot;:&quot;Anis&quot;,&quot;given&quot;:&quot;Arfat&quot;,&quot;parse-names&quot;:false,&quot;dropping-particle&quot;:&quot;&quot;,&quot;non-dropping-particle&quot;:&quot;&quot;},{&quot;family&quot;:&quot;Al-Wabel&quot;,&quot;given&quot;:&quot;Mohammad I.&quot;,&quot;parse-names&quot;:false,&quot;dropping-particle&quot;:&quot;&quot;,&quot;non-dropping-particle&quot;:&quot;&quot;}],&quot;container-title&quot;:&quot;Applied Sciences (Switzerland)&quot;,&quot;DOI&quot;:&quot;10.3390/app9061149&quot;,&quot;ISSN&quot;:&quot;20763417&quot;,&quot;issued&quot;:{&quot;date-parts&quot;:[[2019]]},&quot;abstract&quot;:&quot;Environmental management through effective utilization of biowastes has been a topic of intensive research in recent years. This study examines the effect of pyrolysis temperature on the physical and morphological characteristic of biochar (BC) derived from lignocellulosic wastes. The biochar was prepared by pyrolysing date palm biomass at various temperatures, i.e., 300, 400, 500, 600, and 700 °C. These pyrolysed biochars were then characterized for their carbon content, mineral compositions, chemical functionalities, and morphological structures, for understanding their physicochemical characteristics and microstructural evolution. It was revealed that the pyrolytic condition plays a key role in the formation of biochar microstructure. These biochar samples were then utilized without any further treatments/purifications for their practical application as reinforcement materials for polymer composites. They were blended with a polypropylene matrix by a melt mixing technique followed by injection molding process. The type of biochar was found to significantly affect the composites properties. Differences in microstructure, surface chemistry, and chemical compositions of BCs were observed to be determining factors affecting the compatibility and thermomechanical properties of resulted composites.&quot;,&quot;publisher&quot;:&quot;MDPI AG&quot;,&quot;issue&quot;:&quot;6&quot;,&quot;volume&quot;:&quot;9&quot;,&quot;container-title-short&quot;:&quot;&quot;},&quot;isTemporary&quot;:false}]},{&quot;citationID&quot;:&quot;MENDELEY_CITATION_954421bd-31d4-4ab3-9014-ef8bae0ff488&quot;,&quot;properties&quot;:{&quot;noteIndex&quot;:0},&quot;isEdited&quot;:false,&quot;manualOverride&quot;:{&quot;isManuallyOverridden&quot;:false,&quot;citeprocText&quot;:&quot;(Choong et al., 2016)&quot;,&quot;manualOverrideText&quot;:&quot;&quot;},&quot;citationTag&quot;:&quot;MENDELEY_CITATION_v3_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&quot;,&quot;citationItems&quot;:[{&quot;id&quot;:&quot;c7dc5e71-3cd4-37d1-87d4-6055eff3ef61&quot;,&quot;itemData&quot;:{&quot;type&quot;:&quot;article&quot;,&quot;id&quot;:&quot;c7dc5e71-3cd4-37d1-87d4-6055eff3ef61&quot;,&quot;title&quot;:&quot;Impacts of trace element supplementation on the performance of anaerobic digestion process: A critical review&quot;,&quot;author&quot;:[{&quot;family&quot;:&quot;Choong&quot;,&quot;given&quot;:&quot;Yee Yaw&quot;,&quot;parse-names&quot;:false,&quot;dropping-particle&quot;:&quot;&quot;,&quot;non-dropping-particle&quot;:&quot;&quot;},{&quot;family&quot;:&quot;Norli&quot;,&quot;given&quot;:&quot;Ismail&quot;,&quot;parse-names&quot;:false,&quot;dropping-particle&quot;:&quot;&quot;,&quot;non-dropping-particle&quot;:&quot;&quot;},{&quot;family&quot;:&quot;Abdullah&quot;,&quot;given&quot;:&quot;Ahmad Zuhairi&quot;,&quot;parse-names&quot;:false,&quot;dropping-particle&quot;:&quot;&quot;,&quot;non-dropping-particle&quot;:&quot;&quot;},{&quot;family&quot;:&quot;Yhaya&quot;,&quot;given&quot;:&quot;Mohd Firdaus&quot;,&quot;parse-names&quot;:false,&quot;dropping-particle&quot;:&quot;&quot;,&quot;non-dropping-particle&quot;:&quot;&quot;}],&quot;container-title&quot;:&quot;Bioresource Technology&quot;,&quot;container-title-short&quot;:&quot;Bioresour. Technol.&quot;,&quot;DOI&quot;:&quot;10.1016/j.biortech.2016.03.028&quot;,&quot;ISSN&quot;:&quot;18732976&quot;,&quot;PMID&quot;:&quot;27005788&quot;,&quot;issued&quot;:{&quot;date-parts&quot;:[[2016,6,1]]},&quot;page&quot;:&quot;369-379&quot;,&quot;abstract&quot;:&quot;This paper critically reviews the impacts of supplementing trace elements on the anaerobic digestion performance. The in-depth knowledge of trace elements as micronutrients and metalloenzyme components justifies trace element supplementation into the anaerobic digestion system. Most of the earlier studies reported that trace elements addition at (sub)optimum dosages had positive impacts mainly longer term on digester stability with greater organic matter degradation, low volatile fatty acids (VFA) concentration and higher biogas production. However, these positive impacts and element requirements are not fully understood, they are explained on a case to case basis because of the great variance of the anaerobic digestion operation. Iron (Fe), nickel (Ni) and cobalt (Co) are the most studied and desirable elements. The right combination of multi-elements supplementation can have greater positive impact. This measure is highly recommended, especially for the mono-digestion of micronutrient-deficient substrates. The future research should consider the aspect of trace element bioavailability.&quot;,&quot;publisher&quot;:&quot;Elsevier Ltd&quot;,&quot;volume&quot;:&quot;209&quot;},&quot;isTemporary&quot;:false}]},{&quot;citationID&quot;:&quot;MENDELEY_CITATION_e06ca2b1-3402-4936-aaea-093790ec92b4&quot;,&quot;properties&quot;:{&quot;noteIndex&quot;:0},&quot;isEdited&quot;:false,&quot;manualOverride&quot;:{&quot;isManuallyOverridden&quot;:false,&quot;citeprocText&quot;:&quot;(Guo et al., 2019)&quot;,&quot;manualOverrideText&quot;:&quot;&quot;},&quot;citationTag&quot;:&quot;MENDELEY_CITATION_v3_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&quot;,&quot;citationItems&quot;:[{&quot;id&quot;:&quot;e9e7a07f-910d-35f6-b3cf-8de4057e0649&quot;,&quot;itemData&quot;:{&quot;type&quot;:&quot;article-journal&quot;,&quot;id&quot;:&quot;e9e7a07f-910d-35f6-b3cf-8de4057e0649&quot;,&quot;title&quot;:&quot;Heavy metals interact with the microbial community and affect biogas production in anaerobic digestion: A review&quot;,&quot;author&quot;:[{&quot;family&quot;:&quot;Guo&quot;,&quot;given&quot;:&quot;Qian&quot;,&quot;parse-names&quot;:false,&quot;dropping-particle&quot;:&quot;&quot;,&quot;non-dropping-particle&quot;:&quot;&quot;},{&quot;family&quot;:&quot;Majeed&quot;,&quot;given&quot;:&quot;Sabahat&quot;,&quot;parse-names&quot;:false,&quot;dropping-particle&quot;:&quot;&quot;,&quot;non-dropping-particle&quot;:&quot;&quot;},{&quot;family&quot;:&quot;Xu&quot;,&quot;given&quot;:&quot;Rong&quot;,&quot;parse-names&quot;:false,&quot;dropping-particle&quot;:&quot;&quot;,&quot;non-dropping-particle&quot;:&quot;&quot;},{&quot;family&quot;:&quot;Zhang&quot;,&quot;given&quot;:&quot;Kai&quot;,&quot;parse-names&quot;:false,&quot;dropping-particle&quot;:&quot;&quot;,&quot;non-dropping-particle&quot;:&quot;&quot;},{&quot;family&quot;:&quot;Kakade&quot;,&quot;given&quot;:&quot;Apurva&quot;,&quot;parse-names&quot;:false,&quot;dropping-particle&quot;:&quot;&quot;,&quot;non-dropping-particle&quot;:&quot;&quot;},{&quot;family&quot;:&quot;Khan&quot;,&quot;given&quot;:&quot;Aman&quot;,&quot;parse-names&quot;:false,&quot;dropping-particle&quot;:&quot;&quot;,&quot;non-dropping-particle&quot;:&quot;&quot;},{&quot;family&quot;:&quot;Hafeez&quot;,&quot;given&quot;:&quot;Fauzia Yusuf&quot;,&quot;parse-names&quot;:false,&quot;dropping-particle&quot;:&quot;&quot;,&quot;non-dropping-particle&quot;:&quot;&quot;},{&quot;family&quot;:&quot;Mao&quot;,&quot;given&quot;:&quot;Chunlan&quot;,&quot;parse-names&quot;:false,&quot;dropping-particle&quot;:&quot;&quot;,&quot;non-dropping-particle&quot;:&quot;&quot;},{&quot;family&quot;:&quot;Liu&quot;,&quot;given&quot;:&quot;Pu&quot;,&quot;parse-names&quot;:false,&quot;dropping-particle&quot;:&quot;&quot;,&quot;non-dropping-particle&quot;:&quot;&quot;},{&quot;family&quot;:&quot;Li&quot;,&quot;given&quot;:&quot;Xiangkai&quot;,&quot;parse-names&quot;:false,&quot;dropping-particle&quot;:&quot;&quot;,&quot;non-dropping-particle&quot;:&quot;&quot;}],&quot;container-title&quot;:&quot;Journal of Environmental Management&quot;,&quot;DOI&quot;:&quot;10.1016/j.jenvman.2019.03.104&quot;,&quot;ISSN&quot;:&quot;10958630&quot;,&quot;PMID&quot;:&quot;30952047&quot;,&quot;issued&quot;:{&quot;date-parts&quot;:[[2019,6,15]]},&quot;page&quot;:&quot;266-272&quot;,&quot;abstract&quot;:&quot;Heavy metals (HMs), which accumulate in digestion substrates, such as plant residues and livestock manure, can affect biogas yields during anaerobic digestion (AD). Low concentration of Cu2+ (0–100 mg/L), Fe2+ (50–4000 mg/L), Ni2+ (0.8–50 mg/L), Cd2+ (0.1–0.3 mg/L), and Zn2+ (0–5 mg/kg) promote biogas production, while high concentrations inhibit AD. Trace amounts of HMs are necessary for the activity of some enzymes. For example, Cu2+ and Cd2+ serve as cofactors in the catalytic center of cellulase and stimulate enzyme activity. High contents of Cd2+ and Cu2+ inhibit enzyme activity by disrupting protein structures. Trace amounts of HMs stimulate the growth and activity of methanogens, while high levels have toxic effects on methanogens. HMs affect the hydrolysis, acidification, and other biochemical reactions of organics in AD by changing the enzyme structure and they also impact methanogen growth. A better understanding of the impact of HMs on AD can provide valuable insights for improving the digestion of poultry manure and plant residues contaminated with HMs, as well as help mitigate HMs pollution. Although several studies have been conducted in this field, few comprehensive reviews have examined the effect of many common HMs on AD. This review summarizes the effects of HMs on the biogas production efficiency of AD and also discusses the effects of HMs on the activities of enzymes and microbial communities.&quot;,&quot;publisher&quot;:&quot;Academic Press&quot;,&quot;volume&quot;:&quot;240&quot;,&quot;container-title-short&quot;:&quot;J. Environ. Manage.&quot;},&quot;isTemporary&quot;:false}]},{&quot;citationID&quot;:&quot;MENDELEY_CITATION_479f6f35-35ef-44f8-b8cd-3fdf75bdffaa&quot;,&quot;properties&quot;:{&quot;noteIndex&quot;:0},&quot;isEdited&quot;:false,&quot;manualOverride&quot;:{&quot;isManuallyOverridden&quot;:false,&quot;citeprocText&quot;:&quot;(Guo et al., 2019; Kadam et al., 2022)&quot;,&quot;manualOverrideText&quot;:&quot;&quot;},&quot;citationTag&quot;:&quot;MENDELEY_CITATION_v3_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&quot;,&quot;citationItems&quot;:[{&quot;id&quot;:&quot;e9e7a07f-910d-35f6-b3cf-8de4057e0649&quot;,&quot;itemData&quot;:{&quot;type&quot;:&quot;article-journal&quot;,&quot;id&quot;:&quot;e9e7a07f-910d-35f6-b3cf-8de4057e0649&quot;,&quot;title&quot;:&quot;Heavy metals interact with the microbial community and affect biogas production in anaerobic digestion: A review&quot;,&quot;author&quot;:[{&quot;family&quot;:&quot;Guo&quot;,&quot;given&quot;:&quot;Qian&quot;,&quot;parse-names&quot;:false,&quot;dropping-particle&quot;:&quot;&quot;,&quot;non-dropping-particle&quot;:&quot;&quot;},{&quot;family&quot;:&quot;Majeed&quot;,&quot;given&quot;:&quot;Sabahat&quot;,&quot;parse-names&quot;:false,&quot;dropping-particle&quot;:&quot;&quot;,&quot;non-dropping-particle&quot;:&quot;&quot;},{&quot;family&quot;:&quot;Xu&quot;,&quot;given&quot;:&quot;Rong&quot;,&quot;parse-names&quot;:false,&quot;dropping-particle&quot;:&quot;&quot;,&quot;non-dropping-particle&quot;:&quot;&quot;},{&quot;family&quot;:&quot;Zhang&quot;,&quot;given&quot;:&quot;Kai&quot;,&quot;parse-names&quot;:false,&quot;dropping-particle&quot;:&quot;&quot;,&quot;non-dropping-particle&quot;:&quot;&quot;},{&quot;family&quot;:&quot;Kakade&quot;,&quot;given&quot;:&quot;Apurva&quot;,&quot;parse-names&quot;:false,&quot;dropping-particle&quot;:&quot;&quot;,&quot;non-dropping-particle&quot;:&quot;&quot;},{&quot;family&quot;:&quot;Khan&quot;,&quot;given&quot;:&quot;Aman&quot;,&quot;parse-names&quot;:false,&quot;dropping-particle&quot;:&quot;&quot;,&quot;non-dropping-particle&quot;:&quot;&quot;},{&quot;family&quot;:&quot;Hafeez&quot;,&quot;given&quot;:&quot;Fauzia Yusuf&quot;,&quot;parse-names&quot;:false,&quot;dropping-particle&quot;:&quot;&quot;,&quot;non-dropping-particle&quot;:&quot;&quot;},{&quot;family&quot;:&quot;Mao&quot;,&quot;given&quot;:&quot;Chunlan&quot;,&quot;parse-names&quot;:false,&quot;dropping-particle&quot;:&quot;&quot;,&quot;non-dropping-particle&quot;:&quot;&quot;},{&quot;family&quot;:&quot;Liu&quot;,&quot;given&quot;:&quot;Pu&quot;,&quot;parse-names&quot;:false,&quot;dropping-particle&quot;:&quot;&quot;,&quot;non-dropping-particle&quot;:&quot;&quot;},{&quot;family&quot;:&quot;Li&quot;,&quot;given&quot;:&quot;Xiangkai&quot;,&quot;parse-names&quot;:false,&quot;dropping-particle&quot;:&quot;&quot;,&quot;non-dropping-particle&quot;:&quot;&quot;}],&quot;container-title&quot;:&quot;Journal of Environmental Management&quot;,&quot;DOI&quot;:&quot;10.1016/j.jenvman.2019.03.104&quot;,&quot;ISSN&quot;:&quot;10958630&quot;,&quot;PMID&quot;:&quot;30952047&quot;,&quot;issued&quot;:{&quot;date-parts&quot;:[[2019,6,15]]},&quot;page&quot;:&quot;266-272&quot;,&quot;abstract&quot;:&quot;Heavy metals (HMs), which accumulate in digestion substrates, such as plant residues and livestock manure, can affect biogas yields during anaerobic digestion (AD). Low concentration of Cu2+ (0–100 mg/L), Fe2+ (50–4000 mg/L), Ni2+ (0.8–50 mg/L), Cd2+ (0.1–0.3 mg/L), and Zn2+ (0–5 mg/kg) promote biogas production, while high concentrations inhibit AD. Trace amounts of HMs are necessary for the activity of some enzymes. For example, Cu2+ and Cd2+ serve as cofactors in the catalytic center of cellulase and stimulate enzyme activity. High contents of Cd2+ and Cu2+ inhibit enzyme activity by disrupting protein structures. Trace amounts of HMs stimulate the growth and activity of methanogens, while high levels have toxic effects on methanogens. HMs affect the hydrolysis, acidification, and other biochemical reactions of organics in AD by changing the enzyme structure and they also impact methanogen growth. A better understanding of the impact of HMs on AD can provide valuable insights for improving the digestion of poultry manure and plant residues contaminated with HMs, as well as help mitigate HMs pollution. Although several studies have been conducted in this field, few comprehensive reviews have examined the effect of many common HMs on AD. This review summarizes the effects of HMs on the biogas production efficiency of AD and also discusses the effects of HMs on the activities of enzymes and microbial communities.&quot;,&quot;publisher&quot;:&quot;Academic Press&quot;,&quot;volume&quot;:&quot;240&quot;,&quot;container-title-short&quot;:&quot;J. Environ. Manage.&quot;},&quot;isTemporary&quot;:false},{&quot;id&quot;:&quot;a3747986-5fcd-3eb6-98f6-3d17b1645a90&quot;,&quot;itemData&quot;:{&quot;type&quot;:&quot;article&quot;,&quot;id&quot;:&quot;a3747986-5fcd-3eb6-98f6-3d17b1645a90&quot;,&quot;title&quot;:&quot;Occurrence, Fate, and Implications of Heavy Metals during Anaerobic Digestion: A Review&quot;,&quot;author&quot;:[{&quot;family&quot;:&quot;Kadam&quot;,&quot;given&quot;:&quot;Rahul&quot;,&quot;parse-names&quot;:false,&quot;dropping-particle&quot;:&quot;&quot;,&quot;non-dropping-particle&quot;:&quot;&quot;},{&quot;family&quot;:&quot;Khanthong&quot;,&quot;given&quot;:&quot;Kamonwan&quot;,&quot;parse-names&quot;:false,&quot;dropping-particle&quot;:&quot;&quot;,&quot;non-dropping-particle&quot;:&quot;&quot;},{&quot;family&quot;:&quot;Jang&quot;,&quot;given&quot;:&quot;Heewon&quot;,&quot;parse-names&quot;:false,&quot;dropping-particle&quot;:&quot;&quot;,&quot;non-dropping-particle&quot;:&quot;&quot;},{&quot;family&quot;:&quot;Lee&quot;,&quot;given&quot;:&quot;Jonghwa&quot;,&quot;parse-names&quot;:false,&quot;dropping-particle&quot;:&quot;&quot;,&quot;non-dropping-particle&quot;:&quot;&quot;},{&quot;family&quot;:&quot;Park&quot;,&quot;given&quot;:&quot;Jungyu&quot;,&quot;parse-names&quot;:false,&quot;dropping-particle&quot;:&quot;&quot;,&quot;non-dropping-particle&quot;:&quot;&quot;}],&quot;container-title&quot;:&quot;Energies&quot;,&quot;DOI&quot;:&quot;10.3390/en15228618&quot;,&quot;ISSN&quot;:&quot;19961073&quot;,&quot;issued&quot;:{&quot;date-parts&quot;:[[2022,11,1]]},&quot;abstract&quot;:&quot;Over the years, anaerobic digestion (AD) has evolved as a competent technology to retrieve energy potential from various organic substrates, including wastewater. However, the energy metabolisms of anaerobic microorganisms, biochemical reactions, and biogas production are affected by various parameters, including heavy metals. It is important to understand the interaction of heavy metals with anaerobes and their potential influence on the process to enhance energy potential. This review methodically outlines the occurrence and role of heavy metals in the AD process. Additionally, the repercussions of the most common heavy metals (i.e., Cu, Zn, Cd, Fe, and Ni) on each stage of AD (i.e., hydrolysis, acidogenesis, and methanogenesis) have been discussed. We found that traces of heavy metals can endorse anaerobic digestion, but inhibition increases with increasing concentration. Methanogenic archaea are more susceptible to heavy metal inhibition than hydrolytic and acidogenic archaea. An improved understanding and relevant intuition will help to promote biogas production along with heavy metal management.&quot;,&quot;publisher&quot;:&quot;MDPI&quot;,&quot;issue&quot;:&quot;22&quot;,&quot;volume&quot;:&quot;15&quot;,&quot;container-title-short&quot;:&quot;Energies (Basel).&quot;},&quot;isTemporary&quot;:false}]},{&quot;citationID&quot;:&quot;MENDELEY_CITATION_9f70ce5e-4c65-4c38-9607-78d21c3d7fe7&quot;,&quot;properties&quot;:{&quot;noteIndex&quot;:0},&quot;isEdited&quot;:false,&quot;manualOverride&quot;:{&quot;isManuallyOverridden&quot;:false,&quot;citeprocText&quot;:&quot;(Guo et al., 2019; Kadam et al., 2022)&quot;,&quot;manualOverrideText&quot;:&quot;&quot;},&quot;citationTag&quot;:&quot;MENDELEY_CITATION_v3_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&quot;,&quot;citationItems&quot;:[{&quot;id&quot;:&quot;e9e7a07f-910d-35f6-b3cf-8de4057e0649&quot;,&quot;itemData&quot;:{&quot;type&quot;:&quot;article-journal&quot;,&quot;id&quot;:&quot;e9e7a07f-910d-35f6-b3cf-8de4057e0649&quot;,&quot;title&quot;:&quot;Heavy metals interact with the microbial community and affect biogas production in anaerobic digestion: A review&quot;,&quot;author&quot;:[{&quot;family&quot;:&quot;Guo&quot;,&quot;given&quot;:&quot;Qian&quot;,&quot;parse-names&quot;:false,&quot;dropping-particle&quot;:&quot;&quot;,&quot;non-dropping-particle&quot;:&quot;&quot;},{&quot;family&quot;:&quot;Majeed&quot;,&quot;given&quot;:&quot;Sabahat&quot;,&quot;parse-names&quot;:false,&quot;dropping-particle&quot;:&quot;&quot;,&quot;non-dropping-particle&quot;:&quot;&quot;},{&quot;family&quot;:&quot;Xu&quot;,&quot;given&quot;:&quot;Rong&quot;,&quot;parse-names&quot;:false,&quot;dropping-particle&quot;:&quot;&quot;,&quot;non-dropping-particle&quot;:&quot;&quot;},{&quot;family&quot;:&quot;Zhang&quot;,&quot;given&quot;:&quot;Kai&quot;,&quot;parse-names&quot;:false,&quot;dropping-particle&quot;:&quot;&quot;,&quot;non-dropping-particle&quot;:&quot;&quot;},{&quot;family&quot;:&quot;Kakade&quot;,&quot;given&quot;:&quot;Apurva&quot;,&quot;parse-names&quot;:false,&quot;dropping-particle&quot;:&quot;&quot;,&quot;non-dropping-particle&quot;:&quot;&quot;},{&quot;family&quot;:&quot;Khan&quot;,&quot;given&quot;:&quot;Aman&quot;,&quot;parse-names&quot;:false,&quot;dropping-particle&quot;:&quot;&quot;,&quot;non-dropping-particle&quot;:&quot;&quot;},{&quot;family&quot;:&quot;Hafeez&quot;,&quot;given&quot;:&quot;Fauzia Yusuf&quot;,&quot;parse-names&quot;:false,&quot;dropping-particle&quot;:&quot;&quot;,&quot;non-dropping-particle&quot;:&quot;&quot;},{&quot;family&quot;:&quot;Mao&quot;,&quot;given&quot;:&quot;Chunlan&quot;,&quot;parse-names&quot;:false,&quot;dropping-particle&quot;:&quot;&quot;,&quot;non-dropping-particle&quot;:&quot;&quot;},{&quot;family&quot;:&quot;Liu&quot;,&quot;given&quot;:&quot;Pu&quot;,&quot;parse-names&quot;:false,&quot;dropping-particle&quot;:&quot;&quot;,&quot;non-dropping-particle&quot;:&quot;&quot;},{&quot;family&quot;:&quot;Li&quot;,&quot;given&quot;:&quot;Xiangkai&quot;,&quot;parse-names&quot;:false,&quot;dropping-particle&quot;:&quot;&quot;,&quot;non-dropping-particle&quot;:&quot;&quot;}],&quot;container-title&quot;:&quot;Journal of Environmental Management&quot;,&quot;DOI&quot;:&quot;10.1016/j.jenvman.2019.03.104&quot;,&quot;ISSN&quot;:&quot;10958630&quot;,&quot;PMID&quot;:&quot;30952047&quot;,&quot;issued&quot;:{&quot;date-parts&quot;:[[2019,6,15]]},&quot;page&quot;:&quot;266-272&quot;,&quot;abstract&quot;:&quot;Heavy metals (HMs), which accumulate in digestion substrates, such as plant residues and livestock manure, can affect biogas yields during anaerobic digestion (AD). Low concentration of Cu2+ (0–100 mg/L), Fe2+ (50–4000 mg/L), Ni2+ (0.8–50 mg/L), Cd2+ (0.1–0.3 mg/L), and Zn2+ (0–5 mg/kg) promote biogas production, while high concentrations inhibit AD. Trace amounts of HMs are necessary for the activity of some enzymes. For example, Cu2+ and Cd2+ serve as cofactors in the catalytic center of cellulase and stimulate enzyme activity. High contents of Cd2+ and Cu2+ inhibit enzyme activity by disrupting protein structures. Trace amounts of HMs stimulate the growth and activity of methanogens, while high levels have toxic effects on methanogens. HMs affect the hydrolysis, acidification, and other biochemical reactions of organics in AD by changing the enzyme structure and they also impact methanogen growth. A better understanding of the impact of HMs on AD can provide valuable insights for improving the digestion of poultry manure and plant residues contaminated with HMs, as well as help mitigate HMs pollution. Although several studies have been conducted in this field, few comprehensive reviews have examined the effect of many common HMs on AD. This review summarizes the effects of HMs on the biogas production efficiency of AD and also discusses the effects of HMs on the activities of enzymes and microbial communities.&quot;,&quot;publisher&quot;:&quot;Academic Press&quot;,&quot;volume&quot;:&quot;240&quot;,&quot;container-title-short&quot;:&quot;J. Environ. Manage.&quot;},&quot;isTemporary&quot;:false},{&quot;id&quot;:&quot;a3747986-5fcd-3eb6-98f6-3d17b1645a90&quot;,&quot;itemData&quot;:{&quot;type&quot;:&quot;article&quot;,&quot;id&quot;:&quot;a3747986-5fcd-3eb6-98f6-3d17b1645a90&quot;,&quot;title&quot;:&quot;Occurrence, Fate, and Implications of Heavy Metals during Anaerobic Digestion: A Review&quot;,&quot;author&quot;:[{&quot;family&quot;:&quot;Kadam&quot;,&quot;given&quot;:&quot;Rahul&quot;,&quot;parse-names&quot;:false,&quot;dropping-particle&quot;:&quot;&quot;,&quot;non-dropping-particle&quot;:&quot;&quot;},{&quot;family&quot;:&quot;Khanthong&quot;,&quot;given&quot;:&quot;Kamonwan&quot;,&quot;parse-names&quot;:false,&quot;dropping-particle&quot;:&quot;&quot;,&quot;non-dropping-particle&quot;:&quot;&quot;},{&quot;family&quot;:&quot;Jang&quot;,&quot;given&quot;:&quot;Heewon&quot;,&quot;parse-names&quot;:false,&quot;dropping-particle&quot;:&quot;&quot;,&quot;non-dropping-particle&quot;:&quot;&quot;},{&quot;family&quot;:&quot;Lee&quot;,&quot;given&quot;:&quot;Jonghwa&quot;,&quot;parse-names&quot;:false,&quot;dropping-particle&quot;:&quot;&quot;,&quot;non-dropping-particle&quot;:&quot;&quot;},{&quot;family&quot;:&quot;Park&quot;,&quot;given&quot;:&quot;Jungyu&quot;,&quot;parse-names&quot;:false,&quot;dropping-particle&quot;:&quot;&quot;,&quot;non-dropping-particle&quot;:&quot;&quot;}],&quot;container-title&quot;:&quot;Energies&quot;,&quot;DOI&quot;:&quot;10.3390/en15228618&quot;,&quot;ISSN&quot;:&quot;19961073&quot;,&quot;issued&quot;:{&quot;date-parts&quot;:[[2022,11,1]]},&quot;abstract&quot;:&quot;Over the years, anaerobic digestion (AD) has evolved as a competent technology to retrieve energy potential from various organic substrates, including wastewater. However, the energy metabolisms of anaerobic microorganisms, biochemical reactions, and biogas production are affected by various parameters, including heavy metals. It is important to understand the interaction of heavy metals with anaerobes and their potential influence on the process to enhance energy potential. This review methodically outlines the occurrence and role of heavy metals in the AD process. Additionally, the repercussions of the most common heavy metals (i.e., Cu, Zn, Cd, Fe, and Ni) on each stage of AD (i.e., hydrolysis, acidogenesis, and methanogenesis) have been discussed. We found that traces of heavy metals can endorse anaerobic digestion, but inhibition increases with increasing concentration. Methanogenic archaea are more susceptible to heavy metal inhibition than hydrolytic and acidogenic archaea. An improved understanding and relevant intuition will help to promote biogas production along with heavy metal management.&quot;,&quot;publisher&quot;:&quot;MDPI&quot;,&quot;issue&quot;:&quot;22&quot;,&quot;volume&quot;:&quot;15&quot;,&quot;container-title-short&quot;:&quot;Energies (Basel).&quot;},&quot;isTemporary&quot;:false}]},{&quot;citationID&quot;:&quot;MENDELEY_CITATION_713eaac9-d75d-4c7f-9a08-146b670ef9ff&quot;,&quot;properties&quot;:{&quot;noteIndex&quot;:0},&quot;isEdited&quot;:false,&quot;manualOverride&quot;:{&quot;isManuallyOverridden&quot;:false,&quot;citeprocText&quot;:&quot;(Kadam et al., 2022)&quot;,&quot;manualOverrideText&quot;:&quot;&quot;},&quot;citationTag&quot;:&quot;MENDELEY_CITATION_v3_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&quot;,&quot;citationItems&quot;:[{&quot;id&quot;:&quot;a3747986-5fcd-3eb6-98f6-3d17b1645a90&quot;,&quot;itemData&quot;:{&quot;type&quot;:&quot;article&quot;,&quot;id&quot;:&quot;a3747986-5fcd-3eb6-98f6-3d17b1645a90&quot;,&quot;title&quot;:&quot;Occurrence, Fate, and Implications of Heavy Metals during Anaerobic Digestion: A Review&quot;,&quot;author&quot;:[{&quot;family&quot;:&quot;Kadam&quot;,&quot;given&quot;:&quot;Rahul&quot;,&quot;parse-names&quot;:false,&quot;dropping-particle&quot;:&quot;&quot;,&quot;non-dropping-particle&quot;:&quot;&quot;},{&quot;family&quot;:&quot;Khanthong&quot;,&quot;given&quot;:&quot;Kamonwan&quot;,&quot;parse-names&quot;:false,&quot;dropping-particle&quot;:&quot;&quot;,&quot;non-dropping-particle&quot;:&quot;&quot;},{&quot;family&quot;:&quot;Jang&quot;,&quot;given&quot;:&quot;Heewon&quot;,&quot;parse-names&quot;:false,&quot;dropping-particle&quot;:&quot;&quot;,&quot;non-dropping-particle&quot;:&quot;&quot;},{&quot;family&quot;:&quot;Lee&quot;,&quot;given&quot;:&quot;Jonghwa&quot;,&quot;parse-names&quot;:false,&quot;dropping-particle&quot;:&quot;&quot;,&quot;non-dropping-particle&quot;:&quot;&quot;},{&quot;family&quot;:&quot;Park&quot;,&quot;given&quot;:&quot;Jungyu&quot;,&quot;parse-names&quot;:false,&quot;dropping-particle&quot;:&quot;&quot;,&quot;non-dropping-particle&quot;:&quot;&quot;}],&quot;container-title&quot;:&quot;Energies&quot;,&quot;DOI&quot;:&quot;10.3390/en15228618&quot;,&quot;ISSN&quot;:&quot;19961073&quot;,&quot;issued&quot;:{&quot;date-parts&quot;:[[2022,11,1]]},&quot;abstract&quot;:&quot;Over the years, anaerobic digestion (AD) has evolved as a competent technology to retrieve energy potential from various organic substrates, including wastewater. However, the energy metabolisms of anaerobic microorganisms, biochemical reactions, and biogas production are affected by various parameters, including heavy metals. It is important to understand the interaction of heavy metals with anaerobes and their potential influence on the process to enhance energy potential. This review methodically outlines the occurrence and role of heavy metals in the AD process. Additionally, the repercussions of the most common heavy metals (i.e., Cu, Zn, Cd, Fe, and Ni) on each stage of AD (i.e., hydrolysis, acidogenesis, and methanogenesis) have been discussed. We found that traces of heavy metals can endorse anaerobic digestion, but inhibition increases with increasing concentration. Methanogenic archaea are more susceptible to heavy metal inhibition than hydrolytic and acidogenic archaea. An improved understanding and relevant intuition will help to promote biogas production along with heavy metal management.&quot;,&quot;publisher&quot;:&quot;MDPI&quot;,&quot;issue&quot;:&quot;22&quot;,&quot;volume&quot;:&quot;15&quot;,&quot;container-title-short&quot;:&quot;Energies (Basel).&quot;},&quot;isTemporary&quot;:false}]},{&quot;citationID&quot;:&quot;MENDELEY_CITATION_8da3b1e2-7dfb-4452-a2b9-8224f65eb661&quot;,&quot;properties&quot;:{&quot;noteIndex&quot;:0},&quot;isEdited&quot;:false,&quot;manualOverride&quot;:{&quot;isManuallyOverridden&quot;:false,&quot;citeprocText&quot;:&quot;(Fazi et al., 2026)&quot;,&quot;manualOverrideText&quot;:&quot;&quot;},&quot;citationTag&quot;:&quot;MENDELEY_CITATION_v3_eyJjaXRhdGlvbklEIjoiTUVOREVMRVlfQ0lUQVRJT05fOGRhM2IxZTItN2RmYi00NDUyLWEyYjktODIyNGY2NWViNjYxIiwicHJvcGVydGllcyI6eyJub3RlSW5kZXgiOjB9LCJpc0VkaXRlZCI6ZmFsc2UsIm1hbnVhbE92ZXJyaWRlIjp7ImlzTWFudWFsbHlPdmVycmlkZGVuIjpmYWxzZSwiY2l0ZXByb2NUZXh0IjoiKEZhemkgZXQgYWwuLCAyMDI2KSIsIm1hbnVhbE92ZXJyaWRlVGV4dCI6IiJ9LCJjaXRhdGlvbkl0ZW1zIjpbeyJpZCI6Ijg4ZmU4YzMyLWZlM2QtM2U2MC05M2M4LWM0NWZjN2EwNDFhYyIsIml0ZW1EYXRhIjp7InR5cGUiOiJhcnRpY2xlLWpvdXJuYWwiLCJpZCI6Ijg4ZmU4YzMyLWZlM2QtM2U2MC05M2M4LWM0NWZjN2EwNDFhYy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quot;,&quot;citationItems&quot;:[{&quot;id&quot;:&quot;88fe8c32-fe3d-3e60-93c8-c45fc7a041ac&quot;,&quot;itemData&quot;:{&quot;type&quot;:&quot;article-journal&quot;,&quot;id&quot;:&quot;88fe8c32-fe3d-3e60-93c8-c45fc7a041ac&quot;,&quot;title&quot;:&quot;Designing Biochar through Controlled Synthesis: Correlating Processing Conditions with Functional Performance&quot;,&quot;author&quot;:[{&quot;family&quot;:&quot;Fazi&quot;,&quot;given&quot;:&quot;Martina&quot;,&quot;parse-names&quot;:false,&quot;dropping-particle&quot;:&quot;&quot;,&quot;non-dropping-particle&quot;:&quot;&quot;},{&quot;family&quot;:&quot;Rosa&quot;,&quot;given&quot;:&quot;Domenico&quot;,&quot;parse-names&quot;:false,&quot;dropping-particle&quot;:&quot;&quot;,&quot;non-dropping-particle&quot;:&quot;&quot;},{&quot;family&quot;:&quot;Palma&quot;,&quot;given&quot;:&quot;Luca&quot;,&quot;parse-names&quot;:false,&quot;dropping-particle&quot;:&quot;&quot;,&quot;non-dropping-particle&quot;:&quot;Di&quot;}],&quot;container-title&quot;:&quot;Journal of Analytical and Applied Pyrolysis&quot;,&quot;container-title-short&quot;:&quot;J. Anal. Appl. Pyrolysis&quot;,&quot;DOI&quot;:&quot;10.1016/j.jaap.2026.107772&quot;,&quot;ISSN&quot;:&quot;01652370&quot;,&quot;URL&quot;:&quot;https://linkinghub.elsevier.com/retrieve/pii/S0165237026001798&quot;,&quot;issued&quot;:{&quot;date-parts&quot;:[[2026,3]]},&quot;page&quot;:&quot;107772&quot;},&quot;isTemporary&quot;:false}]},{&quot;citationID&quot;:&quot;MENDELEY_CITATION_52e91be9-3999-4778-b83f-b8aac91146a7&quot;,&quot;properties&quot;:{&quot;noteIndex&quot;:0},&quot;isEdited&quot;:false,&quot;manualOverride&quot;:{&quot;isManuallyOverridden&quot;:false,&quot;citeprocText&quot;:&quot;(Fazi et al., 2026)&quot;,&quot;manualOverrideText&quot;:&quot;&quot;},&quot;citationTag&quot;:&quot;MENDELEY_CITATION_v3_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&quot;,&quot;citationItems&quot;:[{&quot;id&quot;:&quot;88fe8c32-fe3d-3e60-93c8-c45fc7a041ac&quot;,&quot;itemData&quot;:{&quot;type&quot;:&quot;article-journal&quot;,&quot;id&quot;:&quot;88fe8c32-fe3d-3e60-93c8-c45fc7a041ac&quot;,&quot;title&quot;:&quot;Designing Biochar through Controlled Synthesis: Correlating Processing Conditions with Functional Performance&quot;,&quot;author&quot;:[{&quot;family&quot;:&quot;Fazi&quot;,&quot;given&quot;:&quot;Martina&quot;,&quot;parse-names&quot;:false,&quot;dropping-particle&quot;:&quot;&quot;,&quot;non-dropping-particle&quot;:&quot;&quot;},{&quot;family&quot;:&quot;Rosa&quot;,&quot;given&quot;:&quot;Domenico&quot;,&quot;parse-names&quot;:false,&quot;dropping-particle&quot;:&quot;&quot;,&quot;non-dropping-particle&quot;:&quot;&quot;},{&quot;family&quot;:&quot;Palma&quot;,&quot;given&quot;:&quot;Luca&quot;,&quot;parse-names&quot;:false,&quot;dropping-particle&quot;:&quot;&quot;,&quot;non-dropping-particle&quot;:&quot;Di&quot;}],&quot;container-title&quot;:&quot;Journal of Analytical and Applied Pyrolysis&quot;,&quot;container-title-short&quot;:&quot;J. Anal. Appl. Pyrolysis&quot;,&quot;DOI&quot;:&quot;10.1016/j.jaap.2026.107772&quot;,&quot;ISSN&quot;:&quot;01652370&quot;,&quot;URL&quot;:&quot;https://linkinghub.elsevier.com/retrieve/pii/S0165237026001798&quot;,&quot;issued&quot;:{&quot;date-parts&quot;:[[2026,3]]},&quot;page&quot;:&quot;107772&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6</Pages>
  <Words>3400</Words>
  <Characters>19383</Characters>
  <Application>Microsoft Office Word</Application>
  <DocSecurity>0</DocSecurity>
  <Lines>161</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martina fazi</cp:lastModifiedBy>
  <cp:revision>139</cp:revision>
  <cp:lastPrinted>2015-05-12T18:31:00Z</cp:lastPrinted>
  <dcterms:created xsi:type="dcterms:W3CDTF">2024-09-02T09:22:00Z</dcterms:created>
  <dcterms:modified xsi:type="dcterms:W3CDTF">2026-05-04T13:00:00Z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36a4e57e-d806-4417-864a-4a88d0f35b2b</vt:lpwstr>
  </property>
</Properties>
</file>