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DA17A1" w14:paraId="2A131A54" w14:textId="77777777" w:rsidTr="00E83E4B">
        <w:trPr>
          <w:trHeight w:val="852"/>
          <w:jc w:val="center"/>
        </w:trPr>
        <w:tc>
          <w:tcPr>
            <w:tcW w:w="6940" w:type="dxa"/>
            <w:vMerge w:val="restart"/>
            <w:tcBorders>
              <w:right w:val="single" w:sz="4" w:space="0" w:color="auto"/>
            </w:tcBorders>
          </w:tcPr>
          <w:p w14:paraId="38C3D2BA" w14:textId="77777777" w:rsidR="000A03B2" w:rsidRPr="00DA17A1" w:rsidRDefault="000A03B2" w:rsidP="00DE264A">
            <w:pPr>
              <w:tabs>
                <w:tab w:val="left" w:pos="-108"/>
              </w:tabs>
              <w:ind w:left="-108"/>
              <w:jc w:val="left"/>
              <w:rPr>
                <w:rFonts w:cs="Arial"/>
                <w:b/>
                <w:bCs/>
                <w:i/>
                <w:iCs/>
                <w:color w:val="000066"/>
                <w:sz w:val="12"/>
                <w:szCs w:val="12"/>
                <w:lang w:eastAsia="it-IT"/>
              </w:rPr>
            </w:pPr>
            <w:bookmarkStart w:id="0" w:name="_Hlk145068772"/>
            <w:r w:rsidRPr="00DA17A1">
              <w:rPr>
                <w:rFonts w:ascii="AdvP6960" w:hAnsi="AdvP6960" w:cs="AdvP6960"/>
                <w:noProof/>
                <w:color w:val="241F20"/>
                <w:szCs w:val="18"/>
                <w:lang w:eastAsia="it-IT"/>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DA17A1">
              <w:rPr>
                <w:rFonts w:ascii="AdvP6960" w:hAnsi="AdvP6960" w:cs="AdvP6960"/>
                <w:color w:val="241F20"/>
                <w:szCs w:val="18"/>
                <w:lang w:eastAsia="it-IT"/>
              </w:rPr>
              <w:t xml:space="preserve"> </w:t>
            </w:r>
            <w:r w:rsidRPr="00DA17A1">
              <w:rPr>
                <w:rFonts w:cs="Arial"/>
                <w:b/>
                <w:bCs/>
                <w:i/>
                <w:iCs/>
                <w:color w:val="000066"/>
                <w:sz w:val="24"/>
                <w:szCs w:val="24"/>
                <w:lang w:eastAsia="it-IT"/>
              </w:rPr>
              <w:t>CHEMICAL ENGINEERING</w:t>
            </w:r>
            <w:r w:rsidRPr="00DA17A1">
              <w:rPr>
                <w:rFonts w:cs="Arial"/>
                <w:b/>
                <w:bCs/>
                <w:i/>
                <w:iCs/>
                <w:color w:val="0033FF"/>
                <w:sz w:val="24"/>
                <w:szCs w:val="24"/>
                <w:lang w:eastAsia="it-IT"/>
              </w:rPr>
              <w:t xml:space="preserve"> </w:t>
            </w:r>
            <w:r w:rsidRPr="00DA17A1">
              <w:rPr>
                <w:rFonts w:cs="Arial"/>
                <w:b/>
                <w:bCs/>
                <w:i/>
                <w:iCs/>
                <w:color w:val="666666"/>
                <w:sz w:val="24"/>
                <w:szCs w:val="24"/>
                <w:lang w:eastAsia="it-IT"/>
              </w:rPr>
              <w:t>TRANSACTIONS</w:t>
            </w:r>
            <w:r w:rsidRPr="00DA17A1">
              <w:rPr>
                <w:color w:val="333333"/>
                <w:sz w:val="24"/>
                <w:szCs w:val="24"/>
                <w:lang w:eastAsia="it-IT"/>
              </w:rPr>
              <w:t xml:space="preserve"> </w:t>
            </w:r>
            <w:r w:rsidRPr="00DA17A1">
              <w:rPr>
                <w:rFonts w:cs="Arial"/>
                <w:b/>
                <w:bCs/>
                <w:i/>
                <w:iCs/>
                <w:color w:val="000066"/>
                <w:sz w:val="27"/>
                <w:szCs w:val="27"/>
                <w:lang w:eastAsia="it-IT"/>
              </w:rPr>
              <w:br/>
            </w:r>
          </w:p>
          <w:p w14:paraId="4B780582" w14:textId="753620B8" w:rsidR="000A03B2" w:rsidRPr="00DA17A1" w:rsidRDefault="00A76EFC" w:rsidP="001D21AF">
            <w:pPr>
              <w:tabs>
                <w:tab w:val="left" w:pos="-108"/>
              </w:tabs>
              <w:ind w:left="-108"/>
              <w:rPr>
                <w:rFonts w:cs="Arial"/>
                <w:b/>
                <w:bCs/>
                <w:i/>
                <w:iCs/>
                <w:color w:val="000066"/>
                <w:sz w:val="22"/>
                <w:szCs w:val="22"/>
                <w:lang w:eastAsia="it-IT"/>
              </w:rPr>
            </w:pPr>
            <w:r w:rsidRPr="00DA17A1">
              <w:rPr>
                <w:rFonts w:cs="Arial"/>
                <w:b/>
                <w:bCs/>
                <w:i/>
                <w:iCs/>
                <w:color w:val="000066"/>
                <w:sz w:val="22"/>
                <w:szCs w:val="22"/>
                <w:lang w:eastAsia="it-IT"/>
              </w:rPr>
              <w:t>VOL.</w:t>
            </w:r>
            <w:r w:rsidR="00785BF9" w:rsidRPr="00DA17A1">
              <w:rPr>
                <w:rFonts w:cs="Arial"/>
                <w:b/>
                <w:bCs/>
                <w:i/>
                <w:iCs/>
                <w:color w:val="000066"/>
                <w:sz w:val="22"/>
                <w:szCs w:val="22"/>
                <w:lang w:eastAsia="it-IT"/>
              </w:rPr>
              <w:t xml:space="preserve"> </w:t>
            </w:r>
            <w:r w:rsidR="00AD0278" w:rsidRPr="00DA17A1">
              <w:rPr>
                <w:rFonts w:cs="Arial"/>
                <w:b/>
                <w:bCs/>
                <w:i/>
                <w:iCs/>
                <w:color w:val="000066"/>
                <w:sz w:val="22"/>
                <w:szCs w:val="22"/>
                <w:lang w:eastAsia="it-IT"/>
              </w:rPr>
              <w:t>xxx</w:t>
            </w:r>
            <w:r w:rsidR="007B48F9" w:rsidRPr="00DA17A1">
              <w:rPr>
                <w:rFonts w:cs="Arial"/>
                <w:b/>
                <w:bCs/>
                <w:i/>
                <w:iCs/>
                <w:color w:val="000066"/>
                <w:sz w:val="22"/>
                <w:szCs w:val="22"/>
                <w:lang w:eastAsia="it-IT"/>
              </w:rPr>
              <w:t>,</w:t>
            </w:r>
            <w:r w:rsidR="00FA5F5F" w:rsidRPr="00DA17A1">
              <w:rPr>
                <w:rFonts w:cs="Arial"/>
                <w:b/>
                <w:bCs/>
                <w:i/>
                <w:iCs/>
                <w:color w:val="000066"/>
                <w:sz w:val="22"/>
                <w:szCs w:val="22"/>
                <w:lang w:eastAsia="it-IT"/>
              </w:rPr>
              <w:t xml:space="preserve"> </w:t>
            </w:r>
            <w:r w:rsidR="0030152C" w:rsidRPr="00DA17A1">
              <w:rPr>
                <w:rFonts w:cs="Arial"/>
                <w:b/>
                <w:bCs/>
                <w:i/>
                <w:iCs/>
                <w:color w:val="000066"/>
                <w:sz w:val="22"/>
                <w:szCs w:val="22"/>
                <w:lang w:eastAsia="it-IT"/>
              </w:rPr>
              <w:t>202</w:t>
            </w:r>
            <w:r w:rsidR="00AD0278" w:rsidRPr="00DA17A1">
              <w:rPr>
                <w:rFonts w:cs="Arial"/>
                <w:b/>
                <w:bCs/>
                <w:i/>
                <w:iCs/>
                <w:color w:val="000066"/>
                <w:sz w:val="22"/>
                <w:szCs w:val="22"/>
                <w:lang w:eastAsia="it-IT"/>
              </w:rPr>
              <w:t>6</w:t>
            </w:r>
          </w:p>
        </w:tc>
        <w:tc>
          <w:tcPr>
            <w:tcW w:w="1842" w:type="dxa"/>
            <w:tcBorders>
              <w:left w:val="single" w:sz="4" w:space="0" w:color="auto"/>
              <w:bottom w:val="nil"/>
              <w:right w:val="single" w:sz="4" w:space="0" w:color="auto"/>
            </w:tcBorders>
          </w:tcPr>
          <w:p w14:paraId="56782132" w14:textId="77777777" w:rsidR="000A03B2" w:rsidRPr="00DA17A1" w:rsidRDefault="000A03B2" w:rsidP="00CD5FE2">
            <w:pPr>
              <w:spacing w:line="140" w:lineRule="atLeast"/>
              <w:jc w:val="right"/>
              <w:rPr>
                <w:rFonts w:cs="Arial"/>
                <w:sz w:val="14"/>
                <w:szCs w:val="14"/>
              </w:rPr>
            </w:pPr>
            <w:r w:rsidRPr="00DA17A1">
              <w:rPr>
                <w:rFonts w:cs="Arial"/>
                <w:sz w:val="14"/>
                <w:szCs w:val="14"/>
              </w:rPr>
              <w:t>A publication of</w:t>
            </w:r>
          </w:p>
          <w:p w14:paraId="599E5441" w14:textId="77777777" w:rsidR="000A03B2" w:rsidRPr="00DA17A1" w:rsidRDefault="000A03B2" w:rsidP="00CD5FE2">
            <w:pPr>
              <w:jc w:val="right"/>
            </w:pPr>
            <w:r w:rsidRPr="00DA17A1">
              <w:rPr>
                <w:noProof/>
                <w:lang w:eastAsia="it-IT"/>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DA17A1" w14:paraId="380FA3CD" w14:textId="77777777" w:rsidTr="00E83E4B">
        <w:trPr>
          <w:trHeight w:val="567"/>
          <w:jc w:val="center"/>
        </w:trPr>
        <w:tc>
          <w:tcPr>
            <w:tcW w:w="6940" w:type="dxa"/>
            <w:vMerge/>
            <w:tcBorders>
              <w:right w:val="single" w:sz="4" w:space="0" w:color="auto"/>
            </w:tcBorders>
          </w:tcPr>
          <w:p w14:paraId="39E5E4C1" w14:textId="77777777" w:rsidR="000A03B2" w:rsidRPr="00DA17A1" w:rsidRDefault="000A03B2" w:rsidP="00CD5FE2">
            <w:pPr>
              <w:tabs>
                <w:tab w:val="left" w:pos="-108"/>
              </w:tabs>
            </w:pPr>
          </w:p>
        </w:tc>
        <w:tc>
          <w:tcPr>
            <w:tcW w:w="1842" w:type="dxa"/>
            <w:tcBorders>
              <w:left w:val="single" w:sz="4" w:space="0" w:color="auto"/>
              <w:bottom w:val="nil"/>
              <w:right w:val="single" w:sz="4" w:space="0" w:color="auto"/>
            </w:tcBorders>
          </w:tcPr>
          <w:p w14:paraId="43858A98" w14:textId="77777777" w:rsidR="000A03B2" w:rsidRPr="00DA17A1" w:rsidRDefault="000A03B2" w:rsidP="00CD5FE2">
            <w:pPr>
              <w:spacing w:line="140" w:lineRule="atLeast"/>
              <w:jc w:val="right"/>
              <w:rPr>
                <w:rFonts w:cs="Arial"/>
                <w:sz w:val="14"/>
                <w:szCs w:val="14"/>
              </w:rPr>
            </w:pPr>
            <w:r w:rsidRPr="00DA17A1">
              <w:rPr>
                <w:rFonts w:cs="Arial"/>
                <w:sz w:val="14"/>
                <w:szCs w:val="14"/>
              </w:rPr>
              <w:t>The Italian Association</w:t>
            </w:r>
          </w:p>
          <w:p w14:paraId="7522B1D2" w14:textId="77777777" w:rsidR="000A03B2" w:rsidRPr="00DA17A1" w:rsidRDefault="000A03B2" w:rsidP="00CD5FE2">
            <w:pPr>
              <w:spacing w:line="140" w:lineRule="atLeast"/>
              <w:jc w:val="right"/>
              <w:rPr>
                <w:rFonts w:cs="Arial"/>
                <w:sz w:val="14"/>
                <w:szCs w:val="14"/>
              </w:rPr>
            </w:pPr>
            <w:r w:rsidRPr="00DA17A1">
              <w:rPr>
                <w:rFonts w:cs="Arial"/>
                <w:sz w:val="14"/>
                <w:szCs w:val="14"/>
              </w:rPr>
              <w:t>of Chemical Engineering</w:t>
            </w:r>
          </w:p>
          <w:p w14:paraId="4F0CC5DE" w14:textId="47FDB2FC" w:rsidR="000A03B2" w:rsidRPr="00DA17A1" w:rsidRDefault="000D0268" w:rsidP="00CD5FE2">
            <w:pPr>
              <w:spacing w:line="140" w:lineRule="atLeast"/>
              <w:jc w:val="right"/>
              <w:rPr>
                <w:rFonts w:cs="Arial"/>
                <w:sz w:val="13"/>
                <w:szCs w:val="13"/>
              </w:rPr>
            </w:pPr>
            <w:r w:rsidRPr="00DA17A1">
              <w:rPr>
                <w:rFonts w:cs="Arial"/>
                <w:sz w:val="13"/>
                <w:szCs w:val="13"/>
              </w:rPr>
              <w:t>Online at www.cetjournal.it</w:t>
            </w:r>
          </w:p>
        </w:tc>
      </w:tr>
      <w:tr w:rsidR="000A03B2" w:rsidRPr="00DA17A1" w14:paraId="2D1B7169" w14:textId="77777777" w:rsidTr="00E83E4B">
        <w:trPr>
          <w:trHeight w:val="68"/>
          <w:jc w:val="center"/>
        </w:trPr>
        <w:tc>
          <w:tcPr>
            <w:tcW w:w="8782" w:type="dxa"/>
            <w:gridSpan w:val="2"/>
          </w:tcPr>
          <w:p w14:paraId="1D8DD3C9" w14:textId="61229B97" w:rsidR="00AA7D26" w:rsidRPr="00DA17A1" w:rsidRDefault="004A5E57" w:rsidP="004A5E57">
            <w:pPr>
              <w:ind w:left="-107"/>
              <w:outlineLvl w:val="2"/>
              <w:rPr>
                <w:rFonts w:ascii="Tahoma" w:hAnsi="Tahoma" w:cs="Tahoma"/>
                <w:bCs/>
                <w:color w:val="000000"/>
                <w:sz w:val="14"/>
                <w:szCs w:val="14"/>
                <w:lang w:eastAsia="it-IT"/>
              </w:rPr>
            </w:pPr>
            <w:r w:rsidRPr="00DA17A1">
              <w:rPr>
                <w:rFonts w:ascii="Tahoma" w:hAnsi="Tahoma" w:cs="Tahoma"/>
                <w:iCs/>
                <w:color w:val="333333"/>
                <w:sz w:val="14"/>
                <w:szCs w:val="14"/>
                <w:lang w:eastAsia="it-IT"/>
              </w:rPr>
              <w:t>Guest Editors:</w:t>
            </w:r>
            <w:r w:rsidRPr="00DA17A1">
              <w:rPr>
                <w:rFonts w:ascii="Tahoma" w:hAnsi="Tahoma" w:cs="Tahoma"/>
                <w:color w:val="000000"/>
                <w:sz w:val="14"/>
                <w:szCs w:val="14"/>
                <w:shd w:val="clear" w:color="auto" w:fill="FFFFFF"/>
              </w:rPr>
              <w:t xml:space="preserve"> </w:t>
            </w:r>
            <w:r w:rsidR="00EA3EF9" w:rsidRPr="00DA17A1">
              <w:rPr>
                <w:rFonts w:ascii="Tahoma" w:hAnsi="Tahoma" w:cs="Tahoma"/>
                <w:color w:val="000000"/>
                <w:sz w:val="14"/>
                <w:szCs w:val="14"/>
                <w:shd w:val="clear" w:color="auto" w:fill="FFFFFF"/>
              </w:rPr>
              <w:t xml:space="preserve">Leonardo Tognotti, </w:t>
            </w:r>
            <w:r w:rsidR="00EA3EF9" w:rsidRPr="00DA17A1">
              <w:rPr>
                <w:rFonts w:ascii="Tahoma" w:hAnsi="Tahoma" w:cs="Tahoma"/>
                <w:color w:val="000000"/>
                <w:sz w:val="14"/>
                <w:szCs w:val="14"/>
              </w:rPr>
              <w:t>Rubens Maciel Filho</w:t>
            </w:r>
            <w:r w:rsidR="00EA3EF9" w:rsidRPr="00DA17A1">
              <w:rPr>
                <w:rFonts w:ascii="Tahoma" w:hAnsi="Tahoma" w:cs="Tahoma"/>
                <w:color w:val="000000"/>
                <w:sz w:val="14"/>
                <w:szCs w:val="14"/>
                <w:shd w:val="clear" w:color="auto" w:fill="FFFFFF"/>
              </w:rPr>
              <w:t xml:space="preserve">, </w:t>
            </w:r>
            <w:r w:rsidR="00EA3EF9" w:rsidRPr="00DA17A1">
              <w:rPr>
                <w:rFonts w:ascii="Tahoma" w:hAnsi="Tahoma" w:cs="Tahoma"/>
                <w:color w:val="000000"/>
                <w:sz w:val="14"/>
                <w:szCs w:val="14"/>
              </w:rPr>
              <w:t>Viatcheslav Kafarov</w:t>
            </w:r>
          </w:p>
          <w:p w14:paraId="1B0F1814" w14:textId="710B7B96" w:rsidR="000A03B2" w:rsidRPr="00DA17A1" w:rsidRDefault="00AA7D26" w:rsidP="00AA7D26">
            <w:pPr>
              <w:tabs>
                <w:tab w:val="left" w:pos="-108"/>
              </w:tabs>
              <w:spacing w:line="140" w:lineRule="atLeast"/>
              <w:ind w:left="-107"/>
              <w:jc w:val="left"/>
            </w:pPr>
            <w:r w:rsidRPr="00DA17A1">
              <w:rPr>
                <w:rFonts w:ascii="Tahoma" w:hAnsi="Tahoma" w:cs="Tahoma"/>
                <w:iCs/>
                <w:color w:val="333333"/>
                <w:sz w:val="14"/>
                <w:szCs w:val="14"/>
                <w:lang w:eastAsia="it-IT"/>
              </w:rPr>
              <w:t>Copyright © 202</w:t>
            </w:r>
            <w:r w:rsidR="00005884" w:rsidRPr="00DA17A1">
              <w:rPr>
                <w:rFonts w:ascii="Tahoma" w:hAnsi="Tahoma" w:cs="Tahoma"/>
                <w:iCs/>
                <w:color w:val="333333"/>
                <w:sz w:val="14"/>
                <w:szCs w:val="14"/>
                <w:lang w:eastAsia="it-IT"/>
              </w:rPr>
              <w:t>6</w:t>
            </w:r>
            <w:r w:rsidRPr="00DA17A1">
              <w:rPr>
                <w:rFonts w:ascii="Tahoma" w:hAnsi="Tahoma" w:cs="Tahoma"/>
                <w:iCs/>
                <w:color w:val="333333"/>
                <w:sz w:val="14"/>
                <w:szCs w:val="14"/>
                <w:lang w:eastAsia="it-IT"/>
              </w:rPr>
              <w:t xml:space="preserve">, AIDIC Servizi </w:t>
            </w:r>
            <w:proofErr w:type="spellStart"/>
            <w:r w:rsidRPr="00DA17A1">
              <w:rPr>
                <w:rFonts w:ascii="Tahoma" w:hAnsi="Tahoma" w:cs="Tahoma"/>
                <w:iCs/>
                <w:color w:val="333333"/>
                <w:sz w:val="14"/>
                <w:szCs w:val="14"/>
                <w:lang w:eastAsia="it-IT"/>
              </w:rPr>
              <w:t>S.r.l</w:t>
            </w:r>
            <w:proofErr w:type="spellEnd"/>
            <w:r w:rsidRPr="00DA17A1">
              <w:rPr>
                <w:rFonts w:ascii="Tahoma" w:hAnsi="Tahoma" w:cs="Tahoma"/>
                <w:iCs/>
                <w:color w:val="333333"/>
                <w:sz w:val="14"/>
                <w:szCs w:val="14"/>
                <w:lang w:eastAsia="it-IT"/>
              </w:rPr>
              <w:t>.</w:t>
            </w:r>
            <w:r w:rsidRPr="00DA17A1">
              <w:rPr>
                <w:rFonts w:ascii="Tahoma" w:hAnsi="Tahoma" w:cs="Tahoma"/>
                <w:iCs/>
                <w:color w:val="333333"/>
                <w:sz w:val="14"/>
                <w:szCs w:val="14"/>
                <w:lang w:eastAsia="it-IT"/>
              </w:rPr>
              <w:br/>
            </w:r>
            <w:r w:rsidRPr="00DA17A1">
              <w:rPr>
                <w:rFonts w:ascii="Tahoma" w:hAnsi="Tahoma" w:cs="Tahoma"/>
                <w:b/>
                <w:iCs/>
                <w:color w:val="000000"/>
                <w:sz w:val="14"/>
                <w:szCs w:val="14"/>
                <w:lang w:eastAsia="it-IT"/>
              </w:rPr>
              <w:t>ISBN</w:t>
            </w:r>
            <w:r w:rsidRPr="00DA17A1">
              <w:rPr>
                <w:rFonts w:ascii="Tahoma" w:hAnsi="Tahoma" w:cs="Tahoma"/>
                <w:iCs/>
                <w:color w:val="000000"/>
                <w:sz w:val="14"/>
                <w:szCs w:val="14"/>
                <w:lang w:eastAsia="it-IT"/>
              </w:rPr>
              <w:t xml:space="preserve"> </w:t>
            </w:r>
            <w:r w:rsidR="00D2582C" w:rsidRPr="00DA17A1">
              <w:rPr>
                <w:rFonts w:ascii="Tahoma" w:hAnsi="Tahoma" w:cs="Tahoma"/>
                <w:sz w:val="14"/>
                <w:szCs w:val="14"/>
              </w:rPr>
              <w:t>979-12-81206-</w:t>
            </w:r>
            <w:r w:rsidR="00005884" w:rsidRPr="00DA17A1">
              <w:rPr>
                <w:rFonts w:ascii="Tahoma" w:hAnsi="Tahoma" w:cs="Tahoma"/>
                <w:sz w:val="14"/>
                <w:szCs w:val="14"/>
              </w:rPr>
              <w:t>xx</w:t>
            </w:r>
            <w:r w:rsidR="009041F8" w:rsidRPr="00DA17A1">
              <w:rPr>
                <w:rFonts w:ascii="Tahoma" w:hAnsi="Tahoma" w:cs="Tahoma"/>
                <w:sz w:val="14"/>
                <w:szCs w:val="14"/>
              </w:rPr>
              <w:t>-</w:t>
            </w:r>
            <w:r w:rsidR="00005884" w:rsidRPr="00DA17A1">
              <w:rPr>
                <w:rFonts w:ascii="Tahoma" w:hAnsi="Tahoma" w:cs="Tahoma"/>
                <w:sz w:val="14"/>
                <w:szCs w:val="14"/>
              </w:rPr>
              <w:t>x</w:t>
            </w:r>
            <w:r w:rsidRPr="00DA17A1">
              <w:rPr>
                <w:rFonts w:ascii="Tahoma" w:hAnsi="Tahoma" w:cs="Tahoma"/>
                <w:iCs/>
                <w:color w:val="333333"/>
                <w:sz w:val="14"/>
                <w:szCs w:val="14"/>
                <w:lang w:eastAsia="it-IT"/>
              </w:rPr>
              <w:t xml:space="preserve">; </w:t>
            </w:r>
            <w:r w:rsidRPr="00DA17A1">
              <w:rPr>
                <w:rFonts w:ascii="Tahoma" w:hAnsi="Tahoma" w:cs="Tahoma"/>
                <w:b/>
                <w:iCs/>
                <w:color w:val="333333"/>
                <w:sz w:val="14"/>
                <w:szCs w:val="14"/>
                <w:lang w:eastAsia="it-IT"/>
              </w:rPr>
              <w:t>ISSN</w:t>
            </w:r>
            <w:r w:rsidRPr="00DA17A1">
              <w:rPr>
                <w:rFonts w:ascii="Tahoma" w:hAnsi="Tahoma" w:cs="Tahoma"/>
                <w:iCs/>
                <w:color w:val="333333"/>
                <w:sz w:val="14"/>
                <w:szCs w:val="14"/>
                <w:lang w:eastAsia="it-IT"/>
              </w:rPr>
              <w:t xml:space="preserve"> 2283-9216</w:t>
            </w:r>
          </w:p>
        </w:tc>
      </w:tr>
    </w:tbl>
    <w:bookmarkEnd w:id="0"/>
    <w:p w14:paraId="2E667253" w14:textId="4A6DB49A" w:rsidR="00E978D0" w:rsidRPr="00DA17A1" w:rsidRDefault="00E83E4B" w:rsidP="00E978D0">
      <w:pPr>
        <w:pStyle w:val="CETTitle"/>
        <w:rPr>
          <w:lang w:val="en-US"/>
        </w:rPr>
      </w:pPr>
      <w:r w:rsidRPr="00DA17A1">
        <w:rPr>
          <w:lang w:val="en-US"/>
        </w:rPr>
        <w:t xml:space="preserve">Influence of MPC Tuning Parameters on the Closed-Loop Performance of Continuous Fermentation Systems </w:t>
      </w:r>
    </w:p>
    <w:p w14:paraId="0488FED2" w14:textId="1EB404EB" w:rsidR="00B57E6F" w:rsidRPr="000800D2" w:rsidRDefault="00E83E4B" w:rsidP="00B57E6F">
      <w:pPr>
        <w:pStyle w:val="CETAuthors"/>
        <w:rPr>
          <w:noProof w:val="0"/>
          <w:lang w:val="pt-BR"/>
        </w:rPr>
      </w:pPr>
      <w:r w:rsidRPr="000800D2">
        <w:rPr>
          <w:noProof w:val="0"/>
          <w:lang w:val="pt-BR"/>
        </w:rPr>
        <w:t>Beatriz E. A. Bressan, Rodolfo G. Pereira Filho, Luz A. Alvarez*</w:t>
      </w:r>
    </w:p>
    <w:p w14:paraId="73F1267A" w14:textId="1217311D" w:rsidR="00B57E6F" w:rsidRPr="00DA17A1" w:rsidRDefault="00E83E4B" w:rsidP="00B57E6F">
      <w:pPr>
        <w:pStyle w:val="CETemail"/>
        <w:rPr>
          <w:noProof w:val="0"/>
          <w:lang w:val="en-US"/>
        </w:rPr>
      </w:pPr>
      <w:r w:rsidRPr="00DA17A1">
        <w:rPr>
          <w:noProof w:val="0"/>
          <w:lang w:val="en-US"/>
        </w:rPr>
        <w:t>School of Chemical Engineering – University of Campinas (UNICAMP), CEP 13083-852 Campinas, SP, Brazil</w:t>
      </w:r>
      <w:r w:rsidR="00B57E6F" w:rsidRPr="00DA17A1">
        <w:rPr>
          <w:noProof w:val="0"/>
          <w:lang w:val="en-US"/>
        </w:rPr>
        <w:t xml:space="preserve"> </w:t>
      </w:r>
      <w:r w:rsidRPr="00DA17A1">
        <w:rPr>
          <w:noProof w:val="0"/>
          <w:lang w:val="en-US"/>
        </w:rPr>
        <w:t>luz@feq.unicamp.br</w:t>
      </w:r>
    </w:p>
    <w:p w14:paraId="37A61FCE" w14:textId="055B5685" w:rsidR="00DA24C6" w:rsidRPr="004D717B" w:rsidRDefault="000A032E" w:rsidP="000A032E">
      <w:pPr>
        <w:pStyle w:val="CETBodytext"/>
      </w:pPr>
      <w:r w:rsidRPr="004D717B">
        <w:t xml:space="preserve">The fermentation process is a key step in ethanol production from sugarcane and is characterized by highly nonlinear dynamics, making its control particularly challenging. The process engineer evaluates process, climatic, and economic variables to decide whether to maximize yield and productivity. In this work, a continuous fermentation plant with cell </w:t>
      </w:r>
      <w:proofErr w:type="gramStart"/>
      <w:r w:rsidRPr="004D717B">
        <w:t>recycle</w:t>
      </w:r>
      <w:proofErr w:type="gramEnd"/>
      <w:r w:rsidRPr="004D717B">
        <w:t xml:space="preserve"> is considered. This study aimed to evaluate different tuning</w:t>
      </w:r>
      <w:r w:rsidR="00DF79BE" w:rsidRPr="004D717B">
        <w:t xml:space="preserve"> parameters</w:t>
      </w:r>
      <w:r w:rsidRPr="004D717B">
        <w:t xml:space="preserve"> in </w:t>
      </w:r>
      <w:r w:rsidR="00DF79BE" w:rsidRPr="004D717B">
        <w:t xml:space="preserve">the </w:t>
      </w:r>
      <w:r w:rsidRPr="004D717B">
        <w:t xml:space="preserve">simulation of a multivariable MPC that controls the substrate concentration at the end of fermentation and the operating temperatures. In this context, three different scenarios were simulated </w:t>
      </w:r>
      <w:proofErr w:type="gramStart"/>
      <w:r w:rsidRPr="004D717B">
        <w:t>in order to</w:t>
      </w:r>
      <w:proofErr w:type="gramEnd"/>
      <w:r w:rsidRPr="004D717B">
        <w:t xml:space="preserve"> understand how disturbances affect fermentation productivity and yield in </w:t>
      </w:r>
      <w:proofErr w:type="gramStart"/>
      <w:r w:rsidRPr="004D717B">
        <w:t>closed-loop</w:t>
      </w:r>
      <w:proofErr w:type="gramEnd"/>
      <w:r w:rsidRPr="004D717B">
        <w:t xml:space="preserve">. The results showed that increasing the </w:t>
      </w:r>
      <w:r w:rsidR="00DF79BE" w:rsidRPr="004D717B">
        <w:t xml:space="preserve">output </w:t>
      </w:r>
      <w:r w:rsidRPr="004D717B">
        <w:t>error weight of one variable can improve its control performance, while deteriorating the control of the others. The simulations demonstrated significant potential for future integration between an optimization layer and multivariable control aimed at maximizing reactor yield and productivity.</w:t>
      </w:r>
    </w:p>
    <w:p w14:paraId="476B2F2E" w14:textId="77777777" w:rsidR="00600535" w:rsidRPr="004D717B" w:rsidRDefault="00600535" w:rsidP="00600535">
      <w:pPr>
        <w:pStyle w:val="CETHeading1"/>
      </w:pPr>
      <w:r w:rsidRPr="004D717B">
        <w:t>Introduction</w:t>
      </w:r>
    </w:p>
    <w:p w14:paraId="3A32C418" w14:textId="47973127" w:rsidR="00231A9D" w:rsidRPr="004D717B" w:rsidRDefault="00712E9F" w:rsidP="00712E9F">
      <w:pPr>
        <w:pStyle w:val="CETBodytext"/>
      </w:pPr>
      <w:r w:rsidRPr="004D717B">
        <w:t xml:space="preserve">According to the Renewable Fuels Association (2024), Brazil is one of the world’s largest producers of ethanol from sugarcane. Fermentation is the most important step in ethanol production from molasses, treated juice, and syrup. In this metabolic process, organic molecules are converted into ethanol, acids, and gases in the absence of oxygen (anaerobically). Several studies have investigated the fermentation process and proposed different control strategies, including studies by Nasimi et al. (2024), Petre et al. (2021), Fernandez et al. (2021), </w:t>
      </w:r>
      <w:proofErr w:type="spellStart"/>
      <w:r w:rsidRPr="004D717B">
        <w:t>Violaro</w:t>
      </w:r>
      <w:proofErr w:type="spellEnd"/>
      <w:r w:rsidRPr="004D717B">
        <w:t xml:space="preserve"> et al. (2018), and Herrera et al. (2016). In continuous fermentation, the main objective is to improve productivity without compromising yield. Productivity quantifies ethanol production per unit reactor volume, whereas yield measures ethanol generated per unit of substrate fed. In particular, the effect of multivariable MPC tuning on control performance, productivity, and yield has not been systematically addressed in the literature. In this context, this work compares different tunings of the controller proposed by </w:t>
      </w:r>
      <w:proofErr w:type="spellStart"/>
      <w:r w:rsidRPr="004D717B">
        <w:t>Violaro</w:t>
      </w:r>
      <w:proofErr w:type="spellEnd"/>
      <w:r w:rsidRPr="004D717B">
        <w:t xml:space="preserve"> et al. (2018) and evaluates the control performance, as well as the resulting yield and productivity, during closed-loop simulations in a continuous fermentation process. The remainder of this paper is organized as follows. Section 2 presents the continuous fermentation process considered in this study. Section 3 describes the MPC design. Section 4 presents the simulation scenarios. Section 5 discusses the results. Finally, Section 6 concludes the paper.</w:t>
      </w:r>
    </w:p>
    <w:p w14:paraId="5741900F" w14:textId="2D859C9B" w:rsidR="00453E24" w:rsidRPr="004D717B" w:rsidRDefault="00712E9F" w:rsidP="00453E24">
      <w:pPr>
        <w:pStyle w:val="CETHeading1"/>
      </w:pPr>
      <w:r w:rsidRPr="004D717B">
        <w:t>The continuous fermentation</w:t>
      </w:r>
    </w:p>
    <w:p w14:paraId="5A243894" w14:textId="6CF38DB1" w:rsidR="00A92B85" w:rsidRPr="00DA17A1" w:rsidRDefault="00A92B85" w:rsidP="00A92B85">
      <w:pPr>
        <w:pStyle w:val="CETBodytext"/>
      </w:pPr>
      <w:r w:rsidRPr="004D717B">
        <w:t xml:space="preserve">Meleiro (2002) proposed a mathematical model for continuous ethanol fermentation based on the operating conditions of Brazilian distilleries. The kinetic parameters employed were previously determined and experimentally validated by Andrietta (1994) and Andrietta and Maugeri Filho (1994). Later, </w:t>
      </w:r>
      <w:proofErr w:type="spellStart"/>
      <w:r w:rsidRPr="004D717B">
        <w:t>Violaro</w:t>
      </w:r>
      <w:proofErr w:type="spellEnd"/>
      <w:r w:rsidRPr="004D717B">
        <w:t xml:space="preserve"> et al. (2018) used this model to develop a multivariable control strategy based on Model Predictive Control (MPC). This process is divided into three main stages: fermenters, a yeast separation unit, and an acid treatment unit. Initially, the process is fed with must, composed of reducing sugars, nitrogen sources, and mineral salts. Each reactor is equipped with an external heat exchange system designed to maintain a constant internal temperature. Following fermentation, the must is converted into the primary product, ethanol. Subsequently, the fermented wine containing yeast cells is sent to the separation unit. This unit consists of centrifuges that </w:t>
      </w:r>
      <w:r w:rsidRPr="004D717B">
        <w:lastRenderedPageBreak/>
        <w:t xml:space="preserve">separate the crude wine into two products with different densities. The acid treatment unit receives the heavy phase, or yeast cream, while the light phase, called </w:t>
      </w:r>
      <w:r w:rsidR="00250F45" w:rsidRPr="004D717B">
        <w:t>clarified</w:t>
      </w:r>
      <w:r w:rsidRPr="004D717B">
        <w:t xml:space="preserve"> wine, is sent to a buffer tank, where it awaits distillation. The acid treatment unit comprises two to four agitated tanks in which continuous treatment occurs. In this unit, the yeast cream is received in the first tank, where it is diluted with water. Thereafter, the pH is adjusted with concentrated sulfuric acid, and the treated yeast returns to the fermenters. The ratio between the treated yeast and the total feed flow to the fermenters is defined as the recycling rate. The process representation is illustrated in Figure 1.</w:t>
      </w:r>
    </w:p>
    <w:p w14:paraId="12731C00" w14:textId="0D4A030D" w:rsidR="00583AFC" w:rsidRPr="00583AFC" w:rsidRDefault="00583AFC" w:rsidP="00583AFC">
      <w:pPr>
        <w:pStyle w:val="CETCaption"/>
        <w:jc w:val="center"/>
        <w:rPr>
          <w:lang w:val="pt-BR"/>
        </w:rPr>
      </w:pPr>
      <w:r w:rsidRPr="00583AFC">
        <w:rPr>
          <w:noProof/>
          <w:lang w:val="pt-BR"/>
        </w:rPr>
        <w:drawing>
          <wp:inline distT="0" distB="0" distL="0" distR="0" wp14:anchorId="62CDF66A" wp14:editId="049CC54E">
            <wp:extent cx="5579745" cy="1701165"/>
            <wp:effectExtent l="0" t="0" r="1905" b="0"/>
            <wp:docPr id="687257779"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79745" cy="1701165"/>
                    </a:xfrm>
                    <a:prstGeom prst="rect">
                      <a:avLst/>
                    </a:prstGeom>
                    <a:noFill/>
                    <a:ln>
                      <a:noFill/>
                    </a:ln>
                  </pic:spPr>
                </pic:pic>
              </a:graphicData>
            </a:graphic>
          </wp:inline>
        </w:drawing>
      </w:r>
    </w:p>
    <w:p w14:paraId="6D931EBD" w14:textId="77777777" w:rsidR="00914536" w:rsidRPr="00DA17A1" w:rsidRDefault="00914536" w:rsidP="00914536">
      <w:pPr>
        <w:pStyle w:val="CETCaption"/>
        <w:jc w:val="left"/>
        <w:rPr>
          <w:lang w:val="en-US"/>
        </w:rPr>
      </w:pPr>
      <w:r w:rsidRPr="004D717B">
        <w:rPr>
          <w:rStyle w:val="CETCaptionCarattere"/>
          <w:i/>
          <w:lang w:val="en-US"/>
        </w:rPr>
        <w:t xml:space="preserve">Figure 1: </w:t>
      </w:r>
      <w:r w:rsidRPr="004D717B">
        <w:rPr>
          <w:lang w:val="en-US"/>
        </w:rPr>
        <w:t>Schematic representation of a continuous alcoholic fermentation process.</w:t>
      </w:r>
      <w:r w:rsidRPr="00DA17A1">
        <w:rPr>
          <w:lang w:val="en-US"/>
        </w:rPr>
        <w:t xml:space="preserve"> </w:t>
      </w:r>
    </w:p>
    <w:p w14:paraId="400F2109" w14:textId="77777777" w:rsidR="00914536" w:rsidRPr="00DA17A1" w:rsidRDefault="00914536" w:rsidP="00914536">
      <w:pPr>
        <w:pStyle w:val="CETBodytext"/>
      </w:pPr>
      <w:r w:rsidRPr="00DA17A1">
        <w:t xml:space="preserve">Productivity (prod) and yield (yield) of the fermentation are defined by </w:t>
      </w:r>
      <w:proofErr w:type="gramStart"/>
      <w:r w:rsidRPr="00DA17A1">
        <w:t>Eq(</w:t>
      </w:r>
      <w:proofErr w:type="gramEnd"/>
      <w:r w:rsidRPr="00DA17A1">
        <w:t xml:space="preserve">1) and </w:t>
      </w:r>
      <w:proofErr w:type="gramStart"/>
      <w:r w:rsidRPr="00DA17A1">
        <w:t>Eq(</w:t>
      </w:r>
      <w:proofErr w:type="gramEnd"/>
      <w:r w:rsidRPr="00DA17A1">
        <w:t>2), respectively.</w:t>
      </w:r>
    </w:p>
    <w:tbl>
      <w:tblPr>
        <w:tblW w:w="5000" w:type="pct"/>
        <w:tblLook w:val="04A0" w:firstRow="1" w:lastRow="0" w:firstColumn="1" w:lastColumn="0" w:noHBand="0" w:noVBand="1"/>
      </w:tblPr>
      <w:tblGrid>
        <w:gridCol w:w="7986"/>
        <w:gridCol w:w="801"/>
      </w:tblGrid>
      <w:tr w:rsidR="00914536" w:rsidRPr="00DA17A1" w14:paraId="0A87C955" w14:textId="77777777" w:rsidTr="006277B3">
        <w:tc>
          <w:tcPr>
            <w:tcW w:w="7986" w:type="dxa"/>
            <w:vAlign w:val="center"/>
          </w:tcPr>
          <w:p w14:paraId="1F733129" w14:textId="77777777" w:rsidR="00914536" w:rsidRPr="00DA17A1" w:rsidRDefault="00914536" w:rsidP="006277B3">
            <w:pPr>
              <w:pStyle w:val="CETEquation"/>
              <w:rPr>
                <w:rFonts w:cs="Arial"/>
                <w:lang w:val="en-US"/>
              </w:rPr>
            </w:pPr>
            <m:oMathPara>
              <m:oMathParaPr>
                <m:jc m:val="left"/>
              </m:oMathParaPr>
              <m:oMath>
                <m:r>
                  <w:rPr>
                    <w:rFonts w:ascii="Cambria Math" w:hAnsi="Cambria Math" w:cs="Arial"/>
                    <w:lang w:val="en-US"/>
                  </w:rPr>
                  <m:t xml:space="preserve">prod= </m:t>
                </m:r>
                <m:f>
                  <m:fPr>
                    <m:ctrlPr>
                      <w:rPr>
                        <w:rFonts w:ascii="Cambria Math" w:hAnsi="Cambria Math" w:cs="Arial"/>
                        <w:i/>
                        <w:lang w:val="en-US"/>
                      </w:rPr>
                    </m:ctrlPr>
                  </m:fPr>
                  <m:num>
                    <m:r>
                      <w:rPr>
                        <w:rFonts w:ascii="Cambria Math" w:hAnsi="Cambria Math" w:cs="Arial"/>
                        <w:lang w:val="en-US"/>
                      </w:rPr>
                      <m:t>(</m:t>
                    </m:r>
                    <m:sSub>
                      <m:sSubPr>
                        <m:ctrlPr>
                          <w:rPr>
                            <w:rFonts w:ascii="Cambria Math" w:hAnsi="Cambria Math" w:cs="Arial"/>
                            <w:i/>
                            <w:lang w:val="en-US"/>
                          </w:rPr>
                        </m:ctrlPr>
                      </m:sSubPr>
                      <m:e>
                        <m:r>
                          <w:rPr>
                            <w:rFonts w:ascii="Cambria Math" w:hAnsi="Cambria Math" w:cs="Arial"/>
                            <w:lang w:val="en-US"/>
                          </w:rPr>
                          <m:t>F</m:t>
                        </m:r>
                      </m:e>
                      <m:sub>
                        <m:r>
                          <w:rPr>
                            <w:rFonts w:ascii="Cambria Math" w:hAnsi="Cambria Math" w:cs="Arial"/>
                            <w:lang w:val="en-US"/>
                          </w:rPr>
                          <m:t>v</m:t>
                        </m:r>
                      </m:sub>
                    </m:sSub>
                    <m:r>
                      <w:rPr>
                        <w:rFonts w:ascii="Cambria Math" w:hAnsi="Cambria Math" w:cs="Arial"/>
                        <w:lang w:val="en-US"/>
                      </w:rPr>
                      <m:t xml:space="preserve">+ </m:t>
                    </m:r>
                    <m:sSub>
                      <m:sSubPr>
                        <m:ctrlPr>
                          <w:rPr>
                            <w:rFonts w:ascii="Cambria Math" w:hAnsi="Cambria Math" w:cs="Arial"/>
                            <w:i/>
                            <w:lang w:val="en-US"/>
                          </w:rPr>
                        </m:ctrlPr>
                      </m:sSubPr>
                      <m:e>
                        <m:r>
                          <w:rPr>
                            <w:rFonts w:ascii="Cambria Math" w:hAnsi="Cambria Math" w:cs="Arial"/>
                            <w:lang w:val="en-US"/>
                          </w:rPr>
                          <m:t>F</m:t>
                        </m:r>
                      </m:e>
                      <m:sub>
                        <m:r>
                          <w:rPr>
                            <w:rFonts w:ascii="Cambria Math" w:hAnsi="Cambria Math" w:cs="Arial"/>
                            <w:lang w:val="en-US"/>
                          </w:rPr>
                          <m:t>P</m:t>
                        </m:r>
                      </m:sub>
                    </m:sSub>
                    <m:r>
                      <w:rPr>
                        <w:rFonts w:ascii="Cambria Math" w:hAnsi="Cambria Math" w:cs="Arial"/>
                        <w:lang w:val="en-US"/>
                      </w:rPr>
                      <m:t>)</m:t>
                    </m:r>
                    <m:sSub>
                      <m:sSubPr>
                        <m:ctrlPr>
                          <w:rPr>
                            <w:rFonts w:ascii="Cambria Math" w:hAnsi="Cambria Math" w:cs="Arial"/>
                            <w:i/>
                            <w:lang w:val="en-US"/>
                          </w:rPr>
                        </m:ctrlPr>
                      </m:sSubPr>
                      <m:e>
                        <m:r>
                          <w:rPr>
                            <w:rFonts w:ascii="Cambria Math" w:hAnsi="Cambria Math" w:cs="Arial"/>
                            <w:lang w:val="en-US"/>
                          </w:rPr>
                          <m:t xml:space="preserve"> P</m:t>
                        </m:r>
                      </m:e>
                      <m:sub>
                        <m:r>
                          <w:rPr>
                            <w:rFonts w:ascii="Cambria Math" w:hAnsi="Cambria Math" w:cs="Arial"/>
                            <w:lang w:val="en-US"/>
                          </w:rPr>
                          <m:t>4</m:t>
                        </m:r>
                      </m:sub>
                    </m:sSub>
                  </m:num>
                  <m:den>
                    <m:sSub>
                      <m:sSubPr>
                        <m:ctrlPr>
                          <w:rPr>
                            <w:rFonts w:ascii="Cambria Math" w:hAnsi="Cambria Math" w:cs="Arial"/>
                            <w:i/>
                            <w:lang w:val="en-US"/>
                          </w:rPr>
                        </m:ctrlPr>
                      </m:sSubPr>
                      <m:e>
                        <m:r>
                          <w:rPr>
                            <w:rFonts w:ascii="Cambria Math" w:hAnsi="Cambria Math" w:cs="Arial"/>
                            <w:lang w:val="en-US"/>
                          </w:rPr>
                          <m:t>V</m:t>
                        </m:r>
                      </m:e>
                      <m:sub>
                        <m:r>
                          <w:rPr>
                            <w:rFonts w:ascii="Cambria Math" w:hAnsi="Cambria Math" w:cs="Arial"/>
                            <w:lang w:val="en-US"/>
                          </w:rPr>
                          <m:t>total</m:t>
                        </m:r>
                      </m:sub>
                    </m:sSub>
                  </m:den>
                </m:f>
              </m:oMath>
            </m:oMathPara>
          </w:p>
        </w:tc>
        <w:tc>
          <w:tcPr>
            <w:tcW w:w="801" w:type="dxa"/>
            <w:vAlign w:val="center"/>
          </w:tcPr>
          <w:p w14:paraId="2131B209" w14:textId="77777777" w:rsidR="00914536" w:rsidRPr="00DA17A1" w:rsidRDefault="00914536" w:rsidP="006277B3">
            <w:pPr>
              <w:pStyle w:val="CETEquation"/>
              <w:jc w:val="right"/>
              <w:rPr>
                <w:lang w:val="en-US"/>
              </w:rPr>
            </w:pPr>
            <w:r w:rsidRPr="00DA17A1">
              <w:rPr>
                <w:lang w:val="en-US"/>
              </w:rPr>
              <w:t>(1)</w:t>
            </w:r>
          </w:p>
        </w:tc>
      </w:tr>
      <w:tr w:rsidR="00914536" w:rsidRPr="00DA17A1" w14:paraId="56F3B79E" w14:textId="77777777" w:rsidTr="006277B3">
        <w:tc>
          <w:tcPr>
            <w:tcW w:w="7986" w:type="dxa"/>
            <w:vAlign w:val="center"/>
          </w:tcPr>
          <w:p w14:paraId="16436EFD" w14:textId="77777777" w:rsidR="00914536" w:rsidRPr="00DA17A1" w:rsidRDefault="00914536" w:rsidP="006277B3">
            <w:pPr>
              <w:pStyle w:val="CETEquation"/>
              <w:rPr>
                <w:rFonts w:cs="Arial"/>
                <w:lang w:val="en-US" w:eastAsia="it-IT"/>
              </w:rPr>
            </w:pPr>
            <m:oMathPara>
              <m:oMathParaPr>
                <m:jc m:val="left"/>
              </m:oMathParaPr>
              <m:oMath>
                <m:r>
                  <w:rPr>
                    <w:rFonts w:ascii="Cambria Math" w:hAnsi="Cambria Math" w:cs="Arial"/>
                    <w:lang w:val="en-US"/>
                  </w:rPr>
                  <m:t xml:space="preserve">yield= </m:t>
                </m:r>
                <m:f>
                  <m:fPr>
                    <m:ctrlPr>
                      <w:rPr>
                        <w:rFonts w:ascii="Cambria Math" w:hAnsi="Cambria Math" w:cs="Arial"/>
                        <w:i/>
                        <w:lang w:val="en-US"/>
                      </w:rPr>
                    </m:ctrlPr>
                  </m:fPr>
                  <m:num>
                    <m:d>
                      <m:dPr>
                        <m:ctrlPr>
                          <w:rPr>
                            <w:rFonts w:ascii="Cambria Math" w:hAnsi="Cambria Math" w:cs="Arial"/>
                            <w:i/>
                            <w:lang w:val="en-US"/>
                          </w:rPr>
                        </m:ctrlPr>
                      </m:dPr>
                      <m:e>
                        <m:sSub>
                          <m:sSubPr>
                            <m:ctrlPr>
                              <w:rPr>
                                <w:rFonts w:ascii="Cambria Math" w:hAnsi="Cambria Math" w:cs="Arial"/>
                                <w:i/>
                                <w:lang w:val="en-US"/>
                              </w:rPr>
                            </m:ctrlPr>
                          </m:sSubPr>
                          <m:e>
                            <m:r>
                              <w:rPr>
                                <w:rFonts w:ascii="Cambria Math" w:hAnsi="Cambria Math" w:cs="Arial"/>
                                <w:lang w:val="en-US"/>
                              </w:rPr>
                              <m:t>F</m:t>
                            </m:r>
                          </m:e>
                          <m:sub>
                            <m:r>
                              <w:rPr>
                                <w:rFonts w:ascii="Cambria Math" w:hAnsi="Cambria Math" w:cs="Arial"/>
                                <w:lang w:val="en-US"/>
                              </w:rPr>
                              <m:t>v</m:t>
                            </m:r>
                          </m:sub>
                        </m:sSub>
                        <m:r>
                          <w:rPr>
                            <w:rFonts w:ascii="Cambria Math" w:hAnsi="Cambria Math" w:cs="Arial"/>
                            <w:lang w:val="en-US"/>
                          </w:rPr>
                          <m:t xml:space="preserve">+ </m:t>
                        </m:r>
                        <m:sSub>
                          <m:sSubPr>
                            <m:ctrlPr>
                              <w:rPr>
                                <w:rFonts w:ascii="Cambria Math" w:hAnsi="Cambria Math" w:cs="Arial"/>
                                <w:i/>
                                <w:lang w:val="en-US"/>
                              </w:rPr>
                            </m:ctrlPr>
                          </m:sSubPr>
                          <m:e>
                            <m:r>
                              <w:rPr>
                                <w:rFonts w:ascii="Cambria Math" w:hAnsi="Cambria Math" w:cs="Arial"/>
                                <w:lang w:val="en-US"/>
                              </w:rPr>
                              <m:t>F</m:t>
                            </m:r>
                          </m:e>
                          <m:sub>
                            <m:r>
                              <w:rPr>
                                <w:rFonts w:ascii="Cambria Math" w:hAnsi="Cambria Math" w:cs="Arial"/>
                                <w:lang w:val="en-US"/>
                              </w:rPr>
                              <m:t>P</m:t>
                            </m:r>
                          </m:sub>
                        </m:sSub>
                      </m:e>
                    </m:d>
                    <m:r>
                      <w:rPr>
                        <w:rFonts w:ascii="Cambria Math" w:hAnsi="Cambria Math" w:cs="Arial"/>
                        <w:lang w:val="en-US"/>
                      </w:rPr>
                      <m:t xml:space="preserve"> </m:t>
                    </m:r>
                    <m:sSub>
                      <m:sSubPr>
                        <m:ctrlPr>
                          <w:rPr>
                            <w:rFonts w:ascii="Cambria Math" w:hAnsi="Cambria Math" w:cs="Arial"/>
                            <w:i/>
                            <w:lang w:val="en-US"/>
                          </w:rPr>
                        </m:ctrlPr>
                      </m:sSubPr>
                      <m:e>
                        <m:r>
                          <w:rPr>
                            <w:rFonts w:ascii="Cambria Math" w:hAnsi="Cambria Math" w:cs="Arial"/>
                            <w:lang w:val="en-US"/>
                          </w:rPr>
                          <m:t>P</m:t>
                        </m:r>
                      </m:e>
                      <m:sub>
                        <m:r>
                          <w:rPr>
                            <w:rFonts w:ascii="Cambria Math" w:hAnsi="Cambria Math" w:cs="Arial"/>
                            <w:lang w:val="en-US"/>
                          </w:rPr>
                          <m:t>4</m:t>
                        </m:r>
                      </m:sub>
                    </m:sSub>
                  </m:num>
                  <m:den>
                    <m:r>
                      <w:rPr>
                        <w:rFonts w:ascii="Cambria Math" w:hAnsi="Cambria Math" w:cs="Arial"/>
                        <w:lang w:val="en-US"/>
                      </w:rPr>
                      <m:t xml:space="preserve">0.511 </m:t>
                    </m:r>
                    <m:sSub>
                      <m:sSubPr>
                        <m:ctrlPr>
                          <w:rPr>
                            <w:rFonts w:ascii="Cambria Math" w:hAnsi="Cambria Math" w:cs="Arial"/>
                            <w:i/>
                            <w:lang w:val="en-US"/>
                          </w:rPr>
                        </m:ctrlPr>
                      </m:sSubPr>
                      <m:e>
                        <m:r>
                          <w:rPr>
                            <w:rFonts w:ascii="Cambria Math" w:hAnsi="Cambria Math" w:cs="Arial"/>
                            <w:lang w:val="en-US"/>
                          </w:rPr>
                          <m:t>S</m:t>
                        </m:r>
                      </m:e>
                      <m:sub>
                        <m:r>
                          <w:rPr>
                            <w:rFonts w:ascii="Cambria Math" w:hAnsi="Cambria Math" w:cs="Arial"/>
                            <w:lang w:val="en-US"/>
                          </w:rPr>
                          <m:t>0</m:t>
                        </m:r>
                      </m:sub>
                    </m:sSub>
                    <m:r>
                      <w:rPr>
                        <w:rFonts w:ascii="Cambria Math" w:hAnsi="Cambria Math" w:cs="Arial"/>
                        <w:lang w:val="en-US"/>
                      </w:rPr>
                      <m:t xml:space="preserve"> </m:t>
                    </m:r>
                    <m:sSub>
                      <m:sSubPr>
                        <m:ctrlPr>
                          <w:rPr>
                            <w:rFonts w:ascii="Cambria Math" w:hAnsi="Cambria Math" w:cs="Arial"/>
                            <w:i/>
                            <w:lang w:val="en-US"/>
                          </w:rPr>
                        </m:ctrlPr>
                      </m:sSubPr>
                      <m:e>
                        <m:r>
                          <w:rPr>
                            <w:rFonts w:ascii="Cambria Math" w:hAnsi="Cambria Math" w:cs="Arial"/>
                            <w:lang w:val="en-US"/>
                          </w:rPr>
                          <m:t>F</m:t>
                        </m:r>
                      </m:e>
                      <m:sub>
                        <m:r>
                          <w:rPr>
                            <w:rFonts w:ascii="Cambria Math" w:hAnsi="Cambria Math" w:cs="Arial"/>
                            <w:lang w:val="en-US"/>
                          </w:rPr>
                          <m:t>a</m:t>
                        </m:r>
                      </m:sub>
                    </m:sSub>
                  </m:den>
                </m:f>
              </m:oMath>
            </m:oMathPara>
          </w:p>
        </w:tc>
        <w:tc>
          <w:tcPr>
            <w:tcW w:w="801" w:type="dxa"/>
            <w:vAlign w:val="center"/>
          </w:tcPr>
          <w:p w14:paraId="3405A0B9" w14:textId="77777777" w:rsidR="00914536" w:rsidRPr="00DA17A1" w:rsidRDefault="00914536" w:rsidP="006277B3">
            <w:pPr>
              <w:pStyle w:val="CETEquation"/>
              <w:jc w:val="right"/>
              <w:rPr>
                <w:lang w:val="en-US"/>
              </w:rPr>
            </w:pPr>
            <w:r w:rsidRPr="00DA17A1">
              <w:rPr>
                <w:lang w:val="en-US"/>
              </w:rPr>
              <w:t>(2)</w:t>
            </w:r>
          </w:p>
        </w:tc>
      </w:tr>
    </w:tbl>
    <w:p w14:paraId="5ED7FD24" w14:textId="55BC9457" w:rsidR="00914536" w:rsidRPr="00DA17A1" w:rsidRDefault="00914536" w:rsidP="00914536">
      <w:pPr>
        <w:pStyle w:val="CETBodytext"/>
      </w:pPr>
      <w:r w:rsidRPr="00DA17A1">
        <w:t xml:space="preserve">Where </w:t>
      </w:r>
      <m:oMath>
        <m:sSub>
          <m:sSubPr>
            <m:ctrlPr>
              <w:rPr>
                <w:rFonts w:ascii="Cambria Math" w:hAnsi="Cambria Math"/>
                <w:i/>
              </w:rPr>
            </m:ctrlPr>
          </m:sSubPr>
          <m:e>
            <m:r>
              <w:rPr>
                <w:rFonts w:ascii="Cambria Math" w:hAnsi="Cambria Math"/>
              </w:rPr>
              <m:t>F</m:t>
            </m:r>
          </m:e>
          <m:sub>
            <m:r>
              <w:rPr>
                <w:rFonts w:ascii="Cambria Math" w:hAnsi="Cambria Math"/>
              </w:rPr>
              <m:t>v</m:t>
            </m:r>
          </m:sub>
        </m:sSub>
      </m:oMath>
      <w:r w:rsidRPr="00DA17A1">
        <w:t xml:space="preserve"> is the </w:t>
      </w:r>
      <w:r w:rsidR="00250F45" w:rsidRPr="004D717B">
        <w:t>clarified</w:t>
      </w:r>
      <w:r w:rsidRPr="004D717B">
        <w:t xml:space="preserve"> wine flow</w:t>
      </w:r>
      <w:r w:rsidRPr="00DA17A1">
        <w:t xml:space="preserve"> rate; </w:t>
      </w:r>
      <m:oMath>
        <m:sSub>
          <m:sSubPr>
            <m:ctrlPr>
              <w:rPr>
                <w:rFonts w:ascii="Cambria Math" w:hAnsi="Cambria Math"/>
                <w:i/>
              </w:rPr>
            </m:ctrlPr>
          </m:sSubPr>
          <m:e>
            <m:r>
              <w:rPr>
                <w:rFonts w:ascii="Cambria Math" w:hAnsi="Cambria Math"/>
              </w:rPr>
              <m:t>F</m:t>
            </m:r>
          </m:e>
          <m:sub>
            <m:r>
              <w:rPr>
                <w:rFonts w:ascii="Cambria Math" w:hAnsi="Cambria Math"/>
              </w:rPr>
              <m:t>P</m:t>
            </m:r>
          </m:sub>
        </m:sSub>
      </m:oMath>
      <w:r w:rsidRPr="00DA17A1">
        <w:t xml:space="preserve"> is the wine output from the purge; </w:t>
      </w:r>
      <m:oMath>
        <m:sSub>
          <m:sSubPr>
            <m:ctrlPr>
              <w:rPr>
                <w:rFonts w:ascii="Cambria Math" w:hAnsi="Cambria Math"/>
                <w:i/>
              </w:rPr>
            </m:ctrlPr>
          </m:sSubPr>
          <m:e>
            <m:r>
              <w:rPr>
                <w:rFonts w:ascii="Cambria Math" w:hAnsi="Cambria Math"/>
              </w:rPr>
              <m:t xml:space="preserve"> P</m:t>
            </m:r>
          </m:e>
          <m:sub>
            <m:r>
              <w:rPr>
                <w:rFonts w:ascii="Cambria Math" w:hAnsi="Cambria Math"/>
              </w:rPr>
              <m:t>4</m:t>
            </m:r>
          </m:sub>
        </m:sSub>
      </m:oMath>
      <w:r w:rsidRPr="00DA17A1">
        <w:t xml:space="preserve"> is the product concentration in the fourth reactor; </w:t>
      </w:r>
      <m:oMath>
        <m:sSub>
          <m:sSubPr>
            <m:ctrlPr>
              <w:rPr>
                <w:rFonts w:ascii="Cambria Math" w:hAnsi="Cambria Math"/>
                <w:i/>
              </w:rPr>
            </m:ctrlPr>
          </m:sSubPr>
          <m:e>
            <m:r>
              <w:rPr>
                <w:rFonts w:ascii="Cambria Math" w:hAnsi="Cambria Math"/>
              </w:rPr>
              <m:t>V</m:t>
            </m:r>
          </m:e>
          <m:sub>
            <m:r>
              <w:rPr>
                <w:rFonts w:ascii="Cambria Math" w:hAnsi="Cambria Math"/>
              </w:rPr>
              <m:t>total</m:t>
            </m:r>
          </m:sub>
        </m:sSub>
      </m:oMath>
      <w:r w:rsidRPr="00DA17A1">
        <w:t xml:space="preserve"> is the total volume of the four reactors;  </w:t>
      </w:r>
      <m:oMath>
        <m:sSub>
          <m:sSubPr>
            <m:ctrlPr>
              <w:rPr>
                <w:rFonts w:ascii="Cambria Math" w:hAnsi="Cambria Math"/>
                <w:i/>
              </w:rPr>
            </m:ctrlPr>
          </m:sSubPr>
          <m:e>
            <m:r>
              <w:rPr>
                <w:rFonts w:ascii="Cambria Math" w:hAnsi="Cambria Math"/>
              </w:rPr>
              <m:t>S</m:t>
            </m:r>
          </m:e>
          <m:sub>
            <m:r>
              <w:rPr>
                <w:rFonts w:ascii="Cambria Math" w:hAnsi="Cambria Math"/>
              </w:rPr>
              <m:t>0</m:t>
            </m:r>
          </m:sub>
        </m:sSub>
      </m:oMath>
      <w:r w:rsidRPr="00DA17A1">
        <w:t xml:space="preserve"> is the substrate concentration in the must; and </w:t>
      </w:r>
      <m:oMath>
        <m:sSub>
          <m:sSubPr>
            <m:ctrlPr>
              <w:rPr>
                <w:rFonts w:ascii="Cambria Math" w:hAnsi="Cambria Math"/>
                <w:i/>
              </w:rPr>
            </m:ctrlPr>
          </m:sSubPr>
          <m:e>
            <m:r>
              <w:rPr>
                <w:rFonts w:ascii="Cambria Math" w:hAnsi="Cambria Math"/>
              </w:rPr>
              <m:t>F</m:t>
            </m:r>
          </m:e>
          <m:sub>
            <m:r>
              <w:rPr>
                <w:rFonts w:ascii="Cambria Math" w:hAnsi="Cambria Math"/>
              </w:rPr>
              <m:t>a</m:t>
            </m:r>
          </m:sub>
        </m:sSub>
      </m:oMath>
      <w:r w:rsidRPr="00DA17A1">
        <w:t xml:space="preserve"> is the must feed flow rate. Yield refers to the efficiency of substrate conversion into ethanol, while productivity is defined as the amount of product generated per unit reactor volume. However, these objectives often involve a trade-off, as operating conditions that increase productivity may reduce yield.</w:t>
      </w:r>
    </w:p>
    <w:p w14:paraId="4B422BC9" w14:textId="77777777" w:rsidR="00A92B85" w:rsidRPr="00DA17A1" w:rsidRDefault="00A92B85" w:rsidP="00A92B85">
      <w:pPr>
        <w:pStyle w:val="CETHeading1"/>
      </w:pPr>
      <w:r w:rsidRPr="00DA17A1">
        <w:t>Control strategy</w:t>
      </w:r>
    </w:p>
    <w:p w14:paraId="04963A06" w14:textId="08E62DA1" w:rsidR="00600535" w:rsidRPr="00DA17A1" w:rsidRDefault="00084B1B" w:rsidP="00084B1B">
      <w:pPr>
        <w:pStyle w:val="CETheadingx"/>
      </w:pPr>
      <w:r w:rsidRPr="00DA17A1">
        <w:t>Variables of interest</w:t>
      </w:r>
    </w:p>
    <w:p w14:paraId="204FD3E6" w14:textId="59974823" w:rsidR="003812B3" w:rsidRPr="00DA17A1" w:rsidRDefault="003812B3" w:rsidP="003812B3">
      <w:pPr>
        <w:pStyle w:val="CETBodytext"/>
      </w:pPr>
      <w:r w:rsidRPr="00DA17A1">
        <w:t>The main controlled variable in continuous fermentation is the substrate concentration at the outlet of the last reactor (</w:t>
      </w:r>
      <m:oMath>
        <m:sSub>
          <m:sSubPr>
            <m:ctrlPr>
              <w:rPr>
                <w:rFonts w:ascii="Cambria Math" w:hAnsi="Cambria Math"/>
              </w:rPr>
            </m:ctrlPr>
          </m:sSubPr>
          <m:e>
            <m:r>
              <w:rPr>
                <w:rFonts w:ascii="Cambria Math" w:hAnsi="Cambria Math"/>
              </w:rPr>
              <m:t>S</m:t>
            </m:r>
          </m:e>
          <m:sub>
            <m:r>
              <w:rPr>
                <w:rFonts w:ascii="Cambria Math" w:hAnsi="Cambria Math"/>
              </w:rPr>
              <m:t>4</m:t>
            </m:r>
          </m:sub>
        </m:sSub>
      </m:oMath>
      <w:r w:rsidRPr="00DA17A1">
        <w:t>). This variable does not need to be maintained at a fixed value but must remain within a specified range (65–70 kg/m³) to ensure productivity and avoid distillation problems. The must feed flow rate (</w:t>
      </w:r>
      <m:oMath>
        <m:sSub>
          <m:sSubPr>
            <m:ctrlPr>
              <w:rPr>
                <w:rFonts w:ascii="Cambria Math" w:hAnsi="Cambria Math"/>
              </w:rPr>
            </m:ctrlPr>
          </m:sSubPr>
          <m:e>
            <m:r>
              <w:rPr>
                <w:rFonts w:ascii="Cambria Math" w:hAnsi="Cambria Math"/>
              </w:rPr>
              <m:t>F</m:t>
            </m:r>
          </m:e>
          <m:sub>
            <m:r>
              <w:rPr>
                <w:rFonts w:ascii="Cambria Math" w:hAnsi="Cambria Math"/>
              </w:rPr>
              <m:t>a</m:t>
            </m:r>
          </m:sub>
        </m:sSub>
      </m:oMath>
      <w:r w:rsidRPr="00DA17A1">
        <w:t xml:space="preserve">) is the primary manipulated variable used to control </w:t>
      </w:r>
      <m:oMath>
        <m:sSub>
          <m:sSubPr>
            <m:ctrlPr>
              <w:rPr>
                <w:rFonts w:ascii="Cambria Math" w:hAnsi="Cambria Math"/>
              </w:rPr>
            </m:ctrlPr>
          </m:sSubPr>
          <m:e>
            <m:r>
              <w:rPr>
                <w:rFonts w:ascii="Cambria Math" w:hAnsi="Cambria Math"/>
              </w:rPr>
              <m:t>S</m:t>
            </m:r>
          </m:e>
          <m:sub>
            <m:r>
              <w:rPr>
                <w:rFonts w:ascii="Cambria Math" w:hAnsi="Cambria Math"/>
              </w:rPr>
              <m:t>4</m:t>
            </m:r>
          </m:sub>
        </m:sSub>
      </m:oMath>
      <w:r w:rsidRPr="00DA17A1">
        <w:t xml:space="preserve">. The </w:t>
      </w:r>
      <w:r w:rsidR="000800D2" w:rsidRPr="004D717B">
        <w:t>coolant</w:t>
      </w:r>
      <w:r w:rsidRPr="00DA17A1">
        <w:t xml:space="preserve"> flow rates (</w:t>
      </w:r>
      <m:oMath>
        <m:sSub>
          <m:sSubPr>
            <m:ctrlPr>
              <w:rPr>
                <w:rFonts w:ascii="Cambria Math" w:hAnsi="Cambria Math"/>
              </w:rPr>
            </m:ctrlPr>
          </m:sSubPr>
          <m:e>
            <m:r>
              <w:rPr>
                <w:rFonts w:ascii="Cambria Math" w:hAnsi="Cambria Math"/>
              </w:rPr>
              <m:t>F</m:t>
            </m:r>
          </m:e>
          <m:sub>
            <m:r>
              <w:rPr>
                <w:rFonts w:ascii="Cambria Math" w:hAnsi="Cambria Math"/>
              </w:rPr>
              <m:t>j,1</m:t>
            </m:r>
          </m:sub>
        </m:sSub>
      </m:oMath>
      <w:r w:rsidRPr="00DA17A1">
        <w:t xml:space="preserve"> to </w:t>
      </w:r>
      <m:oMath>
        <m:sSub>
          <m:sSubPr>
            <m:ctrlPr>
              <w:rPr>
                <w:rFonts w:ascii="Cambria Math" w:hAnsi="Cambria Math"/>
              </w:rPr>
            </m:ctrlPr>
          </m:sSubPr>
          <m:e>
            <m:r>
              <w:rPr>
                <w:rFonts w:ascii="Cambria Math" w:hAnsi="Cambria Math"/>
              </w:rPr>
              <m:t>F</m:t>
            </m:r>
          </m:e>
          <m:sub>
            <m:r>
              <w:rPr>
                <w:rFonts w:ascii="Cambria Math" w:hAnsi="Cambria Math"/>
              </w:rPr>
              <m:t>j,4</m:t>
            </m:r>
          </m:sub>
        </m:sSub>
      </m:oMath>
      <w:r w:rsidRPr="00DA17A1">
        <w:t>) maintain the reactor operating temperatures (</w:t>
      </w:r>
      <m:oMath>
        <m:sSub>
          <m:sSubPr>
            <m:ctrlPr>
              <w:rPr>
                <w:rFonts w:ascii="Cambria Math" w:hAnsi="Cambria Math"/>
              </w:rPr>
            </m:ctrlPr>
          </m:sSubPr>
          <m:e>
            <m:r>
              <w:rPr>
                <w:rFonts w:ascii="Cambria Math" w:hAnsi="Cambria Math"/>
              </w:rPr>
              <m:t>T</m:t>
            </m:r>
          </m:e>
          <m:sub>
            <m:r>
              <w:rPr>
                <w:rFonts w:ascii="Cambria Math" w:hAnsi="Cambria Math"/>
              </w:rPr>
              <m:t>1</m:t>
            </m:r>
          </m:sub>
        </m:sSub>
      </m:oMath>
      <w:r w:rsidRPr="00DA17A1">
        <w:t xml:space="preserve"> to </w:t>
      </w:r>
      <m:oMath>
        <m:sSub>
          <m:sSubPr>
            <m:ctrlPr>
              <w:rPr>
                <w:rFonts w:ascii="Cambria Math" w:hAnsi="Cambria Math"/>
              </w:rPr>
            </m:ctrlPr>
          </m:sSubPr>
          <m:e>
            <m:r>
              <w:rPr>
                <w:rFonts w:ascii="Cambria Math" w:hAnsi="Cambria Math"/>
              </w:rPr>
              <m:t>T</m:t>
            </m:r>
          </m:e>
          <m:sub>
            <m:r>
              <w:rPr>
                <w:rFonts w:ascii="Cambria Math" w:hAnsi="Cambria Math"/>
              </w:rPr>
              <m:t>4</m:t>
            </m:r>
          </m:sub>
        </m:sSub>
      </m:oMath>
      <w:r w:rsidRPr="00DA17A1">
        <w:t xml:space="preserve">) at 33.5 °C. The strategy proposed by Violaro et al. (2018) consists of a 5×5 multivariable control system in which </w:t>
      </w:r>
      <m:oMath>
        <m:sSub>
          <m:sSubPr>
            <m:ctrlPr>
              <w:rPr>
                <w:rFonts w:ascii="Cambria Math" w:hAnsi="Cambria Math"/>
              </w:rPr>
            </m:ctrlPr>
          </m:sSubPr>
          <m:e>
            <m:r>
              <w:rPr>
                <w:rFonts w:ascii="Cambria Math" w:hAnsi="Cambria Math"/>
              </w:rPr>
              <m:t>S</m:t>
            </m:r>
          </m:e>
          <m:sub>
            <m:r>
              <w:rPr>
                <w:rFonts w:ascii="Cambria Math" w:hAnsi="Cambria Math"/>
              </w:rPr>
              <m:t>4</m:t>
            </m:r>
          </m:sub>
        </m:sSub>
        <m:r>
          <w:rPr>
            <w:rFonts w:ascii="Cambria Math" w:hAnsi="Cambria Math"/>
          </w:rPr>
          <m:t xml:space="preserve"> </m:t>
        </m:r>
      </m:oMath>
      <w:r w:rsidRPr="00DA17A1">
        <w:t xml:space="preserve">and the reactor temperatures are regulated </w:t>
      </w:r>
      <w:r w:rsidR="00537D01" w:rsidRPr="00DA17A1">
        <w:t>through the corresponding manipulated variables.</w:t>
      </w:r>
    </w:p>
    <w:p w14:paraId="551500F8" w14:textId="77777777" w:rsidR="00537D01" w:rsidRPr="00DA17A1" w:rsidRDefault="00537D01" w:rsidP="003812B3">
      <w:pPr>
        <w:pStyle w:val="CETBodytext"/>
      </w:pPr>
    </w:p>
    <w:p w14:paraId="3AA352F5" w14:textId="42366742" w:rsidR="00537D01" w:rsidRPr="00DA17A1" w:rsidRDefault="00537D01" w:rsidP="00537D01">
      <w:pPr>
        <w:pStyle w:val="CETheadingx"/>
      </w:pPr>
      <w:r w:rsidRPr="00DA17A1">
        <w:t>MPC with the incremental state-space model</w:t>
      </w:r>
    </w:p>
    <w:p w14:paraId="25B3E901" w14:textId="77777777" w:rsidR="00537D01" w:rsidRPr="00DA17A1" w:rsidRDefault="00537D01" w:rsidP="00537D01">
      <w:pPr>
        <w:pStyle w:val="CETBodytext"/>
      </w:pPr>
      <w:r w:rsidRPr="00DA17A1">
        <w:t xml:space="preserve">The MPC proposed by </w:t>
      </w:r>
      <w:proofErr w:type="spellStart"/>
      <w:r w:rsidRPr="00DA17A1">
        <w:t>Violaro</w:t>
      </w:r>
      <w:proofErr w:type="spellEnd"/>
      <w:r w:rsidRPr="00DA17A1">
        <w:t xml:space="preserve"> et al. (2018) is based on a state-space model for a system with </w:t>
      </w:r>
      <m:oMath>
        <m:sSub>
          <m:sSubPr>
            <m:ctrlPr>
              <w:rPr>
                <w:rFonts w:ascii="Cambria Math" w:hAnsi="Cambria Math"/>
              </w:rPr>
            </m:ctrlPr>
          </m:sSubPr>
          <m:e>
            <m:r>
              <w:rPr>
                <w:rFonts w:ascii="Cambria Math" w:hAnsi="Cambria Math"/>
              </w:rPr>
              <m:t>n</m:t>
            </m:r>
          </m:e>
          <m:sub>
            <m:r>
              <w:rPr>
                <w:rFonts w:ascii="Cambria Math" w:hAnsi="Cambria Math"/>
              </w:rPr>
              <m:t>u</m:t>
            </m:r>
          </m:sub>
        </m:sSub>
        <m:r>
          <w:rPr>
            <w:rFonts w:ascii="Cambria Math" w:hAnsi="Cambria Math"/>
          </w:rPr>
          <m:t xml:space="preserve"> </m:t>
        </m:r>
      </m:oMath>
      <w:r w:rsidRPr="00DA17A1">
        <w:t xml:space="preserve">inputs and </w:t>
      </w:r>
      <m:oMath>
        <m:sSub>
          <m:sSubPr>
            <m:ctrlPr>
              <w:rPr>
                <w:rFonts w:ascii="Cambria Math" w:hAnsi="Cambria Math"/>
              </w:rPr>
            </m:ctrlPr>
          </m:sSubPr>
          <m:e>
            <m:r>
              <w:rPr>
                <w:rFonts w:ascii="Cambria Math" w:hAnsi="Cambria Math"/>
              </w:rPr>
              <m:t>n</m:t>
            </m:r>
          </m:e>
          <m:sub>
            <m:r>
              <w:rPr>
                <w:rFonts w:ascii="Cambria Math" w:hAnsi="Cambria Math"/>
              </w:rPr>
              <m:t>y</m:t>
            </m:r>
          </m:sub>
        </m:sSub>
        <m:r>
          <w:rPr>
            <w:rFonts w:ascii="Cambria Math" w:hAnsi="Cambria Math"/>
          </w:rPr>
          <m:t xml:space="preserve"> </m:t>
        </m:r>
      </m:oMath>
      <w:r w:rsidRPr="00DA17A1">
        <w:t xml:space="preserve">outputs. The state-space model for incremental MPC is given in </w:t>
      </w:r>
      <w:proofErr w:type="gramStart"/>
      <w:r w:rsidRPr="00DA17A1">
        <w:t>Eq(</w:t>
      </w:r>
      <w:proofErr w:type="gramEnd"/>
      <w:r w:rsidRPr="00DA17A1">
        <w:t xml:space="preserve">3) and </w:t>
      </w:r>
      <w:proofErr w:type="gramStart"/>
      <w:r w:rsidRPr="00DA17A1">
        <w:t>Eq(</w:t>
      </w:r>
      <w:proofErr w:type="gramEnd"/>
      <w:r w:rsidRPr="00DA17A1">
        <w:t>4).</w:t>
      </w:r>
    </w:p>
    <w:tbl>
      <w:tblPr>
        <w:tblW w:w="5000" w:type="pct"/>
        <w:tblLook w:val="04A0" w:firstRow="1" w:lastRow="0" w:firstColumn="1" w:lastColumn="0" w:noHBand="0" w:noVBand="1"/>
      </w:tblPr>
      <w:tblGrid>
        <w:gridCol w:w="7986"/>
        <w:gridCol w:w="801"/>
      </w:tblGrid>
      <w:tr w:rsidR="00537D01" w:rsidRPr="00DA17A1" w14:paraId="4E330BF7" w14:textId="77777777" w:rsidTr="006A0156">
        <w:tc>
          <w:tcPr>
            <w:tcW w:w="7986" w:type="dxa"/>
            <w:vAlign w:val="center"/>
          </w:tcPr>
          <w:p w14:paraId="01FE9D7D" w14:textId="77777777" w:rsidR="00537D01" w:rsidRPr="00DA17A1" w:rsidRDefault="00537D01" w:rsidP="006A0156">
            <w:pPr>
              <w:pStyle w:val="CETEquation"/>
              <w:rPr>
                <w:lang w:val="en-US"/>
              </w:rPr>
            </w:pPr>
            <m:oMathPara>
              <m:oMathParaPr>
                <m:jc m:val="left"/>
              </m:oMathParaPr>
              <m:oMath>
                <m:r>
                  <w:rPr>
                    <w:rFonts w:ascii="Cambria Math" w:hAnsi="Cambria Math"/>
                    <w:lang w:val="en-US"/>
                  </w:rPr>
                  <m:t>x</m:t>
                </m:r>
                <m:d>
                  <m:dPr>
                    <m:ctrlPr>
                      <w:rPr>
                        <w:rFonts w:ascii="Cambria Math" w:hAnsi="Cambria Math"/>
                        <w:i/>
                        <w:lang w:val="en-US"/>
                      </w:rPr>
                    </m:ctrlPr>
                  </m:dPr>
                  <m:e>
                    <m:r>
                      <w:rPr>
                        <w:rFonts w:ascii="Cambria Math" w:hAnsi="Cambria Math"/>
                        <w:lang w:val="en-US"/>
                      </w:rPr>
                      <m:t>k+1</m:t>
                    </m:r>
                  </m:e>
                </m:d>
                <m:r>
                  <w:rPr>
                    <w:rFonts w:ascii="Cambria Math" w:hAnsi="Cambria Math"/>
                    <w:lang w:val="en-US"/>
                  </w:rPr>
                  <m:t>=Ax</m:t>
                </m:r>
                <m:d>
                  <m:dPr>
                    <m:ctrlPr>
                      <w:rPr>
                        <w:rFonts w:ascii="Cambria Math" w:hAnsi="Cambria Math"/>
                        <w:i/>
                        <w:lang w:val="en-US"/>
                      </w:rPr>
                    </m:ctrlPr>
                  </m:dPr>
                  <m:e>
                    <m:r>
                      <w:rPr>
                        <w:rFonts w:ascii="Cambria Math" w:hAnsi="Cambria Math"/>
                        <w:lang w:val="en-US"/>
                      </w:rPr>
                      <m:t>k</m:t>
                    </m:r>
                  </m:e>
                </m:d>
                <m:r>
                  <w:rPr>
                    <w:rFonts w:ascii="Cambria Math" w:hAnsi="Cambria Math"/>
                    <w:lang w:val="en-US"/>
                  </w:rPr>
                  <m:t>+B∆u(k)</m:t>
                </m:r>
              </m:oMath>
            </m:oMathPara>
          </w:p>
        </w:tc>
        <w:tc>
          <w:tcPr>
            <w:tcW w:w="801" w:type="dxa"/>
            <w:vAlign w:val="center"/>
          </w:tcPr>
          <w:p w14:paraId="1FEC7AE3" w14:textId="77777777" w:rsidR="00537D01" w:rsidRPr="00DA17A1" w:rsidRDefault="00537D01" w:rsidP="006A0156">
            <w:pPr>
              <w:pStyle w:val="CETEquation"/>
              <w:jc w:val="right"/>
              <w:rPr>
                <w:lang w:val="en-US"/>
              </w:rPr>
            </w:pPr>
            <w:r w:rsidRPr="00DA17A1">
              <w:rPr>
                <w:lang w:val="en-US"/>
              </w:rPr>
              <w:t>(3)</w:t>
            </w:r>
          </w:p>
        </w:tc>
      </w:tr>
      <w:tr w:rsidR="00537D01" w:rsidRPr="00DA17A1" w14:paraId="52112737" w14:textId="77777777" w:rsidTr="006A0156">
        <w:tc>
          <w:tcPr>
            <w:tcW w:w="7986" w:type="dxa"/>
            <w:vAlign w:val="center"/>
          </w:tcPr>
          <w:p w14:paraId="175EE7BD" w14:textId="77777777" w:rsidR="00537D01" w:rsidRPr="00DA17A1" w:rsidRDefault="00537D01" w:rsidP="006A0156">
            <w:pPr>
              <w:pStyle w:val="CETEquation"/>
              <w:rPr>
                <w:lang w:val="en-US" w:eastAsia="it-IT"/>
              </w:rPr>
            </w:pPr>
            <m:oMathPara>
              <m:oMathParaPr>
                <m:jc m:val="left"/>
              </m:oMathParaPr>
              <m:oMath>
                <m:r>
                  <w:rPr>
                    <w:rFonts w:ascii="Cambria Math" w:hAnsi="Cambria Math"/>
                    <w:lang w:val="en-US"/>
                  </w:rPr>
                  <m:t>y</m:t>
                </m:r>
                <m:d>
                  <m:dPr>
                    <m:ctrlPr>
                      <w:rPr>
                        <w:rFonts w:ascii="Cambria Math" w:hAnsi="Cambria Math"/>
                        <w:i/>
                        <w:lang w:val="en-US"/>
                      </w:rPr>
                    </m:ctrlPr>
                  </m:dPr>
                  <m:e>
                    <m:r>
                      <w:rPr>
                        <w:rFonts w:ascii="Cambria Math" w:hAnsi="Cambria Math"/>
                        <w:lang w:val="en-US"/>
                      </w:rPr>
                      <m:t>k</m:t>
                    </m:r>
                  </m:e>
                </m:d>
                <m:r>
                  <w:rPr>
                    <w:rFonts w:ascii="Cambria Math" w:hAnsi="Cambria Math"/>
                    <w:lang w:val="en-US"/>
                  </w:rPr>
                  <m:t>=Cx(k)</m:t>
                </m:r>
              </m:oMath>
            </m:oMathPara>
          </w:p>
        </w:tc>
        <w:tc>
          <w:tcPr>
            <w:tcW w:w="801" w:type="dxa"/>
            <w:vAlign w:val="center"/>
          </w:tcPr>
          <w:p w14:paraId="2EECEB71" w14:textId="77777777" w:rsidR="00537D01" w:rsidRPr="00DA17A1" w:rsidRDefault="00537D01" w:rsidP="006A0156">
            <w:pPr>
              <w:pStyle w:val="CETEquation"/>
              <w:jc w:val="right"/>
              <w:rPr>
                <w:lang w:val="en-US"/>
              </w:rPr>
            </w:pPr>
            <w:r w:rsidRPr="00DA17A1">
              <w:rPr>
                <w:lang w:val="en-US"/>
              </w:rPr>
              <w:t>(4)</w:t>
            </w:r>
          </w:p>
        </w:tc>
      </w:tr>
    </w:tbl>
    <w:p w14:paraId="771A48A9" w14:textId="08A9C327" w:rsidR="00537D01" w:rsidRPr="00DA17A1" w:rsidRDefault="00537D01" w:rsidP="00537D01">
      <w:pPr>
        <w:pStyle w:val="CETBodytext"/>
      </w:pPr>
      <w:r w:rsidRPr="00DA17A1">
        <w:t xml:space="preserve">Where </w:t>
      </w:r>
      <m:oMath>
        <m:r>
          <w:rPr>
            <w:rFonts w:ascii="Cambria Math" w:hAnsi="Cambria Math"/>
          </w:rPr>
          <m:t xml:space="preserve">x ∈ </m:t>
        </m:r>
        <m:sSup>
          <m:sSupPr>
            <m:ctrlPr>
              <w:rPr>
                <w:rFonts w:ascii="Cambria Math" w:hAnsi="Cambria Math"/>
                <w:i/>
              </w:rPr>
            </m:ctrlPr>
          </m:sSupPr>
          <m:e>
            <m:r>
              <w:rPr>
                <w:rFonts w:ascii="Cambria Math" w:hAnsi="Cambria Math"/>
              </w:rPr>
              <m:t>R</m:t>
            </m:r>
          </m:e>
          <m:sup>
            <m:sSub>
              <m:sSubPr>
                <m:ctrlPr>
                  <w:rPr>
                    <w:rFonts w:ascii="Cambria Math" w:hAnsi="Cambria Math"/>
                    <w:i/>
                  </w:rPr>
                </m:ctrlPr>
              </m:sSubPr>
              <m:e>
                <m:r>
                  <w:rPr>
                    <w:rFonts w:ascii="Cambria Math" w:hAnsi="Cambria Math"/>
                  </w:rPr>
                  <m:t>n</m:t>
                </m:r>
              </m:e>
              <m:sub>
                <m:r>
                  <w:rPr>
                    <w:rFonts w:ascii="Cambria Math" w:hAnsi="Cambria Math"/>
                  </w:rPr>
                  <m:t>x</m:t>
                </m:r>
              </m:sub>
            </m:sSub>
          </m:sup>
        </m:sSup>
      </m:oMath>
      <w:r w:rsidRPr="00DA17A1">
        <w:t xml:space="preserve">, </w:t>
      </w:r>
      <m:oMath>
        <m:r>
          <w:rPr>
            <w:rFonts w:ascii="Cambria Math" w:hAnsi="Cambria Math"/>
          </w:rPr>
          <m:t xml:space="preserve">u ∈ </m:t>
        </m:r>
        <m:sSup>
          <m:sSupPr>
            <m:ctrlPr>
              <w:rPr>
                <w:rFonts w:ascii="Cambria Math" w:hAnsi="Cambria Math"/>
                <w:i/>
              </w:rPr>
            </m:ctrlPr>
          </m:sSupPr>
          <m:e>
            <m:r>
              <w:rPr>
                <w:rFonts w:ascii="Cambria Math" w:hAnsi="Cambria Math"/>
              </w:rPr>
              <m:t>R</m:t>
            </m:r>
          </m:e>
          <m:sup>
            <m:sSub>
              <m:sSubPr>
                <m:ctrlPr>
                  <w:rPr>
                    <w:rFonts w:ascii="Cambria Math" w:hAnsi="Cambria Math"/>
                    <w:i/>
                  </w:rPr>
                </m:ctrlPr>
              </m:sSubPr>
              <m:e>
                <m:r>
                  <w:rPr>
                    <w:rFonts w:ascii="Cambria Math" w:hAnsi="Cambria Math"/>
                  </w:rPr>
                  <m:t>n</m:t>
                </m:r>
              </m:e>
              <m:sub>
                <m:r>
                  <w:rPr>
                    <w:rFonts w:ascii="Cambria Math" w:hAnsi="Cambria Math"/>
                  </w:rPr>
                  <m:t>u</m:t>
                </m:r>
              </m:sub>
            </m:sSub>
          </m:sup>
        </m:sSup>
      </m:oMath>
      <w:r w:rsidRPr="00DA17A1">
        <w:t xml:space="preserve">, and </w:t>
      </w:r>
      <m:oMath>
        <m:r>
          <w:rPr>
            <w:rFonts w:ascii="Cambria Math" w:hAnsi="Cambria Math"/>
          </w:rPr>
          <m:t xml:space="preserve">y </m:t>
        </m:r>
        <m:r>
          <w:rPr>
            <w:rFonts w:ascii="Cambria Math" w:hAnsi="Cambria Math" w:cs="Cambria Math"/>
          </w:rPr>
          <m:t>∈</m:t>
        </m:r>
        <m:r>
          <w:rPr>
            <w:rFonts w:ascii="Cambria Math" w:hAnsi="Cambria Math"/>
          </w:rPr>
          <m:t xml:space="preserve"> </m:t>
        </m:r>
        <m:sSup>
          <m:sSupPr>
            <m:ctrlPr>
              <w:rPr>
                <w:rFonts w:ascii="Cambria Math" w:hAnsi="Cambria Math"/>
                <w:i/>
              </w:rPr>
            </m:ctrlPr>
          </m:sSupPr>
          <m:e>
            <m:r>
              <w:rPr>
                <w:rFonts w:ascii="Cambria Math" w:hAnsi="Cambria Math"/>
              </w:rPr>
              <m:t>R</m:t>
            </m:r>
          </m:e>
          <m:sup>
            <m:sSub>
              <m:sSubPr>
                <m:ctrlPr>
                  <w:rPr>
                    <w:rFonts w:ascii="Cambria Math" w:hAnsi="Cambria Math"/>
                    <w:i/>
                  </w:rPr>
                </m:ctrlPr>
              </m:sSubPr>
              <m:e>
                <m:r>
                  <w:rPr>
                    <w:rFonts w:ascii="Cambria Math" w:hAnsi="Cambria Math"/>
                  </w:rPr>
                  <m:t>n</m:t>
                </m:r>
              </m:e>
              <m:sub>
                <m:r>
                  <w:rPr>
                    <w:rFonts w:ascii="Cambria Math" w:hAnsi="Cambria Math"/>
                  </w:rPr>
                  <m:t>y</m:t>
                </m:r>
              </m:sub>
            </m:sSub>
          </m:sup>
        </m:sSup>
      </m:oMath>
      <w:r w:rsidRPr="00DA17A1">
        <w:t xml:space="preserve">, with </w:t>
      </w:r>
      <m:oMath>
        <m:r>
          <w:rPr>
            <w:rFonts w:ascii="Cambria Math" w:hAnsi="Cambria Math" w:hint="eastAsia"/>
          </w:rPr>
          <m:t>Δ</m:t>
        </m:r>
        <m:r>
          <w:rPr>
            <w:rFonts w:ascii="Cambria Math" w:hAnsi="Cambria Math"/>
          </w:rPr>
          <m:t xml:space="preserve">u(k) = u(k) </m:t>
        </m:r>
        <m:r>
          <w:rPr>
            <w:rFonts w:ascii="Cambria Math" w:hAnsi="Cambria Math" w:hint="eastAsia"/>
          </w:rPr>
          <m:t>-</m:t>
        </m:r>
        <m:r>
          <w:rPr>
            <w:rFonts w:ascii="Cambria Math" w:hAnsi="Cambria Math"/>
          </w:rPr>
          <m:t xml:space="preserve"> u(k </m:t>
        </m:r>
        <m:r>
          <w:rPr>
            <w:rFonts w:ascii="Cambria Math" w:hAnsi="Cambria Math" w:hint="eastAsia"/>
          </w:rPr>
          <m:t>-</m:t>
        </m:r>
        <m:r>
          <w:rPr>
            <w:rFonts w:ascii="Cambria Math" w:hAnsi="Cambria Math"/>
          </w:rPr>
          <m:t xml:space="preserve"> 1)</m:t>
        </m:r>
      </m:oMath>
      <w:r w:rsidRPr="00DA17A1">
        <w:t xml:space="preserve">. </w:t>
      </w:r>
      <m:oMath>
        <m:r>
          <w:rPr>
            <w:rFonts w:ascii="Cambria Math" w:hAnsi="Cambria Math"/>
          </w:rPr>
          <m:t>A</m:t>
        </m:r>
      </m:oMath>
      <w:r w:rsidRPr="00DA17A1">
        <w:t xml:space="preserve"> </w:t>
      </w:r>
      <w:r w:rsidR="00A43AA8" w:rsidRPr="00DA17A1">
        <w:t xml:space="preserve">represents </w:t>
      </w:r>
      <w:r w:rsidRPr="00DA17A1">
        <w:t xml:space="preserve">the system matrix that determines the state dynamics; </w:t>
      </w:r>
      <m:oMath>
        <m:r>
          <w:rPr>
            <w:rFonts w:ascii="Cambria Math" w:hAnsi="Cambria Math"/>
          </w:rPr>
          <m:t>B</m:t>
        </m:r>
      </m:oMath>
      <w:r w:rsidRPr="00DA17A1">
        <w:t xml:space="preserve"> represents the input matrix that describes how the inputs affect the state; and </w:t>
      </w:r>
      <m:oMath>
        <m:r>
          <w:rPr>
            <w:rFonts w:ascii="Cambria Math" w:hAnsi="Cambria Math"/>
          </w:rPr>
          <m:t>C</m:t>
        </m:r>
      </m:oMath>
      <w:r w:rsidRPr="00DA17A1">
        <w:t xml:space="preserve"> </w:t>
      </w:r>
      <w:r w:rsidR="00A43AA8" w:rsidRPr="00DA17A1">
        <w:t xml:space="preserve">represents </w:t>
      </w:r>
      <w:r w:rsidRPr="00DA17A1">
        <w:t xml:space="preserve">the output matrix that relates the state to the system outputs. For a given time step </w:t>
      </w:r>
      <m:oMath>
        <m:r>
          <w:rPr>
            <w:rFonts w:ascii="Cambria Math" w:hAnsi="Cambria Math"/>
          </w:rPr>
          <m:t>k</m:t>
        </m:r>
      </m:oMath>
      <w:r w:rsidRPr="00DA17A1">
        <w:t xml:space="preserve">, the state </w:t>
      </w:r>
      <m:oMath>
        <m:r>
          <w:rPr>
            <w:rFonts w:ascii="Cambria Math" w:hAnsi="Cambria Math"/>
          </w:rPr>
          <w:lastRenderedPageBreak/>
          <m:t>x(k)</m:t>
        </m:r>
      </m:oMath>
      <w:r w:rsidRPr="00DA17A1">
        <w:t xml:space="preserve"> is assumed known, and the controller computes a control sequence </w:t>
      </w:r>
      <m:oMath>
        <m:r>
          <w:rPr>
            <w:rFonts w:ascii="Cambria Math" w:hAnsi="Cambria Math"/>
          </w:rPr>
          <m:t>(</m:t>
        </m:r>
        <m:r>
          <w:rPr>
            <w:rFonts w:ascii="Cambria Math" w:hAnsi="Cambria Math" w:hint="eastAsia"/>
          </w:rPr>
          <m:t>Δ</m:t>
        </m:r>
        <m:r>
          <w:rPr>
            <w:rFonts w:ascii="Cambria Math" w:hAnsi="Cambria Math"/>
          </w:rPr>
          <m:t xml:space="preserve">u(k),  </m:t>
        </m:r>
        <m:r>
          <w:rPr>
            <w:rFonts w:ascii="Cambria Math" w:hAnsi="Cambria Math" w:hint="eastAsia"/>
          </w:rPr>
          <m:t>Δ</m:t>
        </m:r>
        <m:r>
          <w:rPr>
            <w:rFonts w:ascii="Cambria Math" w:hAnsi="Cambria Math"/>
          </w:rPr>
          <m:t xml:space="preserve">u(k+1),  . . . ,  </m:t>
        </m:r>
        <m:r>
          <w:rPr>
            <w:rFonts w:ascii="Cambria Math" w:hAnsi="Cambria Math" w:hint="eastAsia"/>
          </w:rPr>
          <m:t>Δ</m:t>
        </m:r>
        <m:r>
          <w:rPr>
            <w:rFonts w:ascii="Cambria Math" w:hAnsi="Cambria Math"/>
          </w:rPr>
          <m:t>u(k+m</m:t>
        </m:r>
        <m:r>
          <w:rPr>
            <w:rFonts w:ascii="Cambria Math" w:hAnsi="Cambria Math" w:hint="eastAsia"/>
          </w:rPr>
          <m:t>-</m:t>
        </m:r>
        <m:r>
          <w:rPr>
            <w:rFonts w:ascii="Cambria Math" w:hAnsi="Cambria Math"/>
          </w:rPr>
          <m:t>1))</m:t>
        </m:r>
      </m:oMath>
      <w:r w:rsidRPr="00DA17A1">
        <w:t xml:space="preserve"> that minimizes the objective function defined in Eq(5).</w:t>
      </w:r>
    </w:p>
    <w:tbl>
      <w:tblPr>
        <w:tblW w:w="5000" w:type="pct"/>
        <w:tblLook w:val="04A0" w:firstRow="1" w:lastRow="0" w:firstColumn="1" w:lastColumn="0" w:noHBand="0" w:noVBand="1"/>
      </w:tblPr>
      <w:tblGrid>
        <w:gridCol w:w="7986"/>
        <w:gridCol w:w="801"/>
      </w:tblGrid>
      <w:tr w:rsidR="00537D01" w:rsidRPr="00DA17A1" w14:paraId="331ABACD" w14:textId="77777777" w:rsidTr="006A0156">
        <w:tc>
          <w:tcPr>
            <w:tcW w:w="7986" w:type="dxa"/>
            <w:vAlign w:val="center"/>
          </w:tcPr>
          <w:p w14:paraId="466279E0" w14:textId="77777777" w:rsidR="00537D01" w:rsidRPr="00DA17A1" w:rsidRDefault="00000000" w:rsidP="006A0156">
            <w:pPr>
              <w:pStyle w:val="CETEquation"/>
              <w:rPr>
                <w:lang w:val="en-US"/>
              </w:rPr>
            </w:pPr>
            <m:oMathPara>
              <m:oMathParaPr>
                <m:jc m:val="left"/>
              </m:oMathParaPr>
              <m:oMath>
                <m:sSub>
                  <m:sSubPr>
                    <m:ctrlPr>
                      <w:rPr>
                        <w:rFonts w:ascii="Cambria Math" w:hAnsi="Cambria Math"/>
                        <w:i/>
                        <w:lang w:val="en-US"/>
                      </w:rPr>
                    </m:ctrlPr>
                  </m:sSubPr>
                  <m:e>
                    <m:r>
                      <w:rPr>
                        <w:rFonts w:ascii="Cambria Math" w:hAnsi="Cambria Math"/>
                        <w:lang w:val="en-US"/>
                      </w:rPr>
                      <m:t>J</m:t>
                    </m:r>
                  </m:e>
                  <m:sub>
                    <m:r>
                      <w:rPr>
                        <w:rFonts w:ascii="Cambria Math" w:hAnsi="Cambria Math"/>
                        <w:lang w:val="en-US"/>
                      </w:rPr>
                      <m:t>k</m:t>
                    </m:r>
                  </m:sub>
                </m:sSub>
                <m:r>
                  <w:rPr>
                    <w:rFonts w:ascii="Cambria Math" w:hAnsi="Cambria Math"/>
                    <w:lang w:val="en-US"/>
                  </w:rPr>
                  <m:t xml:space="preserve">= </m:t>
                </m:r>
                <m:nary>
                  <m:naryPr>
                    <m:chr m:val="∑"/>
                    <m:limLoc m:val="undOvr"/>
                    <m:ctrlPr>
                      <w:rPr>
                        <w:rFonts w:ascii="Cambria Math" w:hAnsi="Cambria Math"/>
                        <w:i/>
                        <w:lang w:val="en-US"/>
                      </w:rPr>
                    </m:ctrlPr>
                  </m:naryPr>
                  <m:sub>
                    <m:r>
                      <w:rPr>
                        <w:rFonts w:ascii="Cambria Math" w:hAnsi="Cambria Math"/>
                        <w:lang w:val="en-US"/>
                      </w:rPr>
                      <m:t>j=1</m:t>
                    </m:r>
                  </m:sub>
                  <m:sup>
                    <m:r>
                      <w:rPr>
                        <w:rFonts w:ascii="Cambria Math" w:hAnsi="Cambria Math"/>
                        <w:lang w:val="en-US"/>
                      </w:rPr>
                      <m:t>p</m:t>
                    </m:r>
                  </m:sup>
                  <m:e>
                    <m:sSup>
                      <m:sSupPr>
                        <m:ctrlPr>
                          <w:rPr>
                            <w:rFonts w:ascii="Cambria Math" w:hAnsi="Cambria Math"/>
                            <w:i/>
                            <w:lang w:val="en-US"/>
                          </w:rPr>
                        </m:ctrlPr>
                      </m:sSupPr>
                      <m:e>
                        <m:d>
                          <m:dPr>
                            <m:ctrlPr>
                              <w:rPr>
                                <w:rFonts w:ascii="Cambria Math" w:hAnsi="Cambria Math"/>
                                <w:i/>
                                <w:lang w:val="en-US"/>
                              </w:rPr>
                            </m:ctrlPr>
                          </m:dPr>
                          <m:e>
                            <m:r>
                              <w:rPr>
                                <w:rFonts w:ascii="Cambria Math" w:hAnsi="Cambria Math"/>
                                <w:lang w:val="en-US"/>
                              </w:rPr>
                              <m:t>y</m:t>
                            </m:r>
                            <m:d>
                              <m:dPr>
                                <m:ctrlPr>
                                  <w:rPr>
                                    <w:rFonts w:ascii="Cambria Math" w:hAnsi="Cambria Math"/>
                                    <w:i/>
                                    <w:lang w:val="en-US"/>
                                  </w:rPr>
                                </m:ctrlPr>
                              </m:dPr>
                              <m:e>
                                <m:r>
                                  <w:rPr>
                                    <w:rFonts w:ascii="Cambria Math" w:hAnsi="Cambria Math"/>
                                    <w:lang w:val="en-US"/>
                                  </w:rPr>
                                  <m:t>k+j</m:t>
                                </m:r>
                              </m:e>
                              <m:e>
                                <m:r>
                                  <w:rPr>
                                    <w:rFonts w:ascii="Cambria Math" w:hAnsi="Cambria Math"/>
                                    <w:lang w:val="en-US"/>
                                  </w:rPr>
                                  <m:t>k</m:t>
                                </m:r>
                              </m:e>
                            </m:d>
                            <m:r>
                              <w:rPr>
                                <w:rFonts w:ascii="Cambria Math" w:hAnsi="Cambria Math"/>
                                <w:lang w:val="en-US"/>
                              </w:rPr>
                              <m:t>-</m:t>
                            </m:r>
                            <m:sSub>
                              <m:sSubPr>
                                <m:ctrlPr>
                                  <w:rPr>
                                    <w:rFonts w:ascii="Cambria Math" w:hAnsi="Cambria Math"/>
                                    <w:i/>
                                    <w:lang w:val="en-US"/>
                                  </w:rPr>
                                </m:ctrlPr>
                              </m:sSubPr>
                              <m:e>
                                <m:r>
                                  <w:rPr>
                                    <w:rFonts w:ascii="Cambria Math" w:hAnsi="Cambria Math"/>
                                    <w:lang w:val="en-US"/>
                                  </w:rPr>
                                  <m:t>y</m:t>
                                </m:r>
                              </m:e>
                              <m:sub>
                                <m:r>
                                  <w:rPr>
                                    <w:rFonts w:ascii="Cambria Math" w:hAnsi="Cambria Math"/>
                                    <w:lang w:val="en-US"/>
                                  </w:rPr>
                                  <m:t>sp</m:t>
                                </m:r>
                              </m:sub>
                            </m:sSub>
                          </m:e>
                        </m:d>
                      </m:e>
                      <m:sup>
                        <m:r>
                          <w:rPr>
                            <w:rFonts w:ascii="Cambria Math" w:hAnsi="Cambria Math"/>
                            <w:lang w:val="en-US"/>
                          </w:rPr>
                          <m:t>T</m:t>
                        </m:r>
                      </m:sup>
                    </m:sSup>
                    <m:r>
                      <w:rPr>
                        <w:rFonts w:ascii="Cambria Math" w:hAnsi="Cambria Math"/>
                        <w:lang w:val="en-US"/>
                      </w:rPr>
                      <m:t>Q</m:t>
                    </m:r>
                    <m:d>
                      <m:dPr>
                        <m:ctrlPr>
                          <w:rPr>
                            <w:rFonts w:ascii="Cambria Math" w:hAnsi="Cambria Math"/>
                            <w:i/>
                            <w:lang w:val="en-US"/>
                          </w:rPr>
                        </m:ctrlPr>
                      </m:dPr>
                      <m:e>
                        <m:r>
                          <w:rPr>
                            <w:rFonts w:ascii="Cambria Math" w:hAnsi="Cambria Math"/>
                            <w:lang w:val="en-US"/>
                          </w:rPr>
                          <m:t>y</m:t>
                        </m:r>
                        <m:d>
                          <m:dPr>
                            <m:ctrlPr>
                              <w:rPr>
                                <w:rFonts w:ascii="Cambria Math" w:hAnsi="Cambria Math"/>
                                <w:i/>
                                <w:lang w:val="en-US"/>
                              </w:rPr>
                            </m:ctrlPr>
                          </m:dPr>
                          <m:e>
                            <m:r>
                              <w:rPr>
                                <w:rFonts w:ascii="Cambria Math" w:hAnsi="Cambria Math"/>
                                <w:lang w:val="en-US"/>
                              </w:rPr>
                              <m:t>k+j</m:t>
                            </m:r>
                          </m:e>
                          <m:e>
                            <m:r>
                              <w:rPr>
                                <w:rFonts w:ascii="Cambria Math" w:hAnsi="Cambria Math"/>
                                <w:lang w:val="en-US"/>
                              </w:rPr>
                              <m:t>k</m:t>
                            </m:r>
                          </m:e>
                        </m:d>
                        <m:r>
                          <w:rPr>
                            <w:rFonts w:ascii="Cambria Math" w:hAnsi="Cambria Math"/>
                            <w:lang w:val="en-US"/>
                          </w:rPr>
                          <m:t>-</m:t>
                        </m:r>
                        <m:sSub>
                          <m:sSubPr>
                            <m:ctrlPr>
                              <w:rPr>
                                <w:rFonts w:ascii="Cambria Math" w:hAnsi="Cambria Math"/>
                                <w:i/>
                                <w:lang w:val="en-US"/>
                              </w:rPr>
                            </m:ctrlPr>
                          </m:sSubPr>
                          <m:e>
                            <m:r>
                              <w:rPr>
                                <w:rFonts w:ascii="Cambria Math" w:hAnsi="Cambria Math"/>
                                <w:lang w:val="en-US"/>
                              </w:rPr>
                              <m:t>y</m:t>
                            </m:r>
                          </m:e>
                          <m:sub>
                            <m:r>
                              <w:rPr>
                                <w:rFonts w:ascii="Cambria Math" w:hAnsi="Cambria Math"/>
                                <w:lang w:val="en-US"/>
                              </w:rPr>
                              <m:t>sp</m:t>
                            </m:r>
                          </m:sub>
                        </m:sSub>
                      </m:e>
                    </m:d>
                    <m:r>
                      <w:rPr>
                        <w:rFonts w:ascii="Cambria Math" w:hAnsi="Cambria Math"/>
                        <w:lang w:val="en-US"/>
                      </w:rPr>
                      <m:t xml:space="preserve">+ </m:t>
                    </m:r>
                  </m:e>
                </m:nary>
                <m:nary>
                  <m:naryPr>
                    <m:chr m:val="∑"/>
                    <m:limLoc m:val="undOvr"/>
                    <m:ctrlPr>
                      <w:rPr>
                        <w:rFonts w:ascii="Cambria Math" w:hAnsi="Cambria Math"/>
                        <w:i/>
                        <w:lang w:val="en-US"/>
                      </w:rPr>
                    </m:ctrlPr>
                  </m:naryPr>
                  <m:sub>
                    <m:r>
                      <w:rPr>
                        <w:rFonts w:ascii="Cambria Math" w:hAnsi="Cambria Math"/>
                        <w:lang w:val="en-US"/>
                      </w:rPr>
                      <m:t>j=0</m:t>
                    </m:r>
                  </m:sub>
                  <m:sup>
                    <m:r>
                      <w:rPr>
                        <w:rFonts w:ascii="Cambria Math" w:hAnsi="Cambria Math"/>
                        <w:lang w:val="en-US"/>
                      </w:rPr>
                      <m:t>m-1</m:t>
                    </m:r>
                  </m:sup>
                  <m:e>
                    <m:sSup>
                      <m:sSupPr>
                        <m:ctrlPr>
                          <w:rPr>
                            <w:rFonts w:ascii="Cambria Math" w:hAnsi="Cambria Math"/>
                            <w:i/>
                            <w:lang w:val="en-US"/>
                          </w:rPr>
                        </m:ctrlPr>
                      </m:sSupPr>
                      <m:e>
                        <m:r>
                          <w:rPr>
                            <w:rFonts w:ascii="Cambria Math" w:hAnsi="Cambria Math"/>
                            <w:lang w:val="en-US"/>
                          </w:rPr>
                          <m:t>∆u</m:t>
                        </m:r>
                        <m:d>
                          <m:dPr>
                            <m:ctrlPr>
                              <w:rPr>
                                <w:rFonts w:ascii="Cambria Math" w:hAnsi="Cambria Math"/>
                                <w:i/>
                                <w:lang w:val="en-US"/>
                              </w:rPr>
                            </m:ctrlPr>
                          </m:dPr>
                          <m:e>
                            <m:r>
                              <w:rPr>
                                <w:rFonts w:ascii="Cambria Math" w:hAnsi="Cambria Math"/>
                                <w:lang w:val="en-US"/>
                              </w:rPr>
                              <m:t>k+j</m:t>
                            </m:r>
                          </m:e>
                          <m:e>
                            <m:r>
                              <w:rPr>
                                <w:rFonts w:ascii="Cambria Math" w:hAnsi="Cambria Math"/>
                                <w:lang w:val="en-US"/>
                              </w:rPr>
                              <m:t>k</m:t>
                            </m:r>
                          </m:e>
                        </m:d>
                      </m:e>
                      <m:sup>
                        <m:r>
                          <w:rPr>
                            <w:rFonts w:ascii="Cambria Math" w:hAnsi="Cambria Math"/>
                            <w:lang w:val="en-US"/>
                          </w:rPr>
                          <m:t>T</m:t>
                        </m:r>
                      </m:sup>
                    </m:sSup>
                    <m:r>
                      <w:rPr>
                        <w:rFonts w:ascii="Cambria Math" w:hAnsi="Cambria Math"/>
                        <w:lang w:val="en-US"/>
                      </w:rPr>
                      <m:t>R ∆u</m:t>
                    </m:r>
                    <m:d>
                      <m:dPr>
                        <m:ctrlPr>
                          <w:rPr>
                            <w:rFonts w:ascii="Cambria Math" w:hAnsi="Cambria Math"/>
                            <w:i/>
                            <w:lang w:val="en-US"/>
                          </w:rPr>
                        </m:ctrlPr>
                      </m:dPr>
                      <m:e>
                        <m:r>
                          <w:rPr>
                            <w:rFonts w:ascii="Cambria Math" w:hAnsi="Cambria Math"/>
                            <w:lang w:val="en-US"/>
                          </w:rPr>
                          <m:t>k+j</m:t>
                        </m:r>
                      </m:e>
                      <m:e>
                        <m:r>
                          <w:rPr>
                            <w:rFonts w:ascii="Cambria Math" w:hAnsi="Cambria Math"/>
                            <w:lang w:val="en-US"/>
                          </w:rPr>
                          <m:t>k</m:t>
                        </m:r>
                      </m:e>
                    </m:d>
                  </m:e>
                </m:nary>
              </m:oMath>
            </m:oMathPara>
          </w:p>
          <w:p w14:paraId="4AEA513A" w14:textId="77777777" w:rsidR="00537D01" w:rsidRPr="00DA17A1" w:rsidRDefault="00537D01" w:rsidP="006A0156">
            <w:pPr>
              <w:pStyle w:val="CETBodytext"/>
            </w:pPr>
            <m:oMathPara>
              <m:oMathParaPr>
                <m:jc m:val="left"/>
              </m:oMathParaPr>
              <m:oMath>
                <m:r>
                  <w:rPr>
                    <w:rFonts w:ascii="Cambria Math" w:hAnsi="Cambria Math"/>
                  </w:rPr>
                  <m:t>s.t.</m:t>
                </m:r>
              </m:oMath>
            </m:oMathPara>
          </w:p>
          <w:p w14:paraId="1A3B0985" w14:textId="77777777" w:rsidR="00537D01" w:rsidRPr="00DA17A1" w:rsidRDefault="00537D01" w:rsidP="006A0156">
            <w:pPr>
              <w:pStyle w:val="CETBodytext"/>
              <w:ind w:left="708"/>
            </w:pPr>
            <m:oMathPara>
              <m:oMathParaPr>
                <m:jc m:val="left"/>
              </m:oMathParaPr>
              <m:oMath>
                <m:r>
                  <w:rPr>
                    <w:rFonts w:ascii="Cambria Math" w:hAnsi="Cambria Math"/>
                  </w:rPr>
                  <m:t xml:space="preserve"> </m:t>
                </m:r>
                <m:sSub>
                  <m:sSubPr>
                    <m:ctrlPr>
                      <w:rPr>
                        <w:rFonts w:ascii="Cambria Math" w:hAnsi="Cambria Math"/>
                        <w:i/>
                      </w:rPr>
                    </m:ctrlPr>
                  </m:sSubPr>
                  <m:e>
                    <m:r>
                      <w:rPr>
                        <w:rFonts w:ascii="Cambria Math" w:hAnsi="Cambria Math"/>
                      </w:rPr>
                      <m:t>u</m:t>
                    </m:r>
                  </m:e>
                  <m:sub>
                    <m:r>
                      <w:rPr>
                        <w:rFonts w:ascii="Cambria Math" w:hAnsi="Cambria Math"/>
                      </w:rPr>
                      <m:t>min</m:t>
                    </m:r>
                  </m:sub>
                </m:sSub>
                <m:r>
                  <w:rPr>
                    <w:rFonts w:ascii="Cambria Math" w:hAnsi="Cambria Math"/>
                  </w:rPr>
                  <m:t>≤u</m:t>
                </m:r>
                <m:d>
                  <m:dPr>
                    <m:ctrlPr>
                      <w:rPr>
                        <w:rFonts w:ascii="Cambria Math" w:hAnsi="Cambria Math"/>
                        <w:i/>
                      </w:rPr>
                    </m:ctrlPr>
                  </m:dPr>
                  <m:e>
                    <m:r>
                      <w:rPr>
                        <w:rFonts w:ascii="Cambria Math" w:hAnsi="Cambria Math"/>
                      </w:rPr>
                      <m:t>k+j</m:t>
                    </m:r>
                  </m:e>
                  <m:e>
                    <m:r>
                      <w:rPr>
                        <w:rFonts w:ascii="Cambria Math" w:hAnsi="Cambria Math"/>
                      </w:rPr>
                      <m:t>k</m:t>
                    </m:r>
                  </m:e>
                </m:d>
                <m:r>
                  <w:rPr>
                    <w:rFonts w:ascii="Cambria Math" w:hAnsi="Cambria Math"/>
                  </w:rPr>
                  <m:t xml:space="preserve"> ≤ </m:t>
                </m:r>
                <m:sSub>
                  <m:sSubPr>
                    <m:ctrlPr>
                      <w:rPr>
                        <w:rFonts w:ascii="Cambria Math" w:hAnsi="Cambria Math"/>
                        <w:i/>
                      </w:rPr>
                    </m:ctrlPr>
                  </m:sSubPr>
                  <m:e>
                    <m:r>
                      <w:rPr>
                        <w:rFonts w:ascii="Cambria Math" w:hAnsi="Cambria Math"/>
                      </w:rPr>
                      <m:t>u</m:t>
                    </m:r>
                  </m:e>
                  <m:sub>
                    <m:r>
                      <w:rPr>
                        <w:rFonts w:ascii="Cambria Math" w:hAnsi="Cambria Math"/>
                      </w:rPr>
                      <m:t>max</m:t>
                    </m:r>
                  </m:sub>
                </m:sSub>
                <m:r>
                  <w:rPr>
                    <w:rFonts w:ascii="Cambria Math" w:hAnsi="Cambria Math"/>
                  </w:rPr>
                  <m:t>,  j=1, 2, …, m-1</m:t>
                </m:r>
              </m:oMath>
            </m:oMathPara>
          </w:p>
          <w:p w14:paraId="65E8F8EC" w14:textId="77777777" w:rsidR="00537D01" w:rsidRPr="00DA17A1" w:rsidRDefault="00000000" w:rsidP="006A0156">
            <w:pPr>
              <w:pStyle w:val="CETBodytext"/>
              <w:ind w:left="708"/>
            </w:pPr>
            <m:oMathPara>
              <m:oMathParaPr>
                <m:jc m:val="left"/>
              </m:oMathParaPr>
              <m:oMath>
                <m:sSub>
                  <m:sSubPr>
                    <m:ctrlPr>
                      <w:rPr>
                        <w:rFonts w:ascii="Cambria Math" w:hAnsi="Cambria Math"/>
                        <w:i/>
                      </w:rPr>
                    </m:ctrlPr>
                  </m:sSubPr>
                  <m:e>
                    <m:r>
                      <w:rPr>
                        <w:rFonts w:ascii="Cambria Math" w:hAnsi="Cambria Math"/>
                      </w:rPr>
                      <m:t>-∆u</m:t>
                    </m:r>
                  </m:e>
                  <m:sub>
                    <m:r>
                      <w:rPr>
                        <w:rFonts w:ascii="Cambria Math" w:hAnsi="Cambria Math"/>
                      </w:rPr>
                      <m:t>min</m:t>
                    </m:r>
                  </m:sub>
                </m:sSub>
                <m:r>
                  <w:rPr>
                    <w:rFonts w:ascii="Cambria Math" w:hAnsi="Cambria Math"/>
                  </w:rPr>
                  <m:t>≤∆u</m:t>
                </m:r>
                <m:d>
                  <m:dPr>
                    <m:ctrlPr>
                      <w:rPr>
                        <w:rFonts w:ascii="Cambria Math" w:hAnsi="Cambria Math"/>
                        <w:i/>
                      </w:rPr>
                    </m:ctrlPr>
                  </m:dPr>
                  <m:e>
                    <m:r>
                      <w:rPr>
                        <w:rFonts w:ascii="Cambria Math" w:hAnsi="Cambria Math"/>
                      </w:rPr>
                      <m:t>k+j</m:t>
                    </m:r>
                  </m:e>
                  <m:e>
                    <m:r>
                      <w:rPr>
                        <w:rFonts w:ascii="Cambria Math" w:hAnsi="Cambria Math"/>
                      </w:rPr>
                      <m:t>k</m:t>
                    </m:r>
                  </m:e>
                </m:d>
                <m:r>
                  <w:rPr>
                    <w:rFonts w:ascii="Cambria Math" w:hAnsi="Cambria Math"/>
                  </w:rPr>
                  <m:t xml:space="preserve"> ≤ ∆</m:t>
                </m:r>
                <m:sSub>
                  <m:sSubPr>
                    <m:ctrlPr>
                      <w:rPr>
                        <w:rFonts w:ascii="Cambria Math" w:hAnsi="Cambria Math"/>
                        <w:i/>
                      </w:rPr>
                    </m:ctrlPr>
                  </m:sSubPr>
                  <m:e>
                    <m:r>
                      <w:rPr>
                        <w:rFonts w:ascii="Cambria Math" w:hAnsi="Cambria Math"/>
                      </w:rPr>
                      <m:t>u</m:t>
                    </m:r>
                  </m:e>
                  <m:sub>
                    <m:r>
                      <w:rPr>
                        <w:rFonts w:ascii="Cambria Math" w:hAnsi="Cambria Math"/>
                      </w:rPr>
                      <m:t>max</m:t>
                    </m:r>
                  </m:sub>
                </m:sSub>
                <m:r>
                  <w:rPr>
                    <w:rFonts w:ascii="Cambria Math" w:hAnsi="Cambria Math"/>
                  </w:rPr>
                  <m:t>,  j=1, 2, …, m-1</m:t>
                </m:r>
              </m:oMath>
            </m:oMathPara>
          </w:p>
        </w:tc>
        <w:tc>
          <w:tcPr>
            <w:tcW w:w="801" w:type="dxa"/>
            <w:vAlign w:val="center"/>
          </w:tcPr>
          <w:p w14:paraId="35A26C1F" w14:textId="77777777" w:rsidR="00537D01" w:rsidRPr="00DA17A1" w:rsidRDefault="00537D01" w:rsidP="006A0156">
            <w:pPr>
              <w:pStyle w:val="CETEquation"/>
              <w:jc w:val="right"/>
              <w:rPr>
                <w:lang w:val="en-US"/>
              </w:rPr>
            </w:pPr>
            <w:r w:rsidRPr="00DA17A1">
              <w:rPr>
                <w:lang w:val="en-US"/>
              </w:rPr>
              <w:t>(5)</w:t>
            </w:r>
          </w:p>
        </w:tc>
      </w:tr>
    </w:tbl>
    <w:p w14:paraId="237D26A3" w14:textId="77777777" w:rsidR="00537D01" w:rsidRPr="00DA17A1" w:rsidRDefault="00537D01" w:rsidP="00537D01">
      <w:pPr>
        <w:pStyle w:val="CETBodytext"/>
      </w:pPr>
    </w:p>
    <w:p w14:paraId="133FFEBA" w14:textId="77777777" w:rsidR="00537D01" w:rsidRPr="00DA17A1" w:rsidRDefault="00537D01" w:rsidP="00537D01">
      <w:pPr>
        <w:pStyle w:val="CETBodytext"/>
      </w:pPr>
      <w:r w:rsidRPr="00DA17A1">
        <w:t xml:space="preserve">Where </w:t>
      </w:r>
      <m:oMath>
        <m:r>
          <w:rPr>
            <w:rFonts w:ascii="Cambria Math" w:hAnsi="Cambria Math"/>
          </w:rPr>
          <m:t>p</m:t>
        </m:r>
      </m:oMath>
      <w:r w:rsidRPr="00DA17A1">
        <w:t xml:space="preserve"> is the output prediction horizon; </w:t>
      </w:r>
      <m:oMath>
        <m:r>
          <w:rPr>
            <w:rFonts w:ascii="Cambria Math" w:hAnsi="Cambria Math"/>
          </w:rPr>
          <m:t>m</m:t>
        </m:r>
      </m:oMath>
      <w:r w:rsidRPr="00DA17A1">
        <w:t xml:space="preserve"> is the control (input) horizon; </w:t>
      </w:r>
      <m:oMath>
        <m:sSub>
          <m:sSubPr>
            <m:ctrlPr>
              <w:rPr>
                <w:rFonts w:ascii="Cambria Math" w:hAnsi="Cambria Math"/>
                <w:i/>
              </w:rPr>
            </m:ctrlPr>
          </m:sSubPr>
          <m:e>
            <m:r>
              <w:rPr>
                <w:rFonts w:ascii="Cambria Math" w:hAnsi="Cambria Math"/>
              </w:rPr>
              <m:t>y</m:t>
            </m:r>
          </m:e>
          <m:sub>
            <m:r>
              <w:rPr>
                <w:rFonts w:ascii="Cambria Math" w:hAnsi="Cambria Math"/>
              </w:rPr>
              <m:t>sp</m:t>
            </m:r>
          </m:sub>
        </m:sSub>
      </m:oMath>
      <w:r w:rsidRPr="00DA17A1">
        <w:t xml:space="preserve"> is the desired value of the </w:t>
      </w:r>
      <w:proofErr w:type="gramStart"/>
      <w:r w:rsidRPr="00DA17A1">
        <w:t>output;</w:t>
      </w:r>
      <w:proofErr w:type="gramEnd"/>
    </w:p>
    <w:p w14:paraId="302F0C72" w14:textId="6C8F13C6" w:rsidR="003812B3" w:rsidRPr="00DA17A1" w:rsidRDefault="00537D01" w:rsidP="00537D01">
      <w:pPr>
        <w:pStyle w:val="CETBodytext"/>
      </w:pPr>
      <m:oMath>
        <m:r>
          <w:rPr>
            <w:rFonts w:ascii="Cambria Math" w:hAnsi="Cambria Math" w:hint="eastAsia"/>
          </w:rPr>
          <m:t>Δ</m:t>
        </m:r>
        <m:r>
          <w:rPr>
            <w:rFonts w:ascii="Cambria Math" w:hAnsi="Cambria Math"/>
          </w:rPr>
          <m:t xml:space="preserve">u(j + k) = u(j + k) </m:t>
        </m:r>
        <m:r>
          <w:rPr>
            <w:rFonts w:ascii="Cambria Math" w:hAnsi="Cambria Math" w:hint="eastAsia"/>
          </w:rPr>
          <m:t>-</m:t>
        </m:r>
        <m:r>
          <w:rPr>
            <w:rFonts w:ascii="Cambria Math" w:hAnsi="Cambria Math"/>
          </w:rPr>
          <m:t xml:space="preserve"> u(j + k </m:t>
        </m:r>
        <m:r>
          <w:rPr>
            <w:rFonts w:ascii="Cambria Math" w:hAnsi="Cambria Math" w:hint="eastAsia"/>
          </w:rPr>
          <m:t>-</m:t>
        </m:r>
        <m:r>
          <w:rPr>
            <w:rFonts w:ascii="Cambria Math" w:hAnsi="Cambria Math"/>
          </w:rPr>
          <m:t xml:space="preserve"> 1)</m:t>
        </m:r>
      </m:oMath>
      <w:r w:rsidRPr="00DA17A1">
        <w:t xml:space="preserve">; </w:t>
      </w:r>
      <m:oMath>
        <m:r>
          <w:rPr>
            <w:rFonts w:ascii="Cambria Math" w:hAnsi="Cambria Math"/>
          </w:rPr>
          <m:t>Q</m:t>
        </m:r>
      </m:oMath>
      <w:r w:rsidRPr="00DA17A1">
        <w:t xml:space="preserve"> and </w:t>
      </w:r>
      <m:oMath>
        <m:r>
          <w:rPr>
            <w:rFonts w:ascii="Cambria Math" w:hAnsi="Cambria Math"/>
          </w:rPr>
          <m:t>R</m:t>
        </m:r>
      </m:oMath>
      <w:r w:rsidRPr="00DA17A1">
        <w:t xml:space="preserve"> are </w:t>
      </w:r>
      <w:proofErr w:type="gramStart"/>
      <w:r w:rsidRPr="00DA17A1">
        <w:t>weighting</w:t>
      </w:r>
      <w:proofErr w:type="gramEnd"/>
      <w:r w:rsidRPr="00DA17A1">
        <w:t xml:space="preserve"> matrices of appropriate dimensions. The cost function </w:t>
      </w:r>
      <m:oMath>
        <m:sSub>
          <m:sSubPr>
            <m:ctrlPr>
              <w:rPr>
                <w:rFonts w:ascii="Cambria Math" w:hAnsi="Cambria Math"/>
                <w:i/>
              </w:rPr>
            </m:ctrlPr>
          </m:sSubPr>
          <m:e>
            <m:r>
              <w:rPr>
                <w:rFonts w:ascii="Cambria Math" w:hAnsi="Cambria Math"/>
              </w:rPr>
              <m:t>J</m:t>
            </m:r>
          </m:e>
          <m:sub>
            <m:r>
              <w:rPr>
                <w:rFonts w:ascii="Cambria Math" w:hAnsi="Cambria Math"/>
              </w:rPr>
              <m:t>k</m:t>
            </m:r>
          </m:sub>
        </m:sSub>
      </m:oMath>
      <w:r w:rsidRPr="00DA17A1">
        <w:t xml:space="preserve"> is composed of two terms</w:t>
      </w:r>
      <w:r w:rsidR="005D02E6" w:rsidRPr="00DA17A1">
        <w:t>.</w:t>
      </w:r>
      <w:r w:rsidRPr="00DA17A1">
        <w:t xml:space="preserve"> </w:t>
      </w:r>
      <w:r w:rsidR="005D02E6" w:rsidRPr="00DA17A1">
        <w:t>T</w:t>
      </w:r>
      <w:r w:rsidRPr="00DA17A1">
        <w:t xml:space="preserve">he first term penalizes the deviation between the predicted output and the setpoint over the prediction horizon </w:t>
      </w:r>
      <m:oMath>
        <m:r>
          <w:rPr>
            <w:rFonts w:ascii="Cambria Math" w:hAnsi="Cambria Math"/>
          </w:rPr>
          <m:t>p</m:t>
        </m:r>
      </m:oMath>
      <w:r w:rsidRPr="00DA17A1">
        <w:t xml:space="preserve">, weighted by the matrix </w:t>
      </w:r>
      <m:oMath>
        <m:r>
          <w:rPr>
            <w:rFonts w:ascii="Cambria Math" w:hAnsi="Cambria Math"/>
          </w:rPr>
          <m:t>Q</m:t>
        </m:r>
      </m:oMath>
      <w:r w:rsidR="005D02E6" w:rsidRPr="00DA17A1">
        <w:t>. T</w:t>
      </w:r>
      <w:r w:rsidRPr="00DA17A1">
        <w:t xml:space="preserve">he second term penalizes the variation in the control action over the control horizon </w:t>
      </w:r>
      <m:oMath>
        <m:r>
          <w:rPr>
            <w:rFonts w:ascii="Cambria Math" w:hAnsi="Cambria Math"/>
          </w:rPr>
          <m:t>m</m:t>
        </m:r>
      </m:oMath>
      <w:r w:rsidRPr="00DA17A1">
        <w:t xml:space="preserve">, weighted by the matrix </w:t>
      </w:r>
      <m:oMath>
        <m:r>
          <w:rPr>
            <w:rFonts w:ascii="Cambria Math" w:hAnsi="Cambria Math"/>
          </w:rPr>
          <m:t>R</m:t>
        </m:r>
      </m:oMath>
      <w:r w:rsidRPr="00DA17A1">
        <w:t>. Minimizing this cost function helps ensure that the system follows the desired output smoothly, avoiding undesirable oscillations in the control inputs.</w:t>
      </w:r>
    </w:p>
    <w:p w14:paraId="52E5D5BB" w14:textId="29E4537C" w:rsidR="003812B3" w:rsidRPr="00DA17A1" w:rsidRDefault="00EF2450" w:rsidP="00EF2450">
      <w:pPr>
        <w:pStyle w:val="CETHeading1"/>
        <w:tabs>
          <w:tab w:val="clear" w:pos="360"/>
          <w:tab w:val="right" w:pos="7100"/>
        </w:tabs>
        <w:jc w:val="both"/>
      </w:pPr>
      <w:r w:rsidRPr="00DA17A1">
        <w:t>Simulations</w:t>
      </w:r>
    </w:p>
    <w:p w14:paraId="4F5F1870" w14:textId="6CF9BC15" w:rsidR="00EF2450" w:rsidRPr="00DA17A1" w:rsidRDefault="00EF2450" w:rsidP="00EF2450">
      <w:pPr>
        <w:pStyle w:val="CETBodytext"/>
      </w:pPr>
      <w:r w:rsidRPr="00DA17A1">
        <w:t xml:space="preserve">Two different controller tunings were proposed using different values of the </w:t>
      </w:r>
      <m:oMath>
        <m:r>
          <w:rPr>
            <w:rFonts w:ascii="Cambria Math" w:hAnsi="Cambria Math"/>
          </w:rPr>
          <m:t>Q</m:t>
        </m:r>
      </m:oMath>
      <w:r w:rsidRPr="00DA17A1">
        <w:t xml:space="preserve"> parameter. This parameter penalizes the error between the controlled variables and their reference values (setpoints). Tuning 1 was obtained by </w:t>
      </w:r>
      <w:r w:rsidR="00DF79BE" w:rsidRPr="004D717B">
        <w:t>increasing by a factor of three</w:t>
      </w:r>
      <w:r w:rsidRPr="00DA17A1">
        <w:t xml:space="preserve"> the penalty associated with temperature errors relative to the reference case reported by Violaro et al. (2018), whereas Tuning 2 was achieved by </w:t>
      </w:r>
      <w:r w:rsidR="00DF79BE" w:rsidRPr="004D717B">
        <w:t>increasing</w:t>
      </w:r>
      <w:r w:rsidRPr="004D717B">
        <w:t xml:space="preserve"> t</w:t>
      </w:r>
      <w:r w:rsidRPr="00DA17A1">
        <w:t xml:space="preserve">he penalties associated with </w:t>
      </w:r>
      <m:oMath>
        <m:sSub>
          <m:sSubPr>
            <m:ctrlPr>
              <w:rPr>
                <w:rFonts w:ascii="Cambria Math" w:hAnsi="Cambria Math"/>
                <w:i/>
              </w:rPr>
            </m:ctrlPr>
          </m:sSubPr>
          <m:e>
            <m:r>
              <w:rPr>
                <w:rFonts w:ascii="Cambria Math" w:hAnsi="Cambria Math"/>
              </w:rPr>
              <m:t xml:space="preserve"> S</m:t>
            </m:r>
          </m:e>
          <m:sub>
            <m:r>
              <w:rPr>
                <w:rFonts w:ascii="Cambria Math" w:hAnsi="Cambria Math"/>
              </w:rPr>
              <m:t>4</m:t>
            </m:r>
          </m:sub>
        </m:sSub>
      </m:oMath>
      <w:r w:rsidRPr="00DA17A1">
        <w:t xml:space="preserve"> errors </w:t>
      </w:r>
      <w:r w:rsidR="00BD72FC" w:rsidRPr="00DA17A1">
        <w:t>relative to the same reference case</w:t>
      </w:r>
      <w:r w:rsidRPr="00DA17A1">
        <w:t xml:space="preserve">. The </w:t>
      </w:r>
      <m:oMath>
        <m:r>
          <w:rPr>
            <w:rFonts w:ascii="Cambria Math" w:hAnsi="Cambria Math"/>
          </w:rPr>
          <m:t>Q</m:t>
        </m:r>
      </m:oMath>
      <w:r w:rsidRPr="00DA17A1">
        <w:t xml:space="preserve"> values are summarized in Table 1.</w:t>
      </w:r>
    </w:p>
    <w:p w14:paraId="0E3955CF" w14:textId="77777777" w:rsidR="00EF2450" w:rsidRPr="00DA17A1" w:rsidRDefault="00EF2450" w:rsidP="00EF2450">
      <w:pPr>
        <w:pStyle w:val="CETTabletitle"/>
        <w:rPr>
          <w:lang w:val="en-US"/>
        </w:rPr>
      </w:pPr>
      <w:r w:rsidRPr="00DA17A1">
        <w:rPr>
          <w:lang w:val="en-US"/>
        </w:rPr>
        <w:t>Table 1: Q values proposed for each tuning.</w:t>
      </w:r>
    </w:p>
    <w:tbl>
      <w:tblPr>
        <w:tblW w:w="0" w:type="auto"/>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1843"/>
        <w:gridCol w:w="992"/>
        <w:gridCol w:w="992"/>
        <w:gridCol w:w="992"/>
        <w:gridCol w:w="992"/>
        <w:gridCol w:w="993"/>
      </w:tblGrid>
      <w:tr w:rsidR="00EF2450" w:rsidRPr="00DA17A1" w14:paraId="213B9533" w14:textId="77777777" w:rsidTr="006A0156">
        <w:tc>
          <w:tcPr>
            <w:tcW w:w="1843" w:type="dxa"/>
            <w:tcBorders>
              <w:top w:val="single" w:sz="12" w:space="0" w:color="008000"/>
              <w:bottom w:val="single" w:sz="6" w:space="0" w:color="008000"/>
            </w:tcBorders>
            <w:shd w:val="clear" w:color="auto" w:fill="FFFFFF"/>
          </w:tcPr>
          <w:p w14:paraId="489DA6DD" w14:textId="77777777" w:rsidR="00EF2450" w:rsidRPr="00DA17A1" w:rsidRDefault="00EF2450" w:rsidP="006A0156">
            <w:pPr>
              <w:pStyle w:val="CETBodytext"/>
            </w:pPr>
            <w:r w:rsidRPr="00DA17A1">
              <w:t xml:space="preserve">Tuning </w:t>
            </w:r>
          </w:p>
        </w:tc>
        <w:tc>
          <w:tcPr>
            <w:tcW w:w="992" w:type="dxa"/>
            <w:tcBorders>
              <w:top w:val="single" w:sz="12" w:space="0" w:color="008000"/>
              <w:bottom w:val="single" w:sz="6" w:space="0" w:color="008000"/>
            </w:tcBorders>
            <w:shd w:val="clear" w:color="auto" w:fill="FFFFFF"/>
          </w:tcPr>
          <w:p w14:paraId="63173CC2" w14:textId="77777777" w:rsidR="00EF2450" w:rsidRPr="00DA17A1" w:rsidRDefault="00EF2450" w:rsidP="006A0156">
            <w:pPr>
              <w:pStyle w:val="CETBodytext"/>
            </w:pPr>
            <w:r w:rsidRPr="00DA17A1">
              <w:t>S</w:t>
            </w:r>
            <w:r w:rsidRPr="00DA17A1">
              <w:rPr>
                <w:sz w:val="16"/>
                <w:szCs w:val="18"/>
                <w:vertAlign w:val="subscript"/>
              </w:rPr>
              <w:t>4</w:t>
            </w:r>
          </w:p>
        </w:tc>
        <w:tc>
          <w:tcPr>
            <w:tcW w:w="992" w:type="dxa"/>
            <w:tcBorders>
              <w:top w:val="single" w:sz="12" w:space="0" w:color="008000"/>
              <w:bottom w:val="single" w:sz="6" w:space="0" w:color="008000"/>
            </w:tcBorders>
            <w:shd w:val="clear" w:color="auto" w:fill="FFFFFF"/>
          </w:tcPr>
          <w:p w14:paraId="0D82BB77" w14:textId="77777777" w:rsidR="00EF2450" w:rsidRPr="00DA17A1" w:rsidRDefault="00EF2450" w:rsidP="006A0156">
            <w:pPr>
              <w:pStyle w:val="CETBodytext"/>
            </w:pPr>
            <w:r w:rsidRPr="00DA17A1">
              <w:t>T</w:t>
            </w:r>
            <w:r w:rsidRPr="00DA17A1">
              <w:rPr>
                <w:vertAlign w:val="subscript"/>
              </w:rPr>
              <w:t>1</w:t>
            </w:r>
          </w:p>
        </w:tc>
        <w:tc>
          <w:tcPr>
            <w:tcW w:w="992" w:type="dxa"/>
            <w:tcBorders>
              <w:top w:val="single" w:sz="12" w:space="0" w:color="008000"/>
              <w:bottom w:val="single" w:sz="6" w:space="0" w:color="008000"/>
            </w:tcBorders>
            <w:shd w:val="clear" w:color="auto" w:fill="FFFFFF"/>
          </w:tcPr>
          <w:p w14:paraId="6B5E87AA" w14:textId="77777777" w:rsidR="00EF2450" w:rsidRPr="00DA17A1" w:rsidRDefault="00EF2450" w:rsidP="006A0156">
            <w:pPr>
              <w:pStyle w:val="CETBodytext"/>
              <w:ind w:right="-1"/>
              <w:rPr>
                <w:rFonts w:cs="Arial"/>
                <w:szCs w:val="18"/>
              </w:rPr>
            </w:pPr>
            <w:r w:rsidRPr="00DA17A1">
              <w:rPr>
                <w:rFonts w:cs="Arial"/>
                <w:szCs w:val="18"/>
              </w:rPr>
              <w:t>T</w:t>
            </w:r>
            <w:r w:rsidRPr="00DA17A1">
              <w:rPr>
                <w:rFonts w:cs="Arial"/>
                <w:szCs w:val="18"/>
                <w:vertAlign w:val="subscript"/>
              </w:rPr>
              <w:t>2</w:t>
            </w:r>
          </w:p>
        </w:tc>
        <w:tc>
          <w:tcPr>
            <w:tcW w:w="992" w:type="dxa"/>
            <w:tcBorders>
              <w:top w:val="single" w:sz="12" w:space="0" w:color="008000"/>
              <w:bottom w:val="single" w:sz="6" w:space="0" w:color="009900"/>
            </w:tcBorders>
            <w:shd w:val="clear" w:color="auto" w:fill="FFFFFF"/>
          </w:tcPr>
          <w:p w14:paraId="248770E2" w14:textId="77777777" w:rsidR="00EF2450" w:rsidRPr="00DA17A1" w:rsidRDefault="00EF2450" w:rsidP="006A0156">
            <w:pPr>
              <w:pStyle w:val="CETBodytext"/>
              <w:ind w:right="-1"/>
              <w:rPr>
                <w:rFonts w:cs="Arial"/>
                <w:szCs w:val="18"/>
              </w:rPr>
            </w:pPr>
            <w:r w:rsidRPr="00DA17A1">
              <w:rPr>
                <w:rFonts w:cs="Arial"/>
                <w:szCs w:val="18"/>
              </w:rPr>
              <w:t>T</w:t>
            </w:r>
            <w:r w:rsidRPr="00DA17A1">
              <w:rPr>
                <w:rFonts w:cs="Arial"/>
                <w:szCs w:val="18"/>
                <w:vertAlign w:val="subscript"/>
              </w:rPr>
              <w:t>3</w:t>
            </w:r>
          </w:p>
        </w:tc>
        <w:tc>
          <w:tcPr>
            <w:tcW w:w="993" w:type="dxa"/>
            <w:tcBorders>
              <w:top w:val="single" w:sz="12" w:space="0" w:color="008000"/>
              <w:bottom w:val="single" w:sz="6" w:space="0" w:color="009900"/>
            </w:tcBorders>
          </w:tcPr>
          <w:p w14:paraId="7B0245C5" w14:textId="77777777" w:rsidR="00EF2450" w:rsidRPr="00DA17A1" w:rsidRDefault="00EF2450" w:rsidP="006A0156">
            <w:pPr>
              <w:pStyle w:val="CETBodytext"/>
              <w:ind w:right="-1"/>
              <w:rPr>
                <w:rFonts w:cs="Arial"/>
                <w:szCs w:val="18"/>
              </w:rPr>
            </w:pPr>
            <w:r w:rsidRPr="00DA17A1">
              <w:rPr>
                <w:rFonts w:cs="Arial"/>
                <w:szCs w:val="18"/>
              </w:rPr>
              <w:t>T</w:t>
            </w:r>
            <w:r w:rsidRPr="00DA17A1">
              <w:rPr>
                <w:rFonts w:cs="Arial"/>
                <w:szCs w:val="18"/>
                <w:vertAlign w:val="subscript"/>
              </w:rPr>
              <w:t>4</w:t>
            </w:r>
          </w:p>
        </w:tc>
      </w:tr>
      <w:tr w:rsidR="00EF2450" w:rsidRPr="00DA17A1" w14:paraId="34BAA77E" w14:textId="77777777" w:rsidTr="006A0156">
        <w:tc>
          <w:tcPr>
            <w:tcW w:w="1843" w:type="dxa"/>
            <w:shd w:val="clear" w:color="auto" w:fill="FFFFFF"/>
          </w:tcPr>
          <w:p w14:paraId="05D7781C" w14:textId="77777777" w:rsidR="00EF2450" w:rsidRPr="00DA17A1" w:rsidRDefault="00EF2450" w:rsidP="006A0156">
            <w:pPr>
              <w:pStyle w:val="CETBodytext"/>
            </w:pPr>
            <w:proofErr w:type="spellStart"/>
            <w:r w:rsidRPr="00DA17A1">
              <w:t>Violaro</w:t>
            </w:r>
            <w:proofErr w:type="spellEnd"/>
            <w:r w:rsidRPr="00DA17A1">
              <w:t xml:space="preserve"> et al. (2018)</w:t>
            </w:r>
          </w:p>
        </w:tc>
        <w:tc>
          <w:tcPr>
            <w:tcW w:w="992" w:type="dxa"/>
            <w:shd w:val="clear" w:color="auto" w:fill="FFFFFF"/>
          </w:tcPr>
          <w:p w14:paraId="36276E97" w14:textId="77777777" w:rsidR="00EF2450" w:rsidRPr="00DA17A1" w:rsidRDefault="00EF2450" w:rsidP="006A0156">
            <w:pPr>
              <w:pStyle w:val="CETBodytext"/>
            </w:pPr>
            <w:r w:rsidRPr="00DA17A1">
              <w:t>9500</w:t>
            </w:r>
          </w:p>
        </w:tc>
        <w:tc>
          <w:tcPr>
            <w:tcW w:w="992" w:type="dxa"/>
            <w:shd w:val="clear" w:color="auto" w:fill="FFFFFF"/>
          </w:tcPr>
          <w:p w14:paraId="21CA54F9" w14:textId="77777777" w:rsidR="00EF2450" w:rsidRPr="00DA17A1" w:rsidRDefault="00EF2450" w:rsidP="006A0156">
            <w:pPr>
              <w:pStyle w:val="CETBodytext"/>
            </w:pPr>
            <w:r w:rsidRPr="00DA17A1">
              <w:t>65000</w:t>
            </w:r>
          </w:p>
        </w:tc>
        <w:tc>
          <w:tcPr>
            <w:tcW w:w="992" w:type="dxa"/>
            <w:shd w:val="clear" w:color="auto" w:fill="FFFFFF"/>
          </w:tcPr>
          <w:p w14:paraId="6A2A9E2F" w14:textId="77777777" w:rsidR="00EF2450" w:rsidRPr="00DA17A1" w:rsidRDefault="00EF2450" w:rsidP="006A0156">
            <w:pPr>
              <w:pStyle w:val="CETBodytext"/>
              <w:ind w:right="-1"/>
              <w:rPr>
                <w:rFonts w:cs="Arial"/>
                <w:szCs w:val="18"/>
              </w:rPr>
            </w:pPr>
            <w:r w:rsidRPr="00DA17A1">
              <w:rPr>
                <w:rFonts w:cs="Arial"/>
                <w:szCs w:val="18"/>
              </w:rPr>
              <w:t>78000</w:t>
            </w:r>
          </w:p>
        </w:tc>
        <w:tc>
          <w:tcPr>
            <w:tcW w:w="992" w:type="dxa"/>
            <w:tcBorders>
              <w:top w:val="single" w:sz="6" w:space="0" w:color="009900"/>
            </w:tcBorders>
            <w:shd w:val="clear" w:color="auto" w:fill="FFFFFF"/>
          </w:tcPr>
          <w:p w14:paraId="00036717" w14:textId="77777777" w:rsidR="00EF2450" w:rsidRPr="00DA17A1" w:rsidRDefault="00EF2450" w:rsidP="006A0156">
            <w:pPr>
              <w:pStyle w:val="CETBodytext"/>
              <w:ind w:right="-1"/>
              <w:rPr>
                <w:rFonts w:cs="Arial"/>
                <w:szCs w:val="18"/>
              </w:rPr>
            </w:pPr>
            <w:r w:rsidRPr="00DA17A1">
              <w:rPr>
                <w:rFonts w:cs="Arial"/>
                <w:szCs w:val="18"/>
              </w:rPr>
              <w:t>13000</w:t>
            </w:r>
          </w:p>
        </w:tc>
        <w:tc>
          <w:tcPr>
            <w:tcW w:w="993" w:type="dxa"/>
            <w:tcBorders>
              <w:top w:val="single" w:sz="6" w:space="0" w:color="009900"/>
            </w:tcBorders>
          </w:tcPr>
          <w:p w14:paraId="1D96940E" w14:textId="77777777" w:rsidR="00EF2450" w:rsidRPr="00DA17A1" w:rsidRDefault="00EF2450" w:rsidP="006A0156">
            <w:pPr>
              <w:pStyle w:val="CETBodytext"/>
              <w:ind w:right="-1"/>
              <w:rPr>
                <w:rFonts w:cs="Arial"/>
                <w:szCs w:val="18"/>
              </w:rPr>
            </w:pPr>
            <w:r w:rsidRPr="00DA17A1">
              <w:rPr>
                <w:rFonts w:cs="Arial"/>
                <w:szCs w:val="18"/>
              </w:rPr>
              <w:t>6000</w:t>
            </w:r>
          </w:p>
        </w:tc>
      </w:tr>
      <w:tr w:rsidR="00EF2450" w:rsidRPr="00DA17A1" w14:paraId="79EECDF6" w14:textId="77777777" w:rsidTr="006A0156">
        <w:tc>
          <w:tcPr>
            <w:tcW w:w="1843" w:type="dxa"/>
            <w:shd w:val="clear" w:color="auto" w:fill="FFFFFF"/>
          </w:tcPr>
          <w:p w14:paraId="77B85C3B" w14:textId="77777777" w:rsidR="00EF2450" w:rsidRPr="00DA17A1" w:rsidRDefault="00EF2450" w:rsidP="006A0156">
            <w:pPr>
              <w:pStyle w:val="CETBodytext"/>
              <w:ind w:right="-1"/>
              <w:rPr>
                <w:rFonts w:cs="Arial"/>
                <w:szCs w:val="18"/>
              </w:rPr>
            </w:pPr>
            <w:r w:rsidRPr="00DA17A1">
              <w:rPr>
                <w:rFonts w:cs="Arial"/>
                <w:szCs w:val="18"/>
              </w:rPr>
              <w:t>1</w:t>
            </w:r>
          </w:p>
        </w:tc>
        <w:tc>
          <w:tcPr>
            <w:tcW w:w="992" w:type="dxa"/>
            <w:shd w:val="clear" w:color="auto" w:fill="FFFFFF"/>
          </w:tcPr>
          <w:p w14:paraId="76B7489E" w14:textId="77777777" w:rsidR="00EF2450" w:rsidRPr="00DA17A1" w:rsidRDefault="00EF2450" w:rsidP="006A0156">
            <w:pPr>
              <w:pStyle w:val="CETBodytext"/>
              <w:ind w:right="-1"/>
              <w:rPr>
                <w:rFonts w:cs="Arial"/>
                <w:szCs w:val="18"/>
              </w:rPr>
            </w:pPr>
            <w:r w:rsidRPr="00DA17A1">
              <w:rPr>
                <w:rFonts w:cs="Arial"/>
                <w:szCs w:val="18"/>
              </w:rPr>
              <w:t>9500</w:t>
            </w:r>
          </w:p>
        </w:tc>
        <w:tc>
          <w:tcPr>
            <w:tcW w:w="992" w:type="dxa"/>
            <w:shd w:val="clear" w:color="auto" w:fill="FFFFFF"/>
          </w:tcPr>
          <w:p w14:paraId="7069BD52" w14:textId="77777777" w:rsidR="00EF2450" w:rsidRPr="00DA17A1" w:rsidRDefault="00EF2450" w:rsidP="006A0156">
            <w:pPr>
              <w:pStyle w:val="CETBodytext"/>
              <w:ind w:right="-1"/>
              <w:rPr>
                <w:rFonts w:cs="Arial"/>
                <w:szCs w:val="18"/>
              </w:rPr>
            </w:pPr>
            <w:r w:rsidRPr="00DA17A1">
              <w:rPr>
                <w:rFonts w:cs="Arial"/>
                <w:szCs w:val="18"/>
              </w:rPr>
              <w:t>195000</w:t>
            </w:r>
          </w:p>
        </w:tc>
        <w:tc>
          <w:tcPr>
            <w:tcW w:w="992" w:type="dxa"/>
            <w:shd w:val="clear" w:color="auto" w:fill="FFFFFF"/>
          </w:tcPr>
          <w:p w14:paraId="2390F099" w14:textId="77777777" w:rsidR="00EF2450" w:rsidRPr="00DA17A1" w:rsidRDefault="00EF2450" w:rsidP="006A0156">
            <w:pPr>
              <w:pStyle w:val="CETBodytext"/>
              <w:ind w:right="-1"/>
              <w:rPr>
                <w:rFonts w:cs="Arial"/>
                <w:szCs w:val="18"/>
              </w:rPr>
            </w:pPr>
            <w:r w:rsidRPr="00DA17A1">
              <w:rPr>
                <w:rFonts w:cs="Arial"/>
                <w:szCs w:val="18"/>
              </w:rPr>
              <w:t>234000</w:t>
            </w:r>
          </w:p>
        </w:tc>
        <w:tc>
          <w:tcPr>
            <w:tcW w:w="992" w:type="dxa"/>
            <w:shd w:val="clear" w:color="auto" w:fill="FFFFFF"/>
          </w:tcPr>
          <w:p w14:paraId="0A6AD02A" w14:textId="77777777" w:rsidR="00EF2450" w:rsidRPr="00DA17A1" w:rsidRDefault="00EF2450" w:rsidP="006A0156">
            <w:pPr>
              <w:pStyle w:val="CETBodytext"/>
              <w:ind w:right="-1"/>
              <w:rPr>
                <w:rFonts w:cs="Arial"/>
                <w:szCs w:val="18"/>
              </w:rPr>
            </w:pPr>
            <w:r w:rsidRPr="00DA17A1">
              <w:rPr>
                <w:rFonts w:cs="Arial"/>
                <w:szCs w:val="18"/>
              </w:rPr>
              <w:t>39000</w:t>
            </w:r>
          </w:p>
        </w:tc>
        <w:tc>
          <w:tcPr>
            <w:tcW w:w="993" w:type="dxa"/>
          </w:tcPr>
          <w:p w14:paraId="3EC07FAC" w14:textId="77777777" w:rsidR="00EF2450" w:rsidRPr="00DA17A1" w:rsidRDefault="00EF2450" w:rsidP="006A0156">
            <w:pPr>
              <w:pStyle w:val="CETBodytext"/>
              <w:ind w:right="-1"/>
              <w:rPr>
                <w:rFonts w:cs="Arial"/>
                <w:szCs w:val="18"/>
              </w:rPr>
            </w:pPr>
            <w:r w:rsidRPr="00DA17A1">
              <w:rPr>
                <w:rFonts w:cs="Arial"/>
                <w:szCs w:val="18"/>
              </w:rPr>
              <w:t>18000</w:t>
            </w:r>
          </w:p>
        </w:tc>
      </w:tr>
      <w:tr w:rsidR="00EF2450" w:rsidRPr="00DA17A1" w14:paraId="0E452530" w14:textId="77777777" w:rsidTr="006A0156">
        <w:tc>
          <w:tcPr>
            <w:tcW w:w="1843" w:type="dxa"/>
            <w:shd w:val="clear" w:color="auto" w:fill="FFFFFF"/>
          </w:tcPr>
          <w:p w14:paraId="59604675" w14:textId="77777777" w:rsidR="00EF2450" w:rsidRPr="00DA17A1" w:rsidRDefault="00EF2450" w:rsidP="006A0156">
            <w:pPr>
              <w:pStyle w:val="CETBodytext"/>
              <w:ind w:right="-1"/>
              <w:rPr>
                <w:rFonts w:cs="Arial"/>
                <w:szCs w:val="18"/>
              </w:rPr>
            </w:pPr>
            <w:r w:rsidRPr="00DA17A1">
              <w:rPr>
                <w:rFonts w:cs="Arial"/>
                <w:szCs w:val="18"/>
              </w:rPr>
              <w:t>2</w:t>
            </w:r>
          </w:p>
        </w:tc>
        <w:tc>
          <w:tcPr>
            <w:tcW w:w="992" w:type="dxa"/>
            <w:shd w:val="clear" w:color="auto" w:fill="FFFFFF"/>
          </w:tcPr>
          <w:p w14:paraId="5D7BEC84" w14:textId="77777777" w:rsidR="00EF2450" w:rsidRPr="00DA17A1" w:rsidRDefault="00EF2450" w:rsidP="006A0156">
            <w:pPr>
              <w:pStyle w:val="CETBodytext"/>
              <w:ind w:right="-1"/>
              <w:rPr>
                <w:rFonts w:cs="Arial"/>
                <w:szCs w:val="18"/>
              </w:rPr>
            </w:pPr>
            <w:r w:rsidRPr="00DA17A1">
              <w:rPr>
                <w:rFonts w:cs="Arial"/>
                <w:szCs w:val="18"/>
              </w:rPr>
              <w:t>28500</w:t>
            </w:r>
          </w:p>
        </w:tc>
        <w:tc>
          <w:tcPr>
            <w:tcW w:w="992" w:type="dxa"/>
            <w:shd w:val="clear" w:color="auto" w:fill="FFFFFF"/>
          </w:tcPr>
          <w:p w14:paraId="762D6103" w14:textId="77777777" w:rsidR="00EF2450" w:rsidRPr="00DA17A1" w:rsidRDefault="00EF2450" w:rsidP="006A0156">
            <w:pPr>
              <w:pStyle w:val="CETBodytext"/>
              <w:ind w:right="-1"/>
              <w:rPr>
                <w:rFonts w:cs="Arial"/>
                <w:szCs w:val="18"/>
              </w:rPr>
            </w:pPr>
            <w:r w:rsidRPr="00DA17A1">
              <w:rPr>
                <w:rFonts w:cs="Arial"/>
                <w:szCs w:val="18"/>
              </w:rPr>
              <w:t>65000</w:t>
            </w:r>
          </w:p>
        </w:tc>
        <w:tc>
          <w:tcPr>
            <w:tcW w:w="992" w:type="dxa"/>
            <w:shd w:val="clear" w:color="auto" w:fill="FFFFFF"/>
          </w:tcPr>
          <w:p w14:paraId="45EFA0DB" w14:textId="77777777" w:rsidR="00EF2450" w:rsidRPr="00DA17A1" w:rsidRDefault="00EF2450" w:rsidP="006A0156">
            <w:pPr>
              <w:pStyle w:val="CETBodytext"/>
              <w:ind w:right="-1"/>
              <w:rPr>
                <w:rFonts w:cs="Arial"/>
                <w:szCs w:val="18"/>
              </w:rPr>
            </w:pPr>
            <w:r w:rsidRPr="00DA17A1">
              <w:rPr>
                <w:rFonts w:cs="Arial"/>
                <w:szCs w:val="18"/>
              </w:rPr>
              <w:t>78000</w:t>
            </w:r>
          </w:p>
        </w:tc>
        <w:tc>
          <w:tcPr>
            <w:tcW w:w="992" w:type="dxa"/>
            <w:shd w:val="clear" w:color="auto" w:fill="FFFFFF"/>
          </w:tcPr>
          <w:p w14:paraId="14FAD9A3" w14:textId="77777777" w:rsidR="00EF2450" w:rsidRPr="00DA17A1" w:rsidRDefault="00EF2450" w:rsidP="006A0156">
            <w:pPr>
              <w:pStyle w:val="CETBodytext"/>
              <w:ind w:right="-1"/>
              <w:rPr>
                <w:rFonts w:cs="Arial"/>
                <w:szCs w:val="18"/>
              </w:rPr>
            </w:pPr>
            <w:r w:rsidRPr="00DA17A1">
              <w:rPr>
                <w:rFonts w:cs="Arial"/>
                <w:szCs w:val="18"/>
              </w:rPr>
              <w:t>13000</w:t>
            </w:r>
          </w:p>
        </w:tc>
        <w:tc>
          <w:tcPr>
            <w:tcW w:w="993" w:type="dxa"/>
          </w:tcPr>
          <w:p w14:paraId="767C0127" w14:textId="77777777" w:rsidR="00EF2450" w:rsidRPr="00DA17A1" w:rsidRDefault="00EF2450" w:rsidP="006A0156">
            <w:pPr>
              <w:pStyle w:val="CETBodytext"/>
              <w:ind w:right="-1"/>
              <w:rPr>
                <w:rFonts w:cs="Arial"/>
                <w:szCs w:val="18"/>
              </w:rPr>
            </w:pPr>
            <w:r w:rsidRPr="00DA17A1">
              <w:rPr>
                <w:rFonts w:cs="Arial"/>
                <w:szCs w:val="18"/>
              </w:rPr>
              <w:t>6000</w:t>
            </w:r>
          </w:p>
        </w:tc>
      </w:tr>
    </w:tbl>
    <w:p w14:paraId="7E5E5BC2" w14:textId="77777777" w:rsidR="00EF2450" w:rsidRPr="00DA17A1" w:rsidRDefault="00EF2450" w:rsidP="00EF2450">
      <w:pPr>
        <w:pStyle w:val="CETBodytext"/>
      </w:pPr>
    </w:p>
    <w:p w14:paraId="5A1EBD6C" w14:textId="57EA60BC" w:rsidR="006D4E6F" w:rsidRDefault="00BB3220" w:rsidP="00BB3220">
      <w:pPr>
        <w:pStyle w:val="CETBodytext"/>
      </w:pPr>
      <w:r w:rsidRPr="00DA17A1">
        <w:t xml:space="preserve">Three scenarios were simulated for each of the three proposed tunings, and the closed- and open-loop responses </w:t>
      </w:r>
      <w:r w:rsidR="006D4E6F" w:rsidRPr="00DA17A1">
        <w:t xml:space="preserve">were </w:t>
      </w:r>
      <w:r w:rsidRPr="00DA17A1">
        <w:t xml:space="preserve">compared with the results obtained using the tuning reported by </w:t>
      </w:r>
      <w:proofErr w:type="spellStart"/>
      <w:r w:rsidRPr="00DA17A1">
        <w:t>Violaro</w:t>
      </w:r>
      <w:proofErr w:type="spellEnd"/>
      <w:r w:rsidRPr="00DA17A1">
        <w:t xml:space="preserve"> et al. (2018). </w:t>
      </w:r>
      <w:r w:rsidR="006D4E6F" w:rsidRPr="00DA17A1">
        <w:t>The conditions of each scenario were defined based on Meleiro (2002) and real operating conditions, and are described as follows:</w:t>
      </w:r>
    </w:p>
    <w:p w14:paraId="7B93C5BC" w14:textId="77777777" w:rsidR="004D717B" w:rsidRPr="00DA17A1" w:rsidRDefault="004D717B" w:rsidP="00BB3220">
      <w:pPr>
        <w:pStyle w:val="CETBodytext"/>
      </w:pPr>
    </w:p>
    <w:p w14:paraId="6BB02395" w14:textId="2A0789B4" w:rsidR="00BB3220" w:rsidRPr="00DA17A1" w:rsidRDefault="00BB3220" w:rsidP="00BB3220">
      <w:pPr>
        <w:pStyle w:val="CETListbullets"/>
        <w:numPr>
          <w:ilvl w:val="0"/>
          <w:numId w:val="13"/>
        </w:numPr>
        <w:rPr>
          <w:lang w:val="en-US"/>
        </w:rPr>
      </w:pPr>
      <w:r w:rsidRPr="00DA17A1">
        <w:rPr>
          <w:lang w:val="en-US"/>
        </w:rPr>
        <w:t>Scenario 1: Disturbances were imposed on the process by varying the must temperature (</w:t>
      </w:r>
      <m:oMath>
        <m:sSub>
          <m:sSubPr>
            <m:ctrlPr>
              <w:rPr>
                <w:rFonts w:ascii="Cambria Math" w:hAnsi="Cambria Math"/>
                <w:lang w:val="en-US"/>
              </w:rPr>
            </m:ctrlPr>
          </m:sSubPr>
          <m:e>
            <m:r>
              <w:rPr>
                <w:rFonts w:ascii="Cambria Math" w:hAnsi="Cambria Math"/>
                <w:lang w:val="en-US"/>
              </w:rPr>
              <m:t>T</m:t>
            </m:r>
          </m:e>
          <m:sub>
            <m:r>
              <m:rPr>
                <m:sty m:val="p"/>
              </m:rPr>
              <w:rPr>
                <w:rFonts w:ascii="Cambria Math" w:hAnsi="Cambria Math"/>
                <w:lang w:val="en-US"/>
              </w:rPr>
              <m:t>0</m:t>
            </m:r>
          </m:sub>
        </m:sSub>
        <m:r>
          <m:rPr>
            <m:sty m:val="p"/>
          </m:rPr>
          <w:rPr>
            <w:rFonts w:ascii="Cambria Math" w:hAnsi="Cambria Math"/>
            <w:lang w:val="en-US"/>
          </w:rPr>
          <m:t>)</m:t>
        </m:r>
      </m:oMath>
      <w:r w:rsidRPr="00DA17A1">
        <w:rPr>
          <w:lang w:val="en-US"/>
        </w:rPr>
        <w:t>. The temperature initially started at 28 °C, changed to 29 °C after 50 h, decreased to 28 °C at 100 h, and finally reduced to 27 °C at 150 h.</w:t>
      </w:r>
    </w:p>
    <w:p w14:paraId="5F51F2FA" w14:textId="2A6304E7" w:rsidR="00BB3220" w:rsidRPr="00DA17A1" w:rsidRDefault="00BB3220" w:rsidP="00BB3220">
      <w:pPr>
        <w:pStyle w:val="CETListbullets"/>
        <w:numPr>
          <w:ilvl w:val="0"/>
          <w:numId w:val="13"/>
        </w:numPr>
        <w:rPr>
          <w:lang w:val="en-US"/>
        </w:rPr>
      </w:pPr>
      <w:r w:rsidRPr="00DA17A1">
        <w:rPr>
          <w:lang w:val="en-US"/>
        </w:rPr>
        <w:t>Scenario 2: The initial substrate concentration (</w:t>
      </w:r>
      <m:oMath>
        <m:sSub>
          <m:sSubPr>
            <m:ctrlPr>
              <w:rPr>
                <w:rFonts w:ascii="Cambria Math" w:hAnsi="Cambria Math"/>
                <w:lang w:val="en-US"/>
              </w:rPr>
            </m:ctrlPr>
          </m:sSubPr>
          <m:e>
            <m:r>
              <w:rPr>
                <w:rFonts w:ascii="Cambria Math" w:hAnsi="Cambria Math"/>
                <w:lang w:val="en-US"/>
              </w:rPr>
              <m:t>S</m:t>
            </m:r>
          </m:e>
          <m:sub>
            <m:r>
              <m:rPr>
                <m:sty m:val="p"/>
              </m:rPr>
              <w:rPr>
                <w:rFonts w:ascii="Cambria Math" w:hAnsi="Cambria Math"/>
                <w:lang w:val="en-US"/>
              </w:rPr>
              <m:t>0</m:t>
            </m:r>
          </m:sub>
        </m:sSub>
      </m:oMath>
      <w:r w:rsidRPr="00DA17A1">
        <w:rPr>
          <w:lang w:val="en-US"/>
        </w:rPr>
        <w:t xml:space="preserve">) </w:t>
      </w:r>
      <w:r w:rsidR="00FD659A" w:rsidRPr="00DA17A1">
        <w:rPr>
          <w:lang w:val="en-US"/>
        </w:rPr>
        <w:t xml:space="preserve">was set to </w:t>
      </w:r>
      <w:r w:rsidRPr="00DA17A1">
        <w:rPr>
          <w:lang w:val="en-US"/>
        </w:rPr>
        <w:t>180 kg/m</w:t>
      </w:r>
      <w:r w:rsidRPr="00DA17A1">
        <w:rPr>
          <w:vertAlign w:val="superscript"/>
          <w:lang w:val="en-US"/>
        </w:rPr>
        <w:t>3</w:t>
      </w:r>
      <w:r w:rsidRPr="00DA17A1">
        <w:rPr>
          <w:lang w:val="en-US"/>
        </w:rPr>
        <w:t>, increased to 185 kg/m</w:t>
      </w:r>
      <w:r w:rsidRPr="00DA17A1">
        <w:rPr>
          <w:vertAlign w:val="superscript"/>
          <w:lang w:val="en-US"/>
        </w:rPr>
        <w:t>3</w:t>
      </w:r>
      <w:r w:rsidRPr="00DA17A1">
        <w:rPr>
          <w:lang w:val="en-US"/>
        </w:rPr>
        <w:t xml:space="preserve"> after 50 h, returned to its initial value at 100 h, and then decreased to 175 kg/m</w:t>
      </w:r>
      <w:r w:rsidRPr="00DA17A1">
        <w:rPr>
          <w:vertAlign w:val="superscript"/>
          <w:lang w:val="en-US"/>
        </w:rPr>
        <w:t>3</w:t>
      </w:r>
      <w:r w:rsidRPr="00DA17A1">
        <w:rPr>
          <w:lang w:val="en-US"/>
        </w:rPr>
        <w:t xml:space="preserve"> at 150 h.</w:t>
      </w:r>
    </w:p>
    <w:p w14:paraId="65E357BB" w14:textId="3F96281C" w:rsidR="00BB3220" w:rsidRPr="00DA17A1" w:rsidRDefault="00BB3220" w:rsidP="00BB3220">
      <w:pPr>
        <w:pStyle w:val="CETListbullets"/>
        <w:numPr>
          <w:ilvl w:val="0"/>
          <w:numId w:val="13"/>
        </w:numPr>
        <w:rPr>
          <w:lang w:val="en-US"/>
        </w:rPr>
      </w:pPr>
      <w:r w:rsidRPr="00DA17A1">
        <w:rPr>
          <w:lang w:val="en-US"/>
        </w:rPr>
        <w:t xml:space="preserve">Scenario 3: A servo control scenario was analyzed by changing the </w:t>
      </w:r>
      <m:oMath>
        <m:sSub>
          <m:sSubPr>
            <m:ctrlPr>
              <w:rPr>
                <w:rFonts w:ascii="Cambria Math" w:hAnsi="Cambria Math"/>
                <w:lang w:val="en-US"/>
              </w:rPr>
            </m:ctrlPr>
          </m:sSubPr>
          <m:e>
            <m:r>
              <w:rPr>
                <w:rFonts w:ascii="Cambria Math" w:hAnsi="Cambria Math"/>
                <w:lang w:val="en-US"/>
              </w:rPr>
              <m:t>S</m:t>
            </m:r>
          </m:e>
          <m:sub>
            <m:r>
              <m:rPr>
                <m:sty m:val="p"/>
              </m:rPr>
              <w:rPr>
                <w:rFonts w:ascii="Cambria Math" w:hAnsi="Cambria Math"/>
                <w:lang w:val="en-US"/>
              </w:rPr>
              <m:t>4</m:t>
            </m:r>
          </m:sub>
        </m:sSub>
      </m:oMath>
      <w:r w:rsidRPr="00DA17A1">
        <w:rPr>
          <w:lang w:val="en-US"/>
        </w:rPr>
        <w:t xml:space="preserve"> setpoint to 1.08, 0.98, 0.88, and 0.98 kg/m</w:t>
      </w:r>
      <w:r w:rsidRPr="00DA17A1">
        <w:rPr>
          <w:vertAlign w:val="superscript"/>
          <w:lang w:val="en-US"/>
        </w:rPr>
        <w:t>3</w:t>
      </w:r>
      <w:r w:rsidRPr="00DA17A1">
        <w:rPr>
          <w:lang w:val="en-US"/>
        </w:rPr>
        <w:t xml:space="preserve"> at 1 h, 50 h, 100 h, and 150 h, respectively.</w:t>
      </w:r>
    </w:p>
    <w:p w14:paraId="28E8379D" w14:textId="12B0C6C8" w:rsidR="00C52C3C" w:rsidRPr="00DA17A1" w:rsidRDefault="001A5C5E" w:rsidP="001A5C5E">
      <w:pPr>
        <w:pStyle w:val="CETHeading1"/>
      </w:pPr>
      <w:r w:rsidRPr="00DA17A1">
        <w:t>Results</w:t>
      </w:r>
    </w:p>
    <w:p w14:paraId="6FAA4342" w14:textId="1BC87BCE" w:rsidR="00C52C3C" w:rsidRDefault="009D52B1" w:rsidP="008D2509">
      <w:pPr>
        <w:pStyle w:val="CETBodytext"/>
      </w:pPr>
      <w:r w:rsidRPr="00DA17A1">
        <w:t xml:space="preserve">The must temperature directly </w:t>
      </w:r>
      <w:r w:rsidR="00650E75" w:rsidRPr="00DA17A1">
        <w:t>influences</w:t>
      </w:r>
      <w:r w:rsidRPr="00DA17A1">
        <w:t xml:space="preserve"> the operating temperature.</w:t>
      </w:r>
      <w:r w:rsidR="00650E75" w:rsidRPr="00DA17A1">
        <w:t xml:space="preserve"> </w:t>
      </w:r>
      <w:r w:rsidRPr="00DA17A1">
        <w:t xml:space="preserve">For this exothermic reaction, a temperature rise reduces substrate conversion, as observed at t = 50 h in Figure 2a. In closed-loop operation, the manipulated variables </w:t>
      </w:r>
      <w:r w:rsidR="00650E75" w:rsidRPr="00DA17A1">
        <w:t>are adjusted simultaneously</w:t>
      </w:r>
      <w:r w:rsidRPr="00DA17A1">
        <w:t xml:space="preserve"> to maintain the controlled variables at their setpoints. </w:t>
      </w:r>
      <w:r w:rsidR="00650E75" w:rsidRPr="00DA17A1">
        <w:t>As a result</w:t>
      </w:r>
      <w:r w:rsidRPr="00DA17A1">
        <w:t xml:space="preserve">, </w:t>
      </w:r>
      <w:r w:rsidR="00650E75" w:rsidRPr="00DA17A1">
        <w:t>the controller reduced the feed flow rate</w:t>
      </w:r>
      <w:r w:rsidRPr="00DA17A1">
        <w:t xml:space="preserve"> as a corrective action to compensate for the </w:t>
      </w:r>
      <w:r w:rsidR="000E62F5" w:rsidRPr="00DA17A1">
        <w:t>reduction</w:t>
      </w:r>
      <w:r w:rsidRPr="00DA17A1">
        <w:t xml:space="preserve"> in substrate concentration for all three tunings. Conversely, when the must temperature decreased, the substrate concentration increased, </w:t>
      </w:r>
      <w:r w:rsidR="0087594F" w:rsidRPr="00DA17A1">
        <w:t>leading to a higher feed flow rate</w:t>
      </w:r>
      <w:r w:rsidRPr="00DA17A1">
        <w:t xml:space="preserve">, as observed at t = 100 h. In the first reactor, which receives the must feed, lower must temperatures required lower </w:t>
      </w:r>
      <w:r w:rsidR="00250F45" w:rsidRPr="004D717B">
        <w:t>coolant</w:t>
      </w:r>
      <w:r w:rsidRPr="00DA17A1">
        <w:t xml:space="preserve"> flow rates. However, in the remaining reactors, the </w:t>
      </w:r>
      <w:r w:rsidR="00250F45" w:rsidRPr="004D717B">
        <w:t>coolant</w:t>
      </w:r>
      <w:r w:rsidRPr="00DA17A1">
        <w:t xml:space="preserve"> flow rate increased </w:t>
      </w:r>
      <w:r w:rsidR="0087594F" w:rsidRPr="00DA17A1">
        <w:t>even though</w:t>
      </w:r>
      <w:r w:rsidRPr="00DA17A1">
        <w:t xml:space="preserve"> the temperatures of reactors 2–4 were below their setpoints.</w:t>
      </w:r>
      <w:r w:rsidR="00D83858" w:rsidRPr="00DA17A1">
        <w:t xml:space="preserve"> </w:t>
      </w:r>
      <w:r w:rsidRPr="00DA17A1">
        <w:t xml:space="preserve">This behavior highlights the multivariable nature of the control system, in which one manipulated variable influences multiple controlled </w:t>
      </w:r>
      <w:proofErr w:type="gramStart"/>
      <w:r w:rsidRPr="00DA17A1">
        <w:t>variables</w:t>
      </w:r>
      <w:proofErr w:type="gramEnd"/>
      <w:r w:rsidRPr="00DA17A1">
        <w:t>.</w:t>
      </w:r>
      <w:r w:rsidR="00E33CB0" w:rsidRPr="00DA17A1">
        <w:t xml:space="preserve"> The fermentation process is highly nonlinear, and the control strategy proposed by </w:t>
      </w:r>
      <w:proofErr w:type="spellStart"/>
      <w:r w:rsidR="0044702C" w:rsidRPr="00DA17A1">
        <w:t>Violaro</w:t>
      </w:r>
      <w:proofErr w:type="spellEnd"/>
      <w:r w:rsidR="0044702C" w:rsidRPr="00DA17A1">
        <w:t xml:space="preserve"> et al. (2018)</w:t>
      </w:r>
      <w:r w:rsidR="00E33CB0" w:rsidRPr="00DA17A1">
        <w:t xml:space="preserve"> was based on an imprecise model derived from transfer functions. </w:t>
      </w:r>
      <w:r w:rsidR="00E33CB0" w:rsidRPr="00DA17A1">
        <w:lastRenderedPageBreak/>
        <w:t xml:space="preserve">Nevertheless, </w:t>
      </w:r>
      <w:r w:rsidRPr="00DA17A1">
        <w:t xml:space="preserve">all tunings kept the substrate concentration and operating temperature close to setpoints. This </w:t>
      </w:r>
      <w:r w:rsidR="00E33CB0" w:rsidRPr="00DA17A1">
        <w:t>behavior</w:t>
      </w:r>
      <w:r w:rsidRPr="00DA17A1">
        <w:t xml:space="preserve"> was confirmed by the ISE performance index values shown in Table 2. Tuning 1 reduced the temperature ISE but increased the substrate concentration ISE, whereas Tuning 2 </w:t>
      </w:r>
      <w:r w:rsidR="000C2E4B" w:rsidRPr="00DA17A1">
        <w:t>exhibited the opposite trend.</w:t>
      </w:r>
      <w:r w:rsidR="00BF0521" w:rsidRPr="00DA17A1">
        <w:t xml:space="preserve"> </w:t>
      </w:r>
      <w:r w:rsidR="00B66392" w:rsidRPr="00DA17A1">
        <w:t xml:space="preserve">The substrate concentration is directly related to yield and productivity, </w:t>
      </w:r>
      <w:r w:rsidR="00BF0521" w:rsidRPr="00DA17A1">
        <w:t>and the corresponding profiles are presented in Figure 2b</w:t>
      </w:r>
      <w:r w:rsidR="00B66392" w:rsidRPr="00DA17A1">
        <w:t xml:space="preserve">. </w:t>
      </w:r>
      <w:r w:rsidRPr="00DA17A1">
        <w:t xml:space="preserve">Although the variations are small, yield exhibited opposite trends in the open- and closed-loop simulations. </w:t>
      </w:r>
      <w:r w:rsidR="00B66392" w:rsidRPr="00DA17A1">
        <w:t xml:space="preserve">In open-loop operation, the temperature </w:t>
      </w:r>
      <w:proofErr w:type="gramStart"/>
      <w:r w:rsidR="00B66392" w:rsidRPr="00DA17A1">
        <w:t>increase</w:t>
      </w:r>
      <w:proofErr w:type="gramEnd"/>
      <w:r w:rsidR="00B66392" w:rsidRPr="00DA17A1">
        <w:t xml:space="preserve"> reduced yield at t = 50 h because the disturbance decreased substrate conversion and ethanol production. In </w:t>
      </w:r>
      <w:r w:rsidRPr="00DA17A1">
        <w:t>closed-loop operation, the magnitude of the control error directly affected yield and productivity. During disturbances, productivity showed behavior opposite to that of yield because it was directly affected by variations in the feed flow rate.</w:t>
      </w:r>
    </w:p>
    <w:p w14:paraId="4EA4C464" w14:textId="77777777" w:rsidR="00F64F41" w:rsidRPr="00DA17A1" w:rsidRDefault="00F64F41" w:rsidP="008D2509">
      <w:pPr>
        <w:pStyle w:val="CETBodytext"/>
      </w:pPr>
    </w:p>
    <w:tbl>
      <w:tblPr>
        <w:tblStyle w:val="Tabelacomgrade"/>
        <w:tblW w:w="9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21"/>
        <w:gridCol w:w="3726"/>
      </w:tblGrid>
      <w:tr w:rsidR="006C12D8" w:rsidRPr="00DA17A1" w14:paraId="2BF19561" w14:textId="77777777" w:rsidTr="006A0156">
        <w:tc>
          <w:tcPr>
            <w:tcW w:w="5421" w:type="dxa"/>
          </w:tcPr>
          <w:p w14:paraId="7F0E0CD3" w14:textId="77777777" w:rsidR="006C12D8" w:rsidRPr="00DA17A1" w:rsidRDefault="006C12D8" w:rsidP="006A0156">
            <w:pPr>
              <w:pStyle w:val="CETBodytext"/>
              <w:jc w:val="center"/>
            </w:pPr>
            <w:r w:rsidRPr="00DA17A1">
              <w:rPr>
                <w:noProof/>
              </w:rPr>
              <w:drawing>
                <wp:inline distT="0" distB="0" distL="0" distR="0" wp14:anchorId="34A411D9" wp14:editId="154D853B">
                  <wp:extent cx="3295840" cy="3700630"/>
                  <wp:effectExtent l="0" t="0" r="0" b="0"/>
                  <wp:docPr id="1396445850"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1">
                            <a:extLst>
                              <a:ext uri="{28A0092B-C50C-407E-A947-70E740481C1C}">
                                <a14:useLocalDpi xmlns:a14="http://schemas.microsoft.com/office/drawing/2010/main" val="0"/>
                              </a:ext>
                            </a:extLst>
                          </a:blip>
                          <a:srcRect l="2741" t="2845" r="5413" b="4886"/>
                          <a:stretch>
                            <a:fillRect/>
                          </a:stretch>
                        </pic:blipFill>
                        <pic:spPr bwMode="auto">
                          <a:xfrm>
                            <a:off x="0" y="0"/>
                            <a:ext cx="3352902" cy="37647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726" w:type="dxa"/>
          </w:tcPr>
          <w:p w14:paraId="590EE845" w14:textId="77777777" w:rsidR="006C12D8" w:rsidRPr="00DA17A1" w:rsidRDefault="006C12D8" w:rsidP="006A0156">
            <w:pPr>
              <w:pStyle w:val="CETBodytext"/>
              <w:jc w:val="left"/>
            </w:pPr>
            <w:r w:rsidRPr="00DA17A1">
              <w:rPr>
                <w:noProof/>
              </w:rPr>
              <w:drawing>
                <wp:inline distT="0" distB="0" distL="0" distR="0" wp14:anchorId="59FCE247" wp14:editId="5581A053">
                  <wp:extent cx="2083182" cy="3636010"/>
                  <wp:effectExtent l="0" t="0" r="0" b="2540"/>
                  <wp:docPr id="657442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41547" cy="3737880"/>
                          </a:xfrm>
                          <a:prstGeom prst="rect">
                            <a:avLst/>
                          </a:prstGeom>
                          <a:noFill/>
                          <a:ln>
                            <a:noFill/>
                          </a:ln>
                        </pic:spPr>
                      </pic:pic>
                    </a:graphicData>
                  </a:graphic>
                </wp:inline>
              </w:drawing>
            </w:r>
          </w:p>
        </w:tc>
      </w:tr>
      <w:tr w:rsidR="006C12D8" w:rsidRPr="00DA17A1" w14:paraId="44D8E542" w14:textId="77777777" w:rsidTr="006A0156">
        <w:tc>
          <w:tcPr>
            <w:tcW w:w="5421" w:type="dxa"/>
          </w:tcPr>
          <w:p w14:paraId="6DFC7CCF" w14:textId="77777777" w:rsidR="006C12D8" w:rsidRPr="00DA17A1" w:rsidRDefault="006C12D8" w:rsidP="006A0156">
            <w:pPr>
              <w:pStyle w:val="CETBodytext"/>
              <w:jc w:val="center"/>
            </w:pPr>
            <w:r w:rsidRPr="00DA17A1">
              <w:t>(a)</w:t>
            </w:r>
          </w:p>
        </w:tc>
        <w:tc>
          <w:tcPr>
            <w:tcW w:w="3726" w:type="dxa"/>
          </w:tcPr>
          <w:p w14:paraId="0A4CF17C" w14:textId="77777777" w:rsidR="006C12D8" w:rsidRPr="00DA17A1" w:rsidRDefault="006C12D8" w:rsidP="006A0156">
            <w:pPr>
              <w:pStyle w:val="CETBodytext"/>
              <w:jc w:val="center"/>
            </w:pPr>
            <w:r w:rsidRPr="00DA17A1">
              <w:t>(b)</w:t>
            </w:r>
          </w:p>
        </w:tc>
      </w:tr>
    </w:tbl>
    <w:p w14:paraId="4FDFEC31" w14:textId="77777777" w:rsidR="006C12D8" w:rsidRPr="00DA17A1" w:rsidRDefault="006C12D8" w:rsidP="006C12D8">
      <w:pPr>
        <w:pStyle w:val="CETTabletitle"/>
        <w:rPr>
          <w:rStyle w:val="CETCaptionCarattere"/>
          <w:i/>
          <w:lang w:val="en-US"/>
        </w:rPr>
      </w:pPr>
      <w:r w:rsidRPr="00DA17A1">
        <w:rPr>
          <w:rStyle w:val="CETCaptionCarattere"/>
          <w:i/>
          <w:lang w:val="en-US"/>
        </w:rPr>
        <w:t>Figure 2: (a) Manipulated and controlled variables. (b) Yield and productivity for Scenario 1.</w:t>
      </w:r>
    </w:p>
    <w:p w14:paraId="5C74FE1F" w14:textId="77777777" w:rsidR="006C12D8" w:rsidRPr="00DA17A1" w:rsidRDefault="006C12D8" w:rsidP="006C12D8">
      <w:pPr>
        <w:pStyle w:val="CETTabletitle"/>
        <w:rPr>
          <w:lang w:val="en-US"/>
        </w:rPr>
      </w:pPr>
      <w:r w:rsidRPr="00DA17A1">
        <w:rPr>
          <w:lang w:val="en-US"/>
        </w:rPr>
        <w:t>Table 2: ISE results for all scenarios.</w:t>
      </w:r>
    </w:p>
    <w:tbl>
      <w:tblPr>
        <w:tblW w:w="8789" w:type="dxa"/>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1843"/>
        <w:gridCol w:w="463"/>
        <w:gridCol w:w="463"/>
        <w:gridCol w:w="463"/>
        <w:gridCol w:w="463"/>
        <w:gridCol w:w="463"/>
        <w:gridCol w:w="463"/>
        <w:gridCol w:w="463"/>
        <w:gridCol w:w="463"/>
        <w:gridCol w:w="463"/>
        <w:gridCol w:w="463"/>
        <w:gridCol w:w="463"/>
        <w:gridCol w:w="463"/>
        <w:gridCol w:w="463"/>
        <w:gridCol w:w="463"/>
        <w:gridCol w:w="464"/>
      </w:tblGrid>
      <w:tr w:rsidR="006C12D8" w:rsidRPr="00DA17A1" w14:paraId="3579E540" w14:textId="77777777" w:rsidTr="006A0156">
        <w:tc>
          <w:tcPr>
            <w:tcW w:w="1843" w:type="dxa"/>
            <w:tcBorders>
              <w:top w:val="single" w:sz="4" w:space="0" w:color="FFFFFF" w:themeColor="background1"/>
              <w:bottom w:val="single" w:sz="6" w:space="0" w:color="008000"/>
            </w:tcBorders>
            <w:shd w:val="clear" w:color="auto" w:fill="FFFFFF"/>
          </w:tcPr>
          <w:p w14:paraId="0F45E1CD" w14:textId="77777777" w:rsidR="006C12D8" w:rsidRPr="00DA17A1" w:rsidRDefault="006C12D8" w:rsidP="006A0156">
            <w:pPr>
              <w:pStyle w:val="CETBodytext"/>
            </w:pPr>
          </w:p>
        </w:tc>
        <w:tc>
          <w:tcPr>
            <w:tcW w:w="2315" w:type="dxa"/>
            <w:gridSpan w:val="5"/>
            <w:tcBorders>
              <w:top w:val="single" w:sz="12" w:space="0" w:color="008000"/>
              <w:bottom w:val="single" w:sz="6" w:space="0" w:color="008000"/>
              <w:right w:val="single" w:sz="8" w:space="0" w:color="008000"/>
            </w:tcBorders>
            <w:shd w:val="clear" w:color="auto" w:fill="FFFFFF"/>
          </w:tcPr>
          <w:p w14:paraId="06F43697" w14:textId="77777777" w:rsidR="006C12D8" w:rsidRPr="00DA17A1" w:rsidRDefault="006C12D8" w:rsidP="006A0156">
            <w:pPr>
              <w:pStyle w:val="CETBodytext"/>
              <w:ind w:right="-1"/>
              <w:rPr>
                <w:rFonts w:cs="Arial"/>
                <w:szCs w:val="18"/>
              </w:rPr>
            </w:pPr>
            <w:r w:rsidRPr="00DA17A1">
              <w:rPr>
                <w:rFonts w:cs="Arial"/>
                <w:szCs w:val="18"/>
              </w:rPr>
              <w:t>Scenario 1</w:t>
            </w:r>
          </w:p>
        </w:tc>
        <w:tc>
          <w:tcPr>
            <w:tcW w:w="2315" w:type="dxa"/>
            <w:gridSpan w:val="5"/>
            <w:tcBorders>
              <w:top w:val="single" w:sz="12" w:space="0" w:color="008000"/>
              <w:left w:val="single" w:sz="8" w:space="0" w:color="008000"/>
              <w:bottom w:val="single" w:sz="6" w:space="0" w:color="009900"/>
              <w:right w:val="single" w:sz="8" w:space="0" w:color="008000"/>
            </w:tcBorders>
          </w:tcPr>
          <w:p w14:paraId="61DEEC69" w14:textId="77777777" w:rsidR="006C12D8" w:rsidRPr="00DA17A1" w:rsidRDefault="006C12D8" w:rsidP="006A0156">
            <w:pPr>
              <w:pStyle w:val="CETBodytext"/>
              <w:ind w:right="-1"/>
              <w:rPr>
                <w:rFonts w:cs="Arial"/>
                <w:szCs w:val="18"/>
              </w:rPr>
            </w:pPr>
            <w:r w:rsidRPr="00DA17A1">
              <w:rPr>
                <w:rFonts w:cs="Arial"/>
                <w:szCs w:val="18"/>
              </w:rPr>
              <w:t>Scenario 2</w:t>
            </w:r>
          </w:p>
        </w:tc>
        <w:tc>
          <w:tcPr>
            <w:tcW w:w="2316" w:type="dxa"/>
            <w:gridSpan w:val="5"/>
            <w:tcBorders>
              <w:top w:val="single" w:sz="12" w:space="0" w:color="008000"/>
              <w:left w:val="single" w:sz="8" w:space="0" w:color="008000"/>
              <w:bottom w:val="single" w:sz="6" w:space="0" w:color="009900"/>
            </w:tcBorders>
          </w:tcPr>
          <w:p w14:paraId="402062C5" w14:textId="77777777" w:rsidR="006C12D8" w:rsidRPr="00DA17A1" w:rsidRDefault="006C12D8" w:rsidP="006A0156">
            <w:pPr>
              <w:pStyle w:val="CETBodytext"/>
              <w:ind w:right="-1"/>
              <w:rPr>
                <w:rFonts w:cs="Arial"/>
                <w:szCs w:val="18"/>
              </w:rPr>
            </w:pPr>
            <w:r w:rsidRPr="00DA17A1">
              <w:rPr>
                <w:rFonts w:cs="Arial"/>
                <w:szCs w:val="18"/>
              </w:rPr>
              <w:t>Scenario 3</w:t>
            </w:r>
          </w:p>
        </w:tc>
      </w:tr>
      <w:tr w:rsidR="006C12D8" w:rsidRPr="00DA17A1" w14:paraId="25337B4D" w14:textId="77777777" w:rsidTr="006A0156">
        <w:tc>
          <w:tcPr>
            <w:tcW w:w="1843" w:type="dxa"/>
            <w:tcBorders>
              <w:top w:val="single" w:sz="12" w:space="0" w:color="008000"/>
              <w:bottom w:val="single" w:sz="6" w:space="0" w:color="008000"/>
            </w:tcBorders>
            <w:shd w:val="clear" w:color="auto" w:fill="FFFFFF"/>
          </w:tcPr>
          <w:p w14:paraId="205C9F3E" w14:textId="77777777" w:rsidR="006C12D8" w:rsidRPr="00DA17A1" w:rsidRDefault="006C12D8" w:rsidP="006A0156">
            <w:pPr>
              <w:pStyle w:val="CETBodytext"/>
            </w:pPr>
            <w:r w:rsidRPr="00DA17A1">
              <w:t xml:space="preserve">Tuning </w:t>
            </w:r>
          </w:p>
        </w:tc>
        <w:tc>
          <w:tcPr>
            <w:tcW w:w="463" w:type="dxa"/>
            <w:tcBorders>
              <w:top w:val="single" w:sz="12" w:space="0" w:color="008000"/>
              <w:bottom w:val="single" w:sz="6" w:space="0" w:color="008000"/>
            </w:tcBorders>
            <w:shd w:val="clear" w:color="auto" w:fill="FFFFFF"/>
          </w:tcPr>
          <w:p w14:paraId="1C55E2F2" w14:textId="77777777" w:rsidR="006C12D8" w:rsidRPr="00DA17A1" w:rsidRDefault="006C12D8" w:rsidP="006A0156">
            <w:pPr>
              <w:pStyle w:val="CETBodytext"/>
            </w:pPr>
            <w:r w:rsidRPr="00DA17A1">
              <w:t>S</w:t>
            </w:r>
            <w:r w:rsidRPr="00DA17A1">
              <w:rPr>
                <w:sz w:val="16"/>
                <w:szCs w:val="18"/>
                <w:vertAlign w:val="subscript"/>
              </w:rPr>
              <w:t>4</w:t>
            </w:r>
          </w:p>
        </w:tc>
        <w:tc>
          <w:tcPr>
            <w:tcW w:w="463" w:type="dxa"/>
            <w:tcBorders>
              <w:top w:val="single" w:sz="12" w:space="0" w:color="008000"/>
              <w:bottom w:val="single" w:sz="6" w:space="0" w:color="008000"/>
            </w:tcBorders>
            <w:shd w:val="clear" w:color="auto" w:fill="FFFFFF"/>
          </w:tcPr>
          <w:p w14:paraId="25F01417" w14:textId="77777777" w:rsidR="006C12D8" w:rsidRPr="00DA17A1" w:rsidRDefault="006C12D8" w:rsidP="006A0156">
            <w:pPr>
              <w:pStyle w:val="CETBodytext"/>
            </w:pPr>
            <w:r w:rsidRPr="00DA17A1">
              <w:t>T</w:t>
            </w:r>
            <w:r w:rsidRPr="00DA17A1">
              <w:rPr>
                <w:vertAlign w:val="subscript"/>
              </w:rPr>
              <w:t>1</w:t>
            </w:r>
          </w:p>
        </w:tc>
        <w:tc>
          <w:tcPr>
            <w:tcW w:w="463" w:type="dxa"/>
            <w:tcBorders>
              <w:top w:val="single" w:sz="12" w:space="0" w:color="008000"/>
              <w:bottom w:val="single" w:sz="6" w:space="0" w:color="008000"/>
            </w:tcBorders>
            <w:shd w:val="clear" w:color="auto" w:fill="FFFFFF"/>
          </w:tcPr>
          <w:p w14:paraId="063F7659" w14:textId="77777777" w:rsidR="006C12D8" w:rsidRPr="00DA17A1" w:rsidRDefault="006C12D8" w:rsidP="006A0156">
            <w:pPr>
              <w:pStyle w:val="CETBodytext"/>
              <w:ind w:right="-1"/>
              <w:rPr>
                <w:rFonts w:cs="Arial"/>
                <w:szCs w:val="18"/>
              </w:rPr>
            </w:pPr>
            <w:r w:rsidRPr="00DA17A1">
              <w:rPr>
                <w:rFonts w:cs="Arial"/>
                <w:szCs w:val="18"/>
              </w:rPr>
              <w:t>T</w:t>
            </w:r>
            <w:r w:rsidRPr="00DA17A1">
              <w:rPr>
                <w:rFonts w:cs="Arial"/>
                <w:szCs w:val="18"/>
                <w:vertAlign w:val="subscript"/>
              </w:rPr>
              <w:t>2</w:t>
            </w:r>
          </w:p>
        </w:tc>
        <w:tc>
          <w:tcPr>
            <w:tcW w:w="463" w:type="dxa"/>
            <w:tcBorders>
              <w:top w:val="single" w:sz="12" w:space="0" w:color="008000"/>
              <w:bottom w:val="single" w:sz="6" w:space="0" w:color="009900"/>
            </w:tcBorders>
            <w:shd w:val="clear" w:color="auto" w:fill="FFFFFF"/>
          </w:tcPr>
          <w:p w14:paraId="4BABEC74" w14:textId="77777777" w:rsidR="006C12D8" w:rsidRPr="00DA17A1" w:rsidRDefault="006C12D8" w:rsidP="006A0156">
            <w:pPr>
              <w:pStyle w:val="CETBodytext"/>
              <w:ind w:right="-1"/>
              <w:rPr>
                <w:rFonts w:cs="Arial"/>
                <w:szCs w:val="18"/>
              </w:rPr>
            </w:pPr>
            <w:r w:rsidRPr="00DA17A1">
              <w:rPr>
                <w:rFonts w:cs="Arial"/>
                <w:szCs w:val="18"/>
              </w:rPr>
              <w:t>T</w:t>
            </w:r>
            <w:r w:rsidRPr="00DA17A1">
              <w:rPr>
                <w:rFonts w:cs="Arial"/>
                <w:szCs w:val="18"/>
                <w:vertAlign w:val="subscript"/>
              </w:rPr>
              <w:t>3</w:t>
            </w:r>
          </w:p>
        </w:tc>
        <w:tc>
          <w:tcPr>
            <w:tcW w:w="463" w:type="dxa"/>
            <w:tcBorders>
              <w:top w:val="single" w:sz="12" w:space="0" w:color="008000"/>
              <w:bottom w:val="single" w:sz="6" w:space="0" w:color="009900"/>
              <w:right w:val="single" w:sz="8" w:space="0" w:color="008000"/>
            </w:tcBorders>
          </w:tcPr>
          <w:p w14:paraId="1D9AF9DB" w14:textId="77777777" w:rsidR="006C12D8" w:rsidRPr="00DA17A1" w:rsidRDefault="006C12D8" w:rsidP="006A0156">
            <w:pPr>
              <w:pStyle w:val="CETBodytext"/>
              <w:ind w:right="-1"/>
              <w:rPr>
                <w:rFonts w:cs="Arial"/>
                <w:szCs w:val="18"/>
              </w:rPr>
            </w:pPr>
            <w:r w:rsidRPr="00DA17A1">
              <w:rPr>
                <w:rFonts w:cs="Arial"/>
                <w:szCs w:val="18"/>
              </w:rPr>
              <w:t>T</w:t>
            </w:r>
            <w:r w:rsidRPr="00DA17A1">
              <w:rPr>
                <w:rFonts w:cs="Arial"/>
                <w:szCs w:val="18"/>
                <w:vertAlign w:val="subscript"/>
              </w:rPr>
              <w:t>4</w:t>
            </w:r>
          </w:p>
        </w:tc>
        <w:tc>
          <w:tcPr>
            <w:tcW w:w="463" w:type="dxa"/>
            <w:tcBorders>
              <w:top w:val="single" w:sz="12" w:space="0" w:color="008000"/>
              <w:left w:val="single" w:sz="8" w:space="0" w:color="008000"/>
              <w:bottom w:val="single" w:sz="6" w:space="0" w:color="009900"/>
              <w:right w:val="single" w:sz="4" w:space="0" w:color="FFFFFF" w:themeColor="background1"/>
            </w:tcBorders>
          </w:tcPr>
          <w:p w14:paraId="5D70069F" w14:textId="77777777" w:rsidR="006C12D8" w:rsidRPr="00DA17A1" w:rsidRDefault="006C12D8" w:rsidP="006A0156">
            <w:pPr>
              <w:pStyle w:val="CETBodytext"/>
              <w:ind w:right="-1"/>
              <w:rPr>
                <w:rFonts w:cs="Arial"/>
                <w:szCs w:val="18"/>
              </w:rPr>
            </w:pPr>
            <w:r w:rsidRPr="00DA17A1">
              <w:t>S</w:t>
            </w:r>
            <w:r w:rsidRPr="00DA17A1">
              <w:rPr>
                <w:sz w:val="16"/>
                <w:szCs w:val="18"/>
                <w:vertAlign w:val="subscript"/>
              </w:rPr>
              <w:t>4</w:t>
            </w:r>
          </w:p>
        </w:tc>
        <w:tc>
          <w:tcPr>
            <w:tcW w:w="463" w:type="dxa"/>
            <w:tcBorders>
              <w:top w:val="single" w:sz="12" w:space="0" w:color="008000"/>
              <w:left w:val="single" w:sz="4" w:space="0" w:color="FFFFFF" w:themeColor="background1"/>
              <w:bottom w:val="single" w:sz="6" w:space="0" w:color="009900"/>
              <w:right w:val="single" w:sz="4" w:space="0" w:color="FFFFFF" w:themeColor="background1"/>
            </w:tcBorders>
          </w:tcPr>
          <w:p w14:paraId="2DBAE737" w14:textId="77777777" w:rsidR="006C12D8" w:rsidRPr="00DA17A1" w:rsidRDefault="006C12D8" w:rsidP="006A0156">
            <w:pPr>
              <w:pStyle w:val="CETBodytext"/>
              <w:ind w:right="-1"/>
              <w:rPr>
                <w:rFonts w:cs="Arial"/>
                <w:szCs w:val="18"/>
              </w:rPr>
            </w:pPr>
            <w:r w:rsidRPr="00DA17A1">
              <w:t>T</w:t>
            </w:r>
            <w:r w:rsidRPr="00DA17A1">
              <w:rPr>
                <w:vertAlign w:val="subscript"/>
              </w:rPr>
              <w:t>1</w:t>
            </w:r>
          </w:p>
        </w:tc>
        <w:tc>
          <w:tcPr>
            <w:tcW w:w="463" w:type="dxa"/>
            <w:tcBorders>
              <w:top w:val="single" w:sz="12" w:space="0" w:color="008000"/>
              <w:left w:val="single" w:sz="4" w:space="0" w:color="FFFFFF" w:themeColor="background1"/>
              <w:bottom w:val="single" w:sz="6" w:space="0" w:color="009900"/>
              <w:right w:val="single" w:sz="4" w:space="0" w:color="FFFFFF" w:themeColor="background1"/>
            </w:tcBorders>
          </w:tcPr>
          <w:p w14:paraId="76450092" w14:textId="77777777" w:rsidR="006C12D8" w:rsidRPr="00DA17A1" w:rsidRDefault="006C12D8" w:rsidP="006A0156">
            <w:pPr>
              <w:pStyle w:val="CETBodytext"/>
              <w:ind w:right="-1"/>
              <w:rPr>
                <w:rFonts w:cs="Arial"/>
                <w:szCs w:val="18"/>
              </w:rPr>
            </w:pPr>
            <w:r w:rsidRPr="00DA17A1">
              <w:rPr>
                <w:rFonts w:cs="Arial"/>
                <w:szCs w:val="18"/>
              </w:rPr>
              <w:t>T</w:t>
            </w:r>
            <w:r w:rsidRPr="00DA17A1">
              <w:rPr>
                <w:rFonts w:cs="Arial"/>
                <w:szCs w:val="18"/>
                <w:vertAlign w:val="subscript"/>
              </w:rPr>
              <w:t>2</w:t>
            </w:r>
          </w:p>
        </w:tc>
        <w:tc>
          <w:tcPr>
            <w:tcW w:w="463" w:type="dxa"/>
            <w:tcBorders>
              <w:top w:val="single" w:sz="12" w:space="0" w:color="008000"/>
              <w:left w:val="single" w:sz="4" w:space="0" w:color="FFFFFF" w:themeColor="background1"/>
              <w:bottom w:val="single" w:sz="6" w:space="0" w:color="009900"/>
              <w:right w:val="single" w:sz="4" w:space="0" w:color="FFFFFF" w:themeColor="background1"/>
            </w:tcBorders>
          </w:tcPr>
          <w:p w14:paraId="5033C7D7" w14:textId="77777777" w:rsidR="006C12D8" w:rsidRPr="00DA17A1" w:rsidRDefault="006C12D8" w:rsidP="006A0156">
            <w:pPr>
              <w:pStyle w:val="CETBodytext"/>
              <w:ind w:right="-1"/>
              <w:rPr>
                <w:rFonts w:cs="Arial"/>
                <w:szCs w:val="18"/>
              </w:rPr>
            </w:pPr>
            <w:r w:rsidRPr="00DA17A1">
              <w:rPr>
                <w:rFonts w:cs="Arial"/>
                <w:szCs w:val="18"/>
              </w:rPr>
              <w:t>T</w:t>
            </w:r>
            <w:r w:rsidRPr="00DA17A1">
              <w:rPr>
                <w:rFonts w:cs="Arial"/>
                <w:szCs w:val="18"/>
                <w:vertAlign w:val="subscript"/>
              </w:rPr>
              <w:t>3</w:t>
            </w:r>
          </w:p>
        </w:tc>
        <w:tc>
          <w:tcPr>
            <w:tcW w:w="463" w:type="dxa"/>
            <w:tcBorders>
              <w:top w:val="single" w:sz="12" w:space="0" w:color="008000"/>
              <w:left w:val="single" w:sz="4" w:space="0" w:color="FFFFFF" w:themeColor="background1"/>
              <w:bottom w:val="single" w:sz="6" w:space="0" w:color="009900"/>
              <w:right w:val="single" w:sz="8" w:space="0" w:color="008000"/>
            </w:tcBorders>
          </w:tcPr>
          <w:p w14:paraId="6D866509" w14:textId="77777777" w:rsidR="006C12D8" w:rsidRPr="00DA17A1" w:rsidRDefault="006C12D8" w:rsidP="006A0156">
            <w:pPr>
              <w:pStyle w:val="CETBodytext"/>
              <w:ind w:right="-1"/>
              <w:rPr>
                <w:rFonts w:cs="Arial"/>
                <w:szCs w:val="18"/>
              </w:rPr>
            </w:pPr>
            <w:r w:rsidRPr="00DA17A1">
              <w:rPr>
                <w:rFonts w:cs="Arial"/>
                <w:szCs w:val="18"/>
              </w:rPr>
              <w:t>T</w:t>
            </w:r>
            <w:r w:rsidRPr="00DA17A1">
              <w:rPr>
                <w:rFonts w:cs="Arial"/>
                <w:szCs w:val="18"/>
                <w:vertAlign w:val="subscript"/>
              </w:rPr>
              <w:t>4</w:t>
            </w:r>
          </w:p>
        </w:tc>
        <w:tc>
          <w:tcPr>
            <w:tcW w:w="463" w:type="dxa"/>
            <w:tcBorders>
              <w:top w:val="single" w:sz="12" w:space="0" w:color="008000"/>
              <w:left w:val="single" w:sz="8" w:space="0" w:color="008000"/>
              <w:bottom w:val="single" w:sz="6" w:space="0" w:color="009900"/>
              <w:right w:val="single" w:sz="4" w:space="0" w:color="FFFFFF" w:themeColor="background1"/>
            </w:tcBorders>
          </w:tcPr>
          <w:p w14:paraId="57DEF39E" w14:textId="77777777" w:rsidR="006C12D8" w:rsidRPr="00DA17A1" w:rsidRDefault="006C12D8" w:rsidP="006A0156">
            <w:pPr>
              <w:pStyle w:val="CETBodytext"/>
              <w:ind w:right="-1"/>
              <w:rPr>
                <w:rFonts w:cs="Arial"/>
                <w:szCs w:val="18"/>
              </w:rPr>
            </w:pPr>
            <w:r w:rsidRPr="00DA17A1">
              <w:t>S</w:t>
            </w:r>
            <w:r w:rsidRPr="00DA17A1">
              <w:rPr>
                <w:sz w:val="16"/>
                <w:szCs w:val="18"/>
                <w:vertAlign w:val="subscript"/>
              </w:rPr>
              <w:t>4</w:t>
            </w:r>
          </w:p>
        </w:tc>
        <w:tc>
          <w:tcPr>
            <w:tcW w:w="463" w:type="dxa"/>
            <w:tcBorders>
              <w:top w:val="single" w:sz="12" w:space="0" w:color="008000"/>
              <w:left w:val="single" w:sz="4" w:space="0" w:color="FFFFFF" w:themeColor="background1"/>
              <w:bottom w:val="single" w:sz="6" w:space="0" w:color="009900"/>
              <w:right w:val="single" w:sz="4" w:space="0" w:color="FFFFFF" w:themeColor="background1"/>
            </w:tcBorders>
          </w:tcPr>
          <w:p w14:paraId="1F34DD3A" w14:textId="77777777" w:rsidR="006C12D8" w:rsidRPr="00DA17A1" w:rsidRDefault="006C12D8" w:rsidP="006A0156">
            <w:pPr>
              <w:pStyle w:val="CETBodytext"/>
              <w:ind w:right="-1"/>
              <w:rPr>
                <w:rFonts w:cs="Arial"/>
                <w:szCs w:val="18"/>
              </w:rPr>
            </w:pPr>
            <w:r w:rsidRPr="00DA17A1">
              <w:t>T</w:t>
            </w:r>
            <w:r w:rsidRPr="00DA17A1">
              <w:rPr>
                <w:vertAlign w:val="subscript"/>
              </w:rPr>
              <w:t>1</w:t>
            </w:r>
          </w:p>
        </w:tc>
        <w:tc>
          <w:tcPr>
            <w:tcW w:w="463" w:type="dxa"/>
            <w:tcBorders>
              <w:top w:val="single" w:sz="12" w:space="0" w:color="008000"/>
              <w:left w:val="single" w:sz="4" w:space="0" w:color="FFFFFF" w:themeColor="background1"/>
              <w:bottom w:val="single" w:sz="6" w:space="0" w:color="009900"/>
              <w:right w:val="single" w:sz="4" w:space="0" w:color="FFFFFF" w:themeColor="background1"/>
            </w:tcBorders>
          </w:tcPr>
          <w:p w14:paraId="4A17B1F7" w14:textId="77777777" w:rsidR="006C12D8" w:rsidRPr="00DA17A1" w:rsidRDefault="006C12D8" w:rsidP="006A0156">
            <w:pPr>
              <w:pStyle w:val="CETBodytext"/>
              <w:ind w:right="-1"/>
              <w:rPr>
                <w:rFonts w:cs="Arial"/>
                <w:szCs w:val="18"/>
              </w:rPr>
            </w:pPr>
            <w:r w:rsidRPr="00DA17A1">
              <w:rPr>
                <w:rFonts w:cs="Arial"/>
                <w:szCs w:val="18"/>
              </w:rPr>
              <w:t>T</w:t>
            </w:r>
            <w:r w:rsidRPr="00DA17A1">
              <w:rPr>
                <w:rFonts w:cs="Arial"/>
                <w:szCs w:val="18"/>
                <w:vertAlign w:val="subscript"/>
              </w:rPr>
              <w:t>2</w:t>
            </w:r>
          </w:p>
        </w:tc>
        <w:tc>
          <w:tcPr>
            <w:tcW w:w="463" w:type="dxa"/>
            <w:tcBorders>
              <w:top w:val="single" w:sz="12" w:space="0" w:color="008000"/>
              <w:left w:val="single" w:sz="4" w:space="0" w:color="FFFFFF" w:themeColor="background1"/>
              <w:bottom w:val="single" w:sz="6" w:space="0" w:color="009900"/>
              <w:right w:val="single" w:sz="4" w:space="0" w:color="FFFFFF" w:themeColor="background1"/>
            </w:tcBorders>
          </w:tcPr>
          <w:p w14:paraId="0A133DE8" w14:textId="77777777" w:rsidR="006C12D8" w:rsidRPr="00DA17A1" w:rsidRDefault="006C12D8" w:rsidP="006A0156">
            <w:pPr>
              <w:pStyle w:val="CETBodytext"/>
              <w:ind w:right="-1"/>
              <w:rPr>
                <w:rFonts w:cs="Arial"/>
                <w:szCs w:val="18"/>
              </w:rPr>
            </w:pPr>
            <w:r w:rsidRPr="00DA17A1">
              <w:rPr>
                <w:rFonts w:cs="Arial"/>
                <w:szCs w:val="18"/>
              </w:rPr>
              <w:t>T</w:t>
            </w:r>
            <w:r w:rsidRPr="00DA17A1">
              <w:rPr>
                <w:rFonts w:cs="Arial"/>
                <w:szCs w:val="18"/>
                <w:vertAlign w:val="subscript"/>
              </w:rPr>
              <w:t>3</w:t>
            </w:r>
          </w:p>
        </w:tc>
        <w:tc>
          <w:tcPr>
            <w:tcW w:w="464" w:type="dxa"/>
            <w:tcBorders>
              <w:top w:val="single" w:sz="12" w:space="0" w:color="008000"/>
              <w:left w:val="single" w:sz="4" w:space="0" w:color="FFFFFF" w:themeColor="background1"/>
              <w:bottom w:val="single" w:sz="6" w:space="0" w:color="009900"/>
            </w:tcBorders>
          </w:tcPr>
          <w:p w14:paraId="1F3A9359" w14:textId="77777777" w:rsidR="006C12D8" w:rsidRPr="00DA17A1" w:rsidRDefault="006C12D8" w:rsidP="006A0156">
            <w:pPr>
              <w:pStyle w:val="CETBodytext"/>
              <w:ind w:right="-1"/>
              <w:rPr>
                <w:rFonts w:cs="Arial"/>
                <w:szCs w:val="18"/>
              </w:rPr>
            </w:pPr>
            <w:r w:rsidRPr="00DA17A1">
              <w:rPr>
                <w:rFonts w:cs="Arial"/>
                <w:szCs w:val="18"/>
              </w:rPr>
              <w:t>T</w:t>
            </w:r>
            <w:r w:rsidRPr="00DA17A1">
              <w:rPr>
                <w:rFonts w:cs="Arial"/>
                <w:szCs w:val="18"/>
                <w:vertAlign w:val="subscript"/>
              </w:rPr>
              <w:t>4</w:t>
            </w:r>
          </w:p>
        </w:tc>
      </w:tr>
      <w:tr w:rsidR="006C12D8" w:rsidRPr="00DA17A1" w14:paraId="088743F5" w14:textId="77777777" w:rsidTr="006A0156">
        <w:tc>
          <w:tcPr>
            <w:tcW w:w="1843" w:type="dxa"/>
            <w:shd w:val="clear" w:color="auto" w:fill="FFFFFF"/>
          </w:tcPr>
          <w:p w14:paraId="430DF4C4" w14:textId="77777777" w:rsidR="006C12D8" w:rsidRPr="00DA17A1" w:rsidRDefault="006C12D8" w:rsidP="006A0156">
            <w:pPr>
              <w:pStyle w:val="CETBodytext"/>
            </w:pPr>
            <w:proofErr w:type="spellStart"/>
            <w:r w:rsidRPr="00DA17A1">
              <w:t>Violaro</w:t>
            </w:r>
            <w:proofErr w:type="spellEnd"/>
            <w:r w:rsidRPr="00DA17A1">
              <w:t xml:space="preserve"> et al. (2018)</w:t>
            </w:r>
          </w:p>
        </w:tc>
        <w:tc>
          <w:tcPr>
            <w:tcW w:w="463" w:type="dxa"/>
            <w:shd w:val="clear" w:color="auto" w:fill="FFFFFF"/>
          </w:tcPr>
          <w:p w14:paraId="0973DB19" w14:textId="77777777" w:rsidR="006C12D8" w:rsidRPr="00DA17A1" w:rsidRDefault="006C12D8" w:rsidP="006A0156">
            <w:pPr>
              <w:pStyle w:val="CETBodytext"/>
            </w:pPr>
            <w:r w:rsidRPr="00DA17A1">
              <w:t>0.63</w:t>
            </w:r>
          </w:p>
        </w:tc>
        <w:tc>
          <w:tcPr>
            <w:tcW w:w="463" w:type="dxa"/>
            <w:shd w:val="clear" w:color="auto" w:fill="FFFFFF"/>
          </w:tcPr>
          <w:p w14:paraId="3CA90408" w14:textId="77777777" w:rsidR="006C12D8" w:rsidRPr="00DA17A1" w:rsidRDefault="006C12D8" w:rsidP="006A0156">
            <w:pPr>
              <w:pStyle w:val="CETBodytext"/>
            </w:pPr>
            <w:r w:rsidRPr="00DA17A1">
              <w:t>2.56</w:t>
            </w:r>
          </w:p>
        </w:tc>
        <w:tc>
          <w:tcPr>
            <w:tcW w:w="463" w:type="dxa"/>
            <w:shd w:val="clear" w:color="auto" w:fill="FFFFFF"/>
          </w:tcPr>
          <w:p w14:paraId="3B0C785B" w14:textId="77777777" w:rsidR="006C12D8" w:rsidRPr="00DA17A1" w:rsidRDefault="006C12D8" w:rsidP="006A0156">
            <w:pPr>
              <w:pStyle w:val="CETBodytext"/>
              <w:ind w:right="-1"/>
              <w:rPr>
                <w:rFonts w:cs="Arial"/>
                <w:szCs w:val="18"/>
              </w:rPr>
            </w:pPr>
            <w:r w:rsidRPr="00DA17A1">
              <w:rPr>
                <w:rFonts w:cs="Arial"/>
                <w:szCs w:val="18"/>
              </w:rPr>
              <w:t>1.00</w:t>
            </w:r>
          </w:p>
        </w:tc>
        <w:tc>
          <w:tcPr>
            <w:tcW w:w="463" w:type="dxa"/>
            <w:tcBorders>
              <w:top w:val="single" w:sz="6" w:space="0" w:color="009900"/>
            </w:tcBorders>
            <w:shd w:val="clear" w:color="auto" w:fill="FFFFFF"/>
          </w:tcPr>
          <w:p w14:paraId="6871FF8A" w14:textId="77777777" w:rsidR="006C12D8" w:rsidRPr="00DA17A1" w:rsidRDefault="006C12D8" w:rsidP="006A0156">
            <w:pPr>
              <w:pStyle w:val="CETBodytext"/>
              <w:ind w:right="-1"/>
              <w:rPr>
                <w:rFonts w:cs="Arial"/>
                <w:szCs w:val="18"/>
              </w:rPr>
            </w:pPr>
            <w:r w:rsidRPr="00DA17A1">
              <w:rPr>
                <w:rFonts w:cs="Arial"/>
                <w:szCs w:val="18"/>
              </w:rPr>
              <w:t>0.84</w:t>
            </w:r>
          </w:p>
        </w:tc>
        <w:tc>
          <w:tcPr>
            <w:tcW w:w="463" w:type="dxa"/>
            <w:tcBorders>
              <w:top w:val="single" w:sz="6" w:space="0" w:color="009900"/>
              <w:right w:val="single" w:sz="8" w:space="0" w:color="008000"/>
            </w:tcBorders>
          </w:tcPr>
          <w:p w14:paraId="78655215" w14:textId="77777777" w:rsidR="006C12D8" w:rsidRPr="00DA17A1" w:rsidRDefault="006C12D8" w:rsidP="006A0156">
            <w:pPr>
              <w:pStyle w:val="CETBodytext"/>
              <w:ind w:right="-1"/>
              <w:rPr>
                <w:rFonts w:cs="Arial"/>
                <w:szCs w:val="18"/>
              </w:rPr>
            </w:pPr>
            <w:r w:rsidRPr="00DA17A1">
              <w:rPr>
                <w:rFonts w:cs="Arial"/>
                <w:szCs w:val="18"/>
              </w:rPr>
              <w:t>0.88</w:t>
            </w:r>
          </w:p>
        </w:tc>
        <w:tc>
          <w:tcPr>
            <w:tcW w:w="463" w:type="dxa"/>
            <w:tcBorders>
              <w:top w:val="single" w:sz="6" w:space="0" w:color="009900"/>
              <w:left w:val="single" w:sz="8" w:space="0" w:color="008000"/>
              <w:right w:val="single" w:sz="8" w:space="0" w:color="FFFFFF" w:themeColor="background1"/>
            </w:tcBorders>
          </w:tcPr>
          <w:p w14:paraId="620AE09E" w14:textId="77777777" w:rsidR="006C12D8" w:rsidRPr="00DA17A1" w:rsidRDefault="006C12D8" w:rsidP="006A0156">
            <w:pPr>
              <w:pStyle w:val="CETBodytext"/>
              <w:ind w:right="-1"/>
              <w:rPr>
                <w:rFonts w:cs="Arial"/>
                <w:szCs w:val="18"/>
              </w:rPr>
            </w:pPr>
            <w:r w:rsidRPr="00DA17A1">
              <w:rPr>
                <w:rFonts w:cs="Arial"/>
                <w:szCs w:val="18"/>
              </w:rPr>
              <w:t>7.51</w:t>
            </w:r>
          </w:p>
        </w:tc>
        <w:tc>
          <w:tcPr>
            <w:tcW w:w="463" w:type="dxa"/>
            <w:tcBorders>
              <w:top w:val="single" w:sz="6" w:space="0" w:color="009900"/>
              <w:left w:val="single" w:sz="8" w:space="0" w:color="FFFFFF" w:themeColor="background1"/>
              <w:right w:val="single" w:sz="8" w:space="0" w:color="FFFFFF" w:themeColor="background1"/>
            </w:tcBorders>
          </w:tcPr>
          <w:p w14:paraId="56580A4E" w14:textId="77777777" w:rsidR="006C12D8" w:rsidRPr="00DA17A1" w:rsidRDefault="006C12D8" w:rsidP="006A0156">
            <w:pPr>
              <w:pStyle w:val="CETBodytext"/>
              <w:ind w:right="-1"/>
              <w:rPr>
                <w:rFonts w:cs="Arial"/>
                <w:szCs w:val="18"/>
              </w:rPr>
            </w:pPr>
            <w:r w:rsidRPr="00DA17A1">
              <w:rPr>
                <w:rFonts w:cs="Arial"/>
                <w:szCs w:val="18"/>
              </w:rPr>
              <w:t>0.15</w:t>
            </w:r>
          </w:p>
        </w:tc>
        <w:tc>
          <w:tcPr>
            <w:tcW w:w="463" w:type="dxa"/>
            <w:tcBorders>
              <w:top w:val="single" w:sz="6" w:space="0" w:color="009900"/>
              <w:left w:val="single" w:sz="8" w:space="0" w:color="FFFFFF" w:themeColor="background1"/>
              <w:right w:val="single" w:sz="8" w:space="0" w:color="FFFFFF" w:themeColor="background1"/>
            </w:tcBorders>
          </w:tcPr>
          <w:p w14:paraId="0A902450" w14:textId="77777777" w:rsidR="006C12D8" w:rsidRPr="00DA17A1" w:rsidRDefault="006C12D8" w:rsidP="006A0156">
            <w:pPr>
              <w:pStyle w:val="CETBodytext"/>
              <w:ind w:right="-1"/>
              <w:rPr>
                <w:rFonts w:cs="Arial"/>
                <w:szCs w:val="18"/>
              </w:rPr>
            </w:pPr>
            <w:r w:rsidRPr="00DA17A1">
              <w:rPr>
                <w:rFonts w:cs="Arial"/>
                <w:szCs w:val="18"/>
              </w:rPr>
              <w:t>1.16</w:t>
            </w:r>
          </w:p>
        </w:tc>
        <w:tc>
          <w:tcPr>
            <w:tcW w:w="463" w:type="dxa"/>
            <w:tcBorders>
              <w:top w:val="single" w:sz="6" w:space="0" w:color="009900"/>
              <w:left w:val="single" w:sz="8" w:space="0" w:color="FFFFFF" w:themeColor="background1"/>
              <w:right w:val="single" w:sz="8" w:space="0" w:color="FFFFFF" w:themeColor="background1"/>
            </w:tcBorders>
          </w:tcPr>
          <w:p w14:paraId="56CDB999" w14:textId="77777777" w:rsidR="006C12D8" w:rsidRPr="00DA17A1" w:rsidRDefault="006C12D8" w:rsidP="006A0156">
            <w:pPr>
              <w:pStyle w:val="CETBodytext"/>
              <w:ind w:right="-1"/>
              <w:rPr>
                <w:rFonts w:cs="Arial"/>
                <w:szCs w:val="18"/>
              </w:rPr>
            </w:pPr>
            <w:r w:rsidRPr="00DA17A1">
              <w:rPr>
                <w:rFonts w:cs="Arial"/>
                <w:szCs w:val="18"/>
              </w:rPr>
              <w:t>3.11</w:t>
            </w:r>
          </w:p>
        </w:tc>
        <w:tc>
          <w:tcPr>
            <w:tcW w:w="463" w:type="dxa"/>
            <w:tcBorders>
              <w:top w:val="single" w:sz="6" w:space="0" w:color="009900"/>
              <w:left w:val="single" w:sz="8" w:space="0" w:color="FFFFFF" w:themeColor="background1"/>
              <w:right w:val="single" w:sz="8" w:space="0" w:color="008000"/>
            </w:tcBorders>
          </w:tcPr>
          <w:p w14:paraId="2D5606B0" w14:textId="77777777" w:rsidR="006C12D8" w:rsidRPr="00DA17A1" w:rsidRDefault="006C12D8" w:rsidP="006A0156">
            <w:pPr>
              <w:pStyle w:val="CETBodytext"/>
              <w:ind w:right="-1"/>
              <w:rPr>
                <w:rFonts w:cs="Arial"/>
                <w:szCs w:val="18"/>
              </w:rPr>
            </w:pPr>
            <w:r w:rsidRPr="00DA17A1">
              <w:rPr>
                <w:rFonts w:cs="Arial"/>
                <w:szCs w:val="18"/>
              </w:rPr>
              <w:t>4.53</w:t>
            </w:r>
          </w:p>
        </w:tc>
        <w:tc>
          <w:tcPr>
            <w:tcW w:w="463" w:type="dxa"/>
            <w:tcBorders>
              <w:top w:val="single" w:sz="6" w:space="0" w:color="009900"/>
              <w:left w:val="single" w:sz="8" w:space="0" w:color="008000"/>
              <w:right w:val="single" w:sz="8" w:space="0" w:color="FFFFFF" w:themeColor="background1"/>
            </w:tcBorders>
          </w:tcPr>
          <w:p w14:paraId="584B5B30" w14:textId="77777777" w:rsidR="006C12D8" w:rsidRPr="00DA17A1" w:rsidRDefault="006C12D8" w:rsidP="006A0156">
            <w:pPr>
              <w:pStyle w:val="CETBodytext"/>
              <w:ind w:right="-1"/>
              <w:rPr>
                <w:rFonts w:cs="Arial"/>
                <w:szCs w:val="18"/>
              </w:rPr>
            </w:pPr>
            <w:r w:rsidRPr="00DA17A1">
              <w:rPr>
                <w:rFonts w:cs="Arial"/>
                <w:szCs w:val="18"/>
              </w:rPr>
              <w:t>1.13</w:t>
            </w:r>
          </w:p>
        </w:tc>
        <w:tc>
          <w:tcPr>
            <w:tcW w:w="463" w:type="dxa"/>
            <w:tcBorders>
              <w:top w:val="single" w:sz="6" w:space="0" w:color="009900"/>
              <w:left w:val="single" w:sz="8" w:space="0" w:color="FFFFFF" w:themeColor="background1"/>
              <w:right w:val="single" w:sz="8" w:space="0" w:color="FFFFFF" w:themeColor="background1"/>
            </w:tcBorders>
          </w:tcPr>
          <w:p w14:paraId="5DF624B1" w14:textId="77777777" w:rsidR="006C12D8" w:rsidRPr="00DA17A1" w:rsidRDefault="006C12D8" w:rsidP="006A0156">
            <w:pPr>
              <w:pStyle w:val="CETBodytext"/>
              <w:ind w:right="-1"/>
              <w:rPr>
                <w:rFonts w:cs="Arial"/>
                <w:szCs w:val="18"/>
              </w:rPr>
            </w:pPr>
            <w:r w:rsidRPr="00DA17A1">
              <w:rPr>
                <w:rFonts w:cs="Arial"/>
                <w:szCs w:val="18"/>
              </w:rPr>
              <w:t>0.18</w:t>
            </w:r>
          </w:p>
        </w:tc>
        <w:tc>
          <w:tcPr>
            <w:tcW w:w="463" w:type="dxa"/>
            <w:tcBorders>
              <w:top w:val="single" w:sz="6" w:space="0" w:color="009900"/>
              <w:left w:val="single" w:sz="8" w:space="0" w:color="FFFFFF" w:themeColor="background1"/>
              <w:right w:val="single" w:sz="8" w:space="0" w:color="FFFFFF" w:themeColor="background1"/>
            </w:tcBorders>
          </w:tcPr>
          <w:p w14:paraId="46EA757D" w14:textId="77777777" w:rsidR="006C12D8" w:rsidRPr="00DA17A1" w:rsidRDefault="006C12D8" w:rsidP="006A0156">
            <w:pPr>
              <w:pStyle w:val="CETBodytext"/>
              <w:ind w:right="-1"/>
              <w:rPr>
                <w:rFonts w:cs="Arial"/>
                <w:szCs w:val="18"/>
              </w:rPr>
            </w:pPr>
            <w:r w:rsidRPr="00DA17A1">
              <w:rPr>
                <w:rFonts w:cs="Arial"/>
                <w:szCs w:val="18"/>
              </w:rPr>
              <w:t>0.19</w:t>
            </w:r>
          </w:p>
        </w:tc>
        <w:tc>
          <w:tcPr>
            <w:tcW w:w="463" w:type="dxa"/>
            <w:tcBorders>
              <w:top w:val="single" w:sz="6" w:space="0" w:color="009900"/>
              <w:left w:val="single" w:sz="8" w:space="0" w:color="FFFFFF" w:themeColor="background1"/>
              <w:right w:val="single" w:sz="8" w:space="0" w:color="FFFFFF" w:themeColor="background1"/>
            </w:tcBorders>
          </w:tcPr>
          <w:p w14:paraId="2BAA186C" w14:textId="77777777" w:rsidR="006C12D8" w:rsidRPr="00DA17A1" w:rsidRDefault="006C12D8" w:rsidP="006A0156">
            <w:pPr>
              <w:pStyle w:val="CETBodytext"/>
              <w:ind w:right="-1"/>
              <w:rPr>
                <w:rFonts w:cs="Arial"/>
                <w:szCs w:val="18"/>
              </w:rPr>
            </w:pPr>
            <w:r w:rsidRPr="00DA17A1">
              <w:rPr>
                <w:rFonts w:cs="Arial"/>
                <w:szCs w:val="18"/>
              </w:rPr>
              <w:t>0.43</w:t>
            </w:r>
          </w:p>
        </w:tc>
        <w:tc>
          <w:tcPr>
            <w:tcW w:w="464" w:type="dxa"/>
            <w:tcBorders>
              <w:top w:val="single" w:sz="6" w:space="0" w:color="009900"/>
              <w:left w:val="single" w:sz="8" w:space="0" w:color="FFFFFF" w:themeColor="background1"/>
            </w:tcBorders>
          </w:tcPr>
          <w:p w14:paraId="3777C32C" w14:textId="77777777" w:rsidR="006C12D8" w:rsidRPr="00DA17A1" w:rsidRDefault="006C12D8" w:rsidP="006A0156">
            <w:pPr>
              <w:pStyle w:val="CETBodytext"/>
              <w:ind w:right="-1"/>
              <w:rPr>
                <w:rFonts w:cs="Arial"/>
                <w:szCs w:val="18"/>
              </w:rPr>
            </w:pPr>
            <w:r w:rsidRPr="00DA17A1">
              <w:rPr>
                <w:rFonts w:cs="Arial"/>
                <w:szCs w:val="18"/>
              </w:rPr>
              <w:t>1.82</w:t>
            </w:r>
          </w:p>
        </w:tc>
      </w:tr>
      <w:tr w:rsidR="006C12D8" w:rsidRPr="00DA17A1" w14:paraId="7C6B1ECB" w14:textId="77777777" w:rsidTr="006A0156">
        <w:tc>
          <w:tcPr>
            <w:tcW w:w="1843" w:type="dxa"/>
            <w:shd w:val="clear" w:color="auto" w:fill="FFFFFF"/>
          </w:tcPr>
          <w:p w14:paraId="4846C0BB" w14:textId="77777777" w:rsidR="006C12D8" w:rsidRPr="00DA17A1" w:rsidRDefault="006C12D8" w:rsidP="006A0156">
            <w:pPr>
              <w:pStyle w:val="CETBodytext"/>
              <w:ind w:right="-1"/>
              <w:rPr>
                <w:rFonts w:cs="Arial"/>
                <w:szCs w:val="18"/>
              </w:rPr>
            </w:pPr>
            <w:r w:rsidRPr="00DA17A1">
              <w:rPr>
                <w:rFonts w:cs="Arial"/>
                <w:szCs w:val="18"/>
              </w:rPr>
              <w:t>1</w:t>
            </w:r>
          </w:p>
        </w:tc>
        <w:tc>
          <w:tcPr>
            <w:tcW w:w="463" w:type="dxa"/>
            <w:shd w:val="clear" w:color="auto" w:fill="FFFFFF"/>
          </w:tcPr>
          <w:p w14:paraId="5D5C9EA6" w14:textId="77777777" w:rsidR="006C12D8" w:rsidRPr="00DA17A1" w:rsidRDefault="006C12D8" w:rsidP="006A0156">
            <w:pPr>
              <w:pStyle w:val="CETBodytext"/>
              <w:ind w:right="-1"/>
              <w:rPr>
                <w:rFonts w:cs="Arial"/>
                <w:szCs w:val="18"/>
              </w:rPr>
            </w:pPr>
            <w:r w:rsidRPr="00DA17A1">
              <w:rPr>
                <w:rFonts w:cs="Arial"/>
                <w:szCs w:val="18"/>
              </w:rPr>
              <w:t>1.21</w:t>
            </w:r>
          </w:p>
        </w:tc>
        <w:tc>
          <w:tcPr>
            <w:tcW w:w="463" w:type="dxa"/>
            <w:shd w:val="clear" w:color="auto" w:fill="FFFFFF"/>
          </w:tcPr>
          <w:p w14:paraId="453F228B" w14:textId="77777777" w:rsidR="006C12D8" w:rsidRPr="00DA17A1" w:rsidRDefault="006C12D8" w:rsidP="006A0156">
            <w:pPr>
              <w:pStyle w:val="CETBodytext"/>
              <w:ind w:right="-1"/>
              <w:rPr>
                <w:rFonts w:cs="Arial"/>
                <w:szCs w:val="18"/>
              </w:rPr>
            </w:pPr>
            <w:r w:rsidRPr="00DA17A1">
              <w:rPr>
                <w:rFonts w:cs="Arial"/>
                <w:szCs w:val="18"/>
              </w:rPr>
              <w:t>2.42</w:t>
            </w:r>
          </w:p>
        </w:tc>
        <w:tc>
          <w:tcPr>
            <w:tcW w:w="463" w:type="dxa"/>
            <w:shd w:val="clear" w:color="auto" w:fill="FFFFFF"/>
          </w:tcPr>
          <w:p w14:paraId="221CF8FA" w14:textId="77777777" w:rsidR="006C12D8" w:rsidRPr="00DA17A1" w:rsidRDefault="006C12D8" w:rsidP="006A0156">
            <w:pPr>
              <w:pStyle w:val="CETBodytext"/>
              <w:ind w:right="-1"/>
              <w:rPr>
                <w:rFonts w:cs="Arial"/>
                <w:szCs w:val="18"/>
              </w:rPr>
            </w:pPr>
            <w:r w:rsidRPr="00DA17A1">
              <w:rPr>
                <w:rFonts w:cs="Arial"/>
                <w:szCs w:val="18"/>
              </w:rPr>
              <w:t>0.85</w:t>
            </w:r>
          </w:p>
        </w:tc>
        <w:tc>
          <w:tcPr>
            <w:tcW w:w="463" w:type="dxa"/>
            <w:shd w:val="clear" w:color="auto" w:fill="FFFFFF"/>
          </w:tcPr>
          <w:p w14:paraId="4C88576D" w14:textId="77777777" w:rsidR="006C12D8" w:rsidRPr="00DA17A1" w:rsidRDefault="006C12D8" w:rsidP="006A0156">
            <w:pPr>
              <w:pStyle w:val="CETBodytext"/>
              <w:ind w:right="-1"/>
              <w:rPr>
                <w:rFonts w:cs="Arial"/>
                <w:szCs w:val="18"/>
              </w:rPr>
            </w:pPr>
            <w:r w:rsidRPr="00DA17A1">
              <w:rPr>
                <w:rFonts w:cs="Arial"/>
                <w:szCs w:val="18"/>
              </w:rPr>
              <w:t>0.59</w:t>
            </w:r>
          </w:p>
        </w:tc>
        <w:tc>
          <w:tcPr>
            <w:tcW w:w="463" w:type="dxa"/>
            <w:tcBorders>
              <w:right w:val="single" w:sz="8" w:space="0" w:color="008000"/>
            </w:tcBorders>
          </w:tcPr>
          <w:p w14:paraId="258ECAD0" w14:textId="77777777" w:rsidR="006C12D8" w:rsidRPr="00DA17A1" w:rsidRDefault="006C12D8" w:rsidP="006A0156">
            <w:pPr>
              <w:pStyle w:val="CETBodytext"/>
              <w:ind w:right="-1"/>
              <w:rPr>
                <w:rFonts w:cs="Arial"/>
                <w:szCs w:val="18"/>
              </w:rPr>
            </w:pPr>
            <w:r w:rsidRPr="00DA17A1">
              <w:rPr>
                <w:rFonts w:cs="Arial"/>
                <w:szCs w:val="18"/>
              </w:rPr>
              <w:t>0.67</w:t>
            </w:r>
          </w:p>
        </w:tc>
        <w:tc>
          <w:tcPr>
            <w:tcW w:w="463" w:type="dxa"/>
            <w:tcBorders>
              <w:left w:val="single" w:sz="8" w:space="0" w:color="008000"/>
              <w:right w:val="single" w:sz="4" w:space="0" w:color="FFFFFF" w:themeColor="background1"/>
            </w:tcBorders>
          </w:tcPr>
          <w:p w14:paraId="72075BB6" w14:textId="77777777" w:rsidR="006C12D8" w:rsidRPr="00DA17A1" w:rsidRDefault="006C12D8" w:rsidP="006A0156">
            <w:pPr>
              <w:pStyle w:val="CETBodytext"/>
              <w:ind w:right="-1"/>
              <w:rPr>
                <w:rFonts w:cs="Arial"/>
                <w:szCs w:val="18"/>
              </w:rPr>
            </w:pPr>
            <w:r w:rsidRPr="00DA17A1">
              <w:rPr>
                <w:rFonts w:cs="Arial"/>
                <w:szCs w:val="18"/>
              </w:rPr>
              <w:t>9.46</w:t>
            </w:r>
          </w:p>
        </w:tc>
        <w:tc>
          <w:tcPr>
            <w:tcW w:w="463" w:type="dxa"/>
            <w:tcBorders>
              <w:left w:val="single" w:sz="4" w:space="0" w:color="FFFFFF" w:themeColor="background1"/>
              <w:right w:val="single" w:sz="8" w:space="0" w:color="FFFFFF" w:themeColor="background1"/>
            </w:tcBorders>
          </w:tcPr>
          <w:p w14:paraId="1F564044" w14:textId="77777777" w:rsidR="006C12D8" w:rsidRPr="00DA17A1" w:rsidRDefault="006C12D8" w:rsidP="006A0156">
            <w:pPr>
              <w:pStyle w:val="CETBodytext"/>
              <w:ind w:right="-1"/>
              <w:rPr>
                <w:rFonts w:cs="Arial"/>
                <w:szCs w:val="18"/>
              </w:rPr>
            </w:pPr>
            <w:r w:rsidRPr="00DA17A1">
              <w:rPr>
                <w:rFonts w:cs="Arial"/>
                <w:szCs w:val="18"/>
              </w:rPr>
              <w:t>0.24</w:t>
            </w:r>
          </w:p>
        </w:tc>
        <w:tc>
          <w:tcPr>
            <w:tcW w:w="463" w:type="dxa"/>
            <w:tcBorders>
              <w:left w:val="single" w:sz="8" w:space="0" w:color="FFFFFF" w:themeColor="background1"/>
              <w:right w:val="single" w:sz="8" w:space="0" w:color="FFFFFF" w:themeColor="background1"/>
            </w:tcBorders>
          </w:tcPr>
          <w:p w14:paraId="4AEC40F3" w14:textId="77777777" w:rsidR="006C12D8" w:rsidRPr="00DA17A1" w:rsidRDefault="006C12D8" w:rsidP="006A0156">
            <w:pPr>
              <w:pStyle w:val="CETBodytext"/>
              <w:ind w:right="-1"/>
              <w:rPr>
                <w:rFonts w:cs="Arial"/>
                <w:szCs w:val="18"/>
              </w:rPr>
            </w:pPr>
            <w:r w:rsidRPr="00DA17A1">
              <w:rPr>
                <w:rFonts w:cs="Arial"/>
                <w:szCs w:val="18"/>
              </w:rPr>
              <w:t>0.67</w:t>
            </w:r>
          </w:p>
        </w:tc>
        <w:tc>
          <w:tcPr>
            <w:tcW w:w="463" w:type="dxa"/>
            <w:tcBorders>
              <w:left w:val="single" w:sz="8" w:space="0" w:color="FFFFFF" w:themeColor="background1"/>
              <w:right w:val="single" w:sz="8" w:space="0" w:color="FFFFFF" w:themeColor="background1"/>
            </w:tcBorders>
          </w:tcPr>
          <w:p w14:paraId="648498B8" w14:textId="77777777" w:rsidR="006C12D8" w:rsidRPr="00DA17A1" w:rsidRDefault="006C12D8" w:rsidP="006A0156">
            <w:pPr>
              <w:pStyle w:val="CETBodytext"/>
              <w:ind w:right="-1"/>
              <w:rPr>
                <w:rFonts w:cs="Arial"/>
                <w:szCs w:val="18"/>
              </w:rPr>
            </w:pPr>
            <w:r w:rsidRPr="00DA17A1">
              <w:rPr>
                <w:rFonts w:cs="Arial"/>
                <w:szCs w:val="18"/>
              </w:rPr>
              <w:t>1.63</w:t>
            </w:r>
          </w:p>
        </w:tc>
        <w:tc>
          <w:tcPr>
            <w:tcW w:w="463" w:type="dxa"/>
            <w:tcBorders>
              <w:left w:val="single" w:sz="8" w:space="0" w:color="FFFFFF" w:themeColor="background1"/>
              <w:right w:val="single" w:sz="8" w:space="0" w:color="008000"/>
            </w:tcBorders>
          </w:tcPr>
          <w:p w14:paraId="4DE3C101" w14:textId="77777777" w:rsidR="006C12D8" w:rsidRPr="00DA17A1" w:rsidRDefault="006C12D8" w:rsidP="006A0156">
            <w:pPr>
              <w:pStyle w:val="CETBodytext"/>
              <w:ind w:right="-1"/>
              <w:rPr>
                <w:rFonts w:cs="Arial"/>
                <w:szCs w:val="18"/>
              </w:rPr>
            </w:pPr>
            <w:r w:rsidRPr="00DA17A1">
              <w:rPr>
                <w:rFonts w:cs="Arial"/>
                <w:szCs w:val="18"/>
              </w:rPr>
              <w:t>2.84</w:t>
            </w:r>
          </w:p>
        </w:tc>
        <w:tc>
          <w:tcPr>
            <w:tcW w:w="463" w:type="dxa"/>
            <w:tcBorders>
              <w:left w:val="single" w:sz="8" w:space="0" w:color="008000"/>
              <w:right w:val="single" w:sz="8" w:space="0" w:color="FFFFFF" w:themeColor="background1"/>
            </w:tcBorders>
          </w:tcPr>
          <w:p w14:paraId="35702E5D" w14:textId="77777777" w:rsidR="006C12D8" w:rsidRPr="00DA17A1" w:rsidRDefault="006C12D8" w:rsidP="006A0156">
            <w:pPr>
              <w:pStyle w:val="CETBodytext"/>
              <w:ind w:right="-1"/>
              <w:rPr>
                <w:rFonts w:cs="Arial"/>
                <w:szCs w:val="18"/>
              </w:rPr>
            </w:pPr>
            <w:r w:rsidRPr="00DA17A1">
              <w:rPr>
                <w:rFonts w:cs="Arial"/>
                <w:szCs w:val="18"/>
              </w:rPr>
              <w:t>1.45</w:t>
            </w:r>
          </w:p>
        </w:tc>
        <w:tc>
          <w:tcPr>
            <w:tcW w:w="463" w:type="dxa"/>
            <w:tcBorders>
              <w:left w:val="single" w:sz="8" w:space="0" w:color="FFFFFF" w:themeColor="background1"/>
              <w:right w:val="single" w:sz="8" w:space="0" w:color="FFFFFF" w:themeColor="background1"/>
            </w:tcBorders>
          </w:tcPr>
          <w:p w14:paraId="2BAF67F3" w14:textId="77777777" w:rsidR="006C12D8" w:rsidRPr="00DA17A1" w:rsidRDefault="006C12D8" w:rsidP="006A0156">
            <w:pPr>
              <w:pStyle w:val="CETBodytext"/>
              <w:ind w:right="-1"/>
              <w:rPr>
                <w:rFonts w:cs="Arial"/>
                <w:szCs w:val="18"/>
              </w:rPr>
            </w:pPr>
            <w:r w:rsidRPr="00DA17A1">
              <w:rPr>
                <w:rFonts w:cs="Arial"/>
                <w:szCs w:val="18"/>
              </w:rPr>
              <w:t>0.14</w:t>
            </w:r>
          </w:p>
        </w:tc>
        <w:tc>
          <w:tcPr>
            <w:tcW w:w="463" w:type="dxa"/>
            <w:tcBorders>
              <w:left w:val="single" w:sz="8" w:space="0" w:color="FFFFFF" w:themeColor="background1"/>
              <w:right w:val="single" w:sz="8" w:space="0" w:color="FFFFFF" w:themeColor="background1"/>
            </w:tcBorders>
          </w:tcPr>
          <w:p w14:paraId="033397AB" w14:textId="77777777" w:rsidR="006C12D8" w:rsidRPr="00DA17A1" w:rsidRDefault="006C12D8" w:rsidP="006A0156">
            <w:pPr>
              <w:pStyle w:val="CETBodytext"/>
              <w:ind w:right="-1"/>
              <w:rPr>
                <w:rFonts w:cs="Arial"/>
                <w:szCs w:val="18"/>
              </w:rPr>
            </w:pPr>
            <w:r w:rsidRPr="00DA17A1">
              <w:rPr>
                <w:rFonts w:cs="Arial"/>
                <w:szCs w:val="18"/>
              </w:rPr>
              <w:t>0.14</w:t>
            </w:r>
          </w:p>
        </w:tc>
        <w:tc>
          <w:tcPr>
            <w:tcW w:w="463" w:type="dxa"/>
            <w:tcBorders>
              <w:left w:val="single" w:sz="8" w:space="0" w:color="FFFFFF" w:themeColor="background1"/>
              <w:right w:val="single" w:sz="8" w:space="0" w:color="FFFFFF" w:themeColor="background1"/>
            </w:tcBorders>
          </w:tcPr>
          <w:p w14:paraId="6D4E2C0C" w14:textId="77777777" w:rsidR="006C12D8" w:rsidRPr="00DA17A1" w:rsidRDefault="006C12D8" w:rsidP="006A0156">
            <w:pPr>
              <w:pStyle w:val="CETBodytext"/>
              <w:ind w:right="-1"/>
              <w:rPr>
                <w:rFonts w:cs="Arial"/>
                <w:szCs w:val="18"/>
              </w:rPr>
            </w:pPr>
            <w:r w:rsidRPr="00DA17A1">
              <w:rPr>
                <w:rFonts w:cs="Arial"/>
                <w:szCs w:val="18"/>
              </w:rPr>
              <w:t>0.21</w:t>
            </w:r>
          </w:p>
        </w:tc>
        <w:tc>
          <w:tcPr>
            <w:tcW w:w="464" w:type="dxa"/>
            <w:tcBorders>
              <w:left w:val="single" w:sz="8" w:space="0" w:color="FFFFFF" w:themeColor="background1"/>
            </w:tcBorders>
          </w:tcPr>
          <w:p w14:paraId="6AFCB9A7" w14:textId="77777777" w:rsidR="006C12D8" w:rsidRPr="00DA17A1" w:rsidRDefault="006C12D8" w:rsidP="006A0156">
            <w:pPr>
              <w:pStyle w:val="CETBodytext"/>
              <w:ind w:right="-1"/>
              <w:rPr>
                <w:rFonts w:cs="Arial"/>
                <w:szCs w:val="18"/>
              </w:rPr>
            </w:pPr>
            <w:r w:rsidRPr="00DA17A1">
              <w:rPr>
                <w:rFonts w:cs="Arial"/>
                <w:szCs w:val="18"/>
              </w:rPr>
              <w:t>0.72</w:t>
            </w:r>
          </w:p>
        </w:tc>
      </w:tr>
      <w:tr w:rsidR="006C12D8" w:rsidRPr="00DA17A1" w14:paraId="6E6F0873" w14:textId="77777777" w:rsidTr="006A0156">
        <w:tc>
          <w:tcPr>
            <w:tcW w:w="1843" w:type="dxa"/>
            <w:shd w:val="clear" w:color="auto" w:fill="FFFFFF"/>
          </w:tcPr>
          <w:p w14:paraId="34895DF0" w14:textId="77777777" w:rsidR="006C12D8" w:rsidRPr="00DA17A1" w:rsidRDefault="006C12D8" w:rsidP="006A0156">
            <w:pPr>
              <w:pStyle w:val="CETBodytext"/>
              <w:ind w:right="-1"/>
              <w:rPr>
                <w:rFonts w:cs="Arial"/>
                <w:szCs w:val="18"/>
              </w:rPr>
            </w:pPr>
            <w:r w:rsidRPr="00DA17A1">
              <w:rPr>
                <w:rFonts w:cs="Arial"/>
                <w:szCs w:val="18"/>
              </w:rPr>
              <w:t>2</w:t>
            </w:r>
          </w:p>
        </w:tc>
        <w:tc>
          <w:tcPr>
            <w:tcW w:w="463" w:type="dxa"/>
            <w:shd w:val="clear" w:color="auto" w:fill="FFFFFF"/>
          </w:tcPr>
          <w:p w14:paraId="14E59456" w14:textId="77777777" w:rsidR="006C12D8" w:rsidRPr="00DA17A1" w:rsidRDefault="006C12D8" w:rsidP="006A0156">
            <w:pPr>
              <w:pStyle w:val="CETBodytext"/>
              <w:ind w:right="-1"/>
              <w:rPr>
                <w:rFonts w:cs="Arial"/>
                <w:szCs w:val="18"/>
              </w:rPr>
            </w:pPr>
            <w:r w:rsidRPr="00DA17A1">
              <w:rPr>
                <w:rFonts w:cs="Arial"/>
                <w:szCs w:val="18"/>
              </w:rPr>
              <w:t>0.34</w:t>
            </w:r>
          </w:p>
        </w:tc>
        <w:tc>
          <w:tcPr>
            <w:tcW w:w="463" w:type="dxa"/>
            <w:shd w:val="clear" w:color="auto" w:fill="FFFFFF"/>
          </w:tcPr>
          <w:p w14:paraId="46785A0B" w14:textId="77777777" w:rsidR="006C12D8" w:rsidRPr="00DA17A1" w:rsidRDefault="006C12D8" w:rsidP="006A0156">
            <w:pPr>
              <w:pStyle w:val="CETBodytext"/>
              <w:ind w:right="-1"/>
              <w:rPr>
                <w:rFonts w:cs="Arial"/>
                <w:szCs w:val="18"/>
              </w:rPr>
            </w:pPr>
            <w:r w:rsidRPr="00DA17A1">
              <w:rPr>
                <w:rFonts w:cs="Arial"/>
                <w:szCs w:val="18"/>
              </w:rPr>
              <w:t>2.59</w:t>
            </w:r>
          </w:p>
        </w:tc>
        <w:tc>
          <w:tcPr>
            <w:tcW w:w="463" w:type="dxa"/>
            <w:shd w:val="clear" w:color="auto" w:fill="FFFFFF"/>
          </w:tcPr>
          <w:p w14:paraId="122337AF" w14:textId="77777777" w:rsidR="006C12D8" w:rsidRPr="00DA17A1" w:rsidRDefault="006C12D8" w:rsidP="006A0156">
            <w:pPr>
              <w:pStyle w:val="CETBodytext"/>
              <w:ind w:right="-1"/>
              <w:rPr>
                <w:rFonts w:cs="Arial"/>
                <w:szCs w:val="18"/>
              </w:rPr>
            </w:pPr>
            <w:r w:rsidRPr="00DA17A1">
              <w:rPr>
                <w:rFonts w:cs="Arial"/>
                <w:szCs w:val="18"/>
              </w:rPr>
              <w:t>1.08</w:t>
            </w:r>
          </w:p>
        </w:tc>
        <w:tc>
          <w:tcPr>
            <w:tcW w:w="463" w:type="dxa"/>
            <w:shd w:val="clear" w:color="auto" w:fill="FFFFFF"/>
          </w:tcPr>
          <w:p w14:paraId="6C1BE653" w14:textId="77777777" w:rsidR="006C12D8" w:rsidRPr="00DA17A1" w:rsidRDefault="006C12D8" w:rsidP="006A0156">
            <w:pPr>
              <w:pStyle w:val="CETBodytext"/>
              <w:ind w:right="-1"/>
              <w:rPr>
                <w:rFonts w:cs="Arial"/>
                <w:szCs w:val="18"/>
              </w:rPr>
            </w:pPr>
            <w:r w:rsidRPr="00DA17A1">
              <w:rPr>
                <w:rFonts w:cs="Arial"/>
                <w:szCs w:val="18"/>
              </w:rPr>
              <w:t>0.93</w:t>
            </w:r>
          </w:p>
        </w:tc>
        <w:tc>
          <w:tcPr>
            <w:tcW w:w="463" w:type="dxa"/>
            <w:tcBorders>
              <w:right w:val="single" w:sz="8" w:space="0" w:color="008000"/>
            </w:tcBorders>
          </w:tcPr>
          <w:p w14:paraId="055FEF5F" w14:textId="77777777" w:rsidR="006C12D8" w:rsidRPr="00DA17A1" w:rsidRDefault="006C12D8" w:rsidP="006A0156">
            <w:pPr>
              <w:pStyle w:val="CETBodytext"/>
              <w:ind w:right="-1"/>
              <w:rPr>
                <w:rFonts w:cs="Arial"/>
                <w:szCs w:val="18"/>
              </w:rPr>
            </w:pPr>
            <w:r w:rsidRPr="00DA17A1">
              <w:rPr>
                <w:rFonts w:cs="Arial"/>
                <w:szCs w:val="18"/>
              </w:rPr>
              <w:t>1.04</w:t>
            </w:r>
          </w:p>
        </w:tc>
        <w:tc>
          <w:tcPr>
            <w:tcW w:w="463" w:type="dxa"/>
            <w:tcBorders>
              <w:left w:val="single" w:sz="8" w:space="0" w:color="008000"/>
              <w:right w:val="single" w:sz="4" w:space="0" w:color="FFFFFF" w:themeColor="background1"/>
            </w:tcBorders>
          </w:tcPr>
          <w:p w14:paraId="4C6ED4AC" w14:textId="77777777" w:rsidR="006C12D8" w:rsidRPr="00DA17A1" w:rsidRDefault="006C12D8" w:rsidP="006A0156">
            <w:pPr>
              <w:pStyle w:val="CETBodytext"/>
              <w:ind w:right="-1"/>
              <w:rPr>
                <w:rFonts w:cs="Arial"/>
                <w:szCs w:val="18"/>
              </w:rPr>
            </w:pPr>
            <w:r w:rsidRPr="00DA17A1">
              <w:rPr>
                <w:rFonts w:cs="Arial"/>
                <w:szCs w:val="18"/>
              </w:rPr>
              <w:t>4.69</w:t>
            </w:r>
          </w:p>
        </w:tc>
        <w:tc>
          <w:tcPr>
            <w:tcW w:w="463" w:type="dxa"/>
            <w:tcBorders>
              <w:left w:val="single" w:sz="4" w:space="0" w:color="FFFFFF" w:themeColor="background1"/>
              <w:right w:val="single" w:sz="8" w:space="0" w:color="FFFFFF" w:themeColor="background1"/>
            </w:tcBorders>
          </w:tcPr>
          <w:p w14:paraId="52E1970F" w14:textId="77777777" w:rsidR="006C12D8" w:rsidRPr="00DA17A1" w:rsidRDefault="006C12D8" w:rsidP="006A0156">
            <w:pPr>
              <w:pStyle w:val="CETBodytext"/>
              <w:ind w:right="-1"/>
              <w:rPr>
                <w:rFonts w:cs="Arial"/>
                <w:szCs w:val="18"/>
              </w:rPr>
            </w:pPr>
            <w:r w:rsidRPr="00DA17A1">
              <w:rPr>
                <w:rFonts w:cs="Arial"/>
                <w:szCs w:val="18"/>
              </w:rPr>
              <w:t>0.19</w:t>
            </w:r>
          </w:p>
        </w:tc>
        <w:tc>
          <w:tcPr>
            <w:tcW w:w="463" w:type="dxa"/>
            <w:tcBorders>
              <w:left w:val="single" w:sz="8" w:space="0" w:color="FFFFFF" w:themeColor="background1"/>
              <w:right w:val="single" w:sz="8" w:space="0" w:color="FFFFFF" w:themeColor="background1"/>
            </w:tcBorders>
          </w:tcPr>
          <w:p w14:paraId="336D0CB7" w14:textId="77777777" w:rsidR="006C12D8" w:rsidRPr="00DA17A1" w:rsidRDefault="006C12D8" w:rsidP="006A0156">
            <w:pPr>
              <w:pStyle w:val="CETBodytext"/>
              <w:ind w:right="-1"/>
              <w:rPr>
                <w:rFonts w:cs="Arial"/>
                <w:szCs w:val="18"/>
              </w:rPr>
            </w:pPr>
            <w:r w:rsidRPr="00DA17A1">
              <w:rPr>
                <w:rFonts w:cs="Arial"/>
                <w:szCs w:val="18"/>
              </w:rPr>
              <w:t>1.46</w:t>
            </w:r>
          </w:p>
        </w:tc>
        <w:tc>
          <w:tcPr>
            <w:tcW w:w="463" w:type="dxa"/>
            <w:tcBorders>
              <w:left w:val="single" w:sz="8" w:space="0" w:color="FFFFFF" w:themeColor="background1"/>
              <w:right w:val="single" w:sz="8" w:space="0" w:color="FFFFFF" w:themeColor="background1"/>
            </w:tcBorders>
          </w:tcPr>
          <w:p w14:paraId="798DA264" w14:textId="77777777" w:rsidR="006C12D8" w:rsidRPr="00DA17A1" w:rsidRDefault="006C12D8" w:rsidP="006A0156">
            <w:pPr>
              <w:pStyle w:val="CETBodytext"/>
              <w:ind w:right="-1"/>
              <w:rPr>
                <w:rFonts w:cs="Arial"/>
                <w:szCs w:val="18"/>
              </w:rPr>
            </w:pPr>
            <w:r w:rsidRPr="00DA17A1">
              <w:rPr>
                <w:rFonts w:cs="Arial"/>
                <w:szCs w:val="18"/>
              </w:rPr>
              <w:t>3.48</w:t>
            </w:r>
          </w:p>
        </w:tc>
        <w:tc>
          <w:tcPr>
            <w:tcW w:w="463" w:type="dxa"/>
            <w:tcBorders>
              <w:left w:val="single" w:sz="8" w:space="0" w:color="FFFFFF" w:themeColor="background1"/>
              <w:right w:val="single" w:sz="8" w:space="0" w:color="008000"/>
            </w:tcBorders>
          </w:tcPr>
          <w:p w14:paraId="499BD555" w14:textId="77777777" w:rsidR="006C12D8" w:rsidRPr="00DA17A1" w:rsidRDefault="006C12D8" w:rsidP="006A0156">
            <w:pPr>
              <w:pStyle w:val="CETBodytext"/>
              <w:ind w:right="-1"/>
              <w:rPr>
                <w:rFonts w:cs="Arial"/>
                <w:szCs w:val="18"/>
              </w:rPr>
            </w:pPr>
            <w:r w:rsidRPr="00DA17A1">
              <w:rPr>
                <w:rFonts w:cs="Arial"/>
                <w:szCs w:val="18"/>
              </w:rPr>
              <w:t>5.05</w:t>
            </w:r>
          </w:p>
        </w:tc>
        <w:tc>
          <w:tcPr>
            <w:tcW w:w="463" w:type="dxa"/>
            <w:tcBorders>
              <w:left w:val="single" w:sz="8" w:space="0" w:color="008000"/>
              <w:right w:val="single" w:sz="8" w:space="0" w:color="FFFFFF" w:themeColor="background1"/>
            </w:tcBorders>
          </w:tcPr>
          <w:p w14:paraId="7A53F338" w14:textId="77777777" w:rsidR="006C12D8" w:rsidRPr="00DA17A1" w:rsidRDefault="006C12D8" w:rsidP="006A0156">
            <w:pPr>
              <w:pStyle w:val="CETBodytext"/>
              <w:ind w:right="-1"/>
              <w:rPr>
                <w:rFonts w:cs="Arial"/>
                <w:szCs w:val="18"/>
              </w:rPr>
            </w:pPr>
            <w:r w:rsidRPr="00DA17A1">
              <w:rPr>
                <w:rFonts w:cs="Arial"/>
                <w:szCs w:val="18"/>
              </w:rPr>
              <w:t>0.72</w:t>
            </w:r>
          </w:p>
        </w:tc>
        <w:tc>
          <w:tcPr>
            <w:tcW w:w="463" w:type="dxa"/>
            <w:tcBorders>
              <w:left w:val="single" w:sz="8" w:space="0" w:color="FFFFFF" w:themeColor="background1"/>
              <w:right w:val="single" w:sz="8" w:space="0" w:color="FFFFFF" w:themeColor="background1"/>
            </w:tcBorders>
          </w:tcPr>
          <w:p w14:paraId="01A6A747" w14:textId="77777777" w:rsidR="006C12D8" w:rsidRPr="00DA17A1" w:rsidRDefault="006C12D8" w:rsidP="006A0156">
            <w:pPr>
              <w:pStyle w:val="CETBodytext"/>
              <w:ind w:right="-1"/>
              <w:rPr>
                <w:rFonts w:cs="Arial"/>
                <w:szCs w:val="18"/>
              </w:rPr>
            </w:pPr>
            <w:r w:rsidRPr="00DA17A1">
              <w:rPr>
                <w:rFonts w:cs="Arial"/>
                <w:szCs w:val="18"/>
              </w:rPr>
              <w:t>0.28</w:t>
            </w:r>
          </w:p>
        </w:tc>
        <w:tc>
          <w:tcPr>
            <w:tcW w:w="463" w:type="dxa"/>
            <w:tcBorders>
              <w:left w:val="single" w:sz="8" w:space="0" w:color="FFFFFF" w:themeColor="background1"/>
              <w:right w:val="single" w:sz="8" w:space="0" w:color="FFFFFF" w:themeColor="background1"/>
            </w:tcBorders>
          </w:tcPr>
          <w:p w14:paraId="716C130D" w14:textId="77777777" w:rsidR="006C12D8" w:rsidRPr="00DA17A1" w:rsidRDefault="006C12D8" w:rsidP="006A0156">
            <w:pPr>
              <w:pStyle w:val="CETBodytext"/>
              <w:ind w:right="-1"/>
              <w:rPr>
                <w:rFonts w:cs="Arial"/>
                <w:szCs w:val="18"/>
              </w:rPr>
            </w:pPr>
            <w:r w:rsidRPr="00DA17A1">
              <w:rPr>
                <w:rFonts w:cs="Arial"/>
                <w:szCs w:val="18"/>
              </w:rPr>
              <w:t>0.24</w:t>
            </w:r>
          </w:p>
        </w:tc>
        <w:tc>
          <w:tcPr>
            <w:tcW w:w="463" w:type="dxa"/>
            <w:tcBorders>
              <w:left w:val="single" w:sz="8" w:space="0" w:color="FFFFFF" w:themeColor="background1"/>
              <w:right w:val="single" w:sz="8" w:space="0" w:color="FFFFFF" w:themeColor="background1"/>
            </w:tcBorders>
          </w:tcPr>
          <w:p w14:paraId="5A23C5C5" w14:textId="77777777" w:rsidR="006C12D8" w:rsidRPr="00DA17A1" w:rsidRDefault="006C12D8" w:rsidP="006A0156">
            <w:pPr>
              <w:pStyle w:val="CETBodytext"/>
              <w:ind w:right="-1"/>
              <w:rPr>
                <w:rFonts w:cs="Arial"/>
                <w:szCs w:val="18"/>
              </w:rPr>
            </w:pPr>
            <w:r w:rsidRPr="00DA17A1">
              <w:rPr>
                <w:rFonts w:cs="Arial"/>
                <w:szCs w:val="18"/>
              </w:rPr>
              <w:t>0.50</w:t>
            </w:r>
          </w:p>
        </w:tc>
        <w:tc>
          <w:tcPr>
            <w:tcW w:w="464" w:type="dxa"/>
            <w:tcBorders>
              <w:left w:val="single" w:sz="8" w:space="0" w:color="FFFFFF" w:themeColor="background1"/>
            </w:tcBorders>
          </w:tcPr>
          <w:p w14:paraId="2966F919" w14:textId="77777777" w:rsidR="006C12D8" w:rsidRPr="00DA17A1" w:rsidRDefault="006C12D8" w:rsidP="006A0156">
            <w:pPr>
              <w:pStyle w:val="CETBodytext"/>
              <w:ind w:right="-1"/>
              <w:rPr>
                <w:rFonts w:cs="Arial"/>
                <w:szCs w:val="18"/>
              </w:rPr>
            </w:pPr>
            <w:r w:rsidRPr="00DA17A1">
              <w:rPr>
                <w:rFonts w:cs="Arial"/>
                <w:szCs w:val="18"/>
              </w:rPr>
              <w:t>1.95</w:t>
            </w:r>
          </w:p>
        </w:tc>
      </w:tr>
    </w:tbl>
    <w:p w14:paraId="397E6CCE" w14:textId="77777777" w:rsidR="00216270" w:rsidRPr="00DA17A1" w:rsidRDefault="00216270" w:rsidP="00216270">
      <w:pPr>
        <w:pStyle w:val="CETBodytext"/>
      </w:pPr>
    </w:p>
    <w:p w14:paraId="0877926E" w14:textId="77777777" w:rsidR="004D717B" w:rsidRDefault="008068D3" w:rsidP="00216270">
      <w:pPr>
        <w:pStyle w:val="CETBodytext"/>
      </w:pPr>
      <w:r w:rsidRPr="008068D3">
        <w:t xml:space="preserve">In Scenario 2, a control action opposite to that expected in a single-variable system can be observed. The feed flow rate </w:t>
      </w:r>
      <m:oMath>
        <m:sSub>
          <m:sSubPr>
            <m:ctrlPr>
              <w:rPr>
                <w:rFonts w:ascii="Cambria Math" w:hAnsi="Cambria Math"/>
              </w:rPr>
            </m:ctrlPr>
          </m:sSubPr>
          <m:e>
            <m:r>
              <w:rPr>
                <w:rFonts w:ascii="Cambria Math" w:hAnsi="Cambria Math"/>
              </w:rPr>
              <m:t>F</m:t>
            </m:r>
          </m:e>
          <m:sub>
            <m:r>
              <w:rPr>
                <w:rFonts w:ascii="Cambria Math" w:hAnsi="Cambria Math"/>
              </w:rPr>
              <m:t>a</m:t>
            </m:r>
          </m:sub>
        </m:sSub>
        <m:r>
          <w:rPr>
            <w:rFonts w:ascii="Cambria Math" w:hAnsi="Cambria Math"/>
          </w:rPr>
          <m:t xml:space="preserve"> </m:t>
        </m:r>
      </m:oMath>
      <w:r w:rsidRPr="008068D3">
        <w:t xml:space="preserve">decreases even though the substrate concentration remains above its setpoint. This control action highlights the multivariable nature of the system, as the reduction in </w:t>
      </w:r>
      <m:oMath>
        <m:sSub>
          <m:sSubPr>
            <m:ctrlPr>
              <w:rPr>
                <w:rFonts w:ascii="Cambria Math" w:hAnsi="Cambria Math"/>
              </w:rPr>
            </m:ctrlPr>
          </m:sSubPr>
          <m:e>
            <m:r>
              <w:rPr>
                <w:rFonts w:ascii="Cambria Math" w:hAnsi="Cambria Math"/>
              </w:rPr>
              <m:t>F</m:t>
            </m:r>
          </m:e>
          <m:sub>
            <m:r>
              <w:rPr>
                <w:rFonts w:ascii="Cambria Math" w:hAnsi="Cambria Math"/>
              </w:rPr>
              <m:t>a</m:t>
            </m:r>
          </m:sub>
        </m:sSub>
        <m:r>
          <w:rPr>
            <w:rFonts w:ascii="Cambria Math" w:hAnsi="Cambria Math"/>
          </w:rPr>
          <m:t xml:space="preserve"> </m:t>
        </m:r>
      </m:oMath>
      <w:r w:rsidRPr="008068D3">
        <w:t>is driven by the decrease in operating temperatures.</w:t>
      </w:r>
      <w:r>
        <w:t xml:space="preserve"> </w:t>
      </w:r>
      <w:r w:rsidR="00767CA9" w:rsidRPr="00767CA9">
        <w:t>As shown in the final disturbance, the use of feed streams with substrate concentrations below 175 kg/m³ is not recommended.</w:t>
      </w:r>
      <w:r w:rsidR="00767CA9">
        <w:t xml:space="preserve"> </w:t>
      </w:r>
      <w:r w:rsidR="00767CA9" w:rsidRPr="00767CA9">
        <w:t xml:space="preserve">Low </w:t>
      </w:r>
      <m:oMath>
        <m:sSub>
          <m:sSubPr>
            <m:ctrlPr>
              <w:rPr>
                <w:rFonts w:ascii="Cambria Math" w:hAnsi="Cambria Math"/>
              </w:rPr>
            </m:ctrlPr>
          </m:sSubPr>
          <m:e>
            <m:r>
              <w:rPr>
                <w:rFonts w:ascii="Cambria Math" w:hAnsi="Cambria Math"/>
              </w:rPr>
              <m:t>S</m:t>
            </m:r>
          </m:e>
          <m:sub>
            <m:r>
              <w:rPr>
                <w:rFonts w:ascii="Cambria Math" w:hAnsi="Cambria Math"/>
              </w:rPr>
              <m:t>0</m:t>
            </m:r>
          </m:sub>
        </m:sSub>
        <m:r>
          <w:rPr>
            <w:rFonts w:ascii="Cambria Math" w:hAnsi="Cambria Math"/>
          </w:rPr>
          <m:t xml:space="preserve"> </m:t>
        </m:r>
      </m:oMath>
      <w:r w:rsidR="00767CA9" w:rsidRPr="00767CA9">
        <w:t>concentrations may lead to saturation of the temperature control in reactor</w:t>
      </w:r>
      <w:r w:rsidR="00767CA9">
        <w:t>s 3 and 4</w:t>
      </w:r>
      <w:r w:rsidR="00767CA9" w:rsidRPr="00767CA9">
        <w:t>.</w:t>
      </w:r>
      <w:r w:rsidR="00767CA9">
        <w:t xml:space="preserve"> </w:t>
      </w:r>
      <w:r w:rsidR="00B665A9" w:rsidRPr="00DA17A1">
        <w:t>The three evaluated tunings exhibited similar behavior in terms of the manipulated variables. Consequently, yield and productivity, shown in Figure 3b, also presented comparable values. Scenarios 1 and 2 showed similar ISE results.</w:t>
      </w:r>
      <w:r>
        <w:t xml:space="preserve"> </w:t>
      </w:r>
    </w:p>
    <w:p w14:paraId="24F88861" w14:textId="77777777" w:rsidR="004D717B" w:rsidRDefault="004D717B" w:rsidP="00216270">
      <w:pPr>
        <w:pStyle w:val="CETBodytext"/>
      </w:pPr>
    </w:p>
    <w:p w14:paraId="7284D277" w14:textId="6E393D7B" w:rsidR="00216270" w:rsidRPr="00DA17A1" w:rsidRDefault="00216270" w:rsidP="00216270">
      <w:pPr>
        <w:pStyle w:val="CETBodytext"/>
      </w:pPr>
      <w:r w:rsidRPr="00DA17A1">
        <w:t xml:space="preserve">The system behavior with substrate setpoint variations is presented in Figure 4a. With an increase </w:t>
      </w:r>
      <w:r w:rsidR="00DF79BE" w:rsidRPr="004D717B">
        <w:t>in</w:t>
      </w:r>
      <w:r w:rsidRPr="00DA17A1">
        <w:t xml:space="preserve"> the setpoint of </w:t>
      </w:r>
      <w:r w:rsidR="00DF79BE" w:rsidRPr="004D717B">
        <w:t>the</w:t>
      </w:r>
      <w:r w:rsidR="00DF79BE">
        <w:t xml:space="preserve"> </w:t>
      </w:r>
      <w:r w:rsidRPr="00DA17A1">
        <w:t xml:space="preserve">substrate concentration, an increase in the must feed and </w:t>
      </w:r>
      <w:r w:rsidR="000800D2" w:rsidRPr="004D717B">
        <w:t>coolant</w:t>
      </w:r>
      <w:r w:rsidRPr="00DA17A1">
        <w:t xml:space="preserve"> flow rate is expected as a strategy to </w:t>
      </w:r>
      <w:r w:rsidRPr="00DA17A1">
        <w:lastRenderedPageBreak/>
        <w:t xml:space="preserve">elevate the concentration of </w:t>
      </w:r>
      <m:oMath>
        <m:sSub>
          <m:sSubPr>
            <m:ctrlPr>
              <w:rPr>
                <w:rFonts w:ascii="Cambria Math" w:hAnsi="Cambria Math"/>
              </w:rPr>
            </m:ctrlPr>
          </m:sSubPr>
          <m:e>
            <m:r>
              <w:rPr>
                <w:rFonts w:ascii="Cambria Math" w:hAnsi="Cambria Math"/>
              </w:rPr>
              <m:t>S</m:t>
            </m:r>
          </m:e>
          <m:sub>
            <m:r>
              <w:rPr>
                <w:rFonts w:ascii="Cambria Math" w:hAnsi="Cambria Math"/>
              </w:rPr>
              <m:t>4</m:t>
            </m:r>
          </m:sub>
        </m:sSub>
      </m:oMath>
      <w:r w:rsidRPr="00DA17A1">
        <w:t xml:space="preserve"> and at the same time to mitigate the temperature increase. As previously observed in Table 2, Tuning 1 presented better performance in reactor temperature control, whereas Tuning 2 achieved better performance in controlling the concentration of </w:t>
      </w:r>
      <m:oMath>
        <m:sSub>
          <m:sSubPr>
            <m:ctrlPr>
              <w:rPr>
                <w:rFonts w:ascii="Cambria Math" w:hAnsi="Cambria Math"/>
              </w:rPr>
            </m:ctrlPr>
          </m:sSubPr>
          <m:e>
            <m:r>
              <w:rPr>
                <w:rFonts w:ascii="Cambria Math" w:hAnsi="Cambria Math"/>
              </w:rPr>
              <m:t>S</m:t>
            </m:r>
          </m:e>
          <m:sub>
            <m:r>
              <w:rPr>
                <w:rFonts w:ascii="Cambria Math" w:hAnsi="Cambria Math"/>
              </w:rPr>
              <m:t>4</m:t>
            </m:r>
          </m:sub>
        </m:sSub>
      </m:oMath>
      <w:r w:rsidRPr="00DA17A1">
        <w:t xml:space="preserve">. The tuning proposed by Violaro et al. (2018) presented intermediate behavior. The obtained values of yield and productivity in Scenario 3 are presented in Figure 4b. For the three evaluated tunings, the analysis of yield and productivity showed that an increase in the must feed </w:t>
      </w:r>
      <m:oMath>
        <m:sSub>
          <m:sSubPr>
            <m:ctrlPr>
              <w:rPr>
                <w:rFonts w:ascii="Cambria Math" w:hAnsi="Cambria Math"/>
              </w:rPr>
            </m:ctrlPr>
          </m:sSubPr>
          <m:e>
            <m:r>
              <w:rPr>
                <w:rFonts w:ascii="Cambria Math" w:hAnsi="Cambria Math"/>
              </w:rPr>
              <m:t>F</m:t>
            </m:r>
          </m:e>
          <m:sub>
            <m:r>
              <w:rPr>
                <w:rFonts w:ascii="Cambria Math" w:hAnsi="Cambria Math"/>
              </w:rPr>
              <m:t>a</m:t>
            </m:r>
          </m:sub>
        </m:sSub>
      </m:oMath>
      <w:r w:rsidRPr="00DA17A1">
        <w:t xml:space="preserve"> after the increase of the setpoint resulted in an increase in productivity and a decrease in yield. In contrast, after the third disturbance, the opposite effect was observed, in which the increase in </w:t>
      </w:r>
      <m:oMath>
        <m:sSub>
          <m:sSubPr>
            <m:ctrlPr>
              <w:rPr>
                <w:rFonts w:ascii="Cambria Math" w:hAnsi="Cambria Math"/>
              </w:rPr>
            </m:ctrlPr>
          </m:sSubPr>
          <m:e>
            <m:r>
              <w:rPr>
                <w:rFonts w:ascii="Cambria Math" w:hAnsi="Cambria Math"/>
              </w:rPr>
              <m:t>F</m:t>
            </m:r>
          </m:e>
          <m:sub>
            <m:r>
              <w:rPr>
                <w:rFonts w:ascii="Cambria Math" w:hAnsi="Cambria Math"/>
              </w:rPr>
              <m:t>a</m:t>
            </m:r>
          </m:sub>
        </m:sSub>
      </m:oMath>
      <w:r w:rsidRPr="00DA17A1">
        <w:t xml:space="preserve"> promoted an increase in yield and a reduction in productivity.</w:t>
      </w:r>
      <w:r w:rsidR="00E35E67" w:rsidRPr="00DA17A1">
        <w:t xml:space="preserve"> </w:t>
      </w:r>
      <w:r w:rsidRPr="00DA17A1">
        <w:t>This opposite behavior between yield and productivity in response to setpoint variations indicates that the process can be optimized to maximize either productivity or yield through setpoint manipulation. The possibility of optimizing these reaction performance metrics together has not yet been addressed in the literature, which represents a very promising research opportunity.</w:t>
      </w:r>
    </w:p>
    <w:p w14:paraId="6C8B2367" w14:textId="77777777" w:rsidR="00216270" w:rsidRPr="00DA17A1" w:rsidRDefault="00216270" w:rsidP="00216270">
      <w:pPr>
        <w:pStyle w:val="CETBodytext"/>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18"/>
        <w:gridCol w:w="3269"/>
      </w:tblGrid>
      <w:tr w:rsidR="00216270" w:rsidRPr="00DA17A1" w14:paraId="1227BD17" w14:textId="77777777" w:rsidTr="006A0156">
        <w:trPr>
          <w:trHeight w:val="5782"/>
        </w:trPr>
        <w:tc>
          <w:tcPr>
            <w:tcW w:w="5665" w:type="dxa"/>
          </w:tcPr>
          <w:p w14:paraId="30DA1025" w14:textId="77777777" w:rsidR="00216270" w:rsidRPr="00DA17A1" w:rsidRDefault="00216270" w:rsidP="006A0156">
            <w:pPr>
              <w:pStyle w:val="CETBodytext"/>
              <w:jc w:val="center"/>
            </w:pPr>
            <w:r w:rsidRPr="00DA17A1">
              <w:rPr>
                <w:noProof/>
              </w:rPr>
              <w:drawing>
                <wp:inline distT="0" distB="0" distL="0" distR="0" wp14:anchorId="71DBE235" wp14:editId="1B82017E">
                  <wp:extent cx="3441174" cy="3770630"/>
                  <wp:effectExtent l="0" t="0" r="6985" b="1270"/>
                  <wp:docPr id="797821116"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rotWithShape="1">
                          <a:blip r:embed="rId13">
                            <a:extLst>
                              <a:ext uri="{28A0092B-C50C-407E-A947-70E740481C1C}">
                                <a14:useLocalDpi xmlns:a14="http://schemas.microsoft.com/office/drawing/2010/main" val="0"/>
                              </a:ext>
                            </a:extLst>
                          </a:blip>
                          <a:srcRect l="2980" t="4194" r="6800" b="5096"/>
                          <a:stretch>
                            <a:fillRect/>
                          </a:stretch>
                        </pic:blipFill>
                        <pic:spPr bwMode="auto">
                          <a:xfrm>
                            <a:off x="0" y="0"/>
                            <a:ext cx="3473631" cy="380619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112" w:type="dxa"/>
          </w:tcPr>
          <w:p w14:paraId="38AA1A4F" w14:textId="77777777" w:rsidR="00216270" w:rsidRPr="00DA17A1" w:rsidRDefault="00216270" w:rsidP="006A0156">
            <w:pPr>
              <w:pStyle w:val="CETBodytext"/>
              <w:jc w:val="left"/>
            </w:pPr>
          </w:p>
          <w:p w14:paraId="70C00B62" w14:textId="77777777" w:rsidR="00216270" w:rsidRPr="00DA17A1" w:rsidRDefault="00216270" w:rsidP="006A0156">
            <w:pPr>
              <w:pStyle w:val="CETBodytext"/>
              <w:jc w:val="left"/>
            </w:pPr>
            <w:r w:rsidRPr="00DA17A1">
              <w:rPr>
                <w:noProof/>
              </w:rPr>
              <w:drawing>
                <wp:inline distT="0" distB="0" distL="0" distR="0" wp14:anchorId="65800A86" wp14:editId="7C20A904">
                  <wp:extent cx="1985645" cy="3483788"/>
                  <wp:effectExtent l="0" t="0" r="0" b="2540"/>
                  <wp:docPr id="916042"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10739" cy="3527814"/>
                          </a:xfrm>
                          <a:prstGeom prst="rect">
                            <a:avLst/>
                          </a:prstGeom>
                          <a:noFill/>
                          <a:ln>
                            <a:noFill/>
                          </a:ln>
                        </pic:spPr>
                      </pic:pic>
                    </a:graphicData>
                  </a:graphic>
                </wp:inline>
              </w:drawing>
            </w:r>
          </w:p>
          <w:p w14:paraId="1281A1C5" w14:textId="77777777" w:rsidR="00216270" w:rsidRPr="00DA17A1" w:rsidRDefault="00216270" w:rsidP="006A0156">
            <w:pPr>
              <w:pStyle w:val="CETBodytext"/>
              <w:jc w:val="left"/>
            </w:pPr>
          </w:p>
        </w:tc>
      </w:tr>
      <w:tr w:rsidR="00216270" w:rsidRPr="00DA17A1" w14:paraId="7C42D4DF" w14:textId="77777777" w:rsidTr="006A0156">
        <w:tc>
          <w:tcPr>
            <w:tcW w:w="5665" w:type="dxa"/>
          </w:tcPr>
          <w:p w14:paraId="198DC984" w14:textId="77777777" w:rsidR="00216270" w:rsidRPr="00DA17A1" w:rsidRDefault="00216270" w:rsidP="006A0156">
            <w:pPr>
              <w:pStyle w:val="CETBodytext"/>
              <w:jc w:val="center"/>
            </w:pPr>
            <w:r w:rsidRPr="00DA17A1">
              <w:t>(a)</w:t>
            </w:r>
          </w:p>
        </w:tc>
        <w:tc>
          <w:tcPr>
            <w:tcW w:w="3112" w:type="dxa"/>
          </w:tcPr>
          <w:p w14:paraId="6F787C3B" w14:textId="77777777" w:rsidR="00216270" w:rsidRPr="00DA17A1" w:rsidRDefault="00216270" w:rsidP="006A0156">
            <w:pPr>
              <w:pStyle w:val="CETBodytext"/>
              <w:jc w:val="center"/>
            </w:pPr>
            <w:r w:rsidRPr="00DA17A1">
              <w:t>(b)</w:t>
            </w:r>
          </w:p>
        </w:tc>
      </w:tr>
    </w:tbl>
    <w:p w14:paraId="2AED6F84" w14:textId="77777777" w:rsidR="00216270" w:rsidRPr="00DA17A1" w:rsidRDefault="00216270" w:rsidP="00216270">
      <w:pPr>
        <w:pStyle w:val="CETCaption"/>
        <w:rPr>
          <w:lang w:val="en-US"/>
        </w:rPr>
      </w:pPr>
      <w:r w:rsidRPr="00DA17A1">
        <w:rPr>
          <w:rStyle w:val="CETCaptionCarattere"/>
          <w:i/>
          <w:lang w:val="en-US"/>
        </w:rPr>
        <w:t>Figure 3: (a) Manipulated and controlled variables. (b) Yield and productivity for Scenario 2.</w:t>
      </w:r>
    </w:p>
    <w:p w14:paraId="5A13856B" w14:textId="0D81FC01" w:rsidR="006B4888" w:rsidRPr="00DA17A1" w:rsidRDefault="00172076" w:rsidP="00172076">
      <w:pPr>
        <w:pStyle w:val="CETHeading1"/>
      </w:pPr>
      <w:r w:rsidRPr="00DA17A1">
        <w:t>Conclusions</w:t>
      </w:r>
    </w:p>
    <w:p w14:paraId="18093211" w14:textId="6F15B135" w:rsidR="00F64F41" w:rsidRDefault="00565C79" w:rsidP="00172076">
      <w:pPr>
        <w:pStyle w:val="CETBodytext"/>
      </w:pPr>
      <w:r w:rsidRPr="00DA17A1">
        <w:t xml:space="preserve">This study evaluated the use of different </w:t>
      </w:r>
      <w:r w:rsidR="00250F45" w:rsidRPr="004D717B">
        <w:t xml:space="preserve">output </w:t>
      </w:r>
      <w:r w:rsidRPr="004D717B">
        <w:t>error weights</w:t>
      </w:r>
      <w:r w:rsidRPr="00DA17A1">
        <w:t xml:space="preserve"> for the controlled variables and analyzed how controller performance and substrate concentration setpoint manipulation influenced yield and productivity. </w:t>
      </w:r>
      <w:r w:rsidR="00172076" w:rsidRPr="00DA17A1">
        <w:t xml:space="preserve">For the three scenarios analyzed, </w:t>
      </w:r>
      <w:proofErr w:type="gramStart"/>
      <w:r w:rsidR="00172076" w:rsidRPr="00DA17A1">
        <w:t>Tuning</w:t>
      </w:r>
      <w:proofErr w:type="gramEnd"/>
      <w:r w:rsidR="00172076" w:rsidRPr="00DA17A1">
        <w:t xml:space="preserve"> 1, which </w:t>
      </w:r>
      <w:r w:rsidR="00C12EF8" w:rsidRPr="00DA17A1">
        <w:t xml:space="preserve">assigned a </w:t>
      </w:r>
      <w:r w:rsidR="00DA1AF5" w:rsidRPr="00DA17A1">
        <w:t>higher</w:t>
      </w:r>
      <w:r w:rsidR="00172076" w:rsidRPr="00DA17A1">
        <w:t xml:space="preserve"> weight to the temperature error, showed </w:t>
      </w:r>
      <w:r w:rsidR="00CD3006" w:rsidRPr="00DA17A1">
        <w:t>lower</w:t>
      </w:r>
      <w:r w:rsidR="00172076" w:rsidRPr="00DA17A1">
        <w:t xml:space="preserve"> ISE </w:t>
      </w:r>
      <w:r w:rsidR="00C12EF8" w:rsidRPr="00DA17A1">
        <w:t>for temperature control</w:t>
      </w:r>
      <w:r w:rsidR="00172076" w:rsidRPr="00DA17A1">
        <w:t xml:space="preserve">, but at the expense of deterioration in substrate control. </w:t>
      </w:r>
      <w:r w:rsidR="00CD3006" w:rsidRPr="00DA17A1">
        <w:t xml:space="preserve">In contrast, </w:t>
      </w:r>
      <w:proofErr w:type="gramStart"/>
      <w:r w:rsidR="00172076" w:rsidRPr="00DA17A1">
        <w:t>Tuning</w:t>
      </w:r>
      <w:proofErr w:type="gramEnd"/>
      <w:r w:rsidR="00172076" w:rsidRPr="00DA17A1">
        <w:t xml:space="preserve"> 2</w:t>
      </w:r>
      <w:r w:rsidR="00CD3006" w:rsidRPr="00DA17A1">
        <w:t xml:space="preserve"> </w:t>
      </w:r>
      <w:r w:rsidR="004D64EF" w:rsidRPr="00DA17A1">
        <w:t>provided</w:t>
      </w:r>
      <w:r w:rsidR="00172076" w:rsidRPr="00DA17A1">
        <w:t xml:space="preserve"> better performance in substrate control and a degradation in temperature control, </w:t>
      </w:r>
      <w:r w:rsidR="00CD3006" w:rsidRPr="00DA17A1">
        <w:t>as it assign</w:t>
      </w:r>
      <w:r w:rsidR="00484CEB" w:rsidRPr="00DA17A1">
        <w:t>ed</w:t>
      </w:r>
      <w:r w:rsidR="00CD3006" w:rsidRPr="00DA17A1">
        <w:t xml:space="preserve"> a higher weight to substrate error.</w:t>
      </w:r>
      <w:r w:rsidR="00172076" w:rsidRPr="00DA17A1">
        <w:t xml:space="preserve"> </w:t>
      </w:r>
      <w:r w:rsidR="00C12EF8" w:rsidRPr="00DA17A1">
        <w:t>I</w:t>
      </w:r>
      <w:r w:rsidR="00172076" w:rsidRPr="00DA17A1">
        <w:t xml:space="preserve">t </w:t>
      </w:r>
      <w:r w:rsidR="00C15B00" w:rsidRPr="00DA17A1">
        <w:t>is</w:t>
      </w:r>
      <w:r w:rsidR="00172076" w:rsidRPr="00DA17A1">
        <w:t xml:space="preserve"> </w:t>
      </w:r>
      <w:r w:rsidR="00C12EF8" w:rsidRPr="00DA17A1">
        <w:t>concluded</w:t>
      </w:r>
      <w:r w:rsidR="00172076" w:rsidRPr="00DA17A1">
        <w:t xml:space="preserve"> that increasing the </w:t>
      </w:r>
      <w:r w:rsidR="00250F45" w:rsidRPr="004D717B">
        <w:t xml:space="preserve">output </w:t>
      </w:r>
      <w:r w:rsidR="00172076" w:rsidRPr="004D717B">
        <w:t>error weight</w:t>
      </w:r>
      <w:r w:rsidR="00172076" w:rsidRPr="00DA17A1">
        <w:t xml:space="preserve"> of one controlled variable leads to a deterioration in the control of the </w:t>
      </w:r>
      <w:r w:rsidR="004D64EF" w:rsidRPr="00DA17A1">
        <w:t>others</w:t>
      </w:r>
      <w:r w:rsidR="00172076" w:rsidRPr="00DA17A1">
        <w:t xml:space="preserve">. Since the conversion of the substrate into ethanol is directly related to productivity and yield, a certain </w:t>
      </w:r>
      <w:r w:rsidR="00C12EF8" w:rsidRPr="00DA17A1">
        <w:t>loss of performance</w:t>
      </w:r>
      <w:r w:rsidR="00172076" w:rsidRPr="00DA17A1">
        <w:t xml:space="preserve"> </w:t>
      </w:r>
      <w:r w:rsidR="00DF79BE" w:rsidRPr="004D717B">
        <w:t>in</w:t>
      </w:r>
      <w:r w:rsidR="00172076" w:rsidRPr="00DA17A1">
        <w:t xml:space="preserve"> temperature control is acceptable in favor of more precise control of the substrate concentration. Therefore, a prior analysis of which disturbance is more frequent or which controlled variable is more important in the process can help define the appropriate tuning to be used. Further investigation is warranted to assess the integration of optimizing the productivity and yield of the fermentation process with the multivariate control of process variables.</w:t>
      </w:r>
      <w:r w:rsidR="00C15B00" w:rsidRPr="00DA17A1">
        <w:t xml:space="preserve"> </w:t>
      </w:r>
      <w:r w:rsidR="00EE320F" w:rsidRPr="004D717B">
        <w:t>A relevant direction for future research is the assessment of the economic impact of productivity and yield in dynamic operating contexts, especially in closed-loop operation.</w:t>
      </w:r>
    </w:p>
    <w:p w14:paraId="2DA9F51F" w14:textId="77777777" w:rsidR="00F64F41" w:rsidRDefault="00F64F41" w:rsidP="00172076">
      <w:pPr>
        <w:pStyle w:val="CETBodytext"/>
      </w:pPr>
    </w:p>
    <w:tbl>
      <w:tblPr>
        <w:tblStyle w:val="Tabelacomgrade"/>
        <w:tblW w:w="92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2"/>
        <w:gridCol w:w="3876"/>
      </w:tblGrid>
      <w:tr w:rsidR="00172076" w:rsidRPr="00DA17A1" w14:paraId="2E7D7637" w14:textId="77777777" w:rsidTr="006A0156">
        <w:tc>
          <w:tcPr>
            <w:tcW w:w="5382" w:type="dxa"/>
          </w:tcPr>
          <w:p w14:paraId="363A1F37" w14:textId="77777777" w:rsidR="00172076" w:rsidRPr="00DA17A1" w:rsidRDefault="00172076" w:rsidP="006A0156">
            <w:pPr>
              <w:pStyle w:val="CETBodytext"/>
            </w:pPr>
            <w:r w:rsidRPr="00DA17A1">
              <w:rPr>
                <w:noProof/>
              </w:rPr>
              <w:lastRenderedPageBreak/>
              <w:drawing>
                <wp:inline distT="0" distB="0" distL="0" distR="0" wp14:anchorId="7D84C2DA" wp14:editId="7BD45B57">
                  <wp:extent cx="3237875" cy="4019560"/>
                  <wp:effectExtent l="0" t="0" r="635" b="0"/>
                  <wp:docPr id="1088868776"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rotWithShape="1">
                          <a:blip r:embed="rId15">
                            <a:extLst>
                              <a:ext uri="{28A0092B-C50C-407E-A947-70E740481C1C}">
                                <a14:useLocalDpi xmlns:a14="http://schemas.microsoft.com/office/drawing/2010/main" val="0"/>
                              </a:ext>
                            </a:extLst>
                          </a:blip>
                          <a:srcRect l="3001" t="4872" r="5809" b="5098"/>
                          <a:stretch>
                            <a:fillRect/>
                          </a:stretch>
                        </pic:blipFill>
                        <pic:spPr bwMode="auto">
                          <a:xfrm>
                            <a:off x="0" y="0"/>
                            <a:ext cx="3237875" cy="401956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876" w:type="dxa"/>
          </w:tcPr>
          <w:p w14:paraId="6ECC4B9B" w14:textId="77777777" w:rsidR="00172076" w:rsidRPr="00DA17A1" w:rsidRDefault="00172076" w:rsidP="006A0156">
            <w:pPr>
              <w:pStyle w:val="CETBodytext"/>
              <w:jc w:val="left"/>
            </w:pPr>
            <w:r w:rsidRPr="00DA17A1">
              <w:rPr>
                <w:noProof/>
              </w:rPr>
              <w:drawing>
                <wp:inline distT="0" distB="0" distL="0" distR="0" wp14:anchorId="11ADDEAB" wp14:editId="70B514E2">
                  <wp:extent cx="2180861" cy="3705225"/>
                  <wp:effectExtent l="0" t="0" r="0" b="0"/>
                  <wp:docPr id="11637985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84721" cy="3711784"/>
                          </a:xfrm>
                          <a:prstGeom prst="rect">
                            <a:avLst/>
                          </a:prstGeom>
                          <a:noFill/>
                          <a:ln>
                            <a:noFill/>
                          </a:ln>
                        </pic:spPr>
                      </pic:pic>
                    </a:graphicData>
                  </a:graphic>
                </wp:inline>
              </w:drawing>
            </w:r>
          </w:p>
        </w:tc>
      </w:tr>
      <w:tr w:rsidR="00172076" w:rsidRPr="00DA17A1" w14:paraId="6DB09420" w14:textId="77777777" w:rsidTr="006A0156">
        <w:tc>
          <w:tcPr>
            <w:tcW w:w="5382" w:type="dxa"/>
          </w:tcPr>
          <w:p w14:paraId="1E2CEE08" w14:textId="77777777" w:rsidR="00172076" w:rsidRPr="00DA17A1" w:rsidRDefault="00172076" w:rsidP="006A0156">
            <w:pPr>
              <w:pStyle w:val="CETBodytext"/>
              <w:jc w:val="center"/>
            </w:pPr>
            <w:r w:rsidRPr="00DA17A1">
              <w:t>(a)</w:t>
            </w:r>
          </w:p>
        </w:tc>
        <w:tc>
          <w:tcPr>
            <w:tcW w:w="3876" w:type="dxa"/>
          </w:tcPr>
          <w:p w14:paraId="3CB45869" w14:textId="77777777" w:rsidR="00172076" w:rsidRPr="00DA17A1" w:rsidRDefault="00172076" w:rsidP="006A0156">
            <w:pPr>
              <w:pStyle w:val="CETBodytext"/>
              <w:jc w:val="center"/>
            </w:pPr>
            <w:r w:rsidRPr="00DA17A1">
              <w:t>(b)</w:t>
            </w:r>
          </w:p>
        </w:tc>
      </w:tr>
    </w:tbl>
    <w:p w14:paraId="2A2F839E" w14:textId="77777777" w:rsidR="00172076" w:rsidRPr="00DA17A1" w:rsidRDefault="00172076" w:rsidP="00172076">
      <w:pPr>
        <w:pStyle w:val="CETCaption"/>
        <w:rPr>
          <w:lang w:val="en-US"/>
        </w:rPr>
      </w:pPr>
      <w:r w:rsidRPr="00DA17A1">
        <w:rPr>
          <w:rStyle w:val="CETCaptionCarattere"/>
          <w:i/>
          <w:lang w:val="en-US"/>
        </w:rPr>
        <w:t>Figure 4: (a) Manipulated and controlled variables. (b) Yield and productivity for Scenario 3.</w:t>
      </w:r>
    </w:p>
    <w:p w14:paraId="7BD8FEC4" w14:textId="77777777" w:rsidR="00172076" w:rsidRPr="00DA17A1" w:rsidRDefault="00172076" w:rsidP="00172076">
      <w:pPr>
        <w:pStyle w:val="CETAcknowledgementstitle"/>
        <w:rPr>
          <w:lang w:val="en-US"/>
        </w:rPr>
      </w:pPr>
      <w:r w:rsidRPr="00DA17A1">
        <w:rPr>
          <w:lang w:val="en-US"/>
        </w:rPr>
        <w:t>Acknowledgments</w:t>
      </w:r>
    </w:p>
    <w:p w14:paraId="4EB29226" w14:textId="77777777" w:rsidR="00172076" w:rsidRPr="00DA17A1" w:rsidRDefault="00172076" w:rsidP="00172076">
      <w:pPr>
        <w:pStyle w:val="CETBodytext"/>
      </w:pPr>
      <w:r w:rsidRPr="00DA17A1">
        <w:t xml:space="preserve">The authors acknowledge the support provided by </w:t>
      </w:r>
      <w:proofErr w:type="spellStart"/>
      <w:r w:rsidRPr="00DA17A1">
        <w:t>CNPq</w:t>
      </w:r>
      <w:proofErr w:type="spellEnd"/>
      <w:r w:rsidRPr="00DA17A1">
        <w:t xml:space="preserve"> (grant numbers 170997/2023-5 and 160006/2024-4). </w:t>
      </w:r>
    </w:p>
    <w:p w14:paraId="339D99D7" w14:textId="77777777" w:rsidR="00172076" w:rsidRPr="00DA17A1" w:rsidRDefault="00172076" w:rsidP="00D110C6">
      <w:pPr>
        <w:pStyle w:val="CETReference"/>
        <w:rPr>
          <w:lang w:val="en-US"/>
        </w:rPr>
      </w:pPr>
      <w:r w:rsidRPr="00DA17A1">
        <w:rPr>
          <w:lang w:val="en-US"/>
        </w:rPr>
        <w:t>References</w:t>
      </w:r>
    </w:p>
    <w:p w14:paraId="4023A55F" w14:textId="77777777" w:rsidR="00172076" w:rsidRPr="00DA17A1" w:rsidRDefault="00172076" w:rsidP="00172076">
      <w:pPr>
        <w:pStyle w:val="CETReferencetext"/>
        <w:rPr>
          <w:lang w:val="en-US"/>
        </w:rPr>
      </w:pPr>
      <w:r w:rsidRPr="00DA17A1">
        <w:rPr>
          <w:lang w:val="en-US"/>
        </w:rPr>
        <w:t xml:space="preserve">Andrietta S., 1994, Modelling, Simulation and Control of Continuous Alcoholic Fermentation at Industrial Scale, PhD Thesis, </w:t>
      </w:r>
      <w:proofErr w:type="spellStart"/>
      <w:r w:rsidRPr="00DA17A1">
        <w:rPr>
          <w:lang w:val="en-US"/>
        </w:rPr>
        <w:t>Universidade</w:t>
      </w:r>
      <w:proofErr w:type="spellEnd"/>
      <w:r w:rsidRPr="00DA17A1">
        <w:rPr>
          <w:lang w:val="en-US"/>
        </w:rPr>
        <w:t xml:space="preserve"> Estadual de Campinas, Faculty of Food Engineering, Campinas, Brazil (in Portuguese).</w:t>
      </w:r>
    </w:p>
    <w:p w14:paraId="328C064E" w14:textId="77777777" w:rsidR="00172076" w:rsidRPr="00DA17A1" w:rsidRDefault="00172076" w:rsidP="00172076">
      <w:pPr>
        <w:pStyle w:val="CETReferencetext"/>
        <w:rPr>
          <w:lang w:val="en-US"/>
        </w:rPr>
      </w:pPr>
      <w:r w:rsidRPr="00DA17A1">
        <w:rPr>
          <w:lang w:val="en-US"/>
        </w:rPr>
        <w:t>Andrietta S., Maugeri Filho F., 1994, Optimum design of a continuous fermentation unit of an industrial plant for alcohol production, In: Galindo E., Ramirez O. (Eds.), Advances in Bioprocess Engineering, Kluwer Academic, Netherlands, 47–52.</w:t>
      </w:r>
    </w:p>
    <w:p w14:paraId="40DA9B2E" w14:textId="77777777" w:rsidR="00172076" w:rsidRPr="00DA17A1" w:rsidRDefault="00172076" w:rsidP="00172076">
      <w:pPr>
        <w:pStyle w:val="CETReferencetext"/>
        <w:rPr>
          <w:lang w:val="en-US"/>
        </w:rPr>
      </w:pPr>
      <w:r w:rsidRPr="00DA17A1">
        <w:rPr>
          <w:lang w:val="en-US"/>
        </w:rPr>
        <w:t>Fernandez C., Pantano N., Rodriguez L., Scaglia G., 2021, Nonlinear control for bioprocesses with model uncertainties and external disturbances, Mathematical Problems in Engineering, 2021, 2865264.</w:t>
      </w:r>
    </w:p>
    <w:p w14:paraId="1D7FFA12" w14:textId="77777777" w:rsidR="00172076" w:rsidRPr="00DA17A1" w:rsidRDefault="00172076" w:rsidP="00172076">
      <w:pPr>
        <w:pStyle w:val="CETReferencetext"/>
        <w:rPr>
          <w:lang w:val="en-US"/>
        </w:rPr>
      </w:pPr>
      <w:r w:rsidRPr="00DA17A1">
        <w:rPr>
          <w:lang w:val="en-US"/>
        </w:rPr>
        <w:t>Herrera W., Rivera E., Alvarez L., Plazas Tovar L., Tamayo Rojas S., Yamakawa C., Bonomi A., Maciel Filho R., 2016, Modeling and control of a continuous ethanol fermentation using a mixture of enzymatic hydrolysate and molasses from sugarcane, Chemical Engineering Transactions, 50, 169–174.</w:t>
      </w:r>
    </w:p>
    <w:p w14:paraId="51A94D85" w14:textId="77777777" w:rsidR="00172076" w:rsidRPr="00DA17A1" w:rsidRDefault="00172076" w:rsidP="00172076">
      <w:pPr>
        <w:pStyle w:val="CETReferencetext"/>
        <w:rPr>
          <w:lang w:val="en-US"/>
        </w:rPr>
      </w:pPr>
      <w:r w:rsidRPr="00DA17A1">
        <w:rPr>
          <w:lang w:val="en-US"/>
        </w:rPr>
        <w:t xml:space="preserve">Meleiro L.A.C., 2002, Design and Application of Controllers Based on Linear, Neural and Fuzzy Models, PhD Thesis, </w:t>
      </w:r>
      <w:proofErr w:type="spellStart"/>
      <w:r w:rsidRPr="00DA17A1">
        <w:rPr>
          <w:lang w:val="en-US"/>
        </w:rPr>
        <w:t>Universidade</w:t>
      </w:r>
      <w:proofErr w:type="spellEnd"/>
      <w:r w:rsidRPr="00DA17A1">
        <w:rPr>
          <w:lang w:val="en-US"/>
        </w:rPr>
        <w:t xml:space="preserve"> Estadual de Campinas, School of Chemical Engineering, Campinas, Brazil (in Portuguese).</w:t>
      </w:r>
    </w:p>
    <w:p w14:paraId="670FBE02" w14:textId="77777777" w:rsidR="00172076" w:rsidRPr="00DA17A1" w:rsidRDefault="00172076" w:rsidP="00172076">
      <w:pPr>
        <w:pStyle w:val="CETReferencetext"/>
        <w:rPr>
          <w:lang w:val="en-US"/>
        </w:rPr>
      </w:pPr>
      <w:r w:rsidRPr="00DA17A1">
        <w:rPr>
          <w:lang w:val="en-US"/>
        </w:rPr>
        <w:t xml:space="preserve">Nasimi R., Azadi S., </w:t>
      </w:r>
      <w:proofErr w:type="spellStart"/>
      <w:r w:rsidRPr="00DA17A1">
        <w:rPr>
          <w:lang w:val="en-US"/>
        </w:rPr>
        <w:t>Jazaeri</w:t>
      </w:r>
      <w:proofErr w:type="spellEnd"/>
      <w:r w:rsidRPr="00DA17A1">
        <w:rPr>
          <w:lang w:val="en-US"/>
        </w:rPr>
        <w:t xml:space="preserve"> M., </w:t>
      </w:r>
      <w:proofErr w:type="spellStart"/>
      <w:r w:rsidRPr="00DA17A1">
        <w:rPr>
          <w:lang w:val="en-US"/>
        </w:rPr>
        <w:t>Farzinfar</w:t>
      </w:r>
      <w:proofErr w:type="spellEnd"/>
      <w:r w:rsidRPr="00DA17A1">
        <w:rPr>
          <w:lang w:val="en-US"/>
        </w:rPr>
        <w:t xml:space="preserve"> M., 2024, Nonlinear model-based predictive control of a yeast fermentation bioreactor using new bee colony-WNN modelling structure, Journal of Engineering Research.</w:t>
      </w:r>
    </w:p>
    <w:p w14:paraId="61F932A2" w14:textId="77777777" w:rsidR="00172076" w:rsidRPr="00DA17A1" w:rsidRDefault="00172076" w:rsidP="00172076">
      <w:pPr>
        <w:pStyle w:val="CETReferencetext"/>
        <w:rPr>
          <w:lang w:val="en-US"/>
        </w:rPr>
      </w:pPr>
      <w:r w:rsidRPr="00DA17A1">
        <w:rPr>
          <w:lang w:val="en-US"/>
        </w:rPr>
        <w:t xml:space="preserve">Petre E., </w:t>
      </w:r>
      <w:proofErr w:type="spellStart"/>
      <w:r w:rsidRPr="00DA17A1">
        <w:rPr>
          <w:lang w:val="en-US"/>
        </w:rPr>
        <w:t>Selișteanu</w:t>
      </w:r>
      <w:proofErr w:type="spellEnd"/>
      <w:r w:rsidRPr="00DA17A1">
        <w:rPr>
          <w:lang w:val="en-US"/>
        </w:rPr>
        <w:t xml:space="preserve"> D., Roman M., 2021, Advanced nonlinear control strategies for a fermentation bioreactor used for ethanol production, Bioresource Technology, 328, 124836.</w:t>
      </w:r>
    </w:p>
    <w:p w14:paraId="30185DE0" w14:textId="77777777" w:rsidR="00172076" w:rsidRPr="00DA17A1" w:rsidRDefault="00172076" w:rsidP="00172076">
      <w:pPr>
        <w:pStyle w:val="CETReferencetext"/>
        <w:rPr>
          <w:lang w:val="en-US"/>
        </w:rPr>
      </w:pPr>
      <w:r w:rsidRPr="00DA17A1">
        <w:rPr>
          <w:lang w:val="en-US"/>
        </w:rPr>
        <w:t>Renewable Fuels Association, 2024, Annual ethanol production, ethanolrfa.org/markets-and-statistics/annual-ethanol-production, accessed 27.07.2025.</w:t>
      </w:r>
    </w:p>
    <w:p w14:paraId="19C4FC68" w14:textId="1B1E94EC" w:rsidR="004628D2" w:rsidRDefault="00172076" w:rsidP="008068D3">
      <w:pPr>
        <w:pStyle w:val="CETReferencetext"/>
      </w:pPr>
      <w:proofErr w:type="spellStart"/>
      <w:r w:rsidRPr="00DA17A1">
        <w:rPr>
          <w:lang w:val="en-US"/>
        </w:rPr>
        <w:t>Violaro</w:t>
      </w:r>
      <w:proofErr w:type="spellEnd"/>
      <w:r w:rsidRPr="00DA17A1">
        <w:rPr>
          <w:lang w:val="en-US"/>
        </w:rPr>
        <w:t xml:space="preserve"> F., Rivera E., Alvarez L., 2018, Multivariable model predictive control of a continuous fermentation unit for first-generation ethanol production, Chemical Engineering Transactions, 65, 67–72.</w:t>
      </w:r>
    </w:p>
    <w:sectPr w:rsidR="004628D2" w:rsidSect="008314D7">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12CCF9" w14:textId="77777777" w:rsidR="00D778E7" w:rsidRPr="00DA17A1" w:rsidRDefault="00D778E7" w:rsidP="004F5E36">
      <w:r w:rsidRPr="00DA17A1">
        <w:separator/>
      </w:r>
    </w:p>
  </w:endnote>
  <w:endnote w:type="continuationSeparator" w:id="0">
    <w:p w14:paraId="71811C8E" w14:textId="77777777" w:rsidR="00D778E7" w:rsidRPr="00DA17A1" w:rsidRDefault="00D778E7" w:rsidP="004F5E36">
      <w:r w:rsidRPr="00DA17A1">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Times New Roman"/>
    <w:panose1 w:val="00000000000000000000"/>
    <w:charset w:val="4D"/>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345A7C" w14:textId="77777777" w:rsidR="00D778E7" w:rsidRPr="00DA17A1" w:rsidRDefault="00D778E7" w:rsidP="004F5E36">
      <w:r w:rsidRPr="00DA17A1">
        <w:separator/>
      </w:r>
    </w:p>
  </w:footnote>
  <w:footnote w:type="continuationSeparator" w:id="0">
    <w:p w14:paraId="338CBA6C" w14:textId="77777777" w:rsidR="00D778E7" w:rsidRPr="00DA17A1" w:rsidRDefault="00D778E7" w:rsidP="004F5E36">
      <w:r w:rsidRPr="00DA17A1">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558AF15E"/>
    <w:lvl w:ilvl="0">
      <w:start w:val="1"/>
      <w:numFmt w:val="decimal"/>
      <w:pStyle w:val="Numerada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Numerada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Numerada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Numerada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Commarcadores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Commarcadores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Commarcadores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Commarcadores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Numerada"/>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Commarcadores"/>
      <w:lvlText w:val=""/>
      <w:lvlJc w:val="left"/>
      <w:pPr>
        <w:tabs>
          <w:tab w:val="num" w:pos="360"/>
        </w:tabs>
        <w:ind w:left="360" w:hanging="360"/>
      </w:pPr>
      <w:rPr>
        <w:rFonts w:ascii="Symbol" w:hAnsi="Symbol" w:hint="default"/>
      </w:rPr>
    </w:lvl>
  </w:abstractNum>
  <w:abstractNum w:abstractNumId="10" w15:restartNumberingAfterBreak="0">
    <w:nsid w:val="2438217E"/>
    <w:multiLevelType w:val="multilevel"/>
    <w:tmpl w:val="F17228D6"/>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elaSimples-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1"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5"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8"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316882765">
    <w:abstractNumId w:val="10"/>
  </w:num>
  <w:num w:numId="2" w16cid:durableId="1954094313">
    <w:abstractNumId w:val="8"/>
  </w:num>
  <w:num w:numId="3" w16cid:durableId="2001083081">
    <w:abstractNumId w:val="3"/>
  </w:num>
  <w:num w:numId="4" w16cid:durableId="665287687">
    <w:abstractNumId w:val="2"/>
  </w:num>
  <w:num w:numId="5" w16cid:durableId="1763211618">
    <w:abstractNumId w:val="1"/>
  </w:num>
  <w:num w:numId="6" w16cid:durableId="733351894">
    <w:abstractNumId w:val="0"/>
  </w:num>
  <w:num w:numId="7" w16cid:durableId="1265187038">
    <w:abstractNumId w:val="9"/>
  </w:num>
  <w:num w:numId="8" w16cid:durableId="458382672">
    <w:abstractNumId w:val="7"/>
  </w:num>
  <w:num w:numId="9" w16cid:durableId="652636510">
    <w:abstractNumId w:val="6"/>
  </w:num>
  <w:num w:numId="10" w16cid:durableId="1972591888">
    <w:abstractNumId w:val="5"/>
  </w:num>
  <w:num w:numId="11" w16cid:durableId="1179278139">
    <w:abstractNumId w:val="4"/>
  </w:num>
  <w:num w:numId="12" w16cid:durableId="1575509198">
    <w:abstractNumId w:val="17"/>
  </w:num>
  <w:num w:numId="13" w16cid:durableId="695733619">
    <w:abstractNumId w:val="12"/>
  </w:num>
  <w:num w:numId="14" w16cid:durableId="145903400">
    <w:abstractNumId w:val="18"/>
  </w:num>
  <w:num w:numId="15" w16cid:durableId="19162326">
    <w:abstractNumId w:val="20"/>
  </w:num>
  <w:num w:numId="16" w16cid:durableId="1977102699">
    <w:abstractNumId w:val="19"/>
  </w:num>
  <w:num w:numId="17" w16cid:durableId="860774865">
    <w:abstractNumId w:val="11"/>
  </w:num>
  <w:num w:numId="18" w16cid:durableId="313221457">
    <w:abstractNumId w:val="12"/>
    <w:lvlOverride w:ilvl="0">
      <w:startOverride w:val="1"/>
    </w:lvlOverride>
  </w:num>
  <w:num w:numId="19" w16cid:durableId="534971577">
    <w:abstractNumId w:val="16"/>
  </w:num>
  <w:num w:numId="20" w16cid:durableId="1150947773">
    <w:abstractNumId w:val="15"/>
  </w:num>
  <w:num w:numId="21" w16cid:durableId="124660497">
    <w:abstractNumId w:val="14"/>
  </w:num>
  <w:num w:numId="22" w16cid:durableId="209986147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0"/>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27C0"/>
    <w:rsid w:val="000052FB"/>
    <w:rsid w:val="00005884"/>
    <w:rsid w:val="00005A19"/>
    <w:rsid w:val="000117CB"/>
    <w:rsid w:val="0002240B"/>
    <w:rsid w:val="0003148D"/>
    <w:rsid w:val="00031EEC"/>
    <w:rsid w:val="00051566"/>
    <w:rsid w:val="000562A9"/>
    <w:rsid w:val="00062A9A"/>
    <w:rsid w:val="00065058"/>
    <w:rsid w:val="00074692"/>
    <w:rsid w:val="000800D2"/>
    <w:rsid w:val="00081A04"/>
    <w:rsid w:val="00084B1B"/>
    <w:rsid w:val="00086C39"/>
    <w:rsid w:val="000A032E"/>
    <w:rsid w:val="000A03B2"/>
    <w:rsid w:val="000C2E4B"/>
    <w:rsid w:val="000D0268"/>
    <w:rsid w:val="000D34BE"/>
    <w:rsid w:val="000E102F"/>
    <w:rsid w:val="000E26CD"/>
    <w:rsid w:val="000E36F1"/>
    <w:rsid w:val="000E3A73"/>
    <w:rsid w:val="000E414A"/>
    <w:rsid w:val="000E62F5"/>
    <w:rsid w:val="000E75FD"/>
    <w:rsid w:val="000F093C"/>
    <w:rsid w:val="000F787B"/>
    <w:rsid w:val="00101F02"/>
    <w:rsid w:val="0012091F"/>
    <w:rsid w:val="00124AAD"/>
    <w:rsid w:val="00126AB3"/>
    <w:rsid w:val="00126BC2"/>
    <w:rsid w:val="001308B6"/>
    <w:rsid w:val="0013121F"/>
    <w:rsid w:val="00131FE6"/>
    <w:rsid w:val="0013263F"/>
    <w:rsid w:val="001331DF"/>
    <w:rsid w:val="00134DE4"/>
    <w:rsid w:val="0014034D"/>
    <w:rsid w:val="00140FE3"/>
    <w:rsid w:val="00144D16"/>
    <w:rsid w:val="00150E59"/>
    <w:rsid w:val="00152DE3"/>
    <w:rsid w:val="00155952"/>
    <w:rsid w:val="00164CF9"/>
    <w:rsid w:val="00165F6D"/>
    <w:rsid w:val="001667A6"/>
    <w:rsid w:val="00166907"/>
    <w:rsid w:val="00172076"/>
    <w:rsid w:val="00184AD6"/>
    <w:rsid w:val="001A4AF7"/>
    <w:rsid w:val="001A5C5E"/>
    <w:rsid w:val="001A6166"/>
    <w:rsid w:val="001B0349"/>
    <w:rsid w:val="001B1E93"/>
    <w:rsid w:val="001B3453"/>
    <w:rsid w:val="001B65C1"/>
    <w:rsid w:val="001C260F"/>
    <w:rsid w:val="001C33F1"/>
    <w:rsid w:val="001C4F4B"/>
    <w:rsid w:val="001C56CB"/>
    <w:rsid w:val="001C684B"/>
    <w:rsid w:val="001D0CFB"/>
    <w:rsid w:val="001D21AF"/>
    <w:rsid w:val="001D53FC"/>
    <w:rsid w:val="001F42A5"/>
    <w:rsid w:val="001F7B9D"/>
    <w:rsid w:val="00201C93"/>
    <w:rsid w:val="00205B49"/>
    <w:rsid w:val="00216270"/>
    <w:rsid w:val="002224B4"/>
    <w:rsid w:val="00231A9D"/>
    <w:rsid w:val="0023724E"/>
    <w:rsid w:val="00240B19"/>
    <w:rsid w:val="002447EF"/>
    <w:rsid w:val="00250F45"/>
    <w:rsid w:val="00251550"/>
    <w:rsid w:val="00263B05"/>
    <w:rsid w:val="0027221A"/>
    <w:rsid w:val="00275B61"/>
    <w:rsid w:val="00280FAF"/>
    <w:rsid w:val="00282656"/>
    <w:rsid w:val="00296B83"/>
    <w:rsid w:val="002B4015"/>
    <w:rsid w:val="002B5C01"/>
    <w:rsid w:val="002B78CE"/>
    <w:rsid w:val="002C2FB6"/>
    <w:rsid w:val="002E5FA7"/>
    <w:rsid w:val="002F3309"/>
    <w:rsid w:val="003008CE"/>
    <w:rsid w:val="003009B7"/>
    <w:rsid w:val="00300E56"/>
    <w:rsid w:val="0030152C"/>
    <w:rsid w:val="0030469C"/>
    <w:rsid w:val="00321CA6"/>
    <w:rsid w:val="00323763"/>
    <w:rsid w:val="00323C5F"/>
    <w:rsid w:val="00334C09"/>
    <w:rsid w:val="003353BB"/>
    <w:rsid w:val="00352BAF"/>
    <w:rsid w:val="003533AB"/>
    <w:rsid w:val="003723D4"/>
    <w:rsid w:val="00374E80"/>
    <w:rsid w:val="003812B3"/>
    <w:rsid w:val="00381905"/>
    <w:rsid w:val="00384CC8"/>
    <w:rsid w:val="003871FD"/>
    <w:rsid w:val="003921DE"/>
    <w:rsid w:val="003A1E30"/>
    <w:rsid w:val="003A2829"/>
    <w:rsid w:val="003A7D1C"/>
    <w:rsid w:val="003B304B"/>
    <w:rsid w:val="003B3146"/>
    <w:rsid w:val="003B45EB"/>
    <w:rsid w:val="003B4EA5"/>
    <w:rsid w:val="003D1E02"/>
    <w:rsid w:val="003D3266"/>
    <w:rsid w:val="003E5C9A"/>
    <w:rsid w:val="003F015E"/>
    <w:rsid w:val="00400414"/>
    <w:rsid w:val="0041446B"/>
    <w:rsid w:val="00420DB4"/>
    <w:rsid w:val="0044071E"/>
    <w:rsid w:val="0044329C"/>
    <w:rsid w:val="0044702C"/>
    <w:rsid w:val="00453E24"/>
    <w:rsid w:val="0045649D"/>
    <w:rsid w:val="00457456"/>
    <w:rsid w:val="004577FE"/>
    <w:rsid w:val="00457B9C"/>
    <w:rsid w:val="0046164A"/>
    <w:rsid w:val="004628D2"/>
    <w:rsid w:val="00462DCD"/>
    <w:rsid w:val="004648AD"/>
    <w:rsid w:val="004703A9"/>
    <w:rsid w:val="004760DE"/>
    <w:rsid w:val="004763D7"/>
    <w:rsid w:val="004849BE"/>
    <w:rsid w:val="00484CEB"/>
    <w:rsid w:val="00493EF4"/>
    <w:rsid w:val="004A004E"/>
    <w:rsid w:val="004A24CF"/>
    <w:rsid w:val="004A5E57"/>
    <w:rsid w:val="004A77F4"/>
    <w:rsid w:val="004C194F"/>
    <w:rsid w:val="004C3D1D"/>
    <w:rsid w:val="004C3D84"/>
    <w:rsid w:val="004C7913"/>
    <w:rsid w:val="004D594A"/>
    <w:rsid w:val="004D64EF"/>
    <w:rsid w:val="004D717B"/>
    <w:rsid w:val="004E4DD6"/>
    <w:rsid w:val="004E7579"/>
    <w:rsid w:val="004F5E36"/>
    <w:rsid w:val="00506934"/>
    <w:rsid w:val="00507B47"/>
    <w:rsid w:val="00507BEF"/>
    <w:rsid w:val="00507CC9"/>
    <w:rsid w:val="005119A5"/>
    <w:rsid w:val="00513BB4"/>
    <w:rsid w:val="00525D91"/>
    <w:rsid w:val="005278B7"/>
    <w:rsid w:val="00532016"/>
    <w:rsid w:val="005346C8"/>
    <w:rsid w:val="00537D01"/>
    <w:rsid w:val="00543E7D"/>
    <w:rsid w:val="00547A68"/>
    <w:rsid w:val="005531C9"/>
    <w:rsid w:val="00564269"/>
    <w:rsid w:val="00565C79"/>
    <w:rsid w:val="00566BC2"/>
    <w:rsid w:val="00570C43"/>
    <w:rsid w:val="00583AFC"/>
    <w:rsid w:val="00592274"/>
    <w:rsid w:val="005B2110"/>
    <w:rsid w:val="005B61E6"/>
    <w:rsid w:val="005C77E1"/>
    <w:rsid w:val="005D02E6"/>
    <w:rsid w:val="005D271E"/>
    <w:rsid w:val="005D668A"/>
    <w:rsid w:val="005D6A2F"/>
    <w:rsid w:val="005E0592"/>
    <w:rsid w:val="005E1A82"/>
    <w:rsid w:val="005E794C"/>
    <w:rsid w:val="005F0A28"/>
    <w:rsid w:val="005F0E5E"/>
    <w:rsid w:val="005F3160"/>
    <w:rsid w:val="00600535"/>
    <w:rsid w:val="00610CD6"/>
    <w:rsid w:val="00620DEE"/>
    <w:rsid w:val="00621F92"/>
    <w:rsid w:val="0062280A"/>
    <w:rsid w:val="006231E1"/>
    <w:rsid w:val="00625639"/>
    <w:rsid w:val="00631B33"/>
    <w:rsid w:val="0064184D"/>
    <w:rsid w:val="006422CC"/>
    <w:rsid w:val="006505F8"/>
    <w:rsid w:val="00650E75"/>
    <w:rsid w:val="00651D18"/>
    <w:rsid w:val="00660E3E"/>
    <w:rsid w:val="00662E74"/>
    <w:rsid w:val="00664F9F"/>
    <w:rsid w:val="00680C23"/>
    <w:rsid w:val="00683E23"/>
    <w:rsid w:val="00693766"/>
    <w:rsid w:val="006A116B"/>
    <w:rsid w:val="006A3281"/>
    <w:rsid w:val="006B4888"/>
    <w:rsid w:val="006C12D8"/>
    <w:rsid w:val="006C2E45"/>
    <w:rsid w:val="006C359C"/>
    <w:rsid w:val="006C5579"/>
    <w:rsid w:val="006D4E6F"/>
    <w:rsid w:val="006D6E8B"/>
    <w:rsid w:val="006D7209"/>
    <w:rsid w:val="006E737D"/>
    <w:rsid w:val="0070488C"/>
    <w:rsid w:val="00707DD1"/>
    <w:rsid w:val="00712E9F"/>
    <w:rsid w:val="00713973"/>
    <w:rsid w:val="00720A24"/>
    <w:rsid w:val="00727AA3"/>
    <w:rsid w:val="00732386"/>
    <w:rsid w:val="0073514D"/>
    <w:rsid w:val="007447F3"/>
    <w:rsid w:val="0075499F"/>
    <w:rsid w:val="007561F0"/>
    <w:rsid w:val="00757032"/>
    <w:rsid w:val="007617CC"/>
    <w:rsid w:val="007661C8"/>
    <w:rsid w:val="00767CA9"/>
    <w:rsid w:val="0077098D"/>
    <w:rsid w:val="00785BF9"/>
    <w:rsid w:val="007931FA"/>
    <w:rsid w:val="007A0556"/>
    <w:rsid w:val="007A4861"/>
    <w:rsid w:val="007A7BBA"/>
    <w:rsid w:val="007B0C50"/>
    <w:rsid w:val="007B48F9"/>
    <w:rsid w:val="007C1A43"/>
    <w:rsid w:val="007D0951"/>
    <w:rsid w:val="007F27C8"/>
    <w:rsid w:val="0080013E"/>
    <w:rsid w:val="008068D3"/>
    <w:rsid w:val="00813288"/>
    <w:rsid w:val="008168FC"/>
    <w:rsid w:val="00830996"/>
    <w:rsid w:val="008314D7"/>
    <w:rsid w:val="008345F1"/>
    <w:rsid w:val="00865B07"/>
    <w:rsid w:val="008667EA"/>
    <w:rsid w:val="0087594F"/>
    <w:rsid w:val="0087637F"/>
    <w:rsid w:val="00892AD5"/>
    <w:rsid w:val="008A1512"/>
    <w:rsid w:val="008A1D64"/>
    <w:rsid w:val="008D2509"/>
    <w:rsid w:val="008D32B9"/>
    <w:rsid w:val="008D433B"/>
    <w:rsid w:val="008D4A16"/>
    <w:rsid w:val="008D7543"/>
    <w:rsid w:val="008E209A"/>
    <w:rsid w:val="008E45BC"/>
    <w:rsid w:val="008E566E"/>
    <w:rsid w:val="0090161A"/>
    <w:rsid w:val="00901EB6"/>
    <w:rsid w:val="009041F8"/>
    <w:rsid w:val="00904C62"/>
    <w:rsid w:val="00914536"/>
    <w:rsid w:val="00922BA8"/>
    <w:rsid w:val="00924DAC"/>
    <w:rsid w:val="00927058"/>
    <w:rsid w:val="0092736B"/>
    <w:rsid w:val="00942750"/>
    <w:rsid w:val="009450CE"/>
    <w:rsid w:val="009459BB"/>
    <w:rsid w:val="00947179"/>
    <w:rsid w:val="0095162F"/>
    <w:rsid w:val="0095164B"/>
    <w:rsid w:val="00954090"/>
    <w:rsid w:val="009573E7"/>
    <w:rsid w:val="00963E05"/>
    <w:rsid w:val="00964A45"/>
    <w:rsid w:val="00967843"/>
    <w:rsid w:val="00967D54"/>
    <w:rsid w:val="00971028"/>
    <w:rsid w:val="00993B84"/>
    <w:rsid w:val="00996483"/>
    <w:rsid w:val="00996F5A"/>
    <w:rsid w:val="009B041A"/>
    <w:rsid w:val="009C37C3"/>
    <w:rsid w:val="009C7C86"/>
    <w:rsid w:val="009D2FF7"/>
    <w:rsid w:val="009D52B1"/>
    <w:rsid w:val="009E7884"/>
    <w:rsid w:val="009E788A"/>
    <w:rsid w:val="009F0E08"/>
    <w:rsid w:val="00A079AE"/>
    <w:rsid w:val="00A13F3A"/>
    <w:rsid w:val="00A1763D"/>
    <w:rsid w:val="00A17CEC"/>
    <w:rsid w:val="00A26CBB"/>
    <w:rsid w:val="00A27EF0"/>
    <w:rsid w:val="00A42361"/>
    <w:rsid w:val="00A43AA8"/>
    <w:rsid w:val="00A43C05"/>
    <w:rsid w:val="00A50B20"/>
    <w:rsid w:val="00A51390"/>
    <w:rsid w:val="00A60D13"/>
    <w:rsid w:val="00A664B9"/>
    <w:rsid w:val="00A7223D"/>
    <w:rsid w:val="00A72745"/>
    <w:rsid w:val="00A76EFC"/>
    <w:rsid w:val="00A87D50"/>
    <w:rsid w:val="00A91010"/>
    <w:rsid w:val="00A92B85"/>
    <w:rsid w:val="00A97F29"/>
    <w:rsid w:val="00AA702E"/>
    <w:rsid w:val="00AA7D26"/>
    <w:rsid w:val="00AB0964"/>
    <w:rsid w:val="00AB5011"/>
    <w:rsid w:val="00AC7368"/>
    <w:rsid w:val="00AD0278"/>
    <w:rsid w:val="00AD16B9"/>
    <w:rsid w:val="00AD377B"/>
    <w:rsid w:val="00AE377D"/>
    <w:rsid w:val="00AF0EBA"/>
    <w:rsid w:val="00B02C8A"/>
    <w:rsid w:val="00B04627"/>
    <w:rsid w:val="00B111F4"/>
    <w:rsid w:val="00B17FBD"/>
    <w:rsid w:val="00B315A6"/>
    <w:rsid w:val="00B31813"/>
    <w:rsid w:val="00B33365"/>
    <w:rsid w:val="00B434A2"/>
    <w:rsid w:val="00B46636"/>
    <w:rsid w:val="00B51761"/>
    <w:rsid w:val="00B57B36"/>
    <w:rsid w:val="00B57E6F"/>
    <w:rsid w:val="00B66392"/>
    <w:rsid w:val="00B665A9"/>
    <w:rsid w:val="00B8686D"/>
    <w:rsid w:val="00B93F69"/>
    <w:rsid w:val="00BB1DDC"/>
    <w:rsid w:val="00BB3220"/>
    <w:rsid w:val="00BC30C9"/>
    <w:rsid w:val="00BD077D"/>
    <w:rsid w:val="00BD20E1"/>
    <w:rsid w:val="00BD72FC"/>
    <w:rsid w:val="00BE3E58"/>
    <w:rsid w:val="00BF0521"/>
    <w:rsid w:val="00C01616"/>
    <w:rsid w:val="00C0162B"/>
    <w:rsid w:val="00C068ED"/>
    <w:rsid w:val="00C12EF8"/>
    <w:rsid w:val="00C15B00"/>
    <w:rsid w:val="00C208E9"/>
    <w:rsid w:val="00C22E0C"/>
    <w:rsid w:val="00C345B1"/>
    <w:rsid w:val="00C40142"/>
    <w:rsid w:val="00C40EE7"/>
    <w:rsid w:val="00C52C3C"/>
    <w:rsid w:val="00C56715"/>
    <w:rsid w:val="00C57182"/>
    <w:rsid w:val="00C57863"/>
    <w:rsid w:val="00C640AF"/>
    <w:rsid w:val="00C655FD"/>
    <w:rsid w:val="00C7120A"/>
    <w:rsid w:val="00C75407"/>
    <w:rsid w:val="00C841C6"/>
    <w:rsid w:val="00C870A8"/>
    <w:rsid w:val="00C94434"/>
    <w:rsid w:val="00CA0D75"/>
    <w:rsid w:val="00CA1C95"/>
    <w:rsid w:val="00CA5A9C"/>
    <w:rsid w:val="00CC4C20"/>
    <w:rsid w:val="00CD07A5"/>
    <w:rsid w:val="00CD3006"/>
    <w:rsid w:val="00CD3517"/>
    <w:rsid w:val="00CD5FE2"/>
    <w:rsid w:val="00CE7C68"/>
    <w:rsid w:val="00D02B4C"/>
    <w:rsid w:val="00D040C4"/>
    <w:rsid w:val="00D110C6"/>
    <w:rsid w:val="00D20AD1"/>
    <w:rsid w:val="00D2582C"/>
    <w:rsid w:val="00D27C96"/>
    <w:rsid w:val="00D46B7E"/>
    <w:rsid w:val="00D57C84"/>
    <w:rsid w:val="00D6057D"/>
    <w:rsid w:val="00D71640"/>
    <w:rsid w:val="00D778E7"/>
    <w:rsid w:val="00D836C5"/>
    <w:rsid w:val="00D837AF"/>
    <w:rsid w:val="00D83858"/>
    <w:rsid w:val="00D84576"/>
    <w:rsid w:val="00DA1399"/>
    <w:rsid w:val="00DA17A1"/>
    <w:rsid w:val="00DA1AF5"/>
    <w:rsid w:val="00DA24C6"/>
    <w:rsid w:val="00DA4D7B"/>
    <w:rsid w:val="00DB5351"/>
    <w:rsid w:val="00DB53F4"/>
    <w:rsid w:val="00DD271C"/>
    <w:rsid w:val="00DE264A"/>
    <w:rsid w:val="00DE28C0"/>
    <w:rsid w:val="00DF367E"/>
    <w:rsid w:val="00DF5072"/>
    <w:rsid w:val="00DF647D"/>
    <w:rsid w:val="00DF79BE"/>
    <w:rsid w:val="00E02D18"/>
    <w:rsid w:val="00E041E7"/>
    <w:rsid w:val="00E23CA1"/>
    <w:rsid w:val="00E33CB0"/>
    <w:rsid w:val="00E35E67"/>
    <w:rsid w:val="00E409A8"/>
    <w:rsid w:val="00E47D61"/>
    <w:rsid w:val="00E50C12"/>
    <w:rsid w:val="00E65B91"/>
    <w:rsid w:val="00E702C3"/>
    <w:rsid w:val="00E7209D"/>
    <w:rsid w:val="00E72EAD"/>
    <w:rsid w:val="00E77223"/>
    <w:rsid w:val="00E83E4B"/>
    <w:rsid w:val="00E8528B"/>
    <w:rsid w:val="00E85B94"/>
    <w:rsid w:val="00E978D0"/>
    <w:rsid w:val="00EA3EF9"/>
    <w:rsid w:val="00EA4613"/>
    <w:rsid w:val="00EA7F91"/>
    <w:rsid w:val="00EB1523"/>
    <w:rsid w:val="00EC0E49"/>
    <w:rsid w:val="00EC101F"/>
    <w:rsid w:val="00EC1D9F"/>
    <w:rsid w:val="00EE0131"/>
    <w:rsid w:val="00EE17B0"/>
    <w:rsid w:val="00EE320F"/>
    <w:rsid w:val="00EF06D9"/>
    <w:rsid w:val="00EF0982"/>
    <w:rsid w:val="00EF2450"/>
    <w:rsid w:val="00F126A5"/>
    <w:rsid w:val="00F3049E"/>
    <w:rsid w:val="00F30C64"/>
    <w:rsid w:val="00F32BA2"/>
    <w:rsid w:val="00F32CDB"/>
    <w:rsid w:val="00F3348F"/>
    <w:rsid w:val="00F37280"/>
    <w:rsid w:val="00F41EE4"/>
    <w:rsid w:val="00F565FE"/>
    <w:rsid w:val="00F63A70"/>
    <w:rsid w:val="00F63D8C"/>
    <w:rsid w:val="00F64F41"/>
    <w:rsid w:val="00F7534E"/>
    <w:rsid w:val="00F93EDF"/>
    <w:rsid w:val="00FA0FD5"/>
    <w:rsid w:val="00FA1802"/>
    <w:rsid w:val="00FA21D0"/>
    <w:rsid w:val="00FA5F5F"/>
    <w:rsid w:val="00FB730C"/>
    <w:rsid w:val="00FC2695"/>
    <w:rsid w:val="00FC3E03"/>
    <w:rsid w:val="00FC3FC1"/>
    <w:rsid w:val="00FD1855"/>
    <w:rsid w:val="00FD659A"/>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AE0CC22"/>
  <w14:defaultImageDpi w14:val="330"/>
  <w15:docId w15:val="{1C7B1FA5-DEFA-4BB0-8855-B9043F35F1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CET Top_page"/>
    <w:rsid w:val="00620DEE"/>
    <w:pPr>
      <w:tabs>
        <w:tab w:val="right" w:pos="7100"/>
      </w:tabs>
      <w:spacing w:after="0" w:line="264" w:lineRule="auto"/>
      <w:jc w:val="both"/>
    </w:pPr>
    <w:rPr>
      <w:rFonts w:ascii="Arial" w:eastAsia="Times New Roman" w:hAnsi="Arial" w:cs="Times New Roman"/>
      <w:sz w:val="18"/>
      <w:szCs w:val="20"/>
      <w:lang w:val="en-US"/>
    </w:rPr>
  </w:style>
  <w:style w:type="paragraph" w:styleId="Ttulo1">
    <w:name w:val="heading 1"/>
    <w:basedOn w:val="CETHeading1"/>
    <w:next w:val="Normal"/>
    <w:link w:val="Ttulo1Char"/>
    <w:uiPriority w:val="9"/>
    <w:rsid w:val="004F5E36"/>
    <w:pPr>
      <w:tabs>
        <w:tab w:val="clear" w:pos="360"/>
        <w:tab w:val="right" w:pos="7100"/>
      </w:tabs>
      <w:jc w:val="both"/>
      <w:outlineLvl w:val="0"/>
    </w:pPr>
    <w:rPr>
      <w:lang w:val="en-GB"/>
    </w:rPr>
  </w:style>
  <w:style w:type="paragraph" w:styleId="Ttulo2">
    <w:name w:val="heading 2"/>
    <w:basedOn w:val="Normal"/>
    <w:next w:val="Normal"/>
    <w:link w:val="Ttulo2Char"/>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har"/>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har"/>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har"/>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har"/>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har"/>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har"/>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tulo9">
    <w:name w:val="heading 9"/>
    <w:basedOn w:val="Normal"/>
    <w:next w:val="Normal"/>
    <w:link w:val="Ttulo9Char"/>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A5F5F"/>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elaSimples-1">
    <w:name w:val="Table Simple 1"/>
    <w:basedOn w:val="Tabelanormal"/>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Refdecomentrio">
    <w:name w:val="annotation reference"/>
    <w:basedOn w:val="Fontepargpadro"/>
    <w:uiPriority w:val="99"/>
    <w:semiHidden/>
    <w:unhideWhenUsed/>
    <w:rsid w:val="004577FE"/>
    <w:rPr>
      <w:sz w:val="16"/>
      <w:szCs w:val="16"/>
    </w:rPr>
  </w:style>
  <w:style w:type="paragraph" w:styleId="Textodebalo">
    <w:name w:val="Balloon Text"/>
    <w:basedOn w:val="Normal"/>
    <w:link w:val="TextodebaloChar"/>
    <w:uiPriority w:val="99"/>
    <w:semiHidden/>
    <w:unhideWhenUsed/>
    <w:rsid w:val="000D34BE"/>
    <w:pPr>
      <w:spacing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0D34BE"/>
    <w:rPr>
      <w:rFonts w:ascii="Tahoma" w:hAnsi="Tahoma" w:cs="Tahoma"/>
      <w:sz w:val="16"/>
      <w:szCs w:val="16"/>
    </w:rPr>
  </w:style>
  <w:style w:type="paragraph" w:styleId="Bibliografia">
    <w:name w:val="Bibliography"/>
    <w:basedOn w:val="CETReferencetext"/>
    <w:uiPriority w:val="37"/>
    <w:unhideWhenUsed/>
    <w:rsid w:val="00631B33"/>
    <w:pPr>
      <w:spacing w:line="240" w:lineRule="auto"/>
      <w:ind w:left="720" w:hanging="720"/>
    </w:pPr>
  </w:style>
  <w:style w:type="paragraph" w:styleId="Corpodetexto2">
    <w:name w:val="Body Text 2"/>
    <w:basedOn w:val="Normal"/>
    <w:link w:val="Corpodetexto2Char"/>
    <w:uiPriority w:val="99"/>
    <w:semiHidden/>
    <w:unhideWhenUsed/>
    <w:rsid w:val="0003148D"/>
    <w:pPr>
      <w:spacing w:after="120" w:line="480" w:lineRule="auto"/>
    </w:pPr>
  </w:style>
  <w:style w:type="character" w:customStyle="1" w:styleId="Corpodetexto2Char">
    <w:name w:val="Corpo de texto 2 Char"/>
    <w:basedOn w:val="Fontepargpadro"/>
    <w:link w:val="Corpodetexto2"/>
    <w:uiPriority w:val="99"/>
    <w:semiHidden/>
    <w:rsid w:val="0003148D"/>
  </w:style>
  <w:style w:type="paragraph" w:styleId="Corpodetexto3">
    <w:name w:val="Body Text 3"/>
    <w:basedOn w:val="Normal"/>
    <w:link w:val="Corpodetexto3Char"/>
    <w:uiPriority w:val="99"/>
    <w:semiHidden/>
    <w:unhideWhenUsed/>
    <w:rsid w:val="0003148D"/>
    <w:pPr>
      <w:spacing w:after="120"/>
    </w:pPr>
    <w:rPr>
      <w:sz w:val="16"/>
      <w:szCs w:val="16"/>
    </w:rPr>
  </w:style>
  <w:style w:type="character" w:customStyle="1" w:styleId="Corpodetexto3Char">
    <w:name w:val="Corpo de texto 3 Char"/>
    <w:basedOn w:val="Fontepargpadro"/>
    <w:link w:val="Corpodetexto3"/>
    <w:uiPriority w:val="99"/>
    <w:semiHidden/>
    <w:rsid w:val="0003148D"/>
    <w:rPr>
      <w:sz w:val="16"/>
      <w:szCs w:val="16"/>
    </w:rPr>
  </w:style>
  <w:style w:type="paragraph" w:styleId="Corpodetexto">
    <w:name w:val="Body Text"/>
    <w:basedOn w:val="Normal"/>
    <w:link w:val="CorpodetextoChar"/>
    <w:uiPriority w:val="99"/>
    <w:semiHidden/>
    <w:unhideWhenUsed/>
    <w:rsid w:val="0003148D"/>
    <w:pPr>
      <w:spacing w:after="120"/>
    </w:pPr>
  </w:style>
  <w:style w:type="character" w:customStyle="1" w:styleId="CorpodetextoChar">
    <w:name w:val="Corpo de texto Char"/>
    <w:basedOn w:val="Fontepargpadro"/>
    <w:link w:val="Corpodetexto"/>
    <w:uiPriority w:val="99"/>
    <w:semiHidden/>
    <w:rsid w:val="0003148D"/>
  </w:style>
  <w:style w:type="paragraph" w:styleId="Data">
    <w:name w:val="Date"/>
    <w:basedOn w:val="Normal"/>
    <w:next w:val="Normal"/>
    <w:link w:val="DataChar"/>
    <w:uiPriority w:val="99"/>
    <w:semiHidden/>
    <w:unhideWhenUsed/>
    <w:rsid w:val="0003148D"/>
  </w:style>
  <w:style w:type="character" w:customStyle="1" w:styleId="DataChar">
    <w:name w:val="Data Char"/>
    <w:basedOn w:val="Fontepargpadro"/>
    <w:link w:val="Data"/>
    <w:uiPriority w:val="99"/>
    <w:semiHidden/>
    <w:rsid w:val="0003148D"/>
  </w:style>
  <w:style w:type="paragraph" w:styleId="Legenda">
    <w:name w:val="caption"/>
    <w:basedOn w:val="Normal"/>
    <w:next w:val="Normal"/>
    <w:uiPriority w:val="35"/>
    <w:semiHidden/>
    <w:unhideWhenUsed/>
    <w:qFormat/>
    <w:rsid w:val="0003148D"/>
    <w:pPr>
      <w:spacing w:line="240" w:lineRule="auto"/>
    </w:pPr>
    <w:rPr>
      <w:b/>
      <w:bCs/>
      <w:color w:val="4F81BD" w:themeColor="accent1"/>
      <w:szCs w:val="18"/>
    </w:rPr>
  </w:style>
  <w:style w:type="paragraph" w:styleId="Lista">
    <w:name w:val="List"/>
    <w:basedOn w:val="Normal"/>
    <w:uiPriority w:val="99"/>
    <w:semiHidden/>
    <w:unhideWhenUsed/>
    <w:rsid w:val="0003148D"/>
    <w:pPr>
      <w:ind w:left="283" w:hanging="283"/>
      <w:contextualSpacing/>
    </w:pPr>
  </w:style>
  <w:style w:type="paragraph" w:styleId="Lista2">
    <w:name w:val="List 2"/>
    <w:basedOn w:val="Normal"/>
    <w:uiPriority w:val="99"/>
    <w:semiHidden/>
    <w:unhideWhenUsed/>
    <w:rsid w:val="0003148D"/>
    <w:pPr>
      <w:ind w:left="566" w:hanging="283"/>
      <w:contextualSpacing/>
    </w:pPr>
  </w:style>
  <w:style w:type="paragraph" w:styleId="Lista3">
    <w:name w:val="List 3"/>
    <w:basedOn w:val="Normal"/>
    <w:uiPriority w:val="99"/>
    <w:semiHidden/>
    <w:unhideWhenUsed/>
    <w:rsid w:val="0003148D"/>
    <w:pPr>
      <w:ind w:left="849" w:hanging="283"/>
      <w:contextualSpacing/>
    </w:pPr>
  </w:style>
  <w:style w:type="paragraph" w:styleId="Lista4">
    <w:name w:val="List 4"/>
    <w:basedOn w:val="Normal"/>
    <w:uiPriority w:val="99"/>
    <w:semiHidden/>
    <w:unhideWhenUsed/>
    <w:rsid w:val="0003148D"/>
    <w:pPr>
      <w:ind w:left="1132" w:hanging="283"/>
      <w:contextualSpacing/>
    </w:pPr>
  </w:style>
  <w:style w:type="paragraph" w:styleId="Lista5">
    <w:name w:val="List 5"/>
    <w:basedOn w:val="Normal"/>
    <w:uiPriority w:val="99"/>
    <w:semiHidden/>
    <w:unhideWhenUsed/>
    <w:rsid w:val="0003148D"/>
    <w:pPr>
      <w:ind w:left="1415" w:hanging="283"/>
      <w:contextualSpacing/>
    </w:pPr>
  </w:style>
  <w:style w:type="paragraph" w:styleId="Listadecontinuao">
    <w:name w:val="List Continue"/>
    <w:basedOn w:val="Normal"/>
    <w:uiPriority w:val="99"/>
    <w:semiHidden/>
    <w:unhideWhenUsed/>
    <w:rsid w:val="0003148D"/>
    <w:pPr>
      <w:spacing w:after="120"/>
      <w:ind w:left="283"/>
      <w:contextualSpacing/>
    </w:pPr>
  </w:style>
  <w:style w:type="paragraph" w:styleId="Listadecontinuao2">
    <w:name w:val="List Continue 2"/>
    <w:basedOn w:val="Normal"/>
    <w:uiPriority w:val="99"/>
    <w:semiHidden/>
    <w:unhideWhenUsed/>
    <w:rsid w:val="0003148D"/>
    <w:pPr>
      <w:spacing w:after="120"/>
      <w:ind w:left="566"/>
      <w:contextualSpacing/>
    </w:pPr>
  </w:style>
  <w:style w:type="paragraph" w:styleId="Listadecontinuao3">
    <w:name w:val="List Continue 3"/>
    <w:basedOn w:val="Normal"/>
    <w:uiPriority w:val="99"/>
    <w:semiHidden/>
    <w:unhideWhenUsed/>
    <w:rsid w:val="0003148D"/>
    <w:pPr>
      <w:spacing w:after="120"/>
      <w:ind w:left="849"/>
      <w:contextualSpacing/>
    </w:pPr>
  </w:style>
  <w:style w:type="paragraph" w:styleId="Listadecontinuao4">
    <w:name w:val="List Continue 4"/>
    <w:basedOn w:val="Normal"/>
    <w:uiPriority w:val="99"/>
    <w:semiHidden/>
    <w:unhideWhenUsed/>
    <w:rsid w:val="0003148D"/>
    <w:pPr>
      <w:spacing w:after="120"/>
      <w:ind w:left="1132"/>
      <w:contextualSpacing/>
    </w:pPr>
  </w:style>
  <w:style w:type="paragraph" w:styleId="Listadecontinuao5">
    <w:name w:val="List Continue 5"/>
    <w:basedOn w:val="Normal"/>
    <w:uiPriority w:val="99"/>
    <w:semiHidden/>
    <w:unhideWhenUsed/>
    <w:rsid w:val="0003148D"/>
    <w:pPr>
      <w:spacing w:after="120"/>
      <w:ind w:left="1415"/>
      <w:contextualSpacing/>
    </w:pPr>
  </w:style>
  <w:style w:type="paragraph" w:styleId="Assinatura">
    <w:name w:val="Signature"/>
    <w:basedOn w:val="Normal"/>
    <w:link w:val="AssinaturaChar"/>
    <w:uiPriority w:val="99"/>
    <w:semiHidden/>
    <w:unhideWhenUsed/>
    <w:rsid w:val="0003148D"/>
    <w:pPr>
      <w:spacing w:line="240" w:lineRule="auto"/>
      <w:ind w:left="4252"/>
    </w:pPr>
  </w:style>
  <w:style w:type="character" w:customStyle="1" w:styleId="AssinaturaChar">
    <w:name w:val="Assinatura Char"/>
    <w:basedOn w:val="Fontepargpadro"/>
    <w:link w:val="Assinatura"/>
    <w:uiPriority w:val="99"/>
    <w:semiHidden/>
    <w:rsid w:val="0003148D"/>
  </w:style>
  <w:style w:type="paragraph" w:styleId="AssinaturadeEmail">
    <w:name w:val="E-mail Signature"/>
    <w:basedOn w:val="Normal"/>
    <w:link w:val="AssinaturadeEmailChar"/>
    <w:uiPriority w:val="99"/>
    <w:semiHidden/>
    <w:unhideWhenUsed/>
    <w:rsid w:val="0003148D"/>
    <w:pPr>
      <w:spacing w:line="240" w:lineRule="auto"/>
    </w:pPr>
  </w:style>
  <w:style w:type="character" w:customStyle="1" w:styleId="AssinaturadeEmailChar">
    <w:name w:val="Assinatura de Email Char"/>
    <w:basedOn w:val="Fontepargpadro"/>
    <w:link w:val="AssinaturadeEmail"/>
    <w:uiPriority w:val="99"/>
    <w:semiHidden/>
    <w:rsid w:val="0003148D"/>
  </w:style>
  <w:style w:type="paragraph" w:styleId="Saudao">
    <w:name w:val="Salutation"/>
    <w:basedOn w:val="Normal"/>
    <w:next w:val="Normal"/>
    <w:link w:val="SaudaoChar"/>
    <w:uiPriority w:val="99"/>
    <w:semiHidden/>
    <w:unhideWhenUsed/>
    <w:rsid w:val="0003148D"/>
  </w:style>
  <w:style w:type="character" w:customStyle="1" w:styleId="SaudaoChar">
    <w:name w:val="Saudação Char"/>
    <w:basedOn w:val="Fontepargpadro"/>
    <w:link w:val="Saudao"/>
    <w:uiPriority w:val="99"/>
    <w:semiHidden/>
    <w:rsid w:val="0003148D"/>
  </w:style>
  <w:style w:type="paragraph" w:styleId="Encerramento">
    <w:name w:val="Closing"/>
    <w:basedOn w:val="Normal"/>
    <w:link w:val="EncerramentoChar"/>
    <w:uiPriority w:val="99"/>
    <w:semiHidden/>
    <w:unhideWhenUsed/>
    <w:rsid w:val="0003148D"/>
    <w:pPr>
      <w:spacing w:line="240" w:lineRule="auto"/>
      <w:ind w:left="4252"/>
    </w:pPr>
  </w:style>
  <w:style w:type="character" w:customStyle="1" w:styleId="EncerramentoChar">
    <w:name w:val="Encerramento Char"/>
    <w:basedOn w:val="Fontepargpadro"/>
    <w:link w:val="Encerramento"/>
    <w:uiPriority w:val="99"/>
    <w:semiHidden/>
    <w:rsid w:val="0003148D"/>
  </w:style>
  <w:style w:type="paragraph" w:styleId="Remissivo1">
    <w:name w:val="index 1"/>
    <w:basedOn w:val="Normal"/>
    <w:next w:val="Normal"/>
    <w:autoRedefine/>
    <w:uiPriority w:val="99"/>
    <w:semiHidden/>
    <w:unhideWhenUsed/>
    <w:rsid w:val="0003148D"/>
    <w:pPr>
      <w:spacing w:line="240" w:lineRule="auto"/>
      <w:ind w:left="220" w:hanging="220"/>
    </w:pPr>
  </w:style>
  <w:style w:type="paragraph" w:styleId="Remissivo2">
    <w:name w:val="index 2"/>
    <w:basedOn w:val="Normal"/>
    <w:next w:val="Normal"/>
    <w:autoRedefine/>
    <w:uiPriority w:val="99"/>
    <w:semiHidden/>
    <w:unhideWhenUsed/>
    <w:rsid w:val="0003148D"/>
    <w:pPr>
      <w:spacing w:line="240" w:lineRule="auto"/>
      <w:ind w:left="440" w:hanging="220"/>
    </w:pPr>
  </w:style>
  <w:style w:type="paragraph" w:styleId="Remissivo3">
    <w:name w:val="index 3"/>
    <w:basedOn w:val="Normal"/>
    <w:next w:val="Normal"/>
    <w:autoRedefine/>
    <w:uiPriority w:val="99"/>
    <w:semiHidden/>
    <w:unhideWhenUsed/>
    <w:rsid w:val="0003148D"/>
    <w:pPr>
      <w:spacing w:line="240" w:lineRule="auto"/>
      <w:ind w:left="660" w:hanging="220"/>
    </w:pPr>
  </w:style>
  <w:style w:type="paragraph" w:styleId="Remissivo4">
    <w:name w:val="index 4"/>
    <w:basedOn w:val="Normal"/>
    <w:next w:val="Normal"/>
    <w:autoRedefine/>
    <w:uiPriority w:val="99"/>
    <w:semiHidden/>
    <w:unhideWhenUsed/>
    <w:rsid w:val="0003148D"/>
    <w:pPr>
      <w:spacing w:line="240" w:lineRule="auto"/>
      <w:ind w:left="880" w:hanging="220"/>
    </w:pPr>
  </w:style>
  <w:style w:type="paragraph" w:styleId="Remissivo5">
    <w:name w:val="index 5"/>
    <w:basedOn w:val="Normal"/>
    <w:next w:val="Normal"/>
    <w:autoRedefine/>
    <w:uiPriority w:val="99"/>
    <w:semiHidden/>
    <w:unhideWhenUsed/>
    <w:rsid w:val="0003148D"/>
    <w:pPr>
      <w:spacing w:line="240" w:lineRule="auto"/>
      <w:ind w:left="1100" w:hanging="220"/>
    </w:pPr>
  </w:style>
  <w:style w:type="paragraph" w:styleId="Remissivo6">
    <w:name w:val="index 6"/>
    <w:basedOn w:val="Normal"/>
    <w:next w:val="Normal"/>
    <w:autoRedefine/>
    <w:uiPriority w:val="99"/>
    <w:semiHidden/>
    <w:unhideWhenUsed/>
    <w:rsid w:val="0003148D"/>
    <w:pPr>
      <w:spacing w:line="240" w:lineRule="auto"/>
      <w:ind w:left="1320" w:hanging="220"/>
    </w:pPr>
  </w:style>
  <w:style w:type="paragraph" w:styleId="Remissivo7">
    <w:name w:val="index 7"/>
    <w:basedOn w:val="Normal"/>
    <w:next w:val="Normal"/>
    <w:autoRedefine/>
    <w:uiPriority w:val="99"/>
    <w:semiHidden/>
    <w:unhideWhenUsed/>
    <w:rsid w:val="0003148D"/>
    <w:pPr>
      <w:spacing w:line="240" w:lineRule="auto"/>
      <w:ind w:left="1540" w:hanging="220"/>
    </w:pPr>
  </w:style>
  <w:style w:type="paragraph" w:styleId="Remissivo8">
    <w:name w:val="index 8"/>
    <w:basedOn w:val="Normal"/>
    <w:next w:val="Normal"/>
    <w:autoRedefine/>
    <w:uiPriority w:val="99"/>
    <w:semiHidden/>
    <w:unhideWhenUsed/>
    <w:rsid w:val="0003148D"/>
    <w:pPr>
      <w:spacing w:line="240" w:lineRule="auto"/>
      <w:ind w:left="1760" w:hanging="220"/>
    </w:pPr>
  </w:style>
  <w:style w:type="paragraph" w:styleId="Remissivo9">
    <w:name w:val="index 9"/>
    <w:basedOn w:val="Normal"/>
    <w:next w:val="Normal"/>
    <w:autoRedefine/>
    <w:uiPriority w:val="99"/>
    <w:semiHidden/>
    <w:unhideWhenUsed/>
    <w:rsid w:val="0003148D"/>
    <w:pPr>
      <w:spacing w:line="240" w:lineRule="auto"/>
      <w:ind w:left="1980" w:hanging="220"/>
    </w:pPr>
  </w:style>
  <w:style w:type="paragraph" w:styleId="ndicedeilustraes">
    <w:name w:val="table of figures"/>
    <w:basedOn w:val="Normal"/>
    <w:next w:val="Normal"/>
    <w:uiPriority w:val="99"/>
    <w:semiHidden/>
    <w:unhideWhenUsed/>
    <w:rsid w:val="0003148D"/>
  </w:style>
  <w:style w:type="paragraph" w:styleId="ndicedeautoridades">
    <w:name w:val="table of authorities"/>
    <w:basedOn w:val="Normal"/>
    <w:next w:val="Normal"/>
    <w:uiPriority w:val="99"/>
    <w:semiHidden/>
    <w:unhideWhenUsed/>
    <w:rsid w:val="0003148D"/>
    <w:pPr>
      <w:ind w:left="220" w:hanging="220"/>
    </w:pPr>
  </w:style>
  <w:style w:type="paragraph" w:styleId="Destinatrio">
    <w:name w:val="envelope address"/>
    <w:basedOn w:val="Normal"/>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EndereoHTML">
    <w:name w:val="HTML Address"/>
    <w:basedOn w:val="Normal"/>
    <w:link w:val="EndereoHTMLChar"/>
    <w:uiPriority w:val="99"/>
    <w:semiHidden/>
    <w:unhideWhenUsed/>
    <w:rsid w:val="0003148D"/>
    <w:pPr>
      <w:spacing w:line="240" w:lineRule="auto"/>
    </w:pPr>
    <w:rPr>
      <w:i/>
      <w:iCs/>
    </w:rPr>
  </w:style>
  <w:style w:type="character" w:customStyle="1" w:styleId="EndereoHTMLChar">
    <w:name w:val="Endereço HTML Char"/>
    <w:basedOn w:val="Fontepargpadro"/>
    <w:link w:val="EndereoHTML"/>
    <w:uiPriority w:val="99"/>
    <w:semiHidden/>
    <w:rsid w:val="0003148D"/>
    <w:rPr>
      <w:i/>
      <w:iCs/>
    </w:rPr>
  </w:style>
  <w:style w:type="paragraph" w:styleId="Remetente">
    <w:name w:val="envelope return"/>
    <w:basedOn w:val="Normal"/>
    <w:uiPriority w:val="99"/>
    <w:semiHidden/>
    <w:unhideWhenUsed/>
    <w:rsid w:val="0003148D"/>
    <w:pPr>
      <w:spacing w:line="240" w:lineRule="auto"/>
    </w:pPr>
    <w:rPr>
      <w:rFonts w:asciiTheme="majorHAnsi" w:eastAsiaTheme="majorEastAsia" w:hAnsiTheme="majorHAnsi" w:cstheme="majorBidi"/>
    </w:rPr>
  </w:style>
  <w:style w:type="paragraph" w:styleId="Cabealhodamensagem">
    <w:name w:val="Message Header"/>
    <w:basedOn w:val="Normal"/>
    <w:link w:val="CabealhodamensagemChar"/>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CabealhodamensagemChar">
    <w:name w:val="Cabeçalho da mensagem Char"/>
    <w:basedOn w:val="Fontepargpadro"/>
    <w:link w:val="Cabealhodamensagem"/>
    <w:uiPriority w:val="99"/>
    <w:semiHidden/>
    <w:rsid w:val="0003148D"/>
    <w:rPr>
      <w:rFonts w:asciiTheme="majorHAnsi" w:eastAsiaTheme="majorEastAsia" w:hAnsiTheme="majorHAnsi" w:cstheme="majorBidi"/>
      <w:sz w:val="24"/>
      <w:szCs w:val="24"/>
      <w:shd w:val="pct20" w:color="auto" w:fill="auto"/>
    </w:rPr>
  </w:style>
  <w:style w:type="paragraph" w:styleId="Ttulodanota">
    <w:name w:val="Note Heading"/>
    <w:basedOn w:val="Normal"/>
    <w:next w:val="Normal"/>
    <w:link w:val="TtulodanotaChar"/>
    <w:uiPriority w:val="99"/>
    <w:semiHidden/>
    <w:unhideWhenUsed/>
    <w:rsid w:val="0003148D"/>
    <w:pPr>
      <w:spacing w:line="240" w:lineRule="auto"/>
    </w:pPr>
  </w:style>
  <w:style w:type="character" w:customStyle="1" w:styleId="TtulodanotaChar">
    <w:name w:val="Título da nota Char"/>
    <w:basedOn w:val="Fontepargpadro"/>
    <w:link w:val="Ttulodanota"/>
    <w:uiPriority w:val="99"/>
    <w:semiHidden/>
    <w:rsid w:val="0003148D"/>
  </w:style>
  <w:style w:type="paragraph" w:styleId="MapadoDocumento">
    <w:name w:val="Document Map"/>
    <w:basedOn w:val="Normal"/>
    <w:link w:val="MapadoDocumentoChar"/>
    <w:uiPriority w:val="99"/>
    <w:semiHidden/>
    <w:unhideWhenUsed/>
    <w:rsid w:val="0003148D"/>
    <w:pPr>
      <w:spacing w:line="240" w:lineRule="auto"/>
    </w:pPr>
    <w:rPr>
      <w:rFonts w:ascii="Tahoma" w:hAnsi="Tahoma" w:cs="Tahoma"/>
      <w:sz w:val="16"/>
      <w:szCs w:val="16"/>
    </w:rPr>
  </w:style>
  <w:style w:type="character" w:customStyle="1" w:styleId="MapadoDocumentoChar">
    <w:name w:val="Mapa do Documento Char"/>
    <w:basedOn w:val="Fontepargpadro"/>
    <w:link w:val="MapadoDocumento"/>
    <w:uiPriority w:val="99"/>
    <w:semiHidden/>
    <w:rsid w:val="0003148D"/>
    <w:rPr>
      <w:rFonts w:ascii="Tahoma" w:hAnsi="Tahoma" w:cs="Tahoma"/>
      <w:sz w:val="16"/>
      <w:szCs w:val="16"/>
    </w:rPr>
  </w:style>
  <w:style w:type="paragraph" w:styleId="NormalWeb">
    <w:name w:val="Normal (Web)"/>
    <w:basedOn w:val="Normal"/>
    <w:uiPriority w:val="99"/>
    <w:semiHidden/>
    <w:unhideWhenUsed/>
    <w:rsid w:val="0003148D"/>
    <w:rPr>
      <w:sz w:val="24"/>
      <w:szCs w:val="24"/>
    </w:rPr>
  </w:style>
  <w:style w:type="paragraph" w:styleId="Numerada">
    <w:name w:val="List Number"/>
    <w:basedOn w:val="Normal"/>
    <w:uiPriority w:val="99"/>
    <w:semiHidden/>
    <w:unhideWhenUsed/>
    <w:rsid w:val="0003148D"/>
    <w:pPr>
      <w:numPr>
        <w:numId w:val="2"/>
      </w:numPr>
      <w:contextualSpacing/>
    </w:pPr>
  </w:style>
  <w:style w:type="paragraph" w:styleId="Numerada2">
    <w:name w:val="List Number 2"/>
    <w:basedOn w:val="Normal"/>
    <w:uiPriority w:val="99"/>
    <w:semiHidden/>
    <w:unhideWhenUsed/>
    <w:rsid w:val="0003148D"/>
    <w:pPr>
      <w:numPr>
        <w:numId w:val="3"/>
      </w:numPr>
      <w:contextualSpacing/>
    </w:pPr>
  </w:style>
  <w:style w:type="paragraph" w:styleId="Numerada3">
    <w:name w:val="List Number 3"/>
    <w:basedOn w:val="Normal"/>
    <w:uiPriority w:val="99"/>
    <w:semiHidden/>
    <w:unhideWhenUsed/>
    <w:rsid w:val="0003148D"/>
    <w:pPr>
      <w:numPr>
        <w:numId w:val="4"/>
      </w:numPr>
      <w:contextualSpacing/>
    </w:pPr>
  </w:style>
  <w:style w:type="paragraph" w:styleId="Numerada4">
    <w:name w:val="List Number 4"/>
    <w:basedOn w:val="Normal"/>
    <w:uiPriority w:val="99"/>
    <w:semiHidden/>
    <w:unhideWhenUsed/>
    <w:rsid w:val="0003148D"/>
    <w:pPr>
      <w:numPr>
        <w:numId w:val="5"/>
      </w:numPr>
      <w:contextualSpacing/>
    </w:pPr>
  </w:style>
  <w:style w:type="paragraph" w:styleId="Numerada5">
    <w:name w:val="List Number 5"/>
    <w:basedOn w:val="Normal"/>
    <w:uiPriority w:val="99"/>
    <w:semiHidden/>
    <w:unhideWhenUsed/>
    <w:rsid w:val="0003148D"/>
    <w:pPr>
      <w:numPr>
        <w:numId w:val="6"/>
      </w:numPr>
      <w:contextualSpacing/>
    </w:pPr>
  </w:style>
  <w:style w:type="paragraph" w:styleId="Pr-formataoHTML">
    <w:name w:val="HTML Preformatted"/>
    <w:basedOn w:val="Normal"/>
    <w:link w:val="Pr-formataoHTMLChar"/>
    <w:uiPriority w:val="99"/>
    <w:semiHidden/>
    <w:unhideWhenUsed/>
    <w:rsid w:val="0003148D"/>
    <w:pPr>
      <w:spacing w:line="240" w:lineRule="auto"/>
    </w:pPr>
    <w:rPr>
      <w:rFonts w:ascii="Consolas" w:hAnsi="Consolas" w:cs="Consolas"/>
    </w:rPr>
  </w:style>
  <w:style w:type="character" w:customStyle="1" w:styleId="Pr-formataoHTMLChar">
    <w:name w:val="Pré-formatação HTML Char"/>
    <w:basedOn w:val="Fontepargpadro"/>
    <w:link w:val="Pr-formataoHTML"/>
    <w:uiPriority w:val="99"/>
    <w:semiHidden/>
    <w:rsid w:val="0003148D"/>
    <w:rPr>
      <w:rFonts w:ascii="Consolas" w:hAnsi="Consolas" w:cs="Consolas"/>
      <w:sz w:val="20"/>
      <w:szCs w:val="20"/>
    </w:rPr>
  </w:style>
  <w:style w:type="paragraph" w:styleId="Primeirorecuodecorpodetexto">
    <w:name w:val="Body Text First Indent"/>
    <w:basedOn w:val="Corpodetexto"/>
    <w:link w:val="PrimeirorecuodecorpodetextoChar"/>
    <w:uiPriority w:val="99"/>
    <w:semiHidden/>
    <w:unhideWhenUsed/>
    <w:rsid w:val="0003148D"/>
    <w:pPr>
      <w:spacing w:after="200"/>
      <w:ind w:firstLine="360"/>
    </w:pPr>
  </w:style>
  <w:style w:type="character" w:customStyle="1" w:styleId="PrimeirorecuodecorpodetextoChar">
    <w:name w:val="Primeiro recuo de corpo de texto Char"/>
    <w:basedOn w:val="CorpodetextoChar"/>
    <w:link w:val="Primeirorecuodecorpodetexto"/>
    <w:uiPriority w:val="99"/>
    <w:semiHidden/>
    <w:rsid w:val="0003148D"/>
  </w:style>
  <w:style w:type="paragraph" w:styleId="Recuodecorpodetexto">
    <w:name w:val="Body Text Indent"/>
    <w:basedOn w:val="Normal"/>
    <w:link w:val="RecuodecorpodetextoChar"/>
    <w:uiPriority w:val="99"/>
    <w:semiHidden/>
    <w:unhideWhenUsed/>
    <w:rsid w:val="0003148D"/>
    <w:pPr>
      <w:spacing w:after="120"/>
      <w:ind w:left="283"/>
    </w:pPr>
  </w:style>
  <w:style w:type="character" w:customStyle="1" w:styleId="RecuodecorpodetextoChar">
    <w:name w:val="Recuo de corpo de texto Char"/>
    <w:basedOn w:val="Fontepargpadro"/>
    <w:link w:val="Recuodecorpodetexto"/>
    <w:uiPriority w:val="99"/>
    <w:semiHidden/>
    <w:rsid w:val="0003148D"/>
  </w:style>
  <w:style w:type="paragraph" w:styleId="Primeirorecuodecorpodetexto2">
    <w:name w:val="Body Text First Indent 2"/>
    <w:basedOn w:val="Recuodecorpodetexto"/>
    <w:link w:val="Primeirorecuodecorpodetexto2Char"/>
    <w:uiPriority w:val="99"/>
    <w:semiHidden/>
    <w:unhideWhenUsed/>
    <w:rsid w:val="0003148D"/>
    <w:pPr>
      <w:spacing w:after="200"/>
      <w:ind w:left="360" w:firstLine="360"/>
    </w:pPr>
  </w:style>
  <w:style w:type="character" w:customStyle="1" w:styleId="Primeirorecuodecorpodetexto2Char">
    <w:name w:val="Primeiro recuo de corpo de texto 2 Char"/>
    <w:basedOn w:val="RecuodecorpodetextoChar"/>
    <w:link w:val="Primeirorecuodecorpodetexto2"/>
    <w:uiPriority w:val="99"/>
    <w:semiHidden/>
    <w:rsid w:val="0003148D"/>
  </w:style>
  <w:style w:type="paragraph" w:styleId="Commarcadores">
    <w:name w:val="List Bullet"/>
    <w:basedOn w:val="Normal"/>
    <w:uiPriority w:val="99"/>
    <w:semiHidden/>
    <w:unhideWhenUsed/>
    <w:rsid w:val="0003148D"/>
    <w:pPr>
      <w:numPr>
        <w:numId w:val="7"/>
      </w:numPr>
      <w:contextualSpacing/>
    </w:pPr>
  </w:style>
  <w:style w:type="paragraph" w:styleId="Commarcadores2">
    <w:name w:val="List Bullet 2"/>
    <w:basedOn w:val="Normal"/>
    <w:uiPriority w:val="99"/>
    <w:semiHidden/>
    <w:unhideWhenUsed/>
    <w:rsid w:val="0003148D"/>
    <w:pPr>
      <w:numPr>
        <w:numId w:val="8"/>
      </w:numPr>
      <w:contextualSpacing/>
    </w:pPr>
  </w:style>
  <w:style w:type="paragraph" w:styleId="Commarcadores3">
    <w:name w:val="List Bullet 3"/>
    <w:basedOn w:val="Normal"/>
    <w:uiPriority w:val="99"/>
    <w:semiHidden/>
    <w:unhideWhenUsed/>
    <w:rsid w:val="0003148D"/>
    <w:pPr>
      <w:numPr>
        <w:numId w:val="9"/>
      </w:numPr>
      <w:contextualSpacing/>
    </w:pPr>
  </w:style>
  <w:style w:type="paragraph" w:styleId="Commarcadores4">
    <w:name w:val="List Bullet 4"/>
    <w:basedOn w:val="Normal"/>
    <w:uiPriority w:val="99"/>
    <w:semiHidden/>
    <w:unhideWhenUsed/>
    <w:rsid w:val="0003148D"/>
    <w:pPr>
      <w:numPr>
        <w:numId w:val="10"/>
      </w:numPr>
      <w:contextualSpacing/>
    </w:pPr>
  </w:style>
  <w:style w:type="paragraph" w:styleId="Commarcadores5">
    <w:name w:val="List Bullet 5"/>
    <w:basedOn w:val="Normal"/>
    <w:uiPriority w:val="99"/>
    <w:semiHidden/>
    <w:unhideWhenUsed/>
    <w:rsid w:val="0003148D"/>
    <w:pPr>
      <w:numPr>
        <w:numId w:val="11"/>
      </w:numPr>
      <w:contextualSpacing/>
    </w:pPr>
  </w:style>
  <w:style w:type="paragraph" w:styleId="Recuodecorpodetexto2">
    <w:name w:val="Body Text Indent 2"/>
    <w:basedOn w:val="Normal"/>
    <w:link w:val="Recuodecorpodetexto2Char"/>
    <w:uiPriority w:val="99"/>
    <w:semiHidden/>
    <w:unhideWhenUsed/>
    <w:rsid w:val="0003148D"/>
    <w:pPr>
      <w:spacing w:after="120" w:line="480" w:lineRule="auto"/>
      <w:ind w:left="283"/>
    </w:pPr>
  </w:style>
  <w:style w:type="character" w:customStyle="1" w:styleId="Recuodecorpodetexto2Char">
    <w:name w:val="Recuo de corpo de texto 2 Char"/>
    <w:basedOn w:val="Fontepargpadro"/>
    <w:link w:val="Recuodecorpodetexto2"/>
    <w:uiPriority w:val="99"/>
    <w:semiHidden/>
    <w:rsid w:val="0003148D"/>
  </w:style>
  <w:style w:type="paragraph" w:styleId="Recuodecorpodetexto3">
    <w:name w:val="Body Text Indent 3"/>
    <w:basedOn w:val="Normal"/>
    <w:link w:val="Recuodecorpodetexto3Char"/>
    <w:uiPriority w:val="99"/>
    <w:semiHidden/>
    <w:unhideWhenUsed/>
    <w:rsid w:val="0003148D"/>
    <w:pPr>
      <w:spacing w:after="120"/>
      <w:ind w:left="283"/>
    </w:pPr>
    <w:rPr>
      <w:sz w:val="16"/>
      <w:szCs w:val="16"/>
    </w:rPr>
  </w:style>
  <w:style w:type="character" w:customStyle="1" w:styleId="Recuodecorpodetexto3Char">
    <w:name w:val="Recuo de corpo de texto 3 Char"/>
    <w:basedOn w:val="Fontepargpadro"/>
    <w:link w:val="Recuodecorpodetexto3"/>
    <w:uiPriority w:val="99"/>
    <w:semiHidden/>
    <w:rsid w:val="0003148D"/>
    <w:rPr>
      <w:sz w:val="16"/>
      <w:szCs w:val="16"/>
    </w:rPr>
  </w:style>
  <w:style w:type="paragraph" w:styleId="Recuonormal">
    <w:name w:val="Normal Indent"/>
    <w:basedOn w:val="Normal"/>
    <w:uiPriority w:val="99"/>
    <w:semiHidden/>
    <w:unhideWhenUsed/>
    <w:rsid w:val="0003148D"/>
    <w:pPr>
      <w:ind w:left="720"/>
    </w:pPr>
  </w:style>
  <w:style w:type="paragraph" w:styleId="Textodecomentrio">
    <w:name w:val="annotation text"/>
    <w:basedOn w:val="Normal"/>
    <w:link w:val="TextodecomentrioChar"/>
    <w:uiPriority w:val="99"/>
    <w:unhideWhenUsed/>
    <w:rsid w:val="0003148D"/>
    <w:pPr>
      <w:spacing w:line="240" w:lineRule="auto"/>
    </w:pPr>
  </w:style>
  <w:style w:type="character" w:customStyle="1" w:styleId="TextodecomentrioChar">
    <w:name w:val="Texto de comentário Char"/>
    <w:basedOn w:val="Fontepargpadro"/>
    <w:link w:val="Textodecomentrio"/>
    <w:uiPriority w:val="99"/>
    <w:rsid w:val="0003148D"/>
    <w:rPr>
      <w:sz w:val="20"/>
      <w:szCs w:val="20"/>
    </w:rPr>
  </w:style>
  <w:style w:type="paragraph" w:styleId="Assuntodocomentrio">
    <w:name w:val="annotation subject"/>
    <w:basedOn w:val="Textodecomentrio"/>
    <w:next w:val="Textodecomentrio"/>
    <w:link w:val="AssuntodocomentrioChar"/>
    <w:uiPriority w:val="99"/>
    <w:semiHidden/>
    <w:unhideWhenUsed/>
    <w:rsid w:val="0003148D"/>
    <w:rPr>
      <w:b/>
      <w:bCs/>
    </w:rPr>
  </w:style>
  <w:style w:type="character" w:customStyle="1" w:styleId="AssuntodocomentrioChar">
    <w:name w:val="Assunto do comentário Char"/>
    <w:basedOn w:val="TextodecomentrioChar"/>
    <w:link w:val="Assuntodocomentrio"/>
    <w:uiPriority w:val="99"/>
    <w:semiHidden/>
    <w:rsid w:val="0003148D"/>
    <w:rPr>
      <w:b/>
      <w:bCs/>
      <w:sz w:val="20"/>
      <w:szCs w:val="20"/>
    </w:rPr>
  </w:style>
  <w:style w:type="paragraph" w:styleId="Sumrio1">
    <w:name w:val="toc 1"/>
    <w:basedOn w:val="Normal"/>
    <w:next w:val="Normal"/>
    <w:autoRedefine/>
    <w:uiPriority w:val="39"/>
    <w:semiHidden/>
    <w:unhideWhenUsed/>
    <w:rsid w:val="0003148D"/>
    <w:pPr>
      <w:spacing w:after="100"/>
    </w:pPr>
  </w:style>
  <w:style w:type="paragraph" w:styleId="Sumrio2">
    <w:name w:val="toc 2"/>
    <w:basedOn w:val="Normal"/>
    <w:next w:val="Normal"/>
    <w:autoRedefine/>
    <w:uiPriority w:val="39"/>
    <w:semiHidden/>
    <w:unhideWhenUsed/>
    <w:rsid w:val="0003148D"/>
    <w:pPr>
      <w:spacing w:after="100"/>
      <w:ind w:left="220"/>
    </w:pPr>
  </w:style>
  <w:style w:type="paragraph" w:styleId="Sumrio3">
    <w:name w:val="toc 3"/>
    <w:basedOn w:val="Normal"/>
    <w:next w:val="Normal"/>
    <w:autoRedefine/>
    <w:uiPriority w:val="39"/>
    <w:semiHidden/>
    <w:unhideWhenUsed/>
    <w:rsid w:val="0003148D"/>
    <w:pPr>
      <w:spacing w:after="100"/>
      <w:ind w:left="440"/>
    </w:pPr>
  </w:style>
  <w:style w:type="paragraph" w:styleId="Sumrio4">
    <w:name w:val="toc 4"/>
    <w:basedOn w:val="Normal"/>
    <w:next w:val="Normal"/>
    <w:autoRedefine/>
    <w:uiPriority w:val="39"/>
    <w:semiHidden/>
    <w:unhideWhenUsed/>
    <w:rsid w:val="0003148D"/>
    <w:pPr>
      <w:spacing w:after="100"/>
      <w:ind w:left="660"/>
    </w:pPr>
  </w:style>
  <w:style w:type="paragraph" w:styleId="Sumrio5">
    <w:name w:val="toc 5"/>
    <w:basedOn w:val="Normal"/>
    <w:next w:val="Normal"/>
    <w:autoRedefine/>
    <w:uiPriority w:val="39"/>
    <w:semiHidden/>
    <w:unhideWhenUsed/>
    <w:rsid w:val="0003148D"/>
    <w:pPr>
      <w:spacing w:after="100"/>
      <w:ind w:left="880"/>
    </w:pPr>
  </w:style>
  <w:style w:type="paragraph" w:styleId="Sumrio6">
    <w:name w:val="toc 6"/>
    <w:basedOn w:val="Normal"/>
    <w:next w:val="Normal"/>
    <w:autoRedefine/>
    <w:uiPriority w:val="39"/>
    <w:semiHidden/>
    <w:unhideWhenUsed/>
    <w:rsid w:val="0003148D"/>
    <w:pPr>
      <w:spacing w:after="100"/>
      <w:ind w:left="1100"/>
    </w:pPr>
  </w:style>
  <w:style w:type="paragraph" w:styleId="Sumrio7">
    <w:name w:val="toc 7"/>
    <w:basedOn w:val="Normal"/>
    <w:next w:val="Normal"/>
    <w:autoRedefine/>
    <w:uiPriority w:val="39"/>
    <w:semiHidden/>
    <w:unhideWhenUsed/>
    <w:rsid w:val="0003148D"/>
    <w:pPr>
      <w:spacing w:after="100"/>
      <w:ind w:left="1320"/>
    </w:pPr>
  </w:style>
  <w:style w:type="paragraph" w:styleId="Sumrio8">
    <w:name w:val="toc 8"/>
    <w:basedOn w:val="Normal"/>
    <w:next w:val="Normal"/>
    <w:autoRedefine/>
    <w:uiPriority w:val="39"/>
    <w:semiHidden/>
    <w:unhideWhenUsed/>
    <w:rsid w:val="0003148D"/>
    <w:pPr>
      <w:spacing w:after="100"/>
      <w:ind w:left="1540"/>
    </w:pPr>
  </w:style>
  <w:style w:type="paragraph" w:styleId="Sumrio9">
    <w:name w:val="toc 9"/>
    <w:basedOn w:val="Normal"/>
    <w:next w:val="Normal"/>
    <w:autoRedefine/>
    <w:uiPriority w:val="39"/>
    <w:semiHidden/>
    <w:unhideWhenUsed/>
    <w:rsid w:val="0003148D"/>
    <w:pPr>
      <w:spacing w:after="100"/>
      <w:ind w:left="1760"/>
    </w:pPr>
  </w:style>
  <w:style w:type="paragraph" w:styleId="Textoembloco">
    <w:name w:val="Block Text"/>
    <w:basedOn w:val="Normal"/>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xtodemacro">
    <w:name w:val="macro"/>
    <w:link w:val="TextodemacroChar"/>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xtodemacroChar">
    <w:name w:val="Texto de macro Char"/>
    <w:basedOn w:val="Fontepargpadro"/>
    <w:link w:val="Textodemacro"/>
    <w:uiPriority w:val="99"/>
    <w:semiHidden/>
    <w:rsid w:val="0003148D"/>
    <w:rPr>
      <w:rFonts w:ascii="Consolas" w:hAnsi="Consolas" w:cs="Consolas"/>
      <w:sz w:val="20"/>
      <w:szCs w:val="20"/>
    </w:rPr>
  </w:style>
  <w:style w:type="paragraph" w:styleId="TextosemFormatao">
    <w:name w:val="Plain Text"/>
    <w:basedOn w:val="Normal"/>
    <w:link w:val="TextosemFormataoChar"/>
    <w:uiPriority w:val="99"/>
    <w:semiHidden/>
    <w:unhideWhenUsed/>
    <w:rsid w:val="0003148D"/>
    <w:pPr>
      <w:spacing w:line="240" w:lineRule="auto"/>
    </w:pPr>
    <w:rPr>
      <w:rFonts w:ascii="Consolas" w:hAnsi="Consolas" w:cs="Consolas"/>
      <w:sz w:val="21"/>
      <w:szCs w:val="21"/>
    </w:rPr>
  </w:style>
  <w:style w:type="character" w:customStyle="1" w:styleId="TextosemFormataoChar">
    <w:name w:val="Texto sem Formatação Char"/>
    <w:basedOn w:val="Fontepargpadro"/>
    <w:link w:val="TextosemFormatao"/>
    <w:uiPriority w:val="99"/>
    <w:semiHidden/>
    <w:rsid w:val="0003148D"/>
    <w:rPr>
      <w:rFonts w:ascii="Consolas" w:hAnsi="Consolas" w:cs="Consolas"/>
      <w:sz w:val="21"/>
      <w:szCs w:val="21"/>
    </w:rPr>
  </w:style>
  <w:style w:type="paragraph" w:styleId="Textodenotaderodap">
    <w:name w:val="footnote text"/>
    <w:basedOn w:val="Normal"/>
    <w:link w:val="TextodenotaderodapChar"/>
    <w:uiPriority w:val="99"/>
    <w:semiHidden/>
    <w:unhideWhenUsed/>
    <w:rsid w:val="0003148D"/>
    <w:pPr>
      <w:spacing w:line="240" w:lineRule="auto"/>
    </w:pPr>
  </w:style>
  <w:style w:type="character" w:customStyle="1" w:styleId="TextodenotaderodapChar">
    <w:name w:val="Texto de nota de rodapé Char"/>
    <w:basedOn w:val="Fontepargpadro"/>
    <w:link w:val="Textodenotaderodap"/>
    <w:uiPriority w:val="99"/>
    <w:semiHidden/>
    <w:rsid w:val="0003148D"/>
    <w:rPr>
      <w:sz w:val="20"/>
      <w:szCs w:val="20"/>
    </w:rPr>
  </w:style>
  <w:style w:type="paragraph" w:styleId="Textodenotadefim">
    <w:name w:val="endnote text"/>
    <w:basedOn w:val="Normal"/>
    <w:link w:val="TextodenotadefimChar"/>
    <w:uiPriority w:val="99"/>
    <w:semiHidden/>
    <w:unhideWhenUsed/>
    <w:rsid w:val="0003148D"/>
    <w:pPr>
      <w:spacing w:line="240" w:lineRule="auto"/>
    </w:pPr>
  </w:style>
  <w:style w:type="character" w:customStyle="1" w:styleId="TextodenotadefimChar">
    <w:name w:val="Texto de nota de fim Char"/>
    <w:basedOn w:val="Fontepargpadro"/>
    <w:link w:val="Textodenotadefim"/>
    <w:uiPriority w:val="99"/>
    <w:semiHidden/>
    <w:rsid w:val="0003148D"/>
    <w:rPr>
      <w:sz w:val="20"/>
      <w:szCs w:val="20"/>
    </w:rPr>
  </w:style>
  <w:style w:type="character" w:customStyle="1" w:styleId="Ttulo1Char">
    <w:name w:val="Título 1 Char"/>
    <w:basedOn w:val="Fontepargpadro"/>
    <w:link w:val="Ttulo1"/>
    <w:uiPriority w:val="9"/>
    <w:rsid w:val="004F5E36"/>
    <w:rPr>
      <w:rFonts w:ascii="Arial" w:eastAsia="Times New Roman" w:hAnsi="Arial" w:cs="Times New Roman"/>
      <w:b/>
      <w:sz w:val="20"/>
      <w:szCs w:val="20"/>
      <w:lang w:val="en-GB"/>
    </w:rPr>
  </w:style>
  <w:style w:type="character" w:customStyle="1" w:styleId="Ttulo2Char">
    <w:name w:val="Título 2 Char"/>
    <w:basedOn w:val="Fontepargpadro"/>
    <w:link w:val="Ttulo2"/>
    <w:uiPriority w:val="9"/>
    <w:semiHidden/>
    <w:rsid w:val="0003148D"/>
    <w:rPr>
      <w:rFonts w:asciiTheme="majorHAnsi" w:eastAsiaTheme="majorEastAsia" w:hAnsiTheme="majorHAnsi" w:cstheme="majorBidi"/>
      <w:b/>
      <w:bCs/>
      <w:color w:val="4F81BD" w:themeColor="accent1"/>
      <w:sz w:val="26"/>
      <w:szCs w:val="26"/>
    </w:rPr>
  </w:style>
  <w:style w:type="character" w:customStyle="1" w:styleId="Ttulo3Char">
    <w:name w:val="Título 3 Char"/>
    <w:basedOn w:val="Fontepargpadro"/>
    <w:link w:val="Ttulo3"/>
    <w:uiPriority w:val="9"/>
    <w:semiHidden/>
    <w:rsid w:val="0003148D"/>
    <w:rPr>
      <w:rFonts w:asciiTheme="majorHAnsi" w:eastAsiaTheme="majorEastAsia" w:hAnsiTheme="majorHAnsi" w:cstheme="majorBidi"/>
      <w:b/>
      <w:bCs/>
      <w:color w:val="4F81BD" w:themeColor="accent1"/>
    </w:rPr>
  </w:style>
  <w:style w:type="character" w:customStyle="1" w:styleId="Ttulo4Char">
    <w:name w:val="Título 4 Char"/>
    <w:basedOn w:val="Fontepargpadro"/>
    <w:link w:val="Ttulo4"/>
    <w:uiPriority w:val="9"/>
    <w:semiHidden/>
    <w:rsid w:val="0003148D"/>
    <w:rPr>
      <w:rFonts w:asciiTheme="majorHAnsi" w:eastAsiaTheme="majorEastAsia" w:hAnsiTheme="majorHAnsi" w:cstheme="majorBidi"/>
      <w:b/>
      <w:bCs/>
      <w:i/>
      <w:iCs/>
      <w:color w:val="4F81BD" w:themeColor="accent1"/>
    </w:rPr>
  </w:style>
  <w:style w:type="character" w:customStyle="1" w:styleId="Ttulo5Char">
    <w:name w:val="Título 5 Char"/>
    <w:basedOn w:val="Fontepargpadro"/>
    <w:link w:val="Ttulo5"/>
    <w:uiPriority w:val="9"/>
    <w:semiHidden/>
    <w:rsid w:val="0003148D"/>
    <w:rPr>
      <w:rFonts w:asciiTheme="majorHAnsi" w:eastAsiaTheme="majorEastAsia" w:hAnsiTheme="majorHAnsi" w:cstheme="majorBidi"/>
      <w:color w:val="243F60" w:themeColor="accent1" w:themeShade="7F"/>
    </w:rPr>
  </w:style>
  <w:style w:type="character" w:customStyle="1" w:styleId="Ttulo6Char">
    <w:name w:val="Título 6 Char"/>
    <w:basedOn w:val="Fontepargpadro"/>
    <w:link w:val="Ttulo6"/>
    <w:uiPriority w:val="9"/>
    <w:semiHidden/>
    <w:rsid w:val="0003148D"/>
    <w:rPr>
      <w:rFonts w:asciiTheme="majorHAnsi" w:eastAsiaTheme="majorEastAsia" w:hAnsiTheme="majorHAnsi" w:cstheme="majorBidi"/>
      <w:i/>
      <w:iCs/>
      <w:color w:val="243F60" w:themeColor="accent1" w:themeShade="7F"/>
    </w:rPr>
  </w:style>
  <w:style w:type="character" w:customStyle="1" w:styleId="Ttulo7Char">
    <w:name w:val="Título 7 Char"/>
    <w:basedOn w:val="Fontepargpadro"/>
    <w:link w:val="Ttulo7"/>
    <w:uiPriority w:val="9"/>
    <w:semiHidden/>
    <w:rsid w:val="0003148D"/>
    <w:rPr>
      <w:rFonts w:asciiTheme="majorHAnsi" w:eastAsiaTheme="majorEastAsia" w:hAnsiTheme="majorHAnsi" w:cstheme="majorBidi"/>
      <w:i/>
      <w:iCs/>
      <w:color w:val="404040" w:themeColor="text1" w:themeTint="BF"/>
    </w:rPr>
  </w:style>
  <w:style w:type="character" w:customStyle="1" w:styleId="Ttulo8Char">
    <w:name w:val="Título 8 Char"/>
    <w:basedOn w:val="Fontepargpadro"/>
    <w:link w:val="Ttulo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tulo9Char">
    <w:name w:val="Título 9 Char"/>
    <w:basedOn w:val="Fontepargpadro"/>
    <w:link w:val="Ttulo9"/>
    <w:uiPriority w:val="9"/>
    <w:semiHidden/>
    <w:rsid w:val="0003148D"/>
    <w:rPr>
      <w:rFonts w:asciiTheme="majorHAnsi" w:eastAsiaTheme="majorEastAsia" w:hAnsiTheme="majorHAnsi" w:cstheme="majorBidi"/>
      <w:i/>
      <w:iCs/>
      <w:color w:val="404040" w:themeColor="text1" w:themeTint="BF"/>
      <w:sz w:val="20"/>
      <w:szCs w:val="20"/>
    </w:rPr>
  </w:style>
  <w:style w:type="paragraph" w:styleId="Ttulodendiceremissivo">
    <w:name w:val="index heading"/>
    <w:basedOn w:val="Normal"/>
    <w:next w:val="Remissivo1"/>
    <w:uiPriority w:val="99"/>
    <w:semiHidden/>
    <w:unhideWhenUsed/>
    <w:rsid w:val="0003148D"/>
    <w:rPr>
      <w:rFonts w:asciiTheme="majorHAnsi" w:eastAsiaTheme="majorEastAsia" w:hAnsiTheme="majorHAnsi" w:cstheme="majorBidi"/>
      <w:b/>
      <w:bCs/>
    </w:rPr>
  </w:style>
  <w:style w:type="paragraph" w:styleId="Ttulodendicedeautoridades">
    <w:name w:val="toa heading"/>
    <w:basedOn w:val="Normal"/>
    <w:next w:val="Normal"/>
    <w:uiPriority w:val="99"/>
    <w:semiHidden/>
    <w:unhideWhenUsed/>
    <w:rsid w:val="0003148D"/>
    <w:pPr>
      <w:spacing w:before="120"/>
    </w:pPr>
    <w:rPr>
      <w:rFonts w:asciiTheme="majorHAnsi" w:eastAsiaTheme="majorEastAsia" w:hAnsiTheme="majorHAnsi" w:cstheme="majorBidi"/>
      <w:b/>
      <w:bCs/>
      <w:sz w:val="24"/>
      <w:szCs w:val="24"/>
    </w:rPr>
  </w:style>
  <w:style w:type="paragraph" w:styleId="CabealhodoSumrio">
    <w:name w:val="TOC Heading"/>
    <w:basedOn w:val="Ttulo1"/>
    <w:next w:val="Normal"/>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Fontepargpadro"/>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Cabealho">
    <w:name w:val="header"/>
    <w:basedOn w:val="Normal"/>
    <w:link w:val="CabealhoChar"/>
    <w:uiPriority w:val="99"/>
    <w:unhideWhenUsed/>
    <w:rsid w:val="005278B7"/>
    <w:pPr>
      <w:tabs>
        <w:tab w:val="clear" w:pos="7100"/>
        <w:tab w:val="center" w:pos="4819"/>
        <w:tab w:val="right" w:pos="9638"/>
      </w:tabs>
      <w:spacing w:line="240" w:lineRule="auto"/>
    </w:pPr>
  </w:style>
  <w:style w:type="character" w:customStyle="1" w:styleId="CabealhoChar">
    <w:name w:val="Cabeçalho Char"/>
    <w:basedOn w:val="Fontepargpadro"/>
    <w:link w:val="Cabealho"/>
    <w:uiPriority w:val="99"/>
    <w:rsid w:val="005278B7"/>
    <w:rPr>
      <w:rFonts w:ascii="Arial" w:eastAsia="Times New Roman" w:hAnsi="Arial" w:cs="Times New Roman"/>
      <w:sz w:val="18"/>
      <w:szCs w:val="20"/>
      <w:lang w:val="en-GB"/>
    </w:rPr>
  </w:style>
  <w:style w:type="paragraph" w:styleId="Rodap">
    <w:name w:val="footer"/>
    <w:basedOn w:val="Normal"/>
    <w:link w:val="RodapChar"/>
    <w:uiPriority w:val="99"/>
    <w:unhideWhenUsed/>
    <w:rsid w:val="005278B7"/>
    <w:pPr>
      <w:tabs>
        <w:tab w:val="clear" w:pos="7100"/>
        <w:tab w:val="center" w:pos="4819"/>
        <w:tab w:val="right" w:pos="9638"/>
      </w:tabs>
      <w:spacing w:line="240" w:lineRule="auto"/>
    </w:pPr>
  </w:style>
  <w:style w:type="character" w:customStyle="1" w:styleId="RodapChar">
    <w:name w:val="Rodapé Char"/>
    <w:basedOn w:val="Fontepargpadro"/>
    <w:link w:val="Rodap"/>
    <w:uiPriority w:val="99"/>
    <w:rsid w:val="005278B7"/>
    <w:rPr>
      <w:rFonts w:ascii="Arial" w:eastAsia="Times New Roman" w:hAnsi="Arial" w:cs="Times New Roman"/>
      <w:sz w:val="18"/>
      <w:szCs w:val="20"/>
      <w:lang w:val="en-GB"/>
    </w:rPr>
  </w:style>
  <w:style w:type="table" w:styleId="Tabelacomgrade">
    <w:name w:val="Table Grid"/>
    <w:basedOn w:val="Tabelanormal"/>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Fontepargpadro"/>
    <w:uiPriority w:val="99"/>
    <w:unhideWhenUsed/>
    <w:rsid w:val="00904C62"/>
    <w:rPr>
      <w:color w:val="0000FF" w:themeColor="hyperlink"/>
      <w:u w:val="single"/>
    </w:rPr>
  </w:style>
  <w:style w:type="character" w:customStyle="1" w:styleId="eudoraheader">
    <w:name w:val="eudoraheader"/>
    <w:basedOn w:val="Fontepargpadro"/>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PargrafodaLista">
    <w:name w:val="List Paragraph"/>
    <w:basedOn w:val="Normal"/>
    <w:uiPriority w:val="34"/>
    <w:rsid w:val="00280FAF"/>
    <w:pPr>
      <w:ind w:left="720"/>
      <w:contextualSpacing/>
    </w:pPr>
  </w:style>
  <w:style w:type="character" w:customStyle="1" w:styleId="gmail-apple-converted-space">
    <w:name w:val="gmail-apple-converted-space"/>
    <w:basedOn w:val="Fontepargpadro"/>
    <w:rsid w:val="00005A19"/>
  </w:style>
  <w:style w:type="character" w:styleId="MenoPendente">
    <w:name w:val="Unresolved Mention"/>
    <w:basedOn w:val="Fontepargpadro"/>
    <w:uiPriority w:val="99"/>
    <w:semiHidden/>
    <w:unhideWhenUsed/>
    <w:rsid w:val="00E83E4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681295">
      <w:bodyDiv w:val="1"/>
      <w:marLeft w:val="0"/>
      <w:marRight w:val="0"/>
      <w:marTop w:val="0"/>
      <w:marBottom w:val="0"/>
      <w:divBdr>
        <w:top w:val="none" w:sz="0" w:space="0" w:color="auto"/>
        <w:left w:val="none" w:sz="0" w:space="0" w:color="auto"/>
        <w:bottom w:val="none" w:sz="0" w:space="0" w:color="auto"/>
        <w:right w:val="none" w:sz="0" w:space="0" w:color="auto"/>
      </w:divBdr>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983C9-6D0A-480C-BF79-A63BD3D99E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79</TotalTime>
  <Pages>1</Pages>
  <Words>2840</Words>
  <Characters>15906</Characters>
  <Application>Microsoft Office Word</Application>
  <DocSecurity>0</DocSecurity>
  <Lines>338</Lines>
  <Paragraphs>199</Paragraphs>
  <ScaleCrop>false</ScaleCrop>
  <HeadingPairs>
    <vt:vector size="6" baseType="variant">
      <vt:variant>
        <vt:lpstr>Título</vt:lpstr>
      </vt:variant>
      <vt:variant>
        <vt:i4>1</vt:i4>
      </vt:variant>
      <vt:variant>
        <vt:lpstr>Titolo</vt:lpstr>
      </vt:variant>
      <vt:variant>
        <vt:i4>1</vt:i4>
      </vt:variant>
      <vt:variant>
        <vt:lpstr>Title</vt:lpstr>
      </vt:variant>
      <vt:variant>
        <vt:i4>1</vt:i4>
      </vt:variant>
    </vt:vector>
  </HeadingPairs>
  <TitlesOfParts>
    <vt:vector size="3" baseType="lpstr">
      <vt:lpstr/>
      <vt:lpstr/>
      <vt:lpstr/>
    </vt:vector>
  </TitlesOfParts>
  <Company>Dipartimento CMIC - Politecnico di Milano</Company>
  <LinksUpToDate>false</LinksUpToDate>
  <CharactersWithSpaces>18547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raffaella</dc:creator>
  <cp:keywords/>
  <dc:description/>
  <cp:lastModifiedBy>Beatriz Emanuella De Andrade Bressan</cp:lastModifiedBy>
  <cp:revision>14</cp:revision>
  <cp:lastPrinted>2026-04-02T01:00:00Z</cp:lastPrinted>
  <dcterms:created xsi:type="dcterms:W3CDTF">2026-04-02T00:08:00Z</dcterms:created>
  <dcterms:modified xsi:type="dcterms:W3CDTF">2026-04-02T01:29:00Z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ies>
</file>